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5E846F">
      <w:pPr>
        <w:pStyle w:val="16"/>
        <w:rPr>
          <w:rFonts w:hint="eastAsia"/>
        </w:rPr>
      </w:pPr>
    </w:p>
    <w:p w14:paraId="7ED2AA91">
      <w:pPr>
        <w:pStyle w:val="16"/>
        <w:rPr>
          <w:rFonts w:hint="eastAsia"/>
        </w:rPr>
      </w:pPr>
    </w:p>
    <w:p w14:paraId="3CD0904E">
      <w:pPr>
        <w:pStyle w:val="16"/>
        <w:rPr>
          <w:rFonts w:hint="eastAsia"/>
        </w:rPr>
      </w:pPr>
    </w:p>
    <w:p w14:paraId="2B783F78">
      <w:pPr>
        <w:pStyle w:val="16"/>
        <w:rPr>
          <w:rFonts w:hint="eastAsia"/>
        </w:rPr>
      </w:pPr>
    </w:p>
    <w:p w14:paraId="5FB3DF01">
      <w:pPr>
        <w:jc w:val="center"/>
        <w:rPr>
          <w:rFonts w:hint="eastAsia" w:ascii="宋体" w:hAnsi="宋体" w:eastAsia="宋体"/>
          <w:bCs/>
          <w:color w:val="auto"/>
          <w:sz w:val="48"/>
        </w:rPr>
      </w:pPr>
    </w:p>
    <w:p w14:paraId="3C813F16">
      <w:pPr>
        <w:pStyle w:val="16"/>
        <w:rPr>
          <w:rFonts w:hint="eastAsia"/>
        </w:rPr>
      </w:pPr>
    </w:p>
    <w:p w14:paraId="7134450A">
      <w:pPr>
        <w:jc w:val="center"/>
        <w:rPr>
          <w:rFonts w:hint="eastAsia" w:ascii="宋体" w:hAnsi="宋体" w:eastAsia="宋体"/>
          <w:b/>
          <w:color w:val="auto"/>
          <w:sz w:val="84"/>
        </w:rPr>
      </w:pPr>
      <w:r>
        <w:rPr>
          <w:rFonts w:hint="eastAsia" w:ascii="宋体" w:hAnsi="宋体" w:eastAsia="宋体"/>
          <w:bCs/>
          <w:color w:val="auto"/>
          <w:sz w:val="48"/>
        </w:rPr>
        <w:t>临海市限额以下建设工程</w:t>
      </w:r>
    </w:p>
    <w:p w14:paraId="21E4CC41">
      <w:pPr>
        <w:jc w:val="center"/>
        <w:rPr>
          <w:rFonts w:ascii="宋体" w:hAnsi="宋体"/>
          <w:color w:val="auto"/>
          <w:sz w:val="72"/>
        </w:rPr>
      </w:pPr>
      <w:r>
        <w:rPr>
          <w:rFonts w:hint="eastAsia" w:ascii="宋体" w:hAnsi="宋体" w:eastAsia="宋体"/>
          <w:b/>
          <w:color w:val="auto"/>
          <w:sz w:val="84"/>
        </w:rPr>
        <w:t>招 标 文 件</w:t>
      </w:r>
    </w:p>
    <w:p w14:paraId="645109C7">
      <w:pPr>
        <w:spacing w:line="440" w:lineRule="exact"/>
        <w:ind w:left="1148"/>
        <w:rPr>
          <w:rFonts w:ascii="宋体" w:hAnsi="宋体" w:eastAsia="宋体"/>
          <w:b/>
          <w:bCs/>
          <w:color w:val="auto"/>
          <w:sz w:val="28"/>
        </w:rPr>
      </w:pPr>
    </w:p>
    <w:p w14:paraId="0730526E">
      <w:pPr>
        <w:pStyle w:val="16"/>
      </w:pPr>
    </w:p>
    <w:p w14:paraId="728C4E93">
      <w:pPr>
        <w:spacing w:line="660" w:lineRule="exact"/>
        <w:rPr>
          <w:rFonts w:ascii="宋体" w:hAnsi="宋体" w:eastAsia="宋体"/>
          <w:bCs/>
          <w:color w:val="auto"/>
          <w:sz w:val="28"/>
        </w:rPr>
      </w:pPr>
    </w:p>
    <w:p w14:paraId="747F74CA">
      <w:pPr>
        <w:spacing w:line="288" w:lineRule="auto"/>
        <w:rPr>
          <w:rFonts w:ascii="宋体" w:hAnsi="宋体" w:eastAsia="宋体"/>
          <w:color w:val="auto"/>
          <w:sz w:val="28"/>
        </w:rPr>
      </w:pPr>
    </w:p>
    <w:p w14:paraId="2274956D">
      <w:pPr>
        <w:spacing w:line="660" w:lineRule="exact"/>
        <w:ind w:left="2514" w:leftChars="348" w:hanging="1400" w:hangingChars="500"/>
        <w:rPr>
          <w:rFonts w:hint="eastAsia" w:ascii="宋体" w:hAnsi="宋体" w:eastAsia="宋体" w:cs="宋体"/>
          <w:color w:val="auto"/>
          <w:sz w:val="28"/>
          <w:lang w:eastAsia="zh-CN"/>
        </w:rPr>
      </w:pPr>
      <w:r>
        <w:rPr>
          <w:rFonts w:hint="eastAsia" w:ascii="宋体" w:hAnsi="宋体" w:eastAsia="宋体"/>
          <w:bCs/>
          <w:color w:val="auto"/>
          <w:sz w:val="28"/>
        </w:rPr>
        <w:t>招标项目：</w:t>
      </w:r>
      <w:bookmarkStart w:id="213" w:name="_GoBack"/>
      <w:r>
        <w:rPr>
          <w:rFonts w:hint="eastAsia" w:ascii="宋体" w:hAnsi="宋体" w:eastAsia="宋体" w:cs="宋体"/>
          <w:color w:val="auto"/>
          <w:sz w:val="28"/>
          <w:lang w:eastAsia="zh-CN"/>
        </w:rPr>
        <w:t>临海市第六中学心理辅导站及污水管道改造工程</w:t>
      </w:r>
      <w:bookmarkEnd w:id="213"/>
    </w:p>
    <w:p w14:paraId="43A279CF">
      <w:pPr>
        <w:spacing w:line="660" w:lineRule="exact"/>
        <w:ind w:firstLine="1120" w:firstLineChars="400"/>
        <w:rPr>
          <w:rFonts w:ascii="宋体" w:hAnsi="宋体" w:eastAsia="宋体"/>
          <w:color w:val="auto"/>
          <w:sz w:val="28"/>
          <w:szCs w:val="22"/>
        </w:rPr>
      </w:pPr>
      <w:r>
        <w:rPr>
          <w:rFonts w:hint="eastAsia" w:ascii="宋体" w:hAnsi="宋体" w:eastAsia="宋体"/>
          <w:color w:val="auto"/>
          <w:sz w:val="28"/>
        </w:rPr>
        <w:t>招 标 人</w:t>
      </w:r>
      <w:r>
        <w:rPr>
          <w:rFonts w:hint="eastAsia" w:ascii="宋体" w:hAnsi="宋体" w:eastAsia="宋体"/>
          <w:color w:val="auto"/>
          <w:sz w:val="28"/>
          <w:szCs w:val="22"/>
        </w:rPr>
        <w:t>：</w:t>
      </w:r>
      <w:r>
        <w:rPr>
          <w:rFonts w:hint="eastAsia" w:ascii="宋体" w:hAnsi="宋体" w:eastAsia="宋体"/>
          <w:color w:val="auto"/>
          <w:sz w:val="28"/>
          <w:szCs w:val="22"/>
          <w:lang w:eastAsia="zh-CN"/>
        </w:rPr>
        <w:t>临海市第六中学</w:t>
      </w:r>
      <w:r>
        <w:rPr>
          <w:rFonts w:hint="eastAsia" w:ascii="宋体" w:hAnsi="宋体" w:eastAsia="宋体"/>
          <w:color w:val="auto"/>
          <w:sz w:val="28"/>
          <w:szCs w:val="22"/>
        </w:rPr>
        <w:t>（盖章）</w:t>
      </w:r>
    </w:p>
    <w:p w14:paraId="6E2536BF">
      <w:pPr>
        <w:spacing w:line="660" w:lineRule="exact"/>
        <w:ind w:firstLine="1148" w:firstLineChars="410"/>
        <w:rPr>
          <w:rFonts w:hint="default" w:ascii="宋体" w:hAnsi="宋体" w:eastAsia="宋体"/>
          <w:color w:val="auto"/>
          <w:sz w:val="28"/>
          <w:szCs w:val="22"/>
          <w:lang w:val="en-US" w:eastAsia="zh-CN"/>
        </w:rPr>
      </w:pPr>
      <w:r>
        <w:rPr>
          <w:rFonts w:hint="eastAsia" w:ascii="宋体" w:hAnsi="宋体" w:eastAsia="宋体"/>
          <w:color w:val="auto"/>
          <w:sz w:val="28"/>
        </w:rPr>
        <w:t>联 系 人：</w:t>
      </w:r>
      <w:r>
        <w:rPr>
          <w:rFonts w:hint="eastAsia" w:ascii="宋体" w:hAnsi="宋体" w:eastAsia="宋体"/>
          <w:color w:val="auto"/>
          <w:sz w:val="28"/>
          <w:lang w:val="en-US" w:eastAsia="zh-CN"/>
        </w:rPr>
        <w:t>梁</w:t>
      </w:r>
      <w:r>
        <w:rPr>
          <w:rFonts w:hint="eastAsia" w:ascii="宋体" w:hAnsi="宋体" w:eastAsia="宋体"/>
          <w:color w:val="auto"/>
          <w:sz w:val="28"/>
          <w:lang w:eastAsia="zh-CN"/>
        </w:rPr>
        <w:t>先生</w:t>
      </w:r>
      <w:r>
        <w:rPr>
          <w:rFonts w:hint="eastAsia" w:ascii="宋体" w:hAnsi="宋体" w:eastAsia="宋体"/>
          <w:color w:val="auto"/>
          <w:sz w:val="28"/>
        </w:rPr>
        <w:t xml:space="preserve">           联系电话</w:t>
      </w:r>
      <w:r>
        <w:rPr>
          <w:rFonts w:hint="eastAsia" w:ascii="宋体" w:hAnsi="宋体" w:eastAsia="宋体"/>
          <w:color w:val="auto"/>
          <w:sz w:val="28"/>
          <w:szCs w:val="22"/>
          <w:lang w:eastAsia="zh-CN"/>
        </w:rPr>
        <w:t>：18667630089</w:t>
      </w:r>
    </w:p>
    <w:p w14:paraId="4AF18FC7">
      <w:pPr>
        <w:spacing w:line="360" w:lineRule="auto"/>
        <w:rPr>
          <w:rFonts w:ascii="宋体" w:hAnsi="宋体" w:eastAsia="宋体"/>
          <w:color w:val="auto"/>
          <w:sz w:val="28"/>
        </w:rPr>
      </w:pPr>
    </w:p>
    <w:p w14:paraId="66B01CAC">
      <w:pPr>
        <w:pStyle w:val="22"/>
      </w:pPr>
    </w:p>
    <w:p w14:paraId="007B32E1">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招标代理机构：</w:t>
      </w:r>
      <w:r>
        <w:rPr>
          <w:rFonts w:hint="eastAsia" w:ascii="宋体" w:hAnsi="宋体" w:eastAsia="宋体"/>
          <w:bCs/>
          <w:color w:val="auto"/>
          <w:sz w:val="28"/>
          <w:lang w:eastAsia="zh-CN"/>
        </w:rPr>
        <w:t>浙江宸霖工程管理有限公司</w:t>
      </w:r>
      <w:r>
        <w:rPr>
          <w:rFonts w:hint="eastAsia" w:ascii="宋体" w:hAnsi="宋体" w:eastAsia="宋体"/>
          <w:bCs/>
          <w:color w:val="auto"/>
          <w:sz w:val="28"/>
        </w:rPr>
        <w:t>（盖章）</w:t>
      </w:r>
    </w:p>
    <w:p w14:paraId="42FA0D27">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代理项目负责人：</w:t>
      </w:r>
      <w:r>
        <w:rPr>
          <w:rFonts w:hint="eastAsia" w:ascii="宋体" w:hAnsi="宋体" w:eastAsia="宋体"/>
          <w:bCs/>
          <w:color w:val="auto"/>
          <w:sz w:val="28"/>
          <w:lang w:val="en-US" w:eastAsia="zh-CN"/>
        </w:rPr>
        <w:t>石国华</w:t>
      </w:r>
      <w:r>
        <w:rPr>
          <w:rFonts w:hint="eastAsia" w:ascii="宋体" w:hAnsi="宋体" w:eastAsia="宋体"/>
          <w:bCs/>
          <w:color w:val="auto"/>
          <w:sz w:val="28"/>
        </w:rPr>
        <w:t xml:space="preserve">       </w:t>
      </w:r>
    </w:p>
    <w:p w14:paraId="7A7BC0FE">
      <w:pPr>
        <w:spacing w:line="660" w:lineRule="exact"/>
        <w:ind w:left="2514" w:leftChars="348" w:hanging="1400" w:hangingChars="500"/>
        <w:rPr>
          <w:rFonts w:hint="default" w:ascii="宋体" w:hAnsi="宋体" w:eastAsia="宋体"/>
          <w:bCs/>
          <w:color w:val="auto"/>
          <w:sz w:val="28"/>
          <w:lang w:val="en-US"/>
        </w:rPr>
      </w:pPr>
      <w:r>
        <w:rPr>
          <w:rFonts w:hint="eastAsia" w:ascii="宋体" w:hAnsi="宋体" w:eastAsia="宋体"/>
          <w:bCs/>
          <w:color w:val="auto"/>
          <w:sz w:val="28"/>
        </w:rPr>
        <w:t>联 系 人：</w:t>
      </w:r>
      <w:r>
        <w:rPr>
          <w:rFonts w:hint="eastAsia" w:ascii="宋体" w:hAnsi="宋体" w:eastAsia="宋体"/>
          <w:bCs/>
          <w:color w:val="auto"/>
          <w:sz w:val="28"/>
          <w:lang w:eastAsia="zh-CN"/>
        </w:rPr>
        <w:t>朱女士</w:t>
      </w:r>
      <w:r>
        <w:rPr>
          <w:rFonts w:hint="eastAsia" w:ascii="宋体" w:hAnsi="宋体" w:eastAsia="宋体"/>
          <w:bCs/>
          <w:color w:val="auto"/>
          <w:sz w:val="28"/>
        </w:rPr>
        <w:t xml:space="preserve">           联系电话：</w:t>
      </w:r>
      <w:r>
        <w:rPr>
          <w:rFonts w:hint="eastAsia" w:ascii="宋体" w:hAnsi="宋体" w:eastAsia="宋体"/>
          <w:bCs/>
          <w:color w:val="auto"/>
          <w:sz w:val="28"/>
          <w:lang w:val="en-US" w:eastAsia="zh-CN"/>
        </w:rPr>
        <w:t>0576-85385667</w:t>
      </w:r>
    </w:p>
    <w:p w14:paraId="6DBFF96B">
      <w:pPr>
        <w:spacing w:line="360" w:lineRule="auto"/>
        <w:rPr>
          <w:rFonts w:ascii="宋体" w:hAnsi="宋体" w:eastAsia="宋体"/>
          <w:color w:val="auto"/>
          <w:sz w:val="28"/>
        </w:rPr>
      </w:pPr>
    </w:p>
    <w:p w14:paraId="50D22B81">
      <w:pPr>
        <w:spacing w:line="360" w:lineRule="auto"/>
        <w:ind w:firstLine="826" w:firstLineChars="295"/>
        <w:rPr>
          <w:rFonts w:ascii="宋体" w:hAnsi="宋体" w:eastAsia="宋体"/>
          <w:color w:val="auto"/>
          <w:sz w:val="28"/>
        </w:rPr>
      </w:pPr>
    </w:p>
    <w:p w14:paraId="27827CFD">
      <w:pPr>
        <w:spacing w:line="360" w:lineRule="auto"/>
        <w:ind w:firstLine="1120" w:firstLineChars="400"/>
        <w:rPr>
          <w:rFonts w:ascii="宋体" w:hAnsi="宋体" w:eastAsia="宋体"/>
          <w:color w:val="auto"/>
          <w:sz w:val="28"/>
        </w:rPr>
      </w:pPr>
      <w:r>
        <w:rPr>
          <w:rFonts w:hint="eastAsia" w:ascii="宋体" w:hAnsi="宋体" w:eastAsia="宋体"/>
          <w:color w:val="auto"/>
          <w:sz w:val="28"/>
        </w:rPr>
        <w:t>招标监管机构：</w:t>
      </w:r>
      <w:r>
        <w:rPr>
          <w:rFonts w:hint="eastAsia" w:ascii="宋体" w:hAnsi="宋体" w:eastAsia="宋体"/>
          <w:color w:val="auto"/>
          <w:sz w:val="28"/>
          <w:lang w:eastAsia="zh-CN"/>
        </w:rPr>
        <w:t>临海市第六中学</w:t>
      </w:r>
      <w:r>
        <w:rPr>
          <w:rFonts w:hint="eastAsia" w:ascii="宋体" w:hAnsi="宋体" w:eastAsia="宋体"/>
          <w:color w:val="auto"/>
          <w:sz w:val="28"/>
        </w:rPr>
        <w:t>（盖章）</w:t>
      </w:r>
    </w:p>
    <w:p w14:paraId="1873AFE2">
      <w:pPr>
        <w:spacing w:line="288" w:lineRule="auto"/>
        <w:rPr>
          <w:rFonts w:hint="eastAsia" w:ascii="宋体" w:hAnsi="宋体" w:eastAsia="宋体"/>
          <w:color w:val="auto"/>
          <w:sz w:val="28"/>
          <w:lang w:eastAsia="zh-CN"/>
        </w:rPr>
      </w:pPr>
      <w:r>
        <w:rPr>
          <w:rFonts w:hint="eastAsia" w:ascii="宋体" w:hAnsi="宋体" w:eastAsia="宋体"/>
          <w:color w:val="auto"/>
          <w:sz w:val="28"/>
          <w:szCs w:val="22"/>
          <w:lang w:val="en-US" w:eastAsia="zh-CN"/>
        </w:rPr>
        <w:t xml:space="preserve"> </w:t>
      </w:r>
    </w:p>
    <w:p w14:paraId="4BBBD3F2">
      <w:pPr>
        <w:spacing w:line="288" w:lineRule="auto"/>
        <w:jc w:val="center"/>
        <w:rPr>
          <w:rFonts w:hint="eastAsia" w:ascii="宋体" w:hAnsi="宋体" w:eastAsia="宋体"/>
          <w:color w:val="auto"/>
          <w:sz w:val="28"/>
          <w:szCs w:val="22"/>
        </w:rPr>
      </w:pPr>
    </w:p>
    <w:p w14:paraId="17877694">
      <w:pPr>
        <w:spacing w:line="288" w:lineRule="auto"/>
        <w:jc w:val="center"/>
        <w:rPr>
          <w:rFonts w:hint="eastAsia" w:ascii="宋体" w:hAnsi="宋体" w:eastAsia="宋体"/>
          <w:color w:val="auto"/>
          <w:sz w:val="28"/>
          <w:szCs w:val="22"/>
        </w:rPr>
      </w:pPr>
    </w:p>
    <w:p w14:paraId="56749BD3">
      <w:pPr>
        <w:spacing w:line="288" w:lineRule="auto"/>
        <w:jc w:val="center"/>
        <w:rPr>
          <w:rFonts w:ascii="宋体" w:hAnsi="宋体" w:eastAsia="宋体"/>
          <w:b/>
          <w:color w:val="auto"/>
          <w:sz w:val="48"/>
        </w:rPr>
        <w:sectPr>
          <w:headerReference r:id="rId4" w:type="first"/>
          <w:headerReference r:id="rId3" w:type="default"/>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rPr>
        <w:t>202</w:t>
      </w:r>
      <w:r>
        <w:rPr>
          <w:rFonts w:hint="eastAsia" w:ascii="宋体" w:hAnsi="宋体" w:eastAsia="宋体"/>
          <w:color w:val="auto"/>
          <w:sz w:val="28"/>
          <w:szCs w:val="22"/>
          <w:lang w:val="en-US" w:eastAsia="zh-CN"/>
        </w:rPr>
        <w:t>6</w:t>
      </w:r>
      <w:r>
        <w:rPr>
          <w:rFonts w:hint="eastAsia" w:ascii="宋体" w:hAnsi="宋体" w:eastAsia="宋体"/>
          <w:color w:val="auto"/>
          <w:sz w:val="28"/>
          <w:szCs w:val="22"/>
        </w:rPr>
        <w:t>年</w:t>
      </w:r>
      <w:r>
        <w:rPr>
          <w:rFonts w:hint="eastAsia" w:ascii="宋体" w:hAnsi="宋体" w:eastAsia="宋体"/>
          <w:color w:val="auto"/>
          <w:sz w:val="28"/>
          <w:szCs w:val="22"/>
          <w:lang w:val="en-US" w:eastAsia="zh-CN"/>
        </w:rPr>
        <w:t>07</w:t>
      </w:r>
      <w:r>
        <w:rPr>
          <w:rFonts w:hint="eastAsia" w:ascii="宋体" w:hAnsi="宋体" w:eastAsia="宋体"/>
          <w:color w:val="auto"/>
          <w:sz w:val="28"/>
          <w:szCs w:val="22"/>
        </w:rPr>
        <w:t>月</w:t>
      </w:r>
    </w:p>
    <w:p w14:paraId="0BC341F5">
      <w:pPr>
        <w:rPr>
          <w:rFonts w:ascii="宋体" w:hAnsi="宋体" w:eastAsia="宋体" w:cs="宋体"/>
          <w:b/>
          <w:bCs/>
          <w:color w:val="auto"/>
          <w:sz w:val="48"/>
          <w:szCs w:val="48"/>
        </w:rPr>
      </w:pPr>
    </w:p>
    <w:p w14:paraId="1B0B1FAA">
      <w:pPr>
        <w:jc w:val="center"/>
        <w:rPr>
          <w:rFonts w:ascii="宋体" w:hAnsi="宋体" w:eastAsia="宋体" w:cs="宋体"/>
          <w:b/>
          <w:bCs/>
          <w:color w:val="auto"/>
          <w:sz w:val="48"/>
          <w:szCs w:val="48"/>
        </w:rPr>
      </w:pPr>
      <w:r>
        <w:rPr>
          <w:rFonts w:hint="eastAsia" w:ascii="宋体" w:hAnsi="宋体" w:eastAsia="宋体" w:cs="宋体"/>
          <w:b/>
          <w:bCs/>
          <w:color w:val="auto"/>
          <w:sz w:val="48"/>
          <w:szCs w:val="48"/>
        </w:rPr>
        <w:t>目 录</w:t>
      </w:r>
    </w:p>
    <w:p w14:paraId="4AED0C41">
      <w:pPr>
        <w:jc w:val="center"/>
        <w:rPr>
          <w:rFonts w:ascii="宋体" w:hAnsi="宋体" w:eastAsia="宋体" w:cs="宋体"/>
          <w:b/>
          <w:bCs/>
          <w:color w:val="auto"/>
          <w:sz w:val="48"/>
          <w:szCs w:val="48"/>
        </w:rPr>
      </w:pPr>
    </w:p>
    <w:p w14:paraId="2CD9F35E">
      <w:pPr>
        <w:pStyle w:val="31"/>
        <w:tabs>
          <w:tab w:val="right" w:leader="dot" w:pos="9185"/>
        </w:tabs>
        <w:spacing w:line="360" w:lineRule="auto"/>
        <w:rPr>
          <w:rFonts w:ascii="宋体" w:hAnsi="宋体" w:cs="宋体"/>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color w:val="auto"/>
        </w:rPr>
        <w:fldChar w:fldCharType="begin"/>
      </w:r>
      <w:r>
        <w:rPr>
          <w:color w:val="auto"/>
        </w:rPr>
        <w:instrText xml:space="preserve"> HYPERLINK \l "_Toc5497" </w:instrText>
      </w:r>
      <w:r>
        <w:rPr>
          <w:color w:val="auto"/>
        </w:rPr>
        <w:fldChar w:fldCharType="separate"/>
      </w:r>
      <w:r>
        <w:rPr>
          <w:rFonts w:hint="eastAsia" w:ascii="宋体" w:hAnsi="宋体" w:cs="宋体"/>
          <w:color w:val="auto"/>
          <w:sz w:val="28"/>
          <w:szCs w:val="28"/>
        </w:rPr>
        <w:t>投标须知前附表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_Toc5497 </w:instrText>
      </w:r>
      <w:r>
        <w:rPr>
          <w:rFonts w:hint="eastAsia" w:ascii="宋体" w:hAnsi="宋体" w:cs="宋体"/>
          <w:color w:val="auto"/>
          <w:sz w:val="28"/>
          <w:szCs w:val="28"/>
        </w:rPr>
        <w:fldChar w:fldCharType="separate"/>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19264EA">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"_Toc9614" </w:instrText>
      </w:r>
      <w:r>
        <w:rPr>
          <w:color w:val="auto"/>
        </w:rPr>
        <w:fldChar w:fldCharType="separate"/>
      </w:r>
      <w:r>
        <w:rPr>
          <w:rFonts w:hint="eastAsia" w:ascii="宋体" w:hAnsi="宋体" w:cs="宋体"/>
          <w:color w:val="auto"/>
          <w:sz w:val="28"/>
          <w:szCs w:val="28"/>
        </w:rPr>
        <w:t>第一章  投标须知</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_Toc9614 </w:instrText>
      </w:r>
      <w:r>
        <w:rPr>
          <w:rFonts w:hint="eastAsia" w:ascii="宋体" w:hAnsi="宋体" w:cs="宋体"/>
          <w:color w:val="auto"/>
          <w:sz w:val="28"/>
          <w:szCs w:val="28"/>
        </w:rPr>
        <w:fldChar w:fldCharType="separate"/>
      </w:r>
      <w:r>
        <w:rPr>
          <w:rFonts w:hint="eastAsia" w:ascii="宋体" w:hAnsi="宋体" w:cs="宋体"/>
          <w:color w:val="auto"/>
          <w:sz w:val="28"/>
          <w:szCs w:val="28"/>
        </w:rPr>
        <w:t>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6572E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"_Toc20217" </w:instrText>
      </w:r>
      <w:r>
        <w:rPr>
          <w:color w:val="auto"/>
        </w:rPr>
        <w:fldChar w:fldCharType="separate"/>
      </w:r>
      <w:r>
        <w:rPr>
          <w:rFonts w:hint="eastAsia" w:ascii="宋体" w:hAnsi="宋体" w:cs="宋体"/>
          <w:color w:val="auto"/>
          <w:sz w:val="28"/>
          <w:szCs w:val="28"/>
        </w:rPr>
        <w:t>第二章  评标办法</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_Toc20217 </w:instrText>
      </w:r>
      <w:r>
        <w:rPr>
          <w:rFonts w:hint="eastAsia" w:ascii="宋体" w:hAnsi="宋体" w:cs="宋体"/>
          <w:color w:val="auto"/>
          <w:sz w:val="28"/>
          <w:szCs w:val="28"/>
        </w:rPr>
        <w:fldChar w:fldCharType="separate"/>
      </w:r>
      <w:r>
        <w:rPr>
          <w:rFonts w:hint="eastAsia" w:ascii="宋体" w:hAnsi="宋体" w:cs="宋体"/>
          <w:color w:val="auto"/>
          <w:sz w:val="28"/>
          <w:szCs w:val="28"/>
        </w:rPr>
        <w:t>14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F31BCB1">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"_Toc26088" </w:instrText>
      </w:r>
      <w:r>
        <w:rPr>
          <w:color w:val="auto"/>
        </w:rPr>
        <w:fldChar w:fldCharType="separate"/>
      </w:r>
      <w:r>
        <w:rPr>
          <w:rFonts w:hint="eastAsia" w:ascii="宋体" w:hAnsi="宋体" w:cs="宋体"/>
          <w:color w:val="auto"/>
          <w:sz w:val="28"/>
          <w:szCs w:val="28"/>
        </w:rPr>
        <w:t>第三章  合同条款</w:t>
      </w:r>
      <w:r>
        <w:rPr>
          <w:rFonts w:hint="eastAsia" w:ascii="宋体" w:hAnsi="宋体" w:cs="宋体"/>
          <w:color w:val="auto"/>
          <w:sz w:val="28"/>
          <w:szCs w:val="28"/>
        </w:rPr>
        <w:tab/>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t>3</w:t>
      </w:r>
    </w:p>
    <w:p w14:paraId="63DDAF6C">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"_Toc18169" </w:instrText>
      </w:r>
      <w:r>
        <w:rPr>
          <w:color w:val="auto"/>
        </w:rPr>
        <w:fldChar w:fldCharType="separate"/>
      </w:r>
      <w:r>
        <w:rPr>
          <w:rFonts w:hint="eastAsia" w:ascii="宋体" w:hAnsi="宋体" w:cs="宋体"/>
          <w:color w:val="auto"/>
          <w:sz w:val="28"/>
          <w:szCs w:val="28"/>
        </w:rPr>
        <w:t>第五部分  工程建设项目廉政责任书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_Toc18169 </w:instrText>
      </w:r>
      <w:r>
        <w:rPr>
          <w:rFonts w:hint="eastAsia" w:ascii="宋体" w:hAnsi="宋体" w:cs="宋体"/>
          <w:color w:val="auto"/>
          <w:sz w:val="28"/>
          <w:szCs w:val="28"/>
        </w:rPr>
        <w:fldChar w:fldCharType="separate"/>
      </w:r>
      <w:r>
        <w:rPr>
          <w:rFonts w:hint="eastAsia" w:ascii="宋体" w:hAnsi="宋体" w:cs="宋体"/>
          <w:color w:val="auto"/>
          <w:sz w:val="28"/>
          <w:szCs w:val="28"/>
        </w:rPr>
        <w:t>48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C9A5DA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"_Toc21472" </w:instrText>
      </w:r>
      <w:r>
        <w:rPr>
          <w:color w:val="auto"/>
        </w:rPr>
        <w:fldChar w:fldCharType="separate"/>
      </w:r>
      <w:r>
        <w:rPr>
          <w:rFonts w:hint="eastAsia" w:ascii="宋体" w:hAnsi="宋体" w:cs="宋体"/>
          <w:color w:val="auto"/>
          <w:sz w:val="28"/>
          <w:szCs w:val="28"/>
        </w:rPr>
        <w:t>第四章 投标文件格式</w:t>
      </w:r>
      <w:r>
        <w:rPr>
          <w:rFonts w:hint="eastAsia" w:ascii="宋体" w:hAnsi="宋体" w:cs="宋体"/>
          <w:color w:val="auto"/>
          <w:sz w:val="28"/>
          <w:szCs w:val="28"/>
        </w:rPr>
        <w:tab/>
      </w:r>
      <w:r>
        <w:rPr>
          <w:rFonts w:hint="eastAsia" w:ascii="宋体" w:hAnsi="宋体" w:cs="宋体"/>
          <w:color w:val="auto"/>
          <w:sz w:val="28"/>
          <w:szCs w:val="28"/>
        </w:rPr>
        <w:t>4</w:t>
      </w:r>
      <w:r>
        <w:rPr>
          <w:rFonts w:hint="eastAsia" w:ascii="宋体" w:hAnsi="宋体" w:cs="宋体"/>
          <w:color w:val="auto"/>
          <w:sz w:val="28"/>
          <w:szCs w:val="28"/>
        </w:rPr>
        <w:fldChar w:fldCharType="end"/>
      </w:r>
      <w:r>
        <w:rPr>
          <w:rFonts w:hint="eastAsia" w:ascii="宋体" w:hAnsi="宋体" w:cs="宋体"/>
          <w:color w:val="auto"/>
          <w:sz w:val="28"/>
          <w:szCs w:val="28"/>
        </w:rPr>
        <w:t>7</w:t>
      </w:r>
    </w:p>
    <w:p w14:paraId="7C5C4A7E">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"_Toc30668" </w:instrText>
      </w:r>
      <w:r>
        <w:rPr>
          <w:color w:val="auto"/>
        </w:rPr>
        <w:fldChar w:fldCharType="separate"/>
      </w:r>
      <w:r>
        <w:rPr>
          <w:rFonts w:hint="eastAsia" w:ascii="宋体" w:hAnsi="宋体" w:cs="宋体"/>
          <w:color w:val="auto"/>
          <w:sz w:val="28"/>
          <w:szCs w:val="28"/>
        </w:rPr>
        <w:t>附件一：投标函</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_Toc30668 </w:instrText>
      </w:r>
      <w:r>
        <w:rPr>
          <w:rFonts w:hint="eastAsia" w:ascii="宋体" w:hAnsi="宋体" w:cs="宋体"/>
          <w:color w:val="auto"/>
          <w:sz w:val="28"/>
          <w:szCs w:val="28"/>
        </w:rPr>
        <w:fldChar w:fldCharType="separate"/>
      </w:r>
      <w:r>
        <w:rPr>
          <w:rFonts w:hint="eastAsia" w:ascii="宋体" w:hAnsi="宋体" w:cs="宋体"/>
          <w:color w:val="auto"/>
          <w:sz w:val="28"/>
          <w:szCs w:val="28"/>
        </w:rPr>
        <w:t>51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7BA85D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"_Toc23377" </w:instrText>
      </w:r>
      <w:r>
        <w:rPr>
          <w:color w:val="auto"/>
        </w:rPr>
        <w:fldChar w:fldCharType="separate"/>
      </w:r>
      <w:r>
        <w:rPr>
          <w:rFonts w:hint="eastAsia" w:ascii="宋体" w:hAnsi="宋体" w:cs="宋体"/>
          <w:color w:val="auto"/>
          <w:sz w:val="28"/>
          <w:szCs w:val="28"/>
        </w:rPr>
        <w:t>附件二：临海市建设工程安全生产任职资格承诺书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_Toc23377 </w:instrText>
      </w:r>
      <w:r>
        <w:rPr>
          <w:rFonts w:hint="eastAsia" w:ascii="宋体" w:hAnsi="宋体" w:cs="宋体"/>
          <w:color w:val="auto"/>
          <w:sz w:val="28"/>
          <w:szCs w:val="28"/>
        </w:rPr>
        <w:fldChar w:fldCharType="separate"/>
      </w:r>
      <w:r>
        <w:rPr>
          <w:rFonts w:hint="eastAsia" w:ascii="宋体" w:hAnsi="宋体" w:cs="宋体"/>
          <w:color w:val="auto"/>
          <w:sz w:val="28"/>
          <w:szCs w:val="28"/>
        </w:rPr>
        <w:t>52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97709D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"_Toc30036" </w:instrText>
      </w:r>
      <w:r>
        <w:rPr>
          <w:color w:val="auto"/>
        </w:rPr>
        <w:fldChar w:fldCharType="separate"/>
      </w:r>
      <w:r>
        <w:rPr>
          <w:rFonts w:hint="eastAsia" w:ascii="宋体" w:hAnsi="宋体" w:cs="宋体"/>
          <w:color w:val="auto"/>
          <w:sz w:val="28"/>
          <w:szCs w:val="28"/>
        </w:rPr>
        <w:t>附件三：项目负责人简历表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_Toc30036 </w:instrText>
      </w:r>
      <w:r>
        <w:rPr>
          <w:rFonts w:hint="eastAsia" w:ascii="宋体" w:hAnsi="宋体" w:cs="宋体"/>
          <w:color w:val="auto"/>
          <w:sz w:val="28"/>
          <w:szCs w:val="28"/>
        </w:rPr>
        <w:fldChar w:fldCharType="separate"/>
      </w:r>
      <w:r>
        <w:rPr>
          <w:rFonts w:hint="eastAsia" w:ascii="宋体" w:hAnsi="宋体" w:cs="宋体"/>
          <w:color w:val="auto"/>
          <w:sz w:val="28"/>
          <w:szCs w:val="28"/>
        </w:rPr>
        <w:t>53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03D186D">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"_Toc581" </w:instrText>
      </w:r>
      <w:r>
        <w:rPr>
          <w:color w:val="auto"/>
        </w:rPr>
        <w:fldChar w:fldCharType="separate"/>
      </w:r>
      <w:r>
        <w:rPr>
          <w:rFonts w:hint="eastAsia" w:ascii="宋体" w:hAnsi="宋体" w:cs="宋体"/>
          <w:color w:val="auto"/>
          <w:sz w:val="28"/>
          <w:szCs w:val="28"/>
        </w:rPr>
        <w:t>附件四：技术负责人简历表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_Toc581 </w:instrText>
      </w:r>
      <w:r>
        <w:rPr>
          <w:rFonts w:hint="eastAsia" w:ascii="宋体" w:hAnsi="宋体" w:cs="宋体"/>
          <w:color w:val="auto"/>
          <w:sz w:val="28"/>
          <w:szCs w:val="28"/>
        </w:rPr>
        <w:fldChar w:fldCharType="separate"/>
      </w:r>
      <w:r>
        <w:rPr>
          <w:rFonts w:hint="eastAsia" w:ascii="宋体" w:hAnsi="宋体" w:cs="宋体"/>
          <w:color w:val="auto"/>
          <w:sz w:val="28"/>
          <w:szCs w:val="28"/>
        </w:rPr>
        <w:t>54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479FE44">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"_Toc4216" </w:instrText>
      </w:r>
      <w:r>
        <w:rPr>
          <w:color w:val="auto"/>
        </w:rPr>
        <w:fldChar w:fldCharType="separate"/>
      </w:r>
      <w:r>
        <w:rPr>
          <w:rFonts w:hint="eastAsia" w:ascii="宋体" w:hAnsi="宋体" w:cs="宋体"/>
          <w:color w:val="auto"/>
          <w:sz w:val="28"/>
          <w:szCs w:val="28"/>
        </w:rPr>
        <w:t>附件五：项目负责人在建项目承诺书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_Toc4216 </w:instrText>
      </w:r>
      <w:r>
        <w:rPr>
          <w:rFonts w:hint="eastAsia" w:ascii="宋体" w:hAnsi="宋体" w:cs="宋体"/>
          <w:color w:val="auto"/>
          <w:sz w:val="28"/>
          <w:szCs w:val="28"/>
        </w:rPr>
        <w:fldChar w:fldCharType="separate"/>
      </w:r>
      <w:r>
        <w:rPr>
          <w:rFonts w:hint="eastAsia" w:ascii="宋体" w:hAnsi="宋体" w:cs="宋体"/>
          <w:color w:val="auto"/>
          <w:sz w:val="28"/>
          <w:szCs w:val="28"/>
        </w:rPr>
        <w:t>55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2198C408">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"_Toc13566" </w:instrText>
      </w:r>
      <w:r>
        <w:rPr>
          <w:color w:val="auto"/>
        </w:rPr>
        <w:fldChar w:fldCharType="separate"/>
      </w:r>
      <w:r>
        <w:rPr>
          <w:rFonts w:hint="eastAsia" w:ascii="宋体" w:hAnsi="宋体" w:cs="宋体"/>
          <w:color w:val="auto"/>
          <w:sz w:val="28"/>
          <w:szCs w:val="28"/>
        </w:rPr>
        <w:t>附件六：主要施工机械设备表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_Toc13566 </w:instrText>
      </w:r>
      <w:r>
        <w:rPr>
          <w:rFonts w:hint="eastAsia" w:ascii="宋体" w:hAnsi="宋体" w:cs="宋体"/>
          <w:color w:val="auto"/>
          <w:sz w:val="28"/>
          <w:szCs w:val="28"/>
        </w:rPr>
        <w:fldChar w:fldCharType="separate"/>
      </w:r>
      <w:r>
        <w:rPr>
          <w:rFonts w:hint="eastAsia" w:ascii="宋体" w:hAnsi="宋体" w:cs="宋体"/>
          <w:color w:val="auto"/>
          <w:sz w:val="28"/>
          <w:szCs w:val="28"/>
        </w:rPr>
        <w:t>56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0F238295">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"_Toc20350" </w:instrText>
      </w:r>
      <w:r>
        <w:rPr>
          <w:color w:val="auto"/>
        </w:rPr>
        <w:fldChar w:fldCharType="separate"/>
      </w:r>
      <w:r>
        <w:rPr>
          <w:rFonts w:hint="eastAsia" w:ascii="宋体" w:hAnsi="宋体" w:cs="宋体"/>
          <w:color w:val="auto"/>
          <w:sz w:val="28"/>
          <w:szCs w:val="28"/>
        </w:rPr>
        <w:t>附件七：临海市建设工程诚信投标承诺书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_Toc20350 </w:instrText>
      </w:r>
      <w:r>
        <w:rPr>
          <w:rFonts w:hint="eastAsia" w:ascii="宋体" w:hAnsi="宋体" w:cs="宋体"/>
          <w:color w:val="auto"/>
          <w:sz w:val="28"/>
          <w:szCs w:val="28"/>
        </w:rPr>
        <w:fldChar w:fldCharType="separate"/>
      </w:r>
      <w:r>
        <w:rPr>
          <w:rFonts w:hint="eastAsia" w:ascii="宋体" w:hAnsi="宋体" w:cs="宋体"/>
          <w:color w:val="auto"/>
          <w:sz w:val="28"/>
          <w:szCs w:val="28"/>
        </w:rPr>
        <w:t>57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DE98B9">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"_Toc18290" </w:instrText>
      </w:r>
      <w:r>
        <w:rPr>
          <w:color w:val="auto"/>
        </w:rPr>
        <w:fldChar w:fldCharType="separate"/>
      </w:r>
      <w:r>
        <w:rPr>
          <w:rFonts w:hint="eastAsia" w:ascii="宋体" w:hAnsi="宋体" w:cs="宋体"/>
          <w:color w:val="auto"/>
          <w:sz w:val="28"/>
          <w:szCs w:val="28"/>
        </w:rPr>
        <w:t>附件八：法定代表人授权委托书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_Toc18290 </w:instrText>
      </w:r>
      <w:r>
        <w:rPr>
          <w:rFonts w:hint="eastAsia" w:ascii="宋体" w:hAnsi="宋体" w:cs="宋体"/>
          <w:color w:val="auto"/>
          <w:sz w:val="28"/>
          <w:szCs w:val="28"/>
        </w:rPr>
        <w:fldChar w:fldCharType="separate"/>
      </w:r>
      <w:r>
        <w:rPr>
          <w:rFonts w:hint="eastAsia" w:ascii="宋体" w:hAnsi="宋体" w:cs="宋体"/>
          <w:color w:val="auto"/>
          <w:sz w:val="28"/>
          <w:szCs w:val="28"/>
        </w:rPr>
        <w:t>58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F50A750">
      <w:pPr>
        <w:pStyle w:val="31"/>
        <w:tabs>
          <w:tab w:val="right" w:leader="dot" w:pos="9185"/>
        </w:tabs>
        <w:spacing w:line="360" w:lineRule="auto"/>
        <w:rPr>
          <w:rFonts w:ascii="宋体" w:hAnsi="宋体" w:cs="宋体"/>
          <w:color w:val="auto"/>
          <w:sz w:val="28"/>
          <w:szCs w:val="28"/>
        </w:rPr>
        <w:sectPr>
          <w:headerReference r:id="rId5" w:type="default"/>
          <w:footerReference r:id="rId6"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rPr>
        <w:t>附</w:t>
      </w:r>
      <w:r>
        <w:rPr>
          <w:rFonts w:hint="eastAsia" w:ascii="宋体" w:hAnsi="宋体" w:cs="宋体"/>
          <w:color w:val="auto"/>
          <w:sz w:val="28"/>
          <w:szCs w:val="28"/>
        </w:rPr>
        <w:fldChar w:fldCharType="end"/>
      </w:r>
      <w:r>
        <w:rPr>
          <w:rFonts w:hint="eastAsia" w:ascii="宋体" w:hAnsi="宋体" w:cs="宋体"/>
          <w:color w:val="auto"/>
          <w:sz w:val="28"/>
          <w:szCs w:val="28"/>
        </w:rPr>
        <w:t>件九：法定代表人身份证明</w:t>
      </w:r>
      <w:r>
        <w:rPr>
          <w:rFonts w:hint="eastAsia" w:ascii="宋体" w:hAnsi="宋体" w:cs="宋体"/>
          <w:color w:val="auto"/>
          <w:sz w:val="28"/>
          <w:szCs w:val="28"/>
        </w:rPr>
        <w:tab/>
      </w:r>
      <w:r>
        <w:rPr>
          <w:rFonts w:hint="eastAsia" w:ascii="宋体" w:hAnsi="宋体" w:cs="宋体"/>
          <w:color w:val="auto"/>
          <w:sz w:val="28"/>
          <w:szCs w:val="28"/>
        </w:rPr>
        <w:t>56</w:t>
      </w:r>
    </w:p>
    <w:p w14:paraId="31C5D38C">
      <w:pPr>
        <w:keepNext/>
        <w:keepLines/>
        <w:spacing w:before="120" w:after="120"/>
        <w:jc w:val="center"/>
        <w:outlineLvl w:val="0"/>
        <w:rPr>
          <w:rFonts w:ascii="黑体" w:hAnsi="黑体" w:eastAsia="黑体"/>
          <w:b/>
          <w:color w:val="auto"/>
          <w:kern w:val="44"/>
          <w:sz w:val="30"/>
        </w:rPr>
      </w:pPr>
      <w:bookmarkStart w:id="0" w:name="_Toc22713"/>
      <w:bookmarkStart w:id="1" w:name="_Toc1787"/>
      <w:bookmarkStart w:id="2" w:name="_Toc5497"/>
      <w:bookmarkStart w:id="3" w:name="_Toc386121751"/>
      <w:bookmarkStart w:id="4" w:name="_Toc500209421"/>
      <w:bookmarkStart w:id="5" w:name="_Toc386121562"/>
      <w:bookmarkStart w:id="6" w:name="_Toc500208499"/>
      <w:r>
        <w:rPr>
          <w:rFonts w:hint="eastAsia" w:ascii="黑体" w:hAnsi="黑体" w:eastAsia="黑体"/>
          <w:b/>
          <w:color w:val="auto"/>
          <w:kern w:val="44"/>
          <w:sz w:val="30"/>
        </w:rPr>
        <w:t>投标须知</w:t>
      </w:r>
      <w:bookmarkStart w:id="7" w:name="_Toc1731"/>
      <w:r>
        <w:rPr>
          <w:rFonts w:hint="eastAsia" w:ascii="黑体" w:hAnsi="黑体" w:eastAsia="黑体"/>
          <w:b/>
          <w:color w:val="auto"/>
          <w:kern w:val="44"/>
          <w:sz w:val="30"/>
        </w:rPr>
        <w:t>前附表</w:t>
      </w:r>
      <w:bookmarkEnd w:id="0"/>
      <w:bookmarkEnd w:id="1"/>
      <w:bookmarkEnd w:id="2"/>
      <w:bookmarkEnd w:id="7"/>
    </w:p>
    <w:tbl>
      <w:tblPr>
        <w:tblStyle w:val="23"/>
        <w:tblW w:w="91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858"/>
        <w:gridCol w:w="1717"/>
        <w:gridCol w:w="5903"/>
      </w:tblGrid>
      <w:tr w14:paraId="5319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80" w:type="dxa"/>
            <w:vAlign w:val="center"/>
          </w:tcPr>
          <w:p w14:paraId="7C419F54">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58" w:type="dxa"/>
            <w:vAlign w:val="center"/>
          </w:tcPr>
          <w:p w14:paraId="4C0260FC">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17" w:type="dxa"/>
            <w:vAlign w:val="center"/>
          </w:tcPr>
          <w:p w14:paraId="704485E2">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03" w:type="dxa"/>
            <w:vAlign w:val="center"/>
          </w:tcPr>
          <w:p w14:paraId="535C7B2C">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1E13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680" w:type="dxa"/>
            <w:tcBorders>
              <w:bottom w:val="single" w:color="auto" w:sz="4" w:space="0"/>
            </w:tcBorders>
            <w:vAlign w:val="center"/>
          </w:tcPr>
          <w:p w14:paraId="0078CEF7">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58" w:type="dxa"/>
            <w:tcBorders>
              <w:bottom w:val="single" w:color="auto" w:sz="4" w:space="0"/>
            </w:tcBorders>
            <w:vAlign w:val="center"/>
          </w:tcPr>
          <w:p w14:paraId="7F0824BB">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2B89CE8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03" w:type="dxa"/>
            <w:tcBorders>
              <w:bottom w:val="single" w:color="auto" w:sz="4" w:space="0"/>
            </w:tcBorders>
            <w:vAlign w:val="center"/>
          </w:tcPr>
          <w:p w14:paraId="4E00393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临海市第六中学心理辅导站及污水管道改造工程</w:t>
            </w:r>
          </w:p>
        </w:tc>
      </w:tr>
      <w:tr w14:paraId="3BE4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trPr>
        <w:tc>
          <w:tcPr>
            <w:tcW w:w="680" w:type="dxa"/>
            <w:tcBorders>
              <w:bottom w:val="single" w:color="auto" w:sz="4" w:space="0"/>
            </w:tcBorders>
            <w:vAlign w:val="center"/>
          </w:tcPr>
          <w:p w14:paraId="38D85314">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58" w:type="dxa"/>
            <w:tcBorders>
              <w:bottom w:val="single" w:color="auto" w:sz="4" w:space="0"/>
            </w:tcBorders>
            <w:vAlign w:val="center"/>
          </w:tcPr>
          <w:p w14:paraId="380B973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0D86A4A5">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03" w:type="dxa"/>
            <w:tcBorders>
              <w:bottom w:val="single" w:color="auto" w:sz="4" w:space="0"/>
            </w:tcBorders>
            <w:vAlign w:val="center"/>
          </w:tcPr>
          <w:p w14:paraId="7102E6DF">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临海市第六中学内</w:t>
            </w:r>
          </w:p>
        </w:tc>
      </w:tr>
      <w:tr w14:paraId="553F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trPr>
        <w:tc>
          <w:tcPr>
            <w:tcW w:w="680" w:type="dxa"/>
            <w:tcBorders>
              <w:bottom w:val="single" w:color="auto" w:sz="4" w:space="0"/>
            </w:tcBorders>
            <w:vAlign w:val="center"/>
          </w:tcPr>
          <w:p w14:paraId="4FF7FDB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58" w:type="dxa"/>
            <w:tcBorders>
              <w:bottom w:val="single" w:color="auto" w:sz="4" w:space="0"/>
            </w:tcBorders>
            <w:vAlign w:val="center"/>
          </w:tcPr>
          <w:p w14:paraId="3962B47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6C825FE9">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03" w:type="dxa"/>
            <w:tcBorders>
              <w:bottom w:val="single" w:color="auto" w:sz="4" w:space="0"/>
            </w:tcBorders>
            <w:vAlign w:val="center"/>
          </w:tcPr>
          <w:p w14:paraId="325CF476">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本工程主要为室外排水管改造及路面修复等，具体详见图纸。</w:t>
            </w:r>
          </w:p>
        </w:tc>
      </w:tr>
      <w:tr w14:paraId="56FD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680" w:type="dxa"/>
            <w:tcBorders>
              <w:bottom w:val="single" w:color="auto" w:sz="4" w:space="0"/>
            </w:tcBorders>
            <w:vAlign w:val="center"/>
          </w:tcPr>
          <w:p w14:paraId="3F6259BC">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58" w:type="dxa"/>
            <w:tcBorders>
              <w:bottom w:val="single" w:color="auto" w:sz="4" w:space="0"/>
            </w:tcBorders>
            <w:vAlign w:val="center"/>
          </w:tcPr>
          <w:p w14:paraId="30A6DAA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40AE73A0">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03" w:type="dxa"/>
            <w:tcBorders>
              <w:bottom w:val="single" w:color="auto" w:sz="4" w:space="0"/>
            </w:tcBorders>
            <w:vAlign w:val="center"/>
          </w:tcPr>
          <w:p w14:paraId="3798F02A">
            <w:pPr>
              <w:widowControl/>
              <w:jc w:val="left"/>
              <w:rPr>
                <w:rFonts w:hint="eastAsia" w:ascii="宋体" w:hAnsi="宋体" w:eastAsia="宋体" w:cs="Times New Roman"/>
                <w:color w:val="FF0000"/>
                <w:sz w:val="21"/>
                <w:highlight w:val="none"/>
                <w:lang w:eastAsia="zh-CN"/>
              </w:rPr>
            </w:pPr>
            <w:r>
              <w:rPr>
                <w:rFonts w:hint="eastAsia" w:ascii="宋体" w:hAnsi="宋体" w:eastAsia="宋体" w:cs="Times New Roman"/>
                <w:color w:val="auto"/>
                <w:sz w:val="21"/>
                <w:highlight w:val="none"/>
                <w:lang w:val="en-US" w:eastAsia="zh-CN"/>
              </w:rPr>
              <w:t>500066</w:t>
            </w:r>
            <w:r>
              <w:rPr>
                <w:rFonts w:hint="eastAsia" w:ascii="宋体" w:hAnsi="宋体" w:eastAsia="宋体" w:cs="Times New Roman"/>
                <w:color w:val="auto"/>
                <w:sz w:val="21"/>
                <w:highlight w:val="none"/>
                <w:lang w:eastAsia="zh-CN"/>
              </w:rPr>
              <w:t>元（详见预算书）</w:t>
            </w:r>
          </w:p>
        </w:tc>
      </w:tr>
      <w:tr w14:paraId="2A48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rPr>
        <w:tc>
          <w:tcPr>
            <w:tcW w:w="680" w:type="dxa"/>
            <w:tcBorders>
              <w:bottom w:val="single" w:color="auto" w:sz="4" w:space="0"/>
            </w:tcBorders>
            <w:vAlign w:val="center"/>
          </w:tcPr>
          <w:p w14:paraId="559842E5">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58" w:type="dxa"/>
            <w:tcBorders>
              <w:bottom w:val="single" w:color="auto" w:sz="4" w:space="0"/>
            </w:tcBorders>
            <w:vAlign w:val="center"/>
          </w:tcPr>
          <w:p w14:paraId="25C96B9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6B36A25A">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03" w:type="dxa"/>
            <w:tcBorders>
              <w:bottom w:val="single" w:color="auto" w:sz="4" w:space="0"/>
            </w:tcBorders>
            <w:vAlign w:val="center"/>
          </w:tcPr>
          <w:p w14:paraId="0331998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125E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8" w:hRule="atLeast"/>
        </w:trPr>
        <w:tc>
          <w:tcPr>
            <w:tcW w:w="680" w:type="dxa"/>
            <w:tcBorders>
              <w:bottom w:val="single" w:color="auto" w:sz="4" w:space="0"/>
            </w:tcBorders>
            <w:vAlign w:val="center"/>
          </w:tcPr>
          <w:p w14:paraId="0287C0D9">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58" w:type="dxa"/>
            <w:tcBorders>
              <w:bottom w:val="single" w:color="auto" w:sz="4" w:space="0"/>
            </w:tcBorders>
            <w:vAlign w:val="center"/>
          </w:tcPr>
          <w:p w14:paraId="6C2EC36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7E297519">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03" w:type="dxa"/>
            <w:tcBorders>
              <w:bottom w:val="single" w:color="auto" w:sz="4" w:space="0"/>
            </w:tcBorders>
            <w:vAlign w:val="center"/>
          </w:tcPr>
          <w:p w14:paraId="7177D63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F8F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trPr>
        <w:tc>
          <w:tcPr>
            <w:tcW w:w="680" w:type="dxa"/>
            <w:tcBorders>
              <w:bottom w:val="single" w:color="auto" w:sz="4" w:space="0"/>
            </w:tcBorders>
            <w:vAlign w:val="center"/>
          </w:tcPr>
          <w:p w14:paraId="21E71C8C">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58" w:type="dxa"/>
            <w:tcBorders>
              <w:bottom w:val="single" w:color="auto" w:sz="4" w:space="0"/>
            </w:tcBorders>
            <w:vAlign w:val="center"/>
          </w:tcPr>
          <w:p w14:paraId="359BA12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70AB4E0B">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03" w:type="dxa"/>
            <w:tcBorders>
              <w:bottom w:val="single" w:color="auto" w:sz="4" w:space="0"/>
            </w:tcBorders>
            <w:vAlign w:val="center"/>
          </w:tcPr>
          <w:p w14:paraId="5705ED20">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25</w:t>
            </w:r>
            <w:r>
              <w:rPr>
                <w:rFonts w:hint="eastAsia" w:ascii="宋体" w:hAnsi="宋体" w:eastAsia="宋体"/>
                <w:color w:val="auto"/>
                <w:sz w:val="21"/>
                <w:highlight w:val="none"/>
              </w:rPr>
              <w:t>日历天</w:t>
            </w:r>
          </w:p>
        </w:tc>
      </w:tr>
      <w:tr w14:paraId="4902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80" w:type="dxa"/>
            <w:vAlign w:val="center"/>
          </w:tcPr>
          <w:p w14:paraId="4AE61686">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58" w:type="dxa"/>
            <w:vAlign w:val="center"/>
          </w:tcPr>
          <w:p w14:paraId="2D63997B">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17" w:type="dxa"/>
            <w:vAlign w:val="center"/>
          </w:tcPr>
          <w:p w14:paraId="496D6E20">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03" w:type="dxa"/>
            <w:vAlign w:val="center"/>
          </w:tcPr>
          <w:p w14:paraId="09D33982">
            <w:pPr>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公开招标</w:t>
            </w:r>
          </w:p>
        </w:tc>
      </w:tr>
      <w:tr w14:paraId="73A7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trPr>
        <w:tc>
          <w:tcPr>
            <w:tcW w:w="680" w:type="dxa"/>
            <w:tcBorders>
              <w:bottom w:val="single" w:color="auto" w:sz="4" w:space="0"/>
            </w:tcBorders>
            <w:vAlign w:val="center"/>
          </w:tcPr>
          <w:p w14:paraId="5F0DB5FB">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58" w:type="dxa"/>
            <w:tcBorders>
              <w:bottom w:val="single" w:color="auto" w:sz="4" w:space="0"/>
            </w:tcBorders>
            <w:vAlign w:val="center"/>
          </w:tcPr>
          <w:p w14:paraId="04C9711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17" w:type="dxa"/>
            <w:tcBorders>
              <w:bottom w:val="single" w:color="auto" w:sz="4" w:space="0"/>
            </w:tcBorders>
            <w:vAlign w:val="center"/>
          </w:tcPr>
          <w:p w14:paraId="186490F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03" w:type="dxa"/>
            <w:tcBorders>
              <w:bottom w:val="single" w:color="auto" w:sz="4" w:space="0"/>
            </w:tcBorders>
            <w:vAlign w:val="center"/>
          </w:tcPr>
          <w:p w14:paraId="7FE8B0F9">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临海市第六中学心理辅导站及污水管道改造工程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0F50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80" w:type="dxa"/>
            <w:tcBorders>
              <w:bottom w:val="single" w:color="auto" w:sz="4" w:space="0"/>
            </w:tcBorders>
            <w:vAlign w:val="center"/>
          </w:tcPr>
          <w:p w14:paraId="1200540A">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58" w:type="dxa"/>
            <w:tcBorders>
              <w:bottom w:val="single" w:color="auto" w:sz="4" w:space="0"/>
            </w:tcBorders>
            <w:vAlign w:val="center"/>
          </w:tcPr>
          <w:p w14:paraId="52DAC3EC">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17" w:type="dxa"/>
            <w:tcBorders>
              <w:bottom w:val="single" w:color="auto" w:sz="4" w:space="0"/>
            </w:tcBorders>
            <w:vAlign w:val="center"/>
          </w:tcPr>
          <w:p w14:paraId="766874E1">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03" w:type="dxa"/>
            <w:tcBorders>
              <w:bottom w:val="single" w:color="auto" w:sz="4" w:space="0"/>
            </w:tcBorders>
            <w:vAlign w:val="center"/>
          </w:tcPr>
          <w:p w14:paraId="346A465E">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 xml:space="preserve">财政拨款 </w:t>
            </w:r>
          </w:p>
        </w:tc>
      </w:tr>
      <w:tr w14:paraId="71F7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trPr>
        <w:tc>
          <w:tcPr>
            <w:tcW w:w="680" w:type="dxa"/>
            <w:tcBorders>
              <w:bottom w:val="single" w:color="auto" w:sz="4" w:space="0"/>
            </w:tcBorders>
            <w:vAlign w:val="center"/>
          </w:tcPr>
          <w:p w14:paraId="1E27510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58" w:type="dxa"/>
            <w:tcBorders>
              <w:bottom w:val="single" w:color="auto" w:sz="4" w:space="0"/>
            </w:tcBorders>
            <w:vAlign w:val="center"/>
          </w:tcPr>
          <w:p w14:paraId="19742819">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17" w:type="dxa"/>
            <w:tcBorders>
              <w:bottom w:val="single" w:color="auto" w:sz="4" w:space="0"/>
            </w:tcBorders>
            <w:vAlign w:val="center"/>
          </w:tcPr>
          <w:p w14:paraId="77B1EC8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03" w:type="dxa"/>
            <w:tcBorders>
              <w:bottom w:val="single" w:color="auto" w:sz="4" w:space="0"/>
            </w:tcBorders>
            <w:vAlign w:val="center"/>
          </w:tcPr>
          <w:p w14:paraId="147FA480">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全国范围内市政公用工程施工总承包三级及以上资质；</w:t>
            </w:r>
          </w:p>
        </w:tc>
      </w:tr>
      <w:tr w14:paraId="2AF7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80" w:type="dxa"/>
            <w:vAlign w:val="center"/>
          </w:tcPr>
          <w:p w14:paraId="67E40BE6">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58" w:type="dxa"/>
            <w:vAlign w:val="center"/>
          </w:tcPr>
          <w:p w14:paraId="2E59EBBC">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17" w:type="dxa"/>
            <w:vAlign w:val="center"/>
          </w:tcPr>
          <w:p w14:paraId="178B0AA8">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03" w:type="dxa"/>
            <w:vAlign w:val="center"/>
          </w:tcPr>
          <w:p w14:paraId="77E91438">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注册建造师（</w:t>
            </w:r>
            <w:r>
              <w:rPr>
                <w:rFonts w:hint="eastAsia" w:ascii="宋体" w:hAnsi="宋体" w:eastAsia="宋体"/>
                <w:color w:val="000000" w:themeColor="text1"/>
                <w:sz w:val="21"/>
                <w:lang w:val="en-US" w:eastAsia="zh-CN"/>
                <w14:textFill>
                  <w14:solidFill>
                    <w14:schemeClr w14:val="tx1"/>
                  </w14:solidFill>
                </w14:textFill>
              </w:rPr>
              <w:t>市政公用</w:t>
            </w:r>
            <w:r>
              <w:rPr>
                <w:rFonts w:hint="eastAsia" w:ascii="宋体" w:hAnsi="宋体" w:eastAsia="宋体"/>
                <w:color w:val="000000" w:themeColor="text1"/>
                <w:sz w:val="21"/>
                <w14:textFill>
                  <w14:solidFill>
                    <w14:schemeClr w14:val="tx1"/>
                  </w14:solidFill>
                </w14:textFill>
              </w:rPr>
              <w:t>工程）二级及以上；</w:t>
            </w:r>
          </w:p>
        </w:tc>
      </w:tr>
      <w:tr w14:paraId="231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80" w:type="dxa"/>
            <w:vAlign w:val="center"/>
          </w:tcPr>
          <w:p w14:paraId="32A5B89B">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58" w:type="dxa"/>
            <w:vAlign w:val="center"/>
          </w:tcPr>
          <w:p w14:paraId="0C2C8539">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17" w:type="dxa"/>
            <w:vAlign w:val="center"/>
          </w:tcPr>
          <w:p w14:paraId="3655C57B">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03" w:type="dxa"/>
            <w:vAlign w:val="center"/>
          </w:tcPr>
          <w:p w14:paraId="1A1D51C6">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637F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8" w:hRule="atLeast"/>
        </w:trPr>
        <w:tc>
          <w:tcPr>
            <w:tcW w:w="680" w:type="dxa"/>
            <w:vAlign w:val="center"/>
          </w:tcPr>
          <w:p w14:paraId="68CED4B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58" w:type="dxa"/>
            <w:vAlign w:val="center"/>
          </w:tcPr>
          <w:p w14:paraId="367081F0">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17" w:type="dxa"/>
            <w:vAlign w:val="center"/>
          </w:tcPr>
          <w:p w14:paraId="7EF38F97">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03" w:type="dxa"/>
          </w:tcPr>
          <w:p w14:paraId="6F77309F">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3B95A504">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07434224">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7039CE47">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2CFAEAC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0DC510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A3ACE4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996309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76C0BB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7D38ECA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3AC1980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9879839">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47BC3EF5">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7B50FA9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661907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③项目负责人的《项目负责人建造师注册证书》</w:t>
            </w:r>
          </w:p>
          <w:p w14:paraId="4A0814C8">
            <w:pPr>
              <w:spacing w:line="300" w:lineRule="exact"/>
              <w:ind w:firstLine="420" w:firstLineChars="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如为二级建造师证书：</w:t>
            </w:r>
            <w:r>
              <w:rPr>
                <w:rFonts w:hint="eastAsia" w:ascii="宋体" w:hAnsi="宋体" w:eastAsia="宋体" w:cs="宋体"/>
                <w:b/>
                <w:color w:val="auto"/>
                <w:sz w:val="21"/>
                <w:szCs w:val="21"/>
                <w:highlight w:val="none"/>
              </w:rPr>
              <w:t>住房和城乡建设部同意的建设领域从业人员有关证书电子化试点的省、市或住房和城乡建设部同意开展二级建造师注册证书电子化试点的省、市，可提供从业人员的电子证书，</w:t>
            </w:r>
          </w:p>
          <w:p w14:paraId="3B503E6D">
            <w:pPr>
              <w:spacing w:line="300" w:lineRule="exact"/>
              <w:ind w:firstLine="422" w:firstLineChars="20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如为一级建造师证书。按</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住房和城乡建设部办公厅关于全面实行一级建造师电子注册证书的通知</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建办市〔2021〕40号规定执行</w:t>
            </w:r>
            <w:r>
              <w:rPr>
                <w:rFonts w:hint="eastAsia" w:ascii="宋体" w:hAnsi="宋体" w:eastAsia="宋体" w:cs="宋体"/>
                <w:color w:val="auto"/>
                <w:sz w:val="21"/>
                <w:szCs w:val="21"/>
                <w:highlight w:val="none"/>
              </w:rPr>
              <w:t>。</w:t>
            </w:r>
          </w:p>
          <w:p w14:paraId="6B01BCE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④如投标人为浙江省省外企业的，应提供有效期内的省外企业进浙承接业务证书或在“浙江省建筑市场监管公共服务系统”已完成备案的证明材料；</w:t>
            </w:r>
          </w:p>
          <w:p w14:paraId="61DB3D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559052A7">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3AB8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680" w:type="dxa"/>
            <w:vAlign w:val="center"/>
          </w:tcPr>
          <w:p w14:paraId="4025901A">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58" w:type="dxa"/>
            <w:vAlign w:val="center"/>
          </w:tcPr>
          <w:p w14:paraId="3E036DA1">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17" w:type="dxa"/>
            <w:vAlign w:val="center"/>
          </w:tcPr>
          <w:p w14:paraId="45379AB2">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03" w:type="dxa"/>
            <w:vAlign w:val="center"/>
          </w:tcPr>
          <w:p w14:paraId="3A95B20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AB2CEB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154A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680" w:type="dxa"/>
            <w:vAlign w:val="center"/>
          </w:tcPr>
          <w:p w14:paraId="503B047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58" w:type="dxa"/>
            <w:vAlign w:val="center"/>
          </w:tcPr>
          <w:p w14:paraId="0354926F">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17" w:type="dxa"/>
            <w:vAlign w:val="center"/>
          </w:tcPr>
          <w:p w14:paraId="2418AC6F">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03" w:type="dxa"/>
            <w:vAlign w:val="center"/>
          </w:tcPr>
          <w:p w14:paraId="0C26EFD5">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0DC1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80" w:type="dxa"/>
            <w:vAlign w:val="center"/>
          </w:tcPr>
          <w:p w14:paraId="436F31DD">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58" w:type="dxa"/>
            <w:vAlign w:val="center"/>
          </w:tcPr>
          <w:p w14:paraId="54717FE3">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17" w:type="dxa"/>
            <w:vAlign w:val="center"/>
          </w:tcPr>
          <w:p w14:paraId="533E4F9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194595E8">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5903" w:type="dxa"/>
            <w:vAlign w:val="center"/>
          </w:tcPr>
          <w:p w14:paraId="056819C1">
            <w:pPr>
              <w:pStyle w:val="9"/>
              <w:rPr>
                <w:rFonts w:hint="eastAsia" w:ascii="宋体" w:hAnsi="宋体" w:eastAsia="宋体" w:cs="Times New Roman"/>
                <w:b/>
                <w:bCs/>
                <w:color w:val="auto"/>
                <w:kern w:val="2"/>
                <w:sz w:val="21"/>
                <w:highlight w:val="none"/>
                <w:lang w:val="en-US" w:eastAsia="zh-CN" w:bidi="ar-SA"/>
              </w:rPr>
            </w:pPr>
            <w:r>
              <w:rPr>
                <w:rFonts w:hint="eastAsia" w:ascii="宋体" w:hAnsi="宋体" w:eastAsia="宋体" w:cs="Times New Roman"/>
                <w:b/>
                <w:bCs/>
                <w:color w:val="auto"/>
                <w:kern w:val="2"/>
                <w:sz w:val="21"/>
                <w:highlight w:val="none"/>
                <w:lang w:val="en-US" w:eastAsia="zh-CN" w:bidi="ar-SA"/>
              </w:rPr>
              <w:t>招标控制价：</w:t>
            </w:r>
            <w:r>
              <w:rPr>
                <w:rFonts w:hint="eastAsia" w:cs="Times New Roman"/>
                <w:b/>
                <w:bCs/>
                <w:color w:val="auto"/>
                <w:kern w:val="2"/>
                <w:sz w:val="21"/>
                <w:highlight w:val="none"/>
                <w:u w:val="single"/>
                <w:lang w:val="en-US" w:eastAsia="zh-CN" w:bidi="ar-SA"/>
              </w:rPr>
              <w:t xml:space="preserve"> 500066</w:t>
            </w:r>
            <w:r>
              <w:rPr>
                <w:rFonts w:hint="eastAsia" w:ascii="宋体" w:hAnsi="宋体" w:eastAsia="宋体" w:cs="Times New Roman"/>
                <w:b/>
                <w:bCs/>
                <w:color w:val="auto"/>
                <w:kern w:val="2"/>
                <w:sz w:val="21"/>
                <w:highlight w:val="none"/>
                <w:lang w:val="en-US" w:eastAsia="zh-CN" w:bidi="ar-SA"/>
              </w:rPr>
              <w:t>元；</w:t>
            </w:r>
          </w:p>
          <w:p w14:paraId="393BD5F6">
            <w:pPr>
              <w:pStyle w:val="9"/>
              <w:rPr>
                <w:rFonts w:hint="eastAsia" w:eastAsia="宋体"/>
                <w:b/>
                <w:color w:val="auto"/>
                <w:sz w:val="24"/>
                <w:szCs w:val="24"/>
                <w:highlight w:val="none"/>
                <w:lang w:val="en-US" w:eastAsia="zh-CN"/>
              </w:rPr>
            </w:pPr>
            <w:r>
              <w:rPr>
                <w:rFonts w:hint="eastAsia" w:ascii="宋体" w:hAnsi="宋体" w:eastAsia="宋体" w:cs="Times New Roman"/>
                <w:b/>
                <w:bCs/>
                <w:color w:val="auto"/>
                <w:kern w:val="2"/>
                <w:sz w:val="21"/>
                <w:highlight w:val="none"/>
                <w:lang w:val="en-US" w:eastAsia="zh-CN" w:bidi="ar-SA"/>
              </w:rPr>
              <w:t>最高投标限价：</w:t>
            </w:r>
            <w:r>
              <w:rPr>
                <w:rFonts w:hint="eastAsia" w:cs="Times New Roman"/>
                <w:b/>
                <w:bCs/>
                <w:color w:val="auto"/>
                <w:kern w:val="2"/>
                <w:sz w:val="21"/>
                <w:highlight w:val="none"/>
                <w:u w:val="single"/>
                <w:lang w:val="en-US" w:eastAsia="zh-CN" w:bidi="ar-SA"/>
              </w:rPr>
              <w:t xml:space="preserve"> 445059</w:t>
            </w:r>
            <w:r>
              <w:rPr>
                <w:rFonts w:hint="eastAsia" w:ascii="宋体" w:hAnsi="宋体" w:eastAsia="宋体" w:cs="Times New Roman"/>
                <w:b/>
                <w:bCs/>
                <w:color w:val="auto"/>
                <w:kern w:val="2"/>
                <w:sz w:val="21"/>
                <w:highlight w:val="none"/>
                <w:lang w:val="en-US" w:eastAsia="zh-CN" w:bidi="ar-SA"/>
              </w:rPr>
              <w:t>元。(招标控制价×</w:t>
            </w:r>
            <w:r>
              <w:rPr>
                <w:rFonts w:hint="eastAsia" w:cs="Times New Roman"/>
                <w:b/>
                <w:bCs/>
                <w:color w:val="auto"/>
                <w:kern w:val="2"/>
                <w:sz w:val="21"/>
                <w:highlight w:val="none"/>
                <w:lang w:val="en-US" w:eastAsia="zh-CN" w:bidi="ar-SA"/>
              </w:rPr>
              <w:t>89</w:t>
            </w:r>
            <w:r>
              <w:rPr>
                <w:rFonts w:hint="eastAsia" w:ascii="宋体" w:hAnsi="宋体" w:eastAsia="宋体" w:cs="Times New Roman"/>
                <w:b/>
                <w:bCs/>
                <w:color w:val="auto"/>
                <w:kern w:val="2"/>
                <w:sz w:val="21"/>
                <w:highlight w:val="none"/>
                <w:lang w:val="en-US" w:eastAsia="zh-CN" w:bidi="ar-SA"/>
              </w:rPr>
              <w:t>%）</w:t>
            </w:r>
          </w:p>
        </w:tc>
      </w:tr>
      <w:tr w14:paraId="0760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6" w:hRule="atLeast"/>
        </w:trPr>
        <w:tc>
          <w:tcPr>
            <w:tcW w:w="680" w:type="dxa"/>
            <w:vAlign w:val="center"/>
          </w:tcPr>
          <w:p w14:paraId="4A062C2C">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58" w:type="dxa"/>
            <w:vAlign w:val="center"/>
          </w:tcPr>
          <w:p w14:paraId="4D4D3343">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17" w:type="dxa"/>
            <w:vAlign w:val="center"/>
          </w:tcPr>
          <w:p w14:paraId="0195C99D">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03" w:type="dxa"/>
            <w:vAlign w:val="center"/>
          </w:tcPr>
          <w:p w14:paraId="04E8BC4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10000</w:t>
            </w:r>
            <w:r>
              <w:rPr>
                <w:rFonts w:hint="eastAsia" w:ascii="宋体" w:hAnsi="宋体" w:eastAsia="宋体"/>
                <w:color w:val="auto"/>
                <w:sz w:val="21"/>
                <w:highlight w:val="none"/>
              </w:rPr>
              <w:t>元。</w:t>
            </w:r>
          </w:p>
          <w:p w14:paraId="7076D6F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31EF0F8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64BDD92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27B36B3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56CC63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873DF8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29DB5A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048EEE7F">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629E175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1394D5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临海市第六中学</w:t>
            </w:r>
            <w:r>
              <w:rPr>
                <w:rFonts w:hint="eastAsia" w:ascii="宋体" w:hAnsi="宋体" w:eastAsia="宋体"/>
                <w:color w:val="auto"/>
                <w:sz w:val="21"/>
                <w:highlight w:val="none"/>
              </w:rPr>
              <w:t>（招标人名称）；</w:t>
            </w:r>
          </w:p>
          <w:p w14:paraId="461021A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6601353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BA040F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6C90448B">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116EBF6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1880EE5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7089AC8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7BD90E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2EAE848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rPr>
              <w:t xml:space="preserve"> （代理机构联系方式）； </w:t>
            </w:r>
          </w:p>
          <w:p w14:paraId="4103F32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0BE6ACB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A8AC016">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058FE8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BB1CF7C">
            <w:pPr>
              <w:rPr>
                <w:color w:val="auto"/>
                <w:highlight w:val="none"/>
              </w:rPr>
            </w:pPr>
            <w:r>
              <w:rPr>
                <w:rFonts w:hint="eastAsia" w:ascii="宋体" w:hAnsi="宋体" w:eastAsia="宋体"/>
                <w:color w:val="auto"/>
                <w:sz w:val="21"/>
                <w:highlight w:val="none"/>
              </w:rPr>
              <w:t>平台财务咨询电话：0576-85407100。</w:t>
            </w:r>
          </w:p>
        </w:tc>
      </w:tr>
      <w:tr w14:paraId="1AE0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680" w:type="dxa"/>
            <w:vAlign w:val="center"/>
          </w:tcPr>
          <w:p w14:paraId="56463DED">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58" w:type="dxa"/>
            <w:vAlign w:val="center"/>
          </w:tcPr>
          <w:p w14:paraId="0CDB8AAA">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17" w:type="dxa"/>
            <w:vAlign w:val="center"/>
          </w:tcPr>
          <w:p w14:paraId="04397446">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03" w:type="dxa"/>
            <w:vAlign w:val="center"/>
          </w:tcPr>
          <w:p w14:paraId="043BD74D">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042C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4" w:hRule="atLeast"/>
        </w:trPr>
        <w:tc>
          <w:tcPr>
            <w:tcW w:w="680" w:type="dxa"/>
            <w:vAlign w:val="center"/>
          </w:tcPr>
          <w:p w14:paraId="7BF73849">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58" w:type="dxa"/>
            <w:vAlign w:val="center"/>
          </w:tcPr>
          <w:p w14:paraId="4EC50D04">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17" w:type="dxa"/>
            <w:vAlign w:val="center"/>
          </w:tcPr>
          <w:p w14:paraId="7A6839DE">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03" w:type="dxa"/>
            <w:vAlign w:val="center"/>
          </w:tcPr>
          <w:p w14:paraId="25244C6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E60589D">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0904BD07">
            <w:pPr>
              <w:rPr>
                <w:color w:val="auto"/>
                <w:highlight w:val="none"/>
              </w:rPr>
            </w:pPr>
            <w:r>
              <w:rPr>
                <w:rFonts w:hint="eastAsia" w:ascii="宋体" w:hAnsi="宋体" w:eastAsia="宋体" w:cs="Times New Roman"/>
                <w:color w:val="auto"/>
                <w:sz w:val="21"/>
                <w:highlight w:val="none"/>
              </w:rPr>
              <w:t>CA咨询电话：400-0571-337，投标工具咨询电话：15267291759</w:t>
            </w:r>
          </w:p>
          <w:p w14:paraId="3BE9B135">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DA9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680" w:type="dxa"/>
            <w:vAlign w:val="center"/>
          </w:tcPr>
          <w:p w14:paraId="32466823">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58" w:type="dxa"/>
            <w:vAlign w:val="center"/>
          </w:tcPr>
          <w:p w14:paraId="4F194117">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17" w:type="dxa"/>
            <w:vAlign w:val="center"/>
          </w:tcPr>
          <w:p w14:paraId="3A7CAF00">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C85A3FC">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03" w:type="dxa"/>
            <w:vAlign w:val="center"/>
          </w:tcPr>
          <w:p w14:paraId="54F1B62D">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40AC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80" w:type="dxa"/>
            <w:vAlign w:val="center"/>
          </w:tcPr>
          <w:p w14:paraId="1B91D7D4">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58" w:type="dxa"/>
            <w:vAlign w:val="center"/>
          </w:tcPr>
          <w:p w14:paraId="5805361C">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17" w:type="dxa"/>
            <w:vAlign w:val="center"/>
          </w:tcPr>
          <w:p w14:paraId="1B9F3A65">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03" w:type="dxa"/>
            <w:vAlign w:val="center"/>
          </w:tcPr>
          <w:p w14:paraId="1F8D73CA">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67D1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680" w:type="dxa"/>
            <w:vAlign w:val="center"/>
          </w:tcPr>
          <w:p w14:paraId="54F5C601">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58" w:type="dxa"/>
            <w:vAlign w:val="center"/>
          </w:tcPr>
          <w:p w14:paraId="55D9E715">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17" w:type="dxa"/>
            <w:vAlign w:val="center"/>
          </w:tcPr>
          <w:p w14:paraId="50089038">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03" w:type="dxa"/>
            <w:vAlign w:val="center"/>
          </w:tcPr>
          <w:p w14:paraId="39BFB81A">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47A21DD">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开标地点：江南街道春和路下岙余村新办公楼二楼开标室</w:t>
            </w:r>
            <w:r>
              <w:rPr>
                <w:rFonts w:hint="eastAsia" w:ascii="宋体" w:hAnsi="宋体" w:eastAsia="宋体"/>
                <w:color w:val="auto"/>
                <w:sz w:val="21"/>
                <w:highlight w:val="none"/>
                <w:lang w:val="en-US" w:eastAsia="zh-CN"/>
              </w:rPr>
              <w:t>1</w:t>
            </w:r>
          </w:p>
        </w:tc>
      </w:tr>
      <w:tr w14:paraId="2BC2D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680" w:type="dxa"/>
            <w:vAlign w:val="center"/>
          </w:tcPr>
          <w:p w14:paraId="1E925F3D">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58" w:type="dxa"/>
            <w:vAlign w:val="center"/>
          </w:tcPr>
          <w:p w14:paraId="2F87978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17" w:type="dxa"/>
            <w:vAlign w:val="center"/>
          </w:tcPr>
          <w:p w14:paraId="67644C6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5A86380C">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03" w:type="dxa"/>
            <w:vAlign w:val="center"/>
          </w:tcPr>
          <w:p w14:paraId="730F4C95">
            <w:pPr>
              <w:rPr>
                <w:rFonts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lang w:val="en-US" w:eastAsia="zh-CN"/>
              </w:rPr>
              <w:t>2026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29</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426A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680" w:type="dxa"/>
            <w:vAlign w:val="center"/>
          </w:tcPr>
          <w:p w14:paraId="7CB4A679">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58" w:type="dxa"/>
            <w:vAlign w:val="center"/>
          </w:tcPr>
          <w:p w14:paraId="4D46E290">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17" w:type="dxa"/>
            <w:vAlign w:val="center"/>
          </w:tcPr>
          <w:p w14:paraId="6095ED35">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03" w:type="dxa"/>
            <w:vAlign w:val="center"/>
          </w:tcPr>
          <w:p w14:paraId="37A18342">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0A3C90F">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1EA9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80" w:type="dxa"/>
            <w:vAlign w:val="center"/>
          </w:tcPr>
          <w:p w14:paraId="622433D4">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58" w:type="dxa"/>
            <w:vAlign w:val="center"/>
          </w:tcPr>
          <w:p w14:paraId="2404162A">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17" w:type="dxa"/>
            <w:vAlign w:val="center"/>
          </w:tcPr>
          <w:p w14:paraId="05DA3740">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03" w:type="dxa"/>
            <w:vAlign w:val="center"/>
          </w:tcPr>
          <w:p w14:paraId="6458FFFC">
            <w:pPr>
              <w:rPr>
                <w:rFonts w:hint="eastAsia" w:ascii="宋体" w:hAnsi="宋体" w:eastAsia="宋体"/>
                <w:color w:val="auto"/>
                <w:sz w:val="21"/>
                <w:highlight w:val="none"/>
                <w:lang w:eastAsia="zh-CN"/>
              </w:rPr>
            </w:pPr>
            <w:r>
              <w:rPr>
                <w:rFonts w:hint="eastAsia" w:ascii="宋体" w:hAnsi="宋体" w:eastAsia="宋体"/>
                <w:sz w:val="21"/>
                <w:szCs w:val="22"/>
              </w:rPr>
              <w:t>临海市限额以下公共资源交易工程建设项目（房建市政项目评标办法）</w:t>
            </w:r>
          </w:p>
        </w:tc>
      </w:tr>
      <w:tr w14:paraId="6ACA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trPr>
        <w:tc>
          <w:tcPr>
            <w:tcW w:w="680" w:type="dxa"/>
            <w:vAlign w:val="center"/>
          </w:tcPr>
          <w:p w14:paraId="071CBC44">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58" w:type="dxa"/>
            <w:vAlign w:val="center"/>
          </w:tcPr>
          <w:p w14:paraId="3B126145">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17" w:type="dxa"/>
            <w:vAlign w:val="center"/>
          </w:tcPr>
          <w:p w14:paraId="11FDA5B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03" w:type="dxa"/>
            <w:vAlign w:val="center"/>
          </w:tcPr>
          <w:p w14:paraId="38DE2367">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p w14:paraId="0471207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37E3CD4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00929EC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2F11A73C">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67420F61">
            <w:pPr>
              <w:jc w:val="left"/>
              <w:rPr>
                <w:color w:val="auto"/>
                <w:highlight w:val="none"/>
              </w:rPr>
            </w:pPr>
            <w:r>
              <w:rPr>
                <w:rFonts w:hint="eastAsia" w:ascii="宋体" w:hAnsi="宋体" w:eastAsia="宋体"/>
                <w:color w:val="auto"/>
                <w:sz w:val="21"/>
                <w:highlight w:val="none"/>
              </w:rPr>
              <w:t>临海市产权交易所有限公司财务咨询电话：0576-85407100。</w:t>
            </w:r>
          </w:p>
        </w:tc>
      </w:tr>
      <w:tr w14:paraId="603A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9158" w:type="dxa"/>
            <w:gridSpan w:val="4"/>
            <w:vAlign w:val="center"/>
          </w:tcPr>
          <w:p w14:paraId="18F856EB">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1E0F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trPr>
        <w:tc>
          <w:tcPr>
            <w:tcW w:w="1538" w:type="dxa"/>
            <w:gridSpan w:val="2"/>
            <w:vAlign w:val="center"/>
          </w:tcPr>
          <w:p w14:paraId="73334B69">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20" w:type="dxa"/>
            <w:gridSpan w:val="2"/>
            <w:vAlign w:val="center"/>
          </w:tcPr>
          <w:p w14:paraId="5ABBB7AB">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537CFA4E">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665920AB">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CCEC06E">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B203927">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p w14:paraId="6EF76BA8">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4544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1538" w:type="dxa"/>
            <w:gridSpan w:val="2"/>
            <w:vAlign w:val="center"/>
          </w:tcPr>
          <w:p w14:paraId="6907582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20" w:type="dxa"/>
            <w:gridSpan w:val="2"/>
            <w:vAlign w:val="center"/>
          </w:tcPr>
          <w:p w14:paraId="670C53E0">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463D7D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5696EEAD">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68F4413">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133F5305">
            <w:pPr>
              <w:pStyle w:val="9"/>
              <w:rPr>
                <w:rFonts w:cs="宋体"/>
                <w:color w:val="auto"/>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tc>
      </w:tr>
      <w:tr w14:paraId="512E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538" w:type="dxa"/>
            <w:gridSpan w:val="2"/>
            <w:vAlign w:val="center"/>
          </w:tcPr>
          <w:p w14:paraId="3897E94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20" w:type="dxa"/>
            <w:gridSpan w:val="2"/>
            <w:vAlign w:val="center"/>
          </w:tcPr>
          <w:p w14:paraId="50C8DFF7">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BC4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6" w:hRule="atLeast"/>
        </w:trPr>
        <w:tc>
          <w:tcPr>
            <w:tcW w:w="1538" w:type="dxa"/>
            <w:gridSpan w:val="2"/>
            <w:vAlign w:val="center"/>
          </w:tcPr>
          <w:p w14:paraId="7561128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20" w:type="dxa"/>
            <w:gridSpan w:val="2"/>
            <w:vAlign w:val="center"/>
          </w:tcPr>
          <w:p w14:paraId="6B05D33F">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880192D">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01F86B7">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46AC975D">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00C5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1538" w:type="dxa"/>
            <w:gridSpan w:val="2"/>
            <w:vAlign w:val="center"/>
          </w:tcPr>
          <w:p w14:paraId="689D2A02">
            <w:pPr>
              <w:pStyle w:val="30"/>
              <w:spacing w:line="260" w:lineRule="exact"/>
              <w:ind w:firstLine="274" w:firstLineChars="130"/>
              <w:rPr>
                <w:rFonts w:hint="eastAsia" w:ascii="宋体" w:hAnsi="宋体" w:eastAsia="宋体"/>
                <w:color w:val="auto"/>
                <w:sz w:val="21"/>
                <w:highlight w:val="none"/>
              </w:rPr>
            </w:pPr>
            <w:r>
              <w:rPr>
                <w:rFonts w:hint="eastAsia" w:ascii="Calibri" w:hAnsi="宋体" w:eastAsia="宋体" w:cs="Times New Roman"/>
                <w:b/>
                <w:bCs/>
                <w:color w:val="auto"/>
                <w:sz w:val="21"/>
                <w:szCs w:val="21"/>
              </w:rPr>
              <w:t>温馨提示</w:t>
            </w:r>
          </w:p>
        </w:tc>
        <w:tc>
          <w:tcPr>
            <w:tcW w:w="7620" w:type="dxa"/>
            <w:gridSpan w:val="2"/>
            <w:vAlign w:val="center"/>
          </w:tcPr>
          <w:p w14:paraId="14271850">
            <w:pPr>
              <w:pStyle w:val="30"/>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8730DE">
      <w:pPr>
        <w:jc w:val="center"/>
        <w:rPr>
          <w:rFonts w:ascii="宋体" w:hAnsi="宋体"/>
          <w:color w:val="auto"/>
          <w:highlight w:val="yellow"/>
        </w:rPr>
        <w:sectPr>
          <w:headerReference r:id="rId7" w:type="first"/>
          <w:footerReference r:id="rId9" w:type="first"/>
          <w:footerReference r:id="rId8"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F95FD37">
      <w:pPr>
        <w:keepNext/>
        <w:keepLines/>
        <w:spacing w:before="120" w:after="120"/>
        <w:jc w:val="center"/>
        <w:outlineLvl w:val="0"/>
        <w:rPr>
          <w:rFonts w:ascii="黑体" w:hAnsi="黑体" w:eastAsia="黑体"/>
          <w:b/>
          <w:color w:val="auto"/>
          <w:kern w:val="44"/>
          <w:sz w:val="30"/>
        </w:rPr>
      </w:pPr>
      <w:bookmarkStart w:id="8" w:name="_Toc500209412"/>
      <w:bookmarkStart w:id="9" w:name="_Toc10147"/>
      <w:bookmarkStart w:id="10" w:name="_Toc26109"/>
      <w:bookmarkStart w:id="11" w:name="_Toc500208463"/>
      <w:bookmarkStart w:id="12" w:name="_Toc9614"/>
      <w:r>
        <w:rPr>
          <w:rFonts w:hint="eastAsia" w:ascii="黑体" w:hAnsi="黑体" w:eastAsia="黑体"/>
          <w:b/>
          <w:color w:val="auto"/>
          <w:kern w:val="44"/>
          <w:sz w:val="30"/>
        </w:rPr>
        <w:t>第一章  投标须知</w:t>
      </w:r>
      <w:bookmarkEnd w:id="8"/>
      <w:bookmarkEnd w:id="9"/>
      <w:bookmarkEnd w:id="10"/>
      <w:bookmarkEnd w:id="11"/>
      <w:bookmarkEnd w:id="12"/>
    </w:p>
    <w:p w14:paraId="7DAC6E7C">
      <w:pPr>
        <w:numPr>
          <w:ilvl w:val="0"/>
          <w:numId w:val="3"/>
        </w:numPr>
        <w:spacing w:before="360" w:afterLines="50" w:line="320" w:lineRule="exact"/>
        <w:jc w:val="center"/>
        <w:outlineLvl w:val="1"/>
        <w:rPr>
          <w:rFonts w:ascii="Arial" w:hAnsi="Arial" w:eastAsia="黑体" w:cs="Arial"/>
          <w:b/>
          <w:color w:val="auto"/>
          <w:szCs w:val="24"/>
        </w:rPr>
      </w:pPr>
      <w:bookmarkStart w:id="13" w:name="_Toc4837"/>
      <w:bookmarkStart w:id="14" w:name="_Toc500209413"/>
      <w:bookmarkStart w:id="15" w:name="_Toc32149"/>
      <w:bookmarkStart w:id="16" w:name="_Toc500208464"/>
      <w:r>
        <w:rPr>
          <w:rFonts w:hint="eastAsia" w:ascii="Arial" w:hAnsi="Arial" w:eastAsia="黑体" w:cs="Arial"/>
          <w:b/>
          <w:color w:val="auto"/>
          <w:szCs w:val="24"/>
        </w:rPr>
        <w:t>总  则</w:t>
      </w:r>
      <w:bookmarkEnd w:id="13"/>
      <w:bookmarkEnd w:id="14"/>
      <w:bookmarkEnd w:id="15"/>
      <w:bookmarkEnd w:id="16"/>
    </w:p>
    <w:p w14:paraId="38DCA661">
      <w:pPr>
        <w:keepNext/>
        <w:keepLines/>
        <w:numPr>
          <w:ilvl w:val="0"/>
          <w:numId w:val="4"/>
        </w:numPr>
        <w:spacing w:before="360" w:line="288" w:lineRule="auto"/>
        <w:jc w:val="left"/>
        <w:outlineLvl w:val="2"/>
        <w:rPr>
          <w:rFonts w:ascii="黑体" w:hAnsi="宋体" w:eastAsia="黑体"/>
          <w:b/>
          <w:color w:val="auto"/>
          <w:sz w:val="21"/>
        </w:rPr>
      </w:pPr>
      <w:bookmarkStart w:id="17" w:name="_Toc169487776"/>
      <w:bookmarkStart w:id="18" w:name="_Toc155342528"/>
      <w:bookmarkStart w:id="19" w:name="_Toc500208465"/>
      <w:r>
        <w:rPr>
          <w:rFonts w:hint="eastAsia" w:ascii="黑体" w:hAnsi="宋体" w:eastAsia="黑体"/>
          <w:b/>
          <w:color w:val="auto"/>
          <w:sz w:val="21"/>
        </w:rPr>
        <w:t>工程说明</w:t>
      </w:r>
      <w:bookmarkEnd w:id="17"/>
      <w:bookmarkEnd w:id="18"/>
    </w:p>
    <w:p w14:paraId="6DECC10A">
      <w:pPr>
        <w:ind w:firstLine="420"/>
        <w:rPr>
          <w:rFonts w:ascii="宋体" w:hAnsi="宋体" w:eastAsia="宋体"/>
          <w:color w:val="auto"/>
          <w:sz w:val="21"/>
        </w:rPr>
      </w:pPr>
      <w:r>
        <w:rPr>
          <w:rFonts w:hint="eastAsia" w:ascii="宋体" w:hAnsi="宋体" w:eastAsia="宋体"/>
          <w:color w:val="auto"/>
          <w:sz w:val="21"/>
        </w:rPr>
        <w:t>1.1本招标工程项目说明详见本须知前附表第1项～第7项。</w:t>
      </w:r>
    </w:p>
    <w:p w14:paraId="7F496ECD">
      <w:pPr>
        <w:keepNext/>
        <w:keepLines/>
        <w:numPr>
          <w:ilvl w:val="0"/>
          <w:numId w:val="4"/>
        </w:numPr>
        <w:spacing w:before="360" w:line="288" w:lineRule="auto"/>
        <w:jc w:val="left"/>
        <w:outlineLvl w:val="2"/>
        <w:rPr>
          <w:rFonts w:ascii="黑体" w:hAnsi="宋体" w:eastAsia="黑体"/>
          <w:b/>
          <w:color w:val="auto"/>
          <w:sz w:val="21"/>
        </w:rPr>
      </w:pPr>
      <w:bookmarkStart w:id="20" w:name="_Toc155342529"/>
      <w:bookmarkStart w:id="21" w:name="_Toc169487777"/>
      <w:r>
        <w:rPr>
          <w:rFonts w:hint="eastAsia" w:ascii="黑体" w:hAnsi="宋体" w:eastAsia="黑体"/>
          <w:b/>
          <w:color w:val="auto"/>
          <w:sz w:val="21"/>
        </w:rPr>
        <w:t>招标范围</w:t>
      </w:r>
      <w:bookmarkEnd w:id="19"/>
      <w:bookmarkEnd w:id="20"/>
      <w:bookmarkEnd w:id="21"/>
    </w:p>
    <w:p w14:paraId="553532FB">
      <w:pPr>
        <w:pStyle w:val="9"/>
        <w:numPr>
          <w:ilvl w:val="1"/>
          <w:numId w:val="4"/>
        </w:numPr>
        <w:ind w:firstLine="420" w:firstLineChars="200"/>
        <w:rPr>
          <w:color w:val="auto"/>
        </w:rPr>
      </w:pPr>
      <w:bookmarkStart w:id="22" w:name="_Toc500208466"/>
      <w:r>
        <w:rPr>
          <w:rFonts w:hint="eastAsia"/>
          <w:color w:val="auto"/>
        </w:rPr>
        <w:t>本招标工程项目的招标方式详见本须知前附表第8项。</w:t>
      </w:r>
    </w:p>
    <w:p w14:paraId="1913F6D1">
      <w:pPr>
        <w:pStyle w:val="9"/>
        <w:numPr>
          <w:ilvl w:val="1"/>
          <w:numId w:val="4"/>
        </w:numPr>
        <w:ind w:firstLine="420" w:firstLineChars="200"/>
        <w:rPr>
          <w:color w:val="auto"/>
        </w:rPr>
      </w:pPr>
      <w:r>
        <w:rPr>
          <w:rFonts w:hint="eastAsia"/>
          <w:color w:val="auto"/>
        </w:rPr>
        <w:t>本招标工程项目的招标范围详见本须知前附表第9项。</w:t>
      </w:r>
    </w:p>
    <w:p w14:paraId="53595990">
      <w:pPr>
        <w:keepNext/>
        <w:keepLines/>
        <w:numPr>
          <w:ilvl w:val="0"/>
          <w:numId w:val="4"/>
        </w:numPr>
        <w:spacing w:before="360" w:line="288" w:lineRule="auto"/>
        <w:jc w:val="left"/>
        <w:outlineLvl w:val="2"/>
        <w:rPr>
          <w:rFonts w:ascii="黑体" w:hAnsi="宋体" w:eastAsia="黑体"/>
          <w:b/>
          <w:color w:val="auto"/>
          <w:sz w:val="21"/>
        </w:rPr>
      </w:pPr>
      <w:bookmarkStart w:id="23" w:name="_Toc155342530"/>
      <w:bookmarkStart w:id="24" w:name="_Toc169487778"/>
      <w:r>
        <w:rPr>
          <w:rFonts w:hint="eastAsia" w:ascii="黑体" w:hAnsi="宋体" w:eastAsia="黑体"/>
          <w:b/>
          <w:color w:val="auto"/>
          <w:sz w:val="21"/>
        </w:rPr>
        <w:t>资金来源</w:t>
      </w:r>
      <w:bookmarkEnd w:id="22"/>
      <w:bookmarkEnd w:id="23"/>
      <w:bookmarkEnd w:id="24"/>
    </w:p>
    <w:p w14:paraId="666B701D">
      <w:pPr>
        <w:pStyle w:val="9"/>
        <w:numPr>
          <w:ilvl w:val="1"/>
          <w:numId w:val="4"/>
        </w:numPr>
        <w:ind w:firstLine="420" w:firstLineChars="200"/>
        <w:rPr>
          <w:color w:val="auto"/>
        </w:rPr>
      </w:pPr>
      <w:r>
        <w:rPr>
          <w:rFonts w:hint="eastAsia"/>
          <w:color w:val="auto"/>
        </w:rPr>
        <w:t>本招标工程项目资金来源详见本须知前附表第10项，其中部分资金用于本工程项目合同项下的合格支付。</w:t>
      </w:r>
    </w:p>
    <w:p w14:paraId="7ED85E9D">
      <w:pPr>
        <w:keepNext/>
        <w:keepLines/>
        <w:numPr>
          <w:ilvl w:val="0"/>
          <w:numId w:val="4"/>
        </w:numPr>
        <w:spacing w:before="360" w:line="288" w:lineRule="auto"/>
        <w:jc w:val="left"/>
        <w:outlineLvl w:val="2"/>
        <w:rPr>
          <w:rFonts w:ascii="黑体" w:hAnsi="宋体" w:eastAsia="黑体"/>
          <w:b/>
          <w:color w:val="auto"/>
          <w:sz w:val="21"/>
          <w:szCs w:val="22"/>
        </w:rPr>
      </w:pPr>
      <w:bookmarkStart w:id="25" w:name="_Toc155342532"/>
      <w:bookmarkStart w:id="26" w:name="_Toc169487780"/>
      <w:r>
        <w:rPr>
          <w:rFonts w:hint="eastAsia" w:ascii="黑体" w:hAnsi="宋体" w:eastAsia="黑体"/>
          <w:b/>
          <w:color w:val="auto"/>
          <w:sz w:val="21"/>
          <w:szCs w:val="22"/>
        </w:rPr>
        <w:t>投标人资格</w:t>
      </w:r>
    </w:p>
    <w:p w14:paraId="17B90519">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4.1投标人应具备承担招标工程的资质、资格和其他等要求。</w:t>
      </w:r>
    </w:p>
    <w:p w14:paraId="54BC3F15">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（1）资质条件：见投标人须知前附表；</w:t>
      </w:r>
    </w:p>
    <w:p w14:paraId="42A967F6">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（2）项目负责人资格：见投标人须知前附表；</w:t>
      </w:r>
    </w:p>
    <w:p w14:paraId="43742D72">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（3）其他要求：</w:t>
      </w:r>
    </w:p>
    <w:p w14:paraId="7CB7108F">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25022684">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a.原承接的项目与本工程属于同一工程相邻分段发包或分期施工的；</w:t>
      </w:r>
    </w:p>
    <w:p w14:paraId="6ADDC691">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b.因非承包方原因致使工程项目停工超过120天（含），经原建设单位同意的；</w:t>
      </w:r>
    </w:p>
    <w:p w14:paraId="6B718E83">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c.合同约定的工程已完工，承包方向建设单位提交竣工报告时间已超过120天（含），经原建设单位同意的。</w:t>
      </w:r>
    </w:p>
    <w:p w14:paraId="2DC0E43E">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如发生以上a、b、c情形的，投标人应在投标文件中提交有关书面证明材料（以电子文档形式随资</w:t>
      </w:r>
      <w:r>
        <w:rPr>
          <w:rFonts w:hint="eastAsia" w:cs="Times New Roman"/>
          <w:b/>
          <w:bCs/>
          <w:color w:val="auto"/>
          <w:szCs w:val="22"/>
          <w:lang w:val="en-US" w:eastAsia="zh-CN"/>
        </w:rPr>
        <w:t>信</w:t>
      </w:r>
      <w:r>
        <w:rPr>
          <w:rFonts w:hint="eastAsia" w:ascii="宋体" w:hAnsi="宋体" w:eastAsia="宋体" w:cs="Times New Roman"/>
          <w:b/>
          <w:bCs/>
          <w:color w:val="auto"/>
          <w:szCs w:val="22"/>
          <w:lang w:val="en-US" w:eastAsia="zh-CN"/>
        </w:rPr>
        <w:t>标上传，招标文件提供证明格式的须按照该格式提交），投标截止日后提供的证明材料视为瞒报、漏报，将不予认可。</w:t>
      </w:r>
    </w:p>
    <w:p w14:paraId="56191EC0">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410F0D4C">
      <w:pPr>
        <w:pStyle w:val="9"/>
        <w:ind w:firstLine="420" w:firstLineChars="200"/>
        <w:rPr>
          <w:color w:val="auto"/>
          <w:szCs w:val="22"/>
        </w:rPr>
      </w:pPr>
      <w:r>
        <w:rPr>
          <w:rFonts w:hint="eastAsia"/>
          <w:color w:val="auto"/>
          <w:szCs w:val="22"/>
        </w:rPr>
        <w:t>4.</w:t>
      </w:r>
      <w:r>
        <w:rPr>
          <w:rFonts w:hint="eastAsia"/>
          <w:color w:val="auto"/>
          <w:szCs w:val="22"/>
          <w:lang w:val="en-US" w:eastAsia="zh-CN"/>
        </w:rPr>
        <w:t>2</w:t>
      </w:r>
      <w:r>
        <w:rPr>
          <w:rFonts w:hint="eastAsia"/>
          <w:color w:val="auto"/>
          <w:szCs w:val="22"/>
        </w:rPr>
        <w:t>投标人有以下情形之一的，不得参加本项目投标：</w:t>
      </w:r>
    </w:p>
    <w:p w14:paraId="7614C6B1">
      <w:pPr>
        <w:pStyle w:val="9"/>
        <w:ind w:firstLine="315" w:firstLineChars="150"/>
        <w:rPr>
          <w:color w:val="auto"/>
          <w:szCs w:val="22"/>
        </w:rPr>
      </w:pPr>
      <w:r>
        <w:rPr>
          <w:rFonts w:hint="eastAsia"/>
          <w:color w:val="auto"/>
          <w:szCs w:val="22"/>
        </w:rPr>
        <w:t xml:space="preserve">（1）为招标人不具有独立法人资格的附属机构（单位）； </w:t>
      </w:r>
    </w:p>
    <w:p w14:paraId="3BE1A156">
      <w:pPr>
        <w:pStyle w:val="9"/>
        <w:ind w:firstLine="315" w:firstLineChars="150"/>
        <w:rPr>
          <w:color w:val="auto"/>
          <w:szCs w:val="22"/>
        </w:rPr>
      </w:pPr>
      <w:r>
        <w:rPr>
          <w:rFonts w:hint="eastAsia"/>
          <w:color w:val="auto"/>
          <w:szCs w:val="22"/>
        </w:rPr>
        <w:t xml:space="preserve">（2）为本工程前期准备提供设计或咨询服务的，但设计施工总承包的除外； </w:t>
      </w:r>
    </w:p>
    <w:p w14:paraId="6260A8B6">
      <w:pPr>
        <w:pStyle w:val="9"/>
        <w:ind w:firstLine="315" w:firstLineChars="150"/>
        <w:rPr>
          <w:color w:val="auto"/>
          <w:szCs w:val="22"/>
        </w:rPr>
      </w:pPr>
      <w:r>
        <w:rPr>
          <w:rFonts w:hint="eastAsia"/>
          <w:color w:val="auto"/>
          <w:szCs w:val="22"/>
        </w:rPr>
        <w:t>（3）为本工程的监理人；</w:t>
      </w:r>
    </w:p>
    <w:p w14:paraId="2D9331FF">
      <w:pPr>
        <w:pStyle w:val="9"/>
        <w:ind w:firstLine="315" w:firstLineChars="150"/>
        <w:rPr>
          <w:color w:val="auto"/>
          <w:szCs w:val="22"/>
        </w:rPr>
      </w:pPr>
      <w:r>
        <w:rPr>
          <w:rFonts w:hint="eastAsia"/>
          <w:color w:val="auto"/>
          <w:szCs w:val="22"/>
        </w:rPr>
        <w:t xml:space="preserve">（4）为本工程的代建人； </w:t>
      </w:r>
    </w:p>
    <w:p w14:paraId="377117FB">
      <w:pPr>
        <w:pStyle w:val="9"/>
        <w:ind w:firstLine="315" w:firstLineChars="150"/>
        <w:rPr>
          <w:color w:val="auto"/>
          <w:szCs w:val="22"/>
        </w:rPr>
      </w:pPr>
      <w:r>
        <w:rPr>
          <w:rFonts w:hint="eastAsia"/>
          <w:color w:val="auto"/>
          <w:szCs w:val="22"/>
        </w:rPr>
        <w:t xml:space="preserve">（5）为本工程提供招标代理服务的； </w:t>
      </w:r>
    </w:p>
    <w:p w14:paraId="374553BA">
      <w:pPr>
        <w:pStyle w:val="9"/>
        <w:ind w:firstLine="315" w:firstLineChars="150"/>
        <w:rPr>
          <w:color w:val="auto"/>
          <w:szCs w:val="22"/>
        </w:rPr>
      </w:pPr>
      <w:r>
        <w:rPr>
          <w:rFonts w:hint="eastAsia"/>
          <w:color w:val="auto"/>
          <w:szCs w:val="22"/>
        </w:rPr>
        <w:t>（6）与本工程的监理人或代建人或招标代理机构同为一个法定代表人的；</w:t>
      </w:r>
    </w:p>
    <w:p w14:paraId="3A3F3190">
      <w:pPr>
        <w:pStyle w:val="9"/>
        <w:ind w:firstLine="315" w:firstLineChars="150"/>
        <w:rPr>
          <w:color w:val="auto"/>
          <w:szCs w:val="22"/>
        </w:rPr>
      </w:pPr>
      <w:r>
        <w:rPr>
          <w:rFonts w:hint="eastAsia"/>
          <w:color w:val="auto"/>
          <w:szCs w:val="22"/>
        </w:rPr>
        <w:t>（7）与本工程的监理人或代建人或招标代理机构相互控股或参股的；</w:t>
      </w:r>
    </w:p>
    <w:p w14:paraId="1F32746A">
      <w:pPr>
        <w:pStyle w:val="9"/>
        <w:ind w:firstLine="315" w:firstLineChars="150"/>
        <w:rPr>
          <w:color w:val="auto"/>
          <w:szCs w:val="22"/>
        </w:rPr>
      </w:pPr>
      <w:r>
        <w:rPr>
          <w:rFonts w:hint="eastAsia"/>
          <w:color w:val="auto"/>
          <w:szCs w:val="22"/>
        </w:rPr>
        <w:t>（8）与本工程的监理人或代建人或招标代理机构相互任职或工作的；</w:t>
      </w:r>
    </w:p>
    <w:p w14:paraId="2BDE6CEB">
      <w:pPr>
        <w:pStyle w:val="9"/>
        <w:ind w:firstLine="315" w:firstLineChars="150"/>
        <w:rPr>
          <w:color w:val="auto"/>
          <w:szCs w:val="22"/>
        </w:rPr>
      </w:pPr>
      <w:r>
        <w:rPr>
          <w:rFonts w:hint="eastAsia"/>
          <w:color w:val="auto"/>
          <w:szCs w:val="22"/>
        </w:rPr>
        <w:t xml:space="preserve">（9）被责令停业的； </w:t>
      </w:r>
    </w:p>
    <w:p w14:paraId="376B3BF9">
      <w:pPr>
        <w:pStyle w:val="9"/>
        <w:ind w:firstLine="315" w:firstLineChars="150"/>
        <w:rPr>
          <w:color w:val="auto"/>
          <w:szCs w:val="22"/>
        </w:rPr>
      </w:pPr>
      <w:r>
        <w:rPr>
          <w:rFonts w:hint="eastAsia"/>
          <w:color w:val="auto"/>
          <w:szCs w:val="22"/>
        </w:rPr>
        <w:t xml:space="preserve">（10）被暂停或取消投标资格的（包括项目负责人）； </w:t>
      </w:r>
    </w:p>
    <w:p w14:paraId="0FDF9117">
      <w:pPr>
        <w:pStyle w:val="9"/>
        <w:ind w:firstLine="315" w:firstLineChars="150"/>
        <w:rPr>
          <w:color w:val="auto"/>
          <w:szCs w:val="22"/>
        </w:rPr>
      </w:pPr>
      <w:r>
        <w:rPr>
          <w:rFonts w:hint="eastAsia"/>
          <w:color w:val="auto"/>
          <w:szCs w:val="22"/>
        </w:rPr>
        <w:t>（11）安全生产许可证超出有效期或处于暂扣时限内的；</w:t>
      </w:r>
    </w:p>
    <w:p w14:paraId="716F8774">
      <w:pPr>
        <w:pStyle w:val="9"/>
        <w:ind w:firstLine="315" w:firstLineChars="150"/>
        <w:rPr>
          <w:color w:val="auto"/>
          <w:szCs w:val="22"/>
        </w:rPr>
      </w:pPr>
      <w:r>
        <w:rPr>
          <w:rFonts w:hint="eastAsia"/>
          <w:color w:val="auto"/>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7DC45625">
      <w:pPr>
        <w:pStyle w:val="9"/>
        <w:ind w:firstLine="315" w:firstLineChars="150"/>
        <w:rPr>
          <w:color w:val="auto"/>
          <w:szCs w:val="22"/>
        </w:rPr>
      </w:pPr>
      <w:r>
        <w:rPr>
          <w:rFonts w:hint="eastAsia"/>
          <w:color w:val="auto"/>
          <w:szCs w:val="22"/>
        </w:rPr>
        <w:t>（13）投标人及相关管理人员（包括项目负责人）安全生产任职资格不符合相关规定；</w:t>
      </w:r>
    </w:p>
    <w:p w14:paraId="4A336694">
      <w:pPr>
        <w:pStyle w:val="9"/>
        <w:ind w:firstLine="420" w:firstLineChars="200"/>
        <w:rPr>
          <w:color w:val="auto"/>
          <w:szCs w:val="22"/>
        </w:rPr>
      </w:pPr>
      <w:r>
        <w:rPr>
          <w:rFonts w:hint="eastAsia"/>
          <w:color w:val="auto"/>
          <w:szCs w:val="22"/>
        </w:rPr>
        <w:t>4.</w:t>
      </w:r>
      <w:r>
        <w:rPr>
          <w:rFonts w:hint="eastAsia"/>
          <w:color w:val="auto"/>
          <w:szCs w:val="22"/>
          <w:lang w:val="en-US" w:eastAsia="zh-CN"/>
        </w:rPr>
        <w:t>3</w:t>
      </w:r>
      <w:r>
        <w:rPr>
          <w:rFonts w:hint="eastAsia"/>
          <w:color w:val="auto"/>
          <w:szCs w:val="22"/>
        </w:rPr>
        <w:t xml:space="preserve">如投标人系联合体，则联合体的组成及联合体各方的权利、义务须符合有关法律、法规、规章的要求。 </w:t>
      </w:r>
    </w:p>
    <w:p w14:paraId="273F5CD0">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投标费用</w:t>
      </w:r>
      <w:bookmarkEnd w:id="25"/>
      <w:bookmarkEnd w:id="26"/>
    </w:p>
    <w:p w14:paraId="38EACD26">
      <w:pPr>
        <w:pStyle w:val="9"/>
        <w:numPr>
          <w:ilvl w:val="1"/>
          <w:numId w:val="4"/>
        </w:numPr>
        <w:ind w:firstLine="420" w:firstLineChars="200"/>
        <w:rPr>
          <w:color w:val="auto"/>
        </w:rPr>
      </w:pPr>
      <w:r>
        <w:rPr>
          <w:rFonts w:hint="eastAsia"/>
          <w:color w:val="auto"/>
        </w:rPr>
        <w:t>投标人应自行承担其参加投标活动自身发生的费用。</w:t>
      </w:r>
    </w:p>
    <w:p w14:paraId="0BF7DBBD">
      <w:pPr>
        <w:keepNext/>
        <w:keepLines/>
        <w:numPr>
          <w:ilvl w:val="0"/>
          <w:numId w:val="4"/>
        </w:numPr>
        <w:spacing w:before="360" w:line="288" w:lineRule="auto"/>
        <w:jc w:val="left"/>
        <w:outlineLvl w:val="2"/>
        <w:rPr>
          <w:rFonts w:ascii="黑体" w:hAnsi="宋体" w:eastAsia="黑体"/>
          <w:b/>
          <w:color w:val="auto"/>
          <w:sz w:val="21"/>
        </w:rPr>
      </w:pPr>
      <w:bookmarkStart w:id="27" w:name="_Toc169487781"/>
      <w:bookmarkStart w:id="28" w:name="_Toc155342533"/>
      <w:r>
        <w:rPr>
          <w:rFonts w:hint="eastAsia" w:ascii="黑体" w:hAnsi="宋体" w:eastAsia="黑体"/>
          <w:b/>
          <w:color w:val="auto"/>
          <w:sz w:val="21"/>
        </w:rPr>
        <w:t>现场条件</w:t>
      </w:r>
      <w:bookmarkEnd w:id="27"/>
      <w:bookmarkEnd w:id="28"/>
    </w:p>
    <w:p w14:paraId="5FEB1556">
      <w:pPr>
        <w:pStyle w:val="9"/>
        <w:numPr>
          <w:ilvl w:val="1"/>
          <w:numId w:val="4"/>
        </w:numPr>
        <w:ind w:firstLine="420" w:firstLineChars="200"/>
        <w:rPr>
          <w:color w:val="auto"/>
        </w:rPr>
      </w:pPr>
      <w:r>
        <w:rPr>
          <w:rFonts w:hint="eastAsia"/>
          <w:color w:val="auto"/>
        </w:rPr>
        <w:t>施工现场“三通一平”已经完成。</w:t>
      </w:r>
    </w:p>
    <w:p w14:paraId="1D0E7C8B">
      <w:pPr>
        <w:keepNext/>
        <w:keepLines/>
        <w:numPr>
          <w:ilvl w:val="0"/>
          <w:numId w:val="4"/>
        </w:numPr>
        <w:spacing w:before="360" w:line="288" w:lineRule="auto"/>
        <w:jc w:val="left"/>
        <w:outlineLvl w:val="2"/>
        <w:rPr>
          <w:rFonts w:ascii="黑体" w:hAnsi="宋体" w:eastAsia="黑体"/>
          <w:b/>
          <w:color w:val="auto"/>
          <w:sz w:val="21"/>
        </w:rPr>
      </w:pPr>
      <w:bookmarkStart w:id="29" w:name="_Toc155342534"/>
      <w:bookmarkStart w:id="30" w:name="_Toc169487782"/>
      <w:r>
        <w:rPr>
          <w:rFonts w:hint="eastAsia" w:ascii="黑体" w:hAnsi="宋体" w:eastAsia="黑体"/>
          <w:b/>
          <w:color w:val="auto"/>
          <w:sz w:val="21"/>
        </w:rPr>
        <w:t>踏勘现场</w:t>
      </w:r>
      <w:bookmarkEnd w:id="29"/>
      <w:bookmarkEnd w:id="30"/>
    </w:p>
    <w:p w14:paraId="381CEF93">
      <w:pPr>
        <w:pStyle w:val="9"/>
        <w:numPr>
          <w:ilvl w:val="1"/>
          <w:numId w:val="4"/>
        </w:numPr>
        <w:ind w:firstLine="420" w:firstLineChars="200"/>
        <w:rPr>
          <w:color w:val="auto"/>
        </w:rPr>
      </w:pPr>
      <w:r>
        <w:rPr>
          <w:rFonts w:hint="eastAsia"/>
          <w:color w:val="auto"/>
        </w:rPr>
        <w:t>投标人可对工程施工现场和周围环境进行踏勘，以获取编制投标文件和签署合同所需的资料。踏勘现场所发生的费用由投标人自己承担。</w:t>
      </w:r>
    </w:p>
    <w:p w14:paraId="053D978F">
      <w:pPr>
        <w:pStyle w:val="9"/>
        <w:numPr>
          <w:ilvl w:val="1"/>
          <w:numId w:val="4"/>
        </w:numPr>
        <w:ind w:firstLine="420" w:firstLineChars="200"/>
        <w:rPr>
          <w:color w:val="auto"/>
        </w:rPr>
      </w:pPr>
      <w:r>
        <w:rPr>
          <w:rFonts w:hint="eastAsia"/>
          <w:color w:val="auto"/>
        </w:rPr>
        <w:t>招标人向投标人提供的有关施工现场的资料和数据，是招标人现有的能使投标人利用的资料。招标人对投标人由此而作出的推论、理解、结论概不负责。</w:t>
      </w:r>
    </w:p>
    <w:p w14:paraId="6E34B7B9">
      <w:pPr>
        <w:pStyle w:val="9"/>
        <w:numPr>
          <w:ilvl w:val="1"/>
          <w:numId w:val="4"/>
        </w:numPr>
        <w:ind w:firstLine="420" w:firstLineChars="200"/>
        <w:rPr>
          <w:color w:val="auto"/>
        </w:rPr>
      </w:pPr>
      <w:r>
        <w:rPr>
          <w:rFonts w:hint="eastAsia"/>
          <w:color w:val="auto"/>
        </w:rPr>
        <w:t>除招标人向投标人提供本工程有关的情况外，投标人应通过自行调查取得与本工程施工承包可能发生的费用等有关的全部情况，包括交通、环保、治安等规定和要求。</w:t>
      </w:r>
    </w:p>
    <w:p w14:paraId="261E3D1B">
      <w:pPr>
        <w:numPr>
          <w:ilvl w:val="0"/>
          <w:numId w:val="3"/>
        </w:numPr>
        <w:spacing w:before="360" w:afterLines="50" w:line="320" w:lineRule="exact"/>
        <w:jc w:val="center"/>
        <w:outlineLvl w:val="1"/>
        <w:rPr>
          <w:rFonts w:ascii="Arial" w:hAnsi="Arial" w:eastAsia="黑体" w:cs="Arial"/>
          <w:b/>
          <w:color w:val="auto"/>
          <w:szCs w:val="24"/>
        </w:rPr>
      </w:pPr>
      <w:bookmarkStart w:id="31" w:name="_Toc20890"/>
      <w:bookmarkStart w:id="32" w:name="_Toc500209414"/>
      <w:bookmarkStart w:id="33" w:name="_Toc500208467"/>
      <w:bookmarkStart w:id="34" w:name="_Toc24275"/>
      <w:r>
        <w:rPr>
          <w:rFonts w:hint="eastAsia" w:ascii="Arial" w:hAnsi="Arial" w:eastAsia="黑体" w:cs="Arial"/>
          <w:b/>
          <w:color w:val="auto"/>
          <w:szCs w:val="24"/>
        </w:rPr>
        <w:t>招标文件</w:t>
      </w:r>
      <w:bookmarkEnd w:id="31"/>
      <w:bookmarkEnd w:id="32"/>
      <w:bookmarkEnd w:id="33"/>
      <w:bookmarkEnd w:id="34"/>
    </w:p>
    <w:p w14:paraId="15A22775">
      <w:pPr>
        <w:keepNext/>
        <w:keepLines/>
        <w:numPr>
          <w:ilvl w:val="0"/>
          <w:numId w:val="4"/>
        </w:numPr>
        <w:spacing w:before="360" w:line="288" w:lineRule="auto"/>
        <w:jc w:val="left"/>
        <w:outlineLvl w:val="2"/>
        <w:rPr>
          <w:rFonts w:ascii="黑体" w:hAnsi="宋体" w:eastAsia="黑体"/>
          <w:b/>
          <w:color w:val="auto"/>
          <w:sz w:val="21"/>
        </w:rPr>
      </w:pPr>
      <w:bookmarkStart w:id="35" w:name="_Toc500208468"/>
      <w:bookmarkStart w:id="36" w:name="_Toc169487784"/>
      <w:bookmarkStart w:id="37" w:name="_Toc155342536"/>
      <w:r>
        <w:rPr>
          <w:rFonts w:hint="eastAsia" w:ascii="黑体" w:hAnsi="宋体" w:eastAsia="黑体"/>
          <w:b/>
          <w:color w:val="auto"/>
          <w:sz w:val="21"/>
        </w:rPr>
        <w:t>招标文件的组成</w:t>
      </w:r>
      <w:bookmarkEnd w:id="35"/>
      <w:bookmarkEnd w:id="36"/>
      <w:bookmarkEnd w:id="37"/>
    </w:p>
    <w:p w14:paraId="0F94344C">
      <w:pPr>
        <w:pStyle w:val="9"/>
        <w:numPr>
          <w:ilvl w:val="1"/>
          <w:numId w:val="4"/>
        </w:numPr>
        <w:ind w:firstLine="420" w:firstLineChars="200"/>
        <w:rPr>
          <w:color w:val="auto"/>
        </w:rPr>
      </w:pPr>
      <w:r>
        <w:rPr>
          <w:rFonts w:hint="eastAsia"/>
          <w:color w:val="auto"/>
        </w:rPr>
        <w:t>招标文件包括下列内容：</w:t>
      </w:r>
    </w:p>
    <w:p w14:paraId="09F4D7C3">
      <w:pPr>
        <w:pStyle w:val="9"/>
        <w:ind w:firstLine="420" w:firstLineChars="200"/>
        <w:rPr>
          <w:color w:val="auto"/>
        </w:rPr>
      </w:pPr>
      <w:r>
        <w:rPr>
          <w:rFonts w:hint="eastAsia"/>
          <w:color w:val="auto"/>
        </w:rPr>
        <w:t>第一章 投标须知及投标须知前附表；</w:t>
      </w:r>
    </w:p>
    <w:p w14:paraId="141BFFF3">
      <w:pPr>
        <w:pStyle w:val="9"/>
        <w:ind w:firstLine="420" w:firstLineChars="200"/>
        <w:rPr>
          <w:color w:val="auto"/>
        </w:rPr>
      </w:pPr>
      <w:r>
        <w:rPr>
          <w:rFonts w:hint="eastAsia"/>
          <w:color w:val="auto"/>
        </w:rPr>
        <w:t>第二章 合同条款；</w:t>
      </w:r>
    </w:p>
    <w:p w14:paraId="6F73BDF0">
      <w:pPr>
        <w:pStyle w:val="9"/>
        <w:ind w:firstLine="420" w:firstLineChars="200"/>
        <w:rPr>
          <w:color w:val="auto"/>
        </w:rPr>
      </w:pPr>
      <w:r>
        <w:rPr>
          <w:rFonts w:hint="eastAsia"/>
          <w:color w:val="auto"/>
        </w:rPr>
        <w:t>第三章 评标办法；</w:t>
      </w:r>
    </w:p>
    <w:p w14:paraId="3194C8D1">
      <w:pPr>
        <w:pStyle w:val="9"/>
        <w:ind w:firstLine="422" w:firstLineChars="200"/>
        <w:rPr>
          <w:b/>
          <w:color w:val="auto"/>
        </w:rPr>
      </w:pPr>
      <w:r>
        <w:rPr>
          <w:rFonts w:hint="eastAsia"/>
          <w:b/>
          <w:color w:val="auto"/>
        </w:rPr>
        <w:t>第四章 投标文件格式；</w:t>
      </w:r>
    </w:p>
    <w:p w14:paraId="6E3A7953">
      <w:pPr>
        <w:pStyle w:val="9"/>
        <w:ind w:firstLine="422" w:firstLineChars="200"/>
        <w:rPr>
          <w:b/>
          <w:color w:val="auto"/>
        </w:rPr>
      </w:pPr>
      <w:r>
        <w:rPr>
          <w:rFonts w:hint="eastAsia"/>
          <w:b/>
          <w:color w:val="auto"/>
        </w:rPr>
        <w:t>其他附件材料：</w:t>
      </w:r>
    </w:p>
    <w:p w14:paraId="1F76FD67">
      <w:pPr>
        <w:pStyle w:val="9"/>
        <w:ind w:firstLine="422" w:firstLineChars="200"/>
        <w:rPr>
          <w:b/>
          <w:color w:val="auto"/>
        </w:rPr>
      </w:pPr>
      <w:r>
        <w:rPr>
          <w:rFonts w:hint="eastAsia"/>
          <w:b/>
          <w:color w:val="auto"/>
        </w:rPr>
        <w:t>（1）施工图预算书（以下简称招标人预算书）；</w:t>
      </w:r>
    </w:p>
    <w:p w14:paraId="74E41DD4">
      <w:pPr>
        <w:pStyle w:val="9"/>
        <w:ind w:firstLine="422" w:firstLineChars="200"/>
        <w:rPr>
          <w:b/>
          <w:color w:val="auto"/>
        </w:rPr>
      </w:pPr>
      <w:r>
        <w:rPr>
          <w:rFonts w:hint="eastAsia"/>
          <w:b/>
          <w:color w:val="auto"/>
        </w:rPr>
        <w:t>（2）施工图纸。</w:t>
      </w:r>
    </w:p>
    <w:p w14:paraId="5C83B76E">
      <w:pPr>
        <w:pStyle w:val="9"/>
        <w:numPr>
          <w:ilvl w:val="1"/>
          <w:numId w:val="4"/>
        </w:numPr>
        <w:ind w:firstLine="420" w:firstLineChars="200"/>
        <w:rPr>
          <w:color w:val="auto"/>
        </w:rPr>
      </w:pPr>
      <w:r>
        <w:rPr>
          <w:color w:val="auto"/>
        </w:rPr>
        <w:t>除</w:t>
      </w:r>
      <w:r>
        <w:rPr>
          <w:rFonts w:hint="eastAsia"/>
          <w:color w:val="auto"/>
        </w:rPr>
        <w:t>上款</w:t>
      </w:r>
      <w:r>
        <w:rPr>
          <w:color w:val="auto"/>
        </w:rPr>
        <w:t>内容外，招标人在提交投标文件截止时间</w:t>
      </w:r>
      <w:r>
        <w:rPr>
          <w:rFonts w:hint="eastAsia"/>
          <w:color w:val="auto"/>
        </w:rPr>
        <w:t>前，在交易场所（发布招标公告的媒体上）发布的对招标文件的澄清或修改内容，均为招标文件的组成部分，对招标人和投标人起约束作用。</w:t>
      </w:r>
    </w:p>
    <w:p w14:paraId="1BA93E6F">
      <w:pPr>
        <w:pStyle w:val="9"/>
        <w:numPr>
          <w:ilvl w:val="1"/>
          <w:numId w:val="4"/>
        </w:numPr>
        <w:ind w:firstLine="420"/>
        <w:rPr>
          <w:color w:val="auto"/>
        </w:rPr>
      </w:pPr>
      <w:r>
        <w:rPr>
          <w:color w:val="auto"/>
        </w:rPr>
        <w:t>投标人</w:t>
      </w:r>
      <w:r>
        <w:rPr>
          <w:rFonts w:hint="eastAsia"/>
          <w:color w:val="auto"/>
        </w:rPr>
        <w:t>通过在交易场所（发布招标公告的媒体上）自行下载的方式获取招标文件及相关附件。投标人在</w:t>
      </w:r>
      <w:r>
        <w:rPr>
          <w:color w:val="auto"/>
        </w:rPr>
        <w:t>获取招标文件后，应仔细检查招标文件的所有内容，如有残缺等问题应</w:t>
      </w:r>
      <w:r>
        <w:rPr>
          <w:rFonts w:hint="eastAsia"/>
          <w:color w:val="auto"/>
        </w:rPr>
        <w:t>自招标文件发布在交易场所（发布招标公告的媒体上）</w:t>
      </w:r>
      <w:r>
        <w:rPr>
          <w:rFonts w:hint="eastAsia"/>
          <w:color w:val="auto"/>
          <w:lang w:val="en-US" w:eastAsia="zh-CN"/>
        </w:rPr>
        <w:t>2</w:t>
      </w:r>
      <w:r>
        <w:rPr>
          <w:rFonts w:hint="eastAsia"/>
          <w:color w:val="auto"/>
        </w:rPr>
        <w:t>日内</w:t>
      </w:r>
      <w:r>
        <w:rPr>
          <w:color w:val="auto"/>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F05ED46">
      <w:pPr>
        <w:keepNext/>
        <w:keepLines/>
        <w:numPr>
          <w:ilvl w:val="0"/>
          <w:numId w:val="4"/>
        </w:numPr>
        <w:spacing w:before="360" w:line="288" w:lineRule="auto"/>
        <w:jc w:val="left"/>
        <w:outlineLvl w:val="2"/>
        <w:rPr>
          <w:rFonts w:ascii="黑体" w:hAnsi="宋体" w:eastAsia="黑体"/>
          <w:b/>
          <w:color w:val="auto"/>
          <w:sz w:val="21"/>
        </w:rPr>
      </w:pPr>
      <w:bookmarkStart w:id="38" w:name="_Toc500208469"/>
      <w:bookmarkStart w:id="39" w:name="_Toc169487785"/>
      <w:bookmarkStart w:id="40" w:name="_Toc155342537"/>
      <w:r>
        <w:rPr>
          <w:rFonts w:hint="eastAsia" w:ascii="黑体" w:hAnsi="宋体" w:eastAsia="黑体"/>
          <w:b/>
          <w:color w:val="auto"/>
          <w:sz w:val="21"/>
        </w:rPr>
        <w:t>招标文件的</w:t>
      </w:r>
      <w:bookmarkEnd w:id="38"/>
      <w:r>
        <w:rPr>
          <w:rFonts w:hint="eastAsia" w:ascii="黑体" w:hAnsi="宋体" w:eastAsia="黑体"/>
          <w:b/>
          <w:color w:val="auto"/>
          <w:sz w:val="21"/>
        </w:rPr>
        <w:t>澄清</w:t>
      </w:r>
      <w:bookmarkEnd w:id="39"/>
      <w:bookmarkEnd w:id="40"/>
    </w:p>
    <w:p w14:paraId="35E24A80">
      <w:pPr>
        <w:pStyle w:val="9"/>
        <w:numPr>
          <w:ilvl w:val="1"/>
          <w:numId w:val="4"/>
        </w:numPr>
        <w:ind w:firstLine="420" w:firstLineChars="200"/>
        <w:rPr>
          <w:color w:val="auto"/>
        </w:rPr>
      </w:pPr>
      <w:r>
        <w:rPr>
          <w:rFonts w:hint="eastAsia"/>
          <w:color w:val="auto"/>
        </w:rPr>
        <w:t>投标人投标人获取招标文件后，若有问题需要澄清，应自招标文件发布在交易场所（发布招标公告的媒体上）</w:t>
      </w:r>
      <w:r>
        <w:rPr>
          <w:rFonts w:hint="eastAsia"/>
          <w:color w:val="auto"/>
          <w:lang w:val="en-US" w:eastAsia="zh-CN"/>
        </w:rPr>
        <w:t>2</w:t>
      </w:r>
      <w:r>
        <w:rPr>
          <w:rFonts w:hint="eastAsia"/>
          <w:color w:val="auto"/>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EB5A1D9">
      <w:pPr>
        <w:keepNext/>
        <w:keepLines/>
        <w:numPr>
          <w:ilvl w:val="0"/>
          <w:numId w:val="4"/>
        </w:numPr>
        <w:spacing w:before="360" w:line="288" w:lineRule="auto"/>
        <w:jc w:val="left"/>
        <w:outlineLvl w:val="2"/>
        <w:rPr>
          <w:rFonts w:ascii="黑体" w:hAnsi="宋体" w:eastAsia="黑体"/>
          <w:b/>
          <w:color w:val="auto"/>
          <w:sz w:val="21"/>
        </w:rPr>
      </w:pPr>
      <w:bookmarkStart w:id="41" w:name="_Toc155342538"/>
      <w:bookmarkStart w:id="42" w:name="_Toc500208470"/>
      <w:bookmarkStart w:id="43" w:name="_Toc169487786"/>
      <w:r>
        <w:rPr>
          <w:rFonts w:hint="eastAsia" w:ascii="黑体" w:hAnsi="宋体" w:eastAsia="黑体"/>
          <w:b/>
          <w:color w:val="auto"/>
          <w:sz w:val="21"/>
        </w:rPr>
        <w:t>招标文件的修改</w:t>
      </w:r>
      <w:bookmarkEnd w:id="41"/>
      <w:bookmarkEnd w:id="42"/>
      <w:bookmarkEnd w:id="43"/>
    </w:p>
    <w:p w14:paraId="2726F6D0">
      <w:pPr>
        <w:pStyle w:val="9"/>
        <w:numPr>
          <w:ilvl w:val="1"/>
          <w:numId w:val="4"/>
        </w:numPr>
        <w:ind w:firstLine="420" w:firstLineChars="200"/>
        <w:rPr>
          <w:color w:val="auto"/>
        </w:rPr>
      </w:pPr>
      <w:r>
        <w:rPr>
          <w:rFonts w:hint="eastAsia"/>
          <w:color w:val="auto"/>
        </w:rPr>
        <w:t>在投标截止时间2天前，招标人可以书面形式修改招标文件，并发布在交易场所（发布招标公告的媒体上）。如果修改招标文件的时间距投标截止时间不足2天，相应延长投标截止时间。</w:t>
      </w:r>
    </w:p>
    <w:p w14:paraId="7E7B8A07">
      <w:pPr>
        <w:pStyle w:val="9"/>
        <w:spacing w:line="360" w:lineRule="exact"/>
        <w:ind w:left="425"/>
        <w:rPr>
          <w:color w:val="auto"/>
        </w:rPr>
      </w:pPr>
      <w:r>
        <w:rPr>
          <w:rFonts w:hint="eastAsia"/>
          <w:color w:val="auto"/>
        </w:rPr>
        <w:t>10.2在在投标截止日期前，招标人可能以补充通知的方式修改招标文件。</w:t>
      </w:r>
    </w:p>
    <w:p w14:paraId="7D741885">
      <w:pPr>
        <w:pStyle w:val="9"/>
        <w:spacing w:line="360" w:lineRule="exact"/>
        <w:ind w:left="425"/>
        <w:rPr>
          <w:color w:val="auto"/>
        </w:rPr>
      </w:pPr>
      <w:r>
        <w:rPr>
          <w:rFonts w:hint="eastAsia"/>
          <w:color w:val="auto"/>
        </w:rPr>
        <w:t>10.3</w:t>
      </w:r>
      <w:r>
        <w:rPr>
          <w:color w:val="auto"/>
        </w:rPr>
        <w:t>招标文件的澄清、修改、补充等内容均以</w:t>
      </w:r>
      <w:r>
        <w:rPr>
          <w:rFonts w:hint="eastAsia"/>
          <w:color w:val="auto"/>
        </w:rPr>
        <w:t>发布在交易场所（发布招标公告的媒体上）</w:t>
      </w:r>
      <w:r>
        <w:rPr>
          <w:color w:val="auto"/>
        </w:rPr>
        <w:t>的内容为准。当招标文件、招标文件的澄清、修改、补充等在同一内容的表述上不一致时，以最后发出的文件为准。</w:t>
      </w:r>
    </w:p>
    <w:p w14:paraId="3DE6D6E7">
      <w:pPr>
        <w:pStyle w:val="9"/>
        <w:ind w:left="421"/>
        <w:rPr>
          <w:color w:val="auto"/>
        </w:rPr>
      </w:pPr>
      <w:r>
        <w:rPr>
          <w:rFonts w:hint="eastAsia"/>
          <w:color w:val="auto"/>
        </w:rPr>
        <w:t>10.4招标文件的澄清、修改、补充等内容将发布在交易场所（发布招标公告的媒体上），这些内容作为招标文件的组成部分，对投标人起约束作用。</w:t>
      </w:r>
    </w:p>
    <w:p w14:paraId="04349255">
      <w:pPr>
        <w:pStyle w:val="9"/>
        <w:rPr>
          <w:color w:val="auto"/>
        </w:rPr>
      </w:pPr>
    </w:p>
    <w:p w14:paraId="1DE5BD1D">
      <w:pPr>
        <w:keepNext/>
        <w:keepLines/>
        <w:numPr>
          <w:ilvl w:val="0"/>
          <w:numId w:val="4"/>
        </w:numPr>
        <w:spacing w:before="360" w:line="288" w:lineRule="auto"/>
        <w:jc w:val="left"/>
        <w:outlineLvl w:val="2"/>
        <w:rPr>
          <w:rFonts w:ascii="黑体" w:hAnsi="宋体" w:eastAsia="黑体"/>
          <w:b/>
          <w:color w:val="auto"/>
          <w:sz w:val="21"/>
        </w:rPr>
      </w:pPr>
      <w:bookmarkStart w:id="44" w:name="_Toc155342539"/>
      <w:bookmarkStart w:id="45" w:name="_Toc169487787"/>
      <w:r>
        <w:rPr>
          <w:rFonts w:hint="eastAsia" w:ascii="黑体" w:hAnsi="宋体" w:eastAsia="黑体"/>
          <w:b/>
          <w:color w:val="auto"/>
          <w:sz w:val="21"/>
        </w:rPr>
        <w:t>招标文件的备案</w:t>
      </w:r>
      <w:bookmarkEnd w:id="44"/>
      <w:bookmarkEnd w:id="45"/>
    </w:p>
    <w:p w14:paraId="445D2FA7">
      <w:pPr>
        <w:pStyle w:val="9"/>
        <w:numPr>
          <w:ilvl w:val="1"/>
          <w:numId w:val="4"/>
        </w:numPr>
        <w:ind w:firstLine="420" w:firstLineChars="200"/>
        <w:rPr>
          <w:color w:val="auto"/>
        </w:rPr>
      </w:pPr>
      <w:r>
        <w:rPr>
          <w:rFonts w:hint="eastAsia"/>
          <w:color w:val="auto"/>
        </w:rPr>
        <w:t>本招标文件（包括澄清、修改、补充文件、答复等）未经</w:t>
      </w:r>
      <w:r>
        <w:rPr>
          <w:rFonts w:hint="eastAsia" w:cs="宋体"/>
          <w:color w:val="auto"/>
        </w:rPr>
        <w:t>招标监管机构</w:t>
      </w:r>
      <w:r>
        <w:rPr>
          <w:rFonts w:hint="eastAsia"/>
          <w:color w:val="auto"/>
        </w:rPr>
        <w:t>备案的一律无效。</w:t>
      </w:r>
    </w:p>
    <w:p w14:paraId="218794E7">
      <w:pPr>
        <w:keepNext/>
        <w:keepLines/>
        <w:numPr>
          <w:ilvl w:val="0"/>
          <w:numId w:val="4"/>
        </w:numPr>
        <w:spacing w:before="360" w:line="288" w:lineRule="auto"/>
        <w:jc w:val="left"/>
        <w:outlineLvl w:val="2"/>
        <w:rPr>
          <w:rFonts w:ascii="黑体" w:hAnsi="宋体" w:eastAsia="黑体"/>
          <w:b/>
          <w:color w:val="auto"/>
          <w:sz w:val="21"/>
        </w:rPr>
      </w:pPr>
      <w:bookmarkStart w:id="46" w:name="_Toc169487788"/>
      <w:bookmarkStart w:id="47" w:name="_Toc155342540"/>
      <w:r>
        <w:rPr>
          <w:rFonts w:hint="eastAsia" w:ascii="黑体" w:hAnsi="宋体" w:eastAsia="黑体"/>
          <w:b/>
          <w:color w:val="auto"/>
          <w:sz w:val="21"/>
        </w:rPr>
        <w:t>招标文件的解释权</w:t>
      </w:r>
      <w:bookmarkEnd w:id="46"/>
      <w:bookmarkEnd w:id="47"/>
    </w:p>
    <w:p w14:paraId="1C8AAAB6">
      <w:pPr>
        <w:pStyle w:val="9"/>
        <w:numPr>
          <w:ilvl w:val="1"/>
          <w:numId w:val="4"/>
        </w:numPr>
        <w:ind w:firstLine="420" w:firstLineChars="200"/>
        <w:rPr>
          <w:color w:val="auto"/>
        </w:rPr>
      </w:pPr>
      <w:r>
        <w:rPr>
          <w:rFonts w:hint="eastAsia"/>
          <w:color w:val="auto"/>
        </w:rPr>
        <w:t>本招标文件（包括澄清、修改、补充文件、答复等）的解释权属</w:t>
      </w:r>
      <w:r>
        <w:rPr>
          <w:rFonts w:hint="eastAsia" w:cs="宋体"/>
          <w:color w:val="auto"/>
        </w:rPr>
        <w:t>招标人</w:t>
      </w:r>
      <w:r>
        <w:rPr>
          <w:rFonts w:hint="eastAsia"/>
          <w:color w:val="auto"/>
        </w:rPr>
        <w:t>。</w:t>
      </w:r>
    </w:p>
    <w:p w14:paraId="554A1373">
      <w:pPr>
        <w:numPr>
          <w:ilvl w:val="0"/>
          <w:numId w:val="3"/>
        </w:numPr>
        <w:spacing w:before="360" w:afterLines="50" w:line="320" w:lineRule="exact"/>
        <w:jc w:val="center"/>
        <w:outlineLvl w:val="1"/>
        <w:rPr>
          <w:rFonts w:ascii="Arial" w:hAnsi="Arial" w:eastAsia="黑体" w:cs="Arial"/>
          <w:b/>
          <w:color w:val="auto"/>
          <w:szCs w:val="24"/>
        </w:rPr>
      </w:pPr>
      <w:bookmarkStart w:id="48" w:name="_Toc20604"/>
      <w:bookmarkStart w:id="49" w:name="_Toc7036"/>
      <w:bookmarkStart w:id="50" w:name="_Toc500208475"/>
      <w:bookmarkStart w:id="51" w:name="_Toc500209416"/>
      <w:r>
        <w:rPr>
          <w:rFonts w:hint="eastAsia" w:ascii="Arial" w:hAnsi="Arial" w:eastAsia="黑体" w:cs="Arial"/>
          <w:b/>
          <w:color w:val="auto"/>
          <w:szCs w:val="24"/>
        </w:rPr>
        <w:t>投标文件的编制</w:t>
      </w:r>
      <w:bookmarkEnd w:id="48"/>
      <w:bookmarkEnd w:id="49"/>
      <w:bookmarkEnd w:id="50"/>
      <w:bookmarkEnd w:id="51"/>
    </w:p>
    <w:p w14:paraId="53A65DAC">
      <w:pPr>
        <w:keepNext/>
        <w:keepLines/>
        <w:numPr>
          <w:ilvl w:val="0"/>
          <w:numId w:val="4"/>
        </w:numPr>
        <w:spacing w:before="360" w:line="288" w:lineRule="auto"/>
        <w:jc w:val="left"/>
        <w:outlineLvl w:val="2"/>
        <w:rPr>
          <w:rFonts w:ascii="黑体" w:hAnsi="宋体" w:eastAsia="黑体"/>
          <w:b/>
          <w:color w:val="auto"/>
          <w:sz w:val="21"/>
        </w:rPr>
      </w:pPr>
      <w:bookmarkStart w:id="52" w:name="_Toc169487790"/>
      <w:bookmarkStart w:id="53" w:name="_Toc69095786"/>
      <w:bookmarkStart w:id="54" w:name="_Toc155342542"/>
      <w:bookmarkStart w:id="55" w:name="_Toc500208476"/>
      <w:bookmarkStart w:id="56" w:name="_Toc500208477"/>
      <w:r>
        <w:rPr>
          <w:rFonts w:hint="eastAsia" w:ascii="黑体" w:hAnsi="宋体" w:eastAsia="黑体"/>
          <w:b/>
          <w:color w:val="auto"/>
          <w:sz w:val="21"/>
        </w:rPr>
        <w:t>投标文件的组成</w:t>
      </w:r>
      <w:bookmarkEnd w:id="52"/>
      <w:bookmarkEnd w:id="53"/>
      <w:bookmarkEnd w:id="54"/>
      <w:bookmarkEnd w:id="55"/>
    </w:p>
    <w:p w14:paraId="2C3DFACB">
      <w:pPr>
        <w:pStyle w:val="9"/>
        <w:numPr>
          <w:ilvl w:val="1"/>
          <w:numId w:val="4"/>
        </w:numPr>
        <w:ind w:firstLine="420" w:firstLineChars="200"/>
        <w:rPr>
          <w:color w:val="auto"/>
        </w:rPr>
      </w:pPr>
      <w:r>
        <w:rPr>
          <w:rFonts w:hint="eastAsia"/>
          <w:color w:val="auto"/>
        </w:rPr>
        <w:t>本招标工程项目的投标文件组成详见本须知前附表第14项。</w:t>
      </w:r>
    </w:p>
    <w:p w14:paraId="253FB8FA">
      <w:pPr>
        <w:keepNext/>
        <w:keepLines/>
        <w:numPr>
          <w:ilvl w:val="0"/>
          <w:numId w:val="4"/>
        </w:numPr>
        <w:spacing w:before="360" w:line="288" w:lineRule="auto"/>
        <w:jc w:val="left"/>
        <w:outlineLvl w:val="2"/>
        <w:rPr>
          <w:rFonts w:ascii="黑体" w:hAnsi="宋体" w:eastAsia="黑体"/>
          <w:b/>
          <w:color w:val="auto"/>
          <w:sz w:val="21"/>
        </w:rPr>
      </w:pPr>
      <w:bookmarkStart w:id="57" w:name="_Toc155342544"/>
      <w:bookmarkStart w:id="58" w:name="_Toc169487791"/>
      <w:r>
        <w:rPr>
          <w:rFonts w:hint="eastAsia" w:ascii="黑体" w:hAnsi="宋体" w:eastAsia="黑体"/>
          <w:b/>
          <w:color w:val="auto"/>
          <w:sz w:val="21"/>
        </w:rPr>
        <w:t>投标文件的格式</w:t>
      </w:r>
      <w:bookmarkEnd w:id="57"/>
      <w:bookmarkEnd w:id="58"/>
    </w:p>
    <w:p w14:paraId="03CD0ABF">
      <w:pPr>
        <w:pStyle w:val="9"/>
        <w:numPr>
          <w:ilvl w:val="1"/>
          <w:numId w:val="4"/>
        </w:numPr>
        <w:ind w:firstLine="420" w:firstLineChars="200"/>
        <w:rPr>
          <w:color w:val="auto"/>
        </w:rPr>
      </w:pPr>
      <w:r>
        <w:rPr>
          <w:rFonts w:hint="eastAsia"/>
          <w:color w:val="auto"/>
        </w:rPr>
        <w:t>本招标工程项目的投标文件格式要求详见本须知前附表第15项。</w:t>
      </w:r>
    </w:p>
    <w:p w14:paraId="2013096A">
      <w:pPr>
        <w:keepNext/>
        <w:keepLines/>
        <w:numPr>
          <w:ilvl w:val="0"/>
          <w:numId w:val="4"/>
        </w:numPr>
        <w:spacing w:before="360" w:line="288" w:lineRule="auto"/>
        <w:jc w:val="left"/>
        <w:outlineLvl w:val="2"/>
        <w:rPr>
          <w:rFonts w:ascii="黑体" w:hAnsi="宋体" w:eastAsia="黑体"/>
          <w:b/>
          <w:color w:val="auto"/>
          <w:sz w:val="21"/>
        </w:rPr>
      </w:pPr>
      <w:bookmarkStart w:id="59" w:name="_Toc155342545"/>
      <w:bookmarkStart w:id="60" w:name="_Toc169487792"/>
      <w:r>
        <w:rPr>
          <w:rFonts w:hint="eastAsia" w:ascii="黑体" w:hAnsi="宋体" w:eastAsia="黑体"/>
          <w:b/>
          <w:color w:val="auto"/>
          <w:sz w:val="21"/>
        </w:rPr>
        <w:t>投标报价组成</w:t>
      </w:r>
      <w:bookmarkEnd w:id="59"/>
      <w:bookmarkEnd w:id="60"/>
    </w:p>
    <w:p w14:paraId="50457ACF">
      <w:pPr>
        <w:pStyle w:val="9"/>
        <w:numPr>
          <w:ilvl w:val="1"/>
          <w:numId w:val="4"/>
        </w:numPr>
        <w:ind w:left="0" w:firstLine="420" w:firstLineChars="200"/>
        <w:rPr>
          <w:color w:val="auto"/>
        </w:rPr>
      </w:pPr>
      <w:r>
        <w:rPr>
          <w:rFonts w:hint="eastAsia"/>
          <w:color w:val="auto"/>
        </w:rPr>
        <w:t>报价方式：本工程项目报价方式详见本须知前附表第16项。</w:t>
      </w:r>
      <w:bookmarkStart w:id="61" w:name="_Toc500208474"/>
    </w:p>
    <w:p w14:paraId="1594FF6B">
      <w:pPr>
        <w:pStyle w:val="9"/>
        <w:numPr>
          <w:ilvl w:val="1"/>
          <w:numId w:val="4"/>
        </w:numPr>
        <w:ind w:left="0" w:firstLine="420" w:firstLineChars="200"/>
        <w:rPr>
          <w:color w:val="auto"/>
        </w:rPr>
      </w:pPr>
      <w:r>
        <w:rPr>
          <w:rFonts w:hint="eastAsia"/>
          <w:color w:val="auto"/>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12931B09">
      <w:pPr>
        <w:keepNext/>
        <w:keepLines/>
        <w:numPr>
          <w:ilvl w:val="0"/>
          <w:numId w:val="4"/>
        </w:numPr>
        <w:spacing w:before="360" w:line="288" w:lineRule="auto"/>
        <w:jc w:val="left"/>
        <w:outlineLvl w:val="2"/>
        <w:rPr>
          <w:rFonts w:ascii="黑体" w:hAnsi="宋体" w:eastAsia="黑体"/>
          <w:b/>
          <w:color w:val="auto"/>
          <w:sz w:val="21"/>
        </w:rPr>
      </w:pPr>
      <w:bookmarkStart w:id="62" w:name="_Toc155342546"/>
      <w:bookmarkStart w:id="63" w:name="_Toc169487793"/>
      <w:r>
        <w:rPr>
          <w:rFonts w:hint="eastAsia" w:ascii="黑体" w:hAnsi="宋体" w:eastAsia="黑体"/>
          <w:b/>
          <w:color w:val="auto"/>
          <w:sz w:val="21"/>
        </w:rPr>
        <w:t>投标报价要求</w:t>
      </w:r>
      <w:bookmarkEnd w:id="62"/>
      <w:bookmarkEnd w:id="63"/>
    </w:p>
    <w:p w14:paraId="16CEEDD0">
      <w:pPr>
        <w:pStyle w:val="9"/>
        <w:numPr>
          <w:ilvl w:val="1"/>
          <w:numId w:val="4"/>
        </w:numPr>
        <w:ind w:firstLine="420" w:firstLineChars="200"/>
        <w:rPr>
          <w:color w:val="auto"/>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05333E7">
      <w:pPr>
        <w:pStyle w:val="9"/>
        <w:numPr>
          <w:ilvl w:val="1"/>
          <w:numId w:val="4"/>
        </w:numPr>
        <w:ind w:firstLine="420" w:firstLineChars="200"/>
        <w:rPr>
          <w:color w:val="auto"/>
        </w:rPr>
      </w:pPr>
      <w:r>
        <w:rPr>
          <w:rFonts w:hint="eastAsia"/>
          <w:color w:val="auto"/>
        </w:rPr>
        <w:t>附件中除空白部分由投标人自报外，其余内容作为投标报价的共同基础</w:t>
      </w:r>
      <w:r>
        <w:rPr>
          <w:rFonts w:hint="eastAsia" w:ascii="黑体" w:eastAsia="黑体"/>
          <w:color w:val="auto"/>
        </w:rPr>
        <w:t>。</w:t>
      </w:r>
    </w:p>
    <w:p w14:paraId="417F8A47">
      <w:pPr>
        <w:pStyle w:val="9"/>
        <w:numPr>
          <w:ilvl w:val="1"/>
          <w:numId w:val="4"/>
        </w:numPr>
        <w:ind w:firstLine="422" w:firstLineChars="200"/>
        <w:rPr>
          <w:rFonts w:ascii="黑体" w:eastAsia="黑体"/>
          <w:b/>
          <w:color w:val="auto"/>
        </w:rPr>
      </w:pPr>
      <w:r>
        <w:rPr>
          <w:rFonts w:hint="eastAsia" w:ascii="黑体" w:eastAsia="黑体"/>
          <w:b/>
          <w:bCs/>
          <w:color w:val="auto"/>
        </w:rPr>
        <w:t>投标人的报价要求详见</w:t>
      </w:r>
      <w:r>
        <w:rPr>
          <w:rFonts w:hint="eastAsia" w:ascii="黑体" w:eastAsia="黑体"/>
          <w:b/>
          <w:color w:val="auto"/>
        </w:rPr>
        <w:t>本须知前附表第17项，未</w:t>
      </w:r>
      <w:r>
        <w:rPr>
          <w:rFonts w:hint="eastAsia" w:ascii="黑体" w:eastAsia="黑体"/>
          <w:b/>
          <w:bCs/>
          <w:color w:val="auto"/>
        </w:rPr>
        <w:t>按要求报价的，作无效标处理</w:t>
      </w:r>
      <w:r>
        <w:rPr>
          <w:rFonts w:hint="eastAsia" w:ascii="黑体" w:eastAsia="黑体"/>
          <w:b/>
          <w:color w:val="auto"/>
        </w:rPr>
        <w:t>。</w:t>
      </w:r>
    </w:p>
    <w:bookmarkEnd w:id="61"/>
    <w:p w14:paraId="0AE581DC">
      <w:pPr>
        <w:keepNext/>
        <w:keepLines/>
        <w:numPr>
          <w:ilvl w:val="0"/>
          <w:numId w:val="4"/>
        </w:numPr>
        <w:spacing w:before="360" w:line="288" w:lineRule="auto"/>
        <w:jc w:val="left"/>
        <w:outlineLvl w:val="2"/>
        <w:rPr>
          <w:rFonts w:ascii="黑体" w:hAnsi="宋体" w:eastAsia="黑体"/>
          <w:b/>
          <w:color w:val="auto"/>
          <w:sz w:val="21"/>
        </w:rPr>
      </w:pPr>
      <w:bookmarkStart w:id="64" w:name="_Toc169487794"/>
      <w:bookmarkStart w:id="65" w:name="_Toc155342547"/>
      <w:r>
        <w:rPr>
          <w:rFonts w:hint="eastAsia" w:ascii="黑体" w:hAnsi="宋体" w:eastAsia="黑体"/>
          <w:b/>
          <w:color w:val="auto"/>
          <w:sz w:val="21"/>
        </w:rPr>
        <w:t>投标</w:t>
      </w:r>
      <w:bookmarkEnd w:id="56"/>
      <w:r>
        <w:rPr>
          <w:rFonts w:hint="eastAsia" w:ascii="黑体" w:hAnsi="宋体" w:eastAsia="黑体"/>
          <w:b/>
          <w:color w:val="auto"/>
          <w:sz w:val="21"/>
        </w:rPr>
        <w:t>担保</w:t>
      </w:r>
      <w:bookmarkEnd w:id="64"/>
      <w:bookmarkEnd w:id="65"/>
    </w:p>
    <w:p w14:paraId="2A5CC12C">
      <w:pPr>
        <w:pStyle w:val="9"/>
        <w:numPr>
          <w:ilvl w:val="1"/>
          <w:numId w:val="4"/>
        </w:numPr>
        <w:ind w:firstLine="420" w:firstLineChars="200"/>
        <w:rPr>
          <w:color w:val="auto"/>
        </w:rPr>
      </w:pPr>
      <w:r>
        <w:rPr>
          <w:rFonts w:hint="eastAsia"/>
          <w:color w:val="auto"/>
        </w:rPr>
        <w:t>投标人在递交投标文件的同时，应按投标人须知前附表规定递交担保。</w:t>
      </w:r>
    </w:p>
    <w:p w14:paraId="62DBC4A8">
      <w:pPr>
        <w:pStyle w:val="9"/>
        <w:numPr>
          <w:ilvl w:val="1"/>
          <w:numId w:val="4"/>
        </w:numPr>
        <w:ind w:firstLine="420" w:firstLineChars="200"/>
        <w:rPr>
          <w:color w:val="auto"/>
        </w:rPr>
      </w:pPr>
      <w:r>
        <w:rPr>
          <w:rFonts w:hint="eastAsia"/>
          <w:color w:val="auto"/>
        </w:rPr>
        <w:t>投标人未能按本章17.1项要求提交投标担保的，招标人将视为不响应投标而予以拒绝。</w:t>
      </w:r>
    </w:p>
    <w:p w14:paraId="6C3B8934">
      <w:pPr>
        <w:pStyle w:val="9"/>
        <w:numPr>
          <w:ilvl w:val="1"/>
          <w:numId w:val="4"/>
        </w:numPr>
        <w:ind w:firstLine="420" w:firstLineChars="200"/>
        <w:rPr>
          <w:color w:val="auto"/>
        </w:rPr>
      </w:pPr>
      <w:r>
        <w:rPr>
          <w:rFonts w:hint="eastAsia"/>
          <w:color w:val="auto"/>
        </w:rPr>
        <w:t>投标担保按以下方式退还：</w:t>
      </w:r>
    </w:p>
    <w:p w14:paraId="5E39C86C">
      <w:pPr>
        <w:pStyle w:val="9"/>
        <w:ind w:firstLine="420" w:firstLineChars="200"/>
        <w:rPr>
          <w:color w:val="auto"/>
        </w:rPr>
      </w:pPr>
      <w:r>
        <w:rPr>
          <w:rFonts w:hint="eastAsia"/>
          <w:color w:val="auto"/>
        </w:rPr>
        <w:t>（1）未中标人投标保证金在中标公告发布后可退回；</w:t>
      </w:r>
    </w:p>
    <w:p w14:paraId="2CEA77C8">
      <w:pPr>
        <w:pStyle w:val="9"/>
        <w:ind w:firstLine="420" w:firstLineChars="200"/>
        <w:rPr>
          <w:color w:val="auto"/>
        </w:rPr>
      </w:pPr>
      <w:r>
        <w:rPr>
          <w:rFonts w:hint="eastAsia"/>
          <w:color w:val="auto"/>
        </w:rPr>
        <w:t>（2）中标人的投标保证金在缴纳履约保证金和签订合同后退回。</w:t>
      </w:r>
    </w:p>
    <w:p w14:paraId="176195DC">
      <w:pPr>
        <w:pStyle w:val="9"/>
        <w:numPr>
          <w:ilvl w:val="1"/>
          <w:numId w:val="4"/>
        </w:numPr>
        <w:ind w:firstLine="420" w:firstLineChars="200"/>
        <w:rPr>
          <w:color w:val="auto"/>
        </w:rPr>
      </w:pPr>
      <w:r>
        <w:rPr>
          <w:rFonts w:hint="eastAsia"/>
          <w:color w:val="auto"/>
        </w:rPr>
        <w:t>如投标人有下列情况，投标担保将被没收：</w:t>
      </w:r>
    </w:p>
    <w:p w14:paraId="614947AF">
      <w:pPr>
        <w:spacing w:line="288" w:lineRule="auto"/>
        <w:ind w:left="-6" w:leftChars="-2" w:firstLine="420" w:firstLineChars="200"/>
        <w:rPr>
          <w:rFonts w:ascii="宋体" w:hAnsi="宋体" w:eastAsia="宋体"/>
          <w:color w:val="auto"/>
          <w:sz w:val="21"/>
        </w:rPr>
      </w:pPr>
      <w:r>
        <w:rPr>
          <w:rFonts w:hint="eastAsia" w:ascii="宋体" w:hAnsi="宋体" w:eastAsia="宋体"/>
          <w:color w:val="auto"/>
          <w:sz w:val="21"/>
        </w:rPr>
        <w:t>（1）投标人在投标有效期内撤销其投标文件；</w:t>
      </w:r>
    </w:p>
    <w:p w14:paraId="355B9596">
      <w:pPr>
        <w:spacing w:line="288" w:lineRule="auto"/>
        <w:ind w:firstLine="420" w:firstLineChars="200"/>
        <w:rPr>
          <w:rFonts w:ascii="宋体" w:hAnsi="宋体" w:eastAsia="宋体"/>
          <w:color w:val="auto"/>
          <w:sz w:val="21"/>
        </w:rPr>
      </w:pPr>
      <w:r>
        <w:rPr>
          <w:rFonts w:hint="eastAsia" w:ascii="宋体" w:hAnsi="宋体" w:eastAsia="宋体"/>
          <w:color w:val="auto"/>
          <w:sz w:val="21"/>
        </w:rPr>
        <w:t>（2）中标人未能在规定期限内提交履约担保或签署合同协议；</w:t>
      </w:r>
    </w:p>
    <w:p w14:paraId="0D0F08A2">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（3）投标人在投标期间内有串标、哄抬标价等违法违规行为；</w:t>
      </w:r>
    </w:p>
    <w:p w14:paraId="50C14ADE">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（4）投标人违反《临海市建设工程诚信投标承诺书》承诺内容的；</w:t>
      </w:r>
    </w:p>
    <w:p w14:paraId="131ADE04">
      <w:pPr>
        <w:spacing w:line="288" w:lineRule="auto"/>
        <w:ind w:firstLine="420" w:firstLineChars="200"/>
        <w:rPr>
          <w:rFonts w:ascii="宋体" w:hAnsi="宋体" w:eastAsia="宋体"/>
          <w:color w:val="auto"/>
          <w:sz w:val="21"/>
        </w:rPr>
      </w:pPr>
      <w:r>
        <w:rPr>
          <w:rFonts w:hint="eastAsia" w:ascii="宋体" w:hAnsi="宋体" w:eastAsia="宋体"/>
          <w:color w:val="auto"/>
          <w:sz w:val="21"/>
          <w:szCs w:val="22"/>
        </w:rPr>
        <w:t>（5）投标人自动放弃中标候选人或中标资格的（没收的投标担保不能弥补由于其放弃中标权而给招标人造成报价的差额损失的，由放弃中标权的中标候选人承担）。</w:t>
      </w:r>
    </w:p>
    <w:p w14:paraId="4FF6CD30">
      <w:pPr>
        <w:keepNext/>
        <w:keepLines/>
        <w:numPr>
          <w:ilvl w:val="0"/>
          <w:numId w:val="4"/>
        </w:numPr>
        <w:spacing w:before="360" w:line="288" w:lineRule="auto"/>
        <w:jc w:val="left"/>
        <w:outlineLvl w:val="2"/>
        <w:rPr>
          <w:rFonts w:ascii="黑体" w:hAnsi="宋体" w:eastAsia="黑体"/>
          <w:b/>
          <w:color w:val="auto"/>
          <w:sz w:val="21"/>
        </w:rPr>
      </w:pPr>
      <w:bookmarkStart w:id="66" w:name="_Toc155342548"/>
      <w:bookmarkStart w:id="67" w:name="_Toc169487795"/>
      <w:bookmarkStart w:id="68" w:name="_Toc500208478"/>
      <w:r>
        <w:rPr>
          <w:rFonts w:hint="eastAsia" w:ascii="黑体" w:hAnsi="宋体" w:eastAsia="黑体"/>
          <w:b/>
          <w:color w:val="auto"/>
          <w:sz w:val="21"/>
        </w:rPr>
        <w:t>投标有效期</w:t>
      </w:r>
      <w:bookmarkEnd w:id="66"/>
      <w:bookmarkEnd w:id="67"/>
    </w:p>
    <w:p w14:paraId="5028D6CB">
      <w:pPr>
        <w:pStyle w:val="9"/>
        <w:numPr>
          <w:ilvl w:val="1"/>
          <w:numId w:val="4"/>
        </w:numPr>
        <w:ind w:firstLine="420" w:firstLineChars="200"/>
        <w:rPr>
          <w:color w:val="auto"/>
        </w:rPr>
      </w:pPr>
      <w:r>
        <w:rPr>
          <w:color w:val="auto"/>
        </w:rPr>
        <w:t>投标有效期</w:t>
      </w:r>
      <w:r>
        <w:rPr>
          <w:rFonts w:hint="eastAsia"/>
          <w:color w:val="auto"/>
        </w:rPr>
        <w:t>详</w:t>
      </w:r>
      <w:r>
        <w:rPr>
          <w:color w:val="auto"/>
        </w:rPr>
        <w:t>见本须知前附表</w:t>
      </w:r>
      <w:r>
        <w:rPr>
          <w:rFonts w:hint="eastAsia"/>
          <w:color w:val="auto"/>
        </w:rPr>
        <w:t>第19项</w:t>
      </w:r>
      <w:r>
        <w:rPr>
          <w:color w:val="auto"/>
        </w:rPr>
        <w:t>，在此期限内，凡符合本招标文件要求的投标文件均保持有效。</w:t>
      </w:r>
    </w:p>
    <w:p w14:paraId="1DAF8FEC">
      <w:pPr>
        <w:pStyle w:val="9"/>
        <w:numPr>
          <w:ilvl w:val="1"/>
          <w:numId w:val="4"/>
        </w:numPr>
        <w:ind w:firstLine="420" w:firstLineChars="200"/>
        <w:rPr>
          <w:color w:val="auto"/>
        </w:rPr>
      </w:pPr>
      <w:r>
        <w:rPr>
          <w:rFonts w:hint="eastAsia"/>
          <w:color w:val="auto"/>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7A34DE9A">
      <w:pPr>
        <w:keepNext/>
        <w:keepLines/>
        <w:numPr>
          <w:ilvl w:val="0"/>
          <w:numId w:val="4"/>
        </w:numPr>
        <w:spacing w:before="360" w:line="288" w:lineRule="auto"/>
        <w:jc w:val="left"/>
        <w:outlineLvl w:val="2"/>
        <w:rPr>
          <w:rFonts w:ascii="黑体" w:hAnsi="宋体" w:eastAsia="黑体"/>
          <w:b/>
          <w:color w:val="auto"/>
          <w:sz w:val="21"/>
        </w:rPr>
      </w:pPr>
      <w:bookmarkStart w:id="69" w:name="_Toc155342549"/>
      <w:bookmarkStart w:id="70" w:name="_Toc500208479"/>
      <w:bookmarkStart w:id="71" w:name="_Toc169487796"/>
      <w:r>
        <w:rPr>
          <w:rFonts w:hint="eastAsia" w:ascii="黑体" w:hAnsi="宋体" w:eastAsia="黑体"/>
          <w:b/>
          <w:color w:val="auto"/>
          <w:sz w:val="21"/>
        </w:rPr>
        <w:t>投标文件的份数和签署</w:t>
      </w:r>
      <w:bookmarkEnd w:id="69"/>
      <w:bookmarkEnd w:id="70"/>
      <w:bookmarkEnd w:id="71"/>
    </w:p>
    <w:p w14:paraId="34B07E10">
      <w:pPr>
        <w:pStyle w:val="9"/>
        <w:numPr>
          <w:ilvl w:val="1"/>
          <w:numId w:val="4"/>
        </w:numPr>
        <w:ind w:firstLine="420" w:firstLineChars="200"/>
        <w:rPr>
          <w:color w:val="auto"/>
          <w:highlight w:val="none"/>
        </w:rPr>
      </w:pPr>
      <w:r>
        <w:rPr>
          <w:rFonts w:hint="eastAsia"/>
          <w:color w:val="auto"/>
        </w:rPr>
        <w:t>投标人按本须</w:t>
      </w:r>
      <w:r>
        <w:rPr>
          <w:rFonts w:hint="eastAsia"/>
          <w:color w:val="auto"/>
          <w:highlight w:val="none"/>
        </w:rPr>
        <w:t>知前附表第20项规定的份数递交投标文件。</w:t>
      </w:r>
    </w:p>
    <w:p w14:paraId="6B522C17">
      <w:pPr>
        <w:pStyle w:val="9"/>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31CA4E39">
      <w:pPr>
        <w:numPr>
          <w:ilvl w:val="0"/>
          <w:numId w:val="3"/>
        </w:numPr>
        <w:spacing w:before="360" w:afterLines="50" w:line="320" w:lineRule="exact"/>
        <w:jc w:val="center"/>
        <w:outlineLvl w:val="1"/>
        <w:rPr>
          <w:rFonts w:ascii="Arial" w:hAnsi="Arial" w:eastAsia="黑体" w:cs="Arial"/>
          <w:b/>
          <w:color w:val="auto"/>
          <w:szCs w:val="24"/>
        </w:rPr>
      </w:pPr>
      <w:bookmarkStart w:id="72" w:name="_Toc500209417"/>
      <w:bookmarkStart w:id="73" w:name="_Toc21258"/>
      <w:bookmarkStart w:id="74" w:name="_Toc21898"/>
      <w:bookmarkStart w:id="75" w:name="_Toc500208480"/>
      <w:r>
        <w:rPr>
          <w:rFonts w:hint="eastAsia" w:ascii="Arial" w:hAnsi="Arial" w:eastAsia="黑体" w:cs="Arial"/>
          <w:b/>
          <w:color w:val="auto"/>
          <w:szCs w:val="24"/>
        </w:rPr>
        <w:t>投标文件的递交</w:t>
      </w:r>
      <w:bookmarkEnd w:id="72"/>
      <w:bookmarkEnd w:id="73"/>
      <w:bookmarkEnd w:id="74"/>
      <w:bookmarkEnd w:id="75"/>
    </w:p>
    <w:p w14:paraId="082D073A">
      <w:pPr>
        <w:keepNext/>
        <w:keepLines/>
        <w:numPr>
          <w:ilvl w:val="0"/>
          <w:numId w:val="4"/>
        </w:numPr>
        <w:spacing w:before="360" w:line="288" w:lineRule="auto"/>
        <w:jc w:val="left"/>
        <w:outlineLvl w:val="2"/>
        <w:rPr>
          <w:rFonts w:ascii="黑体" w:hAnsi="宋体" w:eastAsia="黑体"/>
          <w:b/>
          <w:color w:val="auto"/>
          <w:sz w:val="21"/>
        </w:rPr>
      </w:pPr>
      <w:bookmarkStart w:id="76" w:name="_Toc155342552"/>
      <w:bookmarkStart w:id="77" w:name="_Toc169487799"/>
      <w:bookmarkStart w:id="78" w:name="_Toc500208482"/>
      <w:r>
        <w:rPr>
          <w:rFonts w:hint="eastAsia" w:ascii="黑体" w:hAnsi="宋体" w:eastAsia="黑体"/>
          <w:b/>
          <w:color w:val="auto"/>
          <w:sz w:val="21"/>
        </w:rPr>
        <w:t>投标文件的递交</w:t>
      </w:r>
      <w:bookmarkEnd w:id="76"/>
      <w:bookmarkEnd w:id="77"/>
    </w:p>
    <w:p w14:paraId="0DAFBABB">
      <w:pPr>
        <w:pStyle w:val="9"/>
        <w:numPr>
          <w:ilvl w:val="1"/>
          <w:numId w:val="4"/>
        </w:numPr>
        <w:ind w:firstLine="420" w:firstLineChars="200"/>
        <w:rPr>
          <w:color w:val="auto"/>
        </w:rPr>
      </w:pPr>
      <w:r>
        <w:rPr>
          <w:rStyle w:val="27"/>
          <w:rFonts w:hint="eastAsia"/>
          <w:color w:val="auto"/>
          <w:szCs w:val="21"/>
        </w:rPr>
        <w:t>投标人应按招标文件规定要求上传电子投标文件，未在投标截止时间前完成上传的电子投标文件均作无效处理。</w:t>
      </w:r>
    </w:p>
    <w:p w14:paraId="16FB6092">
      <w:pPr>
        <w:keepNext/>
        <w:keepLines/>
        <w:numPr>
          <w:ilvl w:val="0"/>
          <w:numId w:val="4"/>
        </w:numPr>
        <w:spacing w:before="360" w:line="288" w:lineRule="auto"/>
        <w:jc w:val="left"/>
        <w:outlineLvl w:val="2"/>
        <w:rPr>
          <w:rFonts w:ascii="黑体" w:hAnsi="宋体" w:eastAsia="黑体"/>
          <w:b/>
          <w:color w:val="auto"/>
          <w:sz w:val="21"/>
        </w:rPr>
      </w:pPr>
      <w:bookmarkStart w:id="79" w:name="_Toc169487800"/>
      <w:bookmarkStart w:id="80" w:name="_Toc155342553"/>
      <w:r>
        <w:rPr>
          <w:rFonts w:hint="eastAsia" w:ascii="黑体" w:hAnsi="宋体" w:eastAsia="黑体"/>
          <w:b/>
          <w:color w:val="auto"/>
          <w:sz w:val="21"/>
        </w:rPr>
        <w:t>投标截止期</w:t>
      </w:r>
      <w:bookmarkEnd w:id="78"/>
      <w:bookmarkEnd w:id="79"/>
      <w:bookmarkEnd w:id="80"/>
    </w:p>
    <w:p w14:paraId="260EBD25">
      <w:pPr>
        <w:pStyle w:val="9"/>
        <w:numPr>
          <w:ilvl w:val="1"/>
          <w:numId w:val="4"/>
        </w:numPr>
        <w:ind w:firstLine="420" w:firstLineChars="200"/>
        <w:rPr>
          <w:color w:val="auto"/>
        </w:rPr>
      </w:pPr>
      <w:r>
        <w:rPr>
          <w:color w:val="auto"/>
        </w:rPr>
        <w:t>投标文件的截止时间</w:t>
      </w:r>
      <w:r>
        <w:rPr>
          <w:rFonts w:hint="eastAsia"/>
          <w:color w:val="auto"/>
        </w:rPr>
        <w:t>详见</w:t>
      </w:r>
      <w:r>
        <w:rPr>
          <w:color w:val="auto"/>
        </w:rPr>
        <w:t>本须知前附表</w:t>
      </w:r>
      <w:r>
        <w:rPr>
          <w:rFonts w:hint="eastAsia"/>
          <w:color w:val="auto"/>
        </w:rPr>
        <w:t>第24项</w:t>
      </w:r>
      <w:r>
        <w:rPr>
          <w:color w:val="auto"/>
        </w:rPr>
        <w:t>。</w:t>
      </w:r>
    </w:p>
    <w:p w14:paraId="7D257907">
      <w:pPr>
        <w:pStyle w:val="9"/>
        <w:numPr>
          <w:ilvl w:val="1"/>
          <w:numId w:val="4"/>
        </w:numPr>
        <w:ind w:firstLine="420" w:firstLineChars="200"/>
        <w:rPr>
          <w:color w:val="auto"/>
        </w:rPr>
      </w:pPr>
      <w:r>
        <w:rPr>
          <w:color w:val="auto"/>
        </w:rPr>
        <w:t>招标人可以补充通知的方式，酌情延长提交投标文件的截止时间。在此情况下，投标人的所有权利和义务以及投标人受制约的截止时间，均以延长后新的投标截止时间为准。</w:t>
      </w:r>
    </w:p>
    <w:p w14:paraId="38F895DA">
      <w:pPr>
        <w:pStyle w:val="9"/>
        <w:numPr>
          <w:ilvl w:val="1"/>
          <w:numId w:val="4"/>
        </w:numPr>
        <w:ind w:firstLine="420" w:firstLineChars="200"/>
        <w:rPr>
          <w:color w:val="auto"/>
        </w:rPr>
      </w:pPr>
      <w:r>
        <w:rPr>
          <w:rFonts w:hint="eastAsia"/>
          <w:color w:val="auto"/>
        </w:rPr>
        <w:t>到投标截止时间止，招标人收到的投标文件少于3个的，招标人将依法重新组织招标。</w:t>
      </w:r>
    </w:p>
    <w:p w14:paraId="57CF4257">
      <w:pPr>
        <w:numPr>
          <w:ilvl w:val="0"/>
          <w:numId w:val="3"/>
        </w:numPr>
        <w:spacing w:before="360" w:afterLines="50" w:line="320" w:lineRule="exact"/>
        <w:jc w:val="center"/>
        <w:outlineLvl w:val="1"/>
        <w:rPr>
          <w:rFonts w:ascii="Arial" w:hAnsi="Arial" w:eastAsia="黑体" w:cs="Arial"/>
          <w:b/>
          <w:color w:val="auto"/>
          <w:szCs w:val="24"/>
        </w:rPr>
      </w:pPr>
      <w:bookmarkStart w:id="81" w:name="_Toc500209418"/>
      <w:bookmarkStart w:id="82" w:name="_Toc9012"/>
      <w:bookmarkStart w:id="83" w:name="_Toc15794"/>
      <w:bookmarkStart w:id="84" w:name="_Toc500208484"/>
      <w:r>
        <w:rPr>
          <w:rFonts w:hint="eastAsia" w:ascii="Arial" w:hAnsi="Arial" w:eastAsia="黑体" w:cs="Arial"/>
          <w:b/>
          <w:color w:val="auto"/>
          <w:szCs w:val="24"/>
        </w:rPr>
        <w:t>开   标</w:t>
      </w:r>
      <w:bookmarkEnd w:id="81"/>
      <w:bookmarkEnd w:id="82"/>
      <w:bookmarkEnd w:id="83"/>
      <w:bookmarkEnd w:id="84"/>
    </w:p>
    <w:p w14:paraId="10A09719">
      <w:pPr>
        <w:keepNext/>
        <w:keepLines/>
        <w:numPr>
          <w:ilvl w:val="0"/>
          <w:numId w:val="4"/>
        </w:numPr>
        <w:spacing w:before="360" w:line="288" w:lineRule="auto"/>
        <w:jc w:val="left"/>
        <w:outlineLvl w:val="2"/>
        <w:rPr>
          <w:rFonts w:ascii="黑体" w:hAnsi="宋体" w:eastAsia="黑体"/>
          <w:b/>
          <w:color w:val="auto"/>
          <w:sz w:val="21"/>
        </w:rPr>
      </w:pPr>
      <w:bookmarkStart w:id="85" w:name="_Toc169487803"/>
      <w:bookmarkStart w:id="86" w:name="_Toc155342556"/>
      <w:bookmarkStart w:id="87" w:name="_Toc500208485"/>
      <w:r>
        <w:rPr>
          <w:rFonts w:hint="eastAsia" w:ascii="黑体" w:hAnsi="宋体" w:eastAsia="黑体"/>
          <w:b/>
          <w:color w:val="auto"/>
          <w:sz w:val="21"/>
        </w:rPr>
        <w:t>开标</w:t>
      </w:r>
      <w:bookmarkEnd w:id="85"/>
      <w:bookmarkEnd w:id="86"/>
      <w:bookmarkEnd w:id="87"/>
    </w:p>
    <w:p w14:paraId="1AF4EFEB">
      <w:pPr>
        <w:pStyle w:val="9"/>
        <w:numPr>
          <w:ilvl w:val="1"/>
          <w:numId w:val="4"/>
        </w:numPr>
        <w:ind w:firstLine="420" w:firstLineChars="200"/>
        <w:rPr>
          <w:color w:val="auto"/>
        </w:rPr>
      </w:pPr>
      <w:r>
        <w:rPr>
          <w:rFonts w:hint="eastAsia"/>
          <w:color w:val="auto"/>
        </w:rPr>
        <w:t>招标人将于投标截止期的同一时间按本须知前附表第23项所规定的地点公开举行开标会议。</w:t>
      </w:r>
    </w:p>
    <w:p w14:paraId="60B19826">
      <w:pPr>
        <w:pStyle w:val="9"/>
        <w:numPr>
          <w:ilvl w:val="1"/>
          <w:numId w:val="4"/>
        </w:numPr>
        <w:ind w:firstLine="420" w:firstLineChars="200"/>
        <w:rPr>
          <w:color w:val="auto"/>
        </w:rPr>
      </w:pPr>
      <w:r>
        <w:rPr>
          <w:rFonts w:hint="eastAsia"/>
          <w:color w:val="auto"/>
        </w:rPr>
        <w:t>开标会议由招标人组织并主持。</w:t>
      </w:r>
    </w:p>
    <w:p w14:paraId="1E06688F">
      <w:pPr>
        <w:pStyle w:val="9"/>
        <w:numPr>
          <w:ilvl w:val="1"/>
          <w:numId w:val="4"/>
        </w:numPr>
        <w:ind w:firstLine="420" w:firstLineChars="200"/>
        <w:rPr>
          <w:color w:val="auto"/>
        </w:rPr>
      </w:pPr>
      <w:r>
        <w:rPr>
          <w:rFonts w:hint="eastAsia"/>
          <w:color w:val="auto"/>
        </w:rPr>
        <w:t>开标顺序</w:t>
      </w:r>
      <w:r>
        <w:rPr>
          <w:rFonts w:hint="eastAsia"/>
          <w:bCs/>
          <w:color w:val="auto"/>
        </w:rPr>
        <w:t>详见本须知前附表第25项。</w:t>
      </w:r>
    </w:p>
    <w:p w14:paraId="1A5E1831">
      <w:pPr>
        <w:keepNext/>
        <w:keepLines/>
        <w:numPr>
          <w:ilvl w:val="0"/>
          <w:numId w:val="4"/>
        </w:numPr>
        <w:spacing w:before="360" w:line="288" w:lineRule="auto"/>
        <w:jc w:val="left"/>
        <w:outlineLvl w:val="2"/>
        <w:rPr>
          <w:rFonts w:ascii="黑体" w:hAnsi="宋体" w:eastAsia="黑体"/>
          <w:b/>
          <w:color w:val="auto"/>
          <w:sz w:val="21"/>
        </w:rPr>
      </w:pPr>
      <w:bookmarkStart w:id="88" w:name="_Toc169487804"/>
      <w:bookmarkStart w:id="89" w:name="_Toc155342557"/>
      <w:r>
        <w:rPr>
          <w:rFonts w:hint="eastAsia" w:ascii="黑体" w:hAnsi="宋体" w:eastAsia="黑体"/>
          <w:b/>
          <w:color w:val="auto"/>
          <w:sz w:val="21"/>
        </w:rPr>
        <w:t>投标文件公布</w:t>
      </w:r>
      <w:bookmarkEnd w:id="88"/>
      <w:bookmarkEnd w:id="89"/>
    </w:p>
    <w:p w14:paraId="20A03347">
      <w:pPr>
        <w:pStyle w:val="9"/>
        <w:numPr>
          <w:ilvl w:val="1"/>
          <w:numId w:val="4"/>
        </w:numPr>
        <w:ind w:firstLine="420" w:firstLineChars="200"/>
        <w:rPr>
          <w:color w:val="auto"/>
        </w:rPr>
      </w:pPr>
      <w:r>
        <w:rPr>
          <w:rFonts w:hint="eastAsia"/>
          <w:color w:val="auto"/>
        </w:rPr>
        <w:t>招标人将对开标过程进行记录，以存档备查</w:t>
      </w:r>
      <w:r>
        <w:rPr>
          <w:color w:val="auto"/>
        </w:rPr>
        <w:t>。</w:t>
      </w:r>
    </w:p>
    <w:p w14:paraId="45A5B241">
      <w:pPr>
        <w:numPr>
          <w:ilvl w:val="0"/>
          <w:numId w:val="3"/>
        </w:numPr>
        <w:spacing w:before="360" w:afterLines="50" w:line="320" w:lineRule="exact"/>
        <w:jc w:val="center"/>
        <w:outlineLvl w:val="1"/>
        <w:rPr>
          <w:rFonts w:ascii="Arial" w:hAnsi="Arial" w:eastAsia="黑体" w:cs="Arial"/>
          <w:b/>
          <w:color w:val="auto"/>
          <w:szCs w:val="24"/>
        </w:rPr>
      </w:pPr>
      <w:bookmarkStart w:id="90" w:name="_Toc500209419"/>
      <w:bookmarkStart w:id="91" w:name="_Toc500208488"/>
      <w:bookmarkStart w:id="92" w:name="_Toc15849"/>
      <w:bookmarkStart w:id="93" w:name="_Toc31728"/>
      <w:bookmarkStart w:id="94" w:name="_Toc500209420"/>
      <w:bookmarkStart w:id="95" w:name="_Toc500208495"/>
      <w:r>
        <w:rPr>
          <w:rFonts w:hint="eastAsia" w:ascii="Arial" w:hAnsi="Arial" w:eastAsia="黑体" w:cs="Arial"/>
          <w:b/>
          <w:color w:val="auto"/>
          <w:szCs w:val="24"/>
        </w:rPr>
        <w:t>评   标</w:t>
      </w:r>
      <w:bookmarkEnd w:id="90"/>
      <w:bookmarkEnd w:id="91"/>
      <w:bookmarkEnd w:id="92"/>
      <w:bookmarkEnd w:id="93"/>
    </w:p>
    <w:p w14:paraId="20432038">
      <w:pPr>
        <w:keepNext/>
        <w:keepLines/>
        <w:numPr>
          <w:ilvl w:val="0"/>
          <w:numId w:val="4"/>
        </w:numPr>
        <w:spacing w:before="360" w:line="288" w:lineRule="auto"/>
        <w:jc w:val="left"/>
        <w:outlineLvl w:val="2"/>
        <w:rPr>
          <w:rFonts w:ascii="黑体" w:hAnsi="宋体" w:eastAsia="黑体"/>
          <w:b/>
          <w:color w:val="auto"/>
          <w:sz w:val="21"/>
        </w:rPr>
      </w:pPr>
      <w:bookmarkStart w:id="96" w:name="_Toc169487806"/>
      <w:bookmarkStart w:id="97" w:name="_Toc500208489"/>
      <w:bookmarkStart w:id="98" w:name="_Toc155342559"/>
      <w:r>
        <w:rPr>
          <w:rFonts w:hint="eastAsia" w:ascii="黑体" w:hAnsi="宋体" w:eastAsia="黑体"/>
          <w:b/>
          <w:color w:val="auto"/>
          <w:sz w:val="21"/>
        </w:rPr>
        <w:t>评标会议</w:t>
      </w:r>
      <w:bookmarkEnd w:id="96"/>
      <w:bookmarkEnd w:id="97"/>
      <w:bookmarkEnd w:id="98"/>
    </w:p>
    <w:p w14:paraId="767321C2">
      <w:pPr>
        <w:pStyle w:val="9"/>
        <w:numPr>
          <w:ilvl w:val="1"/>
          <w:numId w:val="4"/>
        </w:numPr>
        <w:ind w:firstLine="420" w:firstLineChars="200"/>
        <w:rPr>
          <w:color w:val="auto"/>
        </w:rPr>
      </w:pPr>
      <w:r>
        <w:rPr>
          <w:color w:val="auto"/>
        </w:rPr>
        <w:t>评标委员会由招标人依法组建，负责评标活动。</w:t>
      </w:r>
    </w:p>
    <w:p w14:paraId="62C04D0B">
      <w:pPr>
        <w:pStyle w:val="9"/>
        <w:numPr>
          <w:ilvl w:val="1"/>
          <w:numId w:val="4"/>
        </w:numPr>
        <w:ind w:firstLine="420" w:firstLineChars="200"/>
        <w:rPr>
          <w:color w:val="auto"/>
        </w:rPr>
      </w:pPr>
      <w:r>
        <w:rPr>
          <w:color w:val="auto"/>
        </w:rPr>
        <w:t>开标结束后，开始评标，评标采用保密方式进行。</w:t>
      </w:r>
    </w:p>
    <w:p w14:paraId="7DDB056B">
      <w:pPr>
        <w:pStyle w:val="9"/>
        <w:numPr>
          <w:ilvl w:val="1"/>
          <w:numId w:val="4"/>
        </w:numPr>
        <w:ind w:firstLine="420" w:firstLineChars="200"/>
        <w:rPr>
          <w:color w:val="auto"/>
        </w:rPr>
      </w:pPr>
      <w:r>
        <w:rPr>
          <w:rFonts w:hint="eastAsia"/>
          <w:color w:val="auto"/>
        </w:rPr>
        <w:t>评标委员会在评标前须签订《临海市建设工程公正评标承诺书》。</w:t>
      </w:r>
    </w:p>
    <w:p w14:paraId="28702677">
      <w:pPr>
        <w:keepNext/>
        <w:keepLines/>
        <w:numPr>
          <w:ilvl w:val="0"/>
          <w:numId w:val="4"/>
        </w:numPr>
        <w:spacing w:before="360" w:line="288" w:lineRule="auto"/>
        <w:jc w:val="left"/>
        <w:outlineLvl w:val="2"/>
        <w:rPr>
          <w:rFonts w:ascii="黑体" w:hAnsi="宋体" w:eastAsia="黑体"/>
          <w:b/>
          <w:color w:val="auto"/>
          <w:sz w:val="21"/>
        </w:rPr>
      </w:pPr>
      <w:bookmarkStart w:id="99" w:name="_Toc155342560"/>
      <w:bookmarkStart w:id="100" w:name="_Toc169487807"/>
      <w:r>
        <w:rPr>
          <w:rFonts w:hint="eastAsia" w:ascii="黑体" w:hAnsi="宋体" w:eastAsia="黑体"/>
          <w:b/>
          <w:color w:val="auto"/>
          <w:sz w:val="21"/>
        </w:rPr>
        <w:t>评标过程的保密</w:t>
      </w:r>
      <w:bookmarkEnd w:id="99"/>
      <w:bookmarkEnd w:id="100"/>
    </w:p>
    <w:p w14:paraId="7C9E4EE8">
      <w:pPr>
        <w:pStyle w:val="9"/>
        <w:numPr>
          <w:ilvl w:val="1"/>
          <w:numId w:val="4"/>
        </w:numPr>
        <w:ind w:firstLine="420" w:firstLineChars="200"/>
        <w:rPr>
          <w:color w:val="auto"/>
        </w:rPr>
      </w:pPr>
      <w:r>
        <w:rPr>
          <w:color w:val="auto"/>
        </w:rPr>
        <w:t>开标后，直至授予中标人合同为止，凡属于对投标文件的审查、澄清、评价和比较的有关资料以及中标候选人的推荐情况，与评标有关的其他任何情况均严格保密。</w:t>
      </w:r>
    </w:p>
    <w:p w14:paraId="612FEA3D">
      <w:pPr>
        <w:pStyle w:val="9"/>
        <w:numPr>
          <w:ilvl w:val="1"/>
          <w:numId w:val="4"/>
        </w:numPr>
        <w:ind w:firstLine="420" w:firstLineChars="200"/>
        <w:rPr>
          <w:color w:val="auto"/>
        </w:rPr>
      </w:pPr>
      <w:r>
        <w:rPr>
          <w:color w:val="auto"/>
        </w:rPr>
        <w:t>在投标文件的评审和比较、中标候选人推荐以及授予合同的过程中，投标人向招标人和评标委员会施加影响的任何行为，都将会导致其投标被拒绝。</w:t>
      </w:r>
    </w:p>
    <w:p w14:paraId="24D14DD6">
      <w:pPr>
        <w:pStyle w:val="9"/>
        <w:numPr>
          <w:ilvl w:val="1"/>
          <w:numId w:val="4"/>
        </w:numPr>
        <w:ind w:firstLine="420" w:firstLineChars="200"/>
        <w:rPr>
          <w:color w:val="auto"/>
        </w:rPr>
      </w:pPr>
      <w:r>
        <w:rPr>
          <w:color w:val="auto"/>
        </w:rPr>
        <w:t>中标人确定后，招标人不对未中标人就评标过程以及未能中标原因作出任何解释。未中标人不得向评标委员会组成人员或其他有关人员索问评标过程的情况和材料。</w:t>
      </w:r>
    </w:p>
    <w:p w14:paraId="41A1DC81">
      <w:pPr>
        <w:keepNext/>
        <w:keepLines/>
        <w:numPr>
          <w:ilvl w:val="0"/>
          <w:numId w:val="4"/>
        </w:numPr>
        <w:spacing w:before="360" w:line="288" w:lineRule="auto"/>
        <w:jc w:val="left"/>
        <w:outlineLvl w:val="2"/>
        <w:rPr>
          <w:rFonts w:ascii="黑体" w:hAnsi="宋体" w:eastAsia="黑体"/>
          <w:b/>
          <w:color w:val="auto"/>
          <w:sz w:val="21"/>
        </w:rPr>
      </w:pPr>
      <w:bookmarkStart w:id="101" w:name="_Toc155342561"/>
      <w:bookmarkStart w:id="102" w:name="_Toc169487808"/>
      <w:r>
        <w:rPr>
          <w:rFonts w:hint="eastAsia" w:ascii="黑体" w:hAnsi="宋体" w:eastAsia="黑体"/>
          <w:b/>
          <w:color w:val="auto"/>
          <w:sz w:val="21"/>
        </w:rPr>
        <w:t>投标文件符合性鉴定</w:t>
      </w:r>
      <w:bookmarkEnd w:id="101"/>
      <w:bookmarkEnd w:id="102"/>
    </w:p>
    <w:p w14:paraId="4074AA3A">
      <w:pPr>
        <w:pStyle w:val="9"/>
        <w:numPr>
          <w:ilvl w:val="1"/>
          <w:numId w:val="4"/>
        </w:numPr>
        <w:ind w:left="149" w:firstLine="420" w:firstLineChars="200"/>
        <w:rPr>
          <w:color w:val="auto"/>
          <w:highlight w:val="none"/>
        </w:rPr>
      </w:pPr>
      <w:r>
        <w:rPr>
          <w:rFonts w:hint="eastAsia"/>
          <w:color w:val="auto"/>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w:t>
      </w:r>
      <w:r>
        <w:rPr>
          <w:rFonts w:hint="eastAsia"/>
          <w:color w:val="auto"/>
          <w:highlight w:val="none"/>
        </w:rPr>
        <w:t>应招标文件要求等。投标文件是否响应招标文件实质性内容由评标委员会界定。</w:t>
      </w:r>
    </w:p>
    <w:p w14:paraId="570F5DC9">
      <w:pPr>
        <w:pStyle w:val="9"/>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67134B0">
      <w:pPr>
        <w:keepNext/>
        <w:keepLines/>
        <w:numPr>
          <w:ilvl w:val="0"/>
          <w:numId w:val="4"/>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365CFAAB">
      <w:pPr>
        <w:pStyle w:val="9"/>
        <w:numPr>
          <w:ilvl w:val="1"/>
          <w:numId w:val="4"/>
        </w:numPr>
        <w:ind w:firstLine="420" w:firstLineChars="200"/>
        <w:rPr>
          <w:color w:val="auto"/>
        </w:rPr>
      </w:pPr>
      <w:r>
        <w:rPr>
          <w:rFonts w:hint="eastAsia"/>
          <w:color w:val="auto"/>
          <w:highlight w:val="none"/>
        </w:rPr>
        <w:t>评标委员会可以书面方式要求投标人对其投标文件中细微偏差</w:t>
      </w:r>
      <w:r>
        <w:rPr>
          <w:rFonts w:hint="eastAsia"/>
          <w:color w:val="auto"/>
        </w:rPr>
        <w:t>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F6E18FB">
      <w:pPr>
        <w:pStyle w:val="9"/>
        <w:numPr>
          <w:ilvl w:val="1"/>
          <w:numId w:val="4"/>
        </w:numPr>
        <w:ind w:firstLine="420" w:firstLineChars="200"/>
        <w:rPr>
          <w:color w:val="auto"/>
        </w:rPr>
      </w:pPr>
      <w:r>
        <w:rPr>
          <w:rFonts w:hint="eastAsia"/>
          <w:color w:val="auto"/>
        </w:rPr>
        <w:t>评审过程中，评标委员会可能以书面形式通知投标人要求投标人就投标文件中的内容进行</w:t>
      </w:r>
      <w:r>
        <w:rPr>
          <w:rFonts w:hint="eastAsia"/>
          <w:color w:val="auto"/>
          <w:szCs w:val="21"/>
        </w:rPr>
        <w:t>澄清或说明</w:t>
      </w:r>
      <w:r>
        <w:rPr>
          <w:rFonts w:hint="eastAsia"/>
          <w:color w:val="auto"/>
        </w:rPr>
        <w:t>。投标人应在接到询标通知后30分钟内作出答复，若在规定时间内未作出答复的，</w:t>
      </w:r>
      <w:r>
        <w:rPr>
          <w:rFonts w:hint="eastAsia"/>
          <w:color w:val="auto"/>
          <w:szCs w:val="21"/>
        </w:rPr>
        <w:t>可视作拒绝或放弃澄清或说明。</w:t>
      </w:r>
    </w:p>
    <w:p w14:paraId="7B7F6955">
      <w:pPr>
        <w:keepNext/>
        <w:keepLines/>
        <w:numPr>
          <w:ilvl w:val="0"/>
          <w:numId w:val="4"/>
        </w:numPr>
        <w:spacing w:before="360" w:line="288" w:lineRule="auto"/>
        <w:jc w:val="left"/>
        <w:outlineLvl w:val="2"/>
        <w:rPr>
          <w:rFonts w:ascii="黑体" w:hAnsi="宋体" w:eastAsia="黑体"/>
          <w:b/>
          <w:color w:val="auto"/>
          <w:sz w:val="21"/>
        </w:rPr>
      </w:pPr>
      <w:bookmarkStart w:id="105" w:name="_Toc169487810"/>
      <w:bookmarkStart w:id="106" w:name="_Toc155342563"/>
      <w:r>
        <w:rPr>
          <w:rFonts w:hint="eastAsia" w:ascii="黑体" w:hAnsi="宋体" w:eastAsia="黑体"/>
          <w:b/>
          <w:color w:val="auto"/>
          <w:sz w:val="21"/>
        </w:rPr>
        <w:t>投标文件的评审</w:t>
      </w:r>
      <w:bookmarkEnd w:id="105"/>
      <w:bookmarkEnd w:id="106"/>
    </w:p>
    <w:p w14:paraId="7EB6DCF4">
      <w:pPr>
        <w:pStyle w:val="9"/>
        <w:adjustRightInd w:val="0"/>
        <w:snapToGrid w:val="0"/>
        <w:ind w:firstLine="422" w:firstLineChars="200"/>
        <w:rPr>
          <w:rFonts w:ascii="黑体" w:eastAsia="黑体"/>
          <w:b/>
          <w:color w:val="auto"/>
        </w:rPr>
      </w:pPr>
      <w:r>
        <w:rPr>
          <w:rFonts w:hint="eastAsia" w:ascii="黑体" w:eastAsia="黑体"/>
          <w:b/>
          <w:bCs/>
          <w:color w:val="auto"/>
        </w:rPr>
        <w:t>28.1</w:t>
      </w:r>
      <w:r>
        <w:rPr>
          <w:rFonts w:hint="eastAsia" w:ascii="黑体" w:eastAsia="黑体"/>
          <w:b/>
          <w:color w:val="auto"/>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BD1A2A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（1）投标文件内容存在错漏之处一致或异常雷同现象；</w:t>
      </w:r>
    </w:p>
    <w:p w14:paraId="6D21F1E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（2）投标文件中载明的项目管理班子系有同一人担任；</w:t>
      </w:r>
    </w:p>
    <w:p w14:paraId="043B61C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（3）投标文件由同一台电脑编制或同一附属设备打印；</w:t>
      </w:r>
    </w:p>
    <w:p w14:paraId="4E25600B">
      <w:pPr>
        <w:spacing w:line="288" w:lineRule="auto"/>
        <w:ind w:firstLine="315" w:firstLineChars="150"/>
        <w:rPr>
          <w:rFonts w:ascii="宋体" w:hAnsi="宋体" w:eastAsia="宋体"/>
          <w:color w:val="auto"/>
          <w:sz w:val="21"/>
        </w:rPr>
      </w:pPr>
      <w:r>
        <w:rPr>
          <w:rFonts w:hint="eastAsia" w:ascii="宋体" w:hAnsi="宋体" w:eastAsia="宋体"/>
          <w:color w:val="auto"/>
          <w:sz w:val="21"/>
        </w:rPr>
        <w:t>（4）涉嫌故意拉高或压低投标报价；</w:t>
      </w:r>
    </w:p>
    <w:p w14:paraId="708E942B">
      <w:pPr>
        <w:spacing w:line="288" w:lineRule="auto"/>
        <w:ind w:firstLine="315" w:firstLineChars="150"/>
        <w:rPr>
          <w:rFonts w:ascii="宋体" w:hAnsi="宋体" w:eastAsia="宋体"/>
          <w:color w:val="auto"/>
          <w:sz w:val="21"/>
        </w:rPr>
      </w:pPr>
      <w:r>
        <w:rPr>
          <w:rFonts w:hint="eastAsia" w:ascii="宋体" w:hAnsi="宋体" w:eastAsia="宋体"/>
          <w:color w:val="auto"/>
          <w:sz w:val="21"/>
        </w:rPr>
        <w:t>（5）不同投标人的投标文件由同一单位（或个人）编制或提供投标咨询服务；</w:t>
      </w:r>
    </w:p>
    <w:p w14:paraId="02484C74">
      <w:pPr>
        <w:spacing w:line="288" w:lineRule="auto"/>
        <w:ind w:firstLine="420"/>
        <w:rPr>
          <w:rFonts w:ascii="黑体" w:eastAsia="黑体"/>
          <w:b/>
          <w:color w:val="auto"/>
          <w:sz w:val="21"/>
        </w:rPr>
      </w:pPr>
      <w:r>
        <w:rPr>
          <w:rFonts w:hint="eastAsia" w:ascii="黑体" w:hAnsi="宋体" w:eastAsia="黑体"/>
          <w:b/>
          <w:color w:val="auto"/>
          <w:sz w:val="21"/>
        </w:rPr>
        <w:t>28.2投标文件有下列情形之一的，由评标委员会初审后按无效标处理：</w:t>
      </w:r>
    </w:p>
    <w:p w14:paraId="57A15F0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（1）投标人递交两份或多份内容不同的投标文件，或在一份投标文件中对同一招标项目报有两个或多个报价，且未声明哪一个有效，按招标文件规定提交备选投标方案的除外；</w:t>
      </w:r>
    </w:p>
    <w:p w14:paraId="467C538E">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（2）投标文件未按招标文件签署条款要求签章的；</w:t>
      </w:r>
    </w:p>
    <w:p w14:paraId="76D0FF4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（3）投标文件份数不符合</w:t>
      </w:r>
      <w:r>
        <w:rPr>
          <w:rFonts w:ascii="宋体" w:hAnsi="宋体" w:eastAsia="宋体"/>
          <w:color w:val="auto"/>
          <w:sz w:val="21"/>
        </w:rPr>
        <w:t>招标文件</w:t>
      </w:r>
      <w:r>
        <w:rPr>
          <w:rFonts w:hint="eastAsia" w:ascii="宋体" w:hAnsi="宋体" w:eastAsia="宋体"/>
          <w:color w:val="auto"/>
          <w:sz w:val="21"/>
        </w:rPr>
        <w:t>前附表</w:t>
      </w:r>
      <w:r>
        <w:rPr>
          <w:rFonts w:ascii="宋体" w:hAnsi="宋体" w:eastAsia="宋体"/>
          <w:color w:val="auto"/>
          <w:sz w:val="21"/>
        </w:rPr>
        <w:t>要求的</w:t>
      </w:r>
      <w:r>
        <w:rPr>
          <w:rFonts w:hint="eastAsia" w:ascii="宋体" w:hAnsi="宋体" w:eastAsia="宋体"/>
          <w:color w:val="auto"/>
          <w:sz w:val="21"/>
        </w:rPr>
        <w:t>；</w:t>
      </w:r>
    </w:p>
    <w:p w14:paraId="008E800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（4）投标文件组成不符合招标文件要求的；</w:t>
      </w:r>
    </w:p>
    <w:p w14:paraId="72A60A28">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（5）投标资格不符合招标文件要求的；</w:t>
      </w:r>
    </w:p>
    <w:p w14:paraId="06F4DCF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（6）联合体投标未附联合体各方共同投标协议的；</w:t>
      </w:r>
    </w:p>
    <w:p w14:paraId="12F4034D">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（7）法律法规规定无效标的。</w:t>
      </w:r>
    </w:p>
    <w:p w14:paraId="46F57A15">
      <w:pPr>
        <w:spacing w:line="288" w:lineRule="auto"/>
        <w:ind w:left="-6" w:leftChars="-2" w:firstLine="422" w:firstLineChars="200"/>
        <w:rPr>
          <w:rFonts w:ascii="黑体" w:hAnsi="宋体" w:eastAsia="黑体"/>
          <w:b/>
          <w:color w:val="auto"/>
          <w:sz w:val="21"/>
        </w:rPr>
      </w:pPr>
      <w:r>
        <w:rPr>
          <w:rFonts w:hint="eastAsia" w:ascii="黑体" w:hAnsi="宋体" w:eastAsia="黑体"/>
          <w:b/>
          <w:bCs/>
          <w:color w:val="auto"/>
          <w:sz w:val="21"/>
        </w:rPr>
        <w:t>28.3</w:t>
      </w:r>
      <w:r>
        <w:rPr>
          <w:rFonts w:hint="eastAsia" w:ascii="黑体" w:hAnsi="宋体" w:eastAsia="黑体"/>
          <w:b/>
          <w:color w:val="auto"/>
          <w:sz w:val="21"/>
        </w:rPr>
        <w:t>投标文件有下列情形之一的，由评标委员会进行实质性评审后按无效标处理：</w:t>
      </w:r>
    </w:p>
    <w:p w14:paraId="7C3B9337">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（1）投标承诺的总报价、工期、质量、投标资格等不符合招标文件前附表要求的；</w:t>
      </w:r>
    </w:p>
    <w:p w14:paraId="7C2F856D">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（2）招标文件报价要求中规定作无效标的；</w:t>
      </w:r>
    </w:p>
    <w:p w14:paraId="51E10225">
      <w:pPr>
        <w:spacing w:line="288" w:lineRule="auto"/>
        <w:ind w:firstLine="420" w:firstLineChars="200"/>
        <w:rPr>
          <w:rFonts w:ascii="宋体" w:hAnsi="宋体" w:eastAsia="宋体"/>
          <w:bCs/>
          <w:color w:val="auto"/>
          <w:sz w:val="21"/>
        </w:rPr>
      </w:pPr>
      <w:r>
        <w:rPr>
          <w:rFonts w:hint="eastAsia" w:ascii="宋体" w:hAnsi="宋体" w:eastAsia="宋体"/>
          <w:bCs/>
          <w:color w:val="auto"/>
          <w:sz w:val="21"/>
        </w:rPr>
        <w:t>（3）违反招标文件其他实质性条款规定的。</w:t>
      </w:r>
    </w:p>
    <w:p w14:paraId="4FC0A51C">
      <w:pPr>
        <w:spacing w:line="288" w:lineRule="auto"/>
        <w:ind w:left="-6" w:leftChars="-2" w:firstLine="422" w:firstLineChars="200"/>
        <w:rPr>
          <w:rFonts w:ascii="黑体" w:hAnsi="宋体" w:eastAsia="黑体"/>
          <w:b/>
          <w:color w:val="auto"/>
          <w:sz w:val="21"/>
          <w:szCs w:val="21"/>
        </w:rPr>
      </w:pPr>
      <w:r>
        <w:rPr>
          <w:rFonts w:hint="eastAsia" w:ascii="黑体" w:hAnsi="宋体" w:eastAsia="黑体"/>
          <w:b/>
          <w:bCs/>
          <w:color w:val="auto"/>
          <w:sz w:val="21"/>
        </w:rPr>
        <w:t>28.4</w:t>
      </w:r>
      <w:r>
        <w:rPr>
          <w:rFonts w:hint="eastAsia" w:ascii="黑体" w:hAnsi="宋体" w:eastAsia="黑体"/>
          <w:b/>
          <w:color w:val="auto"/>
          <w:sz w:val="21"/>
        </w:rPr>
        <w:t>投标文件有下列情形之一的，</w:t>
      </w:r>
      <w:r>
        <w:rPr>
          <w:rFonts w:hint="eastAsia" w:ascii="黑体" w:hAnsi="宋体" w:eastAsia="黑体"/>
          <w:b/>
          <w:color w:val="auto"/>
          <w:sz w:val="21"/>
          <w:szCs w:val="21"/>
        </w:rPr>
        <w:t>经评标委员会详细评审后认定该投标文件对招标文件要求存在重大偏离的，则该投标文件按无效标处理：</w:t>
      </w:r>
    </w:p>
    <w:p w14:paraId="039F4CD1">
      <w:pPr>
        <w:pStyle w:val="9"/>
        <w:ind w:firstLine="420" w:firstLineChars="200"/>
        <w:rPr>
          <w:color w:val="auto"/>
        </w:rPr>
      </w:pPr>
      <w:r>
        <w:rPr>
          <w:rFonts w:hint="eastAsia"/>
          <w:bCs/>
          <w:color w:val="auto"/>
        </w:rPr>
        <w:t>（1）经商务标修正后，属招标文件报价要求或商务标的修正中规定</w:t>
      </w:r>
      <w:r>
        <w:rPr>
          <w:rFonts w:hint="eastAsia"/>
          <w:color w:val="auto"/>
        </w:rPr>
        <w:t>作无效标处理的；</w:t>
      </w:r>
    </w:p>
    <w:p w14:paraId="018BA0A2">
      <w:pPr>
        <w:pStyle w:val="9"/>
        <w:ind w:firstLine="420" w:firstLineChars="200"/>
        <w:rPr>
          <w:color w:val="auto"/>
        </w:rPr>
      </w:pPr>
      <w:r>
        <w:rPr>
          <w:rFonts w:hint="eastAsia"/>
          <w:bCs/>
          <w:color w:val="auto"/>
        </w:rPr>
        <w:t>（2）招标文件中</w:t>
      </w:r>
      <w:r>
        <w:rPr>
          <w:rFonts w:hint="eastAsia"/>
          <w:color w:val="auto"/>
        </w:rPr>
        <w:t>其他内容明确规定作无效标的。</w:t>
      </w:r>
    </w:p>
    <w:p w14:paraId="5A503E84">
      <w:pPr>
        <w:pStyle w:val="9"/>
        <w:ind w:firstLine="420" w:firstLineChars="200"/>
        <w:rPr>
          <w:color w:val="auto"/>
        </w:rPr>
      </w:pPr>
      <w:r>
        <w:rPr>
          <w:rFonts w:hint="eastAsia" w:ascii="黑体" w:eastAsia="黑体"/>
          <w:bCs/>
          <w:color w:val="auto"/>
        </w:rPr>
        <w:t>28.5</w:t>
      </w:r>
      <w:r>
        <w:rPr>
          <w:rFonts w:hint="eastAsia"/>
          <w:color w:val="auto"/>
        </w:rPr>
        <w:t>如有效标不足三家使得投标明显缺乏竞争的，评标委员会可以否决全部投标。所有投标被否决的，则本次招标失败，重新组织招标。</w:t>
      </w:r>
    </w:p>
    <w:p w14:paraId="5519F632">
      <w:pPr>
        <w:keepNext/>
        <w:keepLines/>
        <w:numPr>
          <w:ilvl w:val="0"/>
          <w:numId w:val="4"/>
        </w:numPr>
        <w:spacing w:before="360" w:line="288" w:lineRule="auto"/>
        <w:jc w:val="left"/>
        <w:outlineLvl w:val="2"/>
        <w:rPr>
          <w:rFonts w:ascii="黑体" w:hAnsi="宋体" w:eastAsia="黑体"/>
          <w:b/>
          <w:color w:val="auto"/>
          <w:sz w:val="21"/>
        </w:rPr>
      </w:pPr>
      <w:bookmarkStart w:id="107" w:name="_Toc169487811"/>
      <w:bookmarkStart w:id="108" w:name="_Toc155342564"/>
      <w:r>
        <w:rPr>
          <w:rFonts w:hint="eastAsia" w:ascii="黑体" w:hAnsi="宋体" w:eastAsia="黑体"/>
          <w:b/>
          <w:color w:val="auto"/>
          <w:sz w:val="21"/>
        </w:rPr>
        <w:t>商务标的修正</w:t>
      </w:r>
      <w:bookmarkEnd w:id="107"/>
      <w:bookmarkEnd w:id="108"/>
    </w:p>
    <w:p w14:paraId="0B5B8DB6">
      <w:pPr>
        <w:pStyle w:val="9"/>
        <w:ind w:left="106" w:leftChars="33" w:firstLine="420" w:firstLineChars="200"/>
        <w:rPr>
          <w:color w:val="auto"/>
        </w:rPr>
      </w:pPr>
      <w:r>
        <w:rPr>
          <w:rFonts w:hint="eastAsia"/>
          <w:color w:val="auto"/>
        </w:rPr>
        <w:t>评标委员会对确定为实质上响应招标文件要求的投标文件进行复核, 看其是否有表达上的错误。修正错误的顺序和原则如下：</w:t>
      </w:r>
    </w:p>
    <w:p w14:paraId="4D982EFC">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（1）《投标函》中的文字表示的量和以数字表示的量不一致时，以文字表示的量为准。</w:t>
      </w:r>
    </w:p>
    <w:p w14:paraId="74633652">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按上述修正错误的原则，调整或修正投标文件的投标报价，经投标人确认后，调整后的投标组价对投标人起约束作用</w:t>
      </w:r>
      <w:r>
        <w:rPr>
          <w:rFonts w:ascii="宋体" w:hAnsi="宋体" w:eastAsia="宋体"/>
          <w:color w:val="auto"/>
          <w:sz w:val="21"/>
          <w:szCs w:val="21"/>
        </w:rPr>
        <w:t>。</w:t>
      </w:r>
      <w:r>
        <w:rPr>
          <w:rFonts w:hint="eastAsia" w:ascii="宋体" w:hAnsi="宋体" w:eastAsia="宋体"/>
          <w:color w:val="auto"/>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1E1508C7">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报价范围</w:t>
      </w:r>
    </w:p>
    <w:p w14:paraId="0ADC9155">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rPr>
        <w:t>30.1经商务标修正后，需对投标人的投标总报价进行报价范围界定。如有投标人的投标总报价超出报价范围的，其投标文件作无效标处理。</w:t>
      </w:r>
    </w:p>
    <w:p w14:paraId="0E5B659C">
      <w:pPr>
        <w:keepNext/>
        <w:keepLines/>
        <w:numPr>
          <w:ilvl w:val="0"/>
          <w:numId w:val="4"/>
        </w:numPr>
        <w:spacing w:before="360" w:line="288" w:lineRule="auto"/>
        <w:jc w:val="left"/>
        <w:outlineLvl w:val="2"/>
        <w:rPr>
          <w:rFonts w:ascii="黑体" w:hAnsi="宋体" w:eastAsia="黑体"/>
          <w:b/>
          <w:color w:val="auto"/>
          <w:sz w:val="21"/>
        </w:rPr>
      </w:pPr>
      <w:bookmarkStart w:id="109" w:name="_Toc155342565"/>
      <w:bookmarkStart w:id="110" w:name="_Toc169487812"/>
      <w:r>
        <w:rPr>
          <w:rFonts w:hint="eastAsia" w:ascii="黑体" w:hAnsi="宋体" w:eastAsia="黑体"/>
          <w:b/>
          <w:color w:val="auto"/>
          <w:sz w:val="21"/>
        </w:rPr>
        <w:t>评标办法</w:t>
      </w:r>
      <w:bookmarkEnd w:id="109"/>
      <w:bookmarkEnd w:id="110"/>
    </w:p>
    <w:p w14:paraId="74D0819F">
      <w:pPr>
        <w:ind w:firstLine="420"/>
        <w:rPr>
          <w:rFonts w:ascii="宋体" w:hAnsi="宋体" w:eastAsia="宋体"/>
          <w:bCs/>
          <w:color w:val="auto"/>
          <w:sz w:val="21"/>
        </w:rPr>
      </w:pPr>
      <w:r>
        <w:rPr>
          <w:rFonts w:hint="eastAsia" w:ascii="宋体" w:hAnsi="宋体" w:eastAsia="宋体"/>
          <w:bCs/>
          <w:color w:val="auto"/>
          <w:sz w:val="21"/>
        </w:rPr>
        <w:t>31.1本工程项目采用的评标办法见本须知前附表第26项，具体内容详见本招标文件第二章。</w:t>
      </w:r>
    </w:p>
    <w:p w14:paraId="69AF4530">
      <w:pPr>
        <w:numPr>
          <w:ilvl w:val="0"/>
          <w:numId w:val="3"/>
        </w:numPr>
        <w:spacing w:before="360" w:afterLines="50" w:line="320" w:lineRule="exact"/>
        <w:jc w:val="center"/>
        <w:outlineLvl w:val="1"/>
        <w:rPr>
          <w:rFonts w:ascii="Arial" w:hAnsi="Arial" w:eastAsia="黑体" w:cs="Arial"/>
          <w:b/>
          <w:color w:val="auto"/>
          <w:szCs w:val="24"/>
        </w:rPr>
      </w:pPr>
      <w:bookmarkStart w:id="111" w:name="_Toc15646"/>
      <w:bookmarkStart w:id="112" w:name="_Toc1799"/>
      <w:r>
        <w:rPr>
          <w:rFonts w:hint="eastAsia" w:ascii="Arial" w:hAnsi="Arial" w:eastAsia="黑体" w:cs="Arial"/>
          <w:b/>
          <w:color w:val="auto"/>
          <w:szCs w:val="24"/>
        </w:rPr>
        <w:t>授予合同</w:t>
      </w:r>
      <w:bookmarkEnd w:id="94"/>
      <w:bookmarkEnd w:id="95"/>
      <w:bookmarkEnd w:id="111"/>
      <w:bookmarkEnd w:id="112"/>
    </w:p>
    <w:p w14:paraId="0DA3D5BF">
      <w:pPr>
        <w:keepNext/>
        <w:keepLines/>
        <w:numPr>
          <w:ilvl w:val="0"/>
          <w:numId w:val="4"/>
        </w:numPr>
        <w:spacing w:before="360" w:line="288" w:lineRule="auto"/>
        <w:jc w:val="left"/>
        <w:outlineLvl w:val="2"/>
        <w:rPr>
          <w:rFonts w:ascii="黑体" w:hAnsi="宋体" w:eastAsia="黑体"/>
          <w:b/>
          <w:color w:val="auto"/>
          <w:sz w:val="21"/>
        </w:rPr>
      </w:pPr>
      <w:bookmarkStart w:id="113" w:name="_Toc169487814"/>
      <w:bookmarkStart w:id="114" w:name="_Toc155342567"/>
      <w:bookmarkStart w:id="115" w:name="_Toc500208496"/>
      <w:r>
        <w:rPr>
          <w:rFonts w:hint="eastAsia" w:ascii="黑体" w:hAnsi="宋体" w:eastAsia="黑体"/>
          <w:b/>
          <w:color w:val="auto"/>
          <w:sz w:val="21"/>
        </w:rPr>
        <w:t>中标候选人公示</w:t>
      </w:r>
      <w:bookmarkEnd w:id="113"/>
      <w:bookmarkEnd w:id="114"/>
    </w:p>
    <w:p w14:paraId="57940167">
      <w:pPr>
        <w:pStyle w:val="9"/>
        <w:numPr>
          <w:ilvl w:val="1"/>
          <w:numId w:val="4"/>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7A2C7DF3">
      <w:pPr>
        <w:pStyle w:val="9"/>
        <w:numPr>
          <w:ilvl w:val="1"/>
          <w:numId w:val="4"/>
        </w:numPr>
        <w:ind w:firstLine="420" w:firstLineChars="200"/>
        <w:rPr>
          <w:color w:val="auto"/>
        </w:rPr>
      </w:pPr>
      <w:r>
        <w:rPr>
          <w:rFonts w:hint="eastAsia"/>
          <w:color w:val="auto"/>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5AE4696">
      <w:pPr>
        <w:pStyle w:val="9"/>
        <w:numPr>
          <w:ilvl w:val="1"/>
          <w:numId w:val="4"/>
        </w:numPr>
        <w:ind w:firstLine="420" w:firstLineChars="200"/>
        <w:rPr>
          <w:color w:val="auto"/>
        </w:rPr>
      </w:pPr>
      <w:r>
        <w:rPr>
          <w:rFonts w:hint="eastAsia"/>
          <w:color w:val="auto"/>
        </w:rPr>
        <w:t>涉及中标候选人投标资格等情形的，招标人（招标代理机构）可以书面形式要求其进行澄清或说明。中标候选人应自收到书面通知之日起3日内进行澄清或说明。</w:t>
      </w:r>
    </w:p>
    <w:p w14:paraId="5D3BFA85">
      <w:pPr>
        <w:pStyle w:val="9"/>
        <w:numPr>
          <w:ilvl w:val="1"/>
          <w:numId w:val="4"/>
        </w:numPr>
        <w:ind w:firstLine="420" w:firstLineChars="200"/>
        <w:rPr>
          <w:color w:val="auto"/>
        </w:rPr>
      </w:pPr>
      <w:r>
        <w:rPr>
          <w:rFonts w:hint="eastAsia"/>
          <w:color w:val="auto"/>
        </w:rPr>
        <w:t>中标候选人有以下情形之一的，其资格无效：</w:t>
      </w:r>
    </w:p>
    <w:p w14:paraId="4E9C8792">
      <w:pPr>
        <w:numPr>
          <w:ilvl w:val="0"/>
          <w:numId w:val="5"/>
        </w:numPr>
        <w:spacing w:line="288" w:lineRule="auto"/>
        <w:ind w:firstLine="420" w:firstLineChars="200"/>
        <w:rPr>
          <w:rFonts w:ascii="宋体" w:hAnsi="宋体" w:eastAsia="宋体"/>
          <w:color w:val="auto"/>
          <w:sz w:val="21"/>
        </w:rPr>
      </w:pPr>
      <w:r>
        <w:rPr>
          <w:rFonts w:hint="eastAsia" w:ascii="宋体" w:hAnsi="宋体" w:eastAsia="宋体"/>
          <w:color w:val="auto"/>
          <w:sz w:val="21"/>
        </w:rPr>
        <w:t>投标资格不符合本章第4项规定的；</w:t>
      </w:r>
    </w:p>
    <w:p w14:paraId="3A9AFCBC">
      <w:pPr>
        <w:spacing w:line="288" w:lineRule="auto"/>
        <w:ind w:firstLine="420" w:firstLineChars="200"/>
        <w:rPr>
          <w:rFonts w:ascii="宋体" w:hAnsi="宋体" w:eastAsia="宋体"/>
          <w:color w:val="auto"/>
          <w:sz w:val="21"/>
        </w:rPr>
      </w:pPr>
      <w:r>
        <w:rPr>
          <w:rFonts w:hint="eastAsia" w:ascii="宋体" w:hAnsi="宋体" w:eastAsia="宋体"/>
          <w:color w:val="auto"/>
          <w:sz w:val="21"/>
        </w:rPr>
        <w:t>（2）投标人提供虚假材料骗取投标资格的；</w:t>
      </w:r>
    </w:p>
    <w:p w14:paraId="762F7D97">
      <w:pPr>
        <w:spacing w:line="288" w:lineRule="auto"/>
        <w:ind w:firstLine="420" w:firstLineChars="200"/>
        <w:rPr>
          <w:color w:val="auto"/>
        </w:rPr>
      </w:pPr>
      <w:r>
        <w:rPr>
          <w:rFonts w:hint="eastAsia" w:ascii="宋体" w:hAnsi="宋体" w:eastAsia="宋体"/>
          <w:color w:val="auto"/>
          <w:sz w:val="21"/>
        </w:rPr>
        <w:t>（3）按本章第28项规定应作无效标处理的；</w:t>
      </w:r>
    </w:p>
    <w:p w14:paraId="5DE58030">
      <w:pPr>
        <w:spacing w:line="288" w:lineRule="auto"/>
        <w:ind w:firstLine="420" w:firstLineChars="200"/>
        <w:rPr>
          <w:color w:val="auto"/>
        </w:rPr>
      </w:pPr>
      <w:r>
        <w:rPr>
          <w:rFonts w:hint="eastAsia" w:ascii="宋体" w:hAnsi="宋体" w:eastAsia="宋体"/>
          <w:color w:val="auto"/>
          <w:sz w:val="21"/>
        </w:rPr>
        <w:t>（4）拒绝按本章第32.3款规定进行说明或不能合理说明理由的；</w:t>
      </w:r>
    </w:p>
    <w:p w14:paraId="3B460408">
      <w:pPr>
        <w:spacing w:line="288" w:lineRule="auto"/>
        <w:ind w:firstLine="420"/>
        <w:rPr>
          <w:rFonts w:ascii="宋体" w:hAnsi="宋体" w:eastAsia="宋体"/>
          <w:color w:val="auto"/>
          <w:sz w:val="21"/>
        </w:rPr>
      </w:pPr>
      <w:r>
        <w:rPr>
          <w:rFonts w:hint="eastAsia" w:ascii="宋体" w:hAnsi="宋体" w:eastAsia="宋体"/>
          <w:color w:val="auto"/>
          <w:sz w:val="21"/>
        </w:rPr>
        <w:t>（5）法律法规规定作无效标处理的其它情形。</w:t>
      </w:r>
    </w:p>
    <w:bookmarkEnd w:id="115"/>
    <w:bookmarkEnd w:id="116"/>
    <w:bookmarkEnd w:id="117"/>
    <w:p w14:paraId="2D1AC0F5">
      <w:pPr>
        <w:keepNext/>
        <w:keepLines/>
        <w:numPr>
          <w:ilvl w:val="0"/>
          <w:numId w:val="4"/>
        </w:numPr>
        <w:spacing w:before="360" w:line="288" w:lineRule="auto"/>
        <w:jc w:val="left"/>
        <w:outlineLvl w:val="2"/>
        <w:rPr>
          <w:rFonts w:ascii="黑体" w:hAnsi="宋体" w:eastAsia="黑体"/>
          <w:b/>
          <w:color w:val="auto"/>
          <w:sz w:val="21"/>
        </w:rPr>
      </w:pPr>
      <w:bookmarkStart w:id="118" w:name="_Toc169487816"/>
      <w:bookmarkStart w:id="119" w:name="_Toc500208498"/>
      <w:r>
        <w:rPr>
          <w:rFonts w:hint="eastAsia" w:ascii="黑体" w:hAnsi="宋体" w:eastAsia="黑体"/>
          <w:b/>
          <w:color w:val="auto"/>
          <w:sz w:val="21"/>
        </w:rPr>
        <w:t>中标通知书</w:t>
      </w:r>
      <w:bookmarkEnd w:id="118"/>
    </w:p>
    <w:p w14:paraId="64523C96">
      <w:pPr>
        <w:pStyle w:val="9"/>
        <w:numPr>
          <w:ilvl w:val="1"/>
          <w:numId w:val="4"/>
        </w:numPr>
        <w:ind w:firstLine="420" w:firstLineChars="200"/>
        <w:rPr>
          <w:b/>
          <w:color w:val="auto"/>
        </w:rPr>
      </w:pPr>
      <w:bookmarkStart w:id="120" w:name="_Toc155342569"/>
      <w:bookmarkStart w:id="121" w:name="_Toc169487817"/>
      <w:r>
        <w:rPr>
          <w:rFonts w:hint="eastAsia"/>
          <w:color w:val="auto"/>
        </w:rPr>
        <w:t>招标人应当确定第一中标候选人为中标人。第一中标候选人放弃中标，或者因不可抗力提出不能履行合同，或者因违反本章第32.4项规定造成其资格无效的，本次招标失败，重新组织招标。</w:t>
      </w:r>
      <w:r>
        <w:rPr>
          <w:rFonts w:hint="eastAsia"/>
          <w:color w:val="auto"/>
          <w:szCs w:val="32"/>
        </w:rPr>
        <w:t>如涉及到其他投标人资格无效，则评标结果不作调整。</w:t>
      </w:r>
    </w:p>
    <w:p w14:paraId="55DC096A">
      <w:pPr>
        <w:pStyle w:val="10"/>
      </w:pPr>
    </w:p>
    <w:p w14:paraId="7CE57792">
      <w:pPr>
        <w:pStyle w:val="9"/>
        <w:numPr>
          <w:ilvl w:val="1"/>
          <w:numId w:val="4"/>
        </w:numPr>
        <w:ind w:firstLine="420" w:firstLineChars="200"/>
        <w:rPr>
          <w:color w:val="auto"/>
        </w:rPr>
      </w:pPr>
      <w:r>
        <w:rPr>
          <w:rFonts w:hint="eastAsia"/>
          <w:color w:val="auto"/>
          <w:szCs w:val="32"/>
        </w:rPr>
        <w:t>中标人确定后，招标人应当向中标人发出《建设工程中标通知书》。</w:t>
      </w:r>
    </w:p>
    <w:p w14:paraId="436C52EB">
      <w:pPr>
        <w:pStyle w:val="9"/>
        <w:numPr>
          <w:ilvl w:val="1"/>
          <w:numId w:val="4"/>
        </w:numPr>
        <w:ind w:firstLine="420" w:firstLineChars="200"/>
        <w:rPr>
          <w:color w:val="auto"/>
          <w:szCs w:val="32"/>
        </w:rPr>
      </w:pPr>
      <w:r>
        <w:rPr>
          <w:rFonts w:hint="eastAsia"/>
          <w:color w:val="auto"/>
          <w:szCs w:val="32"/>
        </w:rPr>
        <w:t>招标人在发出《建设工程中标通知书》的同时，应当将中标结果发布在交易场所（发布招标公告的媒体上）。</w:t>
      </w:r>
    </w:p>
    <w:p w14:paraId="7216FF5D">
      <w:pPr>
        <w:pStyle w:val="9"/>
        <w:numPr>
          <w:ilvl w:val="1"/>
          <w:numId w:val="4"/>
        </w:numPr>
        <w:ind w:firstLine="420" w:firstLineChars="200"/>
        <w:rPr>
          <w:color w:val="auto"/>
        </w:rPr>
      </w:pPr>
      <w:r>
        <w:rPr>
          <w:rFonts w:hint="eastAsia"/>
          <w:color w:val="auto"/>
          <w:szCs w:val="32"/>
        </w:rPr>
        <w:t>《建设工程中标通知书》对招标人和中标人具有法律约束力。《建设工程中标通知书》发出后，如中标人违反法律法规规定而中标无效的，应承担相应的法律责任，本次招标失败，应重新组织招标。</w:t>
      </w:r>
    </w:p>
    <w:p w14:paraId="0D564DD3">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29963679">
      <w:pPr>
        <w:pStyle w:val="9"/>
        <w:numPr>
          <w:ilvl w:val="1"/>
          <w:numId w:val="4"/>
        </w:numPr>
        <w:ind w:firstLine="420" w:firstLineChars="200"/>
        <w:rPr>
          <w:color w:val="auto"/>
          <w:highlight w:val="none"/>
        </w:rPr>
      </w:pPr>
      <w:r>
        <w:rPr>
          <w:rFonts w:hint="eastAsia" w:ascii="宋体" w:hAnsi="宋体" w:eastAsia="宋体"/>
          <w:bCs/>
          <w:color w:val="auto"/>
          <w:sz w:val="21"/>
          <w:highlight w:val="none"/>
        </w:rPr>
        <w:t>本工程项目采用的</w:t>
      </w:r>
      <w:r>
        <w:rPr>
          <w:rFonts w:hint="eastAsia" w:ascii="宋体" w:hAnsi="宋体" w:eastAsia="宋体"/>
          <w:bCs/>
          <w:color w:val="auto"/>
          <w:sz w:val="21"/>
          <w:highlight w:val="none"/>
          <w:lang w:val="en-US" w:eastAsia="zh-CN"/>
        </w:rPr>
        <w:t>履约担保形式</w:t>
      </w:r>
      <w:r>
        <w:rPr>
          <w:rFonts w:hint="eastAsia"/>
          <w:bCs/>
          <w:color w:val="auto"/>
          <w:sz w:val="21"/>
          <w:highlight w:val="none"/>
          <w:lang w:val="en-US" w:eastAsia="zh-CN"/>
        </w:rPr>
        <w:t>及</w:t>
      </w:r>
      <w:r>
        <w:rPr>
          <w:color w:val="auto"/>
          <w:highlight w:val="none"/>
        </w:rPr>
        <w:t>履约担保额度</w:t>
      </w:r>
      <w:r>
        <w:rPr>
          <w:rFonts w:hint="eastAsia" w:ascii="宋体" w:hAnsi="宋体" w:eastAsia="宋体"/>
          <w:bCs/>
          <w:color w:val="auto"/>
          <w:sz w:val="21"/>
          <w:highlight w:val="none"/>
        </w:rPr>
        <w:t>见本须知前附表</w:t>
      </w:r>
      <w:r>
        <w:rPr>
          <w:rFonts w:hint="eastAsia"/>
          <w:color w:val="auto"/>
          <w:szCs w:val="32"/>
          <w:highlight w:val="none"/>
        </w:rPr>
        <w:t>。</w:t>
      </w:r>
      <w:r>
        <w:rPr>
          <w:color w:val="auto"/>
          <w:highlight w:val="none"/>
        </w:rPr>
        <w:t>中标人应在签订合同前向招标人提交履约担保，未提交履约担保的，不授予合同。</w:t>
      </w:r>
    </w:p>
    <w:p w14:paraId="74C696EE">
      <w:pPr>
        <w:pStyle w:val="9"/>
        <w:numPr>
          <w:ilvl w:val="1"/>
          <w:numId w:val="4"/>
        </w:numPr>
        <w:ind w:firstLine="420" w:firstLineChars="200"/>
        <w:rPr>
          <w:color w:val="auto"/>
        </w:rPr>
      </w:pPr>
      <w:r>
        <w:rPr>
          <w:rFonts w:hint="eastAsia"/>
          <w:color w:val="auto"/>
          <w:szCs w:val="32"/>
        </w:rPr>
        <w:t>自《建设工程中标通知书》发出之日起30日内，招标人应当与中标人按照本招标文件和中标人的投标文件订立书面合同。招标人与中标人不得再行订立背离合同实质性内容的其他协议。</w:t>
      </w:r>
    </w:p>
    <w:p w14:paraId="21264D05">
      <w:pPr>
        <w:pStyle w:val="9"/>
        <w:numPr>
          <w:ilvl w:val="1"/>
          <w:numId w:val="4"/>
        </w:numPr>
        <w:ind w:firstLine="420" w:firstLineChars="200"/>
        <w:rPr>
          <w:color w:val="auto"/>
        </w:rPr>
      </w:pPr>
      <w:r>
        <w:rPr>
          <w:rFonts w:hint="eastAsia"/>
          <w:color w:val="auto"/>
          <w:szCs w:val="32"/>
        </w:rPr>
        <w:t>招标人与中标人须根据国家、省、市建设工程施工合同管理的规定及招标文件、投标文件，草签施工合同，待合同管理部门审查后正式签订。</w:t>
      </w:r>
    </w:p>
    <w:p w14:paraId="4DB83DF7">
      <w:pPr>
        <w:pStyle w:val="9"/>
        <w:numPr>
          <w:ilvl w:val="1"/>
          <w:numId w:val="4"/>
        </w:numPr>
        <w:ind w:firstLine="420" w:firstLineChars="200"/>
        <w:rPr>
          <w:color w:val="auto"/>
        </w:rPr>
      </w:pPr>
      <w:r>
        <w:rPr>
          <w:rFonts w:hint="eastAsia"/>
          <w:color w:val="auto"/>
          <w:szCs w:val="32"/>
        </w:rPr>
        <w:t>招标人与中标人应当</w:t>
      </w:r>
      <w:r>
        <w:rPr>
          <w:rFonts w:hint="eastAsia"/>
          <w:color w:val="auto"/>
        </w:rPr>
        <w:t>按照《关于在我市工程建设领域推行廉政合同的通知》（台纪[2001]19号）的要求签订《廉政合同》。</w:t>
      </w:r>
      <w:bookmarkEnd w:id="119"/>
    </w:p>
    <w:bookmarkEnd w:id="3"/>
    <w:bookmarkEnd w:id="4"/>
    <w:bookmarkEnd w:id="5"/>
    <w:bookmarkEnd w:id="6"/>
    <w:p w14:paraId="6102EC4A">
      <w:pPr>
        <w:pStyle w:val="2"/>
        <w:spacing w:line="288" w:lineRule="auto"/>
        <w:ind w:left="300"/>
        <w:rPr>
          <w:rFonts w:ascii="宋体" w:eastAsia="宋体"/>
          <w:b w:val="0"/>
          <w:bCs/>
          <w:color w:val="auto"/>
          <w:sz w:val="44"/>
        </w:rPr>
      </w:pPr>
      <w:bookmarkStart w:id="122" w:name="_Toc511741120"/>
      <w:bookmarkStart w:id="123" w:name="_Toc169487823"/>
      <w:bookmarkStart w:id="124" w:name="_Toc386121568"/>
      <w:bookmarkStart w:id="125" w:name="_Toc386121757"/>
    </w:p>
    <w:p w14:paraId="1E0B64B7">
      <w:pPr>
        <w:rPr>
          <w:rFonts w:ascii="宋体" w:eastAsia="宋体"/>
          <w:bCs/>
          <w:color w:val="auto"/>
          <w:sz w:val="44"/>
        </w:rPr>
      </w:pPr>
    </w:p>
    <w:p w14:paraId="096E625C">
      <w:pPr>
        <w:rPr>
          <w:rFonts w:ascii="宋体" w:eastAsia="宋体"/>
          <w:bCs/>
          <w:color w:val="auto"/>
          <w:sz w:val="44"/>
        </w:rPr>
      </w:pPr>
    </w:p>
    <w:p w14:paraId="178F6D5B">
      <w:pPr>
        <w:rPr>
          <w:rFonts w:ascii="宋体" w:eastAsia="宋体"/>
          <w:bCs/>
          <w:color w:val="auto"/>
          <w:sz w:val="44"/>
        </w:rPr>
      </w:pPr>
    </w:p>
    <w:p w14:paraId="3AC2A80E">
      <w:pPr>
        <w:rPr>
          <w:rFonts w:ascii="宋体" w:eastAsia="宋体"/>
          <w:bCs/>
          <w:color w:val="auto"/>
          <w:sz w:val="44"/>
        </w:rPr>
      </w:pPr>
    </w:p>
    <w:p w14:paraId="4CD538D8">
      <w:pPr>
        <w:rPr>
          <w:rFonts w:ascii="宋体" w:eastAsia="宋体"/>
          <w:bCs/>
          <w:color w:val="auto"/>
          <w:sz w:val="44"/>
        </w:rPr>
      </w:pPr>
    </w:p>
    <w:p w14:paraId="45F7D328">
      <w:pPr>
        <w:rPr>
          <w:rFonts w:ascii="宋体" w:eastAsia="宋体"/>
          <w:bCs/>
          <w:color w:val="auto"/>
          <w:sz w:val="44"/>
        </w:rPr>
      </w:pPr>
    </w:p>
    <w:p w14:paraId="085CDB48">
      <w:pPr>
        <w:rPr>
          <w:rFonts w:ascii="宋体" w:eastAsia="宋体"/>
          <w:bCs/>
          <w:color w:val="auto"/>
          <w:sz w:val="44"/>
        </w:rPr>
      </w:pPr>
    </w:p>
    <w:p w14:paraId="00572002">
      <w:pPr>
        <w:rPr>
          <w:rFonts w:ascii="宋体" w:eastAsia="宋体"/>
          <w:bCs/>
          <w:color w:val="auto"/>
          <w:sz w:val="44"/>
        </w:rPr>
      </w:pPr>
    </w:p>
    <w:p w14:paraId="2CD372A9">
      <w:pPr>
        <w:pStyle w:val="8"/>
        <w:outlineLvl w:val="0"/>
        <w:rPr>
          <w:rFonts w:ascii="黑体" w:hAnsi="黑体" w:eastAsia="黑体"/>
          <w:b/>
          <w:color w:val="auto"/>
          <w:sz w:val="32"/>
          <w:szCs w:val="32"/>
        </w:rPr>
      </w:pPr>
      <w:bookmarkStart w:id="126" w:name="_Toc20217"/>
      <w:bookmarkStart w:id="127" w:name="_Toc484683196"/>
      <w:bookmarkStart w:id="128" w:name="_Toc561"/>
    </w:p>
    <w:p w14:paraId="62FFAF7C">
      <w:pPr>
        <w:pStyle w:val="8"/>
        <w:outlineLvl w:val="0"/>
        <w:rPr>
          <w:rFonts w:ascii="黑体" w:hAnsi="黑体" w:eastAsia="黑体"/>
          <w:b/>
          <w:color w:val="auto"/>
          <w:sz w:val="32"/>
          <w:szCs w:val="32"/>
        </w:rPr>
      </w:pPr>
    </w:p>
    <w:p w14:paraId="0DBFB12C">
      <w:pPr>
        <w:pStyle w:val="8"/>
        <w:outlineLvl w:val="0"/>
        <w:rPr>
          <w:rFonts w:ascii="黑体" w:hAnsi="黑体" w:eastAsia="黑体"/>
          <w:b/>
          <w:color w:val="auto"/>
          <w:sz w:val="32"/>
          <w:szCs w:val="32"/>
        </w:rPr>
      </w:pPr>
    </w:p>
    <w:p w14:paraId="43C2DB07">
      <w:pPr>
        <w:pStyle w:val="8"/>
        <w:outlineLvl w:val="0"/>
        <w:rPr>
          <w:rFonts w:ascii="黑体" w:hAnsi="黑体" w:eastAsia="黑体"/>
          <w:b/>
          <w:color w:val="auto"/>
          <w:sz w:val="32"/>
          <w:szCs w:val="32"/>
        </w:rPr>
      </w:pPr>
    </w:p>
    <w:p w14:paraId="20A0010B">
      <w:pPr>
        <w:pStyle w:val="8"/>
        <w:jc w:val="both"/>
        <w:outlineLvl w:val="0"/>
        <w:rPr>
          <w:rFonts w:ascii="黑体" w:hAnsi="黑体" w:eastAsia="黑体"/>
          <w:b/>
          <w:color w:val="auto"/>
          <w:sz w:val="32"/>
          <w:szCs w:val="32"/>
        </w:rPr>
      </w:pPr>
    </w:p>
    <w:p w14:paraId="5C5D6938">
      <w:pPr>
        <w:pStyle w:val="8"/>
        <w:jc w:val="both"/>
        <w:outlineLvl w:val="0"/>
        <w:rPr>
          <w:rFonts w:ascii="黑体" w:hAnsi="黑体" w:eastAsia="黑体"/>
          <w:b/>
          <w:color w:val="auto"/>
          <w:sz w:val="32"/>
          <w:szCs w:val="32"/>
        </w:rPr>
      </w:pPr>
    </w:p>
    <w:p w14:paraId="28BA43DC">
      <w:pPr>
        <w:pStyle w:val="8"/>
        <w:jc w:val="both"/>
        <w:outlineLvl w:val="0"/>
        <w:rPr>
          <w:rFonts w:ascii="黑体" w:hAnsi="黑体" w:eastAsia="黑体"/>
          <w:b/>
          <w:color w:val="auto"/>
          <w:sz w:val="32"/>
          <w:szCs w:val="32"/>
        </w:rPr>
      </w:pPr>
    </w:p>
    <w:p w14:paraId="41B80DA0">
      <w:pPr>
        <w:pStyle w:val="8"/>
        <w:outlineLvl w:val="0"/>
        <w:rPr>
          <w:b/>
          <w:color w:val="auto"/>
        </w:rPr>
      </w:pPr>
      <w:r>
        <w:rPr>
          <w:rFonts w:hint="eastAsia" w:ascii="黑体" w:hAnsi="黑体" w:eastAsia="黑体"/>
          <w:b/>
          <w:color w:val="auto"/>
          <w:sz w:val="32"/>
          <w:szCs w:val="32"/>
        </w:rPr>
        <w:t>第二章  评标办法</w:t>
      </w:r>
      <w:bookmarkEnd w:id="126"/>
      <w:bookmarkEnd w:id="127"/>
    </w:p>
    <w:p w14:paraId="415BCE67">
      <w:pPr>
        <w:spacing w:line="720" w:lineRule="exact"/>
        <w:jc w:val="center"/>
        <w:rPr>
          <w:rFonts w:hint="eastAsia"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34B4179E">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56E454D6">
      <w:pPr>
        <w:pStyle w:val="40"/>
        <w:snapToGrid w:val="0"/>
        <w:spacing w:line="360" w:lineRule="auto"/>
        <w:ind w:firstLine="480" w:firstLineChars="200"/>
        <w:jc w:val="both"/>
        <w:rPr>
          <w:rFonts w:hint="eastAsia" w:ascii="宋体" w:hAnsi="宋体"/>
        </w:rPr>
      </w:pPr>
      <w:r>
        <w:rPr>
          <w:rFonts w:hint="eastAsia" w:ascii="宋体" w:hAnsi="宋体"/>
        </w:rPr>
        <w:t>评标顺序</w:t>
      </w:r>
    </w:p>
    <w:p w14:paraId="11484188">
      <w:pPr>
        <w:pStyle w:val="40"/>
        <w:snapToGrid w:val="0"/>
        <w:spacing w:line="360" w:lineRule="auto"/>
        <w:ind w:firstLine="480" w:firstLineChars="200"/>
        <w:jc w:val="both"/>
        <w:rPr>
          <w:rFonts w:hint="eastAsia" w:ascii="宋体" w:hAnsi="宋体"/>
        </w:rPr>
      </w:pPr>
      <w:r>
        <w:rPr>
          <w:rFonts w:hint="eastAsia" w:ascii="宋体" w:hAnsi="宋体"/>
        </w:rPr>
        <w:t>（一）商务标评审</w:t>
      </w:r>
    </w:p>
    <w:p w14:paraId="47772C60">
      <w:pPr>
        <w:pStyle w:val="40"/>
        <w:snapToGrid w:val="0"/>
        <w:spacing w:line="360" w:lineRule="auto"/>
        <w:ind w:firstLine="480" w:firstLineChars="200"/>
        <w:jc w:val="both"/>
        <w:rPr>
          <w:rFonts w:hint="eastAsia" w:ascii="宋体" w:hAnsi="宋体"/>
        </w:rPr>
      </w:pPr>
      <w:r>
        <w:rPr>
          <w:rFonts w:hint="eastAsia" w:ascii="宋体" w:hAnsi="宋体"/>
        </w:rPr>
        <w:t>（二）资信标评审</w:t>
      </w:r>
    </w:p>
    <w:p w14:paraId="6CE310F2">
      <w:pPr>
        <w:pStyle w:val="40"/>
        <w:snapToGrid w:val="0"/>
        <w:spacing w:line="360" w:lineRule="auto"/>
        <w:ind w:firstLine="480" w:firstLineChars="200"/>
        <w:jc w:val="both"/>
        <w:rPr>
          <w:rFonts w:hint="eastAsia" w:ascii="宋体" w:hAnsi="宋体"/>
        </w:rPr>
      </w:pPr>
      <w:r>
        <w:rPr>
          <w:rFonts w:hint="eastAsia" w:ascii="宋体" w:hAnsi="宋体"/>
        </w:rPr>
        <w:t>（三）确定中标候选人</w:t>
      </w:r>
    </w:p>
    <w:p w14:paraId="5163620B">
      <w:pPr>
        <w:snapToGrid w:val="0"/>
        <w:spacing w:line="360" w:lineRule="auto"/>
        <w:ind w:firstLine="422" w:firstLineChars="200"/>
        <w:outlineLvl w:val="0"/>
        <w:rPr>
          <w:rFonts w:hint="eastAsia"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335B231">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（一）评标标底价</w:t>
      </w:r>
    </w:p>
    <w:p w14:paraId="478E7EB6">
      <w:pPr>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767BD11C">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0687316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（二）商务标得分</w:t>
      </w:r>
    </w:p>
    <w:p w14:paraId="3FFD023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5AB831D">
      <w:pPr>
        <w:snapToGrid w:val="0"/>
        <w:spacing w:line="36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6A6A203D">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此类推，直至产生中标候选人。</w:t>
      </w:r>
    </w:p>
    <w:p w14:paraId="4BC2A0C4">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371F1381">
      <w:pPr>
        <w:snapToGrid w:val="0"/>
        <w:spacing w:line="360" w:lineRule="auto"/>
        <w:ind w:firstLine="420" w:firstLineChars="200"/>
        <w:rPr>
          <w:rFonts w:hint="eastAsia"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422FA5B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53C1A20">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（一）投标报价低者；</w:t>
      </w:r>
    </w:p>
    <w:p w14:paraId="6D443FDC">
      <w:pPr>
        <w:pStyle w:val="30"/>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（二）抽签确定。</w:t>
      </w:r>
    </w:p>
    <w:p w14:paraId="43C3BB1C">
      <w:pPr>
        <w:pStyle w:val="30"/>
        <w:ind w:firstLine="420" w:firstLineChars="200"/>
        <w:rPr>
          <w:rFonts w:hint="eastAsia" w:ascii="宋体" w:hAnsi="宋体" w:eastAsia="宋体" w:cs="宋体"/>
          <w:bCs/>
          <w:sz w:val="21"/>
          <w:szCs w:val="21"/>
        </w:rPr>
      </w:pPr>
    </w:p>
    <w:p w14:paraId="045125B7">
      <w:pPr>
        <w:pStyle w:val="30"/>
        <w:ind w:firstLine="420" w:firstLineChars="200"/>
        <w:rPr>
          <w:rFonts w:hint="eastAsia" w:ascii="宋体" w:hAnsi="宋体" w:eastAsia="宋体" w:cs="宋体"/>
          <w:bCs/>
          <w:sz w:val="21"/>
          <w:szCs w:val="21"/>
        </w:rPr>
      </w:pPr>
    </w:p>
    <w:p w14:paraId="03A84A5E">
      <w:pPr>
        <w:pStyle w:val="30"/>
        <w:ind w:firstLine="420" w:firstLineChars="200"/>
        <w:rPr>
          <w:rFonts w:hint="eastAsia" w:ascii="宋体" w:hAnsi="宋体" w:eastAsia="宋体" w:cs="宋体"/>
          <w:bCs/>
          <w:sz w:val="21"/>
          <w:szCs w:val="21"/>
        </w:rPr>
      </w:pPr>
    </w:p>
    <w:p w14:paraId="33B6DC88">
      <w:pPr>
        <w:pStyle w:val="30"/>
        <w:rPr>
          <w:rFonts w:hint="eastAsia" w:ascii="宋体" w:hAnsi="宋体" w:eastAsia="宋体" w:cs="宋体"/>
          <w:bCs/>
          <w:sz w:val="21"/>
          <w:szCs w:val="21"/>
        </w:rPr>
      </w:pPr>
    </w:p>
    <w:p w14:paraId="31EDCFA4">
      <w:pPr>
        <w:pStyle w:val="30"/>
        <w:ind w:firstLine="420" w:firstLineChars="200"/>
        <w:rPr>
          <w:rFonts w:hint="eastAsia" w:ascii="宋体" w:hAnsi="宋体" w:eastAsia="宋体" w:cs="宋体"/>
          <w:bCs/>
          <w:sz w:val="21"/>
          <w:szCs w:val="21"/>
        </w:rPr>
      </w:pPr>
    </w:p>
    <w:p w14:paraId="44BADA77">
      <w:pPr>
        <w:pStyle w:val="30"/>
        <w:ind w:firstLine="420" w:firstLineChars="200"/>
        <w:rPr>
          <w:rFonts w:hint="eastAsia" w:ascii="宋体" w:hAnsi="宋体" w:eastAsia="宋体" w:cs="宋体"/>
          <w:bCs/>
          <w:sz w:val="21"/>
          <w:szCs w:val="21"/>
        </w:rPr>
      </w:pPr>
    </w:p>
    <w:p w14:paraId="2C0F2512">
      <w:pPr>
        <w:pStyle w:val="30"/>
        <w:ind w:firstLine="420" w:firstLineChars="200"/>
        <w:rPr>
          <w:rFonts w:hint="eastAsia" w:ascii="宋体" w:hAnsi="宋体" w:eastAsia="宋体" w:cs="宋体"/>
          <w:bCs/>
          <w:sz w:val="21"/>
          <w:szCs w:val="21"/>
        </w:rPr>
      </w:pPr>
    </w:p>
    <w:bookmarkEnd w:id="122"/>
    <w:bookmarkEnd w:id="128"/>
    <w:p w14:paraId="64051368">
      <w:pPr>
        <w:pStyle w:val="2"/>
        <w:spacing w:line="288" w:lineRule="auto"/>
        <w:jc w:val="center"/>
        <w:rPr>
          <w:rFonts w:hAnsi="黑体"/>
          <w:color w:val="auto"/>
          <w:sz w:val="30"/>
          <w:szCs w:val="22"/>
        </w:rPr>
      </w:pPr>
      <w:r>
        <w:rPr>
          <w:rFonts w:hint="eastAsia" w:hAnsi="黑体"/>
          <w:color w:val="auto"/>
          <w:sz w:val="30"/>
          <w:szCs w:val="22"/>
        </w:rPr>
        <w:t>第三章  合同条款</w:t>
      </w:r>
    </w:p>
    <w:p w14:paraId="6625206C">
      <w:pPr>
        <w:pStyle w:val="32"/>
        <w:spacing w:line="288" w:lineRule="auto"/>
        <w:ind w:firstLine="360" w:firstLineChars="150"/>
        <w:rPr>
          <w:rFonts w:ascii="宋体" w:hAnsi="宋体" w:eastAsia="宋体" w:cs="宋体"/>
          <w:b/>
          <w:bCs/>
          <w:color w:val="auto"/>
          <w:sz w:val="24"/>
          <w:szCs w:val="24"/>
        </w:rPr>
      </w:pPr>
      <w:r>
        <w:rPr>
          <w:rFonts w:hint="eastAsia" w:ascii="宋体" w:hAnsi="宋体" w:eastAsia="宋体" w:cs="宋体"/>
          <w:color w:val="auto"/>
          <w:sz w:val="24"/>
          <w:szCs w:val="24"/>
        </w:rPr>
        <w:t>合同文本采用</w:t>
      </w:r>
      <w:r>
        <w:rPr>
          <w:rFonts w:hint="eastAsia" w:ascii="宋体" w:hAnsi="宋体" w:eastAsia="宋体" w:cs="宋体"/>
          <w:b/>
          <w:bCs/>
          <w:color w:val="auto"/>
          <w:sz w:val="24"/>
          <w:szCs w:val="24"/>
        </w:rPr>
        <w:t>《建设工程施工合同（GF—2017—0201）专用条款台州示范文本（定额计价）》（台建〔2020〕120号）</w:t>
      </w:r>
      <w:r>
        <w:rPr>
          <w:rFonts w:hint="eastAsia" w:ascii="宋体" w:hAnsi="宋体" w:eastAsia="宋体" w:cs="宋体"/>
          <w:color w:val="auto"/>
          <w:sz w:val="24"/>
          <w:szCs w:val="24"/>
        </w:rPr>
        <w:t>。</w:t>
      </w:r>
    </w:p>
    <w:p w14:paraId="26E5B32E">
      <w:pPr>
        <w:spacing w:line="3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合同通用条款采用《台州市建设工程施工合同（示范文本）》的通用条款。</w:t>
      </w:r>
    </w:p>
    <w:p w14:paraId="1D5E615E">
      <w:pPr>
        <w:spacing w:line="360" w:lineRule="exact"/>
        <w:ind w:firstLine="480" w:firstLineChars="200"/>
        <w:rPr>
          <w:rFonts w:ascii="宋体" w:hAnsi="宋体" w:eastAsia="宋体" w:cs="宋体"/>
          <w:color w:val="auto"/>
          <w:szCs w:val="32"/>
        </w:rPr>
      </w:pPr>
      <w:r>
        <w:rPr>
          <w:rFonts w:hint="eastAsia" w:ascii="宋体" w:hAnsi="宋体" w:eastAsia="宋体" w:cs="宋体"/>
          <w:color w:val="auto"/>
          <w:sz w:val="24"/>
          <w:szCs w:val="24"/>
        </w:rPr>
        <w:t>合同专用条款中的主要条款将由招标人(发包人)与中标人(承包人)根据各具体工程的投标文件签订。</w:t>
      </w:r>
    </w:p>
    <w:p w14:paraId="4F546A37">
      <w:pPr>
        <w:pStyle w:val="2"/>
        <w:rPr>
          <w:rFonts w:ascii="宋体" w:eastAsia="宋体"/>
          <w:color w:val="auto"/>
        </w:rPr>
      </w:pPr>
    </w:p>
    <w:p w14:paraId="3880F5BD">
      <w:pPr>
        <w:spacing w:line="360" w:lineRule="exact"/>
        <w:ind w:firstLine="640" w:firstLineChars="200"/>
        <w:rPr>
          <w:rFonts w:ascii="宋体" w:hAnsi="宋体"/>
          <w:color w:val="auto"/>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4A497346">
      <w:pPr>
        <w:pStyle w:val="4"/>
        <w:numPr>
          <w:ilvl w:val="0"/>
          <w:numId w:val="0"/>
        </w:numPr>
        <w:spacing w:line="400" w:lineRule="exact"/>
        <w:ind w:left="574"/>
        <w:jc w:val="center"/>
        <w:rPr>
          <w:rFonts w:ascii="宋体" w:eastAsia="宋体" w:cs="宋体"/>
          <w:color w:val="auto"/>
          <w:sz w:val="32"/>
          <w:szCs w:val="32"/>
        </w:rPr>
      </w:pPr>
      <w:bookmarkStart w:id="129" w:name="_Toc267580969"/>
      <w:bookmarkStart w:id="130" w:name="_Toc511741122"/>
      <w:bookmarkStart w:id="131" w:name="_Toc239477934"/>
      <w:r>
        <w:rPr>
          <w:rFonts w:hint="eastAsia" w:ascii="宋体" w:eastAsia="宋体" w:cs="宋体"/>
          <w:color w:val="auto"/>
          <w:sz w:val="32"/>
          <w:szCs w:val="32"/>
        </w:rPr>
        <w:t>第一部分  合同协议书</w:t>
      </w:r>
    </w:p>
    <w:p w14:paraId="20646516">
      <w:pPr>
        <w:spacing w:line="400" w:lineRule="exact"/>
        <w:rPr>
          <w:rFonts w:ascii="宋体" w:hAnsi="宋体" w:eastAsia="宋体" w:cs="宋体"/>
          <w:color w:val="auto"/>
          <w:sz w:val="21"/>
          <w:szCs w:val="21"/>
        </w:rPr>
      </w:pPr>
    </w:p>
    <w:p w14:paraId="315445A3">
      <w:pPr>
        <w:spacing w:line="440" w:lineRule="exact"/>
        <w:rPr>
          <w:rFonts w:hint="eastAsia" w:ascii="宋体" w:hAnsi="宋体" w:eastAsia="宋体" w:cs="宋体"/>
          <w:b/>
          <w:color w:val="auto"/>
          <w:sz w:val="21"/>
          <w:szCs w:val="21"/>
          <w:u w:val="single"/>
          <w:lang w:eastAsia="zh-CN"/>
        </w:rPr>
      </w:pPr>
      <w:r>
        <w:rPr>
          <w:rFonts w:hint="eastAsia" w:ascii="宋体" w:hAnsi="宋体" w:eastAsia="宋体" w:cs="宋体"/>
          <w:color w:val="auto"/>
          <w:sz w:val="21"/>
          <w:szCs w:val="21"/>
        </w:rPr>
        <w:t>发包人（全称）：</w:t>
      </w:r>
      <w:r>
        <w:rPr>
          <w:rFonts w:hint="eastAsia" w:ascii="宋体" w:hAnsi="宋体" w:eastAsia="宋体" w:cs="宋体"/>
          <w:b/>
          <w:bCs/>
          <w:color w:val="auto"/>
          <w:sz w:val="21"/>
          <w:szCs w:val="21"/>
          <w:u w:val="single"/>
          <w:lang w:eastAsia="zh-CN"/>
        </w:rPr>
        <w:t>临海市第六中学</w:t>
      </w:r>
    </w:p>
    <w:p w14:paraId="084FE759">
      <w:pPr>
        <w:spacing w:line="440" w:lineRule="exact"/>
        <w:rPr>
          <w:rFonts w:ascii="宋体" w:hAnsi="宋体" w:eastAsia="宋体" w:cs="宋体"/>
          <w:b/>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1BC4686B">
      <w:pPr>
        <w:spacing w:line="440" w:lineRule="exact"/>
        <w:ind w:firstLine="412" w:firstLineChars="200"/>
        <w:jc w:val="left"/>
        <w:rPr>
          <w:rFonts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u w:val="single"/>
        </w:rPr>
        <w:t xml:space="preserve"> </w:t>
      </w:r>
      <w:r>
        <w:rPr>
          <w:rFonts w:hint="eastAsia" w:ascii="宋体" w:hAnsi="宋体" w:eastAsia="宋体" w:cs="宋体"/>
          <w:b/>
          <w:bCs/>
          <w:color w:val="auto"/>
          <w:sz w:val="21"/>
          <w:szCs w:val="21"/>
          <w:u w:val="single"/>
          <w:lang w:eastAsia="zh-CN"/>
        </w:rPr>
        <w:t>临海市第六中学心理辅导站及污水管道改造工程</w:t>
      </w:r>
      <w:r>
        <w:rPr>
          <w:rFonts w:hint="eastAsia" w:ascii="宋体" w:hAnsi="宋体" w:eastAsia="宋体" w:cs="宋体"/>
          <w:b/>
          <w:bCs/>
          <w:color w:val="auto"/>
          <w:sz w:val="21"/>
          <w:szCs w:val="21"/>
          <w:u w:val="single"/>
        </w:rPr>
        <w:t xml:space="preserve"> </w:t>
      </w:r>
      <w:r>
        <w:rPr>
          <w:rFonts w:hint="eastAsia" w:ascii="宋体" w:hAnsi="宋体" w:eastAsia="宋体" w:cs="宋体"/>
          <w:color w:val="auto"/>
          <w:sz w:val="21"/>
          <w:szCs w:val="21"/>
        </w:rPr>
        <w:t>工程施工及有关事项协商一致，共同达成如下协议：</w:t>
      </w:r>
    </w:p>
    <w:p w14:paraId="4B4470E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一、工程概况</w:t>
      </w:r>
    </w:p>
    <w:p w14:paraId="50294CC1">
      <w:pPr>
        <w:spacing w:line="440" w:lineRule="exact"/>
        <w:ind w:firstLine="404" w:firstLineChars="196"/>
        <w:rPr>
          <w:rFonts w:hint="eastAsia" w:ascii="宋体" w:hAnsi="宋体" w:eastAsia="宋体" w:cs="宋体"/>
          <w:color w:val="auto"/>
          <w:sz w:val="21"/>
          <w:szCs w:val="21"/>
          <w:u w:val="single"/>
          <w:lang w:eastAsia="zh-CN"/>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lang w:eastAsia="zh-CN"/>
        </w:rPr>
        <w:t>临海市第六中学心理辅导站及污水管道改造工程</w:t>
      </w:r>
    </w:p>
    <w:p w14:paraId="7D1ACD13">
      <w:pPr>
        <w:spacing w:line="440" w:lineRule="exact"/>
        <w:ind w:firstLine="404" w:firstLineChars="196"/>
        <w:rPr>
          <w:rFonts w:hint="eastAsia" w:ascii="宋体" w:hAnsi="宋体" w:eastAsia="宋体" w:cs="宋体"/>
          <w:bCs/>
          <w:color w:val="auto"/>
          <w:sz w:val="21"/>
          <w:szCs w:val="21"/>
          <w:u w:val="single"/>
          <w:lang w:eastAsia="zh-CN"/>
        </w:rPr>
      </w:pPr>
      <w:r>
        <w:rPr>
          <w:rFonts w:hint="eastAsia" w:ascii="宋体" w:hAnsi="宋体" w:eastAsia="宋体" w:cs="宋体"/>
          <w:bCs/>
          <w:color w:val="auto"/>
          <w:sz w:val="21"/>
          <w:szCs w:val="21"/>
        </w:rPr>
        <w:t>2．工程地点：</w:t>
      </w:r>
      <w:r>
        <w:rPr>
          <w:rFonts w:hint="eastAsia" w:ascii="宋体" w:hAnsi="宋体" w:eastAsia="宋体" w:cs="宋体"/>
          <w:bCs/>
          <w:color w:val="auto"/>
          <w:sz w:val="21"/>
          <w:szCs w:val="21"/>
          <w:u w:val="single"/>
          <w:lang w:eastAsia="zh-CN"/>
        </w:rPr>
        <w:t>临海市第六中学内</w:t>
      </w:r>
    </w:p>
    <w:p w14:paraId="70FF1B75">
      <w:pPr>
        <w:spacing w:line="440" w:lineRule="exact"/>
        <w:ind w:firstLine="404" w:firstLineChars="196"/>
        <w:rPr>
          <w:rFonts w:hint="default" w:ascii="宋体" w:hAnsi="宋体" w:eastAsia="宋体" w:cs="宋体"/>
          <w:bCs/>
          <w:color w:val="auto"/>
          <w:sz w:val="21"/>
          <w:szCs w:val="21"/>
          <w:lang w:val="en-US"/>
        </w:rPr>
      </w:pPr>
      <w:r>
        <w:rPr>
          <w:rFonts w:hint="eastAsia" w:ascii="宋体" w:hAnsi="宋体" w:eastAsia="宋体" w:cs="宋体"/>
          <w:bCs/>
          <w:color w:val="auto"/>
          <w:sz w:val="21"/>
          <w:szCs w:val="21"/>
        </w:rPr>
        <w:t>3．工程立项批准文号：</w:t>
      </w:r>
      <w:r>
        <w:rPr>
          <w:rFonts w:hint="eastAsia" w:ascii="宋体" w:hAnsi="宋体" w:eastAsia="宋体" w:cs="宋体"/>
          <w:bCs/>
          <w:color w:val="auto"/>
          <w:sz w:val="21"/>
          <w:szCs w:val="21"/>
          <w:u w:val="single"/>
          <w:lang w:val="en-US" w:eastAsia="zh-CN"/>
        </w:rPr>
        <w:t xml:space="preserve">          </w:t>
      </w:r>
    </w:p>
    <w:p w14:paraId="3CF26447">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eastAsia="宋体" w:cs="宋体"/>
          <w:bCs/>
          <w:color w:val="auto"/>
          <w:sz w:val="21"/>
          <w:szCs w:val="21"/>
          <w:u w:val="single"/>
          <w:lang w:val="en-US" w:eastAsia="zh-CN"/>
        </w:rPr>
        <w:t>财政</w:t>
      </w:r>
      <w:r>
        <w:rPr>
          <w:rFonts w:hint="eastAsia" w:ascii="宋体" w:hAnsi="宋体" w:eastAsia="宋体" w:cs="宋体"/>
          <w:bCs/>
          <w:color w:val="auto"/>
          <w:sz w:val="21"/>
          <w:szCs w:val="21"/>
        </w:rPr>
        <w:t>。</w:t>
      </w:r>
    </w:p>
    <w:p w14:paraId="74D62B3A">
      <w:pPr>
        <w:spacing w:line="440" w:lineRule="exact"/>
        <w:ind w:firstLine="404" w:firstLineChars="196"/>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5．工程内容：</w:t>
      </w:r>
      <w:r>
        <w:rPr>
          <w:rFonts w:hint="eastAsia" w:ascii="宋体" w:hAnsi="宋体" w:eastAsia="宋体" w:cs="宋体"/>
          <w:bCs/>
          <w:color w:val="auto"/>
          <w:sz w:val="21"/>
          <w:szCs w:val="21"/>
          <w:u w:val="single"/>
          <w:lang w:val="en-US" w:eastAsia="zh-CN"/>
        </w:rPr>
        <w:t>本工程主要为室外排水管改造及路面修复等，具体详见图纸。</w:t>
      </w:r>
    </w:p>
    <w:p w14:paraId="08494ACA">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14:paraId="251DD281">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6．工程承包范围：</w:t>
      </w:r>
    </w:p>
    <w:p w14:paraId="59389121">
      <w:pPr>
        <w:spacing w:line="44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人提供的施工图纸所包含的</w:t>
      </w:r>
      <w:r>
        <w:rPr>
          <w:rFonts w:hint="eastAsia" w:ascii="宋体" w:hAnsi="宋体" w:eastAsia="宋体" w:cs="宋体"/>
          <w:color w:val="auto"/>
          <w:sz w:val="21"/>
          <w:szCs w:val="21"/>
          <w:u w:val="single"/>
          <w:lang w:eastAsia="zh-CN"/>
        </w:rPr>
        <w:t>临海市第六中学心理辅导站及污水管道改造工程</w:t>
      </w:r>
      <w:r>
        <w:rPr>
          <w:rFonts w:hint="eastAsia" w:ascii="宋体" w:hAnsi="宋体" w:eastAsia="宋体" w:cs="宋体"/>
          <w:color w:val="auto"/>
          <w:sz w:val="21"/>
          <w:szCs w:val="21"/>
          <w:u w:val="single"/>
        </w:rPr>
        <w:t>的全部内容，具体内容以</w:t>
      </w: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人提供的预算书为准。</w:t>
      </w:r>
    </w:p>
    <w:p w14:paraId="21733313">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二、合同工期</w:t>
      </w:r>
    </w:p>
    <w:p w14:paraId="2630A25E">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计划开工日期：</w:t>
      </w:r>
      <w:r>
        <w:rPr>
          <w:rFonts w:hint="eastAsia" w:ascii="宋体" w:hAnsi="宋体" w:eastAsia="宋体" w:cs="宋体"/>
          <w:color w:val="auto"/>
          <w:sz w:val="21"/>
          <w:szCs w:val="21"/>
          <w:u w:val="single"/>
        </w:rPr>
        <w:t>以发包人的开工通知为准。</w:t>
      </w:r>
    </w:p>
    <w:p w14:paraId="2A17D6C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按合同工期顺推。</w:t>
      </w:r>
    </w:p>
    <w:p w14:paraId="1D0269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天。工期总日历天数与根据前述计划开、竣工日期计算的工期天数不一致的，以工期总日历天数为准。</w:t>
      </w:r>
    </w:p>
    <w:p w14:paraId="52A6704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三、质量标准</w:t>
      </w:r>
    </w:p>
    <w:p w14:paraId="7638ADFB">
      <w:pPr>
        <w:spacing w:line="440" w:lineRule="exact"/>
        <w:ind w:firstLine="459"/>
        <w:rPr>
          <w:rFonts w:ascii="宋体" w:hAnsi="宋体" w:eastAsia="宋体" w:cs="宋体"/>
          <w:color w:val="auto"/>
          <w:sz w:val="21"/>
          <w:szCs w:val="21"/>
        </w:rPr>
      </w:pPr>
      <w:r>
        <w:rPr>
          <w:rFonts w:hint="eastAsia" w:ascii="宋体" w:hAnsi="宋体" w:eastAsia="宋体" w:cs="宋体"/>
          <w:color w:val="auto"/>
          <w:sz w:val="21"/>
          <w:szCs w:val="21"/>
        </w:rPr>
        <w:t xml:space="preserve">工程质量符合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标准。</w:t>
      </w:r>
    </w:p>
    <w:p w14:paraId="34B1A15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四、签约合同价与合同价格形式</w:t>
      </w:r>
    </w:p>
    <w:p w14:paraId="1BEDB4F8">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1．签约合同价为：</w:t>
      </w:r>
    </w:p>
    <w:p w14:paraId="3AD9A5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F91AF5A">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2．合同价格形式：</w:t>
      </w:r>
      <w:r>
        <w:rPr>
          <w:rFonts w:hint="eastAsia" w:ascii="宋体" w:hAnsi="宋体" w:eastAsia="宋体" w:cs="宋体"/>
          <w:color w:val="auto"/>
          <w:sz w:val="21"/>
          <w:szCs w:val="21"/>
          <w:u w:val="single"/>
        </w:rPr>
        <w:t>其他价格形式合同</w:t>
      </w:r>
      <w:r>
        <w:rPr>
          <w:rFonts w:hint="eastAsia" w:ascii="宋体" w:hAnsi="宋体" w:eastAsia="宋体" w:cs="宋体"/>
          <w:color w:val="auto"/>
          <w:sz w:val="21"/>
          <w:szCs w:val="21"/>
        </w:rPr>
        <w:t>。</w:t>
      </w:r>
    </w:p>
    <w:p w14:paraId="35ACC070">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3．发包人向承包人支付工程价款及其他应当支付的款项均须汇入承包人合同协议书中的银行账户（先开票后付款）。</w:t>
      </w:r>
    </w:p>
    <w:p w14:paraId="37B89C92">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承包人完成本合同项下应税行为的计税方式按</w:t>
      </w:r>
      <w:r>
        <w:rPr>
          <w:rFonts w:hint="eastAsia" w:ascii="宋体" w:hAnsi="宋体" w:eastAsia="宋体" w:cs="宋体"/>
          <w:color w:val="auto"/>
          <w:sz w:val="21"/>
          <w:szCs w:val="21"/>
        </w:rPr>
        <w:t>以下第</w:t>
      </w:r>
      <w:r>
        <w:rPr>
          <w:rFonts w:hint="eastAsia" w:ascii="宋体" w:hAnsi="宋体" w:eastAsia="宋体" w:cs="宋体"/>
          <w:color w:val="auto"/>
          <w:sz w:val="21"/>
          <w:szCs w:val="21"/>
          <w:u w:val="single"/>
          <w:shd w:val="clear" w:color="auto" w:fill="FFFFFF"/>
        </w:rPr>
        <w:t xml:space="preserve">  1  </w:t>
      </w:r>
      <w:r>
        <w:rPr>
          <w:rFonts w:hint="eastAsia" w:ascii="宋体" w:hAnsi="宋体" w:eastAsia="宋体" w:cs="宋体"/>
          <w:color w:val="auto"/>
          <w:sz w:val="21"/>
          <w:szCs w:val="21"/>
          <w:shd w:val="clear" w:color="auto" w:fill="FFFFFF"/>
        </w:rPr>
        <w:t>种方法，并与</w:t>
      </w:r>
      <w:r>
        <w:rPr>
          <w:rFonts w:hint="eastAsia" w:ascii="宋体" w:hAnsi="宋体" w:eastAsia="宋体" w:cs="宋体"/>
          <w:color w:val="auto"/>
          <w:sz w:val="21"/>
          <w:szCs w:val="21"/>
        </w:rPr>
        <w:t>工程计价时采用的计税方法一致。</w:t>
      </w:r>
    </w:p>
    <w:p w14:paraId="3EA4CDCA">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（1）一般计税方法。</w:t>
      </w:r>
    </w:p>
    <w:p w14:paraId="04F05CA6">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shd w:val="clear" w:color="auto" w:fill="FFFFFF"/>
        </w:rPr>
        <w:t>简易计税方法。</w:t>
      </w:r>
    </w:p>
    <w:p w14:paraId="74A90FBC">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五、项目经理</w:t>
      </w:r>
    </w:p>
    <w:p w14:paraId="56D359C1">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A73E79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六、合同文件构成</w:t>
      </w:r>
    </w:p>
    <w:p w14:paraId="01ED2AE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14:paraId="377B523A">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（1）中标通知书（如果有）；</w:t>
      </w:r>
    </w:p>
    <w:p w14:paraId="7F2E705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（2）投标函及其附录（如果有）；</w:t>
      </w:r>
    </w:p>
    <w:p w14:paraId="4BD542FC">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（3）专用合同条款及其附件；</w:t>
      </w:r>
    </w:p>
    <w:p w14:paraId="64F0452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（4）通用合同条款；</w:t>
      </w:r>
    </w:p>
    <w:p w14:paraId="1F7D242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（5）技术标准和要求；</w:t>
      </w:r>
    </w:p>
    <w:p w14:paraId="26B4C7DB">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（6）图纸；</w:t>
      </w:r>
    </w:p>
    <w:p w14:paraId="52780619">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14:paraId="3FDA2EF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（8）其他合同文件。</w:t>
      </w:r>
    </w:p>
    <w:p w14:paraId="5DD71EC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14:paraId="6C1BA5B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7CFE4491">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七、创优目标</w:t>
      </w:r>
    </w:p>
    <w:p w14:paraId="4B756277">
      <w:pPr>
        <w:pStyle w:val="6"/>
        <w:keepNext w:val="0"/>
        <w:keepLines w:val="0"/>
        <w:spacing w:line="440" w:lineRule="exact"/>
        <w:ind w:firstLine="412" w:firstLineChars="200"/>
        <w:rPr>
          <w:rFonts w:ascii="宋体" w:hAnsi="宋体" w:eastAsia="宋体" w:cs="宋体"/>
          <w:b w:val="0"/>
          <w:bCs w:val="0"/>
          <w:color w:val="auto"/>
          <w:sz w:val="21"/>
          <w:szCs w:val="21"/>
          <w:u w:val="single"/>
        </w:rPr>
      </w:pPr>
      <w:r>
        <w:rPr>
          <w:rFonts w:hint="eastAsia" w:ascii="宋体" w:hAnsi="宋体" w:eastAsia="宋体" w:cs="宋体"/>
          <w:b w:val="0"/>
          <w:bCs w:val="0"/>
          <w:color w:val="auto"/>
          <w:sz w:val="21"/>
          <w:szCs w:val="21"/>
        </w:rPr>
        <w:t>本工程</w:t>
      </w:r>
      <w:r>
        <w:rPr>
          <w:rFonts w:hint="eastAsia" w:ascii="宋体" w:hAnsi="宋体" w:eastAsia="宋体" w:cs="宋体"/>
          <w:b w:val="0"/>
          <w:bCs w:val="0"/>
          <w:color w:val="auto"/>
          <w:sz w:val="21"/>
          <w:szCs w:val="21"/>
          <w:u w:val="single"/>
        </w:rPr>
        <w:t>无创优质工程目标</w:t>
      </w:r>
      <w:r>
        <w:rPr>
          <w:rFonts w:hint="eastAsia" w:ascii="宋体" w:hAnsi="宋体" w:eastAsia="宋体" w:cs="宋体"/>
          <w:b w:val="0"/>
          <w:bCs w:val="0"/>
          <w:color w:val="auto"/>
          <w:sz w:val="21"/>
          <w:szCs w:val="21"/>
        </w:rPr>
        <w:t>。</w:t>
      </w:r>
    </w:p>
    <w:p w14:paraId="616FD9F4">
      <w:pPr>
        <w:pStyle w:val="6"/>
        <w:keepNext w:val="0"/>
        <w:keepLines w:val="0"/>
        <w:spacing w:line="440" w:lineRule="exact"/>
        <w:rPr>
          <w:rFonts w:ascii="宋体" w:hAnsi="宋体" w:eastAsia="宋体" w:cs="宋体"/>
          <w:b w:val="0"/>
          <w:bCs w:val="0"/>
          <w:color w:val="auto"/>
          <w:sz w:val="21"/>
          <w:szCs w:val="21"/>
        </w:rPr>
      </w:pPr>
      <w:r>
        <w:rPr>
          <w:rFonts w:hint="eastAsia" w:ascii="宋体" w:hAnsi="宋体" w:eastAsia="宋体" w:cs="宋体"/>
          <w:b w:val="0"/>
          <w:color w:val="auto"/>
          <w:sz w:val="21"/>
          <w:szCs w:val="21"/>
        </w:rPr>
        <w:t>八、承诺</w:t>
      </w:r>
    </w:p>
    <w:p w14:paraId="0513AC2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14:paraId="5B31E644">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14:paraId="18705930">
      <w:pPr>
        <w:tabs>
          <w:tab w:val="left" w:pos="0"/>
        </w:tabs>
        <w:spacing w:line="440" w:lineRule="exact"/>
        <w:ind w:firstLine="412" w:firstLineChars="200"/>
        <w:rPr>
          <w:rFonts w:ascii="宋体" w:hAnsi="宋体" w:eastAsia="宋体" w:cs="宋体"/>
          <w:color w:val="auto"/>
          <w:kern w:val="0"/>
          <w:sz w:val="21"/>
          <w:szCs w:val="21"/>
        </w:rPr>
      </w:pPr>
      <w:r>
        <w:rPr>
          <w:rFonts w:hint="eastAsia" w:ascii="宋体" w:hAnsi="宋体" w:eastAsia="宋体" w:cs="宋体"/>
          <w:bCs/>
          <w:color w:val="auto"/>
          <w:sz w:val="21"/>
          <w:szCs w:val="21"/>
        </w:rPr>
        <w:t>3．</w:t>
      </w:r>
      <w:r>
        <w:rPr>
          <w:rFonts w:hint="eastAsia" w:ascii="宋体" w:hAnsi="宋体" w:eastAsia="宋体" w:cs="宋体"/>
          <w:color w:val="auto"/>
          <w:kern w:val="0"/>
          <w:sz w:val="21"/>
          <w:szCs w:val="21"/>
        </w:rPr>
        <w:t>承包人</w:t>
      </w:r>
      <w:r>
        <w:rPr>
          <w:rFonts w:hint="eastAsia" w:ascii="宋体" w:hAnsi="宋体" w:eastAsia="宋体" w:cs="宋体"/>
          <w:bCs/>
          <w:color w:val="auto"/>
          <w:sz w:val="21"/>
          <w:szCs w:val="21"/>
        </w:rPr>
        <w:t>承诺</w:t>
      </w:r>
      <w:r>
        <w:rPr>
          <w:rFonts w:hint="eastAsia" w:ascii="宋体" w:hAnsi="宋体" w:eastAsia="宋体" w:cs="宋体"/>
          <w:color w:val="auto"/>
          <w:kern w:val="0"/>
          <w:sz w:val="21"/>
          <w:szCs w:val="21"/>
        </w:rPr>
        <w:t>不拖欠工人工资，因拖欠工资造成的一切后果，均由承包人承担，发包人有权将应拔付的工程款，先代付工人工资。</w:t>
      </w:r>
    </w:p>
    <w:p w14:paraId="7344645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4．发包人和承包人通过招投标形式签订合同的，双方理解并承诺不再就同一工程另行签订与合同实质性内容相背离的协议。</w:t>
      </w:r>
    </w:p>
    <w:p w14:paraId="16392577">
      <w:pPr>
        <w:spacing w:line="440" w:lineRule="exact"/>
        <w:rPr>
          <w:rFonts w:ascii="宋体" w:hAnsi="宋体" w:eastAsia="宋体" w:cs="宋体"/>
          <w:bCs/>
          <w:color w:val="auto"/>
          <w:sz w:val="21"/>
          <w:szCs w:val="21"/>
        </w:rPr>
      </w:pPr>
      <w:r>
        <w:rPr>
          <w:rFonts w:hint="eastAsia" w:ascii="宋体" w:hAnsi="宋体" w:eastAsia="宋体" w:cs="宋体"/>
          <w:color w:val="auto"/>
          <w:sz w:val="21"/>
          <w:szCs w:val="21"/>
        </w:rPr>
        <w:t>九、词语含义</w:t>
      </w:r>
    </w:p>
    <w:p w14:paraId="52276B8B">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14:paraId="5276106E">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十、签订时间</w:t>
      </w:r>
    </w:p>
    <w:p w14:paraId="06EE521F">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14:paraId="0BB960A6">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十一、签订地点</w:t>
      </w:r>
    </w:p>
    <w:p w14:paraId="2430F033">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签订。</w:t>
      </w:r>
    </w:p>
    <w:p w14:paraId="00849BD3">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十二、补充协议</w:t>
      </w:r>
    </w:p>
    <w:p w14:paraId="4B398868">
      <w:pPr>
        <w:spacing w:line="440" w:lineRule="exact"/>
        <w:ind w:firstLine="412" w:firstLineChars="200"/>
        <w:rPr>
          <w:rFonts w:ascii="宋体" w:hAnsi="宋体" w:eastAsia="宋体" w:cs="宋体"/>
          <w:b/>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p>
    <w:p w14:paraId="0EAAD301">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十三、合同生效</w:t>
      </w:r>
    </w:p>
    <w:p w14:paraId="66E867C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 xml:space="preserve"> 双方法定代表人或委托代理人签字并加盖公章后 </w:t>
      </w:r>
      <w:r>
        <w:rPr>
          <w:rFonts w:hint="eastAsia" w:ascii="宋体" w:hAnsi="宋体" w:eastAsia="宋体" w:cs="宋体"/>
          <w:bCs/>
          <w:color w:val="auto"/>
          <w:sz w:val="21"/>
          <w:szCs w:val="21"/>
        </w:rPr>
        <w:t>生效。</w:t>
      </w:r>
    </w:p>
    <w:p w14:paraId="00A5DD04">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十四、合同份数</w:t>
      </w:r>
    </w:p>
    <w:p w14:paraId="51E39A3C">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捌 </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份，招标代理机构执</w:t>
      </w:r>
      <w:r>
        <w:rPr>
          <w:rFonts w:hint="eastAsia" w:ascii="宋体" w:hAnsi="宋体" w:eastAsia="宋体" w:cs="宋体"/>
          <w:bCs/>
          <w:color w:val="auto"/>
          <w:sz w:val="21"/>
          <w:szCs w:val="21"/>
          <w:u w:val="single"/>
        </w:rPr>
        <w:t xml:space="preserve"> 贰 </w:t>
      </w:r>
      <w:r>
        <w:rPr>
          <w:rFonts w:hint="eastAsia" w:ascii="宋体" w:hAnsi="宋体" w:eastAsia="宋体" w:cs="宋体"/>
          <w:bCs/>
          <w:color w:val="auto"/>
          <w:sz w:val="21"/>
          <w:szCs w:val="21"/>
        </w:rPr>
        <w:t>份。</w:t>
      </w:r>
    </w:p>
    <w:p w14:paraId="75C533BC">
      <w:pPr>
        <w:spacing w:line="380" w:lineRule="exact"/>
        <w:ind w:firstLine="412" w:firstLineChars="200"/>
        <w:rPr>
          <w:rFonts w:ascii="宋体" w:hAnsi="宋体" w:eastAsia="宋体" w:cs="宋体"/>
          <w:bCs/>
          <w:color w:val="auto"/>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7C261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371E6D5">
            <w:pPr>
              <w:spacing w:line="380" w:lineRule="exact"/>
              <w:ind w:firstLine="412" w:firstLineChars="200"/>
              <w:rPr>
                <w:rFonts w:ascii="宋体" w:hAnsi="宋体" w:eastAsia="宋体" w:cs="宋体"/>
                <w:bCs/>
                <w:color w:val="auto"/>
                <w:sz w:val="21"/>
                <w:szCs w:val="21"/>
              </w:rPr>
            </w:pPr>
          </w:p>
          <w:p w14:paraId="4F87AC13">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发包人：（公章或合同专用章）</w:t>
            </w:r>
          </w:p>
          <w:p w14:paraId="72099C4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13CB25B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7AD969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47827B7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6F917FF0">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1EA69F2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6EF40EBF">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66CAD9B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w:t>
            </w:r>
          </w:p>
          <w:p w14:paraId="2CF3157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c>
          <w:tcPr>
            <w:tcW w:w="4620" w:type="dxa"/>
          </w:tcPr>
          <w:p w14:paraId="3B3892F0">
            <w:pPr>
              <w:spacing w:line="380" w:lineRule="exact"/>
              <w:ind w:firstLine="412" w:firstLineChars="200"/>
              <w:rPr>
                <w:rFonts w:ascii="宋体" w:hAnsi="宋体" w:eastAsia="宋体" w:cs="宋体"/>
                <w:bCs/>
                <w:color w:val="auto"/>
                <w:sz w:val="21"/>
                <w:szCs w:val="21"/>
              </w:rPr>
            </w:pPr>
          </w:p>
          <w:p w14:paraId="4CB79E9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承包人：（公章或合同专用章）</w:t>
            </w:r>
          </w:p>
          <w:p w14:paraId="3F0FFFD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4E959651">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8FC31E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29F7B64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71CA729C">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0B8149A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5AEB358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25F0450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　　　　</w:t>
            </w:r>
          </w:p>
          <w:p w14:paraId="061C82B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r>
    </w:tbl>
    <w:p w14:paraId="2E383FF0">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Cs w:val="21"/>
        </w:rPr>
        <w:br w:type="page"/>
      </w:r>
      <w:r>
        <w:rPr>
          <w:rFonts w:hint="eastAsia" w:ascii="宋体" w:eastAsia="宋体" w:cs="宋体"/>
          <w:color w:val="auto"/>
          <w:sz w:val="32"/>
          <w:szCs w:val="32"/>
        </w:rPr>
        <w:t>第二部分 通用条款（略）</w:t>
      </w:r>
    </w:p>
    <w:p w14:paraId="280E84DF">
      <w:pPr>
        <w:rPr>
          <w:rFonts w:ascii="宋体" w:hAnsi="宋体" w:eastAsia="宋体" w:cs="宋体"/>
          <w:b/>
          <w:color w:val="auto"/>
          <w:sz w:val="28"/>
          <w:szCs w:val="28"/>
        </w:rPr>
      </w:pPr>
    </w:p>
    <w:p w14:paraId="4A8BB3A3">
      <w:pPr>
        <w:rPr>
          <w:rFonts w:ascii="宋体" w:hAnsi="宋体" w:eastAsia="宋体" w:cs="宋体"/>
          <w:b/>
          <w:color w:val="auto"/>
          <w:sz w:val="21"/>
          <w:szCs w:val="21"/>
        </w:rPr>
      </w:pPr>
    </w:p>
    <w:p w14:paraId="43066911">
      <w:pPr>
        <w:rPr>
          <w:rFonts w:ascii="宋体" w:hAnsi="宋体" w:eastAsia="宋体" w:cs="宋体"/>
          <w:b/>
          <w:color w:val="auto"/>
          <w:sz w:val="21"/>
          <w:szCs w:val="21"/>
        </w:rPr>
      </w:pPr>
    </w:p>
    <w:p w14:paraId="378BAB8A">
      <w:pPr>
        <w:rPr>
          <w:rFonts w:ascii="宋体" w:hAnsi="宋体" w:eastAsia="宋体" w:cs="宋体"/>
          <w:b/>
          <w:color w:val="auto"/>
          <w:sz w:val="21"/>
          <w:szCs w:val="21"/>
        </w:rPr>
      </w:pPr>
    </w:p>
    <w:p w14:paraId="3EA799A5">
      <w:pPr>
        <w:rPr>
          <w:rFonts w:ascii="宋体" w:hAnsi="宋体" w:eastAsia="宋体" w:cs="宋体"/>
          <w:b/>
          <w:color w:val="auto"/>
          <w:sz w:val="21"/>
          <w:szCs w:val="21"/>
        </w:rPr>
      </w:pPr>
    </w:p>
    <w:p w14:paraId="6CA20F3E">
      <w:pPr>
        <w:rPr>
          <w:rFonts w:ascii="宋体" w:hAnsi="宋体" w:eastAsia="宋体" w:cs="宋体"/>
          <w:b/>
          <w:color w:val="auto"/>
          <w:sz w:val="21"/>
          <w:szCs w:val="21"/>
        </w:rPr>
      </w:pPr>
    </w:p>
    <w:p w14:paraId="41DA9BF2">
      <w:pPr>
        <w:rPr>
          <w:rFonts w:ascii="宋体" w:hAnsi="宋体" w:eastAsia="宋体" w:cs="宋体"/>
          <w:b/>
          <w:color w:val="auto"/>
          <w:sz w:val="21"/>
          <w:szCs w:val="21"/>
        </w:rPr>
      </w:pPr>
    </w:p>
    <w:p w14:paraId="00ECCB63">
      <w:pPr>
        <w:rPr>
          <w:rFonts w:ascii="宋体" w:hAnsi="宋体" w:eastAsia="宋体" w:cs="宋体"/>
          <w:b/>
          <w:color w:val="auto"/>
          <w:sz w:val="21"/>
          <w:szCs w:val="21"/>
        </w:rPr>
      </w:pPr>
    </w:p>
    <w:p w14:paraId="49D588E2">
      <w:pPr>
        <w:rPr>
          <w:rFonts w:ascii="宋体" w:hAnsi="宋体" w:eastAsia="宋体" w:cs="宋体"/>
          <w:b/>
          <w:color w:val="auto"/>
          <w:sz w:val="21"/>
          <w:szCs w:val="21"/>
        </w:rPr>
      </w:pPr>
    </w:p>
    <w:p w14:paraId="2EE24DA0">
      <w:pPr>
        <w:rPr>
          <w:rFonts w:ascii="宋体" w:hAnsi="宋体" w:eastAsia="宋体" w:cs="宋体"/>
          <w:b/>
          <w:color w:val="auto"/>
          <w:sz w:val="21"/>
          <w:szCs w:val="21"/>
        </w:rPr>
      </w:pPr>
    </w:p>
    <w:p w14:paraId="03249F06">
      <w:pPr>
        <w:rPr>
          <w:rFonts w:ascii="宋体" w:hAnsi="宋体" w:eastAsia="宋体" w:cs="宋体"/>
          <w:b/>
          <w:color w:val="auto"/>
          <w:sz w:val="21"/>
          <w:szCs w:val="21"/>
        </w:rPr>
      </w:pPr>
    </w:p>
    <w:p w14:paraId="1CE0238E">
      <w:pPr>
        <w:rPr>
          <w:rFonts w:ascii="宋体" w:hAnsi="宋体" w:eastAsia="宋体" w:cs="宋体"/>
          <w:b/>
          <w:color w:val="auto"/>
          <w:sz w:val="21"/>
          <w:szCs w:val="21"/>
        </w:rPr>
      </w:pPr>
    </w:p>
    <w:p w14:paraId="596B31C5">
      <w:pPr>
        <w:rPr>
          <w:rFonts w:ascii="宋体" w:hAnsi="宋体" w:eastAsia="宋体" w:cs="宋体"/>
          <w:b/>
          <w:color w:val="auto"/>
          <w:sz w:val="21"/>
          <w:szCs w:val="21"/>
        </w:rPr>
      </w:pPr>
    </w:p>
    <w:p w14:paraId="737FE87D">
      <w:pPr>
        <w:rPr>
          <w:rFonts w:ascii="宋体" w:hAnsi="宋体" w:eastAsia="宋体" w:cs="宋体"/>
          <w:b/>
          <w:color w:val="auto"/>
          <w:sz w:val="21"/>
          <w:szCs w:val="21"/>
        </w:rPr>
      </w:pPr>
    </w:p>
    <w:p w14:paraId="136EAC5E">
      <w:pPr>
        <w:rPr>
          <w:rFonts w:ascii="宋体" w:hAnsi="宋体" w:eastAsia="宋体" w:cs="宋体"/>
          <w:b/>
          <w:color w:val="auto"/>
          <w:sz w:val="21"/>
          <w:szCs w:val="21"/>
        </w:rPr>
      </w:pPr>
    </w:p>
    <w:p w14:paraId="052EABE2">
      <w:pPr>
        <w:rPr>
          <w:rFonts w:ascii="宋体" w:hAnsi="宋体" w:eastAsia="宋体" w:cs="宋体"/>
          <w:b/>
          <w:color w:val="auto"/>
          <w:sz w:val="21"/>
          <w:szCs w:val="21"/>
        </w:rPr>
      </w:pPr>
    </w:p>
    <w:p w14:paraId="442FA852">
      <w:pPr>
        <w:rPr>
          <w:rFonts w:ascii="宋体" w:hAnsi="宋体" w:eastAsia="宋体" w:cs="宋体"/>
          <w:b/>
          <w:color w:val="auto"/>
          <w:sz w:val="21"/>
          <w:szCs w:val="21"/>
        </w:rPr>
      </w:pPr>
    </w:p>
    <w:p w14:paraId="1B6E3D66">
      <w:pPr>
        <w:rPr>
          <w:rFonts w:ascii="宋体" w:hAnsi="宋体" w:eastAsia="宋体" w:cs="宋体"/>
          <w:b/>
          <w:color w:val="auto"/>
          <w:sz w:val="21"/>
          <w:szCs w:val="21"/>
        </w:rPr>
      </w:pPr>
    </w:p>
    <w:p w14:paraId="28CE1280">
      <w:pPr>
        <w:rPr>
          <w:rFonts w:ascii="宋体" w:hAnsi="宋体" w:eastAsia="宋体" w:cs="宋体"/>
          <w:b/>
          <w:color w:val="auto"/>
          <w:sz w:val="21"/>
          <w:szCs w:val="21"/>
        </w:rPr>
      </w:pPr>
    </w:p>
    <w:p w14:paraId="3FEAC050">
      <w:pPr>
        <w:widowControl/>
        <w:jc w:val="left"/>
        <w:rPr>
          <w:rFonts w:ascii="宋体" w:hAnsi="宋体" w:eastAsia="宋体" w:cs="宋体"/>
          <w:b/>
          <w:color w:val="auto"/>
          <w:sz w:val="21"/>
          <w:szCs w:val="21"/>
        </w:rPr>
      </w:pPr>
      <w:r>
        <w:rPr>
          <w:rFonts w:ascii="宋体" w:hAnsi="宋体" w:eastAsia="宋体" w:cs="宋体"/>
          <w:b/>
          <w:color w:val="auto"/>
          <w:sz w:val="21"/>
          <w:szCs w:val="21"/>
        </w:rPr>
        <w:br w:type="page"/>
      </w:r>
    </w:p>
    <w:p w14:paraId="030B652B">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 w:val="32"/>
          <w:szCs w:val="32"/>
        </w:rPr>
        <w:t>第三部分  专用合同条款</w:t>
      </w:r>
    </w:p>
    <w:p w14:paraId="573F580F">
      <w:pPr>
        <w:spacing w:line="400" w:lineRule="exact"/>
        <w:rPr>
          <w:rFonts w:ascii="宋体" w:hAnsi="宋体" w:eastAsia="宋体" w:cs="宋体"/>
          <w:color w:val="auto"/>
          <w:sz w:val="21"/>
          <w:szCs w:val="21"/>
        </w:rPr>
      </w:pPr>
    </w:p>
    <w:p w14:paraId="39B48F1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1．一般约定</w:t>
      </w:r>
    </w:p>
    <w:p w14:paraId="785FBA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 词语定义</w:t>
      </w:r>
    </w:p>
    <w:p w14:paraId="47EDE6C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1.1.1合同</w:t>
      </w:r>
    </w:p>
    <w:p w14:paraId="041E38F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kern w:val="0"/>
          <w:sz w:val="21"/>
          <w:szCs w:val="21"/>
          <w:u w:val="single"/>
        </w:rPr>
        <w:t>工程招标文件、《关于进一步完善政府投资项目管理的若干意见》（临政办发〔2018〕167号）、除投标函及其附录和已标价工程量清单或预算书外的其它投标文件。</w:t>
      </w:r>
    </w:p>
    <w:p w14:paraId="3F76625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1.1.2合同当事人及其他相关方</w:t>
      </w:r>
    </w:p>
    <w:p w14:paraId="0CADD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1.1.2.4监理人：</w:t>
      </w:r>
    </w:p>
    <w:p w14:paraId="161469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8F43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9D74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D4A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96185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1CC082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1.1.2.5设计人：</w:t>
      </w:r>
    </w:p>
    <w:p w14:paraId="5D8D39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CFC96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7E10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D6797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5B5C4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F37435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1.1.3工程和设备</w:t>
      </w:r>
    </w:p>
    <w:p w14:paraId="3FD847D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1.1.3.7作为施工现场组成部分的其他场所包括：</w:t>
      </w:r>
      <w:r>
        <w:rPr>
          <w:rFonts w:hint="eastAsia" w:ascii="宋体" w:hAnsi="宋体" w:eastAsia="宋体" w:cs="宋体"/>
          <w:color w:val="auto"/>
          <w:kern w:val="0"/>
          <w:sz w:val="21"/>
          <w:szCs w:val="21"/>
          <w:u w:val="single"/>
        </w:rPr>
        <w:t xml:space="preserve">                                        </w:t>
      </w:r>
    </w:p>
    <w:p w14:paraId="4C4DD1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1.1.3.9永久占地包括：</w:t>
      </w:r>
      <w:r>
        <w:rPr>
          <w:rFonts w:hint="eastAsia" w:ascii="宋体" w:hAnsi="宋体" w:eastAsia="宋体" w:cs="宋体"/>
          <w:color w:val="auto"/>
          <w:kern w:val="0"/>
          <w:sz w:val="21"/>
          <w:szCs w:val="21"/>
          <w:u w:val="single"/>
        </w:rPr>
        <w:t xml:space="preserve">                                                             </w:t>
      </w:r>
    </w:p>
    <w:p w14:paraId="300255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1.1.3.10临时占地包括：</w:t>
      </w:r>
      <w:r>
        <w:rPr>
          <w:rFonts w:hint="eastAsia" w:ascii="宋体" w:hAnsi="宋体" w:eastAsia="宋体" w:cs="宋体"/>
          <w:color w:val="auto"/>
          <w:kern w:val="0"/>
          <w:sz w:val="21"/>
          <w:szCs w:val="21"/>
          <w:u w:val="single"/>
        </w:rPr>
        <w:t xml:space="preserve">                                                            </w:t>
      </w:r>
    </w:p>
    <w:p w14:paraId="7E4257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 法律</w:t>
      </w:r>
    </w:p>
    <w:p w14:paraId="134D2E67">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1B277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7C3DB6C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sz w:val="21"/>
          <w:szCs w:val="21"/>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rPr>
        <w:t>。</w:t>
      </w:r>
    </w:p>
    <w:p w14:paraId="52BEDC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1.4.2发包人提供国外标准、规范的名称：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BED6C5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76E7E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7B97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B03B27E">
      <w:pPr>
        <w:spacing w:line="400" w:lineRule="exact"/>
        <w:rPr>
          <w:rFonts w:ascii="宋体" w:hAnsi="宋体" w:eastAsia="宋体" w:cs="宋体"/>
          <w:color w:val="auto"/>
          <w:sz w:val="21"/>
          <w:szCs w:val="21"/>
        </w:rPr>
      </w:pPr>
      <w:r>
        <w:rPr>
          <w:rFonts w:hint="eastAsia" w:ascii="宋体" w:hAnsi="宋体" w:eastAsia="宋体" w:cs="宋体"/>
          <w:color w:val="auto"/>
          <w:sz w:val="21"/>
          <w:szCs w:val="21"/>
          <w:u w:val="single"/>
        </w:rPr>
        <w:t>（国家没有相应标准、规范且不使用国外标准、规范时，按发包人和承包人商定的方案施工）</w:t>
      </w:r>
      <w:r>
        <w:rPr>
          <w:rFonts w:hint="eastAsia" w:ascii="宋体" w:hAnsi="宋体" w:eastAsia="宋体" w:cs="宋体"/>
          <w:color w:val="auto"/>
          <w:sz w:val="21"/>
          <w:szCs w:val="21"/>
        </w:rPr>
        <w:t>。</w:t>
      </w:r>
    </w:p>
    <w:p w14:paraId="042D33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7BE30E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按合同通用条款。</w:t>
      </w:r>
    </w:p>
    <w:p w14:paraId="09F9E0F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 图纸和承包人文件</w:t>
      </w:r>
      <w:r>
        <w:rPr>
          <w:rFonts w:hint="eastAsia" w:ascii="宋体" w:hAnsi="宋体" w:eastAsia="宋体" w:cs="宋体"/>
          <w:color w:val="auto"/>
          <w:sz w:val="21"/>
          <w:szCs w:val="21"/>
        </w:rPr>
        <w:tab/>
      </w:r>
    </w:p>
    <w:p w14:paraId="5700AE0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1.6.1图纸的提供</w:t>
      </w:r>
    </w:p>
    <w:p w14:paraId="2583416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开工日期14天前</w:t>
      </w:r>
      <w:r>
        <w:rPr>
          <w:rFonts w:hint="eastAsia" w:ascii="宋体" w:hAnsi="宋体" w:eastAsia="宋体" w:cs="宋体"/>
          <w:color w:val="auto"/>
          <w:sz w:val="21"/>
          <w:szCs w:val="21"/>
        </w:rPr>
        <w:t>；</w:t>
      </w:r>
    </w:p>
    <w:p w14:paraId="1FBBEE36">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纸质施工图叁套并附目录清单及与其一致的电子版施工图。</w:t>
      </w:r>
    </w:p>
    <w:p w14:paraId="6C474E2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须载明施工图纸名称、工程号、版本、出图日期、目录、已有的变更联系单编号等</w:t>
      </w:r>
      <w:r>
        <w:rPr>
          <w:rFonts w:hint="eastAsia" w:ascii="宋体" w:hAnsi="宋体" w:eastAsia="宋体" w:cs="宋体"/>
          <w:color w:val="auto"/>
          <w:sz w:val="21"/>
          <w:szCs w:val="21"/>
        </w:rPr>
        <w:t>。</w:t>
      </w:r>
    </w:p>
    <w:p w14:paraId="26490D0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1.6.4承包人文件</w:t>
      </w:r>
    </w:p>
    <w:p w14:paraId="1D7C26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sz w:val="21"/>
          <w:szCs w:val="21"/>
          <w:u w:val="single"/>
        </w:rPr>
        <w:t>资金月使用计划，施工组织设计、专项施工方案、工程总进度计划、工程月进度计划表等</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rPr>
        <w:t>；</w:t>
      </w:r>
    </w:p>
    <w:p w14:paraId="6C9E2C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rPr>
        <w:t>；</w:t>
      </w:r>
    </w:p>
    <w:p w14:paraId="0634D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9303C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 xml:space="preserve">       纸质及电子版本      </w:t>
      </w:r>
      <w:r>
        <w:rPr>
          <w:rFonts w:hint="eastAsia" w:ascii="宋体" w:hAnsi="宋体" w:eastAsia="宋体" w:cs="宋体"/>
          <w:color w:val="auto"/>
          <w:sz w:val="21"/>
          <w:szCs w:val="21"/>
        </w:rPr>
        <w:t>；</w:t>
      </w:r>
    </w:p>
    <w:p w14:paraId="239A98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3A5EC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1.6.5现场图纸准备</w:t>
      </w:r>
    </w:p>
    <w:p w14:paraId="67BBE48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92424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 联络</w:t>
      </w:r>
    </w:p>
    <w:p w14:paraId="5D30A8B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1.7.1发包人和承包人应当在</w:t>
      </w:r>
      <w:r>
        <w:rPr>
          <w:rFonts w:hint="eastAsia" w:ascii="宋体" w:hAnsi="宋体" w:eastAsia="宋体" w:cs="宋体"/>
          <w:color w:val="auto"/>
          <w:sz w:val="21"/>
          <w:szCs w:val="21"/>
          <w:u w:val="single"/>
        </w:rPr>
        <w:t xml:space="preserve">  7  </w:t>
      </w:r>
      <w:r>
        <w:rPr>
          <w:rFonts w:hint="eastAsia" w:ascii="宋体" w:hAnsi="宋体" w:eastAsia="宋体" w:cs="宋体"/>
          <w:color w:val="auto"/>
          <w:kern w:val="0"/>
          <w:sz w:val="21"/>
          <w:szCs w:val="21"/>
        </w:rPr>
        <w:t>天内将与合同有关的通知、批准、证明、证书、指示、指令、要求、请求、同意、意见、确定和决定等书面函件送达对方当事人。</w:t>
      </w:r>
    </w:p>
    <w:p w14:paraId="7D6B45D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1.7.2发包人接收文件的地点：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83C74A4">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发包人接收文件的电子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4587A9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468E43A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0611B9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3F2767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744DE84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20FBD3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3C32A1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5E7A5AC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发包人、承包人、监理人的文件接收地址、接收人（含联系电话）发生变动的，应提前3天通知各方。</w:t>
      </w:r>
    </w:p>
    <w:p w14:paraId="39F46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 交通运输</w:t>
      </w:r>
    </w:p>
    <w:p w14:paraId="3098A0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1.10.1出入现场的权利</w:t>
      </w:r>
    </w:p>
    <w:p w14:paraId="448A6BD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1363B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1.10.3场内交通</w:t>
      </w:r>
    </w:p>
    <w:p w14:paraId="1A98B93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关于场外交通和场内交通的边界的约定：</w:t>
      </w:r>
      <w:r>
        <w:rPr>
          <w:rFonts w:hint="eastAsia" w:ascii="宋体" w:hAnsi="宋体" w:eastAsia="宋体" w:cs="宋体"/>
          <w:color w:val="auto"/>
          <w:spacing w:val="6"/>
          <w:kern w:val="0"/>
          <w:sz w:val="21"/>
          <w:szCs w:val="21"/>
          <w:u w:val="single"/>
        </w:rPr>
        <w:t>以现场实际施工条件为准</w:t>
      </w:r>
      <w:r>
        <w:rPr>
          <w:rFonts w:hint="eastAsia" w:ascii="宋体" w:hAnsi="宋体" w:eastAsia="宋体" w:cs="宋体"/>
          <w:color w:val="auto"/>
          <w:spacing w:val="6"/>
          <w:sz w:val="21"/>
          <w:szCs w:val="21"/>
          <w:u w:val="single"/>
        </w:rPr>
        <w:t>。</w:t>
      </w:r>
    </w:p>
    <w:p w14:paraId="32252FB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087E6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1.10.4超大件和超重件的运输</w:t>
      </w:r>
    </w:p>
    <w:p w14:paraId="3060BFE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运输超大件或超重件所需的道路和桥梁临时加固改造费用和其他有关费用</w:t>
      </w:r>
      <w:r>
        <w:rPr>
          <w:rFonts w:hint="eastAsia" w:ascii="宋体" w:hAnsi="宋体" w:eastAsia="宋体" w:cs="宋体"/>
          <w:color w:val="auto"/>
          <w:sz w:val="21"/>
          <w:szCs w:val="21"/>
          <w:u w:val="single"/>
        </w:rPr>
        <w:t>由承包人在报价中综合考虑并承担相关费用。</w:t>
      </w:r>
    </w:p>
    <w:p w14:paraId="3F44F2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知识产权</w:t>
      </w:r>
    </w:p>
    <w:p w14:paraId="1A692A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834FE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0F9A2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1.11.2关于承包人为实施工程所编制文件的著作权的归属：</w:t>
      </w:r>
      <w:r>
        <w:rPr>
          <w:rFonts w:hint="eastAsia" w:ascii="宋体" w:hAnsi="宋体" w:eastAsia="宋体" w:cs="宋体"/>
          <w:color w:val="auto"/>
          <w:sz w:val="21"/>
          <w:szCs w:val="21"/>
          <w:u w:val="single"/>
        </w:rPr>
        <w:t>发包人</w:t>
      </w:r>
      <w:r>
        <w:rPr>
          <w:rFonts w:hint="eastAsia" w:ascii="宋体" w:hAnsi="宋体" w:eastAsia="宋体" w:cs="宋体"/>
          <w:color w:val="auto"/>
          <w:sz w:val="21"/>
          <w:szCs w:val="21"/>
        </w:rPr>
        <w:t>。</w:t>
      </w:r>
    </w:p>
    <w:p w14:paraId="6801EC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7A73146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1.11.4承包人在施工过程中所采用的专利、专有技术、技术秘密的使用费的承担方式：</w:t>
      </w:r>
      <w:r>
        <w:rPr>
          <w:rFonts w:hint="eastAsia" w:ascii="宋体" w:hAnsi="宋体" w:eastAsia="宋体" w:cs="宋体"/>
          <w:color w:val="auto"/>
          <w:sz w:val="21"/>
          <w:szCs w:val="21"/>
          <w:u w:val="single"/>
        </w:rPr>
        <w:t xml:space="preserve">  包含在签约合同价内  </w:t>
      </w:r>
      <w:r>
        <w:rPr>
          <w:rFonts w:hint="eastAsia" w:ascii="宋体" w:hAnsi="宋体" w:eastAsia="宋体" w:cs="宋体"/>
          <w:color w:val="auto"/>
          <w:kern w:val="0"/>
          <w:sz w:val="21"/>
          <w:szCs w:val="21"/>
        </w:rPr>
        <w:t>。</w:t>
      </w:r>
    </w:p>
    <w:p w14:paraId="4540F6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 工程量清单错误的修正</w:t>
      </w:r>
    </w:p>
    <w:p w14:paraId="75CC94E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本工程按定额计价不涉及工程量清单相关规则。</w:t>
      </w:r>
    </w:p>
    <w:p w14:paraId="4EEE1B9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2．发包人</w:t>
      </w:r>
    </w:p>
    <w:p w14:paraId="3385240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2.2 发包人代表</w:t>
      </w:r>
    </w:p>
    <w:p w14:paraId="3ED7701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发包人代表：</w:t>
      </w:r>
    </w:p>
    <w:p w14:paraId="67E4D6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3BD4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C72E9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00D7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F78B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412A7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E2A671E">
      <w:pPr>
        <w:spacing w:line="400" w:lineRule="exact"/>
        <w:ind w:firstLine="200"/>
        <w:rPr>
          <w:rFonts w:ascii="宋体" w:hAnsi="宋体" w:eastAsia="宋体" w:cs="宋体"/>
          <w:b/>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rPr>
        <w:t>。</w:t>
      </w:r>
    </w:p>
    <w:p w14:paraId="23765C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 施工现场、施工条件和基础资料的提供</w:t>
      </w:r>
    </w:p>
    <w:p w14:paraId="004CFE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2.4.1提供施工现场</w:t>
      </w:r>
    </w:p>
    <w:p w14:paraId="114D3B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 xml:space="preserve">  开工日期7天前  </w:t>
      </w:r>
      <w:r>
        <w:rPr>
          <w:rFonts w:hint="eastAsia" w:ascii="宋体" w:hAnsi="宋体" w:eastAsia="宋体" w:cs="宋体"/>
          <w:color w:val="auto"/>
          <w:sz w:val="21"/>
          <w:szCs w:val="21"/>
        </w:rPr>
        <w:t>。</w:t>
      </w:r>
    </w:p>
    <w:p w14:paraId="1656BF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2.4.2提供施工条件</w:t>
      </w:r>
    </w:p>
    <w:p w14:paraId="751AC6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rPr>
        <w:t>。</w:t>
      </w:r>
    </w:p>
    <w:p w14:paraId="5E6DCF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2.5 资金来源证明及支付担保</w:t>
      </w:r>
    </w:p>
    <w:p w14:paraId="7EF0CC1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E1BA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93731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发包人提供支付担保的形式：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23988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2.6 支付合同价款</w:t>
      </w:r>
    </w:p>
    <w:p w14:paraId="37E8F3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发包人应按合同约定向承包人及时支付合同价款。</w:t>
      </w:r>
    </w:p>
    <w:p w14:paraId="14CEF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2.7 组织竣工验收</w:t>
      </w:r>
    </w:p>
    <w:p w14:paraId="2D96535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发包人应按合同约定及时组织竣工验收。</w:t>
      </w:r>
    </w:p>
    <w:p w14:paraId="197E7C17">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承包人完成合同范围内工程内容，发包人应根据施工图纸、现行施工验收规范和质量验收标准及时组织工程质量验收。</w:t>
      </w:r>
    </w:p>
    <w:p w14:paraId="466A3A50">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3．承包人</w:t>
      </w:r>
    </w:p>
    <w:p w14:paraId="1243FF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3.1 承包人的一般义务</w:t>
      </w:r>
    </w:p>
    <w:p w14:paraId="79AA02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（9）</w:t>
      </w:r>
      <w:r>
        <w:rPr>
          <w:rFonts w:hint="eastAsia" w:ascii="宋体" w:hAnsi="宋体" w:eastAsia="宋体" w:cs="宋体"/>
          <w:color w:val="auto"/>
          <w:sz w:val="21"/>
          <w:szCs w:val="21"/>
        </w:rPr>
        <w:t>承包人提交的竣工资料的内容：</w:t>
      </w:r>
      <w:r>
        <w:rPr>
          <w:rFonts w:hint="eastAsia" w:ascii="宋体" w:hAnsi="宋体" w:eastAsia="宋体" w:cs="宋体"/>
          <w:color w:val="auto"/>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rPr>
        <w:t>。</w:t>
      </w:r>
    </w:p>
    <w:p w14:paraId="22B7EB6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 xml:space="preserve">   满足发包人需求份数    </w:t>
      </w:r>
      <w:r>
        <w:rPr>
          <w:rFonts w:hint="eastAsia" w:ascii="宋体" w:hAnsi="宋体" w:eastAsia="宋体" w:cs="宋体"/>
          <w:color w:val="auto"/>
          <w:sz w:val="21"/>
          <w:szCs w:val="21"/>
        </w:rPr>
        <w:t>。</w:t>
      </w:r>
    </w:p>
    <w:p w14:paraId="0786E2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186D73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工程竣工验收合格后7天内</w:t>
      </w:r>
      <w:r>
        <w:rPr>
          <w:rFonts w:hint="eastAsia" w:ascii="宋体" w:hAnsi="宋体" w:eastAsia="宋体" w:cs="宋体"/>
          <w:color w:val="auto"/>
          <w:sz w:val="21"/>
          <w:szCs w:val="21"/>
        </w:rPr>
        <w:t>。</w:t>
      </w:r>
    </w:p>
    <w:p w14:paraId="2E49F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 xml:space="preserve">   纸质及相关电子数据   </w:t>
      </w:r>
      <w:r>
        <w:rPr>
          <w:rFonts w:hint="eastAsia" w:ascii="宋体" w:hAnsi="宋体" w:eastAsia="宋体" w:cs="宋体"/>
          <w:color w:val="auto"/>
          <w:sz w:val="21"/>
          <w:szCs w:val="21"/>
        </w:rPr>
        <w:t>。</w:t>
      </w:r>
    </w:p>
    <w:p w14:paraId="33579A5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（10）承包人应履行的其他义务：</w:t>
      </w:r>
    </w:p>
    <w:p w14:paraId="37C1998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a.向发包人、监理人提供施工现场办公室各1间免费使用。</w:t>
      </w:r>
    </w:p>
    <w:p w14:paraId="5D795BD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b.在施工中必须严格按照规范操作，对不按规范要求施工或未采取防护措施，造成的损失由承包人承担。</w:t>
      </w:r>
    </w:p>
    <w:p w14:paraId="071BBB9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c.本项目施工安全由承包人负总责。</w:t>
      </w:r>
    </w:p>
    <w:p w14:paraId="0256D2A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u w:val="single"/>
        </w:rPr>
        <w:t>d.按当地有关部门要求，</w:t>
      </w:r>
      <w:r>
        <w:rPr>
          <w:rFonts w:hint="eastAsia" w:ascii="宋体" w:hAnsi="宋体" w:eastAsia="宋体" w:cs="宋体"/>
          <w:color w:val="auto"/>
          <w:kern w:val="0"/>
          <w:sz w:val="21"/>
          <w:szCs w:val="21"/>
          <w:u w:val="single"/>
        </w:rPr>
        <w:t>由承包人办理有关施工场地交通、环卫和施工噪音排放等手续。</w:t>
      </w:r>
    </w:p>
    <w:p w14:paraId="493FBAE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e、承包人必须按台州市、临海市有关规定进行施工现场围护及文明施工管理。</w:t>
      </w:r>
    </w:p>
    <w:p w14:paraId="47D55EA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f. 其他：</w:t>
      </w:r>
    </w:p>
    <w:p w14:paraId="27615CC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4AEE9AC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27E602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③对发包人的现场监督工作予以充分的配合与协助。承包人服从发包人、监理公司的管理，做好交叉施工事宜及其他与本工程施工相关的工作。</w:t>
      </w:r>
    </w:p>
    <w:p w14:paraId="55E5310B">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65226A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89D7C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45C2CBD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⑦要加强工程施工车辆的管理，施工车辆不得无故堵塞道路交通，不得沿途抛洒丢弃。</w:t>
      </w:r>
    </w:p>
    <w:p w14:paraId="5BF34D0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⑧承包人在施工期间配备专职安保人员，负责整个施工现场内外的保安、保卫工作；对工地出入口车辆、人员进出进行管理，工地出入口应24小时有人值守，相关费用含在合同价款中。</w:t>
      </w:r>
    </w:p>
    <w:p w14:paraId="7D74D3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287BDA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F01466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⑪承包人进场后需对场地标高进行测量，测量过程应通知监理人及发包人代表到场，并提供测量成果，此结果在得到监理人及发包人代表确认后做为土方工程计量的依据。</w:t>
      </w:r>
    </w:p>
    <w:p w14:paraId="32CA04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⑫承包人在合同履行过程中，应严格遵守和执行发包人制定的各项管理制度和规定，严格执行发包人关于工程设计变更、签证等方面的审批程序及制度。</w:t>
      </w:r>
    </w:p>
    <w:p w14:paraId="24F0D05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307E3A7">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B153EB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670B963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⑯由承包人的质量安全职能部门每月对本工程施工现场的质量、安全文明、进度等进行全面督查，并将督查结果向发包人汇报。</w:t>
      </w:r>
    </w:p>
    <w:p w14:paraId="23056E5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4789C3E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⑱工程质量保修期间，承包人须设立电子邮箱，发包人的通知指令发送至承包人设立的电子邮箱，即视为承包人已收到发包人的相关通知。</w:t>
      </w:r>
    </w:p>
    <w:p w14:paraId="1FDA6E5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⑲已竣工工程未交付之前，承包人按协议条款约定负责已完工程的保护工作，保护期间发生损坏，责任方自费予以修复至符合验收条件。</w:t>
      </w:r>
    </w:p>
    <w:p w14:paraId="299406DE">
      <w:pPr>
        <w:numPr>
          <w:ilvl w:val="0"/>
          <w:numId w:val="6"/>
        </w:numPr>
        <w:spacing w:line="400" w:lineRule="exact"/>
        <w:rPr>
          <w:rFonts w:ascii="宋体" w:hAnsi="宋体" w:eastAsia="宋体" w:cs="宋体"/>
          <w:color w:val="auto"/>
          <w:kern w:val="0"/>
          <w:sz w:val="21"/>
          <w:szCs w:val="21"/>
        </w:rPr>
      </w:pPr>
      <w:r>
        <w:rPr>
          <w:rFonts w:hint="eastAsia" w:ascii="宋体" w:hAnsi="宋体" w:eastAsia="宋体" w:cs="宋体"/>
          <w:color w:val="auto"/>
          <w:kern w:val="0"/>
          <w:sz w:val="21"/>
          <w:szCs w:val="21"/>
        </w:rPr>
        <w:t>承包人诚实信用的承诺：</w:t>
      </w:r>
      <w:r>
        <w:rPr>
          <w:rFonts w:hint="eastAsia" w:ascii="宋体" w:hAnsi="宋体" w:eastAsia="宋体" w:cs="宋体"/>
          <w:color w:val="auto"/>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rPr>
        <w:t>。</w:t>
      </w:r>
    </w:p>
    <w:p w14:paraId="5E70ECA5">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24D1AFBD">
      <w:pPr>
        <w:spacing w:line="400" w:lineRule="exact"/>
        <w:rPr>
          <w:rFonts w:ascii="宋体" w:hAnsi="宋体" w:eastAsia="宋体" w:cs="宋体"/>
          <w:color w:val="auto"/>
          <w:sz w:val="21"/>
          <w:szCs w:val="21"/>
        </w:rPr>
      </w:pPr>
      <w:r>
        <w:rPr>
          <w:rFonts w:hint="eastAsia" w:ascii="宋体" w:hAnsi="宋体" w:eastAsia="宋体" w:cs="宋体"/>
          <w:color w:val="auto"/>
          <w:kern w:val="0"/>
          <w:sz w:val="21"/>
          <w:szCs w:val="21"/>
        </w:rPr>
        <w:t>（13）承包人使用新技术、工法、工艺的承诺：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49D8F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 项目经理</w:t>
      </w:r>
    </w:p>
    <w:p w14:paraId="30835D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3.2.1</w:t>
      </w:r>
      <w:r>
        <w:rPr>
          <w:rFonts w:hint="eastAsia" w:ascii="宋体" w:hAnsi="宋体" w:eastAsia="宋体" w:cs="宋体"/>
          <w:color w:val="auto"/>
          <w:sz w:val="21"/>
          <w:szCs w:val="21"/>
        </w:rPr>
        <w:t>项目经理：</w:t>
      </w:r>
    </w:p>
    <w:p w14:paraId="21F56F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418B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71C5D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建造师执业资格等级：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2391CE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建造师注册证书号：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41D41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建造师执业印章号：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33BA7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安全生产考核合格证书号：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CA058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45A67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45EB4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6FD5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承包人对项目经理的授权范围如下：</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8975F">
      <w:pPr>
        <w:spacing w:line="400" w:lineRule="exact"/>
        <w:ind w:firstLine="436" w:firstLineChars="200"/>
        <w:rPr>
          <w:rFonts w:ascii="宋体" w:hAnsi="宋体" w:eastAsia="宋体" w:cs="宋体"/>
          <w:color w:val="auto"/>
          <w:sz w:val="21"/>
          <w:szCs w:val="21"/>
        </w:rPr>
      </w:pPr>
      <w:r>
        <w:rPr>
          <w:rFonts w:hint="eastAsia" w:ascii="宋体" w:hAnsi="宋体" w:eastAsia="宋体" w:cs="宋体"/>
          <w:color w:val="auto"/>
          <w:spacing w:val="6"/>
          <w:kern w:val="0"/>
          <w:sz w:val="21"/>
          <w:szCs w:val="21"/>
        </w:rPr>
        <w:t>关于项目经理每月在施工现场的时间要求</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月到岗须不少于24天。月到岗达不到约定天数，每不足一天扣1000元作为违约金，</w:t>
      </w:r>
      <w:r>
        <w:rPr>
          <w:rFonts w:hint="eastAsia" w:ascii="宋体" w:hAnsi="宋体" w:eastAsia="宋体" w:cs="宋体"/>
          <w:color w:val="auto"/>
          <w:sz w:val="21"/>
          <w:szCs w:val="21"/>
          <w:u w:val="single"/>
        </w:rPr>
        <w:t>在当期工程款支付时扣除</w:t>
      </w:r>
      <w:r>
        <w:rPr>
          <w:rFonts w:hint="eastAsia" w:ascii="宋体" w:hAnsi="宋体" w:eastAsia="宋体" w:cs="宋体"/>
          <w:color w:val="auto"/>
          <w:kern w:val="0"/>
          <w:sz w:val="21"/>
          <w:szCs w:val="21"/>
        </w:rPr>
        <w:t>。</w:t>
      </w:r>
    </w:p>
    <w:p w14:paraId="39C5E81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承包人未提交劳动合同，以及没有为项目经理缴纳社会保险证明的违约责任：</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932F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项目经理未经批准，擅自离开施工现场的违约责任：</w:t>
      </w:r>
      <w:r>
        <w:rPr>
          <w:rFonts w:hint="eastAsia" w:ascii="宋体" w:hAnsi="宋体" w:eastAsia="宋体" w:cs="宋体"/>
          <w:color w:val="auto"/>
          <w:sz w:val="21"/>
          <w:szCs w:val="21"/>
          <w:u w:val="single"/>
        </w:rPr>
        <w:t xml:space="preserve">  遇有工程检查、验收或参观等活动时，无特殊原因不得离开施工现场 </w:t>
      </w:r>
      <w:r>
        <w:rPr>
          <w:rFonts w:hint="eastAsia" w:ascii="宋体" w:hAnsi="宋体" w:eastAsia="宋体" w:cs="宋体"/>
          <w:color w:val="auto"/>
          <w:sz w:val="21"/>
          <w:szCs w:val="21"/>
        </w:rPr>
        <w:t>。</w:t>
      </w:r>
    </w:p>
    <w:p w14:paraId="35BDD688">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3.2.3承包人擅自更换项目经理的违约责任：</w:t>
      </w:r>
      <w:r>
        <w:rPr>
          <w:rFonts w:hint="eastAsia" w:ascii="宋体" w:hAnsi="宋体" w:eastAsia="宋体" w:cs="宋体"/>
          <w:color w:val="auto"/>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rPr>
        <w:t>。</w:t>
      </w:r>
    </w:p>
    <w:p w14:paraId="5098E11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3.2.4承包人无正当理由拒绝更换项目经理的违约责任：</w:t>
      </w:r>
      <w:r>
        <w:rPr>
          <w:rFonts w:hint="eastAsia" w:ascii="宋体" w:hAnsi="宋体" w:eastAsia="宋体" w:cs="宋体"/>
          <w:color w:val="auto"/>
          <w:sz w:val="21"/>
          <w:szCs w:val="21"/>
          <w:u w:val="single"/>
        </w:rPr>
        <w:t>发包人可通知承包人解除合同，所有履约担保金不予返还。</w:t>
      </w:r>
    </w:p>
    <w:p w14:paraId="210942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 承包人人员</w:t>
      </w:r>
    </w:p>
    <w:p w14:paraId="70896D5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3.3.1承包人提交项目管理机构及施工现场管理人员安排报告的期限：</w:t>
      </w:r>
      <w:r>
        <w:rPr>
          <w:rFonts w:hint="eastAsia" w:ascii="宋体" w:hAnsi="宋体" w:eastAsia="宋体" w:cs="宋体"/>
          <w:color w:val="auto"/>
          <w:sz w:val="21"/>
          <w:szCs w:val="21"/>
          <w:u w:val="single"/>
        </w:rPr>
        <w:t xml:space="preserve"> 接到开工通知（或确定开工日期）后7天内 </w:t>
      </w:r>
      <w:r>
        <w:rPr>
          <w:rFonts w:hint="eastAsia" w:ascii="宋体" w:hAnsi="宋体" w:eastAsia="宋体" w:cs="宋体"/>
          <w:color w:val="auto"/>
          <w:sz w:val="21"/>
          <w:szCs w:val="21"/>
        </w:rPr>
        <w:t>。</w:t>
      </w:r>
    </w:p>
    <w:p w14:paraId="34F9E29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3.3.3承包人无正当理由拒绝撤换主要施工管理人员的违约责任：</w:t>
      </w:r>
      <w:r>
        <w:rPr>
          <w:rFonts w:hint="eastAsia" w:ascii="宋体" w:hAnsi="宋体" w:eastAsia="宋体" w:cs="宋体"/>
          <w:color w:val="auto"/>
          <w:sz w:val="21"/>
          <w:szCs w:val="21"/>
          <w:u w:val="single"/>
        </w:rPr>
        <w:t>发包人可通知承包人全部解除合同，所有履约担保金不予返还，同时赔偿发包人损失。</w:t>
      </w:r>
    </w:p>
    <w:p w14:paraId="6B96165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3.3.4承包人主要施工管理人员离开施工现场的批准要求：</w:t>
      </w:r>
      <w:r>
        <w:rPr>
          <w:rFonts w:hint="eastAsia" w:ascii="宋体" w:hAnsi="宋体" w:eastAsia="宋体" w:cs="宋体"/>
          <w:color w:val="auto"/>
          <w:sz w:val="21"/>
          <w:szCs w:val="21"/>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rPr>
        <w:t>。</w:t>
      </w:r>
    </w:p>
    <w:p w14:paraId="7D1B84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6984E6D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rPr>
        <w:t>。</w:t>
      </w:r>
    </w:p>
    <w:p w14:paraId="2CFC99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 分包</w:t>
      </w:r>
    </w:p>
    <w:p w14:paraId="2DAAAD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3.5.1分包的一般约定</w:t>
      </w:r>
    </w:p>
    <w:p w14:paraId="3F328E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工程主体结构、关键性工作   </w:t>
      </w:r>
      <w:r>
        <w:rPr>
          <w:rFonts w:hint="eastAsia" w:ascii="宋体" w:hAnsi="宋体" w:eastAsia="宋体" w:cs="宋体"/>
          <w:color w:val="auto"/>
          <w:sz w:val="21"/>
          <w:szCs w:val="21"/>
        </w:rPr>
        <w:t>。</w:t>
      </w:r>
    </w:p>
    <w:p w14:paraId="7897295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主体结构、关键性工作的范围：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DAD32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3.5.2分包的确定</w:t>
      </w:r>
    </w:p>
    <w:p w14:paraId="5954773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允许分包的专业工程包括：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903DC3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C3867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3.5.4分包合同价款</w:t>
      </w:r>
    </w:p>
    <w:p w14:paraId="787603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47BA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14:paraId="024E467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承包人负责照管工程及工程相关的材料、工程设备的起始时间：</w:t>
      </w:r>
      <w:r>
        <w:rPr>
          <w:rFonts w:hint="eastAsia" w:ascii="宋体" w:hAnsi="宋体" w:eastAsia="宋体" w:cs="宋体"/>
          <w:color w:val="auto"/>
          <w:kern w:val="0"/>
          <w:sz w:val="21"/>
          <w:szCs w:val="21"/>
          <w:u w:val="single"/>
        </w:rPr>
        <w:t>按合同通用条款执行</w:t>
      </w:r>
      <w:r>
        <w:rPr>
          <w:rFonts w:hint="eastAsia" w:ascii="宋体" w:hAnsi="宋体" w:eastAsia="宋体" w:cs="宋体"/>
          <w:color w:val="auto"/>
          <w:kern w:val="0"/>
          <w:sz w:val="21"/>
          <w:szCs w:val="21"/>
        </w:rPr>
        <w:t>。</w:t>
      </w:r>
    </w:p>
    <w:p w14:paraId="442A29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3.7 履约担保</w:t>
      </w:r>
    </w:p>
    <w:p w14:paraId="4130F3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提供履约担保</w:t>
      </w:r>
      <w:r>
        <w:rPr>
          <w:rFonts w:hint="eastAsia" w:ascii="宋体" w:hAnsi="宋体" w:eastAsia="宋体" w:cs="宋体"/>
          <w:color w:val="auto"/>
          <w:sz w:val="21"/>
          <w:szCs w:val="21"/>
        </w:rPr>
        <w:t>。</w:t>
      </w:r>
    </w:p>
    <w:p w14:paraId="401394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承包人提供履约担保的形式、金额及期限：</w:t>
      </w:r>
      <w:r>
        <w:rPr>
          <w:rFonts w:hint="eastAsia" w:ascii="宋体" w:hAnsi="宋体" w:eastAsia="宋体" w:cs="宋体"/>
          <w:color w:val="auto"/>
          <w:sz w:val="21"/>
          <w:szCs w:val="21"/>
          <w:u w:val="single"/>
        </w:rPr>
        <w:t>按招标文件规定执行，履约担保金额为中标合同金额的2%。</w:t>
      </w:r>
    </w:p>
    <w:p w14:paraId="4EB0C72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发包人在工程竣工验收后10天内，向承包人全额返还；承包人应保证履约担保在工程竣工验收前持续有效。</w:t>
      </w:r>
    </w:p>
    <w:p w14:paraId="1009077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非承包人原因导致的工期延长，承包人继续提供履约担保所增加的费用由发包人承担。</w:t>
      </w:r>
    </w:p>
    <w:p w14:paraId="7D192B2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4．监理人</w:t>
      </w:r>
    </w:p>
    <w:p w14:paraId="5E18B97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4.1 监理人的一般规定</w:t>
      </w:r>
    </w:p>
    <w:p w14:paraId="7A4A8D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 按本工程监理合同约定内容</w:t>
      </w:r>
      <w:r>
        <w:rPr>
          <w:rFonts w:hint="eastAsia" w:ascii="宋体" w:hAnsi="宋体" w:eastAsia="宋体" w:cs="宋体"/>
          <w:color w:val="auto"/>
          <w:sz w:val="21"/>
          <w:szCs w:val="21"/>
        </w:rPr>
        <w:t>。</w:t>
      </w:r>
    </w:p>
    <w:p w14:paraId="166027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sz w:val="21"/>
          <w:szCs w:val="21"/>
          <w:u w:val="single"/>
        </w:rPr>
        <w:t>按本工程监理合同约定内容，涉及工程变更（含设计变更等参建各方变更）均需报发包人审批后生效</w:t>
      </w:r>
      <w:r>
        <w:rPr>
          <w:rFonts w:hint="eastAsia" w:ascii="宋体" w:hAnsi="宋体" w:eastAsia="宋体" w:cs="宋体"/>
          <w:color w:val="auto"/>
          <w:sz w:val="21"/>
          <w:szCs w:val="21"/>
        </w:rPr>
        <w:t>〕。</w:t>
      </w:r>
    </w:p>
    <w:p w14:paraId="12674C3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 xml:space="preserve"> 由承包人免费提供办公室1间使用。</w:t>
      </w:r>
    </w:p>
    <w:p w14:paraId="02C40F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4.2 监理人员</w:t>
      </w:r>
    </w:p>
    <w:p w14:paraId="28BADB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总监理工程师：</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02B84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5C4C9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7A0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68358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7D960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61556F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E5F3C0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关于监理人的其他约定：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BC54C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rPr>
        <w:t>；</w:t>
      </w:r>
    </w:p>
    <w:p w14:paraId="16C58C3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（2）对于监理人更换其委派的监理人员，监理人在征得发包人同意后应当提前48小时书面通知承包人</w:t>
      </w:r>
      <w:r>
        <w:rPr>
          <w:rFonts w:hint="eastAsia" w:ascii="宋体" w:hAnsi="宋体" w:eastAsia="宋体" w:cs="宋体"/>
          <w:color w:val="auto"/>
          <w:sz w:val="21"/>
          <w:szCs w:val="21"/>
        </w:rPr>
        <w:t>；</w:t>
      </w:r>
    </w:p>
    <w:p w14:paraId="285050D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rPr>
        <w:t>。</w:t>
      </w:r>
    </w:p>
    <w:p w14:paraId="0A6EAA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4.4 商定或确定</w:t>
      </w:r>
    </w:p>
    <w:p w14:paraId="07C1E93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在发包人和承包人不能通过协商达成一致意见时，发包人授权监理人对以下事项进行确定：</w:t>
      </w:r>
    </w:p>
    <w:p w14:paraId="07C2AA03">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BD40C2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377FEC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2F401E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5．工程质量</w:t>
      </w:r>
    </w:p>
    <w:p w14:paraId="767F1A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 质量要求</w:t>
      </w:r>
    </w:p>
    <w:p w14:paraId="01F2E4B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5.1.1特殊质量标准和要求：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E52A3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关于工程质量奖项的约定：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311E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 隐蔽工程检查</w:t>
      </w:r>
    </w:p>
    <w:p w14:paraId="2B7A16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5.3.2承包人提前通知监理人隐蔽工程检查的期限的约定：</w:t>
      </w:r>
      <w:r>
        <w:rPr>
          <w:rFonts w:hint="eastAsia" w:ascii="宋体" w:hAnsi="宋体" w:eastAsia="宋体" w:cs="宋体"/>
          <w:color w:val="auto"/>
          <w:sz w:val="21"/>
          <w:szCs w:val="21"/>
          <w:u w:val="single"/>
        </w:rPr>
        <w:t xml:space="preserve"> 按合同通用条款执行</w:t>
      </w:r>
      <w:r>
        <w:rPr>
          <w:rFonts w:hint="eastAsia" w:ascii="宋体" w:hAnsi="宋体" w:eastAsia="宋体" w:cs="宋体"/>
          <w:color w:val="auto"/>
          <w:sz w:val="21"/>
          <w:szCs w:val="21"/>
        </w:rPr>
        <w:t>。</w:t>
      </w:r>
    </w:p>
    <w:p w14:paraId="453EC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0693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小时，由此导致工期延误的，工期予以顺延。</w:t>
      </w:r>
    </w:p>
    <w:p w14:paraId="0C4E512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rPr>
        <w:t>。</w:t>
      </w:r>
    </w:p>
    <w:p w14:paraId="21CF8185">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6．安全文明施工与环境保护</w:t>
      </w:r>
    </w:p>
    <w:p w14:paraId="7D5A650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 安全文明施工</w:t>
      </w:r>
    </w:p>
    <w:p w14:paraId="72B1951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6.1.1项目安全生产的达标目标及相应事项的约定：</w:t>
      </w:r>
      <w:r>
        <w:rPr>
          <w:rFonts w:hint="eastAsia" w:ascii="宋体" w:hAnsi="宋体" w:eastAsia="宋体" w:cs="宋体"/>
          <w:color w:val="auto"/>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rPr>
        <w:t>。</w:t>
      </w:r>
    </w:p>
    <w:p w14:paraId="7C7023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6.1.4关于治安保卫的特别约定：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4E3B3E1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1BF2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6.1.5文明施工</w:t>
      </w:r>
    </w:p>
    <w:p w14:paraId="6028FB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按省、市发有关文明施工管理规定执行</w:t>
      </w:r>
      <w:r>
        <w:rPr>
          <w:rFonts w:hint="eastAsia" w:ascii="宋体" w:hAnsi="宋体" w:eastAsia="宋体" w:cs="宋体"/>
          <w:color w:val="auto"/>
          <w:sz w:val="21"/>
          <w:szCs w:val="21"/>
        </w:rPr>
        <w:t>。</w:t>
      </w:r>
    </w:p>
    <w:p w14:paraId="0FE3B79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6.1.6关于安全文明施工费支付比例和支付期限的约定：</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w:t>
      </w:r>
    </w:p>
    <w:p w14:paraId="65D01E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rPr>
        <w:t>；</w:t>
      </w:r>
    </w:p>
    <w:p w14:paraId="5602633C">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7．工期和进度</w:t>
      </w:r>
    </w:p>
    <w:p w14:paraId="33B01F4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7.1 施工组织设计</w:t>
      </w:r>
    </w:p>
    <w:p w14:paraId="48714768">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7.1.1合</w:t>
      </w:r>
      <w:r>
        <w:rPr>
          <w:rFonts w:hint="eastAsia" w:ascii="宋体" w:hAnsi="宋体" w:eastAsia="宋体" w:cs="宋体"/>
          <w:color w:val="auto"/>
          <w:kern w:val="0"/>
          <w:sz w:val="21"/>
          <w:szCs w:val="21"/>
        </w:rPr>
        <w:t>同当事人约定的施工组织设计应包括的其他内容：</w:t>
      </w:r>
      <w:r>
        <w:rPr>
          <w:rFonts w:hint="eastAsia" w:ascii="宋体" w:hAnsi="宋体" w:eastAsia="宋体" w:cs="宋体"/>
          <w:color w:val="auto"/>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color w:val="auto"/>
          <w:sz w:val="21"/>
          <w:szCs w:val="21"/>
        </w:rPr>
        <w:t>。</w:t>
      </w:r>
    </w:p>
    <w:p w14:paraId="1DC4242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7.1.2</w:t>
      </w:r>
      <w:r>
        <w:rPr>
          <w:rFonts w:hint="eastAsia" w:ascii="宋体" w:hAnsi="宋体" w:eastAsia="宋体" w:cs="宋体"/>
          <w:color w:val="auto"/>
          <w:kern w:val="0"/>
          <w:sz w:val="21"/>
          <w:szCs w:val="21"/>
        </w:rPr>
        <w:t>施工组织设计的提交和修改</w:t>
      </w:r>
    </w:p>
    <w:p w14:paraId="1CA894E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承包人提交详细施工组织设计的期限的约定：</w:t>
      </w:r>
      <w:r>
        <w:rPr>
          <w:rFonts w:hint="eastAsia" w:ascii="宋体" w:hAnsi="宋体" w:eastAsia="宋体" w:cs="宋体"/>
          <w:color w:val="auto"/>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rPr>
        <w:t>；</w:t>
      </w:r>
    </w:p>
    <w:p w14:paraId="3788AA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收到相应文件后7天内</w:t>
      </w:r>
      <w:r>
        <w:rPr>
          <w:rFonts w:hint="eastAsia" w:ascii="宋体" w:hAnsi="宋体" w:eastAsia="宋体" w:cs="宋体"/>
          <w:color w:val="auto"/>
          <w:sz w:val="21"/>
          <w:szCs w:val="21"/>
        </w:rPr>
        <w:t>。</w:t>
      </w:r>
    </w:p>
    <w:p w14:paraId="128B7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 施工进度计划</w:t>
      </w:r>
    </w:p>
    <w:p w14:paraId="66DEC4A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7.2.2施工进度计划的修订</w:t>
      </w:r>
    </w:p>
    <w:p w14:paraId="24F2B0D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688B3D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 开工</w:t>
      </w:r>
    </w:p>
    <w:p w14:paraId="53427AD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7.3.1开工准备</w:t>
      </w:r>
    </w:p>
    <w:p w14:paraId="4B22D92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关于承包人提交</w:t>
      </w:r>
      <w:r>
        <w:rPr>
          <w:rFonts w:hint="eastAsia" w:ascii="宋体" w:hAnsi="宋体" w:eastAsia="宋体" w:cs="宋体"/>
          <w:color w:val="auto"/>
          <w:kern w:val="0"/>
          <w:sz w:val="21"/>
          <w:szCs w:val="21"/>
        </w:rPr>
        <w:t>工程开工报审表的期限：</w:t>
      </w:r>
      <w:r>
        <w:rPr>
          <w:rFonts w:hint="eastAsia" w:ascii="宋体" w:hAnsi="宋体" w:eastAsia="宋体" w:cs="宋体"/>
          <w:color w:val="auto"/>
          <w:sz w:val="21"/>
          <w:szCs w:val="21"/>
          <w:u w:val="single"/>
        </w:rPr>
        <w:t>接到开工通知（或确定开工日期）后7天内</w:t>
      </w:r>
      <w:r>
        <w:rPr>
          <w:rFonts w:hint="eastAsia" w:ascii="宋体" w:hAnsi="宋体" w:eastAsia="宋体" w:cs="宋体"/>
          <w:color w:val="auto"/>
          <w:sz w:val="21"/>
          <w:szCs w:val="21"/>
        </w:rPr>
        <w:t>。</w:t>
      </w:r>
    </w:p>
    <w:p w14:paraId="5AD7B7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开工前7天</w:t>
      </w:r>
      <w:r>
        <w:rPr>
          <w:rFonts w:hint="eastAsia" w:ascii="宋体" w:hAnsi="宋体" w:eastAsia="宋体" w:cs="宋体"/>
          <w:color w:val="auto"/>
          <w:sz w:val="21"/>
          <w:szCs w:val="21"/>
        </w:rPr>
        <w:t>。</w:t>
      </w:r>
    </w:p>
    <w:p w14:paraId="731781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开工前</w:t>
      </w:r>
      <w:r>
        <w:rPr>
          <w:rFonts w:hint="eastAsia" w:ascii="宋体" w:hAnsi="宋体" w:eastAsia="宋体" w:cs="宋体"/>
          <w:color w:val="auto"/>
          <w:sz w:val="21"/>
          <w:szCs w:val="21"/>
        </w:rPr>
        <w:t>。</w:t>
      </w:r>
    </w:p>
    <w:p w14:paraId="32D9F48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7.3.2开工通知</w:t>
      </w:r>
    </w:p>
    <w:p w14:paraId="26B54C7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发包人（或监理人）在计划开工日期前7天向承包人发出开工通知，工期自开工通知中载明的开工日期起算。</w:t>
      </w:r>
    </w:p>
    <w:p w14:paraId="7B42EAE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rPr>
        <w:t>。</w:t>
      </w:r>
    </w:p>
    <w:p w14:paraId="651874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7.4 测量放线</w:t>
      </w:r>
    </w:p>
    <w:p w14:paraId="35A9617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7.4.1发包人通过监理人向承包人提供测量基准点、基准线和水准点及其书面资料的期限：</w:t>
      </w:r>
      <w:r>
        <w:rPr>
          <w:rFonts w:hint="eastAsia" w:ascii="宋体" w:hAnsi="宋体" w:eastAsia="宋体" w:cs="宋体"/>
          <w:color w:val="auto"/>
          <w:sz w:val="21"/>
          <w:szCs w:val="21"/>
          <w:u w:val="single"/>
        </w:rPr>
        <w:t xml:space="preserve"> 按合同通用条款执行 </w:t>
      </w:r>
      <w:r>
        <w:rPr>
          <w:rFonts w:hint="eastAsia" w:ascii="宋体" w:hAnsi="宋体" w:eastAsia="宋体" w:cs="宋体"/>
          <w:color w:val="auto"/>
          <w:sz w:val="21"/>
          <w:szCs w:val="21"/>
        </w:rPr>
        <w:t>。</w:t>
      </w:r>
    </w:p>
    <w:p w14:paraId="272A2F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 工期延误</w:t>
      </w:r>
    </w:p>
    <w:p w14:paraId="41B1D2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7.5.1因发包人原因导致工期延误</w:t>
      </w:r>
    </w:p>
    <w:p w14:paraId="555FED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（7）因发包人原因导致工期延误的其他情形：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4748C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7.5.2因承包人原因导致工期延误</w:t>
      </w:r>
    </w:p>
    <w:p w14:paraId="5B687D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因承包人原因造成工期延误，逾期竣工违约金的计算方法为：</w:t>
      </w:r>
      <w:r>
        <w:rPr>
          <w:rFonts w:hint="eastAsia" w:ascii="宋体" w:hAnsi="宋体" w:eastAsia="宋体" w:cs="宋体"/>
          <w:color w:val="auto"/>
          <w:sz w:val="21"/>
          <w:szCs w:val="21"/>
          <w:u w:val="single"/>
        </w:rPr>
        <w:t>按每天500元计取</w:t>
      </w:r>
      <w:r>
        <w:rPr>
          <w:rFonts w:hint="eastAsia" w:ascii="宋体" w:hAnsi="宋体" w:eastAsia="宋体" w:cs="宋体"/>
          <w:color w:val="auto"/>
          <w:sz w:val="21"/>
          <w:szCs w:val="21"/>
        </w:rPr>
        <w:t>。</w:t>
      </w:r>
    </w:p>
    <w:p w14:paraId="26974A5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因承包人原因造成工期延误，逾期竣工违约金的上限：</w:t>
      </w:r>
      <w:r>
        <w:rPr>
          <w:rFonts w:hint="eastAsia" w:ascii="宋体" w:hAnsi="宋体" w:eastAsia="宋体" w:cs="宋体"/>
          <w:color w:val="auto"/>
          <w:sz w:val="21"/>
          <w:szCs w:val="21"/>
          <w:u w:val="single"/>
        </w:rPr>
        <w:t>履约保证金额度，对发包人造成损失超过违约金的，除承担违约金外同时赔偿发包人损失</w:t>
      </w:r>
      <w:r>
        <w:rPr>
          <w:rFonts w:hint="eastAsia" w:ascii="宋体" w:hAnsi="宋体" w:eastAsia="宋体" w:cs="宋体"/>
          <w:color w:val="auto"/>
          <w:sz w:val="21"/>
          <w:szCs w:val="21"/>
        </w:rPr>
        <w:t>。</w:t>
      </w:r>
    </w:p>
    <w:p w14:paraId="29C6FB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7.6 不利物质条件</w:t>
      </w:r>
    </w:p>
    <w:p w14:paraId="75244A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不利物质条件的其他情形和有关约定：</w:t>
      </w:r>
    </w:p>
    <w:p w14:paraId="1962C7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因政府行政命令（因承包人原因的除外）。</w:t>
      </w:r>
    </w:p>
    <w:p w14:paraId="5149C5A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非因双方原因而无法控制的爆炸、火灾等事件。</w:t>
      </w:r>
    </w:p>
    <w:p w14:paraId="1AFCB8D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施工场地周围地下管线保护，地下障碍物和污染物排除，邻近建筑物、构筑物的保护要求。</w:t>
      </w:r>
    </w:p>
    <w:p w14:paraId="709189F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w:t>
      </w:r>
      <w:r>
        <w:rPr>
          <w:rFonts w:hint="eastAsia" w:ascii="宋体" w:hAnsi="宋体" w:eastAsia="宋体" w:cs="宋体"/>
          <w:color w:val="auto"/>
          <w:sz w:val="21"/>
          <w:szCs w:val="21"/>
          <w:u w:val="single"/>
        </w:rPr>
        <w:t>地质勘探资料未涉及的地下管道、暗沟、岩层等。</w:t>
      </w:r>
    </w:p>
    <w:p w14:paraId="0FBDFF4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2A32B93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7.7 异常恶劣的气候条件</w:t>
      </w:r>
    </w:p>
    <w:p w14:paraId="64F018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发包人和承包人同意以下情形视为异常恶劣的气候条件：</w:t>
      </w:r>
    </w:p>
    <w:p w14:paraId="020BB25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8-10级（含10级）持续24小时的大风（台风）</w:t>
      </w:r>
      <w:r>
        <w:rPr>
          <w:rFonts w:hint="eastAsia" w:ascii="宋体" w:hAnsi="宋体" w:eastAsia="宋体" w:cs="宋体"/>
          <w:color w:val="auto"/>
          <w:sz w:val="21"/>
          <w:szCs w:val="21"/>
        </w:rPr>
        <w:t>；</w:t>
      </w:r>
    </w:p>
    <w:p w14:paraId="7E2A8A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24小时内持续降雨且降水量为200mm以上</w:t>
      </w:r>
      <w:r>
        <w:rPr>
          <w:rFonts w:hint="eastAsia" w:ascii="宋体" w:hAnsi="宋体" w:eastAsia="宋体" w:cs="宋体"/>
          <w:color w:val="auto"/>
          <w:sz w:val="21"/>
          <w:szCs w:val="21"/>
        </w:rPr>
        <w:t>；</w:t>
      </w:r>
    </w:p>
    <w:p w14:paraId="3357F0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40摄氏度及以上且持续2天以上的高温天气</w:t>
      </w:r>
      <w:r>
        <w:rPr>
          <w:rFonts w:hint="eastAsia" w:ascii="宋体" w:hAnsi="宋体" w:eastAsia="宋体" w:cs="宋体"/>
          <w:color w:val="auto"/>
          <w:sz w:val="21"/>
          <w:szCs w:val="21"/>
        </w:rPr>
        <w:t>。</w:t>
      </w:r>
    </w:p>
    <w:p w14:paraId="14AC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color w:val="auto"/>
          <w:sz w:val="21"/>
          <w:szCs w:val="21"/>
        </w:rPr>
        <w:t>。</w:t>
      </w:r>
    </w:p>
    <w:p w14:paraId="7155B4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 提前竣工的奖励</w:t>
      </w:r>
    </w:p>
    <w:p w14:paraId="6D3E096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7.9.2提前竣工的奖励：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1C675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8．材料与设备</w:t>
      </w:r>
    </w:p>
    <w:p w14:paraId="7C11A1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8.1 发包人供应材料与工程设备</w:t>
      </w:r>
    </w:p>
    <w:p w14:paraId="2B6D3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本工程中</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材料由发包人提供，详见附件2：发包人供应材料设备一览表。</w:t>
      </w:r>
    </w:p>
    <w:p w14:paraId="79597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发包人提供的</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材料费用（除税价款）在每期应付工程款（或竣工结算）的税前工程造价中扣回。（适用一般计税方法）</w:t>
      </w:r>
    </w:p>
    <w:p w14:paraId="41B0ED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8.2 承包人采购材料与工程设备</w:t>
      </w:r>
    </w:p>
    <w:p w14:paraId="1D7D34B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（1）材料品牌、规格和使用要求：按招标文件（相应）技术标准和要求执行。</w:t>
      </w:r>
    </w:p>
    <w:p w14:paraId="0D3CD794">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（2）本工程已确定承包价的建筑材料均由承包人自行询价、采购、运输和保管。散装水泥及新型墙体材料的使用须符合相关规定，否则相关押金由承包人承担。</w:t>
      </w:r>
    </w:p>
    <w:p w14:paraId="0CFAE9CD">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）所有材料必须有质保书或合格证，符合施工图纸和规范要求，且品牌、产地需报发包人备案，否则，因此产生的后果均由承包人负责。</w:t>
      </w:r>
    </w:p>
    <w:p w14:paraId="30B293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4</w:t>
      </w:r>
      <w:r>
        <w:rPr>
          <w:rFonts w:hint="eastAsia" w:ascii="宋体" w:hAnsi="宋体" w:eastAsia="宋体" w:cs="宋体"/>
          <w:color w:val="auto"/>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D80FE4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839954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rPr>
        <w:t>）根据工程需要，发包人有权对承包人投标时确认的品牌进行更换，更换后的材料价格由发包人签证进行结算。</w:t>
      </w:r>
    </w:p>
    <w:p w14:paraId="0F68DDC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7</w:t>
      </w:r>
      <w:r>
        <w:rPr>
          <w:rFonts w:hint="eastAsia" w:ascii="宋体" w:hAnsi="宋体" w:eastAsia="宋体" w:cs="宋体"/>
          <w:color w:val="auto"/>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7E721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 材料与工程设备的保管与使用</w:t>
      </w:r>
    </w:p>
    <w:p w14:paraId="617EA25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8.4.1发包人供应的材料设备的保管费用的承担：</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B2D78B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8.6 样品</w:t>
      </w:r>
    </w:p>
    <w:p w14:paraId="2A4ACEE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8.6.1样品的报送与封存</w:t>
      </w:r>
    </w:p>
    <w:p w14:paraId="79B3F26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需要承包人报送样品的材料或工程设备，样品的种类、名称、规格、数量要求：</w:t>
      </w:r>
      <w:r>
        <w:rPr>
          <w:rFonts w:hint="eastAsia" w:ascii="宋体" w:hAnsi="宋体" w:eastAsia="宋体" w:cs="宋体"/>
          <w:color w:val="auto"/>
          <w:sz w:val="21"/>
          <w:szCs w:val="21"/>
          <w:u w:val="single"/>
        </w:rPr>
        <w:t xml:space="preserve">  （如有要封存样品，明确具体样品名称）</w:t>
      </w:r>
      <w:r>
        <w:rPr>
          <w:rFonts w:hint="eastAsia" w:ascii="宋体" w:hAnsi="宋体" w:eastAsia="宋体" w:cs="宋体"/>
          <w:color w:val="auto"/>
          <w:sz w:val="21"/>
          <w:szCs w:val="21"/>
        </w:rPr>
        <w:t>。</w:t>
      </w:r>
    </w:p>
    <w:p w14:paraId="47B9690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 施工设备和临时设施</w:t>
      </w:r>
    </w:p>
    <w:p w14:paraId="3919D1B3">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8.8.1承包人提供的施工设备和临时设施</w:t>
      </w:r>
    </w:p>
    <w:p w14:paraId="04CEBAFA">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6D8B563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9．试验与检验</w:t>
      </w:r>
    </w:p>
    <w:p w14:paraId="51A581C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 试验设备与试验人员</w:t>
      </w:r>
    </w:p>
    <w:p w14:paraId="44A9B2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9.1.2试验设备</w:t>
      </w:r>
    </w:p>
    <w:p w14:paraId="66951AF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施工现场需要配置的试验场所：</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4994AE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3B221B4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6C9D8C9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 材料、工程设备和工程的试验和检验</w:t>
      </w:r>
    </w:p>
    <w:p w14:paraId="780BD29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9.3.4材料、设备和工程的试验和检验的费用：</w:t>
      </w:r>
    </w:p>
    <w:p w14:paraId="120D382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E187BE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79D5EE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F60B80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B48B0F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9.4 现场工艺试验</w:t>
      </w:r>
    </w:p>
    <w:p w14:paraId="24CCD3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DD43EF">
      <w:pPr>
        <w:pStyle w:val="6"/>
        <w:keepNext w:val="0"/>
        <w:keepLines w:val="0"/>
        <w:numPr>
          <w:ilvl w:val="0"/>
          <w:numId w:val="7"/>
        </w:numPr>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变更</w:t>
      </w:r>
    </w:p>
    <w:p w14:paraId="7A431B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工程变更按照临海市人民政府办公室印发的《关于进一步完善政府投资项目管理的若干意见》（临政办发〔2018〕167号）办理。</w:t>
      </w:r>
    </w:p>
    <w:p w14:paraId="061452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10.1 变更的范围</w:t>
      </w:r>
    </w:p>
    <w:p w14:paraId="485772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按合同通用条款。工程变更引起工程量的减少或增加，承包人不得因此拒绝施工。</w:t>
      </w:r>
    </w:p>
    <w:p w14:paraId="580138B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 变更估价</w:t>
      </w:r>
    </w:p>
    <w:p w14:paraId="73DE0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10.4.1变更估价原则</w:t>
      </w:r>
    </w:p>
    <w:p w14:paraId="71C5A8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 xml:space="preserve">关于变更估价的约定: </w:t>
      </w:r>
      <w:r>
        <w:rPr>
          <w:rFonts w:hint="eastAsia" w:ascii="宋体" w:hAnsi="宋体" w:eastAsia="宋体" w:cs="宋体"/>
          <w:color w:val="auto"/>
          <w:sz w:val="21"/>
          <w:szCs w:val="21"/>
          <w:u w:val="single"/>
        </w:rPr>
        <w:t>变更项目的计价口径同合同约定计价方法，按约定的工程预算定额计价，预算定额中无合适定额子目的由发包人签证确定。</w:t>
      </w:r>
    </w:p>
    <w:p w14:paraId="18D76BD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10.4.2变更估价程序</w:t>
      </w:r>
    </w:p>
    <w:p w14:paraId="0D0E6E8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承包人收到发包人、监理人、设计单位的变更指示后14天内向发包人提交变更估价申请。</w:t>
      </w:r>
    </w:p>
    <w:p w14:paraId="4DE67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承包人提出工程变更、专项施工方案等变更应同时提交变更估价申请。</w:t>
      </w:r>
    </w:p>
    <w:p w14:paraId="4BA619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承包人提交的变更估价申请，发包人和监理人应予以签收，并在14天内审批完毕。</w:t>
      </w:r>
    </w:p>
    <w:p w14:paraId="6E742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10.5 承包人的合理化建议</w:t>
      </w:r>
    </w:p>
    <w:p w14:paraId="5645DA0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09A62D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1AAA09C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11FA8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 暂估价</w:t>
      </w:r>
    </w:p>
    <w:p w14:paraId="76D959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暂估价材料和工程设备的明细详见附件11：《</w:t>
      </w:r>
      <w:r>
        <w:rPr>
          <w:rFonts w:hint="eastAsia" w:ascii="宋体" w:hAnsi="宋体" w:eastAsia="宋体" w:cs="宋体"/>
          <w:color w:val="auto"/>
          <w:sz w:val="21"/>
          <w:szCs w:val="21"/>
        </w:rPr>
        <w:t>暂估价一览表》</w:t>
      </w:r>
      <w:r>
        <w:rPr>
          <w:rFonts w:hint="eastAsia" w:ascii="宋体" w:hAnsi="宋体" w:eastAsia="宋体" w:cs="宋体"/>
          <w:color w:val="auto"/>
          <w:kern w:val="0"/>
          <w:sz w:val="21"/>
          <w:szCs w:val="21"/>
        </w:rPr>
        <w:t>。</w:t>
      </w:r>
    </w:p>
    <w:p w14:paraId="38B62F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10.7.1依法必须招标的暂估价项目</w:t>
      </w:r>
    </w:p>
    <w:p w14:paraId="1D54132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无承包价（暂定价）的单项材料、设备、专业分包工程估算价在30万元以上的（指可以向同一家供应商采购的同类材料总价），须由发、承包双方通过</w:t>
      </w:r>
      <w:r>
        <w:rPr>
          <w:rFonts w:hint="eastAsia" w:ascii="宋体" w:hAnsi="宋体" w:eastAsia="宋体" w:cs="宋体"/>
          <w:color w:val="auto"/>
          <w:sz w:val="21"/>
          <w:szCs w:val="21"/>
          <w:u w:val="single"/>
          <w:lang w:eastAsia="zh-CN"/>
        </w:rPr>
        <w:t>公开招标</w:t>
      </w:r>
      <w:r>
        <w:rPr>
          <w:rFonts w:hint="eastAsia" w:ascii="宋体" w:hAnsi="宋体" w:eastAsia="宋体" w:cs="宋体"/>
          <w:color w:val="auto"/>
          <w:sz w:val="21"/>
          <w:szCs w:val="21"/>
          <w:u w:val="single"/>
        </w:rPr>
        <w:t>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135A25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10.7.2不属于依法必须招标的暂估价项目：</w:t>
      </w:r>
      <w:r>
        <w:rPr>
          <w:rFonts w:hint="eastAsia" w:ascii="宋体" w:hAnsi="宋体" w:eastAsia="宋体" w:cs="宋体"/>
          <w:color w:val="auto"/>
          <w:sz w:val="21"/>
          <w:szCs w:val="21"/>
          <w:u w:val="single"/>
        </w:rPr>
        <w:t>按合同通用条款。</w:t>
      </w:r>
    </w:p>
    <w:p w14:paraId="10CE83B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14:paraId="195EC1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C2CD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10.8 暂列金额</w:t>
      </w:r>
    </w:p>
    <w:p w14:paraId="136D42A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合同当事人关于暂列金额使用的约定：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2A3A96DA">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11．价格调整</w:t>
      </w:r>
    </w:p>
    <w:p w14:paraId="1825BAF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市场价格波动引起的调整</w:t>
      </w:r>
    </w:p>
    <w:p w14:paraId="28A510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市场价格波动是否调整合同价格的约定：</w:t>
      </w:r>
      <w:r>
        <w:rPr>
          <w:rFonts w:hint="eastAsia" w:ascii="宋体" w:hAnsi="宋体" w:eastAsia="宋体" w:cs="宋体"/>
          <w:color w:val="auto"/>
          <w:sz w:val="21"/>
          <w:szCs w:val="21"/>
          <w:u w:val="single"/>
        </w:rPr>
        <w:t>人工、材料结算价格按以下方法调整。本条约定的调整时间均为在施工工期范围内。人工（含机上人工）调整的差价部分只计取税金及民工工伤保险费。</w:t>
      </w:r>
    </w:p>
    <w:p w14:paraId="1E5196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种方式对合同价格进行调整：</w:t>
      </w:r>
    </w:p>
    <w:p w14:paraId="154B6B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14:paraId="1961C2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第2种方式：本工程的人工、材料结算单价，按施工期内的信息价《台州造价（正刊）》（工程所在地）的平均值计算。</w:t>
      </w:r>
    </w:p>
    <w:p w14:paraId="0CEF82C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第3种方式：其他价格调整方式：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07AB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 法律变化引起的调整 ：</w:t>
      </w:r>
      <w:r>
        <w:rPr>
          <w:rFonts w:hint="eastAsia" w:ascii="宋体" w:hAnsi="宋体" w:eastAsia="宋体" w:cs="宋体"/>
          <w:color w:val="auto"/>
          <w:sz w:val="21"/>
          <w:szCs w:val="21"/>
          <w:u w:val="single"/>
        </w:rPr>
        <w:t xml:space="preserve"> 按省级或行业建设主管部门或其授权的工程造价管理机构发布的规定执行。</w:t>
      </w:r>
    </w:p>
    <w:p w14:paraId="28CC683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12．合同价格、计量与支付</w:t>
      </w:r>
    </w:p>
    <w:p w14:paraId="169B65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12.1 合同价格形式</w:t>
      </w:r>
    </w:p>
    <w:p w14:paraId="5639C0F7">
      <w:pPr>
        <w:pStyle w:val="14"/>
        <w:adjustRightInd w:val="0"/>
        <w:spacing w:line="400" w:lineRule="exact"/>
        <w:ind w:firstLine="412" w:firstLineChars="200"/>
        <w:rPr>
          <w:rFonts w:hAnsi="宋体" w:eastAsia="宋体" w:cs="宋体"/>
          <w:color w:val="auto"/>
          <w:kern w:val="0"/>
          <w:sz w:val="21"/>
          <w:szCs w:val="21"/>
        </w:rPr>
      </w:pPr>
      <w:r>
        <w:rPr>
          <w:rFonts w:hint="eastAsia" w:hAnsi="宋体" w:eastAsia="宋体" w:cs="宋体"/>
          <w:color w:val="auto"/>
          <w:kern w:val="0"/>
          <w:sz w:val="21"/>
          <w:szCs w:val="21"/>
        </w:rPr>
        <w:t>本合同价款采用第</w:t>
      </w:r>
      <w:r>
        <w:rPr>
          <w:rFonts w:hint="eastAsia" w:hAnsi="宋体" w:eastAsia="宋体" w:cs="宋体"/>
          <w:color w:val="auto"/>
          <w:kern w:val="0"/>
          <w:sz w:val="21"/>
          <w:szCs w:val="21"/>
          <w:u w:val="single"/>
        </w:rPr>
        <w:t xml:space="preserve">  3  </w:t>
      </w:r>
      <w:r>
        <w:rPr>
          <w:rFonts w:hint="eastAsia" w:hAnsi="宋体" w:eastAsia="宋体" w:cs="宋体"/>
          <w:color w:val="auto"/>
          <w:kern w:val="0"/>
          <w:sz w:val="21"/>
          <w:szCs w:val="21"/>
        </w:rPr>
        <w:t>种方式</w:t>
      </w:r>
      <w:r>
        <w:rPr>
          <w:rFonts w:hint="eastAsia" w:hAnsi="宋体" w:eastAsia="宋体" w:cs="宋体"/>
          <w:color w:val="auto"/>
          <w:sz w:val="21"/>
          <w:szCs w:val="21"/>
          <w:u w:val="single"/>
        </w:rPr>
        <w:t>其他价格形式合同</w:t>
      </w:r>
      <w:r>
        <w:rPr>
          <w:rFonts w:hint="eastAsia" w:hAnsi="宋体" w:eastAsia="宋体" w:cs="宋体"/>
          <w:color w:val="auto"/>
          <w:kern w:val="0"/>
          <w:sz w:val="21"/>
          <w:szCs w:val="21"/>
        </w:rPr>
        <w:t>确定。</w:t>
      </w:r>
    </w:p>
    <w:p w14:paraId="2038CA7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3DACF99">
      <w:pPr>
        <w:tabs>
          <w:tab w:val="left" w:pos="0"/>
        </w:tabs>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2.总价合同：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C130BB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001CB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5E6DC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19AC716">
      <w:pPr>
        <w:tabs>
          <w:tab w:val="left" w:pos="0"/>
        </w:tabs>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w:t>
      </w:r>
      <w:r>
        <w:rPr>
          <w:rFonts w:hint="eastAsia" w:ascii="宋体" w:hAnsi="宋体" w:eastAsia="宋体" w:cs="宋体"/>
          <w:color w:val="auto"/>
          <w:kern w:val="0"/>
          <w:sz w:val="21"/>
          <w:szCs w:val="21"/>
          <w:u w:val="single"/>
        </w:rPr>
        <w:t>工程造价按工程预算定额计价乘以结算率（1-下浮率）确定。</w:t>
      </w:r>
    </w:p>
    <w:p w14:paraId="6FA8B9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合同约定的风险范围：</w:t>
      </w:r>
    </w:p>
    <w:p w14:paraId="796A672A">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4DE99B0D">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《浙江省市政工程预算定额》(2018版)、《浙江省建设工程计价规则》(2018版)、[浙建建发(2019)92号]、[浙建建发（2022）37号]、相关补充定额及省、市行业主管部门发布的计价文件规定，计算工程造价。</w:t>
      </w:r>
    </w:p>
    <w:p w14:paraId="499E669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13E06B5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                  ；</w:t>
      </w:r>
    </w:p>
    <w:p w14:paraId="1F2A33A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         ；税金税率：                   ；</w:t>
      </w:r>
    </w:p>
    <w:p w14:paraId="4BB714CB">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4AB4CC3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27EAE140">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无承包价（暂定价）或工程变更新增的单项材料、设备、专业分包工程由发包人签证或招标确定的价格，不纳入工程下浮率（或结算率）计算；</w:t>
      </w:r>
    </w:p>
    <w:p w14:paraId="2679D28F">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3413B7A8">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6E23F4F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74C54B58">
      <w:pPr>
        <w:pStyle w:val="14"/>
        <w:widowControl/>
        <w:adjustRightInd w:val="0"/>
        <w:spacing w:line="400" w:lineRule="exact"/>
        <w:ind w:firstLine="412"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b.实际施工中可能发生街道管理费、干扰费、环保费、占道押金等其它管理费。</w:t>
      </w:r>
    </w:p>
    <w:p w14:paraId="570D8005">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c.本工程砂浆按现拌砂浆考虑；混凝土按商品混凝土，运距按7公里内考虑；</w:t>
      </w:r>
    </w:p>
    <w:p w14:paraId="71F25EFF">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d.管道沟槽回填采用机制砂；</w:t>
      </w:r>
    </w:p>
    <w:p w14:paraId="706CC97E">
      <w:pPr>
        <w:pStyle w:val="14"/>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w:t>
      </w:r>
      <w:r>
        <w:rPr>
          <w:rFonts w:hint="eastAsia" w:hAnsi="宋体" w:eastAsia="宋体" w:cs="宋体"/>
          <w:color w:val="auto"/>
          <w:kern w:val="0"/>
          <w:sz w:val="21"/>
          <w:szCs w:val="21"/>
          <w:highlight w:val="none"/>
          <w:u w:val="single"/>
          <w:lang w:val="en-US" w:eastAsia="zh-CN"/>
        </w:rPr>
        <w:t>其他参照预算书。</w:t>
      </w:r>
    </w:p>
    <w:p w14:paraId="739F9AE8">
      <w:pPr>
        <w:pStyle w:val="14"/>
        <w:widowControl/>
        <w:adjustRightInd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风险费用的计算方法：已包含在合同价内。</w:t>
      </w:r>
    </w:p>
    <w:p w14:paraId="0A7632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16807622">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1D249458">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27CAD410">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（3）未在投标价中包含的专项施工方案的施工及论证费用，根据施工现场实际按照合同约定方法确定费用或签证。</w:t>
      </w:r>
    </w:p>
    <w:p w14:paraId="3C843644">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（4）政策性调整及各级建设行政主管部门发布的计价依据调整按规定调整。</w:t>
      </w:r>
    </w:p>
    <w:p w14:paraId="3AF96DD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 预付款</w:t>
      </w:r>
    </w:p>
    <w:p w14:paraId="435FFF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12.2.1预付款的支付</w:t>
      </w:r>
    </w:p>
    <w:p w14:paraId="0DE486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r>
        <w:rPr>
          <w:rFonts w:hint="eastAsia" w:ascii="宋体" w:hAnsi="宋体" w:eastAsia="宋体" w:cs="宋体"/>
          <w:color w:val="auto"/>
          <w:sz w:val="21"/>
          <w:szCs w:val="21"/>
          <w:u w:val="single"/>
        </w:rPr>
        <w:t>。</w:t>
      </w:r>
    </w:p>
    <w:p w14:paraId="632494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highlight w:val="none"/>
          <w:u w:val="single"/>
        </w:rPr>
        <w:t>按投标时承诺的人员、机械设备进场开工后7天内</w:t>
      </w:r>
      <w:r>
        <w:rPr>
          <w:rFonts w:hint="eastAsia" w:ascii="宋体" w:hAnsi="宋体" w:eastAsia="宋体" w:cs="宋体"/>
          <w:color w:val="auto"/>
          <w:sz w:val="21"/>
          <w:szCs w:val="21"/>
          <w:u w:val="single"/>
        </w:rPr>
        <w:t>。</w:t>
      </w:r>
    </w:p>
    <w:p w14:paraId="22B125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highlight w:val="none"/>
          <w:u w:val="single"/>
        </w:rPr>
        <w:t>不扣回。作为工程款，抵扣应付进度款</w:t>
      </w:r>
      <w:r>
        <w:rPr>
          <w:rFonts w:hint="eastAsia" w:ascii="宋体" w:hAnsi="宋体" w:eastAsia="宋体" w:cs="宋体"/>
          <w:color w:val="auto"/>
          <w:sz w:val="21"/>
          <w:szCs w:val="21"/>
        </w:rPr>
        <w:t>。</w:t>
      </w:r>
    </w:p>
    <w:p w14:paraId="41FA7E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12.2.2预付款担保</w:t>
      </w:r>
    </w:p>
    <w:p w14:paraId="137FBB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4B06AE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0C5C3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 计量</w:t>
      </w:r>
    </w:p>
    <w:p w14:paraId="41B9D3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12.3.1计量原则</w:t>
      </w:r>
    </w:p>
    <w:p w14:paraId="38D084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045A27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12.3.2计量周期：</w:t>
      </w:r>
    </w:p>
    <w:p w14:paraId="047220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按月计量。</w:t>
      </w:r>
    </w:p>
    <w:p w14:paraId="197BAF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12.3.3单价合同的计量</w:t>
      </w:r>
    </w:p>
    <w:p w14:paraId="7FD7EC6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按合同通用条款执行。</w:t>
      </w:r>
    </w:p>
    <w:p w14:paraId="76BDB8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（4）但确认的工程量和单价仅作为本期工程款支付的依据。</w:t>
      </w:r>
    </w:p>
    <w:p w14:paraId="055D4F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12.3.4总价合同的计量</w:t>
      </w:r>
    </w:p>
    <w:p w14:paraId="0064664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A7BC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12.3.5总价合同采用支付分解表计量支付的，是否适用第</w:t>
      </w:r>
      <w:r>
        <w:rPr>
          <w:rFonts w:hint="eastAsia" w:ascii="宋体" w:hAnsi="宋体" w:eastAsia="宋体" w:cs="宋体"/>
          <w:color w:val="auto"/>
          <w:kern w:val="0"/>
          <w:sz w:val="21"/>
          <w:szCs w:val="21"/>
        </w:rPr>
        <w:t xml:space="preserve">12.3.4 </w:t>
      </w:r>
      <w:r>
        <w:rPr>
          <w:rFonts w:hint="eastAsia" w:ascii="宋体" w:hAnsi="宋体" w:eastAsia="宋体" w:cs="宋体"/>
          <w:color w:val="auto"/>
          <w:sz w:val="21"/>
          <w:szCs w:val="21"/>
        </w:rPr>
        <w:t>项</w:t>
      </w:r>
      <w:r>
        <w:rPr>
          <w:rFonts w:hint="eastAsia" w:ascii="宋体" w:hAnsi="宋体" w:eastAsia="宋体" w:cs="宋体"/>
          <w:color w:val="auto"/>
          <w:kern w:val="0"/>
          <w:sz w:val="21"/>
          <w:szCs w:val="21"/>
        </w:rPr>
        <w:t>〔总价合同的计量〕</w:t>
      </w:r>
      <w:r>
        <w:rPr>
          <w:rFonts w:hint="eastAsia" w:ascii="宋体" w:hAnsi="宋体" w:eastAsia="宋体" w:cs="宋体"/>
          <w:color w:val="auto"/>
          <w:sz w:val="21"/>
          <w:szCs w:val="21"/>
        </w:rPr>
        <w:t>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2C8F5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12.3.6其他价格形式合同的计量</w:t>
      </w:r>
    </w:p>
    <w:p w14:paraId="08DD82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人工、材料价格调整引起合同价款调整，在完成本合同专用条款第11.1款约定的调整节点后，计入该节点所在当期工程价款；工程变更按规定办理完毕的，计入当期工程价款 。</w:t>
      </w:r>
    </w:p>
    <w:p w14:paraId="48F425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 工程进度款支付</w:t>
      </w:r>
    </w:p>
    <w:p w14:paraId="40AD618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12.4.1付款周期</w:t>
      </w:r>
    </w:p>
    <w:p w14:paraId="735C82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关于付款周期的约定：</w:t>
      </w:r>
      <w:r>
        <w:rPr>
          <w:rFonts w:hint="eastAsia" w:ascii="宋体" w:hAnsi="宋体" w:eastAsia="宋体" w:cs="宋体"/>
          <w:color w:val="auto"/>
          <w:sz w:val="21"/>
          <w:szCs w:val="21"/>
          <w:u w:val="single"/>
        </w:rPr>
        <w:t>本工程按</w:t>
      </w:r>
      <w:r>
        <w:rPr>
          <w:rFonts w:hint="eastAsia" w:ascii="宋体" w:hAnsi="宋体" w:eastAsia="宋体" w:cs="宋体"/>
          <w:color w:val="auto"/>
          <w:sz w:val="21"/>
          <w:szCs w:val="21"/>
          <w:u w:val="single"/>
          <w:lang w:val="en-US" w:eastAsia="zh-CN"/>
        </w:rPr>
        <w:t>工程进度</w:t>
      </w:r>
      <w:r>
        <w:rPr>
          <w:rFonts w:hint="eastAsia" w:ascii="宋体" w:hAnsi="宋体" w:eastAsia="宋体" w:cs="宋体"/>
          <w:color w:val="auto"/>
          <w:sz w:val="21"/>
          <w:szCs w:val="21"/>
          <w:u w:val="single"/>
        </w:rPr>
        <w:t>支付工程进度款。</w:t>
      </w:r>
    </w:p>
    <w:p w14:paraId="344D76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12.4.2进度付款申请单的编制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23F91C6D">
      <w:pPr>
        <w:spacing w:line="400" w:lineRule="exact"/>
        <w:ind w:firstLine="412" w:firstLineChars="200"/>
        <w:rPr>
          <w:rFonts w:ascii="宋体" w:hAnsi="宋体" w:eastAsia="宋体" w:cs="宋体"/>
          <w:color w:val="auto"/>
          <w:sz w:val="21"/>
          <w:szCs w:val="21"/>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6A76C1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12.4.3进度付款申请单的提交</w:t>
      </w:r>
    </w:p>
    <w:p w14:paraId="58419D5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8579C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DD23F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FB91D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12.4.4进度款审核和支付</w:t>
      </w:r>
    </w:p>
    <w:p w14:paraId="67544FF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63202D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E2AFA88">
      <w:pPr>
        <w:spacing w:line="400" w:lineRule="exact"/>
        <w:ind w:firstLine="412" w:firstLineChars="200"/>
        <w:jc w:val="left"/>
        <w:rPr>
          <w:rFonts w:ascii="宋体" w:hAnsi="宋体" w:eastAsia="宋体" w:cs="宋体"/>
          <w:color w:val="auto"/>
          <w:sz w:val="21"/>
          <w:szCs w:val="21"/>
          <w:u w:val="single"/>
        </w:rPr>
      </w:pPr>
      <w:r>
        <w:rPr>
          <w:rFonts w:hint="eastAsia" w:ascii="宋体" w:hAnsi="宋体" w:eastAsia="宋体" w:cs="宋体"/>
          <w:color w:val="auto"/>
          <w:sz w:val="21"/>
          <w:szCs w:val="21"/>
        </w:rPr>
        <w:t>（2）发包人支付进度款的期限：</w:t>
      </w:r>
      <w:r>
        <w:rPr>
          <w:rFonts w:hint="eastAsia" w:ascii="宋体" w:hAnsi="宋体" w:eastAsia="宋体" w:cs="宋体"/>
          <w:color w:val="auto"/>
          <w:sz w:val="21"/>
          <w:szCs w:val="21"/>
          <w:u w:val="single"/>
        </w:rPr>
        <w:t>在发包人确认计量结果后14天内完成支付。</w:t>
      </w:r>
    </w:p>
    <w:p w14:paraId="5B8E80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sz w:val="21"/>
          <w:szCs w:val="21"/>
          <w:u w:val="single"/>
        </w:rPr>
        <w:t>支付应付工程进度款的利息，利率按同期全国银行间同业拆借中心公布的贷款市场报价利率，时间为从约定应付之日起至支付之日止计算利息。</w:t>
      </w:r>
    </w:p>
    <w:p w14:paraId="398D75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14EB6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12.4.6支付分解表的编制</w:t>
      </w:r>
    </w:p>
    <w:p w14:paraId="1069722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03A00EF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3、单价合同的总价项目支付分解表的编制与审批：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5FE1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12.5 支付帐户</w:t>
      </w:r>
    </w:p>
    <w:p w14:paraId="105F58DB">
      <w:pPr>
        <w:spacing w:line="360" w:lineRule="exact"/>
        <w:ind w:firstLine="412" w:firstLineChars="200"/>
        <w:rPr>
          <w:rFonts w:ascii="宋体" w:hAnsi="宋体" w:eastAsia="宋体" w:cs="宋体"/>
          <w:color w:val="auto"/>
          <w:sz w:val="21"/>
          <w:szCs w:val="21"/>
        </w:rPr>
      </w:pPr>
      <w:r>
        <w:rPr>
          <w:rFonts w:hint="eastAsia" w:ascii="宋体" w:hAnsi="宋体" w:eastAsia="宋体"/>
          <w:color w:val="auto"/>
          <w:sz w:val="21"/>
        </w:rPr>
        <w:t>发包人应将合同价款支至合同协议书中约定的承包人帐户：</w:t>
      </w:r>
      <w:r>
        <w:rPr>
          <w:rFonts w:hint="eastAsia" w:ascii="宋体" w:hAnsi="宋体" w:eastAsia="宋体"/>
          <w:color w:val="auto"/>
          <w:sz w:val="21"/>
          <w:u w:val="single"/>
        </w:rPr>
        <w:t>开户行：              帐号：                       。</w:t>
      </w:r>
      <w:r>
        <w:rPr>
          <w:rFonts w:hint="eastAsia" w:ascii="宋体" w:hAnsi="宋体" w:eastAsia="宋体"/>
          <w:color w:val="auto"/>
          <w:sz w:val="21"/>
        </w:rPr>
        <w:t>承包人收取款项时应开具增值税发票。</w:t>
      </w:r>
    </w:p>
    <w:p w14:paraId="4722651C">
      <w:pPr>
        <w:spacing w:line="400" w:lineRule="exact"/>
        <w:ind w:firstLine="41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color w:val="auto"/>
          <w:sz w:val="21"/>
          <w:szCs w:val="21"/>
          <w:lang w:val="en-US" w:eastAsia="zh-CN"/>
        </w:rPr>
        <w:t>依据文件规定发包人将当期应付工程进度款的（）%拨付到承包人的</w:t>
      </w:r>
      <w:r>
        <w:rPr>
          <w:rFonts w:hint="eastAsia" w:ascii="宋体" w:hAnsi="宋体" w:eastAsia="宋体" w:cs="宋体"/>
          <w:b/>
          <w:bCs/>
          <w:color w:val="auto"/>
          <w:sz w:val="21"/>
          <w:szCs w:val="21"/>
        </w:rPr>
        <w:t>农民工工资专用账户</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lang w:val="en-US" w:eastAsia="zh-CN"/>
        </w:rPr>
        <w:t>；其余合同价款支付至合同协议书约定的承包人账户。</w:t>
      </w:r>
    </w:p>
    <w:p w14:paraId="61A8CB8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13．验收和工程试车</w:t>
      </w:r>
    </w:p>
    <w:p w14:paraId="793FE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 分部分项工程验收</w:t>
      </w:r>
    </w:p>
    <w:p w14:paraId="23D2CD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13.1.2监理人不能按时进行验收时，应提前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1561488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w:t>
      </w:r>
    </w:p>
    <w:p w14:paraId="047BAE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工程验收过程、验收部位除办理纸质验收记录，还应留置验收部位、验收过程、主要验收人员相片、影像等资料。</w:t>
      </w:r>
    </w:p>
    <w:p w14:paraId="1FC74E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 竣工验收</w:t>
      </w:r>
    </w:p>
    <w:p w14:paraId="75E96C6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13.2.2竣工验收程序</w:t>
      </w:r>
    </w:p>
    <w:p w14:paraId="576314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关于竣工验收程序的约定：</w:t>
      </w:r>
      <w:r>
        <w:rPr>
          <w:rFonts w:hint="eastAsia" w:ascii="宋体" w:hAnsi="宋体" w:eastAsia="宋体" w:cs="宋体"/>
          <w:color w:val="auto"/>
          <w:sz w:val="21"/>
          <w:szCs w:val="21"/>
          <w:u w:val="single"/>
        </w:rPr>
        <w:t>按合同通用条款。</w:t>
      </w:r>
    </w:p>
    <w:p w14:paraId="193AAA2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承包人须配合发包人进行工程竣工验收。</w:t>
      </w:r>
    </w:p>
    <w:p w14:paraId="632810C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不计违约金。</w:t>
      </w:r>
    </w:p>
    <w:p w14:paraId="686D08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rPr>
        <w:t>。</w:t>
      </w:r>
    </w:p>
    <w:p w14:paraId="10797B8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13.2.3竣工日期</w:t>
      </w:r>
    </w:p>
    <w:p w14:paraId="420FA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（1）承包人完成合同范围内的全部工程以及有关工作，工程经验收合格的，以承包人提交验收申请报告之日为计算合同工期终止日。</w:t>
      </w:r>
    </w:p>
    <w:p w14:paraId="2DC4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（2）其余按合同通用条款。</w:t>
      </w:r>
    </w:p>
    <w:p w14:paraId="7937F10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13.2.5移交、接收全部与部分工程</w:t>
      </w:r>
    </w:p>
    <w:p w14:paraId="048E913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承包人向发包人移交工程的期限：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681E7A4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07789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 xml:space="preserve">  按每天500元计取 </w:t>
      </w:r>
      <w:r>
        <w:rPr>
          <w:rFonts w:hint="eastAsia" w:ascii="宋体" w:hAnsi="宋体" w:eastAsia="宋体" w:cs="宋体"/>
          <w:color w:val="auto"/>
          <w:sz w:val="21"/>
          <w:szCs w:val="21"/>
        </w:rPr>
        <w:t>。</w:t>
      </w:r>
    </w:p>
    <w:p w14:paraId="000CB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13.3 工程试车</w:t>
      </w:r>
    </w:p>
    <w:p w14:paraId="5AB9C2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13.3.1试车程序</w:t>
      </w:r>
    </w:p>
    <w:p w14:paraId="43B28D1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工程试车内容：</w:t>
      </w:r>
      <w:r>
        <w:rPr>
          <w:rFonts w:hint="eastAsia" w:ascii="宋体" w:hAnsi="宋体" w:eastAsia="宋体" w:cs="宋体"/>
          <w:color w:val="auto"/>
          <w:kern w:val="0"/>
          <w:sz w:val="21"/>
          <w:szCs w:val="21"/>
          <w:u w:val="single"/>
        </w:rPr>
        <w:t xml:space="preserve">     按规定执行   </w:t>
      </w:r>
      <w:r>
        <w:rPr>
          <w:rFonts w:hint="eastAsia" w:ascii="宋体" w:hAnsi="宋体" w:eastAsia="宋体" w:cs="宋体"/>
          <w:color w:val="auto"/>
          <w:kern w:val="0"/>
          <w:sz w:val="21"/>
          <w:szCs w:val="21"/>
        </w:rPr>
        <w:t xml:space="preserve"> </w:t>
      </w:r>
      <w:r>
        <w:rPr>
          <w:rFonts w:hint="eastAsia" w:ascii="宋体" w:hAnsi="宋体" w:eastAsia="宋体" w:cs="宋体"/>
          <w:color w:val="auto"/>
          <w:sz w:val="21"/>
          <w:szCs w:val="21"/>
        </w:rPr>
        <w:t>。</w:t>
      </w:r>
    </w:p>
    <w:p w14:paraId="121CE57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（1）单机无负荷试车费用由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75355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（2）无负荷联动试车费用由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FC1416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13.3.3投料试车</w:t>
      </w:r>
    </w:p>
    <w:p w14:paraId="0574DE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关于投料试车相关事项的约定：</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sz w:val="21"/>
          <w:szCs w:val="21"/>
        </w:rPr>
        <w:t>。</w:t>
      </w:r>
    </w:p>
    <w:p w14:paraId="4C0631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13.6 竣工退场</w:t>
      </w:r>
    </w:p>
    <w:p w14:paraId="677DB2B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13.6.1竣工退场</w:t>
      </w:r>
    </w:p>
    <w:p w14:paraId="5E3D704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承包人完成竣工退场的期限：</w:t>
      </w:r>
      <w:r>
        <w:rPr>
          <w:rFonts w:hint="eastAsia" w:ascii="宋体" w:hAnsi="宋体" w:eastAsia="宋体" w:cs="宋体"/>
          <w:color w:val="auto"/>
          <w:sz w:val="21"/>
          <w:szCs w:val="21"/>
          <w:u w:val="single"/>
        </w:rPr>
        <w:t>颁发工程接收证书后7天内</w:t>
      </w:r>
      <w:r>
        <w:rPr>
          <w:rFonts w:hint="eastAsia" w:ascii="宋体" w:hAnsi="宋体" w:eastAsia="宋体" w:cs="宋体"/>
          <w:color w:val="auto"/>
          <w:kern w:val="0"/>
          <w:sz w:val="21"/>
          <w:szCs w:val="21"/>
        </w:rPr>
        <w:t>。</w:t>
      </w:r>
    </w:p>
    <w:p w14:paraId="1F11AB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13.6.2地表还原</w:t>
      </w:r>
    </w:p>
    <w:p w14:paraId="7E45465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74088F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本工程场地恢复的要求：</w:t>
      </w:r>
    </w:p>
    <w:p w14:paraId="3A475CD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（1）清理完成施工现场垃圾，临建的拆除与场地复原；</w:t>
      </w:r>
    </w:p>
    <w:p w14:paraId="4CC0EF9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（2）施工后废弃材料、设备清理撤离；</w:t>
      </w:r>
    </w:p>
    <w:p w14:paraId="0166FCE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（3）承包人造成的施工现场周边施工堆积物及场地清理。</w:t>
      </w:r>
    </w:p>
    <w:p w14:paraId="7A5B946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（4）其它要求：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C1CE11D">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14．竣工结算</w:t>
      </w:r>
    </w:p>
    <w:p w14:paraId="318CF2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 竣工结算申请</w:t>
      </w:r>
    </w:p>
    <w:p w14:paraId="41AFAB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1.承包人提交竣工结算申请的期限：</w:t>
      </w:r>
    </w:p>
    <w:p w14:paraId="7917D4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u w:val="single"/>
        </w:rPr>
        <w:t>28天</w:t>
      </w:r>
      <w:r>
        <w:rPr>
          <w:rFonts w:hint="eastAsia" w:ascii="宋体" w:hAnsi="宋体" w:eastAsia="宋体" w:cs="宋体"/>
          <w:color w:val="auto"/>
          <w:sz w:val="21"/>
          <w:szCs w:val="21"/>
          <w:u w:val="single"/>
        </w:rPr>
        <w:t>内，向发包人或监理人、发包人委托的中介机构提交最终工程结算申请，并提交完整的工程结算资料一套。</w:t>
      </w:r>
    </w:p>
    <w:p w14:paraId="03502A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59D6F4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2.竣工结算申请单应包括的内容：</w:t>
      </w:r>
      <w:r>
        <w:rPr>
          <w:rFonts w:hint="eastAsia" w:ascii="宋体" w:hAnsi="宋体" w:eastAsia="宋体" w:cs="宋体"/>
          <w:color w:val="auto"/>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0822092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14.2 竣工结算审核</w:t>
      </w:r>
    </w:p>
    <w:p w14:paraId="69791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（1）发包人结算审核时间：</w:t>
      </w:r>
    </w:p>
    <w:p w14:paraId="1256564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发包人收到承包人递交的最终工程结算报告及结算资料后，在180天内审核完毕，并签发最终工程结算证书。</w:t>
      </w:r>
    </w:p>
    <w:p w14:paraId="6E9CC69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066F067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28DDB99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061943A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0244D7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 最终结清</w:t>
      </w:r>
    </w:p>
    <w:p w14:paraId="26388D9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14.4.1最终结清申请单</w:t>
      </w:r>
    </w:p>
    <w:p w14:paraId="280A6D4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承包人提交最终结清申请单的份数：</w:t>
      </w:r>
      <w:r>
        <w:rPr>
          <w:rFonts w:hint="eastAsia" w:ascii="宋体" w:hAnsi="宋体" w:eastAsia="宋体" w:cs="宋体"/>
          <w:color w:val="auto"/>
          <w:sz w:val="21"/>
          <w:szCs w:val="21"/>
          <w:u w:val="single"/>
        </w:rPr>
        <w:t xml:space="preserve">  2份  </w:t>
      </w:r>
      <w:r>
        <w:rPr>
          <w:rFonts w:hint="eastAsia" w:ascii="宋体" w:hAnsi="宋体" w:eastAsia="宋体" w:cs="宋体"/>
          <w:color w:val="auto"/>
          <w:sz w:val="21"/>
          <w:szCs w:val="21"/>
        </w:rPr>
        <w:t>。</w:t>
      </w:r>
    </w:p>
    <w:p w14:paraId="5A4DD7A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承包人提交最终结算申请单的期限：</w:t>
      </w:r>
      <w:r>
        <w:rPr>
          <w:rFonts w:hint="eastAsia" w:ascii="宋体" w:hAnsi="宋体" w:eastAsia="宋体" w:cs="宋体"/>
          <w:color w:val="auto"/>
          <w:sz w:val="21"/>
          <w:szCs w:val="21"/>
          <w:u w:val="single"/>
        </w:rPr>
        <w:t xml:space="preserve"> 缺陷责任期终止后7天内 </w:t>
      </w:r>
      <w:r>
        <w:rPr>
          <w:rFonts w:hint="eastAsia" w:ascii="宋体" w:hAnsi="宋体" w:eastAsia="宋体" w:cs="宋体"/>
          <w:color w:val="auto"/>
          <w:sz w:val="21"/>
          <w:szCs w:val="21"/>
        </w:rPr>
        <w:t xml:space="preserve">。 </w:t>
      </w:r>
    </w:p>
    <w:p w14:paraId="0A732E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14.4.2最终结清证书和支付</w:t>
      </w:r>
    </w:p>
    <w:p w14:paraId="199AC90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3132A9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按通用条款</w:t>
      </w:r>
      <w:r>
        <w:rPr>
          <w:rFonts w:hint="eastAsia" w:ascii="宋体" w:hAnsi="宋体" w:eastAsia="宋体" w:cs="宋体"/>
          <w:color w:val="auto"/>
          <w:sz w:val="21"/>
          <w:szCs w:val="21"/>
        </w:rPr>
        <w:t>。</w:t>
      </w:r>
    </w:p>
    <w:p w14:paraId="6BC204B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15．缺陷责任期与保修</w:t>
      </w:r>
    </w:p>
    <w:p w14:paraId="7F2E456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15.2 缺陷责任期</w:t>
      </w:r>
    </w:p>
    <w:p w14:paraId="36F532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缺陷责任期</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u w:val="single"/>
        </w:rPr>
        <w:t>个月，其余按通用条款执行</w:t>
      </w:r>
      <w:r>
        <w:rPr>
          <w:rFonts w:hint="eastAsia" w:ascii="宋体" w:hAnsi="宋体" w:eastAsia="宋体" w:cs="宋体"/>
          <w:color w:val="auto"/>
          <w:sz w:val="21"/>
          <w:szCs w:val="21"/>
        </w:rPr>
        <w:t>。</w:t>
      </w:r>
    </w:p>
    <w:p w14:paraId="33DC3C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 质量保证金</w:t>
      </w:r>
    </w:p>
    <w:p w14:paraId="63402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留置质量保证金 </w:t>
      </w:r>
      <w:r>
        <w:rPr>
          <w:rFonts w:hint="eastAsia" w:ascii="宋体" w:hAnsi="宋体" w:eastAsia="宋体" w:cs="宋体"/>
          <w:color w:val="auto"/>
          <w:sz w:val="21"/>
          <w:szCs w:val="21"/>
        </w:rPr>
        <w:t>。</w:t>
      </w:r>
    </w:p>
    <w:p w14:paraId="61604E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15.3.1承包人提供质量保证金的方式</w:t>
      </w:r>
    </w:p>
    <w:p w14:paraId="44DDF6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种方式：</w:t>
      </w:r>
    </w:p>
    <w:p w14:paraId="61AC89CC">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（1）质量保证金保函，</w:t>
      </w:r>
      <w:r>
        <w:rPr>
          <w:rFonts w:hint="eastAsia" w:ascii="宋体" w:hAnsi="宋体" w:eastAsia="宋体" w:cs="宋体"/>
          <w:color w:val="auto"/>
          <w:sz w:val="21"/>
          <w:szCs w:val="21"/>
        </w:rPr>
        <w:t>保函形式：</w:t>
      </w:r>
      <w:r>
        <w:rPr>
          <w:rFonts w:hint="eastAsia" w:ascii="宋体" w:hAnsi="宋体" w:eastAsia="宋体" w:cs="宋体"/>
          <w:b/>
          <w:bCs/>
          <w:color w:val="auto"/>
          <w:sz w:val="21"/>
          <w:szCs w:val="21"/>
        </w:rPr>
        <w:t>银行保函、融资担保公司保函、保险机构保证保险保单中任选一种</w:t>
      </w:r>
      <w:r>
        <w:rPr>
          <w:rFonts w:hint="eastAsia" w:ascii="宋体" w:hAnsi="宋体" w:eastAsia="宋体" w:cs="宋体"/>
          <w:color w:val="auto"/>
          <w:sz w:val="21"/>
          <w:szCs w:val="21"/>
        </w:rPr>
        <w:t xml:space="preserve">，金额为1.5%的工程结算价款； </w:t>
      </w:r>
    </w:p>
    <w:p w14:paraId="78C8E3F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1.5%</w:t>
      </w:r>
      <w:r>
        <w:rPr>
          <w:rFonts w:hint="eastAsia" w:ascii="宋体" w:hAnsi="宋体" w:eastAsia="宋体" w:cs="宋体"/>
          <w:color w:val="auto"/>
          <w:kern w:val="0"/>
          <w:sz w:val="21"/>
          <w:szCs w:val="21"/>
        </w:rPr>
        <w:t>的工程结算价款；</w:t>
      </w:r>
    </w:p>
    <w:p w14:paraId="6358C38A">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（3）其他方式:。</w:t>
      </w:r>
    </w:p>
    <w:p w14:paraId="465992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 xml:space="preserve">15.3.2质量保证金的扣留 </w:t>
      </w:r>
    </w:p>
    <w:p w14:paraId="2D5C94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种方式：</w:t>
      </w:r>
    </w:p>
    <w:p w14:paraId="0C468FD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14:paraId="24B9657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（2）工程竣工结算时一次性扣留质量保证金；</w:t>
      </w:r>
    </w:p>
    <w:p w14:paraId="2F7E765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（3）其他扣留方式:</w:t>
      </w:r>
      <w:r>
        <w:rPr>
          <w:rFonts w:hint="eastAsia" w:ascii="宋体" w:hAnsi="宋体" w:eastAsia="宋体" w:cs="宋体"/>
          <w:color w:val="auto"/>
          <w:kern w:val="0"/>
          <w:sz w:val="21"/>
          <w:szCs w:val="21"/>
          <w:u w:val="single"/>
        </w:rPr>
        <w:t xml:space="preserve"> 发包人支付完成最后工程结算付款前，承包人提供质量保证金保函 </w:t>
      </w:r>
      <w:r>
        <w:rPr>
          <w:rFonts w:hint="eastAsia" w:ascii="宋体" w:hAnsi="宋体" w:eastAsia="宋体" w:cs="宋体"/>
          <w:color w:val="auto"/>
          <w:kern w:val="0"/>
          <w:sz w:val="21"/>
          <w:szCs w:val="21"/>
        </w:rPr>
        <w:t>。</w:t>
      </w:r>
    </w:p>
    <w:p w14:paraId="1165102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kern w:val="0"/>
          <w:sz w:val="21"/>
          <w:szCs w:val="21"/>
        </w:rPr>
        <w:t>。</w:t>
      </w:r>
    </w:p>
    <w:p w14:paraId="63A43A8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15.3.3质量保证金的退还</w:t>
      </w:r>
    </w:p>
    <w:p w14:paraId="4193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质量保证金按以下第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方式退回：</w:t>
      </w:r>
    </w:p>
    <w:p w14:paraId="0E8A57D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（1）缺陷责任期终止后，发包人退还剩余的质量保证金（不计息）。</w:t>
      </w:r>
    </w:p>
    <w:p w14:paraId="7C5733EC">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（2）建筑工程：工程竣工验收合格后满1年返还质量保证金的30%，满2年返还全部预留的质量保证金。</w:t>
      </w:r>
    </w:p>
    <w:p w14:paraId="4443AA1E">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（3）市政工程：工程竣工验收合格后满2年返还全部质量保证金。</w:t>
      </w:r>
    </w:p>
    <w:p w14:paraId="6F90EC1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（4）其它：</w:t>
      </w:r>
      <w:r>
        <w:rPr>
          <w:rFonts w:hint="eastAsia" w:ascii="宋体" w:hAnsi="宋体" w:eastAsia="宋体" w:cs="宋体"/>
          <w:color w:val="auto"/>
          <w:sz w:val="21"/>
          <w:szCs w:val="21"/>
          <w:u w:val="single"/>
        </w:rPr>
        <w:t xml:space="preserve">                        </w:t>
      </w:r>
    </w:p>
    <w:p w14:paraId="5DEABA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 保修</w:t>
      </w:r>
    </w:p>
    <w:p w14:paraId="5447DE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15.4.1保修责任</w:t>
      </w:r>
    </w:p>
    <w:p w14:paraId="3896D0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工程保修期为：</w:t>
      </w:r>
      <w:r>
        <w:rPr>
          <w:rFonts w:hint="eastAsia" w:ascii="宋体" w:hAnsi="宋体" w:eastAsia="宋体" w:cs="宋体"/>
          <w:color w:val="auto"/>
          <w:kern w:val="0"/>
          <w:sz w:val="21"/>
          <w:szCs w:val="21"/>
          <w:u w:val="single"/>
        </w:rPr>
        <w:t xml:space="preserve"> 按本合同附件3《工程质量保修书》 </w:t>
      </w:r>
      <w:r>
        <w:rPr>
          <w:rFonts w:hint="eastAsia" w:ascii="宋体" w:hAnsi="宋体" w:eastAsia="宋体" w:cs="宋体"/>
          <w:color w:val="auto"/>
          <w:kern w:val="0"/>
          <w:sz w:val="21"/>
          <w:szCs w:val="21"/>
        </w:rPr>
        <w:t>。</w:t>
      </w:r>
    </w:p>
    <w:p w14:paraId="199A7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15.4.3修复通知</w:t>
      </w:r>
    </w:p>
    <w:p w14:paraId="5D2202A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承包人收到保修通知并到达工程现场的合理时间：</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34E27EA8">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16．违约</w:t>
      </w:r>
    </w:p>
    <w:p w14:paraId="64869D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 发包人违约</w:t>
      </w:r>
    </w:p>
    <w:p w14:paraId="64352C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16.1.1发包人违约的情形</w:t>
      </w:r>
    </w:p>
    <w:p w14:paraId="3CAB6CF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发包人违约的其他情形：</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14:paraId="6FFAFD3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16.1.2发包人违约的责任</w:t>
      </w:r>
    </w:p>
    <w:p w14:paraId="317BAD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发包人违约责任的承担方式和计算方法：</w:t>
      </w:r>
    </w:p>
    <w:p w14:paraId="1CEDBA6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赔偿承包人相关损失；属于专用合同条款7.3.2条约定情形的，按该条款约定处理；</w:t>
      </w:r>
    </w:p>
    <w:p w14:paraId="6E02FA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（2）因发包人原因未能按合同约定支付合同价款的违约责任：</w:t>
      </w:r>
      <w:r>
        <w:rPr>
          <w:rFonts w:hint="eastAsia" w:ascii="宋体" w:hAnsi="宋体" w:eastAsia="宋体" w:cs="宋体"/>
          <w:color w:val="auto"/>
          <w:sz w:val="21"/>
          <w:szCs w:val="21"/>
          <w:u w:val="single"/>
        </w:rPr>
        <w:t>支付违约金，违约金为应付合同价款的利息；造成工期延误的顺延工期，并承担承包人的相应损失费用；</w:t>
      </w:r>
    </w:p>
    <w:p w14:paraId="2442EF9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 xml:space="preserve">                               ；</w:t>
      </w:r>
    </w:p>
    <w:p w14:paraId="536A06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rPr>
        <w:t>造成工期延误的顺延工期，并承担增加的造价及承包人的相应损失费用等；</w:t>
      </w:r>
    </w:p>
    <w:p w14:paraId="0F2B84B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19CF5A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FB7EE6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（7）其他：</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C0578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16.1.3因发包人违约解除合同</w:t>
      </w:r>
    </w:p>
    <w:p w14:paraId="460B8990">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承包人按16.1.1项〔发包人违约的情形〕约定暂停施工满</w:t>
      </w:r>
      <w:r>
        <w:rPr>
          <w:rFonts w:hint="eastAsia" w:ascii="宋体" w:hAnsi="宋体" w:eastAsia="宋体" w:cs="宋体"/>
          <w:color w:val="auto"/>
          <w:kern w:val="0"/>
          <w:sz w:val="21"/>
          <w:szCs w:val="21"/>
          <w:u w:val="single"/>
        </w:rPr>
        <w:t xml:space="preserve"> 28 </w:t>
      </w:r>
      <w:r>
        <w:rPr>
          <w:rFonts w:hint="eastAsia" w:ascii="宋体" w:hAnsi="宋体" w:eastAsia="宋体" w:cs="宋体"/>
          <w:color w:val="auto"/>
          <w:kern w:val="0"/>
          <w:sz w:val="21"/>
          <w:szCs w:val="21"/>
        </w:rPr>
        <w:t>天后发包人仍不纠正其违约行为并致使合同目的不能实现的，承包人有权解除合同。</w:t>
      </w:r>
    </w:p>
    <w:p w14:paraId="5C5618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 承包人违约</w:t>
      </w:r>
    </w:p>
    <w:p w14:paraId="12673E6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16.2.1承包人违约的情形</w:t>
      </w:r>
    </w:p>
    <w:p w14:paraId="2416AA2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承包人违约的其他情形：</w:t>
      </w:r>
    </w:p>
    <w:p w14:paraId="0EE4C35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w:t>
      </w:r>
      <w:r>
        <w:rPr>
          <w:rFonts w:hint="eastAsia" w:ascii="宋体" w:hAnsi="宋体" w:eastAsia="宋体" w:cs="宋体"/>
          <w:color w:val="auto"/>
          <w:sz w:val="21"/>
          <w:szCs w:val="21"/>
          <w:u w:val="single"/>
        </w:rPr>
        <w:t>机械设备、施工项目班子未按投标承诺及时到位；</w:t>
      </w:r>
    </w:p>
    <w:p w14:paraId="202B68E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）本工程在实施过程中，承包人的施工队伍素质、施工力量、现场安全文明施工不符合投标书的承诺，造成现场管理混乱、工程质量和进度达不到投标所承诺的要求；</w:t>
      </w:r>
    </w:p>
    <w:p w14:paraId="451ED7F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）承包人允许其他人挂靠经营、私自转包</w:t>
      </w:r>
      <w:r>
        <w:rPr>
          <w:rFonts w:hint="eastAsia" w:ascii="宋体" w:hAnsi="宋体" w:eastAsia="宋体" w:cs="宋体"/>
          <w:color w:val="auto"/>
          <w:kern w:val="0"/>
          <w:sz w:val="21"/>
          <w:szCs w:val="21"/>
        </w:rPr>
        <w:t>；</w:t>
      </w:r>
    </w:p>
    <w:p w14:paraId="40A64AE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u w:val="single"/>
        </w:rPr>
        <w:t>）承包人未达到投标时所承诺的诚信与技术标准。</w:t>
      </w:r>
    </w:p>
    <w:p w14:paraId="62440C5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16.2.2承包人违约的责任</w:t>
      </w:r>
    </w:p>
    <w:p w14:paraId="361D3A1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承包人违约责任的承担方式和计算方法：</w:t>
      </w:r>
    </w:p>
    <w:p w14:paraId="1E8E1D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机械设备未按投标承诺到位，每项扣除履约担保金2%；</w:t>
      </w:r>
    </w:p>
    <w:p w14:paraId="048B221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（2）</w:t>
      </w:r>
      <w:r>
        <w:rPr>
          <w:rFonts w:hint="eastAsia" w:ascii="宋体" w:hAnsi="宋体" w:eastAsia="宋体" w:cs="宋体"/>
          <w:color w:val="auto"/>
          <w:sz w:val="21"/>
          <w:szCs w:val="21"/>
          <w:u w:val="single"/>
        </w:rPr>
        <w:t>现场安全文明施工不符合投标书承诺，扣减相应安全文明施工费用；</w:t>
      </w:r>
      <w:r>
        <w:rPr>
          <w:rFonts w:hint="eastAsia" w:ascii="宋体" w:hAnsi="宋体" w:eastAsia="宋体" w:cs="宋体"/>
          <w:color w:val="auto"/>
          <w:kern w:val="0"/>
          <w:sz w:val="21"/>
          <w:szCs w:val="21"/>
          <w:u w:val="single"/>
        </w:rPr>
        <w:t>承包人原因造成现场管理混乱、</w:t>
      </w:r>
      <w:r>
        <w:rPr>
          <w:rFonts w:hint="eastAsia" w:ascii="宋体" w:hAnsi="宋体" w:eastAsia="宋体" w:cs="宋体"/>
          <w:color w:val="auto"/>
          <w:sz w:val="21"/>
          <w:szCs w:val="21"/>
          <w:u w:val="single"/>
        </w:rPr>
        <w:t>工程质量和进度达不到投标承诺的要求，发包人有权要求承包人调整充实施工力量、更换项目班子，及至解除施工合同，所有履约担保金不予退还，并赔偿发包人损失。</w:t>
      </w:r>
    </w:p>
    <w:p w14:paraId="043AD7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（3）</w:t>
      </w:r>
      <w:r>
        <w:rPr>
          <w:rFonts w:hint="eastAsia" w:ascii="宋体" w:hAnsi="宋体" w:eastAsia="宋体" w:cs="宋体"/>
          <w:color w:val="auto"/>
          <w:sz w:val="21"/>
          <w:szCs w:val="21"/>
          <w:u w:val="single"/>
        </w:rPr>
        <w:t>发现承包人允许其他人挂靠经营、私自转包，所有履约担保归发包人，同时赔偿发包人损失，并责令退出工地。</w:t>
      </w:r>
    </w:p>
    <w:p w14:paraId="73DE035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sz w:val="21"/>
          <w:szCs w:val="21"/>
          <w:u w:val="single"/>
        </w:rPr>
        <w:t>未达到投标所承诺的诚信、技术标准及创优、创标化工程目标，按每一项扣减履约担保金的10%。</w:t>
      </w:r>
    </w:p>
    <w:p w14:paraId="7FF5F07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（5）</w:t>
      </w:r>
      <w:r>
        <w:rPr>
          <w:rFonts w:hint="eastAsia" w:ascii="宋体" w:hAnsi="宋体" w:eastAsia="宋体" w:cs="宋体"/>
          <w:color w:val="auto"/>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2F9C8BD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rPr>
        <w:t>（6）</w:t>
      </w:r>
      <w:r>
        <w:rPr>
          <w:rFonts w:hint="eastAsia" w:ascii="宋体" w:hAnsi="宋体" w:eastAsia="宋体" w:cs="宋体"/>
          <w:color w:val="auto"/>
          <w:sz w:val="21"/>
          <w:szCs w:val="21"/>
          <w:u w:val="single"/>
        </w:rPr>
        <w:t>承包人无法继续履行、明确表示不履行或实质上已停止履行合同，发包人可通知承包人全部解除合同，所有履约担保不予退还，同时赔偿发包人损失。</w:t>
      </w:r>
    </w:p>
    <w:p w14:paraId="5D23127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16.2.3因承包人违约解除合同</w:t>
      </w:r>
    </w:p>
    <w:p w14:paraId="39D242DE">
      <w:pPr>
        <w:autoSpaceDE w:val="0"/>
        <w:autoSpaceDN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关于承包人违约解除合同的特别约定：</w:t>
      </w:r>
      <w:r>
        <w:rPr>
          <w:rFonts w:hint="eastAsia" w:ascii="宋体" w:hAnsi="宋体" w:eastAsia="宋体" w:cs="宋体"/>
          <w:color w:val="auto"/>
          <w:kern w:val="0"/>
          <w:sz w:val="21"/>
          <w:szCs w:val="21"/>
          <w:u w:val="single"/>
        </w:rPr>
        <w:t xml:space="preserve"> 因承包人原因造成本合同无法履行时，发包人有权解除或终止本合同，承包人的履约保证金不予退还，由此造成的各项损失均由承包人承担。</w:t>
      </w:r>
    </w:p>
    <w:p w14:paraId="6ACF42C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rPr>
        <w:t>。</w:t>
      </w:r>
    </w:p>
    <w:p w14:paraId="075D6CC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16.2.4因承包人违约解除合同后的处理</w:t>
      </w:r>
    </w:p>
    <w:p w14:paraId="6E48F3B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17．不可抗力</w:t>
      </w:r>
    </w:p>
    <w:p w14:paraId="264185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17.1 不可抗力的确认</w:t>
      </w:r>
    </w:p>
    <w:p w14:paraId="5741E6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除通用合同条款约定的不可抗力事件之外，视为不可抗力的其他情形：</w:t>
      </w:r>
      <w:r>
        <w:rPr>
          <w:rFonts w:hint="eastAsia" w:ascii="宋体" w:hAnsi="宋体" w:eastAsia="宋体" w:cs="宋体"/>
          <w:color w:val="auto"/>
          <w:kern w:val="0"/>
          <w:sz w:val="21"/>
          <w:szCs w:val="21"/>
          <w:u w:val="single"/>
        </w:rPr>
        <w:t xml:space="preserve"> 10级（不含10级）以上台风、10年一遇洪水、暴风雪、干旱，罢工、政府禁令</w:t>
      </w:r>
      <w:r>
        <w:rPr>
          <w:rFonts w:hint="eastAsia" w:ascii="宋体" w:hAnsi="宋体" w:eastAsia="宋体" w:cs="宋体"/>
          <w:color w:val="auto"/>
          <w:kern w:val="0"/>
          <w:sz w:val="21"/>
          <w:szCs w:val="21"/>
        </w:rPr>
        <w:t>。</w:t>
      </w:r>
    </w:p>
    <w:p w14:paraId="1B1184A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 不可抗力的通知</w:t>
      </w:r>
    </w:p>
    <w:p w14:paraId="03CB23B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C009F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17.3 不可抗力后果的承担</w:t>
      </w:r>
    </w:p>
    <w:p w14:paraId="31F9063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w:t>
      </w:r>
    </w:p>
    <w:p w14:paraId="12BC67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17.4 因不可抗力解除合同</w:t>
      </w:r>
    </w:p>
    <w:p w14:paraId="1E25D3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60  </w:t>
      </w:r>
      <w:r>
        <w:rPr>
          <w:rFonts w:hint="eastAsia" w:ascii="宋体" w:hAnsi="宋体" w:eastAsia="宋体" w:cs="宋体"/>
          <w:color w:val="auto"/>
          <w:sz w:val="21"/>
          <w:szCs w:val="21"/>
        </w:rPr>
        <w:t>天内完成款项的支付。</w:t>
      </w:r>
    </w:p>
    <w:p w14:paraId="0DBDF96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18．保险</w:t>
      </w:r>
    </w:p>
    <w:p w14:paraId="2D4B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18.1 工程保险</w:t>
      </w:r>
    </w:p>
    <w:p w14:paraId="255A5E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596748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18.3 其他保险</w:t>
      </w:r>
    </w:p>
    <w:p w14:paraId="451B9E3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rPr>
        <w:t>。</w:t>
      </w:r>
    </w:p>
    <w:p w14:paraId="6E9896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69C95D3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18.7 通知义务</w:t>
      </w:r>
    </w:p>
    <w:p w14:paraId="46D5094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关于变更保险合同时的通知义务的约定：</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29680A7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20．争议解决</w:t>
      </w:r>
    </w:p>
    <w:p w14:paraId="6FF8DD6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 争议评审</w:t>
      </w:r>
    </w:p>
    <w:p w14:paraId="67BA7E9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6BF6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20.3.1争议评审小组的确定</w:t>
      </w:r>
    </w:p>
    <w:p w14:paraId="733CF4F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提交争议评审时再选定 </w:t>
      </w:r>
      <w:r>
        <w:rPr>
          <w:rFonts w:hint="eastAsia" w:ascii="宋体" w:hAnsi="宋体" w:eastAsia="宋体" w:cs="宋体"/>
          <w:color w:val="auto"/>
          <w:sz w:val="21"/>
          <w:szCs w:val="21"/>
        </w:rPr>
        <w:t>。</w:t>
      </w:r>
    </w:p>
    <w:p w14:paraId="11A3A18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A638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A2FD0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32501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20.3.2争议评审小组的决定</w:t>
      </w:r>
    </w:p>
    <w:p w14:paraId="24C9201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按通用条款。</w:t>
      </w:r>
    </w:p>
    <w:p w14:paraId="1B931E8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20.3.3争议评审小组决定的效力：</w:t>
      </w:r>
      <w:r>
        <w:rPr>
          <w:rFonts w:hint="eastAsia" w:ascii="宋体" w:hAnsi="宋体" w:eastAsia="宋体" w:cs="宋体"/>
          <w:color w:val="auto"/>
          <w:sz w:val="21"/>
          <w:szCs w:val="21"/>
          <w:u w:val="single"/>
        </w:rPr>
        <w:t>按通用条款执行。</w:t>
      </w:r>
    </w:p>
    <w:p w14:paraId="5CA441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20.4 仲裁或诉讼</w:t>
      </w:r>
    </w:p>
    <w:p w14:paraId="6D204D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种方式解决：</w:t>
      </w:r>
    </w:p>
    <w:p w14:paraId="14C6C0F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台州</w:t>
      </w:r>
      <w:r>
        <w:rPr>
          <w:rFonts w:hint="eastAsia" w:ascii="宋体" w:hAnsi="宋体" w:eastAsia="宋体" w:cs="宋体"/>
          <w:color w:val="auto"/>
          <w:sz w:val="21"/>
          <w:szCs w:val="21"/>
        </w:rPr>
        <w:t>仲裁委员会申请仲裁；</w:t>
      </w:r>
    </w:p>
    <w:p w14:paraId="6265005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工程所在地  </w:t>
      </w:r>
      <w:r>
        <w:rPr>
          <w:rFonts w:hint="eastAsia" w:ascii="宋体" w:hAnsi="宋体" w:eastAsia="宋体" w:cs="宋体"/>
          <w:color w:val="auto"/>
          <w:sz w:val="21"/>
          <w:szCs w:val="21"/>
        </w:rPr>
        <w:t>人民法院起诉。</w:t>
      </w:r>
    </w:p>
    <w:p w14:paraId="7AADCEB1">
      <w:pPr>
        <w:spacing w:line="400" w:lineRule="exact"/>
        <w:ind w:firstLine="412" w:firstLineChars="200"/>
        <w:rPr>
          <w:rFonts w:ascii="宋体" w:hAnsi="宋体" w:eastAsia="宋体" w:cs="宋体"/>
          <w:color w:val="auto"/>
          <w:sz w:val="21"/>
          <w:szCs w:val="21"/>
        </w:rPr>
      </w:pPr>
    </w:p>
    <w:p w14:paraId="5CE82C3A">
      <w:pPr>
        <w:spacing w:line="400" w:lineRule="exact"/>
        <w:ind w:firstLine="412" w:firstLineChars="200"/>
        <w:rPr>
          <w:rFonts w:ascii="宋体" w:hAnsi="宋体" w:eastAsia="宋体" w:cs="宋体"/>
          <w:color w:val="auto"/>
          <w:sz w:val="21"/>
          <w:szCs w:val="21"/>
        </w:rPr>
      </w:pPr>
    </w:p>
    <w:p w14:paraId="5641B4A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638EA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E815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2D1559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委托代理人（签字）：                     委托代理人（签字）：</w:t>
      </w:r>
    </w:p>
    <w:p w14:paraId="2E98407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br w:type="page"/>
      </w:r>
    </w:p>
    <w:p w14:paraId="3A74DAE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w:t>
      </w:r>
    </w:p>
    <w:p w14:paraId="053B20F3">
      <w:pPr>
        <w:spacing w:line="400" w:lineRule="exact"/>
        <w:rPr>
          <w:rFonts w:ascii="宋体" w:hAnsi="宋体" w:eastAsia="宋体" w:cs="宋体"/>
          <w:color w:val="auto"/>
          <w:sz w:val="21"/>
          <w:szCs w:val="21"/>
        </w:rPr>
      </w:pPr>
    </w:p>
    <w:p w14:paraId="617882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协议书附件：</w:t>
      </w:r>
    </w:p>
    <w:p w14:paraId="299CE5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附件1：承包人承揽工程项目一览表（略）</w:t>
      </w:r>
    </w:p>
    <w:p w14:paraId="74091A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专用合同条款附件：</w:t>
      </w:r>
    </w:p>
    <w:p w14:paraId="6F98169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附件2：发包人供应材料设备一览表（略）</w:t>
      </w:r>
    </w:p>
    <w:p w14:paraId="213BE9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5CAA94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附件4：主要建设工程文件目录（略）</w:t>
      </w:r>
    </w:p>
    <w:p w14:paraId="14D991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附件5：承包人用于本工程施工的机械设备表（略）</w:t>
      </w:r>
    </w:p>
    <w:p w14:paraId="516FA90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附件6：承包人主要施工管理人员表（略）</w:t>
      </w:r>
    </w:p>
    <w:p w14:paraId="776F24E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附件7：分包人主要施工管理人员表（略）</w:t>
      </w:r>
    </w:p>
    <w:p w14:paraId="0B9756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附件8：履约担保格式（略）</w:t>
      </w:r>
    </w:p>
    <w:p w14:paraId="54858E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附件9：预付款担保格式（略）</w:t>
      </w:r>
    </w:p>
    <w:p w14:paraId="6E104C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附件10：支付担保格式（略）</w:t>
      </w:r>
    </w:p>
    <w:p w14:paraId="3D24AA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附件11：暂估价一览表（略）</w:t>
      </w:r>
    </w:p>
    <w:p w14:paraId="4330310F">
      <w:pPr>
        <w:pStyle w:val="30"/>
        <w:rPr>
          <w:color w:val="auto"/>
        </w:rPr>
      </w:pPr>
      <w:r>
        <w:rPr>
          <w:rFonts w:hint="eastAsia" w:ascii="宋体" w:hAnsi="宋体" w:cs="宋体"/>
          <w:color w:val="auto"/>
          <w:sz w:val="21"/>
          <w:szCs w:val="21"/>
        </w:rPr>
        <w:t xml:space="preserve">    </w:t>
      </w:r>
    </w:p>
    <w:p w14:paraId="6E3EBD67">
      <w:pPr>
        <w:spacing w:line="400" w:lineRule="exact"/>
        <w:rPr>
          <w:rFonts w:ascii="宋体" w:hAnsi="宋体" w:eastAsia="宋体" w:cs="宋体"/>
          <w:color w:val="auto"/>
          <w:sz w:val="21"/>
          <w:szCs w:val="21"/>
        </w:rPr>
      </w:pPr>
    </w:p>
    <w:p w14:paraId="57BB2EFD">
      <w:pPr>
        <w:spacing w:line="400" w:lineRule="exact"/>
        <w:rPr>
          <w:rFonts w:ascii="宋体" w:hAnsi="宋体" w:eastAsia="宋体" w:cs="宋体"/>
          <w:color w:val="auto"/>
          <w:sz w:val="21"/>
          <w:szCs w:val="21"/>
        </w:rPr>
      </w:pPr>
    </w:p>
    <w:p w14:paraId="31CF5ADE">
      <w:pPr>
        <w:spacing w:line="400" w:lineRule="exact"/>
        <w:rPr>
          <w:rFonts w:ascii="宋体" w:hAnsi="宋体" w:eastAsia="宋体" w:cs="宋体"/>
          <w:color w:val="auto"/>
          <w:sz w:val="21"/>
          <w:szCs w:val="21"/>
        </w:rPr>
        <w:sectPr>
          <w:footerReference r:id="rId11" w:type="default"/>
          <w:headerReference r:id="rId10" w:type="even"/>
          <w:footerReference r:id="rId12" w:type="even"/>
          <w:pgSz w:w="11907" w:h="16840"/>
          <w:pgMar w:top="1247" w:right="1531" w:bottom="1247" w:left="1531" w:header="851" w:footer="1559" w:gutter="0"/>
          <w:cols w:space="720" w:num="1"/>
          <w:docGrid w:type="linesAndChars" w:linePitch="586" w:charSpace="-842"/>
        </w:sectPr>
      </w:pPr>
    </w:p>
    <w:p w14:paraId="7117DC9E">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附件3</w:t>
      </w:r>
    </w:p>
    <w:p w14:paraId="720ED07D">
      <w:pPr>
        <w:spacing w:line="400" w:lineRule="exact"/>
        <w:jc w:val="center"/>
        <w:rPr>
          <w:rFonts w:ascii="宋体" w:hAnsi="宋体" w:eastAsia="宋体" w:cs="宋体"/>
          <w:b/>
          <w:bCs/>
          <w:color w:val="auto"/>
          <w:sz w:val="21"/>
          <w:szCs w:val="21"/>
        </w:rPr>
      </w:pPr>
      <w:r>
        <w:rPr>
          <w:rFonts w:hint="eastAsia" w:ascii="宋体" w:hAnsi="宋体" w:eastAsia="宋体" w:cs="宋体"/>
          <w:b/>
          <w:bCs/>
          <w:color w:val="auto"/>
          <w:sz w:val="21"/>
          <w:szCs w:val="21"/>
        </w:rPr>
        <w:t>工程质量保修书</w:t>
      </w:r>
    </w:p>
    <w:p w14:paraId="3D4A90EF">
      <w:pPr>
        <w:spacing w:line="400" w:lineRule="exact"/>
        <w:rPr>
          <w:rFonts w:ascii="宋体" w:hAnsi="宋体" w:eastAsia="宋体" w:cs="宋体"/>
          <w:color w:val="auto"/>
          <w:sz w:val="21"/>
          <w:szCs w:val="21"/>
        </w:rPr>
      </w:pPr>
    </w:p>
    <w:p w14:paraId="16502274">
      <w:pPr>
        <w:spacing w:line="4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lang w:eastAsia="zh-CN"/>
        </w:rPr>
        <w:t>临海市第六中学</w:t>
      </w:r>
    </w:p>
    <w:p w14:paraId="38E2F694">
      <w:pPr>
        <w:spacing w:line="400" w:lineRule="exact"/>
        <w:rPr>
          <w:rFonts w:ascii="宋体" w:hAnsi="宋体" w:eastAsia="宋体" w:cs="宋体"/>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39A0657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发包人和承包人根据《中华人民共和国建筑法》和《建设工程质量管理条例》，经协商一致就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临海市第六中学心理辅导站及污水管道改造工程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（工程全称）签订工程质量保修书。</w:t>
      </w:r>
    </w:p>
    <w:p w14:paraId="03921E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一、工程质量保修范围和内容</w:t>
      </w:r>
    </w:p>
    <w:p w14:paraId="049337D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承包人在质量保修期内，按照有关法律规定和合同约定，承担工程质量保修责任。</w:t>
      </w:r>
    </w:p>
    <w:p w14:paraId="0B9027D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具体保修的内容，双方约定如下：</w:t>
      </w:r>
      <w:r>
        <w:rPr>
          <w:rFonts w:hint="eastAsia" w:ascii="宋体" w:hAnsi="宋体" w:eastAsia="宋体" w:cs="宋体"/>
          <w:color w:val="auto"/>
          <w:sz w:val="21"/>
          <w:szCs w:val="21"/>
          <w:u w:val="single"/>
        </w:rPr>
        <w:t>本工程合同范围内的所有工程</w:t>
      </w:r>
      <w:r>
        <w:rPr>
          <w:rFonts w:hint="eastAsia" w:ascii="宋体" w:hAnsi="宋体" w:eastAsia="宋体" w:cs="宋体"/>
          <w:color w:val="auto"/>
          <w:sz w:val="21"/>
          <w:szCs w:val="21"/>
        </w:rPr>
        <w:t>。</w:t>
      </w:r>
    </w:p>
    <w:p w14:paraId="6E789471">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二、质量保修期</w:t>
      </w:r>
    </w:p>
    <w:p w14:paraId="1CA544E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根据《建设工程质量管理条例》及有关规定，工程的质量保修期如下：</w:t>
      </w:r>
    </w:p>
    <w:p w14:paraId="2C702BF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1．地基基础工程和主体结构工程为设计文件规定的工程合理使用年限；</w:t>
      </w:r>
    </w:p>
    <w:p w14:paraId="0D03659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年；</w:t>
      </w:r>
    </w:p>
    <w:p w14:paraId="75B63A9F">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3．装修工程为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1F27C43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4．电气管线、给排水管道、设备安装工程为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77CA043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个采暖期、供冷期；</w:t>
      </w:r>
    </w:p>
    <w:p w14:paraId="61ABE99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007ECF3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7．其他项目保修期限约定如下：</w:t>
      </w:r>
      <w:r>
        <w:rPr>
          <w:rFonts w:hint="eastAsia" w:ascii="宋体" w:hAnsi="宋体" w:eastAsia="宋体" w:cs="宋体"/>
          <w:color w:val="auto"/>
          <w:sz w:val="21"/>
          <w:szCs w:val="21"/>
          <w:u w:val="single"/>
        </w:rPr>
        <w:t>除1-6之外的本工程约定质量保修期为</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rPr>
        <w:t>。</w:t>
      </w:r>
    </w:p>
    <w:p w14:paraId="39D03CC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质量保修期自工程竣工验收合格之日起计算。</w:t>
      </w:r>
    </w:p>
    <w:p w14:paraId="563461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三、缺陷责任期</w:t>
      </w:r>
    </w:p>
    <w:p w14:paraId="40D414E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工程缺陷责任期为</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rPr>
        <w:t>个月，缺陷责任期自工程竣工验收合格之日起计算。单位工程先于全部工程进行验收，单位工程缺陷责任期自单位工程验收合格之日起算。</w:t>
      </w:r>
    </w:p>
    <w:p w14:paraId="2C22F9F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四、质量保修责任</w:t>
      </w:r>
    </w:p>
    <w:p w14:paraId="1D63168C">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1．属于保修范围、内容的项目，承包人应当在接到保修通知后4小时内响应，7天内派人保修。承包人不在约定期限内派人保修的，发包人可以委托他人修理。</w:t>
      </w:r>
    </w:p>
    <w:p w14:paraId="33CDDDE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2．发生紧急事故需抢修的，承包人在接到事故通知后，应当立即到达事故现场抢修。</w:t>
      </w:r>
    </w:p>
    <w:p w14:paraId="3D7DDE22">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4F6AB2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4．质量保修完成后，由发包人组织验收。</w:t>
      </w:r>
    </w:p>
    <w:p w14:paraId="7FBDC2B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五、保修费用</w:t>
      </w:r>
    </w:p>
    <w:p w14:paraId="0ECD6DF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保修费用由造成质量缺陷的责任方承担。</w:t>
      </w:r>
    </w:p>
    <w:p w14:paraId="215071F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六、双方约定的其他工程质量保修事项：</w:t>
      </w:r>
      <w:r>
        <w:rPr>
          <w:rFonts w:hint="eastAsia" w:ascii="宋体" w:hAnsi="宋体" w:eastAsia="宋体" w:cs="宋体"/>
          <w:color w:val="auto"/>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rPr>
        <w:t>。</w:t>
      </w:r>
    </w:p>
    <w:p w14:paraId="2F44BC4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工程质量保修书由发包人、承包人在工程竣工验收前共同签署，作为施工合同附件，其有效期限至保修期满。</w:t>
      </w:r>
    </w:p>
    <w:p w14:paraId="6A04DD3A">
      <w:pPr>
        <w:spacing w:line="400" w:lineRule="exact"/>
        <w:rPr>
          <w:rFonts w:ascii="宋体" w:hAnsi="宋体" w:eastAsia="宋体" w:cs="宋体"/>
          <w:color w:val="auto"/>
          <w:sz w:val="21"/>
          <w:szCs w:val="21"/>
        </w:rPr>
      </w:pPr>
    </w:p>
    <w:p w14:paraId="30729E9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28AFBCF9">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1D222A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624F8E8A">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或委托代理人（签字）：                      或委托代理人（签字）：</w:t>
      </w:r>
    </w:p>
    <w:p w14:paraId="01E9EB8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电  话：                                    电  话：</w:t>
      </w:r>
    </w:p>
    <w:p w14:paraId="197F9675">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传  真：                                    传  真：</w:t>
      </w:r>
    </w:p>
    <w:p w14:paraId="3472FDC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开户银行：                                  开户银行：</w:t>
      </w:r>
    </w:p>
    <w:p w14:paraId="51F537D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账  号：                                    账  号：</w:t>
      </w:r>
    </w:p>
    <w:p w14:paraId="0F5A97FD">
      <w:pPr>
        <w:spacing w:line="400" w:lineRule="exact"/>
        <w:rPr>
          <w:rFonts w:hint="eastAsia" w:ascii="宋体" w:hAnsi="宋体" w:eastAsia="宋体" w:cs="宋体"/>
          <w:color w:val="auto"/>
          <w:sz w:val="21"/>
          <w:szCs w:val="21"/>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rPr>
        <w:t>邮政编码：                                  邮政编码：</w:t>
      </w:r>
    </w:p>
    <w:bookmarkEnd w:id="129"/>
    <w:bookmarkEnd w:id="130"/>
    <w:bookmarkEnd w:id="131"/>
    <w:p w14:paraId="17537F61">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第五部分  工程建设项目廉政责任书</w:t>
      </w:r>
      <w:bookmarkEnd w:id="132"/>
      <w:bookmarkEnd w:id="133"/>
    </w:p>
    <w:p w14:paraId="13C646A8">
      <w:pPr>
        <w:pStyle w:val="8"/>
        <w:spacing w:line="400" w:lineRule="exact"/>
        <w:jc w:val="left"/>
        <w:rPr>
          <w:rFonts w:cs="宋体"/>
          <w:color w:val="auto"/>
          <w:szCs w:val="21"/>
        </w:rPr>
      </w:pPr>
    </w:p>
    <w:p w14:paraId="7187533D">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工程项目名称：</w:t>
      </w:r>
      <w:r>
        <w:rPr>
          <w:rFonts w:hint="eastAsia" w:cs="宋体"/>
          <w:color w:val="auto"/>
          <w:szCs w:val="21"/>
          <w:u w:val="single"/>
          <w:lang w:eastAsia="zh-CN"/>
        </w:rPr>
        <w:t>临海市第六中学心理辅导站及污水管道改造工程</w:t>
      </w:r>
    </w:p>
    <w:p w14:paraId="7E32F949">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工程项目地址：</w:t>
      </w:r>
      <w:r>
        <w:rPr>
          <w:rFonts w:hint="eastAsia" w:cs="宋体"/>
          <w:color w:val="auto"/>
          <w:szCs w:val="21"/>
          <w:u w:val="single"/>
          <w:lang w:val="en-US" w:eastAsia="zh-CN"/>
        </w:rPr>
        <w:t>临海市第六中学内</w:t>
      </w:r>
    </w:p>
    <w:p w14:paraId="7EF5A42C">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建设单位（甲方）：</w:t>
      </w:r>
      <w:r>
        <w:rPr>
          <w:rFonts w:hint="eastAsia" w:cs="宋体"/>
          <w:color w:val="auto"/>
          <w:szCs w:val="21"/>
          <w:u w:val="single"/>
          <w:lang w:eastAsia="zh-CN"/>
        </w:rPr>
        <w:t>临海市第六中学</w:t>
      </w:r>
    </w:p>
    <w:p w14:paraId="080A5494">
      <w:pPr>
        <w:pStyle w:val="8"/>
        <w:spacing w:line="400" w:lineRule="exact"/>
        <w:ind w:firstLine="420" w:firstLineChars="200"/>
        <w:jc w:val="left"/>
        <w:rPr>
          <w:rFonts w:cs="宋体"/>
          <w:color w:val="auto"/>
          <w:szCs w:val="21"/>
          <w:u w:val="single"/>
        </w:rPr>
      </w:pPr>
      <w:r>
        <w:rPr>
          <w:rFonts w:hint="eastAsia" w:cs="宋体"/>
          <w:color w:val="auto"/>
          <w:szCs w:val="21"/>
        </w:rPr>
        <w:t>施工单位（乙方）：</w:t>
      </w:r>
      <w:r>
        <w:rPr>
          <w:rFonts w:hint="eastAsia" w:cs="宋体"/>
          <w:color w:val="auto"/>
          <w:szCs w:val="21"/>
          <w:u w:val="single"/>
        </w:rPr>
        <w:t xml:space="preserve">                  </w:t>
      </w:r>
    </w:p>
    <w:p w14:paraId="33795B4C">
      <w:pPr>
        <w:pStyle w:val="8"/>
        <w:spacing w:line="400" w:lineRule="exact"/>
        <w:ind w:firstLine="420" w:firstLineChars="200"/>
        <w:jc w:val="left"/>
        <w:rPr>
          <w:rFonts w:cs="宋体"/>
          <w:color w:val="auto"/>
          <w:szCs w:val="21"/>
        </w:rPr>
      </w:pPr>
      <w:r>
        <w:rPr>
          <w:rFonts w:hint="eastAsia" w:cs="宋体"/>
          <w:color w:val="auto"/>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B56EAA8">
      <w:pPr>
        <w:pStyle w:val="8"/>
        <w:spacing w:line="400" w:lineRule="exact"/>
        <w:jc w:val="left"/>
        <w:rPr>
          <w:rFonts w:cs="宋体"/>
          <w:color w:val="auto"/>
          <w:szCs w:val="21"/>
        </w:rPr>
      </w:pPr>
      <w:r>
        <w:rPr>
          <w:rFonts w:hint="eastAsia" w:cs="宋体"/>
          <w:color w:val="auto"/>
          <w:szCs w:val="21"/>
        </w:rPr>
        <w:t>　　第一条 甲乙双方的责任</w:t>
      </w:r>
    </w:p>
    <w:p w14:paraId="054A9B4C">
      <w:pPr>
        <w:pStyle w:val="8"/>
        <w:spacing w:line="400" w:lineRule="exact"/>
        <w:jc w:val="left"/>
        <w:rPr>
          <w:rFonts w:cs="宋体"/>
          <w:color w:val="auto"/>
          <w:szCs w:val="21"/>
        </w:rPr>
      </w:pPr>
      <w:r>
        <w:rPr>
          <w:rFonts w:hint="eastAsia" w:cs="宋体"/>
          <w:color w:val="auto"/>
          <w:szCs w:val="21"/>
        </w:rPr>
        <w:t>　　（一）应严格遵守国家关于市场准入、项目招标投标、工程建设、施工安装和市场活动等有关法律、法规，相关政策，以及廉政建设的各项规定。</w:t>
      </w:r>
    </w:p>
    <w:p w14:paraId="39E30C9A">
      <w:pPr>
        <w:pStyle w:val="8"/>
        <w:spacing w:line="400" w:lineRule="exact"/>
        <w:jc w:val="left"/>
        <w:rPr>
          <w:rFonts w:cs="宋体"/>
          <w:color w:val="auto"/>
          <w:szCs w:val="21"/>
        </w:rPr>
      </w:pPr>
      <w:r>
        <w:rPr>
          <w:rFonts w:hint="eastAsia" w:cs="宋体"/>
          <w:color w:val="auto"/>
          <w:szCs w:val="21"/>
        </w:rPr>
        <w:t>　　（二）严格执行建设工程项目承发包合同文件，自觉按合同办事。</w:t>
      </w:r>
    </w:p>
    <w:p w14:paraId="1B89C133">
      <w:pPr>
        <w:pStyle w:val="8"/>
        <w:spacing w:line="400" w:lineRule="exact"/>
        <w:jc w:val="left"/>
        <w:rPr>
          <w:rFonts w:cs="宋体"/>
          <w:color w:val="auto"/>
          <w:szCs w:val="21"/>
        </w:rPr>
      </w:pPr>
      <w:r>
        <w:rPr>
          <w:rFonts w:hint="eastAsia" w:cs="宋体"/>
          <w:color w:val="auto"/>
          <w:szCs w:val="21"/>
        </w:rPr>
        <w:t>　　（三）业务活动必须坚持公开、公平、公正、诚信、透明的原则（除法律法规另有规定者外），不得为获取不正当的利益，损害国家、集体和对方利益，不得违反工程建设管理、施工安装的规章制度。</w:t>
      </w:r>
    </w:p>
    <w:p w14:paraId="4B31CB73">
      <w:pPr>
        <w:pStyle w:val="8"/>
        <w:spacing w:line="400" w:lineRule="exact"/>
        <w:jc w:val="left"/>
        <w:rPr>
          <w:rFonts w:cs="宋体"/>
          <w:color w:val="auto"/>
          <w:szCs w:val="21"/>
        </w:rPr>
      </w:pPr>
      <w:r>
        <w:rPr>
          <w:rFonts w:hint="eastAsia" w:cs="宋体"/>
          <w:color w:val="auto"/>
          <w:szCs w:val="21"/>
        </w:rPr>
        <w:t>　　（四）发现对方在业务活动中有违规、违纪、违法行为的，应及时提醒对方，情节严重的，应向其上级主管部门或纪检监察、司法等有关机关举报。</w:t>
      </w:r>
    </w:p>
    <w:p w14:paraId="4D954D17">
      <w:pPr>
        <w:pStyle w:val="8"/>
        <w:spacing w:line="400" w:lineRule="exact"/>
        <w:jc w:val="left"/>
        <w:rPr>
          <w:rFonts w:cs="宋体"/>
          <w:color w:val="auto"/>
          <w:szCs w:val="21"/>
        </w:rPr>
      </w:pPr>
      <w:r>
        <w:rPr>
          <w:rFonts w:hint="eastAsia" w:cs="宋体"/>
          <w:color w:val="auto"/>
          <w:szCs w:val="21"/>
        </w:rPr>
        <w:t>　　第二条 甲方的责任</w:t>
      </w:r>
    </w:p>
    <w:p w14:paraId="1B44D423">
      <w:pPr>
        <w:pStyle w:val="8"/>
        <w:spacing w:line="400" w:lineRule="exact"/>
        <w:jc w:val="left"/>
        <w:rPr>
          <w:rFonts w:cs="宋体"/>
          <w:color w:val="auto"/>
          <w:szCs w:val="21"/>
        </w:rPr>
      </w:pPr>
      <w:r>
        <w:rPr>
          <w:rFonts w:hint="eastAsia" w:cs="宋体"/>
          <w:color w:val="auto"/>
          <w:szCs w:val="21"/>
        </w:rPr>
        <w:t>　　甲方的领导和从事该建设工程项目的工作人员，在工程建设的事前、事中、事后应遵守以下规定：</w:t>
      </w:r>
    </w:p>
    <w:p w14:paraId="179BFDD4">
      <w:pPr>
        <w:pStyle w:val="8"/>
        <w:spacing w:line="400" w:lineRule="exact"/>
        <w:jc w:val="left"/>
        <w:rPr>
          <w:rFonts w:cs="宋体"/>
          <w:color w:val="auto"/>
          <w:szCs w:val="21"/>
        </w:rPr>
      </w:pPr>
      <w:r>
        <w:rPr>
          <w:rFonts w:hint="eastAsia" w:cs="宋体"/>
          <w:color w:val="auto"/>
          <w:szCs w:val="21"/>
        </w:rPr>
        <w:t>　　（一）不准向乙方和相关单位索要或接受回扣、礼金、有价证券、贵重物品和好处费、感谢费等。</w:t>
      </w:r>
    </w:p>
    <w:p w14:paraId="5A07E89C">
      <w:pPr>
        <w:pStyle w:val="8"/>
        <w:spacing w:line="400" w:lineRule="exact"/>
        <w:jc w:val="left"/>
        <w:rPr>
          <w:rFonts w:cs="宋体"/>
          <w:color w:val="auto"/>
          <w:szCs w:val="21"/>
        </w:rPr>
      </w:pPr>
      <w:r>
        <w:rPr>
          <w:rFonts w:hint="eastAsia" w:cs="宋体"/>
          <w:color w:val="auto"/>
          <w:szCs w:val="21"/>
        </w:rPr>
        <w:t>　　（二）不准在乙方和相关单位报销任何应由甲方或个人支付的费用。</w:t>
      </w:r>
    </w:p>
    <w:p w14:paraId="39CBB059">
      <w:pPr>
        <w:pStyle w:val="8"/>
        <w:spacing w:line="400" w:lineRule="exact"/>
        <w:jc w:val="left"/>
        <w:rPr>
          <w:rFonts w:cs="宋体"/>
          <w:color w:val="auto"/>
          <w:szCs w:val="21"/>
        </w:rPr>
      </w:pPr>
      <w:r>
        <w:rPr>
          <w:rFonts w:hint="eastAsia" w:cs="宋体"/>
          <w:color w:val="auto"/>
          <w:szCs w:val="21"/>
        </w:rPr>
        <w:t>　　（三）不准要求、暗示和接受乙方和相关单位为个人装修住房、婚丧嫁娶、配偶子女的工作安排以及出国（境）、旅游等提供方便。</w:t>
      </w:r>
    </w:p>
    <w:p w14:paraId="260A0D7C">
      <w:pPr>
        <w:pStyle w:val="8"/>
        <w:spacing w:line="400" w:lineRule="exact"/>
        <w:jc w:val="left"/>
        <w:rPr>
          <w:rFonts w:cs="宋体"/>
          <w:color w:val="auto"/>
          <w:szCs w:val="21"/>
        </w:rPr>
      </w:pPr>
      <w:r>
        <w:rPr>
          <w:rFonts w:hint="eastAsia" w:cs="宋体"/>
          <w:color w:val="auto"/>
          <w:szCs w:val="21"/>
        </w:rPr>
        <w:t>　　（四）不准参加有可能影响公正执行公务的乙方和相关单位的宴请和健身、娱乐等活动。</w:t>
      </w:r>
    </w:p>
    <w:p w14:paraId="38A1EE60">
      <w:pPr>
        <w:pStyle w:val="8"/>
        <w:spacing w:line="400" w:lineRule="exact"/>
        <w:jc w:val="left"/>
        <w:rPr>
          <w:rFonts w:cs="宋体"/>
          <w:color w:val="auto"/>
          <w:szCs w:val="21"/>
        </w:rPr>
      </w:pPr>
      <w:r>
        <w:rPr>
          <w:rFonts w:hint="eastAsia" w:cs="宋体"/>
          <w:color w:val="auto"/>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1FC49B7">
      <w:pPr>
        <w:pStyle w:val="8"/>
        <w:spacing w:line="400" w:lineRule="exact"/>
        <w:jc w:val="left"/>
        <w:rPr>
          <w:rFonts w:cs="宋体"/>
          <w:color w:val="auto"/>
          <w:szCs w:val="21"/>
        </w:rPr>
      </w:pPr>
      <w:r>
        <w:rPr>
          <w:rFonts w:hint="eastAsia" w:cs="宋体"/>
          <w:color w:val="auto"/>
          <w:szCs w:val="21"/>
        </w:rPr>
        <w:t>　　第三条 乙方的责任</w:t>
      </w:r>
    </w:p>
    <w:p w14:paraId="583318F6">
      <w:pPr>
        <w:pStyle w:val="8"/>
        <w:spacing w:line="400" w:lineRule="exact"/>
        <w:jc w:val="left"/>
        <w:rPr>
          <w:rFonts w:cs="宋体"/>
          <w:color w:val="auto"/>
          <w:szCs w:val="21"/>
        </w:rPr>
      </w:pPr>
      <w:r>
        <w:rPr>
          <w:rFonts w:hint="eastAsia" w:cs="宋体"/>
          <w:color w:val="auto"/>
          <w:szCs w:val="21"/>
        </w:rPr>
        <w:t>　　应与甲方保持正常的业务交往，按照有关法律法规和程序开展业务工作，严格执行工程建设的有关方针、政策，尤其是有关建筑施工安装的强制性标准和规范，并遵守以下规定：</w:t>
      </w:r>
    </w:p>
    <w:p w14:paraId="1B9FF527">
      <w:pPr>
        <w:pStyle w:val="8"/>
        <w:spacing w:line="400" w:lineRule="exact"/>
        <w:jc w:val="left"/>
        <w:rPr>
          <w:rFonts w:cs="宋体"/>
          <w:color w:val="auto"/>
          <w:szCs w:val="21"/>
        </w:rPr>
      </w:pPr>
      <w:r>
        <w:rPr>
          <w:rFonts w:hint="eastAsia" w:cs="宋体"/>
          <w:color w:val="auto"/>
          <w:szCs w:val="21"/>
        </w:rPr>
        <w:t>　　（一）不准以任何理由向甲方、相关单位及其工作人员索要、接受或赠送礼金、有价证券、贵重物品和回扣、好处费、感谢费等。</w:t>
      </w:r>
    </w:p>
    <w:p w14:paraId="3EB01026">
      <w:pPr>
        <w:pStyle w:val="8"/>
        <w:spacing w:line="400" w:lineRule="exact"/>
        <w:jc w:val="left"/>
        <w:rPr>
          <w:rFonts w:cs="宋体"/>
          <w:color w:val="auto"/>
          <w:szCs w:val="21"/>
        </w:rPr>
      </w:pPr>
      <w:r>
        <w:rPr>
          <w:rFonts w:hint="eastAsia" w:cs="宋体"/>
          <w:color w:val="auto"/>
          <w:szCs w:val="21"/>
        </w:rPr>
        <w:t>　　（二）不准以任何理由为甲方和相关单位报销应由对方或个人支付的费用。</w:t>
      </w:r>
    </w:p>
    <w:p w14:paraId="1C36F6AC">
      <w:pPr>
        <w:pStyle w:val="8"/>
        <w:spacing w:line="400" w:lineRule="exact"/>
        <w:jc w:val="left"/>
        <w:rPr>
          <w:rFonts w:cs="宋体"/>
          <w:color w:val="auto"/>
          <w:szCs w:val="21"/>
        </w:rPr>
      </w:pPr>
      <w:r>
        <w:rPr>
          <w:rFonts w:hint="eastAsia" w:cs="宋体"/>
          <w:color w:val="auto"/>
          <w:szCs w:val="21"/>
        </w:rPr>
        <w:t>　　（三）不准接受或暗示为甲方、相关单位或个人装修住房、婚丧嫁娶、配偶子女的工作安排以及出国（境）、旅游等提供方便。</w:t>
      </w:r>
    </w:p>
    <w:p w14:paraId="35E05A2A">
      <w:pPr>
        <w:pStyle w:val="8"/>
        <w:spacing w:line="400" w:lineRule="exact"/>
        <w:jc w:val="left"/>
        <w:rPr>
          <w:rFonts w:cs="宋体"/>
          <w:color w:val="auto"/>
          <w:szCs w:val="21"/>
        </w:rPr>
      </w:pPr>
      <w:r>
        <w:rPr>
          <w:rFonts w:hint="eastAsia" w:cs="宋体"/>
          <w:color w:val="auto"/>
          <w:szCs w:val="21"/>
        </w:rPr>
        <w:t>　　（四）不准以任何理由为甲方、相关单位或个人组织有可能影响公正执行公务的宴请、健身、娱乐等活动。</w:t>
      </w:r>
    </w:p>
    <w:p w14:paraId="7DA1C5A5">
      <w:pPr>
        <w:pStyle w:val="8"/>
        <w:spacing w:line="400" w:lineRule="exact"/>
        <w:jc w:val="left"/>
        <w:rPr>
          <w:rFonts w:cs="宋体"/>
          <w:color w:val="auto"/>
          <w:szCs w:val="21"/>
        </w:rPr>
      </w:pPr>
      <w:r>
        <w:rPr>
          <w:rFonts w:hint="eastAsia" w:cs="宋体"/>
          <w:color w:val="auto"/>
          <w:szCs w:val="21"/>
        </w:rPr>
        <w:t>　　第四条 违约责任</w:t>
      </w:r>
    </w:p>
    <w:p w14:paraId="501E1E9A">
      <w:pPr>
        <w:pStyle w:val="8"/>
        <w:spacing w:line="400" w:lineRule="exact"/>
        <w:jc w:val="left"/>
        <w:rPr>
          <w:rFonts w:cs="宋体"/>
          <w:color w:val="auto"/>
          <w:szCs w:val="21"/>
        </w:rPr>
      </w:pPr>
      <w:r>
        <w:rPr>
          <w:rFonts w:hint="eastAsia" w:cs="宋体"/>
          <w:color w:val="auto"/>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AE3499F">
      <w:pPr>
        <w:pStyle w:val="8"/>
        <w:spacing w:line="400" w:lineRule="exact"/>
        <w:jc w:val="left"/>
        <w:rPr>
          <w:rFonts w:cs="宋体"/>
          <w:color w:val="auto"/>
          <w:szCs w:val="21"/>
        </w:rPr>
      </w:pPr>
      <w:r>
        <w:rPr>
          <w:rFonts w:hint="eastAsia" w:cs="宋体"/>
          <w:color w:val="auto"/>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904D4C0">
      <w:pPr>
        <w:pStyle w:val="8"/>
        <w:spacing w:line="400" w:lineRule="exact"/>
        <w:jc w:val="left"/>
        <w:rPr>
          <w:rFonts w:cs="宋体"/>
          <w:color w:val="auto"/>
          <w:szCs w:val="21"/>
        </w:rPr>
      </w:pPr>
      <w:r>
        <w:rPr>
          <w:rFonts w:hint="eastAsia" w:cs="宋体"/>
          <w:color w:val="auto"/>
          <w:szCs w:val="21"/>
        </w:rPr>
        <w:t>　　第五条 本责任书作为工程合同的附件，与工程合同具有同等法律效力。经双方签署后立即生效。</w:t>
      </w:r>
    </w:p>
    <w:p w14:paraId="7993A004">
      <w:pPr>
        <w:pStyle w:val="8"/>
        <w:spacing w:line="400" w:lineRule="exact"/>
        <w:jc w:val="left"/>
        <w:rPr>
          <w:rFonts w:cs="宋体"/>
          <w:color w:val="auto"/>
          <w:szCs w:val="21"/>
        </w:rPr>
      </w:pPr>
      <w:r>
        <w:rPr>
          <w:rFonts w:hint="eastAsia" w:cs="宋体"/>
          <w:color w:val="auto"/>
          <w:szCs w:val="21"/>
        </w:rPr>
        <w:t>　　第六条 本责任书的有效期为双方签署之日起至该工程项目竣工验收合格时止。</w:t>
      </w:r>
    </w:p>
    <w:p w14:paraId="794FFB16">
      <w:pPr>
        <w:pStyle w:val="8"/>
        <w:spacing w:line="400" w:lineRule="exact"/>
        <w:jc w:val="left"/>
        <w:rPr>
          <w:rFonts w:cs="宋体"/>
          <w:color w:val="auto"/>
          <w:szCs w:val="21"/>
        </w:rPr>
      </w:pPr>
      <w:r>
        <w:rPr>
          <w:rFonts w:hint="eastAsia" w:cs="宋体"/>
          <w:color w:val="auto"/>
          <w:szCs w:val="21"/>
        </w:rPr>
        <w:t>　　第七条 本责任书一式八份。</w:t>
      </w:r>
    </w:p>
    <w:p w14:paraId="0DF378D3">
      <w:pPr>
        <w:pStyle w:val="8"/>
        <w:spacing w:line="400" w:lineRule="exact"/>
        <w:jc w:val="left"/>
        <w:rPr>
          <w:rFonts w:cs="宋体"/>
          <w:color w:val="auto"/>
          <w:szCs w:val="21"/>
        </w:rPr>
      </w:pPr>
    </w:p>
    <w:p w14:paraId="069B3484">
      <w:pPr>
        <w:pStyle w:val="8"/>
        <w:spacing w:line="400" w:lineRule="exact"/>
        <w:jc w:val="left"/>
        <w:rPr>
          <w:rFonts w:cs="宋体"/>
          <w:color w:val="auto"/>
          <w:szCs w:val="21"/>
        </w:rPr>
      </w:pPr>
    </w:p>
    <w:p w14:paraId="08161F09">
      <w:pPr>
        <w:pStyle w:val="8"/>
        <w:spacing w:line="400" w:lineRule="exact"/>
        <w:jc w:val="left"/>
        <w:rPr>
          <w:rFonts w:cs="宋体"/>
          <w:color w:val="auto"/>
          <w:szCs w:val="21"/>
        </w:rPr>
      </w:pPr>
    </w:p>
    <w:p w14:paraId="767B5FB1">
      <w:pPr>
        <w:pStyle w:val="8"/>
        <w:spacing w:line="400" w:lineRule="exact"/>
        <w:jc w:val="left"/>
        <w:rPr>
          <w:rFonts w:cs="宋体"/>
          <w:color w:val="auto"/>
          <w:szCs w:val="21"/>
        </w:rPr>
      </w:pPr>
      <w:r>
        <w:rPr>
          <w:rFonts w:hint="eastAsia" w:cs="宋体"/>
          <w:color w:val="auto"/>
          <w:szCs w:val="21"/>
        </w:rPr>
        <w:t xml:space="preserve">甲方单位（公章）：　　　　　　                          　乙方单位（公章）： </w:t>
      </w:r>
    </w:p>
    <w:p w14:paraId="4A2771A5">
      <w:pPr>
        <w:pStyle w:val="8"/>
        <w:spacing w:line="400" w:lineRule="exact"/>
        <w:jc w:val="left"/>
        <w:rPr>
          <w:rFonts w:cs="宋体"/>
          <w:color w:val="auto"/>
          <w:szCs w:val="21"/>
        </w:rPr>
      </w:pPr>
      <w:r>
        <w:rPr>
          <w:rFonts w:hint="eastAsia" w:cs="宋体"/>
          <w:color w:val="auto"/>
          <w:szCs w:val="21"/>
        </w:rPr>
        <w:t>法定代表人（签字）：　　　　                              法定代表人（签字）：</w:t>
      </w:r>
    </w:p>
    <w:p w14:paraId="67E5641B">
      <w:pPr>
        <w:pStyle w:val="8"/>
        <w:spacing w:line="400" w:lineRule="exact"/>
        <w:jc w:val="left"/>
        <w:rPr>
          <w:rFonts w:cs="宋体"/>
          <w:color w:val="auto"/>
          <w:szCs w:val="21"/>
        </w:rPr>
      </w:pPr>
      <w:r>
        <w:rPr>
          <w:rFonts w:hint="eastAsia" w:cs="宋体"/>
          <w:color w:val="auto"/>
          <w:szCs w:val="21"/>
        </w:rPr>
        <w:t>或委托代理人（签字）：                                    或委托代理人（签字）：</w:t>
      </w:r>
    </w:p>
    <w:p w14:paraId="7CA0CC16">
      <w:pPr>
        <w:pStyle w:val="8"/>
        <w:spacing w:line="400" w:lineRule="exact"/>
        <w:jc w:val="left"/>
        <w:rPr>
          <w:rFonts w:cs="宋体"/>
          <w:color w:val="auto"/>
          <w:szCs w:val="21"/>
        </w:rPr>
      </w:pPr>
      <w:r>
        <w:rPr>
          <w:rFonts w:hint="eastAsia" w:cs="宋体"/>
          <w:color w:val="auto"/>
          <w:szCs w:val="21"/>
        </w:rPr>
        <w:t>地址：　　　　　　　　　　　　　                          地址：</w:t>
      </w:r>
    </w:p>
    <w:p w14:paraId="79729FF2">
      <w:pPr>
        <w:pStyle w:val="8"/>
        <w:spacing w:line="400" w:lineRule="exact"/>
        <w:jc w:val="left"/>
        <w:rPr>
          <w:rFonts w:cs="宋体"/>
          <w:color w:val="auto"/>
          <w:szCs w:val="21"/>
        </w:rPr>
      </w:pPr>
      <w:r>
        <w:rPr>
          <w:rFonts w:hint="eastAsia" w:cs="宋体"/>
          <w:color w:val="auto"/>
          <w:szCs w:val="21"/>
        </w:rPr>
        <w:t>电话：　　　　　　　　　　　　　                          电话：</w:t>
      </w:r>
    </w:p>
    <w:p w14:paraId="5B499BB1">
      <w:pPr>
        <w:pStyle w:val="8"/>
        <w:spacing w:line="400" w:lineRule="exact"/>
        <w:ind w:firstLine="630" w:firstLineChars="300"/>
        <w:jc w:val="left"/>
        <w:rPr>
          <w:rFonts w:cs="宋体"/>
          <w:color w:val="auto"/>
          <w:szCs w:val="21"/>
        </w:rPr>
      </w:pPr>
      <w:r>
        <w:rPr>
          <w:rFonts w:hint="eastAsia" w:cs="宋体"/>
          <w:color w:val="auto"/>
          <w:szCs w:val="21"/>
        </w:rPr>
        <w:t>年　 月 　日　　　                                        年　 月　 日</w:t>
      </w:r>
    </w:p>
    <w:p w14:paraId="11FF96D9">
      <w:pPr>
        <w:rPr>
          <w:color w:val="auto"/>
        </w:rPr>
      </w:pPr>
    </w:p>
    <w:p w14:paraId="2D167C72">
      <w:pPr>
        <w:pStyle w:val="22"/>
        <w:rPr>
          <w:color w:val="auto"/>
        </w:rPr>
      </w:pPr>
    </w:p>
    <w:p w14:paraId="3EC0253F">
      <w:pPr>
        <w:rPr>
          <w:color w:val="auto"/>
        </w:rPr>
      </w:pPr>
    </w:p>
    <w:p w14:paraId="4E2A80F5">
      <w:pPr>
        <w:pStyle w:val="22"/>
        <w:rPr>
          <w:color w:val="auto"/>
        </w:rPr>
      </w:pPr>
    </w:p>
    <w:p w14:paraId="62D00A29">
      <w:pPr>
        <w:rPr>
          <w:color w:val="auto"/>
        </w:rPr>
      </w:pPr>
    </w:p>
    <w:p w14:paraId="7F2AC552">
      <w:pPr>
        <w:pStyle w:val="22"/>
        <w:rPr>
          <w:color w:val="auto"/>
        </w:rPr>
      </w:pPr>
    </w:p>
    <w:p w14:paraId="1003D03C">
      <w:pPr>
        <w:rPr>
          <w:color w:val="auto"/>
        </w:rPr>
      </w:pPr>
    </w:p>
    <w:bookmarkEnd w:id="123"/>
    <w:bookmarkEnd w:id="124"/>
    <w:bookmarkEnd w:id="125"/>
    <w:p w14:paraId="6D5C1C85">
      <w:pPr>
        <w:pStyle w:val="2"/>
        <w:spacing w:beforeLines="50" w:afterLines="50"/>
        <w:rPr>
          <w:color w:val="auto"/>
        </w:rPr>
      </w:pPr>
      <w:bookmarkStart w:id="134" w:name="_Toc386121758"/>
      <w:bookmarkStart w:id="135" w:name="_Toc9900"/>
      <w:bookmarkStart w:id="136" w:name="_Toc21472"/>
      <w:bookmarkStart w:id="137" w:name="_Toc386121569"/>
      <w:bookmarkStart w:id="138" w:name="_Toc155342575"/>
      <w:bookmarkStart w:id="139" w:name="_Toc106012814"/>
    </w:p>
    <w:p w14:paraId="54863DD7">
      <w:pPr>
        <w:rPr>
          <w:color w:val="auto"/>
        </w:rPr>
      </w:pPr>
    </w:p>
    <w:p w14:paraId="10795EEA">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22E1394F">
      <w:pPr>
        <w:rPr>
          <w:color w:val="auto"/>
        </w:rPr>
      </w:pPr>
      <w:bookmarkStart w:id="140" w:name="_Toc169487825"/>
    </w:p>
    <w:p w14:paraId="3547E467">
      <w:pPr>
        <w:rPr>
          <w:color w:val="auto"/>
        </w:rPr>
      </w:pPr>
    </w:p>
    <w:p w14:paraId="51FBF89A">
      <w:pPr>
        <w:rPr>
          <w:color w:val="auto"/>
        </w:rPr>
      </w:pPr>
    </w:p>
    <w:p w14:paraId="5A2F184F">
      <w:pPr>
        <w:rPr>
          <w:color w:val="auto"/>
        </w:rPr>
      </w:pPr>
    </w:p>
    <w:p w14:paraId="52E5B6EA">
      <w:pPr>
        <w:rPr>
          <w:color w:val="auto"/>
        </w:rPr>
      </w:pPr>
    </w:p>
    <w:p w14:paraId="7BCB58E9">
      <w:pPr>
        <w:rPr>
          <w:color w:val="auto"/>
        </w:rPr>
      </w:pPr>
    </w:p>
    <w:p w14:paraId="46CB768C">
      <w:pPr>
        <w:rPr>
          <w:color w:val="auto"/>
        </w:rPr>
      </w:pPr>
    </w:p>
    <w:p w14:paraId="7C06F557">
      <w:pPr>
        <w:rPr>
          <w:color w:val="auto"/>
        </w:rPr>
      </w:pPr>
    </w:p>
    <w:p w14:paraId="726E1654">
      <w:pPr>
        <w:rPr>
          <w:color w:val="auto"/>
        </w:rPr>
      </w:pPr>
    </w:p>
    <w:p w14:paraId="49D14638">
      <w:pPr>
        <w:rPr>
          <w:color w:val="auto"/>
        </w:rPr>
      </w:pPr>
    </w:p>
    <w:p w14:paraId="04F63366">
      <w:pPr>
        <w:rPr>
          <w:color w:val="auto"/>
        </w:rPr>
      </w:pPr>
    </w:p>
    <w:p w14:paraId="72B6B997">
      <w:pPr>
        <w:rPr>
          <w:color w:val="auto"/>
        </w:rPr>
      </w:pPr>
    </w:p>
    <w:p w14:paraId="7FE89F7F">
      <w:pPr>
        <w:pStyle w:val="22"/>
        <w:rPr>
          <w:color w:val="auto"/>
        </w:rPr>
      </w:pPr>
    </w:p>
    <w:p w14:paraId="614B09B4">
      <w:pPr>
        <w:rPr>
          <w:color w:val="auto"/>
        </w:rPr>
      </w:pPr>
    </w:p>
    <w:p w14:paraId="50F16CD1">
      <w:pPr>
        <w:pStyle w:val="22"/>
        <w:rPr>
          <w:color w:val="auto"/>
        </w:rPr>
      </w:pPr>
    </w:p>
    <w:p w14:paraId="0372198A">
      <w:pPr>
        <w:rPr>
          <w:color w:val="auto"/>
        </w:rPr>
      </w:pPr>
    </w:p>
    <w:p w14:paraId="2AE55640">
      <w:pPr>
        <w:pStyle w:val="22"/>
        <w:rPr>
          <w:color w:val="auto"/>
        </w:rPr>
      </w:pPr>
    </w:p>
    <w:p w14:paraId="3BA1C269">
      <w:pPr>
        <w:rPr>
          <w:color w:val="auto"/>
        </w:rPr>
      </w:pPr>
    </w:p>
    <w:p w14:paraId="2D29B453">
      <w:pPr>
        <w:pStyle w:val="22"/>
        <w:rPr>
          <w:color w:val="auto"/>
        </w:rPr>
      </w:pPr>
    </w:p>
    <w:p w14:paraId="05B4AE19">
      <w:pPr>
        <w:rPr>
          <w:color w:val="auto"/>
        </w:rPr>
      </w:pPr>
    </w:p>
    <w:p w14:paraId="20F8B9E4">
      <w:pPr>
        <w:rPr>
          <w:color w:val="auto"/>
        </w:rPr>
      </w:pPr>
    </w:p>
    <w:p w14:paraId="2E29C110">
      <w:pPr>
        <w:rPr>
          <w:color w:val="auto"/>
        </w:rPr>
      </w:pPr>
    </w:p>
    <w:p w14:paraId="04D328F5">
      <w:pPr>
        <w:rPr>
          <w:color w:val="auto"/>
        </w:rPr>
      </w:pPr>
    </w:p>
    <w:p w14:paraId="4D720D0A">
      <w:pPr>
        <w:pStyle w:val="22"/>
        <w:rPr>
          <w:color w:val="auto"/>
        </w:rPr>
      </w:pPr>
    </w:p>
    <w:p w14:paraId="1A9FF6DC">
      <w:pPr>
        <w:rPr>
          <w:color w:val="auto"/>
        </w:rPr>
      </w:pPr>
    </w:p>
    <w:p w14:paraId="4A92FAFB">
      <w:pPr>
        <w:pStyle w:val="22"/>
        <w:rPr>
          <w:color w:val="auto"/>
        </w:rPr>
      </w:pPr>
    </w:p>
    <w:p w14:paraId="4AD114A5">
      <w:pPr>
        <w:rPr>
          <w:color w:val="auto"/>
        </w:rPr>
      </w:pPr>
    </w:p>
    <w:p w14:paraId="55C3E99F">
      <w:pPr>
        <w:pStyle w:val="22"/>
        <w:rPr>
          <w:color w:val="auto"/>
        </w:rPr>
      </w:pPr>
    </w:p>
    <w:p w14:paraId="401F073D">
      <w:pPr>
        <w:rPr>
          <w:color w:val="auto"/>
        </w:rPr>
      </w:pPr>
    </w:p>
    <w:p w14:paraId="691A1D56">
      <w:pPr>
        <w:pStyle w:val="22"/>
        <w:rPr>
          <w:color w:val="auto"/>
        </w:rPr>
      </w:pPr>
    </w:p>
    <w:p w14:paraId="2940CEFD">
      <w:pPr>
        <w:rPr>
          <w:color w:val="auto"/>
        </w:rPr>
      </w:pPr>
    </w:p>
    <w:p w14:paraId="4F9F8F76">
      <w:pPr>
        <w:pStyle w:val="3"/>
        <w:numPr>
          <w:ilvl w:val="0"/>
          <w:numId w:val="0"/>
        </w:numPr>
        <w:spacing w:before="0" w:afterLines="0" w:line="360" w:lineRule="exact"/>
        <w:jc w:val="both"/>
        <w:rPr>
          <w:b w:val="0"/>
          <w:color w:val="auto"/>
          <w:sz w:val="28"/>
          <w:szCs w:val="28"/>
        </w:rPr>
      </w:pPr>
      <w:bookmarkStart w:id="141" w:name="_Toc386121759"/>
      <w:bookmarkStart w:id="142" w:name="_Toc386122456"/>
      <w:bookmarkStart w:id="143" w:name="_Toc30668"/>
      <w:bookmarkStart w:id="144" w:name="_Toc30925"/>
      <w:r>
        <w:rPr>
          <w:rFonts w:hint="eastAsia"/>
          <w:b w:val="0"/>
          <w:color w:val="auto"/>
          <w:sz w:val="28"/>
          <w:szCs w:val="28"/>
        </w:rPr>
        <w:t>附件一：</w:t>
      </w:r>
      <w:bookmarkEnd w:id="140"/>
      <w:bookmarkEnd w:id="141"/>
      <w:bookmarkEnd w:id="142"/>
      <w:r>
        <w:rPr>
          <w:rFonts w:hint="eastAsia"/>
          <w:b w:val="0"/>
          <w:color w:val="auto"/>
          <w:sz w:val="28"/>
          <w:szCs w:val="28"/>
        </w:rPr>
        <w:t>投标函</w:t>
      </w:r>
      <w:bookmarkEnd w:id="143"/>
      <w:bookmarkEnd w:id="144"/>
    </w:p>
    <w:p w14:paraId="3DB5134E">
      <w:pPr>
        <w:rPr>
          <w:rFonts w:ascii="黑体" w:eastAsia="黑体"/>
          <w:color w:val="auto"/>
          <w:sz w:val="28"/>
          <w:szCs w:val="28"/>
        </w:rPr>
      </w:pPr>
    </w:p>
    <w:p w14:paraId="370A3475">
      <w:pPr>
        <w:jc w:val="center"/>
        <w:rPr>
          <w:rFonts w:hint="eastAsia" w:ascii="宋体" w:hAnsi="宋体" w:eastAsia="宋体"/>
          <w:color w:val="auto"/>
          <w:szCs w:val="18"/>
          <w:lang w:eastAsia="zh-CN"/>
        </w:rPr>
      </w:pPr>
      <w:r>
        <w:rPr>
          <w:rFonts w:hint="eastAsia" w:ascii="宋体" w:hAnsi="宋体" w:eastAsia="宋体"/>
          <w:color w:val="auto"/>
          <w:szCs w:val="18"/>
          <w:lang w:eastAsia="zh-CN"/>
        </w:rPr>
        <w:t>临海市第六中学心理辅导站及污水管道改造工程</w:t>
      </w:r>
    </w:p>
    <w:p w14:paraId="18A1B86F">
      <w:pPr>
        <w:jc w:val="center"/>
        <w:rPr>
          <w:rFonts w:ascii="宋体" w:hAnsi="宋体" w:eastAsia="宋体"/>
          <w:bCs/>
          <w:color w:val="auto"/>
          <w:szCs w:val="28"/>
          <w:u w:val="single"/>
        </w:rPr>
      </w:pPr>
      <w:r>
        <w:rPr>
          <w:rFonts w:hint="eastAsia" w:ascii="黑体" w:hAnsi="宋体" w:eastAsia="黑体"/>
          <w:b/>
          <w:color w:val="auto"/>
          <w:sz w:val="44"/>
        </w:rPr>
        <w:t>投 标 函</w:t>
      </w:r>
    </w:p>
    <w:p w14:paraId="569EBB39">
      <w:pPr>
        <w:pStyle w:val="19"/>
        <w:ind w:firstLine="0"/>
        <w:rPr>
          <w:rFonts w:ascii="宋体" w:hAnsi="宋体" w:eastAsia="宋体"/>
          <w:b/>
          <w:color w:val="auto"/>
          <w:sz w:val="24"/>
          <w:szCs w:val="24"/>
        </w:rPr>
      </w:pPr>
      <w:r>
        <w:rPr>
          <w:rFonts w:hint="eastAsia" w:ascii="宋体" w:hAnsi="宋体" w:eastAsia="宋体"/>
          <w:color w:val="auto"/>
          <w:sz w:val="24"/>
          <w:szCs w:val="24"/>
          <w:u w:val="single"/>
          <w:lang w:eastAsia="zh-CN"/>
        </w:rPr>
        <w:t>临海市第六中学</w:t>
      </w:r>
      <w:r>
        <w:rPr>
          <w:rFonts w:hint="eastAsia" w:ascii="宋体" w:hAnsi="宋体" w:eastAsia="宋体"/>
          <w:color w:val="auto"/>
          <w:sz w:val="24"/>
          <w:szCs w:val="24"/>
          <w:u w:val="single"/>
        </w:rPr>
        <w:t>（招标人）</w:t>
      </w:r>
      <w:r>
        <w:rPr>
          <w:rFonts w:hint="eastAsia" w:ascii="宋体" w:hAnsi="宋体" w:eastAsia="宋体"/>
          <w:bCs/>
          <w:color w:val="auto"/>
          <w:sz w:val="24"/>
          <w:szCs w:val="24"/>
        </w:rPr>
        <w:t>：</w:t>
      </w:r>
    </w:p>
    <w:p w14:paraId="0BF30314">
      <w:pPr>
        <w:tabs>
          <w:tab w:val="left" w:pos="0"/>
        </w:tabs>
        <w:ind w:firstLine="480" w:firstLineChars="200"/>
        <w:rPr>
          <w:rFonts w:ascii="宋体" w:hAnsi="宋体" w:eastAsia="宋体"/>
          <w:color w:val="auto"/>
          <w:sz w:val="24"/>
          <w:szCs w:val="24"/>
        </w:rPr>
      </w:pPr>
      <w:r>
        <w:rPr>
          <w:rFonts w:hint="eastAsia" w:ascii="宋体" w:hAnsi="宋体" w:eastAsia="宋体"/>
          <w:color w:val="auto"/>
          <w:sz w:val="24"/>
          <w:szCs w:val="24"/>
        </w:rPr>
        <w:t>一、根据你方的</w:t>
      </w:r>
      <w:r>
        <w:rPr>
          <w:rFonts w:hint="eastAsia" w:ascii="宋体" w:hAnsi="宋体" w:eastAsia="宋体"/>
          <w:color w:val="auto"/>
          <w:sz w:val="24"/>
          <w:szCs w:val="24"/>
          <w:u w:val="single"/>
          <w:lang w:eastAsia="zh-CN"/>
        </w:rPr>
        <w:t>临海市第六中学心理辅导站及污水管道改造工程</w:t>
      </w:r>
      <w:r>
        <w:rPr>
          <w:rFonts w:hint="eastAsia" w:ascii="宋体" w:hAnsi="宋体" w:eastAsia="宋体"/>
          <w:color w:val="auto"/>
          <w:sz w:val="24"/>
          <w:szCs w:val="24"/>
        </w:rPr>
        <w:t xml:space="preserve">（工程项目名称）招标文件，经考察现场和研究上述招标文件后，在全部同意招标文件内容前提下，我方保证： </w:t>
      </w:r>
    </w:p>
    <w:p w14:paraId="197FD38E">
      <w:pPr>
        <w:ind w:firstLine="585"/>
        <w:rPr>
          <w:rFonts w:hint="eastAsia"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sz w:val="24"/>
          <w:szCs w:val="24"/>
        </w:rPr>
        <w:t>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0ED82FCE">
      <w:pPr>
        <w:ind w:firstLine="585"/>
        <w:rPr>
          <w:rFonts w:ascii="宋体" w:hAnsi="宋体" w:eastAsia="宋体"/>
          <w:color w:val="auto"/>
          <w:sz w:val="24"/>
          <w:szCs w:val="24"/>
        </w:rPr>
      </w:pPr>
      <w:r>
        <w:rPr>
          <w:rFonts w:hint="eastAsia" w:ascii="宋体" w:hAnsi="宋体" w:eastAsia="宋体"/>
          <w:color w:val="auto"/>
          <w:sz w:val="24"/>
          <w:szCs w:val="24"/>
        </w:rPr>
        <w:t>2、工期：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天内竣工并移交整个工程；</w:t>
      </w:r>
    </w:p>
    <w:p w14:paraId="4043F14F">
      <w:pPr>
        <w:ind w:firstLine="585"/>
        <w:rPr>
          <w:rFonts w:ascii="宋体" w:hAnsi="宋体" w:eastAsia="宋体"/>
          <w:color w:val="auto"/>
          <w:sz w:val="24"/>
          <w:szCs w:val="24"/>
        </w:rPr>
      </w:pPr>
      <w:r>
        <w:rPr>
          <w:rFonts w:hint="eastAsia" w:ascii="宋体" w:hAnsi="宋体" w:eastAsia="宋体"/>
          <w:color w:val="auto"/>
          <w:sz w:val="24"/>
          <w:szCs w:val="24"/>
        </w:rPr>
        <w:t>3、工程质量等级：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w:t>
      </w:r>
    </w:p>
    <w:p w14:paraId="30610ECD">
      <w:pPr>
        <w:ind w:left="600"/>
        <w:rPr>
          <w:rFonts w:ascii="宋体" w:hAnsi="宋体" w:eastAsia="宋体"/>
          <w:color w:val="auto"/>
          <w:sz w:val="24"/>
          <w:szCs w:val="24"/>
        </w:rPr>
      </w:pPr>
      <w:r>
        <w:rPr>
          <w:rFonts w:hint="eastAsia" w:ascii="宋体" w:hAnsi="宋体" w:eastAsia="宋体"/>
          <w:color w:val="auto"/>
          <w:sz w:val="24"/>
          <w:szCs w:val="24"/>
        </w:rPr>
        <w:t>4、人员设备按本投标文件的部署及时到位。</w:t>
      </w:r>
    </w:p>
    <w:p w14:paraId="4104BE00">
      <w:pPr>
        <w:ind w:firstLine="585"/>
        <w:rPr>
          <w:rFonts w:ascii="宋体" w:hAnsi="宋体" w:eastAsia="宋体"/>
          <w:color w:val="auto"/>
          <w:sz w:val="24"/>
          <w:szCs w:val="24"/>
        </w:rPr>
      </w:pPr>
      <w:r>
        <w:rPr>
          <w:rFonts w:hint="eastAsia" w:ascii="宋体" w:hAnsi="宋体" w:eastAsia="宋体"/>
          <w:color w:val="auto"/>
          <w:sz w:val="24"/>
          <w:szCs w:val="24"/>
        </w:rPr>
        <w:t>二、如果我方中标，我方将按照招标文件规定提交履约担保，共同地和分别地承担责任。</w:t>
      </w:r>
    </w:p>
    <w:p w14:paraId="0483410B">
      <w:pPr>
        <w:ind w:firstLine="530" w:firstLineChars="221"/>
        <w:rPr>
          <w:rFonts w:ascii="宋体" w:hAnsi="宋体" w:eastAsia="宋体"/>
          <w:color w:val="auto"/>
          <w:sz w:val="24"/>
          <w:szCs w:val="24"/>
        </w:rPr>
      </w:pPr>
      <w:r>
        <w:rPr>
          <w:rFonts w:hint="eastAsia" w:ascii="宋体" w:hAnsi="宋体" w:eastAsia="宋体"/>
          <w:color w:val="auto"/>
          <w:sz w:val="24"/>
          <w:szCs w:val="24"/>
        </w:rPr>
        <w:t>三、除非另外达成协议并生效，你方的中标通知书和本投标文件将构成约束我们双方的合同。</w:t>
      </w:r>
    </w:p>
    <w:p w14:paraId="01C2B9D6">
      <w:pPr>
        <w:ind w:firstLine="530" w:firstLineChars="221"/>
        <w:rPr>
          <w:rFonts w:ascii="宋体" w:hAnsi="宋体" w:eastAsia="宋体"/>
          <w:color w:val="auto"/>
          <w:sz w:val="24"/>
          <w:szCs w:val="24"/>
        </w:rPr>
      </w:pPr>
      <w:r>
        <w:rPr>
          <w:rFonts w:hint="eastAsia" w:ascii="宋体" w:hAnsi="宋体" w:eastAsia="宋体"/>
          <w:color w:val="auto"/>
          <w:sz w:val="24"/>
          <w:szCs w:val="24"/>
        </w:rPr>
        <w:t>四、我方的投标担保已按招标文件的要求递交。</w:t>
      </w:r>
    </w:p>
    <w:p w14:paraId="4E217CA3">
      <w:pPr>
        <w:ind w:right="480" w:firstLine="480" w:firstLineChars="200"/>
        <w:rPr>
          <w:rFonts w:ascii="宋体" w:hAnsi="宋体" w:eastAsia="宋体"/>
          <w:color w:val="auto"/>
          <w:sz w:val="24"/>
          <w:szCs w:val="24"/>
        </w:rPr>
      </w:pPr>
      <w:r>
        <w:rPr>
          <w:rFonts w:hint="eastAsia" w:ascii="宋体" w:hAnsi="宋体" w:eastAsia="宋体"/>
          <w:color w:val="auto"/>
          <w:sz w:val="24"/>
          <w:szCs w:val="24"/>
        </w:rPr>
        <w:t>五、你方可通过下列人员对我方的商务标进行质询：</w:t>
      </w:r>
    </w:p>
    <w:p w14:paraId="53F4A830">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编制人（1）姓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ADCC281">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23C290A9">
      <w:pPr>
        <w:tabs>
          <w:tab w:val="left" w:pos="8610"/>
          <w:tab w:val="left" w:pos="8897"/>
        </w:tabs>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编制人（2）姓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C39DBD2">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6E44EEA5">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编制人（3）姓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1EF0A45C">
      <w:pPr>
        <w:ind w:firstLine="1728" w:firstLineChars="720"/>
        <w:rPr>
          <w:rFonts w:ascii="宋体" w:hAnsi="宋体" w:eastAsia="宋体"/>
          <w:color w:val="auto"/>
          <w:sz w:val="24"/>
          <w:szCs w:val="24"/>
          <w:u w:val="single"/>
        </w:rPr>
      </w:pPr>
      <w:r>
        <w:rPr>
          <w:rFonts w:hint="eastAsia" w:ascii="宋体" w:hAnsi="宋体" w:eastAsia="宋体"/>
          <w:color w:val="auto"/>
          <w:sz w:val="24"/>
          <w:szCs w:val="24"/>
        </w:rPr>
        <w:t xml:space="preserve"> 身份证号：</w:t>
      </w:r>
      <w:r>
        <w:rPr>
          <w:rFonts w:hint="eastAsia" w:ascii="宋体" w:hAnsi="宋体" w:eastAsia="宋体"/>
          <w:color w:val="auto"/>
          <w:sz w:val="24"/>
          <w:szCs w:val="24"/>
          <w:u w:val="single"/>
        </w:rPr>
        <w:t xml:space="preserve">                                              </w:t>
      </w:r>
    </w:p>
    <w:p w14:paraId="5E0AF4CC">
      <w:pPr>
        <w:ind w:right="480"/>
        <w:rPr>
          <w:rFonts w:ascii="宋体" w:hAnsi="宋体" w:eastAsia="宋体"/>
          <w:color w:val="auto"/>
          <w:sz w:val="24"/>
          <w:szCs w:val="24"/>
        </w:rPr>
      </w:pPr>
    </w:p>
    <w:p w14:paraId="4F4F6B96">
      <w:pPr>
        <w:rPr>
          <w:rFonts w:ascii="宋体" w:hAnsi="宋体" w:eastAsia="宋体"/>
          <w:color w:val="auto"/>
          <w:sz w:val="24"/>
          <w:szCs w:val="24"/>
        </w:rPr>
      </w:pPr>
    </w:p>
    <w:p w14:paraId="45BACD32">
      <w:pPr>
        <w:ind w:firstLine="120" w:firstLineChars="50"/>
        <w:rPr>
          <w:rFonts w:ascii="宋体" w:hAnsi="宋体" w:eastAsia="宋体"/>
          <w:color w:val="auto"/>
          <w:sz w:val="24"/>
          <w:szCs w:val="24"/>
        </w:rPr>
      </w:pPr>
      <w:r>
        <w:rPr>
          <w:rFonts w:hint="eastAsia" w:ascii="宋体" w:hAnsi="宋体" w:eastAsia="宋体"/>
          <w:color w:val="auto"/>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rPr>
        <w:t>投标人（盖章）：</w:t>
      </w:r>
    </w:p>
    <w:p w14:paraId="50AA0302">
      <w:pPr>
        <w:jc w:val="right"/>
        <w:rPr>
          <w:rFonts w:ascii="宋体" w:hAnsi="宋体" w:eastAsia="宋体"/>
          <w:color w:val="auto"/>
          <w:sz w:val="24"/>
          <w:szCs w:val="24"/>
        </w:rPr>
      </w:pPr>
    </w:p>
    <w:p w14:paraId="19E21458">
      <w:pPr>
        <w:rPr>
          <w:color w:val="auto"/>
          <w:sz w:val="24"/>
          <w:szCs w:val="24"/>
        </w:rPr>
      </w:pPr>
    </w:p>
    <w:p w14:paraId="34E899CB">
      <w:pPr>
        <w:ind w:firstLine="4560" w:firstLineChars="1900"/>
        <w:rPr>
          <w:rFonts w:ascii="宋体" w:hAnsi="宋体" w:eastAsia="宋体"/>
          <w:color w:val="auto"/>
          <w:sz w:val="24"/>
          <w:szCs w:val="24"/>
        </w:rPr>
      </w:pPr>
      <w:r>
        <w:rPr>
          <w:rFonts w:hint="eastAsia" w:ascii="宋体" w:hAnsi="宋体" w:eastAsia="宋体"/>
          <w:color w:val="auto"/>
          <w:sz w:val="24"/>
          <w:szCs w:val="24"/>
        </w:rPr>
        <w:t>日期：   年   月   日</w:t>
      </w:r>
      <w:bookmarkStart w:id="147" w:name="_Toc169487830"/>
      <w:bookmarkStart w:id="148" w:name="_Toc106553077"/>
      <w:bookmarkStart w:id="149" w:name="_Toc106012815"/>
      <w:bookmarkStart w:id="150" w:name="_Toc144975208"/>
      <w:bookmarkStart w:id="151" w:name="_Toc155342580"/>
    </w:p>
    <w:p w14:paraId="148F9A07">
      <w:pPr>
        <w:pStyle w:val="3"/>
        <w:numPr>
          <w:ilvl w:val="0"/>
          <w:numId w:val="0"/>
        </w:numPr>
        <w:spacing w:afterLines="0" w:line="360" w:lineRule="exact"/>
        <w:jc w:val="both"/>
        <w:rPr>
          <w:b w:val="0"/>
          <w:color w:val="auto"/>
          <w:sz w:val="28"/>
          <w:szCs w:val="28"/>
        </w:rPr>
      </w:pPr>
      <w:bookmarkStart w:id="152" w:name="_Toc23377"/>
      <w:bookmarkStart w:id="153" w:name="_Toc386122457"/>
      <w:bookmarkStart w:id="154" w:name="_Toc24432"/>
      <w:bookmarkStart w:id="155" w:name="_Toc386121760"/>
    </w:p>
    <w:p w14:paraId="19EA80AA">
      <w:pPr>
        <w:pStyle w:val="3"/>
        <w:numPr>
          <w:ilvl w:val="0"/>
          <w:numId w:val="0"/>
        </w:numPr>
        <w:spacing w:afterLines="0" w:line="360" w:lineRule="exact"/>
        <w:jc w:val="both"/>
        <w:rPr>
          <w:b w:val="0"/>
          <w:color w:val="auto"/>
          <w:sz w:val="28"/>
          <w:szCs w:val="28"/>
        </w:rPr>
      </w:pPr>
      <w:r>
        <w:rPr>
          <w:rFonts w:hint="eastAsia"/>
          <w:b w:val="0"/>
          <w:color w:val="auto"/>
          <w:sz w:val="28"/>
          <w:szCs w:val="28"/>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rPr>
        <w:t>临海市建设工程安全生产任职资格承诺书</w:t>
      </w:r>
    </w:p>
    <w:p w14:paraId="3980B18C">
      <w:pPr>
        <w:rPr>
          <w:b/>
          <w:bCs/>
          <w:color w:val="auto"/>
          <w:sz w:val="21"/>
          <w:szCs w:val="21"/>
        </w:rPr>
      </w:pPr>
    </w:p>
    <w:p w14:paraId="08C92045">
      <w:pPr>
        <w:jc w:val="center"/>
        <w:rPr>
          <w:rFonts w:ascii="宋体" w:hAnsi="宋体" w:eastAsia="宋体"/>
          <w:color w:val="auto"/>
          <w:szCs w:val="18"/>
        </w:rPr>
      </w:pPr>
    </w:p>
    <w:p w14:paraId="69D446E1">
      <w:pPr>
        <w:jc w:val="center"/>
        <w:rPr>
          <w:rFonts w:hint="eastAsia" w:ascii="宋体" w:hAnsi="宋体" w:eastAsia="宋体"/>
          <w:color w:val="auto"/>
          <w:szCs w:val="18"/>
          <w:lang w:eastAsia="zh-CN"/>
        </w:rPr>
      </w:pPr>
      <w:r>
        <w:rPr>
          <w:rFonts w:hint="eastAsia" w:ascii="宋体" w:hAnsi="宋体" w:eastAsia="宋体"/>
          <w:color w:val="auto"/>
          <w:szCs w:val="18"/>
          <w:lang w:eastAsia="zh-CN"/>
        </w:rPr>
        <w:t>临海市第六中学心理辅导站及污水管道改造工程</w:t>
      </w:r>
    </w:p>
    <w:p w14:paraId="2B8D1057">
      <w:pPr>
        <w:spacing w:line="360" w:lineRule="auto"/>
        <w:jc w:val="center"/>
        <w:rPr>
          <w:rFonts w:ascii="黑体" w:hAnsi="宋体" w:eastAsia="黑体"/>
          <w:b/>
          <w:color w:val="auto"/>
          <w:sz w:val="44"/>
        </w:rPr>
      </w:pPr>
      <w:r>
        <w:rPr>
          <w:rFonts w:hint="eastAsia" w:ascii="黑体" w:hAnsi="宋体" w:eastAsia="黑体"/>
          <w:b/>
          <w:color w:val="auto"/>
          <w:sz w:val="44"/>
        </w:rPr>
        <w:t>临海市建设工程安全生产任职资格承诺书</w:t>
      </w:r>
    </w:p>
    <w:p w14:paraId="2BBD98EA">
      <w:pPr>
        <w:rPr>
          <w:rFonts w:ascii="宋体" w:hAnsi="宋体" w:eastAsia="宋体"/>
          <w:color w:val="auto"/>
          <w:sz w:val="28"/>
        </w:rPr>
      </w:pPr>
    </w:p>
    <w:p w14:paraId="741EA2B1">
      <w:pPr>
        <w:rPr>
          <w:rFonts w:ascii="宋体" w:hAnsi="宋体" w:eastAsia="宋体" w:cs="宋体"/>
          <w:color w:val="auto"/>
          <w:sz w:val="24"/>
          <w:szCs w:val="24"/>
        </w:rPr>
      </w:pPr>
      <w:bookmarkStart w:id="156" w:name="_Toc106553078"/>
      <w:bookmarkStart w:id="157" w:name="_Toc155342584"/>
      <w:bookmarkStart w:id="158" w:name="_Toc106012816"/>
      <w:r>
        <w:rPr>
          <w:rFonts w:hint="eastAsia" w:ascii="宋体" w:hAnsi="宋体" w:eastAsia="宋体" w:cs="宋体"/>
          <w:color w:val="auto"/>
          <w:sz w:val="24"/>
          <w:szCs w:val="24"/>
        </w:rPr>
        <w:t>本人以企业法定代表人的身份郑重承诺：</w:t>
      </w:r>
    </w:p>
    <w:p w14:paraId="668BFAA2">
      <w:pPr>
        <w:adjustRightInd w:val="0"/>
        <w:snapToGrid w:val="0"/>
        <w:spacing w:beforeLines="50"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本公司安全生产条件及相关管理人员（包括A类人员、拟派的项目负责人和施工现场专职安全生产管理人员）安全生产任职资格符合相关规定。</w:t>
      </w:r>
    </w:p>
    <w:p w14:paraId="475540F4">
      <w:pPr>
        <w:adjustRightInd w:val="0"/>
        <w:snapToGrid w:val="0"/>
        <w:spacing w:beforeLines="50" w:line="360" w:lineRule="auto"/>
        <w:ind w:firstLine="480" w:firstLineChars="200"/>
        <w:rPr>
          <w:rFonts w:ascii="宋体" w:hAnsi="宋体" w:eastAsia="宋体" w:cs="宋体"/>
          <w:color w:val="auto"/>
          <w:sz w:val="24"/>
          <w:szCs w:val="24"/>
        </w:rPr>
      </w:pPr>
    </w:p>
    <w:p w14:paraId="17358E23">
      <w:pPr>
        <w:adjustRightInd w:val="0"/>
        <w:snapToGrid w:val="0"/>
        <w:spacing w:beforeLines="50" w:line="360" w:lineRule="auto"/>
        <w:ind w:firstLine="480" w:firstLineChars="200"/>
        <w:rPr>
          <w:rFonts w:ascii="宋体" w:hAnsi="宋体" w:eastAsia="宋体" w:cs="宋体"/>
          <w:color w:val="auto"/>
          <w:sz w:val="24"/>
          <w:szCs w:val="24"/>
        </w:rPr>
      </w:pPr>
    </w:p>
    <w:p w14:paraId="5C2928F2">
      <w:pPr>
        <w:adjustRightInd w:val="0"/>
        <w:snapToGrid w:val="0"/>
        <w:spacing w:beforeLines="50" w:line="360" w:lineRule="auto"/>
        <w:ind w:firstLine="480" w:firstLineChars="200"/>
        <w:rPr>
          <w:rFonts w:ascii="宋体" w:hAnsi="宋体" w:eastAsia="宋体" w:cs="宋体"/>
          <w:color w:val="auto"/>
          <w:sz w:val="24"/>
          <w:szCs w:val="24"/>
        </w:rPr>
      </w:pPr>
    </w:p>
    <w:p w14:paraId="0C823C0D">
      <w:pPr>
        <w:adjustRightInd w:val="0"/>
        <w:snapToGrid w:val="0"/>
        <w:spacing w:beforeLines="50" w:line="360" w:lineRule="auto"/>
        <w:ind w:firstLine="480" w:firstLineChars="200"/>
        <w:rPr>
          <w:rFonts w:ascii="宋体" w:hAnsi="宋体" w:eastAsia="宋体" w:cs="宋体"/>
          <w:color w:val="auto"/>
          <w:sz w:val="24"/>
          <w:szCs w:val="24"/>
        </w:rPr>
      </w:pPr>
    </w:p>
    <w:p w14:paraId="6EC6B004">
      <w:pPr>
        <w:adjustRightInd w:val="0"/>
        <w:snapToGrid w:val="0"/>
        <w:spacing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p>
    <w:p w14:paraId="14849266">
      <w:pPr>
        <w:adjustRightInd w:val="0"/>
        <w:snapToGrid w:val="0"/>
        <w:spacing w:beforeLines="50"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投  标  人（盖章）：      </w:t>
      </w:r>
    </w:p>
    <w:p w14:paraId="0D030D1B">
      <w:pPr>
        <w:ind w:firstLine="7080" w:firstLineChars="2950"/>
        <w:rPr>
          <w:rFonts w:ascii="宋体" w:hAnsi="宋体" w:eastAsia="宋体" w:cs="宋体"/>
          <w:color w:val="auto"/>
          <w:sz w:val="24"/>
          <w:szCs w:val="24"/>
        </w:rPr>
      </w:pPr>
    </w:p>
    <w:p w14:paraId="069CF1E8">
      <w:pPr>
        <w:ind w:firstLine="7080" w:firstLineChars="2950"/>
        <w:rPr>
          <w:rFonts w:ascii="宋体" w:hAnsi="宋体" w:eastAsia="宋体"/>
          <w:color w:val="auto"/>
          <w:sz w:val="24"/>
          <w:szCs w:val="24"/>
        </w:rPr>
      </w:pPr>
      <w:r>
        <w:rPr>
          <w:rFonts w:hint="eastAsia" w:ascii="宋体" w:hAnsi="宋体" w:eastAsia="宋体" w:cs="宋体"/>
          <w:color w:val="auto"/>
          <w:sz w:val="24"/>
          <w:szCs w:val="24"/>
        </w:rPr>
        <w:t xml:space="preserve">   年    月   日</w:t>
      </w:r>
    </w:p>
    <w:p w14:paraId="63BD615D">
      <w:pPr>
        <w:rPr>
          <w:color w:val="auto"/>
        </w:rPr>
      </w:pPr>
    </w:p>
    <w:p w14:paraId="25F2A0B1">
      <w:pPr>
        <w:rPr>
          <w:color w:val="auto"/>
        </w:rPr>
      </w:pPr>
    </w:p>
    <w:p w14:paraId="70DA3E66">
      <w:pPr>
        <w:widowControl/>
        <w:jc w:val="left"/>
        <w:rPr>
          <w:rFonts w:ascii="Arial" w:hAnsi="Arial" w:eastAsia="黑体" w:cs="Arial"/>
          <w:color w:val="auto"/>
          <w:sz w:val="28"/>
          <w:szCs w:val="28"/>
        </w:rPr>
      </w:pPr>
      <w:bookmarkStart w:id="159" w:name="_Toc386122458"/>
      <w:bookmarkStart w:id="160" w:name="_Toc386121761"/>
      <w:bookmarkStart w:id="161" w:name="_Toc14753"/>
      <w:bookmarkStart w:id="162" w:name="_Toc30036"/>
      <w:r>
        <w:rPr>
          <w:b/>
          <w:color w:val="auto"/>
          <w:sz w:val="28"/>
          <w:szCs w:val="28"/>
        </w:rPr>
        <w:br w:type="page"/>
      </w:r>
    </w:p>
    <w:p w14:paraId="20E4F822">
      <w:pPr>
        <w:pStyle w:val="3"/>
        <w:numPr>
          <w:ilvl w:val="0"/>
          <w:numId w:val="0"/>
        </w:numPr>
        <w:spacing w:afterLines="0" w:line="360" w:lineRule="exact"/>
        <w:jc w:val="both"/>
        <w:rPr>
          <w:b w:val="0"/>
          <w:color w:val="auto"/>
          <w:sz w:val="28"/>
          <w:szCs w:val="28"/>
        </w:rPr>
      </w:pPr>
      <w:r>
        <w:rPr>
          <w:rFonts w:hint="eastAsia"/>
          <w:b w:val="0"/>
          <w:color w:val="auto"/>
          <w:sz w:val="28"/>
          <w:szCs w:val="28"/>
        </w:rPr>
        <w:t>附件三：</w:t>
      </w:r>
      <w:bookmarkEnd w:id="156"/>
      <w:bookmarkEnd w:id="157"/>
      <w:bookmarkEnd w:id="158"/>
      <w:bookmarkEnd w:id="159"/>
      <w:bookmarkEnd w:id="160"/>
      <w:r>
        <w:rPr>
          <w:rFonts w:hint="eastAsia"/>
          <w:b w:val="0"/>
          <w:color w:val="auto"/>
          <w:sz w:val="28"/>
          <w:szCs w:val="28"/>
        </w:rPr>
        <w:t>项目负责人简历表</w:t>
      </w:r>
      <w:bookmarkEnd w:id="161"/>
      <w:bookmarkEnd w:id="162"/>
    </w:p>
    <w:p w14:paraId="4DC32CAD">
      <w:pPr>
        <w:rPr>
          <w:rFonts w:ascii="黑体" w:eastAsia="黑体"/>
          <w:color w:val="auto"/>
          <w:sz w:val="28"/>
          <w:szCs w:val="28"/>
        </w:rPr>
      </w:pPr>
    </w:p>
    <w:p w14:paraId="6554DAD1">
      <w:pPr>
        <w:jc w:val="center"/>
        <w:rPr>
          <w:rFonts w:hint="eastAsia" w:ascii="宋体" w:hAnsi="宋体" w:eastAsia="宋体"/>
          <w:color w:val="auto"/>
          <w:szCs w:val="18"/>
          <w:lang w:eastAsia="zh-CN"/>
        </w:rPr>
      </w:pPr>
      <w:r>
        <w:rPr>
          <w:rFonts w:hint="eastAsia" w:ascii="宋体" w:hAnsi="宋体" w:eastAsia="宋体"/>
          <w:color w:val="auto"/>
          <w:szCs w:val="18"/>
          <w:lang w:eastAsia="zh-CN"/>
        </w:rPr>
        <w:t>临海市第六中学心理辅导站及污水管道改造工程</w:t>
      </w:r>
    </w:p>
    <w:p w14:paraId="64F41370">
      <w:pPr>
        <w:spacing w:line="360" w:lineRule="auto"/>
        <w:jc w:val="center"/>
        <w:rPr>
          <w:rFonts w:ascii="黑体" w:hAnsi="宋体" w:eastAsia="黑体"/>
          <w:b/>
          <w:color w:val="auto"/>
          <w:sz w:val="44"/>
        </w:rPr>
      </w:pPr>
      <w:r>
        <w:rPr>
          <w:rFonts w:hint="eastAsia" w:ascii="黑体" w:hAnsi="宋体" w:eastAsia="黑体"/>
          <w:b/>
          <w:color w:val="auto"/>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38C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68A925F">
            <w:pPr>
              <w:jc w:val="center"/>
              <w:rPr>
                <w:rFonts w:ascii="宋体" w:hAnsi="宋体" w:eastAsia="宋体"/>
                <w:color w:val="auto"/>
              </w:rPr>
            </w:pPr>
            <w:r>
              <w:rPr>
                <w:rFonts w:hint="eastAsia" w:ascii="宋体" w:hAnsi="宋体" w:eastAsia="宋体"/>
                <w:color w:val="auto"/>
              </w:rPr>
              <w:t>姓名</w:t>
            </w:r>
          </w:p>
        </w:tc>
        <w:tc>
          <w:tcPr>
            <w:tcW w:w="1435" w:type="dxa"/>
            <w:gridSpan w:val="2"/>
            <w:vAlign w:val="center"/>
          </w:tcPr>
          <w:p w14:paraId="17E60692">
            <w:pPr>
              <w:jc w:val="center"/>
              <w:rPr>
                <w:rFonts w:ascii="宋体" w:hAnsi="宋体" w:eastAsia="宋体"/>
                <w:color w:val="auto"/>
              </w:rPr>
            </w:pPr>
          </w:p>
        </w:tc>
        <w:tc>
          <w:tcPr>
            <w:tcW w:w="861" w:type="dxa"/>
            <w:vAlign w:val="center"/>
          </w:tcPr>
          <w:p w14:paraId="2C457C28">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305853AC">
            <w:pPr>
              <w:jc w:val="center"/>
              <w:rPr>
                <w:rFonts w:ascii="宋体" w:hAnsi="宋体" w:eastAsia="宋体"/>
                <w:color w:val="auto"/>
              </w:rPr>
            </w:pPr>
          </w:p>
        </w:tc>
        <w:tc>
          <w:tcPr>
            <w:tcW w:w="913" w:type="dxa"/>
            <w:vAlign w:val="center"/>
          </w:tcPr>
          <w:p w14:paraId="1B642522">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7C82DD63">
            <w:pPr>
              <w:jc w:val="center"/>
              <w:rPr>
                <w:rFonts w:ascii="宋体" w:hAnsi="宋体" w:eastAsia="宋体"/>
                <w:color w:val="auto"/>
              </w:rPr>
            </w:pPr>
          </w:p>
        </w:tc>
        <w:tc>
          <w:tcPr>
            <w:tcW w:w="861" w:type="dxa"/>
            <w:vAlign w:val="center"/>
          </w:tcPr>
          <w:p w14:paraId="16FEABBF">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2401B192">
            <w:pPr>
              <w:jc w:val="center"/>
              <w:rPr>
                <w:rFonts w:ascii="宋体" w:hAnsi="宋体" w:eastAsia="宋体"/>
                <w:color w:val="auto"/>
              </w:rPr>
            </w:pPr>
          </w:p>
        </w:tc>
      </w:tr>
      <w:tr w14:paraId="16FC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14D6D26">
            <w:pPr>
              <w:jc w:val="center"/>
              <w:rPr>
                <w:rFonts w:ascii="宋体" w:hAnsi="宋体" w:eastAsia="宋体"/>
                <w:color w:val="auto"/>
              </w:rPr>
            </w:pPr>
            <w:r>
              <w:rPr>
                <w:rFonts w:hint="eastAsia" w:ascii="宋体" w:hAnsi="宋体" w:eastAsia="宋体"/>
                <w:color w:val="auto"/>
              </w:rPr>
              <w:t>资质等级</w:t>
            </w:r>
          </w:p>
        </w:tc>
        <w:tc>
          <w:tcPr>
            <w:tcW w:w="1722" w:type="dxa"/>
            <w:gridSpan w:val="2"/>
            <w:vAlign w:val="center"/>
          </w:tcPr>
          <w:p w14:paraId="5CBFA494">
            <w:pPr>
              <w:jc w:val="center"/>
              <w:rPr>
                <w:rFonts w:ascii="宋体" w:hAnsi="宋体" w:eastAsia="宋体"/>
                <w:color w:val="auto"/>
              </w:rPr>
            </w:pPr>
          </w:p>
        </w:tc>
        <w:tc>
          <w:tcPr>
            <w:tcW w:w="1096" w:type="dxa"/>
            <w:vAlign w:val="center"/>
          </w:tcPr>
          <w:p w14:paraId="4BB02A8E">
            <w:pPr>
              <w:jc w:val="center"/>
              <w:rPr>
                <w:rFonts w:ascii="宋体" w:hAnsi="宋体" w:eastAsia="宋体"/>
                <w:color w:val="auto"/>
              </w:rPr>
            </w:pPr>
            <w:r>
              <w:rPr>
                <w:rFonts w:hint="eastAsia" w:ascii="宋体" w:hAnsi="宋体" w:eastAsia="宋体"/>
                <w:color w:val="auto"/>
              </w:rPr>
              <w:t>职称</w:t>
            </w:r>
          </w:p>
        </w:tc>
        <w:tc>
          <w:tcPr>
            <w:tcW w:w="2348" w:type="dxa"/>
            <w:gridSpan w:val="2"/>
            <w:vAlign w:val="center"/>
          </w:tcPr>
          <w:p w14:paraId="0B6C150F">
            <w:pPr>
              <w:jc w:val="center"/>
              <w:rPr>
                <w:rFonts w:ascii="宋体" w:hAnsi="宋体" w:eastAsia="宋体"/>
                <w:color w:val="auto"/>
              </w:rPr>
            </w:pPr>
          </w:p>
        </w:tc>
        <w:tc>
          <w:tcPr>
            <w:tcW w:w="861" w:type="dxa"/>
            <w:vAlign w:val="center"/>
          </w:tcPr>
          <w:p w14:paraId="5E7D7C09">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5D9244C0">
            <w:pPr>
              <w:jc w:val="center"/>
              <w:rPr>
                <w:rFonts w:ascii="宋体" w:hAnsi="宋体" w:eastAsia="宋体"/>
                <w:color w:val="auto"/>
              </w:rPr>
            </w:pPr>
          </w:p>
        </w:tc>
      </w:tr>
      <w:tr w14:paraId="7344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7CE46D0F">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03034D3D">
            <w:pPr>
              <w:jc w:val="center"/>
              <w:rPr>
                <w:rFonts w:ascii="宋体" w:hAnsi="宋体" w:eastAsia="宋体"/>
                <w:color w:val="auto"/>
              </w:rPr>
            </w:pPr>
          </w:p>
        </w:tc>
        <w:tc>
          <w:tcPr>
            <w:tcW w:w="3209" w:type="dxa"/>
            <w:gridSpan w:val="3"/>
            <w:vAlign w:val="center"/>
          </w:tcPr>
          <w:p w14:paraId="2111F9D7">
            <w:pPr>
              <w:jc w:val="center"/>
              <w:rPr>
                <w:rFonts w:ascii="宋体" w:hAnsi="宋体" w:eastAsia="宋体"/>
                <w:color w:val="auto"/>
              </w:rPr>
            </w:pPr>
            <w:r>
              <w:rPr>
                <w:rFonts w:hint="eastAsia" w:ascii="宋体" w:hAnsi="宋体" w:eastAsia="宋体"/>
                <w:color w:val="auto"/>
              </w:rPr>
              <w:t>从事项目负责人年限</w:t>
            </w:r>
          </w:p>
        </w:tc>
        <w:tc>
          <w:tcPr>
            <w:tcW w:w="2009" w:type="dxa"/>
            <w:vAlign w:val="center"/>
          </w:tcPr>
          <w:p w14:paraId="6989A52F">
            <w:pPr>
              <w:jc w:val="center"/>
              <w:rPr>
                <w:rFonts w:ascii="宋体" w:hAnsi="宋体" w:eastAsia="宋体"/>
                <w:color w:val="auto"/>
              </w:rPr>
            </w:pPr>
          </w:p>
        </w:tc>
      </w:tr>
      <w:tr w14:paraId="7714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76520FBE">
            <w:pPr>
              <w:jc w:val="center"/>
              <w:rPr>
                <w:rFonts w:ascii="宋体" w:hAnsi="宋体" w:eastAsia="宋体"/>
                <w:color w:val="auto"/>
              </w:rPr>
            </w:pPr>
          </w:p>
          <w:p w14:paraId="360B5574">
            <w:pPr>
              <w:jc w:val="center"/>
              <w:rPr>
                <w:rFonts w:ascii="宋体" w:hAnsi="宋体" w:eastAsia="宋体"/>
                <w:color w:val="auto"/>
              </w:rPr>
            </w:pPr>
          </w:p>
          <w:p w14:paraId="3C87CFB4">
            <w:pPr>
              <w:jc w:val="center"/>
              <w:rPr>
                <w:rFonts w:ascii="宋体" w:hAnsi="宋体" w:eastAsia="宋体"/>
                <w:color w:val="auto"/>
              </w:rPr>
            </w:pPr>
          </w:p>
          <w:p w14:paraId="0FAC2ABF">
            <w:pPr>
              <w:jc w:val="center"/>
              <w:rPr>
                <w:rFonts w:ascii="宋体" w:hAnsi="宋体" w:eastAsia="宋体"/>
                <w:color w:val="auto"/>
              </w:rPr>
            </w:pPr>
            <w:r>
              <w:rPr>
                <w:rFonts w:hint="eastAsia" w:ascii="宋体" w:hAnsi="宋体" w:eastAsia="宋体"/>
                <w:color w:val="auto"/>
              </w:rPr>
              <w:t>简</w:t>
            </w:r>
          </w:p>
          <w:p w14:paraId="625047DD">
            <w:pPr>
              <w:jc w:val="center"/>
              <w:rPr>
                <w:rFonts w:ascii="宋体" w:hAnsi="宋体" w:eastAsia="宋体"/>
                <w:color w:val="auto"/>
              </w:rPr>
            </w:pPr>
          </w:p>
          <w:p w14:paraId="70339186">
            <w:pPr>
              <w:jc w:val="center"/>
              <w:rPr>
                <w:rFonts w:ascii="宋体" w:hAnsi="宋体" w:eastAsia="宋体"/>
                <w:color w:val="auto"/>
              </w:rPr>
            </w:pPr>
          </w:p>
          <w:p w14:paraId="0438B364">
            <w:pPr>
              <w:rPr>
                <w:rFonts w:ascii="宋体" w:hAnsi="宋体" w:eastAsia="宋体"/>
                <w:color w:val="auto"/>
              </w:rPr>
            </w:pPr>
          </w:p>
          <w:p w14:paraId="2062CC42">
            <w:pPr>
              <w:rPr>
                <w:rFonts w:ascii="宋体" w:hAnsi="宋体" w:eastAsia="宋体"/>
                <w:color w:val="auto"/>
              </w:rPr>
            </w:pPr>
          </w:p>
          <w:p w14:paraId="6DAA9BDB">
            <w:pPr>
              <w:jc w:val="center"/>
              <w:rPr>
                <w:rFonts w:ascii="宋体" w:hAnsi="宋体" w:eastAsia="宋体"/>
                <w:color w:val="auto"/>
              </w:rPr>
            </w:pPr>
          </w:p>
          <w:p w14:paraId="30D384A4">
            <w:pPr>
              <w:jc w:val="center"/>
              <w:rPr>
                <w:rFonts w:ascii="宋体" w:hAnsi="宋体" w:eastAsia="宋体"/>
                <w:color w:val="auto"/>
              </w:rPr>
            </w:pPr>
          </w:p>
          <w:p w14:paraId="0195B93B">
            <w:pPr>
              <w:jc w:val="center"/>
              <w:rPr>
                <w:rFonts w:ascii="宋体" w:hAnsi="宋体" w:eastAsia="宋体"/>
                <w:color w:val="auto"/>
              </w:rPr>
            </w:pPr>
            <w:r>
              <w:rPr>
                <w:rFonts w:hint="eastAsia" w:ascii="宋体" w:hAnsi="宋体" w:eastAsia="宋体"/>
                <w:color w:val="auto"/>
              </w:rPr>
              <w:t>历</w:t>
            </w:r>
          </w:p>
          <w:p w14:paraId="55B4417D">
            <w:pPr>
              <w:jc w:val="center"/>
              <w:rPr>
                <w:rFonts w:ascii="宋体" w:hAnsi="宋体" w:eastAsia="宋体"/>
                <w:color w:val="auto"/>
              </w:rPr>
            </w:pPr>
          </w:p>
          <w:p w14:paraId="3822269D">
            <w:pPr>
              <w:jc w:val="center"/>
              <w:rPr>
                <w:rFonts w:ascii="宋体" w:hAnsi="宋体" w:eastAsia="宋体"/>
                <w:color w:val="auto"/>
              </w:rPr>
            </w:pPr>
          </w:p>
          <w:p w14:paraId="06DE223A">
            <w:pPr>
              <w:rPr>
                <w:rFonts w:ascii="宋体" w:hAnsi="宋体" w:eastAsia="宋体"/>
                <w:color w:val="auto"/>
              </w:rPr>
            </w:pPr>
          </w:p>
        </w:tc>
        <w:tc>
          <w:tcPr>
            <w:tcW w:w="8610" w:type="dxa"/>
            <w:gridSpan w:val="8"/>
          </w:tcPr>
          <w:p w14:paraId="15FBF2CF">
            <w:pPr>
              <w:rPr>
                <w:rFonts w:ascii="宋体" w:hAnsi="宋体" w:eastAsia="宋体"/>
                <w:color w:val="auto"/>
              </w:rPr>
            </w:pPr>
          </w:p>
        </w:tc>
      </w:tr>
    </w:tbl>
    <w:p w14:paraId="63D97280">
      <w:pPr>
        <w:rPr>
          <w:rFonts w:ascii="宋体" w:hAnsi="宋体" w:eastAsia="宋体"/>
          <w:color w:val="auto"/>
        </w:rPr>
      </w:pPr>
    </w:p>
    <w:p w14:paraId="3E5E1FAA">
      <w:pPr>
        <w:rPr>
          <w:rFonts w:ascii="宋体" w:hAnsi="宋体" w:eastAsia="宋体"/>
          <w:color w:val="auto"/>
          <w:sz w:val="24"/>
          <w:szCs w:val="24"/>
        </w:rPr>
      </w:pPr>
      <w:bookmarkStart w:id="163" w:name="_Toc106012817"/>
      <w:bookmarkStart w:id="164" w:name="_Toc155342585"/>
      <w:bookmarkStart w:id="165" w:name="_Toc106553079"/>
      <w:r>
        <w:rPr>
          <w:rFonts w:hint="eastAsia" w:ascii="宋体" w:hAnsi="宋体" w:eastAsia="宋体"/>
          <w:color w:val="auto"/>
          <w:sz w:val="24"/>
          <w:szCs w:val="24"/>
        </w:rPr>
        <w:t>法定代表人（签字或盖章）：                            投标人（盖章）：</w:t>
      </w:r>
    </w:p>
    <w:p w14:paraId="66D30637">
      <w:pPr>
        <w:jc w:val="right"/>
        <w:rPr>
          <w:rFonts w:ascii="宋体" w:hAnsi="宋体" w:eastAsia="宋体"/>
          <w:color w:val="auto"/>
          <w:sz w:val="24"/>
          <w:szCs w:val="24"/>
        </w:rPr>
      </w:pPr>
    </w:p>
    <w:p w14:paraId="208FB1DA">
      <w:pPr>
        <w:ind w:firstLine="6360" w:firstLineChars="2650"/>
        <w:rPr>
          <w:rFonts w:ascii="宋体" w:hAnsi="宋体" w:eastAsia="宋体"/>
          <w:color w:val="auto"/>
          <w:sz w:val="24"/>
          <w:szCs w:val="24"/>
        </w:rPr>
      </w:pPr>
    </w:p>
    <w:p w14:paraId="045BFD5F">
      <w:pPr>
        <w:ind w:firstLine="6360" w:firstLineChars="2650"/>
        <w:rPr>
          <w:color w:val="auto"/>
        </w:rPr>
      </w:pPr>
      <w:r>
        <w:rPr>
          <w:rFonts w:hint="eastAsia" w:ascii="宋体" w:hAnsi="宋体" w:eastAsia="宋体"/>
          <w:color w:val="auto"/>
          <w:sz w:val="24"/>
          <w:szCs w:val="24"/>
        </w:rPr>
        <w:t>日期：   年   月   日</w:t>
      </w:r>
    </w:p>
    <w:p w14:paraId="6F5C2BEB">
      <w:pPr>
        <w:pStyle w:val="3"/>
        <w:numPr>
          <w:ilvl w:val="0"/>
          <w:numId w:val="0"/>
        </w:numPr>
        <w:spacing w:before="0" w:afterLines="0" w:line="240" w:lineRule="auto"/>
        <w:jc w:val="both"/>
        <w:rPr>
          <w:b w:val="0"/>
          <w:color w:val="auto"/>
          <w:sz w:val="28"/>
          <w:szCs w:val="28"/>
        </w:rPr>
      </w:pPr>
      <w:bookmarkStart w:id="166" w:name="_Toc386121762"/>
      <w:bookmarkStart w:id="167" w:name="_Toc386122459"/>
      <w:bookmarkStart w:id="168" w:name="_Toc581"/>
      <w:bookmarkStart w:id="169" w:name="_Toc20785"/>
    </w:p>
    <w:p w14:paraId="1780D90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附件四：</w:t>
      </w:r>
      <w:bookmarkEnd w:id="163"/>
      <w:bookmarkEnd w:id="164"/>
      <w:bookmarkEnd w:id="165"/>
      <w:bookmarkEnd w:id="166"/>
      <w:bookmarkEnd w:id="167"/>
      <w:r>
        <w:rPr>
          <w:rFonts w:hint="eastAsia"/>
          <w:b w:val="0"/>
          <w:color w:val="auto"/>
          <w:sz w:val="28"/>
          <w:szCs w:val="28"/>
        </w:rPr>
        <w:t>技术负责人简历表</w:t>
      </w:r>
      <w:bookmarkEnd w:id="168"/>
      <w:bookmarkEnd w:id="169"/>
    </w:p>
    <w:p w14:paraId="52D15762">
      <w:pPr>
        <w:rPr>
          <w:rFonts w:ascii="黑体" w:eastAsia="黑体"/>
          <w:color w:val="auto"/>
          <w:sz w:val="28"/>
          <w:szCs w:val="28"/>
        </w:rPr>
      </w:pPr>
    </w:p>
    <w:p w14:paraId="0DE4DEFF">
      <w:pPr>
        <w:jc w:val="center"/>
        <w:rPr>
          <w:rFonts w:hint="eastAsia" w:ascii="宋体" w:hAnsi="宋体" w:eastAsia="宋体"/>
          <w:color w:val="auto"/>
          <w:szCs w:val="18"/>
          <w:lang w:eastAsia="zh-CN"/>
        </w:rPr>
      </w:pPr>
      <w:r>
        <w:rPr>
          <w:rFonts w:hint="eastAsia" w:ascii="宋体" w:hAnsi="宋体" w:eastAsia="宋体"/>
          <w:color w:val="auto"/>
          <w:szCs w:val="18"/>
          <w:lang w:eastAsia="zh-CN"/>
        </w:rPr>
        <w:t>临海市第六中学心理辅导站及污水管道改造工程</w:t>
      </w:r>
    </w:p>
    <w:p w14:paraId="52D5D699">
      <w:pPr>
        <w:spacing w:line="360" w:lineRule="auto"/>
        <w:jc w:val="center"/>
        <w:rPr>
          <w:rFonts w:ascii="黑体" w:hAnsi="宋体" w:eastAsia="黑体"/>
          <w:b/>
          <w:color w:val="auto"/>
          <w:sz w:val="44"/>
        </w:rPr>
      </w:pPr>
      <w:r>
        <w:rPr>
          <w:rFonts w:hint="eastAsia" w:ascii="黑体" w:hAnsi="宋体" w:eastAsia="黑体"/>
          <w:b/>
          <w:color w:val="auto"/>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F7D9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C367768">
            <w:pPr>
              <w:jc w:val="center"/>
              <w:rPr>
                <w:rFonts w:ascii="宋体" w:hAnsi="宋体" w:eastAsia="宋体"/>
                <w:color w:val="auto"/>
              </w:rPr>
            </w:pPr>
            <w:r>
              <w:rPr>
                <w:rFonts w:hint="eastAsia" w:ascii="宋体" w:hAnsi="宋体" w:eastAsia="宋体"/>
                <w:color w:val="auto"/>
              </w:rPr>
              <w:t>姓名</w:t>
            </w:r>
          </w:p>
        </w:tc>
        <w:tc>
          <w:tcPr>
            <w:tcW w:w="1435" w:type="dxa"/>
            <w:vAlign w:val="center"/>
          </w:tcPr>
          <w:p w14:paraId="368E08F2">
            <w:pPr>
              <w:jc w:val="center"/>
              <w:rPr>
                <w:rFonts w:ascii="宋体" w:hAnsi="宋体" w:eastAsia="宋体"/>
                <w:color w:val="auto"/>
              </w:rPr>
            </w:pPr>
          </w:p>
        </w:tc>
        <w:tc>
          <w:tcPr>
            <w:tcW w:w="861" w:type="dxa"/>
            <w:vAlign w:val="center"/>
          </w:tcPr>
          <w:p w14:paraId="71E8F94A">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468825F2">
            <w:pPr>
              <w:jc w:val="center"/>
              <w:rPr>
                <w:rFonts w:ascii="宋体" w:hAnsi="宋体" w:eastAsia="宋体"/>
                <w:color w:val="auto"/>
              </w:rPr>
            </w:pPr>
          </w:p>
        </w:tc>
        <w:tc>
          <w:tcPr>
            <w:tcW w:w="913" w:type="dxa"/>
            <w:vAlign w:val="center"/>
          </w:tcPr>
          <w:p w14:paraId="6ABBD590">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36BAEF66">
            <w:pPr>
              <w:jc w:val="center"/>
              <w:rPr>
                <w:rFonts w:ascii="宋体" w:hAnsi="宋体" w:eastAsia="宋体"/>
                <w:color w:val="auto"/>
              </w:rPr>
            </w:pPr>
          </w:p>
        </w:tc>
        <w:tc>
          <w:tcPr>
            <w:tcW w:w="861" w:type="dxa"/>
            <w:vAlign w:val="center"/>
          </w:tcPr>
          <w:p w14:paraId="294B70DE">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0F85F281">
            <w:pPr>
              <w:jc w:val="center"/>
              <w:rPr>
                <w:rFonts w:ascii="宋体" w:hAnsi="宋体" w:eastAsia="宋体"/>
                <w:color w:val="auto"/>
              </w:rPr>
            </w:pPr>
          </w:p>
        </w:tc>
      </w:tr>
      <w:tr w14:paraId="476F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8101870">
            <w:pPr>
              <w:jc w:val="center"/>
              <w:rPr>
                <w:rFonts w:ascii="宋体" w:hAnsi="宋体" w:eastAsia="宋体"/>
                <w:color w:val="auto"/>
              </w:rPr>
            </w:pPr>
            <w:r>
              <w:rPr>
                <w:rFonts w:hint="eastAsia" w:ascii="宋体" w:hAnsi="宋体" w:eastAsia="宋体"/>
                <w:color w:val="auto"/>
              </w:rPr>
              <w:t>职称</w:t>
            </w:r>
          </w:p>
        </w:tc>
        <w:tc>
          <w:tcPr>
            <w:tcW w:w="1435" w:type="dxa"/>
            <w:vAlign w:val="center"/>
          </w:tcPr>
          <w:p w14:paraId="68B0E690">
            <w:pPr>
              <w:jc w:val="center"/>
              <w:rPr>
                <w:rFonts w:ascii="宋体" w:hAnsi="宋体" w:eastAsia="宋体"/>
                <w:color w:val="auto"/>
              </w:rPr>
            </w:pPr>
          </w:p>
        </w:tc>
        <w:tc>
          <w:tcPr>
            <w:tcW w:w="1957" w:type="dxa"/>
            <w:gridSpan w:val="2"/>
            <w:vAlign w:val="center"/>
          </w:tcPr>
          <w:p w14:paraId="48773B42">
            <w:pPr>
              <w:jc w:val="center"/>
              <w:rPr>
                <w:rFonts w:ascii="宋体" w:hAnsi="宋体" w:eastAsia="宋体"/>
                <w:color w:val="auto"/>
              </w:rPr>
            </w:pPr>
            <w:r>
              <w:rPr>
                <w:rFonts w:hint="eastAsia" w:ascii="宋体" w:hAnsi="宋体" w:eastAsia="宋体"/>
                <w:color w:val="auto"/>
              </w:rPr>
              <w:t>毕业院校</w:t>
            </w:r>
          </w:p>
        </w:tc>
        <w:tc>
          <w:tcPr>
            <w:tcW w:w="2348" w:type="dxa"/>
            <w:gridSpan w:val="2"/>
            <w:vAlign w:val="center"/>
          </w:tcPr>
          <w:p w14:paraId="549B34E9">
            <w:pPr>
              <w:jc w:val="center"/>
              <w:rPr>
                <w:rFonts w:ascii="宋体" w:hAnsi="宋体" w:eastAsia="宋体"/>
                <w:color w:val="auto"/>
              </w:rPr>
            </w:pPr>
          </w:p>
        </w:tc>
        <w:tc>
          <w:tcPr>
            <w:tcW w:w="861" w:type="dxa"/>
            <w:vAlign w:val="center"/>
          </w:tcPr>
          <w:p w14:paraId="1838E802">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2B8FB8C0">
            <w:pPr>
              <w:jc w:val="center"/>
              <w:rPr>
                <w:rFonts w:ascii="宋体" w:hAnsi="宋体" w:eastAsia="宋体"/>
                <w:color w:val="auto"/>
              </w:rPr>
            </w:pPr>
          </w:p>
        </w:tc>
      </w:tr>
      <w:tr w14:paraId="586B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4AA04C2">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3738B0B2">
            <w:pPr>
              <w:jc w:val="center"/>
              <w:rPr>
                <w:rFonts w:ascii="宋体" w:hAnsi="宋体" w:eastAsia="宋体"/>
                <w:color w:val="auto"/>
              </w:rPr>
            </w:pPr>
          </w:p>
        </w:tc>
        <w:tc>
          <w:tcPr>
            <w:tcW w:w="3209" w:type="dxa"/>
            <w:gridSpan w:val="3"/>
            <w:vAlign w:val="center"/>
          </w:tcPr>
          <w:p w14:paraId="2B6D4DED">
            <w:pPr>
              <w:jc w:val="center"/>
              <w:rPr>
                <w:rFonts w:ascii="宋体" w:hAnsi="宋体" w:eastAsia="宋体"/>
                <w:color w:val="auto"/>
              </w:rPr>
            </w:pPr>
            <w:r>
              <w:rPr>
                <w:rFonts w:hint="eastAsia" w:ascii="宋体" w:hAnsi="宋体" w:eastAsia="宋体"/>
                <w:color w:val="auto"/>
              </w:rPr>
              <w:t>从事技术负责人年限</w:t>
            </w:r>
          </w:p>
        </w:tc>
        <w:tc>
          <w:tcPr>
            <w:tcW w:w="2009" w:type="dxa"/>
            <w:vAlign w:val="center"/>
          </w:tcPr>
          <w:p w14:paraId="47880A10">
            <w:pPr>
              <w:jc w:val="center"/>
              <w:rPr>
                <w:rFonts w:ascii="宋体" w:hAnsi="宋体" w:eastAsia="宋体"/>
                <w:color w:val="auto"/>
              </w:rPr>
            </w:pPr>
          </w:p>
        </w:tc>
      </w:tr>
      <w:tr w14:paraId="1DF8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0677848">
            <w:pPr>
              <w:jc w:val="center"/>
              <w:rPr>
                <w:rFonts w:ascii="宋体" w:hAnsi="宋体" w:eastAsia="宋体"/>
                <w:color w:val="auto"/>
              </w:rPr>
            </w:pPr>
          </w:p>
          <w:p w14:paraId="54416CE6">
            <w:pPr>
              <w:jc w:val="center"/>
              <w:rPr>
                <w:rFonts w:ascii="宋体" w:hAnsi="宋体" w:eastAsia="宋体"/>
                <w:color w:val="auto"/>
              </w:rPr>
            </w:pPr>
          </w:p>
          <w:p w14:paraId="00FDAAF5">
            <w:pPr>
              <w:jc w:val="center"/>
              <w:rPr>
                <w:rFonts w:ascii="宋体" w:hAnsi="宋体" w:eastAsia="宋体"/>
                <w:color w:val="auto"/>
              </w:rPr>
            </w:pPr>
          </w:p>
          <w:p w14:paraId="37A87A7F">
            <w:pPr>
              <w:jc w:val="center"/>
              <w:rPr>
                <w:rFonts w:ascii="宋体" w:hAnsi="宋体" w:eastAsia="宋体"/>
                <w:color w:val="auto"/>
              </w:rPr>
            </w:pPr>
            <w:r>
              <w:rPr>
                <w:rFonts w:hint="eastAsia" w:ascii="宋体" w:hAnsi="宋体" w:eastAsia="宋体"/>
                <w:color w:val="auto"/>
              </w:rPr>
              <w:t>简</w:t>
            </w:r>
          </w:p>
          <w:p w14:paraId="4C2A48C4">
            <w:pPr>
              <w:jc w:val="center"/>
              <w:rPr>
                <w:rFonts w:ascii="宋体" w:hAnsi="宋体" w:eastAsia="宋体"/>
                <w:color w:val="auto"/>
              </w:rPr>
            </w:pPr>
          </w:p>
          <w:p w14:paraId="1B4E7641">
            <w:pPr>
              <w:jc w:val="center"/>
              <w:rPr>
                <w:rFonts w:ascii="宋体" w:hAnsi="宋体" w:eastAsia="宋体"/>
                <w:color w:val="auto"/>
              </w:rPr>
            </w:pPr>
          </w:p>
          <w:p w14:paraId="33CE6FA5">
            <w:pPr>
              <w:rPr>
                <w:rFonts w:ascii="宋体" w:hAnsi="宋体" w:eastAsia="宋体"/>
                <w:color w:val="auto"/>
              </w:rPr>
            </w:pPr>
          </w:p>
          <w:p w14:paraId="2FFB682C">
            <w:pPr>
              <w:rPr>
                <w:rFonts w:ascii="宋体" w:hAnsi="宋体" w:eastAsia="宋体"/>
                <w:color w:val="auto"/>
              </w:rPr>
            </w:pPr>
          </w:p>
          <w:p w14:paraId="0666B2E9">
            <w:pPr>
              <w:jc w:val="center"/>
              <w:rPr>
                <w:rFonts w:ascii="宋体" w:hAnsi="宋体" w:eastAsia="宋体"/>
                <w:color w:val="auto"/>
              </w:rPr>
            </w:pPr>
          </w:p>
          <w:p w14:paraId="6C7A35E3">
            <w:pPr>
              <w:jc w:val="center"/>
              <w:rPr>
                <w:rFonts w:ascii="宋体" w:hAnsi="宋体" w:eastAsia="宋体"/>
                <w:color w:val="auto"/>
              </w:rPr>
            </w:pPr>
          </w:p>
          <w:p w14:paraId="162383AB">
            <w:pPr>
              <w:jc w:val="center"/>
              <w:rPr>
                <w:rFonts w:ascii="宋体" w:hAnsi="宋体" w:eastAsia="宋体"/>
                <w:color w:val="auto"/>
              </w:rPr>
            </w:pPr>
            <w:r>
              <w:rPr>
                <w:rFonts w:hint="eastAsia" w:ascii="宋体" w:hAnsi="宋体" w:eastAsia="宋体"/>
                <w:color w:val="auto"/>
              </w:rPr>
              <w:t>历</w:t>
            </w:r>
          </w:p>
          <w:p w14:paraId="5F9B891F">
            <w:pPr>
              <w:jc w:val="center"/>
              <w:rPr>
                <w:rFonts w:ascii="宋体" w:hAnsi="宋体" w:eastAsia="宋体"/>
                <w:color w:val="auto"/>
              </w:rPr>
            </w:pPr>
          </w:p>
          <w:p w14:paraId="0A843F33">
            <w:pPr>
              <w:jc w:val="center"/>
              <w:rPr>
                <w:rFonts w:ascii="宋体" w:hAnsi="宋体" w:eastAsia="宋体"/>
                <w:color w:val="auto"/>
              </w:rPr>
            </w:pPr>
          </w:p>
          <w:p w14:paraId="5785E0CB">
            <w:pPr>
              <w:rPr>
                <w:rFonts w:ascii="宋体" w:hAnsi="宋体" w:eastAsia="宋体"/>
                <w:color w:val="auto"/>
              </w:rPr>
            </w:pPr>
          </w:p>
        </w:tc>
        <w:tc>
          <w:tcPr>
            <w:tcW w:w="8610" w:type="dxa"/>
            <w:gridSpan w:val="7"/>
          </w:tcPr>
          <w:p w14:paraId="4A8A10A8">
            <w:pPr>
              <w:rPr>
                <w:rFonts w:ascii="宋体" w:hAnsi="宋体" w:eastAsia="宋体"/>
                <w:color w:val="auto"/>
              </w:rPr>
            </w:pPr>
          </w:p>
        </w:tc>
      </w:tr>
    </w:tbl>
    <w:p w14:paraId="7D4B53AB">
      <w:pPr>
        <w:rPr>
          <w:rFonts w:ascii="宋体" w:hAnsi="宋体" w:eastAsia="宋体"/>
          <w:color w:val="auto"/>
        </w:rPr>
      </w:pPr>
    </w:p>
    <w:p w14:paraId="647E5E85">
      <w:pPr>
        <w:rPr>
          <w:rFonts w:ascii="宋体" w:hAnsi="宋体" w:eastAsia="宋体"/>
          <w:color w:val="auto"/>
          <w:sz w:val="24"/>
          <w:szCs w:val="24"/>
        </w:rPr>
      </w:pPr>
      <w:bookmarkStart w:id="170" w:name="_Toc106012818"/>
      <w:bookmarkStart w:id="171" w:name="_Toc106553080"/>
      <w:bookmarkStart w:id="172" w:name="_Toc155342586"/>
      <w:r>
        <w:rPr>
          <w:rFonts w:hint="eastAsia" w:ascii="宋体" w:hAnsi="宋体" w:eastAsia="宋体"/>
          <w:color w:val="auto"/>
          <w:sz w:val="24"/>
          <w:szCs w:val="24"/>
        </w:rPr>
        <w:t>法定代表人（签字或盖章）：                             投标人（盖章）：</w:t>
      </w:r>
    </w:p>
    <w:p w14:paraId="11BC214A">
      <w:pPr>
        <w:jc w:val="right"/>
        <w:rPr>
          <w:rFonts w:ascii="宋体" w:hAnsi="宋体" w:eastAsia="宋体"/>
          <w:color w:val="auto"/>
          <w:sz w:val="24"/>
          <w:szCs w:val="24"/>
        </w:rPr>
      </w:pPr>
    </w:p>
    <w:p w14:paraId="251E0C2F">
      <w:pPr>
        <w:ind w:firstLine="6480" w:firstLineChars="2700"/>
        <w:rPr>
          <w:rFonts w:ascii="宋体" w:hAnsi="宋体" w:eastAsia="宋体"/>
          <w:color w:val="auto"/>
          <w:sz w:val="24"/>
          <w:szCs w:val="24"/>
        </w:rPr>
      </w:pPr>
    </w:p>
    <w:p w14:paraId="1445FAD6">
      <w:pPr>
        <w:ind w:firstLine="6480" w:firstLineChars="2700"/>
        <w:rPr>
          <w:rFonts w:ascii="宋体" w:hAnsi="宋体" w:eastAsia="宋体"/>
          <w:color w:val="auto"/>
          <w:sz w:val="24"/>
          <w:szCs w:val="24"/>
        </w:rPr>
      </w:pPr>
      <w:r>
        <w:rPr>
          <w:rFonts w:hint="eastAsia" w:ascii="宋体" w:hAnsi="宋体" w:eastAsia="宋体"/>
          <w:color w:val="auto"/>
          <w:sz w:val="24"/>
          <w:szCs w:val="24"/>
        </w:rPr>
        <w:t>日期：   年   月   日</w:t>
      </w:r>
    </w:p>
    <w:p w14:paraId="6CDF1DB3">
      <w:pPr>
        <w:rPr>
          <w:color w:val="auto"/>
          <w:sz w:val="28"/>
          <w:szCs w:val="28"/>
        </w:rPr>
      </w:pPr>
      <w:bookmarkStart w:id="173" w:name="_Toc386207588"/>
      <w:bookmarkStart w:id="174" w:name="_Toc386207867"/>
      <w:bookmarkStart w:id="175" w:name="_Toc386208332"/>
      <w:bookmarkStart w:id="176" w:name="_Toc24065"/>
      <w:bookmarkStart w:id="177" w:name="_Toc4216"/>
      <w:bookmarkStart w:id="178" w:name="_Toc386209083"/>
      <w:bookmarkStart w:id="179" w:name="_Toc386207774"/>
      <w:bookmarkStart w:id="180" w:name="_Toc26311"/>
      <w:r>
        <w:rPr>
          <w:rFonts w:hint="eastAsia"/>
          <w:color w:val="auto"/>
          <w:sz w:val="28"/>
          <w:szCs w:val="28"/>
        </w:rPr>
        <w:br w:type="page"/>
      </w:r>
    </w:p>
    <w:p w14:paraId="2478698B">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附件五：项目负责人在建项目承诺书</w:t>
      </w:r>
      <w:bookmarkEnd w:id="173"/>
      <w:bookmarkEnd w:id="174"/>
      <w:bookmarkEnd w:id="175"/>
      <w:bookmarkEnd w:id="176"/>
      <w:bookmarkEnd w:id="177"/>
      <w:bookmarkEnd w:id="178"/>
      <w:bookmarkEnd w:id="179"/>
      <w:bookmarkEnd w:id="180"/>
    </w:p>
    <w:p w14:paraId="18803E9D">
      <w:pPr>
        <w:spacing w:line="440" w:lineRule="exact"/>
        <w:rPr>
          <w:rFonts w:eastAsia="黑体"/>
          <w:color w:val="auto"/>
          <w:sz w:val="20"/>
        </w:rPr>
      </w:pPr>
    </w:p>
    <w:p w14:paraId="3FACFC9A">
      <w:pPr>
        <w:spacing w:line="440" w:lineRule="exact"/>
        <w:jc w:val="center"/>
        <w:rPr>
          <w:rFonts w:ascii="黑体" w:eastAsia="黑体"/>
          <w:b/>
          <w:color w:val="auto"/>
          <w:sz w:val="44"/>
        </w:rPr>
      </w:pPr>
      <w:r>
        <w:rPr>
          <w:rFonts w:hint="eastAsia" w:ascii="黑体" w:eastAsia="黑体"/>
          <w:b/>
          <w:color w:val="auto"/>
          <w:sz w:val="44"/>
          <w:szCs w:val="24"/>
        </w:rPr>
        <w:t>项目负责人在建项目承诺书</w:t>
      </w:r>
    </w:p>
    <w:p w14:paraId="77F39F0A">
      <w:pPr>
        <w:spacing w:line="440" w:lineRule="exact"/>
        <w:rPr>
          <w:rFonts w:ascii="宋体" w:hAnsi="宋体" w:eastAsia="宋体"/>
          <w:color w:val="auto"/>
          <w:sz w:val="24"/>
          <w:szCs w:val="24"/>
        </w:rPr>
      </w:pPr>
    </w:p>
    <w:p w14:paraId="68895E3E">
      <w:pPr>
        <w:spacing w:line="440" w:lineRule="exact"/>
        <w:rPr>
          <w:rFonts w:ascii="宋体" w:hAnsi="宋体" w:eastAsia="宋体"/>
          <w:color w:val="auto"/>
          <w:sz w:val="24"/>
          <w:szCs w:val="24"/>
        </w:rPr>
      </w:pPr>
    </w:p>
    <w:p w14:paraId="11AA3AC7">
      <w:pPr>
        <w:spacing w:line="360" w:lineRule="auto"/>
        <w:rPr>
          <w:rFonts w:ascii="宋体" w:hAnsi="宋体" w:eastAsia="宋体"/>
          <w:color w:val="auto"/>
          <w:sz w:val="28"/>
          <w:szCs w:val="28"/>
        </w:rPr>
      </w:pPr>
      <w:r>
        <w:rPr>
          <w:rFonts w:hint="eastAsia" w:ascii="宋体" w:hAnsi="宋体" w:eastAsia="宋体"/>
          <w:color w:val="auto"/>
          <w:sz w:val="28"/>
          <w:szCs w:val="28"/>
        </w:rPr>
        <w:t>我方在此郑重承诺：</w:t>
      </w:r>
    </w:p>
    <w:p w14:paraId="262D79BC">
      <w:pPr>
        <w:spacing w:line="360" w:lineRule="auto"/>
        <w:ind w:firstLine="560" w:firstLineChars="200"/>
        <w:jc w:val="left"/>
        <w:rPr>
          <w:rFonts w:ascii="宋体" w:hAnsi="宋体" w:eastAsia="宋体"/>
          <w:color w:val="auto"/>
          <w:sz w:val="28"/>
          <w:szCs w:val="28"/>
          <w:u w:val="single"/>
        </w:rPr>
      </w:pPr>
      <w:r>
        <w:rPr>
          <w:rFonts w:hint="eastAsia" w:ascii="宋体" w:hAnsi="宋体" w:eastAsia="宋体"/>
          <w:color w:val="auto"/>
          <w:sz w:val="28"/>
          <w:szCs w:val="28"/>
        </w:rPr>
        <w:t>我方参加</w:t>
      </w:r>
      <w:r>
        <w:rPr>
          <w:rFonts w:hint="eastAsia" w:ascii="宋体" w:hAnsi="宋体" w:eastAsia="宋体"/>
          <w:color w:val="auto"/>
          <w:sz w:val="28"/>
          <w:szCs w:val="28"/>
          <w:u w:val="single"/>
          <w:lang w:eastAsia="zh-CN"/>
        </w:rPr>
        <w:t>临海市第六中学心理辅导站及污水管道改造工程</w:t>
      </w:r>
      <w:r>
        <w:rPr>
          <w:rFonts w:hint="eastAsia" w:ascii="宋体" w:hAnsi="宋体" w:eastAsia="宋体"/>
          <w:color w:val="auto"/>
          <w:sz w:val="28"/>
          <w:szCs w:val="28"/>
        </w:rPr>
        <w:t>（招标工程名称）的项目负责人在建项目情况符合招标文件第一章“投标须知”第一节“总则”第 4.3款规定。</w:t>
      </w:r>
    </w:p>
    <w:p w14:paraId="38C28529">
      <w:pPr>
        <w:spacing w:line="360" w:lineRule="auto"/>
        <w:ind w:firstLine="560" w:firstLineChars="200"/>
        <w:rPr>
          <w:rFonts w:ascii="宋体" w:hAnsi="宋体" w:eastAsia="宋体"/>
          <w:color w:val="auto"/>
          <w:sz w:val="28"/>
          <w:szCs w:val="28"/>
        </w:rPr>
      </w:pPr>
      <w:r>
        <w:rPr>
          <w:rFonts w:hint="eastAsia" w:ascii="宋体" w:hAnsi="宋体" w:eastAsia="宋体"/>
          <w:color w:val="auto"/>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3B3D748">
      <w:pPr>
        <w:spacing w:line="360" w:lineRule="auto"/>
        <w:ind w:firstLine="560" w:firstLineChars="200"/>
        <w:rPr>
          <w:rFonts w:ascii="宋体" w:hAnsi="宋体" w:eastAsia="宋体"/>
          <w:color w:val="auto"/>
          <w:sz w:val="28"/>
          <w:szCs w:val="28"/>
          <w:u w:val="single"/>
        </w:rPr>
      </w:pPr>
    </w:p>
    <w:p w14:paraId="7F987AB2">
      <w:pPr>
        <w:spacing w:line="440" w:lineRule="exact"/>
        <w:jc w:val="center"/>
        <w:rPr>
          <w:rFonts w:eastAsia="黑体"/>
          <w:color w:val="auto"/>
          <w:sz w:val="20"/>
        </w:rPr>
      </w:pPr>
    </w:p>
    <w:p w14:paraId="5E4AC102">
      <w:pPr>
        <w:spacing w:line="440" w:lineRule="exact"/>
        <w:jc w:val="center"/>
        <w:rPr>
          <w:rFonts w:eastAsia="黑体"/>
          <w:color w:val="auto"/>
          <w:sz w:val="20"/>
        </w:rPr>
      </w:pPr>
    </w:p>
    <w:p w14:paraId="2975E501">
      <w:pPr>
        <w:spacing w:line="440" w:lineRule="exact"/>
        <w:jc w:val="center"/>
        <w:rPr>
          <w:rFonts w:eastAsia="黑体"/>
          <w:color w:val="auto"/>
          <w:sz w:val="20"/>
        </w:rPr>
      </w:pPr>
    </w:p>
    <w:p w14:paraId="6FE86907">
      <w:pPr>
        <w:spacing w:line="440" w:lineRule="exact"/>
        <w:jc w:val="center"/>
        <w:rPr>
          <w:rFonts w:eastAsia="黑体"/>
          <w:color w:val="auto"/>
          <w:sz w:val="20"/>
        </w:rPr>
      </w:pPr>
    </w:p>
    <w:p w14:paraId="6B58BBEF">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 xml:space="preserve">法定代表人（签字或盖章）：  </w:t>
      </w:r>
    </w:p>
    <w:p w14:paraId="2135C0ED">
      <w:pPr>
        <w:spacing w:line="440" w:lineRule="exact"/>
        <w:jc w:val="right"/>
        <w:rPr>
          <w:rFonts w:ascii="宋体" w:hAnsi="宋体" w:eastAsia="宋体"/>
          <w:color w:val="auto"/>
          <w:sz w:val="28"/>
          <w:szCs w:val="28"/>
        </w:rPr>
      </w:pPr>
    </w:p>
    <w:p w14:paraId="388BFE5E">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投 标 人（盖章）：</w:t>
      </w:r>
    </w:p>
    <w:p w14:paraId="5D312F74">
      <w:pPr>
        <w:spacing w:line="440" w:lineRule="exact"/>
        <w:ind w:right="560" w:firstLine="3920" w:firstLineChars="1400"/>
        <w:rPr>
          <w:rFonts w:ascii="宋体" w:hAnsi="宋体" w:eastAsia="宋体"/>
          <w:color w:val="auto"/>
          <w:sz w:val="28"/>
          <w:szCs w:val="28"/>
        </w:rPr>
      </w:pPr>
    </w:p>
    <w:p w14:paraId="6268A349">
      <w:pPr>
        <w:rPr>
          <w:rFonts w:eastAsia="宋体"/>
          <w:color w:val="auto"/>
          <w:sz w:val="21"/>
          <w:szCs w:val="24"/>
        </w:rPr>
      </w:pPr>
    </w:p>
    <w:p w14:paraId="3F2E448E">
      <w:pPr>
        <w:jc w:val="right"/>
        <w:rPr>
          <w:color w:val="auto"/>
        </w:rPr>
      </w:pPr>
      <w:r>
        <w:rPr>
          <w:rFonts w:hint="eastAsia" w:ascii="宋体" w:hAnsi="宋体" w:eastAsia="宋体"/>
          <w:color w:val="auto"/>
          <w:sz w:val="28"/>
          <w:szCs w:val="28"/>
        </w:rPr>
        <w:t>日期：    年   月   日</w:t>
      </w:r>
    </w:p>
    <w:p w14:paraId="762E73E5">
      <w:pPr>
        <w:pStyle w:val="3"/>
        <w:numPr>
          <w:ilvl w:val="0"/>
          <w:numId w:val="0"/>
        </w:numPr>
        <w:spacing w:before="0" w:afterLines="0" w:line="240" w:lineRule="auto"/>
        <w:jc w:val="both"/>
        <w:rPr>
          <w:b w:val="0"/>
          <w:color w:val="auto"/>
          <w:sz w:val="28"/>
          <w:szCs w:val="28"/>
        </w:rPr>
      </w:pPr>
      <w:bookmarkStart w:id="181" w:name="_Toc386121763"/>
      <w:bookmarkStart w:id="182" w:name="_Toc386122460"/>
      <w:bookmarkStart w:id="183" w:name="_Toc13566"/>
      <w:bookmarkStart w:id="184" w:name="_Toc25896"/>
    </w:p>
    <w:p w14:paraId="37C82B4E">
      <w:pPr>
        <w:rPr>
          <w:color w:val="auto"/>
          <w:sz w:val="28"/>
          <w:szCs w:val="28"/>
        </w:rPr>
      </w:pPr>
    </w:p>
    <w:p w14:paraId="23D1CEA8">
      <w:pPr>
        <w:rPr>
          <w:color w:val="auto"/>
          <w:sz w:val="28"/>
          <w:szCs w:val="28"/>
        </w:rPr>
      </w:pPr>
    </w:p>
    <w:p w14:paraId="2FAA43C4">
      <w:pPr>
        <w:rPr>
          <w:color w:val="auto"/>
          <w:sz w:val="28"/>
          <w:szCs w:val="28"/>
        </w:rPr>
      </w:pPr>
      <w:r>
        <w:rPr>
          <w:rFonts w:hint="eastAsia"/>
          <w:color w:val="auto"/>
          <w:sz w:val="28"/>
          <w:szCs w:val="28"/>
        </w:rPr>
        <w:br w:type="page"/>
      </w:r>
    </w:p>
    <w:p w14:paraId="6543F95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附件六：</w:t>
      </w:r>
      <w:bookmarkEnd w:id="170"/>
      <w:bookmarkEnd w:id="171"/>
      <w:bookmarkEnd w:id="172"/>
      <w:bookmarkEnd w:id="181"/>
      <w:bookmarkEnd w:id="182"/>
      <w:r>
        <w:rPr>
          <w:rFonts w:hint="eastAsia"/>
          <w:b w:val="0"/>
          <w:color w:val="auto"/>
          <w:sz w:val="28"/>
          <w:szCs w:val="28"/>
        </w:rPr>
        <w:t>主要施工机械设备表</w:t>
      </w:r>
      <w:bookmarkEnd w:id="183"/>
      <w:bookmarkEnd w:id="184"/>
    </w:p>
    <w:p w14:paraId="6D785095">
      <w:pPr>
        <w:rPr>
          <w:rFonts w:ascii="黑体" w:eastAsia="黑体"/>
          <w:color w:val="auto"/>
          <w:sz w:val="28"/>
          <w:szCs w:val="28"/>
        </w:rPr>
      </w:pPr>
    </w:p>
    <w:p w14:paraId="4B97D03A">
      <w:pPr>
        <w:jc w:val="center"/>
        <w:rPr>
          <w:rFonts w:hint="eastAsia" w:ascii="宋体" w:hAnsi="宋体" w:eastAsia="宋体"/>
          <w:color w:val="auto"/>
          <w:szCs w:val="18"/>
          <w:lang w:eastAsia="zh-CN"/>
        </w:rPr>
      </w:pPr>
      <w:r>
        <w:rPr>
          <w:rFonts w:hint="eastAsia" w:ascii="宋体" w:hAnsi="宋体" w:eastAsia="宋体"/>
          <w:color w:val="auto"/>
          <w:szCs w:val="18"/>
          <w:lang w:eastAsia="zh-CN"/>
        </w:rPr>
        <w:t>临海市第六中学心理辅导站及污水管道改造工程</w:t>
      </w:r>
    </w:p>
    <w:p w14:paraId="4D4F6081">
      <w:pPr>
        <w:spacing w:line="360" w:lineRule="auto"/>
        <w:jc w:val="center"/>
        <w:rPr>
          <w:rFonts w:ascii="黑体" w:hAnsi="宋体" w:eastAsia="黑体"/>
          <w:b/>
          <w:color w:val="auto"/>
          <w:sz w:val="44"/>
        </w:rPr>
      </w:pPr>
      <w:r>
        <w:rPr>
          <w:rFonts w:hint="eastAsia" w:ascii="黑体" w:hAnsi="宋体" w:eastAsia="黑体"/>
          <w:b/>
          <w:color w:val="auto"/>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76FE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E153FFE">
            <w:pPr>
              <w:jc w:val="center"/>
              <w:rPr>
                <w:rFonts w:ascii="宋体" w:hAnsi="宋体" w:eastAsia="宋体"/>
                <w:color w:val="auto"/>
              </w:rPr>
            </w:pPr>
            <w:r>
              <w:rPr>
                <w:rFonts w:hint="eastAsia" w:ascii="宋体" w:hAnsi="宋体" w:eastAsia="宋体"/>
                <w:color w:val="auto"/>
              </w:rPr>
              <w:t>序号</w:t>
            </w:r>
          </w:p>
        </w:tc>
        <w:tc>
          <w:tcPr>
            <w:tcW w:w="1525" w:type="dxa"/>
            <w:vAlign w:val="center"/>
          </w:tcPr>
          <w:p w14:paraId="1F0555C4">
            <w:pPr>
              <w:jc w:val="center"/>
              <w:rPr>
                <w:rFonts w:ascii="宋体" w:hAnsi="宋体" w:eastAsia="宋体"/>
                <w:color w:val="auto"/>
              </w:rPr>
            </w:pPr>
            <w:r>
              <w:rPr>
                <w:rFonts w:hint="eastAsia" w:ascii="宋体" w:hAnsi="宋体" w:eastAsia="宋体"/>
                <w:color w:val="auto"/>
              </w:rPr>
              <w:t>设备名称</w:t>
            </w:r>
          </w:p>
        </w:tc>
        <w:tc>
          <w:tcPr>
            <w:tcW w:w="1635" w:type="dxa"/>
            <w:vAlign w:val="center"/>
          </w:tcPr>
          <w:p w14:paraId="7ED51A32">
            <w:pPr>
              <w:jc w:val="center"/>
              <w:rPr>
                <w:rFonts w:ascii="宋体" w:hAnsi="宋体" w:eastAsia="宋体"/>
                <w:color w:val="auto"/>
              </w:rPr>
            </w:pPr>
            <w:r>
              <w:rPr>
                <w:rFonts w:hint="eastAsia" w:ascii="宋体" w:hAnsi="宋体" w:eastAsia="宋体"/>
                <w:color w:val="auto"/>
              </w:rPr>
              <w:t>规格型号</w:t>
            </w:r>
          </w:p>
        </w:tc>
        <w:tc>
          <w:tcPr>
            <w:tcW w:w="859" w:type="dxa"/>
            <w:vAlign w:val="center"/>
          </w:tcPr>
          <w:p w14:paraId="4BAE2C1E">
            <w:pPr>
              <w:jc w:val="center"/>
              <w:rPr>
                <w:rFonts w:ascii="宋体" w:hAnsi="宋体" w:eastAsia="宋体"/>
                <w:color w:val="auto"/>
              </w:rPr>
            </w:pPr>
            <w:r>
              <w:rPr>
                <w:rFonts w:hint="eastAsia" w:ascii="宋体" w:hAnsi="宋体" w:eastAsia="宋体"/>
                <w:color w:val="auto"/>
              </w:rPr>
              <w:t>数量</w:t>
            </w:r>
          </w:p>
        </w:tc>
        <w:tc>
          <w:tcPr>
            <w:tcW w:w="1582" w:type="dxa"/>
            <w:vAlign w:val="center"/>
          </w:tcPr>
          <w:p w14:paraId="58860495">
            <w:pPr>
              <w:jc w:val="center"/>
              <w:rPr>
                <w:rFonts w:ascii="宋体" w:hAnsi="宋体" w:eastAsia="宋体"/>
                <w:color w:val="auto"/>
              </w:rPr>
            </w:pPr>
            <w:r>
              <w:rPr>
                <w:rFonts w:hint="eastAsia" w:ascii="宋体" w:hAnsi="宋体" w:eastAsia="宋体"/>
                <w:color w:val="auto"/>
              </w:rPr>
              <w:t>设备能力</w:t>
            </w:r>
          </w:p>
        </w:tc>
        <w:tc>
          <w:tcPr>
            <w:tcW w:w="1582" w:type="dxa"/>
            <w:vAlign w:val="center"/>
          </w:tcPr>
          <w:p w14:paraId="32A08022">
            <w:pPr>
              <w:jc w:val="center"/>
              <w:rPr>
                <w:rFonts w:ascii="宋体" w:hAnsi="宋体" w:eastAsia="宋体"/>
                <w:color w:val="auto"/>
              </w:rPr>
            </w:pPr>
            <w:r>
              <w:rPr>
                <w:rFonts w:hint="eastAsia" w:ascii="宋体" w:hAnsi="宋体" w:eastAsia="宋体"/>
                <w:color w:val="auto"/>
              </w:rPr>
              <w:t>进场时间</w:t>
            </w:r>
          </w:p>
        </w:tc>
        <w:tc>
          <w:tcPr>
            <w:tcW w:w="1437" w:type="dxa"/>
            <w:vAlign w:val="center"/>
          </w:tcPr>
          <w:p w14:paraId="6F93A018">
            <w:pPr>
              <w:jc w:val="center"/>
              <w:rPr>
                <w:rFonts w:ascii="宋体" w:hAnsi="宋体" w:eastAsia="宋体"/>
                <w:color w:val="auto"/>
              </w:rPr>
            </w:pPr>
            <w:r>
              <w:rPr>
                <w:rFonts w:hint="eastAsia" w:ascii="宋体" w:hAnsi="宋体" w:eastAsia="宋体"/>
                <w:color w:val="auto"/>
              </w:rPr>
              <w:t>备注</w:t>
            </w:r>
          </w:p>
        </w:tc>
      </w:tr>
      <w:tr w14:paraId="2516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BF9DA8A">
            <w:pPr>
              <w:rPr>
                <w:rFonts w:ascii="宋体" w:hAnsi="宋体" w:eastAsia="宋体"/>
                <w:color w:val="auto"/>
              </w:rPr>
            </w:pPr>
          </w:p>
        </w:tc>
        <w:tc>
          <w:tcPr>
            <w:tcW w:w="1525" w:type="dxa"/>
          </w:tcPr>
          <w:p w14:paraId="388A0123">
            <w:pPr>
              <w:rPr>
                <w:rFonts w:ascii="宋体" w:hAnsi="宋体" w:eastAsia="宋体"/>
                <w:color w:val="auto"/>
              </w:rPr>
            </w:pPr>
          </w:p>
        </w:tc>
        <w:tc>
          <w:tcPr>
            <w:tcW w:w="1635" w:type="dxa"/>
          </w:tcPr>
          <w:p w14:paraId="7497EAD6">
            <w:pPr>
              <w:rPr>
                <w:rFonts w:ascii="宋体" w:hAnsi="宋体" w:eastAsia="宋体"/>
                <w:color w:val="auto"/>
              </w:rPr>
            </w:pPr>
          </w:p>
        </w:tc>
        <w:tc>
          <w:tcPr>
            <w:tcW w:w="859" w:type="dxa"/>
          </w:tcPr>
          <w:p w14:paraId="27219036">
            <w:pPr>
              <w:rPr>
                <w:rFonts w:ascii="宋体" w:hAnsi="宋体" w:eastAsia="宋体"/>
                <w:color w:val="auto"/>
              </w:rPr>
            </w:pPr>
          </w:p>
        </w:tc>
        <w:tc>
          <w:tcPr>
            <w:tcW w:w="1582" w:type="dxa"/>
          </w:tcPr>
          <w:p w14:paraId="3D54E56D">
            <w:pPr>
              <w:rPr>
                <w:rFonts w:ascii="宋体" w:hAnsi="宋体" w:eastAsia="宋体"/>
                <w:color w:val="auto"/>
              </w:rPr>
            </w:pPr>
          </w:p>
        </w:tc>
        <w:tc>
          <w:tcPr>
            <w:tcW w:w="1582" w:type="dxa"/>
          </w:tcPr>
          <w:p w14:paraId="18C55E79">
            <w:pPr>
              <w:rPr>
                <w:rFonts w:ascii="宋体" w:hAnsi="宋体" w:eastAsia="宋体"/>
                <w:color w:val="auto"/>
              </w:rPr>
            </w:pPr>
          </w:p>
        </w:tc>
        <w:tc>
          <w:tcPr>
            <w:tcW w:w="1437" w:type="dxa"/>
          </w:tcPr>
          <w:p w14:paraId="1B87BAD0">
            <w:pPr>
              <w:rPr>
                <w:rFonts w:ascii="宋体" w:hAnsi="宋体" w:eastAsia="宋体"/>
                <w:color w:val="auto"/>
              </w:rPr>
            </w:pPr>
          </w:p>
        </w:tc>
      </w:tr>
      <w:tr w14:paraId="6AAC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6BB59DA">
            <w:pPr>
              <w:rPr>
                <w:rFonts w:ascii="宋体" w:hAnsi="宋体" w:eastAsia="宋体"/>
                <w:color w:val="auto"/>
              </w:rPr>
            </w:pPr>
          </w:p>
        </w:tc>
        <w:tc>
          <w:tcPr>
            <w:tcW w:w="1525" w:type="dxa"/>
          </w:tcPr>
          <w:p w14:paraId="28468547">
            <w:pPr>
              <w:rPr>
                <w:rFonts w:ascii="宋体" w:hAnsi="宋体" w:eastAsia="宋体"/>
                <w:color w:val="auto"/>
              </w:rPr>
            </w:pPr>
          </w:p>
        </w:tc>
        <w:tc>
          <w:tcPr>
            <w:tcW w:w="1635" w:type="dxa"/>
          </w:tcPr>
          <w:p w14:paraId="67DEB25F">
            <w:pPr>
              <w:rPr>
                <w:rFonts w:ascii="宋体" w:hAnsi="宋体" w:eastAsia="宋体"/>
                <w:color w:val="auto"/>
              </w:rPr>
            </w:pPr>
          </w:p>
        </w:tc>
        <w:tc>
          <w:tcPr>
            <w:tcW w:w="859" w:type="dxa"/>
          </w:tcPr>
          <w:p w14:paraId="600494CC">
            <w:pPr>
              <w:rPr>
                <w:rFonts w:ascii="宋体" w:hAnsi="宋体" w:eastAsia="宋体"/>
                <w:color w:val="auto"/>
              </w:rPr>
            </w:pPr>
          </w:p>
        </w:tc>
        <w:tc>
          <w:tcPr>
            <w:tcW w:w="1582" w:type="dxa"/>
          </w:tcPr>
          <w:p w14:paraId="235D5DA9">
            <w:pPr>
              <w:rPr>
                <w:rFonts w:ascii="宋体" w:hAnsi="宋体" w:eastAsia="宋体"/>
                <w:color w:val="auto"/>
              </w:rPr>
            </w:pPr>
          </w:p>
        </w:tc>
        <w:tc>
          <w:tcPr>
            <w:tcW w:w="1582" w:type="dxa"/>
          </w:tcPr>
          <w:p w14:paraId="4F705089">
            <w:pPr>
              <w:rPr>
                <w:rFonts w:ascii="宋体" w:hAnsi="宋体" w:eastAsia="宋体"/>
                <w:color w:val="auto"/>
              </w:rPr>
            </w:pPr>
          </w:p>
        </w:tc>
        <w:tc>
          <w:tcPr>
            <w:tcW w:w="1437" w:type="dxa"/>
          </w:tcPr>
          <w:p w14:paraId="4C274BB5">
            <w:pPr>
              <w:rPr>
                <w:rFonts w:ascii="宋体" w:hAnsi="宋体" w:eastAsia="宋体"/>
                <w:color w:val="auto"/>
              </w:rPr>
            </w:pPr>
          </w:p>
        </w:tc>
      </w:tr>
      <w:tr w14:paraId="62FF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tcPr>
          <w:p w14:paraId="6BFDC643">
            <w:pPr>
              <w:rPr>
                <w:rFonts w:ascii="宋体" w:hAnsi="宋体" w:eastAsia="宋体"/>
                <w:color w:val="auto"/>
              </w:rPr>
            </w:pPr>
          </w:p>
        </w:tc>
        <w:tc>
          <w:tcPr>
            <w:tcW w:w="1525" w:type="dxa"/>
          </w:tcPr>
          <w:p w14:paraId="6317DC7A">
            <w:pPr>
              <w:rPr>
                <w:rFonts w:ascii="宋体" w:hAnsi="宋体" w:eastAsia="宋体"/>
                <w:color w:val="auto"/>
              </w:rPr>
            </w:pPr>
          </w:p>
        </w:tc>
        <w:tc>
          <w:tcPr>
            <w:tcW w:w="1635" w:type="dxa"/>
          </w:tcPr>
          <w:p w14:paraId="71F35E3D">
            <w:pPr>
              <w:rPr>
                <w:rFonts w:ascii="宋体" w:hAnsi="宋体" w:eastAsia="宋体"/>
                <w:color w:val="auto"/>
              </w:rPr>
            </w:pPr>
          </w:p>
        </w:tc>
        <w:tc>
          <w:tcPr>
            <w:tcW w:w="859" w:type="dxa"/>
          </w:tcPr>
          <w:p w14:paraId="55516A89">
            <w:pPr>
              <w:rPr>
                <w:rFonts w:ascii="宋体" w:hAnsi="宋体" w:eastAsia="宋体"/>
                <w:color w:val="auto"/>
              </w:rPr>
            </w:pPr>
          </w:p>
        </w:tc>
        <w:tc>
          <w:tcPr>
            <w:tcW w:w="1582" w:type="dxa"/>
          </w:tcPr>
          <w:p w14:paraId="69239385">
            <w:pPr>
              <w:rPr>
                <w:rFonts w:ascii="宋体" w:hAnsi="宋体" w:eastAsia="宋体"/>
                <w:color w:val="auto"/>
              </w:rPr>
            </w:pPr>
          </w:p>
        </w:tc>
        <w:tc>
          <w:tcPr>
            <w:tcW w:w="1582" w:type="dxa"/>
          </w:tcPr>
          <w:p w14:paraId="3631D19F">
            <w:pPr>
              <w:rPr>
                <w:rFonts w:ascii="宋体" w:hAnsi="宋体" w:eastAsia="宋体"/>
                <w:color w:val="auto"/>
              </w:rPr>
            </w:pPr>
          </w:p>
        </w:tc>
        <w:tc>
          <w:tcPr>
            <w:tcW w:w="1437" w:type="dxa"/>
          </w:tcPr>
          <w:p w14:paraId="0617D5BA">
            <w:pPr>
              <w:rPr>
                <w:rFonts w:ascii="宋体" w:hAnsi="宋体" w:eastAsia="宋体"/>
                <w:color w:val="auto"/>
              </w:rPr>
            </w:pPr>
          </w:p>
        </w:tc>
      </w:tr>
      <w:tr w14:paraId="7F1A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57E707">
            <w:pPr>
              <w:rPr>
                <w:rFonts w:ascii="宋体" w:hAnsi="宋体" w:eastAsia="宋体"/>
                <w:color w:val="auto"/>
              </w:rPr>
            </w:pPr>
          </w:p>
        </w:tc>
        <w:tc>
          <w:tcPr>
            <w:tcW w:w="1525" w:type="dxa"/>
          </w:tcPr>
          <w:p w14:paraId="5DB9224F">
            <w:pPr>
              <w:rPr>
                <w:rFonts w:ascii="宋体" w:hAnsi="宋体" w:eastAsia="宋体"/>
                <w:color w:val="auto"/>
              </w:rPr>
            </w:pPr>
          </w:p>
        </w:tc>
        <w:tc>
          <w:tcPr>
            <w:tcW w:w="1635" w:type="dxa"/>
          </w:tcPr>
          <w:p w14:paraId="56F6225D">
            <w:pPr>
              <w:rPr>
                <w:rFonts w:ascii="宋体" w:hAnsi="宋体" w:eastAsia="宋体"/>
                <w:color w:val="auto"/>
              </w:rPr>
            </w:pPr>
          </w:p>
        </w:tc>
        <w:tc>
          <w:tcPr>
            <w:tcW w:w="859" w:type="dxa"/>
          </w:tcPr>
          <w:p w14:paraId="6AAD8A44">
            <w:pPr>
              <w:rPr>
                <w:rFonts w:ascii="宋体" w:hAnsi="宋体" w:eastAsia="宋体"/>
                <w:color w:val="auto"/>
              </w:rPr>
            </w:pPr>
          </w:p>
        </w:tc>
        <w:tc>
          <w:tcPr>
            <w:tcW w:w="1582" w:type="dxa"/>
          </w:tcPr>
          <w:p w14:paraId="1D276D59">
            <w:pPr>
              <w:rPr>
                <w:rFonts w:ascii="宋体" w:hAnsi="宋体" w:eastAsia="宋体"/>
                <w:color w:val="auto"/>
              </w:rPr>
            </w:pPr>
          </w:p>
        </w:tc>
        <w:tc>
          <w:tcPr>
            <w:tcW w:w="1582" w:type="dxa"/>
          </w:tcPr>
          <w:p w14:paraId="1CF80743">
            <w:pPr>
              <w:rPr>
                <w:rFonts w:ascii="宋体" w:hAnsi="宋体" w:eastAsia="宋体"/>
                <w:color w:val="auto"/>
              </w:rPr>
            </w:pPr>
          </w:p>
        </w:tc>
        <w:tc>
          <w:tcPr>
            <w:tcW w:w="1437" w:type="dxa"/>
          </w:tcPr>
          <w:p w14:paraId="3CD8410E">
            <w:pPr>
              <w:rPr>
                <w:rFonts w:ascii="宋体" w:hAnsi="宋体" w:eastAsia="宋体"/>
                <w:color w:val="auto"/>
              </w:rPr>
            </w:pPr>
          </w:p>
        </w:tc>
      </w:tr>
      <w:tr w14:paraId="43D9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B38B834">
            <w:pPr>
              <w:rPr>
                <w:rFonts w:ascii="宋体" w:hAnsi="宋体" w:eastAsia="宋体"/>
                <w:color w:val="auto"/>
              </w:rPr>
            </w:pPr>
          </w:p>
        </w:tc>
        <w:tc>
          <w:tcPr>
            <w:tcW w:w="1525" w:type="dxa"/>
          </w:tcPr>
          <w:p w14:paraId="32C8B7AC">
            <w:pPr>
              <w:rPr>
                <w:rFonts w:ascii="宋体" w:hAnsi="宋体" w:eastAsia="宋体"/>
                <w:color w:val="auto"/>
              </w:rPr>
            </w:pPr>
          </w:p>
        </w:tc>
        <w:tc>
          <w:tcPr>
            <w:tcW w:w="1635" w:type="dxa"/>
          </w:tcPr>
          <w:p w14:paraId="35DA64C1">
            <w:pPr>
              <w:rPr>
                <w:rFonts w:ascii="宋体" w:hAnsi="宋体" w:eastAsia="宋体"/>
                <w:color w:val="auto"/>
              </w:rPr>
            </w:pPr>
          </w:p>
        </w:tc>
        <w:tc>
          <w:tcPr>
            <w:tcW w:w="859" w:type="dxa"/>
          </w:tcPr>
          <w:p w14:paraId="13514562">
            <w:pPr>
              <w:rPr>
                <w:rFonts w:ascii="宋体" w:hAnsi="宋体" w:eastAsia="宋体"/>
                <w:color w:val="auto"/>
              </w:rPr>
            </w:pPr>
          </w:p>
        </w:tc>
        <w:tc>
          <w:tcPr>
            <w:tcW w:w="1582" w:type="dxa"/>
          </w:tcPr>
          <w:p w14:paraId="40A6D9EF">
            <w:pPr>
              <w:rPr>
                <w:rFonts w:ascii="宋体" w:hAnsi="宋体" w:eastAsia="宋体"/>
                <w:color w:val="auto"/>
              </w:rPr>
            </w:pPr>
          </w:p>
        </w:tc>
        <w:tc>
          <w:tcPr>
            <w:tcW w:w="1582" w:type="dxa"/>
          </w:tcPr>
          <w:p w14:paraId="75A421E8">
            <w:pPr>
              <w:rPr>
                <w:rFonts w:ascii="宋体" w:hAnsi="宋体" w:eastAsia="宋体"/>
                <w:color w:val="auto"/>
              </w:rPr>
            </w:pPr>
          </w:p>
        </w:tc>
        <w:tc>
          <w:tcPr>
            <w:tcW w:w="1437" w:type="dxa"/>
          </w:tcPr>
          <w:p w14:paraId="3B4101C2">
            <w:pPr>
              <w:rPr>
                <w:rFonts w:ascii="宋体" w:hAnsi="宋体" w:eastAsia="宋体"/>
                <w:color w:val="auto"/>
              </w:rPr>
            </w:pPr>
          </w:p>
        </w:tc>
      </w:tr>
      <w:tr w14:paraId="66E6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96B40C">
            <w:pPr>
              <w:rPr>
                <w:rFonts w:ascii="宋体" w:hAnsi="宋体" w:eastAsia="宋体"/>
                <w:color w:val="auto"/>
              </w:rPr>
            </w:pPr>
          </w:p>
        </w:tc>
        <w:tc>
          <w:tcPr>
            <w:tcW w:w="1525" w:type="dxa"/>
          </w:tcPr>
          <w:p w14:paraId="069C1C42">
            <w:pPr>
              <w:rPr>
                <w:rFonts w:ascii="宋体" w:hAnsi="宋体" w:eastAsia="宋体"/>
                <w:color w:val="auto"/>
              </w:rPr>
            </w:pPr>
          </w:p>
        </w:tc>
        <w:tc>
          <w:tcPr>
            <w:tcW w:w="1635" w:type="dxa"/>
          </w:tcPr>
          <w:p w14:paraId="77674B46">
            <w:pPr>
              <w:rPr>
                <w:rFonts w:ascii="宋体" w:hAnsi="宋体" w:eastAsia="宋体"/>
                <w:color w:val="auto"/>
              </w:rPr>
            </w:pPr>
          </w:p>
        </w:tc>
        <w:tc>
          <w:tcPr>
            <w:tcW w:w="859" w:type="dxa"/>
          </w:tcPr>
          <w:p w14:paraId="057BECE8">
            <w:pPr>
              <w:rPr>
                <w:rFonts w:ascii="宋体" w:hAnsi="宋体" w:eastAsia="宋体"/>
                <w:color w:val="auto"/>
              </w:rPr>
            </w:pPr>
          </w:p>
        </w:tc>
        <w:tc>
          <w:tcPr>
            <w:tcW w:w="1582" w:type="dxa"/>
          </w:tcPr>
          <w:p w14:paraId="22EE9B28">
            <w:pPr>
              <w:rPr>
                <w:rFonts w:ascii="宋体" w:hAnsi="宋体" w:eastAsia="宋体"/>
                <w:color w:val="auto"/>
              </w:rPr>
            </w:pPr>
          </w:p>
        </w:tc>
        <w:tc>
          <w:tcPr>
            <w:tcW w:w="1582" w:type="dxa"/>
          </w:tcPr>
          <w:p w14:paraId="74DCA72E">
            <w:pPr>
              <w:rPr>
                <w:rFonts w:ascii="宋体" w:hAnsi="宋体" w:eastAsia="宋体"/>
                <w:color w:val="auto"/>
              </w:rPr>
            </w:pPr>
          </w:p>
        </w:tc>
        <w:tc>
          <w:tcPr>
            <w:tcW w:w="1437" w:type="dxa"/>
          </w:tcPr>
          <w:p w14:paraId="73B5C9A7">
            <w:pPr>
              <w:rPr>
                <w:rFonts w:ascii="宋体" w:hAnsi="宋体" w:eastAsia="宋体"/>
                <w:color w:val="auto"/>
              </w:rPr>
            </w:pPr>
          </w:p>
        </w:tc>
      </w:tr>
      <w:tr w14:paraId="6F87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D2FFA7A">
            <w:pPr>
              <w:rPr>
                <w:rFonts w:ascii="宋体" w:hAnsi="宋体" w:eastAsia="宋体"/>
                <w:color w:val="auto"/>
              </w:rPr>
            </w:pPr>
          </w:p>
        </w:tc>
        <w:tc>
          <w:tcPr>
            <w:tcW w:w="1525" w:type="dxa"/>
          </w:tcPr>
          <w:p w14:paraId="43A82F01">
            <w:pPr>
              <w:rPr>
                <w:rFonts w:ascii="宋体" w:hAnsi="宋体" w:eastAsia="宋体"/>
                <w:color w:val="auto"/>
              </w:rPr>
            </w:pPr>
          </w:p>
        </w:tc>
        <w:tc>
          <w:tcPr>
            <w:tcW w:w="1635" w:type="dxa"/>
          </w:tcPr>
          <w:p w14:paraId="467AEB7B">
            <w:pPr>
              <w:rPr>
                <w:rFonts w:ascii="宋体" w:hAnsi="宋体" w:eastAsia="宋体"/>
                <w:color w:val="auto"/>
              </w:rPr>
            </w:pPr>
          </w:p>
        </w:tc>
        <w:tc>
          <w:tcPr>
            <w:tcW w:w="859" w:type="dxa"/>
          </w:tcPr>
          <w:p w14:paraId="64727124">
            <w:pPr>
              <w:rPr>
                <w:rFonts w:ascii="宋体" w:hAnsi="宋体" w:eastAsia="宋体"/>
                <w:color w:val="auto"/>
              </w:rPr>
            </w:pPr>
          </w:p>
        </w:tc>
        <w:tc>
          <w:tcPr>
            <w:tcW w:w="1582" w:type="dxa"/>
          </w:tcPr>
          <w:p w14:paraId="3142AEB6">
            <w:pPr>
              <w:rPr>
                <w:rFonts w:ascii="宋体" w:hAnsi="宋体" w:eastAsia="宋体"/>
                <w:color w:val="auto"/>
              </w:rPr>
            </w:pPr>
          </w:p>
        </w:tc>
        <w:tc>
          <w:tcPr>
            <w:tcW w:w="1582" w:type="dxa"/>
          </w:tcPr>
          <w:p w14:paraId="4FA736F6">
            <w:pPr>
              <w:rPr>
                <w:rFonts w:ascii="宋体" w:hAnsi="宋体" w:eastAsia="宋体"/>
                <w:color w:val="auto"/>
              </w:rPr>
            </w:pPr>
          </w:p>
        </w:tc>
        <w:tc>
          <w:tcPr>
            <w:tcW w:w="1437" w:type="dxa"/>
          </w:tcPr>
          <w:p w14:paraId="68F7E30F">
            <w:pPr>
              <w:rPr>
                <w:rFonts w:ascii="宋体" w:hAnsi="宋体" w:eastAsia="宋体"/>
                <w:color w:val="auto"/>
              </w:rPr>
            </w:pPr>
          </w:p>
        </w:tc>
      </w:tr>
      <w:tr w14:paraId="3954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9283DB8">
            <w:pPr>
              <w:rPr>
                <w:rFonts w:ascii="宋体" w:hAnsi="宋体" w:eastAsia="宋体"/>
                <w:color w:val="auto"/>
              </w:rPr>
            </w:pPr>
          </w:p>
        </w:tc>
        <w:tc>
          <w:tcPr>
            <w:tcW w:w="1525" w:type="dxa"/>
          </w:tcPr>
          <w:p w14:paraId="6C45C26E">
            <w:pPr>
              <w:rPr>
                <w:rFonts w:ascii="宋体" w:hAnsi="宋体" w:eastAsia="宋体"/>
                <w:color w:val="auto"/>
              </w:rPr>
            </w:pPr>
          </w:p>
        </w:tc>
        <w:tc>
          <w:tcPr>
            <w:tcW w:w="1635" w:type="dxa"/>
          </w:tcPr>
          <w:p w14:paraId="7E4E80E5">
            <w:pPr>
              <w:rPr>
                <w:rFonts w:ascii="宋体" w:hAnsi="宋体" w:eastAsia="宋体"/>
                <w:color w:val="auto"/>
              </w:rPr>
            </w:pPr>
          </w:p>
        </w:tc>
        <w:tc>
          <w:tcPr>
            <w:tcW w:w="859" w:type="dxa"/>
          </w:tcPr>
          <w:p w14:paraId="3990FE6A">
            <w:pPr>
              <w:rPr>
                <w:rFonts w:ascii="宋体" w:hAnsi="宋体" w:eastAsia="宋体"/>
                <w:color w:val="auto"/>
              </w:rPr>
            </w:pPr>
          </w:p>
        </w:tc>
        <w:tc>
          <w:tcPr>
            <w:tcW w:w="1582" w:type="dxa"/>
          </w:tcPr>
          <w:p w14:paraId="2442B599">
            <w:pPr>
              <w:rPr>
                <w:rFonts w:ascii="宋体" w:hAnsi="宋体" w:eastAsia="宋体"/>
                <w:color w:val="auto"/>
              </w:rPr>
            </w:pPr>
          </w:p>
        </w:tc>
        <w:tc>
          <w:tcPr>
            <w:tcW w:w="1582" w:type="dxa"/>
          </w:tcPr>
          <w:p w14:paraId="2607F7CE">
            <w:pPr>
              <w:rPr>
                <w:rFonts w:ascii="宋体" w:hAnsi="宋体" w:eastAsia="宋体"/>
                <w:color w:val="auto"/>
              </w:rPr>
            </w:pPr>
          </w:p>
        </w:tc>
        <w:tc>
          <w:tcPr>
            <w:tcW w:w="1437" w:type="dxa"/>
          </w:tcPr>
          <w:p w14:paraId="1235557C">
            <w:pPr>
              <w:rPr>
                <w:rFonts w:ascii="宋体" w:hAnsi="宋体" w:eastAsia="宋体"/>
                <w:color w:val="auto"/>
              </w:rPr>
            </w:pPr>
          </w:p>
        </w:tc>
      </w:tr>
      <w:tr w14:paraId="1086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E2B77E4">
            <w:pPr>
              <w:rPr>
                <w:rFonts w:ascii="宋体" w:hAnsi="宋体" w:eastAsia="宋体"/>
                <w:color w:val="auto"/>
              </w:rPr>
            </w:pPr>
          </w:p>
        </w:tc>
        <w:tc>
          <w:tcPr>
            <w:tcW w:w="1525" w:type="dxa"/>
          </w:tcPr>
          <w:p w14:paraId="79564998">
            <w:pPr>
              <w:rPr>
                <w:rFonts w:ascii="宋体" w:hAnsi="宋体" w:eastAsia="宋体"/>
                <w:color w:val="auto"/>
              </w:rPr>
            </w:pPr>
          </w:p>
        </w:tc>
        <w:tc>
          <w:tcPr>
            <w:tcW w:w="1635" w:type="dxa"/>
          </w:tcPr>
          <w:p w14:paraId="4E51F55A">
            <w:pPr>
              <w:rPr>
                <w:rFonts w:ascii="宋体" w:hAnsi="宋体" w:eastAsia="宋体"/>
                <w:color w:val="auto"/>
              </w:rPr>
            </w:pPr>
          </w:p>
        </w:tc>
        <w:tc>
          <w:tcPr>
            <w:tcW w:w="859" w:type="dxa"/>
          </w:tcPr>
          <w:p w14:paraId="78AAE312">
            <w:pPr>
              <w:rPr>
                <w:rFonts w:ascii="宋体" w:hAnsi="宋体" w:eastAsia="宋体"/>
                <w:color w:val="auto"/>
              </w:rPr>
            </w:pPr>
          </w:p>
        </w:tc>
        <w:tc>
          <w:tcPr>
            <w:tcW w:w="1582" w:type="dxa"/>
          </w:tcPr>
          <w:p w14:paraId="7103AB31">
            <w:pPr>
              <w:rPr>
                <w:rFonts w:ascii="宋体" w:hAnsi="宋体" w:eastAsia="宋体"/>
                <w:color w:val="auto"/>
              </w:rPr>
            </w:pPr>
          </w:p>
        </w:tc>
        <w:tc>
          <w:tcPr>
            <w:tcW w:w="1582" w:type="dxa"/>
          </w:tcPr>
          <w:p w14:paraId="4F923787">
            <w:pPr>
              <w:rPr>
                <w:rFonts w:ascii="宋体" w:hAnsi="宋体" w:eastAsia="宋体"/>
                <w:color w:val="auto"/>
              </w:rPr>
            </w:pPr>
          </w:p>
        </w:tc>
        <w:tc>
          <w:tcPr>
            <w:tcW w:w="1437" w:type="dxa"/>
          </w:tcPr>
          <w:p w14:paraId="29ADBB53">
            <w:pPr>
              <w:rPr>
                <w:rFonts w:ascii="宋体" w:hAnsi="宋体" w:eastAsia="宋体"/>
                <w:color w:val="auto"/>
              </w:rPr>
            </w:pPr>
          </w:p>
        </w:tc>
      </w:tr>
      <w:tr w14:paraId="1810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1D4901F">
            <w:pPr>
              <w:rPr>
                <w:rFonts w:ascii="宋体" w:hAnsi="宋体" w:eastAsia="宋体"/>
                <w:color w:val="auto"/>
              </w:rPr>
            </w:pPr>
          </w:p>
        </w:tc>
        <w:tc>
          <w:tcPr>
            <w:tcW w:w="1525" w:type="dxa"/>
          </w:tcPr>
          <w:p w14:paraId="680CB7CD">
            <w:pPr>
              <w:rPr>
                <w:rFonts w:ascii="宋体" w:hAnsi="宋体" w:eastAsia="宋体"/>
                <w:color w:val="auto"/>
              </w:rPr>
            </w:pPr>
          </w:p>
        </w:tc>
        <w:tc>
          <w:tcPr>
            <w:tcW w:w="1635" w:type="dxa"/>
          </w:tcPr>
          <w:p w14:paraId="0C9300BF">
            <w:pPr>
              <w:rPr>
                <w:rFonts w:ascii="宋体" w:hAnsi="宋体" w:eastAsia="宋体"/>
                <w:color w:val="auto"/>
              </w:rPr>
            </w:pPr>
          </w:p>
        </w:tc>
        <w:tc>
          <w:tcPr>
            <w:tcW w:w="859" w:type="dxa"/>
          </w:tcPr>
          <w:p w14:paraId="6B04B5C4">
            <w:pPr>
              <w:rPr>
                <w:rFonts w:ascii="宋体" w:hAnsi="宋体" w:eastAsia="宋体"/>
                <w:color w:val="auto"/>
              </w:rPr>
            </w:pPr>
          </w:p>
        </w:tc>
        <w:tc>
          <w:tcPr>
            <w:tcW w:w="1582" w:type="dxa"/>
          </w:tcPr>
          <w:p w14:paraId="75B7637F">
            <w:pPr>
              <w:rPr>
                <w:rFonts w:ascii="宋体" w:hAnsi="宋体" w:eastAsia="宋体"/>
                <w:color w:val="auto"/>
              </w:rPr>
            </w:pPr>
          </w:p>
        </w:tc>
        <w:tc>
          <w:tcPr>
            <w:tcW w:w="1582" w:type="dxa"/>
          </w:tcPr>
          <w:p w14:paraId="4C3717A8">
            <w:pPr>
              <w:rPr>
                <w:rFonts w:ascii="宋体" w:hAnsi="宋体" w:eastAsia="宋体"/>
                <w:color w:val="auto"/>
              </w:rPr>
            </w:pPr>
          </w:p>
        </w:tc>
        <w:tc>
          <w:tcPr>
            <w:tcW w:w="1437" w:type="dxa"/>
          </w:tcPr>
          <w:p w14:paraId="7D8D66BA">
            <w:pPr>
              <w:rPr>
                <w:rFonts w:ascii="宋体" w:hAnsi="宋体" w:eastAsia="宋体"/>
                <w:color w:val="auto"/>
              </w:rPr>
            </w:pPr>
          </w:p>
        </w:tc>
      </w:tr>
      <w:tr w14:paraId="629D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2C0A9A">
            <w:pPr>
              <w:rPr>
                <w:rFonts w:ascii="宋体" w:hAnsi="宋体" w:eastAsia="宋体"/>
                <w:color w:val="auto"/>
              </w:rPr>
            </w:pPr>
          </w:p>
        </w:tc>
        <w:tc>
          <w:tcPr>
            <w:tcW w:w="1525" w:type="dxa"/>
          </w:tcPr>
          <w:p w14:paraId="0BD208E5">
            <w:pPr>
              <w:rPr>
                <w:rFonts w:ascii="宋体" w:hAnsi="宋体" w:eastAsia="宋体"/>
                <w:color w:val="auto"/>
              </w:rPr>
            </w:pPr>
          </w:p>
        </w:tc>
        <w:tc>
          <w:tcPr>
            <w:tcW w:w="1635" w:type="dxa"/>
          </w:tcPr>
          <w:p w14:paraId="62A52ABD">
            <w:pPr>
              <w:rPr>
                <w:rFonts w:ascii="宋体" w:hAnsi="宋体" w:eastAsia="宋体"/>
                <w:color w:val="auto"/>
              </w:rPr>
            </w:pPr>
          </w:p>
        </w:tc>
        <w:tc>
          <w:tcPr>
            <w:tcW w:w="859" w:type="dxa"/>
          </w:tcPr>
          <w:p w14:paraId="17340C6F">
            <w:pPr>
              <w:rPr>
                <w:rFonts w:ascii="宋体" w:hAnsi="宋体" w:eastAsia="宋体"/>
                <w:color w:val="auto"/>
              </w:rPr>
            </w:pPr>
          </w:p>
        </w:tc>
        <w:tc>
          <w:tcPr>
            <w:tcW w:w="1582" w:type="dxa"/>
          </w:tcPr>
          <w:p w14:paraId="2B984726">
            <w:pPr>
              <w:rPr>
                <w:rFonts w:ascii="宋体" w:hAnsi="宋体" w:eastAsia="宋体"/>
                <w:color w:val="auto"/>
              </w:rPr>
            </w:pPr>
          </w:p>
        </w:tc>
        <w:tc>
          <w:tcPr>
            <w:tcW w:w="1582" w:type="dxa"/>
          </w:tcPr>
          <w:p w14:paraId="2492796B">
            <w:pPr>
              <w:rPr>
                <w:rFonts w:ascii="宋体" w:hAnsi="宋体" w:eastAsia="宋体"/>
                <w:color w:val="auto"/>
              </w:rPr>
            </w:pPr>
          </w:p>
        </w:tc>
        <w:tc>
          <w:tcPr>
            <w:tcW w:w="1437" w:type="dxa"/>
          </w:tcPr>
          <w:p w14:paraId="38339B86">
            <w:pPr>
              <w:rPr>
                <w:rFonts w:ascii="宋体" w:hAnsi="宋体" w:eastAsia="宋体"/>
                <w:color w:val="auto"/>
              </w:rPr>
            </w:pPr>
          </w:p>
        </w:tc>
      </w:tr>
      <w:tr w14:paraId="0464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58BE146">
            <w:pPr>
              <w:rPr>
                <w:rFonts w:ascii="宋体" w:hAnsi="宋体" w:eastAsia="宋体"/>
                <w:color w:val="auto"/>
              </w:rPr>
            </w:pPr>
          </w:p>
        </w:tc>
        <w:tc>
          <w:tcPr>
            <w:tcW w:w="1525" w:type="dxa"/>
          </w:tcPr>
          <w:p w14:paraId="408D7088">
            <w:pPr>
              <w:rPr>
                <w:rFonts w:ascii="宋体" w:hAnsi="宋体" w:eastAsia="宋体"/>
                <w:color w:val="auto"/>
              </w:rPr>
            </w:pPr>
          </w:p>
        </w:tc>
        <w:tc>
          <w:tcPr>
            <w:tcW w:w="1635" w:type="dxa"/>
          </w:tcPr>
          <w:p w14:paraId="10759F57">
            <w:pPr>
              <w:rPr>
                <w:rFonts w:ascii="宋体" w:hAnsi="宋体" w:eastAsia="宋体"/>
                <w:color w:val="auto"/>
              </w:rPr>
            </w:pPr>
          </w:p>
        </w:tc>
        <w:tc>
          <w:tcPr>
            <w:tcW w:w="859" w:type="dxa"/>
          </w:tcPr>
          <w:p w14:paraId="03BA03DC">
            <w:pPr>
              <w:rPr>
                <w:rFonts w:ascii="宋体" w:hAnsi="宋体" w:eastAsia="宋体"/>
                <w:color w:val="auto"/>
              </w:rPr>
            </w:pPr>
          </w:p>
        </w:tc>
        <w:tc>
          <w:tcPr>
            <w:tcW w:w="1582" w:type="dxa"/>
          </w:tcPr>
          <w:p w14:paraId="262C38D4">
            <w:pPr>
              <w:rPr>
                <w:rFonts w:ascii="宋体" w:hAnsi="宋体" w:eastAsia="宋体"/>
                <w:color w:val="auto"/>
              </w:rPr>
            </w:pPr>
          </w:p>
        </w:tc>
        <w:tc>
          <w:tcPr>
            <w:tcW w:w="1582" w:type="dxa"/>
          </w:tcPr>
          <w:p w14:paraId="3D09AE23">
            <w:pPr>
              <w:rPr>
                <w:rFonts w:ascii="宋体" w:hAnsi="宋体" w:eastAsia="宋体"/>
                <w:color w:val="auto"/>
              </w:rPr>
            </w:pPr>
          </w:p>
        </w:tc>
        <w:tc>
          <w:tcPr>
            <w:tcW w:w="1437" w:type="dxa"/>
          </w:tcPr>
          <w:p w14:paraId="68DC8108">
            <w:pPr>
              <w:rPr>
                <w:rFonts w:ascii="宋体" w:hAnsi="宋体" w:eastAsia="宋体"/>
                <w:color w:val="auto"/>
              </w:rPr>
            </w:pPr>
          </w:p>
        </w:tc>
      </w:tr>
      <w:tr w14:paraId="51A8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421A30">
            <w:pPr>
              <w:rPr>
                <w:rFonts w:ascii="宋体" w:hAnsi="宋体" w:eastAsia="宋体"/>
                <w:color w:val="auto"/>
              </w:rPr>
            </w:pPr>
          </w:p>
        </w:tc>
        <w:tc>
          <w:tcPr>
            <w:tcW w:w="1525" w:type="dxa"/>
          </w:tcPr>
          <w:p w14:paraId="0C892459">
            <w:pPr>
              <w:rPr>
                <w:rFonts w:ascii="宋体" w:hAnsi="宋体" w:eastAsia="宋体"/>
                <w:color w:val="auto"/>
              </w:rPr>
            </w:pPr>
          </w:p>
        </w:tc>
        <w:tc>
          <w:tcPr>
            <w:tcW w:w="1635" w:type="dxa"/>
          </w:tcPr>
          <w:p w14:paraId="32B11142">
            <w:pPr>
              <w:rPr>
                <w:rFonts w:ascii="宋体" w:hAnsi="宋体" w:eastAsia="宋体"/>
                <w:color w:val="auto"/>
              </w:rPr>
            </w:pPr>
          </w:p>
        </w:tc>
        <w:tc>
          <w:tcPr>
            <w:tcW w:w="859" w:type="dxa"/>
          </w:tcPr>
          <w:p w14:paraId="5EF72963">
            <w:pPr>
              <w:rPr>
                <w:rFonts w:ascii="宋体" w:hAnsi="宋体" w:eastAsia="宋体"/>
                <w:color w:val="auto"/>
              </w:rPr>
            </w:pPr>
          </w:p>
        </w:tc>
        <w:tc>
          <w:tcPr>
            <w:tcW w:w="1582" w:type="dxa"/>
          </w:tcPr>
          <w:p w14:paraId="751C57EE">
            <w:pPr>
              <w:rPr>
                <w:rFonts w:ascii="宋体" w:hAnsi="宋体" w:eastAsia="宋体"/>
                <w:color w:val="auto"/>
              </w:rPr>
            </w:pPr>
          </w:p>
        </w:tc>
        <w:tc>
          <w:tcPr>
            <w:tcW w:w="1582" w:type="dxa"/>
          </w:tcPr>
          <w:p w14:paraId="2E8936D6">
            <w:pPr>
              <w:rPr>
                <w:rFonts w:ascii="宋体" w:hAnsi="宋体" w:eastAsia="宋体"/>
                <w:color w:val="auto"/>
              </w:rPr>
            </w:pPr>
          </w:p>
        </w:tc>
        <w:tc>
          <w:tcPr>
            <w:tcW w:w="1437" w:type="dxa"/>
          </w:tcPr>
          <w:p w14:paraId="36EA1FD3">
            <w:pPr>
              <w:rPr>
                <w:rFonts w:ascii="宋体" w:hAnsi="宋体" w:eastAsia="宋体"/>
                <w:color w:val="auto"/>
              </w:rPr>
            </w:pPr>
          </w:p>
        </w:tc>
      </w:tr>
      <w:tr w14:paraId="06ED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67A10">
            <w:pPr>
              <w:rPr>
                <w:rFonts w:ascii="宋体" w:hAnsi="宋体" w:eastAsia="宋体"/>
                <w:color w:val="auto"/>
              </w:rPr>
            </w:pPr>
          </w:p>
        </w:tc>
        <w:tc>
          <w:tcPr>
            <w:tcW w:w="1525" w:type="dxa"/>
          </w:tcPr>
          <w:p w14:paraId="1AD9C50F">
            <w:pPr>
              <w:rPr>
                <w:rFonts w:ascii="宋体" w:hAnsi="宋体" w:eastAsia="宋体"/>
                <w:color w:val="auto"/>
              </w:rPr>
            </w:pPr>
          </w:p>
        </w:tc>
        <w:tc>
          <w:tcPr>
            <w:tcW w:w="1635" w:type="dxa"/>
          </w:tcPr>
          <w:p w14:paraId="285CFBEC">
            <w:pPr>
              <w:rPr>
                <w:rFonts w:ascii="宋体" w:hAnsi="宋体" w:eastAsia="宋体"/>
                <w:color w:val="auto"/>
              </w:rPr>
            </w:pPr>
          </w:p>
        </w:tc>
        <w:tc>
          <w:tcPr>
            <w:tcW w:w="859" w:type="dxa"/>
          </w:tcPr>
          <w:p w14:paraId="091765DF">
            <w:pPr>
              <w:rPr>
                <w:rFonts w:ascii="宋体" w:hAnsi="宋体" w:eastAsia="宋体"/>
                <w:color w:val="auto"/>
              </w:rPr>
            </w:pPr>
          </w:p>
        </w:tc>
        <w:tc>
          <w:tcPr>
            <w:tcW w:w="1582" w:type="dxa"/>
          </w:tcPr>
          <w:p w14:paraId="4C928849">
            <w:pPr>
              <w:rPr>
                <w:rFonts w:ascii="宋体" w:hAnsi="宋体" w:eastAsia="宋体"/>
                <w:color w:val="auto"/>
              </w:rPr>
            </w:pPr>
          </w:p>
        </w:tc>
        <w:tc>
          <w:tcPr>
            <w:tcW w:w="1582" w:type="dxa"/>
          </w:tcPr>
          <w:p w14:paraId="1395A07C">
            <w:pPr>
              <w:rPr>
                <w:rFonts w:ascii="宋体" w:hAnsi="宋体" w:eastAsia="宋体"/>
                <w:color w:val="auto"/>
              </w:rPr>
            </w:pPr>
          </w:p>
        </w:tc>
        <w:tc>
          <w:tcPr>
            <w:tcW w:w="1437" w:type="dxa"/>
          </w:tcPr>
          <w:p w14:paraId="205FC4C7">
            <w:pPr>
              <w:rPr>
                <w:rFonts w:ascii="宋体" w:hAnsi="宋体" w:eastAsia="宋体"/>
                <w:color w:val="auto"/>
              </w:rPr>
            </w:pPr>
          </w:p>
        </w:tc>
      </w:tr>
      <w:tr w14:paraId="1E6B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3E15D5C">
            <w:pPr>
              <w:rPr>
                <w:rFonts w:ascii="宋体" w:hAnsi="宋体" w:eastAsia="宋体"/>
                <w:color w:val="auto"/>
              </w:rPr>
            </w:pPr>
          </w:p>
        </w:tc>
        <w:tc>
          <w:tcPr>
            <w:tcW w:w="1525" w:type="dxa"/>
          </w:tcPr>
          <w:p w14:paraId="005C60AA">
            <w:pPr>
              <w:rPr>
                <w:rFonts w:ascii="宋体" w:hAnsi="宋体" w:eastAsia="宋体"/>
                <w:color w:val="auto"/>
              </w:rPr>
            </w:pPr>
          </w:p>
        </w:tc>
        <w:tc>
          <w:tcPr>
            <w:tcW w:w="1635" w:type="dxa"/>
          </w:tcPr>
          <w:p w14:paraId="564BFAE0">
            <w:pPr>
              <w:rPr>
                <w:rFonts w:ascii="宋体" w:hAnsi="宋体" w:eastAsia="宋体"/>
                <w:color w:val="auto"/>
              </w:rPr>
            </w:pPr>
          </w:p>
        </w:tc>
        <w:tc>
          <w:tcPr>
            <w:tcW w:w="859" w:type="dxa"/>
          </w:tcPr>
          <w:p w14:paraId="7C9F464D">
            <w:pPr>
              <w:rPr>
                <w:rFonts w:ascii="宋体" w:hAnsi="宋体" w:eastAsia="宋体"/>
                <w:color w:val="auto"/>
              </w:rPr>
            </w:pPr>
          </w:p>
        </w:tc>
        <w:tc>
          <w:tcPr>
            <w:tcW w:w="1582" w:type="dxa"/>
          </w:tcPr>
          <w:p w14:paraId="35E56DF3">
            <w:pPr>
              <w:rPr>
                <w:rFonts w:ascii="宋体" w:hAnsi="宋体" w:eastAsia="宋体"/>
                <w:color w:val="auto"/>
              </w:rPr>
            </w:pPr>
          </w:p>
        </w:tc>
        <w:tc>
          <w:tcPr>
            <w:tcW w:w="1582" w:type="dxa"/>
          </w:tcPr>
          <w:p w14:paraId="0E98B549">
            <w:pPr>
              <w:rPr>
                <w:rFonts w:ascii="宋体" w:hAnsi="宋体" w:eastAsia="宋体"/>
                <w:color w:val="auto"/>
              </w:rPr>
            </w:pPr>
          </w:p>
        </w:tc>
        <w:tc>
          <w:tcPr>
            <w:tcW w:w="1437" w:type="dxa"/>
          </w:tcPr>
          <w:p w14:paraId="6E93B41F">
            <w:pPr>
              <w:rPr>
                <w:rFonts w:ascii="宋体" w:hAnsi="宋体" w:eastAsia="宋体"/>
                <w:color w:val="auto"/>
              </w:rPr>
            </w:pPr>
          </w:p>
        </w:tc>
      </w:tr>
      <w:tr w14:paraId="64E3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D4B0F4">
            <w:pPr>
              <w:rPr>
                <w:rFonts w:ascii="宋体" w:hAnsi="宋体" w:eastAsia="宋体"/>
                <w:color w:val="auto"/>
              </w:rPr>
            </w:pPr>
          </w:p>
        </w:tc>
        <w:tc>
          <w:tcPr>
            <w:tcW w:w="1525" w:type="dxa"/>
          </w:tcPr>
          <w:p w14:paraId="58004801">
            <w:pPr>
              <w:rPr>
                <w:rFonts w:ascii="宋体" w:hAnsi="宋体" w:eastAsia="宋体"/>
                <w:color w:val="auto"/>
              </w:rPr>
            </w:pPr>
          </w:p>
        </w:tc>
        <w:tc>
          <w:tcPr>
            <w:tcW w:w="1635" w:type="dxa"/>
          </w:tcPr>
          <w:p w14:paraId="4EF77C00">
            <w:pPr>
              <w:rPr>
                <w:rFonts w:ascii="宋体" w:hAnsi="宋体" w:eastAsia="宋体"/>
                <w:color w:val="auto"/>
              </w:rPr>
            </w:pPr>
          </w:p>
        </w:tc>
        <w:tc>
          <w:tcPr>
            <w:tcW w:w="859" w:type="dxa"/>
          </w:tcPr>
          <w:p w14:paraId="4728BF1C">
            <w:pPr>
              <w:rPr>
                <w:rFonts w:ascii="宋体" w:hAnsi="宋体" w:eastAsia="宋体"/>
                <w:color w:val="auto"/>
              </w:rPr>
            </w:pPr>
          </w:p>
        </w:tc>
        <w:tc>
          <w:tcPr>
            <w:tcW w:w="1582" w:type="dxa"/>
          </w:tcPr>
          <w:p w14:paraId="148A238C">
            <w:pPr>
              <w:rPr>
                <w:rFonts w:ascii="宋体" w:hAnsi="宋体" w:eastAsia="宋体"/>
                <w:color w:val="auto"/>
              </w:rPr>
            </w:pPr>
          </w:p>
        </w:tc>
        <w:tc>
          <w:tcPr>
            <w:tcW w:w="1582" w:type="dxa"/>
          </w:tcPr>
          <w:p w14:paraId="4AE8A27D">
            <w:pPr>
              <w:rPr>
                <w:rFonts w:ascii="宋体" w:hAnsi="宋体" w:eastAsia="宋体"/>
                <w:color w:val="auto"/>
              </w:rPr>
            </w:pPr>
          </w:p>
        </w:tc>
        <w:tc>
          <w:tcPr>
            <w:tcW w:w="1437" w:type="dxa"/>
          </w:tcPr>
          <w:p w14:paraId="5F6140A4">
            <w:pPr>
              <w:rPr>
                <w:rFonts w:ascii="宋体" w:hAnsi="宋体" w:eastAsia="宋体"/>
                <w:color w:val="auto"/>
              </w:rPr>
            </w:pPr>
          </w:p>
        </w:tc>
      </w:tr>
    </w:tbl>
    <w:p w14:paraId="30E1FAF7">
      <w:pPr>
        <w:rPr>
          <w:rFonts w:ascii="宋体" w:hAnsi="宋体" w:eastAsia="宋体"/>
          <w:color w:val="auto"/>
          <w:sz w:val="28"/>
        </w:rPr>
      </w:pPr>
    </w:p>
    <w:p w14:paraId="798779FE">
      <w:pPr>
        <w:rPr>
          <w:rFonts w:ascii="宋体" w:hAnsi="宋体" w:eastAsia="宋体"/>
          <w:color w:val="auto"/>
          <w:sz w:val="24"/>
          <w:szCs w:val="24"/>
        </w:rPr>
      </w:pPr>
      <w:r>
        <w:rPr>
          <w:rFonts w:hint="eastAsia" w:ascii="宋体" w:hAnsi="宋体" w:eastAsia="宋体"/>
          <w:color w:val="auto"/>
          <w:sz w:val="24"/>
          <w:szCs w:val="24"/>
        </w:rPr>
        <w:t>法定代表人（签字或盖章）：                             投标人（盖章）：</w:t>
      </w:r>
    </w:p>
    <w:p w14:paraId="0D7B320F">
      <w:pPr>
        <w:jc w:val="right"/>
        <w:rPr>
          <w:rFonts w:ascii="宋体" w:hAnsi="宋体" w:eastAsia="宋体"/>
          <w:color w:val="auto"/>
          <w:sz w:val="24"/>
          <w:szCs w:val="24"/>
        </w:rPr>
      </w:pPr>
    </w:p>
    <w:p w14:paraId="52F042D9">
      <w:pPr>
        <w:ind w:firstLine="6480" w:firstLineChars="2700"/>
        <w:rPr>
          <w:rFonts w:ascii="宋体" w:hAnsi="宋体" w:eastAsia="宋体"/>
          <w:color w:val="auto"/>
          <w:sz w:val="24"/>
          <w:szCs w:val="24"/>
        </w:rPr>
      </w:pPr>
    </w:p>
    <w:p w14:paraId="6C05537C">
      <w:pPr>
        <w:ind w:firstLine="6480" w:firstLineChars="2700"/>
        <w:rPr>
          <w:b/>
          <w:color w:val="auto"/>
          <w:sz w:val="28"/>
          <w:szCs w:val="28"/>
        </w:rPr>
      </w:pPr>
      <w:r>
        <w:rPr>
          <w:rFonts w:hint="eastAsia" w:ascii="宋体" w:hAnsi="宋体" w:eastAsia="宋体"/>
          <w:color w:val="auto"/>
          <w:sz w:val="24"/>
          <w:szCs w:val="24"/>
        </w:rPr>
        <w:t>日期：   年   月   日</w:t>
      </w:r>
      <w:bookmarkStart w:id="185" w:name="_Toc386122461"/>
      <w:bookmarkStart w:id="186" w:name="_Toc169487834"/>
      <w:bookmarkStart w:id="187" w:name="_Toc155342588"/>
      <w:bookmarkStart w:id="188" w:name="_Toc386121764"/>
      <w:bookmarkStart w:id="189" w:name="_Toc28874"/>
      <w:bookmarkStart w:id="190" w:name="_Toc20350"/>
      <w:bookmarkStart w:id="191" w:name="_Toc76292000"/>
      <w:bookmarkStart w:id="192" w:name="_Toc155342587"/>
      <w:bookmarkStart w:id="193" w:name="_Toc147380660"/>
      <w:bookmarkStart w:id="194" w:name="_Toc118710617"/>
      <w:bookmarkStart w:id="195" w:name="_Toc136335625"/>
      <w:bookmarkStart w:id="196" w:name="_Toc106553081"/>
      <w:bookmarkStart w:id="197" w:name="_Toc118275606"/>
    </w:p>
    <w:p w14:paraId="6C8525F5">
      <w:pPr>
        <w:pStyle w:val="3"/>
        <w:numPr>
          <w:ilvl w:val="0"/>
          <w:numId w:val="0"/>
        </w:numPr>
        <w:spacing w:before="0" w:afterLines="0" w:line="240" w:lineRule="auto"/>
        <w:jc w:val="both"/>
        <w:rPr>
          <w:b w:val="0"/>
          <w:color w:val="auto"/>
          <w:sz w:val="28"/>
          <w:szCs w:val="28"/>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FBD6A4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附件七：</w:t>
      </w:r>
      <w:bookmarkEnd w:id="185"/>
      <w:bookmarkEnd w:id="186"/>
      <w:bookmarkEnd w:id="187"/>
      <w:bookmarkEnd w:id="188"/>
      <w:r>
        <w:rPr>
          <w:rFonts w:hint="eastAsia"/>
          <w:b w:val="0"/>
          <w:color w:val="auto"/>
          <w:sz w:val="28"/>
          <w:szCs w:val="28"/>
        </w:rPr>
        <w:t>临海市建设工程诚信投标承诺书</w:t>
      </w:r>
      <w:bookmarkEnd w:id="189"/>
      <w:bookmarkEnd w:id="190"/>
    </w:p>
    <w:p w14:paraId="232F61F1">
      <w:pPr>
        <w:rPr>
          <w:rFonts w:ascii="黑体" w:eastAsia="黑体"/>
          <w:color w:val="auto"/>
          <w:sz w:val="28"/>
          <w:szCs w:val="28"/>
        </w:rPr>
      </w:pPr>
    </w:p>
    <w:p w14:paraId="132C7840">
      <w:pPr>
        <w:spacing w:line="360" w:lineRule="auto"/>
        <w:jc w:val="center"/>
        <w:rPr>
          <w:rFonts w:ascii="小标宋" w:eastAsia="宋体"/>
          <w:bCs/>
          <w:color w:val="auto"/>
          <w:sz w:val="44"/>
        </w:rPr>
      </w:pPr>
      <w:r>
        <w:rPr>
          <w:rFonts w:hint="eastAsia" w:ascii="黑体" w:hAnsi="宋体" w:eastAsia="黑体"/>
          <w:b/>
          <w:color w:val="auto"/>
          <w:sz w:val="44"/>
        </w:rPr>
        <w:t>临海市建设工程诚信投标承诺书</w:t>
      </w:r>
    </w:p>
    <w:p w14:paraId="452A62A8">
      <w:pPr>
        <w:adjustRightInd w:val="0"/>
        <w:snapToGrid w:val="0"/>
        <w:spacing w:line="360" w:lineRule="auto"/>
        <w:rPr>
          <w:rFonts w:eastAsia="宋体"/>
          <w:color w:val="auto"/>
          <w:sz w:val="24"/>
        </w:rPr>
      </w:pPr>
    </w:p>
    <w:p w14:paraId="6664104B">
      <w:pPr>
        <w:adjustRightInd w:val="0"/>
        <w:snapToGrid w:val="0"/>
        <w:spacing w:line="360" w:lineRule="auto"/>
        <w:rPr>
          <w:rFonts w:eastAsia="宋体"/>
          <w:color w:val="auto"/>
          <w:sz w:val="28"/>
          <w:szCs w:val="28"/>
        </w:rPr>
      </w:pPr>
      <w:r>
        <w:rPr>
          <w:rFonts w:hint="eastAsia" w:eastAsia="宋体"/>
          <w:color w:val="auto"/>
          <w:sz w:val="28"/>
          <w:szCs w:val="28"/>
        </w:rPr>
        <w:t>本人以企业法定代表人的身份郑重承诺：</w:t>
      </w:r>
    </w:p>
    <w:p w14:paraId="2BC44C9A">
      <w:pPr>
        <w:spacing w:line="360" w:lineRule="auto"/>
        <w:ind w:firstLine="560" w:firstLineChars="200"/>
        <w:rPr>
          <w:rFonts w:eastAsia="宋体"/>
          <w:color w:val="auto"/>
          <w:sz w:val="28"/>
          <w:szCs w:val="28"/>
        </w:rPr>
      </w:pPr>
      <w:r>
        <w:rPr>
          <w:rFonts w:hint="eastAsia" w:eastAsia="宋体"/>
          <w:color w:val="auto"/>
          <w:sz w:val="28"/>
          <w:szCs w:val="28"/>
        </w:rPr>
        <w:t>一、将遵循公开、公平、公正和诚实信用的原则参加</w:t>
      </w:r>
      <w:r>
        <w:rPr>
          <w:rFonts w:hint="eastAsia" w:eastAsia="宋体"/>
          <w:bCs/>
          <w:color w:val="auto"/>
          <w:sz w:val="28"/>
          <w:szCs w:val="28"/>
          <w:u w:val="single"/>
          <w:lang w:eastAsia="zh-CN"/>
        </w:rPr>
        <w:t>临海市第六中学心理辅导站及污水管道改造工程</w:t>
      </w:r>
      <w:r>
        <w:rPr>
          <w:rFonts w:hint="eastAsia" w:eastAsia="宋体"/>
          <w:color w:val="auto"/>
          <w:sz w:val="28"/>
          <w:szCs w:val="28"/>
        </w:rPr>
        <w:t>的投标；</w:t>
      </w:r>
    </w:p>
    <w:p w14:paraId="4C2090E6">
      <w:pPr>
        <w:adjustRightInd w:val="0"/>
        <w:snapToGrid w:val="0"/>
        <w:spacing w:line="360" w:lineRule="auto"/>
        <w:ind w:firstLine="610" w:firstLineChars="218"/>
        <w:rPr>
          <w:rFonts w:eastAsia="宋体"/>
          <w:color w:val="auto"/>
          <w:sz w:val="28"/>
          <w:szCs w:val="28"/>
        </w:rPr>
      </w:pPr>
      <w:r>
        <w:rPr>
          <w:rFonts w:hint="eastAsia" w:eastAsia="宋体"/>
          <w:color w:val="auto"/>
          <w:sz w:val="28"/>
          <w:szCs w:val="28"/>
        </w:rPr>
        <w:t>二、所提供的一切材料都是真实、有效、合法的；</w:t>
      </w:r>
    </w:p>
    <w:p w14:paraId="22824D9C">
      <w:pPr>
        <w:adjustRightInd w:val="0"/>
        <w:snapToGrid w:val="0"/>
        <w:spacing w:line="360" w:lineRule="auto"/>
        <w:ind w:firstLine="624" w:firstLineChars="223"/>
        <w:rPr>
          <w:rFonts w:eastAsia="宋体"/>
          <w:color w:val="auto"/>
          <w:sz w:val="28"/>
          <w:szCs w:val="28"/>
        </w:rPr>
      </w:pPr>
      <w:r>
        <w:rPr>
          <w:rFonts w:hint="eastAsia" w:eastAsia="宋体"/>
          <w:color w:val="auto"/>
          <w:sz w:val="28"/>
          <w:szCs w:val="28"/>
        </w:rPr>
        <w:t>三、不与其他投标人相互串通投标报价，不排挤其他投标人的公平竞争，不损害招标人或其他投标人的合法权益；</w:t>
      </w:r>
    </w:p>
    <w:p w14:paraId="75FB5A36">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四、不与招标人或招标代理机构串通投标，损害国家利益、社会公共利益或者他人的合法权益；</w:t>
      </w:r>
    </w:p>
    <w:p w14:paraId="7440F918">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五、不向招标人或者评标委员会成员行贿以牟取中标；</w:t>
      </w:r>
    </w:p>
    <w:p w14:paraId="6F8610D4">
      <w:pPr>
        <w:adjustRightInd w:val="0"/>
        <w:snapToGrid w:val="0"/>
        <w:spacing w:line="360" w:lineRule="auto"/>
        <w:ind w:firstLine="672" w:firstLineChars="240"/>
        <w:rPr>
          <w:rFonts w:eastAsia="宋体"/>
          <w:color w:val="auto"/>
          <w:sz w:val="28"/>
          <w:szCs w:val="28"/>
        </w:rPr>
      </w:pPr>
      <w:r>
        <w:rPr>
          <w:rFonts w:hint="eastAsia" w:eastAsia="宋体"/>
          <w:color w:val="auto"/>
          <w:sz w:val="28"/>
          <w:szCs w:val="28"/>
        </w:rPr>
        <w:t>六、不以他人名义投标或者以其他方式弄虚作假，骗取中标。</w:t>
      </w:r>
    </w:p>
    <w:p w14:paraId="0D8C2713">
      <w:pPr>
        <w:adjustRightInd w:val="0"/>
        <w:snapToGrid w:val="0"/>
        <w:spacing w:line="360" w:lineRule="auto"/>
        <w:ind w:firstLine="722" w:firstLineChars="258"/>
        <w:rPr>
          <w:rFonts w:eastAsia="宋体"/>
          <w:color w:val="auto"/>
          <w:sz w:val="28"/>
          <w:szCs w:val="28"/>
        </w:rPr>
      </w:pPr>
      <w:r>
        <w:rPr>
          <w:rFonts w:hint="eastAsia" w:eastAsia="宋体"/>
          <w:color w:val="auto"/>
          <w:sz w:val="28"/>
          <w:szCs w:val="28"/>
        </w:rPr>
        <w:t>本公司若有违反本承诺内容的行为，愿意承担法律责任。如已中标的，自动放弃中标资格；给招标人造成损失的，依法承担赔偿责任。</w:t>
      </w:r>
    </w:p>
    <w:p w14:paraId="5EA2C030">
      <w:pPr>
        <w:adjustRightInd w:val="0"/>
        <w:snapToGrid w:val="0"/>
        <w:spacing w:line="360" w:lineRule="auto"/>
        <w:ind w:firstLine="722" w:firstLineChars="258"/>
        <w:rPr>
          <w:rFonts w:hint="eastAsia" w:eastAsia="宋体"/>
          <w:color w:val="auto"/>
          <w:sz w:val="28"/>
          <w:szCs w:val="28"/>
        </w:rPr>
      </w:pPr>
      <w:r>
        <w:rPr>
          <w:rFonts w:hint="eastAsia" w:eastAsia="宋体"/>
          <w:color w:val="auto"/>
          <w:sz w:val="28"/>
          <w:szCs w:val="28"/>
        </w:rPr>
        <w:t>如招标人需要调查了解的，本公司负责本次投标的主管人员（分管经营的副总）将积极配合。</w:t>
      </w:r>
    </w:p>
    <w:p w14:paraId="14234BB7">
      <w:pPr>
        <w:adjustRightInd w:val="0"/>
        <w:snapToGrid w:val="0"/>
        <w:spacing w:line="360" w:lineRule="auto"/>
        <w:ind w:firstLine="722" w:firstLineChars="258"/>
        <w:rPr>
          <w:rFonts w:hint="default" w:eastAsia="宋体"/>
          <w:color w:val="auto"/>
          <w:sz w:val="28"/>
          <w:szCs w:val="28"/>
          <w:u w:val="single"/>
          <w:lang w:val="en-US" w:eastAsia="zh-CN"/>
        </w:rPr>
      </w:pPr>
      <w:r>
        <w:rPr>
          <w:rFonts w:hint="eastAsia" w:eastAsia="宋体"/>
          <w:color w:val="auto"/>
          <w:sz w:val="28"/>
          <w:szCs w:val="28"/>
        </w:rPr>
        <w:t>主管人员：</w:t>
      </w:r>
      <w:r>
        <w:rPr>
          <w:rFonts w:hint="eastAsia" w:eastAsia="宋体"/>
          <w:color w:val="auto"/>
          <w:sz w:val="28"/>
          <w:szCs w:val="28"/>
          <w:u w:val="single"/>
        </w:rPr>
        <w:t xml:space="preserve">            </w:t>
      </w:r>
      <w:r>
        <w:rPr>
          <w:rFonts w:hint="eastAsia" w:eastAsia="宋体"/>
          <w:color w:val="auto"/>
          <w:sz w:val="28"/>
          <w:szCs w:val="28"/>
        </w:rPr>
        <w:t>手机：</w:t>
      </w:r>
      <w:r>
        <w:rPr>
          <w:rFonts w:hint="eastAsia" w:eastAsia="宋体"/>
          <w:color w:val="auto"/>
          <w:sz w:val="28"/>
          <w:szCs w:val="28"/>
          <w:u w:val="single"/>
        </w:rPr>
        <w:t xml:space="preserve">           </w:t>
      </w:r>
      <w:r>
        <w:rPr>
          <w:rFonts w:hint="eastAsia" w:eastAsia="宋体"/>
          <w:color w:val="auto"/>
          <w:sz w:val="28"/>
          <w:szCs w:val="28"/>
          <w:u w:val="single"/>
          <w:lang w:val="en-US" w:eastAsia="zh-CN"/>
        </w:rPr>
        <w:t xml:space="preserve"> </w:t>
      </w:r>
      <w:r>
        <w:rPr>
          <w:rFonts w:hint="eastAsia" w:eastAsia="宋体"/>
          <w:color w:val="auto"/>
          <w:sz w:val="28"/>
          <w:szCs w:val="28"/>
          <w:u w:val="none"/>
          <w:lang w:val="en-US" w:eastAsia="zh-CN"/>
        </w:rPr>
        <w:t xml:space="preserve"> 邮箱：</w:t>
      </w:r>
      <w:r>
        <w:rPr>
          <w:rFonts w:hint="eastAsia" w:eastAsia="宋体"/>
          <w:color w:val="auto"/>
          <w:sz w:val="28"/>
          <w:szCs w:val="28"/>
          <w:u w:val="single"/>
          <w:lang w:val="en-US" w:eastAsia="zh-CN"/>
        </w:rPr>
        <w:t xml:space="preserve">            </w:t>
      </w:r>
    </w:p>
    <w:p w14:paraId="7AD2C530">
      <w:pPr>
        <w:pStyle w:val="30"/>
        <w:rPr>
          <w:color w:val="auto"/>
          <w:sz w:val="28"/>
          <w:szCs w:val="28"/>
        </w:rPr>
      </w:pPr>
    </w:p>
    <w:p w14:paraId="3C525B2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法定代表人（签字或盖章）：</w:t>
      </w:r>
    </w:p>
    <w:p w14:paraId="05EA584F">
      <w:pPr>
        <w:adjustRightInd w:val="0"/>
        <w:snapToGrid w:val="0"/>
        <w:spacing w:line="586" w:lineRule="exact"/>
        <w:rPr>
          <w:rFonts w:eastAsia="宋体"/>
          <w:color w:val="auto"/>
          <w:sz w:val="28"/>
          <w:szCs w:val="28"/>
        </w:rPr>
      </w:pPr>
    </w:p>
    <w:p w14:paraId="327C2F1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投  标  人（盖章）：</w:t>
      </w:r>
    </w:p>
    <w:p w14:paraId="335CB557">
      <w:pPr>
        <w:adjustRightInd w:val="0"/>
        <w:snapToGrid w:val="0"/>
        <w:spacing w:line="586" w:lineRule="exact"/>
        <w:ind w:right="640" w:firstLine="3920" w:firstLineChars="1400"/>
        <w:jc w:val="center"/>
        <w:rPr>
          <w:color w:val="auto"/>
          <w:sz w:val="28"/>
          <w:szCs w:val="28"/>
        </w:rPr>
      </w:pPr>
      <w:bookmarkStart w:id="198" w:name="_Toc143319553"/>
      <w:bookmarkStart w:id="199" w:name="_Toc146440177"/>
      <w:bookmarkStart w:id="200" w:name="_Toc148157964"/>
      <w:bookmarkStart w:id="201" w:name="_Toc141242988"/>
      <w:bookmarkStart w:id="202" w:name="_Toc155322974"/>
      <w:bookmarkStart w:id="203" w:name="_Toc143318918"/>
      <w:r>
        <w:rPr>
          <w:rFonts w:hint="eastAsia" w:eastAsia="宋体"/>
          <w:color w:val="auto"/>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B6E0146">
      <w:pPr>
        <w:pStyle w:val="3"/>
        <w:numPr>
          <w:ilvl w:val="0"/>
          <w:numId w:val="0"/>
        </w:numPr>
        <w:spacing w:before="0" w:afterLines="0" w:line="240" w:lineRule="auto"/>
        <w:jc w:val="both"/>
        <w:rPr>
          <w:b w:val="0"/>
          <w:color w:val="auto"/>
          <w:sz w:val="28"/>
          <w:szCs w:val="28"/>
        </w:rPr>
      </w:pPr>
      <w:bookmarkStart w:id="206" w:name="_Toc386121765"/>
      <w:bookmarkStart w:id="207" w:name="_Toc386122462"/>
      <w:bookmarkStart w:id="208" w:name="_Toc18290"/>
      <w:bookmarkStart w:id="209" w:name="_Toc11522"/>
    </w:p>
    <w:p w14:paraId="7EAF5B37">
      <w:pPr>
        <w:pStyle w:val="3"/>
        <w:numPr>
          <w:ilvl w:val="0"/>
          <w:numId w:val="0"/>
        </w:numPr>
        <w:spacing w:before="0" w:afterLines="0" w:line="240" w:lineRule="auto"/>
        <w:jc w:val="both"/>
        <w:rPr>
          <w:b w:val="0"/>
          <w:color w:val="auto"/>
          <w:sz w:val="28"/>
          <w:szCs w:val="28"/>
        </w:rPr>
      </w:pPr>
    </w:p>
    <w:p w14:paraId="25524812">
      <w:pPr>
        <w:rPr>
          <w:color w:val="auto"/>
          <w:sz w:val="28"/>
          <w:szCs w:val="28"/>
        </w:rPr>
      </w:pPr>
      <w:r>
        <w:rPr>
          <w:rFonts w:hint="eastAsia"/>
          <w:color w:val="auto"/>
          <w:sz w:val="28"/>
          <w:szCs w:val="28"/>
        </w:rPr>
        <w:br w:type="page"/>
      </w:r>
    </w:p>
    <w:p w14:paraId="5B43849D">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附件八：</w:t>
      </w:r>
      <w:bookmarkEnd w:id="204"/>
      <w:bookmarkEnd w:id="205"/>
      <w:bookmarkEnd w:id="206"/>
      <w:bookmarkEnd w:id="207"/>
      <w:r>
        <w:rPr>
          <w:rFonts w:hint="eastAsia"/>
          <w:b w:val="0"/>
          <w:color w:val="auto"/>
          <w:sz w:val="28"/>
          <w:szCs w:val="28"/>
        </w:rPr>
        <w:t>法定代表人授权委托书</w:t>
      </w:r>
      <w:bookmarkEnd w:id="208"/>
      <w:bookmarkEnd w:id="209"/>
    </w:p>
    <w:p w14:paraId="369540EC">
      <w:pPr>
        <w:spacing w:before="156"/>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法定代表人授权委托书（参考样张）</w:t>
      </w:r>
    </w:p>
    <w:p w14:paraId="0FE0A074">
      <w:pPr>
        <w:spacing w:line="400" w:lineRule="exact"/>
        <w:ind w:left="16" w:leftChars="5" w:firstLine="372" w:firstLineChars="133"/>
        <w:jc w:val="left"/>
        <w:rPr>
          <w:rFonts w:hint="eastAsia" w:ascii="宋体" w:hAnsi="宋体" w:eastAsia="宋体" w:cs="宋体"/>
          <w:color w:val="auto"/>
          <w:sz w:val="28"/>
          <w:szCs w:val="28"/>
        </w:rPr>
      </w:pPr>
      <w:r>
        <w:rPr>
          <w:rFonts w:hint="eastAsia" w:ascii="宋体" w:hAnsi="宋体" w:eastAsia="宋体" w:cs="宋体"/>
          <w:color w:val="auto"/>
          <w:sz w:val="28"/>
          <w:szCs w:val="28"/>
        </w:rPr>
        <w:t>本授权委托书声明：我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（投标人）的法定代表人，现授权委托我单位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（姓名）为我的委托代理人，以本单位的名义参加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（招标人）的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（工程名称）的投标。委托代理人在该工程招投标活动中的一切事务，我均予以承认。</w:t>
      </w:r>
    </w:p>
    <w:p w14:paraId="4B410D26">
      <w:pPr>
        <w:snapToGrid w:val="0"/>
        <w:spacing w:before="156" w:beforeLines="50" w:line="400" w:lineRule="exact"/>
        <w:ind w:firstLine="560" w:firstLineChars="200"/>
        <w:rPr>
          <w:rFonts w:hint="eastAsia" w:ascii="宋体" w:hAnsi="宋体" w:cs="宋体"/>
          <w:color w:val="auto"/>
          <w:sz w:val="28"/>
          <w:szCs w:val="28"/>
        </w:rPr>
      </w:pPr>
      <w:r>
        <w:rPr>
          <w:rFonts w:hint="eastAsia" w:ascii="宋体" w:hAnsi="宋体" w:eastAsia="宋体" w:cs="宋体"/>
          <w:color w:val="auto"/>
          <w:sz w:val="28"/>
          <w:szCs w:val="28"/>
        </w:rPr>
        <w:t>委托代理人无转委权，特此委托。</w:t>
      </w:r>
    </w:p>
    <w:p w14:paraId="6EB538B1">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投标人（公章）：</w:t>
      </w:r>
      <w:r>
        <w:rPr>
          <w:rFonts w:hint="eastAsia" w:ascii="宋体" w:hAnsi="宋体" w:eastAsia="宋体" w:cs="宋体"/>
          <w:color w:val="auto"/>
          <w:sz w:val="28"/>
          <w:szCs w:val="28"/>
          <w:u w:val="single"/>
        </w:rPr>
        <w:t xml:space="preserve">                                         </w:t>
      </w:r>
    </w:p>
    <w:p w14:paraId="255EB897">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法定代表人（签字或盖章）：</w:t>
      </w:r>
      <w:r>
        <w:rPr>
          <w:rFonts w:hint="eastAsia" w:ascii="宋体" w:hAnsi="宋体" w:eastAsia="宋体" w:cs="宋体"/>
          <w:color w:val="auto"/>
          <w:sz w:val="28"/>
          <w:szCs w:val="28"/>
          <w:u w:val="single"/>
        </w:rPr>
        <w:t xml:space="preserve">                                     </w:t>
      </w:r>
    </w:p>
    <w:p w14:paraId="5E025F1D">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p>
    <w:p w14:paraId="42C42265">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10F67E3E">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p>
    <w:p w14:paraId="0A3A3FA9">
      <w:pPr>
        <w:pStyle w:val="22"/>
        <w:spacing w:line="400" w:lineRule="exact"/>
        <w:ind w:firstLine="240"/>
        <w:jc w:val="both"/>
        <w:rPr>
          <w:rFonts w:ascii="宋体" w:hAnsi="宋体" w:eastAsia="宋体" w:cs="宋体"/>
          <w:color w:val="auto"/>
          <w:sz w:val="28"/>
          <w:szCs w:val="28"/>
        </w:rPr>
      </w:pPr>
      <w:bookmarkStart w:id="210" w:name="_Toc1484"/>
      <w:r>
        <w:rPr>
          <w:rFonts w:hint="eastAsia" w:ascii="宋体" w:hAnsi="宋体" w:eastAsia="宋体" w:cs="宋体"/>
          <w:b w:val="0"/>
          <w:color w:val="auto"/>
          <w:sz w:val="28"/>
          <w:szCs w:val="28"/>
        </w:rPr>
        <w:t>授权委托日期：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bookmarkEnd w:id="210"/>
    </w:p>
    <w:p w14:paraId="2D6D442D">
      <w:pPr>
        <w:snapToGrid w:val="0"/>
        <w:spacing w:before="156" w:beforeLines="50" w:after="50" w:line="460" w:lineRule="exact"/>
        <w:rPr>
          <w:rFonts w:ascii="宋体" w:hAnsi="宋体"/>
          <w:b/>
          <w:bCs/>
          <w:color w:val="auto"/>
          <w:sz w:val="28"/>
          <w:szCs w:val="28"/>
        </w:rPr>
      </w:pPr>
      <w:r>
        <w:rPr>
          <w:rFonts w:hint="eastAsia" w:ascii="宋体" w:hAnsi="宋体"/>
          <w:b/>
          <w:bCs/>
          <w:color w:val="auto"/>
          <w:sz w:val="28"/>
          <w:szCs w:val="28"/>
        </w:rPr>
        <w:t xml:space="preserve">法定代表人身份证复印件 </w:t>
      </w:r>
      <w:r>
        <w:rPr>
          <w:rFonts w:ascii="宋体" w:hAnsi="宋体"/>
          <w:b/>
          <w:bCs/>
          <w:color w:val="auto"/>
          <w:sz w:val="28"/>
          <w:szCs w:val="28"/>
        </w:rPr>
        <w:t xml:space="preserve">           </w:t>
      </w:r>
      <w:r>
        <w:rPr>
          <w:rFonts w:hint="eastAsia" w:ascii="宋体" w:hAnsi="宋体"/>
          <w:b/>
          <w:bCs/>
          <w:color w:val="auto"/>
          <w:sz w:val="28"/>
          <w:szCs w:val="28"/>
        </w:rPr>
        <w:t>被授权人身份证复印件</w:t>
      </w:r>
    </w:p>
    <w:tbl>
      <w:tblPr>
        <w:tblStyle w:val="2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CA37EB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6ECFE70">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c>
          <w:tcPr>
            <w:tcW w:w="4961" w:type="dxa"/>
          </w:tcPr>
          <w:p w14:paraId="30998AEE">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r>
      <w:tr w14:paraId="1CE4C4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4" w:hRule="atLeast"/>
        </w:trPr>
        <w:tc>
          <w:tcPr>
            <w:tcW w:w="4962" w:type="dxa"/>
          </w:tcPr>
          <w:p w14:paraId="5DF2FB22">
            <w:pPr>
              <w:spacing w:line="360" w:lineRule="auto"/>
              <w:rPr>
                <w:color w:val="auto"/>
                <w:sz w:val="30"/>
                <w:szCs w:val="30"/>
              </w:rPr>
            </w:pPr>
          </w:p>
        </w:tc>
        <w:tc>
          <w:tcPr>
            <w:tcW w:w="4961" w:type="dxa"/>
          </w:tcPr>
          <w:p w14:paraId="31EE0797">
            <w:pPr>
              <w:spacing w:line="360" w:lineRule="auto"/>
              <w:rPr>
                <w:color w:val="auto"/>
                <w:sz w:val="30"/>
                <w:szCs w:val="30"/>
              </w:rPr>
            </w:pPr>
          </w:p>
        </w:tc>
      </w:tr>
    </w:tbl>
    <w:p w14:paraId="76CC585D">
      <w:pPr>
        <w:rPr>
          <w:color w:val="auto"/>
          <w:sz w:val="28"/>
          <w:szCs w:val="28"/>
        </w:rPr>
      </w:pPr>
      <w:bookmarkStart w:id="211" w:name="_Toc42587767"/>
      <w:bookmarkStart w:id="212" w:name="_Toc234382962"/>
      <w:r>
        <w:rPr>
          <w:rFonts w:hint="eastAsia"/>
          <w:color w:val="auto"/>
          <w:sz w:val="28"/>
          <w:szCs w:val="28"/>
        </w:rPr>
        <w:br w:type="page"/>
      </w:r>
    </w:p>
    <w:p w14:paraId="3876792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附件九：法定代表人身份证明</w:t>
      </w:r>
    </w:p>
    <w:p w14:paraId="3EBCBD8C">
      <w:pPr>
        <w:wordWrap w:val="0"/>
        <w:jc w:val="center"/>
        <w:outlineLvl w:val="3"/>
        <w:rPr>
          <w:rFonts w:ascii="黑体" w:eastAsia="黑体"/>
          <w:color w:val="auto"/>
          <w:sz w:val="28"/>
          <w:szCs w:val="28"/>
        </w:rPr>
      </w:pPr>
    </w:p>
    <w:p w14:paraId="67CBDB98">
      <w:pPr>
        <w:adjustRightInd w:val="0"/>
        <w:snapToGrid w:val="0"/>
        <w:spacing w:beforeLines="50" w:line="360" w:lineRule="auto"/>
        <w:jc w:val="center"/>
        <w:outlineLvl w:val="0"/>
        <w:rPr>
          <w:rFonts w:ascii="宋体" w:hAnsi="宋体" w:cs="宋体"/>
          <w:color w:val="auto"/>
          <w:sz w:val="24"/>
        </w:rPr>
      </w:pPr>
      <w:r>
        <w:rPr>
          <w:rFonts w:hint="eastAsia" w:ascii="黑体" w:eastAsia="黑体"/>
          <w:color w:val="auto"/>
          <w:sz w:val="44"/>
        </w:rPr>
        <w:t>法定代表人身份证明</w:t>
      </w:r>
      <w:bookmarkEnd w:id="211"/>
      <w:bookmarkEnd w:id="212"/>
      <w:r>
        <w:rPr>
          <w:rFonts w:hint="eastAsia" w:ascii="宋体" w:eastAsia="宋体"/>
          <w:color w:val="auto"/>
          <w:sz w:val="28"/>
        </w:rPr>
        <w:t>（参考样张）</w:t>
      </w:r>
    </w:p>
    <w:p w14:paraId="1A7B6B36">
      <w:pPr>
        <w:wordWrap w:val="0"/>
        <w:jc w:val="center"/>
        <w:outlineLvl w:val="3"/>
        <w:rPr>
          <w:rFonts w:ascii="宋体" w:hAnsi="宋体" w:cs="宋体"/>
          <w:color w:val="auto"/>
          <w:sz w:val="28"/>
        </w:rPr>
      </w:pPr>
    </w:p>
    <w:p w14:paraId="0725F3FD">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单位名称：</w:t>
      </w:r>
      <w:r>
        <w:rPr>
          <w:rFonts w:hint="eastAsia" w:ascii="宋体" w:hAnsi="宋体" w:eastAsia="宋体" w:cs="宋体"/>
          <w:color w:val="auto"/>
          <w:sz w:val="28"/>
          <w:szCs w:val="28"/>
          <w:u w:val="single"/>
        </w:rPr>
        <w:t xml:space="preserve">                              </w:t>
      </w:r>
    </w:p>
    <w:p w14:paraId="2BF53CD6">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p>
    <w:p w14:paraId="1CEFEDF8">
      <w:pPr>
        <w:pStyle w:val="39"/>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407EA641">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的法定代表人</w:t>
      </w:r>
    </w:p>
    <w:p w14:paraId="5D4824ED">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color w:val="auto"/>
          <w:sz w:val="28"/>
          <w:szCs w:val="28"/>
        </w:rPr>
        <w:t>法定代表人手机号码：</w:t>
      </w:r>
      <w:r>
        <w:rPr>
          <w:rFonts w:hint="eastAsia" w:ascii="宋体" w:hAnsi="宋体" w:eastAsia="宋体" w:cs="宋体"/>
          <w:color w:val="auto"/>
          <w:sz w:val="28"/>
          <w:szCs w:val="28"/>
          <w:u w:val="single"/>
        </w:rPr>
        <w:t xml:space="preserve">              </w:t>
      </w:r>
    </w:p>
    <w:p w14:paraId="75CBB0DC">
      <w:pPr>
        <w:snapToGrid w:val="0"/>
        <w:spacing w:line="360" w:lineRule="auto"/>
        <w:ind w:firstLine="480" w:firstLineChars="200"/>
        <w:textAlignment w:val="baseline"/>
        <w:rPr>
          <w:rFonts w:ascii="宋体" w:hAnsi="宋体"/>
          <w:color w:val="auto"/>
          <w:sz w:val="28"/>
          <w:szCs w:val="28"/>
        </w:rPr>
      </w:pPr>
      <w:r>
        <w:rPr>
          <w:rFonts w:hint="eastAsia" w:ascii="宋体" w:hAnsi="宋体" w:eastAsia="宋体" w:cs="宋体"/>
          <w:color w:val="auto"/>
          <w:sz w:val="24"/>
        </w:rPr>
        <w:t>附</w:t>
      </w:r>
      <w:r>
        <w:rPr>
          <w:rFonts w:hint="eastAsia" w:ascii="宋体" w:hAnsi="宋体"/>
          <w:color w:val="auto"/>
          <w:sz w:val="28"/>
          <w:szCs w:val="28"/>
        </w:rPr>
        <w:t xml:space="preserve">                                      </w:t>
      </w:r>
    </w:p>
    <w:p w14:paraId="590F0928">
      <w:pPr>
        <w:snapToGrid w:val="0"/>
        <w:spacing w:line="360" w:lineRule="auto"/>
        <w:ind w:firstLine="560" w:firstLineChars="200"/>
        <w:jc w:val="right"/>
        <w:textAlignment w:val="baseline"/>
        <w:rPr>
          <w:rFonts w:ascii="宋体" w:hAnsi="宋体"/>
          <w:color w:val="auto"/>
          <w:sz w:val="28"/>
          <w:szCs w:val="28"/>
        </w:rPr>
      </w:pPr>
    </w:p>
    <w:p w14:paraId="2B2623F2">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5997AAB1">
      <w:pPr>
        <w:snapToGrid w:val="0"/>
        <w:spacing w:line="360" w:lineRule="auto"/>
        <w:ind w:firstLine="560" w:firstLineChars="200"/>
        <w:jc w:val="right"/>
        <w:textAlignment w:val="baseline"/>
        <w:rPr>
          <w:rFonts w:ascii="宋体" w:hAnsi="宋体"/>
          <w:color w:val="auto"/>
          <w:sz w:val="28"/>
          <w:szCs w:val="28"/>
        </w:rPr>
      </w:pPr>
    </w:p>
    <w:p w14:paraId="41B9EAB2">
      <w:pPr>
        <w:snapToGrid w:val="0"/>
        <w:spacing w:line="360" w:lineRule="auto"/>
        <w:ind w:firstLine="560" w:firstLineChars="200"/>
        <w:jc w:val="right"/>
        <w:textAlignment w:val="baseline"/>
        <w:rPr>
          <w:rFonts w:ascii="宋体" w:hAnsi="宋体"/>
          <w:color w:val="auto"/>
          <w:sz w:val="28"/>
          <w:szCs w:val="28"/>
        </w:rPr>
      </w:pPr>
    </w:p>
    <w:p w14:paraId="202F9048">
      <w:pPr>
        <w:snapToGrid w:val="0"/>
        <w:spacing w:line="360" w:lineRule="auto"/>
        <w:ind w:firstLine="560" w:firstLineChars="200"/>
        <w:jc w:val="right"/>
        <w:textAlignment w:val="baseline"/>
        <w:rPr>
          <w:rFonts w:ascii="宋体" w:hAnsi="宋体"/>
          <w:color w:val="auto"/>
          <w:sz w:val="28"/>
          <w:szCs w:val="28"/>
        </w:rPr>
      </w:pPr>
    </w:p>
    <w:p w14:paraId="6C36232D">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6AED7E8">
      <w:pPr>
        <w:snapToGrid w:val="0"/>
        <w:spacing w:line="360" w:lineRule="auto"/>
        <w:ind w:firstLine="560" w:firstLineChars="200"/>
        <w:jc w:val="right"/>
        <w:textAlignment w:val="baseline"/>
        <w:rPr>
          <w:rFonts w:ascii="宋体" w:hAnsi="宋体"/>
          <w:color w:val="auto"/>
          <w:sz w:val="28"/>
          <w:szCs w:val="28"/>
        </w:rPr>
      </w:pPr>
    </w:p>
    <w:p w14:paraId="47379046">
      <w:pPr>
        <w:snapToGrid w:val="0"/>
        <w:spacing w:line="360" w:lineRule="auto"/>
        <w:ind w:firstLine="560" w:firstLineChars="200"/>
        <w:jc w:val="right"/>
        <w:textAlignment w:val="baseline"/>
        <w:rPr>
          <w:rFonts w:ascii="宋体" w:hAnsi="宋体"/>
          <w:color w:val="auto"/>
          <w:sz w:val="28"/>
          <w:szCs w:val="28"/>
        </w:rPr>
      </w:pPr>
    </w:p>
    <w:p w14:paraId="149AE12B">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v:textbox>
              </v:shape>
            </w:pict>
          </mc:Fallback>
        </mc:AlternateContent>
      </w:r>
    </w:p>
    <w:p w14:paraId="53C3CB1A">
      <w:pPr>
        <w:snapToGrid w:val="0"/>
        <w:spacing w:line="360" w:lineRule="auto"/>
        <w:ind w:firstLine="560" w:firstLineChars="200"/>
        <w:jc w:val="right"/>
        <w:textAlignment w:val="baseline"/>
        <w:rPr>
          <w:rFonts w:ascii="宋体" w:hAnsi="宋体"/>
          <w:color w:val="auto"/>
          <w:sz w:val="28"/>
          <w:szCs w:val="28"/>
        </w:rPr>
      </w:pPr>
    </w:p>
    <w:p w14:paraId="0A8B18C0">
      <w:pPr>
        <w:snapToGrid w:val="0"/>
        <w:spacing w:line="360" w:lineRule="auto"/>
        <w:ind w:firstLine="560" w:firstLineChars="200"/>
        <w:jc w:val="right"/>
        <w:textAlignment w:val="baseline"/>
        <w:rPr>
          <w:rFonts w:ascii="宋体" w:hAnsi="宋体"/>
          <w:color w:val="auto"/>
          <w:sz w:val="28"/>
          <w:szCs w:val="28"/>
        </w:rPr>
      </w:pPr>
    </w:p>
    <w:p w14:paraId="51ED06C7">
      <w:pPr>
        <w:snapToGrid w:val="0"/>
        <w:spacing w:line="360" w:lineRule="auto"/>
        <w:ind w:firstLine="560" w:firstLineChars="200"/>
        <w:jc w:val="right"/>
        <w:textAlignment w:val="baseline"/>
        <w:rPr>
          <w:rFonts w:ascii="宋体" w:hAnsi="宋体"/>
          <w:color w:val="auto"/>
          <w:sz w:val="28"/>
          <w:szCs w:val="28"/>
        </w:rPr>
      </w:pPr>
    </w:p>
    <w:p w14:paraId="59D3B0DD">
      <w:pPr>
        <w:snapToGrid w:val="0"/>
        <w:spacing w:line="360" w:lineRule="auto"/>
        <w:ind w:firstLine="560" w:firstLineChars="200"/>
        <w:jc w:val="right"/>
        <w:textAlignment w:val="baseline"/>
        <w:rPr>
          <w:rFonts w:ascii="宋体" w:hAnsi="宋体"/>
          <w:color w:val="auto"/>
          <w:sz w:val="28"/>
          <w:szCs w:val="28"/>
        </w:rPr>
      </w:pPr>
    </w:p>
    <w:p w14:paraId="37A04170">
      <w:pPr>
        <w:snapToGrid w:val="0"/>
        <w:spacing w:line="360" w:lineRule="auto"/>
        <w:ind w:firstLine="560" w:firstLineChars="200"/>
        <w:jc w:val="right"/>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投标人：（盖单位公章）</w:t>
      </w:r>
    </w:p>
    <w:p w14:paraId="6C4A0A36">
      <w:pPr>
        <w:pStyle w:val="30"/>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AC4A540">
      <w:pPr>
        <w:pStyle w:val="30"/>
        <w:rPr>
          <w:rFonts w:ascii="宋体" w:hAnsi="宋体" w:cs="宋体"/>
          <w:color w:val="auto"/>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B26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DCA1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014FAC">
                          <w:pPr>
                            <w:pStyle w:val="16"/>
                          </w:pPr>
                          <w:r>
                            <w:fldChar w:fldCharType="begin"/>
                          </w:r>
                          <w:r>
                            <w:instrText xml:space="preserve"> PAGE  \* MERGEFORMAT </w:instrText>
                          </w:r>
                          <w:r>
                            <w:fldChar w:fldCharType="separate"/>
                          </w:r>
                          <w:r>
                            <w:t>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014FAC">
                    <w:pPr>
                      <w:pStyle w:val="1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AD9A">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C777">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8CD8EF4">
                          <w:pPr>
                            <w:pStyle w:val="16"/>
                          </w:pPr>
                          <w:r>
                            <w:fldChar w:fldCharType="begin"/>
                          </w:r>
                          <w:r>
                            <w:instrText xml:space="preserve"> PAGE  \* MERGEFORMAT </w:instrText>
                          </w:r>
                          <w:r>
                            <w:fldChar w:fldCharType="separate"/>
                          </w:r>
                          <w:r>
                            <w:t>41</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8CD8EF4">
                    <w:pPr>
                      <w:pStyle w:val="1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E6C8">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A3C9">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E01B13">
                          <w:pPr>
                            <w:pStyle w:val="16"/>
                          </w:pPr>
                          <w:r>
                            <w:fldChar w:fldCharType="begin"/>
                          </w:r>
                          <w:r>
                            <w:instrText xml:space="preserve"> PAGE  \* MERGEFORMAT </w:instrText>
                          </w:r>
                          <w:r>
                            <w:fldChar w:fldCharType="separate"/>
                          </w:r>
                          <w:r>
                            <w:t>43</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7E01B13">
                    <w:pPr>
                      <w:pStyle w:val="1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876C">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85F429">
                          <w:pPr>
                            <w:pStyle w:val="16"/>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4A85F429">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7A083">
    <w:pPr>
      <w:pStyle w:val="17"/>
      <w:pBdr>
        <w:bottom w:val="none" w:color="auto" w:sz="0" w:space="1"/>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07364">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E197">
    <w:pPr>
      <w:pBdr>
        <w:bottom w:val="single" w:color="auto" w:sz="4" w:space="0"/>
      </w:pBdr>
      <w:jc w:val="right"/>
      <w:rPr>
        <w:rFonts w:eastAsia="宋体"/>
      </w:rPr>
    </w:pPr>
    <w:r>
      <w:rPr>
        <w:rFonts w:hint="eastAsia" w:ascii="宋体" w:hAnsi="宋体" w:eastAsia="宋体"/>
        <w:bCs/>
        <w:sz w:val="21"/>
        <w:lang w:eastAsia="zh-CN"/>
      </w:rPr>
      <w:t>临海市第六中学心理辅导站及污水管道改造工程</w:t>
    </w:r>
    <w:r>
      <w:rPr>
        <w:rFonts w:hint="eastAsia" w:ascii="宋体" w:hAnsi="宋体" w:eastAsia="宋体"/>
        <w:bCs/>
        <w:sz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7BE9">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临海市第六中学心理辅导站及污水管道改造工程</w:t>
    </w:r>
    <w:r>
      <w:rPr>
        <w:rFonts w:hint="eastAsia" w:eastAsia="宋体"/>
        <w:sz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AB6C">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0NDQzYTU2ZTE1MTgxNTNkNmM3MDA4MDVlOTdjNWM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B9384F"/>
    <w:rsid w:val="01E00CE2"/>
    <w:rsid w:val="02377887"/>
    <w:rsid w:val="039E1C60"/>
    <w:rsid w:val="03B51FD0"/>
    <w:rsid w:val="05646570"/>
    <w:rsid w:val="05966E33"/>
    <w:rsid w:val="059D0ACE"/>
    <w:rsid w:val="05FF5E80"/>
    <w:rsid w:val="070D3A1D"/>
    <w:rsid w:val="072E4E50"/>
    <w:rsid w:val="07426CE9"/>
    <w:rsid w:val="082A74C0"/>
    <w:rsid w:val="08357BCB"/>
    <w:rsid w:val="088A7F5F"/>
    <w:rsid w:val="08AB0AD8"/>
    <w:rsid w:val="08F9325E"/>
    <w:rsid w:val="096A71FE"/>
    <w:rsid w:val="097D0D2A"/>
    <w:rsid w:val="098B3F8E"/>
    <w:rsid w:val="09AF75D6"/>
    <w:rsid w:val="09C35403"/>
    <w:rsid w:val="09C51CFC"/>
    <w:rsid w:val="09F22179"/>
    <w:rsid w:val="0A260802"/>
    <w:rsid w:val="0A973B72"/>
    <w:rsid w:val="0B950884"/>
    <w:rsid w:val="0BC76268"/>
    <w:rsid w:val="0BDB779F"/>
    <w:rsid w:val="0C1C748A"/>
    <w:rsid w:val="0CDA66F1"/>
    <w:rsid w:val="0CF76928"/>
    <w:rsid w:val="0D2B3796"/>
    <w:rsid w:val="0D375B4A"/>
    <w:rsid w:val="0D567865"/>
    <w:rsid w:val="0E036230"/>
    <w:rsid w:val="0E4310F3"/>
    <w:rsid w:val="0E8826CF"/>
    <w:rsid w:val="0EAE0498"/>
    <w:rsid w:val="0F331F3C"/>
    <w:rsid w:val="0FED5C47"/>
    <w:rsid w:val="108B3885"/>
    <w:rsid w:val="10D65DC7"/>
    <w:rsid w:val="10E75D7D"/>
    <w:rsid w:val="111A7CD4"/>
    <w:rsid w:val="115C0E41"/>
    <w:rsid w:val="118E61D6"/>
    <w:rsid w:val="120025CD"/>
    <w:rsid w:val="120D3332"/>
    <w:rsid w:val="12E91DF8"/>
    <w:rsid w:val="1319260B"/>
    <w:rsid w:val="13242D18"/>
    <w:rsid w:val="137F578F"/>
    <w:rsid w:val="141F36D1"/>
    <w:rsid w:val="150C0477"/>
    <w:rsid w:val="154A25A1"/>
    <w:rsid w:val="155C10ED"/>
    <w:rsid w:val="15C47D64"/>
    <w:rsid w:val="161A49E8"/>
    <w:rsid w:val="167E28E5"/>
    <w:rsid w:val="16865F9A"/>
    <w:rsid w:val="1687240B"/>
    <w:rsid w:val="16905AFB"/>
    <w:rsid w:val="18AB7C3A"/>
    <w:rsid w:val="18E12580"/>
    <w:rsid w:val="18FC3FD7"/>
    <w:rsid w:val="193B5FBC"/>
    <w:rsid w:val="19BA2262"/>
    <w:rsid w:val="19D83035"/>
    <w:rsid w:val="19FE75B4"/>
    <w:rsid w:val="1A8F0BA4"/>
    <w:rsid w:val="1AB41CE5"/>
    <w:rsid w:val="1B037757"/>
    <w:rsid w:val="1B167A44"/>
    <w:rsid w:val="1B5310C6"/>
    <w:rsid w:val="1B6F0B5F"/>
    <w:rsid w:val="1BAD0D5C"/>
    <w:rsid w:val="1BC177F6"/>
    <w:rsid w:val="1BF97D30"/>
    <w:rsid w:val="1C433F5C"/>
    <w:rsid w:val="1C635567"/>
    <w:rsid w:val="1C98187E"/>
    <w:rsid w:val="1DBF1832"/>
    <w:rsid w:val="1E0D1EF4"/>
    <w:rsid w:val="1E363CE9"/>
    <w:rsid w:val="1EDB7129"/>
    <w:rsid w:val="1F160D12"/>
    <w:rsid w:val="1F422EEA"/>
    <w:rsid w:val="1F780BB9"/>
    <w:rsid w:val="1F8606E6"/>
    <w:rsid w:val="1F8921DC"/>
    <w:rsid w:val="1FC96B63"/>
    <w:rsid w:val="1FF80AF3"/>
    <w:rsid w:val="201B4916"/>
    <w:rsid w:val="20670BCA"/>
    <w:rsid w:val="209D0D1F"/>
    <w:rsid w:val="210950AC"/>
    <w:rsid w:val="21423675"/>
    <w:rsid w:val="21C51683"/>
    <w:rsid w:val="21E718C4"/>
    <w:rsid w:val="22342FE9"/>
    <w:rsid w:val="226D7D74"/>
    <w:rsid w:val="228D6B72"/>
    <w:rsid w:val="23636EA1"/>
    <w:rsid w:val="23853A79"/>
    <w:rsid w:val="239361D0"/>
    <w:rsid w:val="23A0402B"/>
    <w:rsid w:val="244F2A30"/>
    <w:rsid w:val="249B3B2B"/>
    <w:rsid w:val="24EE5273"/>
    <w:rsid w:val="24F44C86"/>
    <w:rsid w:val="251A36F0"/>
    <w:rsid w:val="25554E0E"/>
    <w:rsid w:val="25563DFB"/>
    <w:rsid w:val="25983B4F"/>
    <w:rsid w:val="25A75047"/>
    <w:rsid w:val="26337640"/>
    <w:rsid w:val="26892F9B"/>
    <w:rsid w:val="26967876"/>
    <w:rsid w:val="26E47778"/>
    <w:rsid w:val="27230FF2"/>
    <w:rsid w:val="277B2C7C"/>
    <w:rsid w:val="278E6684"/>
    <w:rsid w:val="285A0257"/>
    <w:rsid w:val="285C40CB"/>
    <w:rsid w:val="28FB6363"/>
    <w:rsid w:val="291B76E3"/>
    <w:rsid w:val="29286C8E"/>
    <w:rsid w:val="29EE6EAD"/>
    <w:rsid w:val="29F92152"/>
    <w:rsid w:val="2A0475B6"/>
    <w:rsid w:val="2A3100BB"/>
    <w:rsid w:val="2A755A69"/>
    <w:rsid w:val="2AD402FC"/>
    <w:rsid w:val="2B547697"/>
    <w:rsid w:val="2C4C1CFB"/>
    <w:rsid w:val="2D5371F7"/>
    <w:rsid w:val="2D602A71"/>
    <w:rsid w:val="2DDC09C5"/>
    <w:rsid w:val="2EEC697F"/>
    <w:rsid w:val="2F132647"/>
    <w:rsid w:val="2F266FDE"/>
    <w:rsid w:val="2F7353A9"/>
    <w:rsid w:val="2FDA531F"/>
    <w:rsid w:val="3048098A"/>
    <w:rsid w:val="30BA5060"/>
    <w:rsid w:val="31701B38"/>
    <w:rsid w:val="31737A6D"/>
    <w:rsid w:val="31861B3A"/>
    <w:rsid w:val="32024E86"/>
    <w:rsid w:val="325C6AE2"/>
    <w:rsid w:val="32BE3742"/>
    <w:rsid w:val="32C948E2"/>
    <w:rsid w:val="32D03ABA"/>
    <w:rsid w:val="32D925D4"/>
    <w:rsid w:val="33D51112"/>
    <w:rsid w:val="33FA6465"/>
    <w:rsid w:val="34840627"/>
    <w:rsid w:val="353B0F4A"/>
    <w:rsid w:val="358C5B68"/>
    <w:rsid w:val="35B75F88"/>
    <w:rsid w:val="36254176"/>
    <w:rsid w:val="36E20676"/>
    <w:rsid w:val="36FE09D5"/>
    <w:rsid w:val="371158BC"/>
    <w:rsid w:val="37BB1D08"/>
    <w:rsid w:val="37BE1059"/>
    <w:rsid w:val="38202807"/>
    <w:rsid w:val="3820356C"/>
    <w:rsid w:val="3886386B"/>
    <w:rsid w:val="39024127"/>
    <w:rsid w:val="395B2504"/>
    <w:rsid w:val="3A660B39"/>
    <w:rsid w:val="3ACA2AA9"/>
    <w:rsid w:val="3AE039BE"/>
    <w:rsid w:val="3AEC08F1"/>
    <w:rsid w:val="3B4E3D70"/>
    <w:rsid w:val="3B8E3C86"/>
    <w:rsid w:val="3BAC51D5"/>
    <w:rsid w:val="3BE610FE"/>
    <w:rsid w:val="3D1B0B3B"/>
    <w:rsid w:val="3E124D7E"/>
    <w:rsid w:val="3E3A410D"/>
    <w:rsid w:val="3E9417B6"/>
    <w:rsid w:val="3E9548C2"/>
    <w:rsid w:val="3EA7436E"/>
    <w:rsid w:val="3F0459F8"/>
    <w:rsid w:val="3F165ACD"/>
    <w:rsid w:val="3F265D57"/>
    <w:rsid w:val="3F357653"/>
    <w:rsid w:val="400D4C2D"/>
    <w:rsid w:val="40EA7C53"/>
    <w:rsid w:val="40FE0657"/>
    <w:rsid w:val="415C326C"/>
    <w:rsid w:val="41E77BF5"/>
    <w:rsid w:val="4345654F"/>
    <w:rsid w:val="439247CC"/>
    <w:rsid w:val="43DA5F07"/>
    <w:rsid w:val="43FA4F55"/>
    <w:rsid w:val="44A46D82"/>
    <w:rsid w:val="44C54F04"/>
    <w:rsid w:val="44CF6D64"/>
    <w:rsid w:val="45076078"/>
    <w:rsid w:val="45437449"/>
    <w:rsid w:val="45585CB2"/>
    <w:rsid w:val="45B60A91"/>
    <w:rsid w:val="463C75A2"/>
    <w:rsid w:val="470D0401"/>
    <w:rsid w:val="474612E7"/>
    <w:rsid w:val="478B0E64"/>
    <w:rsid w:val="47AC5F90"/>
    <w:rsid w:val="48C9729F"/>
    <w:rsid w:val="491D3EFC"/>
    <w:rsid w:val="493C6D00"/>
    <w:rsid w:val="49E0612F"/>
    <w:rsid w:val="4A4B3377"/>
    <w:rsid w:val="4A6F08EE"/>
    <w:rsid w:val="4B4F64F6"/>
    <w:rsid w:val="4B651398"/>
    <w:rsid w:val="4BE40D01"/>
    <w:rsid w:val="4C411A42"/>
    <w:rsid w:val="4C854292"/>
    <w:rsid w:val="4CA13119"/>
    <w:rsid w:val="4D43040D"/>
    <w:rsid w:val="4E734184"/>
    <w:rsid w:val="4ECE03CB"/>
    <w:rsid w:val="4F964D9C"/>
    <w:rsid w:val="5012695A"/>
    <w:rsid w:val="50414E05"/>
    <w:rsid w:val="51A67B22"/>
    <w:rsid w:val="51E07D46"/>
    <w:rsid w:val="51E2562D"/>
    <w:rsid w:val="521A2DB4"/>
    <w:rsid w:val="525A7A38"/>
    <w:rsid w:val="52DF7FD7"/>
    <w:rsid w:val="539B3A32"/>
    <w:rsid w:val="541E33F9"/>
    <w:rsid w:val="5489255F"/>
    <w:rsid w:val="54C635B3"/>
    <w:rsid w:val="54EF357C"/>
    <w:rsid w:val="54F80D14"/>
    <w:rsid w:val="5597283F"/>
    <w:rsid w:val="55BF2A09"/>
    <w:rsid w:val="55D2552F"/>
    <w:rsid w:val="561A1EEF"/>
    <w:rsid w:val="563E3F56"/>
    <w:rsid w:val="565C6BA3"/>
    <w:rsid w:val="568C5381"/>
    <w:rsid w:val="56BF79F3"/>
    <w:rsid w:val="57210BE5"/>
    <w:rsid w:val="57C355C8"/>
    <w:rsid w:val="57F765FE"/>
    <w:rsid w:val="58C55ED0"/>
    <w:rsid w:val="58D27BE7"/>
    <w:rsid w:val="590B60FE"/>
    <w:rsid w:val="5B2A31BB"/>
    <w:rsid w:val="5B9F0DEB"/>
    <w:rsid w:val="5BB16FB8"/>
    <w:rsid w:val="5BB63711"/>
    <w:rsid w:val="5BEE5961"/>
    <w:rsid w:val="5C2971E1"/>
    <w:rsid w:val="5DA057D6"/>
    <w:rsid w:val="5E0A6506"/>
    <w:rsid w:val="5F6B70B6"/>
    <w:rsid w:val="5F9E6020"/>
    <w:rsid w:val="601C4F4D"/>
    <w:rsid w:val="611361AA"/>
    <w:rsid w:val="6130435D"/>
    <w:rsid w:val="614257A1"/>
    <w:rsid w:val="616F6362"/>
    <w:rsid w:val="61EF7E70"/>
    <w:rsid w:val="62173103"/>
    <w:rsid w:val="635C4F62"/>
    <w:rsid w:val="63663965"/>
    <w:rsid w:val="63F32E9F"/>
    <w:rsid w:val="63FC50EB"/>
    <w:rsid w:val="648C1DD2"/>
    <w:rsid w:val="64B417CF"/>
    <w:rsid w:val="64CF1B21"/>
    <w:rsid w:val="65ED7D25"/>
    <w:rsid w:val="66680A3A"/>
    <w:rsid w:val="66A03BE2"/>
    <w:rsid w:val="66B0141D"/>
    <w:rsid w:val="66BD2ECA"/>
    <w:rsid w:val="66F92416"/>
    <w:rsid w:val="66FE3079"/>
    <w:rsid w:val="6876442F"/>
    <w:rsid w:val="689E69AF"/>
    <w:rsid w:val="68C81038"/>
    <w:rsid w:val="6911480D"/>
    <w:rsid w:val="69995F28"/>
    <w:rsid w:val="699D75EA"/>
    <w:rsid w:val="6B194AB8"/>
    <w:rsid w:val="6B2505AD"/>
    <w:rsid w:val="6C273B1F"/>
    <w:rsid w:val="6C4B33B4"/>
    <w:rsid w:val="6D0408D4"/>
    <w:rsid w:val="6D321474"/>
    <w:rsid w:val="6D46205C"/>
    <w:rsid w:val="6D9146CE"/>
    <w:rsid w:val="6DFA1871"/>
    <w:rsid w:val="6E844359"/>
    <w:rsid w:val="6E865B4B"/>
    <w:rsid w:val="6E90155E"/>
    <w:rsid w:val="6EB53936"/>
    <w:rsid w:val="6EF23F71"/>
    <w:rsid w:val="6F067EF3"/>
    <w:rsid w:val="6F7777FC"/>
    <w:rsid w:val="6FE9EC10"/>
    <w:rsid w:val="70534653"/>
    <w:rsid w:val="70627C40"/>
    <w:rsid w:val="70B52AE8"/>
    <w:rsid w:val="710B6E6E"/>
    <w:rsid w:val="71267D67"/>
    <w:rsid w:val="71395DE7"/>
    <w:rsid w:val="71AA5770"/>
    <w:rsid w:val="72720E38"/>
    <w:rsid w:val="733E6F30"/>
    <w:rsid w:val="7386474D"/>
    <w:rsid w:val="74135A7F"/>
    <w:rsid w:val="742A10F7"/>
    <w:rsid w:val="745B379C"/>
    <w:rsid w:val="74EF6293"/>
    <w:rsid w:val="74EF6A2D"/>
    <w:rsid w:val="75087C7C"/>
    <w:rsid w:val="762348A3"/>
    <w:rsid w:val="767429A8"/>
    <w:rsid w:val="76EC11F8"/>
    <w:rsid w:val="77863332"/>
    <w:rsid w:val="77EF7E7A"/>
    <w:rsid w:val="77FB7163"/>
    <w:rsid w:val="78D863D1"/>
    <w:rsid w:val="78E01A48"/>
    <w:rsid w:val="79273323"/>
    <w:rsid w:val="796E4E17"/>
    <w:rsid w:val="79A166DA"/>
    <w:rsid w:val="79DB4509"/>
    <w:rsid w:val="7A132DFE"/>
    <w:rsid w:val="7A630697"/>
    <w:rsid w:val="7AD361E3"/>
    <w:rsid w:val="7B6067B5"/>
    <w:rsid w:val="7B6D3AF2"/>
    <w:rsid w:val="7B987ED2"/>
    <w:rsid w:val="7C7858F2"/>
    <w:rsid w:val="7CEC5A5F"/>
    <w:rsid w:val="7DB904C2"/>
    <w:rsid w:val="7DD33380"/>
    <w:rsid w:val="7DF92F90"/>
    <w:rsid w:val="7E324F08"/>
    <w:rsid w:val="7E4F2BA1"/>
    <w:rsid w:val="7E6B21B5"/>
    <w:rsid w:val="7F0567EB"/>
    <w:rsid w:val="7F503B7C"/>
    <w:rsid w:val="7F511BB8"/>
    <w:rsid w:val="7FAE0E2E"/>
    <w:rsid w:val="7FB818F5"/>
    <w:rsid w:val="7FCF657D"/>
    <w:rsid w:val="FFFC3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Body Text Indent"/>
    <w:basedOn w:val="1"/>
    <w:qFormat/>
    <w:uiPriority w:val="0"/>
    <w:pPr>
      <w:spacing w:line="360" w:lineRule="auto"/>
      <w:ind w:firstLine="57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5"/>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semiHidden/>
    <w:qFormat/>
    <w:uiPriority w:val="0"/>
    <w:rPr>
      <w:kern w:val="2"/>
      <w:sz w:val="21"/>
      <w:szCs w:val="24"/>
      <w:lang w:val="en-US" w:eastAsia="zh-CN" w:bidi="ar-SA"/>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0">
    <w:name w:val="List Paragraph"/>
    <w:basedOn w:val="1"/>
    <w:qFormat/>
    <w:uiPriority w:val="0"/>
    <w:pPr>
      <w:autoSpaceDE w:val="0"/>
      <w:autoSpaceDN w:val="0"/>
      <w:adjustRightInd w:val="0"/>
      <w:jc w:val="left"/>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5439</Words>
  <Characters>5936</Characters>
  <Lines>311</Lines>
  <Paragraphs>87</Paragraphs>
  <TotalTime>0</TotalTime>
  <ScaleCrop>false</ScaleCrop>
  <LinksUpToDate>false</LinksUpToDate>
  <CharactersWithSpaces>6026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2021-02-07T18:43:00Z</dcterms:created>
  <dc:creator>HaHaHa~</dc:creator>
  <cp:lastModifiedBy>莫</cp:lastModifiedBy>
  <cp:lastPrinted>2024-03-27T16:35:00Z</cp:lastPrinted>
  <dcterms:modified xsi:type="dcterms:W3CDTF">2026-07-23T05:42:36Z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C542094443DD4A32A19776408B77607F_13</vt:lpwstr>
  </property>
  <property fmtid="{D5CDD505-2E9C-101B-9397-08002B2CF9AE}" pid="4" name="KSOTemplateDocerSaveRecord">
    <vt:lpwstr>eyJoZGlkIjoiYjNkNWNiZjliYjRlZjU0OGQ5ZDA4NDA0YmE2YTliOTciLCJ1c2VySWQiOiIxNTM0MTUzMTIyIn0=</vt:lpwstr>
  </property>
</Properties>
</file>