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0C62FC5">
      <w:pPr>
        <w:tabs>
          <w:tab w:val="left" w:pos="720"/>
        </w:tabs>
        <w:jc w:val="center"/>
        <w:outlineLvl w:val="0"/>
        <w:rPr>
          <w:rFonts w:ascii="仿宋" w:hAnsi="仿宋" w:eastAsia="仿宋" w:cs="仿宋"/>
          <w:b/>
          <w:bCs/>
          <w:kern w:val="0"/>
          <w:sz w:val="36"/>
          <w:szCs w:val="36"/>
        </w:rPr>
      </w:pPr>
    </w:p>
    <w:p w14:paraId="7957AB96">
      <w:pPr>
        <w:adjustRightInd w:val="0"/>
        <w:snapToGrid w:val="0"/>
        <w:spacing w:line="1200" w:lineRule="exact"/>
        <w:jc w:val="center"/>
        <w:rPr>
          <w:rFonts w:ascii="华文新魏" w:hAnsi="华文仿宋" w:eastAsia="华文新魏"/>
          <w:b/>
          <w:bCs/>
          <w:color w:val="auto"/>
          <w:sz w:val="72"/>
          <w:szCs w:val="72"/>
          <w:highlight w:val="none"/>
        </w:rPr>
      </w:pPr>
      <w:bookmarkStart w:id="82" w:name="_GoBack"/>
      <w:r>
        <w:rPr>
          <w:rFonts w:ascii="华文新魏" w:hAnsi="华文新魏" w:eastAsia="华文新魏" w:cs="华文新魏"/>
          <w:b/>
          <w:bCs/>
          <w:color w:val="auto"/>
          <w:sz w:val="72"/>
          <w:szCs w:val="72"/>
          <w:highlight w:val="none"/>
          <w:lang w:bidi="ar"/>
        </w:rPr>
        <w:t>临海市非政府采购项目</w:t>
      </w:r>
    </w:p>
    <w:p w14:paraId="748B2485">
      <w:pPr>
        <w:adjustRightInd w:val="0"/>
        <w:snapToGrid w:val="0"/>
        <w:spacing w:line="1200" w:lineRule="exact"/>
        <w:jc w:val="center"/>
        <w:rPr>
          <w:rFonts w:ascii="华文新魏" w:hAnsi="华文仿宋" w:eastAsia="华文新魏"/>
          <w:b/>
          <w:bCs/>
          <w:color w:val="auto"/>
          <w:sz w:val="84"/>
          <w:szCs w:val="84"/>
          <w:highlight w:val="none"/>
        </w:rPr>
      </w:pPr>
      <w:r>
        <w:rPr>
          <w:rFonts w:ascii="华文新魏" w:hAnsi="华文新魏" w:eastAsia="华文新魏" w:cs="华文新魏"/>
          <w:b/>
          <w:bCs/>
          <w:color w:val="auto"/>
          <w:sz w:val="84"/>
          <w:szCs w:val="84"/>
          <w:highlight w:val="none"/>
          <w:lang w:bidi="ar"/>
        </w:rPr>
        <w:t>招</w:t>
      </w:r>
      <w:r>
        <w:rPr>
          <w:rFonts w:ascii="华文新魏" w:hAnsi="华文仿宋" w:eastAsia="华文新魏"/>
          <w:b/>
          <w:bCs/>
          <w:color w:val="auto"/>
          <w:sz w:val="84"/>
          <w:szCs w:val="84"/>
          <w:highlight w:val="none"/>
          <w:lang w:bidi="ar"/>
        </w:rPr>
        <w:t xml:space="preserve">  </w:t>
      </w:r>
      <w:r>
        <w:rPr>
          <w:rFonts w:ascii="华文新魏" w:hAnsi="华文新魏" w:eastAsia="华文新魏" w:cs="华文新魏"/>
          <w:b/>
          <w:bCs/>
          <w:color w:val="auto"/>
          <w:sz w:val="84"/>
          <w:szCs w:val="84"/>
          <w:highlight w:val="none"/>
          <w:lang w:bidi="ar"/>
        </w:rPr>
        <w:t>标</w:t>
      </w:r>
      <w:r>
        <w:rPr>
          <w:rFonts w:ascii="华文新魏" w:hAnsi="华文仿宋" w:eastAsia="华文新魏"/>
          <w:b/>
          <w:bCs/>
          <w:color w:val="auto"/>
          <w:sz w:val="84"/>
          <w:szCs w:val="84"/>
          <w:highlight w:val="none"/>
          <w:lang w:bidi="ar"/>
        </w:rPr>
        <w:t xml:space="preserve">  </w:t>
      </w:r>
      <w:r>
        <w:rPr>
          <w:rFonts w:ascii="华文新魏" w:hAnsi="华文新魏" w:eastAsia="华文新魏" w:cs="华文新魏"/>
          <w:b/>
          <w:bCs/>
          <w:color w:val="auto"/>
          <w:sz w:val="84"/>
          <w:szCs w:val="84"/>
          <w:highlight w:val="none"/>
          <w:lang w:bidi="ar"/>
        </w:rPr>
        <w:t>文</w:t>
      </w:r>
      <w:r>
        <w:rPr>
          <w:rFonts w:ascii="华文新魏" w:hAnsi="华文仿宋" w:eastAsia="华文新魏"/>
          <w:b/>
          <w:bCs/>
          <w:color w:val="auto"/>
          <w:sz w:val="84"/>
          <w:szCs w:val="84"/>
          <w:highlight w:val="none"/>
          <w:lang w:bidi="ar"/>
        </w:rPr>
        <w:t xml:space="preserve">  </w:t>
      </w:r>
      <w:r>
        <w:rPr>
          <w:rFonts w:ascii="华文新魏" w:hAnsi="华文新魏" w:eastAsia="华文新魏" w:cs="华文新魏"/>
          <w:b/>
          <w:bCs/>
          <w:color w:val="auto"/>
          <w:sz w:val="84"/>
          <w:szCs w:val="84"/>
          <w:highlight w:val="none"/>
          <w:lang w:bidi="ar"/>
        </w:rPr>
        <w:t>件</w:t>
      </w:r>
    </w:p>
    <w:p w14:paraId="4733556E">
      <w:pPr>
        <w:adjustRightInd w:val="0"/>
        <w:snapToGrid w:val="0"/>
        <w:rPr>
          <w:rFonts w:hint="eastAsia" w:ascii="宋体" w:hAnsi="宋体"/>
          <w:b/>
          <w:bCs/>
          <w:color w:val="auto"/>
          <w:sz w:val="32"/>
          <w:szCs w:val="32"/>
          <w:highlight w:val="none"/>
        </w:rPr>
      </w:pPr>
      <w:r>
        <w:rPr>
          <w:rFonts w:hint="eastAsia" w:ascii="宋体" w:hAnsi="宋体"/>
          <w:b/>
          <w:bCs/>
          <w:color w:val="auto"/>
          <w:sz w:val="32"/>
          <w:szCs w:val="32"/>
          <w:highlight w:val="none"/>
          <w:lang w:bidi="ar"/>
        </w:rPr>
        <w:t xml:space="preserve"> </w:t>
      </w:r>
    </w:p>
    <w:p w14:paraId="1A048442">
      <w:pPr>
        <w:adjustRightInd w:val="0"/>
        <w:snapToGrid w:val="0"/>
        <w:spacing w:line="360" w:lineRule="auto"/>
        <w:ind w:left="1955" w:hanging="1955" w:hangingChars="541"/>
        <w:jc w:val="center"/>
        <w:rPr>
          <w:rFonts w:hint="eastAsia" w:ascii="宋体" w:hAnsi="宋体" w:cs="宋体"/>
          <w:b/>
          <w:color w:val="auto"/>
          <w:sz w:val="36"/>
          <w:szCs w:val="36"/>
          <w:highlight w:val="none"/>
        </w:rPr>
      </w:pPr>
      <w:r>
        <w:rPr>
          <w:rFonts w:hint="eastAsia" w:ascii="宋体" w:hAnsi="宋体" w:cs="宋体"/>
          <w:b/>
          <w:bCs/>
          <w:color w:val="auto"/>
          <w:sz w:val="36"/>
          <w:szCs w:val="36"/>
          <w:highlight w:val="none"/>
          <w:lang w:bidi="ar"/>
        </w:rPr>
        <w:t>（电子投标、不见面开标方式）</w:t>
      </w:r>
    </w:p>
    <w:p w14:paraId="34EFA58B">
      <w:pPr>
        <w:pStyle w:val="21"/>
        <w:widowControl/>
        <w:spacing w:before="100" w:beforeAutospacing="1"/>
        <w:rPr>
          <w:color w:val="auto"/>
          <w:highlight w:val="none"/>
        </w:rPr>
      </w:pPr>
      <w:r>
        <w:rPr>
          <w:color w:val="auto"/>
          <w:highlight w:val="none"/>
        </w:rPr>
        <w:t xml:space="preserve"> </w:t>
      </w:r>
    </w:p>
    <w:p w14:paraId="00D74B6E">
      <w:pPr>
        <w:pStyle w:val="21"/>
        <w:widowControl/>
        <w:spacing w:before="100" w:beforeAutospacing="1"/>
        <w:rPr>
          <w:color w:val="auto"/>
          <w:highlight w:val="none"/>
        </w:rPr>
      </w:pPr>
      <w:r>
        <w:rPr>
          <w:color w:val="auto"/>
          <w:highlight w:val="none"/>
        </w:rPr>
        <w:t xml:space="preserve"> </w:t>
      </w:r>
    </w:p>
    <w:p w14:paraId="11E7A8EC">
      <w:pPr>
        <w:adjustRightInd w:val="0"/>
        <w:snapToGrid w:val="0"/>
        <w:spacing w:line="360" w:lineRule="auto"/>
        <w:ind w:left="1520" w:leftChars="135" w:hanging="1237" w:hangingChars="440"/>
        <w:rPr>
          <w:rFonts w:hint="eastAsia" w:ascii="宋体" w:hAnsi="宋体"/>
          <w:b/>
          <w:bCs/>
          <w:color w:val="auto"/>
          <w:sz w:val="28"/>
          <w:szCs w:val="28"/>
          <w:highlight w:val="none"/>
        </w:rPr>
      </w:pPr>
      <w:r>
        <w:rPr>
          <w:rFonts w:hint="eastAsia" w:ascii="宋体" w:hAnsi="宋体" w:cs="宋体"/>
          <w:b/>
          <w:bCs/>
          <w:color w:val="auto"/>
          <w:sz w:val="28"/>
          <w:szCs w:val="28"/>
          <w:highlight w:val="none"/>
          <w:lang w:bidi="ar"/>
        </w:rPr>
        <w:t>项目名称：</w:t>
      </w:r>
      <w:r>
        <w:rPr>
          <w:rFonts w:hint="eastAsia" w:ascii="宋体" w:hAnsi="宋体" w:cs="宋体"/>
          <w:b/>
          <w:bCs/>
          <w:color w:val="auto"/>
          <w:sz w:val="28"/>
          <w:szCs w:val="28"/>
          <w:highlight w:val="none"/>
          <w:lang w:eastAsia="zh-CN" w:bidi="ar"/>
        </w:rPr>
        <w:t>台州港头门港区三期陆域先行工程(场平工程)（全过程造价控制）</w:t>
      </w:r>
    </w:p>
    <w:p w14:paraId="17673C00">
      <w:pPr>
        <w:adjustRightInd w:val="0"/>
        <w:snapToGrid w:val="0"/>
        <w:spacing w:line="360" w:lineRule="auto"/>
        <w:ind w:left="1520" w:leftChars="135" w:hanging="1237" w:hangingChars="440"/>
        <w:rPr>
          <w:rFonts w:ascii="Times New Roman" w:hAnsi="Times New Roman"/>
          <w:color w:val="auto"/>
          <w:szCs w:val="21"/>
          <w:highlight w:val="none"/>
        </w:rPr>
      </w:pPr>
      <w:r>
        <w:rPr>
          <w:rFonts w:hint="eastAsia" w:ascii="宋体" w:hAnsi="宋体" w:cs="宋体"/>
          <w:b/>
          <w:bCs/>
          <w:color w:val="auto"/>
          <w:sz w:val="28"/>
          <w:szCs w:val="28"/>
          <w:highlight w:val="none"/>
          <w:lang w:bidi="ar"/>
        </w:rPr>
        <w:t>项目编号：</w:t>
      </w:r>
      <w:r>
        <w:rPr>
          <w:rFonts w:hint="eastAsia" w:ascii="宋体" w:hAnsi="宋体" w:eastAsiaTheme="minorEastAsia"/>
          <w:b/>
          <w:bCs/>
          <w:color w:val="auto"/>
          <w:sz w:val="28"/>
          <w:szCs w:val="28"/>
          <w:highlight w:val="none"/>
          <w:lang w:eastAsia="zh-CN"/>
        </w:rPr>
        <w:t>ZJHY-XE-202608</w:t>
      </w:r>
    </w:p>
    <w:p w14:paraId="1781ECB1">
      <w:pPr>
        <w:tabs>
          <w:tab w:val="left" w:pos="720"/>
          <w:tab w:val="left" w:pos="1440"/>
          <w:tab w:val="left" w:pos="2160"/>
          <w:tab w:val="left" w:pos="2880"/>
          <w:tab w:val="left" w:pos="3600"/>
          <w:tab w:val="left" w:pos="4320"/>
          <w:tab w:val="left" w:pos="5040"/>
          <w:tab w:val="left" w:pos="5760"/>
        </w:tabs>
        <w:autoSpaceDE w:val="0"/>
        <w:autoSpaceDN w:val="0"/>
        <w:adjustRightInd w:val="0"/>
        <w:spacing w:line="340" w:lineRule="atLeast"/>
        <w:ind w:left="1440" w:right="1800" w:firstLine="600" w:firstLineChars="200"/>
        <w:jc w:val="left"/>
        <w:rPr>
          <w:rFonts w:hint="eastAsia" w:ascii="仿宋" w:hAnsi="仿宋" w:eastAsia="仿宋" w:cs="仿宋"/>
          <w:color w:val="auto"/>
          <w:kern w:val="0"/>
          <w:sz w:val="28"/>
          <w:szCs w:val="28"/>
          <w:highlight w:val="none"/>
        </w:rPr>
      </w:pPr>
      <w:r>
        <w:rPr>
          <w:rFonts w:hint="eastAsia" w:ascii="宋体" w:hAnsi="宋体" w:cs="宋体"/>
          <w:color w:val="auto"/>
          <w:kern w:val="0"/>
          <w:sz w:val="30"/>
          <w:szCs w:val="30"/>
          <w:highlight w:val="none"/>
          <w:lang w:bidi="ar"/>
        </w:rPr>
        <w:t xml:space="preserve"> </w:t>
      </w:r>
    </w:p>
    <w:p w14:paraId="6B45A5C3">
      <w:pPr>
        <w:spacing w:line="480" w:lineRule="auto"/>
        <w:ind w:firstLine="281" w:firstLineChars="100"/>
        <w:rPr>
          <w:rFonts w:hint="eastAsia" w:ascii="宋体" w:hAnsi="宋体" w:cs="宋体"/>
          <w:b/>
          <w:color w:val="auto"/>
          <w:sz w:val="28"/>
          <w:szCs w:val="28"/>
          <w:highlight w:val="none"/>
          <w:lang w:bidi="ar"/>
        </w:rPr>
      </w:pPr>
    </w:p>
    <w:p w14:paraId="2149E82F">
      <w:pPr>
        <w:spacing w:line="480" w:lineRule="auto"/>
        <w:ind w:firstLine="281" w:firstLineChars="100"/>
        <w:rPr>
          <w:rFonts w:hint="eastAsia" w:ascii="宋体" w:hAnsi="宋体" w:cs="宋体"/>
          <w:b/>
          <w:color w:val="auto"/>
          <w:sz w:val="28"/>
          <w:szCs w:val="28"/>
          <w:highlight w:val="none"/>
        </w:rPr>
      </w:pPr>
      <w:r>
        <w:rPr>
          <w:rFonts w:hint="eastAsia" w:ascii="宋体" w:hAnsi="宋体" w:cs="宋体"/>
          <w:b/>
          <w:color w:val="auto"/>
          <w:sz w:val="28"/>
          <w:szCs w:val="28"/>
          <w:highlight w:val="none"/>
          <w:lang w:bidi="ar"/>
        </w:rPr>
        <w:t>招标人：</w:t>
      </w:r>
      <w:r>
        <w:rPr>
          <w:rFonts w:hint="eastAsia" w:ascii="宋体" w:hAnsi="宋体" w:cs="宋体"/>
          <w:b/>
          <w:color w:val="auto"/>
          <w:sz w:val="28"/>
          <w:szCs w:val="28"/>
          <w:highlight w:val="none"/>
          <w:lang w:eastAsia="zh-CN" w:bidi="ar"/>
        </w:rPr>
        <w:t>临海市头门港三期码头开发有限公司</w:t>
      </w:r>
      <w:r>
        <w:rPr>
          <w:rFonts w:hint="eastAsia" w:ascii="宋体" w:hAnsi="宋体" w:cs="宋体"/>
          <w:b/>
          <w:color w:val="auto"/>
          <w:sz w:val="28"/>
          <w:szCs w:val="28"/>
          <w:highlight w:val="none"/>
          <w:lang w:bidi="ar"/>
        </w:rPr>
        <w:t>（盖章）</w:t>
      </w:r>
    </w:p>
    <w:p w14:paraId="6772CA2A">
      <w:pPr>
        <w:spacing w:line="480" w:lineRule="auto"/>
        <w:ind w:firstLine="281" w:firstLineChars="100"/>
        <w:rPr>
          <w:rFonts w:hint="eastAsia" w:ascii="宋体" w:hAnsi="宋体" w:cs="宋体"/>
          <w:b/>
          <w:color w:val="auto"/>
          <w:sz w:val="28"/>
          <w:szCs w:val="28"/>
          <w:highlight w:val="none"/>
        </w:rPr>
      </w:pPr>
      <w:r>
        <w:rPr>
          <w:rFonts w:hint="eastAsia" w:ascii="宋体" w:hAnsi="宋体" w:cs="宋体"/>
          <w:b/>
          <w:color w:val="auto"/>
          <w:sz w:val="28"/>
          <w:szCs w:val="28"/>
          <w:highlight w:val="none"/>
          <w:lang w:bidi="ar"/>
        </w:rPr>
        <w:t>联 系 人：</w:t>
      </w:r>
      <w:r>
        <w:rPr>
          <w:rFonts w:hint="eastAsia" w:ascii="宋体" w:hAnsi="宋体" w:cs="宋体"/>
          <w:b/>
          <w:color w:val="auto"/>
          <w:sz w:val="28"/>
          <w:szCs w:val="28"/>
          <w:highlight w:val="none"/>
          <w:lang w:val="en-US" w:eastAsia="zh-CN" w:bidi="ar"/>
        </w:rPr>
        <w:t>林</w:t>
      </w:r>
      <w:r>
        <w:rPr>
          <w:rFonts w:hint="eastAsia" w:ascii="宋体" w:hAnsi="宋体" w:cs="宋体"/>
          <w:b/>
          <w:color w:val="auto"/>
          <w:sz w:val="28"/>
          <w:szCs w:val="28"/>
          <w:highlight w:val="none"/>
          <w:lang w:bidi="ar"/>
        </w:rPr>
        <w:t>先生         联系电话:18167103232</w:t>
      </w:r>
    </w:p>
    <w:p w14:paraId="40BFC755">
      <w:pPr>
        <w:spacing w:line="480" w:lineRule="auto"/>
        <w:rPr>
          <w:rFonts w:hint="eastAsia" w:ascii="宋体" w:hAnsi="宋体" w:cs="宋体"/>
          <w:b/>
          <w:color w:val="auto"/>
          <w:sz w:val="28"/>
          <w:szCs w:val="28"/>
          <w:highlight w:val="none"/>
        </w:rPr>
      </w:pPr>
      <w:r>
        <w:rPr>
          <w:rFonts w:hint="eastAsia" w:ascii="宋体" w:hAnsi="宋体" w:cs="宋体"/>
          <w:b/>
          <w:color w:val="auto"/>
          <w:sz w:val="28"/>
          <w:szCs w:val="28"/>
          <w:highlight w:val="none"/>
          <w:lang w:bidi="ar"/>
        </w:rPr>
        <w:t xml:space="preserve"> </w:t>
      </w:r>
    </w:p>
    <w:p w14:paraId="550A4937">
      <w:pPr>
        <w:pStyle w:val="51"/>
        <w:widowControl/>
        <w:rPr>
          <w:color w:val="auto"/>
          <w:highlight w:val="none"/>
        </w:rPr>
      </w:pPr>
      <w:r>
        <w:rPr>
          <w:color w:val="auto"/>
          <w:highlight w:val="none"/>
        </w:rPr>
        <w:t xml:space="preserve"> </w:t>
      </w:r>
    </w:p>
    <w:p w14:paraId="631D5C0A">
      <w:pPr>
        <w:spacing w:line="480" w:lineRule="auto"/>
        <w:ind w:firstLine="281" w:firstLineChars="100"/>
        <w:rPr>
          <w:rFonts w:hint="eastAsia" w:ascii="宋体" w:hAnsi="宋体" w:cs="宋体"/>
          <w:b/>
          <w:color w:val="auto"/>
          <w:sz w:val="28"/>
          <w:szCs w:val="28"/>
          <w:highlight w:val="none"/>
        </w:rPr>
      </w:pPr>
      <w:r>
        <w:rPr>
          <w:rFonts w:hint="eastAsia" w:ascii="宋体" w:hAnsi="宋体" w:cs="宋体"/>
          <w:b/>
          <w:color w:val="auto"/>
          <w:sz w:val="28"/>
          <w:szCs w:val="28"/>
          <w:highlight w:val="none"/>
          <w:lang w:bidi="ar"/>
        </w:rPr>
        <w:t>招标代理机构：</w:t>
      </w:r>
      <w:r>
        <w:rPr>
          <w:rFonts w:hint="eastAsia" w:ascii="宋体" w:hAnsi="宋体" w:cs="宋体"/>
          <w:b/>
          <w:bCs/>
          <w:color w:val="auto"/>
          <w:sz w:val="28"/>
          <w:szCs w:val="28"/>
          <w:highlight w:val="none"/>
          <w:lang w:bidi="ar"/>
        </w:rPr>
        <w:t>浙江华耀建设咨询有限公司</w:t>
      </w:r>
    </w:p>
    <w:p w14:paraId="04041E8E">
      <w:pPr>
        <w:spacing w:line="480" w:lineRule="auto"/>
        <w:ind w:firstLine="281" w:firstLineChars="100"/>
        <w:rPr>
          <w:rFonts w:hint="eastAsia" w:ascii="宋体" w:hAnsi="宋体" w:cs="宋体"/>
          <w:b/>
          <w:color w:val="auto"/>
          <w:sz w:val="28"/>
          <w:szCs w:val="28"/>
          <w:highlight w:val="none"/>
        </w:rPr>
      </w:pPr>
      <w:r>
        <w:rPr>
          <w:rFonts w:hint="eastAsia" w:ascii="宋体" w:hAnsi="宋体" w:cs="宋体"/>
          <w:b/>
          <w:color w:val="auto"/>
          <w:sz w:val="28"/>
          <w:szCs w:val="28"/>
          <w:highlight w:val="none"/>
          <w:lang w:bidi="ar"/>
        </w:rPr>
        <w:t>联 系 人：陶先生           联系电话：0576-85021266</w:t>
      </w:r>
    </w:p>
    <w:p w14:paraId="139E03F4">
      <w:pPr>
        <w:spacing w:line="500" w:lineRule="atLeast"/>
        <w:jc w:val="center"/>
        <w:rPr>
          <w:rFonts w:hint="eastAsia" w:ascii="宋体" w:hAnsi="宋体"/>
          <w:b/>
          <w:bCs/>
          <w:color w:val="auto"/>
          <w:sz w:val="30"/>
          <w:szCs w:val="30"/>
          <w:highlight w:val="none"/>
        </w:rPr>
      </w:pPr>
      <w:r>
        <w:rPr>
          <w:rFonts w:hint="eastAsia" w:ascii="宋体" w:hAnsi="宋体"/>
          <w:b/>
          <w:bCs/>
          <w:color w:val="auto"/>
          <w:sz w:val="30"/>
          <w:szCs w:val="30"/>
          <w:highlight w:val="none"/>
          <w:lang w:bidi="ar"/>
        </w:rPr>
        <w:t xml:space="preserve"> </w:t>
      </w:r>
    </w:p>
    <w:p w14:paraId="2E52747B">
      <w:pPr>
        <w:spacing w:line="500" w:lineRule="atLeast"/>
        <w:rPr>
          <w:rFonts w:hint="eastAsia" w:ascii="宋体" w:hAnsi="宋体"/>
          <w:b/>
          <w:bCs/>
          <w:color w:val="auto"/>
          <w:sz w:val="30"/>
          <w:szCs w:val="30"/>
          <w:highlight w:val="none"/>
        </w:rPr>
      </w:pPr>
      <w:r>
        <w:rPr>
          <w:rFonts w:hint="eastAsia" w:ascii="宋体" w:hAnsi="宋体"/>
          <w:b/>
          <w:bCs/>
          <w:color w:val="auto"/>
          <w:sz w:val="30"/>
          <w:szCs w:val="30"/>
          <w:highlight w:val="none"/>
          <w:lang w:bidi="ar"/>
        </w:rPr>
        <w:t xml:space="preserve"> </w:t>
      </w:r>
    </w:p>
    <w:p w14:paraId="54B0849E">
      <w:pPr>
        <w:spacing w:line="500" w:lineRule="atLeast"/>
        <w:ind w:firstLine="3483" w:firstLineChars="1239"/>
        <w:rPr>
          <w:rFonts w:hint="eastAsia" w:ascii="宋体" w:hAnsi="宋体"/>
          <w:color w:val="auto"/>
          <w:sz w:val="28"/>
          <w:szCs w:val="28"/>
          <w:highlight w:val="none"/>
        </w:rPr>
      </w:pPr>
      <w:r>
        <w:rPr>
          <w:rFonts w:hint="eastAsia" w:ascii="宋体" w:hAnsi="宋体" w:cs="宋体"/>
          <w:b/>
          <w:bCs/>
          <w:color w:val="auto"/>
          <w:sz w:val="28"/>
          <w:szCs w:val="28"/>
          <w:highlight w:val="none"/>
          <w:lang w:bidi="ar"/>
        </w:rPr>
        <w:t>二0二六年</w:t>
      </w:r>
      <w:r>
        <w:rPr>
          <w:rFonts w:hint="eastAsia" w:ascii="宋体" w:hAnsi="宋体" w:cs="宋体"/>
          <w:b/>
          <w:bCs/>
          <w:color w:val="auto"/>
          <w:sz w:val="28"/>
          <w:szCs w:val="28"/>
          <w:highlight w:val="none"/>
          <w:lang w:val="en-US" w:eastAsia="zh-CN" w:bidi="ar"/>
        </w:rPr>
        <w:t>七</w:t>
      </w:r>
      <w:r>
        <w:rPr>
          <w:rFonts w:hint="eastAsia" w:ascii="宋体" w:hAnsi="宋体" w:cs="宋体"/>
          <w:b/>
          <w:bCs/>
          <w:color w:val="auto"/>
          <w:sz w:val="28"/>
          <w:szCs w:val="28"/>
          <w:highlight w:val="none"/>
          <w:lang w:bidi="ar"/>
        </w:rPr>
        <w:t>月</w:t>
      </w:r>
      <w:r>
        <w:rPr>
          <w:rFonts w:hint="eastAsia" w:ascii="宋体" w:hAnsi="宋体"/>
          <w:b/>
          <w:bCs/>
          <w:color w:val="auto"/>
          <w:sz w:val="28"/>
          <w:szCs w:val="28"/>
          <w:highlight w:val="none"/>
          <w:lang w:bidi="ar"/>
        </w:rPr>
        <w:t xml:space="preserve"> </w:t>
      </w:r>
    </w:p>
    <w:p w14:paraId="522C7958">
      <w:pPr>
        <w:tabs>
          <w:tab w:val="left" w:pos="720"/>
          <w:tab w:val="left" w:pos="1440"/>
          <w:tab w:val="left" w:pos="2160"/>
          <w:tab w:val="left" w:pos="2880"/>
          <w:tab w:val="left" w:pos="3600"/>
          <w:tab w:val="left" w:pos="4320"/>
          <w:tab w:val="left" w:pos="5040"/>
          <w:tab w:val="left" w:pos="5760"/>
        </w:tabs>
        <w:autoSpaceDE w:val="0"/>
        <w:autoSpaceDN w:val="0"/>
        <w:adjustRightInd w:val="0"/>
        <w:spacing w:line="340" w:lineRule="atLeast"/>
        <w:ind w:left="1440" w:right="1800" w:firstLine="3520" w:firstLineChars="800"/>
        <w:rPr>
          <w:rFonts w:asciiTheme="minorEastAsia" w:hAnsiTheme="minorEastAsia" w:eastAsiaTheme="minorEastAsia" w:cstheme="minorEastAsia"/>
          <w:color w:val="auto"/>
          <w:sz w:val="44"/>
          <w:szCs w:val="44"/>
          <w:highlight w:val="none"/>
        </w:rPr>
        <w:sectPr>
          <w:headerReference r:id="rId3" w:type="default"/>
          <w:footerReference r:id="rId4" w:type="default"/>
          <w:pgSz w:w="11906" w:h="16838"/>
          <w:pgMar w:top="680" w:right="1418" w:bottom="680" w:left="1418" w:header="567" w:footer="471" w:gutter="0"/>
          <w:pgNumType w:fmt="decimal" w:start="1"/>
          <w:cols w:space="720" w:num="1"/>
        </w:sectPr>
      </w:pPr>
    </w:p>
    <w:p w14:paraId="22253F07">
      <w:pPr>
        <w:pStyle w:val="32"/>
        <w:pageBreakBefore/>
        <w:spacing w:beforeLines="0" w:afterLines="0" w:line="360" w:lineRule="auto"/>
        <w:jc w:val="center"/>
        <w:rPr>
          <w:rFonts w:asciiTheme="minorEastAsia" w:hAnsiTheme="minorEastAsia" w:eastAsiaTheme="minorEastAsia" w:cstheme="minorEastAsia"/>
          <w:color w:val="auto"/>
          <w:sz w:val="44"/>
          <w:szCs w:val="44"/>
          <w:highlight w:val="none"/>
        </w:rPr>
      </w:pPr>
      <w:r>
        <w:rPr>
          <w:rFonts w:hint="eastAsia" w:asciiTheme="minorEastAsia" w:hAnsiTheme="minorEastAsia" w:eastAsiaTheme="minorEastAsia" w:cstheme="minorEastAsia"/>
          <w:color w:val="auto"/>
          <w:sz w:val="44"/>
          <w:szCs w:val="44"/>
          <w:highlight w:val="none"/>
        </w:rPr>
        <w:t>目    录</w:t>
      </w:r>
    </w:p>
    <w:p w14:paraId="0B37904D">
      <w:pPr>
        <w:pStyle w:val="39"/>
        <w:tabs>
          <w:tab w:val="left" w:pos="6120"/>
        </w:tabs>
        <w:spacing w:line="480" w:lineRule="auto"/>
        <w:rPr>
          <w:rFonts w:asciiTheme="minorEastAsia" w:hAnsiTheme="minorEastAsia" w:eastAsiaTheme="minorEastAsia" w:cstheme="minorEastAsia"/>
          <w:b/>
          <w:color w:val="auto"/>
          <w:sz w:val="28"/>
          <w:szCs w:val="28"/>
          <w:highlight w:val="none"/>
        </w:rPr>
      </w:pPr>
    </w:p>
    <w:p w14:paraId="05F0036E">
      <w:pPr>
        <w:pStyle w:val="39"/>
        <w:tabs>
          <w:tab w:val="left" w:pos="6120"/>
        </w:tabs>
        <w:spacing w:line="480" w:lineRule="auto"/>
        <w:rPr>
          <w:rFonts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rPr>
        <w:tab/>
      </w:r>
    </w:p>
    <w:p w14:paraId="0B6B18CD">
      <w:pPr>
        <w:pStyle w:val="39"/>
        <w:tabs>
          <w:tab w:val="right" w:leader="dot" w:pos="8730"/>
        </w:tabs>
        <w:spacing w:line="480" w:lineRule="auto"/>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fldChar w:fldCharType="begin"/>
      </w:r>
      <w:r>
        <w:rPr>
          <w:rFonts w:hint="eastAsia" w:asciiTheme="minorEastAsia" w:hAnsiTheme="minorEastAsia" w:eastAsiaTheme="minorEastAsia" w:cstheme="minorEastAsia"/>
          <w:color w:val="auto"/>
          <w:sz w:val="24"/>
          <w:highlight w:val="none"/>
        </w:rPr>
        <w:instrText xml:space="preserve"> TOC \o "1-3" \h \z \u </w:instrText>
      </w:r>
      <w:r>
        <w:rPr>
          <w:rFonts w:hint="eastAsia" w:asciiTheme="minorEastAsia" w:hAnsiTheme="minorEastAsia" w:eastAsiaTheme="minorEastAsia" w:cstheme="minorEastAsia"/>
          <w:color w:val="auto"/>
          <w:sz w:val="24"/>
          <w:highlight w:val="none"/>
        </w:rPr>
        <w:fldChar w:fldCharType="separate"/>
      </w:r>
      <w:r>
        <w:rPr>
          <w:color w:val="auto"/>
          <w:highlight w:val="none"/>
        </w:rPr>
        <w:fldChar w:fldCharType="begin"/>
      </w:r>
      <w:r>
        <w:rPr>
          <w:color w:val="auto"/>
          <w:highlight w:val="none"/>
        </w:rPr>
        <w:instrText xml:space="preserve"> HYPERLINK \l "_Toc14571" </w:instrText>
      </w:r>
      <w:r>
        <w:rPr>
          <w:color w:val="auto"/>
          <w:highlight w:val="none"/>
        </w:rPr>
        <w:fldChar w:fldCharType="separate"/>
      </w:r>
      <w:r>
        <w:rPr>
          <w:rFonts w:hint="eastAsia" w:asciiTheme="minorEastAsia" w:hAnsiTheme="minorEastAsia" w:eastAsiaTheme="minorEastAsia" w:cstheme="minorEastAsia"/>
          <w:color w:val="auto"/>
          <w:sz w:val="24"/>
          <w:highlight w:val="none"/>
        </w:rPr>
        <w:t>第一章  投标邀请</w:t>
      </w:r>
      <w:r>
        <w:rPr>
          <w:rFonts w:hint="eastAsia" w:asciiTheme="minorEastAsia" w:hAnsiTheme="minorEastAsia" w:eastAsiaTheme="minorEastAsia" w:cstheme="minorEastAsia"/>
          <w:color w:val="auto"/>
          <w:sz w:val="24"/>
          <w:highlight w:val="none"/>
        </w:rPr>
        <w:tab/>
      </w:r>
      <w:r>
        <w:rPr>
          <w:rFonts w:hint="eastAsia" w:asciiTheme="minorEastAsia" w:hAnsiTheme="minorEastAsia" w:eastAsiaTheme="minorEastAsia" w:cstheme="minorEastAsia"/>
          <w:color w:val="auto"/>
          <w:sz w:val="24"/>
          <w:highlight w:val="none"/>
        </w:rPr>
        <w:fldChar w:fldCharType="begin"/>
      </w:r>
      <w:r>
        <w:rPr>
          <w:rFonts w:hint="eastAsia" w:asciiTheme="minorEastAsia" w:hAnsiTheme="minorEastAsia" w:eastAsiaTheme="minorEastAsia" w:cstheme="minorEastAsia"/>
          <w:color w:val="auto"/>
          <w:sz w:val="24"/>
          <w:highlight w:val="none"/>
        </w:rPr>
        <w:instrText xml:space="preserve"> PAGEREF _Toc14571 \h </w:instrText>
      </w:r>
      <w:r>
        <w:rPr>
          <w:rFonts w:hint="eastAsia" w:asciiTheme="minorEastAsia" w:hAnsiTheme="minorEastAsia" w:eastAsiaTheme="minorEastAsia" w:cstheme="minorEastAsia"/>
          <w:color w:val="auto"/>
          <w:sz w:val="24"/>
          <w:highlight w:val="none"/>
        </w:rPr>
        <w:fldChar w:fldCharType="separate"/>
      </w:r>
      <w:r>
        <w:rPr>
          <w:rFonts w:hint="eastAsia" w:asciiTheme="minorEastAsia" w:hAnsiTheme="minorEastAsia" w:eastAsiaTheme="minorEastAsia" w:cstheme="minorEastAsia"/>
          <w:color w:val="auto"/>
          <w:sz w:val="24"/>
          <w:highlight w:val="none"/>
        </w:rPr>
        <w:t>3</w:t>
      </w:r>
      <w:r>
        <w:rPr>
          <w:rFonts w:hint="eastAsia" w:asciiTheme="minorEastAsia" w:hAnsiTheme="minorEastAsia" w:eastAsiaTheme="minorEastAsia" w:cstheme="minorEastAsia"/>
          <w:color w:val="auto"/>
          <w:sz w:val="24"/>
          <w:highlight w:val="none"/>
        </w:rPr>
        <w:fldChar w:fldCharType="end"/>
      </w:r>
      <w:r>
        <w:rPr>
          <w:rFonts w:hint="eastAsia" w:asciiTheme="minorEastAsia" w:hAnsiTheme="minorEastAsia" w:eastAsiaTheme="minorEastAsia" w:cstheme="minorEastAsia"/>
          <w:color w:val="auto"/>
          <w:sz w:val="24"/>
          <w:highlight w:val="none"/>
        </w:rPr>
        <w:fldChar w:fldCharType="end"/>
      </w:r>
    </w:p>
    <w:p w14:paraId="24554370">
      <w:pPr>
        <w:pStyle w:val="39"/>
        <w:tabs>
          <w:tab w:val="right" w:leader="dot" w:pos="8730"/>
        </w:tabs>
        <w:spacing w:line="480" w:lineRule="auto"/>
        <w:rPr>
          <w:rFonts w:asciiTheme="minorEastAsia" w:hAnsiTheme="minorEastAsia" w:eastAsiaTheme="minorEastAsia" w:cstheme="minorEastAsia"/>
          <w:color w:val="auto"/>
          <w:sz w:val="24"/>
          <w:highlight w:val="none"/>
        </w:rPr>
      </w:pPr>
      <w:r>
        <w:rPr>
          <w:color w:val="auto"/>
          <w:highlight w:val="none"/>
        </w:rPr>
        <w:fldChar w:fldCharType="begin"/>
      </w:r>
      <w:r>
        <w:rPr>
          <w:color w:val="auto"/>
          <w:highlight w:val="none"/>
        </w:rPr>
        <w:instrText xml:space="preserve"> HYPERLINK \l "_Toc2467" </w:instrText>
      </w:r>
      <w:r>
        <w:rPr>
          <w:color w:val="auto"/>
          <w:highlight w:val="none"/>
        </w:rPr>
        <w:fldChar w:fldCharType="separate"/>
      </w:r>
      <w:r>
        <w:rPr>
          <w:rFonts w:hint="eastAsia" w:asciiTheme="minorEastAsia" w:hAnsiTheme="minorEastAsia" w:eastAsiaTheme="minorEastAsia" w:cstheme="minorEastAsia"/>
          <w:color w:val="auto"/>
          <w:sz w:val="24"/>
          <w:highlight w:val="none"/>
        </w:rPr>
        <w:t>第二章  招标需求</w:t>
      </w:r>
      <w:r>
        <w:rPr>
          <w:rFonts w:hint="eastAsia" w:asciiTheme="minorEastAsia" w:hAnsiTheme="minorEastAsia" w:eastAsiaTheme="minorEastAsia" w:cstheme="minorEastAsia"/>
          <w:color w:val="auto"/>
          <w:sz w:val="24"/>
          <w:highlight w:val="none"/>
        </w:rPr>
        <w:tab/>
      </w:r>
      <w:r>
        <w:rPr>
          <w:rFonts w:hint="eastAsia" w:asciiTheme="minorEastAsia" w:hAnsiTheme="minorEastAsia" w:eastAsiaTheme="minorEastAsia" w:cstheme="minorEastAsia"/>
          <w:color w:val="auto"/>
          <w:sz w:val="24"/>
          <w:highlight w:val="none"/>
        </w:rPr>
        <w:fldChar w:fldCharType="begin"/>
      </w:r>
      <w:r>
        <w:rPr>
          <w:rFonts w:hint="eastAsia" w:asciiTheme="minorEastAsia" w:hAnsiTheme="minorEastAsia" w:eastAsiaTheme="minorEastAsia" w:cstheme="minorEastAsia"/>
          <w:color w:val="auto"/>
          <w:sz w:val="24"/>
          <w:highlight w:val="none"/>
        </w:rPr>
        <w:instrText xml:space="preserve"> PAGEREF _Toc2467 \h </w:instrText>
      </w:r>
      <w:r>
        <w:rPr>
          <w:rFonts w:hint="eastAsia" w:asciiTheme="minorEastAsia" w:hAnsiTheme="minorEastAsia" w:eastAsiaTheme="minorEastAsia" w:cstheme="minorEastAsia"/>
          <w:color w:val="auto"/>
          <w:sz w:val="24"/>
          <w:highlight w:val="none"/>
        </w:rPr>
        <w:fldChar w:fldCharType="separate"/>
      </w:r>
      <w:r>
        <w:rPr>
          <w:rFonts w:hint="eastAsia" w:asciiTheme="minorEastAsia" w:hAnsiTheme="minorEastAsia" w:eastAsiaTheme="minorEastAsia" w:cstheme="minorEastAsia"/>
          <w:color w:val="auto"/>
          <w:sz w:val="24"/>
          <w:highlight w:val="none"/>
        </w:rPr>
        <w:t>6</w:t>
      </w:r>
      <w:r>
        <w:rPr>
          <w:rFonts w:hint="eastAsia" w:asciiTheme="minorEastAsia" w:hAnsiTheme="minorEastAsia" w:eastAsiaTheme="minorEastAsia" w:cstheme="minorEastAsia"/>
          <w:color w:val="auto"/>
          <w:sz w:val="24"/>
          <w:highlight w:val="none"/>
        </w:rPr>
        <w:fldChar w:fldCharType="end"/>
      </w:r>
      <w:r>
        <w:rPr>
          <w:rFonts w:hint="eastAsia" w:asciiTheme="minorEastAsia" w:hAnsiTheme="minorEastAsia" w:eastAsiaTheme="minorEastAsia" w:cstheme="minorEastAsia"/>
          <w:color w:val="auto"/>
          <w:sz w:val="24"/>
          <w:highlight w:val="none"/>
        </w:rPr>
        <w:fldChar w:fldCharType="end"/>
      </w:r>
    </w:p>
    <w:p w14:paraId="590FA371">
      <w:pPr>
        <w:pStyle w:val="39"/>
        <w:tabs>
          <w:tab w:val="right" w:leader="dot" w:pos="8730"/>
        </w:tabs>
        <w:spacing w:line="480" w:lineRule="auto"/>
        <w:rPr>
          <w:rFonts w:asciiTheme="minorEastAsia" w:hAnsiTheme="minorEastAsia" w:eastAsiaTheme="minorEastAsia" w:cstheme="minorEastAsia"/>
          <w:color w:val="auto"/>
          <w:sz w:val="24"/>
          <w:highlight w:val="none"/>
        </w:rPr>
      </w:pPr>
      <w:r>
        <w:rPr>
          <w:color w:val="auto"/>
          <w:highlight w:val="none"/>
        </w:rPr>
        <w:fldChar w:fldCharType="begin"/>
      </w:r>
      <w:r>
        <w:rPr>
          <w:color w:val="auto"/>
          <w:highlight w:val="none"/>
        </w:rPr>
        <w:instrText xml:space="preserve"> HYPERLINK \l "_Toc21811" </w:instrText>
      </w:r>
      <w:r>
        <w:rPr>
          <w:color w:val="auto"/>
          <w:highlight w:val="none"/>
        </w:rPr>
        <w:fldChar w:fldCharType="separate"/>
      </w:r>
      <w:r>
        <w:rPr>
          <w:rFonts w:hint="eastAsia" w:asciiTheme="minorEastAsia" w:hAnsiTheme="minorEastAsia" w:eastAsiaTheme="minorEastAsia" w:cstheme="minorEastAsia"/>
          <w:color w:val="auto"/>
          <w:sz w:val="24"/>
          <w:highlight w:val="none"/>
        </w:rPr>
        <w:t>第三章  投标人须知</w:t>
      </w:r>
      <w:r>
        <w:rPr>
          <w:rFonts w:hint="eastAsia" w:asciiTheme="minorEastAsia" w:hAnsiTheme="minorEastAsia" w:eastAsiaTheme="minorEastAsia" w:cstheme="minorEastAsia"/>
          <w:color w:val="auto"/>
          <w:sz w:val="24"/>
          <w:highlight w:val="none"/>
        </w:rPr>
        <w:tab/>
      </w:r>
      <w:r>
        <w:rPr>
          <w:rFonts w:hint="eastAsia" w:asciiTheme="minorEastAsia" w:hAnsiTheme="minorEastAsia" w:eastAsiaTheme="minorEastAsia" w:cstheme="minorEastAsia"/>
          <w:color w:val="auto"/>
          <w:sz w:val="24"/>
          <w:highlight w:val="none"/>
        </w:rPr>
        <w:fldChar w:fldCharType="begin"/>
      </w:r>
      <w:r>
        <w:rPr>
          <w:rFonts w:hint="eastAsia" w:asciiTheme="minorEastAsia" w:hAnsiTheme="minorEastAsia" w:eastAsiaTheme="minorEastAsia" w:cstheme="minorEastAsia"/>
          <w:color w:val="auto"/>
          <w:sz w:val="24"/>
          <w:highlight w:val="none"/>
        </w:rPr>
        <w:instrText xml:space="preserve"> PAGEREF _Toc21811 \h </w:instrText>
      </w:r>
      <w:r>
        <w:rPr>
          <w:rFonts w:hint="eastAsia" w:asciiTheme="minorEastAsia" w:hAnsiTheme="minorEastAsia" w:eastAsiaTheme="minorEastAsia" w:cstheme="minorEastAsia"/>
          <w:color w:val="auto"/>
          <w:sz w:val="24"/>
          <w:highlight w:val="none"/>
        </w:rPr>
        <w:fldChar w:fldCharType="separate"/>
      </w:r>
      <w:r>
        <w:rPr>
          <w:rFonts w:hint="eastAsia" w:asciiTheme="minorEastAsia" w:hAnsiTheme="minorEastAsia" w:eastAsiaTheme="minorEastAsia" w:cstheme="minorEastAsia"/>
          <w:color w:val="auto"/>
          <w:sz w:val="24"/>
          <w:highlight w:val="none"/>
        </w:rPr>
        <w:t>6</w:t>
      </w:r>
      <w:r>
        <w:rPr>
          <w:rFonts w:hint="eastAsia" w:asciiTheme="minorEastAsia" w:hAnsiTheme="minorEastAsia" w:eastAsiaTheme="minorEastAsia" w:cstheme="minorEastAsia"/>
          <w:color w:val="auto"/>
          <w:sz w:val="24"/>
          <w:highlight w:val="none"/>
        </w:rPr>
        <w:fldChar w:fldCharType="end"/>
      </w:r>
      <w:r>
        <w:rPr>
          <w:rFonts w:hint="eastAsia" w:asciiTheme="minorEastAsia" w:hAnsiTheme="minorEastAsia" w:eastAsiaTheme="minorEastAsia" w:cstheme="minorEastAsia"/>
          <w:color w:val="auto"/>
          <w:sz w:val="24"/>
          <w:highlight w:val="none"/>
        </w:rPr>
        <w:fldChar w:fldCharType="end"/>
      </w:r>
    </w:p>
    <w:p w14:paraId="38658D0C">
      <w:pPr>
        <w:pStyle w:val="39"/>
        <w:tabs>
          <w:tab w:val="right" w:leader="dot" w:pos="8730"/>
        </w:tabs>
        <w:spacing w:line="480" w:lineRule="auto"/>
        <w:rPr>
          <w:rFonts w:asciiTheme="minorEastAsia" w:hAnsiTheme="minorEastAsia" w:eastAsiaTheme="minorEastAsia" w:cstheme="minorEastAsia"/>
          <w:color w:val="auto"/>
          <w:sz w:val="24"/>
          <w:highlight w:val="none"/>
        </w:rPr>
      </w:pPr>
      <w:r>
        <w:rPr>
          <w:color w:val="auto"/>
          <w:highlight w:val="none"/>
        </w:rPr>
        <w:fldChar w:fldCharType="begin"/>
      </w:r>
      <w:r>
        <w:rPr>
          <w:color w:val="auto"/>
          <w:highlight w:val="none"/>
        </w:rPr>
        <w:instrText xml:space="preserve"> HYPERLINK \l "_Toc25225" </w:instrText>
      </w:r>
      <w:r>
        <w:rPr>
          <w:color w:val="auto"/>
          <w:highlight w:val="none"/>
        </w:rPr>
        <w:fldChar w:fldCharType="separate"/>
      </w:r>
      <w:r>
        <w:rPr>
          <w:rFonts w:hint="eastAsia" w:asciiTheme="minorEastAsia" w:hAnsiTheme="minorEastAsia" w:eastAsiaTheme="minorEastAsia" w:cstheme="minorEastAsia"/>
          <w:color w:val="auto"/>
          <w:sz w:val="24"/>
          <w:highlight w:val="none"/>
        </w:rPr>
        <w:t>第四章  评标办法及评分标准</w:t>
      </w:r>
      <w:r>
        <w:rPr>
          <w:rFonts w:hint="eastAsia" w:asciiTheme="minorEastAsia" w:hAnsiTheme="minorEastAsia" w:eastAsiaTheme="minorEastAsia" w:cstheme="minorEastAsia"/>
          <w:color w:val="auto"/>
          <w:sz w:val="24"/>
          <w:highlight w:val="none"/>
        </w:rPr>
        <w:tab/>
      </w:r>
      <w:r>
        <w:rPr>
          <w:rFonts w:hint="eastAsia" w:asciiTheme="minorEastAsia" w:hAnsiTheme="minorEastAsia" w:eastAsiaTheme="minorEastAsia" w:cstheme="minorEastAsia"/>
          <w:color w:val="auto"/>
          <w:sz w:val="24"/>
          <w:highlight w:val="none"/>
        </w:rPr>
        <w:fldChar w:fldCharType="begin"/>
      </w:r>
      <w:r>
        <w:rPr>
          <w:rFonts w:hint="eastAsia" w:asciiTheme="minorEastAsia" w:hAnsiTheme="minorEastAsia" w:eastAsiaTheme="minorEastAsia" w:cstheme="minorEastAsia"/>
          <w:color w:val="auto"/>
          <w:sz w:val="24"/>
          <w:highlight w:val="none"/>
        </w:rPr>
        <w:instrText xml:space="preserve"> PAGEREF _Toc25225 \h </w:instrText>
      </w:r>
      <w:r>
        <w:rPr>
          <w:rFonts w:hint="eastAsia" w:asciiTheme="minorEastAsia" w:hAnsiTheme="minorEastAsia" w:eastAsiaTheme="minorEastAsia" w:cstheme="minorEastAsia"/>
          <w:color w:val="auto"/>
          <w:sz w:val="24"/>
          <w:highlight w:val="none"/>
        </w:rPr>
        <w:fldChar w:fldCharType="separate"/>
      </w:r>
      <w:r>
        <w:rPr>
          <w:rFonts w:hint="eastAsia" w:asciiTheme="minorEastAsia" w:hAnsiTheme="minorEastAsia" w:eastAsiaTheme="minorEastAsia" w:cstheme="minorEastAsia"/>
          <w:color w:val="auto"/>
          <w:sz w:val="24"/>
          <w:highlight w:val="none"/>
        </w:rPr>
        <w:t>22</w:t>
      </w:r>
      <w:r>
        <w:rPr>
          <w:rFonts w:hint="eastAsia" w:asciiTheme="minorEastAsia" w:hAnsiTheme="minorEastAsia" w:eastAsiaTheme="minorEastAsia" w:cstheme="minorEastAsia"/>
          <w:color w:val="auto"/>
          <w:sz w:val="24"/>
          <w:highlight w:val="none"/>
        </w:rPr>
        <w:fldChar w:fldCharType="end"/>
      </w:r>
      <w:r>
        <w:rPr>
          <w:rFonts w:hint="eastAsia" w:asciiTheme="minorEastAsia" w:hAnsiTheme="minorEastAsia" w:eastAsiaTheme="minorEastAsia" w:cstheme="minorEastAsia"/>
          <w:color w:val="auto"/>
          <w:sz w:val="24"/>
          <w:highlight w:val="none"/>
        </w:rPr>
        <w:fldChar w:fldCharType="end"/>
      </w:r>
    </w:p>
    <w:p w14:paraId="0E3EFC84">
      <w:pPr>
        <w:pStyle w:val="39"/>
        <w:tabs>
          <w:tab w:val="right" w:leader="dot" w:pos="8730"/>
        </w:tabs>
        <w:spacing w:line="480" w:lineRule="auto"/>
        <w:rPr>
          <w:rFonts w:asciiTheme="minorEastAsia" w:hAnsiTheme="minorEastAsia" w:eastAsiaTheme="minorEastAsia" w:cstheme="minorEastAsia"/>
          <w:color w:val="auto"/>
          <w:sz w:val="24"/>
          <w:highlight w:val="none"/>
        </w:rPr>
      </w:pPr>
      <w:r>
        <w:rPr>
          <w:color w:val="auto"/>
          <w:highlight w:val="none"/>
        </w:rPr>
        <w:fldChar w:fldCharType="begin"/>
      </w:r>
      <w:r>
        <w:rPr>
          <w:color w:val="auto"/>
          <w:highlight w:val="none"/>
        </w:rPr>
        <w:instrText xml:space="preserve"> HYPERLINK \l "_Toc12005" </w:instrText>
      </w:r>
      <w:r>
        <w:rPr>
          <w:color w:val="auto"/>
          <w:highlight w:val="none"/>
        </w:rPr>
        <w:fldChar w:fldCharType="separate"/>
      </w:r>
      <w:r>
        <w:rPr>
          <w:rFonts w:hint="eastAsia" w:asciiTheme="minorEastAsia" w:hAnsiTheme="minorEastAsia" w:eastAsiaTheme="minorEastAsia" w:cstheme="minorEastAsia"/>
          <w:color w:val="auto"/>
          <w:sz w:val="24"/>
          <w:highlight w:val="none"/>
        </w:rPr>
        <w:t>第五章  合同主要条款</w:t>
      </w:r>
      <w:r>
        <w:rPr>
          <w:rFonts w:hint="eastAsia" w:asciiTheme="minorEastAsia" w:hAnsiTheme="minorEastAsia" w:eastAsiaTheme="minorEastAsia" w:cstheme="minorEastAsia"/>
          <w:color w:val="auto"/>
          <w:sz w:val="24"/>
          <w:highlight w:val="none"/>
        </w:rPr>
        <w:tab/>
      </w:r>
      <w:r>
        <w:rPr>
          <w:rFonts w:hint="eastAsia" w:asciiTheme="minorEastAsia" w:hAnsiTheme="minorEastAsia" w:eastAsiaTheme="minorEastAsia" w:cstheme="minorEastAsia"/>
          <w:color w:val="auto"/>
          <w:sz w:val="24"/>
          <w:highlight w:val="none"/>
        </w:rPr>
        <w:fldChar w:fldCharType="begin"/>
      </w:r>
      <w:r>
        <w:rPr>
          <w:rFonts w:hint="eastAsia" w:asciiTheme="minorEastAsia" w:hAnsiTheme="minorEastAsia" w:eastAsiaTheme="minorEastAsia" w:cstheme="minorEastAsia"/>
          <w:color w:val="auto"/>
          <w:sz w:val="24"/>
          <w:highlight w:val="none"/>
        </w:rPr>
        <w:instrText xml:space="preserve"> PAGEREF _Toc12005 \h </w:instrText>
      </w:r>
      <w:r>
        <w:rPr>
          <w:rFonts w:hint="eastAsia" w:asciiTheme="minorEastAsia" w:hAnsiTheme="minorEastAsia" w:eastAsiaTheme="minorEastAsia" w:cstheme="minorEastAsia"/>
          <w:color w:val="auto"/>
          <w:sz w:val="24"/>
          <w:highlight w:val="none"/>
        </w:rPr>
        <w:fldChar w:fldCharType="separate"/>
      </w:r>
      <w:r>
        <w:rPr>
          <w:rFonts w:hint="eastAsia" w:asciiTheme="minorEastAsia" w:hAnsiTheme="minorEastAsia" w:eastAsiaTheme="minorEastAsia" w:cstheme="minorEastAsia"/>
          <w:color w:val="auto"/>
          <w:sz w:val="24"/>
          <w:highlight w:val="none"/>
        </w:rPr>
        <w:t>22</w:t>
      </w:r>
      <w:r>
        <w:rPr>
          <w:rFonts w:hint="eastAsia" w:asciiTheme="minorEastAsia" w:hAnsiTheme="minorEastAsia" w:eastAsiaTheme="minorEastAsia" w:cstheme="minorEastAsia"/>
          <w:color w:val="auto"/>
          <w:sz w:val="24"/>
          <w:highlight w:val="none"/>
        </w:rPr>
        <w:fldChar w:fldCharType="end"/>
      </w:r>
      <w:r>
        <w:rPr>
          <w:rFonts w:hint="eastAsia" w:asciiTheme="minorEastAsia" w:hAnsiTheme="minorEastAsia" w:eastAsiaTheme="minorEastAsia" w:cstheme="minorEastAsia"/>
          <w:color w:val="auto"/>
          <w:sz w:val="24"/>
          <w:highlight w:val="none"/>
        </w:rPr>
        <w:fldChar w:fldCharType="end"/>
      </w:r>
    </w:p>
    <w:p w14:paraId="5281E07A">
      <w:pPr>
        <w:pStyle w:val="39"/>
        <w:tabs>
          <w:tab w:val="right" w:leader="dot" w:pos="8730"/>
        </w:tabs>
        <w:spacing w:line="480" w:lineRule="auto"/>
        <w:rPr>
          <w:rFonts w:asciiTheme="minorEastAsia" w:hAnsiTheme="minorEastAsia" w:eastAsiaTheme="minorEastAsia" w:cstheme="minorEastAsia"/>
          <w:color w:val="auto"/>
          <w:sz w:val="24"/>
          <w:highlight w:val="none"/>
        </w:rPr>
      </w:pPr>
      <w:r>
        <w:rPr>
          <w:color w:val="auto"/>
          <w:highlight w:val="none"/>
        </w:rPr>
        <w:fldChar w:fldCharType="begin"/>
      </w:r>
      <w:r>
        <w:rPr>
          <w:color w:val="auto"/>
          <w:highlight w:val="none"/>
        </w:rPr>
        <w:instrText xml:space="preserve"> HYPERLINK \l "_Toc24427" </w:instrText>
      </w:r>
      <w:r>
        <w:rPr>
          <w:color w:val="auto"/>
          <w:highlight w:val="none"/>
        </w:rPr>
        <w:fldChar w:fldCharType="separate"/>
      </w:r>
      <w:r>
        <w:rPr>
          <w:rFonts w:hint="eastAsia" w:asciiTheme="minorEastAsia" w:hAnsiTheme="minorEastAsia" w:eastAsiaTheme="minorEastAsia" w:cstheme="minorEastAsia"/>
          <w:color w:val="auto"/>
          <w:sz w:val="24"/>
          <w:highlight w:val="none"/>
        </w:rPr>
        <w:t>第六章　投标文件格式</w:t>
      </w:r>
      <w:r>
        <w:rPr>
          <w:rFonts w:hint="eastAsia" w:asciiTheme="minorEastAsia" w:hAnsiTheme="minorEastAsia" w:eastAsiaTheme="minorEastAsia" w:cstheme="minorEastAsia"/>
          <w:color w:val="auto"/>
          <w:sz w:val="24"/>
          <w:highlight w:val="none"/>
        </w:rPr>
        <w:tab/>
      </w:r>
      <w:r>
        <w:rPr>
          <w:rFonts w:hint="eastAsia" w:asciiTheme="minorEastAsia" w:hAnsiTheme="minorEastAsia" w:eastAsiaTheme="minorEastAsia" w:cstheme="minorEastAsia"/>
          <w:color w:val="auto"/>
          <w:sz w:val="24"/>
          <w:highlight w:val="none"/>
        </w:rPr>
        <w:fldChar w:fldCharType="begin"/>
      </w:r>
      <w:r>
        <w:rPr>
          <w:rFonts w:hint="eastAsia" w:asciiTheme="minorEastAsia" w:hAnsiTheme="minorEastAsia" w:eastAsiaTheme="minorEastAsia" w:cstheme="minorEastAsia"/>
          <w:color w:val="auto"/>
          <w:sz w:val="24"/>
          <w:highlight w:val="none"/>
        </w:rPr>
        <w:instrText xml:space="preserve"> PAGEREF _Toc24427 \h </w:instrText>
      </w:r>
      <w:r>
        <w:rPr>
          <w:rFonts w:hint="eastAsia" w:asciiTheme="minorEastAsia" w:hAnsiTheme="minorEastAsia" w:eastAsiaTheme="minorEastAsia" w:cstheme="minorEastAsia"/>
          <w:color w:val="auto"/>
          <w:sz w:val="24"/>
          <w:highlight w:val="none"/>
        </w:rPr>
        <w:fldChar w:fldCharType="separate"/>
      </w:r>
      <w:r>
        <w:rPr>
          <w:rFonts w:hint="eastAsia" w:asciiTheme="minorEastAsia" w:hAnsiTheme="minorEastAsia" w:eastAsiaTheme="minorEastAsia" w:cstheme="minorEastAsia"/>
          <w:color w:val="auto"/>
          <w:sz w:val="24"/>
          <w:highlight w:val="none"/>
        </w:rPr>
        <w:t>48</w:t>
      </w:r>
      <w:r>
        <w:rPr>
          <w:rFonts w:hint="eastAsia" w:asciiTheme="minorEastAsia" w:hAnsiTheme="minorEastAsia" w:eastAsiaTheme="minorEastAsia" w:cstheme="minorEastAsia"/>
          <w:color w:val="auto"/>
          <w:sz w:val="24"/>
          <w:highlight w:val="none"/>
        </w:rPr>
        <w:fldChar w:fldCharType="end"/>
      </w:r>
      <w:r>
        <w:rPr>
          <w:rFonts w:hint="eastAsia" w:asciiTheme="minorEastAsia" w:hAnsiTheme="minorEastAsia" w:eastAsiaTheme="minorEastAsia" w:cstheme="minorEastAsia"/>
          <w:color w:val="auto"/>
          <w:sz w:val="24"/>
          <w:highlight w:val="none"/>
        </w:rPr>
        <w:fldChar w:fldCharType="end"/>
      </w:r>
    </w:p>
    <w:p w14:paraId="275664BC">
      <w:pPr>
        <w:pStyle w:val="44"/>
        <w:tabs>
          <w:tab w:val="right" w:leader="dot" w:pos="8730"/>
        </w:tabs>
        <w:spacing w:line="480" w:lineRule="auto"/>
        <w:rPr>
          <w:rFonts w:asciiTheme="minorEastAsia" w:hAnsiTheme="minorEastAsia" w:eastAsiaTheme="minorEastAsia" w:cstheme="minorEastAsia"/>
          <w:color w:val="auto"/>
          <w:sz w:val="24"/>
          <w:highlight w:val="none"/>
        </w:rPr>
      </w:pPr>
      <w:r>
        <w:rPr>
          <w:color w:val="auto"/>
          <w:highlight w:val="none"/>
        </w:rPr>
        <w:fldChar w:fldCharType="begin"/>
      </w:r>
      <w:r>
        <w:rPr>
          <w:color w:val="auto"/>
          <w:highlight w:val="none"/>
        </w:rPr>
        <w:instrText xml:space="preserve"> HYPERLINK \l "_Toc29949" </w:instrText>
      </w:r>
      <w:r>
        <w:rPr>
          <w:color w:val="auto"/>
          <w:highlight w:val="none"/>
        </w:rPr>
        <w:fldChar w:fldCharType="separate"/>
      </w:r>
      <w:r>
        <w:rPr>
          <w:rFonts w:hint="eastAsia" w:asciiTheme="minorEastAsia" w:hAnsiTheme="minorEastAsia" w:eastAsiaTheme="minorEastAsia" w:cstheme="minorEastAsia"/>
          <w:bCs/>
          <w:color w:val="auto"/>
          <w:sz w:val="24"/>
          <w:highlight w:val="none"/>
        </w:rPr>
        <w:t>一、资格响应文件格式</w:t>
      </w:r>
      <w:r>
        <w:rPr>
          <w:rFonts w:hint="eastAsia" w:asciiTheme="minorEastAsia" w:hAnsiTheme="minorEastAsia" w:eastAsiaTheme="minorEastAsia" w:cstheme="minorEastAsia"/>
          <w:color w:val="auto"/>
          <w:sz w:val="24"/>
          <w:highlight w:val="none"/>
        </w:rPr>
        <w:tab/>
      </w:r>
      <w:r>
        <w:rPr>
          <w:rFonts w:hint="eastAsia" w:asciiTheme="minorEastAsia" w:hAnsiTheme="minorEastAsia" w:eastAsiaTheme="minorEastAsia" w:cstheme="minorEastAsia"/>
          <w:color w:val="auto"/>
          <w:sz w:val="24"/>
          <w:highlight w:val="none"/>
        </w:rPr>
        <w:fldChar w:fldCharType="begin"/>
      </w:r>
      <w:r>
        <w:rPr>
          <w:rFonts w:hint="eastAsia" w:asciiTheme="minorEastAsia" w:hAnsiTheme="minorEastAsia" w:eastAsiaTheme="minorEastAsia" w:cstheme="minorEastAsia"/>
          <w:color w:val="auto"/>
          <w:sz w:val="24"/>
          <w:highlight w:val="none"/>
        </w:rPr>
        <w:instrText xml:space="preserve"> PAGEREF _Toc29949 \h </w:instrText>
      </w:r>
      <w:r>
        <w:rPr>
          <w:rFonts w:hint="eastAsia" w:asciiTheme="minorEastAsia" w:hAnsiTheme="minorEastAsia" w:eastAsiaTheme="minorEastAsia" w:cstheme="minorEastAsia"/>
          <w:color w:val="auto"/>
          <w:sz w:val="24"/>
          <w:highlight w:val="none"/>
        </w:rPr>
        <w:fldChar w:fldCharType="separate"/>
      </w:r>
      <w:r>
        <w:rPr>
          <w:rFonts w:hint="eastAsia" w:asciiTheme="minorEastAsia" w:hAnsiTheme="minorEastAsia" w:eastAsiaTheme="minorEastAsia" w:cstheme="minorEastAsia"/>
          <w:color w:val="auto"/>
          <w:sz w:val="24"/>
          <w:highlight w:val="none"/>
        </w:rPr>
        <w:t>51</w:t>
      </w:r>
      <w:r>
        <w:rPr>
          <w:rFonts w:hint="eastAsia" w:asciiTheme="minorEastAsia" w:hAnsiTheme="minorEastAsia" w:eastAsiaTheme="minorEastAsia" w:cstheme="minorEastAsia"/>
          <w:color w:val="auto"/>
          <w:sz w:val="24"/>
          <w:highlight w:val="none"/>
        </w:rPr>
        <w:fldChar w:fldCharType="end"/>
      </w:r>
      <w:r>
        <w:rPr>
          <w:rFonts w:hint="eastAsia" w:asciiTheme="minorEastAsia" w:hAnsiTheme="minorEastAsia" w:eastAsiaTheme="minorEastAsia" w:cstheme="minorEastAsia"/>
          <w:color w:val="auto"/>
          <w:sz w:val="24"/>
          <w:highlight w:val="none"/>
        </w:rPr>
        <w:fldChar w:fldCharType="end"/>
      </w:r>
    </w:p>
    <w:p w14:paraId="566547C8">
      <w:pPr>
        <w:pStyle w:val="44"/>
        <w:tabs>
          <w:tab w:val="right" w:leader="dot" w:pos="8730"/>
        </w:tabs>
        <w:spacing w:line="480" w:lineRule="auto"/>
        <w:rPr>
          <w:rFonts w:asciiTheme="minorEastAsia" w:hAnsiTheme="minorEastAsia" w:eastAsiaTheme="minorEastAsia" w:cstheme="minorEastAsia"/>
          <w:color w:val="auto"/>
          <w:sz w:val="24"/>
          <w:highlight w:val="none"/>
        </w:rPr>
      </w:pPr>
      <w:r>
        <w:rPr>
          <w:color w:val="auto"/>
          <w:highlight w:val="none"/>
        </w:rPr>
        <w:fldChar w:fldCharType="begin"/>
      </w:r>
      <w:r>
        <w:rPr>
          <w:color w:val="auto"/>
          <w:highlight w:val="none"/>
        </w:rPr>
        <w:instrText xml:space="preserve"> HYPERLINK \l "_Toc18185" </w:instrText>
      </w:r>
      <w:r>
        <w:rPr>
          <w:color w:val="auto"/>
          <w:highlight w:val="none"/>
        </w:rPr>
        <w:fldChar w:fldCharType="separate"/>
      </w:r>
      <w:r>
        <w:rPr>
          <w:rFonts w:hint="eastAsia" w:asciiTheme="minorEastAsia" w:hAnsiTheme="minorEastAsia" w:eastAsiaTheme="minorEastAsia" w:cstheme="minorEastAsia"/>
          <w:bCs/>
          <w:color w:val="auto"/>
          <w:sz w:val="24"/>
          <w:highlight w:val="none"/>
        </w:rPr>
        <w:t>二、商务技术文件格式</w:t>
      </w:r>
      <w:r>
        <w:rPr>
          <w:rFonts w:hint="eastAsia" w:asciiTheme="minorEastAsia" w:hAnsiTheme="minorEastAsia" w:eastAsiaTheme="minorEastAsia" w:cstheme="minorEastAsia"/>
          <w:color w:val="auto"/>
          <w:sz w:val="24"/>
          <w:highlight w:val="none"/>
        </w:rPr>
        <w:tab/>
      </w:r>
      <w:r>
        <w:rPr>
          <w:rFonts w:hint="eastAsia" w:asciiTheme="minorEastAsia" w:hAnsiTheme="minorEastAsia" w:eastAsiaTheme="minorEastAsia" w:cstheme="minorEastAsia"/>
          <w:color w:val="auto"/>
          <w:sz w:val="24"/>
          <w:highlight w:val="none"/>
        </w:rPr>
        <w:fldChar w:fldCharType="begin"/>
      </w:r>
      <w:r>
        <w:rPr>
          <w:rFonts w:hint="eastAsia" w:asciiTheme="minorEastAsia" w:hAnsiTheme="minorEastAsia" w:eastAsiaTheme="minorEastAsia" w:cstheme="minorEastAsia"/>
          <w:color w:val="auto"/>
          <w:sz w:val="24"/>
          <w:highlight w:val="none"/>
        </w:rPr>
        <w:instrText xml:space="preserve"> PAGEREF _Toc18185 \h </w:instrText>
      </w:r>
      <w:r>
        <w:rPr>
          <w:rFonts w:hint="eastAsia" w:asciiTheme="minorEastAsia" w:hAnsiTheme="minorEastAsia" w:eastAsiaTheme="minorEastAsia" w:cstheme="minorEastAsia"/>
          <w:color w:val="auto"/>
          <w:sz w:val="24"/>
          <w:highlight w:val="none"/>
        </w:rPr>
        <w:fldChar w:fldCharType="separate"/>
      </w:r>
      <w:r>
        <w:rPr>
          <w:rFonts w:hint="eastAsia" w:asciiTheme="minorEastAsia" w:hAnsiTheme="minorEastAsia" w:eastAsiaTheme="minorEastAsia" w:cstheme="minorEastAsia"/>
          <w:color w:val="auto"/>
          <w:sz w:val="24"/>
          <w:highlight w:val="none"/>
        </w:rPr>
        <w:t>54</w:t>
      </w:r>
      <w:r>
        <w:rPr>
          <w:rFonts w:hint="eastAsia" w:asciiTheme="minorEastAsia" w:hAnsiTheme="minorEastAsia" w:eastAsiaTheme="minorEastAsia" w:cstheme="minorEastAsia"/>
          <w:color w:val="auto"/>
          <w:sz w:val="24"/>
          <w:highlight w:val="none"/>
        </w:rPr>
        <w:fldChar w:fldCharType="end"/>
      </w:r>
      <w:r>
        <w:rPr>
          <w:rFonts w:hint="eastAsia" w:asciiTheme="minorEastAsia" w:hAnsiTheme="minorEastAsia" w:eastAsiaTheme="minorEastAsia" w:cstheme="minorEastAsia"/>
          <w:color w:val="auto"/>
          <w:sz w:val="24"/>
          <w:highlight w:val="none"/>
        </w:rPr>
        <w:fldChar w:fldCharType="end"/>
      </w:r>
    </w:p>
    <w:p w14:paraId="17AE23C7">
      <w:pPr>
        <w:pStyle w:val="44"/>
        <w:tabs>
          <w:tab w:val="right" w:leader="dot" w:pos="8730"/>
        </w:tabs>
        <w:spacing w:line="480" w:lineRule="auto"/>
        <w:rPr>
          <w:rFonts w:asciiTheme="minorEastAsia" w:hAnsiTheme="minorEastAsia" w:eastAsiaTheme="minorEastAsia" w:cstheme="minorEastAsia"/>
          <w:color w:val="auto"/>
          <w:sz w:val="24"/>
          <w:highlight w:val="none"/>
        </w:rPr>
      </w:pPr>
      <w:r>
        <w:rPr>
          <w:color w:val="auto"/>
          <w:highlight w:val="none"/>
        </w:rPr>
        <w:fldChar w:fldCharType="begin"/>
      </w:r>
      <w:r>
        <w:rPr>
          <w:color w:val="auto"/>
          <w:highlight w:val="none"/>
        </w:rPr>
        <w:instrText xml:space="preserve"> HYPERLINK \l "_Toc16395" </w:instrText>
      </w:r>
      <w:r>
        <w:rPr>
          <w:color w:val="auto"/>
          <w:highlight w:val="none"/>
        </w:rPr>
        <w:fldChar w:fldCharType="separate"/>
      </w:r>
      <w:r>
        <w:rPr>
          <w:rFonts w:hint="eastAsia" w:asciiTheme="minorEastAsia" w:hAnsiTheme="minorEastAsia" w:eastAsiaTheme="minorEastAsia" w:cstheme="minorEastAsia"/>
          <w:color w:val="auto"/>
          <w:sz w:val="24"/>
          <w:highlight w:val="none"/>
        </w:rPr>
        <w:t>三、报价文件格式</w:t>
      </w:r>
      <w:r>
        <w:rPr>
          <w:rFonts w:hint="eastAsia" w:asciiTheme="minorEastAsia" w:hAnsiTheme="minorEastAsia" w:eastAsiaTheme="minorEastAsia" w:cstheme="minorEastAsia"/>
          <w:color w:val="auto"/>
          <w:sz w:val="24"/>
          <w:highlight w:val="none"/>
        </w:rPr>
        <w:tab/>
      </w:r>
      <w:r>
        <w:rPr>
          <w:rFonts w:hint="eastAsia" w:asciiTheme="minorEastAsia" w:hAnsiTheme="minorEastAsia" w:eastAsiaTheme="minorEastAsia" w:cstheme="minorEastAsia"/>
          <w:color w:val="auto"/>
          <w:sz w:val="24"/>
          <w:highlight w:val="none"/>
        </w:rPr>
        <w:fldChar w:fldCharType="begin"/>
      </w:r>
      <w:r>
        <w:rPr>
          <w:rFonts w:hint="eastAsia" w:asciiTheme="minorEastAsia" w:hAnsiTheme="minorEastAsia" w:eastAsiaTheme="minorEastAsia" w:cstheme="minorEastAsia"/>
          <w:color w:val="auto"/>
          <w:sz w:val="24"/>
          <w:highlight w:val="none"/>
        </w:rPr>
        <w:instrText xml:space="preserve"> PAGEREF _Toc16395 \h </w:instrText>
      </w:r>
      <w:r>
        <w:rPr>
          <w:rFonts w:hint="eastAsia" w:asciiTheme="minorEastAsia" w:hAnsiTheme="minorEastAsia" w:eastAsiaTheme="minorEastAsia" w:cstheme="minorEastAsia"/>
          <w:color w:val="auto"/>
          <w:sz w:val="24"/>
          <w:highlight w:val="none"/>
        </w:rPr>
        <w:fldChar w:fldCharType="separate"/>
      </w:r>
      <w:r>
        <w:rPr>
          <w:rFonts w:hint="eastAsia" w:asciiTheme="minorEastAsia" w:hAnsiTheme="minorEastAsia" w:eastAsiaTheme="minorEastAsia" w:cstheme="minorEastAsia"/>
          <w:color w:val="auto"/>
          <w:sz w:val="24"/>
          <w:highlight w:val="none"/>
        </w:rPr>
        <w:t>63</w:t>
      </w:r>
      <w:r>
        <w:rPr>
          <w:rFonts w:hint="eastAsia" w:asciiTheme="minorEastAsia" w:hAnsiTheme="minorEastAsia" w:eastAsiaTheme="minorEastAsia" w:cstheme="minorEastAsia"/>
          <w:color w:val="auto"/>
          <w:sz w:val="24"/>
          <w:highlight w:val="none"/>
        </w:rPr>
        <w:fldChar w:fldCharType="end"/>
      </w:r>
      <w:r>
        <w:rPr>
          <w:rFonts w:hint="eastAsia" w:asciiTheme="minorEastAsia" w:hAnsiTheme="minorEastAsia" w:eastAsiaTheme="minorEastAsia" w:cstheme="minorEastAsia"/>
          <w:color w:val="auto"/>
          <w:sz w:val="24"/>
          <w:highlight w:val="none"/>
        </w:rPr>
        <w:fldChar w:fldCharType="end"/>
      </w:r>
    </w:p>
    <w:p w14:paraId="462F171B">
      <w:pPr>
        <w:pStyle w:val="39"/>
        <w:spacing w:line="480" w:lineRule="auto"/>
        <w:rPr>
          <w:rFonts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color w:val="auto"/>
          <w:sz w:val="24"/>
          <w:highlight w:val="none"/>
        </w:rPr>
        <w:fldChar w:fldCharType="end"/>
      </w:r>
    </w:p>
    <w:p w14:paraId="249FAF6C">
      <w:pPr>
        <w:pStyle w:val="32"/>
        <w:snapToGrid w:val="0"/>
        <w:spacing w:beforeLines="0" w:afterLines="0" w:line="240" w:lineRule="auto"/>
        <w:jc w:val="center"/>
        <w:outlineLvl w:val="0"/>
        <w:rPr>
          <w:rFonts w:asciiTheme="minorEastAsia" w:hAnsiTheme="minorEastAsia" w:eastAsiaTheme="minorEastAsia" w:cstheme="minorEastAsia"/>
          <w:b/>
          <w:color w:val="auto"/>
          <w:sz w:val="30"/>
          <w:szCs w:val="30"/>
          <w:highlight w:val="none"/>
        </w:rPr>
        <w:sectPr>
          <w:headerReference r:id="rId5" w:type="default"/>
          <w:footerReference r:id="rId6" w:type="default"/>
          <w:footerReference r:id="rId7" w:type="even"/>
          <w:pgSz w:w="11906" w:h="16838"/>
          <w:pgMar w:top="1021" w:right="1588" w:bottom="851" w:left="1588" w:header="567" w:footer="454" w:gutter="0"/>
          <w:pgNumType w:fmt="decimal"/>
          <w:cols w:space="720" w:num="1"/>
          <w:docGrid w:linePitch="286" w:charSpace="0"/>
        </w:sectPr>
      </w:pPr>
      <w:bookmarkStart w:id="0" w:name="_Toc466534747"/>
      <w:bookmarkStart w:id="1" w:name="_Toc25920"/>
    </w:p>
    <w:p w14:paraId="3CA84367">
      <w:pPr>
        <w:pStyle w:val="32"/>
        <w:snapToGrid w:val="0"/>
        <w:spacing w:beforeLines="0" w:afterLines="0" w:line="240" w:lineRule="auto"/>
        <w:jc w:val="center"/>
        <w:outlineLvl w:val="0"/>
        <w:rPr>
          <w:rFonts w:asciiTheme="minorEastAsia" w:hAnsiTheme="minorEastAsia" w:eastAsiaTheme="minorEastAsia" w:cstheme="minorEastAsia"/>
          <w:b/>
          <w:color w:val="auto"/>
          <w:sz w:val="30"/>
          <w:szCs w:val="30"/>
          <w:highlight w:val="none"/>
        </w:rPr>
      </w:pPr>
      <w:bookmarkStart w:id="2" w:name="_Toc14571"/>
      <w:r>
        <w:rPr>
          <w:rFonts w:hint="eastAsia" w:asciiTheme="minorEastAsia" w:hAnsiTheme="minorEastAsia" w:eastAsiaTheme="minorEastAsia" w:cstheme="minorEastAsia"/>
          <w:b/>
          <w:color w:val="auto"/>
          <w:sz w:val="30"/>
          <w:szCs w:val="30"/>
          <w:highlight w:val="none"/>
        </w:rPr>
        <w:t>第一章  投标邀请</w:t>
      </w:r>
      <w:bookmarkEnd w:id="0"/>
      <w:bookmarkEnd w:id="1"/>
      <w:bookmarkEnd w:id="2"/>
    </w:p>
    <w:p w14:paraId="5B564097">
      <w:pPr>
        <w:spacing w:line="400" w:lineRule="exact"/>
        <w:ind w:firstLine="496"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pacing w:val="4"/>
          <w:sz w:val="24"/>
          <w:highlight w:val="none"/>
        </w:rPr>
        <w:t>本项目为非政府采购项目，根据招标投标有关法律法规及招标人单位内控制度等规定</w:t>
      </w:r>
      <w:r>
        <w:rPr>
          <w:rFonts w:hint="eastAsia" w:asciiTheme="minorEastAsia" w:hAnsiTheme="minorEastAsia" w:eastAsiaTheme="minorEastAsia" w:cstheme="minorEastAsia"/>
          <w:color w:val="auto"/>
          <w:sz w:val="24"/>
          <w:highlight w:val="none"/>
        </w:rPr>
        <w:t>，受</w:t>
      </w:r>
      <w:r>
        <w:rPr>
          <w:rFonts w:hint="eastAsia" w:asciiTheme="minorEastAsia" w:hAnsiTheme="minorEastAsia" w:eastAsiaTheme="minorEastAsia" w:cstheme="minorEastAsia"/>
          <w:b/>
          <w:bCs/>
          <w:color w:val="auto"/>
          <w:sz w:val="24"/>
          <w:highlight w:val="none"/>
          <w:u w:val="single"/>
          <w:lang w:eastAsia="zh-CN"/>
        </w:rPr>
        <w:t>临海市头门港三期码头开发有限公司</w:t>
      </w:r>
      <w:r>
        <w:rPr>
          <w:rFonts w:hint="eastAsia" w:asciiTheme="minorEastAsia" w:hAnsiTheme="minorEastAsia" w:eastAsiaTheme="minorEastAsia" w:cstheme="minorEastAsia"/>
          <w:color w:val="auto"/>
          <w:sz w:val="24"/>
          <w:highlight w:val="none"/>
        </w:rPr>
        <w:t>委托，参照采购有关流程，现就</w:t>
      </w:r>
      <w:r>
        <w:rPr>
          <w:rFonts w:hint="eastAsia" w:asciiTheme="minorEastAsia" w:hAnsiTheme="minorEastAsia" w:eastAsiaTheme="minorEastAsia" w:cstheme="minorEastAsia"/>
          <w:b/>
          <w:bCs/>
          <w:color w:val="auto"/>
          <w:sz w:val="24"/>
          <w:highlight w:val="none"/>
          <w:u w:val="single"/>
          <w:lang w:eastAsia="zh-CN"/>
        </w:rPr>
        <w:t>台州港头门港区三期陆域先行工程(场平工程)（全过程造价控制）</w:t>
      </w:r>
      <w:r>
        <w:rPr>
          <w:rFonts w:hint="eastAsia" w:asciiTheme="minorEastAsia" w:hAnsiTheme="minorEastAsia" w:eastAsiaTheme="minorEastAsia" w:cstheme="minorEastAsia"/>
          <w:b/>
          <w:color w:val="auto"/>
          <w:sz w:val="24"/>
          <w:highlight w:val="none"/>
        </w:rPr>
        <w:t>采购</w:t>
      </w:r>
      <w:r>
        <w:rPr>
          <w:rFonts w:hint="eastAsia" w:asciiTheme="minorEastAsia" w:hAnsiTheme="minorEastAsia" w:eastAsiaTheme="minorEastAsia" w:cstheme="minorEastAsia"/>
          <w:color w:val="auto"/>
          <w:sz w:val="24"/>
          <w:highlight w:val="none"/>
        </w:rPr>
        <w:t>进行公开招标，</w:t>
      </w:r>
      <w:r>
        <w:rPr>
          <w:rFonts w:hint="eastAsia" w:asciiTheme="minorEastAsia" w:hAnsiTheme="minorEastAsia" w:eastAsiaTheme="minorEastAsia" w:cstheme="minorEastAsia"/>
          <w:color w:val="auto"/>
          <w:kern w:val="0"/>
          <w:sz w:val="24"/>
          <w:highlight w:val="none"/>
        </w:rPr>
        <w:t>欢迎具备本项目投标人的资格要求且能够及时提供相关货物及服务的投标人前来投标。</w:t>
      </w:r>
    </w:p>
    <w:p w14:paraId="394E15B2">
      <w:pPr>
        <w:pStyle w:val="47"/>
        <w:spacing w:before="0" w:beforeAutospacing="0" w:after="0" w:afterAutospacing="0" w:line="400" w:lineRule="exac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bCs/>
          <w:color w:val="auto"/>
          <w:highlight w:val="none"/>
        </w:rPr>
        <w:t>1</w:t>
      </w:r>
      <w:r>
        <w:rPr>
          <w:rFonts w:hint="eastAsia" w:asciiTheme="minorEastAsia" w:hAnsiTheme="minorEastAsia" w:eastAsiaTheme="minorEastAsia" w:cstheme="minorEastAsia"/>
          <w:color w:val="auto"/>
          <w:highlight w:val="none"/>
        </w:rPr>
        <w:t>.</w:t>
      </w:r>
      <w:r>
        <w:rPr>
          <w:rFonts w:hint="eastAsia" w:asciiTheme="minorEastAsia" w:hAnsiTheme="minorEastAsia" w:eastAsiaTheme="minorEastAsia" w:cstheme="minorEastAsia"/>
          <w:b/>
          <w:bCs/>
          <w:color w:val="auto"/>
          <w:highlight w:val="none"/>
        </w:rPr>
        <w:t>项目概况</w:t>
      </w:r>
    </w:p>
    <w:p w14:paraId="6039DB52">
      <w:pPr>
        <w:pStyle w:val="47"/>
        <w:spacing w:before="0" w:beforeAutospacing="0" w:after="0" w:afterAutospacing="0" w:line="400" w:lineRule="exact"/>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rPr>
        <w:t>项目名称：</w:t>
      </w:r>
      <w:r>
        <w:rPr>
          <w:rFonts w:hint="eastAsia" w:asciiTheme="minorEastAsia" w:hAnsiTheme="minorEastAsia" w:eastAsiaTheme="minorEastAsia" w:cstheme="minorEastAsia"/>
          <w:color w:val="auto"/>
          <w:highlight w:val="none"/>
          <w:lang w:eastAsia="zh-CN"/>
        </w:rPr>
        <w:t>台州港头门港区三期陆域先行工程(场平工程)（全过程造价控制）</w:t>
      </w:r>
    </w:p>
    <w:p w14:paraId="7D774EDD">
      <w:pPr>
        <w:pStyle w:val="47"/>
        <w:spacing w:before="0" w:beforeAutospacing="0" w:after="0" w:afterAutospacing="0" w:line="400" w:lineRule="exac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招标人：</w:t>
      </w:r>
      <w:r>
        <w:rPr>
          <w:rFonts w:hint="eastAsia" w:asciiTheme="minorEastAsia" w:hAnsiTheme="minorEastAsia" w:eastAsiaTheme="minorEastAsia" w:cstheme="minorEastAsia"/>
          <w:color w:val="auto"/>
          <w:highlight w:val="none"/>
          <w:lang w:eastAsia="zh-CN"/>
        </w:rPr>
        <w:t>临海市头门港三期码头开发有限公司</w:t>
      </w:r>
      <w:r>
        <w:rPr>
          <w:rFonts w:hint="eastAsia" w:asciiTheme="minorEastAsia" w:hAnsiTheme="minorEastAsia" w:eastAsiaTheme="minorEastAsia" w:cstheme="minorEastAsia"/>
          <w:color w:val="auto"/>
          <w:highlight w:val="none"/>
        </w:rPr>
        <w:t xml:space="preserve"> </w:t>
      </w:r>
    </w:p>
    <w:p w14:paraId="00295A6A">
      <w:pPr>
        <w:pStyle w:val="47"/>
        <w:spacing w:before="0" w:beforeAutospacing="0" w:after="0" w:afterAutospacing="0" w:line="400" w:lineRule="exac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采购规模及内容概述：</w:t>
      </w:r>
      <w:r>
        <w:rPr>
          <w:rFonts w:hint="eastAsia" w:asciiTheme="minorEastAsia" w:hAnsiTheme="minorEastAsia" w:eastAsiaTheme="minorEastAsia" w:cstheme="minorEastAsia"/>
          <w:color w:val="auto"/>
          <w:highlight w:val="none"/>
          <w:lang w:eastAsia="zh-CN"/>
        </w:rPr>
        <w:t>台州港头门港区三期陆域先行工程(场平工程)（全过程造价控制）</w:t>
      </w:r>
      <w:r>
        <w:rPr>
          <w:rFonts w:hint="eastAsia" w:asciiTheme="minorEastAsia" w:hAnsiTheme="minorEastAsia" w:eastAsiaTheme="minorEastAsia" w:cstheme="minorEastAsia"/>
          <w:color w:val="auto"/>
          <w:highlight w:val="none"/>
        </w:rPr>
        <w:t>。（详见第二章招标需求）</w:t>
      </w:r>
    </w:p>
    <w:p w14:paraId="0998DC07">
      <w:pPr>
        <w:spacing w:line="400" w:lineRule="exact"/>
        <w:rPr>
          <w:rFonts w:asciiTheme="minorEastAsia" w:hAnsiTheme="minorEastAsia" w:eastAsiaTheme="minorEastAsia" w:cstheme="minorEastAsia"/>
          <w:color w:val="auto"/>
          <w:kern w:val="0"/>
          <w:sz w:val="24"/>
          <w:highlight w:val="none"/>
        </w:rPr>
      </w:pPr>
      <w:r>
        <w:rPr>
          <w:rFonts w:hint="eastAsia" w:asciiTheme="minorEastAsia" w:hAnsiTheme="minorEastAsia" w:eastAsiaTheme="minorEastAsia" w:cstheme="minorEastAsia"/>
          <w:color w:val="auto"/>
          <w:kern w:val="0"/>
          <w:sz w:val="24"/>
          <w:highlight w:val="none"/>
        </w:rPr>
        <w:t>采购</w:t>
      </w:r>
      <w:r>
        <w:rPr>
          <w:rFonts w:hint="eastAsia" w:asciiTheme="minorEastAsia" w:hAnsiTheme="minorEastAsia" w:eastAsiaTheme="minorEastAsia" w:cstheme="minorEastAsia"/>
          <w:color w:val="auto"/>
          <w:kern w:val="0"/>
          <w:sz w:val="24"/>
          <w:szCs w:val="24"/>
          <w:highlight w:val="none"/>
          <w:lang w:val="en-US" w:eastAsia="zh-CN" w:bidi="ar-SA"/>
        </w:rPr>
        <w:t>预算：101.1981万元</w:t>
      </w:r>
    </w:p>
    <w:p w14:paraId="25BE3D23">
      <w:pPr>
        <w:spacing w:line="400" w:lineRule="exact"/>
        <w:rPr>
          <w:rFonts w:asciiTheme="minorEastAsia" w:hAnsiTheme="minorEastAsia" w:eastAsiaTheme="minorEastAsia" w:cstheme="minorEastAsia"/>
          <w:color w:val="auto"/>
          <w:kern w:val="0"/>
          <w:sz w:val="24"/>
          <w:highlight w:val="none"/>
        </w:rPr>
      </w:pPr>
      <w:r>
        <w:rPr>
          <w:rFonts w:hint="eastAsia" w:asciiTheme="minorEastAsia" w:hAnsiTheme="minorEastAsia" w:eastAsiaTheme="minorEastAsia" w:cstheme="minorEastAsia"/>
          <w:color w:val="auto"/>
          <w:kern w:val="0"/>
          <w:sz w:val="24"/>
          <w:highlight w:val="none"/>
        </w:rPr>
        <w:t>采购组织类型：分散采购</w:t>
      </w:r>
    </w:p>
    <w:p w14:paraId="3747A402">
      <w:pPr>
        <w:pStyle w:val="47"/>
        <w:spacing w:before="0" w:beforeAutospacing="0" w:after="0" w:afterAutospacing="0" w:line="400" w:lineRule="exac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采购标段数：1</w:t>
      </w:r>
    </w:p>
    <w:p w14:paraId="5320195A">
      <w:pPr>
        <w:pStyle w:val="47"/>
        <w:spacing w:before="0" w:beforeAutospacing="0" w:after="0" w:afterAutospacing="0" w:line="400" w:lineRule="exac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采购方式：公开招标</w:t>
      </w:r>
    </w:p>
    <w:p w14:paraId="7743E08A">
      <w:pPr>
        <w:pStyle w:val="47"/>
        <w:spacing w:before="0" w:beforeAutospacing="0" w:after="0" w:afterAutospacing="0" w:line="400" w:lineRule="exact"/>
        <w:rPr>
          <w:rFonts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t>服务期：</w:t>
      </w:r>
      <w:r>
        <w:rPr>
          <w:rFonts w:hint="eastAsia" w:asciiTheme="minorEastAsia" w:hAnsiTheme="minorEastAsia" w:eastAsiaTheme="minorEastAsia" w:cstheme="minorEastAsia"/>
          <w:b/>
          <w:color w:val="auto"/>
          <w:highlight w:val="none"/>
          <w:lang w:eastAsia="zh-CN"/>
        </w:rPr>
        <w:t>自全过程造价</w:t>
      </w:r>
      <w:r>
        <w:rPr>
          <w:rFonts w:hint="eastAsia" w:asciiTheme="minorEastAsia" w:hAnsiTheme="minorEastAsia" w:eastAsiaTheme="minorEastAsia" w:cstheme="minorEastAsia"/>
          <w:b/>
          <w:color w:val="auto"/>
          <w:highlight w:val="none"/>
          <w:lang w:val="en-US" w:eastAsia="zh-CN"/>
        </w:rPr>
        <w:t>控制</w:t>
      </w:r>
      <w:r>
        <w:rPr>
          <w:rFonts w:hint="eastAsia" w:asciiTheme="minorEastAsia" w:hAnsiTheme="minorEastAsia" w:eastAsiaTheme="minorEastAsia" w:cstheme="minorEastAsia"/>
          <w:b/>
          <w:color w:val="auto"/>
          <w:highlight w:val="none"/>
          <w:lang w:eastAsia="zh-CN"/>
        </w:rPr>
        <w:t>合同签订之日起至整个项目工程竣工结算审核完成，并配合第三方咨询单位或</w:t>
      </w:r>
      <w:r>
        <w:rPr>
          <w:rFonts w:hint="eastAsia" w:asciiTheme="minorEastAsia" w:hAnsiTheme="minorEastAsia" w:eastAsiaTheme="minorEastAsia" w:cstheme="minorEastAsia"/>
          <w:b/>
          <w:color w:val="auto"/>
          <w:highlight w:val="none"/>
          <w:lang w:val="en-US" w:eastAsia="zh-CN"/>
        </w:rPr>
        <w:t>复核</w:t>
      </w:r>
      <w:r>
        <w:rPr>
          <w:rFonts w:hint="eastAsia" w:asciiTheme="minorEastAsia" w:hAnsiTheme="minorEastAsia" w:eastAsiaTheme="minorEastAsia" w:cstheme="minorEastAsia"/>
          <w:b/>
          <w:color w:val="auto"/>
          <w:highlight w:val="none"/>
          <w:lang w:eastAsia="zh-CN"/>
        </w:rPr>
        <w:t>单位复审工作等其他后续服务工作。</w:t>
      </w:r>
    </w:p>
    <w:p w14:paraId="72382038">
      <w:pPr>
        <w:pStyle w:val="47"/>
        <w:spacing w:before="0" w:beforeAutospacing="0" w:after="0" w:afterAutospacing="0" w:line="400" w:lineRule="exact"/>
        <w:rPr>
          <w:rFonts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t>采购文件公告期限：</w:t>
      </w:r>
      <w:r>
        <w:rPr>
          <w:rFonts w:hint="eastAsia" w:cs="宋体" w:eastAsiaTheme="minorEastAsia"/>
          <w:b/>
          <w:color w:val="auto"/>
          <w:highlight w:val="none"/>
          <w:lang w:val="en-US" w:eastAsia="zh-CN"/>
        </w:rPr>
        <w:t>5</w:t>
      </w:r>
      <w:r>
        <w:rPr>
          <w:rFonts w:hint="eastAsia" w:cs="宋体"/>
          <w:b/>
          <w:color w:val="auto"/>
          <w:highlight w:val="none"/>
        </w:rPr>
        <w:t>个工作日</w:t>
      </w:r>
    </w:p>
    <w:p w14:paraId="05AC7C6F">
      <w:pPr>
        <w:pStyle w:val="47"/>
        <w:spacing w:before="0" w:beforeAutospacing="0" w:after="0" w:afterAutospacing="0" w:line="400" w:lineRule="exac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该项目已具备条件，现对该项目进行公开招标。</w:t>
      </w:r>
    </w:p>
    <w:p w14:paraId="01F855E2">
      <w:pPr>
        <w:spacing w:line="400" w:lineRule="exact"/>
        <w:rPr>
          <w:rFonts w:asciiTheme="minorEastAsia" w:hAnsiTheme="minorEastAsia" w:eastAsiaTheme="minorEastAsia" w:cstheme="minorEastAsia"/>
          <w:b/>
          <w:bCs/>
          <w:color w:val="auto"/>
          <w:kern w:val="0"/>
          <w:sz w:val="24"/>
          <w:highlight w:val="none"/>
        </w:rPr>
      </w:pPr>
      <w:r>
        <w:rPr>
          <w:rFonts w:hint="eastAsia" w:asciiTheme="minorEastAsia" w:hAnsiTheme="minorEastAsia" w:eastAsiaTheme="minorEastAsia" w:cstheme="minorEastAsia"/>
          <w:b/>
          <w:bCs/>
          <w:color w:val="auto"/>
          <w:kern w:val="0"/>
          <w:sz w:val="24"/>
          <w:highlight w:val="none"/>
        </w:rPr>
        <w:t>2.投标人资格要求</w:t>
      </w:r>
    </w:p>
    <w:p w14:paraId="4075BAD0">
      <w:pPr>
        <w:spacing w:line="400" w:lineRule="exact"/>
        <w:rPr>
          <w:rFonts w:hint="eastAsia" w:asciiTheme="minorEastAsia" w:hAnsiTheme="minorEastAsia" w:eastAsiaTheme="minorEastAsia" w:cstheme="minorEastAsia"/>
          <w:color w:val="auto"/>
          <w:kern w:val="0"/>
          <w:sz w:val="24"/>
          <w:highlight w:val="none"/>
          <w:lang w:eastAsia="zh-CN"/>
        </w:rPr>
      </w:pPr>
      <w:r>
        <w:rPr>
          <w:rFonts w:hint="eastAsia" w:asciiTheme="minorEastAsia" w:hAnsiTheme="minorEastAsia" w:eastAsiaTheme="minorEastAsia" w:cstheme="minorEastAsia"/>
          <w:color w:val="auto"/>
          <w:kern w:val="0"/>
          <w:sz w:val="24"/>
          <w:highlight w:val="none"/>
        </w:rPr>
        <w:t>（</w:t>
      </w:r>
      <w:r>
        <w:rPr>
          <w:rFonts w:hint="eastAsia" w:asciiTheme="minorEastAsia" w:hAnsiTheme="minorEastAsia" w:eastAsiaTheme="minorEastAsia" w:cstheme="minorEastAsia"/>
          <w:color w:val="auto"/>
          <w:kern w:val="0"/>
          <w:sz w:val="24"/>
          <w:highlight w:val="none"/>
          <w:lang w:val="en-US" w:eastAsia="zh-CN"/>
        </w:rPr>
        <w:t>1</w:t>
      </w:r>
      <w:r>
        <w:rPr>
          <w:rFonts w:hint="eastAsia" w:asciiTheme="minorEastAsia" w:hAnsiTheme="minorEastAsia" w:eastAsiaTheme="minorEastAsia" w:cstheme="minorEastAsia"/>
          <w:color w:val="auto"/>
          <w:kern w:val="0"/>
          <w:sz w:val="24"/>
          <w:highlight w:val="none"/>
        </w:rPr>
        <w:t>）未被“信用中国”（www.creditchina.gov.cn）、中国政府采购网（www.ccgp.gov.cn）列入失信被执行人、税收违法黑名单、政府采购严重违法失信行为记录名单</w:t>
      </w:r>
      <w:r>
        <w:rPr>
          <w:rFonts w:hint="eastAsia" w:asciiTheme="minorEastAsia" w:hAnsiTheme="minorEastAsia" w:eastAsiaTheme="minorEastAsia" w:cstheme="minorEastAsia"/>
          <w:color w:val="auto"/>
          <w:kern w:val="0"/>
          <w:sz w:val="24"/>
          <w:highlight w:val="none"/>
          <w:lang w:eastAsia="zh-CN"/>
        </w:rPr>
        <w:t>；</w:t>
      </w:r>
    </w:p>
    <w:p w14:paraId="3C86F37A">
      <w:pPr>
        <w:spacing w:line="400" w:lineRule="exact"/>
        <w:rPr>
          <w:rFonts w:hint="eastAsia" w:asciiTheme="minorEastAsia" w:hAnsiTheme="minorEastAsia" w:eastAsiaTheme="minorEastAsia" w:cstheme="minorEastAsia"/>
          <w:color w:val="auto"/>
          <w:kern w:val="0"/>
          <w:sz w:val="24"/>
          <w:highlight w:val="none"/>
          <w:lang w:eastAsia="zh-CN"/>
        </w:rPr>
      </w:pPr>
      <w:r>
        <w:rPr>
          <w:rFonts w:hint="eastAsia" w:asciiTheme="minorEastAsia" w:hAnsiTheme="minorEastAsia" w:eastAsiaTheme="minorEastAsia" w:cstheme="minorEastAsia"/>
          <w:color w:val="auto"/>
          <w:kern w:val="0"/>
          <w:sz w:val="24"/>
          <w:highlight w:val="none"/>
        </w:rPr>
        <w:t>（2）具有与本采购项目相适应的商品经营或服务能力的</w:t>
      </w:r>
      <w:r>
        <w:rPr>
          <w:rFonts w:hint="eastAsia" w:asciiTheme="minorEastAsia" w:hAnsiTheme="minorEastAsia" w:eastAsiaTheme="minorEastAsia" w:cstheme="minorEastAsia"/>
          <w:color w:val="auto"/>
          <w:kern w:val="0"/>
          <w:sz w:val="24"/>
          <w:highlight w:val="none"/>
          <w:lang w:val="en-US" w:eastAsia="zh-CN"/>
        </w:rPr>
        <w:t>供应商</w:t>
      </w:r>
      <w:r>
        <w:rPr>
          <w:rFonts w:hint="eastAsia" w:asciiTheme="minorEastAsia" w:hAnsiTheme="minorEastAsia" w:eastAsiaTheme="minorEastAsia" w:cstheme="minorEastAsia"/>
          <w:color w:val="auto"/>
          <w:kern w:val="0"/>
          <w:sz w:val="24"/>
          <w:highlight w:val="none"/>
          <w:lang w:eastAsia="zh-CN"/>
        </w:rPr>
        <w:t>；</w:t>
      </w:r>
    </w:p>
    <w:p w14:paraId="475A971B">
      <w:pPr>
        <w:spacing w:line="400" w:lineRule="exact"/>
        <w:rPr>
          <w:rFonts w:hint="eastAsia" w:asciiTheme="minorEastAsia" w:hAnsiTheme="minorEastAsia" w:eastAsiaTheme="minorEastAsia" w:cstheme="minorEastAsia"/>
          <w:color w:val="auto"/>
          <w:kern w:val="0"/>
          <w:sz w:val="24"/>
          <w:highlight w:val="none"/>
        </w:rPr>
      </w:pPr>
      <w:r>
        <w:rPr>
          <w:rFonts w:hint="eastAsia" w:asciiTheme="minorEastAsia" w:hAnsiTheme="minorEastAsia" w:eastAsiaTheme="minorEastAsia" w:cstheme="minorEastAsia"/>
          <w:color w:val="auto"/>
          <w:kern w:val="0"/>
          <w:sz w:val="24"/>
          <w:highlight w:val="none"/>
        </w:rPr>
        <w:t>（3）本项目不接受联合体投标。</w:t>
      </w:r>
    </w:p>
    <w:p w14:paraId="1DB118F4">
      <w:pPr>
        <w:spacing w:line="400" w:lineRule="exact"/>
        <w:rPr>
          <w:rFonts w:asciiTheme="minorEastAsia" w:hAnsiTheme="minorEastAsia" w:eastAsiaTheme="minorEastAsia" w:cstheme="minorEastAsia"/>
          <w:b/>
          <w:bCs/>
          <w:color w:val="auto"/>
          <w:kern w:val="0"/>
          <w:sz w:val="24"/>
          <w:highlight w:val="none"/>
        </w:rPr>
      </w:pPr>
      <w:r>
        <w:rPr>
          <w:rFonts w:hint="eastAsia" w:asciiTheme="minorEastAsia" w:hAnsiTheme="minorEastAsia" w:eastAsiaTheme="minorEastAsia" w:cstheme="minorEastAsia"/>
          <w:b/>
          <w:bCs/>
          <w:color w:val="auto"/>
          <w:kern w:val="0"/>
          <w:sz w:val="24"/>
          <w:highlight w:val="none"/>
        </w:rPr>
        <w:t>3.报名</w:t>
      </w:r>
    </w:p>
    <w:p w14:paraId="6191D488">
      <w:pPr>
        <w:spacing w:line="400" w:lineRule="exact"/>
        <w:rPr>
          <w:rFonts w:asciiTheme="minorEastAsia" w:hAnsiTheme="minorEastAsia" w:eastAsiaTheme="minorEastAsia" w:cstheme="minorEastAsia"/>
          <w:b/>
          <w:bCs/>
          <w:color w:val="auto"/>
          <w:kern w:val="0"/>
          <w:sz w:val="24"/>
          <w:highlight w:val="none"/>
          <w:u w:val="single"/>
        </w:rPr>
      </w:pPr>
      <w:r>
        <w:rPr>
          <w:rFonts w:hint="eastAsia" w:asciiTheme="minorEastAsia" w:hAnsiTheme="minorEastAsia" w:eastAsiaTheme="minorEastAsia" w:cstheme="minorEastAsia"/>
          <w:b/>
          <w:bCs/>
          <w:color w:val="auto"/>
          <w:kern w:val="0"/>
          <w:sz w:val="24"/>
          <w:highlight w:val="none"/>
          <w:u w:val="single"/>
        </w:rPr>
        <w:t>本项目无需报名，</w:t>
      </w:r>
      <w:bookmarkStart w:id="3" w:name="_Hlk59307647"/>
      <w:r>
        <w:rPr>
          <w:rFonts w:hint="eastAsia" w:asciiTheme="minorEastAsia" w:hAnsiTheme="minorEastAsia" w:eastAsiaTheme="minorEastAsia" w:cstheme="minorEastAsia"/>
          <w:b/>
          <w:bCs/>
          <w:color w:val="auto"/>
          <w:kern w:val="0"/>
          <w:sz w:val="24"/>
          <w:highlight w:val="none"/>
          <w:u w:val="single"/>
        </w:rPr>
        <w:t>投标人须到临海市限额以下公共资源交易区域平台</w:t>
      </w:r>
    </w:p>
    <w:p w14:paraId="5BB3828F">
      <w:pPr>
        <w:spacing w:line="400" w:lineRule="exact"/>
        <w:rPr>
          <w:rFonts w:hint="eastAsia" w:asciiTheme="minorEastAsia" w:hAnsiTheme="minorEastAsia" w:eastAsiaTheme="minorEastAsia" w:cstheme="minorEastAsia"/>
          <w:b/>
          <w:bCs/>
          <w:color w:val="auto"/>
          <w:kern w:val="0"/>
          <w:sz w:val="24"/>
          <w:highlight w:val="none"/>
          <w:u w:val="single"/>
          <w:lang w:eastAsia="zh-CN"/>
        </w:rPr>
      </w:pPr>
      <w:r>
        <w:rPr>
          <w:rFonts w:hint="eastAsia" w:asciiTheme="minorEastAsia" w:hAnsiTheme="minorEastAsia" w:eastAsiaTheme="minorEastAsia" w:cstheme="minorEastAsia"/>
          <w:b/>
          <w:bCs/>
          <w:color w:val="auto"/>
          <w:kern w:val="0"/>
          <w:sz w:val="24"/>
          <w:highlight w:val="none"/>
          <w:u w:val="single"/>
        </w:rPr>
        <w:t>（https://www.lhcqjy.com.cn/home）注册</w:t>
      </w:r>
      <w:bookmarkEnd w:id="3"/>
      <w:r>
        <w:rPr>
          <w:rFonts w:hint="eastAsia" w:asciiTheme="minorEastAsia" w:hAnsiTheme="minorEastAsia" w:eastAsiaTheme="minorEastAsia" w:cstheme="minorEastAsia"/>
          <w:b/>
          <w:bCs/>
          <w:color w:val="auto"/>
          <w:kern w:val="0"/>
          <w:sz w:val="24"/>
          <w:highlight w:val="none"/>
          <w:u w:val="single"/>
        </w:rPr>
        <w:t>、提交审核通过后可参加投标，注册咨询联系人：梁工，联系电话：0576-85407095</w:t>
      </w:r>
      <w:r>
        <w:rPr>
          <w:rFonts w:hint="eastAsia" w:asciiTheme="minorEastAsia" w:hAnsiTheme="minorEastAsia" w:eastAsiaTheme="minorEastAsia" w:cstheme="minorEastAsia"/>
          <w:b/>
          <w:bCs/>
          <w:color w:val="auto"/>
          <w:kern w:val="0"/>
          <w:sz w:val="24"/>
          <w:highlight w:val="none"/>
          <w:u w:val="single"/>
          <w:lang w:eastAsia="zh-CN"/>
        </w:rPr>
        <w:t>。</w:t>
      </w:r>
    </w:p>
    <w:p w14:paraId="22B76FB8">
      <w:pPr>
        <w:spacing w:line="400" w:lineRule="exact"/>
        <w:rPr>
          <w:rFonts w:asciiTheme="minorEastAsia" w:hAnsiTheme="minorEastAsia" w:eastAsiaTheme="minorEastAsia" w:cstheme="minorEastAsia"/>
          <w:b/>
          <w:bCs/>
          <w:color w:val="auto"/>
          <w:kern w:val="0"/>
          <w:sz w:val="24"/>
          <w:highlight w:val="none"/>
        </w:rPr>
      </w:pPr>
      <w:r>
        <w:rPr>
          <w:rFonts w:hint="eastAsia" w:asciiTheme="minorEastAsia" w:hAnsiTheme="minorEastAsia" w:eastAsiaTheme="minorEastAsia" w:cstheme="minorEastAsia"/>
          <w:b/>
          <w:bCs/>
          <w:color w:val="auto"/>
          <w:kern w:val="0"/>
          <w:sz w:val="24"/>
          <w:highlight w:val="none"/>
        </w:rPr>
        <w:t>4.招标文件的获取</w:t>
      </w:r>
    </w:p>
    <w:p w14:paraId="0199ACD3">
      <w:pPr>
        <w:spacing w:line="400" w:lineRule="exact"/>
        <w:rPr>
          <w:rFonts w:asciiTheme="minorEastAsia" w:hAnsiTheme="minorEastAsia" w:eastAsiaTheme="minorEastAsia" w:cstheme="minorEastAsia"/>
          <w:color w:val="auto"/>
          <w:kern w:val="0"/>
          <w:sz w:val="24"/>
          <w:highlight w:val="none"/>
        </w:rPr>
      </w:pPr>
      <w:r>
        <w:rPr>
          <w:rFonts w:hint="eastAsia" w:asciiTheme="minorEastAsia" w:hAnsiTheme="minorEastAsia" w:eastAsiaTheme="minorEastAsia" w:cstheme="minorEastAsia"/>
          <w:color w:val="auto"/>
          <w:kern w:val="0"/>
          <w:sz w:val="24"/>
          <w:highlight w:val="none"/>
        </w:rPr>
        <w:t>采购文件售价：免费</w:t>
      </w:r>
    </w:p>
    <w:p w14:paraId="6B64C755">
      <w:pPr>
        <w:spacing w:line="400" w:lineRule="exact"/>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获取方式：凡有意参加投标者，在202</w:t>
      </w:r>
      <w:r>
        <w:rPr>
          <w:rFonts w:hint="eastAsia" w:asciiTheme="minorEastAsia" w:hAnsiTheme="minorEastAsia" w:eastAsiaTheme="minorEastAsia" w:cstheme="minorEastAsia"/>
          <w:bCs/>
          <w:color w:val="auto"/>
          <w:sz w:val="24"/>
          <w:highlight w:val="none"/>
          <w:lang w:val="en-US" w:eastAsia="zh-CN"/>
        </w:rPr>
        <w:t>6</w:t>
      </w:r>
      <w:r>
        <w:rPr>
          <w:rFonts w:hint="eastAsia" w:asciiTheme="minorEastAsia" w:hAnsiTheme="minorEastAsia" w:eastAsiaTheme="minorEastAsia" w:cstheme="minorEastAsia"/>
          <w:bCs/>
          <w:color w:val="auto"/>
          <w:sz w:val="24"/>
          <w:highlight w:val="none"/>
        </w:rPr>
        <w:t>年</w:t>
      </w:r>
      <w:r>
        <w:rPr>
          <w:rFonts w:hint="eastAsia" w:asciiTheme="minorEastAsia" w:hAnsiTheme="minorEastAsia" w:eastAsiaTheme="minorEastAsia" w:cstheme="minorEastAsia"/>
          <w:bCs/>
          <w:color w:val="auto"/>
          <w:sz w:val="24"/>
          <w:highlight w:val="none"/>
          <w:lang w:val="en-US" w:eastAsia="zh-CN"/>
        </w:rPr>
        <w:t>8</w:t>
      </w:r>
      <w:r>
        <w:rPr>
          <w:rFonts w:hint="eastAsia" w:asciiTheme="minorEastAsia" w:hAnsiTheme="minorEastAsia" w:eastAsiaTheme="minorEastAsia" w:cstheme="minorEastAsia"/>
          <w:bCs/>
          <w:color w:val="auto"/>
          <w:sz w:val="24"/>
          <w:highlight w:val="none"/>
        </w:rPr>
        <w:t>月</w:t>
      </w:r>
      <w:r>
        <w:rPr>
          <w:rFonts w:hint="eastAsia" w:asciiTheme="minorEastAsia" w:hAnsiTheme="minorEastAsia" w:eastAsiaTheme="minorEastAsia" w:cstheme="minorEastAsia"/>
          <w:bCs/>
          <w:color w:val="auto"/>
          <w:sz w:val="24"/>
          <w:highlight w:val="none"/>
          <w:lang w:val="en-US" w:eastAsia="zh-CN"/>
        </w:rPr>
        <w:t>12</w:t>
      </w:r>
      <w:r>
        <w:rPr>
          <w:rFonts w:hint="eastAsia" w:asciiTheme="minorEastAsia" w:hAnsiTheme="minorEastAsia" w:eastAsiaTheme="minorEastAsia" w:cstheme="minorEastAsia"/>
          <w:bCs/>
          <w:color w:val="auto"/>
          <w:sz w:val="24"/>
          <w:highlight w:val="none"/>
        </w:rPr>
        <w:t>日</w:t>
      </w:r>
      <w:r>
        <w:rPr>
          <w:rFonts w:hint="eastAsia" w:asciiTheme="minorEastAsia" w:hAnsiTheme="minorEastAsia" w:eastAsiaTheme="minorEastAsia" w:cstheme="minorEastAsia"/>
          <w:bCs/>
          <w:color w:val="auto"/>
          <w:sz w:val="24"/>
          <w:highlight w:val="none"/>
          <w:lang w:val="en-US" w:eastAsia="zh-CN"/>
        </w:rPr>
        <w:t>08</w:t>
      </w:r>
      <w:r>
        <w:rPr>
          <w:rFonts w:hint="eastAsia" w:asciiTheme="minorEastAsia" w:hAnsiTheme="minorEastAsia" w:eastAsiaTheme="minorEastAsia" w:cstheme="minorEastAsia"/>
          <w:bCs/>
          <w:color w:val="auto"/>
          <w:sz w:val="24"/>
          <w:highlight w:val="none"/>
        </w:rPr>
        <w:t>时</w:t>
      </w:r>
      <w:r>
        <w:rPr>
          <w:rFonts w:hint="eastAsia" w:asciiTheme="minorEastAsia" w:hAnsiTheme="minorEastAsia" w:eastAsiaTheme="minorEastAsia" w:cstheme="minorEastAsia"/>
          <w:bCs/>
          <w:color w:val="auto"/>
          <w:sz w:val="24"/>
          <w:highlight w:val="none"/>
          <w:lang w:val="en-US" w:eastAsia="zh-CN"/>
        </w:rPr>
        <w:t>3</w:t>
      </w:r>
      <w:r>
        <w:rPr>
          <w:rFonts w:hint="eastAsia" w:asciiTheme="minorEastAsia" w:hAnsiTheme="minorEastAsia" w:eastAsiaTheme="minorEastAsia" w:cstheme="minorEastAsia"/>
          <w:bCs/>
          <w:color w:val="auto"/>
          <w:sz w:val="24"/>
          <w:highlight w:val="none"/>
        </w:rPr>
        <w:t>0分00秒前，到临海市限额以下公共资源交易区域平台可自行下载采购文件。</w:t>
      </w:r>
    </w:p>
    <w:p w14:paraId="464B6442">
      <w:pPr>
        <w:pStyle w:val="47"/>
        <w:spacing w:before="0" w:beforeAutospacing="0" w:after="0" w:afterAutospacing="0" w:line="400" w:lineRule="exac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招标文件答疑：</w:t>
      </w:r>
      <w:r>
        <w:rPr>
          <w:rFonts w:hint="eastAsia" w:cs="宋体"/>
          <w:b/>
          <w:color w:val="auto"/>
          <w:highlight w:val="none"/>
        </w:rPr>
        <w:t>投标人对采购文件提出质疑的，应当在获取采购文件或者采购文件公告期限届满之日起</w:t>
      </w:r>
      <w:r>
        <w:rPr>
          <w:rFonts w:hint="eastAsia" w:cs="宋体"/>
          <w:b/>
          <w:color w:val="auto"/>
          <w:highlight w:val="none"/>
          <w:u w:val="single"/>
        </w:rPr>
        <w:t>7</w:t>
      </w:r>
      <w:r>
        <w:rPr>
          <w:rFonts w:hint="eastAsia" w:cs="宋体"/>
          <w:b/>
          <w:color w:val="auto"/>
          <w:highlight w:val="none"/>
        </w:rPr>
        <w:t>个工作日内提出，否则被质疑人可不予接受。</w:t>
      </w:r>
    </w:p>
    <w:p w14:paraId="64BCD358">
      <w:pPr>
        <w:pStyle w:val="47"/>
        <w:spacing w:before="0" w:beforeAutospacing="0" w:after="0" w:afterAutospacing="0" w:line="400" w:lineRule="exac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bCs/>
          <w:color w:val="auto"/>
          <w:highlight w:val="none"/>
        </w:rPr>
        <w:t>5.投标保证金</w:t>
      </w:r>
    </w:p>
    <w:p w14:paraId="28BD5685">
      <w:pPr>
        <w:spacing w:line="400" w:lineRule="exact"/>
        <w:rPr>
          <w:rFonts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本项目不收取投标保证金。</w:t>
      </w:r>
    </w:p>
    <w:p w14:paraId="768C434B">
      <w:pPr>
        <w:spacing w:line="400" w:lineRule="exact"/>
        <w:rPr>
          <w:rFonts w:ascii="宋体" w:hAnsi="宋体" w:cs="Arial"/>
          <w:b/>
          <w:bCs/>
          <w:color w:val="auto"/>
          <w:kern w:val="0"/>
          <w:sz w:val="24"/>
          <w:highlight w:val="none"/>
          <w:shd w:val="clear" w:color="auto" w:fill="auto"/>
        </w:rPr>
      </w:pPr>
      <w:r>
        <w:rPr>
          <w:rFonts w:hint="eastAsia" w:ascii="宋体" w:hAnsi="宋体"/>
          <w:b/>
          <w:color w:val="auto"/>
          <w:sz w:val="24"/>
          <w:highlight w:val="none"/>
          <w:shd w:val="clear" w:color="auto" w:fill="auto"/>
        </w:rPr>
        <w:t>6</w:t>
      </w:r>
      <w:r>
        <w:rPr>
          <w:rFonts w:ascii="宋体" w:hAnsi="宋体" w:cs="Arial"/>
          <w:b/>
          <w:bCs/>
          <w:color w:val="auto"/>
          <w:kern w:val="0"/>
          <w:sz w:val="24"/>
          <w:highlight w:val="none"/>
          <w:shd w:val="clear" w:color="auto" w:fill="auto"/>
        </w:rPr>
        <w:t>.</w:t>
      </w:r>
      <w:r>
        <w:rPr>
          <w:rFonts w:hint="eastAsia" w:ascii="宋体" w:hAnsi="宋体" w:cs="Arial"/>
          <w:b/>
          <w:bCs/>
          <w:color w:val="auto"/>
          <w:kern w:val="0"/>
          <w:sz w:val="24"/>
          <w:highlight w:val="none"/>
          <w:shd w:val="clear" w:color="auto" w:fill="auto"/>
        </w:rPr>
        <w:t>投标说明</w:t>
      </w:r>
    </w:p>
    <w:p w14:paraId="2B1FCB4C">
      <w:pPr>
        <w:spacing w:line="400" w:lineRule="exact"/>
        <w:rPr>
          <w:rFonts w:hint="eastAsia" w:ascii="宋体" w:hAnsi="宋体" w:eastAsia="宋体" w:cs="Arial"/>
          <w:color w:val="auto"/>
          <w:kern w:val="0"/>
          <w:sz w:val="24"/>
          <w:highlight w:val="none"/>
          <w:shd w:val="clear" w:color="auto" w:fill="auto"/>
          <w:lang w:eastAsia="zh-CN"/>
        </w:rPr>
      </w:pPr>
      <w:r>
        <w:rPr>
          <w:rFonts w:hint="eastAsia" w:ascii="宋体" w:hAnsi="宋体" w:cs="Arial"/>
          <w:color w:val="auto"/>
          <w:kern w:val="0"/>
          <w:sz w:val="24"/>
          <w:highlight w:val="none"/>
          <w:shd w:val="clear" w:color="auto" w:fill="auto"/>
        </w:rPr>
        <w:t>（1）本项目实行电子投标，投标人应按照本项目招标文件求编制、加密并递交投标文件。投标人在使用系统进行投标的过程中遇到涉及平台使用的任何问题，可致电平台技术支持联系方式：15267291759</w:t>
      </w:r>
      <w:r>
        <w:rPr>
          <w:rFonts w:hint="eastAsia" w:ascii="宋体" w:hAnsi="宋体" w:cs="Arial"/>
          <w:color w:val="auto"/>
          <w:kern w:val="0"/>
          <w:sz w:val="24"/>
          <w:highlight w:val="none"/>
          <w:shd w:val="clear" w:color="auto" w:fill="auto"/>
          <w:lang w:eastAsia="zh-CN"/>
        </w:rPr>
        <w:t>；</w:t>
      </w:r>
    </w:p>
    <w:p w14:paraId="48C78C27">
      <w:pPr>
        <w:spacing w:line="400" w:lineRule="exact"/>
        <w:rPr>
          <w:rFonts w:hint="eastAsia" w:ascii="宋体" w:hAnsi="宋体" w:eastAsia="宋体" w:cs="Arial"/>
          <w:color w:val="auto"/>
          <w:kern w:val="0"/>
          <w:sz w:val="24"/>
          <w:highlight w:val="none"/>
          <w:shd w:val="clear" w:color="auto" w:fill="auto"/>
          <w:lang w:eastAsia="zh-CN"/>
        </w:rPr>
      </w:pPr>
      <w:r>
        <w:rPr>
          <w:rFonts w:hint="eastAsia" w:ascii="宋体" w:hAnsi="宋体" w:cs="Arial"/>
          <w:color w:val="auto"/>
          <w:kern w:val="0"/>
          <w:sz w:val="24"/>
          <w:highlight w:val="none"/>
          <w:shd w:val="clear" w:color="auto" w:fill="auto"/>
        </w:rPr>
        <w:t>（</w:t>
      </w:r>
      <w:r>
        <w:rPr>
          <w:rFonts w:ascii="宋体" w:hAnsi="宋体" w:cs="Arial"/>
          <w:color w:val="auto"/>
          <w:kern w:val="0"/>
          <w:sz w:val="24"/>
          <w:highlight w:val="none"/>
          <w:shd w:val="clear" w:color="auto" w:fill="auto"/>
        </w:rPr>
        <w:t>2</w:t>
      </w:r>
      <w:r>
        <w:rPr>
          <w:rFonts w:hint="eastAsia" w:ascii="宋体" w:hAnsi="宋体" w:cs="Arial"/>
          <w:color w:val="auto"/>
          <w:kern w:val="0"/>
          <w:sz w:val="24"/>
          <w:highlight w:val="none"/>
          <w:shd w:val="clear" w:color="auto" w:fill="auto"/>
        </w:rPr>
        <w:t>）投标人通过临海市限额以下公共资源交易区域平台投标编制工具制作电子投标文件，投标编制工具请投标人自行前往临海市限额以下公共资源交易区域平台交易系统下载（https://tyrzzx.lhcqjy.com.cn/login），电子投标具体流程详见临海市限额以下公共资源交易区域平台-办事指南的操作说明</w:t>
      </w:r>
      <w:r>
        <w:rPr>
          <w:rFonts w:hint="eastAsia" w:ascii="宋体" w:hAnsi="宋体" w:cs="Arial"/>
          <w:color w:val="auto"/>
          <w:kern w:val="0"/>
          <w:sz w:val="24"/>
          <w:highlight w:val="none"/>
          <w:shd w:val="clear" w:color="auto" w:fill="auto"/>
          <w:lang w:eastAsia="zh-CN"/>
        </w:rPr>
        <w:t>；</w:t>
      </w:r>
    </w:p>
    <w:p w14:paraId="483862C6">
      <w:pPr>
        <w:spacing w:line="400" w:lineRule="exact"/>
        <w:rPr>
          <w:rFonts w:hint="eastAsia" w:ascii="宋体" w:hAnsi="宋体" w:eastAsia="宋体" w:cs="Arial"/>
          <w:color w:val="auto"/>
          <w:kern w:val="0"/>
          <w:sz w:val="24"/>
          <w:highlight w:val="none"/>
          <w:shd w:val="clear" w:color="auto" w:fill="auto"/>
          <w:lang w:eastAsia="zh-CN"/>
        </w:rPr>
      </w:pPr>
      <w:r>
        <w:rPr>
          <w:rFonts w:hint="eastAsia" w:ascii="宋体" w:hAnsi="宋体" w:cs="Arial"/>
          <w:color w:val="auto"/>
          <w:kern w:val="0"/>
          <w:sz w:val="24"/>
          <w:highlight w:val="none"/>
          <w:shd w:val="clear" w:color="auto" w:fill="auto"/>
        </w:rPr>
        <w:t>（</w:t>
      </w:r>
      <w:r>
        <w:rPr>
          <w:rFonts w:ascii="宋体" w:hAnsi="宋体" w:cs="Arial"/>
          <w:color w:val="auto"/>
          <w:kern w:val="0"/>
          <w:sz w:val="24"/>
          <w:highlight w:val="none"/>
          <w:shd w:val="clear" w:color="auto" w:fill="auto"/>
        </w:rPr>
        <w:t>3</w:t>
      </w:r>
      <w:r>
        <w:rPr>
          <w:rFonts w:hint="eastAsia" w:ascii="宋体" w:hAnsi="宋体" w:cs="Arial"/>
          <w:color w:val="auto"/>
          <w:kern w:val="0"/>
          <w:sz w:val="24"/>
          <w:highlight w:val="none"/>
          <w:shd w:val="clear" w:color="auto" w:fill="auto"/>
        </w:rPr>
        <w:t>）投标人应在开标前完成CA数字证书办理。（办理流程详见临海市限额以下公共资源交易区域平台-办事指南的操作说明）</w:t>
      </w:r>
      <w:r>
        <w:rPr>
          <w:rFonts w:hint="eastAsia" w:ascii="宋体" w:hAnsi="宋体" w:cs="Arial"/>
          <w:color w:val="auto"/>
          <w:kern w:val="0"/>
          <w:sz w:val="24"/>
          <w:highlight w:val="none"/>
          <w:shd w:val="clear" w:color="auto" w:fill="auto"/>
          <w:lang w:eastAsia="zh-CN"/>
        </w:rPr>
        <w:t>；</w:t>
      </w:r>
    </w:p>
    <w:p w14:paraId="70ED96AB">
      <w:pPr>
        <w:spacing w:line="400" w:lineRule="exact"/>
        <w:rPr>
          <w:rFonts w:hint="eastAsia" w:ascii="宋体" w:hAnsi="宋体" w:eastAsia="宋体" w:cs="Arial"/>
          <w:b/>
          <w:bCs/>
          <w:color w:val="auto"/>
          <w:kern w:val="0"/>
          <w:sz w:val="24"/>
          <w:highlight w:val="none"/>
          <w:shd w:val="clear" w:color="auto" w:fill="auto"/>
          <w:lang w:eastAsia="zh-CN"/>
        </w:rPr>
      </w:pPr>
      <w:r>
        <w:rPr>
          <w:rFonts w:hint="eastAsia" w:ascii="宋体" w:hAnsi="宋体" w:cs="Arial"/>
          <w:color w:val="auto"/>
          <w:kern w:val="0"/>
          <w:sz w:val="24"/>
          <w:highlight w:val="none"/>
          <w:shd w:val="clear" w:color="auto" w:fill="auto"/>
        </w:rPr>
        <w:t>（</w:t>
      </w:r>
      <w:r>
        <w:rPr>
          <w:rFonts w:ascii="宋体" w:hAnsi="宋体" w:cs="Arial"/>
          <w:color w:val="auto"/>
          <w:kern w:val="0"/>
          <w:sz w:val="24"/>
          <w:highlight w:val="none"/>
          <w:shd w:val="clear" w:color="auto" w:fill="auto"/>
        </w:rPr>
        <w:t>4</w:t>
      </w:r>
      <w:r>
        <w:rPr>
          <w:rFonts w:hint="eastAsia" w:ascii="宋体" w:hAnsi="宋体" w:cs="Arial"/>
          <w:color w:val="auto"/>
          <w:kern w:val="0"/>
          <w:sz w:val="24"/>
          <w:highlight w:val="none"/>
          <w:shd w:val="clear" w:color="auto" w:fill="auto"/>
        </w:rPr>
        <w:t>）投标人应当在投标截止时间前完成电子投标文件的传输递交，并可以补充、修改或者撤回电子投标文件。补充或者修改电子投标文件的，应当先行撤回原文件，补充、修改后重新传输递交。</w:t>
      </w:r>
      <w:r>
        <w:rPr>
          <w:rFonts w:hint="eastAsia" w:ascii="宋体" w:hAnsi="宋体" w:cs="Arial"/>
          <w:b/>
          <w:bCs/>
          <w:color w:val="auto"/>
          <w:kern w:val="0"/>
          <w:sz w:val="24"/>
          <w:highlight w:val="none"/>
          <w:shd w:val="clear" w:color="auto" w:fill="auto"/>
        </w:rPr>
        <w:t>投标截止时间后传输、递交的投标文件，将被拒收</w:t>
      </w:r>
      <w:r>
        <w:rPr>
          <w:rFonts w:hint="eastAsia" w:ascii="宋体" w:hAnsi="宋体" w:cs="Arial"/>
          <w:b/>
          <w:bCs/>
          <w:color w:val="auto"/>
          <w:kern w:val="0"/>
          <w:sz w:val="24"/>
          <w:highlight w:val="none"/>
          <w:shd w:val="clear" w:color="auto" w:fill="auto"/>
          <w:lang w:eastAsia="zh-CN"/>
        </w:rPr>
        <w:t>；</w:t>
      </w:r>
    </w:p>
    <w:p w14:paraId="29C77E3F">
      <w:pPr>
        <w:spacing w:line="400" w:lineRule="exact"/>
        <w:rPr>
          <w:rFonts w:ascii="宋体" w:hAnsi="宋体" w:cs="Arial"/>
          <w:b/>
          <w:bCs/>
          <w:color w:val="auto"/>
          <w:kern w:val="0"/>
          <w:sz w:val="24"/>
          <w:highlight w:val="none"/>
          <w:shd w:val="clear" w:color="auto" w:fill="auto"/>
        </w:rPr>
      </w:pPr>
      <w:r>
        <w:rPr>
          <w:rFonts w:hint="eastAsia" w:ascii="宋体" w:hAnsi="宋体" w:cs="Arial"/>
          <w:b/>
          <w:bCs/>
          <w:color w:val="auto"/>
          <w:kern w:val="0"/>
          <w:sz w:val="24"/>
          <w:highlight w:val="none"/>
          <w:shd w:val="clear" w:color="auto" w:fill="auto"/>
        </w:rPr>
        <w:t>（5）本招标文件中关于电子招投标内容、流程如与</w:t>
      </w:r>
      <w:r>
        <w:rPr>
          <w:rFonts w:hint="eastAsia" w:ascii="宋体" w:hAnsi="宋体" w:cs="Arial"/>
          <w:color w:val="auto"/>
          <w:kern w:val="0"/>
          <w:sz w:val="24"/>
          <w:highlight w:val="none"/>
          <w:shd w:val="clear" w:color="auto" w:fill="auto"/>
        </w:rPr>
        <w:t>临海市限额以下公共资源交易区域平台</w:t>
      </w:r>
      <w:r>
        <w:rPr>
          <w:rFonts w:hint="eastAsia" w:ascii="宋体" w:hAnsi="宋体" w:cs="Arial"/>
          <w:b/>
          <w:bCs/>
          <w:color w:val="auto"/>
          <w:kern w:val="0"/>
          <w:sz w:val="24"/>
          <w:highlight w:val="none"/>
          <w:shd w:val="clear" w:color="auto" w:fill="auto"/>
        </w:rPr>
        <w:t>中最新的内容、操作不一致的，以平台中的要求为准。</w:t>
      </w:r>
    </w:p>
    <w:p w14:paraId="028D4277">
      <w:pPr>
        <w:spacing w:line="400" w:lineRule="exact"/>
        <w:rPr>
          <w:b/>
          <w:color w:val="auto"/>
          <w:sz w:val="24"/>
          <w:highlight w:val="none"/>
          <w:shd w:val="clear" w:color="auto" w:fill="auto"/>
        </w:rPr>
      </w:pPr>
      <w:r>
        <w:rPr>
          <w:rFonts w:ascii="宋体" w:hAnsi="宋体"/>
          <w:b/>
          <w:color w:val="auto"/>
          <w:sz w:val="24"/>
          <w:highlight w:val="none"/>
          <w:shd w:val="clear" w:color="auto" w:fill="auto"/>
        </w:rPr>
        <w:t>7</w:t>
      </w:r>
      <w:r>
        <w:rPr>
          <w:rFonts w:ascii="宋体" w:hAnsi="宋体" w:cs="Arial"/>
          <w:b/>
          <w:color w:val="auto"/>
          <w:kern w:val="0"/>
          <w:sz w:val="24"/>
          <w:highlight w:val="none"/>
          <w:shd w:val="clear" w:color="auto" w:fill="auto"/>
        </w:rPr>
        <w:t>.</w:t>
      </w:r>
      <w:r>
        <w:rPr>
          <w:rFonts w:hint="eastAsia"/>
          <w:b/>
          <w:color w:val="auto"/>
          <w:sz w:val="24"/>
          <w:highlight w:val="none"/>
          <w:shd w:val="clear" w:color="auto" w:fill="auto"/>
        </w:rPr>
        <w:t>投标文件的组成、效力</w:t>
      </w:r>
    </w:p>
    <w:p w14:paraId="167BF3F2">
      <w:pPr>
        <w:spacing w:line="400" w:lineRule="exact"/>
        <w:rPr>
          <w:rFonts w:hint="eastAsia" w:eastAsia="宋体"/>
          <w:color w:val="auto"/>
          <w:sz w:val="24"/>
          <w:highlight w:val="none"/>
          <w:shd w:val="clear" w:color="auto" w:fill="auto"/>
          <w:lang w:eastAsia="zh-CN"/>
        </w:rPr>
      </w:pPr>
      <w:r>
        <w:rPr>
          <w:rFonts w:hint="eastAsia"/>
          <w:color w:val="auto"/>
          <w:sz w:val="24"/>
          <w:highlight w:val="none"/>
          <w:shd w:val="clear" w:color="auto" w:fill="auto"/>
        </w:rPr>
        <w:t>（1）本项目实行电子投标，投标人应准备电子投标文件，本项目线下无需提供任何备份投标文件。电子投标文件应按本招标文件要求编制</w:t>
      </w:r>
      <w:r>
        <w:rPr>
          <w:rFonts w:hint="eastAsia"/>
          <w:color w:val="auto"/>
          <w:sz w:val="24"/>
          <w:highlight w:val="none"/>
          <w:shd w:val="clear" w:color="auto" w:fill="auto"/>
          <w:lang w:eastAsia="zh-CN"/>
        </w:rPr>
        <w:t>；</w:t>
      </w:r>
    </w:p>
    <w:p w14:paraId="56E1703E">
      <w:pPr>
        <w:spacing w:line="400" w:lineRule="exact"/>
        <w:rPr>
          <w:color w:val="auto"/>
          <w:sz w:val="24"/>
          <w:highlight w:val="none"/>
          <w:shd w:val="clear" w:color="auto" w:fill="auto"/>
        </w:rPr>
      </w:pPr>
      <w:r>
        <w:rPr>
          <w:rFonts w:hint="eastAsia"/>
          <w:color w:val="auto"/>
          <w:sz w:val="24"/>
          <w:highlight w:val="none"/>
          <w:shd w:val="clear" w:color="auto" w:fill="auto"/>
        </w:rPr>
        <w:t>（</w:t>
      </w:r>
      <w:r>
        <w:rPr>
          <w:color w:val="auto"/>
          <w:sz w:val="24"/>
          <w:highlight w:val="none"/>
          <w:shd w:val="clear" w:color="auto" w:fill="auto"/>
        </w:rPr>
        <w:t>2</w:t>
      </w:r>
      <w:r>
        <w:rPr>
          <w:rFonts w:hint="eastAsia"/>
          <w:color w:val="auto"/>
          <w:sz w:val="24"/>
          <w:highlight w:val="none"/>
          <w:shd w:val="clear" w:color="auto" w:fill="auto"/>
        </w:rPr>
        <w:t>）未在</w:t>
      </w:r>
      <w:r>
        <w:rPr>
          <w:rFonts w:hint="eastAsia" w:ascii="宋体" w:hAnsi="宋体" w:cs="Arial"/>
          <w:color w:val="auto"/>
          <w:kern w:val="0"/>
          <w:sz w:val="24"/>
          <w:highlight w:val="none"/>
          <w:shd w:val="clear" w:color="auto" w:fill="auto"/>
        </w:rPr>
        <w:t>“临海市限额以下公共资源交易区域平台”</w:t>
      </w:r>
      <w:r>
        <w:rPr>
          <w:rFonts w:hint="eastAsia"/>
          <w:color w:val="auto"/>
          <w:sz w:val="24"/>
          <w:highlight w:val="none"/>
          <w:shd w:val="clear" w:color="auto" w:fill="auto"/>
        </w:rPr>
        <w:t>传输递交电子投标文件的，投标无效。</w:t>
      </w:r>
    </w:p>
    <w:p w14:paraId="210D3FDC">
      <w:pPr>
        <w:spacing w:line="400" w:lineRule="exact"/>
        <w:rPr>
          <w:rFonts w:ascii="宋体" w:hAnsi="宋体"/>
          <w:color w:val="auto"/>
          <w:sz w:val="24"/>
          <w:highlight w:val="none"/>
          <w:shd w:val="clear" w:color="auto" w:fill="auto"/>
        </w:rPr>
      </w:pPr>
      <w:r>
        <w:rPr>
          <w:rFonts w:ascii="宋体" w:hAnsi="宋体"/>
          <w:b/>
          <w:color w:val="auto"/>
          <w:sz w:val="24"/>
          <w:highlight w:val="none"/>
          <w:shd w:val="clear" w:color="auto" w:fill="auto"/>
        </w:rPr>
        <w:t>8.投标截止时间及</w:t>
      </w:r>
      <w:r>
        <w:rPr>
          <w:rFonts w:hint="eastAsia" w:ascii="宋体" w:hAnsi="宋体"/>
          <w:b/>
          <w:color w:val="auto"/>
          <w:sz w:val="24"/>
          <w:highlight w:val="none"/>
          <w:shd w:val="clear" w:color="auto" w:fill="auto"/>
        </w:rPr>
        <w:t>电子</w:t>
      </w:r>
      <w:r>
        <w:rPr>
          <w:rFonts w:ascii="宋体" w:hAnsi="宋体"/>
          <w:b/>
          <w:color w:val="auto"/>
          <w:sz w:val="24"/>
          <w:highlight w:val="none"/>
          <w:shd w:val="clear" w:color="auto" w:fill="auto"/>
        </w:rPr>
        <w:t>投标文件的递交</w:t>
      </w:r>
    </w:p>
    <w:p w14:paraId="01A78B4C">
      <w:pPr>
        <w:spacing w:line="400" w:lineRule="exact"/>
        <w:rPr>
          <w:rFonts w:ascii="宋体" w:hAnsi="宋体" w:cs="Arial"/>
          <w:color w:val="auto"/>
          <w:kern w:val="0"/>
          <w:sz w:val="24"/>
          <w:highlight w:val="none"/>
          <w:shd w:val="clear" w:color="auto" w:fill="auto"/>
        </w:rPr>
      </w:pPr>
      <w:r>
        <w:rPr>
          <w:rFonts w:hint="eastAsia" w:ascii="宋体" w:hAnsi="宋体" w:cs="Arial"/>
          <w:b/>
          <w:bCs/>
          <w:color w:val="auto"/>
          <w:kern w:val="0"/>
          <w:sz w:val="24"/>
          <w:highlight w:val="none"/>
          <w:shd w:val="clear" w:color="auto" w:fill="auto"/>
        </w:rPr>
        <w:t>电子投标文件</w:t>
      </w:r>
      <w:r>
        <w:rPr>
          <w:rFonts w:ascii="宋体" w:hAnsi="宋体"/>
          <w:b/>
          <w:color w:val="auto"/>
          <w:sz w:val="24"/>
          <w:highlight w:val="none"/>
          <w:shd w:val="clear" w:color="auto" w:fill="auto"/>
        </w:rPr>
        <w:t>投标截止时间</w:t>
      </w:r>
      <w:r>
        <w:rPr>
          <w:rFonts w:hint="eastAsia" w:ascii="宋体" w:hAnsi="宋体"/>
          <w:b/>
          <w:color w:val="auto"/>
          <w:sz w:val="24"/>
          <w:highlight w:val="none"/>
          <w:shd w:val="clear" w:color="auto" w:fill="auto"/>
        </w:rPr>
        <w:t>：202</w:t>
      </w:r>
      <w:r>
        <w:rPr>
          <w:rFonts w:hint="eastAsia" w:ascii="宋体" w:hAnsi="宋体"/>
          <w:b/>
          <w:color w:val="auto"/>
          <w:sz w:val="24"/>
          <w:highlight w:val="none"/>
          <w:shd w:val="clear" w:color="auto" w:fill="auto"/>
          <w:lang w:val="en-US" w:eastAsia="zh-CN"/>
        </w:rPr>
        <w:t>6</w:t>
      </w:r>
      <w:r>
        <w:rPr>
          <w:rFonts w:hint="eastAsia" w:ascii="宋体" w:hAnsi="宋体" w:eastAsia="宋体"/>
          <w:b/>
          <w:color w:val="auto"/>
          <w:sz w:val="24"/>
          <w:highlight w:val="none"/>
          <w:shd w:val="clear" w:color="auto" w:fill="auto"/>
        </w:rPr>
        <w:t>年</w:t>
      </w:r>
      <w:r>
        <w:rPr>
          <w:rFonts w:hint="eastAsia" w:ascii="宋体" w:hAnsi="宋体"/>
          <w:b/>
          <w:color w:val="auto"/>
          <w:sz w:val="24"/>
          <w:highlight w:val="none"/>
          <w:shd w:val="clear" w:color="auto" w:fill="auto"/>
          <w:lang w:val="en-US" w:eastAsia="zh-CN"/>
        </w:rPr>
        <w:t>8</w:t>
      </w:r>
      <w:r>
        <w:rPr>
          <w:rFonts w:hint="eastAsia" w:ascii="宋体" w:hAnsi="宋体" w:eastAsia="宋体"/>
          <w:b/>
          <w:color w:val="auto"/>
          <w:sz w:val="24"/>
          <w:highlight w:val="none"/>
          <w:shd w:val="clear" w:color="auto" w:fill="auto"/>
        </w:rPr>
        <w:t>月</w:t>
      </w:r>
      <w:r>
        <w:rPr>
          <w:rFonts w:hint="eastAsia" w:ascii="宋体" w:hAnsi="宋体"/>
          <w:b/>
          <w:color w:val="auto"/>
          <w:sz w:val="24"/>
          <w:highlight w:val="none"/>
          <w:shd w:val="clear" w:color="auto" w:fill="auto"/>
          <w:lang w:val="en-US" w:eastAsia="zh-CN"/>
        </w:rPr>
        <w:t>12</w:t>
      </w:r>
      <w:r>
        <w:rPr>
          <w:rFonts w:hint="eastAsia" w:ascii="宋体" w:hAnsi="宋体" w:eastAsia="宋体"/>
          <w:b/>
          <w:color w:val="auto"/>
          <w:sz w:val="24"/>
          <w:highlight w:val="none"/>
          <w:shd w:val="clear" w:color="auto" w:fill="auto"/>
        </w:rPr>
        <w:t>日</w:t>
      </w:r>
      <w:r>
        <w:rPr>
          <w:rFonts w:hint="eastAsia" w:ascii="宋体" w:hAnsi="宋体"/>
          <w:b/>
          <w:color w:val="auto"/>
          <w:sz w:val="24"/>
          <w:highlight w:val="none"/>
          <w:shd w:val="clear" w:color="auto" w:fill="auto"/>
          <w:lang w:val="en-US" w:eastAsia="zh-CN"/>
        </w:rPr>
        <w:t>8</w:t>
      </w:r>
      <w:r>
        <w:rPr>
          <w:rFonts w:hint="eastAsia" w:ascii="宋体" w:hAnsi="宋体"/>
          <w:b/>
          <w:color w:val="auto"/>
          <w:sz w:val="24"/>
          <w:highlight w:val="none"/>
          <w:shd w:val="clear" w:color="auto" w:fill="auto"/>
        </w:rPr>
        <w:t>时</w:t>
      </w:r>
      <w:r>
        <w:rPr>
          <w:rFonts w:hint="eastAsia" w:ascii="宋体" w:hAnsi="宋体"/>
          <w:b/>
          <w:color w:val="auto"/>
          <w:sz w:val="24"/>
          <w:highlight w:val="none"/>
          <w:shd w:val="clear" w:color="auto" w:fill="auto"/>
          <w:lang w:val="en-US" w:eastAsia="zh-CN"/>
        </w:rPr>
        <w:t>30</w:t>
      </w:r>
      <w:r>
        <w:rPr>
          <w:rFonts w:hint="eastAsia" w:ascii="宋体" w:hAnsi="宋体"/>
          <w:b/>
          <w:color w:val="auto"/>
          <w:sz w:val="24"/>
          <w:highlight w:val="none"/>
          <w:shd w:val="clear" w:color="auto" w:fill="auto"/>
        </w:rPr>
        <w:t>分00秒，</w:t>
      </w:r>
      <w:r>
        <w:rPr>
          <w:rFonts w:hint="eastAsia" w:ascii="宋体" w:hAnsi="宋体" w:cs="Arial"/>
          <w:color w:val="auto"/>
          <w:kern w:val="0"/>
          <w:sz w:val="24"/>
          <w:highlight w:val="none"/>
          <w:shd w:val="clear" w:color="auto" w:fill="auto"/>
        </w:rPr>
        <w:t>投标人应于投标截止时间之前将电子投标文件上传到“临海市限额以下公共资源交易区域平台”。投标截止时间前未完成传输电子投标文件的</w:t>
      </w:r>
      <w:r>
        <w:rPr>
          <w:rFonts w:hint="eastAsia"/>
          <w:color w:val="auto"/>
          <w:sz w:val="24"/>
          <w:highlight w:val="none"/>
          <w:shd w:val="clear" w:color="auto" w:fill="auto"/>
        </w:rPr>
        <w:t>，投标无效。</w:t>
      </w:r>
    </w:p>
    <w:p w14:paraId="57FBD4D1">
      <w:pPr>
        <w:spacing w:line="400" w:lineRule="exact"/>
        <w:rPr>
          <w:rFonts w:ascii="宋体" w:hAnsi="宋体"/>
          <w:b/>
          <w:color w:val="auto"/>
          <w:sz w:val="24"/>
          <w:highlight w:val="none"/>
          <w:shd w:val="clear" w:color="auto" w:fill="auto"/>
        </w:rPr>
      </w:pPr>
      <w:r>
        <w:rPr>
          <w:rFonts w:hint="eastAsia" w:ascii="宋体" w:hAnsi="宋体"/>
          <w:b/>
          <w:color w:val="auto"/>
          <w:sz w:val="24"/>
          <w:highlight w:val="none"/>
          <w:shd w:val="clear" w:color="auto" w:fill="auto"/>
        </w:rPr>
        <w:t>9</w:t>
      </w:r>
      <w:r>
        <w:rPr>
          <w:rFonts w:ascii="宋体" w:hAnsi="宋体"/>
          <w:b/>
          <w:color w:val="auto"/>
          <w:sz w:val="24"/>
          <w:highlight w:val="none"/>
          <w:shd w:val="clear" w:color="auto" w:fill="auto"/>
        </w:rPr>
        <w:t>.</w:t>
      </w:r>
      <w:r>
        <w:rPr>
          <w:rFonts w:hint="eastAsia" w:ascii="宋体" w:hAnsi="宋体" w:cs="Arial"/>
          <w:color w:val="auto"/>
          <w:kern w:val="0"/>
          <w:sz w:val="24"/>
          <w:highlight w:val="none"/>
          <w:shd w:val="clear" w:color="auto" w:fill="auto"/>
        </w:rPr>
        <w:t>临海市限额以下公共资源交易区域平台</w:t>
      </w:r>
      <w:r>
        <w:rPr>
          <w:rFonts w:hint="eastAsia" w:ascii="宋体" w:hAnsi="宋体"/>
          <w:b/>
          <w:color w:val="auto"/>
          <w:sz w:val="24"/>
          <w:highlight w:val="none"/>
          <w:shd w:val="clear" w:color="auto" w:fill="auto"/>
        </w:rPr>
        <w:t xml:space="preserve">及开评标期间出现网络故障或停电时的应急处理措施： </w:t>
      </w:r>
      <w:r>
        <w:rPr>
          <w:rFonts w:ascii="宋体" w:hAnsi="宋体"/>
          <w:b/>
          <w:color w:val="auto"/>
          <w:sz w:val="24"/>
          <w:highlight w:val="none"/>
          <w:shd w:val="clear" w:color="auto" w:fill="auto"/>
        </w:rPr>
        <w:t xml:space="preserve">     </w:t>
      </w:r>
    </w:p>
    <w:p w14:paraId="50767757">
      <w:pPr>
        <w:spacing w:line="400" w:lineRule="exact"/>
        <w:rPr>
          <w:rFonts w:hint="eastAsia" w:ascii="宋体" w:hAnsi="宋体" w:eastAsia="宋体"/>
          <w:bCs/>
          <w:color w:val="auto"/>
          <w:sz w:val="24"/>
          <w:highlight w:val="none"/>
          <w:shd w:val="clear" w:color="auto" w:fill="auto"/>
          <w:lang w:eastAsia="zh-CN"/>
        </w:rPr>
      </w:pPr>
      <w:r>
        <w:rPr>
          <w:rFonts w:hint="eastAsia" w:ascii="宋体" w:hAnsi="宋体"/>
          <w:bCs/>
          <w:color w:val="auto"/>
          <w:sz w:val="24"/>
          <w:highlight w:val="none"/>
          <w:shd w:val="clear" w:color="auto" w:fill="auto"/>
        </w:rPr>
        <w:t>（1）开评标期间出现网络故障或停电如短时间内（半天内）可以排除并能恢复正常使用的，为不耽误项目进度，招标人（代理机构）可宣布待故障排除后再进行正常开标活动</w:t>
      </w:r>
      <w:r>
        <w:rPr>
          <w:rFonts w:hint="eastAsia" w:ascii="宋体" w:hAnsi="宋体"/>
          <w:bCs/>
          <w:color w:val="auto"/>
          <w:sz w:val="24"/>
          <w:highlight w:val="none"/>
          <w:shd w:val="clear" w:color="auto" w:fill="auto"/>
          <w:lang w:eastAsia="zh-CN"/>
        </w:rPr>
        <w:t>；</w:t>
      </w:r>
    </w:p>
    <w:p w14:paraId="1CDAD84F">
      <w:pPr>
        <w:spacing w:line="400" w:lineRule="exact"/>
        <w:rPr>
          <w:rFonts w:asciiTheme="minorEastAsia" w:hAnsiTheme="minorEastAsia" w:eastAsiaTheme="minorEastAsia" w:cstheme="minorEastAsia"/>
          <w:bCs/>
          <w:color w:val="auto"/>
          <w:sz w:val="24"/>
          <w:highlight w:val="none"/>
        </w:rPr>
      </w:pPr>
      <w:r>
        <w:rPr>
          <w:rFonts w:hint="eastAsia" w:ascii="宋体" w:hAnsi="宋体"/>
          <w:bCs/>
          <w:color w:val="auto"/>
          <w:sz w:val="24"/>
          <w:highlight w:val="none"/>
          <w:shd w:val="clear" w:color="auto" w:fill="auto"/>
        </w:rPr>
        <w:t>（2）开评标期间出现网络故障或停电在短时间内不能排除，且无法恢复正常使用的，招标人（代理机构）可宣布暂停招标活动，招标人（代理机构）应办理延期开标手续，并及时发布更正公告择日另行开标。</w:t>
      </w:r>
    </w:p>
    <w:p w14:paraId="610B80ED">
      <w:pPr>
        <w:spacing w:line="40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b/>
          <w:color w:val="auto"/>
          <w:sz w:val="24"/>
          <w:highlight w:val="none"/>
        </w:rPr>
        <w:t>10.开标</w:t>
      </w:r>
    </w:p>
    <w:p w14:paraId="70C4FBD1">
      <w:pPr>
        <w:spacing w:line="40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开标时间：</w:t>
      </w:r>
      <w:r>
        <w:rPr>
          <w:rFonts w:hint="eastAsia" w:asciiTheme="minorEastAsia" w:hAnsiTheme="minorEastAsia" w:eastAsiaTheme="minorEastAsia" w:cstheme="minorEastAsia"/>
          <w:b/>
          <w:color w:val="auto"/>
          <w:sz w:val="24"/>
          <w:highlight w:val="none"/>
        </w:rPr>
        <w:t>202</w:t>
      </w:r>
      <w:r>
        <w:rPr>
          <w:rFonts w:hint="eastAsia" w:asciiTheme="minorEastAsia" w:hAnsiTheme="minorEastAsia" w:eastAsiaTheme="minorEastAsia" w:cstheme="minorEastAsia"/>
          <w:b/>
          <w:color w:val="auto"/>
          <w:sz w:val="24"/>
          <w:highlight w:val="none"/>
          <w:lang w:val="en-US" w:eastAsia="zh-CN"/>
        </w:rPr>
        <w:t>6</w:t>
      </w:r>
      <w:r>
        <w:rPr>
          <w:rFonts w:hint="eastAsia" w:asciiTheme="minorEastAsia" w:hAnsiTheme="minorEastAsia" w:eastAsiaTheme="minorEastAsia" w:cstheme="minorEastAsia"/>
          <w:b/>
          <w:color w:val="auto"/>
          <w:sz w:val="24"/>
          <w:highlight w:val="none"/>
        </w:rPr>
        <w:t>年</w:t>
      </w:r>
      <w:r>
        <w:rPr>
          <w:rFonts w:hint="eastAsia" w:asciiTheme="minorEastAsia" w:hAnsiTheme="minorEastAsia" w:eastAsiaTheme="minorEastAsia" w:cstheme="minorEastAsia"/>
          <w:b/>
          <w:color w:val="auto"/>
          <w:sz w:val="24"/>
          <w:highlight w:val="none"/>
          <w:lang w:val="en-US" w:eastAsia="zh-CN"/>
        </w:rPr>
        <w:t>8</w:t>
      </w:r>
      <w:r>
        <w:rPr>
          <w:rFonts w:hint="eastAsia" w:asciiTheme="minorEastAsia" w:hAnsiTheme="minorEastAsia" w:eastAsiaTheme="minorEastAsia" w:cstheme="minorEastAsia"/>
          <w:b/>
          <w:color w:val="auto"/>
          <w:sz w:val="24"/>
          <w:highlight w:val="none"/>
        </w:rPr>
        <w:t>月</w:t>
      </w:r>
      <w:r>
        <w:rPr>
          <w:rFonts w:hint="eastAsia" w:asciiTheme="minorEastAsia" w:hAnsiTheme="minorEastAsia" w:eastAsiaTheme="minorEastAsia" w:cstheme="minorEastAsia"/>
          <w:b/>
          <w:color w:val="auto"/>
          <w:sz w:val="24"/>
          <w:highlight w:val="none"/>
          <w:lang w:val="en-US" w:eastAsia="zh-CN"/>
        </w:rPr>
        <w:t>12</w:t>
      </w:r>
      <w:r>
        <w:rPr>
          <w:rFonts w:hint="eastAsia" w:asciiTheme="minorEastAsia" w:hAnsiTheme="minorEastAsia" w:eastAsiaTheme="minorEastAsia" w:cstheme="minorEastAsia"/>
          <w:b/>
          <w:color w:val="auto"/>
          <w:sz w:val="24"/>
          <w:highlight w:val="none"/>
        </w:rPr>
        <w:t>日</w:t>
      </w:r>
      <w:r>
        <w:rPr>
          <w:rFonts w:hint="eastAsia" w:asciiTheme="minorEastAsia" w:hAnsiTheme="minorEastAsia" w:eastAsiaTheme="minorEastAsia" w:cstheme="minorEastAsia"/>
          <w:b/>
          <w:color w:val="auto"/>
          <w:sz w:val="24"/>
          <w:highlight w:val="none"/>
          <w:lang w:val="en-US" w:eastAsia="zh-CN"/>
        </w:rPr>
        <w:t>8</w:t>
      </w:r>
      <w:r>
        <w:rPr>
          <w:rFonts w:hint="eastAsia" w:asciiTheme="minorEastAsia" w:hAnsiTheme="minorEastAsia" w:eastAsiaTheme="minorEastAsia" w:cstheme="minorEastAsia"/>
          <w:b/>
          <w:color w:val="auto"/>
          <w:sz w:val="24"/>
          <w:highlight w:val="none"/>
        </w:rPr>
        <w:t>时</w:t>
      </w:r>
      <w:r>
        <w:rPr>
          <w:rFonts w:hint="eastAsia" w:asciiTheme="minorEastAsia" w:hAnsiTheme="minorEastAsia" w:eastAsiaTheme="minorEastAsia" w:cstheme="minorEastAsia"/>
          <w:b/>
          <w:color w:val="auto"/>
          <w:sz w:val="24"/>
          <w:highlight w:val="none"/>
          <w:lang w:val="en-US" w:eastAsia="zh-CN"/>
        </w:rPr>
        <w:t>30</w:t>
      </w:r>
      <w:r>
        <w:rPr>
          <w:rFonts w:hint="eastAsia" w:asciiTheme="minorEastAsia" w:hAnsiTheme="minorEastAsia" w:eastAsiaTheme="minorEastAsia" w:cstheme="minorEastAsia"/>
          <w:b/>
          <w:color w:val="auto"/>
          <w:sz w:val="24"/>
          <w:highlight w:val="none"/>
        </w:rPr>
        <w:t>分</w:t>
      </w:r>
      <w:r>
        <w:rPr>
          <w:rFonts w:hint="eastAsia" w:asciiTheme="minorEastAsia" w:hAnsiTheme="minorEastAsia" w:eastAsiaTheme="minorEastAsia" w:cstheme="minorEastAsia"/>
          <w:b/>
          <w:color w:val="auto"/>
          <w:sz w:val="24"/>
          <w:highlight w:val="none"/>
          <w:lang w:val="en-US" w:eastAsia="zh-CN"/>
        </w:rPr>
        <w:t>00</w:t>
      </w:r>
      <w:r>
        <w:rPr>
          <w:rFonts w:hint="eastAsia" w:asciiTheme="minorEastAsia" w:hAnsiTheme="minorEastAsia" w:eastAsiaTheme="minorEastAsia" w:cstheme="minorEastAsia"/>
          <w:b/>
          <w:color w:val="auto"/>
          <w:sz w:val="24"/>
          <w:highlight w:val="none"/>
        </w:rPr>
        <w:t xml:space="preserve">秒 </w:t>
      </w:r>
      <w:r>
        <w:rPr>
          <w:rFonts w:hint="eastAsia" w:asciiTheme="minorEastAsia" w:hAnsiTheme="minorEastAsia" w:eastAsiaTheme="minorEastAsia" w:cstheme="minorEastAsia"/>
          <w:color w:val="auto"/>
          <w:sz w:val="24"/>
          <w:highlight w:val="none"/>
        </w:rPr>
        <w:t>。</w:t>
      </w:r>
    </w:p>
    <w:p w14:paraId="4DD15259">
      <w:pPr>
        <w:spacing w:line="4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开标地点：</w:t>
      </w:r>
      <w:r>
        <w:rPr>
          <w:rFonts w:hint="eastAsia" w:asciiTheme="minorEastAsia" w:hAnsiTheme="minorEastAsia" w:eastAsiaTheme="minorEastAsia" w:cstheme="minorEastAsia"/>
          <w:color w:val="auto"/>
          <w:sz w:val="24"/>
          <w:highlight w:val="none"/>
          <w:lang w:eastAsia="zh-CN"/>
        </w:rPr>
        <w:t>临海市限额以下公共资源交易区域平台中部开标室</w:t>
      </w:r>
      <w:r>
        <w:rPr>
          <w:rFonts w:hint="eastAsia" w:asciiTheme="minorEastAsia" w:hAnsiTheme="minorEastAsia" w:eastAsiaTheme="minorEastAsia" w:cstheme="minorEastAsia"/>
          <w:color w:val="auto"/>
          <w:sz w:val="24"/>
          <w:highlight w:val="none"/>
          <w:lang w:val="en-US" w:eastAsia="zh-CN"/>
        </w:rPr>
        <w:t>一</w:t>
      </w:r>
      <w:r>
        <w:rPr>
          <w:rFonts w:hint="eastAsia" w:asciiTheme="minorEastAsia" w:hAnsiTheme="minorEastAsia" w:eastAsiaTheme="minorEastAsia" w:cstheme="minorEastAsia"/>
          <w:color w:val="auto"/>
          <w:sz w:val="24"/>
          <w:highlight w:val="none"/>
          <w:lang w:eastAsia="zh-CN"/>
        </w:rPr>
        <w:t>（临海市大田街道城隍街与东方大道交汇处办公楼3楼）</w:t>
      </w:r>
      <w:r>
        <w:rPr>
          <w:rFonts w:hint="eastAsia" w:asciiTheme="minorEastAsia" w:hAnsiTheme="minorEastAsia" w:eastAsiaTheme="minorEastAsia" w:cstheme="minorEastAsia"/>
          <w:color w:val="auto"/>
          <w:sz w:val="24"/>
          <w:highlight w:val="none"/>
        </w:rPr>
        <w:t>（不见面开标大厅）</w:t>
      </w:r>
    </w:p>
    <w:p w14:paraId="085052D9">
      <w:pPr>
        <w:spacing w:line="400" w:lineRule="exact"/>
        <w:rPr>
          <w:rFonts w:hint="eastAsia" w:asciiTheme="minorEastAsia" w:hAnsiTheme="minorEastAsia" w:eastAsiaTheme="minorEastAsia" w:cstheme="minorEastAsia"/>
          <w:b/>
          <w:color w:val="auto"/>
          <w:sz w:val="24"/>
          <w:highlight w:val="none"/>
        </w:rPr>
      </w:pPr>
    </w:p>
    <w:p w14:paraId="541B5B8A">
      <w:pPr>
        <w:spacing w:line="400" w:lineRule="exact"/>
        <w:rPr>
          <w:rFonts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11.发布公告的媒介</w:t>
      </w:r>
    </w:p>
    <w:p w14:paraId="48ABF38B">
      <w:pPr>
        <w:spacing w:line="40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本次招标公告在</w:t>
      </w:r>
      <w:r>
        <w:rPr>
          <w:rFonts w:hint="eastAsia" w:asciiTheme="minorEastAsia" w:hAnsiTheme="minorEastAsia" w:eastAsiaTheme="minorEastAsia" w:cstheme="minorEastAsia"/>
          <w:color w:val="auto"/>
          <w:kern w:val="0"/>
          <w:sz w:val="24"/>
          <w:highlight w:val="none"/>
        </w:rPr>
        <w:t>临海市限额以下公共资源交易区域平台</w:t>
      </w:r>
      <w:r>
        <w:rPr>
          <w:rFonts w:hint="eastAsia" w:asciiTheme="minorEastAsia" w:hAnsiTheme="minorEastAsia" w:eastAsiaTheme="minorEastAsia" w:cstheme="minorEastAsia"/>
          <w:color w:val="auto"/>
          <w:sz w:val="24"/>
          <w:highlight w:val="none"/>
        </w:rPr>
        <w:t>上发布。</w:t>
      </w:r>
    </w:p>
    <w:p w14:paraId="19E045A0">
      <w:pPr>
        <w:spacing w:line="400" w:lineRule="exact"/>
        <w:rPr>
          <w:rFonts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12、其他事项</w:t>
      </w:r>
    </w:p>
    <w:p w14:paraId="162AB8AC">
      <w:pPr>
        <w:spacing w:line="400" w:lineRule="exact"/>
        <w:rPr>
          <w:rFonts w:hint="eastAsia" w:asciiTheme="minorEastAsia" w:hAnsiTheme="minorEastAsia" w:eastAsiaTheme="minorEastAsia" w:cstheme="minorEastAsia"/>
          <w:color w:val="auto"/>
          <w:sz w:val="24"/>
          <w:highlight w:val="none"/>
          <w:lang w:eastAsia="zh-CN"/>
        </w:rPr>
      </w:pPr>
      <w:r>
        <w:rPr>
          <w:rFonts w:hint="eastAsia" w:asciiTheme="minorEastAsia" w:hAnsiTheme="minorEastAsia" w:eastAsiaTheme="minorEastAsia" w:cstheme="minorEastAsia"/>
          <w:color w:val="auto"/>
          <w:sz w:val="24"/>
          <w:highlight w:val="none"/>
        </w:rPr>
        <w:t>（1）接标截止时间以平台服务器时间为准，请准时提交投标文件</w:t>
      </w:r>
      <w:r>
        <w:rPr>
          <w:rFonts w:hint="eastAsia" w:asciiTheme="minorEastAsia" w:hAnsiTheme="minorEastAsia" w:eastAsiaTheme="minorEastAsia" w:cstheme="minorEastAsia"/>
          <w:color w:val="auto"/>
          <w:sz w:val="24"/>
          <w:highlight w:val="none"/>
          <w:lang w:eastAsia="zh-CN"/>
        </w:rPr>
        <w:t>；</w:t>
      </w:r>
    </w:p>
    <w:p w14:paraId="1253BE91">
      <w:pPr>
        <w:spacing w:line="400" w:lineRule="exact"/>
        <w:rPr>
          <w:rFonts w:hint="eastAsia" w:asciiTheme="minorEastAsia" w:hAnsiTheme="minorEastAsia" w:eastAsiaTheme="minorEastAsia" w:cstheme="minorEastAsia"/>
          <w:color w:val="auto"/>
          <w:sz w:val="24"/>
          <w:highlight w:val="none"/>
          <w:lang w:eastAsia="zh-CN"/>
        </w:rPr>
      </w:pPr>
      <w:r>
        <w:rPr>
          <w:rFonts w:hint="eastAsia" w:asciiTheme="minorEastAsia" w:hAnsiTheme="minorEastAsia" w:eastAsiaTheme="minorEastAsia" w:cstheme="minorEastAsia"/>
          <w:color w:val="auto"/>
          <w:sz w:val="24"/>
          <w:highlight w:val="none"/>
        </w:rPr>
        <w:t>（2）除注明要求进口产品外,投标时进口产品比例不得超过50%</w:t>
      </w:r>
      <w:r>
        <w:rPr>
          <w:rFonts w:hint="eastAsia" w:asciiTheme="minorEastAsia" w:hAnsiTheme="minorEastAsia" w:eastAsiaTheme="minorEastAsia" w:cstheme="minorEastAsia"/>
          <w:color w:val="auto"/>
          <w:sz w:val="24"/>
          <w:highlight w:val="none"/>
          <w:lang w:eastAsia="zh-CN"/>
        </w:rPr>
        <w:t>。</w:t>
      </w:r>
    </w:p>
    <w:p w14:paraId="15E54519">
      <w:pPr>
        <w:spacing w:line="40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b/>
          <w:color w:val="auto"/>
          <w:sz w:val="24"/>
          <w:highlight w:val="none"/>
        </w:rPr>
        <w:t>13、联系方式</w:t>
      </w:r>
    </w:p>
    <w:p w14:paraId="62550D84">
      <w:pPr>
        <w:spacing w:line="400" w:lineRule="exact"/>
        <w:rPr>
          <w:rFonts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（1）招标人信息</w:t>
      </w:r>
    </w:p>
    <w:p w14:paraId="25264A2C">
      <w:pPr>
        <w:spacing w:line="400" w:lineRule="exact"/>
        <w:rPr>
          <w:rFonts w:hint="eastAsia" w:asciiTheme="minorEastAsia" w:hAnsiTheme="minorEastAsia" w:eastAsiaTheme="minorEastAsia" w:cstheme="minorEastAsia"/>
          <w:bCs/>
          <w:color w:val="auto"/>
          <w:sz w:val="24"/>
          <w:highlight w:val="none"/>
          <w:lang w:eastAsia="zh-CN"/>
        </w:rPr>
      </w:pPr>
      <w:r>
        <w:rPr>
          <w:rFonts w:hint="eastAsia" w:asciiTheme="minorEastAsia" w:hAnsiTheme="minorEastAsia" w:eastAsiaTheme="minorEastAsia" w:cstheme="minorEastAsia"/>
          <w:bCs/>
          <w:color w:val="auto"/>
          <w:sz w:val="24"/>
          <w:highlight w:val="none"/>
        </w:rPr>
        <w:t>名称：</w:t>
      </w:r>
      <w:r>
        <w:rPr>
          <w:rFonts w:hint="eastAsia" w:asciiTheme="minorEastAsia" w:hAnsiTheme="minorEastAsia" w:eastAsiaTheme="minorEastAsia" w:cstheme="minorEastAsia"/>
          <w:bCs/>
          <w:color w:val="auto"/>
          <w:sz w:val="24"/>
          <w:highlight w:val="none"/>
          <w:lang w:eastAsia="zh-CN"/>
        </w:rPr>
        <w:t>临海市头门港三期码头开发有限公司</w:t>
      </w:r>
    </w:p>
    <w:p w14:paraId="2C07C716">
      <w:pPr>
        <w:spacing w:line="400" w:lineRule="exact"/>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地址：</w:t>
      </w:r>
      <w:r>
        <w:rPr>
          <w:rFonts w:hint="eastAsia" w:asciiTheme="minorEastAsia" w:hAnsiTheme="minorEastAsia" w:eastAsiaTheme="minorEastAsia" w:cstheme="minorEastAsia"/>
          <w:bCs/>
          <w:color w:val="auto"/>
          <w:sz w:val="24"/>
          <w:highlight w:val="none"/>
          <w:lang w:eastAsia="zh-CN"/>
        </w:rPr>
        <w:t>临海市台州湾经济技术开发区滨海第一大道17号</w:t>
      </w:r>
    </w:p>
    <w:p w14:paraId="5030013D">
      <w:pPr>
        <w:spacing w:line="40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bCs/>
          <w:color w:val="auto"/>
          <w:sz w:val="24"/>
          <w:highlight w:val="none"/>
        </w:rPr>
        <w:t>项目联系人（询问）：</w:t>
      </w:r>
      <w:r>
        <w:rPr>
          <w:rFonts w:hint="eastAsia" w:asciiTheme="minorEastAsia" w:hAnsiTheme="minorEastAsia" w:eastAsiaTheme="minorEastAsia" w:cstheme="minorEastAsia"/>
          <w:bCs/>
          <w:color w:val="auto"/>
          <w:sz w:val="24"/>
          <w:highlight w:val="none"/>
          <w:lang w:val="en-US" w:eastAsia="zh-CN"/>
        </w:rPr>
        <w:t>林</w:t>
      </w:r>
      <w:r>
        <w:rPr>
          <w:rFonts w:hint="eastAsia" w:asciiTheme="minorEastAsia" w:hAnsiTheme="minorEastAsia" w:eastAsiaTheme="minorEastAsia" w:cstheme="minorEastAsia"/>
          <w:bCs/>
          <w:color w:val="auto"/>
          <w:sz w:val="24"/>
          <w:highlight w:val="none"/>
        </w:rPr>
        <w:t>先生</w:t>
      </w:r>
    </w:p>
    <w:p w14:paraId="272EC641">
      <w:pPr>
        <w:spacing w:line="400" w:lineRule="exact"/>
        <w:rPr>
          <w:rFonts w:hint="eastAsia" w:asciiTheme="minorEastAsia" w:hAnsiTheme="minorEastAsia" w:eastAsiaTheme="minorEastAsia" w:cstheme="minorEastAsia"/>
          <w:bCs/>
          <w:color w:val="auto"/>
          <w:sz w:val="24"/>
          <w:highlight w:val="none"/>
          <w:lang w:eastAsia="zh-CN"/>
        </w:rPr>
      </w:pPr>
      <w:r>
        <w:rPr>
          <w:rFonts w:hint="eastAsia" w:asciiTheme="minorEastAsia" w:hAnsiTheme="minorEastAsia" w:eastAsiaTheme="minorEastAsia" w:cstheme="minorEastAsia"/>
          <w:bCs/>
          <w:color w:val="auto"/>
          <w:sz w:val="24"/>
          <w:highlight w:val="none"/>
        </w:rPr>
        <w:t>项目联系方式：18167103232</w:t>
      </w:r>
      <w:r>
        <w:rPr>
          <w:rFonts w:hint="eastAsia" w:asciiTheme="minorEastAsia" w:hAnsiTheme="minorEastAsia" w:eastAsiaTheme="minorEastAsia" w:cstheme="minorEastAsia"/>
          <w:bCs/>
          <w:color w:val="auto"/>
          <w:sz w:val="24"/>
          <w:highlight w:val="none"/>
          <w:lang w:val="en-US" w:eastAsia="zh-CN"/>
        </w:rPr>
        <w:t xml:space="preserve"> </w:t>
      </w:r>
    </w:p>
    <w:p w14:paraId="2AF74155">
      <w:pPr>
        <w:spacing w:line="400" w:lineRule="exact"/>
        <w:rPr>
          <w:rFonts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Cs/>
          <w:color w:val="auto"/>
          <w:sz w:val="24"/>
          <w:highlight w:val="none"/>
        </w:rPr>
        <w:t xml:space="preserve"> </w:t>
      </w:r>
      <w:r>
        <w:rPr>
          <w:rFonts w:hint="eastAsia" w:asciiTheme="minorEastAsia" w:hAnsiTheme="minorEastAsia" w:eastAsiaTheme="minorEastAsia" w:cstheme="minorEastAsia"/>
          <w:b/>
          <w:bCs/>
          <w:color w:val="auto"/>
          <w:sz w:val="24"/>
          <w:highlight w:val="none"/>
        </w:rPr>
        <w:t>（2）代理机构信息</w:t>
      </w:r>
    </w:p>
    <w:p w14:paraId="6AF59162">
      <w:pPr>
        <w:spacing w:line="400" w:lineRule="exact"/>
        <w:rPr>
          <w:rFonts w:hint="eastAsia" w:asciiTheme="minorEastAsia" w:hAnsiTheme="minorEastAsia" w:eastAsiaTheme="minorEastAsia" w:cstheme="minorEastAsia"/>
          <w:bCs/>
          <w:color w:val="auto"/>
          <w:spacing w:val="-4"/>
          <w:sz w:val="24"/>
          <w:highlight w:val="none"/>
          <w:lang w:eastAsia="zh-CN"/>
        </w:rPr>
      </w:pPr>
      <w:r>
        <w:rPr>
          <w:rFonts w:hint="eastAsia" w:asciiTheme="minorEastAsia" w:hAnsiTheme="minorEastAsia" w:eastAsiaTheme="minorEastAsia" w:cstheme="minorEastAsia"/>
          <w:bCs/>
          <w:color w:val="auto"/>
          <w:spacing w:val="-4"/>
          <w:sz w:val="24"/>
          <w:highlight w:val="none"/>
        </w:rPr>
        <w:t>名 称：</w:t>
      </w:r>
      <w:r>
        <w:rPr>
          <w:rFonts w:hint="eastAsia" w:asciiTheme="minorEastAsia" w:hAnsiTheme="minorEastAsia" w:eastAsiaTheme="minorEastAsia" w:cstheme="minorEastAsia"/>
          <w:bCs/>
          <w:color w:val="auto"/>
          <w:spacing w:val="-4"/>
          <w:sz w:val="24"/>
          <w:highlight w:val="none"/>
          <w:lang w:eastAsia="zh-CN"/>
        </w:rPr>
        <w:t>浙江华耀建设咨询有限公司</w:t>
      </w:r>
    </w:p>
    <w:p w14:paraId="1D1CF4FB">
      <w:pPr>
        <w:spacing w:line="400" w:lineRule="exact"/>
        <w:rPr>
          <w:rFonts w:asciiTheme="minorEastAsia" w:hAnsiTheme="minorEastAsia" w:eastAsiaTheme="minorEastAsia" w:cstheme="minorEastAsia"/>
          <w:bCs/>
          <w:color w:val="auto"/>
          <w:spacing w:val="-4"/>
          <w:sz w:val="24"/>
          <w:highlight w:val="none"/>
        </w:rPr>
      </w:pPr>
      <w:r>
        <w:rPr>
          <w:rFonts w:hint="eastAsia" w:asciiTheme="minorEastAsia" w:hAnsiTheme="minorEastAsia" w:eastAsiaTheme="minorEastAsia" w:cstheme="minorEastAsia"/>
          <w:bCs/>
          <w:color w:val="auto"/>
          <w:spacing w:val="-4"/>
          <w:sz w:val="24"/>
          <w:highlight w:val="none"/>
        </w:rPr>
        <w:t xml:space="preserve">地址: </w:t>
      </w:r>
      <w:r>
        <w:rPr>
          <w:rFonts w:hint="default" w:ascii="宋体" w:hAnsi="宋体" w:eastAsia="宋体" w:cs="宋体"/>
          <w:color w:val="auto"/>
          <w:spacing w:val="-1"/>
          <w:sz w:val="24"/>
          <w:szCs w:val="24"/>
          <w:highlight w:val="none"/>
          <w:lang w:eastAsia="zh-CN"/>
        </w:rPr>
        <w:t>临海市建筑业大楼8楼801室</w:t>
      </w:r>
    </w:p>
    <w:p w14:paraId="7681B81A">
      <w:pPr>
        <w:spacing w:line="400" w:lineRule="exact"/>
        <w:rPr>
          <w:rFonts w:hint="default" w:asciiTheme="minorEastAsia" w:hAnsiTheme="minorEastAsia" w:eastAsiaTheme="minorEastAsia" w:cstheme="minorEastAsia"/>
          <w:bCs/>
          <w:color w:val="auto"/>
          <w:spacing w:val="-4"/>
          <w:sz w:val="24"/>
          <w:highlight w:val="none"/>
          <w:lang w:val="en-US" w:eastAsia="zh-CN"/>
        </w:rPr>
      </w:pPr>
      <w:r>
        <w:rPr>
          <w:rFonts w:hint="eastAsia" w:asciiTheme="minorEastAsia" w:hAnsiTheme="minorEastAsia" w:eastAsiaTheme="minorEastAsia" w:cstheme="minorEastAsia"/>
          <w:bCs/>
          <w:color w:val="auto"/>
          <w:spacing w:val="-4"/>
          <w:sz w:val="24"/>
          <w:highlight w:val="none"/>
        </w:rPr>
        <w:t>项目联系人（询问）：</w:t>
      </w:r>
      <w:r>
        <w:rPr>
          <w:rFonts w:hint="eastAsia" w:asciiTheme="minorEastAsia" w:hAnsiTheme="minorEastAsia" w:eastAsiaTheme="minorEastAsia" w:cstheme="minorEastAsia"/>
          <w:bCs/>
          <w:color w:val="auto"/>
          <w:spacing w:val="-4"/>
          <w:sz w:val="24"/>
          <w:highlight w:val="none"/>
          <w:lang w:val="en-US" w:eastAsia="zh-CN"/>
        </w:rPr>
        <w:t>陶先生</w:t>
      </w:r>
    </w:p>
    <w:p w14:paraId="722C9755">
      <w:pPr>
        <w:spacing w:line="400" w:lineRule="exact"/>
        <w:rPr>
          <w:rFonts w:hint="default" w:asciiTheme="minorEastAsia" w:hAnsiTheme="minorEastAsia" w:eastAsiaTheme="minorEastAsia" w:cstheme="minorEastAsia"/>
          <w:bCs/>
          <w:color w:val="auto"/>
          <w:spacing w:val="-4"/>
          <w:sz w:val="24"/>
          <w:highlight w:val="none"/>
          <w:lang w:val="en-US" w:eastAsia="zh-CN"/>
        </w:rPr>
      </w:pPr>
      <w:r>
        <w:rPr>
          <w:rFonts w:hint="eastAsia" w:asciiTheme="minorEastAsia" w:hAnsiTheme="minorEastAsia" w:eastAsiaTheme="minorEastAsia" w:cstheme="minorEastAsia"/>
          <w:bCs/>
          <w:color w:val="auto"/>
          <w:spacing w:val="-4"/>
          <w:sz w:val="24"/>
          <w:highlight w:val="none"/>
        </w:rPr>
        <w:t>项目联系方式：0576-85</w:t>
      </w:r>
      <w:r>
        <w:rPr>
          <w:rFonts w:hint="eastAsia" w:asciiTheme="minorEastAsia" w:hAnsiTheme="minorEastAsia" w:eastAsiaTheme="minorEastAsia" w:cstheme="minorEastAsia"/>
          <w:bCs/>
          <w:color w:val="auto"/>
          <w:spacing w:val="-4"/>
          <w:sz w:val="24"/>
          <w:highlight w:val="none"/>
          <w:lang w:val="en-US" w:eastAsia="zh-CN"/>
        </w:rPr>
        <w:t>021266</w:t>
      </w:r>
    </w:p>
    <w:p w14:paraId="49AB4F9D">
      <w:pPr>
        <w:spacing w:line="400" w:lineRule="exact"/>
        <w:rPr>
          <w:rFonts w:hint="eastAsia" w:asciiTheme="minorEastAsia" w:hAnsiTheme="minorEastAsia" w:eastAsiaTheme="minorEastAsia" w:cstheme="minorEastAsia"/>
          <w:bCs/>
          <w:color w:val="auto"/>
          <w:spacing w:val="-4"/>
          <w:sz w:val="24"/>
          <w:highlight w:val="none"/>
          <w:lang w:eastAsia="zh-CN"/>
        </w:rPr>
      </w:pPr>
      <w:r>
        <w:rPr>
          <w:rFonts w:hint="eastAsia" w:asciiTheme="minorEastAsia" w:hAnsiTheme="minorEastAsia" w:eastAsiaTheme="minorEastAsia" w:cstheme="minorEastAsia"/>
          <w:bCs/>
          <w:color w:val="auto"/>
          <w:spacing w:val="-4"/>
          <w:sz w:val="24"/>
          <w:highlight w:val="none"/>
        </w:rPr>
        <w:t>质疑联系人：</w:t>
      </w:r>
      <w:r>
        <w:rPr>
          <w:rFonts w:hint="eastAsia" w:asciiTheme="minorEastAsia" w:hAnsiTheme="minorEastAsia" w:eastAsiaTheme="minorEastAsia" w:cstheme="minorEastAsia"/>
          <w:bCs/>
          <w:color w:val="auto"/>
          <w:spacing w:val="-4"/>
          <w:sz w:val="24"/>
          <w:highlight w:val="none"/>
          <w:lang w:val="en-US" w:eastAsia="zh-CN"/>
        </w:rPr>
        <w:t>朱先生</w:t>
      </w:r>
    </w:p>
    <w:p w14:paraId="6F8A08DE">
      <w:pPr>
        <w:spacing w:line="400" w:lineRule="exact"/>
        <w:rPr>
          <w:rFonts w:hint="default" w:asciiTheme="minorEastAsia" w:hAnsiTheme="minorEastAsia" w:eastAsiaTheme="minorEastAsia" w:cstheme="minorEastAsia"/>
          <w:bCs/>
          <w:color w:val="auto"/>
          <w:spacing w:val="-4"/>
          <w:sz w:val="24"/>
          <w:highlight w:val="none"/>
          <w:lang w:val="en-US" w:eastAsia="zh-CN"/>
        </w:rPr>
      </w:pPr>
      <w:r>
        <w:rPr>
          <w:rFonts w:hint="eastAsia" w:asciiTheme="minorEastAsia" w:hAnsiTheme="minorEastAsia" w:eastAsiaTheme="minorEastAsia" w:cstheme="minorEastAsia"/>
          <w:bCs/>
          <w:color w:val="auto"/>
          <w:spacing w:val="-4"/>
          <w:sz w:val="24"/>
          <w:highlight w:val="none"/>
        </w:rPr>
        <w:t>质疑联系方式：0576-85</w:t>
      </w:r>
      <w:r>
        <w:rPr>
          <w:rFonts w:hint="eastAsia" w:asciiTheme="minorEastAsia" w:hAnsiTheme="minorEastAsia" w:eastAsiaTheme="minorEastAsia" w:cstheme="minorEastAsia"/>
          <w:bCs/>
          <w:color w:val="auto"/>
          <w:spacing w:val="-4"/>
          <w:sz w:val="24"/>
          <w:highlight w:val="none"/>
          <w:lang w:val="en-US" w:eastAsia="zh-CN"/>
        </w:rPr>
        <w:t>021266</w:t>
      </w:r>
    </w:p>
    <w:p w14:paraId="3E29CA9E">
      <w:pPr>
        <w:spacing w:line="400" w:lineRule="exact"/>
        <w:rPr>
          <w:rFonts w:asciiTheme="minorEastAsia" w:hAnsiTheme="minorEastAsia" w:eastAsiaTheme="minorEastAsia" w:cstheme="minorEastAsia"/>
          <w:bCs/>
          <w:color w:val="auto"/>
          <w:spacing w:val="-4"/>
          <w:sz w:val="24"/>
          <w:highlight w:val="none"/>
        </w:rPr>
      </w:pPr>
      <w:r>
        <w:rPr>
          <w:rFonts w:hint="eastAsia" w:asciiTheme="minorEastAsia" w:hAnsiTheme="minorEastAsia" w:eastAsiaTheme="minorEastAsia" w:cstheme="minorEastAsia"/>
          <w:bCs/>
          <w:color w:val="auto"/>
          <w:spacing w:val="-4"/>
          <w:sz w:val="24"/>
          <w:highlight w:val="none"/>
        </w:rPr>
        <w:t>电子邮箱:</w:t>
      </w:r>
      <w:r>
        <w:rPr>
          <w:rFonts w:hint="eastAsia" w:asciiTheme="minorEastAsia" w:hAnsiTheme="minorEastAsia" w:eastAsiaTheme="minorEastAsia" w:cstheme="minorEastAsia"/>
          <w:bCs/>
          <w:color w:val="auto"/>
          <w:spacing w:val="-4"/>
          <w:sz w:val="24"/>
          <w:highlight w:val="none"/>
          <w:u w:val="none"/>
        </w:rPr>
        <w:t xml:space="preserve"> </w:t>
      </w:r>
      <w:r>
        <w:rPr>
          <w:color w:val="auto"/>
          <w:highlight w:val="none"/>
          <w:u w:val="none"/>
        </w:rPr>
        <w:fldChar w:fldCharType="begin"/>
      </w:r>
      <w:r>
        <w:rPr>
          <w:color w:val="auto"/>
          <w:highlight w:val="none"/>
          <w:u w:val="none"/>
        </w:rPr>
        <w:instrText xml:space="preserve"> HYPERLINK "mailto:343595626@qq.com" </w:instrText>
      </w:r>
      <w:r>
        <w:rPr>
          <w:color w:val="auto"/>
          <w:highlight w:val="none"/>
          <w:u w:val="none"/>
        </w:rPr>
        <w:fldChar w:fldCharType="separate"/>
      </w:r>
      <w:r>
        <w:rPr>
          <w:rStyle w:val="59"/>
          <w:rFonts w:hint="eastAsia" w:asciiTheme="minorEastAsia" w:hAnsiTheme="minorEastAsia" w:eastAsiaTheme="minorEastAsia" w:cstheme="minorEastAsia"/>
          <w:bCs/>
          <w:color w:val="auto"/>
          <w:spacing w:val="-4"/>
          <w:sz w:val="24"/>
          <w:highlight w:val="none"/>
          <w:u w:val="none"/>
          <w:lang w:val="en-US" w:eastAsia="zh-CN"/>
        </w:rPr>
        <w:t>277528936</w:t>
      </w:r>
      <w:r>
        <w:rPr>
          <w:rStyle w:val="59"/>
          <w:rFonts w:hint="eastAsia" w:asciiTheme="minorEastAsia" w:hAnsiTheme="minorEastAsia" w:eastAsiaTheme="minorEastAsia" w:cstheme="minorEastAsia"/>
          <w:bCs/>
          <w:color w:val="auto"/>
          <w:spacing w:val="-4"/>
          <w:sz w:val="24"/>
          <w:highlight w:val="none"/>
          <w:u w:val="none"/>
        </w:rPr>
        <w:t>@qq.com</w:t>
      </w:r>
      <w:r>
        <w:rPr>
          <w:rStyle w:val="59"/>
          <w:rFonts w:hint="eastAsia" w:asciiTheme="minorEastAsia" w:hAnsiTheme="minorEastAsia" w:eastAsiaTheme="minorEastAsia" w:cstheme="minorEastAsia"/>
          <w:bCs/>
          <w:color w:val="auto"/>
          <w:spacing w:val="-4"/>
          <w:sz w:val="24"/>
          <w:highlight w:val="none"/>
          <w:u w:val="none"/>
        </w:rPr>
        <w:fldChar w:fldCharType="end"/>
      </w:r>
    </w:p>
    <w:p w14:paraId="4A405BD4">
      <w:pPr>
        <w:spacing w:line="400" w:lineRule="exact"/>
        <w:rPr>
          <w:rFonts w:asciiTheme="minorEastAsia" w:hAnsiTheme="minorEastAsia" w:eastAsiaTheme="minorEastAsia" w:cstheme="minorEastAsia"/>
          <w:b/>
          <w:color w:val="auto"/>
          <w:spacing w:val="-4"/>
          <w:sz w:val="24"/>
          <w:highlight w:val="none"/>
        </w:rPr>
      </w:pPr>
      <w:r>
        <w:rPr>
          <w:rFonts w:hint="eastAsia" w:asciiTheme="minorEastAsia" w:hAnsiTheme="minorEastAsia" w:eastAsiaTheme="minorEastAsia" w:cstheme="minorEastAsia"/>
          <w:b/>
          <w:color w:val="auto"/>
          <w:spacing w:val="-4"/>
          <w:sz w:val="24"/>
          <w:highlight w:val="none"/>
        </w:rPr>
        <w:t>（3）本次非政府采购项目监管机构信息</w:t>
      </w:r>
    </w:p>
    <w:p w14:paraId="4A3CD6F4">
      <w:pPr>
        <w:spacing w:line="400" w:lineRule="exact"/>
        <w:rPr>
          <w:rFonts w:hint="default" w:asciiTheme="minorEastAsia" w:hAnsiTheme="minorEastAsia" w:eastAsiaTheme="minorEastAsia" w:cstheme="minorEastAsia"/>
          <w:color w:val="auto"/>
          <w:spacing w:val="-4"/>
          <w:sz w:val="24"/>
          <w:highlight w:val="none"/>
          <w:lang w:val="en-US" w:eastAsia="zh-CN"/>
        </w:rPr>
      </w:pPr>
      <w:r>
        <w:rPr>
          <w:rFonts w:hint="eastAsia" w:asciiTheme="minorEastAsia" w:hAnsiTheme="minorEastAsia" w:eastAsiaTheme="minorEastAsia" w:cstheme="minorEastAsia"/>
          <w:color w:val="auto"/>
          <w:spacing w:val="-4"/>
          <w:sz w:val="24"/>
          <w:highlight w:val="none"/>
        </w:rPr>
        <w:t>名 称：临海市城市产业发展集团有限公司纪委办公室（审计部）</w:t>
      </w:r>
    </w:p>
    <w:p w14:paraId="60729892">
      <w:pPr>
        <w:spacing w:line="400" w:lineRule="exact"/>
        <w:rPr>
          <w:rFonts w:hint="eastAsia" w:asciiTheme="minorEastAsia" w:hAnsiTheme="minorEastAsia" w:eastAsiaTheme="minorEastAsia" w:cstheme="minorEastAsia"/>
          <w:color w:val="auto"/>
          <w:spacing w:val="-4"/>
          <w:sz w:val="24"/>
          <w:highlight w:val="none"/>
        </w:rPr>
      </w:pPr>
      <w:r>
        <w:rPr>
          <w:rFonts w:hint="eastAsia" w:asciiTheme="minorEastAsia" w:hAnsiTheme="minorEastAsia" w:eastAsiaTheme="minorEastAsia" w:cstheme="minorEastAsia"/>
          <w:color w:val="auto"/>
          <w:spacing w:val="-4"/>
          <w:sz w:val="24"/>
          <w:highlight w:val="none"/>
          <w:lang w:val="en-US" w:eastAsia="zh-CN"/>
        </w:rPr>
        <w:t>联系人</w:t>
      </w:r>
      <w:r>
        <w:rPr>
          <w:rFonts w:hint="eastAsia" w:asciiTheme="minorEastAsia" w:hAnsiTheme="minorEastAsia" w:eastAsiaTheme="minorEastAsia" w:cstheme="minorEastAsia"/>
          <w:color w:val="auto"/>
          <w:spacing w:val="-4"/>
          <w:sz w:val="24"/>
          <w:highlight w:val="none"/>
        </w:rPr>
        <w:t>：陈先生</w:t>
      </w:r>
    </w:p>
    <w:p w14:paraId="3CBD20A5">
      <w:pPr>
        <w:spacing w:line="400" w:lineRule="exact"/>
        <w:rPr>
          <w:rFonts w:hint="eastAsia" w:asciiTheme="minorEastAsia" w:hAnsiTheme="minorEastAsia" w:eastAsiaTheme="minorEastAsia" w:cstheme="minorEastAsia"/>
          <w:color w:val="auto"/>
          <w:spacing w:val="-4"/>
          <w:sz w:val="24"/>
          <w:highlight w:val="none"/>
        </w:rPr>
      </w:pPr>
      <w:r>
        <w:rPr>
          <w:rFonts w:hint="eastAsia" w:asciiTheme="minorEastAsia" w:hAnsiTheme="minorEastAsia" w:eastAsiaTheme="minorEastAsia" w:cstheme="minorEastAsia"/>
          <w:color w:val="auto"/>
          <w:spacing w:val="-4"/>
          <w:sz w:val="24"/>
          <w:highlight w:val="none"/>
        </w:rPr>
        <w:t>联系电话：0576-89332165</w:t>
      </w:r>
    </w:p>
    <w:p w14:paraId="3DD9E19B">
      <w:pPr>
        <w:spacing w:line="400" w:lineRule="exact"/>
        <w:jc w:val="center"/>
        <w:outlineLvl w:val="0"/>
        <w:rPr>
          <w:rFonts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br w:type="page"/>
      </w:r>
      <w:bookmarkStart w:id="4" w:name="_Toc2467"/>
      <w:bookmarkStart w:id="5" w:name="_Toc467749357"/>
      <w:bookmarkStart w:id="6" w:name="_Toc466534748"/>
      <w:r>
        <w:rPr>
          <w:rFonts w:hint="eastAsia" w:asciiTheme="minorEastAsia" w:hAnsiTheme="minorEastAsia" w:eastAsiaTheme="minorEastAsia" w:cstheme="minorEastAsia"/>
          <w:b/>
          <w:color w:val="auto"/>
          <w:sz w:val="36"/>
          <w:szCs w:val="36"/>
          <w:highlight w:val="none"/>
        </w:rPr>
        <w:t>第二章   招标需求</w:t>
      </w:r>
      <w:bookmarkEnd w:id="4"/>
    </w:p>
    <w:bookmarkEnd w:id="5"/>
    <w:bookmarkEnd w:id="6"/>
    <w:p w14:paraId="5F5B5F7F">
      <w:pPr>
        <w:spacing w:line="360" w:lineRule="auto"/>
        <w:ind w:firstLine="482" w:firstLineChars="200"/>
        <w:rPr>
          <w:rFonts w:ascii="宋体" w:hAnsi="宋体" w:cs="宋体"/>
          <w:b/>
          <w:bCs/>
          <w:color w:val="auto"/>
          <w:sz w:val="24"/>
          <w:highlight w:val="none"/>
        </w:rPr>
      </w:pPr>
      <w:bookmarkStart w:id="7" w:name="_Toc246729512"/>
      <w:bookmarkStart w:id="8" w:name="_Toc246492262"/>
      <w:bookmarkStart w:id="9" w:name="_Toc21811"/>
      <w:bookmarkStart w:id="10" w:name="_Toc466534749"/>
      <w:r>
        <w:rPr>
          <w:rFonts w:hint="eastAsia" w:ascii="宋体" w:hAnsi="宋体" w:cs="宋体"/>
          <w:b/>
          <w:bCs/>
          <w:color w:val="auto"/>
          <w:sz w:val="24"/>
          <w:highlight w:val="none"/>
        </w:rPr>
        <w:t>一、项目概况</w:t>
      </w:r>
    </w:p>
    <w:p w14:paraId="45CCAB18">
      <w:pPr>
        <w:autoSpaceDE w:val="0"/>
        <w:autoSpaceDN w:val="0"/>
        <w:adjustRightInd w:val="0"/>
        <w:spacing w:line="360" w:lineRule="auto"/>
        <w:ind w:firstLine="480" w:firstLineChars="200"/>
        <w:rPr>
          <w:rFonts w:hint="eastAsia" w:ascii="宋体" w:hAnsi="宋体" w:eastAsia="宋体" w:cs="Times New Roman"/>
          <w:color w:val="auto"/>
          <w:kern w:val="0"/>
          <w:sz w:val="24"/>
          <w:highlight w:val="none"/>
          <w:lang w:val="en-US" w:eastAsia="zh-CN"/>
        </w:rPr>
      </w:pPr>
      <w:r>
        <w:rPr>
          <w:rFonts w:hint="eastAsia" w:ascii="宋体" w:hAnsi="宋体" w:eastAsia="宋体" w:cs="Times New Roman"/>
          <w:color w:val="auto"/>
          <w:kern w:val="0"/>
          <w:sz w:val="24"/>
          <w:highlight w:val="none"/>
          <w:lang w:val="en-US" w:eastAsia="zh-CN"/>
        </w:rPr>
        <w:t>本项目主要建设内容为开山工程、陆域形成及地基处理工程，为头门港区三期工程的建设提供开阔、平整的场地，符合堆载要求的场地可先行作为临时堆场，用于本工程石料及头门港区内铁路、港口货物堆存。具体以施工图批复为准。</w:t>
      </w:r>
    </w:p>
    <w:p w14:paraId="08FE2414">
      <w:pPr>
        <w:autoSpaceDE w:val="0"/>
        <w:autoSpaceDN w:val="0"/>
        <w:adjustRightInd w:val="0"/>
        <w:spacing w:line="360" w:lineRule="auto"/>
        <w:ind w:firstLine="480" w:firstLineChars="200"/>
        <w:rPr>
          <w:rFonts w:hint="eastAsia" w:ascii="宋体" w:hAnsi="宋体" w:eastAsia="宋体" w:cs="Times New Roman"/>
          <w:color w:val="auto"/>
          <w:kern w:val="0"/>
          <w:sz w:val="24"/>
          <w:highlight w:val="none"/>
          <w:lang w:val="en-US" w:eastAsia="zh-CN"/>
        </w:rPr>
      </w:pPr>
      <w:r>
        <w:rPr>
          <w:rFonts w:hint="eastAsia" w:ascii="宋体" w:hAnsi="宋体" w:eastAsia="宋体" w:cs="Times New Roman"/>
          <w:color w:val="auto"/>
          <w:kern w:val="0"/>
          <w:sz w:val="24"/>
          <w:highlight w:val="none"/>
          <w:lang w:val="en-US" w:eastAsia="zh-CN"/>
        </w:rPr>
        <w:t>1、开山工程：主要对头门岛山体开采至+8.00 米高程，分为北部开山区、中部开山区和南部开山区，开山面积约94.65万平方米，石方开挖量约2879.92万立方米，土方开挖量约166.61万立方米，边坡复绿面积约29467平方米，挡墙内侧回填复绿面积约10157平方米。采用山体露天开挖，自上而下水平分层式开挖、中深孔爆破、挖机铲装、汽车运输的工艺。</w:t>
      </w:r>
    </w:p>
    <w:p w14:paraId="288271E8">
      <w:pPr>
        <w:autoSpaceDE w:val="0"/>
        <w:autoSpaceDN w:val="0"/>
        <w:adjustRightInd w:val="0"/>
        <w:spacing w:line="360" w:lineRule="auto"/>
        <w:ind w:firstLine="480" w:firstLineChars="200"/>
        <w:rPr>
          <w:rFonts w:hint="eastAsia" w:ascii="宋体" w:hAnsi="宋体" w:eastAsia="宋体" w:cs="Times New Roman"/>
          <w:color w:val="auto"/>
          <w:kern w:val="0"/>
          <w:sz w:val="24"/>
          <w:highlight w:val="none"/>
          <w:lang w:val="en-US" w:eastAsia="zh-CN"/>
        </w:rPr>
      </w:pPr>
      <w:r>
        <w:rPr>
          <w:rFonts w:hint="eastAsia" w:ascii="宋体" w:hAnsi="宋体" w:eastAsia="宋体" w:cs="Times New Roman"/>
          <w:color w:val="auto"/>
          <w:kern w:val="0"/>
          <w:sz w:val="24"/>
          <w:highlight w:val="none"/>
          <w:lang w:val="en-US" w:eastAsia="zh-CN"/>
        </w:rPr>
        <w:t>2、陆域形成及地基处理工程：主要对头门岛北部开山区和中部开山区之间的水塘进行回填和地基处理，面积约7.8万平方米，水塘回填交工面高程+8.00米，回填料量约76万立方米，对靠近岸侧水塘底软土层采用碎石桩法地基处理形成复合地基，远离岸侧水塘底部软土采用强夯碎石墩法地基处理，塘底软土处理后，采用开山石料将水塘回填至交工面高程。</w:t>
      </w:r>
    </w:p>
    <w:p w14:paraId="559A9BB9">
      <w:pPr>
        <w:autoSpaceDE w:val="0"/>
        <w:autoSpaceDN w:val="0"/>
        <w:adjustRightInd w:val="0"/>
        <w:spacing w:line="360" w:lineRule="auto"/>
        <w:ind w:firstLine="482" w:firstLineChars="200"/>
        <w:rPr>
          <w:rFonts w:ascii="宋体" w:hAnsi="宋体"/>
          <w:b/>
          <w:bCs/>
          <w:color w:val="auto"/>
          <w:sz w:val="24"/>
          <w:highlight w:val="none"/>
        </w:rPr>
      </w:pPr>
      <w:r>
        <w:rPr>
          <w:rFonts w:hint="eastAsia" w:ascii="宋体" w:hAnsi="宋体" w:cs="宋体"/>
          <w:b/>
          <w:bCs/>
          <w:color w:val="auto"/>
          <w:sz w:val="24"/>
          <w:highlight w:val="none"/>
        </w:rPr>
        <w:t>二、招标范围</w:t>
      </w:r>
    </w:p>
    <w:p w14:paraId="65B8E317">
      <w:pPr>
        <w:autoSpaceDE w:val="0"/>
        <w:autoSpaceDN w:val="0"/>
        <w:adjustRightInd w:val="0"/>
        <w:spacing w:line="360" w:lineRule="auto"/>
        <w:ind w:firstLine="480" w:firstLineChars="200"/>
        <w:rPr>
          <w:rFonts w:ascii="宋体" w:hAnsi="宋体"/>
          <w:color w:val="auto"/>
          <w:kern w:val="0"/>
          <w:sz w:val="24"/>
          <w:highlight w:val="none"/>
        </w:rPr>
      </w:pPr>
      <w:r>
        <w:rPr>
          <w:rFonts w:hint="eastAsia" w:ascii="宋体" w:hAnsi="宋体" w:eastAsia="宋体" w:cs="宋体"/>
          <w:color w:val="auto"/>
          <w:sz w:val="24"/>
          <w:szCs w:val="24"/>
          <w:highlight w:val="none"/>
        </w:rPr>
        <w:t>本项目实施阶段全过程造价</w:t>
      </w:r>
      <w:r>
        <w:rPr>
          <w:rFonts w:hint="eastAsia" w:ascii="宋体" w:hAnsi="宋体" w:eastAsia="宋体" w:cs="宋体"/>
          <w:color w:val="auto"/>
          <w:sz w:val="24"/>
          <w:szCs w:val="24"/>
          <w:highlight w:val="none"/>
          <w:lang w:val="en-US" w:eastAsia="zh-CN"/>
        </w:rPr>
        <w:t>控制</w:t>
      </w:r>
      <w:r>
        <w:rPr>
          <w:rFonts w:hint="eastAsia" w:ascii="宋体" w:hAnsi="宋体" w:eastAsia="宋体" w:cs="宋体"/>
          <w:color w:val="auto"/>
          <w:sz w:val="24"/>
          <w:szCs w:val="24"/>
          <w:highlight w:val="none"/>
        </w:rPr>
        <w:t>（不包含预算编制、</w:t>
      </w:r>
      <w:r>
        <w:rPr>
          <w:rFonts w:hint="eastAsia" w:ascii="宋体" w:hAnsi="宋体" w:eastAsia="宋体" w:cs="宋体"/>
          <w:color w:val="auto"/>
          <w:sz w:val="24"/>
          <w:szCs w:val="24"/>
          <w:highlight w:val="none"/>
          <w:lang w:eastAsia="zh-CN"/>
        </w:rPr>
        <w:t>预算审核、</w:t>
      </w:r>
      <w:r>
        <w:rPr>
          <w:rFonts w:hint="eastAsia" w:ascii="宋体" w:hAnsi="宋体" w:eastAsia="宋体" w:cs="宋体"/>
          <w:color w:val="auto"/>
          <w:sz w:val="24"/>
          <w:szCs w:val="24"/>
          <w:highlight w:val="none"/>
        </w:rPr>
        <w:t>工程结算审核）</w:t>
      </w:r>
      <w:r>
        <w:rPr>
          <w:rFonts w:hint="eastAsia" w:ascii="宋体" w:hAnsi="宋体"/>
          <w:color w:val="auto"/>
          <w:kern w:val="0"/>
          <w:sz w:val="24"/>
          <w:highlight w:val="none"/>
        </w:rPr>
        <w:t>等服务。</w:t>
      </w:r>
    </w:p>
    <w:p w14:paraId="0006E630">
      <w:pPr>
        <w:spacing w:line="360" w:lineRule="auto"/>
        <w:ind w:firstLine="482" w:firstLineChars="200"/>
        <w:outlineLvl w:val="1"/>
        <w:rPr>
          <w:rFonts w:ascii="宋体" w:hAnsi="宋体"/>
          <w:b/>
          <w:color w:val="auto"/>
          <w:sz w:val="24"/>
          <w:highlight w:val="none"/>
        </w:rPr>
      </w:pPr>
      <w:r>
        <w:rPr>
          <w:rFonts w:hint="eastAsia" w:ascii="宋体" w:hAnsi="宋体" w:cs="宋体"/>
          <w:b/>
          <w:bCs/>
          <w:color w:val="auto"/>
          <w:sz w:val="24"/>
          <w:highlight w:val="none"/>
        </w:rPr>
        <w:t>三、技术需求</w:t>
      </w:r>
    </w:p>
    <w:p w14:paraId="7BA63E8B">
      <w:pPr>
        <w:spacing w:before="156" w:line="360" w:lineRule="auto"/>
        <w:ind w:left="12" w:right="96"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制定造价控制的实施流程，确定造价控制目标</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lang w:eastAsia="zh-CN"/>
        </w:rPr>
        <w:t xml:space="preserve"> </w:t>
      </w:r>
    </w:p>
    <w:p w14:paraId="6D457B71">
      <w:pPr>
        <w:spacing w:before="156" w:line="360" w:lineRule="auto"/>
        <w:ind w:left="12" w:right="96"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根据施工承包合同、进度计划及支付申请，编制月度、季度、年度用款计划书（如承包人上报了用款计划书的，则负责审核相关用款计划书）</w:t>
      </w:r>
      <w:r>
        <w:rPr>
          <w:rFonts w:hint="eastAsia" w:ascii="宋体" w:hAnsi="宋体" w:cs="宋体"/>
          <w:color w:val="auto"/>
          <w:sz w:val="24"/>
          <w:szCs w:val="24"/>
          <w:highlight w:val="none"/>
          <w:lang w:eastAsia="zh-CN"/>
        </w:rPr>
        <w:t>；</w:t>
      </w:r>
    </w:p>
    <w:p w14:paraId="3A479056">
      <w:pPr>
        <w:spacing w:before="156" w:line="360" w:lineRule="auto"/>
        <w:ind w:left="12" w:right="96"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参与造价控制有关的工程会议</w:t>
      </w:r>
      <w:r>
        <w:rPr>
          <w:rFonts w:hint="eastAsia" w:ascii="宋体" w:hAnsi="宋体" w:cs="宋体"/>
          <w:color w:val="auto"/>
          <w:sz w:val="24"/>
          <w:szCs w:val="24"/>
          <w:highlight w:val="none"/>
          <w:lang w:eastAsia="zh-CN"/>
        </w:rPr>
        <w:t>；</w:t>
      </w:r>
    </w:p>
    <w:p w14:paraId="0738F3AF">
      <w:pPr>
        <w:spacing w:before="156" w:line="360" w:lineRule="auto"/>
        <w:ind w:left="12" w:right="96"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eastAsia="zh-CN"/>
        </w:rPr>
        <w:t>负责对承包人报送的每月(期)完成进度款月报表进行审核，并提出当月(期)付款建议书</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lang w:eastAsia="zh-CN"/>
        </w:rPr>
        <w:t xml:space="preserve"> </w:t>
      </w:r>
    </w:p>
    <w:p w14:paraId="1037A3DA">
      <w:pPr>
        <w:spacing w:before="156" w:line="360" w:lineRule="auto"/>
        <w:ind w:left="12" w:right="96"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lang w:eastAsia="zh-CN"/>
        </w:rPr>
        <w:t>参与本项目洽商、磋商、询价及合同争议、索赔（包含工期顺延鉴定）等事项的处置，提出具体的解决措施及方案。承发包方提出索赔时，凭据合同和有关法律、法规，提供咨询意见，审核工程索赔费用</w:t>
      </w:r>
      <w:r>
        <w:rPr>
          <w:rFonts w:hint="eastAsia" w:ascii="宋体" w:hAnsi="宋体" w:cs="宋体"/>
          <w:color w:val="auto"/>
          <w:sz w:val="24"/>
          <w:szCs w:val="24"/>
          <w:highlight w:val="none"/>
          <w:lang w:eastAsia="zh-CN"/>
        </w:rPr>
        <w:t>；</w:t>
      </w:r>
    </w:p>
    <w:p w14:paraId="4EEB11D1">
      <w:pPr>
        <w:spacing w:before="156" w:line="360" w:lineRule="auto"/>
        <w:ind w:left="12" w:right="96"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lang w:eastAsia="zh-CN"/>
        </w:rPr>
        <w:t>及时审核因设计变更（包括重大设计变更部分需要重新编制预算的）、现场签证等发生的费用，对变更项目所需费用、工程量进行测算、计量，相应调整造价控制目标，并向招标人提供月度简报及投资咨询分析报告[包括但不仅限于工程进度情况、进度款完成情况、设计变更情况（如有）等情况]。做好隐蔽工程的现场查验和相关记录及参与现场验收</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lang w:eastAsia="zh-CN"/>
        </w:rPr>
        <w:t xml:space="preserve"> </w:t>
      </w:r>
    </w:p>
    <w:p w14:paraId="2DF3EE72">
      <w:pPr>
        <w:spacing w:before="156" w:line="360" w:lineRule="auto"/>
        <w:ind w:left="12" w:right="96"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lang w:eastAsia="zh-CN"/>
        </w:rPr>
        <w:t>提供与造价控制及咨询相关的人工、材料、机械、设备等造价信息。根据设计图纸提取无信息价且用量较大材料、设备，并提供相关材料、设备的名称、材料特征描述、规格型号、计量单位、预算价格等咨询意见</w:t>
      </w:r>
      <w:r>
        <w:rPr>
          <w:rFonts w:hint="eastAsia" w:ascii="宋体" w:hAnsi="宋体" w:cs="宋体"/>
          <w:color w:val="auto"/>
          <w:sz w:val="24"/>
          <w:szCs w:val="24"/>
          <w:highlight w:val="none"/>
          <w:lang w:eastAsia="zh-CN"/>
        </w:rPr>
        <w:t>；</w:t>
      </w:r>
    </w:p>
    <w:p w14:paraId="0160AFAA">
      <w:pPr>
        <w:spacing w:before="156" w:line="360" w:lineRule="auto"/>
        <w:ind w:left="12" w:right="96"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无信息价且用量较大材料、设备预算价格通过市场调查询，并出具询价过程（含来源、依据、价格范围等所有信息）及结果的书面报告</w:t>
      </w:r>
      <w:r>
        <w:rPr>
          <w:rFonts w:hint="eastAsia" w:ascii="宋体" w:hAnsi="宋体" w:cs="宋体"/>
          <w:color w:val="auto"/>
          <w:sz w:val="24"/>
          <w:szCs w:val="24"/>
          <w:highlight w:val="none"/>
          <w:lang w:eastAsia="zh-CN"/>
        </w:rPr>
        <w:t>；</w:t>
      </w:r>
    </w:p>
    <w:p w14:paraId="32E2D15A">
      <w:pPr>
        <w:spacing w:before="156" w:line="360" w:lineRule="auto"/>
        <w:ind w:left="12" w:right="96"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lang w:eastAsia="zh-CN"/>
        </w:rPr>
        <w:t>配合</w:t>
      </w:r>
      <w:r>
        <w:rPr>
          <w:rFonts w:hint="eastAsia" w:ascii="宋体" w:hAnsi="宋体" w:eastAsia="宋体" w:cs="宋体"/>
          <w:color w:val="auto"/>
          <w:sz w:val="24"/>
          <w:szCs w:val="24"/>
          <w:highlight w:val="none"/>
          <w:lang w:val="en-US" w:eastAsia="zh-CN"/>
        </w:rPr>
        <w:t>招标人</w:t>
      </w:r>
      <w:r>
        <w:rPr>
          <w:rFonts w:hint="eastAsia" w:ascii="宋体" w:hAnsi="宋体" w:eastAsia="宋体" w:cs="宋体"/>
          <w:color w:val="auto"/>
          <w:sz w:val="24"/>
          <w:szCs w:val="24"/>
          <w:highlight w:val="none"/>
          <w:lang w:eastAsia="zh-CN"/>
        </w:rPr>
        <w:t>进行工程竣工结算的办理及复核工作，配合各部门的</w:t>
      </w:r>
      <w:r>
        <w:rPr>
          <w:rFonts w:hint="eastAsia" w:ascii="宋体" w:hAnsi="宋体" w:cs="宋体"/>
          <w:color w:val="auto"/>
          <w:sz w:val="24"/>
          <w:szCs w:val="24"/>
          <w:highlight w:val="none"/>
          <w:lang w:val="en-US" w:eastAsia="zh-CN"/>
        </w:rPr>
        <w:t>审核</w:t>
      </w:r>
      <w:r>
        <w:rPr>
          <w:rFonts w:hint="eastAsia" w:ascii="宋体" w:hAnsi="宋体" w:eastAsia="宋体" w:cs="宋体"/>
          <w:color w:val="auto"/>
          <w:sz w:val="24"/>
          <w:szCs w:val="24"/>
          <w:highlight w:val="none"/>
          <w:lang w:eastAsia="zh-CN"/>
        </w:rPr>
        <w:t>工作</w:t>
      </w:r>
      <w:r>
        <w:rPr>
          <w:rFonts w:hint="eastAsia" w:ascii="宋体" w:hAnsi="宋体" w:cs="宋体"/>
          <w:color w:val="auto"/>
          <w:sz w:val="24"/>
          <w:szCs w:val="24"/>
          <w:highlight w:val="none"/>
          <w:lang w:eastAsia="zh-CN"/>
        </w:rPr>
        <w:t>；</w:t>
      </w:r>
    </w:p>
    <w:p w14:paraId="177C3D02">
      <w:pPr>
        <w:spacing w:before="156" w:line="360" w:lineRule="auto"/>
        <w:ind w:left="12" w:right="96"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9、</w:t>
      </w:r>
      <w:r>
        <w:rPr>
          <w:rFonts w:hint="eastAsia" w:ascii="宋体" w:hAnsi="宋体" w:cs="宋体"/>
          <w:color w:val="auto"/>
          <w:sz w:val="24"/>
          <w:szCs w:val="24"/>
          <w:highlight w:val="none"/>
          <w:lang w:val="en-US" w:eastAsia="zh-CN"/>
        </w:rPr>
        <w:t>参与</w:t>
      </w:r>
      <w:r>
        <w:rPr>
          <w:rFonts w:hint="eastAsia" w:ascii="宋体" w:hAnsi="宋体" w:eastAsia="宋体" w:cs="宋体"/>
          <w:color w:val="auto"/>
          <w:sz w:val="24"/>
          <w:szCs w:val="24"/>
          <w:highlight w:val="none"/>
          <w:lang w:eastAsia="zh-CN"/>
        </w:rPr>
        <w:t>工程合同的洽谈、草拟、修改。并协助业主与相关单位签订材料采购、设备采购合同、施工等合同</w:t>
      </w:r>
      <w:r>
        <w:rPr>
          <w:rFonts w:hint="eastAsia" w:ascii="宋体" w:hAnsi="宋体" w:cs="宋体"/>
          <w:color w:val="auto"/>
          <w:sz w:val="24"/>
          <w:szCs w:val="24"/>
          <w:highlight w:val="none"/>
          <w:lang w:eastAsia="zh-CN"/>
        </w:rPr>
        <w:t>；</w:t>
      </w:r>
    </w:p>
    <w:p w14:paraId="473E6A5D">
      <w:pPr>
        <w:spacing w:before="156" w:line="360" w:lineRule="auto"/>
        <w:ind w:left="12" w:right="96"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1</w:t>
      </w:r>
      <w:r>
        <w:rPr>
          <w:rFonts w:hint="eastAsia" w:ascii="宋体" w:hAnsi="宋体" w:cs="宋体"/>
          <w:color w:val="auto"/>
          <w:sz w:val="24"/>
          <w:szCs w:val="24"/>
          <w:highlight w:val="none"/>
          <w:lang w:val="en-US" w:eastAsia="zh-CN"/>
        </w:rPr>
        <w:t>0</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lang w:eastAsia="zh-CN"/>
        </w:rPr>
        <w:t>招标范围内的相关咨询成果须按委托人相关流程会同各参建方会签</w:t>
      </w:r>
      <w:r>
        <w:rPr>
          <w:rFonts w:hint="eastAsia" w:ascii="宋体" w:hAnsi="宋体" w:cs="宋体"/>
          <w:color w:val="auto"/>
          <w:sz w:val="24"/>
          <w:szCs w:val="24"/>
          <w:highlight w:val="none"/>
          <w:lang w:eastAsia="zh-CN"/>
        </w:rPr>
        <w:t>；</w:t>
      </w:r>
    </w:p>
    <w:p w14:paraId="531675DE">
      <w:pPr>
        <w:spacing w:before="156" w:line="360" w:lineRule="auto"/>
        <w:ind w:left="12" w:right="96" w:firstLine="480"/>
        <w:jc w:val="both"/>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lang w:eastAsia="zh-CN"/>
        </w:rPr>
        <w:t>完成</w:t>
      </w:r>
      <w:r>
        <w:rPr>
          <w:rFonts w:hint="eastAsia" w:ascii="宋体" w:hAnsi="宋体" w:cs="宋体"/>
          <w:color w:val="auto"/>
          <w:sz w:val="24"/>
          <w:szCs w:val="24"/>
          <w:highlight w:val="none"/>
          <w:lang w:val="en-US" w:eastAsia="zh-CN"/>
        </w:rPr>
        <w:t>招标人</w:t>
      </w:r>
      <w:r>
        <w:rPr>
          <w:rFonts w:hint="eastAsia" w:ascii="宋体" w:hAnsi="宋体" w:eastAsia="宋体" w:cs="宋体"/>
          <w:color w:val="auto"/>
          <w:sz w:val="24"/>
          <w:szCs w:val="24"/>
          <w:highlight w:val="none"/>
          <w:lang w:eastAsia="zh-CN"/>
        </w:rPr>
        <w:t>交办的与造价控制项目有关的其他咨询服务工作。具体以</w:t>
      </w:r>
      <w:r>
        <w:rPr>
          <w:rFonts w:hint="eastAsia" w:ascii="宋体" w:hAnsi="宋体" w:eastAsia="宋体" w:cs="宋体"/>
          <w:color w:val="auto"/>
          <w:sz w:val="24"/>
          <w:szCs w:val="24"/>
          <w:highlight w:val="none"/>
          <w:lang w:val="en-US" w:eastAsia="zh-CN"/>
        </w:rPr>
        <w:t>招标人</w:t>
      </w:r>
      <w:r>
        <w:rPr>
          <w:rFonts w:hint="eastAsia" w:ascii="宋体" w:hAnsi="宋体" w:eastAsia="宋体" w:cs="宋体"/>
          <w:color w:val="auto"/>
          <w:sz w:val="24"/>
          <w:szCs w:val="24"/>
          <w:highlight w:val="none"/>
          <w:lang w:eastAsia="zh-CN"/>
        </w:rPr>
        <w:t>委托为准，</w:t>
      </w:r>
      <w:r>
        <w:rPr>
          <w:rFonts w:hint="eastAsia" w:ascii="宋体" w:hAnsi="宋体" w:eastAsia="宋体" w:cs="宋体"/>
          <w:color w:val="auto"/>
          <w:sz w:val="24"/>
          <w:szCs w:val="24"/>
          <w:highlight w:val="none"/>
          <w:lang w:val="en-US" w:eastAsia="zh-CN"/>
        </w:rPr>
        <w:t>招标人</w:t>
      </w:r>
      <w:r>
        <w:rPr>
          <w:rFonts w:hint="eastAsia" w:ascii="宋体" w:hAnsi="宋体" w:eastAsia="宋体" w:cs="宋体"/>
          <w:color w:val="auto"/>
          <w:sz w:val="24"/>
          <w:szCs w:val="24"/>
          <w:highlight w:val="none"/>
          <w:lang w:eastAsia="zh-CN"/>
        </w:rPr>
        <w:t>有权对上述工作进行细化、局部调整，</w:t>
      </w:r>
      <w:r>
        <w:rPr>
          <w:rFonts w:hint="eastAsia" w:ascii="宋体" w:hAnsi="宋体" w:cs="宋体"/>
          <w:color w:val="auto"/>
          <w:sz w:val="24"/>
          <w:szCs w:val="24"/>
          <w:highlight w:val="none"/>
          <w:lang w:val="en-US" w:eastAsia="zh-CN"/>
        </w:rPr>
        <w:t>承包人</w:t>
      </w:r>
      <w:r>
        <w:rPr>
          <w:rFonts w:hint="eastAsia" w:ascii="宋体" w:hAnsi="宋体" w:eastAsia="宋体" w:cs="宋体"/>
          <w:color w:val="auto"/>
          <w:sz w:val="24"/>
          <w:szCs w:val="24"/>
          <w:highlight w:val="none"/>
          <w:lang w:eastAsia="zh-CN"/>
        </w:rPr>
        <w:t>不得拒绝。</w:t>
      </w:r>
    </w:p>
    <w:p w14:paraId="17C032AA">
      <w:pPr>
        <w:spacing w:line="360" w:lineRule="auto"/>
        <w:ind w:firstLine="480" w:firstLineChars="200"/>
        <w:rPr>
          <w:rFonts w:ascii="宋体" w:hAnsi="宋体" w:cs="宋体"/>
          <w:b/>
          <w:bCs/>
          <w:color w:val="auto"/>
          <w:sz w:val="24"/>
          <w:highlight w:val="none"/>
        </w:rPr>
      </w:pPr>
      <w:r>
        <w:rPr>
          <w:rFonts w:hint="eastAsia" w:ascii="宋体" w:hAnsi="宋体" w:cs="宋体"/>
          <w:color w:val="auto"/>
          <w:sz w:val="24"/>
          <w:highlight w:val="none"/>
        </w:rPr>
        <w:t>四</w:t>
      </w:r>
      <w:r>
        <w:rPr>
          <w:rFonts w:hint="eastAsia" w:ascii="宋体" w:hAnsi="宋体" w:cs="宋体"/>
          <w:b/>
          <w:bCs/>
          <w:color w:val="auto"/>
          <w:sz w:val="24"/>
          <w:highlight w:val="none"/>
        </w:rPr>
        <w:t>、商务要求</w:t>
      </w:r>
    </w:p>
    <w:p w14:paraId="2413BEC5">
      <w:pPr>
        <w:snapToGrid w:val="0"/>
        <w:spacing w:line="360" w:lineRule="auto"/>
        <w:ind w:firstLine="472" w:firstLineChars="196"/>
        <w:rPr>
          <w:rFonts w:ascii="宋体" w:hAnsi="宋体" w:cs="宋体"/>
          <w:b/>
          <w:bCs/>
          <w:color w:val="auto"/>
          <w:sz w:val="24"/>
          <w:highlight w:val="none"/>
        </w:rPr>
      </w:pPr>
      <w:r>
        <w:rPr>
          <w:rFonts w:hint="eastAsia" w:ascii="宋体" w:hAnsi="宋体" w:cs="宋体"/>
          <w:b/>
          <w:bCs/>
          <w:color w:val="auto"/>
          <w:sz w:val="24"/>
          <w:highlight w:val="none"/>
        </w:rPr>
        <w:t>1.质量要求：</w:t>
      </w:r>
    </w:p>
    <w:p w14:paraId="478A3A45">
      <w:pPr>
        <w:snapToGrid w:val="0"/>
        <w:spacing w:line="360" w:lineRule="auto"/>
        <w:ind w:firstLine="470" w:firstLineChars="196"/>
        <w:rPr>
          <w:rFonts w:ascii="宋体" w:hAnsi="宋体" w:cs="宋体"/>
          <w:color w:val="auto"/>
          <w:sz w:val="24"/>
          <w:highlight w:val="none"/>
        </w:rPr>
      </w:pPr>
      <w:r>
        <w:rPr>
          <w:rFonts w:hint="eastAsia" w:ascii="宋体" w:hAnsi="宋体" w:cs="宋体"/>
          <w:color w:val="auto"/>
          <w:sz w:val="24"/>
          <w:highlight w:val="none"/>
        </w:rPr>
        <w:t>施工阶段全过程工程造价控制：符合《浙江省建设工程造价咨询执业操作规程》规定，达到《浙江省建设工程造价咨询质量导则（试行）》及委托人要求，满足合同约定。</w:t>
      </w:r>
    </w:p>
    <w:p w14:paraId="0226FA74">
      <w:pPr>
        <w:snapToGrid w:val="0"/>
        <w:spacing w:line="360" w:lineRule="auto"/>
        <w:ind w:firstLine="481"/>
        <w:jc w:val="left"/>
        <w:rPr>
          <w:rFonts w:ascii="宋体" w:hAnsi="宋体" w:cs="宋体"/>
          <w:b/>
          <w:color w:val="auto"/>
          <w:sz w:val="24"/>
          <w:highlight w:val="none"/>
        </w:rPr>
      </w:pPr>
      <w:r>
        <w:rPr>
          <w:rFonts w:hint="eastAsia" w:ascii="宋体" w:hAnsi="宋体" w:cs="宋体"/>
          <w:b/>
          <w:color w:val="auto"/>
          <w:sz w:val="24"/>
          <w:highlight w:val="none"/>
        </w:rPr>
        <w:t>2.服务期：</w:t>
      </w:r>
    </w:p>
    <w:p w14:paraId="2C9BAA12">
      <w:pPr>
        <w:snapToGrid w:val="0"/>
        <w:spacing w:line="360" w:lineRule="auto"/>
        <w:ind w:firstLine="481"/>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自全过程造价</w:t>
      </w:r>
      <w:r>
        <w:rPr>
          <w:rFonts w:hint="eastAsia" w:ascii="宋体" w:hAnsi="宋体" w:eastAsia="宋体" w:cs="宋体"/>
          <w:color w:val="auto"/>
          <w:sz w:val="24"/>
          <w:szCs w:val="24"/>
          <w:highlight w:val="none"/>
          <w:lang w:val="en-US" w:eastAsia="zh-CN"/>
        </w:rPr>
        <w:t>控制</w:t>
      </w:r>
      <w:r>
        <w:rPr>
          <w:rFonts w:hint="eastAsia" w:ascii="宋体" w:hAnsi="宋体" w:eastAsia="宋体" w:cs="宋体"/>
          <w:color w:val="auto"/>
          <w:sz w:val="24"/>
          <w:szCs w:val="24"/>
          <w:highlight w:val="none"/>
          <w:lang w:eastAsia="zh-CN"/>
        </w:rPr>
        <w:t>合同签订之日起至整个项目工程竣工结算审核完成，并配合第三方咨询单位或</w:t>
      </w:r>
      <w:r>
        <w:rPr>
          <w:rFonts w:hint="eastAsia" w:ascii="宋体" w:hAnsi="宋体" w:eastAsia="宋体" w:cs="宋体"/>
          <w:color w:val="auto"/>
          <w:sz w:val="24"/>
          <w:szCs w:val="24"/>
          <w:highlight w:val="none"/>
          <w:lang w:val="en-US" w:eastAsia="zh-CN"/>
        </w:rPr>
        <w:t>复核</w:t>
      </w:r>
      <w:r>
        <w:rPr>
          <w:rFonts w:hint="eastAsia" w:ascii="宋体" w:hAnsi="宋体" w:eastAsia="宋体" w:cs="宋体"/>
          <w:color w:val="auto"/>
          <w:sz w:val="24"/>
          <w:szCs w:val="24"/>
          <w:highlight w:val="none"/>
          <w:lang w:eastAsia="zh-CN"/>
        </w:rPr>
        <w:t>单位复审工作等其他后续服务工作。</w:t>
      </w:r>
    </w:p>
    <w:p w14:paraId="629BC6BF">
      <w:pPr>
        <w:snapToGrid w:val="0"/>
        <w:spacing w:line="360" w:lineRule="auto"/>
        <w:ind w:firstLine="481"/>
        <w:jc w:val="left"/>
        <w:rPr>
          <w:rFonts w:ascii="宋体" w:hAnsi="宋体" w:cs="宋体"/>
          <w:b/>
          <w:color w:val="auto"/>
          <w:sz w:val="24"/>
          <w:highlight w:val="none"/>
        </w:rPr>
      </w:pPr>
      <w:r>
        <w:rPr>
          <w:rFonts w:hint="eastAsia" w:ascii="宋体" w:hAnsi="宋体" w:cs="宋体"/>
          <w:b/>
          <w:bCs/>
          <w:color w:val="auto"/>
          <w:sz w:val="24"/>
          <w:highlight w:val="none"/>
        </w:rPr>
        <w:t>▲</w:t>
      </w:r>
      <w:r>
        <w:rPr>
          <w:rFonts w:hint="eastAsia" w:ascii="宋体" w:hAnsi="宋体" w:cs="宋体"/>
          <w:b/>
          <w:color w:val="auto"/>
          <w:sz w:val="24"/>
          <w:highlight w:val="none"/>
        </w:rPr>
        <w:t>3、付款方式：</w:t>
      </w:r>
    </w:p>
    <w:p w14:paraId="240DC653">
      <w:pPr>
        <w:snapToGrid w:val="0"/>
        <w:spacing w:line="360" w:lineRule="auto"/>
        <w:ind w:firstLine="480" w:firstLineChars="200"/>
        <w:jc w:val="left"/>
        <w:rPr>
          <w:rFonts w:hint="eastAsia" w:ascii="宋体" w:hAnsi="宋体" w:eastAsia="宋体" w:cs="宋体"/>
          <w:color w:val="auto"/>
          <w:sz w:val="24"/>
          <w:highlight w:val="none"/>
          <w:lang w:eastAsia="zh-CN"/>
        </w:rPr>
      </w:pPr>
      <w:r>
        <w:rPr>
          <w:rFonts w:hint="eastAsia" w:ascii="宋体" w:hAnsi="宋体" w:cs="宋体"/>
          <w:color w:val="auto"/>
          <w:sz w:val="24"/>
          <w:highlight w:val="none"/>
        </w:rPr>
        <w:t>（1）合同签订并签发工程开工报告后，支付签约合同价的10%</w:t>
      </w:r>
      <w:r>
        <w:rPr>
          <w:rFonts w:hint="eastAsia" w:ascii="宋体" w:hAnsi="宋体" w:cs="宋体"/>
          <w:color w:val="auto"/>
          <w:sz w:val="24"/>
          <w:highlight w:val="none"/>
          <w:lang w:eastAsia="zh-CN"/>
        </w:rPr>
        <w:t>；</w:t>
      </w:r>
    </w:p>
    <w:p w14:paraId="110595D2">
      <w:pPr>
        <w:snapToGrid w:val="0"/>
        <w:spacing w:line="360" w:lineRule="auto"/>
        <w:ind w:firstLine="480" w:firstLineChars="200"/>
        <w:jc w:val="left"/>
        <w:rPr>
          <w:rFonts w:hint="eastAsia" w:ascii="宋体" w:hAnsi="宋体" w:eastAsia="宋体" w:cs="宋体"/>
          <w:color w:val="auto"/>
          <w:sz w:val="24"/>
          <w:highlight w:val="none"/>
          <w:lang w:eastAsia="zh-CN"/>
        </w:rPr>
      </w:pPr>
      <w:r>
        <w:rPr>
          <w:rFonts w:hint="eastAsia" w:ascii="宋体" w:hAnsi="宋体" w:cs="宋体"/>
          <w:color w:val="auto"/>
          <w:sz w:val="24"/>
          <w:highlight w:val="none"/>
        </w:rPr>
        <w:t>（2）工程施工期间按半年支付造价咨询费，每半年按经</w:t>
      </w:r>
      <w:r>
        <w:rPr>
          <w:rFonts w:hint="eastAsia" w:ascii="宋体" w:hAnsi="宋体" w:cs="宋体"/>
          <w:color w:val="auto"/>
          <w:sz w:val="24"/>
          <w:highlight w:val="none"/>
          <w:lang w:val="en-US" w:eastAsia="zh-CN"/>
        </w:rPr>
        <w:t>招标人</w:t>
      </w:r>
      <w:r>
        <w:rPr>
          <w:rFonts w:hint="eastAsia" w:ascii="宋体" w:hAnsi="宋体" w:cs="宋体"/>
          <w:color w:val="auto"/>
          <w:sz w:val="24"/>
          <w:highlight w:val="none"/>
        </w:rPr>
        <w:t>审核后建安工程造价支付造价咨询费，该部分造价咨询费=按经</w:t>
      </w:r>
      <w:r>
        <w:rPr>
          <w:rFonts w:hint="eastAsia" w:ascii="宋体" w:hAnsi="宋体" w:cs="宋体"/>
          <w:color w:val="auto"/>
          <w:sz w:val="24"/>
          <w:highlight w:val="none"/>
          <w:lang w:val="en-US" w:eastAsia="zh-CN"/>
        </w:rPr>
        <w:t>招标人</w:t>
      </w:r>
      <w:r>
        <w:rPr>
          <w:rFonts w:hint="eastAsia" w:ascii="宋体" w:hAnsi="宋体" w:cs="宋体"/>
          <w:color w:val="auto"/>
          <w:sz w:val="24"/>
          <w:highlight w:val="none"/>
        </w:rPr>
        <w:t>审核后建安工程造价×造价咨询费费率×</w:t>
      </w:r>
      <w:r>
        <w:rPr>
          <w:rFonts w:hint="eastAsia" w:ascii="宋体" w:hAnsi="宋体" w:cs="宋体"/>
          <w:color w:val="auto"/>
          <w:sz w:val="24"/>
          <w:highlight w:val="none"/>
          <w:lang w:val="en-US" w:eastAsia="zh-CN"/>
        </w:rPr>
        <w:t>75</w:t>
      </w:r>
      <w:r>
        <w:rPr>
          <w:rFonts w:hint="eastAsia" w:ascii="宋体" w:hAnsi="宋体" w:cs="宋体"/>
          <w:color w:val="auto"/>
          <w:sz w:val="24"/>
          <w:highlight w:val="none"/>
        </w:rPr>
        <w:t>%；如支付达到签约合同价的8</w:t>
      </w:r>
      <w:r>
        <w:rPr>
          <w:rFonts w:ascii="宋体" w:hAnsi="宋体" w:cs="宋体"/>
          <w:color w:val="auto"/>
          <w:sz w:val="24"/>
          <w:highlight w:val="none"/>
        </w:rPr>
        <w:t>5</w:t>
      </w:r>
      <w:r>
        <w:rPr>
          <w:rFonts w:hint="eastAsia" w:ascii="宋体" w:hAnsi="宋体" w:cs="宋体"/>
          <w:color w:val="auto"/>
          <w:sz w:val="24"/>
          <w:highlight w:val="none"/>
        </w:rPr>
        <w:t>%（含预付款）则暂停支付</w:t>
      </w:r>
      <w:r>
        <w:rPr>
          <w:rFonts w:hint="eastAsia" w:ascii="宋体" w:hAnsi="宋体" w:cs="宋体"/>
          <w:color w:val="auto"/>
          <w:sz w:val="24"/>
          <w:highlight w:val="none"/>
          <w:lang w:eastAsia="zh-CN"/>
        </w:rPr>
        <w:t>；</w:t>
      </w:r>
    </w:p>
    <w:p w14:paraId="49EC60A9">
      <w:pPr>
        <w:snapToGrid w:val="0"/>
        <w:spacing w:line="360" w:lineRule="auto"/>
        <w:ind w:firstLine="480" w:firstLineChars="200"/>
        <w:jc w:val="left"/>
        <w:rPr>
          <w:rFonts w:hint="eastAsia" w:ascii="宋体" w:hAnsi="宋体" w:eastAsia="宋体" w:cs="宋体"/>
          <w:color w:val="auto"/>
          <w:sz w:val="24"/>
          <w:highlight w:val="none"/>
          <w:lang w:eastAsia="zh-CN"/>
        </w:rPr>
      </w:pPr>
      <w:r>
        <w:rPr>
          <w:rFonts w:hint="eastAsia" w:ascii="宋体" w:hAnsi="宋体" w:cs="宋体"/>
          <w:color w:val="auto"/>
          <w:sz w:val="24"/>
          <w:highlight w:val="none"/>
        </w:rPr>
        <w:t>（3）全部工程结束后，待全部工程通过财政审核（如财政部门不审核，以最后委托的第三方审核为准）完成后并按合同约定移交全部咨询成果和返还前期交付的资料后，付清余款</w:t>
      </w:r>
      <w:r>
        <w:rPr>
          <w:rFonts w:hint="eastAsia" w:ascii="宋体" w:hAnsi="宋体" w:cs="宋体"/>
          <w:color w:val="auto"/>
          <w:sz w:val="24"/>
          <w:highlight w:val="none"/>
          <w:lang w:eastAsia="zh-CN"/>
        </w:rPr>
        <w:t>；</w:t>
      </w:r>
    </w:p>
    <w:p w14:paraId="0790C7EA">
      <w:pPr>
        <w:snapToGrid w:val="0"/>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rPr>
        <w:t>（</w:t>
      </w:r>
      <w:r>
        <w:rPr>
          <w:rFonts w:hint="eastAsia" w:ascii="宋体" w:hAnsi="宋体" w:cs="宋体"/>
          <w:color w:val="auto"/>
          <w:sz w:val="24"/>
          <w:highlight w:val="none"/>
          <w:lang w:val="en-US" w:eastAsia="zh-CN"/>
        </w:rPr>
        <w:t>4</w:t>
      </w:r>
      <w:r>
        <w:rPr>
          <w:rFonts w:hint="eastAsia" w:ascii="宋体" w:hAnsi="宋体" w:cs="宋体"/>
          <w:color w:val="auto"/>
          <w:sz w:val="24"/>
          <w:highlight w:val="none"/>
        </w:rPr>
        <w:t>）以上时间段的付款期限为</w:t>
      </w:r>
      <w:r>
        <w:rPr>
          <w:rFonts w:hint="eastAsia" w:ascii="宋体" w:hAnsi="宋体" w:cs="宋体"/>
          <w:color w:val="auto"/>
          <w:sz w:val="24"/>
          <w:highlight w:val="none"/>
          <w:lang w:val="en-US" w:eastAsia="zh-CN"/>
        </w:rPr>
        <w:t>3</w:t>
      </w:r>
      <w:r>
        <w:rPr>
          <w:rFonts w:hint="eastAsia" w:ascii="宋体" w:hAnsi="宋体" w:cs="宋体"/>
          <w:color w:val="auto"/>
          <w:sz w:val="24"/>
          <w:highlight w:val="none"/>
        </w:rPr>
        <w:t>0个</w:t>
      </w:r>
      <w:r>
        <w:rPr>
          <w:rFonts w:hint="eastAsia" w:ascii="宋体" w:hAnsi="宋体" w:cs="宋体"/>
          <w:color w:val="auto"/>
          <w:sz w:val="24"/>
          <w:highlight w:val="none"/>
          <w:lang w:eastAsia="zh-CN"/>
        </w:rPr>
        <w:t>日历天</w:t>
      </w:r>
      <w:r>
        <w:rPr>
          <w:rFonts w:hint="eastAsia" w:ascii="宋体" w:hAnsi="宋体" w:cs="宋体"/>
          <w:color w:val="auto"/>
          <w:sz w:val="24"/>
          <w:highlight w:val="none"/>
        </w:rPr>
        <w:t>。</w:t>
      </w:r>
      <w:r>
        <w:rPr>
          <w:rFonts w:hint="eastAsia" w:ascii="宋体" w:hAnsi="宋体" w:cs="宋体"/>
          <w:color w:val="auto"/>
          <w:sz w:val="24"/>
          <w:highlight w:val="none"/>
          <w:lang w:val="en-US" w:eastAsia="zh-CN"/>
        </w:rPr>
        <w:t>招标人</w:t>
      </w:r>
      <w:r>
        <w:rPr>
          <w:rFonts w:hint="eastAsia" w:ascii="宋体" w:hAnsi="宋体" w:cs="宋体"/>
          <w:color w:val="auto"/>
          <w:sz w:val="24"/>
          <w:highlight w:val="none"/>
        </w:rPr>
        <w:t>付款前，</w:t>
      </w:r>
      <w:r>
        <w:rPr>
          <w:rFonts w:hint="eastAsia" w:ascii="宋体" w:hAnsi="宋体" w:cs="宋体"/>
          <w:color w:val="auto"/>
          <w:sz w:val="24"/>
          <w:highlight w:val="none"/>
          <w:lang w:val="en-US" w:eastAsia="zh-CN"/>
        </w:rPr>
        <w:t>投标人</w:t>
      </w:r>
      <w:r>
        <w:rPr>
          <w:rFonts w:hint="eastAsia" w:ascii="宋体" w:hAnsi="宋体" w:cs="宋体"/>
          <w:color w:val="auto"/>
          <w:sz w:val="24"/>
          <w:highlight w:val="none"/>
        </w:rPr>
        <w:t>应先提供符合</w:t>
      </w:r>
      <w:r>
        <w:rPr>
          <w:rFonts w:hint="eastAsia" w:ascii="宋体" w:hAnsi="宋体" w:cs="宋体"/>
          <w:color w:val="auto"/>
          <w:sz w:val="24"/>
          <w:highlight w:val="none"/>
          <w:lang w:val="en-US" w:eastAsia="zh-CN"/>
        </w:rPr>
        <w:t>招标人</w:t>
      </w:r>
      <w:r>
        <w:rPr>
          <w:rFonts w:hint="eastAsia" w:ascii="宋体" w:hAnsi="宋体" w:cs="宋体"/>
          <w:color w:val="auto"/>
          <w:sz w:val="24"/>
          <w:highlight w:val="none"/>
        </w:rPr>
        <w:t>要求的增值税发票，否则</w:t>
      </w:r>
      <w:r>
        <w:rPr>
          <w:rFonts w:hint="eastAsia" w:ascii="宋体" w:hAnsi="宋体" w:cs="宋体"/>
          <w:color w:val="auto"/>
          <w:sz w:val="24"/>
          <w:highlight w:val="none"/>
          <w:lang w:val="en-US" w:eastAsia="zh-CN"/>
        </w:rPr>
        <w:t>招标人</w:t>
      </w:r>
      <w:r>
        <w:rPr>
          <w:rFonts w:hint="eastAsia" w:ascii="宋体" w:hAnsi="宋体" w:cs="宋体"/>
          <w:color w:val="auto"/>
          <w:sz w:val="24"/>
          <w:highlight w:val="none"/>
        </w:rPr>
        <w:t>有权顺延支付期限。</w:t>
      </w:r>
    </w:p>
    <w:p w14:paraId="52390F47">
      <w:pPr>
        <w:spacing w:line="360" w:lineRule="auto"/>
        <w:ind w:firstLine="482" w:firstLineChars="200"/>
        <w:rPr>
          <w:rFonts w:ascii="宋体" w:hAnsi="宋体" w:cs="宋体"/>
          <w:b/>
          <w:bCs/>
          <w:color w:val="auto"/>
          <w:sz w:val="24"/>
          <w:highlight w:val="none"/>
        </w:rPr>
      </w:pPr>
      <w:r>
        <w:rPr>
          <w:rFonts w:hint="eastAsia" w:ascii="宋体" w:hAnsi="宋体" w:cs="宋体"/>
          <w:b/>
          <w:bCs/>
          <w:color w:val="auto"/>
          <w:sz w:val="24"/>
          <w:highlight w:val="none"/>
        </w:rPr>
        <w:t>五、人员及其他要求</w:t>
      </w:r>
    </w:p>
    <w:p w14:paraId="18B106A6">
      <w:pPr>
        <w:pStyle w:val="21"/>
        <w:snapToGrid w:val="0"/>
        <w:spacing w:after="0" w:line="360" w:lineRule="auto"/>
        <w:ind w:firstLine="472" w:firstLineChars="196"/>
        <w:rPr>
          <w:rFonts w:ascii="宋体" w:hAnsi="宋体" w:cs="宋体"/>
          <w:color w:val="auto"/>
          <w:kern w:val="2"/>
          <w:sz w:val="24"/>
          <w:highlight w:val="none"/>
        </w:rPr>
      </w:pPr>
      <w:r>
        <w:rPr>
          <w:rFonts w:hint="eastAsia" w:ascii="宋体" w:hAnsi="宋体" w:cs="宋体"/>
          <w:b/>
          <w:bCs/>
          <w:color w:val="auto"/>
          <w:sz w:val="24"/>
          <w:highlight w:val="none"/>
        </w:rPr>
        <w:t>▲</w:t>
      </w:r>
      <w:r>
        <w:rPr>
          <w:rFonts w:hint="eastAsia" w:ascii="宋体" w:hAnsi="宋体" w:cs="宋体"/>
          <w:color w:val="auto"/>
          <w:kern w:val="2"/>
          <w:sz w:val="24"/>
          <w:highlight w:val="none"/>
        </w:rPr>
        <w:t>1、</w:t>
      </w:r>
      <w:r>
        <w:rPr>
          <w:rFonts w:hint="eastAsia" w:ascii="宋体" w:hAnsi="宋体" w:cs="宋体"/>
          <w:color w:val="auto"/>
          <w:kern w:val="2"/>
          <w:sz w:val="24"/>
          <w:highlight w:val="none"/>
          <w:lang w:val="en-US" w:eastAsia="zh-CN"/>
        </w:rPr>
        <w:t>人员</w:t>
      </w:r>
      <w:r>
        <w:rPr>
          <w:rFonts w:hint="eastAsia" w:ascii="宋体" w:hAnsi="宋体" w:cs="宋体"/>
          <w:color w:val="auto"/>
          <w:kern w:val="2"/>
          <w:sz w:val="24"/>
          <w:highlight w:val="none"/>
        </w:rPr>
        <w:t>要求:</w:t>
      </w:r>
    </w:p>
    <w:p w14:paraId="46D6BAE0">
      <w:pPr>
        <w:snapToGrid w:val="0"/>
        <w:spacing w:line="360" w:lineRule="auto"/>
        <w:ind w:firstLine="360" w:firstLineChars="150"/>
        <w:rPr>
          <w:rFonts w:hint="eastAsia" w:ascii="宋体" w:hAnsi="宋体" w:eastAsia="宋体" w:cs="宋体"/>
          <w:color w:val="auto"/>
          <w:sz w:val="24"/>
          <w:highlight w:val="none"/>
          <w:lang w:eastAsia="zh-CN"/>
        </w:rPr>
      </w:pPr>
      <w:r>
        <w:rPr>
          <w:rFonts w:hint="eastAsia" w:ascii="宋体" w:hAnsi="宋体" w:cs="宋体"/>
          <w:color w:val="auto"/>
          <w:sz w:val="24"/>
          <w:highlight w:val="none"/>
        </w:rPr>
        <w:t>（1）</w:t>
      </w:r>
      <w:r>
        <w:rPr>
          <w:rFonts w:hint="eastAsia" w:ascii="宋体" w:hAnsi="宋体" w:cs="宋体"/>
          <w:color w:val="auto"/>
          <w:sz w:val="24"/>
          <w:highlight w:val="none"/>
          <w:lang w:val="en-US" w:eastAsia="zh-CN"/>
        </w:rPr>
        <w:t>项目</w:t>
      </w:r>
      <w:r>
        <w:rPr>
          <w:rFonts w:hint="eastAsia" w:ascii="宋体" w:hAnsi="宋体" w:cs="宋体"/>
          <w:color w:val="auto"/>
          <w:sz w:val="24"/>
          <w:highlight w:val="none"/>
        </w:rPr>
        <w:t>负责人：1人，</w:t>
      </w:r>
      <w:r>
        <w:rPr>
          <w:rFonts w:hint="eastAsia" w:ascii="宋体" w:hAnsi="宋体" w:cs="宋体"/>
          <w:bCs/>
          <w:color w:val="auto"/>
          <w:sz w:val="24"/>
          <w:highlight w:val="none"/>
        </w:rPr>
        <w:t>具有工程师及以上技术职称</w:t>
      </w:r>
      <w:r>
        <w:rPr>
          <w:rFonts w:hint="eastAsia" w:ascii="宋体" w:hAnsi="宋体" w:cs="宋体"/>
          <w:bCs/>
          <w:color w:val="auto"/>
          <w:sz w:val="24"/>
          <w:highlight w:val="none"/>
          <w:lang w:val="en-US" w:eastAsia="zh-CN"/>
        </w:rPr>
        <w:t>，具有一级注册造价工程师（交通运输工程）证书</w:t>
      </w:r>
      <w:r>
        <w:rPr>
          <w:rFonts w:hint="eastAsia" w:ascii="宋体" w:hAnsi="宋体" w:cs="宋体"/>
          <w:color w:val="auto"/>
          <w:sz w:val="24"/>
          <w:highlight w:val="none"/>
          <w:lang w:eastAsia="zh-CN"/>
        </w:rPr>
        <w:t>；</w:t>
      </w:r>
    </w:p>
    <w:p w14:paraId="70192DF1">
      <w:pPr>
        <w:snapToGrid w:val="0"/>
        <w:spacing w:line="360" w:lineRule="auto"/>
        <w:ind w:firstLine="360" w:firstLineChars="150"/>
        <w:rPr>
          <w:rFonts w:hint="eastAsia" w:ascii="宋体" w:hAnsi="宋体" w:cs="宋体"/>
          <w:color w:val="auto"/>
          <w:sz w:val="24"/>
          <w:highlight w:val="none"/>
          <w:lang w:val="en-US" w:eastAsia="zh-CN"/>
        </w:rPr>
      </w:pP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2</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项目组团队成员（项目负责人除外）：至少2人，其中1人要求具有交通运输部颁发的水运工程造价甲级资格证书或具有中华人民共和国一级造价工程师注册证书（交通运输工程专业）执业证书，1人要求具有中华人民共和国二级造价工程师（交通运输专业）及以上执业证书，根据实际进度和需求配备相关专业人员。拟派人员的执业资格注册单位须与咨询人名称相一致。</w:t>
      </w:r>
    </w:p>
    <w:p w14:paraId="6BF88F17">
      <w:pPr>
        <w:pStyle w:val="22"/>
        <w:rPr>
          <w:color w:val="auto"/>
          <w:highlight w:val="none"/>
        </w:rPr>
      </w:pPr>
      <w:r>
        <w:rPr>
          <w:rFonts w:hint="eastAsia"/>
          <w:color w:val="auto"/>
          <w:highlight w:val="none"/>
          <w:lang w:val="zh-CN" w:eastAsia="zh-CN"/>
        </w:rPr>
        <w:t>注：商务技术文件中须提供以上人员相关证书扫描件。</w:t>
      </w:r>
    </w:p>
    <w:p w14:paraId="679D7896">
      <w:pPr>
        <w:snapToGrid w:val="0"/>
        <w:spacing w:line="360" w:lineRule="auto"/>
        <w:ind w:firstLine="482" w:firstLineChars="200"/>
        <w:jc w:val="left"/>
        <w:rPr>
          <w:rFonts w:ascii="宋体" w:hAnsi="宋体" w:cs="宋体"/>
          <w:b/>
          <w:color w:val="auto"/>
          <w:sz w:val="24"/>
          <w:highlight w:val="none"/>
        </w:rPr>
      </w:pPr>
      <w:r>
        <w:rPr>
          <w:rFonts w:hint="eastAsia" w:ascii="宋体" w:hAnsi="宋体" w:cs="宋体"/>
          <w:b/>
          <w:bCs/>
          <w:color w:val="auto"/>
          <w:sz w:val="24"/>
          <w:highlight w:val="none"/>
        </w:rPr>
        <w:t>六、</w:t>
      </w:r>
      <w:r>
        <w:rPr>
          <w:rFonts w:hint="eastAsia" w:ascii="宋体" w:hAnsi="宋体" w:cs="宋体"/>
          <w:b/>
          <w:color w:val="auto"/>
          <w:sz w:val="24"/>
          <w:highlight w:val="none"/>
        </w:rPr>
        <w:t>资料保管及信息保密要求</w:t>
      </w:r>
    </w:p>
    <w:p w14:paraId="540805EB">
      <w:pPr>
        <w:autoSpaceDE w:val="0"/>
        <w:autoSpaceDN w:val="0"/>
        <w:adjustRightInd w:val="0"/>
        <w:snapToGrid w:val="0"/>
        <w:spacing w:line="360" w:lineRule="auto"/>
        <w:ind w:firstLine="420"/>
        <w:textAlignment w:val="bottom"/>
        <w:rPr>
          <w:rFonts w:ascii="宋体" w:hAnsi="宋体" w:cs="宋体"/>
          <w:color w:val="auto"/>
          <w:sz w:val="24"/>
          <w:highlight w:val="none"/>
        </w:rPr>
      </w:pPr>
      <w:r>
        <w:rPr>
          <w:rFonts w:hint="eastAsia" w:ascii="宋体" w:hAnsi="宋体" w:cs="宋体"/>
          <w:color w:val="auto"/>
          <w:sz w:val="24"/>
          <w:highlight w:val="none"/>
        </w:rPr>
        <w:t>1、在咨询成果提交委托人确认前，咨询人负责对咨询资料的保管。咨询人如遗失咨询资料，需全额赔偿因资料遗失造成的经济损失。</w:t>
      </w:r>
    </w:p>
    <w:p w14:paraId="44CBFD57">
      <w:pPr>
        <w:pStyle w:val="62"/>
        <w:spacing w:line="360" w:lineRule="auto"/>
        <w:ind w:firstLine="480" w:firstLineChars="200"/>
        <w:rPr>
          <w:rFonts w:hAnsi="宋体"/>
          <w:color w:val="auto"/>
          <w:highlight w:val="none"/>
        </w:rPr>
      </w:pPr>
      <w:r>
        <w:rPr>
          <w:rFonts w:hint="eastAsia" w:hAnsi="宋体"/>
          <w:color w:val="auto"/>
          <w:highlight w:val="none"/>
        </w:rPr>
        <w:t>2、未经委托人同意，咨询人不得以任何形式向任何单位或个人披露咨询项目的有关信息，更不得对外提供、泄漏或公开咨询的有关情况。</w:t>
      </w:r>
    </w:p>
    <w:bookmarkEnd w:id="7"/>
    <w:bookmarkEnd w:id="8"/>
    <w:p w14:paraId="744A72F0">
      <w:pPr>
        <w:rPr>
          <w:rFonts w:asciiTheme="minorEastAsia" w:hAnsiTheme="minorEastAsia" w:eastAsiaTheme="minorEastAsia" w:cstheme="minorEastAsia"/>
          <w:b/>
          <w:color w:val="auto"/>
          <w:sz w:val="30"/>
          <w:szCs w:val="30"/>
          <w:highlight w:val="none"/>
        </w:rPr>
      </w:pPr>
      <w:r>
        <w:rPr>
          <w:rFonts w:hint="eastAsia" w:asciiTheme="minorEastAsia" w:hAnsiTheme="minorEastAsia" w:eastAsiaTheme="minorEastAsia" w:cstheme="minorEastAsia"/>
          <w:b/>
          <w:color w:val="auto"/>
          <w:sz w:val="30"/>
          <w:szCs w:val="30"/>
          <w:highlight w:val="none"/>
        </w:rPr>
        <w:br w:type="page"/>
      </w:r>
    </w:p>
    <w:p w14:paraId="3D5E7086">
      <w:pPr>
        <w:spacing w:line="280" w:lineRule="exact"/>
        <w:ind w:firstLine="443" w:firstLineChars="147"/>
        <w:jc w:val="center"/>
        <w:outlineLvl w:val="0"/>
        <w:rPr>
          <w:rFonts w:asciiTheme="minorEastAsia" w:hAnsiTheme="minorEastAsia" w:eastAsiaTheme="minorEastAsia" w:cstheme="minorEastAsia"/>
          <w:b/>
          <w:color w:val="auto"/>
          <w:sz w:val="30"/>
          <w:szCs w:val="30"/>
          <w:highlight w:val="none"/>
        </w:rPr>
      </w:pPr>
      <w:r>
        <w:rPr>
          <w:rFonts w:hint="eastAsia" w:asciiTheme="minorEastAsia" w:hAnsiTheme="minorEastAsia" w:eastAsiaTheme="minorEastAsia" w:cstheme="minorEastAsia"/>
          <w:b/>
          <w:color w:val="auto"/>
          <w:sz w:val="30"/>
          <w:szCs w:val="30"/>
          <w:highlight w:val="none"/>
        </w:rPr>
        <w:t>第三章  投标人须知</w:t>
      </w:r>
      <w:bookmarkEnd w:id="9"/>
      <w:bookmarkEnd w:id="10"/>
    </w:p>
    <w:p w14:paraId="6C3A8986">
      <w:pPr>
        <w:snapToGrid w:val="0"/>
        <w:spacing w:beforeLines="50" w:afterLines="50" w:line="280" w:lineRule="exact"/>
        <w:ind w:left="476"/>
        <w:jc w:val="center"/>
        <w:rPr>
          <w:rFonts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前附表</w:t>
      </w:r>
    </w:p>
    <w:tbl>
      <w:tblPr>
        <w:tblStyle w:val="52"/>
        <w:tblW w:w="10023" w:type="dxa"/>
        <w:tblInd w:w="-593"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37"/>
        <w:gridCol w:w="9286"/>
      </w:tblGrid>
      <w:tr w14:paraId="0326A82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7" w:hRule="atLeast"/>
        </w:trPr>
        <w:tc>
          <w:tcPr>
            <w:tcW w:w="737" w:type="dxa"/>
            <w:tcBorders>
              <w:top w:val="single" w:color="auto" w:sz="4" w:space="0"/>
              <w:left w:val="single" w:color="auto" w:sz="4" w:space="0"/>
              <w:bottom w:val="single" w:color="auto" w:sz="4" w:space="0"/>
              <w:right w:val="single" w:color="auto" w:sz="4" w:space="0"/>
            </w:tcBorders>
            <w:vAlign w:val="center"/>
          </w:tcPr>
          <w:p w14:paraId="30278837">
            <w:pPr>
              <w:snapToGrid w:val="0"/>
              <w:spacing w:line="400" w:lineRule="exact"/>
              <w:jc w:val="center"/>
              <w:rPr>
                <w:rFonts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序号</w:t>
            </w:r>
          </w:p>
        </w:tc>
        <w:tc>
          <w:tcPr>
            <w:tcW w:w="9286" w:type="dxa"/>
            <w:tcBorders>
              <w:top w:val="single" w:color="auto" w:sz="4" w:space="0"/>
              <w:left w:val="single" w:color="auto" w:sz="4" w:space="0"/>
              <w:bottom w:val="single" w:color="auto" w:sz="4" w:space="0"/>
              <w:right w:val="single" w:color="auto" w:sz="4" w:space="0"/>
            </w:tcBorders>
            <w:vAlign w:val="center"/>
          </w:tcPr>
          <w:p w14:paraId="1893C48D">
            <w:pPr>
              <w:snapToGrid w:val="0"/>
              <w:spacing w:line="400" w:lineRule="exact"/>
              <w:jc w:val="center"/>
              <w:rPr>
                <w:rFonts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内容、要求</w:t>
            </w:r>
          </w:p>
        </w:tc>
      </w:tr>
      <w:tr w14:paraId="136A81D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27" w:hRule="atLeast"/>
        </w:trPr>
        <w:tc>
          <w:tcPr>
            <w:tcW w:w="737" w:type="dxa"/>
            <w:tcBorders>
              <w:top w:val="single" w:color="auto" w:sz="4" w:space="0"/>
              <w:left w:val="single" w:color="auto" w:sz="4" w:space="0"/>
              <w:bottom w:val="single" w:color="auto" w:sz="4" w:space="0"/>
              <w:right w:val="single" w:color="auto" w:sz="4" w:space="0"/>
            </w:tcBorders>
            <w:vAlign w:val="center"/>
          </w:tcPr>
          <w:p w14:paraId="26AAA663">
            <w:pPr>
              <w:snapToGrid w:val="0"/>
              <w:spacing w:line="400" w:lineRule="exact"/>
              <w:jc w:val="center"/>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w:t>
            </w:r>
          </w:p>
        </w:tc>
        <w:tc>
          <w:tcPr>
            <w:tcW w:w="9286" w:type="dxa"/>
            <w:tcBorders>
              <w:top w:val="single" w:color="auto" w:sz="4" w:space="0"/>
              <w:left w:val="single" w:color="auto" w:sz="4" w:space="0"/>
              <w:bottom w:val="single" w:color="auto" w:sz="4" w:space="0"/>
              <w:right w:val="single" w:color="auto" w:sz="4" w:space="0"/>
            </w:tcBorders>
            <w:vAlign w:val="center"/>
          </w:tcPr>
          <w:p w14:paraId="5378ED74">
            <w:pPr>
              <w:pStyle w:val="47"/>
              <w:spacing w:before="0" w:beforeAutospacing="0" w:after="0" w:afterAutospacing="0" w:line="400" w:lineRule="exact"/>
              <w:rPr>
                <w:rFonts w:hint="eastAsia" w:asciiTheme="minorEastAsia" w:hAnsiTheme="minorEastAsia" w:eastAsiaTheme="minorEastAsia" w:cstheme="minorEastAsia"/>
                <w:color w:val="auto"/>
                <w:kern w:val="2"/>
                <w:highlight w:val="none"/>
                <w:lang w:eastAsia="zh-CN"/>
              </w:rPr>
            </w:pPr>
            <w:r>
              <w:rPr>
                <w:rFonts w:hint="eastAsia" w:asciiTheme="minorEastAsia" w:hAnsiTheme="minorEastAsia" w:eastAsiaTheme="minorEastAsia" w:cstheme="minorEastAsia"/>
                <w:color w:val="auto"/>
                <w:kern w:val="2"/>
                <w:highlight w:val="none"/>
              </w:rPr>
              <w:t>项目名称：</w:t>
            </w:r>
            <w:r>
              <w:rPr>
                <w:rFonts w:hint="eastAsia" w:asciiTheme="minorEastAsia" w:hAnsiTheme="minorEastAsia" w:eastAsiaTheme="minorEastAsia" w:cstheme="minorEastAsia"/>
                <w:color w:val="auto"/>
                <w:kern w:val="2"/>
                <w:highlight w:val="none"/>
                <w:u w:val="single"/>
                <w:lang w:eastAsia="zh-CN"/>
              </w:rPr>
              <w:t>台州港头门港区三期陆域先行工程(场平工程)（全过程造价控制）</w:t>
            </w:r>
          </w:p>
        </w:tc>
      </w:tr>
      <w:tr w14:paraId="7553214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2" w:hRule="atLeast"/>
        </w:trPr>
        <w:tc>
          <w:tcPr>
            <w:tcW w:w="737" w:type="dxa"/>
            <w:tcBorders>
              <w:top w:val="single" w:color="auto" w:sz="4" w:space="0"/>
              <w:left w:val="single" w:color="auto" w:sz="4" w:space="0"/>
              <w:bottom w:val="single" w:color="auto" w:sz="4" w:space="0"/>
              <w:right w:val="single" w:color="auto" w:sz="4" w:space="0"/>
            </w:tcBorders>
            <w:vAlign w:val="center"/>
          </w:tcPr>
          <w:p w14:paraId="3D5085AD">
            <w:pPr>
              <w:snapToGrid w:val="0"/>
              <w:spacing w:line="400" w:lineRule="exact"/>
              <w:jc w:val="center"/>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w:t>
            </w:r>
          </w:p>
        </w:tc>
        <w:tc>
          <w:tcPr>
            <w:tcW w:w="9286" w:type="dxa"/>
            <w:tcBorders>
              <w:top w:val="single" w:color="auto" w:sz="4" w:space="0"/>
              <w:left w:val="single" w:color="auto" w:sz="4" w:space="0"/>
              <w:bottom w:val="single" w:color="auto" w:sz="4" w:space="0"/>
              <w:right w:val="single" w:color="auto" w:sz="4" w:space="0"/>
            </w:tcBorders>
            <w:vAlign w:val="center"/>
          </w:tcPr>
          <w:p w14:paraId="0895021B">
            <w:pPr>
              <w:snapToGrid w:val="0"/>
              <w:spacing w:line="40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采购内容及数量：详见“第二章 招标需求”</w:t>
            </w:r>
          </w:p>
        </w:tc>
      </w:tr>
      <w:tr w14:paraId="1B3A95B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444" w:hRule="atLeast"/>
        </w:trPr>
        <w:tc>
          <w:tcPr>
            <w:tcW w:w="737" w:type="dxa"/>
            <w:tcBorders>
              <w:top w:val="single" w:color="auto" w:sz="4" w:space="0"/>
              <w:left w:val="single" w:color="auto" w:sz="4" w:space="0"/>
              <w:bottom w:val="single" w:color="auto" w:sz="4" w:space="0"/>
              <w:right w:val="single" w:color="auto" w:sz="4" w:space="0"/>
            </w:tcBorders>
            <w:vAlign w:val="center"/>
          </w:tcPr>
          <w:p w14:paraId="14C1D847">
            <w:pPr>
              <w:snapToGrid w:val="0"/>
              <w:spacing w:line="400" w:lineRule="exact"/>
              <w:jc w:val="center"/>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w:t>
            </w:r>
          </w:p>
        </w:tc>
        <w:tc>
          <w:tcPr>
            <w:tcW w:w="9286" w:type="dxa"/>
            <w:tcBorders>
              <w:top w:val="single" w:color="auto" w:sz="4" w:space="0"/>
              <w:left w:val="single" w:color="auto" w:sz="4" w:space="0"/>
              <w:bottom w:val="single" w:color="auto" w:sz="4" w:space="0"/>
              <w:right w:val="single" w:color="auto" w:sz="4" w:space="0"/>
            </w:tcBorders>
            <w:vAlign w:val="center"/>
          </w:tcPr>
          <w:p w14:paraId="2BAB7C6B">
            <w:pPr>
              <w:snapToGrid w:val="0"/>
              <w:spacing w:line="400" w:lineRule="exact"/>
              <w:rPr>
                <w:rFonts w:hint="eastAsia" w:asciiTheme="minorEastAsia" w:hAnsiTheme="minorEastAsia" w:eastAsiaTheme="minorEastAsia" w:cstheme="minorEastAsia"/>
                <w:color w:val="auto"/>
                <w:sz w:val="24"/>
                <w:highlight w:val="none"/>
                <w:lang w:eastAsia="zh-CN"/>
              </w:rPr>
            </w:pPr>
            <w:r>
              <w:rPr>
                <w:rFonts w:hint="eastAsia" w:asciiTheme="minorEastAsia" w:hAnsiTheme="minorEastAsia" w:eastAsiaTheme="minorEastAsia" w:cstheme="minorEastAsia"/>
                <w:color w:val="auto"/>
                <w:sz w:val="24"/>
                <w:highlight w:val="none"/>
              </w:rPr>
              <w:t>投标报价及费用：1、本项目投标应以人民币报价</w:t>
            </w:r>
            <w:r>
              <w:rPr>
                <w:rFonts w:hint="eastAsia" w:asciiTheme="minorEastAsia" w:hAnsiTheme="minorEastAsia" w:eastAsiaTheme="minorEastAsia" w:cstheme="minorEastAsia"/>
                <w:color w:val="auto"/>
                <w:sz w:val="24"/>
                <w:highlight w:val="none"/>
                <w:lang w:eastAsia="zh-CN"/>
              </w:rPr>
              <w:t>。</w:t>
            </w:r>
            <w:r>
              <w:rPr>
                <w:rFonts w:hint="eastAsia" w:asciiTheme="minorEastAsia" w:hAnsiTheme="minorEastAsia" w:eastAsiaTheme="minorEastAsia" w:cstheme="minorEastAsia"/>
                <w:color w:val="auto"/>
                <w:sz w:val="24"/>
                <w:highlight w:val="none"/>
              </w:rPr>
              <w:t>2、不论投标结果如何，投标人均应自行承担所有与投标有关的全部费用</w:t>
            </w:r>
            <w:r>
              <w:rPr>
                <w:rFonts w:hint="eastAsia" w:asciiTheme="minorEastAsia" w:hAnsiTheme="minorEastAsia" w:eastAsiaTheme="minorEastAsia" w:cstheme="minorEastAsia"/>
                <w:color w:val="auto"/>
                <w:sz w:val="24"/>
                <w:highlight w:val="none"/>
                <w:lang w:eastAsia="zh-CN"/>
              </w:rPr>
              <w:t>。</w:t>
            </w:r>
          </w:p>
          <w:p w14:paraId="4E96FCA1">
            <w:pPr>
              <w:snapToGrid w:val="0"/>
              <w:spacing w:line="400" w:lineRule="exact"/>
              <w:rPr>
                <w:rFonts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color w:val="auto"/>
                <w:sz w:val="24"/>
                <w:highlight w:val="none"/>
              </w:rPr>
              <w:t>3、</w:t>
            </w:r>
            <w:r>
              <w:rPr>
                <w:rFonts w:hint="eastAsia" w:asciiTheme="minorEastAsia" w:hAnsiTheme="minorEastAsia" w:eastAsiaTheme="minorEastAsia" w:cstheme="minorEastAsia"/>
                <w:color w:val="auto"/>
                <w:sz w:val="24"/>
                <w:highlight w:val="none"/>
                <w:lang w:val="en-US" w:eastAsia="zh-CN"/>
              </w:rPr>
              <w:t>本项目招标代理服务费由中标人支付给采购代理机构，在采购代理机构发出成交通知书前一次性付清招标代理服务费用，收费采用中标价按照下列差额定率累进计费方式计取，具体标准如下：100万*1.5%+（中标价-100）*0.8%*80%。</w:t>
            </w:r>
          </w:p>
        </w:tc>
      </w:tr>
      <w:tr w14:paraId="0A6ECFC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737" w:type="dxa"/>
            <w:tcBorders>
              <w:top w:val="single" w:color="auto" w:sz="4" w:space="0"/>
              <w:left w:val="single" w:color="auto" w:sz="4" w:space="0"/>
              <w:bottom w:val="single" w:color="auto" w:sz="4" w:space="0"/>
              <w:right w:val="single" w:color="auto" w:sz="4" w:space="0"/>
            </w:tcBorders>
            <w:vAlign w:val="center"/>
          </w:tcPr>
          <w:p w14:paraId="229E23F2">
            <w:pPr>
              <w:snapToGrid w:val="0"/>
              <w:spacing w:line="400" w:lineRule="exact"/>
              <w:jc w:val="center"/>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4</w:t>
            </w:r>
          </w:p>
        </w:tc>
        <w:tc>
          <w:tcPr>
            <w:tcW w:w="9286" w:type="dxa"/>
            <w:tcBorders>
              <w:top w:val="single" w:color="auto" w:sz="4" w:space="0"/>
              <w:left w:val="single" w:color="auto" w:sz="4" w:space="0"/>
              <w:bottom w:val="single" w:color="auto" w:sz="4" w:space="0"/>
              <w:right w:val="single" w:color="auto" w:sz="4" w:space="0"/>
            </w:tcBorders>
            <w:vAlign w:val="center"/>
          </w:tcPr>
          <w:p w14:paraId="392EFD51">
            <w:pPr>
              <w:snapToGrid w:val="0"/>
              <w:spacing w:line="40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b/>
                <w:bCs/>
                <w:color w:val="auto"/>
                <w:sz w:val="24"/>
                <w:highlight w:val="none"/>
              </w:rPr>
              <w:t>现场踏勘</w:t>
            </w:r>
            <w:r>
              <w:rPr>
                <w:rFonts w:hint="eastAsia" w:asciiTheme="minorEastAsia" w:hAnsiTheme="minorEastAsia" w:eastAsiaTheme="minorEastAsia" w:cstheme="minorEastAsia"/>
                <w:color w:val="auto"/>
                <w:sz w:val="24"/>
                <w:highlight w:val="none"/>
              </w:rPr>
              <w:t>：投标人可对项目现场和周围环境进行踏勘，现场踏勘时投标人按照图纸（如有）、招标文件等技术性资料比对现场实际参数，如有问题，由投标人发起书面质疑，如无质疑，即认为满足采购条件，由投标人承担相应风险。踏勘现场所发生的费用由投标人自己承担。</w:t>
            </w:r>
          </w:p>
        </w:tc>
      </w:tr>
      <w:tr w14:paraId="1CCD6BD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737" w:type="dxa"/>
            <w:tcBorders>
              <w:top w:val="single" w:color="auto" w:sz="4" w:space="0"/>
              <w:left w:val="single" w:color="auto" w:sz="4" w:space="0"/>
              <w:bottom w:val="single" w:color="auto" w:sz="4" w:space="0"/>
              <w:right w:val="single" w:color="auto" w:sz="4" w:space="0"/>
            </w:tcBorders>
            <w:vAlign w:val="center"/>
          </w:tcPr>
          <w:p w14:paraId="6B9C957C">
            <w:pPr>
              <w:snapToGrid w:val="0"/>
              <w:spacing w:line="400" w:lineRule="exact"/>
              <w:jc w:val="center"/>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5</w:t>
            </w:r>
          </w:p>
        </w:tc>
        <w:tc>
          <w:tcPr>
            <w:tcW w:w="9286" w:type="dxa"/>
            <w:tcBorders>
              <w:top w:val="single" w:color="auto" w:sz="4" w:space="0"/>
              <w:left w:val="single" w:color="auto" w:sz="4" w:space="0"/>
              <w:bottom w:val="single" w:color="auto" w:sz="4" w:space="0"/>
              <w:right w:val="single" w:color="auto" w:sz="4" w:space="0"/>
            </w:tcBorders>
            <w:vAlign w:val="center"/>
          </w:tcPr>
          <w:p w14:paraId="60C4BAA4">
            <w:pPr>
              <w:snapToGrid w:val="0"/>
              <w:spacing w:line="400" w:lineRule="exact"/>
              <w:rPr>
                <w:rFonts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质疑与澄清</w:t>
            </w:r>
            <w:r>
              <w:rPr>
                <w:rFonts w:hint="eastAsia" w:asciiTheme="minorEastAsia" w:hAnsiTheme="minorEastAsia" w:eastAsiaTheme="minorEastAsia" w:cstheme="minorEastAsia"/>
                <w:color w:val="auto"/>
                <w:sz w:val="24"/>
                <w:highlight w:val="none"/>
              </w:rPr>
              <w:t>：</w:t>
            </w:r>
            <w:r>
              <w:rPr>
                <w:rFonts w:hint="eastAsia" w:ascii="宋体" w:hAnsi="宋体"/>
                <w:b/>
                <w:color w:val="auto"/>
                <w:sz w:val="24"/>
                <w:highlight w:val="none"/>
              </w:rPr>
              <w:t>潜在投标人已依法获取其可质疑的采购文件的，可以（参照采购质疑函范本）向招标人就该文件提出质疑。标人对采购文件提出质疑的，应当在获取采购文件或者采购文件公告期限届满之日起7个工作日内提出，否则被质疑人可不予接受。</w:t>
            </w:r>
            <w:r>
              <w:rPr>
                <w:rFonts w:hint="eastAsia" w:ascii="宋体" w:hAnsi="宋体"/>
                <w:b/>
                <w:color w:val="auto"/>
                <w:sz w:val="24"/>
                <w:highlight w:val="none"/>
                <w:shd w:val="pct10" w:color="auto" w:fill="FFFFFF"/>
              </w:rPr>
              <w:t>投标人在法定质疑期内应一次性提出针对同一采购程序环节的质疑。</w:t>
            </w:r>
            <w:r>
              <w:rPr>
                <w:rFonts w:hint="eastAsia" w:ascii="宋体" w:hAnsi="宋体"/>
                <w:color w:val="auto"/>
                <w:sz w:val="24"/>
                <w:highlight w:val="none"/>
                <w:shd w:val="pct10" w:color="auto" w:fill="FFFFFF"/>
              </w:rPr>
              <w:t>招</w:t>
            </w:r>
            <w:r>
              <w:rPr>
                <w:rFonts w:hint="eastAsia" w:ascii="宋体" w:hAnsi="宋体"/>
                <w:color w:val="auto"/>
                <w:sz w:val="24"/>
                <w:highlight w:val="none"/>
              </w:rPr>
              <w:t>标人对已发出的招标文件进行必要的澄清、答复、修改和补充将以更正公告的形式，通过采购公告发布的网站予以发布。</w:t>
            </w:r>
            <w:r>
              <w:rPr>
                <w:rFonts w:hint="eastAsia" w:asciiTheme="minorEastAsia" w:hAnsiTheme="minorEastAsia" w:eastAsiaTheme="minorEastAsia" w:cstheme="minorEastAsia"/>
                <w:b/>
                <w:color w:val="auto"/>
                <w:sz w:val="24"/>
                <w:highlight w:val="none"/>
              </w:rPr>
              <w:t xml:space="preserve">  </w:t>
            </w:r>
          </w:p>
        </w:tc>
      </w:tr>
      <w:tr w14:paraId="0CF45F1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3" w:hRule="atLeast"/>
        </w:trPr>
        <w:tc>
          <w:tcPr>
            <w:tcW w:w="737" w:type="dxa"/>
            <w:tcBorders>
              <w:top w:val="single" w:color="auto" w:sz="4" w:space="0"/>
              <w:left w:val="single" w:color="auto" w:sz="4" w:space="0"/>
              <w:bottom w:val="single" w:color="auto" w:sz="4" w:space="0"/>
              <w:right w:val="single" w:color="auto" w:sz="4" w:space="0"/>
            </w:tcBorders>
            <w:vAlign w:val="center"/>
          </w:tcPr>
          <w:p w14:paraId="1D5F6087">
            <w:pPr>
              <w:snapToGrid w:val="0"/>
              <w:spacing w:line="400" w:lineRule="exact"/>
              <w:jc w:val="center"/>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6</w:t>
            </w:r>
          </w:p>
        </w:tc>
        <w:tc>
          <w:tcPr>
            <w:tcW w:w="9286" w:type="dxa"/>
            <w:tcBorders>
              <w:top w:val="single" w:color="auto" w:sz="4" w:space="0"/>
              <w:left w:val="single" w:color="auto" w:sz="4" w:space="0"/>
              <w:bottom w:val="single" w:color="auto" w:sz="4" w:space="0"/>
              <w:right w:val="single" w:color="auto" w:sz="4" w:space="0"/>
            </w:tcBorders>
            <w:vAlign w:val="center"/>
          </w:tcPr>
          <w:p w14:paraId="6FBF4498">
            <w:pPr>
              <w:snapToGrid w:val="0"/>
              <w:spacing w:line="40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投标截止时间、开标时间及地点：详见“第一章  投标邀请”</w:t>
            </w:r>
          </w:p>
        </w:tc>
      </w:tr>
      <w:tr w14:paraId="4DEA8ED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3" w:hRule="atLeast"/>
        </w:trPr>
        <w:tc>
          <w:tcPr>
            <w:tcW w:w="737" w:type="dxa"/>
            <w:tcBorders>
              <w:top w:val="single" w:color="auto" w:sz="4" w:space="0"/>
              <w:left w:val="single" w:color="auto" w:sz="4" w:space="0"/>
              <w:bottom w:val="single" w:color="auto" w:sz="4" w:space="0"/>
              <w:right w:val="single" w:color="auto" w:sz="4" w:space="0"/>
            </w:tcBorders>
            <w:vAlign w:val="center"/>
          </w:tcPr>
          <w:p w14:paraId="2513B650">
            <w:pPr>
              <w:snapToGrid w:val="0"/>
              <w:spacing w:line="400" w:lineRule="exact"/>
              <w:jc w:val="center"/>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7</w:t>
            </w:r>
          </w:p>
        </w:tc>
        <w:tc>
          <w:tcPr>
            <w:tcW w:w="9286" w:type="dxa"/>
            <w:tcBorders>
              <w:top w:val="single" w:color="auto" w:sz="4" w:space="0"/>
              <w:left w:val="single" w:color="auto" w:sz="4" w:space="0"/>
              <w:bottom w:val="single" w:color="auto" w:sz="4" w:space="0"/>
              <w:right w:val="single" w:color="auto" w:sz="4" w:space="0"/>
            </w:tcBorders>
            <w:vAlign w:val="center"/>
          </w:tcPr>
          <w:p w14:paraId="5A1A5BF8">
            <w:pPr>
              <w:autoSpaceDE w:val="0"/>
              <w:autoSpaceDN w:val="0"/>
              <w:snapToGrid w:val="0"/>
              <w:spacing w:line="400" w:lineRule="exact"/>
              <w:textAlignment w:val="bottom"/>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评标办法</w:t>
            </w:r>
            <w:r>
              <w:rPr>
                <w:rFonts w:hint="eastAsia" w:asciiTheme="minorEastAsia" w:hAnsiTheme="minorEastAsia" w:eastAsiaTheme="minorEastAsia" w:cstheme="minorEastAsia"/>
                <w:b/>
                <w:color w:val="auto"/>
                <w:sz w:val="24"/>
                <w:highlight w:val="none"/>
              </w:rPr>
              <w:t>：</w:t>
            </w:r>
            <w:r>
              <w:rPr>
                <w:rFonts w:hint="eastAsia" w:asciiTheme="minorEastAsia" w:hAnsiTheme="minorEastAsia" w:eastAsiaTheme="minorEastAsia" w:cstheme="minorEastAsia"/>
                <w:color w:val="auto"/>
                <w:sz w:val="24"/>
                <w:highlight w:val="none"/>
              </w:rPr>
              <w:t>综合评分法</w:t>
            </w:r>
          </w:p>
        </w:tc>
      </w:tr>
      <w:tr w14:paraId="5AE50E7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8" w:hRule="atLeast"/>
        </w:trPr>
        <w:tc>
          <w:tcPr>
            <w:tcW w:w="737" w:type="dxa"/>
            <w:tcBorders>
              <w:top w:val="single" w:color="auto" w:sz="4" w:space="0"/>
              <w:left w:val="single" w:color="auto" w:sz="4" w:space="0"/>
              <w:bottom w:val="single" w:color="auto" w:sz="4" w:space="0"/>
              <w:right w:val="single" w:color="auto" w:sz="4" w:space="0"/>
            </w:tcBorders>
            <w:vAlign w:val="center"/>
          </w:tcPr>
          <w:p w14:paraId="680230B2">
            <w:pPr>
              <w:snapToGrid w:val="0"/>
              <w:spacing w:line="400" w:lineRule="exact"/>
              <w:jc w:val="center"/>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8</w:t>
            </w:r>
          </w:p>
        </w:tc>
        <w:tc>
          <w:tcPr>
            <w:tcW w:w="9286" w:type="dxa"/>
            <w:tcBorders>
              <w:top w:val="single" w:color="auto" w:sz="4" w:space="0"/>
              <w:left w:val="single" w:color="auto" w:sz="4" w:space="0"/>
              <w:bottom w:val="single" w:color="auto" w:sz="4" w:space="0"/>
              <w:right w:val="single" w:color="auto" w:sz="4" w:space="0"/>
            </w:tcBorders>
            <w:vAlign w:val="center"/>
          </w:tcPr>
          <w:p w14:paraId="05304418">
            <w:pPr>
              <w:autoSpaceDE w:val="0"/>
              <w:autoSpaceDN w:val="0"/>
              <w:snapToGrid w:val="0"/>
              <w:spacing w:line="400" w:lineRule="exact"/>
              <w:textAlignment w:val="bottom"/>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投标有效期：自投标截止日起</w:t>
            </w:r>
            <w:r>
              <w:rPr>
                <w:rFonts w:hint="eastAsia" w:asciiTheme="minorEastAsia" w:hAnsiTheme="minorEastAsia" w:eastAsiaTheme="minorEastAsia" w:cstheme="minorEastAsia"/>
                <w:color w:val="auto"/>
                <w:sz w:val="24"/>
                <w:highlight w:val="none"/>
                <w:u w:val="single"/>
              </w:rPr>
              <w:t xml:space="preserve"> 90 </w:t>
            </w:r>
            <w:r>
              <w:rPr>
                <w:rFonts w:hint="eastAsia" w:asciiTheme="minorEastAsia" w:hAnsiTheme="minorEastAsia" w:eastAsiaTheme="minorEastAsia" w:cstheme="minorEastAsia"/>
                <w:color w:val="auto"/>
                <w:sz w:val="24"/>
                <w:highlight w:val="none"/>
              </w:rPr>
              <w:t>天投标文件应保持有效</w:t>
            </w:r>
          </w:p>
        </w:tc>
      </w:tr>
      <w:tr w14:paraId="78B0D5F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737" w:type="dxa"/>
            <w:tcBorders>
              <w:top w:val="single" w:color="auto" w:sz="4" w:space="0"/>
              <w:left w:val="single" w:color="auto" w:sz="4" w:space="0"/>
              <w:bottom w:val="single" w:color="auto" w:sz="4" w:space="0"/>
              <w:right w:val="single" w:color="auto" w:sz="4" w:space="0"/>
            </w:tcBorders>
            <w:vAlign w:val="center"/>
          </w:tcPr>
          <w:p w14:paraId="2E866735">
            <w:pPr>
              <w:snapToGrid w:val="0"/>
              <w:spacing w:line="400" w:lineRule="exact"/>
              <w:jc w:val="center"/>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9</w:t>
            </w:r>
          </w:p>
        </w:tc>
        <w:tc>
          <w:tcPr>
            <w:tcW w:w="9286" w:type="dxa"/>
            <w:tcBorders>
              <w:top w:val="single" w:color="auto" w:sz="4" w:space="0"/>
              <w:left w:val="single" w:color="auto" w:sz="4" w:space="0"/>
              <w:bottom w:val="single" w:color="auto" w:sz="4" w:space="0"/>
              <w:right w:val="single" w:color="auto" w:sz="4" w:space="0"/>
            </w:tcBorders>
            <w:vAlign w:val="center"/>
          </w:tcPr>
          <w:p w14:paraId="27039A0F">
            <w:pPr>
              <w:autoSpaceDE w:val="0"/>
              <w:autoSpaceDN w:val="0"/>
              <w:snapToGrid w:val="0"/>
              <w:spacing w:line="400" w:lineRule="exact"/>
              <w:textAlignment w:val="bottom"/>
              <w:rPr>
                <w:rFonts w:asciiTheme="minorEastAsia" w:hAnsiTheme="minorEastAsia" w:eastAsiaTheme="minorEastAsia" w:cstheme="minorEastAsia"/>
                <w:b/>
                <w:color w:val="auto"/>
                <w:sz w:val="24"/>
                <w:highlight w:val="none"/>
                <w:u w:val="single"/>
              </w:rPr>
            </w:pPr>
            <w:r>
              <w:rPr>
                <w:rFonts w:hint="eastAsia" w:asciiTheme="minorEastAsia" w:hAnsiTheme="minorEastAsia" w:eastAsiaTheme="minorEastAsia" w:cstheme="minorEastAsia"/>
                <w:b/>
                <w:color w:val="auto"/>
                <w:sz w:val="24"/>
                <w:highlight w:val="none"/>
                <w:u w:val="single"/>
              </w:rPr>
              <w:t>实质性条款：带▲是实质性条款，投标人不得负偏离或内容缺失，否则为无效标。</w:t>
            </w:r>
          </w:p>
        </w:tc>
      </w:tr>
      <w:tr w14:paraId="4AD46CB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79" w:hRule="atLeast"/>
        </w:trPr>
        <w:tc>
          <w:tcPr>
            <w:tcW w:w="737" w:type="dxa"/>
            <w:tcBorders>
              <w:top w:val="single" w:color="auto" w:sz="4" w:space="0"/>
              <w:left w:val="single" w:color="auto" w:sz="4" w:space="0"/>
              <w:bottom w:val="single" w:color="auto" w:sz="4" w:space="0"/>
              <w:right w:val="single" w:color="auto" w:sz="4" w:space="0"/>
            </w:tcBorders>
            <w:vAlign w:val="center"/>
          </w:tcPr>
          <w:p w14:paraId="21E39CD6">
            <w:pPr>
              <w:snapToGrid w:val="0"/>
              <w:spacing w:line="400" w:lineRule="exact"/>
              <w:jc w:val="center"/>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10</w:t>
            </w:r>
          </w:p>
        </w:tc>
        <w:tc>
          <w:tcPr>
            <w:tcW w:w="9286" w:type="dxa"/>
            <w:tcBorders>
              <w:top w:val="single" w:color="auto" w:sz="4" w:space="0"/>
              <w:left w:val="single" w:color="auto" w:sz="4" w:space="0"/>
              <w:bottom w:val="single" w:color="auto" w:sz="4" w:space="0"/>
              <w:right w:val="single" w:color="auto" w:sz="4" w:space="0"/>
            </w:tcBorders>
            <w:vAlign w:val="center"/>
          </w:tcPr>
          <w:p w14:paraId="239A3F2A">
            <w:pPr>
              <w:autoSpaceDE w:val="0"/>
              <w:autoSpaceDN w:val="0"/>
              <w:snapToGrid w:val="0"/>
              <w:spacing w:line="400" w:lineRule="exact"/>
              <w:textAlignment w:val="bottom"/>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中标公告：评标结束后2个工作日内，中标公告发布于采购公告发布的网站（</w:t>
            </w:r>
            <w:r>
              <w:rPr>
                <w:rFonts w:hint="eastAsia" w:asciiTheme="minorEastAsia" w:hAnsiTheme="minorEastAsia" w:eastAsiaTheme="minorEastAsia" w:cstheme="minorEastAsia"/>
                <w:color w:val="auto"/>
                <w:kern w:val="0"/>
                <w:sz w:val="24"/>
                <w:highlight w:val="none"/>
              </w:rPr>
              <w:t>临海市限额以下公共资源交易区域平台</w:t>
            </w:r>
            <w:r>
              <w:rPr>
                <w:rFonts w:hint="eastAsia" w:asciiTheme="minorEastAsia" w:hAnsiTheme="minorEastAsia" w:eastAsiaTheme="minorEastAsia" w:cstheme="minorEastAsia"/>
                <w:color w:val="auto"/>
                <w:sz w:val="24"/>
                <w:highlight w:val="none"/>
              </w:rPr>
              <w:t>）。</w:t>
            </w:r>
          </w:p>
        </w:tc>
      </w:tr>
      <w:tr w14:paraId="2AA2149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79" w:hRule="atLeast"/>
        </w:trPr>
        <w:tc>
          <w:tcPr>
            <w:tcW w:w="737" w:type="dxa"/>
            <w:tcBorders>
              <w:top w:val="single" w:color="auto" w:sz="4" w:space="0"/>
              <w:left w:val="single" w:color="auto" w:sz="4" w:space="0"/>
              <w:bottom w:val="single" w:color="auto" w:sz="4" w:space="0"/>
              <w:right w:val="single" w:color="auto" w:sz="4" w:space="0"/>
            </w:tcBorders>
            <w:vAlign w:val="center"/>
          </w:tcPr>
          <w:p w14:paraId="262C20B0">
            <w:pPr>
              <w:snapToGrid w:val="0"/>
              <w:spacing w:line="400" w:lineRule="exact"/>
              <w:jc w:val="center"/>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11</w:t>
            </w:r>
          </w:p>
        </w:tc>
        <w:tc>
          <w:tcPr>
            <w:tcW w:w="9286" w:type="dxa"/>
            <w:tcBorders>
              <w:top w:val="single" w:color="auto" w:sz="4" w:space="0"/>
              <w:left w:val="single" w:color="auto" w:sz="4" w:space="0"/>
              <w:bottom w:val="single" w:color="auto" w:sz="4" w:space="0"/>
              <w:right w:val="single" w:color="auto" w:sz="4" w:space="0"/>
            </w:tcBorders>
            <w:vAlign w:val="center"/>
          </w:tcPr>
          <w:p w14:paraId="65B24958">
            <w:pPr>
              <w:autoSpaceDE w:val="0"/>
              <w:autoSpaceDN w:val="0"/>
              <w:snapToGrid w:val="0"/>
              <w:spacing w:line="400" w:lineRule="exact"/>
              <w:textAlignment w:val="bottom"/>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中标通知书：中标公告发布后2个工作日内，如有投标人对评标结果提出质疑的，招标人可在质疑处理完毕后确定中标人。</w:t>
            </w:r>
          </w:p>
        </w:tc>
      </w:tr>
      <w:tr w14:paraId="1C7F95F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4" w:hRule="atLeast"/>
        </w:trPr>
        <w:tc>
          <w:tcPr>
            <w:tcW w:w="737" w:type="dxa"/>
            <w:tcBorders>
              <w:top w:val="single" w:color="auto" w:sz="4" w:space="0"/>
              <w:left w:val="single" w:color="auto" w:sz="4" w:space="0"/>
              <w:bottom w:val="single" w:color="auto" w:sz="4" w:space="0"/>
              <w:right w:val="single" w:color="auto" w:sz="4" w:space="0"/>
            </w:tcBorders>
            <w:vAlign w:val="center"/>
          </w:tcPr>
          <w:p w14:paraId="780BEC04">
            <w:pPr>
              <w:snapToGrid w:val="0"/>
              <w:spacing w:line="400" w:lineRule="exact"/>
              <w:jc w:val="center"/>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12</w:t>
            </w:r>
          </w:p>
        </w:tc>
        <w:tc>
          <w:tcPr>
            <w:tcW w:w="9286" w:type="dxa"/>
            <w:tcBorders>
              <w:top w:val="single" w:color="auto" w:sz="4" w:space="0"/>
              <w:left w:val="single" w:color="auto" w:sz="4" w:space="0"/>
              <w:bottom w:val="single" w:color="auto" w:sz="4" w:space="0"/>
              <w:right w:val="single" w:color="auto" w:sz="4" w:space="0"/>
            </w:tcBorders>
            <w:vAlign w:val="center"/>
          </w:tcPr>
          <w:p w14:paraId="15CB3DF4">
            <w:pPr>
              <w:autoSpaceDE w:val="0"/>
              <w:autoSpaceDN w:val="0"/>
              <w:snapToGrid w:val="0"/>
              <w:spacing w:line="400" w:lineRule="exact"/>
              <w:textAlignment w:val="bottom"/>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签订合同时间：中标通知书发出后30日内。</w:t>
            </w:r>
          </w:p>
        </w:tc>
      </w:tr>
      <w:tr w14:paraId="557FE58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4" w:hRule="atLeast"/>
        </w:trPr>
        <w:tc>
          <w:tcPr>
            <w:tcW w:w="737" w:type="dxa"/>
            <w:tcBorders>
              <w:top w:val="single" w:color="auto" w:sz="4" w:space="0"/>
              <w:left w:val="single" w:color="auto" w:sz="4" w:space="0"/>
              <w:bottom w:val="single" w:color="auto" w:sz="4" w:space="0"/>
              <w:right w:val="single" w:color="auto" w:sz="4" w:space="0"/>
            </w:tcBorders>
            <w:vAlign w:val="center"/>
          </w:tcPr>
          <w:p w14:paraId="2D33A273">
            <w:pPr>
              <w:snapToGrid w:val="0"/>
              <w:spacing w:line="400" w:lineRule="exact"/>
              <w:jc w:val="center"/>
              <w:rPr>
                <w:rFonts w:hint="default"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13</w:t>
            </w:r>
          </w:p>
        </w:tc>
        <w:tc>
          <w:tcPr>
            <w:tcW w:w="9286" w:type="dxa"/>
            <w:tcBorders>
              <w:top w:val="single" w:color="auto" w:sz="4" w:space="0"/>
              <w:left w:val="single" w:color="auto" w:sz="4" w:space="0"/>
              <w:bottom w:val="single" w:color="auto" w:sz="4" w:space="0"/>
              <w:right w:val="single" w:color="auto" w:sz="4" w:space="0"/>
            </w:tcBorders>
            <w:vAlign w:val="center"/>
          </w:tcPr>
          <w:p w14:paraId="154A1B86">
            <w:pPr>
              <w:autoSpaceDE w:val="0"/>
              <w:autoSpaceDN w:val="0"/>
              <w:snapToGrid w:val="0"/>
              <w:spacing w:line="400" w:lineRule="exact"/>
              <w:textAlignment w:val="bottom"/>
              <w:rPr>
                <w:rFonts w:hint="eastAsia" w:asciiTheme="minorEastAsia" w:hAnsiTheme="minorEastAsia" w:eastAsiaTheme="minorEastAsia" w:cstheme="minorEastAsia"/>
                <w:color w:val="auto"/>
                <w:sz w:val="24"/>
                <w:highlight w:val="none"/>
              </w:rPr>
            </w:pPr>
            <w:r>
              <w:rPr>
                <w:rFonts w:hAnsi="宋体" w:cs="宋体"/>
                <w:b w:val="0"/>
                <w:bCs w:val="0"/>
                <w:color w:val="auto"/>
                <w:kern w:val="2"/>
                <w:sz w:val="21"/>
                <w:szCs w:val="21"/>
                <w:highlight w:val="none"/>
              </w:rPr>
              <w:t>付款方式：</w:t>
            </w:r>
            <w:r>
              <w:rPr>
                <w:rFonts w:hint="eastAsia" w:hAnsi="宋体" w:cs="宋体"/>
                <w:b w:val="0"/>
                <w:bCs w:val="0"/>
                <w:color w:val="auto"/>
                <w:kern w:val="2"/>
                <w:sz w:val="21"/>
                <w:szCs w:val="21"/>
                <w:highlight w:val="none"/>
                <w:lang w:val="en-US" w:eastAsia="zh-CN"/>
              </w:rPr>
              <w:t>详见招标需求或合同</w:t>
            </w:r>
          </w:p>
        </w:tc>
      </w:tr>
      <w:tr w14:paraId="7BE29F7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94" w:hRule="atLeast"/>
        </w:trPr>
        <w:tc>
          <w:tcPr>
            <w:tcW w:w="737" w:type="dxa"/>
            <w:tcBorders>
              <w:top w:val="single" w:color="auto" w:sz="4" w:space="0"/>
              <w:left w:val="single" w:color="auto" w:sz="4" w:space="0"/>
              <w:bottom w:val="single" w:color="auto" w:sz="4" w:space="0"/>
              <w:right w:val="single" w:color="auto" w:sz="4" w:space="0"/>
            </w:tcBorders>
            <w:vAlign w:val="center"/>
          </w:tcPr>
          <w:p w14:paraId="5733D4BD">
            <w:pPr>
              <w:snapToGrid w:val="0"/>
              <w:spacing w:line="400" w:lineRule="exact"/>
              <w:jc w:val="center"/>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14</w:t>
            </w:r>
          </w:p>
        </w:tc>
        <w:tc>
          <w:tcPr>
            <w:tcW w:w="9286" w:type="dxa"/>
            <w:tcBorders>
              <w:top w:val="single" w:color="auto" w:sz="4" w:space="0"/>
              <w:left w:val="single" w:color="auto" w:sz="4" w:space="0"/>
              <w:bottom w:val="single" w:color="auto" w:sz="4" w:space="0"/>
              <w:right w:val="single" w:color="auto" w:sz="4" w:space="0"/>
            </w:tcBorders>
            <w:vAlign w:val="center"/>
          </w:tcPr>
          <w:p w14:paraId="76FDDC8C">
            <w:pPr>
              <w:rPr>
                <w:rFonts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履约保证金的收取及退还:按中标价的1%计取，领取中标通知书前缴纳至临海市产权交易所有限公司中心账户。验收合格后凭《临海市采购验收单》在系统中向临海市产权交易所有限公司退还</w:t>
            </w:r>
            <w:r>
              <w:rPr>
                <w:rFonts w:hint="eastAsia" w:ascii="宋体" w:hAnsi="宋体"/>
                <w:color w:val="auto"/>
                <w:sz w:val="24"/>
                <w:highlight w:val="none"/>
              </w:rPr>
              <w:t>。</w:t>
            </w:r>
          </w:p>
          <w:p w14:paraId="2E7E07AD">
            <w:pPr>
              <w:pStyle w:val="21"/>
              <w:spacing w:after="80" w:line="400" w:lineRule="exact"/>
              <w:jc w:val="lef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履约保证金形式：现金（电汇或银行汇票形式）或银行保函或保险机构保证保险保单或融资担保公司保函。</w:t>
            </w:r>
          </w:p>
          <w:p w14:paraId="21F61A1D">
            <w:pPr>
              <w:pStyle w:val="21"/>
              <w:spacing w:after="80" w:line="400" w:lineRule="exact"/>
              <w:jc w:val="lef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若采用银行保函，出具保函的银行级别：国有或股份制商业银行县（区、市）级及以上银行。</w:t>
            </w:r>
          </w:p>
          <w:p w14:paraId="20E9A711">
            <w:pPr>
              <w:pStyle w:val="21"/>
              <w:spacing w:after="80" w:line="400" w:lineRule="exact"/>
              <w:jc w:val="lef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若采用保险机构保证保险保单，出具保单的保险公司级别：县（区、市）级及以上国有或股份制保险公司。</w:t>
            </w:r>
          </w:p>
          <w:p w14:paraId="1ADAEAEB">
            <w:pPr>
              <w:pStyle w:val="21"/>
              <w:spacing w:after="80" w:line="400" w:lineRule="exact"/>
              <w:jc w:val="lef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若采用融资担保公司保函，出具保函的融资担保公司级别：县（区、市）级及以上国有或股份制融资担保公司。</w:t>
            </w:r>
          </w:p>
          <w:p w14:paraId="7FAAC2A1">
            <w:pPr>
              <w:pStyle w:val="21"/>
              <w:spacing w:after="80" w:line="400" w:lineRule="exact"/>
              <w:jc w:val="lef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开户名：临海市产权交易所有限公司</w:t>
            </w:r>
          </w:p>
          <w:p w14:paraId="37CC8D87">
            <w:pPr>
              <w:pStyle w:val="21"/>
              <w:spacing w:after="80" w:line="400" w:lineRule="exact"/>
              <w:jc w:val="lef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开户行：浙江临海农村商业银行股份有限公司科技支行</w:t>
            </w:r>
          </w:p>
          <w:p w14:paraId="282632C8">
            <w:pPr>
              <w:pStyle w:val="21"/>
              <w:spacing w:after="80" w:line="400" w:lineRule="exact"/>
              <w:jc w:val="lef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履约保证金账号：201000105503123000002</w:t>
            </w:r>
          </w:p>
          <w:p w14:paraId="00340655">
            <w:pPr>
              <w:pStyle w:val="21"/>
              <w:spacing w:after="80" w:line="400" w:lineRule="exact"/>
              <w:jc w:val="lef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临海市产权交易所有限公司财务咨询电话：0576-85407100。</w:t>
            </w:r>
          </w:p>
        </w:tc>
      </w:tr>
      <w:tr w14:paraId="516FD1C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39" w:hRule="atLeast"/>
        </w:trPr>
        <w:tc>
          <w:tcPr>
            <w:tcW w:w="737" w:type="dxa"/>
            <w:tcBorders>
              <w:top w:val="single" w:color="auto" w:sz="4" w:space="0"/>
              <w:left w:val="single" w:color="auto" w:sz="4" w:space="0"/>
              <w:bottom w:val="single" w:color="auto" w:sz="4" w:space="0"/>
              <w:right w:val="single" w:color="auto" w:sz="4" w:space="0"/>
            </w:tcBorders>
            <w:vAlign w:val="center"/>
          </w:tcPr>
          <w:p w14:paraId="2EBA50D3">
            <w:pPr>
              <w:snapToGrid w:val="0"/>
              <w:spacing w:line="400" w:lineRule="exact"/>
              <w:jc w:val="center"/>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15</w:t>
            </w:r>
          </w:p>
        </w:tc>
        <w:tc>
          <w:tcPr>
            <w:tcW w:w="9286" w:type="dxa"/>
            <w:tcBorders>
              <w:top w:val="single" w:color="auto" w:sz="4" w:space="0"/>
              <w:left w:val="single" w:color="auto" w:sz="4" w:space="0"/>
              <w:bottom w:val="single" w:color="auto" w:sz="4" w:space="0"/>
              <w:right w:val="single" w:color="auto" w:sz="4" w:space="0"/>
            </w:tcBorders>
            <w:vAlign w:val="center"/>
          </w:tcPr>
          <w:p w14:paraId="78C36993">
            <w:pPr>
              <w:pStyle w:val="21"/>
              <w:spacing w:after="80" w:line="400" w:lineRule="exact"/>
              <w:jc w:val="lef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电子投标文件的上传：</w:t>
            </w:r>
          </w:p>
          <w:p w14:paraId="2FD8B7F0">
            <w:pPr>
              <w:pStyle w:val="21"/>
              <w:spacing w:after="80" w:line="400" w:lineRule="exact"/>
              <w:jc w:val="lef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（1）电子投标文件可在投标截止时间前上传，未在投标截止时间前上传的投标文件视为无效标。</w:t>
            </w:r>
          </w:p>
          <w:p w14:paraId="414FA3DC">
            <w:pPr>
              <w:pStyle w:val="21"/>
              <w:spacing w:after="80" w:line="400" w:lineRule="exact"/>
              <w:jc w:val="lef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（2）上传加密的电子投标文件，后缀名为（.投标文件）（本项目无需提供纸质投标文件，只要求上传电子投标文件正本一份）</w:t>
            </w:r>
          </w:p>
          <w:p w14:paraId="1DB2A15E">
            <w:pPr>
              <w:pStyle w:val="21"/>
              <w:spacing w:after="80" w:line="400" w:lineRule="exact"/>
              <w:jc w:val="lef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CA咨询电话：400-0571-337，投标工具咨询电话：15267291759</w:t>
            </w:r>
          </w:p>
          <w:p w14:paraId="6151FBE5">
            <w:pPr>
              <w:spacing w:line="400" w:lineRule="exact"/>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4"/>
                <w:highlight w:val="none"/>
              </w:rPr>
              <w:t>说明：</w:t>
            </w:r>
            <w:r>
              <w:rPr>
                <w:rFonts w:hint="eastAsia" w:asciiTheme="minorEastAsia" w:hAnsiTheme="minorEastAsia" w:eastAsiaTheme="minorEastAsia" w:cstheme="minorEastAsia"/>
                <w:color w:val="auto"/>
                <w:kern w:val="0"/>
                <w:sz w:val="24"/>
                <w:highlight w:val="none"/>
              </w:rPr>
              <w:t>开标时间到达后，在开启解密时间60分钟内（具体时间以不见面开标大厅</w:t>
            </w:r>
            <w:bookmarkStart w:id="11" w:name="_Hlk59625364"/>
            <w:r>
              <w:rPr>
                <w:rFonts w:hint="eastAsia" w:asciiTheme="minorEastAsia" w:hAnsiTheme="minorEastAsia" w:eastAsiaTheme="minorEastAsia" w:cstheme="minorEastAsia"/>
                <w:color w:val="auto"/>
                <w:kern w:val="0"/>
                <w:sz w:val="24"/>
                <w:highlight w:val="none"/>
              </w:rPr>
              <w:t>中显示的</w:t>
            </w:r>
            <w:bookmarkEnd w:id="11"/>
            <w:r>
              <w:rPr>
                <w:rFonts w:hint="eastAsia" w:asciiTheme="minorEastAsia" w:hAnsiTheme="minorEastAsia" w:eastAsiaTheme="minorEastAsia" w:cstheme="minorEastAsia"/>
                <w:color w:val="auto"/>
                <w:kern w:val="0"/>
                <w:sz w:val="24"/>
                <w:highlight w:val="none"/>
              </w:rPr>
              <w:t>解密截止时间为准），投标人须登录临海市限额以下公共资源交易区域平台-不见面开标大厅，找到所参与的项目进行解密投标文件，</w:t>
            </w:r>
            <w:bookmarkStart w:id="12" w:name="_Hlk59625972"/>
            <w:r>
              <w:rPr>
                <w:rFonts w:hint="eastAsia" w:asciiTheme="minorEastAsia" w:hAnsiTheme="minorEastAsia" w:eastAsiaTheme="minorEastAsia" w:cstheme="minorEastAsia"/>
                <w:color w:val="auto"/>
                <w:kern w:val="0"/>
                <w:sz w:val="24"/>
                <w:highlight w:val="none"/>
              </w:rPr>
              <w:t xml:space="preserve">投标人未按时解密或解密失败的，其投标文件为无效标。 </w:t>
            </w:r>
            <w:bookmarkEnd w:id="12"/>
          </w:p>
        </w:tc>
      </w:tr>
      <w:tr w14:paraId="111EBBC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39" w:hRule="atLeast"/>
        </w:trPr>
        <w:tc>
          <w:tcPr>
            <w:tcW w:w="737" w:type="dxa"/>
            <w:tcBorders>
              <w:top w:val="single" w:color="auto" w:sz="4" w:space="0"/>
              <w:left w:val="single" w:color="auto" w:sz="4" w:space="0"/>
              <w:bottom w:val="single" w:color="auto" w:sz="4" w:space="0"/>
              <w:right w:val="single" w:color="auto" w:sz="4" w:space="0"/>
            </w:tcBorders>
            <w:vAlign w:val="center"/>
          </w:tcPr>
          <w:p w14:paraId="1A599920">
            <w:pPr>
              <w:snapToGrid w:val="0"/>
              <w:spacing w:line="400" w:lineRule="exact"/>
              <w:jc w:val="center"/>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16</w:t>
            </w:r>
          </w:p>
        </w:tc>
        <w:tc>
          <w:tcPr>
            <w:tcW w:w="9286" w:type="dxa"/>
            <w:tcBorders>
              <w:top w:val="single" w:color="auto" w:sz="4" w:space="0"/>
              <w:left w:val="single" w:color="auto" w:sz="4" w:space="0"/>
              <w:bottom w:val="single" w:color="auto" w:sz="4" w:space="0"/>
              <w:right w:val="single" w:color="auto" w:sz="4" w:space="0"/>
            </w:tcBorders>
            <w:vAlign w:val="center"/>
          </w:tcPr>
          <w:p w14:paraId="32B1582E">
            <w:pPr>
              <w:pStyle w:val="21"/>
              <w:spacing w:after="80" w:line="400" w:lineRule="exact"/>
              <w:jc w:val="lef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投标人平台使用费：</w:t>
            </w:r>
          </w:p>
          <w:p w14:paraId="1A510A1D">
            <w:pPr>
              <w:pStyle w:val="21"/>
              <w:spacing w:after="80" w:line="400" w:lineRule="exact"/>
              <w:jc w:val="lef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项目金额50万元以下收费100元，50万元以上收费150元。</w:t>
            </w:r>
          </w:p>
          <w:p w14:paraId="25D41903">
            <w:pPr>
              <w:pStyle w:val="21"/>
              <w:spacing w:after="80" w:line="400" w:lineRule="exact"/>
              <w:jc w:val="lef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开户名：临海市产权交易所有限公司</w:t>
            </w:r>
          </w:p>
          <w:p w14:paraId="2F10DC30">
            <w:pPr>
              <w:pStyle w:val="21"/>
              <w:spacing w:after="80" w:line="400" w:lineRule="exact"/>
              <w:jc w:val="lef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开户行：浙江临海农村商业银行股份有限公司科技支行</w:t>
            </w:r>
          </w:p>
          <w:p w14:paraId="67441514">
            <w:pPr>
              <w:pStyle w:val="21"/>
              <w:spacing w:after="80" w:line="400" w:lineRule="exact"/>
              <w:jc w:val="lef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平台使用费账号：201000105503123000003</w:t>
            </w:r>
          </w:p>
          <w:p w14:paraId="3F0E961B">
            <w:pPr>
              <w:pStyle w:val="21"/>
              <w:spacing w:after="80" w:line="400" w:lineRule="exact"/>
              <w:jc w:val="lef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临海市产权交易所有限公司财务咨询电话：0576-85407100。</w:t>
            </w:r>
          </w:p>
          <w:p w14:paraId="613ACADA">
            <w:pPr>
              <w:pStyle w:val="21"/>
              <w:spacing w:after="80" w:line="400" w:lineRule="exact"/>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注意：请提前缴纳相关费用，以防影响正常投标。</w:t>
            </w:r>
          </w:p>
          <w:p w14:paraId="5B9ECFB2">
            <w:pPr>
              <w:pStyle w:val="22"/>
              <w:rPr>
                <w:color w:val="auto"/>
                <w:highlight w:val="none"/>
              </w:rPr>
            </w:pPr>
            <w:r>
              <w:rPr>
                <w:rFonts w:hint="eastAsia"/>
                <w:b/>
                <w:bCs/>
                <w:color w:val="auto"/>
                <w:highlight w:val="none"/>
              </w:rPr>
              <w:t>温馨提示：因业务调整，“平台使用费、中标服务费”预存功能即将停用。请相关各单位结合业务需求，及时办理款项缴纳，具体要求如下： 1.预存余额已清零的，请按单个项目、标段金额逐笔打款；2.预存余额不足的，请先按对应项目、标段金额补足款项，再完成绑定操作。</w:t>
            </w:r>
          </w:p>
        </w:tc>
      </w:tr>
      <w:tr w14:paraId="5DFC555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9" w:hRule="atLeast"/>
        </w:trPr>
        <w:tc>
          <w:tcPr>
            <w:tcW w:w="737" w:type="dxa"/>
            <w:tcBorders>
              <w:top w:val="single" w:color="auto" w:sz="4" w:space="0"/>
              <w:left w:val="single" w:color="auto" w:sz="4" w:space="0"/>
              <w:bottom w:val="single" w:color="auto" w:sz="4" w:space="0"/>
              <w:right w:val="single" w:color="auto" w:sz="4" w:space="0"/>
            </w:tcBorders>
            <w:vAlign w:val="center"/>
          </w:tcPr>
          <w:p w14:paraId="12A0E72D">
            <w:pPr>
              <w:snapToGrid w:val="0"/>
              <w:spacing w:line="400" w:lineRule="exact"/>
              <w:jc w:val="center"/>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17</w:t>
            </w:r>
          </w:p>
        </w:tc>
        <w:tc>
          <w:tcPr>
            <w:tcW w:w="9286" w:type="dxa"/>
            <w:tcBorders>
              <w:top w:val="single" w:color="auto" w:sz="4" w:space="0"/>
              <w:left w:val="single" w:color="auto" w:sz="4" w:space="0"/>
              <w:bottom w:val="single" w:color="auto" w:sz="4" w:space="0"/>
              <w:right w:val="single" w:color="auto" w:sz="4" w:space="0"/>
            </w:tcBorders>
            <w:vAlign w:val="center"/>
          </w:tcPr>
          <w:p w14:paraId="1B0463B8">
            <w:pPr>
              <w:pStyle w:val="21"/>
              <w:spacing w:after="80" w:line="400" w:lineRule="exact"/>
              <w:jc w:val="lef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电子发票申请方式：</w:t>
            </w:r>
          </w:p>
          <w:p w14:paraId="68F10336">
            <w:pPr>
              <w:pStyle w:val="21"/>
              <w:spacing w:after="80" w:line="400" w:lineRule="exact"/>
              <w:jc w:val="lef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为保证正常投标，请各投标人注意提前缴纳相关费用，关于已缴纳的平台使用费的电子发票请自行通过“临海市限额以下公共资源交易区域平台交易系统中-费用管理”中根据已参与项目进行申请电子发票的开具。</w:t>
            </w:r>
          </w:p>
        </w:tc>
      </w:tr>
      <w:tr w14:paraId="6B420E7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39" w:hRule="atLeast"/>
        </w:trPr>
        <w:tc>
          <w:tcPr>
            <w:tcW w:w="737" w:type="dxa"/>
            <w:tcBorders>
              <w:top w:val="single" w:color="auto" w:sz="4" w:space="0"/>
              <w:left w:val="single" w:color="auto" w:sz="4" w:space="0"/>
              <w:bottom w:val="single" w:color="auto" w:sz="4" w:space="0"/>
              <w:right w:val="single" w:color="auto" w:sz="4" w:space="0"/>
            </w:tcBorders>
            <w:vAlign w:val="center"/>
          </w:tcPr>
          <w:p w14:paraId="78E49C7E">
            <w:pPr>
              <w:snapToGrid w:val="0"/>
              <w:spacing w:line="400" w:lineRule="exact"/>
              <w:jc w:val="center"/>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18</w:t>
            </w:r>
          </w:p>
        </w:tc>
        <w:tc>
          <w:tcPr>
            <w:tcW w:w="9286" w:type="dxa"/>
            <w:tcBorders>
              <w:top w:val="single" w:color="auto" w:sz="4" w:space="0"/>
              <w:left w:val="single" w:color="auto" w:sz="4" w:space="0"/>
              <w:bottom w:val="single" w:color="auto" w:sz="4" w:space="0"/>
              <w:right w:val="single" w:color="auto" w:sz="4" w:space="0"/>
            </w:tcBorders>
            <w:vAlign w:val="center"/>
          </w:tcPr>
          <w:p w14:paraId="68F79B80">
            <w:pPr>
              <w:pStyle w:val="21"/>
              <w:spacing w:after="80" w:line="400" w:lineRule="exact"/>
              <w:jc w:val="lef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特别事项：</w:t>
            </w:r>
          </w:p>
          <w:p w14:paraId="74FEF4A5">
            <w:pPr>
              <w:pStyle w:val="21"/>
              <w:spacing w:after="80" w:line="400" w:lineRule="exact"/>
              <w:jc w:val="lef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潜在投标人未在临海市限额以下公共资源交易区域平台办理注册入驻的，应先申办注册入驻手续，具体办理要求请登陆临海市限额以下公共资源交易区域平台（https://www.lhcqjy.com.cn/）的“注册入口”栏目进行注册入驻。</w:t>
            </w:r>
          </w:p>
          <w:p w14:paraId="1E77142C">
            <w:pPr>
              <w:pStyle w:val="21"/>
              <w:spacing w:after="80" w:line="400" w:lineRule="exact"/>
              <w:jc w:val="lef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本项目为全过程电子招投标，潜在投标人须办理CA数字证书，且CA数字证书在临海市限额以下公共资源交易区域平台交易系统进行绑定，否则无法上传、解密电子投标文件。若未办理CA数字证书，办理详见平台网站办事指南“临海市限额以下公共资源交易区域平台--企业注册及CA业务操作手册v1”，或者联系客服电话：400-0571-337</w:t>
            </w:r>
          </w:p>
          <w:p w14:paraId="6E5B61E2">
            <w:pPr>
              <w:pStyle w:val="21"/>
              <w:spacing w:after="80" w:line="400" w:lineRule="exact"/>
              <w:jc w:val="lef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本项目电子投标文件须通过临海市限额以下公共资源交易区域平台—电子投标文件编制工具制作，投标文件的编制应根据电子招标文件进行编制，上传相应的pdf文件并加盖电子签章。如未按招标文件要求编制、上传电子投标文件，作废标处理，其后果由投标人自负。（电子投标文件编制工具可在临海市限额以下公共资源交易区域平台交易系统（https://jypt.lhcqjy.com.cn/）中下载）。</w:t>
            </w:r>
          </w:p>
          <w:p w14:paraId="562C64E3">
            <w:pPr>
              <w:pStyle w:val="21"/>
              <w:spacing w:after="80" w:line="400" w:lineRule="exact"/>
              <w:jc w:val="lef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软件技术支持电话：15267291759（同微信）。</w:t>
            </w:r>
          </w:p>
        </w:tc>
      </w:tr>
      <w:tr w14:paraId="3039E22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24" w:hRule="atLeast"/>
        </w:trPr>
        <w:tc>
          <w:tcPr>
            <w:tcW w:w="737" w:type="dxa"/>
            <w:tcBorders>
              <w:top w:val="single" w:color="auto" w:sz="4" w:space="0"/>
              <w:left w:val="single" w:color="auto" w:sz="4" w:space="0"/>
              <w:bottom w:val="single" w:color="auto" w:sz="4" w:space="0"/>
              <w:right w:val="single" w:color="auto" w:sz="4" w:space="0"/>
            </w:tcBorders>
            <w:vAlign w:val="center"/>
          </w:tcPr>
          <w:p w14:paraId="7FF646A2">
            <w:pPr>
              <w:snapToGrid w:val="0"/>
              <w:spacing w:line="400" w:lineRule="exact"/>
              <w:jc w:val="center"/>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19</w:t>
            </w:r>
          </w:p>
        </w:tc>
        <w:tc>
          <w:tcPr>
            <w:tcW w:w="9286" w:type="dxa"/>
            <w:tcBorders>
              <w:top w:val="single" w:color="auto" w:sz="4" w:space="0"/>
              <w:left w:val="single" w:color="auto" w:sz="4" w:space="0"/>
              <w:bottom w:val="single" w:color="auto" w:sz="4" w:space="0"/>
              <w:right w:val="single" w:color="auto" w:sz="4" w:space="0"/>
            </w:tcBorders>
            <w:vAlign w:val="center"/>
          </w:tcPr>
          <w:p w14:paraId="6877834F">
            <w:pPr>
              <w:autoSpaceDE w:val="0"/>
              <w:autoSpaceDN w:val="0"/>
              <w:snapToGrid w:val="0"/>
              <w:spacing w:line="400" w:lineRule="exact"/>
              <w:textAlignment w:val="bottom"/>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解释：本招标文件的解释权属于招标人。</w:t>
            </w:r>
          </w:p>
        </w:tc>
      </w:tr>
    </w:tbl>
    <w:p w14:paraId="2018F633">
      <w:pPr>
        <w:pStyle w:val="32"/>
        <w:snapToGrid w:val="0"/>
        <w:spacing w:beforeLines="0" w:afterLines="0"/>
        <w:rPr>
          <w:rFonts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br w:type="page"/>
      </w:r>
    </w:p>
    <w:p w14:paraId="011B9F4E">
      <w:pPr>
        <w:pStyle w:val="32"/>
        <w:snapToGrid w:val="0"/>
        <w:spacing w:beforeLines="0" w:afterLines="0" w:line="420" w:lineRule="exact"/>
        <w:ind w:firstLine="482" w:firstLineChars="200"/>
        <w:rPr>
          <w:rFonts w:hAnsi="宋体"/>
          <w:b/>
          <w:color w:val="auto"/>
          <w:highlight w:val="none"/>
          <w:shd w:val="clear" w:color="auto" w:fill="auto"/>
        </w:rPr>
      </w:pPr>
      <w:bookmarkStart w:id="13" w:name="_Toc466534750"/>
      <w:r>
        <w:rPr>
          <w:rFonts w:hint="eastAsia" w:hAnsi="宋体"/>
          <w:b/>
          <w:color w:val="auto"/>
          <w:highlight w:val="none"/>
          <w:shd w:val="clear" w:color="auto" w:fill="auto"/>
        </w:rPr>
        <w:t>一 、总  则</w:t>
      </w:r>
    </w:p>
    <w:p w14:paraId="3248565A">
      <w:pPr>
        <w:snapToGrid w:val="0"/>
        <w:spacing w:line="420" w:lineRule="exact"/>
        <w:ind w:firstLine="472" w:firstLineChars="196"/>
        <w:jc w:val="left"/>
        <w:rPr>
          <w:rFonts w:ascii="宋体" w:hAnsi="宋体"/>
          <w:b/>
          <w:color w:val="auto"/>
          <w:sz w:val="24"/>
          <w:highlight w:val="none"/>
          <w:shd w:val="clear" w:color="auto" w:fill="auto"/>
        </w:rPr>
      </w:pPr>
      <w:r>
        <w:rPr>
          <w:rFonts w:hint="eastAsia" w:ascii="宋体" w:hAnsi="宋体"/>
          <w:b/>
          <w:color w:val="auto"/>
          <w:sz w:val="24"/>
          <w:highlight w:val="none"/>
          <w:shd w:val="clear" w:color="auto" w:fill="auto"/>
        </w:rPr>
        <w:t>（一）适用范围</w:t>
      </w:r>
    </w:p>
    <w:p w14:paraId="4A997176">
      <w:pPr>
        <w:snapToGrid w:val="0"/>
        <w:spacing w:line="420" w:lineRule="exact"/>
        <w:ind w:firstLine="480" w:firstLineChars="200"/>
        <w:jc w:val="left"/>
        <w:rPr>
          <w:rFonts w:ascii="宋体" w:hAnsi="宋体"/>
          <w:color w:val="auto"/>
          <w:sz w:val="24"/>
          <w:highlight w:val="none"/>
          <w:shd w:val="clear" w:color="auto" w:fill="auto"/>
        </w:rPr>
      </w:pPr>
      <w:r>
        <w:rPr>
          <w:rFonts w:hint="eastAsia" w:ascii="宋体" w:hAnsi="宋体"/>
          <w:color w:val="auto"/>
          <w:sz w:val="24"/>
          <w:highlight w:val="none"/>
          <w:shd w:val="clear" w:color="auto" w:fill="auto"/>
        </w:rPr>
        <w:t>本招标文件适用于本项目的招标、投标、评标、定标、验收、合同履约、付款等行为。</w:t>
      </w:r>
    </w:p>
    <w:p w14:paraId="0BE5C149">
      <w:pPr>
        <w:snapToGrid w:val="0"/>
        <w:spacing w:before="120" w:beforeLines="50" w:line="420" w:lineRule="exact"/>
        <w:ind w:firstLine="354" w:firstLineChars="147"/>
        <w:jc w:val="left"/>
        <w:rPr>
          <w:rFonts w:ascii="宋体" w:hAnsi="宋体"/>
          <w:b/>
          <w:color w:val="auto"/>
          <w:sz w:val="24"/>
          <w:highlight w:val="none"/>
          <w:shd w:val="clear" w:color="auto" w:fill="auto"/>
        </w:rPr>
      </w:pPr>
      <w:r>
        <w:rPr>
          <w:rFonts w:hint="eastAsia" w:ascii="宋体" w:hAnsi="宋体"/>
          <w:b/>
          <w:color w:val="auto"/>
          <w:sz w:val="24"/>
          <w:highlight w:val="none"/>
          <w:shd w:val="clear" w:color="auto" w:fill="auto"/>
        </w:rPr>
        <w:t>（二）定义</w:t>
      </w:r>
    </w:p>
    <w:p w14:paraId="201EABC0">
      <w:pPr>
        <w:snapToGrid w:val="0"/>
        <w:spacing w:line="420" w:lineRule="exact"/>
        <w:ind w:firstLine="480" w:firstLineChars="200"/>
        <w:jc w:val="left"/>
        <w:rPr>
          <w:rFonts w:ascii="宋体" w:hAnsi="宋体"/>
          <w:color w:val="auto"/>
          <w:sz w:val="24"/>
          <w:highlight w:val="none"/>
          <w:shd w:val="clear" w:color="auto" w:fill="auto"/>
        </w:rPr>
      </w:pPr>
      <w:r>
        <w:rPr>
          <w:rFonts w:hint="eastAsia" w:ascii="宋体" w:hAnsi="宋体"/>
          <w:color w:val="auto"/>
          <w:sz w:val="24"/>
          <w:highlight w:val="none"/>
          <w:shd w:val="clear" w:color="auto" w:fill="auto"/>
        </w:rPr>
        <w:t>1.“招标人”系指组织本次招标的</w:t>
      </w:r>
      <w:r>
        <w:rPr>
          <w:rFonts w:hint="eastAsia" w:ascii="宋体" w:hAnsi="宋体"/>
          <w:color w:val="auto"/>
          <w:sz w:val="24"/>
          <w:highlight w:val="none"/>
          <w:u w:val="single"/>
          <w:shd w:val="clear" w:color="auto" w:fill="auto"/>
        </w:rPr>
        <w:t>代理机构</w:t>
      </w:r>
      <w:r>
        <w:rPr>
          <w:rFonts w:hint="eastAsia" w:ascii="宋体" w:hAnsi="宋体"/>
          <w:color w:val="auto"/>
          <w:sz w:val="24"/>
          <w:highlight w:val="none"/>
          <w:shd w:val="clear" w:color="auto" w:fill="auto"/>
        </w:rPr>
        <w:t>和招标人。</w:t>
      </w:r>
    </w:p>
    <w:p w14:paraId="4B3A8DA4">
      <w:pPr>
        <w:snapToGrid w:val="0"/>
        <w:spacing w:line="420" w:lineRule="exact"/>
        <w:ind w:firstLine="480" w:firstLineChars="200"/>
        <w:jc w:val="left"/>
        <w:rPr>
          <w:rFonts w:ascii="宋体" w:hAnsi="宋体"/>
          <w:color w:val="auto"/>
          <w:sz w:val="24"/>
          <w:highlight w:val="none"/>
          <w:shd w:val="clear" w:color="auto" w:fill="auto"/>
        </w:rPr>
      </w:pPr>
      <w:r>
        <w:rPr>
          <w:rFonts w:hint="eastAsia" w:ascii="宋体" w:hAnsi="宋体"/>
          <w:color w:val="auto"/>
          <w:sz w:val="24"/>
          <w:highlight w:val="none"/>
          <w:shd w:val="clear" w:color="auto" w:fill="auto"/>
        </w:rPr>
        <w:t>2.“投标人”系指向招标人提交投标文件的单位。</w:t>
      </w:r>
    </w:p>
    <w:p w14:paraId="5D4240CC">
      <w:pPr>
        <w:snapToGrid w:val="0"/>
        <w:spacing w:line="420" w:lineRule="exact"/>
        <w:ind w:firstLine="480" w:firstLineChars="200"/>
        <w:jc w:val="left"/>
        <w:rPr>
          <w:rFonts w:ascii="宋体" w:hAnsi="宋体"/>
          <w:color w:val="auto"/>
          <w:sz w:val="24"/>
          <w:highlight w:val="none"/>
          <w:shd w:val="clear" w:color="auto" w:fill="auto"/>
        </w:rPr>
      </w:pPr>
      <w:r>
        <w:rPr>
          <w:rFonts w:hint="eastAsia" w:ascii="宋体" w:hAnsi="宋体"/>
          <w:color w:val="auto"/>
          <w:sz w:val="24"/>
          <w:highlight w:val="none"/>
          <w:shd w:val="clear" w:color="auto" w:fill="auto"/>
        </w:rPr>
        <w:t>3.“产品”系指供方按招标文件规定，须向招标人提供的一切设备、保险、税金、备品备件、工具、手册及其它有关技术资料和材料。</w:t>
      </w:r>
    </w:p>
    <w:p w14:paraId="06BCA708">
      <w:pPr>
        <w:snapToGrid w:val="0"/>
        <w:spacing w:line="420" w:lineRule="exact"/>
        <w:ind w:firstLine="480" w:firstLineChars="200"/>
        <w:jc w:val="left"/>
        <w:rPr>
          <w:rFonts w:ascii="宋体" w:hAnsi="宋体"/>
          <w:color w:val="auto"/>
          <w:sz w:val="24"/>
          <w:highlight w:val="none"/>
          <w:shd w:val="clear" w:color="auto" w:fill="auto"/>
        </w:rPr>
      </w:pPr>
      <w:r>
        <w:rPr>
          <w:rFonts w:hint="eastAsia" w:ascii="宋体" w:hAnsi="宋体"/>
          <w:color w:val="auto"/>
          <w:sz w:val="24"/>
          <w:highlight w:val="none"/>
          <w:shd w:val="clear" w:color="auto" w:fill="auto"/>
        </w:rPr>
        <w:t>4.“服务”系指招标文件规定投标人须承担的安装、调试、技术协助、校准、培训、技术指导以及其他类似的义务。</w:t>
      </w:r>
    </w:p>
    <w:p w14:paraId="401A79EC">
      <w:pPr>
        <w:snapToGrid w:val="0"/>
        <w:spacing w:line="420" w:lineRule="exact"/>
        <w:ind w:firstLine="480" w:firstLineChars="200"/>
        <w:jc w:val="left"/>
        <w:rPr>
          <w:rFonts w:ascii="宋体" w:hAnsi="宋体"/>
          <w:color w:val="auto"/>
          <w:sz w:val="24"/>
          <w:highlight w:val="none"/>
          <w:shd w:val="clear" w:color="auto" w:fill="auto"/>
        </w:rPr>
      </w:pPr>
      <w:r>
        <w:rPr>
          <w:rFonts w:hint="eastAsia" w:ascii="宋体" w:hAnsi="宋体"/>
          <w:color w:val="auto"/>
          <w:sz w:val="24"/>
          <w:highlight w:val="none"/>
          <w:shd w:val="clear" w:color="auto" w:fill="auto"/>
        </w:rPr>
        <w:t>5.“项目”系指投标人按招标文件规定向招标人提供的产品和服务。</w:t>
      </w:r>
    </w:p>
    <w:p w14:paraId="47C63C5F">
      <w:pPr>
        <w:snapToGrid w:val="0"/>
        <w:spacing w:line="420" w:lineRule="exact"/>
        <w:ind w:firstLine="480" w:firstLineChars="200"/>
        <w:jc w:val="left"/>
        <w:rPr>
          <w:rFonts w:ascii="宋体" w:hAnsi="宋体"/>
          <w:color w:val="auto"/>
          <w:sz w:val="24"/>
          <w:highlight w:val="none"/>
          <w:shd w:val="clear" w:color="auto" w:fill="auto"/>
        </w:rPr>
      </w:pPr>
      <w:r>
        <w:rPr>
          <w:rFonts w:hint="eastAsia" w:ascii="宋体" w:hAnsi="宋体"/>
          <w:color w:val="auto"/>
          <w:sz w:val="24"/>
          <w:highlight w:val="none"/>
          <w:shd w:val="clear" w:color="auto" w:fill="auto"/>
        </w:rPr>
        <w:t>6.“书面形式”包括信函、传真、电报等。</w:t>
      </w:r>
    </w:p>
    <w:p w14:paraId="4D82521E">
      <w:pPr>
        <w:snapToGrid w:val="0"/>
        <w:spacing w:line="420" w:lineRule="exact"/>
        <w:ind w:firstLine="480" w:firstLineChars="200"/>
        <w:jc w:val="left"/>
        <w:rPr>
          <w:rFonts w:ascii="宋体" w:hAnsi="宋体"/>
          <w:color w:val="auto"/>
          <w:sz w:val="24"/>
          <w:highlight w:val="none"/>
          <w:shd w:val="clear" w:color="auto" w:fill="auto"/>
        </w:rPr>
      </w:pPr>
      <w:r>
        <w:rPr>
          <w:rFonts w:hint="eastAsia" w:ascii="宋体" w:hAnsi="宋体"/>
          <w:color w:val="auto"/>
          <w:sz w:val="24"/>
          <w:highlight w:val="none"/>
          <w:shd w:val="clear" w:color="auto" w:fill="auto"/>
        </w:rPr>
        <w:t>7.“▲”系指实质性要求条款。</w:t>
      </w:r>
    </w:p>
    <w:p w14:paraId="13646BA7">
      <w:pPr>
        <w:snapToGrid w:val="0"/>
        <w:spacing w:before="120" w:beforeLines="50" w:line="420" w:lineRule="exact"/>
        <w:ind w:firstLine="472" w:firstLineChars="196"/>
        <w:jc w:val="left"/>
        <w:rPr>
          <w:rFonts w:ascii="宋体" w:hAnsi="宋体"/>
          <w:b/>
          <w:color w:val="auto"/>
          <w:sz w:val="24"/>
          <w:highlight w:val="none"/>
          <w:shd w:val="clear" w:color="auto" w:fill="auto"/>
        </w:rPr>
      </w:pPr>
      <w:r>
        <w:rPr>
          <w:rFonts w:hint="eastAsia" w:ascii="宋体" w:hAnsi="宋体"/>
          <w:b/>
          <w:color w:val="auto"/>
          <w:sz w:val="24"/>
          <w:highlight w:val="none"/>
          <w:shd w:val="clear" w:color="auto" w:fill="auto"/>
        </w:rPr>
        <w:t>（三）招标方式</w:t>
      </w:r>
    </w:p>
    <w:p w14:paraId="21708575">
      <w:pPr>
        <w:snapToGrid w:val="0"/>
        <w:spacing w:line="420" w:lineRule="exact"/>
        <w:ind w:firstLine="480" w:firstLineChars="200"/>
        <w:jc w:val="left"/>
        <w:rPr>
          <w:rFonts w:ascii="宋体" w:hAnsi="宋体"/>
          <w:color w:val="auto"/>
          <w:sz w:val="24"/>
          <w:highlight w:val="none"/>
          <w:shd w:val="clear" w:color="auto" w:fill="auto"/>
        </w:rPr>
      </w:pPr>
      <w:r>
        <w:rPr>
          <w:rFonts w:hint="eastAsia" w:ascii="宋体" w:hAnsi="宋体"/>
          <w:color w:val="auto"/>
          <w:sz w:val="24"/>
          <w:highlight w:val="none"/>
          <w:shd w:val="clear" w:color="auto" w:fill="auto"/>
        </w:rPr>
        <w:t>本次招标采用公开招标方式进行。</w:t>
      </w:r>
    </w:p>
    <w:p w14:paraId="27B03E75">
      <w:pPr>
        <w:snapToGrid w:val="0"/>
        <w:spacing w:before="120" w:beforeLines="50" w:line="420" w:lineRule="exact"/>
        <w:ind w:firstLine="472" w:firstLineChars="196"/>
        <w:jc w:val="left"/>
        <w:rPr>
          <w:rFonts w:ascii="宋体" w:hAnsi="宋体"/>
          <w:b/>
          <w:color w:val="auto"/>
          <w:sz w:val="24"/>
          <w:highlight w:val="none"/>
          <w:shd w:val="clear" w:color="auto" w:fill="auto"/>
        </w:rPr>
      </w:pPr>
      <w:r>
        <w:rPr>
          <w:rFonts w:hint="eastAsia" w:ascii="宋体" w:hAnsi="宋体"/>
          <w:b/>
          <w:color w:val="auto"/>
          <w:sz w:val="24"/>
          <w:highlight w:val="none"/>
          <w:shd w:val="clear" w:color="auto" w:fill="auto"/>
        </w:rPr>
        <w:t>（四）投标委托</w:t>
      </w:r>
    </w:p>
    <w:p w14:paraId="05E14938">
      <w:pPr>
        <w:pStyle w:val="24"/>
        <w:snapToGrid w:val="0"/>
        <w:spacing w:line="420" w:lineRule="exact"/>
        <w:ind w:firstLine="464" w:firstLineChars="200"/>
        <w:jc w:val="left"/>
        <w:rPr>
          <w:rFonts w:hAnsi="宋体"/>
          <w:color w:val="auto"/>
          <w:sz w:val="24"/>
          <w:szCs w:val="24"/>
          <w:highlight w:val="none"/>
          <w:shd w:val="clear" w:color="auto" w:fill="auto"/>
        </w:rPr>
      </w:pPr>
      <w:r>
        <w:rPr>
          <w:rFonts w:hint="eastAsia" w:hAnsi="宋体"/>
          <w:color w:val="auto"/>
          <w:sz w:val="24"/>
          <w:szCs w:val="24"/>
          <w:highlight w:val="none"/>
          <w:shd w:val="clear" w:color="auto" w:fill="auto"/>
        </w:rPr>
        <w:t>投标人代表须携带有效身份证件。如投标人代表不是法定代表人，须有法定代表人出具的授权委托书，格式见第六章。</w:t>
      </w:r>
    </w:p>
    <w:p w14:paraId="5D5E0315">
      <w:pPr>
        <w:snapToGrid w:val="0"/>
        <w:spacing w:before="120" w:beforeLines="50" w:line="420" w:lineRule="exact"/>
        <w:ind w:firstLine="472" w:firstLineChars="196"/>
        <w:jc w:val="left"/>
        <w:rPr>
          <w:rFonts w:ascii="宋体" w:hAnsi="宋体"/>
          <w:b/>
          <w:color w:val="auto"/>
          <w:sz w:val="24"/>
          <w:highlight w:val="none"/>
          <w:shd w:val="clear" w:color="auto" w:fill="auto"/>
        </w:rPr>
      </w:pPr>
      <w:r>
        <w:rPr>
          <w:rFonts w:hint="eastAsia" w:ascii="宋体" w:hAnsi="宋体"/>
          <w:b/>
          <w:color w:val="auto"/>
          <w:sz w:val="24"/>
          <w:highlight w:val="none"/>
          <w:shd w:val="clear" w:color="auto" w:fill="auto"/>
        </w:rPr>
        <w:t>（五）投标费用及结算</w:t>
      </w:r>
    </w:p>
    <w:p w14:paraId="6016F581">
      <w:pPr>
        <w:snapToGrid w:val="0"/>
        <w:spacing w:line="420" w:lineRule="exact"/>
        <w:ind w:firstLine="480" w:firstLineChars="200"/>
        <w:jc w:val="left"/>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1）不论投标结果如何，投标人均应自行承担所有与投标有关的全部费用。</w:t>
      </w:r>
    </w:p>
    <w:p w14:paraId="06D29319">
      <w:pPr>
        <w:spacing w:line="420" w:lineRule="exact"/>
        <w:ind w:firstLine="480" w:firstLineChars="200"/>
        <w:rPr>
          <w:rFonts w:ascii="宋体" w:hAnsi="宋体" w:cs="宋体"/>
          <w:b/>
          <w:color w:val="auto"/>
          <w:sz w:val="24"/>
          <w:highlight w:val="none"/>
          <w:u w:val="single"/>
          <w:shd w:val="clear" w:color="auto" w:fill="auto"/>
        </w:rPr>
      </w:pPr>
      <w:r>
        <w:rPr>
          <w:rFonts w:hint="eastAsia" w:ascii="宋体" w:hAnsi="宋体" w:cs="宋体"/>
          <w:color w:val="auto"/>
          <w:sz w:val="24"/>
          <w:highlight w:val="none"/>
          <w:shd w:val="clear" w:color="auto" w:fill="auto"/>
        </w:rPr>
        <w:t>2）除业主要求或设计变更要求外不签署任何增加费用的联系单，</w:t>
      </w:r>
      <w:r>
        <w:rPr>
          <w:rFonts w:hint="eastAsia" w:ascii="宋体" w:hAnsi="宋体" w:cs="宋体"/>
          <w:bCs/>
          <w:color w:val="auto"/>
          <w:sz w:val="24"/>
          <w:highlight w:val="none"/>
          <w:shd w:val="clear" w:color="auto" w:fill="auto"/>
        </w:rPr>
        <w:t>工程量清单外而要完成本项目所必需的设备、物料、服务等各</w:t>
      </w:r>
      <w:r>
        <w:rPr>
          <w:rFonts w:hint="eastAsia" w:ascii="宋体" w:hAnsi="宋体" w:cs="宋体"/>
          <w:color w:val="auto"/>
          <w:sz w:val="24"/>
          <w:highlight w:val="none"/>
          <w:shd w:val="clear" w:color="auto" w:fill="auto"/>
        </w:rPr>
        <w:t>投标人请自行考虑并计入投标总报价，中标后不予调整。</w:t>
      </w:r>
    </w:p>
    <w:p w14:paraId="3CA282F5">
      <w:pPr>
        <w:snapToGrid w:val="0"/>
        <w:spacing w:before="120" w:beforeLines="50" w:line="420" w:lineRule="exact"/>
        <w:ind w:firstLine="472" w:firstLineChars="196"/>
        <w:rPr>
          <w:rFonts w:ascii="宋体" w:hAnsi="宋体" w:cs="宋体"/>
          <w:b/>
          <w:color w:val="auto"/>
          <w:kern w:val="0"/>
          <w:sz w:val="24"/>
          <w:highlight w:val="none"/>
          <w:shd w:val="clear" w:color="auto" w:fill="auto"/>
        </w:rPr>
      </w:pPr>
      <w:r>
        <w:rPr>
          <w:rFonts w:hint="eastAsia" w:ascii="宋体" w:hAnsi="宋体"/>
          <w:b/>
          <w:color w:val="auto"/>
          <w:sz w:val="24"/>
          <w:highlight w:val="none"/>
          <w:shd w:val="clear" w:color="auto" w:fill="auto"/>
        </w:rPr>
        <w:t>（六）</w:t>
      </w:r>
      <w:r>
        <w:rPr>
          <w:rFonts w:hint="eastAsia" w:ascii="宋体" w:hAnsi="宋体" w:cs="宋体"/>
          <w:b/>
          <w:color w:val="auto"/>
          <w:kern w:val="0"/>
          <w:sz w:val="24"/>
          <w:highlight w:val="none"/>
          <w:shd w:val="clear" w:color="auto" w:fill="auto"/>
        </w:rPr>
        <w:t>转包与分包</w:t>
      </w:r>
    </w:p>
    <w:p w14:paraId="5AB4BB28">
      <w:pPr>
        <w:snapToGrid w:val="0"/>
        <w:spacing w:line="420" w:lineRule="exact"/>
        <w:ind w:firstLine="720" w:firstLineChars="300"/>
        <w:rPr>
          <w:rFonts w:ascii="宋体" w:hAnsi="宋体" w:cs="宋体"/>
          <w:color w:val="auto"/>
          <w:kern w:val="0"/>
          <w:sz w:val="24"/>
          <w:highlight w:val="none"/>
          <w:shd w:val="clear" w:color="auto" w:fill="auto"/>
        </w:rPr>
      </w:pPr>
      <w:r>
        <w:rPr>
          <w:rFonts w:hint="eastAsia" w:ascii="宋体" w:hAnsi="宋体" w:cs="宋体"/>
          <w:color w:val="auto"/>
          <w:kern w:val="0"/>
          <w:sz w:val="24"/>
          <w:highlight w:val="none"/>
          <w:shd w:val="clear" w:color="auto" w:fill="auto"/>
        </w:rPr>
        <w:t>本项目不允许转包与违法分包。</w:t>
      </w:r>
    </w:p>
    <w:p w14:paraId="14F79A1C">
      <w:pPr>
        <w:snapToGrid w:val="0"/>
        <w:spacing w:before="120" w:beforeLines="50" w:line="420" w:lineRule="exact"/>
        <w:ind w:firstLine="472" w:firstLineChars="196"/>
        <w:jc w:val="left"/>
        <w:rPr>
          <w:rFonts w:ascii="宋体" w:hAnsi="宋体"/>
          <w:b/>
          <w:color w:val="auto"/>
          <w:sz w:val="24"/>
          <w:highlight w:val="none"/>
          <w:shd w:val="clear" w:color="auto" w:fill="auto"/>
        </w:rPr>
      </w:pPr>
      <w:r>
        <w:rPr>
          <w:rFonts w:hint="eastAsia" w:ascii="宋体" w:hAnsi="宋体"/>
          <w:b/>
          <w:color w:val="auto"/>
          <w:sz w:val="24"/>
          <w:highlight w:val="none"/>
          <w:shd w:val="clear" w:color="auto" w:fill="auto"/>
        </w:rPr>
        <w:t>（七）特别说明</w:t>
      </w:r>
    </w:p>
    <w:p w14:paraId="4A86D8D4">
      <w:pPr>
        <w:widowControl/>
        <w:spacing w:line="420" w:lineRule="exact"/>
        <w:ind w:firstLine="482" w:firstLineChars="200"/>
        <w:jc w:val="left"/>
        <w:rPr>
          <w:rFonts w:ascii="宋体" w:hAnsi="宋体" w:cs="宋体"/>
          <w:color w:val="auto"/>
          <w:kern w:val="0"/>
          <w:sz w:val="24"/>
          <w:highlight w:val="none"/>
          <w:shd w:val="clear" w:color="auto" w:fill="auto"/>
        </w:rPr>
      </w:pPr>
      <w:r>
        <w:rPr>
          <w:rFonts w:hint="eastAsia" w:ascii="宋体" w:hAnsi="宋体"/>
          <w:b/>
          <w:color w:val="auto"/>
          <w:sz w:val="24"/>
          <w:highlight w:val="none"/>
          <w:shd w:val="clear" w:color="auto" w:fill="auto"/>
        </w:rPr>
        <w:t>1.单位负责人为同一人或者存在直接控股、管理关系的不同投标人，不得参加同一合同项下的采购活动。如有上述行为的，相关投标均无效。</w:t>
      </w:r>
      <w:r>
        <w:rPr>
          <w:rFonts w:hint="eastAsia" w:ascii="宋体" w:hAnsi="宋体" w:cs="宋体"/>
          <w:color w:val="auto"/>
          <w:kern w:val="0"/>
          <w:sz w:val="24"/>
          <w:highlight w:val="none"/>
          <w:shd w:val="clear" w:color="auto" w:fill="auto"/>
        </w:rPr>
        <w:t xml:space="preserve">  </w:t>
      </w:r>
    </w:p>
    <w:p w14:paraId="2973C769">
      <w:pPr>
        <w:widowControl/>
        <w:spacing w:line="420" w:lineRule="exact"/>
        <w:ind w:firstLine="480" w:firstLineChars="200"/>
        <w:jc w:val="left"/>
        <w:rPr>
          <w:rFonts w:ascii="宋体" w:hAnsi="宋体" w:cs="宋体"/>
          <w:color w:val="auto"/>
          <w:kern w:val="0"/>
          <w:sz w:val="24"/>
          <w:highlight w:val="none"/>
          <w:shd w:val="clear" w:color="auto" w:fill="auto"/>
        </w:rPr>
      </w:pPr>
      <w:r>
        <w:rPr>
          <w:rFonts w:hint="eastAsia" w:ascii="宋体" w:hAnsi="宋体" w:cs="宋体"/>
          <w:color w:val="auto"/>
          <w:kern w:val="0"/>
          <w:sz w:val="24"/>
          <w:highlight w:val="none"/>
          <w:shd w:val="clear" w:color="auto" w:fill="auto"/>
        </w:rPr>
        <w:t>使用综合评分法的采购项目，提供相同品牌产品且通过资格审查、符合性审查的不同投标人参加同一合同项下投标的，按一家投标人计算，评审后得分最高的同品牌投标人获得中标人推荐资格；评审得分相同的，由招标人或者招标人委托评标委员会按照招标文件规定的方式确定一个投标人获得中标人推荐资格，招标文件未规定的采取随机抽取方式确定，其他同品牌投标人不作为中标候选人。</w:t>
      </w:r>
    </w:p>
    <w:p w14:paraId="09DE9D61">
      <w:pPr>
        <w:pStyle w:val="32"/>
        <w:snapToGrid w:val="0"/>
        <w:spacing w:beforeLines="0" w:afterLines="0" w:line="420" w:lineRule="exact"/>
        <w:ind w:left="2" w:leftChars="1" w:firstLine="360" w:firstLineChars="150"/>
        <w:rPr>
          <w:rFonts w:hAnsi="宋体"/>
          <w:color w:val="auto"/>
          <w:highlight w:val="none"/>
          <w:shd w:val="clear" w:color="auto" w:fill="auto"/>
        </w:rPr>
      </w:pPr>
      <w:r>
        <w:rPr>
          <w:rFonts w:hint="eastAsia" w:hAnsi="宋体"/>
          <w:color w:val="auto"/>
          <w:highlight w:val="none"/>
          <w:shd w:val="clear" w:color="auto" w:fill="auto"/>
        </w:rPr>
        <w:t>2.投标人投标所使用的资格、信誉、荣誉、业绩必须为本法人所拥有。投标人投标所使用的采购项目实施人员须为本法人员工。</w:t>
      </w:r>
    </w:p>
    <w:p w14:paraId="4D3C5387">
      <w:pPr>
        <w:pStyle w:val="32"/>
        <w:snapToGrid w:val="0"/>
        <w:spacing w:beforeLines="0" w:afterLines="0" w:line="420" w:lineRule="exact"/>
        <w:ind w:left="2" w:leftChars="1" w:firstLine="480" w:firstLineChars="200"/>
        <w:rPr>
          <w:rFonts w:hAnsi="宋体"/>
          <w:color w:val="auto"/>
          <w:highlight w:val="none"/>
          <w:shd w:val="clear" w:color="auto" w:fill="auto"/>
        </w:rPr>
      </w:pPr>
      <w:r>
        <w:rPr>
          <w:rFonts w:hint="eastAsia" w:hAnsi="宋体"/>
          <w:color w:val="auto"/>
          <w:highlight w:val="none"/>
          <w:shd w:val="clear" w:color="auto" w:fill="auto"/>
        </w:rPr>
        <w:t>3.投标人应仔细阅读招标文件的所有内容，按照招标文件的要求提交投标文件，并对所提供的全部资料的真实性承担法律责任。</w:t>
      </w:r>
    </w:p>
    <w:p w14:paraId="0C623115">
      <w:pPr>
        <w:pStyle w:val="32"/>
        <w:snapToGrid w:val="0"/>
        <w:spacing w:beforeLines="0" w:afterLines="0" w:line="420" w:lineRule="exact"/>
        <w:ind w:left="2" w:leftChars="1" w:firstLine="480" w:firstLineChars="200"/>
        <w:rPr>
          <w:rFonts w:hAnsi="宋体"/>
          <w:b/>
          <w:color w:val="auto"/>
          <w:highlight w:val="none"/>
          <w:shd w:val="clear" w:color="auto" w:fill="auto"/>
        </w:rPr>
      </w:pPr>
      <w:r>
        <w:rPr>
          <w:rFonts w:hint="eastAsia" w:hAnsi="宋体"/>
          <w:color w:val="auto"/>
          <w:highlight w:val="none"/>
          <w:shd w:val="clear" w:color="auto" w:fill="auto"/>
        </w:rPr>
        <w:t>4.投标人在投标活动中提供任何虚假材料,其投标无效，并报</w:t>
      </w:r>
      <w:r>
        <w:rPr>
          <w:rFonts w:hint="eastAsia" w:hAnsi="宋体"/>
          <w:b/>
          <w:color w:val="auto"/>
          <w:highlight w:val="none"/>
          <w:shd w:val="clear" w:color="auto" w:fill="auto"/>
        </w:rPr>
        <w:t>有权受理非政府采购项目的</w:t>
      </w:r>
      <w:r>
        <w:rPr>
          <w:rFonts w:hint="eastAsia" w:hAnsi="宋体"/>
          <w:color w:val="auto"/>
          <w:highlight w:val="none"/>
          <w:shd w:val="clear" w:color="auto" w:fill="auto"/>
        </w:rPr>
        <w:t>监管部门查处（</w:t>
      </w:r>
      <w:r>
        <w:rPr>
          <w:rFonts w:hint="eastAsia" w:hAnsi="宋体"/>
          <w:b/>
          <w:color w:val="auto"/>
          <w:highlight w:val="none"/>
          <w:shd w:val="clear" w:color="auto" w:fill="auto"/>
        </w:rPr>
        <w:t>特别说明：临海市财政局非有权受理非政府采购项目的监管部门</w:t>
      </w:r>
      <w:r>
        <w:rPr>
          <w:rFonts w:hint="eastAsia" w:hAnsi="宋体"/>
          <w:color w:val="auto"/>
          <w:highlight w:val="none"/>
          <w:shd w:val="clear" w:color="auto" w:fill="auto"/>
        </w:rPr>
        <w:t>）。中标后发现的,中标人须依照《中华人民共和国消费者权益保护法》第49条之规定双倍赔偿招标人，且民事赔偿并不免除违法投标人的行政与刑事责任。</w:t>
      </w:r>
    </w:p>
    <w:p w14:paraId="7962A1C8">
      <w:pPr>
        <w:pStyle w:val="32"/>
        <w:snapToGrid w:val="0"/>
        <w:spacing w:before="120" w:after="120" w:line="420" w:lineRule="exact"/>
        <w:ind w:firstLine="472" w:firstLineChars="196"/>
        <w:rPr>
          <w:rFonts w:hAnsi="宋体"/>
          <w:b/>
          <w:bCs/>
          <w:color w:val="auto"/>
          <w:highlight w:val="none"/>
          <w:shd w:val="clear" w:color="auto" w:fill="auto"/>
        </w:rPr>
      </w:pPr>
      <w:r>
        <w:rPr>
          <w:rFonts w:hint="eastAsia" w:hAnsi="宋体"/>
          <w:b/>
          <w:bCs/>
          <w:color w:val="auto"/>
          <w:highlight w:val="none"/>
          <w:shd w:val="clear" w:color="auto" w:fill="auto"/>
        </w:rPr>
        <w:t>（八）质疑</w:t>
      </w:r>
    </w:p>
    <w:p w14:paraId="181DD248">
      <w:pPr>
        <w:widowControl/>
        <w:spacing w:line="420" w:lineRule="exact"/>
        <w:ind w:firstLine="480" w:firstLineChars="200"/>
        <w:jc w:val="left"/>
        <w:rPr>
          <w:rFonts w:ascii="宋体" w:hAnsi="宋体" w:cs="宋体"/>
          <w:color w:val="auto"/>
          <w:kern w:val="0"/>
          <w:sz w:val="24"/>
          <w:highlight w:val="none"/>
          <w:shd w:val="clear" w:color="auto" w:fill="auto"/>
        </w:rPr>
      </w:pPr>
      <w:r>
        <w:rPr>
          <w:rFonts w:hint="eastAsia" w:ascii="宋体" w:hAnsi="宋体" w:cs="宋体"/>
          <w:color w:val="auto"/>
          <w:kern w:val="0"/>
          <w:sz w:val="24"/>
          <w:highlight w:val="none"/>
          <w:shd w:val="clear" w:color="auto" w:fill="auto"/>
        </w:rPr>
        <w:t>1.投标人认为招标文件、采购过程和中标结果使自己的权益受到损害的，以在线形式一次性向招标人或代理机构提出质疑：</w:t>
      </w:r>
    </w:p>
    <w:p w14:paraId="0CB8075F">
      <w:pPr>
        <w:widowControl/>
        <w:spacing w:line="420" w:lineRule="exact"/>
        <w:ind w:firstLine="240" w:firstLineChars="100"/>
        <w:jc w:val="left"/>
        <w:rPr>
          <w:rFonts w:hint="eastAsia" w:ascii="宋体" w:hAnsi="宋体" w:eastAsia="宋体" w:cs="宋体"/>
          <w:color w:val="auto"/>
          <w:kern w:val="0"/>
          <w:sz w:val="24"/>
          <w:highlight w:val="none"/>
          <w:lang w:eastAsia="zh-CN"/>
        </w:rPr>
      </w:pPr>
      <w:r>
        <w:rPr>
          <w:rFonts w:hint="eastAsia" w:ascii="宋体" w:hAnsi="宋体" w:cs="宋体"/>
          <w:color w:val="auto"/>
          <w:kern w:val="0"/>
          <w:sz w:val="24"/>
          <w:highlight w:val="none"/>
          <w:shd w:val="clear" w:color="auto" w:fill="auto"/>
        </w:rPr>
        <w:t>（1）</w:t>
      </w:r>
      <w:r>
        <w:rPr>
          <w:rFonts w:hint="eastAsia" w:ascii="宋体" w:hAnsi="宋体" w:cs="宋体"/>
          <w:color w:val="auto"/>
          <w:kern w:val="0"/>
          <w:sz w:val="24"/>
          <w:highlight w:val="none"/>
        </w:rPr>
        <w:t>投标人认为招标文件的内容损害其权益的，应当在获取采购文件或者采购文件公告期限届满之日起</w:t>
      </w:r>
      <w:r>
        <w:rPr>
          <w:rFonts w:hint="eastAsia" w:ascii="宋体" w:hAnsi="宋体" w:cs="宋体"/>
          <w:color w:val="auto"/>
          <w:kern w:val="0"/>
          <w:sz w:val="24"/>
          <w:highlight w:val="none"/>
          <w:u w:val="single"/>
        </w:rPr>
        <w:t>7</w:t>
      </w:r>
      <w:r>
        <w:rPr>
          <w:rFonts w:hint="eastAsia" w:ascii="宋体" w:hAnsi="宋体" w:cs="宋体"/>
          <w:color w:val="auto"/>
          <w:kern w:val="0"/>
          <w:sz w:val="24"/>
          <w:highlight w:val="none"/>
        </w:rPr>
        <w:t>个工作日内以书面形式提出质疑</w:t>
      </w:r>
      <w:r>
        <w:rPr>
          <w:rFonts w:hint="eastAsia" w:ascii="宋体" w:hAnsi="宋体" w:cs="宋体"/>
          <w:color w:val="auto"/>
          <w:kern w:val="0"/>
          <w:sz w:val="24"/>
          <w:highlight w:val="none"/>
          <w:lang w:eastAsia="zh-CN"/>
        </w:rPr>
        <w:t>。</w:t>
      </w:r>
    </w:p>
    <w:p w14:paraId="5DF821BE">
      <w:pPr>
        <w:widowControl/>
        <w:spacing w:line="420" w:lineRule="exact"/>
        <w:ind w:firstLine="240" w:firstLineChars="100"/>
        <w:jc w:val="left"/>
        <w:rPr>
          <w:rFonts w:hint="eastAsia" w:ascii="宋体" w:hAnsi="宋体" w:eastAsia="宋体" w:cs="宋体"/>
          <w:color w:val="auto"/>
          <w:kern w:val="0"/>
          <w:sz w:val="24"/>
          <w:highlight w:val="none"/>
          <w:shd w:val="clear" w:color="auto" w:fill="auto"/>
          <w:lang w:eastAsia="zh-CN"/>
        </w:rPr>
      </w:pPr>
      <w:r>
        <w:rPr>
          <w:rFonts w:hint="eastAsia" w:ascii="宋体" w:hAnsi="宋体" w:cs="宋体"/>
          <w:color w:val="auto"/>
          <w:kern w:val="0"/>
          <w:sz w:val="24"/>
          <w:highlight w:val="none"/>
          <w:shd w:val="clear" w:color="auto" w:fill="auto"/>
        </w:rPr>
        <w:t>（2）投标人对采购过程提出质疑的，应当在各采购程序环节结束之日起</w:t>
      </w:r>
      <w:r>
        <w:rPr>
          <w:rFonts w:hint="eastAsia" w:ascii="宋体" w:hAnsi="宋体" w:cs="宋体"/>
          <w:b/>
          <w:color w:val="auto"/>
          <w:kern w:val="0"/>
          <w:sz w:val="24"/>
          <w:highlight w:val="none"/>
          <w:u w:val="single"/>
          <w:shd w:val="clear" w:color="auto" w:fill="auto"/>
        </w:rPr>
        <w:t xml:space="preserve"> </w:t>
      </w:r>
      <w:r>
        <w:rPr>
          <w:rFonts w:ascii="宋体" w:hAnsi="宋体" w:cs="宋体"/>
          <w:b/>
          <w:color w:val="auto"/>
          <w:kern w:val="0"/>
          <w:sz w:val="24"/>
          <w:highlight w:val="none"/>
          <w:u w:val="single"/>
          <w:shd w:val="clear" w:color="auto" w:fill="auto"/>
        </w:rPr>
        <w:t>3</w:t>
      </w:r>
      <w:r>
        <w:rPr>
          <w:rFonts w:hint="eastAsia" w:ascii="宋体" w:hAnsi="宋体" w:cs="宋体"/>
          <w:b/>
          <w:color w:val="auto"/>
          <w:kern w:val="0"/>
          <w:sz w:val="24"/>
          <w:highlight w:val="none"/>
          <w:u w:val="single"/>
          <w:shd w:val="clear" w:color="auto" w:fill="auto"/>
        </w:rPr>
        <w:t xml:space="preserve">  </w:t>
      </w:r>
      <w:r>
        <w:rPr>
          <w:rFonts w:hint="eastAsia" w:ascii="宋体" w:hAnsi="宋体" w:cs="宋体"/>
          <w:color w:val="auto"/>
          <w:kern w:val="0"/>
          <w:sz w:val="24"/>
          <w:highlight w:val="none"/>
          <w:shd w:val="clear" w:color="auto" w:fill="auto"/>
        </w:rPr>
        <w:t>个工作日内提出质疑</w:t>
      </w:r>
      <w:r>
        <w:rPr>
          <w:rFonts w:hint="eastAsia" w:ascii="宋体" w:hAnsi="宋体" w:cs="宋体"/>
          <w:color w:val="auto"/>
          <w:kern w:val="0"/>
          <w:sz w:val="24"/>
          <w:highlight w:val="none"/>
          <w:shd w:val="clear" w:color="auto" w:fill="auto"/>
          <w:lang w:eastAsia="zh-CN"/>
        </w:rPr>
        <w:t>。</w:t>
      </w:r>
    </w:p>
    <w:p w14:paraId="6D401C81">
      <w:pPr>
        <w:widowControl/>
        <w:spacing w:line="420" w:lineRule="exact"/>
        <w:ind w:firstLine="240" w:firstLineChars="100"/>
        <w:jc w:val="left"/>
        <w:rPr>
          <w:rFonts w:hint="eastAsia" w:ascii="宋体" w:hAnsi="宋体" w:eastAsia="宋体" w:cs="宋体"/>
          <w:color w:val="auto"/>
          <w:kern w:val="0"/>
          <w:sz w:val="24"/>
          <w:highlight w:val="none"/>
          <w:shd w:val="clear" w:color="auto" w:fill="auto"/>
          <w:lang w:eastAsia="zh-CN"/>
        </w:rPr>
      </w:pPr>
      <w:r>
        <w:rPr>
          <w:rFonts w:hint="eastAsia" w:ascii="宋体" w:hAnsi="宋体" w:cs="宋体"/>
          <w:color w:val="auto"/>
          <w:kern w:val="0"/>
          <w:sz w:val="24"/>
          <w:highlight w:val="none"/>
          <w:shd w:val="clear" w:color="auto" w:fill="auto"/>
        </w:rPr>
        <w:t>（3）投标人对成交结果提出质疑的，</w:t>
      </w:r>
      <w:r>
        <w:rPr>
          <w:rFonts w:hint="eastAsia" w:ascii="宋体" w:hAnsi="宋体" w:cs="宋体"/>
          <w:b/>
          <w:color w:val="auto"/>
          <w:kern w:val="0"/>
          <w:sz w:val="24"/>
          <w:highlight w:val="none"/>
          <w:shd w:val="clear" w:color="auto" w:fill="auto"/>
        </w:rPr>
        <w:t>应当在成交结果公告之日起</w:t>
      </w:r>
      <w:r>
        <w:rPr>
          <w:rFonts w:hint="eastAsia" w:ascii="宋体" w:hAnsi="宋体" w:cs="宋体"/>
          <w:b/>
          <w:color w:val="auto"/>
          <w:kern w:val="0"/>
          <w:sz w:val="24"/>
          <w:highlight w:val="none"/>
          <w:u w:val="single"/>
          <w:shd w:val="clear" w:color="auto" w:fill="auto"/>
        </w:rPr>
        <w:t xml:space="preserve"> </w:t>
      </w:r>
      <w:r>
        <w:rPr>
          <w:rFonts w:ascii="宋体" w:hAnsi="宋体" w:cs="宋体"/>
          <w:b/>
          <w:color w:val="auto"/>
          <w:kern w:val="0"/>
          <w:sz w:val="24"/>
          <w:highlight w:val="none"/>
          <w:u w:val="single"/>
          <w:shd w:val="clear" w:color="auto" w:fill="auto"/>
        </w:rPr>
        <w:t>3</w:t>
      </w:r>
      <w:r>
        <w:rPr>
          <w:rFonts w:hint="eastAsia" w:ascii="宋体" w:hAnsi="宋体" w:cs="宋体"/>
          <w:b/>
          <w:color w:val="auto"/>
          <w:kern w:val="0"/>
          <w:sz w:val="24"/>
          <w:highlight w:val="none"/>
          <w:u w:val="single"/>
          <w:shd w:val="clear" w:color="auto" w:fill="auto"/>
        </w:rPr>
        <w:t xml:space="preserve">  </w:t>
      </w:r>
      <w:r>
        <w:rPr>
          <w:rFonts w:hint="eastAsia" w:ascii="宋体" w:hAnsi="宋体" w:cs="宋体"/>
          <w:color w:val="auto"/>
          <w:kern w:val="0"/>
          <w:sz w:val="24"/>
          <w:highlight w:val="none"/>
          <w:shd w:val="clear" w:color="auto" w:fill="auto"/>
        </w:rPr>
        <w:t>个工作日内提出质疑</w:t>
      </w:r>
      <w:r>
        <w:rPr>
          <w:rFonts w:hint="eastAsia" w:ascii="宋体" w:hAnsi="宋体" w:cs="宋体"/>
          <w:color w:val="auto"/>
          <w:kern w:val="0"/>
          <w:sz w:val="24"/>
          <w:highlight w:val="none"/>
          <w:shd w:val="clear" w:color="auto" w:fill="auto"/>
          <w:lang w:eastAsia="zh-CN"/>
        </w:rPr>
        <w:t>。</w:t>
      </w:r>
    </w:p>
    <w:p w14:paraId="188F3E48">
      <w:pPr>
        <w:widowControl/>
        <w:spacing w:line="420" w:lineRule="exact"/>
        <w:ind w:firstLine="480" w:firstLineChars="200"/>
        <w:jc w:val="left"/>
        <w:rPr>
          <w:rFonts w:ascii="宋体" w:hAnsi="宋体" w:cs="宋体"/>
          <w:color w:val="auto"/>
          <w:kern w:val="0"/>
          <w:sz w:val="24"/>
          <w:highlight w:val="none"/>
          <w:shd w:val="clear" w:color="auto" w:fill="auto"/>
        </w:rPr>
      </w:pPr>
      <w:r>
        <w:rPr>
          <w:rFonts w:hint="eastAsia" w:ascii="宋体" w:hAnsi="宋体" w:cs="宋体"/>
          <w:color w:val="auto"/>
          <w:kern w:val="0"/>
          <w:sz w:val="24"/>
          <w:highlight w:val="none"/>
          <w:shd w:val="clear" w:color="auto" w:fill="auto"/>
        </w:rPr>
        <w:t>2.招标人或代理机构在收到投标人的在线质疑后</w:t>
      </w:r>
      <w:r>
        <w:rPr>
          <w:rFonts w:hint="eastAsia" w:ascii="宋体" w:hAnsi="宋体" w:cs="宋体"/>
          <w:b/>
          <w:color w:val="auto"/>
          <w:kern w:val="0"/>
          <w:sz w:val="24"/>
          <w:highlight w:val="none"/>
          <w:u w:val="single"/>
          <w:shd w:val="clear" w:color="auto" w:fill="auto"/>
        </w:rPr>
        <w:t xml:space="preserve"> </w:t>
      </w:r>
      <w:r>
        <w:rPr>
          <w:rFonts w:ascii="宋体" w:hAnsi="宋体" w:cs="宋体"/>
          <w:b/>
          <w:color w:val="auto"/>
          <w:kern w:val="0"/>
          <w:sz w:val="24"/>
          <w:highlight w:val="none"/>
          <w:u w:val="single"/>
          <w:shd w:val="clear" w:color="auto" w:fill="auto"/>
        </w:rPr>
        <w:t>7</w:t>
      </w:r>
      <w:r>
        <w:rPr>
          <w:rFonts w:hint="eastAsia" w:ascii="宋体" w:hAnsi="宋体" w:cs="宋体"/>
          <w:b/>
          <w:color w:val="auto"/>
          <w:kern w:val="0"/>
          <w:sz w:val="24"/>
          <w:highlight w:val="none"/>
          <w:u w:val="single"/>
          <w:shd w:val="clear" w:color="auto" w:fill="auto"/>
        </w:rPr>
        <w:t xml:space="preserve"> </w:t>
      </w:r>
      <w:r>
        <w:rPr>
          <w:rFonts w:hint="eastAsia" w:ascii="宋体" w:hAnsi="宋体" w:cs="宋体"/>
          <w:color w:val="auto"/>
          <w:kern w:val="0"/>
          <w:sz w:val="24"/>
          <w:highlight w:val="none"/>
          <w:shd w:val="clear" w:color="auto" w:fill="auto"/>
        </w:rPr>
        <w:t>个工作日内作出答复，并以在线形式回复质疑投标人和其他有关投标人，但答复内容不涉及商业秘密。</w:t>
      </w:r>
    </w:p>
    <w:p w14:paraId="2EBC0C95">
      <w:pPr>
        <w:widowControl/>
        <w:spacing w:line="420" w:lineRule="exact"/>
        <w:ind w:firstLine="482" w:firstLineChars="200"/>
        <w:jc w:val="left"/>
        <w:rPr>
          <w:rFonts w:ascii="宋体" w:hAnsi="宋体" w:cs="宋体"/>
          <w:b/>
          <w:bCs/>
          <w:color w:val="auto"/>
          <w:kern w:val="0"/>
          <w:sz w:val="24"/>
          <w:highlight w:val="none"/>
          <w:shd w:val="clear" w:color="auto" w:fill="auto"/>
        </w:rPr>
      </w:pPr>
      <w:r>
        <w:rPr>
          <w:rFonts w:hint="eastAsia" w:ascii="宋体" w:hAnsi="宋体" w:cs="宋体"/>
          <w:b/>
          <w:bCs/>
          <w:color w:val="auto"/>
          <w:kern w:val="0"/>
          <w:sz w:val="24"/>
          <w:highlight w:val="none"/>
          <w:shd w:val="clear" w:color="auto" w:fill="auto"/>
        </w:rPr>
        <w:t>3.投标人质疑应当有明确的请求和必要的证明材料，包括但不限于权益受损害的情况说明及受损害的原因、证据内容等，并对质疑内容的真实性承担责任。（依据《中华人民共和国政府采购法实施条例》第五十七条，捏造事实、提供虚假材料或者以非法手段取得证明材料不能作为质疑、投诉的证明材料）。</w:t>
      </w:r>
    </w:p>
    <w:p w14:paraId="70BDDBAF">
      <w:pPr>
        <w:widowControl/>
        <w:spacing w:line="420" w:lineRule="exact"/>
        <w:ind w:firstLine="482" w:firstLineChars="200"/>
        <w:jc w:val="left"/>
        <w:rPr>
          <w:rFonts w:ascii="宋体" w:hAnsi="宋体" w:cs="宋体"/>
          <w:b/>
          <w:bCs/>
          <w:color w:val="auto"/>
          <w:kern w:val="0"/>
          <w:sz w:val="24"/>
          <w:highlight w:val="none"/>
          <w:shd w:val="clear" w:color="auto" w:fill="auto"/>
        </w:rPr>
      </w:pPr>
      <w:r>
        <w:rPr>
          <w:rFonts w:hint="eastAsia" w:ascii="宋体" w:hAnsi="宋体" w:cs="宋体"/>
          <w:b/>
          <w:bCs/>
          <w:color w:val="auto"/>
          <w:kern w:val="0"/>
          <w:sz w:val="24"/>
          <w:highlight w:val="none"/>
          <w:shd w:val="clear" w:color="auto" w:fill="auto"/>
        </w:rPr>
        <w:t>（九）投诉</w:t>
      </w:r>
    </w:p>
    <w:p w14:paraId="6B5BE3FA">
      <w:pPr>
        <w:pStyle w:val="32"/>
        <w:snapToGrid w:val="0"/>
        <w:spacing w:beforeLines="0" w:afterLines="0" w:line="420" w:lineRule="exact"/>
        <w:ind w:firstLine="472" w:firstLineChars="196"/>
        <w:rPr>
          <w:rFonts w:hAnsi="宋体" w:cs="宋体"/>
          <w:b/>
          <w:color w:val="auto"/>
          <w:highlight w:val="none"/>
          <w:shd w:val="clear" w:color="auto" w:fill="auto"/>
        </w:rPr>
      </w:pPr>
      <w:r>
        <w:rPr>
          <w:rFonts w:hint="eastAsia" w:hAnsi="宋体" w:cs="宋体"/>
          <w:b/>
          <w:color w:val="auto"/>
          <w:highlight w:val="none"/>
          <w:shd w:val="clear" w:color="auto" w:fill="auto"/>
        </w:rPr>
        <w:t>本项目为非政府采购项目，如投标人对招标人或代理机构的质疑答复不满意或在规定时间内未得到答复的，可以在答复期满后15个工作日内，向有权受理非政府采购项目的监督管理机构投诉（特别说明：临海市财政局非有权受理非政府采购项目的监督管理机构，不受理非政府采购项目的投诉事宜）。</w:t>
      </w:r>
    </w:p>
    <w:p w14:paraId="11100935">
      <w:pPr>
        <w:pStyle w:val="32"/>
        <w:snapToGrid w:val="0"/>
        <w:spacing w:beforeLines="0" w:afterLines="0" w:line="420" w:lineRule="exact"/>
        <w:ind w:firstLine="472" w:firstLineChars="196"/>
        <w:rPr>
          <w:rFonts w:hAnsi="宋体"/>
          <w:b/>
          <w:color w:val="auto"/>
          <w:highlight w:val="none"/>
          <w:shd w:val="clear" w:color="auto" w:fill="auto"/>
        </w:rPr>
      </w:pPr>
      <w:r>
        <w:rPr>
          <w:rFonts w:hint="eastAsia" w:hAnsi="宋体"/>
          <w:b/>
          <w:color w:val="auto"/>
          <w:highlight w:val="none"/>
          <w:shd w:val="clear" w:color="auto" w:fill="auto"/>
        </w:rPr>
        <w:t>二、招标文件</w:t>
      </w:r>
    </w:p>
    <w:p w14:paraId="37C284CF">
      <w:pPr>
        <w:snapToGrid w:val="0"/>
        <w:spacing w:line="420" w:lineRule="exact"/>
        <w:ind w:firstLine="472" w:firstLineChars="196"/>
        <w:jc w:val="left"/>
        <w:rPr>
          <w:rFonts w:ascii="宋体" w:hAnsi="宋体"/>
          <w:b/>
          <w:color w:val="auto"/>
          <w:sz w:val="24"/>
          <w:highlight w:val="none"/>
          <w:shd w:val="clear" w:color="auto" w:fill="auto"/>
        </w:rPr>
      </w:pPr>
      <w:r>
        <w:rPr>
          <w:rFonts w:hint="eastAsia" w:ascii="宋体" w:hAnsi="宋体"/>
          <w:b/>
          <w:color w:val="auto"/>
          <w:sz w:val="24"/>
          <w:highlight w:val="none"/>
          <w:shd w:val="clear" w:color="auto" w:fill="auto"/>
        </w:rPr>
        <w:t>（一）招标文件的构成</w:t>
      </w:r>
    </w:p>
    <w:p w14:paraId="777C5E81">
      <w:pPr>
        <w:snapToGrid w:val="0"/>
        <w:spacing w:line="420" w:lineRule="exact"/>
        <w:ind w:firstLine="480" w:firstLineChars="200"/>
        <w:jc w:val="left"/>
        <w:rPr>
          <w:rFonts w:ascii="宋体" w:hAnsi="宋体"/>
          <w:color w:val="auto"/>
          <w:sz w:val="24"/>
          <w:highlight w:val="none"/>
          <w:shd w:val="clear" w:color="auto" w:fill="auto"/>
        </w:rPr>
      </w:pPr>
      <w:r>
        <w:rPr>
          <w:rFonts w:hint="eastAsia" w:ascii="宋体" w:hAnsi="宋体"/>
          <w:color w:val="auto"/>
          <w:sz w:val="24"/>
          <w:highlight w:val="none"/>
          <w:shd w:val="clear" w:color="auto" w:fill="auto"/>
        </w:rPr>
        <w:t>1.投标邀请</w:t>
      </w:r>
    </w:p>
    <w:p w14:paraId="126563B6">
      <w:pPr>
        <w:snapToGrid w:val="0"/>
        <w:spacing w:line="420" w:lineRule="exact"/>
        <w:ind w:firstLine="480" w:firstLineChars="200"/>
        <w:jc w:val="left"/>
        <w:rPr>
          <w:rFonts w:ascii="宋体" w:hAnsi="宋体"/>
          <w:color w:val="auto"/>
          <w:sz w:val="24"/>
          <w:highlight w:val="none"/>
          <w:shd w:val="clear" w:color="auto" w:fill="auto"/>
        </w:rPr>
      </w:pPr>
      <w:r>
        <w:rPr>
          <w:rFonts w:hint="eastAsia" w:ascii="宋体" w:hAnsi="宋体"/>
          <w:color w:val="auto"/>
          <w:sz w:val="24"/>
          <w:highlight w:val="none"/>
          <w:shd w:val="clear" w:color="auto" w:fill="auto"/>
        </w:rPr>
        <w:t>2.招标需求</w:t>
      </w:r>
    </w:p>
    <w:p w14:paraId="6F002A93">
      <w:pPr>
        <w:snapToGrid w:val="0"/>
        <w:spacing w:line="420" w:lineRule="exact"/>
        <w:ind w:firstLine="480" w:firstLineChars="200"/>
        <w:jc w:val="left"/>
        <w:rPr>
          <w:rFonts w:ascii="宋体" w:hAnsi="宋体"/>
          <w:color w:val="auto"/>
          <w:sz w:val="24"/>
          <w:highlight w:val="none"/>
          <w:shd w:val="clear" w:color="auto" w:fill="auto"/>
        </w:rPr>
      </w:pPr>
      <w:r>
        <w:rPr>
          <w:rFonts w:hint="eastAsia" w:ascii="宋体" w:hAnsi="宋体"/>
          <w:color w:val="auto"/>
          <w:sz w:val="24"/>
          <w:highlight w:val="none"/>
          <w:shd w:val="clear" w:color="auto" w:fill="auto"/>
        </w:rPr>
        <w:t>3.投标人须知</w:t>
      </w:r>
    </w:p>
    <w:p w14:paraId="79590DAF">
      <w:pPr>
        <w:snapToGrid w:val="0"/>
        <w:spacing w:line="420" w:lineRule="exact"/>
        <w:ind w:firstLine="480" w:firstLineChars="200"/>
        <w:jc w:val="left"/>
        <w:rPr>
          <w:rFonts w:ascii="宋体" w:hAnsi="宋体"/>
          <w:color w:val="auto"/>
          <w:sz w:val="24"/>
          <w:highlight w:val="none"/>
          <w:shd w:val="clear" w:color="auto" w:fill="auto"/>
        </w:rPr>
      </w:pPr>
      <w:r>
        <w:rPr>
          <w:rFonts w:hint="eastAsia" w:ascii="宋体" w:hAnsi="宋体"/>
          <w:color w:val="auto"/>
          <w:sz w:val="24"/>
          <w:highlight w:val="none"/>
          <w:shd w:val="clear" w:color="auto" w:fill="auto"/>
        </w:rPr>
        <w:t>4.评标办法及标准</w:t>
      </w:r>
    </w:p>
    <w:p w14:paraId="7AE0CB9A">
      <w:pPr>
        <w:snapToGrid w:val="0"/>
        <w:spacing w:line="420" w:lineRule="exact"/>
        <w:ind w:firstLine="480" w:firstLineChars="200"/>
        <w:jc w:val="left"/>
        <w:rPr>
          <w:rFonts w:ascii="宋体" w:hAnsi="宋体"/>
          <w:color w:val="auto"/>
          <w:sz w:val="24"/>
          <w:highlight w:val="none"/>
          <w:shd w:val="clear" w:color="auto" w:fill="auto"/>
        </w:rPr>
      </w:pPr>
      <w:r>
        <w:rPr>
          <w:rFonts w:hint="eastAsia" w:ascii="宋体" w:hAnsi="宋体"/>
          <w:color w:val="auto"/>
          <w:sz w:val="24"/>
          <w:highlight w:val="none"/>
          <w:shd w:val="clear" w:color="auto" w:fill="auto"/>
        </w:rPr>
        <w:t>5.合同主要条款</w:t>
      </w:r>
    </w:p>
    <w:p w14:paraId="4A9CA84F">
      <w:pPr>
        <w:snapToGrid w:val="0"/>
        <w:spacing w:line="420" w:lineRule="exact"/>
        <w:ind w:firstLine="480" w:firstLineChars="200"/>
        <w:jc w:val="left"/>
        <w:rPr>
          <w:rFonts w:ascii="宋体" w:hAnsi="宋体"/>
          <w:color w:val="auto"/>
          <w:sz w:val="24"/>
          <w:highlight w:val="none"/>
          <w:shd w:val="clear" w:color="auto" w:fill="auto"/>
        </w:rPr>
      </w:pPr>
      <w:r>
        <w:rPr>
          <w:rFonts w:hint="eastAsia" w:ascii="宋体" w:hAnsi="宋体"/>
          <w:color w:val="auto"/>
          <w:sz w:val="24"/>
          <w:highlight w:val="none"/>
          <w:shd w:val="clear" w:color="auto" w:fill="auto"/>
        </w:rPr>
        <w:t>6.投标文件格式</w:t>
      </w:r>
    </w:p>
    <w:p w14:paraId="5A87AA4E">
      <w:pPr>
        <w:snapToGrid w:val="0"/>
        <w:spacing w:line="420" w:lineRule="exact"/>
        <w:ind w:firstLine="480" w:firstLineChars="200"/>
        <w:jc w:val="left"/>
        <w:rPr>
          <w:rFonts w:ascii="宋体" w:hAnsi="宋体"/>
          <w:color w:val="auto"/>
          <w:sz w:val="24"/>
          <w:highlight w:val="none"/>
          <w:shd w:val="clear" w:color="auto" w:fill="auto"/>
        </w:rPr>
      </w:pPr>
      <w:r>
        <w:rPr>
          <w:rFonts w:hint="eastAsia" w:ascii="宋体" w:hAnsi="宋体"/>
          <w:color w:val="auto"/>
          <w:sz w:val="24"/>
          <w:highlight w:val="none"/>
          <w:shd w:val="clear" w:color="auto" w:fill="auto"/>
        </w:rPr>
        <w:t>7.本项目招标文件的澄清、答复、修改、补充的内容（如有）</w:t>
      </w:r>
    </w:p>
    <w:p w14:paraId="099412BE">
      <w:pPr>
        <w:snapToGrid w:val="0"/>
        <w:spacing w:before="120" w:beforeLines="50" w:line="420" w:lineRule="exact"/>
        <w:ind w:firstLine="472" w:firstLineChars="196"/>
        <w:jc w:val="left"/>
        <w:rPr>
          <w:rFonts w:ascii="宋体" w:hAnsi="宋体"/>
          <w:b/>
          <w:color w:val="auto"/>
          <w:sz w:val="24"/>
          <w:highlight w:val="none"/>
          <w:shd w:val="clear" w:color="auto" w:fill="auto"/>
        </w:rPr>
      </w:pPr>
      <w:r>
        <w:rPr>
          <w:rFonts w:hint="eastAsia" w:ascii="宋体" w:hAnsi="宋体"/>
          <w:b/>
          <w:color w:val="auto"/>
          <w:sz w:val="24"/>
          <w:highlight w:val="none"/>
          <w:shd w:val="clear" w:color="auto" w:fill="auto"/>
        </w:rPr>
        <w:t>（二）投标人的风险</w:t>
      </w:r>
    </w:p>
    <w:p w14:paraId="43859096">
      <w:pPr>
        <w:pStyle w:val="42"/>
        <w:spacing w:line="420" w:lineRule="exact"/>
        <w:rPr>
          <w:rFonts w:ascii="宋体" w:eastAsia="宋体"/>
          <w:color w:val="auto"/>
          <w:highlight w:val="none"/>
          <w:shd w:val="clear" w:color="auto" w:fill="auto"/>
        </w:rPr>
      </w:pPr>
      <w:r>
        <w:rPr>
          <w:rFonts w:hint="eastAsia" w:ascii="宋体" w:eastAsia="宋体"/>
          <w:color w:val="auto"/>
          <w:highlight w:val="none"/>
          <w:shd w:val="clear" w:color="auto" w:fill="auto"/>
        </w:rPr>
        <w:t>投标人没有按照招标文件要求提供全部资料，或者投标人没有对招标文件在各方面作出实质性响应是投标人的风险，并可能导致其投标被拒绝。</w:t>
      </w:r>
    </w:p>
    <w:p w14:paraId="7F411DE1">
      <w:pPr>
        <w:pStyle w:val="13"/>
        <w:widowControl w:val="0"/>
        <w:tabs>
          <w:tab w:val="left" w:pos="420"/>
        </w:tabs>
        <w:snapToGrid w:val="0"/>
        <w:spacing w:before="120" w:beforeLines="50" w:afterLines="0" w:line="420" w:lineRule="exact"/>
        <w:ind w:left="0" w:firstLine="472" w:firstLineChars="196"/>
        <w:rPr>
          <w:rFonts w:ascii="宋体" w:hAnsi="宋体"/>
          <w:b/>
          <w:color w:val="auto"/>
          <w:szCs w:val="24"/>
          <w:highlight w:val="none"/>
          <w:shd w:val="clear" w:color="auto" w:fill="auto"/>
        </w:rPr>
      </w:pPr>
      <w:r>
        <w:rPr>
          <w:rFonts w:hint="eastAsia" w:ascii="宋体" w:hAnsi="宋体"/>
          <w:b/>
          <w:color w:val="auto"/>
          <w:szCs w:val="24"/>
          <w:highlight w:val="none"/>
          <w:shd w:val="clear" w:color="auto" w:fill="auto"/>
        </w:rPr>
        <w:t xml:space="preserve">（三）招标文件的澄清与修改 </w:t>
      </w:r>
    </w:p>
    <w:p w14:paraId="63C5BF07">
      <w:pPr>
        <w:pStyle w:val="32"/>
        <w:snapToGrid w:val="0"/>
        <w:spacing w:beforeLines="0" w:afterLines="0" w:line="420" w:lineRule="exact"/>
        <w:ind w:firstLine="480" w:firstLineChars="200"/>
        <w:rPr>
          <w:rFonts w:hAnsi="宋体"/>
          <w:color w:val="auto"/>
          <w:highlight w:val="none"/>
          <w:shd w:val="clear" w:color="auto" w:fill="auto"/>
        </w:rPr>
      </w:pPr>
      <w:r>
        <w:rPr>
          <w:rFonts w:hint="eastAsia" w:hAnsi="宋体"/>
          <w:color w:val="auto"/>
          <w:highlight w:val="none"/>
          <w:shd w:val="clear" w:color="auto" w:fill="auto"/>
        </w:rPr>
        <w:t>1.</w:t>
      </w:r>
      <w:r>
        <w:rPr>
          <w:rFonts w:hint="eastAsia" w:hAnsi="宋体"/>
          <w:bCs/>
          <w:color w:val="auto"/>
          <w:highlight w:val="none"/>
          <w:shd w:val="clear" w:color="auto" w:fill="auto"/>
        </w:rPr>
        <w:t>投标人应认真阅读本招标文件，发现其中有误或有不合理要求的，投标人必须在前附表规定的时间前以书面形式要求招标人澄清</w:t>
      </w:r>
      <w:r>
        <w:rPr>
          <w:rFonts w:hint="eastAsia" w:hAnsi="宋体"/>
          <w:color w:val="auto"/>
          <w:highlight w:val="none"/>
          <w:shd w:val="clear" w:color="auto" w:fill="auto"/>
        </w:rPr>
        <w:t>。招标人对已发出的招标文件进行必要澄清、答复、修改或补充的，应当在招标文件要求提交投标文件截止时间前，以采购公告发布的网站予以发布。</w:t>
      </w:r>
    </w:p>
    <w:p w14:paraId="2334EF90">
      <w:pPr>
        <w:pStyle w:val="32"/>
        <w:snapToGrid w:val="0"/>
        <w:spacing w:beforeLines="0" w:afterLines="0" w:line="420" w:lineRule="exact"/>
        <w:ind w:firstLine="480" w:firstLineChars="200"/>
        <w:rPr>
          <w:rFonts w:hAnsi="宋体"/>
          <w:color w:val="auto"/>
          <w:highlight w:val="none"/>
          <w:shd w:val="clear" w:color="auto" w:fill="auto"/>
        </w:rPr>
      </w:pPr>
      <w:r>
        <w:rPr>
          <w:rFonts w:hint="eastAsia" w:hAnsi="宋体"/>
          <w:color w:val="auto"/>
          <w:highlight w:val="none"/>
          <w:shd w:val="clear" w:color="auto" w:fill="auto"/>
        </w:rPr>
        <w:t>2.招标文件澄清、答复、修改、补充的内容为招标文件的组成部分。当招标文件与招标文件的答复、澄清、修改、补充通知就同一内容的表述不一致时，以最后发出的公告为准。</w:t>
      </w:r>
    </w:p>
    <w:p w14:paraId="4ACD25F2">
      <w:pPr>
        <w:pStyle w:val="32"/>
        <w:snapToGrid w:val="0"/>
        <w:spacing w:beforeLines="0" w:afterLines="0" w:line="420" w:lineRule="exact"/>
        <w:ind w:firstLine="480" w:firstLineChars="200"/>
        <w:rPr>
          <w:rFonts w:hAnsi="宋体"/>
          <w:color w:val="auto"/>
          <w:highlight w:val="none"/>
          <w:shd w:val="clear" w:color="auto" w:fill="auto"/>
        </w:rPr>
      </w:pPr>
      <w:r>
        <w:rPr>
          <w:rFonts w:hint="eastAsia" w:hAnsi="宋体"/>
          <w:color w:val="auto"/>
          <w:highlight w:val="none"/>
          <w:shd w:val="clear" w:color="auto" w:fill="auto"/>
        </w:rPr>
        <w:t>3.招标文件的澄清、答复、修改或补充都应该通过招标人以法定形式发布，招标人没有通过招标人，不得擅自澄清、答复、修改或补充招标文件。</w:t>
      </w:r>
    </w:p>
    <w:p w14:paraId="3B0E8920">
      <w:pPr>
        <w:pStyle w:val="32"/>
        <w:snapToGrid w:val="0"/>
        <w:spacing w:beforeLines="0" w:afterLines="0" w:line="420" w:lineRule="exact"/>
        <w:ind w:firstLine="472" w:firstLineChars="196"/>
        <w:rPr>
          <w:rFonts w:hAnsi="宋体"/>
          <w:b/>
          <w:color w:val="auto"/>
          <w:highlight w:val="none"/>
          <w:shd w:val="clear" w:color="auto" w:fill="auto"/>
        </w:rPr>
      </w:pPr>
      <w:r>
        <w:rPr>
          <w:rFonts w:hint="eastAsia" w:hAnsi="宋体"/>
          <w:b/>
          <w:color w:val="auto"/>
          <w:highlight w:val="none"/>
          <w:shd w:val="clear" w:color="auto" w:fill="auto"/>
        </w:rPr>
        <w:t>三、投标文件的编制</w:t>
      </w:r>
    </w:p>
    <w:p w14:paraId="4329F31F">
      <w:pPr>
        <w:snapToGrid w:val="0"/>
        <w:spacing w:line="420" w:lineRule="exact"/>
        <w:ind w:firstLine="470" w:firstLineChars="196"/>
        <w:jc w:val="left"/>
        <w:rPr>
          <w:rFonts w:ascii="宋体" w:hAnsi="宋体"/>
          <w:bCs/>
          <w:color w:val="auto"/>
          <w:sz w:val="24"/>
          <w:highlight w:val="none"/>
          <w:shd w:val="clear" w:color="auto" w:fill="auto"/>
        </w:rPr>
      </w:pPr>
      <w:r>
        <w:rPr>
          <w:rFonts w:hint="eastAsia" w:ascii="宋体" w:hAnsi="宋体"/>
          <w:bCs/>
          <w:color w:val="auto"/>
          <w:sz w:val="24"/>
          <w:highlight w:val="none"/>
          <w:shd w:val="clear" w:color="auto" w:fill="auto"/>
        </w:rPr>
        <w:t>本项目实行电子投标，投标人应准备电子投标文件，本项目线下无需提供任何备份投标文件。电子投标文件，按及本招标文件要求编制。</w:t>
      </w:r>
    </w:p>
    <w:p w14:paraId="00CEE704">
      <w:pPr>
        <w:snapToGrid w:val="0"/>
        <w:spacing w:line="420" w:lineRule="exact"/>
        <w:ind w:firstLine="472" w:firstLineChars="196"/>
        <w:jc w:val="left"/>
        <w:rPr>
          <w:rFonts w:ascii="宋体" w:hAnsi="宋体"/>
          <w:b/>
          <w:color w:val="auto"/>
          <w:sz w:val="24"/>
          <w:highlight w:val="none"/>
          <w:shd w:val="clear" w:color="auto" w:fill="auto"/>
        </w:rPr>
      </w:pPr>
      <w:r>
        <w:rPr>
          <w:rFonts w:hint="eastAsia" w:ascii="宋体" w:hAnsi="宋体"/>
          <w:b/>
          <w:color w:val="auto"/>
          <w:sz w:val="24"/>
          <w:highlight w:val="none"/>
          <w:shd w:val="clear" w:color="auto" w:fill="auto"/>
        </w:rPr>
        <w:t>（一）投标文件的组成</w:t>
      </w:r>
    </w:p>
    <w:p w14:paraId="46F7AD7B">
      <w:pPr>
        <w:snapToGrid w:val="0"/>
        <w:spacing w:line="420" w:lineRule="exact"/>
        <w:ind w:firstLine="482" w:firstLineChars="200"/>
        <w:jc w:val="left"/>
        <w:rPr>
          <w:rFonts w:ascii="宋体" w:hAnsi="宋体"/>
          <w:color w:val="auto"/>
          <w:sz w:val="24"/>
          <w:highlight w:val="none"/>
          <w:shd w:val="clear" w:color="auto" w:fill="auto"/>
        </w:rPr>
      </w:pPr>
      <w:r>
        <w:rPr>
          <w:rFonts w:hint="eastAsia" w:ascii="宋体" w:hAnsi="宋体"/>
          <w:b/>
          <w:color w:val="auto"/>
          <w:sz w:val="24"/>
          <w:highlight w:val="none"/>
          <w:shd w:val="clear" w:color="auto" w:fill="auto"/>
        </w:rPr>
        <w:t>投标文件由资格响应文件、商务技术文件、报价文件三部份组成。</w:t>
      </w:r>
      <w:r>
        <w:rPr>
          <w:rFonts w:hint="eastAsia" w:ascii="宋体" w:hAnsi="宋体"/>
          <w:color w:val="auto"/>
          <w:sz w:val="24"/>
          <w:highlight w:val="none"/>
          <w:shd w:val="clear" w:color="auto" w:fill="auto"/>
        </w:rPr>
        <w:t>相关格式见附件，其余格式自拟。</w:t>
      </w:r>
    </w:p>
    <w:p w14:paraId="5311FF6A">
      <w:pPr>
        <w:snapToGrid w:val="0"/>
        <w:spacing w:line="420" w:lineRule="exact"/>
        <w:ind w:firstLine="482" w:firstLineChars="200"/>
        <w:jc w:val="left"/>
        <w:rPr>
          <w:rFonts w:ascii="宋体" w:hAnsi="宋体"/>
          <w:b/>
          <w:color w:val="auto"/>
          <w:sz w:val="24"/>
          <w:highlight w:val="none"/>
          <w:shd w:val="clear" w:color="auto" w:fill="auto"/>
        </w:rPr>
      </w:pPr>
      <w:bookmarkStart w:id="14" w:name="_Hlk72672250"/>
      <w:r>
        <w:rPr>
          <w:rFonts w:ascii="宋体" w:hAnsi="宋体"/>
          <w:b/>
          <w:color w:val="auto"/>
          <w:sz w:val="24"/>
          <w:highlight w:val="none"/>
          <w:shd w:val="clear" w:color="auto" w:fill="auto"/>
        </w:rPr>
        <w:t>1</w:t>
      </w:r>
      <w:r>
        <w:rPr>
          <w:rFonts w:hint="eastAsia" w:ascii="宋体" w:hAnsi="宋体"/>
          <w:b/>
          <w:color w:val="auto"/>
          <w:sz w:val="24"/>
          <w:highlight w:val="none"/>
          <w:shd w:val="clear" w:color="auto" w:fill="auto"/>
        </w:rPr>
        <w:t>.资格响应文件</w:t>
      </w:r>
    </w:p>
    <w:bookmarkEnd w:id="14"/>
    <w:p w14:paraId="23053B56">
      <w:pPr>
        <w:snapToGrid w:val="0"/>
        <w:spacing w:line="420" w:lineRule="exact"/>
        <w:ind w:firstLine="480" w:firstLineChars="200"/>
        <w:jc w:val="left"/>
        <w:rPr>
          <w:rFonts w:ascii="宋体" w:hAnsi="宋体"/>
          <w:bCs/>
          <w:color w:val="auto"/>
          <w:sz w:val="24"/>
          <w:highlight w:val="none"/>
          <w:shd w:val="clear" w:color="auto" w:fill="auto"/>
        </w:rPr>
      </w:pPr>
      <w:r>
        <w:rPr>
          <w:rFonts w:hint="eastAsia" w:ascii="宋体" w:hAnsi="宋体"/>
          <w:bCs/>
          <w:color w:val="auto"/>
          <w:sz w:val="24"/>
          <w:highlight w:val="none"/>
          <w:shd w:val="clear" w:color="auto" w:fill="auto"/>
        </w:rPr>
        <w:t>（1）营业执照</w:t>
      </w:r>
      <w:r>
        <w:rPr>
          <w:rFonts w:hint="eastAsia" w:ascii="宋体" w:hAnsi="宋体"/>
          <w:b/>
          <w:color w:val="auto"/>
          <w:sz w:val="24"/>
          <w:highlight w:val="none"/>
          <w:shd w:val="clear" w:color="auto" w:fill="auto"/>
        </w:rPr>
        <w:t>（推荐使用电子营业执照）</w:t>
      </w:r>
      <w:r>
        <w:rPr>
          <w:rFonts w:hint="eastAsia" w:ascii="宋体" w:hAnsi="宋体"/>
          <w:bCs/>
          <w:color w:val="auto"/>
          <w:sz w:val="24"/>
          <w:highlight w:val="none"/>
          <w:shd w:val="clear" w:color="auto" w:fill="auto"/>
        </w:rPr>
        <w:t>或事业法人登记证或其他工商等登记证明材料原件扫描件或复印件；</w:t>
      </w:r>
    </w:p>
    <w:p w14:paraId="066922E3">
      <w:pPr>
        <w:snapToGrid w:val="0"/>
        <w:spacing w:line="420" w:lineRule="exact"/>
        <w:ind w:firstLine="480" w:firstLineChars="200"/>
        <w:jc w:val="left"/>
        <w:rPr>
          <w:rFonts w:ascii="宋体" w:hAnsi="宋体"/>
          <w:bCs/>
          <w:color w:val="auto"/>
          <w:sz w:val="24"/>
          <w:highlight w:val="none"/>
          <w:shd w:val="clear" w:color="auto" w:fill="auto"/>
        </w:rPr>
      </w:pPr>
      <w:r>
        <w:rPr>
          <w:rFonts w:hint="eastAsia" w:ascii="宋体" w:hAnsi="宋体"/>
          <w:bCs/>
          <w:color w:val="auto"/>
          <w:sz w:val="24"/>
          <w:highlight w:val="none"/>
          <w:shd w:val="clear" w:color="auto" w:fill="auto"/>
        </w:rPr>
        <w:t>（</w:t>
      </w:r>
      <w:r>
        <w:rPr>
          <w:rFonts w:ascii="宋体" w:hAnsi="宋体"/>
          <w:bCs/>
          <w:color w:val="auto"/>
          <w:sz w:val="24"/>
          <w:highlight w:val="none"/>
          <w:shd w:val="clear" w:color="auto" w:fill="auto"/>
        </w:rPr>
        <w:t>2</w:t>
      </w:r>
      <w:r>
        <w:rPr>
          <w:rFonts w:hint="eastAsia" w:ascii="宋体" w:hAnsi="宋体"/>
          <w:bCs/>
          <w:color w:val="auto"/>
          <w:sz w:val="24"/>
          <w:highlight w:val="none"/>
          <w:shd w:val="clear" w:color="auto" w:fill="auto"/>
        </w:rPr>
        <w:t>）</w:t>
      </w:r>
      <w:r>
        <w:rPr>
          <w:rFonts w:hint="eastAsia" w:ascii="宋体" w:hAnsi="宋体"/>
          <w:color w:val="auto"/>
          <w:sz w:val="24"/>
          <w:highlight w:val="none"/>
          <w:shd w:val="clear" w:color="auto" w:fill="auto"/>
        </w:rPr>
        <w:t>资质文件复印件（如有）；</w:t>
      </w:r>
    </w:p>
    <w:p w14:paraId="0191756F">
      <w:pPr>
        <w:snapToGrid w:val="0"/>
        <w:spacing w:line="420" w:lineRule="exact"/>
        <w:ind w:firstLine="480" w:firstLineChars="200"/>
        <w:jc w:val="left"/>
        <w:rPr>
          <w:rFonts w:hint="eastAsia" w:ascii="宋体" w:hAnsi="宋体"/>
          <w:bCs/>
          <w:color w:val="auto"/>
          <w:sz w:val="24"/>
          <w:highlight w:val="none"/>
          <w:shd w:val="clear" w:color="auto" w:fill="auto"/>
        </w:rPr>
      </w:pPr>
      <w:bookmarkStart w:id="15" w:name="_Hlk68075338"/>
      <w:r>
        <w:rPr>
          <w:rFonts w:hint="eastAsia" w:ascii="宋体" w:hAnsi="宋体"/>
          <w:bCs/>
          <w:color w:val="auto"/>
          <w:sz w:val="24"/>
          <w:highlight w:val="none"/>
          <w:shd w:val="clear" w:color="auto" w:fill="auto"/>
        </w:rPr>
        <w:t>（</w:t>
      </w:r>
      <w:r>
        <w:rPr>
          <w:rFonts w:ascii="宋体" w:hAnsi="宋体"/>
          <w:bCs/>
          <w:color w:val="auto"/>
          <w:sz w:val="24"/>
          <w:highlight w:val="none"/>
          <w:shd w:val="clear" w:color="auto" w:fill="auto"/>
        </w:rPr>
        <w:t>3</w:t>
      </w:r>
      <w:r>
        <w:rPr>
          <w:rFonts w:hint="eastAsia" w:ascii="宋体" w:hAnsi="宋体"/>
          <w:bCs/>
          <w:color w:val="auto"/>
          <w:sz w:val="24"/>
          <w:highlight w:val="none"/>
          <w:shd w:val="clear" w:color="auto" w:fill="auto"/>
        </w:rPr>
        <w:t>）</w:t>
      </w:r>
      <w:bookmarkEnd w:id="15"/>
      <w:r>
        <w:rPr>
          <w:rFonts w:hint="eastAsia" w:ascii="宋体" w:hAnsi="宋体"/>
          <w:bCs/>
          <w:color w:val="auto"/>
          <w:sz w:val="24"/>
          <w:highlight w:val="none"/>
          <w:shd w:val="clear" w:color="auto" w:fill="auto"/>
        </w:rPr>
        <w:t>没有重大违法记录的承诺函</w:t>
      </w:r>
      <w:bookmarkStart w:id="16" w:name="_Hlk69365455"/>
      <w:r>
        <w:rPr>
          <w:rFonts w:hint="eastAsia" w:ascii="宋体" w:hAnsi="宋体"/>
          <w:b/>
          <w:color w:val="auto"/>
          <w:sz w:val="24"/>
          <w:highlight w:val="none"/>
          <w:u w:val="single"/>
          <w:shd w:val="clear" w:color="auto" w:fill="auto"/>
        </w:rPr>
        <w:t>（请投标人在资格响应文件中勿遗漏该表格）</w:t>
      </w:r>
      <w:r>
        <w:rPr>
          <w:rFonts w:hint="eastAsia" w:ascii="宋体" w:hAnsi="宋体"/>
          <w:bCs/>
          <w:color w:val="auto"/>
          <w:sz w:val="24"/>
          <w:highlight w:val="none"/>
          <w:shd w:val="clear" w:color="auto" w:fill="auto"/>
        </w:rPr>
        <w:t>；</w:t>
      </w:r>
    </w:p>
    <w:p w14:paraId="78464507">
      <w:pPr>
        <w:pStyle w:val="2"/>
        <w:rPr>
          <w:rFonts w:hint="eastAsia" w:eastAsia="华文楷体"/>
          <w:color w:val="auto"/>
          <w:highlight w:val="none"/>
          <w:lang w:eastAsia="zh-CN"/>
        </w:rPr>
      </w:pPr>
      <w:r>
        <w:rPr>
          <w:rFonts w:hint="eastAsia" w:ascii="宋体" w:hAnsi="宋体"/>
          <w:bCs/>
          <w:color w:val="auto"/>
          <w:sz w:val="24"/>
          <w:highlight w:val="none"/>
          <w:shd w:val="clear" w:color="auto" w:fill="auto"/>
          <w:lang w:eastAsia="zh-CN"/>
        </w:rPr>
        <w:t>（</w:t>
      </w:r>
      <w:r>
        <w:rPr>
          <w:rFonts w:hint="eastAsia" w:ascii="宋体" w:hAnsi="宋体"/>
          <w:bCs/>
          <w:color w:val="auto"/>
          <w:sz w:val="24"/>
          <w:highlight w:val="none"/>
          <w:shd w:val="clear" w:color="auto" w:fill="auto"/>
          <w:lang w:val="en-US" w:eastAsia="zh-CN"/>
        </w:rPr>
        <w:t>4</w:t>
      </w:r>
      <w:r>
        <w:rPr>
          <w:rFonts w:hint="eastAsia" w:ascii="宋体" w:hAnsi="宋体"/>
          <w:bCs/>
          <w:color w:val="auto"/>
          <w:sz w:val="24"/>
          <w:highlight w:val="none"/>
          <w:shd w:val="clear" w:color="auto" w:fill="auto"/>
          <w:lang w:eastAsia="zh-CN"/>
        </w:rPr>
        <w:t>）未被“信用中国”（www.creditchina.gov.cn）、中国政府采购网（www.ccgp.gov.cn）列入失信被执行人、税收违法黑名单、政府采购严重违法失信行为记录名单</w:t>
      </w:r>
      <w:r>
        <w:rPr>
          <w:rFonts w:hint="eastAsia" w:ascii="宋体" w:hAnsi="宋体"/>
          <w:bCs/>
          <w:color w:val="auto"/>
          <w:sz w:val="24"/>
          <w:highlight w:val="none"/>
          <w:shd w:val="clear" w:color="auto" w:fill="auto"/>
          <w:lang w:val="en-US" w:eastAsia="zh-CN"/>
        </w:rPr>
        <w:t>网站查询截图。</w:t>
      </w:r>
    </w:p>
    <w:bookmarkEnd w:id="16"/>
    <w:p w14:paraId="438D0208">
      <w:pPr>
        <w:snapToGrid w:val="0"/>
        <w:spacing w:line="420" w:lineRule="exact"/>
        <w:ind w:firstLine="482" w:firstLineChars="200"/>
        <w:jc w:val="left"/>
        <w:rPr>
          <w:rFonts w:ascii="宋体" w:hAnsi="宋体"/>
          <w:color w:val="auto"/>
          <w:sz w:val="24"/>
          <w:highlight w:val="none"/>
          <w:shd w:val="clear" w:color="auto" w:fill="auto"/>
        </w:rPr>
      </w:pPr>
      <w:bookmarkStart w:id="17" w:name="_Hlk72672204"/>
      <w:r>
        <w:rPr>
          <w:rFonts w:ascii="宋体" w:hAnsi="宋体"/>
          <w:b/>
          <w:color w:val="auto"/>
          <w:sz w:val="24"/>
          <w:highlight w:val="none"/>
          <w:shd w:val="clear" w:color="auto" w:fill="auto"/>
        </w:rPr>
        <w:t>2</w:t>
      </w:r>
      <w:r>
        <w:rPr>
          <w:rFonts w:hint="eastAsia" w:ascii="宋体" w:hAnsi="宋体"/>
          <w:b/>
          <w:color w:val="auto"/>
          <w:sz w:val="24"/>
          <w:highlight w:val="none"/>
          <w:shd w:val="clear" w:color="auto" w:fill="auto"/>
        </w:rPr>
        <w:t>.</w:t>
      </w:r>
      <w:bookmarkEnd w:id="17"/>
      <w:bookmarkStart w:id="18" w:name="_Hlk534200662"/>
      <w:r>
        <w:rPr>
          <w:rFonts w:hint="eastAsia" w:ascii="宋体" w:hAnsi="宋体"/>
          <w:b/>
          <w:color w:val="auto"/>
          <w:sz w:val="24"/>
          <w:highlight w:val="none"/>
          <w:shd w:val="clear" w:color="auto" w:fill="auto"/>
        </w:rPr>
        <w:t>商务</w:t>
      </w:r>
      <w:r>
        <w:rPr>
          <w:rFonts w:hint="eastAsia" w:ascii="宋体" w:hAnsi="宋体"/>
          <w:b/>
          <w:bCs/>
          <w:color w:val="auto"/>
          <w:sz w:val="24"/>
          <w:highlight w:val="none"/>
          <w:shd w:val="clear" w:color="auto" w:fill="auto"/>
        </w:rPr>
        <w:t>技术</w:t>
      </w:r>
      <w:r>
        <w:rPr>
          <w:rFonts w:hint="eastAsia" w:ascii="宋体" w:hAnsi="宋体"/>
          <w:b/>
          <w:color w:val="auto"/>
          <w:sz w:val="24"/>
          <w:highlight w:val="none"/>
          <w:shd w:val="clear" w:color="auto" w:fill="auto"/>
        </w:rPr>
        <w:t>文件</w:t>
      </w:r>
      <w:bookmarkEnd w:id="18"/>
    </w:p>
    <w:p w14:paraId="7B88AFBC">
      <w:pPr>
        <w:snapToGrid w:val="0"/>
        <w:spacing w:line="420" w:lineRule="exact"/>
        <w:ind w:firstLine="470" w:firstLineChars="196"/>
        <w:jc w:val="left"/>
        <w:rPr>
          <w:rFonts w:ascii="宋体" w:hAnsi="宋体"/>
          <w:color w:val="auto"/>
          <w:sz w:val="24"/>
          <w:highlight w:val="none"/>
        </w:rPr>
      </w:pPr>
      <w:r>
        <w:rPr>
          <w:rFonts w:hint="eastAsia" w:ascii="宋体" w:hAnsi="宋体"/>
          <w:color w:val="auto"/>
          <w:sz w:val="24"/>
          <w:highlight w:val="none"/>
        </w:rPr>
        <w:t>（1）投标函；</w:t>
      </w:r>
    </w:p>
    <w:p w14:paraId="35ED0F62">
      <w:pPr>
        <w:snapToGrid w:val="0"/>
        <w:spacing w:line="420" w:lineRule="exact"/>
        <w:ind w:firstLine="470" w:firstLineChars="196"/>
        <w:jc w:val="left"/>
        <w:rPr>
          <w:rFonts w:ascii="宋体" w:hAnsi="宋体"/>
          <w:color w:val="auto"/>
          <w:sz w:val="24"/>
          <w:highlight w:val="none"/>
        </w:rPr>
      </w:pPr>
      <w:r>
        <w:rPr>
          <w:rFonts w:hint="eastAsia" w:ascii="宋体" w:hAnsi="宋体"/>
          <w:color w:val="auto"/>
          <w:sz w:val="24"/>
          <w:highlight w:val="none"/>
        </w:rPr>
        <w:t>（2）</w:t>
      </w:r>
      <w:bookmarkStart w:id="19" w:name="_Hlk534200539"/>
      <w:r>
        <w:rPr>
          <w:rFonts w:hint="eastAsia" w:ascii="宋体" w:hAnsi="宋体"/>
          <w:color w:val="auto"/>
          <w:sz w:val="24"/>
          <w:highlight w:val="none"/>
        </w:rPr>
        <w:t>法定代表人授权委托书</w:t>
      </w:r>
      <w:bookmarkEnd w:id="19"/>
      <w:r>
        <w:rPr>
          <w:rFonts w:hint="eastAsia" w:ascii="宋体" w:hAnsi="宋体"/>
          <w:color w:val="auto"/>
          <w:sz w:val="24"/>
          <w:highlight w:val="none"/>
          <w:lang w:eastAsia="zh-CN"/>
        </w:rPr>
        <w:t>（或法定代表人身份证明）</w:t>
      </w:r>
      <w:r>
        <w:rPr>
          <w:rFonts w:hint="eastAsia" w:ascii="宋体" w:hAnsi="宋体"/>
          <w:color w:val="auto"/>
          <w:sz w:val="24"/>
          <w:highlight w:val="none"/>
        </w:rPr>
        <w:t>；</w:t>
      </w:r>
    </w:p>
    <w:p w14:paraId="16F34427">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w:t>
      </w:r>
      <w:r>
        <w:rPr>
          <w:rFonts w:ascii="宋体" w:hAnsi="宋体"/>
          <w:color w:val="auto"/>
          <w:sz w:val="24"/>
          <w:highlight w:val="none"/>
        </w:rPr>
        <w:t>3</w:t>
      </w:r>
      <w:r>
        <w:rPr>
          <w:rFonts w:hint="eastAsia" w:ascii="宋体" w:hAnsi="宋体"/>
          <w:color w:val="auto"/>
          <w:sz w:val="24"/>
          <w:highlight w:val="none"/>
        </w:rPr>
        <w:t>）投标人按照评分标准要求提供的相应资料；</w:t>
      </w:r>
    </w:p>
    <w:p w14:paraId="0487718A">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w:t>
      </w:r>
      <w:r>
        <w:rPr>
          <w:rFonts w:ascii="宋体" w:hAnsi="宋体"/>
          <w:color w:val="auto"/>
          <w:sz w:val="24"/>
          <w:highlight w:val="none"/>
        </w:rPr>
        <w:t>4</w:t>
      </w:r>
      <w:r>
        <w:rPr>
          <w:rFonts w:hint="eastAsia" w:ascii="宋体" w:hAnsi="宋体"/>
          <w:color w:val="auto"/>
          <w:sz w:val="24"/>
          <w:highlight w:val="none"/>
        </w:rPr>
        <w:t>）项目负责人简历表；</w:t>
      </w:r>
    </w:p>
    <w:p w14:paraId="293F7F1F">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 xml:space="preserve">（5）项目实施人员一览表； </w:t>
      </w:r>
    </w:p>
    <w:p w14:paraId="1FAEDB38">
      <w:pPr>
        <w:snapToGrid w:val="0"/>
        <w:spacing w:line="420" w:lineRule="exact"/>
        <w:ind w:firstLine="470" w:firstLineChars="196"/>
        <w:jc w:val="left"/>
        <w:rPr>
          <w:rFonts w:ascii="宋体" w:hAnsi="宋体"/>
          <w:color w:val="auto"/>
          <w:sz w:val="24"/>
          <w:highlight w:val="none"/>
        </w:rPr>
      </w:pPr>
      <w:r>
        <w:rPr>
          <w:rFonts w:hint="eastAsia" w:ascii="宋体" w:hAnsi="宋体"/>
          <w:color w:val="auto"/>
          <w:sz w:val="24"/>
          <w:highlight w:val="none"/>
        </w:rPr>
        <w:t>（6）投标人类似成功案例一览表；</w:t>
      </w:r>
    </w:p>
    <w:p w14:paraId="1AB0F678">
      <w:pPr>
        <w:snapToGrid w:val="0"/>
        <w:spacing w:line="420" w:lineRule="exact"/>
        <w:ind w:firstLine="470" w:firstLineChars="196"/>
        <w:jc w:val="left"/>
        <w:rPr>
          <w:rFonts w:ascii="宋体" w:hAnsi="宋体"/>
          <w:color w:val="auto"/>
          <w:sz w:val="24"/>
          <w:highlight w:val="none"/>
        </w:rPr>
      </w:pPr>
      <w:r>
        <w:rPr>
          <w:rFonts w:hint="eastAsia" w:ascii="宋体" w:hAnsi="宋体"/>
          <w:color w:val="auto"/>
          <w:sz w:val="24"/>
          <w:highlight w:val="none"/>
        </w:rPr>
        <w:t>（7）售后服务网点情况表；</w:t>
      </w:r>
    </w:p>
    <w:p w14:paraId="1A915DAC">
      <w:pPr>
        <w:snapToGrid w:val="0"/>
        <w:spacing w:line="420" w:lineRule="exact"/>
        <w:ind w:firstLine="470" w:firstLineChars="196"/>
        <w:jc w:val="left"/>
        <w:rPr>
          <w:rFonts w:ascii="宋体" w:hAnsi="宋体"/>
          <w:color w:val="auto"/>
          <w:sz w:val="24"/>
          <w:highlight w:val="none"/>
        </w:rPr>
      </w:pPr>
      <w:r>
        <w:rPr>
          <w:rFonts w:hint="eastAsia" w:ascii="宋体" w:hAnsi="宋体"/>
          <w:color w:val="auto"/>
          <w:sz w:val="24"/>
          <w:highlight w:val="none"/>
        </w:rPr>
        <w:t>（8）商务技术响应表；</w:t>
      </w:r>
    </w:p>
    <w:p w14:paraId="72052C51">
      <w:pPr>
        <w:snapToGrid w:val="0"/>
        <w:spacing w:line="420" w:lineRule="exact"/>
        <w:ind w:firstLine="470" w:firstLineChars="196"/>
        <w:jc w:val="left"/>
        <w:rPr>
          <w:rFonts w:ascii="宋体" w:hAnsi="宋体"/>
          <w:color w:val="auto"/>
          <w:sz w:val="24"/>
          <w:highlight w:val="none"/>
        </w:rPr>
      </w:pPr>
      <w:r>
        <w:rPr>
          <w:rFonts w:hint="eastAsia" w:ascii="宋体" w:hAnsi="宋体"/>
          <w:color w:val="auto"/>
          <w:sz w:val="24"/>
          <w:highlight w:val="none"/>
        </w:rPr>
        <w:t>（9）投标人认为需要提供的其他资料。</w:t>
      </w:r>
    </w:p>
    <w:p w14:paraId="291222BB">
      <w:pPr>
        <w:snapToGrid w:val="0"/>
        <w:spacing w:line="420" w:lineRule="exact"/>
        <w:ind w:firstLine="472" w:firstLineChars="196"/>
        <w:jc w:val="left"/>
        <w:rPr>
          <w:rFonts w:ascii="宋体" w:hAnsi="宋体"/>
          <w:b/>
          <w:color w:val="auto"/>
          <w:sz w:val="24"/>
          <w:highlight w:val="none"/>
          <w:shd w:val="clear" w:color="auto" w:fill="auto"/>
        </w:rPr>
      </w:pPr>
      <w:r>
        <w:rPr>
          <w:rFonts w:ascii="宋体" w:hAnsi="宋体"/>
          <w:b/>
          <w:color w:val="auto"/>
          <w:sz w:val="24"/>
          <w:highlight w:val="none"/>
          <w:shd w:val="clear" w:color="auto" w:fill="auto"/>
        </w:rPr>
        <w:t>3</w:t>
      </w:r>
      <w:r>
        <w:rPr>
          <w:rFonts w:hint="eastAsia" w:ascii="宋体" w:hAnsi="宋体"/>
          <w:b/>
          <w:color w:val="auto"/>
          <w:sz w:val="24"/>
          <w:highlight w:val="none"/>
          <w:shd w:val="clear" w:color="auto" w:fill="auto"/>
        </w:rPr>
        <w:t>.报价文件</w:t>
      </w:r>
    </w:p>
    <w:p w14:paraId="555635E3">
      <w:pPr>
        <w:snapToGrid w:val="0"/>
        <w:spacing w:line="420" w:lineRule="exact"/>
        <w:ind w:firstLine="480" w:firstLineChars="200"/>
        <w:jc w:val="left"/>
        <w:rPr>
          <w:rFonts w:ascii="宋体" w:hAnsi="宋体"/>
          <w:color w:val="auto"/>
          <w:sz w:val="24"/>
          <w:highlight w:val="none"/>
          <w:shd w:val="clear" w:color="auto" w:fill="auto"/>
        </w:rPr>
      </w:pPr>
      <w:r>
        <w:rPr>
          <w:rFonts w:hint="eastAsia" w:ascii="宋体" w:hAnsi="宋体"/>
          <w:color w:val="auto"/>
          <w:sz w:val="24"/>
          <w:highlight w:val="none"/>
          <w:shd w:val="clear" w:color="auto" w:fill="auto"/>
        </w:rPr>
        <w:t>（1）开标一览表；</w:t>
      </w:r>
    </w:p>
    <w:p w14:paraId="4F22E004">
      <w:pPr>
        <w:pStyle w:val="34"/>
        <w:snapToGrid w:val="0"/>
        <w:spacing w:line="420" w:lineRule="exact"/>
        <w:ind w:left="0" w:leftChars="0" w:firstLine="480" w:firstLineChars="200"/>
        <w:rPr>
          <w:rFonts w:hint="eastAsia" w:ascii="宋体" w:hAnsi="宋体" w:eastAsia="宋体"/>
          <w:color w:val="auto"/>
          <w:sz w:val="24"/>
          <w:szCs w:val="24"/>
          <w:highlight w:val="none"/>
          <w:shd w:val="clear" w:color="auto" w:fill="auto"/>
          <w:lang w:eastAsia="zh-CN"/>
        </w:rPr>
      </w:pPr>
      <w:r>
        <w:rPr>
          <w:rFonts w:hint="eastAsia" w:ascii="宋体" w:hAnsi="宋体" w:eastAsia="宋体"/>
          <w:color w:val="auto"/>
          <w:sz w:val="24"/>
          <w:szCs w:val="24"/>
          <w:highlight w:val="none"/>
          <w:shd w:val="clear" w:color="auto" w:fill="auto"/>
        </w:rPr>
        <w:t>（2）报价明细表</w:t>
      </w:r>
      <w:r>
        <w:rPr>
          <w:rFonts w:hint="eastAsia" w:ascii="宋体" w:hAnsi="宋体" w:eastAsia="宋体"/>
          <w:color w:val="auto"/>
          <w:sz w:val="24"/>
          <w:szCs w:val="24"/>
          <w:highlight w:val="none"/>
          <w:shd w:val="clear" w:color="auto" w:fill="auto"/>
          <w:lang w:eastAsia="zh-CN"/>
        </w:rPr>
        <w:t>。</w:t>
      </w:r>
    </w:p>
    <w:p w14:paraId="1AFBCE8F">
      <w:pPr>
        <w:snapToGrid w:val="0"/>
        <w:spacing w:before="100" w:beforeAutospacing="1" w:after="100" w:afterAutospacing="1" w:line="420" w:lineRule="exact"/>
        <w:ind w:firstLine="236" w:firstLineChars="98"/>
        <w:jc w:val="left"/>
        <w:rPr>
          <w:rFonts w:ascii="宋体" w:hAnsi="宋体"/>
          <w:b/>
          <w:color w:val="auto"/>
          <w:spacing w:val="-4"/>
          <w:sz w:val="24"/>
          <w:highlight w:val="none"/>
          <w:shd w:val="clear" w:color="auto" w:fill="auto"/>
        </w:rPr>
      </w:pPr>
      <w:r>
        <w:rPr>
          <w:rFonts w:hint="eastAsia" w:ascii="宋体" w:hAnsi="宋体"/>
          <w:b/>
          <w:color w:val="auto"/>
          <w:sz w:val="24"/>
          <w:highlight w:val="none"/>
          <w:shd w:val="clear" w:color="auto" w:fill="auto"/>
        </w:rPr>
        <w:t>（二）</w:t>
      </w:r>
      <w:r>
        <w:rPr>
          <w:rFonts w:hint="eastAsia" w:ascii="宋体" w:hAnsi="宋体"/>
          <w:b/>
          <w:color w:val="auto"/>
          <w:spacing w:val="-4"/>
          <w:sz w:val="24"/>
          <w:highlight w:val="none"/>
          <w:shd w:val="clear" w:color="auto" w:fill="auto"/>
        </w:rPr>
        <w:t>采购项目评分索引表(该表格仅为方便评标之用，不涉及无效标条款，表格放置在商务技术文件目录的前页，以方便评委进行评审</w:t>
      </w:r>
      <w:r>
        <w:rPr>
          <w:rFonts w:ascii="宋体" w:hAnsi="宋体"/>
          <w:b/>
          <w:color w:val="auto"/>
          <w:spacing w:val="-4"/>
          <w:sz w:val="24"/>
          <w:highlight w:val="none"/>
          <w:shd w:val="clear" w:color="auto" w:fill="auto"/>
        </w:rPr>
        <w:t>，</w:t>
      </w:r>
      <w:r>
        <w:rPr>
          <w:rFonts w:hint="eastAsia" w:ascii="宋体" w:hAnsi="宋体"/>
          <w:b/>
          <w:color w:val="auto"/>
          <w:spacing w:val="-4"/>
          <w:sz w:val="24"/>
          <w:highlight w:val="none"/>
          <w:shd w:val="clear" w:color="auto" w:fill="auto"/>
        </w:rPr>
        <w:t>格式见第四章)</w:t>
      </w:r>
    </w:p>
    <w:p w14:paraId="5E5C4ECB">
      <w:pPr>
        <w:snapToGrid w:val="0"/>
        <w:spacing w:line="420" w:lineRule="exact"/>
        <w:ind w:firstLine="361" w:firstLineChars="150"/>
        <w:jc w:val="left"/>
        <w:rPr>
          <w:rFonts w:ascii="宋体" w:hAnsi="宋体"/>
          <w:b/>
          <w:color w:val="auto"/>
          <w:sz w:val="24"/>
          <w:highlight w:val="none"/>
          <w:shd w:val="clear" w:color="auto" w:fill="auto"/>
        </w:rPr>
      </w:pPr>
      <w:r>
        <w:rPr>
          <w:rFonts w:hint="eastAsia" w:ascii="宋体" w:hAnsi="宋体"/>
          <w:b/>
          <w:color w:val="auto"/>
          <w:sz w:val="24"/>
          <w:highlight w:val="none"/>
          <w:shd w:val="clear" w:color="auto" w:fill="auto"/>
        </w:rPr>
        <w:t>（三）投标文件的语言及计量</w:t>
      </w:r>
    </w:p>
    <w:p w14:paraId="674F1C12">
      <w:pPr>
        <w:snapToGrid w:val="0"/>
        <w:spacing w:line="420" w:lineRule="exact"/>
        <w:ind w:firstLine="480" w:firstLineChars="200"/>
        <w:jc w:val="left"/>
        <w:rPr>
          <w:rFonts w:ascii="宋体" w:hAnsi="宋体"/>
          <w:color w:val="auto"/>
          <w:sz w:val="24"/>
          <w:highlight w:val="none"/>
          <w:shd w:val="clear" w:color="auto" w:fill="auto"/>
        </w:rPr>
      </w:pPr>
      <w:r>
        <w:rPr>
          <w:rFonts w:hint="eastAsia" w:ascii="宋体" w:hAnsi="宋体"/>
          <w:color w:val="auto"/>
          <w:sz w:val="24"/>
          <w:highlight w:val="none"/>
          <w:shd w:val="clear" w:color="auto" w:fill="auto"/>
        </w:rPr>
        <w:t>1.投标文件以及投标人与招标人就有关投标事宜的所有来往函电，均应以中文汉语书写。除签名、盖章、专用名称等特殊情形外，以中文汉语以外的文字表述的投标文件视同未提供。</w:t>
      </w:r>
    </w:p>
    <w:p w14:paraId="2276E5A2">
      <w:pPr>
        <w:snapToGrid w:val="0"/>
        <w:spacing w:line="420" w:lineRule="exact"/>
        <w:ind w:firstLine="480" w:firstLineChars="200"/>
        <w:jc w:val="left"/>
        <w:rPr>
          <w:rFonts w:ascii="宋体" w:hAnsi="宋体"/>
          <w:color w:val="auto"/>
          <w:sz w:val="24"/>
          <w:highlight w:val="none"/>
          <w:shd w:val="clear" w:color="auto" w:fill="auto"/>
        </w:rPr>
      </w:pPr>
      <w:r>
        <w:rPr>
          <w:rFonts w:hint="eastAsia" w:ascii="宋体" w:hAnsi="宋体"/>
          <w:color w:val="auto"/>
          <w:sz w:val="24"/>
          <w:highlight w:val="none"/>
          <w:shd w:val="clear" w:color="auto" w:fill="auto"/>
        </w:rPr>
        <w:t>2.投标计量单位，招标文件已有明确规定的，使用招标文件规定的计量单位；招标文件没有规定的，应采用中华人民共和国法定计量单位（货币单位：人民币元），否则视同未响应。</w:t>
      </w:r>
    </w:p>
    <w:p w14:paraId="5DE6EE6B">
      <w:pPr>
        <w:snapToGrid w:val="0"/>
        <w:spacing w:before="120" w:beforeLines="50" w:line="420" w:lineRule="exact"/>
        <w:ind w:firstLine="472" w:firstLineChars="196"/>
        <w:jc w:val="left"/>
        <w:rPr>
          <w:rFonts w:ascii="宋体" w:hAnsi="宋体"/>
          <w:b/>
          <w:color w:val="auto"/>
          <w:sz w:val="24"/>
          <w:highlight w:val="none"/>
          <w:shd w:val="clear" w:color="auto" w:fill="auto"/>
        </w:rPr>
      </w:pPr>
      <w:r>
        <w:rPr>
          <w:rFonts w:hint="eastAsia" w:ascii="宋体" w:hAnsi="宋体"/>
          <w:b/>
          <w:color w:val="auto"/>
          <w:sz w:val="24"/>
          <w:highlight w:val="none"/>
          <w:shd w:val="clear" w:color="auto" w:fill="auto"/>
        </w:rPr>
        <w:t>（四）投标报价</w:t>
      </w:r>
    </w:p>
    <w:p w14:paraId="65948E4E">
      <w:pPr>
        <w:pStyle w:val="32"/>
        <w:snapToGrid w:val="0"/>
        <w:spacing w:beforeLines="0" w:afterLines="0" w:line="420" w:lineRule="exact"/>
        <w:ind w:firstLine="480" w:firstLineChars="200"/>
        <w:jc w:val="left"/>
        <w:rPr>
          <w:rFonts w:hAnsi="宋体"/>
          <w:color w:val="auto"/>
          <w:highlight w:val="none"/>
          <w:shd w:val="clear" w:color="auto" w:fill="auto"/>
        </w:rPr>
      </w:pPr>
      <w:r>
        <w:rPr>
          <w:rFonts w:hint="eastAsia" w:hAnsi="宋体"/>
          <w:color w:val="auto"/>
          <w:highlight w:val="none"/>
          <w:shd w:val="clear" w:color="auto" w:fill="auto"/>
        </w:rPr>
        <w:t>1.投标报价应按招标文件中相关附表格式填写。</w:t>
      </w:r>
    </w:p>
    <w:p w14:paraId="5CE07A51">
      <w:pPr>
        <w:pStyle w:val="32"/>
        <w:snapToGrid w:val="0"/>
        <w:spacing w:beforeLines="0" w:afterLines="0" w:line="420" w:lineRule="exact"/>
        <w:ind w:firstLine="480" w:firstLineChars="200"/>
        <w:jc w:val="left"/>
        <w:rPr>
          <w:rFonts w:hint="eastAsia" w:ascii="宋体" w:hAnsi="宋体" w:eastAsia="宋体" w:cs="Times New Roman"/>
          <w:color w:val="auto"/>
          <w:highlight w:val="none"/>
          <w:shd w:val="clear" w:color="auto" w:fill="auto"/>
          <w:lang w:eastAsia="zh-CN"/>
        </w:rPr>
      </w:pPr>
      <w:r>
        <w:rPr>
          <w:rFonts w:hint="eastAsia" w:hAnsi="宋体"/>
          <w:color w:val="auto"/>
          <w:highlight w:val="none"/>
          <w:shd w:val="clear" w:color="auto" w:fill="auto"/>
        </w:rPr>
        <w:t>2.投标报价是履</w:t>
      </w:r>
      <w:r>
        <w:rPr>
          <w:rFonts w:hint="eastAsia" w:ascii="宋体" w:hAnsi="宋体" w:eastAsia="宋体" w:cs="Times New Roman"/>
          <w:color w:val="auto"/>
          <w:highlight w:val="none"/>
          <w:shd w:val="clear" w:color="auto" w:fill="auto"/>
        </w:rPr>
        <w:t>行合同的最终价格，本项目</w:t>
      </w:r>
      <w:r>
        <w:rPr>
          <w:rFonts w:hint="eastAsia" w:ascii="宋体" w:hAnsi="宋体" w:eastAsia="宋体" w:cs="Times New Roman"/>
          <w:color w:val="auto"/>
          <w:highlight w:val="none"/>
          <w:shd w:val="clear" w:color="auto" w:fill="auto"/>
          <w:lang w:val="en-US" w:eastAsia="zh-CN"/>
        </w:rPr>
        <w:t>全过程造价控制</w:t>
      </w:r>
      <w:r>
        <w:rPr>
          <w:rFonts w:hint="eastAsia" w:ascii="宋体" w:hAnsi="宋体" w:eastAsia="宋体" w:cs="Times New Roman"/>
          <w:color w:val="auto"/>
          <w:highlight w:val="none"/>
          <w:shd w:val="clear" w:color="auto" w:fill="auto"/>
        </w:rPr>
        <w:t>费用应是</w:t>
      </w:r>
      <w:r>
        <w:rPr>
          <w:rFonts w:hint="eastAsia" w:ascii="宋体" w:hAnsi="宋体" w:eastAsia="宋体" w:cs="Times New Roman"/>
          <w:color w:val="auto"/>
          <w:highlight w:val="none"/>
          <w:shd w:val="clear" w:color="auto" w:fill="auto"/>
          <w:lang w:val="en-US" w:eastAsia="zh-CN"/>
        </w:rPr>
        <w:t>招标文件</w:t>
      </w:r>
      <w:r>
        <w:rPr>
          <w:rFonts w:hint="eastAsia" w:ascii="宋体" w:hAnsi="宋体" w:eastAsia="宋体" w:cs="Times New Roman"/>
          <w:color w:val="auto"/>
          <w:highlight w:val="none"/>
          <w:shd w:val="clear" w:color="auto" w:fill="auto"/>
        </w:rPr>
        <w:t>所确定的招标范围内全部工作内容的价格表现，是指完成本项目全部任务的费用</w:t>
      </w:r>
      <w:r>
        <w:rPr>
          <w:rFonts w:hint="eastAsia" w:ascii="宋体" w:hAnsi="宋体" w:eastAsia="宋体" w:cs="Times New Roman"/>
          <w:color w:val="auto"/>
          <w:highlight w:val="none"/>
          <w:shd w:val="clear" w:color="auto" w:fill="auto"/>
          <w:lang w:eastAsia="zh-CN"/>
        </w:rPr>
        <w:t>，</w:t>
      </w:r>
      <w:r>
        <w:rPr>
          <w:rFonts w:hint="eastAsia" w:ascii="宋体" w:hAnsi="宋体" w:eastAsia="宋体" w:cs="Times New Roman"/>
          <w:color w:val="auto"/>
          <w:highlight w:val="none"/>
          <w:shd w:val="clear" w:color="auto" w:fill="auto"/>
        </w:rPr>
        <w:t>应包括</w:t>
      </w:r>
      <w:r>
        <w:rPr>
          <w:rFonts w:hint="eastAsia" w:ascii="宋体" w:hAnsi="宋体" w:eastAsia="宋体" w:cs="Times New Roman"/>
          <w:color w:val="auto"/>
          <w:highlight w:val="none"/>
          <w:shd w:val="clear" w:color="auto" w:fill="auto"/>
          <w:lang w:eastAsia="zh-CN"/>
        </w:rPr>
        <w:t>招标范围内涉及到所有的咨询、调查、资料收集、人工、通讯、交通、差旅、餐饮、资料打印、材料、验收、保险、税费、专家评审费（如有）、相关配合工作、不可预知费用开销及相应的风险金等为本项目提供正常服务所发生的费用，以及其它</w:t>
      </w:r>
      <w:r>
        <w:rPr>
          <w:rFonts w:hint="eastAsia" w:hAnsi="宋体" w:cs="Times New Roman"/>
          <w:color w:val="auto"/>
          <w:highlight w:val="none"/>
          <w:shd w:val="clear" w:color="auto" w:fill="auto"/>
          <w:lang w:val="en-US" w:eastAsia="zh-CN"/>
        </w:rPr>
        <w:t>中标人</w:t>
      </w:r>
      <w:r>
        <w:rPr>
          <w:rFonts w:hint="eastAsia" w:ascii="宋体" w:hAnsi="宋体" w:eastAsia="宋体" w:cs="Times New Roman"/>
          <w:color w:val="auto"/>
          <w:highlight w:val="none"/>
          <w:shd w:val="clear" w:color="auto" w:fill="auto"/>
          <w:lang w:eastAsia="zh-CN"/>
        </w:rPr>
        <w:t>应承担的一切工作所发生的费用。</w:t>
      </w:r>
    </w:p>
    <w:p w14:paraId="09EBEBF6">
      <w:pPr>
        <w:tabs>
          <w:tab w:val="left" w:pos="525"/>
        </w:tabs>
        <w:snapToGrid w:val="0"/>
        <w:spacing w:line="420" w:lineRule="exact"/>
        <w:ind w:firstLine="480" w:firstLineChars="200"/>
        <w:jc w:val="left"/>
        <w:rPr>
          <w:rFonts w:ascii="宋体" w:hAnsi="宋体"/>
          <w:color w:val="auto"/>
          <w:sz w:val="24"/>
          <w:highlight w:val="none"/>
          <w:shd w:val="clear" w:color="auto" w:fill="auto"/>
        </w:rPr>
      </w:pPr>
      <w:r>
        <w:rPr>
          <w:rFonts w:hint="eastAsia" w:ascii="宋体" w:hAnsi="宋体"/>
          <w:color w:val="auto"/>
          <w:sz w:val="24"/>
          <w:highlight w:val="none"/>
          <w:shd w:val="clear" w:color="auto" w:fill="auto"/>
        </w:rPr>
        <w:t>▲3.投标文件只允许有一个报价，有选择的或有条件的报价将不予接受。</w:t>
      </w:r>
    </w:p>
    <w:p w14:paraId="62F9C392">
      <w:pPr>
        <w:pStyle w:val="13"/>
        <w:widowControl w:val="0"/>
        <w:tabs>
          <w:tab w:val="left" w:pos="420"/>
        </w:tabs>
        <w:snapToGrid w:val="0"/>
        <w:spacing w:before="120" w:beforeLines="50" w:afterLines="0" w:line="420" w:lineRule="exact"/>
        <w:ind w:left="0" w:firstLine="472" w:firstLineChars="196"/>
        <w:rPr>
          <w:rFonts w:ascii="宋体" w:hAnsi="宋体"/>
          <w:b/>
          <w:color w:val="auto"/>
          <w:szCs w:val="24"/>
          <w:highlight w:val="none"/>
          <w:shd w:val="clear" w:color="auto" w:fill="auto"/>
        </w:rPr>
      </w:pPr>
      <w:r>
        <w:rPr>
          <w:rFonts w:hint="eastAsia" w:ascii="宋体" w:hAnsi="宋体"/>
          <w:b/>
          <w:color w:val="auto"/>
          <w:szCs w:val="24"/>
          <w:highlight w:val="none"/>
          <w:shd w:val="clear" w:color="auto" w:fill="auto"/>
        </w:rPr>
        <w:t>（五）投标有效期</w:t>
      </w:r>
    </w:p>
    <w:p w14:paraId="48B73EF2">
      <w:pPr>
        <w:pStyle w:val="13"/>
        <w:widowControl w:val="0"/>
        <w:tabs>
          <w:tab w:val="left" w:pos="420"/>
        </w:tabs>
        <w:snapToGrid w:val="0"/>
        <w:spacing w:afterLines="0" w:line="420" w:lineRule="exact"/>
        <w:ind w:left="-25" w:leftChars="-12" w:firstLine="360" w:firstLineChars="150"/>
        <w:rPr>
          <w:rFonts w:ascii="宋体" w:hAnsi="宋体"/>
          <w:color w:val="auto"/>
          <w:szCs w:val="24"/>
          <w:highlight w:val="none"/>
          <w:shd w:val="clear" w:color="auto" w:fill="auto"/>
        </w:rPr>
      </w:pPr>
      <w:r>
        <w:rPr>
          <w:rFonts w:hint="eastAsia" w:ascii="宋体" w:hAnsi="宋体"/>
          <w:color w:val="auto"/>
          <w:szCs w:val="24"/>
          <w:highlight w:val="none"/>
          <w:shd w:val="clear" w:color="auto" w:fill="auto"/>
        </w:rPr>
        <w:t>▲1.自投标截止日起</w:t>
      </w:r>
      <w:r>
        <w:rPr>
          <w:rFonts w:hint="eastAsia" w:ascii="宋体" w:hAnsi="宋体"/>
          <w:color w:val="auto"/>
          <w:szCs w:val="24"/>
          <w:highlight w:val="none"/>
          <w:u w:val="single"/>
          <w:shd w:val="clear" w:color="auto" w:fill="auto"/>
        </w:rPr>
        <w:t xml:space="preserve">  90  </w:t>
      </w:r>
      <w:r>
        <w:rPr>
          <w:rFonts w:hint="eastAsia" w:ascii="宋体" w:hAnsi="宋体"/>
          <w:color w:val="auto"/>
          <w:szCs w:val="24"/>
          <w:highlight w:val="none"/>
          <w:shd w:val="clear" w:color="auto" w:fill="auto"/>
        </w:rPr>
        <w:t>天投标文件应保持有效。</w:t>
      </w:r>
    </w:p>
    <w:p w14:paraId="395032AD">
      <w:pPr>
        <w:pStyle w:val="13"/>
        <w:widowControl w:val="0"/>
        <w:tabs>
          <w:tab w:val="left" w:pos="420"/>
        </w:tabs>
        <w:snapToGrid w:val="0"/>
        <w:spacing w:afterLines="0" w:line="420" w:lineRule="exact"/>
        <w:ind w:left="0" w:firstLine="480" w:firstLineChars="200"/>
        <w:rPr>
          <w:rFonts w:ascii="宋体" w:hAnsi="宋体"/>
          <w:color w:val="auto"/>
          <w:szCs w:val="24"/>
          <w:highlight w:val="none"/>
          <w:shd w:val="clear" w:color="auto" w:fill="auto"/>
        </w:rPr>
      </w:pPr>
      <w:r>
        <w:rPr>
          <w:rFonts w:hint="eastAsia" w:ascii="宋体" w:hAnsi="宋体"/>
          <w:color w:val="auto"/>
          <w:szCs w:val="24"/>
          <w:highlight w:val="none"/>
          <w:shd w:val="clear" w:color="auto" w:fill="auto"/>
        </w:rPr>
        <w:t>2.在特殊情况下，招标人可与投标人协商延长投标文件的有效期，这种要求和答复均以书面形式进行。</w:t>
      </w:r>
    </w:p>
    <w:p w14:paraId="4E42CB12">
      <w:pPr>
        <w:snapToGrid w:val="0"/>
        <w:spacing w:line="420" w:lineRule="exact"/>
        <w:ind w:firstLine="480" w:firstLineChars="200"/>
        <w:jc w:val="left"/>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3.投标人可拒绝接受延期要求，同意延长有效期的投标人不能修改投标文件内容。 </w:t>
      </w:r>
    </w:p>
    <w:p w14:paraId="2CBAE400">
      <w:pPr>
        <w:snapToGrid w:val="0"/>
        <w:spacing w:line="420" w:lineRule="exact"/>
        <w:ind w:firstLine="480" w:firstLineChars="200"/>
        <w:jc w:val="left"/>
        <w:rPr>
          <w:rFonts w:ascii="宋体" w:hAnsi="宋体"/>
          <w:b/>
          <w:color w:val="auto"/>
          <w:sz w:val="24"/>
          <w:highlight w:val="none"/>
          <w:shd w:val="clear" w:color="auto" w:fill="auto"/>
        </w:rPr>
      </w:pPr>
      <w:r>
        <w:rPr>
          <w:rFonts w:hint="eastAsia" w:ascii="宋体" w:hAnsi="宋体"/>
          <w:color w:val="auto"/>
          <w:sz w:val="24"/>
          <w:highlight w:val="none"/>
          <w:shd w:val="clear" w:color="auto" w:fill="auto"/>
        </w:rPr>
        <w:t>4.中标人的投标文件自开标之日起至合同履行完毕止均应保持有效。</w:t>
      </w:r>
    </w:p>
    <w:p w14:paraId="2DE8583B">
      <w:pPr>
        <w:snapToGrid w:val="0"/>
        <w:spacing w:line="420" w:lineRule="exact"/>
        <w:ind w:firstLine="472" w:firstLineChars="196"/>
        <w:jc w:val="left"/>
        <w:rPr>
          <w:rFonts w:ascii="宋体" w:hAnsi="宋体"/>
          <w:b/>
          <w:bCs/>
          <w:color w:val="auto"/>
          <w:sz w:val="24"/>
          <w:highlight w:val="none"/>
          <w:shd w:val="clear" w:color="auto" w:fill="auto"/>
        </w:rPr>
      </w:pPr>
      <w:r>
        <w:rPr>
          <w:rFonts w:hint="eastAsia" w:ascii="宋体" w:hAnsi="宋体"/>
          <w:b/>
          <w:bCs/>
          <w:color w:val="auto"/>
          <w:sz w:val="24"/>
          <w:highlight w:val="none"/>
          <w:shd w:val="clear" w:color="auto" w:fill="auto"/>
        </w:rPr>
        <w:t>5.投标人有下列情形之一的，按有关规定进行处罚：</w:t>
      </w:r>
    </w:p>
    <w:p w14:paraId="4F30F50D">
      <w:pPr>
        <w:snapToGrid w:val="0"/>
        <w:spacing w:line="420" w:lineRule="exact"/>
        <w:ind w:firstLine="470" w:firstLineChars="196"/>
        <w:jc w:val="left"/>
        <w:rPr>
          <w:rFonts w:ascii="宋体" w:hAnsi="宋体"/>
          <w:color w:val="auto"/>
          <w:sz w:val="24"/>
          <w:highlight w:val="none"/>
          <w:shd w:val="clear" w:color="auto" w:fill="auto"/>
        </w:rPr>
      </w:pPr>
      <w:r>
        <w:rPr>
          <w:rFonts w:hint="eastAsia" w:ascii="宋体" w:hAnsi="宋体"/>
          <w:color w:val="auto"/>
          <w:sz w:val="24"/>
          <w:highlight w:val="none"/>
          <w:shd w:val="clear" w:color="auto" w:fill="auto"/>
        </w:rPr>
        <w:t>（1）投标人在投标有效期内撤回投标文件的；</w:t>
      </w:r>
    </w:p>
    <w:p w14:paraId="47CADF32">
      <w:pPr>
        <w:snapToGrid w:val="0"/>
        <w:spacing w:line="420" w:lineRule="exact"/>
        <w:ind w:firstLine="470" w:firstLineChars="196"/>
        <w:jc w:val="left"/>
        <w:rPr>
          <w:rFonts w:ascii="宋体" w:hAnsi="宋体"/>
          <w:color w:val="auto"/>
          <w:sz w:val="24"/>
          <w:highlight w:val="none"/>
          <w:shd w:val="clear" w:color="auto" w:fill="auto"/>
        </w:rPr>
      </w:pPr>
      <w:r>
        <w:rPr>
          <w:rFonts w:hint="eastAsia" w:ascii="宋体" w:hAnsi="宋体"/>
          <w:color w:val="auto"/>
          <w:sz w:val="24"/>
          <w:highlight w:val="none"/>
          <w:shd w:val="clear" w:color="auto" w:fill="auto"/>
        </w:rPr>
        <w:t>（2）未按规定提交履约保证金的；</w:t>
      </w:r>
    </w:p>
    <w:p w14:paraId="1B599DFA">
      <w:pPr>
        <w:snapToGrid w:val="0"/>
        <w:spacing w:line="420" w:lineRule="exact"/>
        <w:ind w:firstLine="470" w:firstLineChars="196"/>
        <w:jc w:val="left"/>
        <w:rPr>
          <w:rFonts w:ascii="宋体" w:hAnsi="宋体"/>
          <w:color w:val="auto"/>
          <w:sz w:val="24"/>
          <w:highlight w:val="none"/>
          <w:shd w:val="clear" w:color="auto" w:fill="auto"/>
        </w:rPr>
      </w:pPr>
      <w:r>
        <w:rPr>
          <w:rFonts w:hint="eastAsia" w:ascii="宋体" w:hAnsi="宋体"/>
          <w:color w:val="auto"/>
          <w:sz w:val="24"/>
          <w:highlight w:val="none"/>
          <w:shd w:val="clear" w:color="auto" w:fill="auto"/>
        </w:rPr>
        <w:t>（3）投标人在投标过程中弄虚作假，提供虚假材料的；</w:t>
      </w:r>
    </w:p>
    <w:p w14:paraId="710742A2">
      <w:pPr>
        <w:snapToGrid w:val="0"/>
        <w:spacing w:line="420" w:lineRule="exact"/>
        <w:ind w:firstLine="470" w:firstLineChars="196"/>
        <w:rPr>
          <w:rFonts w:ascii="宋体" w:hAnsi="宋体"/>
          <w:color w:val="auto"/>
          <w:sz w:val="24"/>
          <w:highlight w:val="none"/>
          <w:shd w:val="clear" w:color="auto" w:fill="auto"/>
        </w:rPr>
      </w:pPr>
      <w:r>
        <w:rPr>
          <w:rFonts w:hint="eastAsia" w:ascii="宋体" w:hAnsi="宋体"/>
          <w:color w:val="auto"/>
          <w:sz w:val="24"/>
          <w:highlight w:val="none"/>
          <w:shd w:val="clear" w:color="auto" w:fill="auto"/>
        </w:rPr>
        <w:t>（4）中标人无正当理由不与招标人签订合同的；</w:t>
      </w:r>
    </w:p>
    <w:p w14:paraId="3282399E">
      <w:pPr>
        <w:snapToGrid w:val="0"/>
        <w:spacing w:line="420" w:lineRule="exact"/>
        <w:ind w:firstLine="470" w:firstLineChars="196"/>
        <w:rPr>
          <w:rFonts w:ascii="宋体" w:hAnsi="宋体"/>
          <w:color w:val="auto"/>
          <w:sz w:val="24"/>
          <w:highlight w:val="none"/>
          <w:shd w:val="clear" w:color="auto" w:fill="auto"/>
        </w:rPr>
      </w:pPr>
      <w:r>
        <w:rPr>
          <w:rFonts w:hint="eastAsia" w:ascii="宋体" w:hAnsi="宋体"/>
          <w:color w:val="auto"/>
          <w:sz w:val="24"/>
          <w:highlight w:val="none"/>
          <w:shd w:val="clear" w:color="auto" w:fill="auto"/>
        </w:rPr>
        <w:t>（5）</w:t>
      </w:r>
      <w:r>
        <w:rPr>
          <w:rFonts w:hint="eastAsia" w:ascii="宋体" w:hAnsi="宋体"/>
          <w:bCs/>
          <w:color w:val="auto"/>
          <w:sz w:val="24"/>
          <w:highlight w:val="none"/>
          <w:shd w:val="clear" w:color="auto" w:fill="auto"/>
        </w:rPr>
        <w:t>将中标项目转让给他人或者在投标文件中未说明且未经招标人同意，将中标项目分包给他人的；</w:t>
      </w:r>
    </w:p>
    <w:p w14:paraId="69D5138E">
      <w:pPr>
        <w:snapToGrid w:val="0"/>
        <w:spacing w:line="420" w:lineRule="exact"/>
        <w:ind w:firstLine="480" w:firstLineChars="200"/>
        <w:rPr>
          <w:rFonts w:ascii="宋体" w:hAnsi="宋体"/>
          <w:color w:val="auto"/>
          <w:sz w:val="24"/>
          <w:highlight w:val="none"/>
          <w:shd w:val="clear" w:color="auto" w:fill="auto"/>
        </w:rPr>
      </w:pPr>
      <w:r>
        <w:rPr>
          <w:rFonts w:hint="eastAsia" w:ascii="宋体" w:hAnsi="宋体"/>
          <w:color w:val="auto"/>
          <w:sz w:val="24"/>
          <w:highlight w:val="none"/>
          <w:shd w:val="clear" w:color="auto" w:fill="auto"/>
        </w:rPr>
        <w:t>（6）拒绝履行合同义务的；</w:t>
      </w:r>
    </w:p>
    <w:p w14:paraId="2D0CE20A">
      <w:pPr>
        <w:snapToGrid w:val="0"/>
        <w:spacing w:line="420" w:lineRule="exact"/>
        <w:ind w:firstLine="480" w:firstLineChars="200"/>
        <w:rPr>
          <w:rFonts w:ascii="宋体" w:hAnsi="宋体"/>
          <w:color w:val="auto"/>
          <w:sz w:val="24"/>
          <w:highlight w:val="none"/>
          <w:shd w:val="clear" w:color="auto" w:fill="auto"/>
        </w:rPr>
      </w:pPr>
      <w:r>
        <w:rPr>
          <w:rFonts w:hint="eastAsia" w:ascii="宋体" w:hAnsi="宋体"/>
          <w:color w:val="auto"/>
          <w:sz w:val="24"/>
          <w:highlight w:val="none"/>
          <w:shd w:val="clear" w:color="auto" w:fill="auto"/>
        </w:rPr>
        <w:t>（7）其他严重扰乱招投标程序的。</w:t>
      </w:r>
    </w:p>
    <w:p w14:paraId="14C1D458">
      <w:pPr>
        <w:snapToGrid w:val="0"/>
        <w:spacing w:before="120" w:beforeLines="50" w:line="420" w:lineRule="exact"/>
        <w:ind w:firstLine="472" w:firstLineChars="196"/>
        <w:jc w:val="left"/>
        <w:rPr>
          <w:rFonts w:ascii="宋体" w:hAnsi="宋体"/>
          <w:b/>
          <w:color w:val="auto"/>
          <w:sz w:val="24"/>
          <w:highlight w:val="none"/>
          <w:shd w:val="clear" w:color="auto" w:fill="auto"/>
        </w:rPr>
      </w:pPr>
      <w:r>
        <w:rPr>
          <w:rFonts w:hint="eastAsia" w:ascii="宋体" w:hAnsi="宋体"/>
          <w:b/>
          <w:color w:val="auto"/>
          <w:sz w:val="24"/>
          <w:highlight w:val="none"/>
          <w:shd w:val="clear" w:color="auto" w:fill="auto"/>
        </w:rPr>
        <w:t>（六）投标文件的签署</w:t>
      </w:r>
    </w:p>
    <w:p w14:paraId="4D904576">
      <w:pPr>
        <w:snapToGrid w:val="0"/>
        <w:spacing w:line="420" w:lineRule="exact"/>
        <w:ind w:firstLine="480" w:firstLineChars="200"/>
        <w:jc w:val="left"/>
        <w:rPr>
          <w:rFonts w:ascii="宋体" w:hAnsi="宋体"/>
          <w:color w:val="auto"/>
          <w:sz w:val="24"/>
          <w:highlight w:val="none"/>
          <w:shd w:val="clear" w:color="auto" w:fill="auto"/>
        </w:rPr>
      </w:pPr>
      <w:r>
        <w:rPr>
          <w:rFonts w:hint="eastAsia" w:ascii="宋体" w:hAnsi="宋体"/>
          <w:color w:val="auto"/>
          <w:sz w:val="24"/>
          <w:highlight w:val="none"/>
          <w:shd w:val="clear" w:color="auto" w:fill="auto"/>
        </w:rPr>
        <w:t>1.投标人应按本招标文件规定的格式和顺序编制投标文件并标注页码，投标文件内容不完整、编排混乱而导致投标文件被误读、漏读或者查找不到相关内容的，投标人责任自负。</w:t>
      </w:r>
    </w:p>
    <w:p w14:paraId="064FE397">
      <w:pPr>
        <w:snapToGrid w:val="0"/>
        <w:spacing w:line="420" w:lineRule="exact"/>
        <w:ind w:firstLine="470" w:firstLineChars="196"/>
        <w:jc w:val="left"/>
        <w:rPr>
          <w:rFonts w:ascii="宋体" w:hAnsi="宋体"/>
          <w:color w:val="auto"/>
          <w:sz w:val="24"/>
          <w:highlight w:val="none"/>
          <w:shd w:val="clear" w:color="auto" w:fill="auto"/>
        </w:rPr>
      </w:pPr>
      <w:r>
        <w:rPr>
          <w:rFonts w:ascii="宋体" w:hAnsi="宋体"/>
          <w:color w:val="auto"/>
          <w:sz w:val="24"/>
          <w:highlight w:val="none"/>
          <w:shd w:val="clear" w:color="auto" w:fill="auto"/>
        </w:rPr>
        <w:t>2</w:t>
      </w:r>
      <w:r>
        <w:rPr>
          <w:rFonts w:hint="eastAsia" w:ascii="宋体" w:hAnsi="宋体"/>
          <w:color w:val="auto"/>
          <w:sz w:val="24"/>
          <w:highlight w:val="none"/>
          <w:shd w:val="clear" w:color="auto" w:fill="auto"/>
        </w:rPr>
        <w:t>.</w:t>
      </w:r>
      <w:r>
        <w:rPr>
          <w:rFonts w:hint="eastAsia" w:ascii="宋体" w:hAnsi="宋体" w:cs="仿宋_GB2312"/>
          <w:b/>
          <w:color w:val="auto"/>
          <w:sz w:val="24"/>
          <w:highlight w:val="none"/>
          <w:shd w:val="clear" w:color="auto" w:fill="auto"/>
        </w:rPr>
        <w:t>电子投标文件中公章采用CA签章</w:t>
      </w:r>
      <w:r>
        <w:rPr>
          <w:rFonts w:hint="eastAsia" w:ascii="宋体" w:hAnsi="宋体" w:cs="仿宋_GB2312"/>
          <w:bCs/>
          <w:color w:val="auto"/>
          <w:sz w:val="24"/>
          <w:highlight w:val="none"/>
          <w:shd w:val="clear" w:color="auto" w:fill="auto"/>
        </w:rPr>
        <w:t>，</w:t>
      </w:r>
      <w:r>
        <w:rPr>
          <w:rFonts w:hint="eastAsia" w:ascii="宋体" w:hAnsi="宋体" w:cs="仿宋_GB2312"/>
          <w:b/>
          <w:color w:val="auto"/>
          <w:sz w:val="24"/>
          <w:highlight w:val="none"/>
          <w:shd w:val="clear" w:color="auto" w:fill="auto"/>
        </w:rPr>
        <w:t>并根据本招标文件规定的格式和顺序编制电子投标文件，</w:t>
      </w:r>
      <w:r>
        <w:rPr>
          <w:rFonts w:hint="eastAsia" w:ascii="宋体" w:hAnsi="宋体" w:cs="仿宋_GB2312"/>
          <w:bCs/>
          <w:color w:val="auto"/>
          <w:sz w:val="24"/>
          <w:highlight w:val="none"/>
          <w:shd w:val="clear" w:color="auto" w:fill="auto"/>
        </w:rPr>
        <w:t>电子投标文件如内容不完整、编排混乱导致投标文件被误读、漏读，或者在按采购文件规定的部位查找不到相关内容的，由投标人自行承担。</w:t>
      </w:r>
    </w:p>
    <w:p w14:paraId="1285A66C">
      <w:pPr>
        <w:snapToGrid w:val="0"/>
        <w:spacing w:line="420" w:lineRule="exact"/>
        <w:ind w:firstLine="480" w:firstLineChars="200"/>
        <w:jc w:val="left"/>
        <w:rPr>
          <w:rFonts w:ascii="宋体" w:hAnsi="宋体"/>
          <w:color w:val="auto"/>
          <w:sz w:val="24"/>
          <w:highlight w:val="none"/>
          <w:shd w:val="clear" w:color="auto" w:fill="auto"/>
        </w:rPr>
      </w:pPr>
      <w:r>
        <w:rPr>
          <w:rFonts w:ascii="宋体" w:hAnsi="宋体"/>
          <w:color w:val="auto"/>
          <w:sz w:val="24"/>
          <w:highlight w:val="none"/>
          <w:shd w:val="clear" w:color="auto" w:fill="auto"/>
        </w:rPr>
        <w:t>3</w:t>
      </w:r>
      <w:r>
        <w:rPr>
          <w:rFonts w:hint="eastAsia" w:ascii="宋体" w:hAnsi="宋体"/>
          <w:color w:val="auto"/>
          <w:sz w:val="24"/>
          <w:highlight w:val="none"/>
          <w:shd w:val="clear" w:color="auto" w:fill="auto"/>
        </w:rPr>
        <w:t>.投标文件不得涂改，若有修改错漏处，须加盖单位公章或者法定代表人或授权委托人签字或盖章。投标文件因字迹潦草或表达不清所引起的后果由投标人负责。</w:t>
      </w:r>
    </w:p>
    <w:p w14:paraId="618A52A3">
      <w:pPr>
        <w:snapToGrid w:val="0"/>
        <w:spacing w:before="120" w:beforeLines="50" w:line="420" w:lineRule="exact"/>
        <w:ind w:firstLine="472" w:firstLineChars="196"/>
        <w:rPr>
          <w:rFonts w:ascii="宋体" w:hAnsi="宋体"/>
          <w:b/>
          <w:color w:val="auto"/>
          <w:sz w:val="24"/>
          <w:highlight w:val="none"/>
          <w:shd w:val="clear" w:color="auto" w:fill="auto"/>
        </w:rPr>
      </w:pPr>
      <w:r>
        <w:rPr>
          <w:rFonts w:hint="eastAsia" w:ascii="宋体" w:hAnsi="宋体"/>
          <w:b/>
          <w:color w:val="auto"/>
          <w:sz w:val="24"/>
          <w:highlight w:val="none"/>
          <w:shd w:val="clear" w:color="auto" w:fill="auto"/>
        </w:rPr>
        <w:t>（七）投标无效的情形</w:t>
      </w:r>
    </w:p>
    <w:p w14:paraId="08A39FBA">
      <w:pPr>
        <w:snapToGrid w:val="0"/>
        <w:spacing w:line="420" w:lineRule="exact"/>
        <w:ind w:firstLine="480" w:firstLineChars="200"/>
        <w:rPr>
          <w:rFonts w:ascii="宋体" w:hAnsi="宋体"/>
          <w:bCs/>
          <w:color w:val="auto"/>
          <w:sz w:val="24"/>
          <w:highlight w:val="none"/>
          <w:shd w:val="clear" w:color="auto" w:fill="auto"/>
        </w:rPr>
      </w:pPr>
      <w:r>
        <w:rPr>
          <w:rFonts w:hint="eastAsia" w:ascii="宋体" w:hAnsi="宋体"/>
          <w:bCs/>
          <w:color w:val="auto"/>
          <w:sz w:val="24"/>
          <w:highlight w:val="none"/>
          <w:shd w:val="clear" w:color="auto" w:fill="auto"/>
        </w:rPr>
        <w:t>实质上没有响应招标文件要求的投标将被视为无效投标。投标人不得通过修正或撤消不合要求的偏离或保留从而使其投标成为实质上响应的投标，但经评标委员会认定属于投标人疏忽、笔误所造成的差错，应当允许其在评标结束之前进行修改或者补正（可以是电子邮件、扫描件等）。修改或者补正投标文件必须以书面形式进行，如有需要应在中标结果公告之前查核原件。限期内不补正或经补正后仍不符合招标文件要求的，应认定其投标无效。投标人修改、补正投标文件后，不影响评标委员会对其投标文件所作的评价和评分结果。</w:t>
      </w:r>
    </w:p>
    <w:p w14:paraId="7A4A17D7">
      <w:pPr>
        <w:snapToGrid w:val="0"/>
        <w:spacing w:line="420" w:lineRule="exact"/>
        <w:ind w:firstLine="457" w:firstLineChars="196"/>
        <w:rPr>
          <w:rFonts w:ascii="宋体" w:hAnsi="宋体"/>
          <w:b/>
          <w:bCs/>
          <w:color w:val="auto"/>
          <w:spacing w:val="-4"/>
          <w:sz w:val="24"/>
          <w:highlight w:val="none"/>
          <w:shd w:val="clear" w:color="auto" w:fill="auto"/>
        </w:rPr>
      </w:pPr>
      <w:bookmarkStart w:id="20" w:name="_Hlk59462445"/>
      <w:r>
        <w:rPr>
          <w:rFonts w:hint="eastAsia" w:ascii="宋体" w:hAnsi="宋体"/>
          <w:b/>
          <w:bCs/>
          <w:color w:val="auto"/>
          <w:spacing w:val="-4"/>
          <w:sz w:val="24"/>
          <w:highlight w:val="none"/>
          <w:shd w:val="clear" w:color="auto" w:fill="auto"/>
        </w:rPr>
        <w:t>1.</w:t>
      </w:r>
      <w:bookmarkStart w:id="21" w:name="_Hlk534294335"/>
      <w:r>
        <w:rPr>
          <w:rFonts w:hint="eastAsia" w:ascii="宋体" w:hAnsi="宋体"/>
          <w:b/>
          <w:bCs/>
          <w:color w:val="auto"/>
          <w:spacing w:val="-4"/>
          <w:sz w:val="24"/>
          <w:highlight w:val="none"/>
          <w:shd w:val="clear" w:color="auto" w:fill="auto"/>
        </w:rPr>
        <w:t>在符合性审查和商务技术评审时，如发现下列情形之一的，投标文件将被视为无效：</w:t>
      </w:r>
    </w:p>
    <w:bookmarkEnd w:id="21"/>
    <w:p w14:paraId="04638B1E">
      <w:pPr>
        <w:snapToGrid w:val="0"/>
        <w:spacing w:line="420" w:lineRule="exact"/>
        <w:ind w:firstLine="470" w:firstLineChars="196"/>
        <w:rPr>
          <w:rFonts w:ascii="宋体" w:hAnsi="宋体"/>
          <w:color w:val="auto"/>
          <w:sz w:val="24"/>
          <w:highlight w:val="none"/>
          <w:shd w:val="clear" w:color="auto" w:fill="auto"/>
        </w:rPr>
      </w:pPr>
      <w:r>
        <w:rPr>
          <w:rFonts w:hint="eastAsia" w:ascii="宋体" w:hAnsi="宋体"/>
          <w:color w:val="auto"/>
          <w:sz w:val="24"/>
          <w:highlight w:val="none"/>
          <w:shd w:val="clear" w:color="auto" w:fill="auto"/>
        </w:rPr>
        <w:t>（1）资格响应文件未提供齐全的或者资格响应文件存在过期的或者不符合招标文件标明的资格要求的；</w:t>
      </w:r>
    </w:p>
    <w:p w14:paraId="7E56AF2F">
      <w:pPr>
        <w:snapToGrid w:val="0"/>
        <w:spacing w:line="420" w:lineRule="exact"/>
        <w:ind w:firstLine="470" w:firstLineChars="196"/>
        <w:rPr>
          <w:rFonts w:ascii="宋体" w:hAnsi="宋体"/>
          <w:bCs/>
          <w:color w:val="auto"/>
          <w:kern w:val="0"/>
          <w:sz w:val="24"/>
          <w:highlight w:val="none"/>
          <w:shd w:val="clear" w:color="auto" w:fill="auto"/>
        </w:rPr>
      </w:pPr>
      <w:r>
        <w:rPr>
          <w:rFonts w:hint="eastAsia" w:ascii="宋体" w:hAnsi="宋体"/>
          <w:color w:val="auto"/>
          <w:sz w:val="24"/>
          <w:highlight w:val="none"/>
          <w:shd w:val="clear" w:color="auto" w:fill="auto"/>
        </w:rPr>
        <w:t>（2）</w:t>
      </w:r>
      <w:r>
        <w:rPr>
          <w:rFonts w:hint="eastAsia" w:ascii="宋体" w:hAnsi="宋体"/>
          <w:bCs/>
          <w:color w:val="auto"/>
          <w:sz w:val="24"/>
          <w:highlight w:val="none"/>
          <w:shd w:val="clear" w:color="auto" w:fill="auto"/>
        </w:rPr>
        <w:t>电子投标文件</w:t>
      </w:r>
      <w:r>
        <w:rPr>
          <w:rFonts w:hint="eastAsia" w:ascii="宋体" w:hAnsi="宋体"/>
          <w:b/>
          <w:bCs/>
          <w:color w:val="auto"/>
          <w:kern w:val="0"/>
          <w:sz w:val="24"/>
          <w:highlight w:val="none"/>
          <w:u w:val="single"/>
          <w:shd w:val="clear" w:color="auto" w:fill="auto"/>
        </w:rPr>
        <w:t>在指定页面无法定代表人盖章或签字、未在指定页面盖公章、在指定页面无被授权人签字（打字无效）、</w:t>
      </w:r>
      <w:r>
        <w:rPr>
          <w:rFonts w:hint="eastAsia" w:ascii="宋体" w:hAnsi="宋体"/>
          <w:b/>
          <w:bCs/>
          <w:color w:val="auto"/>
          <w:kern w:val="0"/>
          <w:sz w:val="24"/>
          <w:highlight w:val="none"/>
          <w:shd w:val="clear" w:color="auto" w:fill="auto"/>
        </w:rPr>
        <w:t>未提供法定代表人授权委托书、未提供投标函、未提供《没有重大违法记录的承诺函》或者投标函、《没有重大违法记录的承诺函》格式不符合招标文件要求或填写项目不齐全的；</w:t>
      </w:r>
    </w:p>
    <w:p w14:paraId="226DA809">
      <w:pPr>
        <w:pStyle w:val="24"/>
        <w:snapToGrid w:val="0"/>
        <w:spacing w:line="420" w:lineRule="exact"/>
        <w:ind w:firstLine="454" w:firstLineChars="196"/>
        <w:rPr>
          <w:rFonts w:hAnsi="宋体"/>
          <w:b/>
          <w:bCs/>
          <w:color w:val="auto"/>
          <w:sz w:val="24"/>
          <w:szCs w:val="24"/>
          <w:highlight w:val="none"/>
          <w:shd w:val="clear" w:color="auto" w:fill="auto"/>
        </w:rPr>
      </w:pPr>
      <w:r>
        <w:rPr>
          <w:rFonts w:hint="eastAsia" w:hAnsi="宋体"/>
          <w:color w:val="auto"/>
          <w:sz w:val="24"/>
          <w:szCs w:val="24"/>
          <w:highlight w:val="none"/>
          <w:shd w:val="clear" w:color="auto" w:fill="auto"/>
        </w:rPr>
        <w:t>（</w:t>
      </w:r>
      <w:r>
        <w:rPr>
          <w:rFonts w:hAnsi="宋体"/>
          <w:color w:val="auto"/>
          <w:sz w:val="24"/>
          <w:szCs w:val="24"/>
          <w:highlight w:val="none"/>
          <w:shd w:val="clear" w:color="auto" w:fill="auto"/>
        </w:rPr>
        <w:t>3</w:t>
      </w:r>
      <w:r>
        <w:rPr>
          <w:rFonts w:hint="eastAsia" w:hAnsi="宋体"/>
          <w:color w:val="auto"/>
          <w:sz w:val="24"/>
          <w:szCs w:val="24"/>
          <w:highlight w:val="none"/>
          <w:shd w:val="clear" w:color="auto" w:fill="auto"/>
        </w:rPr>
        <w:t>）多项主要服务响应或者主要设备功能响应不满足招标文件要求或</w:t>
      </w:r>
      <w:r>
        <w:rPr>
          <w:rFonts w:hint="eastAsia" w:hAnsi="宋体"/>
          <w:color w:val="auto"/>
          <w:sz w:val="24"/>
          <w:highlight w:val="none"/>
          <w:shd w:val="clear" w:color="auto" w:fill="auto"/>
        </w:rPr>
        <w:t>缺项的，</w:t>
      </w:r>
      <w:r>
        <w:rPr>
          <w:rFonts w:hint="eastAsia" w:hAnsi="宋体"/>
          <w:b/>
          <w:bCs/>
          <w:color w:val="auto"/>
          <w:sz w:val="24"/>
          <w:szCs w:val="24"/>
          <w:highlight w:val="none"/>
          <w:shd w:val="clear" w:color="auto" w:fill="auto"/>
        </w:rPr>
        <w:t>主要设备尺寸严重不满足招标文件要求的。</w:t>
      </w:r>
    </w:p>
    <w:p w14:paraId="0AC3EC82">
      <w:pPr>
        <w:pStyle w:val="24"/>
        <w:snapToGrid w:val="0"/>
        <w:spacing w:line="420" w:lineRule="exact"/>
        <w:ind w:firstLine="454" w:firstLineChars="196"/>
        <w:rPr>
          <w:rFonts w:hAnsi="宋体"/>
          <w:color w:val="auto"/>
          <w:sz w:val="24"/>
          <w:szCs w:val="24"/>
          <w:highlight w:val="none"/>
          <w:shd w:val="clear" w:color="auto" w:fill="auto"/>
        </w:rPr>
      </w:pPr>
      <w:r>
        <w:rPr>
          <w:rFonts w:hint="eastAsia" w:hAnsi="宋体"/>
          <w:color w:val="auto"/>
          <w:sz w:val="24"/>
          <w:szCs w:val="24"/>
          <w:highlight w:val="none"/>
          <w:shd w:val="clear" w:color="auto" w:fill="auto"/>
        </w:rPr>
        <w:t>（</w:t>
      </w:r>
      <w:r>
        <w:rPr>
          <w:rFonts w:hAnsi="宋体"/>
          <w:color w:val="auto"/>
          <w:sz w:val="24"/>
          <w:szCs w:val="24"/>
          <w:highlight w:val="none"/>
          <w:shd w:val="clear" w:color="auto" w:fill="auto"/>
        </w:rPr>
        <w:t>4</w:t>
      </w:r>
      <w:r>
        <w:rPr>
          <w:rFonts w:hint="eastAsia" w:hAnsi="宋体"/>
          <w:color w:val="auto"/>
          <w:sz w:val="24"/>
          <w:szCs w:val="24"/>
          <w:highlight w:val="none"/>
          <w:shd w:val="clear" w:color="auto" w:fill="auto"/>
        </w:rPr>
        <w:t>）</w:t>
      </w:r>
      <w:r>
        <w:rPr>
          <w:rFonts w:hint="eastAsia" w:hAnsi="宋体"/>
          <w:snapToGrid w:val="0"/>
          <w:color w:val="auto"/>
          <w:sz w:val="24"/>
          <w:szCs w:val="24"/>
          <w:highlight w:val="none"/>
          <w:shd w:val="clear" w:color="auto" w:fill="auto"/>
        </w:rPr>
        <w:t>与</w:t>
      </w:r>
      <w:r>
        <w:rPr>
          <w:rFonts w:hint="eastAsia" w:hAnsi="宋体"/>
          <w:color w:val="auto"/>
          <w:sz w:val="24"/>
          <w:szCs w:val="24"/>
          <w:highlight w:val="none"/>
          <w:shd w:val="clear" w:color="auto" w:fill="auto"/>
        </w:rPr>
        <w:t>招标文件中标“▲”的技术指标、主要功能参数、服务响应发生实质性负偏离</w:t>
      </w:r>
      <w:r>
        <w:rPr>
          <w:rFonts w:hint="eastAsia" w:hAnsi="宋体"/>
          <w:snapToGrid w:val="0"/>
          <w:color w:val="auto"/>
          <w:sz w:val="24"/>
          <w:szCs w:val="24"/>
          <w:highlight w:val="none"/>
          <w:shd w:val="clear" w:color="auto" w:fill="auto"/>
        </w:rPr>
        <w:t>或内容缺失</w:t>
      </w:r>
      <w:r>
        <w:rPr>
          <w:rFonts w:hint="eastAsia" w:hAnsi="宋体"/>
          <w:color w:val="auto"/>
          <w:sz w:val="24"/>
          <w:szCs w:val="24"/>
          <w:highlight w:val="none"/>
          <w:shd w:val="clear" w:color="auto" w:fill="auto"/>
        </w:rPr>
        <w:t>的；</w:t>
      </w:r>
    </w:p>
    <w:p w14:paraId="70C326B7">
      <w:pPr>
        <w:pStyle w:val="24"/>
        <w:snapToGrid w:val="0"/>
        <w:spacing w:line="420" w:lineRule="exact"/>
        <w:ind w:firstLine="454" w:firstLineChars="196"/>
        <w:rPr>
          <w:rFonts w:hAnsi="宋体"/>
          <w:color w:val="auto"/>
          <w:sz w:val="24"/>
          <w:szCs w:val="24"/>
          <w:highlight w:val="none"/>
          <w:shd w:val="clear" w:color="auto" w:fill="auto"/>
        </w:rPr>
      </w:pPr>
      <w:r>
        <w:rPr>
          <w:rFonts w:hint="eastAsia" w:hAnsi="宋体"/>
          <w:color w:val="auto"/>
          <w:sz w:val="24"/>
          <w:szCs w:val="24"/>
          <w:highlight w:val="none"/>
          <w:shd w:val="clear" w:color="auto" w:fill="auto"/>
        </w:rPr>
        <w:t>（</w:t>
      </w:r>
      <w:r>
        <w:rPr>
          <w:rFonts w:hAnsi="宋体"/>
          <w:color w:val="auto"/>
          <w:sz w:val="24"/>
          <w:szCs w:val="24"/>
          <w:highlight w:val="none"/>
          <w:shd w:val="clear" w:color="auto" w:fill="auto"/>
        </w:rPr>
        <w:t>5</w:t>
      </w:r>
      <w:r>
        <w:rPr>
          <w:rFonts w:hint="eastAsia" w:hAnsi="宋体"/>
          <w:color w:val="auto"/>
          <w:sz w:val="24"/>
          <w:szCs w:val="24"/>
          <w:highlight w:val="none"/>
          <w:shd w:val="clear" w:color="auto" w:fill="auto"/>
        </w:rPr>
        <w:t>）未如实提供投标货物的技术参数，或者投标文件标明的响应或偏离存在虚假的；</w:t>
      </w:r>
    </w:p>
    <w:p w14:paraId="3738E482">
      <w:pPr>
        <w:pStyle w:val="24"/>
        <w:snapToGrid w:val="0"/>
        <w:spacing w:line="420" w:lineRule="exact"/>
        <w:ind w:firstLine="454" w:firstLineChars="196"/>
        <w:rPr>
          <w:rFonts w:hAnsi="宋体"/>
          <w:snapToGrid w:val="0"/>
          <w:color w:val="auto"/>
          <w:sz w:val="24"/>
          <w:szCs w:val="24"/>
          <w:highlight w:val="none"/>
          <w:shd w:val="clear" w:color="auto" w:fill="auto"/>
        </w:rPr>
      </w:pPr>
      <w:r>
        <w:rPr>
          <w:rFonts w:hint="eastAsia" w:hAnsi="宋体"/>
          <w:color w:val="auto"/>
          <w:sz w:val="24"/>
          <w:szCs w:val="24"/>
          <w:highlight w:val="none"/>
          <w:shd w:val="clear" w:color="auto" w:fill="auto"/>
        </w:rPr>
        <w:t>（</w:t>
      </w:r>
      <w:r>
        <w:rPr>
          <w:rFonts w:hAnsi="宋体"/>
          <w:color w:val="auto"/>
          <w:sz w:val="24"/>
          <w:szCs w:val="24"/>
          <w:highlight w:val="none"/>
          <w:shd w:val="clear" w:color="auto" w:fill="auto"/>
        </w:rPr>
        <w:t>6</w:t>
      </w:r>
      <w:r>
        <w:rPr>
          <w:rFonts w:hint="eastAsia" w:hAnsi="宋体"/>
          <w:color w:val="auto"/>
          <w:sz w:val="24"/>
          <w:szCs w:val="24"/>
          <w:highlight w:val="none"/>
          <w:shd w:val="clear" w:color="auto" w:fill="auto"/>
        </w:rPr>
        <w:t>）投标有效期、工期（供货期、交货时间、服务期）、保修期（质保期）、付款方式等商务条款不能满足招标文件要求或缺失的</w:t>
      </w:r>
      <w:r>
        <w:rPr>
          <w:rFonts w:hint="eastAsia" w:hAnsi="宋体"/>
          <w:snapToGrid w:val="0"/>
          <w:color w:val="auto"/>
          <w:sz w:val="24"/>
          <w:szCs w:val="24"/>
          <w:highlight w:val="none"/>
          <w:shd w:val="clear" w:color="auto" w:fill="auto"/>
        </w:rPr>
        <w:t>；</w:t>
      </w:r>
    </w:p>
    <w:bookmarkEnd w:id="20"/>
    <w:p w14:paraId="4B94DF80">
      <w:pPr>
        <w:pStyle w:val="24"/>
        <w:snapToGrid w:val="0"/>
        <w:spacing w:line="420" w:lineRule="exact"/>
        <w:ind w:firstLine="454" w:firstLineChars="196"/>
        <w:rPr>
          <w:rFonts w:hAnsi="宋体"/>
          <w:snapToGrid w:val="0"/>
          <w:color w:val="auto"/>
          <w:sz w:val="24"/>
          <w:szCs w:val="24"/>
          <w:highlight w:val="none"/>
          <w:shd w:val="clear" w:color="auto" w:fill="auto"/>
        </w:rPr>
      </w:pPr>
      <w:r>
        <w:rPr>
          <w:rFonts w:hint="eastAsia" w:hAnsi="宋体"/>
          <w:color w:val="auto"/>
          <w:sz w:val="24"/>
          <w:szCs w:val="24"/>
          <w:highlight w:val="none"/>
          <w:shd w:val="clear" w:color="auto" w:fill="auto"/>
        </w:rPr>
        <w:t>（</w:t>
      </w:r>
      <w:r>
        <w:rPr>
          <w:rFonts w:hAnsi="宋体"/>
          <w:color w:val="auto"/>
          <w:sz w:val="24"/>
          <w:szCs w:val="24"/>
          <w:highlight w:val="none"/>
          <w:shd w:val="clear" w:color="auto" w:fill="auto"/>
        </w:rPr>
        <w:t>7</w:t>
      </w:r>
      <w:r>
        <w:rPr>
          <w:rFonts w:hint="eastAsia" w:hAnsi="宋体"/>
          <w:color w:val="auto"/>
          <w:sz w:val="24"/>
          <w:szCs w:val="24"/>
          <w:highlight w:val="none"/>
          <w:shd w:val="clear" w:color="auto" w:fill="auto"/>
        </w:rPr>
        <w:t>）</w:t>
      </w:r>
      <w:r>
        <w:rPr>
          <w:rFonts w:hint="eastAsia" w:hAnsi="宋体"/>
          <w:snapToGrid w:val="0"/>
          <w:color w:val="auto"/>
          <w:sz w:val="24"/>
          <w:szCs w:val="24"/>
          <w:highlight w:val="none"/>
          <w:shd w:val="clear" w:color="auto" w:fill="auto"/>
        </w:rPr>
        <w:t>在商务及技术响应表中缺失部分招标文件中打▲的商务和技术要求的应标内容，同时在评标委员会对其进行询标时，投标人未能在规定时间内提供出其投标文件中有该项响应内容的；</w:t>
      </w:r>
    </w:p>
    <w:p w14:paraId="18604523">
      <w:pPr>
        <w:pStyle w:val="24"/>
        <w:snapToGrid w:val="0"/>
        <w:spacing w:line="420" w:lineRule="exact"/>
        <w:ind w:firstLine="454" w:firstLineChars="196"/>
        <w:rPr>
          <w:rFonts w:hAnsi="宋体"/>
          <w:color w:val="auto"/>
          <w:sz w:val="24"/>
          <w:szCs w:val="24"/>
          <w:highlight w:val="none"/>
          <w:shd w:val="clear" w:color="auto" w:fill="auto"/>
        </w:rPr>
      </w:pPr>
      <w:r>
        <w:rPr>
          <w:rFonts w:hint="eastAsia" w:hAnsi="宋体"/>
          <w:color w:val="auto"/>
          <w:sz w:val="24"/>
          <w:szCs w:val="24"/>
          <w:highlight w:val="none"/>
          <w:shd w:val="clear" w:color="auto" w:fill="auto"/>
        </w:rPr>
        <w:t>（</w:t>
      </w:r>
      <w:r>
        <w:rPr>
          <w:rFonts w:hAnsi="宋体"/>
          <w:color w:val="auto"/>
          <w:sz w:val="24"/>
          <w:szCs w:val="24"/>
          <w:highlight w:val="none"/>
          <w:shd w:val="clear" w:color="auto" w:fill="auto"/>
        </w:rPr>
        <w:t>8</w:t>
      </w:r>
      <w:r>
        <w:rPr>
          <w:rFonts w:hint="eastAsia" w:hAnsi="宋体"/>
          <w:color w:val="auto"/>
          <w:sz w:val="24"/>
          <w:szCs w:val="24"/>
          <w:highlight w:val="none"/>
          <w:shd w:val="clear" w:color="auto" w:fill="auto"/>
        </w:rPr>
        <w:t>）投标文件有招标方不能接受的附加条件的；</w:t>
      </w:r>
    </w:p>
    <w:p w14:paraId="6FEF8735">
      <w:pPr>
        <w:pStyle w:val="24"/>
        <w:snapToGrid w:val="0"/>
        <w:spacing w:line="420" w:lineRule="exact"/>
        <w:ind w:firstLine="464" w:firstLineChars="200"/>
        <w:rPr>
          <w:rFonts w:hAnsi="宋体"/>
          <w:color w:val="auto"/>
          <w:sz w:val="24"/>
          <w:szCs w:val="24"/>
          <w:highlight w:val="none"/>
          <w:shd w:val="clear" w:color="auto" w:fill="auto"/>
        </w:rPr>
      </w:pPr>
      <w:r>
        <w:rPr>
          <w:rFonts w:hint="eastAsia" w:hAnsi="宋体"/>
          <w:color w:val="auto"/>
          <w:sz w:val="24"/>
          <w:szCs w:val="24"/>
          <w:highlight w:val="none"/>
          <w:shd w:val="clear" w:color="auto" w:fill="auto"/>
        </w:rPr>
        <w:t>（</w:t>
      </w:r>
      <w:r>
        <w:rPr>
          <w:rFonts w:hAnsi="宋体"/>
          <w:color w:val="auto"/>
          <w:sz w:val="24"/>
          <w:szCs w:val="24"/>
          <w:highlight w:val="none"/>
          <w:shd w:val="clear" w:color="auto" w:fill="auto"/>
        </w:rPr>
        <w:t>9</w:t>
      </w:r>
      <w:r>
        <w:rPr>
          <w:rFonts w:hint="eastAsia" w:hAnsi="宋体"/>
          <w:color w:val="auto"/>
          <w:sz w:val="24"/>
          <w:szCs w:val="24"/>
          <w:highlight w:val="none"/>
          <w:shd w:val="clear" w:color="auto" w:fill="auto"/>
        </w:rPr>
        <w:t>）商务技术文件中出现投标总报价的；</w:t>
      </w:r>
    </w:p>
    <w:p w14:paraId="4B3178A7">
      <w:pPr>
        <w:pStyle w:val="24"/>
        <w:snapToGrid w:val="0"/>
        <w:spacing w:line="420" w:lineRule="exact"/>
        <w:ind w:firstLine="454" w:firstLineChars="196"/>
        <w:rPr>
          <w:rFonts w:hAnsi="宋体"/>
          <w:color w:val="auto"/>
          <w:sz w:val="24"/>
          <w:szCs w:val="24"/>
          <w:highlight w:val="none"/>
          <w:shd w:val="clear" w:color="auto" w:fill="auto"/>
        </w:rPr>
      </w:pPr>
      <w:r>
        <w:rPr>
          <w:rFonts w:hint="eastAsia" w:hAnsi="宋体"/>
          <w:color w:val="auto"/>
          <w:sz w:val="24"/>
          <w:szCs w:val="24"/>
          <w:highlight w:val="none"/>
          <w:shd w:val="clear" w:color="auto" w:fill="auto"/>
        </w:rPr>
        <w:t>（</w:t>
      </w:r>
      <w:r>
        <w:rPr>
          <w:rFonts w:hAnsi="宋体"/>
          <w:color w:val="auto"/>
          <w:sz w:val="24"/>
          <w:szCs w:val="24"/>
          <w:highlight w:val="none"/>
          <w:shd w:val="clear" w:color="auto" w:fill="auto"/>
        </w:rPr>
        <w:t>10</w:t>
      </w:r>
      <w:r>
        <w:rPr>
          <w:rFonts w:hint="eastAsia" w:hAnsi="宋体"/>
          <w:color w:val="auto"/>
          <w:sz w:val="24"/>
          <w:szCs w:val="24"/>
          <w:highlight w:val="none"/>
          <w:shd w:val="clear" w:color="auto" w:fill="auto"/>
        </w:rPr>
        <w:t>）不同投标人的投标文件,由同一台电脑编制。</w:t>
      </w:r>
    </w:p>
    <w:p w14:paraId="5B2FA37E">
      <w:pPr>
        <w:pStyle w:val="24"/>
        <w:snapToGrid w:val="0"/>
        <w:spacing w:line="420" w:lineRule="exact"/>
        <w:ind w:firstLine="457" w:firstLineChars="196"/>
        <w:rPr>
          <w:rFonts w:hAnsi="宋体"/>
          <w:b/>
          <w:bCs/>
          <w:color w:val="auto"/>
          <w:sz w:val="24"/>
          <w:szCs w:val="24"/>
          <w:highlight w:val="none"/>
          <w:shd w:val="clear" w:color="auto" w:fill="auto"/>
        </w:rPr>
      </w:pPr>
      <w:r>
        <w:rPr>
          <w:rFonts w:hint="eastAsia" w:hAnsi="宋体"/>
          <w:b/>
          <w:bCs/>
          <w:color w:val="auto"/>
          <w:sz w:val="24"/>
          <w:szCs w:val="24"/>
          <w:highlight w:val="none"/>
          <w:shd w:val="clear" w:color="auto" w:fill="auto"/>
        </w:rPr>
        <w:t>2.在报价评审时，如发现下列情形之一的，投标文件将被视为无效：</w:t>
      </w:r>
    </w:p>
    <w:p w14:paraId="3408528E">
      <w:pPr>
        <w:pStyle w:val="24"/>
        <w:snapToGrid w:val="0"/>
        <w:spacing w:line="420" w:lineRule="exact"/>
        <w:ind w:firstLine="454" w:firstLineChars="196"/>
        <w:rPr>
          <w:rFonts w:hAnsi="宋体"/>
          <w:color w:val="auto"/>
          <w:sz w:val="24"/>
          <w:szCs w:val="24"/>
          <w:highlight w:val="none"/>
          <w:shd w:val="clear" w:color="auto" w:fill="auto"/>
        </w:rPr>
      </w:pPr>
      <w:r>
        <w:rPr>
          <w:rFonts w:hint="eastAsia" w:hAnsi="宋体"/>
          <w:color w:val="auto"/>
          <w:sz w:val="24"/>
          <w:szCs w:val="24"/>
          <w:highlight w:val="none"/>
          <w:shd w:val="clear" w:color="auto" w:fill="auto"/>
        </w:rPr>
        <w:t>（1）未采用人民币报价或者未按照招标文件标明的币种报价的；</w:t>
      </w:r>
    </w:p>
    <w:p w14:paraId="0A5950E2">
      <w:pPr>
        <w:pStyle w:val="24"/>
        <w:snapToGrid w:val="0"/>
        <w:spacing w:line="420" w:lineRule="exact"/>
        <w:ind w:firstLine="454" w:firstLineChars="196"/>
        <w:rPr>
          <w:rFonts w:hAnsi="宋体"/>
          <w:color w:val="auto"/>
          <w:sz w:val="24"/>
          <w:szCs w:val="24"/>
          <w:highlight w:val="none"/>
          <w:shd w:val="clear" w:color="auto" w:fill="auto"/>
        </w:rPr>
      </w:pPr>
      <w:r>
        <w:rPr>
          <w:rFonts w:hint="eastAsia" w:hAnsi="宋体"/>
          <w:color w:val="auto"/>
          <w:sz w:val="24"/>
          <w:szCs w:val="24"/>
          <w:highlight w:val="none"/>
          <w:shd w:val="clear" w:color="auto" w:fill="auto"/>
        </w:rPr>
        <w:t>（2）投标报价具有选择性，或者开标价格与投标文件承诺的优惠（折扣）价格不一致的；</w:t>
      </w:r>
    </w:p>
    <w:p w14:paraId="40EF20ED">
      <w:pPr>
        <w:pStyle w:val="24"/>
        <w:snapToGrid w:val="0"/>
        <w:spacing w:line="420" w:lineRule="exact"/>
        <w:ind w:firstLine="457" w:firstLineChars="196"/>
        <w:rPr>
          <w:rFonts w:hAnsi="宋体"/>
          <w:b/>
          <w:bCs/>
          <w:color w:val="auto"/>
          <w:sz w:val="24"/>
          <w:szCs w:val="24"/>
          <w:highlight w:val="none"/>
          <w:shd w:val="clear" w:color="auto" w:fill="auto"/>
        </w:rPr>
      </w:pPr>
      <w:r>
        <w:rPr>
          <w:rFonts w:hint="eastAsia" w:hAnsi="宋体"/>
          <w:b/>
          <w:bCs/>
          <w:color w:val="auto"/>
          <w:sz w:val="24"/>
          <w:szCs w:val="24"/>
          <w:highlight w:val="none"/>
          <w:shd w:val="clear" w:color="auto" w:fill="auto"/>
        </w:rPr>
        <w:t>（3）报价超过招标文件中规定的预算金额或者最高限价的；</w:t>
      </w:r>
    </w:p>
    <w:p w14:paraId="54179C40">
      <w:pPr>
        <w:pStyle w:val="24"/>
        <w:snapToGrid w:val="0"/>
        <w:spacing w:line="420" w:lineRule="exact"/>
        <w:ind w:firstLine="457" w:firstLineChars="196"/>
        <w:rPr>
          <w:rFonts w:hAnsi="宋体"/>
          <w:b/>
          <w:bCs/>
          <w:color w:val="auto"/>
          <w:sz w:val="24"/>
          <w:szCs w:val="24"/>
          <w:highlight w:val="none"/>
          <w:shd w:val="clear" w:color="auto" w:fill="auto"/>
        </w:rPr>
      </w:pPr>
      <w:r>
        <w:rPr>
          <w:rFonts w:hint="eastAsia" w:hAnsi="宋体"/>
          <w:b/>
          <w:bCs/>
          <w:color w:val="auto"/>
          <w:sz w:val="24"/>
          <w:szCs w:val="24"/>
          <w:highlight w:val="none"/>
          <w:shd w:val="clear" w:color="auto" w:fill="auto"/>
        </w:rPr>
        <w:t>（</w:t>
      </w:r>
      <w:r>
        <w:rPr>
          <w:rFonts w:hAnsi="宋体"/>
          <w:b/>
          <w:bCs/>
          <w:color w:val="auto"/>
          <w:sz w:val="24"/>
          <w:szCs w:val="24"/>
          <w:highlight w:val="none"/>
          <w:shd w:val="clear" w:color="auto" w:fill="auto"/>
        </w:rPr>
        <w:t>4</w:t>
      </w:r>
      <w:r>
        <w:rPr>
          <w:rFonts w:hint="eastAsia" w:hAnsi="宋体"/>
          <w:b/>
          <w:bCs/>
          <w:color w:val="auto"/>
          <w:sz w:val="24"/>
          <w:szCs w:val="24"/>
          <w:highlight w:val="none"/>
          <w:shd w:val="clear" w:color="auto" w:fill="auto"/>
        </w:rPr>
        <w:t>）未填写投标报价的。</w:t>
      </w:r>
    </w:p>
    <w:p w14:paraId="4BFE951E">
      <w:pPr>
        <w:pStyle w:val="24"/>
        <w:snapToGrid w:val="0"/>
        <w:spacing w:line="420" w:lineRule="exact"/>
        <w:ind w:firstLine="457" w:firstLineChars="196"/>
        <w:rPr>
          <w:rFonts w:hAnsi="宋体"/>
          <w:b/>
          <w:color w:val="auto"/>
          <w:sz w:val="24"/>
          <w:szCs w:val="24"/>
          <w:highlight w:val="none"/>
          <w:shd w:val="clear" w:color="auto" w:fill="auto"/>
        </w:rPr>
      </w:pPr>
      <w:r>
        <w:rPr>
          <w:rFonts w:hint="eastAsia" w:hAnsi="宋体"/>
          <w:b/>
          <w:color w:val="auto"/>
          <w:sz w:val="24"/>
          <w:szCs w:val="24"/>
          <w:highlight w:val="none"/>
          <w:shd w:val="clear" w:color="auto" w:fill="auto"/>
        </w:rPr>
        <w:t>3.被拒绝的投标文件为无效。</w:t>
      </w:r>
    </w:p>
    <w:p w14:paraId="357E4116">
      <w:pPr>
        <w:spacing w:line="420" w:lineRule="exact"/>
        <w:ind w:firstLine="354" w:firstLineChars="147"/>
        <w:rPr>
          <w:rFonts w:ascii="宋体" w:hAnsi="宋体"/>
          <w:b/>
          <w:color w:val="auto"/>
          <w:sz w:val="24"/>
          <w:highlight w:val="none"/>
          <w:u w:val="single"/>
          <w:shd w:val="clear" w:color="auto" w:fill="auto"/>
        </w:rPr>
      </w:pPr>
      <w:r>
        <w:rPr>
          <w:rFonts w:hint="eastAsia" w:ascii="宋体" w:hAnsi="宋体"/>
          <w:b/>
          <w:color w:val="auto"/>
          <w:sz w:val="24"/>
          <w:highlight w:val="none"/>
          <w:shd w:val="clear" w:color="auto" w:fill="auto"/>
        </w:rPr>
        <w:t>（八）在招标采购中，出现下列情形之一的，应予废标</w:t>
      </w:r>
    </w:p>
    <w:p w14:paraId="6D780B39">
      <w:pPr>
        <w:autoSpaceDE w:val="0"/>
        <w:autoSpaceDN w:val="0"/>
        <w:spacing w:line="420" w:lineRule="exact"/>
        <w:ind w:firstLine="480" w:firstLineChars="200"/>
        <w:textAlignment w:val="bottom"/>
        <w:rPr>
          <w:rFonts w:ascii="宋体" w:hAnsi="宋体"/>
          <w:color w:val="auto"/>
          <w:sz w:val="24"/>
          <w:highlight w:val="none"/>
          <w:shd w:val="clear" w:color="auto" w:fill="auto"/>
        </w:rPr>
      </w:pPr>
      <w:r>
        <w:rPr>
          <w:rFonts w:hint="eastAsia" w:ascii="宋体" w:hAnsi="宋体"/>
          <w:color w:val="auto"/>
          <w:sz w:val="24"/>
          <w:highlight w:val="none"/>
          <w:shd w:val="clear" w:color="auto" w:fill="auto"/>
        </w:rPr>
        <w:t>1、</w:t>
      </w:r>
      <w:r>
        <w:rPr>
          <w:rFonts w:ascii="宋体" w:hAnsi="宋体"/>
          <w:color w:val="auto"/>
          <w:sz w:val="24"/>
          <w:highlight w:val="none"/>
          <w:shd w:val="clear" w:color="auto" w:fill="auto"/>
        </w:rPr>
        <w:t>出现影响采购公正的违法、违规</w:t>
      </w:r>
      <w:r>
        <w:rPr>
          <w:rFonts w:hint="eastAsia" w:ascii="宋体" w:hAnsi="宋体"/>
          <w:color w:val="auto"/>
          <w:sz w:val="24"/>
          <w:highlight w:val="none"/>
          <w:shd w:val="clear" w:color="auto" w:fill="auto"/>
        </w:rPr>
        <w:t>行为</w:t>
      </w:r>
      <w:r>
        <w:rPr>
          <w:rFonts w:ascii="宋体" w:hAnsi="宋体"/>
          <w:color w:val="auto"/>
          <w:sz w:val="24"/>
          <w:highlight w:val="none"/>
          <w:shd w:val="clear" w:color="auto" w:fill="auto"/>
        </w:rPr>
        <w:t>的；</w:t>
      </w:r>
    </w:p>
    <w:p w14:paraId="31E1D4A4">
      <w:pPr>
        <w:autoSpaceDE w:val="0"/>
        <w:autoSpaceDN w:val="0"/>
        <w:spacing w:line="420" w:lineRule="exact"/>
        <w:ind w:firstLine="480" w:firstLineChars="200"/>
        <w:textAlignment w:val="bottom"/>
        <w:rPr>
          <w:rFonts w:ascii="宋体" w:hAnsi="宋体"/>
          <w:color w:val="auto"/>
          <w:sz w:val="24"/>
          <w:highlight w:val="none"/>
          <w:shd w:val="clear" w:color="auto" w:fill="auto"/>
        </w:rPr>
      </w:pPr>
      <w:r>
        <w:rPr>
          <w:rFonts w:hint="eastAsia" w:ascii="宋体" w:hAnsi="宋体"/>
          <w:color w:val="auto"/>
          <w:sz w:val="24"/>
          <w:highlight w:val="none"/>
          <w:shd w:val="clear" w:color="auto" w:fill="auto"/>
        </w:rPr>
        <w:t>2、</w:t>
      </w:r>
      <w:r>
        <w:rPr>
          <w:rFonts w:ascii="宋体" w:hAnsi="宋体"/>
          <w:color w:val="auto"/>
          <w:sz w:val="24"/>
          <w:highlight w:val="none"/>
          <w:shd w:val="clear" w:color="auto" w:fill="auto"/>
        </w:rPr>
        <w:t>因重大变故，采购任务取消的；</w:t>
      </w:r>
    </w:p>
    <w:p w14:paraId="3B2EDD53">
      <w:pPr>
        <w:autoSpaceDE w:val="0"/>
        <w:autoSpaceDN w:val="0"/>
        <w:spacing w:line="420" w:lineRule="exact"/>
        <w:ind w:firstLine="480" w:firstLineChars="200"/>
        <w:textAlignment w:val="bottom"/>
        <w:rPr>
          <w:rFonts w:ascii="宋体" w:hAnsi="宋体"/>
          <w:color w:val="auto"/>
          <w:sz w:val="24"/>
          <w:highlight w:val="none"/>
          <w:shd w:val="clear" w:color="auto" w:fill="auto"/>
        </w:rPr>
      </w:pPr>
      <w:r>
        <w:rPr>
          <w:rFonts w:hint="eastAsia" w:ascii="宋体" w:hAnsi="宋体"/>
          <w:color w:val="auto"/>
          <w:sz w:val="24"/>
          <w:highlight w:val="none"/>
          <w:shd w:val="clear" w:color="auto" w:fill="auto"/>
        </w:rPr>
        <w:t>3、投标人的报价均超过了采购预算价，招标人不能支付的。</w:t>
      </w:r>
    </w:p>
    <w:p w14:paraId="6B79EDAE">
      <w:pPr>
        <w:autoSpaceDE w:val="0"/>
        <w:autoSpaceDN w:val="0"/>
        <w:spacing w:line="420" w:lineRule="exact"/>
        <w:ind w:firstLine="480" w:firstLineChars="200"/>
        <w:textAlignment w:val="bottom"/>
        <w:rPr>
          <w:rFonts w:ascii="宋体" w:hAnsi="宋体"/>
          <w:color w:val="auto"/>
          <w:sz w:val="24"/>
          <w:highlight w:val="none"/>
          <w:shd w:val="clear" w:color="auto" w:fill="auto"/>
        </w:rPr>
      </w:pPr>
      <w:r>
        <w:rPr>
          <w:rFonts w:ascii="宋体" w:hAnsi="宋体"/>
          <w:color w:val="auto"/>
          <w:sz w:val="24"/>
          <w:highlight w:val="none"/>
          <w:shd w:val="clear" w:color="auto" w:fill="auto"/>
        </w:rPr>
        <w:t>4</w:t>
      </w:r>
      <w:r>
        <w:rPr>
          <w:rFonts w:hint="eastAsia" w:ascii="宋体" w:hAnsi="宋体"/>
          <w:color w:val="auto"/>
          <w:sz w:val="24"/>
          <w:highlight w:val="none"/>
          <w:shd w:val="clear" w:color="auto" w:fill="auto"/>
        </w:rPr>
        <w:t>.其他法律法规规定应予以废标的情形。</w:t>
      </w:r>
    </w:p>
    <w:p w14:paraId="47609F31">
      <w:pPr>
        <w:pStyle w:val="24"/>
        <w:snapToGrid w:val="0"/>
        <w:spacing w:line="420" w:lineRule="exact"/>
        <w:ind w:firstLine="256" w:firstLineChars="110"/>
        <w:rPr>
          <w:rFonts w:hAnsi="宋体"/>
          <w:b/>
          <w:snapToGrid w:val="0"/>
          <w:color w:val="auto"/>
          <w:sz w:val="24"/>
          <w:szCs w:val="24"/>
          <w:highlight w:val="none"/>
          <w:shd w:val="clear" w:color="auto" w:fill="auto"/>
        </w:rPr>
      </w:pPr>
      <w:r>
        <w:rPr>
          <w:rFonts w:hint="eastAsia" w:hAnsi="宋体"/>
          <w:b/>
          <w:color w:val="auto"/>
          <w:sz w:val="24"/>
          <w:szCs w:val="24"/>
          <w:highlight w:val="none"/>
          <w:shd w:val="clear" w:color="auto" w:fill="auto"/>
        </w:rPr>
        <w:t>四、开标</w:t>
      </w:r>
    </w:p>
    <w:p w14:paraId="5A36F547">
      <w:pPr>
        <w:pStyle w:val="32"/>
        <w:snapToGrid w:val="0"/>
        <w:spacing w:beforeLines="0" w:afterLines="0" w:line="420" w:lineRule="exact"/>
        <w:ind w:firstLine="241" w:firstLineChars="100"/>
        <w:rPr>
          <w:rFonts w:hAnsi="宋体"/>
          <w:b/>
          <w:color w:val="auto"/>
          <w:highlight w:val="none"/>
          <w:shd w:val="clear" w:color="auto" w:fill="auto"/>
        </w:rPr>
      </w:pPr>
      <w:r>
        <w:rPr>
          <w:rFonts w:hint="eastAsia" w:hAnsi="宋体"/>
          <w:b/>
          <w:color w:val="auto"/>
          <w:highlight w:val="none"/>
          <w:shd w:val="clear" w:color="auto" w:fill="auto"/>
        </w:rPr>
        <w:t>（一）开标准备</w:t>
      </w:r>
    </w:p>
    <w:p w14:paraId="5C907A0E">
      <w:pPr>
        <w:pStyle w:val="32"/>
        <w:snapToGrid w:val="0"/>
        <w:spacing w:beforeLines="0" w:afterLines="0" w:line="420" w:lineRule="exact"/>
        <w:ind w:firstLine="470" w:firstLineChars="196"/>
        <w:rPr>
          <w:rFonts w:hAnsi="宋体"/>
          <w:bCs/>
          <w:color w:val="auto"/>
          <w:highlight w:val="none"/>
          <w:shd w:val="clear" w:color="auto" w:fill="auto"/>
        </w:rPr>
      </w:pPr>
      <w:r>
        <w:rPr>
          <w:rFonts w:hint="eastAsia" w:hAnsi="宋体"/>
          <w:bCs/>
          <w:color w:val="auto"/>
          <w:highlight w:val="none"/>
          <w:shd w:val="clear" w:color="auto" w:fill="auto"/>
        </w:rPr>
        <w:t>代理机构将按照招标文件规定的时间通过“临海市限额以下公共资源交易区域平台”组织开标、开启投标文件，所有投标人请准时在线参加。投标投标人如不参加开标大会的，视同认可开标结果，事后不得对采购相关人员、开标过程和开标结果提出异议，同时投标投标人因未在线参加开标而导致投标文件无法按时解密等一切后果由投标人自己承担。</w:t>
      </w:r>
    </w:p>
    <w:p w14:paraId="4312580B">
      <w:pPr>
        <w:pStyle w:val="32"/>
        <w:snapToGrid w:val="0"/>
        <w:spacing w:beforeLines="0" w:afterLines="0" w:line="420" w:lineRule="exact"/>
        <w:ind w:firstLine="470" w:firstLineChars="196"/>
        <w:rPr>
          <w:rFonts w:hAnsi="宋体"/>
          <w:bCs/>
          <w:color w:val="auto"/>
          <w:highlight w:val="none"/>
          <w:shd w:val="clear" w:color="auto" w:fill="auto"/>
        </w:rPr>
      </w:pPr>
      <w:r>
        <w:rPr>
          <w:rFonts w:hint="eastAsia" w:hAnsi="宋体"/>
          <w:bCs/>
          <w:color w:val="auto"/>
          <w:highlight w:val="none"/>
          <w:shd w:val="clear" w:color="auto" w:fill="auto"/>
        </w:rPr>
        <w:t>采购过程中出现以下情形，导致电子交易平台无法正常运行，或者无法保证电子交易的公平、公正和安全时，代理机构可中止电子交易活动：</w:t>
      </w:r>
    </w:p>
    <w:p w14:paraId="3B79B6CE">
      <w:pPr>
        <w:pStyle w:val="32"/>
        <w:snapToGrid w:val="0"/>
        <w:spacing w:beforeLines="0" w:afterLines="0" w:line="420" w:lineRule="exact"/>
        <w:ind w:firstLine="470" w:firstLineChars="196"/>
        <w:rPr>
          <w:rFonts w:hAnsi="宋体"/>
          <w:bCs/>
          <w:color w:val="auto"/>
          <w:highlight w:val="none"/>
          <w:shd w:val="clear" w:color="auto" w:fill="auto"/>
        </w:rPr>
      </w:pPr>
      <w:r>
        <w:rPr>
          <w:rFonts w:hint="eastAsia" w:hAnsi="宋体"/>
          <w:bCs/>
          <w:color w:val="auto"/>
          <w:highlight w:val="none"/>
          <w:shd w:val="clear" w:color="auto" w:fill="auto"/>
        </w:rPr>
        <w:t xml:space="preserve">（1）电子交易平台发生故障、停电而无法登录访问的； </w:t>
      </w:r>
    </w:p>
    <w:p w14:paraId="344BA3DE">
      <w:pPr>
        <w:pStyle w:val="32"/>
        <w:snapToGrid w:val="0"/>
        <w:spacing w:beforeLines="0" w:afterLines="0" w:line="420" w:lineRule="exact"/>
        <w:ind w:firstLine="470" w:firstLineChars="196"/>
        <w:rPr>
          <w:rFonts w:hAnsi="宋体"/>
          <w:bCs/>
          <w:color w:val="auto"/>
          <w:highlight w:val="none"/>
          <w:shd w:val="clear" w:color="auto" w:fill="auto"/>
        </w:rPr>
      </w:pPr>
      <w:r>
        <w:rPr>
          <w:rFonts w:hint="eastAsia" w:hAnsi="宋体"/>
          <w:bCs/>
          <w:color w:val="auto"/>
          <w:highlight w:val="none"/>
          <w:shd w:val="clear" w:color="auto" w:fill="auto"/>
        </w:rPr>
        <w:t>（2）电子交易平台应用或数据库出现错误，不能进行正常操作的；</w:t>
      </w:r>
    </w:p>
    <w:p w14:paraId="275C7337">
      <w:pPr>
        <w:pStyle w:val="32"/>
        <w:snapToGrid w:val="0"/>
        <w:spacing w:beforeLines="0" w:afterLines="0" w:line="420" w:lineRule="exact"/>
        <w:ind w:firstLine="470" w:firstLineChars="196"/>
        <w:rPr>
          <w:rFonts w:hAnsi="宋体"/>
          <w:bCs/>
          <w:color w:val="auto"/>
          <w:highlight w:val="none"/>
          <w:shd w:val="clear" w:color="auto" w:fill="auto"/>
        </w:rPr>
      </w:pPr>
      <w:r>
        <w:rPr>
          <w:rFonts w:hint="eastAsia" w:hAnsi="宋体"/>
          <w:bCs/>
          <w:color w:val="auto"/>
          <w:highlight w:val="none"/>
          <w:shd w:val="clear" w:color="auto" w:fill="auto"/>
        </w:rPr>
        <w:t>（3）电子交易平台发现严重安全漏洞，有潜在泄密危险的；</w:t>
      </w:r>
    </w:p>
    <w:p w14:paraId="1F99211B">
      <w:pPr>
        <w:pStyle w:val="32"/>
        <w:snapToGrid w:val="0"/>
        <w:spacing w:beforeLines="0" w:afterLines="0" w:line="420" w:lineRule="exact"/>
        <w:ind w:firstLine="470" w:firstLineChars="196"/>
        <w:rPr>
          <w:rFonts w:hAnsi="宋体"/>
          <w:bCs/>
          <w:color w:val="auto"/>
          <w:highlight w:val="none"/>
          <w:shd w:val="clear" w:color="auto" w:fill="auto"/>
        </w:rPr>
      </w:pPr>
      <w:r>
        <w:rPr>
          <w:rFonts w:hint="eastAsia" w:hAnsi="宋体"/>
          <w:bCs/>
          <w:color w:val="auto"/>
          <w:highlight w:val="none"/>
          <w:shd w:val="clear" w:color="auto" w:fill="auto"/>
        </w:rPr>
        <w:t xml:space="preserve">（4）病毒发作导致不能进行正常操作的； </w:t>
      </w:r>
    </w:p>
    <w:p w14:paraId="74AABF93">
      <w:pPr>
        <w:pStyle w:val="32"/>
        <w:snapToGrid w:val="0"/>
        <w:spacing w:beforeLines="0" w:afterLines="0" w:line="420" w:lineRule="exact"/>
        <w:ind w:firstLine="470" w:firstLineChars="196"/>
        <w:rPr>
          <w:rFonts w:hAnsi="宋体"/>
          <w:bCs/>
          <w:color w:val="auto"/>
          <w:highlight w:val="none"/>
          <w:shd w:val="clear" w:color="auto" w:fill="auto"/>
        </w:rPr>
      </w:pPr>
      <w:r>
        <w:rPr>
          <w:rFonts w:hint="eastAsia" w:hAnsi="宋体"/>
          <w:bCs/>
          <w:color w:val="auto"/>
          <w:highlight w:val="none"/>
          <w:shd w:val="clear" w:color="auto" w:fill="auto"/>
        </w:rPr>
        <w:t>（5）其他无法保证电子交易的公平、公正和安全的情况。</w:t>
      </w:r>
    </w:p>
    <w:p w14:paraId="55D7D793">
      <w:pPr>
        <w:pStyle w:val="32"/>
        <w:snapToGrid w:val="0"/>
        <w:spacing w:beforeLines="0" w:afterLines="0" w:line="420" w:lineRule="exact"/>
        <w:ind w:firstLine="470" w:firstLineChars="196"/>
        <w:rPr>
          <w:rFonts w:hAnsi="宋体"/>
          <w:bCs/>
          <w:color w:val="auto"/>
          <w:highlight w:val="none"/>
          <w:shd w:val="clear" w:color="auto" w:fill="auto"/>
        </w:rPr>
      </w:pPr>
      <w:r>
        <w:rPr>
          <w:rFonts w:hint="eastAsia" w:hAnsi="宋体"/>
          <w:bCs/>
          <w:color w:val="auto"/>
          <w:highlight w:val="none"/>
          <w:shd w:val="clear" w:color="auto" w:fill="auto"/>
        </w:rPr>
        <w:t>出现前款规定情形，不影响采购公平、公正性的，代理机构可以待上述情形消除后继续组织电子交易活动，影响或可能影响采购公平、公正性的，应当重新采购。</w:t>
      </w:r>
    </w:p>
    <w:p w14:paraId="2689AD5D">
      <w:pPr>
        <w:pStyle w:val="32"/>
        <w:snapToGrid w:val="0"/>
        <w:spacing w:beforeLines="0" w:afterLines="0" w:line="420" w:lineRule="exact"/>
        <w:ind w:firstLine="472" w:firstLineChars="196"/>
        <w:rPr>
          <w:rFonts w:hAnsi="宋体"/>
          <w:bCs/>
          <w:color w:val="auto"/>
          <w:highlight w:val="none"/>
          <w:shd w:val="clear" w:color="auto" w:fill="auto"/>
        </w:rPr>
      </w:pPr>
      <w:r>
        <w:rPr>
          <w:rFonts w:hint="eastAsia" w:hAnsi="宋体"/>
          <w:b/>
          <w:color w:val="auto"/>
          <w:highlight w:val="none"/>
          <w:shd w:val="clear" w:color="auto" w:fill="auto"/>
        </w:rPr>
        <w:t xml:space="preserve">（二）开标程序    </w:t>
      </w:r>
    </w:p>
    <w:p w14:paraId="19106CC5">
      <w:pPr>
        <w:pStyle w:val="32"/>
        <w:snapToGrid w:val="0"/>
        <w:spacing w:beforeLines="0" w:afterLines="0" w:line="420" w:lineRule="exact"/>
        <w:ind w:firstLine="480" w:firstLineChars="200"/>
        <w:rPr>
          <w:rFonts w:hAnsi="宋体"/>
          <w:color w:val="auto"/>
          <w:highlight w:val="none"/>
          <w:shd w:val="clear" w:color="auto" w:fill="auto"/>
        </w:rPr>
      </w:pPr>
      <w:r>
        <w:rPr>
          <w:rFonts w:hint="eastAsia" w:hAnsi="宋体"/>
          <w:color w:val="auto"/>
          <w:highlight w:val="none"/>
          <w:shd w:val="clear" w:color="auto" w:fill="auto"/>
        </w:rPr>
        <w:t>1.开标会由招标人主持，</w:t>
      </w:r>
      <w:bookmarkStart w:id="22" w:name="_Hlk59694585"/>
      <w:r>
        <w:rPr>
          <w:rFonts w:hint="eastAsia" w:hAnsi="宋体"/>
          <w:b/>
          <w:bCs/>
          <w:color w:val="auto"/>
          <w:highlight w:val="none"/>
          <w:u w:val="single"/>
          <w:shd w:val="clear" w:color="auto" w:fill="auto"/>
        </w:rPr>
        <w:t>并通过临海市限额以下公共资源交易区域平台--每日直播平台进行现场直播，各投标人请准时在线参加。</w:t>
      </w:r>
      <w:bookmarkStart w:id="23" w:name="_Hlk59690176"/>
      <w:r>
        <w:rPr>
          <w:rFonts w:hint="eastAsia" w:hAnsi="宋体"/>
          <w:b/>
          <w:bCs/>
          <w:color w:val="auto"/>
          <w:highlight w:val="none"/>
          <w:u w:val="single"/>
          <w:shd w:val="clear" w:color="auto" w:fill="auto"/>
        </w:rPr>
        <w:t>各投标人如对开、评标过程有异议的，应该登陆临海市限额以下公共资源交易区域平台</w:t>
      </w:r>
      <w:r>
        <w:rPr>
          <w:rFonts w:hAnsi="宋体"/>
          <w:b/>
          <w:bCs/>
          <w:color w:val="auto"/>
          <w:highlight w:val="none"/>
          <w:u w:val="single"/>
          <w:shd w:val="clear" w:color="auto" w:fill="auto"/>
        </w:rPr>
        <w:t>—</w:t>
      </w:r>
      <w:r>
        <w:rPr>
          <w:rFonts w:hint="eastAsia" w:hAnsi="宋体"/>
          <w:b/>
          <w:bCs/>
          <w:color w:val="auto"/>
          <w:highlight w:val="none"/>
          <w:u w:val="single"/>
          <w:shd w:val="clear" w:color="auto" w:fill="auto"/>
        </w:rPr>
        <w:t>-每日直播平台---点击该项目</w:t>
      </w:r>
      <w:r>
        <w:rPr>
          <w:rFonts w:hAnsi="宋体"/>
          <w:b/>
          <w:bCs/>
          <w:color w:val="auto"/>
          <w:highlight w:val="none"/>
          <w:u w:val="single"/>
          <w:shd w:val="clear" w:color="auto" w:fill="auto"/>
        </w:rPr>
        <w:t>—</w:t>
      </w:r>
      <w:r>
        <w:rPr>
          <w:rFonts w:hint="eastAsia" w:hAnsi="宋体"/>
          <w:b/>
          <w:bCs/>
          <w:color w:val="auto"/>
          <w:highlight w:val="none"/>
          <w:u w:val="single"/>
          <w:shd w:val="clear" w:color="auto" w:fill="auto"/>
        </w:rPr>
        <w:t>登陆，进入答疑进行提问，招标人（代理机构）应当及时作出答复，并制作记录</w:t>
      </w:r>
      <w:bookmarkEnd w:id="22"/>
      <w:r>
        <w:rPr>
          <w:rFonts w:hint="eastAsia" w:hAnsi="宋体"/>
          <w:b/>
          <w:bCs/>
          <w:color w:val="auto"/>
          <w:highlight w:val="none"/>
          <w:u w:val="single"/>
          <w:shd w:val="clear" w:color="auto" w:fill="auto"/>
        </w:rPr>
        <w:t>；</w:t>
      </w:r>
    </w:p>
    <w:bookmarkEnd w:id="23"/>
    <w:p w14:paraId="598A7C31">
      <w:pPr>
        <w:pStyle w:val="32"/>
        <w:snapToGrid w:val="0"/>
        <w:spacing w:beforeLines="0" w:afterLines="0" w:line="420" w:lineRule="exact"/>
        <w:ind w:firstLine="480" w:firstLineChars="200"/>
        <w:rPr>
          <w:rFonts w:hAnsi="宋体"/>
          <w:color w:val="auto"/>
          <w:highlight w:val="none"/>
          <w:shd w:val="clear" w:color="auto" w:fill="auto"/>
        </w:rPr>
      </w:pPr>
      <w:r>
        <w:rPr>
          <w:rFonts w:hint="eastAsia" w:hAnsi="宋体"/>
          <w:color w:val="auto"/>
          <w:highlight w:val="none"/>
          <w:shd w:val="clear" w:color="auto" w:fill="auto"/>
        </w:rPr>
        <w:t>2. 招标人点击临海市限额以下公共资源交易区域平台-不见面开标大厅--【开始解密】按钮，</w:t>
      </w:r>
      <w:bookmarkStart w:id="24" w:name="_Hlk59625783"/>
      <w:r>
        <w:rPr>
          <w:rFonts w:hint="eastAsia" w:hAnsi="宋体"/>
          <w:color w:val="auto"/>
          <w:highlight w:val="none"/>
          <w:shd w:val="clear" w:color="auto" w:fill="auto"/>
        </w:rPr>
        <w:t>由投标人按招标文件规定的时间及</w:t>
      </w:r>
      <w:bookmarkStart w:id="25" w:name="_Hlk59626264"/>
      <w:r>
        <w:rPr>
          <w:rFonts w:hint="eastAsia" w:hAnsi="宋体"/>
          <w:color w:val="auto"/>
          <w:highlight w:val="none"/>
          <w:shd w:val="clear" w:color="auto" w:fill="auto"/>
        </w:rPr>
        <w:t>平台</w:t>
      </w:r>
      <w:bookmarkEnd w:id="25"/>
      <w:r>
        <w:rPr>
          <w:rFonts w:hint="eastAsia" w:hAnsi="宋体"/>
          <w:color w:val="auto"/>
          <w:highlight w:val="none"/>
          <w:shd w:val="clear" w:color="auto" w:fill="auto"/>
        </w:rPr>
        <w:t>显示的时间内自行进行投标文件解密。</w:t>
      </w:r>
      <w:bookmarkEnd w:id="24"/>
      <w:r>
        <w:rPr>
          <w:rFonts w:hint="eastAsia" w:hAnsi="宋体"/>
          <w:color w:val="auto"/>
          <w:highlight w:val="none"/>
          <w:shd w:val="clear" w:color="auto" w:fill="auto"/>
        </w:rPr>
        <w:t>投标文件的制作和解密应使用同一个数字证书，否则将可能解密失败。解密过程中如因CA数字证书等问题而无法解密的，请马上致电服务热线400-0571-337寻求解决。</w:t>
      </w:r>
      <w:bookmarkStart w:id="26" w:name="_Hlk59805375"/>
      <w:r>
        <w:rPr>
          <w:rFonts w:hint="eastAsia" w:hAnsi="宋体"/>
          <w:color w:val="auto"/>
          <w:highlight w:val="none"/>
          <w:shd w:val="clear" w:color="auto" w:fill="auto"/>
        </w:rPr>
        <w:t>投标人未按时解密或解密失败的，其投标文件为无效标。</w:t>
      </w:r>
      <w:bookmarkEnd w:id="26"/>
    </w:p>
    <w:p w14:paraId="75FE0EEA">
      <w:pPr>
        <w:pStyle w:val="32"/>
        <w:snapToGrid w:val="0"/>
        <w:spacing w:beforeLines="0" w:afterLines="0" w:line="420" w:lineRule="exact"/>
        <w:rPr>
          <w:rFonts w:hAnsi="宋体"/>
          <w:b/>
          <w:bCs/>
          <w:color w:val="auto"/>
          <w:highlight w:val="none"/>
          <w:u w:val="single"/>
          <w:shd w:val="clear" w:color="auto" w:fill="auto"/>
        </w:rPr>
      </w:pPr>
      <w:r>
        <w:rPr>
          <w:rFonts w:hint="eastAsia" w:hAnsi="宋体"/>
          <w:b/>
          <w:bCs/>
          <w:color w:val="auto"/>
          <w:highlight w:val="none"/>
          <w:u w:val="single"/>
          <w:shd w:val="clear" w:color="auto" w:fill="auto"/>
        </w:rPr>
        <w:t>该项目投标人数量及各投标人投标文件是否完成解密以平台显示内容为准。</w:t>
      </w:r>
    </w:p>
    <w:p w14:paraId="481E5B2E">
      <w:pPr>
        <w:pStyle w:val="32"/>
        <w:snapToGrid w:val="0"/>
        <w:spacing w:beforeLines="0" w:afterLines="0" w:line="420" w:lineRule="exact"/>
        <w:ind w:firstLine="480" w:firstLineChars="200"/>
        <w:rPr>
          <w:rFonts w:hAnsi="宋体"/>
          <w:b/>
          <w:bCs/>
          <w:color w:val="auto"/>
          <w:highlight w:val="none"/>
          <w:u w:val="single"/>
          <w:shd w:val="clear" w:color="auto" w:fill="auto"/>
        </w:rPr>
      </w:pPr>
      <w:r>
        <w:rPr>
          <w:rFonts w:hAnsi="宋体"/>
          <w:color w:val="auto"/>
          <w:highlight w:val="none"/>
          <w:shd w:val="clear" w:color="auto" w:fill="auto"/>
        </w:rPr>
        <w:t>3</w:t>
      </w:r>
      <w:r>
        <w:rPr>
          <w:rFonts w:hint="eastAsia" w:hAnsi="宋体"/>
          <w:color w:val="auto"/>
          <w:highlight w:val="none"/>
          <w:shd w:val="clear" w:color="auto" w:fill="auto"/>
        </w:rPr>
        <w:t>.解密结束后，主持人介绍参加开标会的人员名单，告知应当回避的情形,提请有关人员回避；</w:t>
      </w:r>
    </w:p>
    <w:p w14:paraId="1D920703">
      <w:pPr>
        <w:pStyle w:val="32"/>
        <w:snapToGrid w:val="0"/>
        <w:spacing w:beforeLines="0" w:afterLines="0" w:line="420" w:lineRule="exact"/>
        <w:ind w:firstLine="480" w:firstLineChars="200"/>
        <w:rPr>
          <w:rFonts w:hAnsi="宋体"/>
          <w:color w:val="auto"/>
          <w:highlight w:val="none"/>
          <w:shd w:val="clear" w:color="auto" w:fill="auto"/>
        </w:rPr>
      </w:pPr>
      <w:r>
        <w:rPr>
          <w:rFonts w:hAnsi="宋体"/>
          <w:color w:val="auto"/>
          <w:highlight w:val="none"/>
          <w:shd w:val="clear" w:color="auto" w:fill="auto"/>
        </w:rPr>
        <w:t>4</w:t>
      </w:r>
      <w:r>
        <w:rPr>
          <w:rFonts w:hint="eastAsia" w:hAnsi="宋体"/>
          <w:color w:val="auto"/>
          <w:highlight w:val="none"/>
          <w:shd w:val="clear" w:color="auto" w:fill="auto"/>
        </w:rPr>
        <w:t>.投标文件结束解密后，投标人应当通过邮件形式，将经授权代表签署的《采购活动现场确认声明书》</w:t>
      </w:r>
      <w:r>
        <w:rPr>
          <w:rFonts w:hint="eastAsia" w:hAnsi="宋体"/>
          <w:b/>
          <w:bCs/>
          <w:color w:val="auto"/>
          <w:highlight w:val="none"/>
          <w:u w:val="single"/>
          <w:shd w:val="clear" w:color="auto" w:fill="auto"/>
        </w:rPr>
        <w:t>（格式见招标文件最后一页采购活动现场确认声明书）</w:t>
      </w:r>
      <w:r>
        <w:rPr>
          <w:rFonts w:hint="eastAsia" w:hAnsi="宋体"/>
          <w:color w:val="auto"/>
          <w:highlight w:val="none"/>
          <w:shd w:val="clear" w:color="auto" w:fill="auto"/>
        </w:rPr>
        <w:t>扫描件发至代理机构电子邮箱（</w:t>
      </w:r>
      <w:r>
        <w:rPr>
          <w:rFonts w:hint="eastAsia" w:hAnsi="宋体"/>
          <w:color w:val="auto"/>
          <w:highlight w:val="none"/>
          <w:shd w:val="clear" w:color="auto" w:fill="auto"/>
          <w:lang w:val="en-US" w:eastAsia="zh-CN"/>
        </w:rPr>
        <w:t>277528936</w:t>
      </w:r>
      <w:r>
        <w:rPr>
          <w:rFonts w:hAnsi="宋体"/>
          <w:color w:val="auto"/>
          <w:highlight w:val="none"/>
          <w:shd w:val="clear" w:color="auto" w:fill="auto"/>
        </w:rPr>
        <w:t>@qq.com</w:t>
      </w:r>
      <w:r>
        <w:rPr>
          <w:rFonts w:hint="eastAsia" w:hAnsi="宋体"/>
          <w:color w:val="auto"/>
          <w:highlight w:val="none"/>
          <w:shd w:val="clear" w:color="auto" w:fill="auto"/>
        </w:rPr>
        <w:t>）,联系人：</w:t>
      </w:r>
      <w:r>
        <w:rPr>
          <w:rFonts w:hint="eastAsia" w:hAnsi="宋体"/>
          <w:color w:val="auto"/>
          <w:highlight w:val="none"/>
          <w:shd w:val="clear" w:color="auto" w:fill="auto"/>
          <w:lang w:val="en-US" w:eastAsia="zh-CN"/>
        </w:rPr>
        <w:t>陶先生</w:t>
      </w:r>
      <w:r>
        <w:rPr>
          <w:rFonts w:hint="eastAsia" w:hAnsi="宋体"/>
          <w:color w:val="auto"/>
          <w:highlight w:val="none"/>
          <w:shd w:val="clear" w:color="auto" w:fill="auto"/>
        </w:rPr>
        <w:t>，电话：0</w:t>
      </w:r>
      <w:r>
        <w:rPr>
          <w:rFonts w:hAnsi="宋体"/>
          <w:color w:val="auto"/>
          <w:highlight w:val="none"/>
          <w:shd w:val="clear" w:color="auto" w:fill="auto"/>
        </w:rPr>
        <w:t>576-8</w:t>
      </w:r>
      <w:r>
        <w:rPr>
          <w:rFonts w:hint="eastAsia" w:hAnsi="宋体"/>
          <w:color w:val="auto"/>
          <w:highlight w:val="none"/>
          <w:shd w:val="clear" w:color="auto" w:fill="auto"/>
          <w:lang w:val="en-US" w:eastAsia="zh-CN"/>
        </w:rPr>
        <w:t>5021266</w:t>
      </w:r>
      <w:r>
        <w:rPr>
          <w:rFonts w:hint="eastAsia" w:hAnsi="宋体"/>
          <w:color w:val="auto"/>
          <w:highlight w:val="none"/>
          <w:shd w:val="clear" w:color="auto" w:fill="auto"/>
        </w:rPr>
        <w:t>；</w:t>
      </w:r>
    </w:p>
    <w:p w14:paraId="24ABFC61">
      <w:pPr>
        <w:pStyle w:val="32"/>
        <w:snapToGrid w:val="0"/>
        <w:spacing w:beforeLines="0" w:afterLines="0" w:line="420" w:lineRule="exact"/>
        <w:ind w:firstLine="480" w:firstLineChars="200"/>
        <w:rPr>
          <w:rFonts w:hAnsi="宋体"/>
          <w:color w:val="auto"/>
          <w:highlight w:val="none"/>
          <w:shd w:val="clear" w:color="auto" w:fill="auto"/>
        </w:rPr>
      </w:pPr>
      <w:r>
        <w:rPr>
          <w:rFonts w:hAnsi="宋体"/>
          <w:color w:val="auto"/>
          <w:highlight w:val="none"/>
          <w:shd w:val="clear" w:color="auto" w:fill="auto"/>
        </w:rPr>
        <w:t>5</w:t>
      </w:r>
      <w:r>
        <w:rPr>
          <w:rFonts w:hint="eastAsia" w:hAnsi="宋体"/>
          <w:color w:val="auto"/>
          <w:highlight w:val="none"/>
          <w:shd w:val="clear" w:color="auto" w:fill="auto"/>
        </w:rPr>
        <w:t>.代理机构点击【</w:t>
      </w:r>
      <w:bookmarkStart w:id="27" w:name="_Hlk59371589"/>
      <w:r>
        <w:rPr>
          <w:rFonts w:hint="eastAsia" w:hAnsi="宋体"/>
          <w:color w:val="auto"/>
          <w:highlight w:val="none"/>
          <w:shd w:val="clear" w:color="auto" w:fill="auto"/>
        </w:rPr>
        <w:t>开启标书信息</w:t>
      </w:r>
      <w:bookmarkEnd w:id="27"/>
      <w:r>
        <w:rPr>
          <w:rFonts w:hint="eastAsia" w:hAnsi="宋体"/>
          <w:color w:val="auto"/>
          <w:highlight w:val="none"/>
          <w:shd w:val="clear" w:color="auto" w:fill="auto"/>
        </w:rPr>
        <w:t>】，开启标书成功后进入评标流程；</w:t>
      </w:r>
    </w:p>
    <w:p w14:paraId="544F2CFC">
      <w:pPr>
        <w:pStyle w:val="32"/>
        <w:snapToGrid w:val="0"/>
        <w:spacing w:beforeLines="0" w:afterLines="0" w:line="420" w:lineRule="exact"/>
        <w:ind w:firstLine="480" w:firstLineChars="200"/>
        <w:rPr>
          <w:rFonts w:hAnsi="宋体"/>
          <w:color w:val="auto"/>
          <w:highlight w:val="none"/>
          <w:shd w:val="clear" w:color="auto" w:fill="auto"/>
        </w:rPr>
      </w:pPr>
      <w:r>
        <w:rPr>
          <w:rFonts w:hAnsi="宋体"/>
          <w:color w:val="auto"/>
          <w:highlight w:val="none"/>
          <w:shd w:val="clear" w:color="auto" w:fill="auto"/>
        </w:rPr>
        <w:t>6</w:t>
      </w:r>
      <w:r>
        <w:rPr>
          <w:rFonts w:hint="eastAsia" w:hAnsi="宋体"/>
          <w:color w:val="auto"/>
          <w:highlight w:val="none"/>
          <w:shd w:val="clear" w:color="auto" w:fill="auto"/>
        </w:rPr>
        <w:t>.</w:t>
      </w:r>
      <w:bookmarkStart w:id="28" w:name="_Hlk59392570"/>
      <w:r>
        <w:rPr>
          <w:rFonts w:hint="eastAsia" w:hAnsi="宋体"/>
          <w:color w:val="auto"/>
          <w:highlight w:val="none"/>
          <w:shd w:val="clear" w:color="auto" w:fill="auto"/>
        </w:rPr>
        <w:t>资格及商务技术文件</w:t>
      </w:r>
      <w:bookmarkEnd w:id="28"/>
      <w:r>
        <w:rPr>
          <w:rFonts w:hint="eastAsia" w:hAnsi="宋体"/>
          <w:color w:val="auto"/>
          <w:highlight w:val="none"/>
          <w:shd w:val="clear" w:color="auto" w:fill="auto"/>
        </w:rPr>
        <w:t>评审；</w:t>
      </w:r>
    </w:p>
    <w:p w14:paraId="6954858C">
      <w:pPr>
        <w:pStyle w:val="32"/>
        <w:snapToGrid w:val="0"/>
        <w:spacing w:beforeLines="0" w:afterLines="0" w:line="420" w:lineRule="exact"/>
        <w:ind w:firstLine="480" w:firstLineChars="200"/>
        <w:rPr>
          <w:rFonts w:hAnsi="宋体"/>
          <w:b/>
          <w:bCs/>
          <w:color w:val="auto"/>
          <w:highlight w:val="none"/>
          <w:shd w:val="clear" w:color="auto" w:fill="auto"/>
        </w:rPr>
      </w:pPr>
      <w:r>
        <w:rPr>
          <w:rFonts w:hint="eastAsia" w:hAnsi="宋体"/>
          <w:color w:val="auto"/>
          <w:highlight w:val="none"/>
          <w:shd w:val="clear" w:color="auto" w:fill="auto"/>
          <w:lang w:val="en-US" w:eastAsia="zh-CN"/>
        </w:rPr>
        <w:t>7</w:t>
      </w:r>
      <w:r>
        <w:rPr>
          <w:rFonts w:hint="eastAsia" w:hAnsi="宋体"/>
          <w:color w:val="auto"/>
          <w:highlight w:val="none"/>
          <w:shd w:val="clear" w:color="auto" w:fill="auto"/>
        </w:rPr>
        <w:t>.由主持人公布资格及商务技术文件无效的投标人名单、投标无效的原因及其他有效投标的评分汇总分</w:t>
      </w:r>
      <w:r>
        <w:rPr>
          <w:rFonts w:hint="eastAsia" w:hAnsi="宋体"/>
          <w:b/>
          <w:bCs/>
          <w:color w:val="auto"/>
          <w:highlight w:val="none"/>
          <w:shd w:val="clear" w:color="auto" w:fill="auto"/>
        </w:rPr>
        <w:t>；</w:t>
      </w:r>
    </w:p>
    <w:p w14:paraId="5AE037BF">
      <w:pPr>
        <w:pStyle w:val="32"/>
        <w:snapToGrid w:val="0"/>
        <w:spacing w:beforeLines="0" w:afterLines="0" w:line="420" w:lineRule="exact"/>
        <w:ind w:firstLine="480" w:firstLineChars="200"/>
        <w:rPr>
          <w:rFonts w:hAnsi="宋体"/>
          <w:color w:val="auto"/>
          <w:highlight w:val="none"/>
          <w:shd w:val="clear" w:color="auto" w:fill="auto"/>
        </w:rPr>
      </w:pPr>
      <w:r>
        <w:rPr>
          <w:rFonts w:hint="eastAsia" w:hAnsi="宋体"/>
          <w:color w:val="auto"/>
          <w:highlight w:val="none"/>
          <w:shd w:val="clear" w:color="auto" w:fill="auto"/>
          <w:lang w:val="en-US" w:eastAsia="zh-CN"/>
        </w:rPr>
        <w:t>8</w:t>
      </w:r>
      <w:r>
        <w:rPr>
          <w:rFonts w:hint="eastAsia" w:hAnsi="宋体"/>
          <w:color w:val="auto"/>
          <w:highlight w:val="none"/>
          <w:shd w:val="clear" w:color="auto" w:fill="auto"/>
        </w:rPr>
        <w:t>.开启报价响应文件：代理机构成功开启报价响应文件后，方可查看各投标人报价情况。</w:t>
      </w:r>
      <w:r>
        <w:rPr>
          <w:rFonts w:hint="eastAsia" w:hAnsi="宋体"/>
          <w:b/>
          <w:bCs/>
          <w:color w:val="auto"/>
          <w:highlight w:val="none"/>
          <w:u w:val="single"/>
          <w:shd w:val="clear" w:color="auto" w:fill="auto"/>
        </w:rPr>
        <w:t>代理机构在线公布开标一览表有关内容，投标人应在1</w:t>
      </w:r>
      <w:r>
        <w:rPr>
          <w:rFonts w:hAnsi="宋体"/>
          <w:b/>
          <w:bCs/>
          <w:color w:val="auto"/>
          <w:highlight w:val="none"/>
          <w:u w:val="single"/>
          <w:shd w:val="clear" w:color="auto" w:fill="auto"/>
        </w:rPr>
        <w:t>0</w:t>
      </w:r>
      <w:r>
        <w:rPr>
          <w:rFonts w:hint="eastAsia" w:hAnsi="宋体"/>
          <w:b/>
          <w:bCs/>
          <w:color w:val="auto"/>
          <w:highlight w:val="none"/>
          <w:u w:val="single"/>
          <w:shd w:val="clear" w:color="auto" w:fill="auto"/>
        </w:rPr>
        <w:t>分钟内在线签字确认（不予确认或超时确认的应说明原因，否则视为无异议）；</w:t>
      </w:r>
    </w:p>
    <w:p w14:paraId="7CD4D095">
      <w:pPr>
        <w:pStyle w:val="32"/>
        <w:snapToGrid w:val="0"/>
        <w:spacing w:beforeLines="0" w:afterLines="0" w:line="420" w:lineRule="exact"/>
        <w:ind w:left="719" w:leftChars="228" w:hanging="240" w:hangingChars="100"/>
        <w:rPr>
          <w:rFonts w:hAnsi="宋体"/>
          <w:color w:val="auto"/>
          <w:highlight w:val="none"/>
          <w:shd w:val="clear" w:color="auto" w:fill="auto"/>
        </w:rPr>
      </w:pPr>
      <w:r>
        <w:rPr>
          <w:rFonts w:hint="eastAsia" w:hAnsi="宋体"/>
          <w:color w:val="auto"/>
          <w:highlight w:val="none"/>
          <w:shd w:val="clear" w:color="auto" w:fill="auto"/>
          <w:lang w:val="en-US" w:eastAsia="zh-CN"/>
        </w:rPr>
        <w:t>9</w:t>
      </w:r>
      <w:r>
        <w:rPr>
          <w:rFonts w:hint="eastAsia" w:hAnsi="宋体"/>
          <w:color w:val="auto"/>
          <w:highlight w:val="none"/>
          <w:shd w:val="clear" w:color="auto" w:fill="auto"/>
        </w:rPr>
        <w:t>.报价文件评审；</w:t>
      </w:r>
    </w:p>
    <w:p w14:paraId="5F35DA51">
      <w:pPr>
        <w:pStyle w:val="32"/>
        <w:snapToGrid w:val="0"/>
        <w:spacing w:beforeLines="0" w:afterLines="0" w:line="420" w:lineRule="exact"/>
        <w:ind w:firstLine="480" w:firstLineChars="200"/>
        <w:rPr>
          <w:rFonts w:hAnsi="宋体"/>
          <w:color w:val="auto"/>
          <w:highlight w:val="none"/>
          <w:shd w:val="clear" w:color="auto" w:fill="auto"/>
        </w:rPr>
      </w:pPr>
      <w:r>
        <w:rPr>
          <w:rFonts w:hint="eastAsia" w:hAnsi="宋体"/>
          <w:color w:val="auto"/>
          <w:highlight w:val="none"/>
          <w:shd w:val="clear" w:color="auto" w:fill="auto"/>
          <w:lang w:val="en-US" w:eastAsia="zh-CN"/>
        </w:rPr>
        <w:t>10</w:t>
      </w:r>
      <w:r>
        <w:rPr>
          <w:rFonts w:hint="eastAsia" w:hAnsi="宋体"/>
          <w:color w:val="auto"/>
          <w:highlight w:val="none"/>
          <w:shd w:val="clear" w:color="auto" w:fill="auto"/>
        </w:rPr>
        <w:t>．由主持人公布报价文件无效的投标人名单、投标无效的原因，宣布综合得分结果及中标候选人名单。</w:t>
      </w:r>
      <w:r>
        <w:rPr>
          <w:rFonts w:hint="eastAsia" w:hAnsi="宋体"/>
          <w:b/>
          <w:bCs/>
          <w:color w:val="auto"/>
          <w:highlight w:val="none"/>
          <w:u w:val="single"/>
          <w:shd w:val="clear" w:color="auto" w:fill="auto"/>
        </w:rPr>
        <w:t>投标人可通过临海市限额以下公共资源交易区域平台-每日直播平台查看评审结果，请各投标人注意收看；</w:t>
      </w:r>
    </w:p>
    <w:p w14:paraId="3AC0FBC7">
      <w:pPr>
        <w:pStyle w:val="32"/>
        <w:snapToGrid w:val="0"/>
        <w:spacing w:beforeLines="0" w:afterLines="0" w:line="420" w:lineRule="exact"/>
        <w:ind w:left="719" w:leftChars="228" w:hanging="240" w:hangingChars="100"/>
        <w:rPr>
          <w:rFonts w:hAnsi="宋体"/>
          <w:color w:val="auto"/>
          <w:highlight w:val="none"/>
          <w:shd w:val="clear" w:color="auto" w:fill="auto"/>
        </w:rPr>
      </w:pPr>
      <w:r>
        <w:rPr>
          <w:rFonts w:hint="eastAsia" w:hAnsi="宋体"/>
          <w:color w:val="auto"/>
          <w:highlight w:val="none"/>
          <w:shd w:val="clear" w:color="auto" w:fill="auto"/>
        </w:rPr>
        <w:t>1</w:t>
      </w:r>
      <w:r>
        <w:rPr>
          <w:rFonts w:hint="eastAsia" w:hAnsi="宋体"/>
          <w:color w:val="auto"/>
          <w:highlight w:val="none"/>
          <w:shd w:val="clear" w:color="auto" w:fill="auto"/>
          <w:lang w:val="en-US" w:eastAsia="zh-CN"/>
        </w:rPr>
        <w:t>1</w:t>
      </w:r>
      <w:r>
        <w:rPr>
          <w:rFonts w:hint="eastAsia" w:hAnsi="宋体"/>
          <w:color w:val="auto"/>
          <w:highlight w:val="none"/>
          <w:shd w:val="clear" w:color="auto" w:fill="auto"/>
        </w:rPr>
        <w:t>．开标会议结束。</w:t>
      </w:r>
    </w:p>
    <w:p w14:paraId="21E997DC">
      <w:pPr>
        <w:pStyle w:val="32"/>
        <w:snapToGrid w:val="0"/>
        <w:spacing w:beforeLines="0" w:afterLines="0" w:line="420" w:lineRule="exact"/>
        <w:ind w:left="720" w:leftChars="228" w:hanging="241" w:hangingChars="100"/>
        <w:rPr>
          <w:rFonts w:hAnsi="宋体"/>
          <w:color w:val="auto"/>
          <w:highlight w:val="none"/>
          <w:shd w:val="clear" w:color="auto" w:fill="auto"/>
        </w:rPr>
      </w:pPr>
      <w:r>
        <w:rPr>
          <w:rFonts w:hint="eastAsia" w:hAnsi="宋体"/>
          <w:b/>
          <w:color w:val="auto"/>
          <w:highlight w:val="none"/>
          <w:shd w:val="clear" w:color="auto" w:fill="auto"/>
        </w:rPr>
        <w:t>五、评标</w:t>
      </w:r>
    </w:p>
    <w:p w14:paraId="2FCDB421">
      <w:pPr>
        <w:pStyle w:val="32"/>
        <w:snapToGrid w:val="0"/>
        <w:spacing w:beforeLines="0" w:afterLines="0" w:line="420" w:lineRule="exact"/>
        <w:ind w:left="720" w:leftChars="228" w:hanging="241" w:hangingChars="100"/>
        <w:rPr>
          <w:rFonts w:hAnsi="宋体"/>
          <w:color w:val="auto"/>
          <w:highlight w:val="none"/>
          <w:shd w:val="clear" w:color="auto" w:fill="auto"/>
        </w:rPr>
      </w:pPr>
      <w:r>
        <w:rPr>
          <w:rFonts w:hint="eastAsia" w:hAnsi="宋体"/>
          <w:b/>
          <w:color w:val="auto"/>
          <w:highlight w:val="none"/>
          <w:shd w:val="clear" w:color="auto" w:fill="auto"/>
        </w:rPr>
        <w:t>（一）组建评标委员会</w:t>
      </w:r>
    </w:p>
    <w:p w14:paraId="12C28A3D">
      <w:pPr>
        <w:pStyle w:val="32"/>
        <w:snapToGrid w:val="0"/>
        <w:spacing w:beforeLines="0" w:afterLines="0" w:line="420" w:lineRule="exact"/>
        <w:ind w:firstLine="472" w:firstLineChars="196"/>
        <w:rPr>
          <w:rFonts w:hAnsi="宋体"/>
          <w:b/>
          <w:color w:val="auto"/>
          <w:highlight w:val="none"/>
          <w:shd w:val="clear" w:color="auto" w:fill="auto"/>
        </w:rPr>
      </w:pPr>
      <w:r>
        <w:rPr>
          <w:rFonts w:hint="eastAsia" w:hAnsi="宋体"/>
          <w:b/>
          <w:color w:val="auto"/>
          <w:highlight w:val="none"/>
          <w:shd w:val="clear" w:color="auto" w:fill="auto"/>
        </w:rPr>
        <w:t>（1）本项目评标委员会由招标人依法组建。</w:t>
      </w:r>
    </w:p>
    <w:p w14:paraId="6CB68F8B">
      <w:pPr>
        <w:pStyle w:val="32"/>
        <w:snapToGrid w:val="0"/>
        <w:spacing w:beforeLines="0" w:afterLines="0" w:line="420" w:lineRule="exact"/>
        <w:ind w:firstLine="472" w:firstLineChars="196"/>
        <w:rPr>
          <w:rFonts w:hAnsi="宋体"/>
          <w:b/>
          <w:color w:val="auto"/>
          <w:highlight w:val="none"/>
          <w:shd w:val="clear" w:color="auto" w:fill="auto"/>
        </w:rPr>
      </w:pPr>
      <w:r>
        <w:rPr>
          <w:rFonts w:hint="eastAsia" w:hAnsi="宋体"/>
          <w:b/>
          <w:color w:val="auto"/>
          <w:highlight w:val="none"/>
          <w:shd w:val="clear" w:color="auto" w:fill="auto"/>
        </w:rPr>
        <w:t>（2）评标委员会成员与参与投标的投标人有下列情形之一的，应当回避：</w:t>
      </w:r>
    </w:p>
    <w:p w14:paraId="5F35B6A6">
      <w:pPr>
        <w:pStyle w:val="32"/>
        <w:snapToGrid w:val="0"/>
        <w:spacing w:beforeLines="0" w:afterLines="0" w:line="420" w:lineRule="exact"/>
        <w:ind w:firstLine="470" w:firstLineChars="196"/>
        <w:rPr>
          <w:rFonts w:hAnsi="宋体"/>
          <w:bCs/>
          <w:color w:val="auto"/>
          <w:highlight w:val="none"/>
          <w:shd w:val="clear" w:color="auto" w:fill="auto"/>
        </w:rPr>
      </w:pPr>
      <w:r>
        <w:rPr>
          <w:rFonts w:hint="eastAsia" w:hAnsi="宋体"/>
          <w:bCs/>
          <w:color w:val="auto"/>
          <w:highlight w:val="none"/>
          <w:shd w:val="clear" w:color="auto" w:fill="auto"/>
        </w:rPr>
        <w:t>①参加采购活动前3年内与投标人存在劳动关系；</w:t>
      </w:r>
    </w:p>
    <w:p w14:paraId="6D357295">
      <w:pPr>
        <w:pStyle w:val="32"/>
        <w:snapToGrid w:val="0"/>
        <w:spacing w:beforeLines="0" w:afterLines="0" w:line="420" w:lineRule="exact"/>
        <w:ind w:firstLine="470" w:firstLineChars="196"/>
        <w:rPr>
          <w:rFonts w:hAnsi="宋体"/>
          <w:bCs/>
          <w:color w:val="auto"/>
          <w:highlight w:val="none"/>
          <w:shd w:val="clear" w:color="auto" w:fill="auto"/>
        </w:rPr>
      </w:pPr>
      <w:r>
        <w:rPr>
          <w:rFonts w:hint="eastAsia" w:hAnsi="宋体"/>
          <w:bCs/>
          <w:color w:val="auto"/>
          <w:highlight w:val="none"/>
          <w:shd w:val="clear" w:color="auto" w:fill="auto"/>
        </w:rPr>
        <w:t>②参加采购活动前3年内担任投标人的董事、监事；</w:t>
      </w:r>
    </w:p>
    <w:p w14:paraId="185CCBED">
      <w:pPr>
        <w:pStyle w:val="32"/>
        <w:snapToGrid w:val="0"/>
        <w:spacing w:beforeLines="0" w:afterLines="0" w:line="420" w:lineRule="exact"/>
        <w:ind w:firstLine="470" w:firstLineChars="196"/>
        <w:rPr>
          <w:rFonts w:hAnsi="宋体"/>
          <w:bCs/>
          <w:color w:val="auto"/>
          <w:highlight w:val="none"/>
          <w:shd w:val="clear" w:color="auto" w:fill="auto"/>
        </w:rPr>
      </w:pPr>
      <w:r>
        <w:rPr>
          <w:rFonts w:hint="eastAsia" w:hAnsi="宋体"/>
          <w:bCs/>
          <w:color w:val="auto"/>
          <w:highlight w:val="none"/>
          <w:shd w:val="clear" w:color="auto" w:fill="auto"/>
        </w:rPr>
        <w:t>③参加采购活动前3年内是投标人的控股股东或者实际控制人；</w:t>
      </w:r>
    </w:p>
    <w:p w14:paraId="2FA9762B">
      <w:pPr>
        <w:pStyle w:val="32"/>
        <w:snapToGrid w:val="0"/>
        <w:spacing w:beforeLines="0" w:afterLines="0" w:line="420" w:lineRule="exact"/>
        <w:ind w:firstLine="470" w:firstLineChars="196"/>
        <w:rPr>
          <w:rFonts w:hAnsi="宋体"/>
          <w:bCs/>
          <w:color w:val="auto"/>
          <w:highlight w:val="none"/>
          <w:shd w:val="clear" w:color="auto" w:fill="auto"/>
        </w:rPr>
      </w:pPr>
      <w:r>
        <w:rPr>
          <w:rFonts w:hint="eastAsia" w:hAnsi="宋体"/>
          <w:bCs/>
          <w:color w:val="auto"/>
          <w:highlight w:val="none"/>
          <w:shd w:val="clear" w:color="auto" w:fill="auto"/>
        </w:rPr>
        <w:t>④与投标人的法定代表人或者负责人有夫妻、直系血亲、三代以内旁系血亲或者近姻亲关系；</w:t>
      </w:r>
    </w:p>
    <w:p w14:paraId="5D3910F4">
      <w:pPr>
        <w:pStyle w:val="32"/>
        <w:snapToGrid w:val="0"/>
        <w:spacing w:beforeLines="0" w:afterLines="0" w:line="420" w:lineRule="exact"/>
        <w:ind w:firstLine="470" w:firstLineChars="196"/>
        <w:rPr>
          <w:rFonts w:hAnsi="宋体"/>
          <w:bCs/>
          <w:color w:val="auto"/>
          <w:highlight w:val="none"/>
          <w:shd w:val="clear" w:color="auto" w:fill="auto"/>
        </w:rPr>
      </w:pPr>
      <w:r>
        <w:rPr>
          <w:rFonts w:hint="eastAsia" w:hAnsi="宋体"/>
          <w:bCs/>
          <w:color w:val="auto"/>
          <w:highlight w:val="none"/>
          <w:shd w:val="clear" w:color="auto" w:fill="auto"/>
        </w:rPr>
        <w:t>⑤与投标人有其他可能影响采购活动公平、公正进行的关系。</w:t>
      </w:r>
    </w:p>
    <w:p w14:paraId="05849926">
      <w:pPr>
        <w:pStyle w:val="32"/>
        <w:snapToGrid w:val="0"/>
        <w:spacing w:beforeLines="0" w:afterLines="0" w:line="420" w:lineRule="exact"/>
        <w:ind w:firstLine="472" w:firstLineChars="196"/>
        <w:rPr>
          <w:rFonts w:hAnsi="宋体"/>
          <w:b/>
          <w:color w:val="auto"/>
          <w:highlight w:val="none"/>
          <w:shd w:val="clear" w:color="auto" w:fill="auto"/>
        </w:rPr>
      </w:pPr>
      <w:r>
        <w:rPr>
          <w:rFonts w:hint="eastAsia" w:hAnsi="宋体"/>
          <w:b/>
          <w:color w:val="auto"/>
          <w:highlight w:val="none"/>
          <w:shd w:val="clear" w:color="auto" w:fill="auto"/>
        </w:rPr>
        <w:t>（3）评标委员会负责具体评标事务，并独立履行下列职责：</w:t>
      </w:r>
    </w:p>
    <w:p w14:paraId="14E2796E">
      <w:pPr>
        <w:pStyle w:val="32"/>
        <w:snapToGrid w:val="0"/>
        <w:spacing w:beforeLines="0" w:afterLines="0" w:line="420" w:lineRule="exact"/>
        <w:ind w:firstLine="470" w:firstLineChars="196"/>
        <w:rPr>
          <w:rFonts w:hAnsi="宋体"/>
          <w:bCs/>
          <w:color w:val="auto"/>
          <w:highlight w:val="none"/>
          <w:shd w:val="clear" w:color="auto" w:fill="auto"/>
        </w:rPr>
      </w:pPr>
      <w:r>
        <w:rPr>
          <w:rFonts w:hint="eastAsia" w:hAnsi="宋体"/>
          <w:bCs/>
          <w:color w:val="auto"/>
          <w:highlight w:val="none"/>
          <w:shd w:val="clear" w:color="auto" w:fill="auto"/>
        </w:rPr>
        <w:t>1.审查、评价投标文件是否符合招标文件的商务、技术等实质性要求；</w:t>
      </w:r>
    </w:p>
    <w:p w14:paraId="01B2F2CF">
      <w:pPr>
        <w:pStyle w:val="32"/>
        <w:snapToGrid w:val="0"/>
        <w:spacing w:beforeLines="0" w:afterLines="0" w:line="420" w:lineRule="exact"/>
        <w:ind w:firstLine="470" w:firstLineChars="196"/>
        <w:rPr>
          <w:rFonts w:hAnsi="宋体"/>
          <w:bCs/>
          <w:color w:val="auto"/>
          <w:highlight w:val="none"/>
          <w:shd w:val="clear" w:color="auto" w:fill="auto"/>
        </w:rPr>
      </w:pPr>
      <w:r>
        <w:rPr>
          <w:rFonts w:hint="eastAsia" w:hAnsi="宋体"/>
          <w:bCs/>
          <w:color w:val="auto"/>
          <w:highlight w:val="none"/>
          <w:shd w:val="clear" w:color="auto" w:fill="auto"/>
        </w:rPr>
        <w:t>2.要求投标人对投标文件有关事项作出澄清或者说明；</w:t>
      </w:r>
    </w:p>
    <w:p w14:paraId="6B72A695">
      <w:pPr>
        <w:pStyle w:val="32"/>
        <w:snapToGrid w:val="0"/>
        <w:spacing w:beforeLines="0" w:afterLines="0" w:line="420" w:lineRule="exact"/>
        <w:ind w:firstLine="470" w:firstLineChars="196"/>
        <w:rPr>
          <w:rFonts w:hAnsi="宋体"/>
          <w:bCs/>
          <w:color w:val="auto"/>
          <w:highlight w:val="none"/>
          <w:shd w:val="clear" w:color="auto" w:fill="auto"/>
        </w:rPr>
      </w:pPr>
      <w:r>
        <w:rPr>
          <w:rFonts w:hint="eastAsia" w:hAnsi="宋体"/>
          <w:bCs/>
          <w:color w:val="auto"/>
          <w:highlight w:val="none"/>
          <w:shd w:val="clear" w:color="auto" w:fill="auto"/>
        </w:rPr>
        <w:t>3.对投标文件进行比较和评价；</w:t>
      </w:r>
    </w:p>
    <w:p w14:paraId="54E34C6E">
      <w:pPr>
        <w:pStyle w:val="32"/>
        <w:snapToGrid w:val="0"/>
        <w:spacing w:beforeLines="0" w:afterLines="0" w:line="420" w:lineRule="exact"/>
        <w:ind w:firstLine="470" w:firstLineChars="196"/>
        <w:rPr>
          <w:rFonts w:hAnsi="宋体"/>
          <w:bCs/>
          <w:color w:val="auto"/>
          <w:highlight w:val="none"/>
          <w:shd w:val="clear" w:color="auto" w:fill="auto"/>
        </w:rPr>
      </w:pPr>
      <w:r>
        <w:rPr>
          <w:rFonts w:hint="eastAsia" w:hAnsi="宋体"/>
          <w:bCs/>
          <w:color w:val="auto"/>
          <w:highlight w:val="none"/>
          <w:shd w:val="clear" w:color="auto" w:fill="auto"/>
        </w:rPr>
        <w:t>4.确定中标候选人名单，以及根据招标人委托直接确定中标人；</w:t>
      </w:r>
    </w:p>
    <w:p w14:paraId="5F9906EF">
      <w:pPr>
        <w:pStyle w:val="32"/>
        <w:snapToGrid w:val="0"/>
        <w:spacing w:beforeLines="0" w:afterLines="0" w:line="420" w:lineRule="exact"/>
        <w:ind w:firstLine="470" w:firstLineChars="196"/>
        <w:rPr>
          <w:rFonts w:hAnsi="宋体"/>
          <w:bCs/>
          <w:color w:val="auto"/>
          <w:highlight w:val="none"/>
          <w:shd w:val="clear" w:color="auto" w:fill="auto"/>
        </w:rPr>
      </w:pPr>
      <w:r>
        <w:rPr>
          <w:rFonts w:hint="eastAsia" w:hAnsi="宋体"/>
          <w:bCs/>
          <w:color w:val="auto"/>
          <w:highlight w:val="none"/>
          <w:shd w:val="clear" w:color="auto" w:fill="auto"/>
        </w:rPr>
        <w:t>5.向招标人、代理机构或者有关部门报告评标中发现的违法行为；</w:t>
      </w:r>
    </w:p>
    <w:p w14:paraId="0245C492">
      <w:pPr>
        <w:pStyle w:val="32"/>
        <w:snapToGrid w:val="0"/>
        <w:spacing w:beforeLines="0" w:afterLines="0" w:line="420" w:lineRule="exact"/>
        <w:ind w:firstLine="470" w:firstLineChars="196"/>
        <w:rPr>
          <w:rFonts w:hAnsi="宋体"/>
          <w:bCs/>
          <w:color w:val="auto"/>
          <w:highlight w:val="none"/>
          <w:shd w:val="clear" w:color="auto" w:fill="auto"/>
        </w:rPr>
      </w:pPr>
      <w:r>
        <w:rPr>
          <w:rFonts w:hint="eastAsia" w:hAnsi="宋体"/>
          <w:bCs/>
          <w:color w:val="auto"/>
          <w:highlight w:val="none"/>
          <w:shd w:val="clear" w:color="auto" w:fill="auto"/>
        </w:rPr>
        <w:t>6.法律法规规定的其他职责。</w:t>
      </w:r>
    </w:p>
    <w:p w14:paraId="1DA84CF3">
      <w:pPr>
        <w:pStyle w:val="32"/>
        <w:snapToGrid w:val="0"/>
        <w:spacing w:beforeLines="0" w:afterLines="0" w:line="420" w:lineRule="exact"/>
        <w:ind w:firstLine="482" w:firstLineChars="200"/>
        <w:rPr>
          <w:rFonts w:hAnsi="宋体"/>
          <w:color w:val="auto"/>
          <w:highlight w:val="none"/>
          <w:shd w:val="clear" w:color="auto" w:fill="auto"/>
        </w:rPr>
      </w:pPr>
      <w:r>
        <w:rPr>
          <w:rFonts w:hint="eastAsia" w:hAnsi="宋体"/>
          <w:b/>
          <w:color w:val="auto"/>
          <w:highlight w:val="none"/>
          <w:shd w:val="clear" w:color="auto" w:fill="auto"/>
        </w:rPr>
        <w:t>（二）评标的方式</w:t>
      </w:r>
    </w:p>
    <w:p w14:paraId="6D29E28A">
      <w:pPr>
        <w:pStyle w:val="32"/>
        <w:snapToGrid w:val="0"/>
        <w:spacing w:beforeLines="0" w:afterLines="0" w:line="420" w:lineRule="exact"/>
        <w:ind w:firstLine="480" w:firstLineChars="200"/>
        <w:rPr>
          <w:rFonts w:hAnsi="宋体"/>
          <w:color w:val="auto"/>
          <w:highlight w:val="none"/>
          <w:shd w:val="clear" w:color="auto" w:fill="auto"/>
        </w:rPr>
      </w:pPr>
      <w:r>
        <w:rPr>
          <w:rFonts w:hint="eastAsia" w:hAnsi="宋体"/>
          <w:color w:val="auto"/>
          <w:highlight w:val="none"/>
          <w:shd w:val="clear" w:color="auto" w:fill="auto"/>
        </w:rPr>
        <w:t>本项目采用不公开方式评标，评标的依据为招标文件和投标文件，本项目采用电子评审方法。</w:t>
      </w:r>
    </w:p>
    <w:p w14:paraId="4D5B2EBA">
      <w:pPr>
        <w:pStyle w:val="32"/>
        <w:snapToGrid w:val="0"/>
        <w:spacing w:beforeLines="0" w:afterLines="0" w:line="420" w:lineRule="exact"/>
        <w:ind w:firstLine="482" w:firstLineChars="200"/>
        <w:rPr>
          <w:rFonts w:hAnsi="宋体"/>
          <w:b/>
          <w:color w:val="auto"/>
          <w:highlight w:val="none"/>
          <w:shd w:val="clear" w:color="auto" w:fill="auto"/>
        </w:rPr>
      </w:pPr>
      <w:r>
        <w:rPr>
          <w:rFonts w:hint="eastAsia" w:hAnsi="宋体"/>
          <w:b/>
          <w:color w:val="auto"/>
          <w:highlight w:val="none"/>
          <w:shd w:val="clear" w:color="auto" w:fill="auto"/>
        </w:rPr>
        <w:t>（三）</w:t>
      </w:r>
      <w:r>
        <w:rPr>
          <w:rFonts w:hint="eastAsia" w:hAnsi="宋体"/>
          <w:b/>
          <w:bCs/>
          <w:color w:val="auto"/>
          <w:highlight w:val="none"/>
          <w:shd w:val="clear" w:color="auto" w:fill="auto"/>
        </w:rPr>
        <w:t>评标程序</w:t>
      </w:r>
    </w:p>
    <w:p w14:paraId="6EC6FE65">
      <w:pPr>
        <w:snapToGrid w:val="0"/>
        <w:spacing w:line="420" w:lineRule="exact"/>
        <w:ind w:firstLine="472" w:firstLineChars="196"/>
        <w:rPr>
          <w:rFonts w:ascii="宋体" w:hAnsi="宋体"/>
          <w:b/>
          <w:bCs/>
          <w:color w:val="auto"/>
          <w:sz w:val="24"/>
          <w:highlight w:val="none"/>
          <w:shd w:val="clear" w:color="auto" w:fill="auto"/>
        </w:rPr>
      </w:pPr>
      <w:r>
        <w:rPr>
          <w:rFonts w:hint="eastAsia" w:ascii="宋体" w:hAnsi="宋体"/>
          <w:b/>
          <w:bCs/>
          <w:color w:val="auto"/>
          <w:sz w:val="24"/>
          <w:highlight w:val="none"/>
          <w:shd w:val="clear" w:color="auto" w:fill="auto"/>
        </w:rPr>
        <w:t>1.资格审查</w:t>
      </w:r>
    </w:p>
    <w:p w14:paraId="5B6046FE">
      <w:pPr>
        <w:snapToGrid w:val="0"/>
        <w:spacing w:line="420" w:lineRule="exact"/>
        <w:ind w:firstLine="470" w:firstLineChars="196"/>
        <w:rPr>
          <w:rFonts w:ascii="宋体" w:hAnsi="宋体"/>
          <w:b/>
          <w:bCs/>
          <w:color w:val="auto"/>
          <w:sz w:val="24"/>
          <w:highlight w:val="none"/>
          <w:shd w:val="clear" w:color="auto" w:fill="auto"/>
        </w:rPr>
      </w:pPr>
      <w:r>
        <w:rPr>
          <w:rFonts w:hint="eastAsia" w:ascii="宋体" w:hAnsi="宋体"/>
          <w:color w:val="auto"/>
          <w:sz w:val="24"/>
          <w:highlight w:val="none"/>
          <w:shd w:val="clear" w:color="auto" w:fill="auto"/>
        </w:rPr>
        <w:t>采购项目开标结束后，招标人或者代理机构应当依法对投标人的资格进行审查，对审查发现无效的进行必要的询标，结束后公布无效投标的投标人名单、投标无效的原因。</w:t>
      </w:r>
    </w:p>
    <w:p w14:paraId="0D37AA2C">
      <w:pPr>
        <w:snapToGrid w:val="0"/>
        <w:spacing w:line="420" w:lineRule="exact"/>
        <w:ind w:firstLine="472" w:firstLineChars="196"/>
        <w:rPr>
          <w:rFonts w:ascii="宋体" w:hAnsi="宋体"/>
          <w:b/>
          <w:bCs/>
          <w:color w:val="auto"/>
          <w:sz w:val="24"/>
          <w:highlight w:val="none"/>
          <w:shd w:val="clear" w:color="auto" w:fill="auto"/>
        </w:rPr>
      </w:pPr>
      <w:r>
        <w:rPr>
          <w:rFonts w:hint="eastAsia" w:ascii="宋体" w:hAnsi="宋体"/>
          <w:b/>
          <w:bCs/>
          <w:color w:val="auto"/>
          <w:sz w:val="24"/>
          <w:highlight w:val="none"/>
          <w:shd w:val="clear" w:color="auto" w:fill="auto"/>
        </w:rPr>
        <w:t>2.符合性审查</w:t>
      </w:r>
    </w:p>
    <w:p w14:paraId="0BA0159D">
      <w:pPr>
        <w:snapToGrid w:val="0"/>
        <w:spacing w:line="420" w:lineRule="exact"/>
        <w:ind w:firstLine="470" w:firstLineChars="196"/>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评标委员会应当对符合资格的投标人的投标文件进行符合性审查，以确定其是否满足招标文件的实质性要求，对审查发现无效的进行必要的询标，结束后公布无效投标的投标人名单、投标无效的原因。 </w:t>
      </w:r>
    </w:p>
    <w:p w14:paraId="66583543">
      <w:pPr>
        <w:snapToGrid w:val="0"/>
        <w:spacing w:line="420" w:lineRule="exact"/>
        <w:ind w:firstLine="241" w:firstLineChars="100"/>
        <w:rPr>
          <w:rFonts w:ascii="宋体" w:hAnsi="宋体"/>
          <w:b/>
          <w:color w:val="auto"/>
          <w:sz w:val="24"/>
          <w:highlight w:val="none"/>
          <w:shd w:val="clear" w:color="auto" w:fill="auto"/>
        </w:rPr>
      </w:pPr>
      <w:r>
        <w:rPr>
          <w:rFonts w:hint="eastAsia" w:ascii="宋体" w:hAnsi="宋体"/>
          <w:b/>
          <w:color w:val="auto"/>
          <w:sz w:val="24"/>
          <w:highlight w:val="none"/>
          <w:shd w:val="clear" w:color="auto" w:fill="auto"/>
        </w:rPr>
        <w:t>（四）澄清问题的形式</w:t>
      </w:r>
    </w:p>
    <w:p w14:paraId="0CF25D6F">
      <w:pPr>
        <w:pStyle w:val="32"/>
        <w:snapToGrid w:val="0"/>
        <w:spacing w:beforeLines="0" w:afterLines="0" w:line="420" w:lineRule="exact"/>
        <w:ind w:firstLine="480" w:firstLineChars="200"/>
        <w:rPr>
          <w:rFonts w:hAnsi="宋体"/>
          <w:color w:val="auto"/>
          <w:highlight w:val="none"/>
          <w:shd w:val="clear" w:color="auto" w:fill="auto"/>
        </w:rPr>
      </w:pPr>
      <w:r>
        <w:rPr>
          <w:rFonts w:hint="eastAsia" w:hAnsi="宋体"/>
          <w:color w:val="auto"/>
          <w:highlight w:val="none"/>
          <w:shd w:val="clear" w:color="auto" w:fill="auto"/>
        </w:rPr>
        <w:t>对投标文件中含义不明确、同类问题表述不一致或者有明显文字和计算错误的内容，评标委员会可要求投标人作出必要的</w:t>
      </w:r>
      <w:bookmarkStart w:id="29" w:name="_Hlk59372079"/>
      <w:r>
        <w:rPr>
          <w:rFonts w:hint="eastAsia" w:hAnsi="宋体"/>
          <w:color w:val="auto"/>
          <w:highlight w:val="none"/>
          <w:shd w:val="clear" w:color="auto" w:fill="auto"/>
        </w:rPr>
        <w:t>澄清、说明</w:t>
      </w:r>
      <w:bookmarkEnd w:id="29"/>
      <w:r>
        <w:rPr>
          <w:rFonts w:hint="eastAsia" w:hAnsi="宋体"/>
          <w:color w:val="auto"/>
          <w:highlight w:val="none"/>
          <w:shd w:val="clear" w:color="auto" w:fill="auto"/>
        </w:rPr>
        <w:t>或者补正。评标委员会的澄清内容及投标人的澄清、说明或者补正均通过</w:t>
      </w:r>
      <w:bookmarkStart w:id="30" w:name="_Hlk59371846"/>
      <w:r>
        <w:rPr>
          <w:rFonts w:hint="eastAsia" w:hAnsi="宋体"/>
          <w:color w:val="auto"/>
          <w:highlight w:val="none"/>
          <w:shd w:val="clear" w:color="auto" w:fill="auto"/>
        </w:rPr>
        <w:t>电子交易平台交换数据电文。</w:t>
      </w:r>
      <w:bookmarkEnd w:id="30"/>
      <w:bookmarkStart w:id="31" w:name="_Hlk59700505"/>
      <w:r>
        <w:rPr>
          <w:rFonts w:hint="eastAsia" w:hAnsi="宋体"/>
          <w:color w:val="auto"/>
          <w:highlight w:val="none"/>
          <w:shd w:val="clear" w:color="auto" w:fill="auto"/>
        </w:rPr>
        <w:t>同时代理机构也将通过临海市限额以下公共资源交易区域平台--每日直播平台</w:t>
      </w:r>
      <w:bookmarkStart w:id="32" w:name="_Hlk59371920"/>
      <w:r>
        <w:rPr>
          <w:rFonts w:hint="eastAsia" w:hAnsi="宋体"/>
          <w:color w:val="auto"/>
          <w:highlight w:val="none"/>
          <w:shd w:val="clear" w:color="auto" w:fill="auto"/>
        </w:rPr>
        <w:t>进行问题澄清。</w:t>
      </w:r>
      <w:bookmarkEnd w:id="31"/>
    </w:p>
    <w:bookmarkEnd w:id="32"/>
    <w:p w14:paraId="3331959B">
      <w:pPr>
        <w:snapToGrid w:val="0"/>
        <w:spacing w:line="420" w:lineRule="exact"/>
        <w:ind w:firstLine="480" w:firstLineChars="200"/>
        <w:rPr>
          <w:rFonts w:ascii="宋体" w:hAnsi="宋体"/>
          <w:color w:val="auto"/>
          <w:sz w:val="24"/>
          <w:highlight w:val="none"/>
          <w:shd w:val="clear" w:color="auto" w:fill="auto"/>
        </w:rPr>
      </w:pPr>
      <w:r>
        <w:rPr>
          <w:rFonts w:hint="eastAsia" w:ascii="宋体" w:hAnsi="宋体"/>
          <w:color w:val="auto"/>
          <w:sz w:val="24"/>
          <w:highlight w:val="none"/>
          <w:shd w:val="clear" w:color="auto" w:fill="auto"/>
        </w:rPr>
        <w:t>评标委员会发出澄清内容后，投标人应当在代理机构及平台上</w:t>
      </w:r>
      <w:r>
        <w:rPr>
          <w:rFonts w:hint="eastAsia" w:ascii="宋体" w:hAnsi="宋体"/>
          <w:b/>
          <w:bCs/>
          <w:color w:val="auto"/>
          <w:sz w:val="24"/>
          <w:highlight w:val="none"/>
          <w:u w:val="single"/>
          <w:shd w:val="clear" w:color="auto" w:fill="auto"/>
        </w:rPr>
        <w:t>规定的时间内（30分钟，具体时间以临海市限额以下公共资源交易区域平台系统上显示的时间为准）</w:t>
      </w:r>
      <w:r>
        <w:rPr>
          <w:rFonts w:hint="eastAsia" w:ascii="宋体" w:hAnsi="宋体"/>
          <w:b/>
          <w:bCs/>
          <w:color w:val="auto"/>
          <w:sz w:val="24"/>
          <w:highlight w:val="none"/>
          <w:shd w:val="clear" w:color="auto" w:fill="auto"/>
        </w:rPr>
        <w:t>，</w:t>
      </w:r>
      <w:r>
        <w:rPr>
          <w:rFonts w:hint="eastAsia" w:ascii="宋体" w:hAnsi="宋体"/>
          <w:color w:val="auto"/>
          <w:sz w:val="24"/>
          <w:highlight w:val="none"/>
          <w:shd w:val="clear" w:color="auto" w:fill="auto"/>
        </w:rPr>
        <w:t>提交澄清说明或补正，否则视为投标人放弃答复，并自行承担因此而产生的不利后果。澄清、说明或者补正不得超出投标文件的范围或者改变投标文件的实质性内容。</w:t>
      </w:r>
    </w:p>
    <w:p w14:paraId="7CEAA603">
      <w:pPr>
        <w:snapToGrid w:val="0"/>
        <w:spacing w:line="420" w:lineRule="exact"/>
        <w:ind w:firstLine="241" w:firstLineChars="100"/>
        <w:rPr>
          <w:rFonts w:ascii="宋体" w:hAnsi="宋体"/>
          <w:b/>
          <w:color w:val="auto"/>
          <w:sz w:val="24"/>
          <w:highlight w:val="none"/>
          <w:shd w:val="clear" w:color="auto" w:fill="auto"/>
        </w:rPr>
      </w:pPr>
      <w:r>
        <w:rPr>
          <w:rFonts w:hint="eastAsia" w:ascii="宋体" w:hAnsi="宋体"/>
          <w:b/>
          <w:color w:val="auto"/>
          <w:sz w:val="24"/>
          <w:highlight w:val="none"/>
          <w:shd w:val="clear" w:color="auto" w:fill="auto"/>
        </w:rPr>
        <w:t>（五）错误修正</w:t>
      </w:r>
    </w:p>
    <w:p w14:paraId="447E3168">
      <w:pPr>
        <w:snapToGrid w:val="0"/>
        <w:spacing w:line="420" w:lineRule="exact"/>
        <w:ind w:firstLine="480" w:firstLineChars="200"/>
        <w:rPr>
          <w:rFonts w:ascii="宋体" w:hAnsi="宋体"/>
          <w:color w:val="auto"/>
          <w:sz w:val="24"/>
          <w:highlight w:val="none"/>
          <w:shd w:val="clear" w:color="auto" w:fill="auto"/>
        </w:rPr>
      </w:pPr>
      <w:r>
        <w:rPr>
          <w:rFonts w:hint="eastAsia" w:ascii="宋体" w:hAnsi="宋体"/>
          <w:color w:val="auto"/>
          <w:sz w:val="24"/>
          <w:highlight w:val="none"/>
          <w:shd w:val="clear" w:color="auto" w:fill="auto"/>
        </w:rPr>
        <w:t>投标文件报价出现前后不一致的，按照下列规定修正：</w:t>
      </w:r>
    </w:p>
    <w:p w14:paraId="290A98E3">
      <w:pPr>
        <w:numPr>
          <w:ilvl w:val="0"/>
          <w:numId w:val="3"/>
        </w:numPr>
        <w:snapToGrid w:val="0"/>
        <w:spacing w:line="420" w:lineRule="exact"/>
        <w:ind w:firstLine="480" w:firstLineChars="200"/>
        <w:rPr>
          <w:rFonts w:ascii="宋体" w:hAnsi="宋体"/>
          <w:color w:val="auto"/>
          <w:sz w:val="24"/>
          <w:highlight w:val="none"/>
          <w:shd w:val="clear" w:color="auto" w:fill="auto"/>
        </w:rPr>
      </w:pPr>
      <w:r>
        <w:rPr>
          <w:rFonts w:hint="eastAsia" w:ascii="宋体" w:hAnsi="宋体"/>
          <w:color w:val="auto"/>
          <w:sz w:val="24"/>
          <w:highlight w:val="none"/>
          <w:shd w:val="clear" w:color="auto" w:fill="auto"/>
        </w:rPr>
        <w:t>投标文件中开标一览表（报价表）内容与投标文件中相应内容不一致的，以开标一览表（报价表）为准</w:t>
      </w:r>
    </w:p>
    <w:p w14:paraId="3B8446C8">
      <w:pPr>
        <w:numPr>
          <w:ilvl w:val="0"/>
          <w:numId w:val="3"/>
        </w:numPr>
        <w:snapToGrid w:val="0"/>
        <w:spacing w:line="420" w:lineRule="exact"/>
        <w:ind w:firstLine="480" w:firstLineChars="200"/>
        <w:rPr>
          <w:rFonts w:ascii="宋体" w:hAnsi="宋体"/>
          <w:color w:val="auto"/>
          <w:sz w:val="24"/>
          <w:highlight w:val="none"/>
          <w:shd w:val="clear" w:color="auto" w:fill="auto"/>
        </w:rPr>
      </w:pPr>
      <w:r>
        <w:rPr>
          <w:rFonts w:hint="eastAsia" w:ascii="宋体" w:hAnsi="宋体"/>
          <w:color w:val="auto"/>
          <w:sz w:val="24"/>
          <w:highlight w:val="none"/>
          <w:shd w:val="clear" w:color="auto" w:fill="auto"/>
        </w:rPr>
        <w:t>大写金额和小写金额不一致的，以大写金额为准；</w:t>
      </w:r>
    </w:p>
    <w:p w14:paraId="13C649B5">
      <w:pPr>
        <w:snapToGrid w:val="0"/>
        <w:spacing w:line="420" w:lineRule="exact"/>
        <w:ind w:firstLine="480" w:firstLineChars="200"/>
        <w:rPr>
          <w:rFonts w:ascii="宋体" w:hAnsi="宋体"/>
          <w:color w:val="auto"/>
          <w:sz w:val="24"/>
          <w:highlight w:val="none"/>
          <w:shd w:val="clear" w:color="auto" w:fill="auto"/>
        </w:rPr>
      </w:pPr>
      <w:r>
        <w:rPr>
          <w:rFonts w:hint="eastAsia" w:ascii="宋体" w:hAnsi="宋体"/>
          <w:color w:val="auto"/>
          <w:sz w:val="24"/>
          <w:highlight w:val="none"/>
          <w:shd w:val="clear" w:color="auto" w:fill="auto"/>
        </w:rPr>
        <w:t>（三）单价金额小数点或者百分比有明显错位的，以开标一览表的总价为准，并修改单价；</w:t>
      </w:r>
    </w:p>
    <w:p w14:paraId="71EBC8FB">
      <w:pPr>
        <w:snapToGrid w:val="0"/>
        <w:spacing w:line="420" w:lineRule="exact"/>
        <w:ind w:firstLine="480" w:firstLineChars="200"/>
        <w:rPr>
          <w:rFonts w:ascii="宋体" w:hAnsi="宋体"/>
          <w:color w:val="auto"/>
          <w:sz w:val="24"/>
          <w:highlight w:val="none"/>
          <w:shd w:val="clear" w:color="auto" w:fill="auto"/>
        </w:rPr>
      </w:pPr>
      <w:r>
        <w:rPr>
          <w:rFonts w:hint="eastAsia" w:ascii="宋体" w:hAnsi="宋体"/>
          <w:color w:val="auto"/>
          <w:sz w:val="24"/>
          <w:highlight w:val="none"/>
          <w:shd w:val="clear" w:color="auto" w:fill="auto"/>
        </w:rPr>
        <w:t>（四）总价金额与按单价汇总金额不一致的，以单价金额计算结果为准。</w:t>
      </w:r>
    </w:p>
    <w:p w14:paraId="029BB51A">
      <w:pPr>
        <w:snapToGrid w:val="0"/>
        <w:spacing w:line="420" w:lineRule="exact"/>
        <w:ind w:firstLine="480" w:firstLineChars="200"/>
        <w:rPr>
          <w:rFonts w:ascii="宋体" w:hAnsi="宋体"/>
          <w:color w:val="auto"/>
          <w:sz w:val="24"/>
          <w:highlight w:val="none"/>
          <w:shd w:val="clear" w:color="auto" w:fill="auto"/>
        </w:rPr>
      </w:pPr>
      <w:r>
        <w:rPr>
          <w:rFonts w:hint="eastAsia" w:ascii="宋体" w:hAnsi="宋体"/>
          <w:color w:val="auto"/>
          <w:sz w:val="24"/>
          <w:highlight w:val="none"/>
          <w:shd w:val="clear" w:color="auto" w:fill="auto"/>
        </w:rPr>
        <w:t>（五）对不同文字文本投标文件的解释发生异议的，以中文文本为准。</w:t>
      </w:r>
    </w:p>
    <w:p w14:paraId="5F293A07">
      <w:pPr>
        <w:snapToGrid w:val="0"/>
        <w:spacing w:line="420" w:lineRule="exact"/>
        <w:ind w:firstLine="480" w:firstLineChars="200"/>
        <w:rPr>
          <w:rFonts w:ascii="宋体" w:hAnsi="宋体"/>
          <w:color w:val="auto"/>
          <w:sz w:val="24"/>
          <w:highlight w:val="none"/>
          <w:shd w:val="clear" w:color="auto" w:fill="auto"/>
        </w:rPr>
      </w:pPr>
      <w:r>
        <w:rPr>
          <w:rFonts w:hint="eastAsia" w:ascii="宋体" w:hAnsi="宋体"/>
          <w:color w:val="auto"/>
          <w:sz w:val="24"/>
          <w:highlight w:val="none"/>
          <w:shd w:val="clear" w:color="auto" w:fill="auto"/>
        </w:rPr>
        <w:t>同时出现两种以上不一致的，按照前款规定的顺序修正，修正后的报价经投标人同意并签字确认后，调整后的投标报价对投标人具有约束作用。如果投标人不接受修正后的报价，则其投标将作为无效投标处理。</w:t>
      </w:r>
    </w:p>
    <w:p w14:paraId="4711E5A9">
      <w:pPr>
        <w:pStyle w:val="32"/>
        <w:tabs>
          <w:tab w:val="left" w:pos="630"/>
        </w:tabs>
        <w:snapToGrid w:val="0"/>
        <w:spacing w:beforeLines="0" w:afterLines="0" w:line="420" w:lineRule="exact"/>
        <w:ind w:firstLine="241" w:firstLineChars="100"/>
        <w:rPr>
          <w:rFonts w:hAnsi="宋体"/>
          <w:b/>
          <w:color w:val="auto"/>
          <w:highlight w:val="none"/>
          <w:shd w:val="clear" w:color="auto" w:fill="auto"/>
        </w:rPr>
      </w:pPr>
      <w:r>
        <w:rPr>
          <w:rFonts w:hint="eastAsia" w:hAnsi="宋体"/>
          <w:b/>
          <w:color w:val="auto"/>
          <w:highlight w:val="none"/>
          <w:shd w:val="clear" w:color="auto" w:fill="auto"/>
        </w:rPr>
        <w:t>（六）评标原则和评标办法</w:t>
      </w:r>
    </w:p>
    <w:p w14:paraId="1AD55609">
      <w:pPr>
        <w:pStyle w:val="32"/>
        <w:snapToGrid w:val="0"/>
        <w:spacing w:beforeLines="0" w:afterLines="0" w:line="420" w:lineRule="exact"/>
        <w:ind w:firstLine="480" w:firstLineChars="200"/>
        <w:rPr>
          <w:rFonts w:hAnsi="宋体"/>
          <w:color w:val="auto"/>
          <w:highlight w:val="none"/>
          <w:shd w:val="clear" w:color="auto" w:fill="auto"/>
        </w:rPr>
      </w:pPr>
      <w:r>
        <w:rPr>
          <w:rFonts w:hint="eastAsia" w:hAnsi="宋体"/>
          <w:color w:val="auto"/>
          <w:highlight w:val="none"/>
          <w:shd w:val="clear" w:color="auto" w:fill="auto"/>
        </w:rPr>
        <w:t>1.评标原则。评标委员会必须公平、公正、客观，不带任何倾向性和启发性；不得向外界透露任何与评标有关的内容；任何单位和个人不得干扰、影响评标的正常进行；评标委员会及有关工作人员不得私下与投标人接触。</w:t>
      </w:r>
    </w:p>
    <w:p w14:paraId="3A9D9730">
      <w:pPr>
        <w:pStyle w:val="32"/>
        <w:snapToGrid w:val="0"/>
        <w:spacing w:beforeLines="0" w:afterLines="0" w:line="420" w:lineRule="exact"/>
        <w:ind w:firstLine="480" w:firstLineChars="200"/>
        <w:rPr>
          <w:rFonts w:hAnsi="宋体"/>
          <w:color w:val="auto"/>
          <w:highlight w:val="none"/>
          <w:shd w:val="clear" w:color="auto" w:fill="auto"/>
        </w:rPr>
      </w:pPr>
      <w:r>
        <w:rPr>
          <w:rFonts w:hint="eastAsia" w:hAnsi="宋体"/>
          <w:color w:val="auto"/>
          <w:highlight w:val="none"/>
          <w:shd w:val="clear" w:color="auto" w:fill="auto"/>
        </w:rPr>
        <w:t>2.评标办法。本项目评标办法是</w:t>
      </w:r>
      <w:r>
        <w:rPr>
          <w:rFonts w:hint="eastAsia" w:hAnsi="宋体"/>
          <w:b/>
          <w:color w:val="auto"/>
          <w:highlight w:val="none"/>
          <w:u w:val="single"/>
          <w:shd w:val="clear" w:color="auto" w:fill="auto"/>
        </w:rPr>
        <w:t>综合评分法</w:t>
      </w:r>
      <w:r>
        <w:rPr>
          <w:rFonts w:hint="eastAsia" w:hAnsi="宋体"/>
          <w:color w:val="auto"/>
          <w:highlight w:val="none"/>
          <w:shd w:val="clear" w:color="auto" w:fill="auto"/>
        </w:rPr>
        <w:t>，具体评标内容及评分标准等详见《第四章：评标办法及评分标准》。</w:t>
      </w:r>
    </w:p>
    <w:p w14:paraId="3718F92C">
      <w:pPr>
        <w:spacing w:line="420" w:lineRule="exact"/>
        <w:ind w:firstLine="482" w:firstLineChars="200"/>
        <w:rPr>
          <w:rFonts w:ascii="宋体" w:hAnsi="宋体"/>
          <w:b/>
          <w:color w:val="auto"/>
          <w:sz w:val="24"/>
          <w:highlight w:val="none"/>
          <w:shd w:val="clear" w:color="auto" w:fill="auto"/>
        </w:rPr>
      </w:pPr>
      <w:r>
        <w:rPr>
          <w:rFonts w:hint="eastAsia" w:ascii="宋体" w:hAnsi="宋体"/>
          <w:b/>
          <w:color w:val="auto"/>
          <w:sz w:val="24"/>
          <w:highlight w:val="none"/>
          <w:shd w:val="clear" w:color="auto" w:fill="auto"/>
        </w:rPr>
        <w:t>六、定标</w:t>
      </w:r>
    </w:p>
    <w:p w14:paraId="21EBCEB9">
      <w:pPr>
        <w:spacing w:line="420" w:lineRule="exact"/>
        <w:ind w:firstLine="482" w:firstLineChars="200"/>
        <w:rPr>
          <w:rFonts w:ascii="宋体" w:hAnsi="宋体"/>
          <w:b/>
          <w:color w:val="auto"/>
          <w:sz w:val="24"/>
          <w:highlight w:val="none"/>
          <w:shd w:val="clear" w:color="auto" w:fill="auto"/>
        </w:rPr>
      </w:pPr>
      <w:r>
        <w:rPr>
          <w:rFonts w:hint="eastAsia" w:ascii="宋体" w:hAnsi="宋体"/>
          <w:b/>
          <w:color w:val="auto"/>
          <w:sz w:val="24"/>
          <w:highlight w:val="none"/>
          <w:shd w:val="clear" w:color="auto" w:fill="auto"/>
        </w:rPr>
        <w:t>（一）确定中标人</w:t>
      </w:r>
    </w:p>
    <w:p w14:paraId="0F60C5F9">
      <w:pPr>
        <w:spacing w:line="420" w:lineRule="exact"/>
        <w:ind w:firstLine="480" w:firstLineChars="200"/>
        <w:rPr>
          <w:rFonts w:ascii="宋体" w:hAnsi="宋体"/>
          <w:b/>
          <w:bCs/>
          <w:color w:val="auto"/>
          <w:sz w:val="24"/>
          <w:highlight w:val="none"/>
          <w:shd w:val="clear" w:color="auto" w:fill="auto"/>
        </w:rPr>
      </w:pPr>
      <w:r>
        <w:rPr>
          <w:rFonts w:hint="eastAsia" w:ascii="宋体" w:hAnsi="宋体"/>
          <w:bCs/>
          <w:color w:val="auto"/>
          <w:sz w:val="24"/>
          <w:highlight w:val="none"/>
          <w:shd w:val="clear" w:color="auto" w:fill="auto"/>
        </w:rPr>
        <w:t>1.招标人在评标结束后2</w:t>
      </w:r>
      <w:r>
        <w:rPr>
          <w:rFonts w:hint="eastAsia" w:ascii="宋体" w:hAnsi="宋体"/>
          <w:color w:val="auto"/>
          <w:sz w:val="24"/>
          <w:highlight w:val="none"/>
          <w:shd w:val="clear" w:color="auto" w:fill="auto"/>
        </w:rPr>
        <w:t>个工作日内将评标报告交招标人确认</w:t>
      </w:r>
      <w:r>
        <w:rPr>
          <w:rFonts w:hint="eastAsia" w:ascii="宋体" w:hAnsi="宋体"/>
          <w:b/>
          <w:bCs/>
          <w:color w:val="auto"/>
          <w:sz w:val="24"/>
          <w:highlight w:val="none"/>
          <w:shd w:val="clear" w:color="auto" w:fill="auto"/>
        </w:rPr>
        <w:t>，</w:t>
      </w:r>
      <w:r>
        <w:rPr>
          <w:rFonts w:hint="eastAsia" w:ascii="宋体" w:hAnsi="宋体"/>
          <w:color w:val="auto"/>
          <w:sz w:val="24"/>
          <w:highlight w:val="none"/>
          <w:shd w:val="clear" w:color="auto" w:fill="auto"/>
        </w:rPr>
        <w:t>招标人应在收到评标报告后5个工作日内对评标结果进行确认。如有投标人对评标结果提出质疑的，招标人可在质疑处理完毕后确定中标人。</w:t>
      </w:r>
    </w:p>
    <w:p w14:paraId="2AED7D8A">
      <w:pPr>
        <w:snapToGrid w:val="0"/>
        <w:spacing w:line="42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2.中标候选人公示：开标结束后2日内，招标人（代理机构）发布中标候选人公示，公示期不得少于1个工作日。发出中标候选人公示期满无异议和投诉的，招标人（代理机构）2日内在网上发布中标结果公告，同时发出中标通知书。</w:t>
      </w:r>
    </w:p>
    <w:p w14:paraId="2EB9D3A3">
      <w:pPr>
        <w:snapToGrid w:val="0"/>
        <w:spacing w:line="420" w:lineRule="exact"/>
        <w:ind w:firstLine="480" w:firstLineChars="200"/>
        <w:rPr>
          <w:rFonts w:ascii="宋体" w:hAnsi="宋体"/>
          <w:b/>
          <w:bCs/>
          <w:color w:val="auto"/>
          <w:sz w:val="24"/>
          <w:highlight w:val="none"/>
          <w:u w:val="single"/>
          <w:shd w:val="clear" w:color="auto" w:fill="auto"/>
        </w:rPr>
      </w:pPr>
      <w:r>
        <w:rPr>
          <w:rFonts w:hint="eastAsia" w:ascii="宋体" w:hAnsi="宋体"/>
          <w:color w:val="auto"/>
          <w:sz w:val="24"/>
          <w:highlight w:val="none"/>
          <w:shd w:val="clear" w:color="auto" w:fill="auto"/>
          <w:lang w:val="en-US" w:eastAsia="zh-CN"/>
        </w:rPr>
        <w:t>3</w:t>
      </w:r>
      <w:r>
        <w:rPr>
          <w:rFonts w:hint="eastAsia" w:ascii="宋体" w:hAnsi="宋体"/>
          <w:color w:val="auto"/>
          <w:sz w:val="24"/>
          <w:highlight w:val="none"/>
          <w:shd w:val="clear" w:color="auto" w:fill="auto"/>
        </w:rPr>
        <w:t>.招标人依法确定中标人后2个工作日内，招标人以书面形式发出《中标通知书》,并同时在采购公告发布的网站上发布成交结果公告。</w:t>
      </w:r>
      <w:r>
        <w:rPr>
          <w:rFonts w:hint="eastAsia" w:ascii="宋体" w:hAnsi="宋体"/>
          <w:b/>
          <w:bCs/>
          <w:color w:val="auto"/>
          <w:sz w:val="24"/>
          <w:highlight w:val="none"/>
          <w:u w:val="single"/>
          <w:shd w:val="clear" w:color="auto" w:fill="auto"/>
        </w:rPr>
        <w:t>成交结果公告期间,投标人不得通过非正当途径，更不得通过非正当手段获取法律法规规定评标委员会(包括其他相关人员)应当保密的相关内容。即使由此获得资料并作为向招标人（代理机构）或有权受理非政府采购项目的监督管理机构提出异议、质疑、投诉或法院起诉的依据，均属于非法获取的依据。</w:t>
      </w:r>
    </w:p>
    <w:p w14:paraId="4681A2C5">
      <w:pPr>
        <w:snapToGrid w:val="0"/>
        <w:spacing w:line="420" w:lineRule="exact"/>
        <w:ind w:firstLine="480" w:firstLineChars="200"/>
        <w:rPr>
          <w:rFonts w:ascii="宋体" w:hAnsi="宋体"/>
          <w:color w:val="auto"/>
          <w:sz w:val="24"/>
          <w:highlight w:val="none"/>
          <w:shd w:val="clear" w:color="auto" w:fill="auto"/>
        </w:rPr>
      </w:pPr>
      <w:r>
        <w:rPr>
          <w:rFonts w:hint="eastAsia" w:ascii="宋体" w:hAnsi="宋体"/>
          <w:color w:val="auto"/>
          <w:sz w:val="24"/>
          <w:highlight w:val="none"/>
          <w:shd w:val="clear" w:color="auto" w:fill="auto"/>
          <w:lang w:val="en-US" w:eastAsia="zh-CN"/>
        </w:rPr>
        <w:t>4</w:t>
      </w:r>
      <w:r>
        <w:rPr>
          <w:rFonts w:hint="eastAsia" w:ascii="宋体" w:hAnsi="宋体"/>
          <w:color w:val="auto"/>
          <w:sz w:val="24"/>
          <w:highlight w:val="none"/>
          <w:shd w:val="clear" w:color="auto" w:fill="auto"/>
        </w:rPr>
        <w:t>.定标中，应坚持第一中标候选人为首选中标人，但出现其它原因的，招标人可以确定排名第二的候选人为中标人，</w:t>
      </w:r>
      <w:r>
        <w:rPr>
          <w:rFonts w:hint="eastAsia" w:ascii="宋体" w:hAnsi="宋体"/>
          <w:b/>
          <w:color w:val="auto"/>
          <w:sz w:val="24"/>
          <w:highlight w:val="none"/>
          <w:shd w:val="clear" w:color="auto" w:fill="auto"/>
        </w:rPr>
        <w:t>或重新组织招标。</w:t>
      </w:r>
      <w:bookmarkStart w:id="33" w:name="_Hlk59369379"/>
      <w:r>
        <w:rPr>
          <w:rFonts w:hint="eastAsia" w:ascii="宋体" w:hAnsi="宋体"/>
          <w:color w:val="auto"/>
          <w:sz w:val="24"/>
          <w:highlight w:val="none"/>
          <w:shd w:val="clear" w:color="auto" w:fill="auto"/>
        </w:rPr>
        <w:t xml:space="preserve"> </w:t>
      </w:r>
    </w:p>
    <w:p w14:paraId="485B8146">
      <w:pPr>
        <w:snapToGrid w:val="0"/>
        <w:spacing w:line="420" w:lineRule="exact"/>
        <w:ind w:firstLine="482" w:firstLineChars="200"/>
        <w:rPr>
          <w:rFonts w:ascii="宋体" w:hAnsi="宋体"/>
          <w:b/>
          <w:color w:val="auto"/>
          <w:sz w:val="24"/>
          <w:highlight w:val="none"/>
          <w:shd w:val="clear" w:color="auto" w:fill="auto"/>
        </w:rPr>
      </w:pPr>
      <w:r>
        <w:rPr>
          <w:rFonts w:hint="eastAsia" w:ascii="宋体" w:hAnsi="宋体"/>
          <w:b/>
          <w:color w:val="auto"/>
          <w:sz w:val="24"/>
          <w:highlight w:val="none"/>
          <w:shd w:val="clear" w:color="auto" w:fill="auto"/>
          <w:lang w:val="en-US" w:eastAsia="zh-CN"/>
        </w:rPr>
        <w:t>5</w:t>
      </w:r>
      <w:r>
        <w:rPr>
          <w:rFonts w:hint="eastAsia" w:ascii="宋体" w:hAnsi="宋体"/>
          <w:b/>
          <w:color w:val="auto"/>
          <w:sz w:val="24"/>
          <w:highlight w:val="none"/>
          <w:shd w:val="clear" w:color="auto" w:fill="auto"/>
        </w:rPr>
        <w:t>.</w:t>
      </w:r>
      <w:r>
        <w:rPr>
          <w:rFonts w:hint="eastAsia"/>
          <w:color w:val="auto"/>
          <w:highlight w:val="none"/>
          <w:shd w:val="clear" w:color="auto" w:fill="auto"/>
        </w:rPr>
        <w:t xml:space="preserve"> </w:t>
      </w:r>
      <w:r>
        <w:rPr>
          <w:rFonts w:hint="eastAsia" w:ascii="宋体" w:hAnsi="宋体"/>
          <w:b/>
          <w:color w:val="auto"/>
          <w:sz w:val="24"/>
          <w:highlight w:val="none"/>
          <w:shd w:val="clear" w:color="auto" w:fill="auto"/>
        </w:rPr>
        <w:t>本项目为非政府采购项目，如中标通知书发出后，中标人放弃中标项目的，参照《政府采购法》第四十六条之规定，应当依法承担法律责任。</w:t>
      </w:r>
    </w:p>
    <w:p w14:paraId="66716585">
      <w:pPr>
        <w:snapToGrid w:val="0"/>
        <w:spacing w:line="420" w:lineRule="exact"/>
        <w:rPr>
          <w:rFonts w:ascii="宋体" w:hAnsi="宋体"/>
          <w:b/>
          <w:color w:val="auto"/>
          <w:sz w:val="24"/>
          <w:highlight w:val="none"/>
          <w:shd w:val="clear" w:color="auto" w:fill="auto"/>
        </w:rPr>
      </w:pPr>
      <w:r>
        <w:rPr>
          <w:rFonts w:hint="eastAsia" w:ascii="宋体" w:hAnsi="宋体"/>
          <w:b/>
          <w:color w:val="auto"/>
          <w:sz w:val="24"/>
          <w:highlight w:val="none"/>
          <w:shd w:val="clear" w:color="auto" w:fill="auto"/>
        </w:rPr>
        <w:t>本采购文件明确：如给招标人造成损失的，弃标供应商依法应当承担赔偿责任，包括重新采购所需的费用、顺延第二名可能产生的差价等。招标人可以采取不予退还弃标供应商的履约保证金等方式，若上述不足以赔偿损失的，招标人可以要求弃标供应商赔偿实际损失。若协商不成的，招标人可以通过法院诉讼的方式追偿。</w:t>
      </w:r>
    </w:p>
    <w:p w14:paraId="6075F53B">
      <w:pPr>
        <w:snapToGrid w:val="0"/>
        <w:spacing w:line="420" w:lineRule="exact"/>
        <w:ind w:firstLine="480" w:firstLineChars="200"/>
        <w:rPr>
          <w:rFonts w:ascii="宋体" w:hAnsi="宋体"/>
          <w:color w:val="auto"/>
          <w:sz w:val="24"/>
          <w:highlight w:val="none"/>
          <w:shd w:val="clear" w:color="auto" w:fill="auto"/>
        </w:rPr>
      </w:pPr>
      <w:r>
        <w:rPr>
          <w:rFonts w:hint="eastAsia" w:ascii="宋体" w:hAnsi="宋体"/>
          <w:color w:val="auto"/>
          <w:sz w:val="24"/>
          <w:highlight w:val="none"/>
          <w:shd w:val="clear" w:color="auto" w:fill="auto"/>
          <w:lang w:val="en-US" w:eastAsia="zh-CN"/>
        </w:rPr>
        <w:t>6</w:t>
      </w:r>
      <w:r>
        <w:rPr>
          <w:rFonts w:hint="eastAsia" w:ascii="宋体" w:hAnsi="宋体"/>
          <w:color w:val="auto"/>
          <w:sz w:val="24"/>
          <w:highlight w:val="none"/>
          <w:shd w:val="clear" w:color="auto" w:fill="auto"/>
        </w:rPr>
        <w:t>.</w:t>
      </w:r>
      <w:r>
        <w:rPr>
          <w:rFonts w:hint="eastAsia" w:ascii="宋体" w:hAnsi="宋体"/>
          <w:b/>
          <w:bCs/>
          <w:color w:val="auto"/>
          <w:sz w:val="24"/>
          <w:highlight w:val="none"/>
          <w:u w:val="single"/>
          <w:shd w:val="clear" w:color="auto" w:fill="auto"/>
        </w:rPr>
        <w:t>为营造更优质的营商环境，</w:t>
      </w:r>
      <w:bookmarkStart w:id="34" w:name="_Hlk59708763"/>
      <w:r>
        <w:rPr>
          <w:rFonts w:hint="eastAsia" w:ascii="宋体" w:hAnsi="宋体"/>
          <w:b/>
          <w:bCs/>
          <w:color w:val="auto"/>
          <w:sz w:val="24"/>
          <w:highlight w:val="none"/>
          <w:u w:val="single"/>
          <w:shd w:val="clear" w:color="auto" w:fill="auto"/>
        </w:rPr>
        <w:t>中标人可选择代理机构以邮寄方式向其寄达《中标通知书》（邮寄地址、收件人等信息请在“投标函”中详细写明，邮费可到付）。</w:t>
      </w:r>
      <w:bookmarkEnd w:id="34"/>
      <w:bookmarkStart w:id="35" w:name="_Hlk59708451"/>
      <w:r>
        <w:rPr>
          <w:rFonts w:hint="eastAsia" w:ascii="宋体" w:hAnsi="宋体"/>
          <w:b/>
          <w:bCs/>
          <w:color w:val="auto"/>
          <w:sz w:val="24"/>
          <w:highlight w:val="none"/>
          <w:u w:val="single"/>
          <w:shd w:val="clear" w:color="auto" w:fill="auto"/>
        </w:rPr>
        <w:t>同时中标人应在中标后</w:t>
      </w:r>
      <w:bookmarkStart w:id="36" w:name="_Hlk59521069"/>
      <w:r>
        <w:rPr>
          <w:rFonts w:hint="eastAsia" w:ascii="宋体" w:hAnsi="宋体"/>
          <w:b/>
          <w:bCs/>
          <w:color w:val="auto"/>
          <w:sz w:val="24"/>
          <w:highlight w:val="none"/>
          <w:u w:val="single"/>
          <w:shd w:val="clear" w:color="auto" w:fill="auto"/>
        </w:rPr>
        <w:t>以邮寄</w:t>
      </w:r>
      <w:bookmarkEnd w:id="36"/>
      <w:r>
        <w:rPr>
          <w:rFonts w:hint="eastAsia" w:ascii="宋体" w:hAnsi="宋体"/>
          <w:b/>
          <w:bCs/>
          <w:color w:val="auto"/>
          <w:sz w:val="24"/>
          <w:highlight w:val="none"/>
          <w:u w:val="single"/>
          <w:shd w:val="clear" w:color="auto" w:fill="auto"/>
        </w:rPr>
        <w:t>或其他方式向代理机构提供</w:t>
      </w:r>
      <w:r>
        <w:rPr>
          <w:rFonts w:ascii="宋体" w:hAnsi="宋体"/>
          <w:b/>
          <w:bCs/>
          <w:color w:val="auto"/>
          <w:sz w:val="24"/>
          <w:highlight w:val="none"/>
          <w:u w:val="single"/>
          <w:shd w:val="clear" w:color="auto" w:fill="auto"/>
        </w:rPr>
        <w:t>3</w:t>
      </w:r>
      <w:r>
        <w:rPr>
          <w:rFonts w:hint="eastAsia" w:ascii="宋体" w:hAnsi="宋体"/>
          <w:b/>
          <w:bCs/>
          <w:color w:val="auto"/>
          <w:sz w:val="24"/>
          <w:highlight w:val="none"/>
          <w:u w:val="single"/>
          <w:shd w:val="clear" w:color="auto" w:fill="auto"/>
        </w:rPr>
        <w:t>套与电子版投标文件相同的胶装版本投标文件。</w:t>
      </w:r>
      <w:bookmarkEnd w:id="33"/>
      <w:bookmarkEnd w:id="35"/>
    </w:p>
    <w:p w14:paraId="663B1869">
      <w:pPr>
        <w:spacing w:line="420" w:lineRule="exact"/>
        <w:ind w:firstLine="482" w:firstLineChars="200"/>
        <w:rPr>
          <w:rFonts w:ascii="宋体" w:hAnsi="宋体"/>
          <w:b/>
          <w:color w:val="auto"/>
          <w:sz w:val="24"/>
          <w:highlight w:val="none"/>
          <w:shd w:val="clear" w:color="auto" w:fill="auto"/>
        </w:rPr>
      </w:pPr>
      <w:r>
        <w:rPr>
          <w:rFonts w:hint="eastAsia" w:ascii="宋体" w:hAnsi="宋体"/>
          <w:b/>
          <w:color w:val="auto"/>
          <w:sz w:val="24"/>
          <w:highlight w:val="none"/>
          <w:shd w:val="clear" w:color="auto" w:fill="auto"/>
        </w:rPr>
        <w:t>七、合同授予</w:t>
      </w:r>
    </w:p>
    <w:p w14:paraId="7BC807D5">
      <w:pPr>
        <w:snapToGrid w:val="0"/>
        <w:spacing w:line="420" w:lineRule="exact"/>
        <w:ind w:firstLine="472" w:firstLineChars="196"/>
        <w:rPr>
          <w:rFonts w:ascii="宋体" w:hAnsi="宋体"/>
          <w:b/>
          <w:bCs/>
          <w:color w:val="auto"/>
          <w:sz w:val="24"/>
          <w:highlight w:val="none"/>
          <w:shd w:val="clear" w:color="auto" w:fill="auto"/>
        </w:rPr>
      </w:pPr>
      <w:r>
        <w:rPr>
          <w:rFonts w:hint="eastAsia" w:ascii="宋体" w:hAnsi="宋体"/>
          <w:b/>
          <w:bCs/>
          <w:color w:val="auto"/>
          <w:sz w:val="24"/>
          <w:highlight w:val="none"/>
          <w:shd w:val="clear" w:color="auto" w:fill="auto"/>
        </w:rPr>
        <w:t>（一）签订合同</w:t>
      </w:r>
    </w:p>
    <w:p w14:paraId="614C572F">
      <w:pPr>
        <w:snapToGrid w:val="0"/>
        <w:spacing w:line="420" w:lineRule="exact"/>
        <w:ind w:firstLine="480" w:firstLineChars="200"/>
        <w:rPr>
          <w:rFonts w:ascii="宋体" w:hAnsi="宋体"/>
          <w:color w:val="auto"/>
          <w:sz w:val="24"/>
          <w:highlight w:val="none"/>
          <w:shd w:val="clear" w:color="auto" w:fill="auto"/>
        </w:rPr>
      </w:pPr>
      <w:r>
        <w:rPr>
          <w:rFonts w:hint="eastAsia" w:ascii="宋体" w:hAnsi="宋体"/>
          <w:color w:val="auto"/>
          <w:sz w:val="24"/>
          <w:highlight w:val="none"/>
          <w:shd w:val="clear" w:color="auto" w:fill="auto"/>
        </w:rPr>
        <w:t>1.招标人与中标</w:t>
      </w:r>
      <w:r>
        <w:rPr>
          <w:rFonts w:hint="eastAsia" w:ascii="宋体" w:hAnsi="宋体"/>
          <w:b/>
          <w:color w:val="auto"/>
          <w:sz w:val="24"/>
          <w:highlight w:val="none"/>
          <w:shd w:val="clear" w:color="auto" w:fill="auto"/>
        </w:rPr>
        <w:t>人应当在《中标通知书》发出之日起30日内签订采购合同，</w:t>
      </w:r>
      <w:r>
        <w:rPr>
          <w:rFonts w:hint="eastAsia" w:ascii="宋体" w:hAnsi="宋体"/>
          <w:color w:val="auto"/>
          <w:sz w:val="24"/>
          <w:highlight w:val="none"/>
          <w:shd w:val="clear" w:color="auto" w:fill="auto"/>
        </w:rPr>
        <w:t>并且在同一时间送至代理机构见证盖章（合同一式不少于六份，招标人与中标人各执二份，</w:t>
      </w:r>
      <w:bookmarkStart w:id="37" w:name="_Hlk59626706"/>
      <w:r>
        <w:rPr>
          <w:rFonts w:hint="eastAsia" w:ascii="宋体" w:hAnsi="宋体"/>
          <w:color w:val="auto"/>
          <w:sz w:val="24"/>
          <w:highlight w:val="none"/>
          <w:shd w:val="clear" w:color="auto" w:fill="auto"/>
        </w:rPr>
        <w:t>代理机构</w:t>
      </w:r>
      <w:bookmarkEnd w:id="37"/>
      <w:r>
        <w:rPr>
          <w:rFonts w:hint="eastAsia" w:ascii="宋体" w:hAnsi="宋体"/>
          <w:color w:val="auto"/>
          <w:sz w:val="24"/>
          <w:highlight w:val="none"/>
          <w:shd w:val="clear" w:color="auto" w:fill="auto"/>
        </w:rPr>
        <w:t>留存二份），招标人对合同内容进行审查，如发现与采购结果和投标承诺内容不一致的，予以纠正。</w:t>
      </w:r>
      <w:r>
        <w:rPr>
          <w:rFonts w:hint="eastAsia" w:ascii="宋体" w:hAnsi="宋体"/>
          <w:b/>
          <w:bCs/>
          <w:color w:val="auto"/>
          <w:sz w:val="24"/>
          <w:highlight w:val="none"/>
          <w:u w:val="single"/>
          <w:shd w:val="clear" w:color="auto" w:fill="auto"/>
        </w:rPr>
        <w:t>为营造更优质的营商环境，</w:t>
      </w:r>
      <w:bookmarkStart w:id="38" w:name="_Hlk59627623"/>
      <w:r>
        <w:rPr>
          <w:rFonts w:hint="eastAsia" w:ascii="宋体" w:hAnsi="宋体"/>
          <w:b/>
          <w:bCs/>
          <w:color w:val="auto"/>
          <w:sz w:val="24"/>
          <w:highlight w:val="none"/>
          <w:u w:val="single"/>
          <w:shd w:val="clear" w:color="auto" w:fill="auto"/>
        </w:rPr>
        <w:t>中标人可选择代理机构以邮寄方式向其寄达</w:t>
      </w:r>
      <w:bookmarkStart w:id="39" w:name="_Hlk59708805"/>
      <w:r>
        <w:rPr>
          <w:rFonts w:hint="eastAsia" w:ascii="宋体" w:hAnsi="宋体"/>
          <w:b/>
          <w:bCs/>
          <w:color w:val="auto"/>
          <w:sz w:val="24"/>
          <w:highlight w:val="none"/>
          <w:u w:val="single"/>
          <w:shd w:val="clear" w:color="auto" w:fill="auto"/>
        </w:rPr>
        <w:t>《采购合同》</w:t>
      </w:r>
      <w:bookmarkEnd w:id="39"/>
      <w:r>
        <w:rPr>
          <w:rFonts w:hint="eastAsia" w:ascii="宋体" w:hAnsi="宋体"/>
          <w:b/>
          <w:bCs/>
          <w:color w:val="auto"/>
          <w:sz w:val="24"/>
          <w:highlight w:val="none"/>
          <w:u w:val="single"/>
          <w:shd w:val="clear" w:color="auto" w:fill="auto"/>
        </w:rPr>
        <w:t>。</w:t>
      </w:r>
    </w:p>
    <w:bookmarkEnd w:id="38"/>
    <w:p w14:paraId="1F3C943A">
      <w:pPr>
        <w:spacing w:line="420" w:lineRule="exact"/>
        <w:ind w:firstLine="480" w:firstLineChars="200"/>
        <w:rPr>
          <w:rFonts w:ascii="宋体" w:hAnsi="宋体"/>
          <w:bCs/>
          <w:color w:val="auto"/>
          <w:sz w:val="24"/>
          <w:highlight w:val="none"/>
          <w:shd w:val="clear" w:color="auto" w:fill="auto"/>
        </w:rPr>
      </w:pPr>
      <w:r>
        <w:rPr>
          <w:rFonts w:hint="eastAsia" w:ascii="宋体" w:hAnsi="宋体"/>
          <w:color w:val="auto"/>
          <w:sz w:val="24"/>
          <w:highlight w:val="none"/>
          <w:shd w:val="clear" w:color="auto" w:fill="auto"/>
        </w:rPr>
        <w:t>2.中标或者成交人拒绝与招标人签订合同的，招标人可以按照评审报告推荐的中标或者成交候选人名单排序，确定下一候选人为中标或者成交人，也可</w:t>
      </w:r>
      <w:r>
        <w:rPr>
          <w:rFonts w:hint="eastAsia" w:ascii="宋体" w:hAnsi="宋体"/>
          <w:bCs/>
          <w:color w:val="auto"/>
          <w:sz w:val="24"/>
          <w:highlight w:val="none"/>
          <w:shd w:val="clear" w:color="auto" w:fill="auto"/>
        </w:rPr>
        <w:t>以重新开展采购活动。拒绝签订采购合同的成交人不得参加对该项目重新开展的采购活动。</w:t>
      </w:r>
    </w:p>
    <w:p w14:paraId="3839B0A1">
      <w:pPr>
        <w:spacing w:line="420" w:lineRule="exact"/>
        <w:ind w:firstLine="482" w:firstLineChars="200"/>
        <w:rPr>
          <w:rFonts w:ascii="宋体" w:hAnsi="宋体"/>
          <w:b/>
          <w:color w:val="auto"/>
          <w:sz w:val="24"/>
          <w:highlight w:val="none"/>
          <w:shd w:val="clear" w:color="auto" w:fill="auto"/>
        </w:rPr>
      </w:pPr>
      <w:r>
        <w:rPr>
          <w:rFonts w:hint="eastAsia" w:ascii="宋体" w:hAnsi="宋体"/>
          <w:b/>
          <w:color w:val="auto"/>
          <w:sz w:val="24"/>
          <w:highlight w:val="none"/>
          <w:shd w:val="clear" w:color="auto" w:fill="auto"/>
        </w:rPr>
        <w:t>（二）履约保证金</w:t>
      </w:r>
    </w:p>
    <w:p w14:paraId="086606CD">
      <w:pPr>
        <w:pStyle w:val="51"/>
        <w:rPr>
          <w:color w:val="auto"/>
          <w:highlight w:val="none"/>
        </w:rPr>
      </w:pPr>
      <w:r>
        <w:rPr>
          <w:rFonts w:hint="eastAsia"/>
          <w:color w:val="auto"/>
          <w:sz w:val="24"/>
          <w:highlight w:val="none"/>
          <w:shd w:val="clear" w:color="auto" w:fill="auto"/>
        </w:rPr>
        <w:t>签订合同后，如中标人不按双方合同约定履约，则其履约保证金将予以扣罚，履约保证金不足以赔偿损失的，按实际损失赔偿。</w:t>
      </w:r>
    </w:p>
    <w:p w14:paraId="4EDF9E19">
      <w:pPr>
        <w:spacing w:beforeLines="50" w:afterLines="50" w:line="420" w:lineRule="exact"/>
        <w:jc w:val="center"/>
        <w:outlineLvl w:val="0"/>
        <w:rPr>
          <w:rFonts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br w:type="page"/>
      </w:r>
    </w:p>
    <w:bookmarkEnd w:id="13"/>
    <w:p w14:paraId="112204A6">
      <w:pPr>
        <w:spacing w:beforeLines="50" w:afterLines="50" w:line="400" w:lineRule="exact"/>
        <w:jc w:val="center"/>
        <w:outlineLvl w:val="0"/>
        <w:rPr>
          <w:rFonts w:asciiTheme="minorEastAsia" w:hAnsiTheme="minorEastAsia" w:eastAsiaTheme="minorEastAsia" w:cstheme="minorEastAsia"/>
          <w:b/>
          <w:color w:val="auto"/>
          <w:sz w:val="30"/>
          <w:szCs w:val="30"/>
          <w:highlight w:val="none"/>
        </w:rPr>
      </w:pPr>
      <w:bookmarkStart w:id="40" w:name="_Toc10393"/>
      <w:bookmarkStart w:id="41" w:name="_Toc25225"/>
      <w:bookmarkStart w:id="42" w:name="_Toc12005"/>
      <w:r>
        <w:rPr>
          <w:rFonts w:hint="eastAsia" w:asciiTheme="minorEastAsia" w:hAnsiTheme="minorEastAsia" w:eastAsiaTheme="minorEastAsia" w:cstheme="minorEastAsia"/>
          <w:b/>
          <w:color w:val="auto"/>
          <w:sz w:val="30"/>
          <w:szCs w:val="30"/>
          <w:highlight w:val="none"/>
        </w:rPr>
        <w:t>第四章评标办法及评分标准</w:t>
      </w:r>
      <w:bookmarkEnd w:id="40"/>
      <w:bookmarkEnd w:id="41"/>
    </w:p>
    <w:p w14:paraId="14B4AFFA">
      <w:pPr>
        <w:spacing w:beforeLines="50" w:afterLines="50" w:line="360" w:lineRule="auto"/>
        <w:ind w:firstLine="42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为公正、公平、科学地选择中标人，本项目参照执行《中华人民共和国政府采购法》等有关法律法规的规定，并结合本项目的实际，制定本办法。</w:t>
      </w:r>
    </w:p>
    <w:p w14:paraId="5E6345BD">
      <w:pPr>
        <w:spacing w:beforeLines="50" w:afterLines="50" w:line="360" w:lineRule="auto"/>
        <w:ind w:firstLine="420"/>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color w:val="auto"/>
          <w:sz w:val="24"/>
          <w:highlight w:val="none"/>
        </w:rPr>
        <w:t>本办法适用于本项目的</w:t>
      </w:r>
      <w:r>
        <w:rPr>
          <w:rFonts w:hint="eastAsia" w:asciiTheme="minorEastAsia" w:hAnsiTheme="minorEastAsia" w:eastAsiaTheme="minorEastAsia" w:cstheme="minorEastAsia"/>
          <w:bCs/>
          <w:color w:val="auto"/>
          <w:sz w:val="24"/>
          <w:highlight w:val="none"/>
        </w:rPr>
        <w:t>评标。</w:t>
      </w:r>
    </w:p>
    <w:p w14:paraId="58B5B62F">
      <w:pPr>
        <w:spacing w:beforeLines="50" w:afterLines="50" w:line="360" w:lineRule="auto"/>
        <w:ind w:firstLine="472" w:firstLineChars="196"/>
        <w:rPr>
          <w:rFonts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一、总则</w:t>
      </w:r>
    </w:p>
    <w:p w14:paraId="777D6F5D">
      <w:pPr>
        <w:spacing w:beforeLines="50" w:afterLines="50" w:line="360" w:lineRule="auto"/>
        <w:ind w:firstLine="480" w:firstLineChars="200"/>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color w:val="auto"/>
          <w:sz w:val="24"/>
          <w:highlight w:val="none"/>
        </w:rPr>
        <w:t>本次评标采用综合评分法，总分为100分，</w:t>
      </w:r>
      <w:r>
        <w:rPr>
          <w:rFonts w:hint="eastAsia" w:asciiTheme="minorEastAsia" w:hAnsiTheme="minorEastAsia" w:eastAsiaTheme="minorEastAsia" w:cstheme="minorEastAsia"/>
          <w:color w:val="auto"/>
          <w:sz w:val="24"/>
          <w:highlight w:val="none"/>
        </w:rPr>
        <w:t>其中</w:t>
      </w:r>
      <w:r>
        <w:rPr>
          <w:rFonts w:hint="eastAsia" w:asciiTheme="minorEastAsia" w:hAnsiTheme="minorEastAsia" w:eastAsiaTheme="minorEastAsia" w:cstheme="minorEastAsia"/>
          <w:b/>
          <w:bCs/>
          <w:color w:val="auto"/>
          <w:sz w:val="24"/>
          <w:highlight w:val="none"/>
        </w:rPr>
        <w:t>价格分</w:t>
      </w:r>
      <w:r>
        <w:rPr>
          <w:rFonts w:hint="eastAsia" w:asciiTheme="minorEastAsia" w:hAnsiTheme="minorEastAsia" w:eastAsiaTheme="minorEastAsia" w:cstheme="minorEastAsia"/>
          <w:b/>
          <w:bCs/>
          <w:color w:val="auto"/>
          <w:sz w:val="24"/>
          <w:highlight w:val="none"/>
          <w:lang w:val="en-US" w:eastAsia="zh-CN"/>
        </w:rPr>
        <w:t>2</w:t>
      </w:r>
      <w:r>
        <w:rPr>
          <w:rFonts w:hint="eastAsia" w:asciiTheme="minorEastAsia" w:hAnsiTheme="minorEastAsia" w:eastAsiaTheme="minorEastAsia" w:cstheme="minorEastAsia"/>
          <w:b/>
          <w:bCs/>
          <w:color w:val="auto"/>
          <w:sz w:val="24"/>
          <w:highlight w:val="none"/>
        </w:rPr>
        <w:t>0分、商务技术分</w:t>
      </w:r>
      <w:r>
        <w:rPr>
          <w:rFonts w:hint="eastAsia" w:asciiTheme="minorEastAsia" w:hAnsiTheme="minorEastAsia" w:eastAsiaTheme="minorEastAsia" w:cstheme="minorEastAsia"/>
          <w:b/>
          <w:bCs/>
          <w:color w:val="auto"/>
          <w:sz w:val="24"/>
          <w:highlight w:val="none"/>
          <w:lang w:val="en-US" w:eastAsia="zh-CN"/>
        </w:rPr>
        <w:t>8</w:t>
      </w:r>
      <w:r>
        <w:rPr>
          <w:rFonts w:hint="eastAsia" w:asciiTheme="minorEastAsia" w:hAnsiTheme="minorEastAsia" w:eastAsiaTheme="minorEastAsia" w:cstheme="minorEastAsia"/>
          <w:b/>
          <w:bCs/>
          <w:color w:val="auto"/>
          <w:sz w:val="24"/>
          <w:highlight w:val="none"/>
        </w:rPr>
        <w:t>0</w:t>
      </w:r>
      <w:r>
        <w:rPr>
          <w:rFonts w:hint="eastAsia" w:asciiTheme="minorEastAsia" w:hAnsiTheme="minorEastAsia" w:eastAsiaTheme="minorEastAsia" w:cstheme="minorEastAsia"/>
          <w:color w:val="auto"/>
          <w:sz w:val="24"/>
          <w:highlight w:val="none"/>
        </w:rPr>
        <w:t>分两部分。合格投标人的评标得分为各项目汇总得分，中标候选资格按评标得分由高到低顺序排列，得分相同的，按投标报价由低到高顺序排列；得分且投标报价相同的，按技术得分由高到低顺序排列。排名第一的投标人为中标候选人,排名第二的投标人为候补中标候选人。</w:t>
      </w:r>
      <w:r>
        <w:rPr>
          <w:rFonts w:hint="eastAsia" w:asciiTheme="minorEastAsia" w:hAnsiTheme="minorEastAsia" w:eastAsiaTheme="minorEastAsia" w:cstheme="minorEastAsia"/>
          <w:bCs/>
          <w:color w:val="auto"/>
          <w:sz w:val="24"/>
          <w:highlight w:val="none"/>
        </w:rPr>
        <w:t>评分过程中采用四舍五入法，并保留小数2位。</w:t>
      </w:r>
    </w:p>
    <w:p w14:paraId="742535C4">
      <w:pPr>
        <w:spacing w:beforeLines="50" w:afterLines="50"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投标人评标</w:t>
      </w:r>
      <w:r>
        <w:rPr>
          <w:rFonts w:hint="eastAsia" w:asciiTheme="minorEastAsia" w:hAnsiTheme="minorEastAsia" w:eastAsiaTheme="minorEastAsia" w:cstheme="minorEastAsia"/>
          <w:bCs/>
          <w:color w:val="auto"/>
          <w:sz w:val="24"/>
          <w:highlight w:val="none"/>
        </w:rPr>
        <w:t>综合得分=价格分+商务技术分</w:t>
      </w:r>
    </w:p>
    <w:p w14:paraId="502AB7B5">
      <w:pPr>
        <w:spacing w:beforeLines="50" w:afterLines="50" w:line="360" w:lineRule="auto"/>
        <w:ind w:firstLine="482" w:firstLineChars="200"/>
        <w:rPr>
          <w:rFonts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二、评标内容及标准</w:t>
      </w:r>
    </w:p>
    <w:p w14:paraId="0FC2F930">
      <w:pPr>
        <w:pStyle w:val="24"/>
        <w:spacing w:beforeLines="50" w:afterLines="50" w:line="360" w:lineRule="auto"/>
        <w:ind w:firstLine="466" w:firstLineChars="200"/>
        <w:rPr>
          <w:rFonts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color w:val="auto"/>
          <w:sz w:val="24"/>
          <w:szCs w:val="24"/>
          <w:highlight w:val="none"/>
        </w:rPr>
        <w:t>（一）</w:t>
      </w:r>
      <w:r>
        <w:rPr>
          <w:rFonts w:hint="eastAsia" w:asciiTheme="minorEastAsia" w:hAnsiTheme="minorEastAsia" w:eastAsiaTheme="minorEastAsia" w:cstheme="minorEastAsia"/>
          <w:b/>
          <w:bCs/>
          <w:color w:val="auto"/>
          <w:sz w:val="24"/>
          <w:szCs w:val="24"/>
          <w:highlight w:val="none"/>
        </w:rPr>
        <w:t>价格分（</w:t>
      </w:r>
      <w:r>
        <w:rPr>
          <w:rFonts w:hint="eastAsia" w:asciiTheme="minorEastAsia" w:hAnsiTheme="minorEastAsia" w:eastAsiaTheme="minorEastAsia" w:cstheme="minorEastAsia"/>
          <w:b/>
          <w:bCs/>
          <w:color w:val="auto"/>
          <w:sz w:val="24"/>
          <w:szCs w:val="24"/>
          <w:highlight w:val="none"/>
          <w:lang w:val="en-US" w:eastAsia="zh-CN"/>
        </w:rPr>
        <w:t>2</w:t>
      </w:r>
      <w:r>
        <w:rPr>
          <w:rFonts w:hint="eastAsia" w:asciiTheme="minorEastAsia" w:hAnsiTheme="minorEastAsia" w:eastAsiaTheme="minorEastAsia" w:cstheme="minorEastAsia"/>
          <w:b/>
          <w:bCs/>
          <w:color w:val="auto"/>
          <w:sz w:val="24"/>
          <w:szCs w:val="24"/>
          <w:highlight w:val="none"/>
        </w:rPr>
        <w:t>0</w:t>
      </w:r>
      <w:r>
        <w:rPr>
          <w:rFonts w:hint="eastAsia" w:asciiTheme="minorEastAsia" w:hAnsiTheme="minorEastAsia" w:eastAsiaTheme="minorEastAsia" w:cstheme="minorEastAsia"/>
          <w:b/>
          <w:color w:val="auto"/>
          <w:spacing w:val="0"/>
          <w:sz w:val="24"/>
          <w:szCs w:val="24"/>
          <w:highlight w:val="none"/>
        </w:rPr>
        <w:t>分</w:t>
      </w:r>
      <w:r>
        <w:rPr>
          <w:rFonts w:hint="eastAsia" w:asciiTheme="minorEastAsia" w:hAnsiTheme="minorEastAsia" w:eastAsiaTheme="minorEastAsia" w:cstheme="minorEastAsia"/>
          <w:b/>
          <w:bCs/>
          <w:color w:val="auto"/>
          <w:sz w:val="24"/>
          <w:szCs w:val="24"/>
          <w:highlight w:val="none"/>
        </w:rPr>
        <w:t>）</w:t>
      </w:r>
    </w:p>
    <w:p w14:paraId="2EAE8715">
      <w:pPr>
        <w:pStyle w:val="24"/>
        <w:spacing w:beforeLines="50" w:afterLines="50" w:line="360" w:lineRule="auto"/>
        <w:ind w:firstLine="464" w:firstLineChars="200"/>
        <w:rPr>
          <w:rFonts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1.价格分采用低价优先法计算，即满足招标文件要求且投标价格最低的投标报价为评标基准价，其他投标人的价格分按照下列公式计算：</w:t>
      </w:r>
    </w:p>
    <w:p w14:paraId="37AF80EE">
      <w:pPr>
        <w:spacing w:beforeLines="50" w:afterLines="50"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价格分=（评标基准价/投标报价）×</w:t>
      </w:r>
      <w:r>
        <w:rPr>
          <w:rFonts w:hint="eastAsia" w:asciiTheme="minorEastAsia" w:hAnsiTheme="minorEastAsia" w:eastAsiaTheme="minorEastAsia" w:cstheme="minorEastAsia"/>
          <w:color w:val="auto"/>
          <w:sz w:val="24"/>
          <w:highlight w:val="none"/>
          <w:lang w:val="en-US" w:eastAsia="zh-CN"/>
        </w:rPr>
        <w:t>2</w:t>
      </w:r>
      <w:r>
        <w:rPr>
          <w:rFonts w:hint="eastAsia" w:asciiTheme="minorEastAsia" w:hAnsiTheme="minorEastAsia" w:eastAsiaTheme="minorEastAsia" w:cstheme="minorEastAsia"/>
          <w:color w:val="auto"/>
          <w:sz w:val="24"/>
          <w:highlight w:val="none"/>
        </w:rPr>
        <w:t>0%×100</w:t>
      </w:r>
    </w:p>
    <w:p w14:paraId="71DABE17">
      <w:pPr>
        <w:keepNext w:val="0"/>
        <w:keepLines w:val="0"/>
        <w:pageBreakBefore w:val="0"/>
        <w:widowControl/>
        <w:kinsoku/>
        <w:wordWrap/>
        <w:overflowPunct/>
        <w:topLinePunct w:val="0"/>
        <w:autoSpaceDE/>
        <w:autoSpaceDN/>
        <w:bidi w:val="0"/>
        <w:adjustRightInd/>
        <w:snapToGrid/>
        <w:spacing w:line="360" w:lineRule="atLeast"/>
        <w:ind w:firstLine="422" w:firstLineChars="200"/>
        <w:jc w:val="left"/>
        <w:textAlignment w:val="auto"/>
        <w:rPr>
          <w:rFonts w:hint="eastAsia" w:ascii="宋体" w:hAnsi="宋体" w:eastAsia="宋体" w:cs="Times New Roman"/>
          <w:b/>
          <w:bCs/>
          <w:color w:val="auto"/>
          <w:kern w:val="0"/>
          <w:sz w:val="21"/>
          <w:szCs w:val="21"/>
          <w:highlight w:val="none"/>
          <w:lang w:val="en-US" w:eastAsia="zh-CN" w:bidi="en-US"/>
        </w:rPr>
      </w:pPr>
      <w:r>
        <w:rPr>
          <w:rFonts w:hint="eastAsia" w:ascii="宋体" w:hAnsi="宋体" w:eastAsia="宋体" w:cs="Times New Roman"/>
          <w:b/>
          <w:bCs/>
          <w:color w:val="auto"/>
          <w:kern w:val="0"/>
          <w:sz w:val="21"/>
          <w:szCs w:val="21"/>
          <w:highlight w:val="none"/>
          <w:lang w:val="en-US" w:eastAsia="zh-CN" w:bidi="en-US"/>
        </w:rPr>
        <w:t>评审中出现下列情形之一的，评审委员会应当启动异常低价投标（响应）审查程序：</w:t>
      </w:r>
    </w:p>
    <w:p w14:paraId="240D4A59">
      <w:pPr>
        <w:keepNext w:val="0"/>
        <w:keepLines w:val="0"/>
        <w:pageBreakBefore w:val="0"/>
        <w:widowControl/>
        <w:kinsoku/>
        <w:wordWrap/>
        <w:overflowPunct/>
        <w:topLinePunct w:val="0"/>
        <w:autoSpaceDE/>
        <w:autoSpaceDN/>
        <w:bidi w:val="0"/>
        <w:adjustRightInd/>
        <w:snapToGrid/>
        <w:spacing w:line="360" w:lineRule="atLeast"/>
        <w:ind w:firstLine="422" w:firstLineChars="200"/>
        <w:jc w:val="left"/>
        <w:textAlignment w:val="auto"/>
        <w:rPr>
          <w:rFonts w:hint="eastAsia" w:ascii="宋体" w:hAnsi="宋体" w:eastAsia="宋体" w:cs="Times New Roman"/>
          <w:b/>
          <w:bCs/>
          <w:color w:val="auto"/>
          <w:kern w:val="0"/>
          <w:sz w:val="21"/>
          <w:szCs w:val="21"/>
          <w:highlight w:val="none"/>
          <w:lang w:val="en-US" w:eastAsia="zh-CN" w:bidi="en-US"/>
        </w:rPr>
      </w:pPr>
      <w:r>
        <w:rPr>
          <w:rFonts w:hint="eastAsia" w:ascii="宋体" w:hAnsi="宋体" w:eastAsia="宋体" w:cs="Times New Roman"/>
          <w:b/>
          <w:bCs/>
          <w:color w:val="auto"/>
          <w:kern w:val="0"/>
          <w:sz w:val="21"/>
          <w:szCs w:val="21"/>
          <w:highlight w:val="none"/>
          <w:lang w:val="en-US" w:eastAsia="zh-CN" w:bidi="en-US"/>
        </w:rPr>
        <w:t>（1）投标（响应）报价低于全部通过符合性审查供应商投标（响应）报价平均值50%的，即投标（响应）报价&lt;全部通过符合性审查供应商投标（响应）报价平均值×50%；</w:t>
      </w:r>
    </w:p>
    <w:p w14:paraId="62F6694B">
      <w:pPr>
        <w:keepNext w:val="0"/>
        <w:keepLines w:val="0"/>
        <w:pageBreakBefore w:val="0"/>
        <w:widowControl/>
        <w:kinsoku/>
        <w:wordWrap/>
        <w:overflowPunct/>
        <w:topLinePunct w:val="0"/>
        <w:autoSpaceDE/>
        <w:autoSpaceDN/>
        <w:bidi w:val="0"/>
        <w:adjustRightInd/>
        <w:snapToGrid/>
        <w:spacing w:line="360" w:lineRule="atLeast"/>
        <w:ind w:firstLine="422" w:firstLineChars="200"/>
        <w:jc w:val="left"/>
        <w:textAlignment w:val="auto"/>
        <w:rPr>
          <w:rFonts w:hint="eastAsia" w:ascii="宋体" w:hAnsi="宋体" w:eastAsia="宋体" w:cs="Times New Roman"/>
          <w:b/>
          <w:bCs/>
          <w:color w:val="auto"/>
          <w:kern w:val="0"/>
          <w:sz w:val="21"/>
          <w:szCs w:val="21"/>
          <w:highlight w:val="none"/>
          <w:lang w:val="en-US" w:eastAsia="zh-CN" w:bidi="en-US"/>
        </w:rPr>
      </w:pPr>
      <w:r>
        <w:rPr>
          <w:rFonts w:hint="eastAsia" w:ascii="宋体" w:hAnsi="宋体" w:eastAsia="宋体" w:cs="Times New Roman"/>
          <w:b/>
          <w:bCs/>
          <w:color w:val="auto"/>
          <w:kern w:val="0"/>
          <w:sz w:val="21"/>
          <w:szCs w:val="21"/>
          <w:highlight w:val="none"/>
          <w:lang w:val="en-US" w:eastAsia="zh-CN" w:bidi="en-US"/>
        </w:rPr>
        <w:t>（2）投标（响应）报价低于通过符合性审查的次低报价供应商投标（响应）报价50%的，即投标（响应）报价&lt;通过符合性审查的次低报价供应商投标（响应）报价×50%；</w:t>
      </w:r>
    </w:p>
    <w:p w14:paraId="6A0F7188">
      <w:pPr>
        <w:keepNext w:val="0"/>
        <w:keepLines w:val="0"/>
        <w:pageBreakBefore w:val="0"/>
        <w:widowControl/>
        <w:kinsoku/>
        <w:wordWrap/>
        <w:overflowPunct/>
        <w:topLinePunct w:val="0"/>
        <w:autoSpaceDE/>
        <w:autoSpaceDN/>
        <w:bidi w:val="0"/>
        <w:adjustRightInd/>
        <w:snapToGrid/>
        <w:spacing w:line="360" w:lineRule="atLeast"/>
        <w:ind w:firstLine="422" w:firstLineChars="200"/>
        <w:jc w:val="left"/>
        <w:textAlignment w:val="auto"/>
        <w:rPr>
          <w:rFonts w:hint="eastAsia" w:ascii="宋体" w:hAnsi="宋体" w:eastAsia="宋体" w:cs="Times New Roman"/>
          <w:b/>
          <w:bCs/>
          <w:color w:val="auto"/>
          <w:kern w:val="0"/>
          <w:sz w:val="21"/>
          <w:szCs w:val="21"/>
          <w:highlight w:val="none"/>
          <w:lang w:val="en-US" w:eastAsia="zh-CN" w:bidi="en-US"/>
        </w:rPr>
      </w:pPr>
      <w:r>
        <w:rPr>
          <w:rFonts w:hint="eastAsia" w:ascii="宋体" w:hAnsi="宋体" w:eastAsia="宋体" w:cs="Times New Roman"/>
          <w:b/>
          <w:bCs/>
          <w:color w:val="auto"/>
          <w:kern w:val="0"/>
          <w:sz w:val="21"/>
          <w:szCs w:val="21"/>
          <w:highlight w:val="none"/>
          <w:lang w:val="en-US" w:eastAsia="zh-CN" w:bidi="en-US"/>
        </w:rPr>
        <w:t>（3）投标（响应）报价低于采购项目最高限价45%的，即投标（响应）报价&lt;采购项目最高限价×45%；</w:t>
      </w:r>
    </w:p>
    <w:p w14:paraId="425CE327">
      <w:pPr>
        <w:pStyle w:val="24"/>
        <w:spacing w:beforeLines="50" w:afterLines="50" w:line="360" w:lineRule="auto"/>
        <w:ind w:firstLine="406" w:firstLineChars="200"/>
        <w:rPr>
          <w:rFonts w:asciiTheme="minorEastAsia" w:hAnsiTheme="minorEastAsia" w:eastAsiaTheme="minorEastAsia" w:cstheme="minorEastAsia"/>
          <w:b/>
          <w:bCs/>
          <w:color w:val="auto"/>
          <w:spacing w:val="-4"/>
          <w:kern w:val="0"/>
          <w:sz w:val="24"/>
          <w:highlight w:val="none"/>
          <w:u w:val="single"/>
        </w:rPr>
      </w:pPr>
      <w:r>
        <w:rPr>
          <w:rFonts w:hint="eastAsia" w:ascii="宋体" w:hAnsi="宋体" w:eastAsia="宋体" w:cs="Times New Roman"/>
          <w:b/>
          <w:bCs/>
          <w:color w:val="auto"/>
          <w:kern w:val="0"/>
          <w:sz w:val="21"/>
          <w:szCs w:val="21"/>
          <w:highlight w:val="none"/>
          <w:lang w:val="en-US" w:eastAsia="zh-CN" w:bidi="en-US"/>
        </w:rPr>
        <w:t>属于前述第1项至第3项情形的，应当要求相关供应商在评审现场合理的时间内对投标（响应）价格作出解释如本采购项目有投标人的报价明显低于其他通过符合性审查投标人的报价，不能诚信履约的，评标委员会应当要求该投标人在评标现场合理的时间内提供书面说明，必要时提交相关证明材料（提供原与其他采购单位签订的包含本次主要采购服务内容的采购项目合同（如一份采购项目合同中不能完全包括本次主要采购服务内容的，可以提供多份采购合同来完全包含本次主要采购服务内容）及提供完成本次主要采购服务内容的报价测算清单等资料【测算清单资料包括但不限于项目实施团队在本项目服务期的人工工资（提供银行工资流水）、奖金（包括年终奖，提供银行工资流水）、个人及企业须缴纳的四险一金、物料费、维保期间费用、其他费用、税金、培训、服务、合同包含的所有风险责任等各项费用及不可预见费等所需的全部费用】。投标人如不能提供相关证明材料证明其报价合理性的，或未在评标现场合理的时间内提供相关证明材料的，评标委员会应当将其作为无效投标处理。</w:t>
      </w:r>
    </w:p>
    <w:p w14:paraId="6AC627D4">
      <w:pPr>
        <w:spacing w:beforeLines="50" w:afterLines="50" w:line="400" w:lineRule="exact"/>
        <w:rPr>
          <w:rFonts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bCs/>
          <w:color w:val="auto"/>
          <w:sz w:val="24"/>
          <w:highlight w:val="none"/>
        </w:rPr>
        <w:t>（二）商务</w:t>
      </w:r>
      <w:r>
        <w:rPr>
          <w:rFonts w:hint="eastAsia" w:asciiTheme="minorEastAsia" w:hAnsiTheme="minorEastAsia" w:eastAsiaTheme="minorEastAsia" w:cstheme="minorEastAsia"/>
          <w:b/>
          <w:color w:val="auto"/>
          <w:sz w:val="24"/>
          <w:highlight w:val="none"/>
        </w:rPr>
        <w:t>技术分（</w:t>
      </w:r>
      <w:r>
        <w:rPr>
          <w:rFonts w:hint="eastAsia" w:asciiTheme="minorEastAsia" w:hAnsiTheme="minorEastAsia" w:eastAsiaTheme="minorEastAsia" w:cstheme="minorEastAsia"/>
          <w:b/>
          <w:color w:val="auto"/>
          <w:sz w:val="24"/>
          <w:highlight w:val="none"/>
          <w:lang w:val="en-US" w:eastAsia="zh-CN"/>
        </w:rPr>
        <w:t>8</w:t>
      </w:r>
      <w:r>
        <w:rPr>
          <w:rFonts w:hint="eastAsia" w:asciiTheme="minorEastAsia" w:hAnsiTheme="minorEastAsia" w:eastAsiaTheme="minorEastAsia" w:cstheme="minorEastAsia"/>
          <w:b/>
          <w:color w:val="auto"/>
          <w:sz w:val="24"/>
          <w:highlight w:val="none"/>
        </w:rPr>
        <w:t>0分）</w:t>
      </w:r>
    </w:p>
    <w:p w14:paraId="58BFA6C6">
      <w:pPr>
        <w:spacing w:line="400" w:lineRule="exact"/>
        <w:ind w:firstLine="480" w:firstLineChars="200"/>
        <w:rPr>
          <w:rFonts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评标委员会对通过符合性审查的投标人的投标技术参数或方案充分审核后，进行综合评定独立打分。</w:t>
      </w:r>
    </w:p>
    <w:p w14:paraId="559F9B68">
      <w:pPr>
        <w:spacing w:line="400" w:lineRule="exact"/>
        <w:rPr>
          <w:rFonts w:asciiTheme="minorEastAsia" w:hAnsiTheme="minorEastAsia" w:eastAsiaTheme="minorEastAsia" w:cstheme="minorEastAsia"/>
          <w:b/>
          <w:bCs/>
          <w:color w:val="auto"/>
          <w:sz w:val="24"/>
          <w:highlight w:val="none"/>
        </w:rPr>
      </w:pPr>
    </w:p>
    <w:tbl>
      <w:tblPr>
        <w:tblStyle w:val="52"/>
        <w:tblW w:w="9280"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4"/>
        <w:gridCol w:w="1701"/>
        <w:gridCol w:w="706"/>
        <w:gridCol w:w="6149"/>
      </w:tblGrid>
      <w:tr w14:paraId="6E3166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724" w:type="dxa"/>
            <w:shd w:val="clear" w:color="000000" w:fill="FFFFFF"/>
            <w:vAlign w:val="center"/>
          </w:tcPr>
          <w:p w14:paraId="5312F38C">
            <w:pPr>
              <w:jc w:val="center"/>
              <w:rPr>
                <w:b/>
                <w:color w:val="auto"/>
                <w:szCs w:val="21"/>
                <w:highlight w:val="none"/>
              </w:rPr>
            </w:pPr>
            <w:r>
              <w:rPr>
                <w:rFonts w:hint="eastAsia"/>
                <w:b/>
                <w:color w:val="auto"/>
                <w:szCs w:val="21"/>
                <w:highlight w:val="none"/>
              </w:rPr>
              <w:t>序号</w:t>
            </w:r>
          </w:p>
        </w:tc>
        <w:tc>
          <w:tcPr>
            <w:tcW w:w="1701" w:type="dxa"/>
            <w:shd w:val="clear" w:color="000000" w:fill="FFFFFF"/>
            <w:vAlign w:val="center"/>
          </w:tcPr>
          <w:p w14:paraId="37B197A9">
            <w:pPr>
              <w:jc w:val="center"/>
              <w:rPr>
                <w:b/>
                <w:color w:val="auto"/>
                <w:szCs w:val="21"/>
                <w:highlight w:val="none"/>
              </w:rPr>
            </w:pPr>
            <w:r>
              <w:rPr>
                <w:rFonts w:hint="eastAsia"/>
                <w:b/>
                <w:color w:val="auto"/>
                <w:szCs w:val="21"/>
                <w:highlight w:val="none"/>
              </w:rPr>
              <w:t>评分</w:t>
            </w:r>
            <w:r>
              <w:rPr>
                <w:b/>
                <w:color w:val="auto"/>
                <w:szCs w:val="21"/>
                <w:highlight w:val="none"/>
              </w:rPr>
              <w:t>内容</w:t>
            </w:r>
          </w:p>
        </w:tc>
        <w:tc>
          <w:tcPr>
            <w:tcW w:w="706" w:type="dxa"/>
            <w:shd w:val="clear" w:color="000000" w:fill="FFFFFF"/>
            <w:vAlign w:val="center"/>
          </w:tcPr>
          <w:p w14:paraId="4B9F5CE6">
            <w:pPr>
              <w:jc w:val="center"/>
              <w:rPr>
                <w:b/>
                <w:color w:val="auto"/>
                <w:szCs w:val="21"/>
                <w:highlight w:val="none"/>
              </w:rPr>
            </w:pPr>
            <w:r>
              <w:rPr>
                <w:rFonts w:hint="eastAsia"/>
                <w:b/>
                <w:color w:val="auto"/>
                <w:szCs w:val="21"/>
                <w:highlight w:val="none"/>
              </w:rPr>
              <w:t>分值</w:t>
            </w:r>
          </w:p>
        </w:tc>
        <w:tc>
          <w:tcPr>
            <w:tcW w:w="6149" w:type="dxa"/>
            <w:shd w:val="clear" w:color="000000" w:fill="FFFFFF"/>
            <w:vAlign w:val="center"/>
          </w:tcPr>
          <w:p w14:paraId="51D17ECD">
            <w:pPr>
              <w:jc w:val="center"/>
              <w:rPr>
                <w:b/>
                <w:color w:val="auto"/>
                <w:szCs w:val="21"/>
                <w:highlight w:val="none"/>
              </w:rPr>
            </w:pPr>
            <w:r>
              <w:rPr>
                <w:rFonts w:hint="eastAsia"/>
                <w:b/>
                <w:color w:val="auto"/>
                <w:szCs w:val="21"/>
                <w:highlight w:val="none"/>
              </w:rPr>
              <w:t>评</w:t>
            </w:r>
            <w:r>
              <w:rPr>
                <w:b/>
                <w:color w:val="auto"/>
                <w:szCs w:val="21"/>
                <w:highlight w:val="none"/>
              </w:rPr>
              <w:t>分细则</w:t>
            </w:r>
          </w:p>
        </w:tc>
      </w:tr>
      <w:tr w14:paraId="42784A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40" w:hRule="atLeast"/>
        </w:trPr>
        <w:tc>
          <w:tcPr>
            <w:tcW w:w="724" w:type="dxa"/>
            <w:vMerge w:val="restart"/>
            <w:shd w:val="clear" w:color="000000" w:fill="FFFFFF"/>
            <w:vAlign w:val="center"/>
          </w:tcPr>
          <w:p w14:paraId="2F82B5C2">
            <w:pPr>
              <w:jc w:val="center"/>
              <w:rPr>
                <w:color w:val="auto"/>
                <w:szCs w:val="21"/>
                <w:highlight w:val="none"/>
              </w:rPr>
            </w:pPr>
            <w:r>
              <w:rPr>
                <w:rFonts w:hint="eastAsia"/>
                <w:color w:val="auto"/>
                <w:szCs w:val="21"/>
                <w:highlight w:val="none"/>
              </w:rPr>
              <w:t>1</w:t>
            </w:r>
          </w:p>
        </w:tc>
        <w:tc>
          <w:tcPr>
            <w:tcW w:w="1701" w:type="dxa"/>
            <w:vMerge w:val="restart"/>
            <w:shd w:val="clear" w:color="000000" w:fill="FFFFFF"/>
            <w:vAlign w:val="center"/>
          </w:tcPr>
          <w:p w14:paraId="7C4B3C7A">
            <w:pPr>
              <w:jc w:val="center"/>
              <w:rPr>
                <w:rFonts w:ascii="宋体" w:hAnsi="宋体"/>
                <w:color w:val="auto"/>
                <w:szCs w:val="21"/>
                <w:highlight w:val="none"/>
              </w:rPr>
            </w:pPr>
            <w:r>
              <w:rPr>
                <w:rFonts w:hint="eastAsia" w:ascii="宋体" w:hAnsi="宋体" w:cs="宋体"/>
                <w:bCs/>
                <w:color w:val="auto"/>
                <w:szCs w:val="21"/>
                <w:highlight w:val="none"/>
              </w:rPr>
              <w:t>企业荣誉</w:t>
            </w:r>
          </w:p>
        </w:tc>
        <w:tc>
          <w:tcPr>
            <w:tcW w:w="706" w:type="dxa"/>
            <w:shd w:val="clear" w:color="000000" w:fill="FFFFFF"/>
            <w:vAlign w:val="center"/>
          </w:tcPr>
          <w:p w14:paraId="220E7BB4">
            <w:pPr>
              <w:jc w:val="center"/>
              <w:rPr>
                <w:rFonts w:ascii="宋体" w:hAnsi="宋体"/>
                <w:bCs/>
                <w:color w:val="auto"/>
                <w:szCs w:val="21"/>
                <w:highlight w:val="none"/>
              </w:rPr>
            </w:pPr>
            <w:r>
              <w:rPr>
                <w:rFonts w:hint="eastAsia" w:ascii="宋体" w:hAnsi="宋体"/>
                <w:bCs/>
                <w:color w:val="auto"/>
                <w:szCs w:val="21"/>
                <w:highlight w:val="none"/>
                <w:lang w:val="en-US" w:eastAsia="zh-CN"/>
              </w:rPr>
              <w:t>4</w:t>
            </w:r>
            <w:r>
              <w:rPr>
                <w:rFonts w:hint="eastAsia" w:ascii="宋体" w:hAnsi="宋体"/>
                <w:bCs/>
                <w:color w:val="auto"/>
                <w:szCs w:val="21"/>
                <w:highlight w:val="none"/>
              </w:rPr>
              <w:t>分</w:t>
            </w:r>
          </w:p>
        </w:tc>
        <w:tc>
          <w:tcPr>
            <w:tcW w:w="6149" w:type="dxa"/>
            <w:shd w:val="clear" w:color="000000" w:fill="FFFFFF"/>
            <w:vAlign w:val="center"/>
          </w:tcPr>
          <w:p w14:paraId="00F388E1">
            <w:pPr>
              <w:jc w:val="left"/>
              <w:rPr>
                <w:bCs/>
                <w:color w:val="auto"/>
                <w:szCs w:val="21"/>
                <w:highlight w:val="none"/>
                <w:lang w:val="zh-CN"/>
              </w:rPr>
            </w:pPr>
            <w:r>
              <w:rPr>
                <w:rFonts w:hint="eastAsia"/>
                <w:bCs/>
                <w:color w:val="auto"/>
                <w:szCs w:val="21"/>
                <w:highlight w:val="none"/>
                <w:lang w:val="zh-CN"/>
              </w:rPr>
              <w:t>投标人自20</w:t>
            </w:r>
            <w:r>
              <w:rPr>
                <w:rFonts w:hint="eastAsia"/>
                <w:bCs/>
                <w:color w:val="auto"/>
                <w:szCs w:val="21"/>
                <w:highlight w:val="none"/>
                <w:lang w:val="en-US" w:eastAsia="zh-CN"/>
              </w:rPr>
              <w:t>21</w:t>
            </w:r>
            <w:r>
              <w:rPr>
                <w:rFonts w:hint="eastAsia"/>
                <w:bCs/>
                <w:color w:val="auto"/>
                <w:szCs w:val="21"/>
                <w:highlight w:val="none"/>
                <w:lang w:val="zh-CN"/>
              </w:rPr>
              <w:t>年1月1日以来（以获奖文件或荣誉证书上的时间为准）获得主管部门或相关行业协会颁发的工程造价咨询方面的荣誉，省级及以上的</w:t>
            </w:r>
            <w:r>
              <w:rPr>
                <w:rFonts w:hint="eastAsia"/>
                <w:bCs/>
                <w:color w:val="auto"/>
                <w:szCs w:val="21"/>
                <w:highlight w:val="none"/>
                <w:lang w:val="en-US" w:eastAsia="zh-CN"/>
              </w:rPr>
              <w:t>荣誉</w:t>
            </w:r>
            <w:r>
              <w:rPr>
                <w:rFonts w:hint="eastAsia"/>
                <w:bCs/>
                <w:color w:val="auto"/>
                <w:szCs w:val="21"/>
                <w:highlight w:val="none"/>
                <w:lang w:val="zh-CN"/>
              </w:rPr>
              <w:t>每个得</w:t>
            </w:r>
            <w:r>
              <w:rPr>
                <w:rFonts w:hint="eastAsia"/>
                <w:bCs/>
                <w:color w:val="auto"/>
                <w:szCs w:val="21"/>
                <w:highlight w:val="none"/>
              </w:rPr>
              <w:t>2</w:t>
            </w:r>
            <w:r>
              <w:rPr>
                <w:rFonts w:hint="eastAsia"/>
                <w:bCs/>
                <w:color w:val="auto"/>
                <w:szCs w:val="21"/>
                <w:highlight w:val="none"/>
                <w:lang w:val="zh-CN"/>
              </w:rPr>
              <w:t>分，</w:t>
            </w:r>
            <w:r>
              <w:rPr>
                <w:rFonts w:hint="eastAsia"/>
                <w:bCs/>
                <w:color w:val="auto"/>
                <w:szCs w:val="21"/>
                <w:highlight w:val="none"/>
                <w:lang w:val="en-US" w:eastAsia="zh-CN"/>
              </w:rPr>
              <w:t>地级市的荣誉每个得1分，</w:t>
            </w:r>
            <w:r>
              <w:rPr>
                <w:rFonts w:hint="eastAsia"/>
                <w:bCs/>
                <w:color w:val="auto"/>
                <w:szCs w:val="21"/>
                <w:highlight w:val="none"/>
                <w:lang w:val="zh-CN"/>
              </w:rPr>
              <w:t>最多得</w:t>
            </w:r>
            <w:r>
              <w:rPr>
                <w:rFonts w:hint="eastAsia"/>
                <w:bCs/>
                <w:color w:val="auto"/>
                <w:szCs w:val="21"/>
                <w:highlight w:val="none"/>
                <w:lang w:val="en-US" w:eastAsia="zh-CN"/>
              </w:rPr>
              <w:t>4</w:t>
            </w:r>
            <w:r>
              <w:rPr>
                <w:rFonts w:hint="eastAsia"/>
                <w:bCs/>
                <w:color w:val="auto"/>
                <w:szCs w:val="21"/>
                <w:highlight w:val="none"/>
                <w:lang w:val="zh-CN"/>
              </w:rPr>
              <w:t>分。</w:t>
            </w:r>
          </w:p>
          <w:p w14:paraId="4F0C497A">
            <w:pPr>
              <w:jc w:val="left"/>
              <w:rPr>
                <w:b/>
                <w:color w:val="auto"/>
                <w:szCs w:val="21"/>
                <w:highlight w:val="none"/>
                <w:lang w:val="zh-CN"/>
              </w:rPr>
            </w:pPr>
            <w:r>
              <w:rPr>
                <w:rFonts w:hint="eastAsia"/>
                <w:b/>
                <w:color w:val="auto"/>
                <w:szCs w:val="21"/>
                <w:highlight w:val="none"/>
                <w:lang w:val="zh-CN"/>
              </w:rPr>
              <w:t>备注：</w:t>
            </w:r>
          </w:p>
          <w:p w14:paraId="583B0293">
            <w:pPr>
              <w:jc w:val="left"/>
              <w:rPr>
                <w:rFonts w:ascii="宋体" w:hAnsi="宋体"/>
                <w:color w:val="auto"/>
                <w:szCs w:val="21"/>
                <w:highlight w:val="none"/>
              </w:rPr>
            </w:pPr>
            <w:r>
              <w:rPr>
                <w:rFonts w:hint="eastAsia"/>
                <w:bCs/>
                <w:color w:val="auto"/>
                <w:szCs w:val="21"/>
                <w:highlight w:val="none"/>
                <w:lang w:val="zh-CN"/>
              </w:rPr>
              <w:t>投标文件中须提供相关证书扫描件或网站截屏并加盖投标人单位公章。</w:t>
            </w:r>
          </w:p>
        </w:tc>
      </w:tr>
      <w:tr w14:paraId="155681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7" w:hRule="atLeast"/>
        </w:trPr>
        <w:tc>
          <w:tcPr>
            <w:tcW w:w="724" w:type="dxa"/>
            <w:vMerge w:val="continue"/>
            <w:shd w:val="clear" w:color="000000" w:fill="FFFFFF"/>
            <w:vAlign w:val="center"/>
          </w:tcPr>
          <w:p w14:paraId="114DD7F0">
            <w:pPr>
              <w:jc w:val="center"/>
              <w:rPr>
                <w:color w:val="auto"/>
                <w:szCs w:val="21"/>
                <w:highlight w:val="none"/>
              </w:rPr>
            </w:pPr>
          </w:p>
        </w:tc>
        <w:tc>
          <w:tcPr>
            <w:tcW w:w="1701" w:type="dxa"/>
            <w:vMerge w:val="continue"/>
            <w:shd w:val="clear" w:color="000000" w:fill="FFFFFF"/>
            <w:vAlign w:val="center"/>
          </w:tcPr>
          <w:p w14:paraId="60E43BC5">
            <w:pPr>
              <w:jc w:val="left"/>
              <w:rPr>
                <w:rFonts w:ascii="宋体" w:hAnsi="宋体" w:cs="宋体"/>
                <w:bCs/>
                <w:color w:val="auto"/>
                <w:szCs w:val="21"/>
                <w:highlight w:val="none"/>
              </w:rPr>
            </w:pPr>
          </w:p>
        </w:tc>
        <w:tc>
          <w:tcPr>
            <w:tcW w:w="706" w:type="dxa"/>
            <w:shd w:val="clear" w:color="000000" w:fill="FFFFFF"/>
            <w:vAlign w:val="center"/>
          </w:tcPr>
          <w:p w14:paraId="72EDCA51">
            <w:pPr>
              <w:jc w:val="center"/>
              <w:rPr>
                <w:rFonts w:ascii="宋体" w:hAnsi="宋体"/>
                <w:bCs/>
                <w:color w:val="auto"/>
                <w:szCs w:val="21"/>
                <w:highlight w:val="none"/>
              </w:rPr>
            </w:pPr>
            <w:r>
              <w:rPr>
                <w:rFonts w:hint="eastAsia" w:ascii="宋体" w:hAnsi="宋体"/>
                <w:bCs/>
                <w:color w:val="auto"/>
                <w:szCs w:val="21"/>
                <w:highlight w:val="none"/>
                <w:lang w:val="en-US" w:eastAsia="zh-CN"/>
              </w:rPr>
              <w:t>6</w:t>
            </w:r>
            <w:r>
              <w:rPr>
                <w:rFonts w:hint="eastAsia" w:ascii="宋体" w:hAnsi="宋体"/>
                <w:bCs/>
                <w:color w:val="auto"/>
                <w:szCs w:val="21"/>
                <w:highlight w:val="none"/>
              </w:rPr>
              <w:t>分</w:t>
            </w:r>
          </w:p>
        </w:tc>
        <w:tc>
          <w:tcPr>
            <w:tcW w:w="6149" w:type="dxa"/>
            <w:shd w:val="clear" w:color="000000" w:fill="FFFFFF"/>
            <w:vAlign w:val="center"/>
          </w:tcPr>
          <w:p w14:paraId="10F5E2F8">
            <w:pPr>
              <w:jc w:val="left"/>
              <w:rPr>
                <w:rFonts w:hint="eastAsia"/>
                <w:bCs/>
                <w:color w:val="auto"/>
                <w:szCs w:val="21"/>
                <w:highlight w:val="none"/>
                <w:lang w:val="zh-CN" w:eastAsia="zh-CN"/>
              </w:rPr>
            </w:pPr>
            <w:r>
              <w:rPr>
                <w:rFonts w:hint="eastAsia"/>
                <w:bCs/>
                <w:color w:val="auto"/>
                <w:szCs w:val="21"/>
                <w:highlight w:val="none"/>
                <w:lang w:val="en-US" w:eastAsia="zh-CN"/>
              </w:rPr>
              <w:t>1、</w:t>
            </w:r>
            <w:r>
              <w:rPr>
                <w:rFonts w:hint="eastAsia"/>
                <w:bCs/>
                <w:color w:val="auto"/>
                <w:szCs w:val="21"/>
                <w:highlight w:val="none"/>
                <w:lang w:val="zh-CN" w:eastAsia="zh-CN"/>
              </w:rPr>
              <w:t xml:space="preserve">获得中国建设工程造价管理协会颁发的信用评价AAA级且在有效期内的，或者获得浙江省建设工程造价管理总站公布的浙江省工程造价咨询企业动态信用能力信用评价AAAAA级且在有效期内的，得 </w:t>
            </w:r>
            <w:r>
              <w:rPr>
                <w:rFonts w:hint="eastAsia"/>
                <w:bCs/>
                <w:color w:val="auto"/>
                <w:szCs w:val="21"/>
                <w:highlight w:val="none"/>
                <w:lang w:val="en-US" w:eastAsia="zh-CN"/>
              </w:rPr>
              <w:t>6</w:t>
            </w:r>
            <w:r>
              <w:rPr>
                <w:rFonts w:hint="eastAsia"/>
                <w:bCs/>
                <w:color w:val="auto"/>
                <w:szCs w:val="21"/>
                <w:highlight w:val="none"/>
                <w:lang w:val="zh-CN" w:eastAsia="zh-CN"/>
              </w:rPr>
              <w:t>分；</w:t>
            </w:r>
          </w:p>
          <w:p w14:paraId="5995DA76">
            <w:pPr>
              <w:jc w:val="left"/>
              <w:rPr>
                <w:rFonts w:hint="eastAsia"/>
                <w:bCs/>
                <w:color w:val="auto"/>
                <w:szCs w:val="21"/>
                <w:highlight w:val="none"/>
                <w:lang w:val="zh-CN" w:eastAsia="zh-CN"/>
              </w:rPr>
            </w:pPr>
            <w:r>
              <w:rPr>
                <w:rFonts w:hint="eastAsia"/>
                <w:bCs/>
                <w:color w:val="auto"/>
                <w:szCs w:val="21"/>
                <w:highlight w:val="none"/>
                <w:lang w:val="en-US" w:eastAsia="zh-CN"/>
              </w:rPr>
              <w:t>2、</w:t>
            </w:r>
            <w:r>
              <w:rPr>
                <w:rFonts w:hint="eastAsia"/>
                <w:bCs/>
                <w:color w:val="auto"/>
                <w:szCs w:val="21"/>
                <w:highlight w:val="none"/>
                <w:lang w:val="zh-CN" w:eastAsia="zh-CN"/>
              </w:rPr>
              <w:t>获得中国建设工程造价管理协会颁发的信用评价AA级且在有效期内的，或者获得浙江省建设工程造价管理总站公布的浙江省工程造价咨询企业动态信用能力信用评价AAAA级且在有效期内的，得</w:t>
            </w:r>
            <w:r>
              <w:rPr>
                <w:rFonts w:hint="eastAsia"/>
                <w:bCs/>
                <w:color w:val="auto"/>
                <w:szCs w:val="21"/>
                <w:highlight w:val="none"/>
                <w:lang w:val="en-US" w:eastAsia="zh-CN"/>
              </w:rPr>
              <w:t>4</w:t>
            </w:r>
            <w:r>
              <w:rPr>
                <w:rFonts w:hint="eastAsia"/>
                <w:bCs/>
                <w:color w:val="auto"/>
                <w:szCs w:val="21"/>
                <w:highlight w:val="none"/>
                <w:lang w:val="zh-CN" w:eastAsia="zh-CN"/>
              </w:rPr>
              <w:t>分，其余不得分。</w:t>
            </w:r>
          </w:p>
          <w:p w14:paraId="1E4BC15D">
            <w:pPr>
              <w:jc w:val="left"/>
              <w:rPr>
                <w:rFonts w:hint="eastAsia"/>
                <w:color w:val="auto"/>
                <w:highlight w:val="none"/>
                <w:lang w:val="zh-CN" w:eastAsia="zh-CN"/>
              </w:rPr>
            </w:pPr>
            <w:r>
              <w:rPr>
                <w:rFonts w:hint="eastAsia"/>
                <w:bCs/>
                <w:color w:val="auto"/>
                <w:szCs w:val="21"/>
                <w:highlight w:val="none"/>
                <w:lang w:val="en-US" w:eastAsia="zh-CN"/>
              </w:rPr>
              <w:t>3、</w:t>
            </w:r>
            <w:r>
              <w:rPr>
                <w:rFonts w:hint="eastAsia"/>
                <w:bCs/>
                <w:color w:val="auto"/>
                <w:szCs w:val="21"/>
                <w:highlight w:val="none"/>
                <w:lang w:val="zh-CN" w:eastAsia="zh-CN"/>
              </w:rPr>
              <w:t>获得中国建设工程造价管理协会颁发的信用评价A级且在有效期内的，或者获得浙江省建设工程造价管理总站公布的浙江省工程造价咨询企业动态信用能力信用评价AAA级且在有效期内的，得</w:t>
            </w:r>
            <w:r>
              <w:rPr>
                <w:rFonts w:hint="eastAsia"/>
                <w:bCs/>
                <w:color w:val="auto"/>
                <w:szCs w:val="21"/>
                <w:highlight w:val="none"/>
                <w:lang w:val="en-US" w:eastAsia="zh-CN"/>
              </w:rPr>
              <w:t>2</w:t>
            </w:r>
            <w:r>
              <w:rPr>
                <w:rFonts w:hint="eastAsia"/>
                <w:bCs/>
                <w:color w:val="auto"/>
                <w:szCs w:val="21"/>
                <w:highlight w:val="none"/>
                <w:lang w:val="zh-CN" w:eastAsia="zh-CN"/>
              </w:rPr>
              <w:t>分，其余不得分。</w:t>
            </w:r>
          </w:p>
          <w:p w14:paraId="428F3D9B">
            <w:pPr>
              <w:jc w:val="left"/>
              <w:rPr>
                <w:bCs/>
                <w:color w:val="auto"/>
                <w:szCs w:val="21"/>
                <w:highlight w:val="none"/>
                <w:lang w:val="zh-CN"/>
              </w:rPr>
            </w:pPr>
            <w:r>
              <w:rPr>
                <w:rFonts w:hint="eastAsia"/>
                <w:bCs/>
                <w:color w:val="auto"/>
                <w:szCs w:val="21"/>
                <w:highlight w:val="none"/>
                <w:lang w:val="zh-CN"/>
              </w:rPr>
              <w:t>备注：投标文件中须提供网站截屏并加盖投标人单位公章。</w:t>
            </w:r>
            <w:r>
              <w:rPr>
                <w:rFonts w:hint="eastAsia"/>
                <w:bCs/>
                <w:color w:val="auto"/>
                <w:szCs w:val="21"/>
                <w:highlight w:val="none"/>
                <w:lang w:val="zh-CN" w:eastAsia="zh-CN"/>
              </w:rPr>
              <w:t>投标人信用评价等级情况以评标专家评标当天经浙江造价网（http://www.zjzj.net）、中国建设工程造价管理协会（http://www.ccea.pro/）造价咨询企业动态信用等级的评审结果为准，以两个网站查询等级得分高者为准。</w:t>
            </w:r>
          </w:p>
        </w:tc>
      </w:tr>
      <w:tr w14:paraId="084026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32" w:hRule="atLeast"/>
        </w:trPr>
        <w:tc>
          <w:tcPr>
            <w:tcW w:w="724" w:type="dxa"/>
            <w:shd w:val="clear" w:color="000000" w:fill="FFFFFF"/>
            <w:vAlign w:val="center"/>
          </w:tcPr>
          <w:p w14:paraId="2CB1DAF2">
            <w:pPr>
              <w:jc w:val="center"/>
              <w:rPr>
                <w:color w:val="auto"/>
                <w:szCs w:val="21"/>
                <w:highlight w:val="none"/>
              </w:rPr>
            </w:pPr>
            <w:r>
              <w:rPr>
                <w:rFonts w:hint="eastAsia"/>
                <w:color w:val="auto"/>
                <w:szCs w:val="21"/>
                <w:highlight w:val="none"/>
              </w:rPr>
              <w:t>2</w:t>
            </w:r>
          </w:p>
        </w:tc>
        <w:tc>
          <w:tcPr>
            <w:tcW w:w="1701" w:type="dxa"/>
            <w:shd w:val="clear" w:color="000000" w:fill="FFFFFF"/>
            <w:vAlign w:val="center"/>
          </w:tcPr>
          <w:p w14:paraId="0BB20719">
            <w:pPr>
              <w:jc w:val="left"/>
              <w:rPr>
                <w:b/>
                <w:color w:val="auto"/>
                <w:szCs w:val="21"/>
                <w:highlight w:val="none"/>
              </w:rPr>
            </w:pPr>
            <w:r>
              <w:rPr>
                <w:rFonts w:hint="eastAsia" w:ascii="宋体" w:hAnsi="宋体"/>
                <w:color w:val="auto"/>
                <w:szCs w:val="21"/>
                <w:highlight w:val="none"/>
              </w:rPr>
              <w:t>投标人认证证书</w:t>
            </w:r>
          </w:p>
        </w:tc>
        <w:tc>
          <w:tcPr>
            <w:tcW w:w="706" w:type="dxa"/>
            <w:shd w:val="clear" w:color="000000" w:fill="FFFFFF"/>
            <w:vAlign w:val="center"/>
          </w:tcPr>
          <w:p w14:paraId="667188AD">
            <w:pPr>
              <w:jc w:val="center"/>
              <w:rPr>
                <w:b/>
                <w:color w:val="auto"/>
                <w:szCs w:val="21"/>
                <w:highlight w:val="none"/>
              </w:rPr>
            </w:pPr>
            <w:r>
              <w:rPr>
                <w:rFonts w:ascii="宋体" w:hAnsi="宋体"/>
                <w:bCs/>
                <w:color w:val="auto"/>
                <w:szCs w:val="21"/>
                <w:highlight w:val="none"/>
              </w:rPr>
              <w:t>3</w:t>
            </w:r>
            <w:r>
              <w:rPr>
                <w:rFonts w:hint="eastAsia" w:ascii="宋体" w:hAnsi="宋体"/>
                <w:bCs/>
                <w:color w:val="auto"/>
                <w:szCs w:val="21"/>
                <w:highlight w:val="none"/>
              </w:rPr>
              <w:t>分</w:t>
            </w:r>
          </w:p>
        </w:tc>
        <w:tc>
          <w:tcPr>
            <w:tcW w:w="6149" w:type="dxa"/>
            <w:shd w:val="clear" w:color="000000" w:fill="FFFFFF"/>
            <w:vAlign w:val="center"/>
          </w:tcPr>
          <w:p w14:paraId="162817A9">
            <w:pPr>
              <w:jc w:val="left"/>
              <w:rPr>
                <w:rFonts w:ascii="宋体" w:hAnsi="宋体"/>
                <w:color w:val="auto"/>
                <w:szCs w:val="21"/>
                <w:highlight w:val="none"/>
              </w:rPr>
            </w:pPr>
            <w:r>
              <w:rPr>
                <w:rFonts w:hint="eastAsia" w:ascii="宋体" w:hAnsi="宋体"/>
                <w:color w:val="auto"/>
                <w:szCs w:val="21"/>
                <w:highlight w:val="none"/>
              </w:rPr>
              <w:t>投标人提供质量管理体系认证证书、环境管理体系认证证书、职业健康安全管理体系认证证书的，每个得1分，最高得3分。</w:t>
            </w:r>
          </w:p>
          <w:p w14:paraId="3ABD7F5B">
            <w:pPr>
              <w:jc w:val="left"/>
              <w:rPr>
                <w:rFonts w:ascii="宋体" w:hAnsi="宋体"/>
                <w:color w:val="auto"/>
                <w:szCs w:val="21"/>
                <w:highlight w:val="none"/>
              </w:rPr>
            </w:pPr>
            <w:r>
              <w:rPr>
                <w:rFonts w:hint="eastAsia" w:ascii="宋体" w:hAnsi="宋体"/>
                <w:color w:val="auto"/>
                <w:szCs w:val="21"/>
                <w:highlight w:val="none"/>
              </w:rPr>
              <w:t>备注：</w:t>
            </w:r>
          </w:p>
          <w:p w14:paraId="2500A213">
            <w:pPr>
              <w:jc w:val="left"/>
              <w:rPr>
                <w:rFonts w:ascii="宋体" w:hAnsi="宋体"/>
                <w:b/>
                <w:bCs/>
                <w:color w:val="auto"/>
                <w:szCs w:val="21"/>
                <w:highlight w:val="none"/>
              </w:rPr>
            </w:pPr>
            <w:bookmarkStart w:id="43" w:name="_Hlk59707951"/>
            <w:r>
              <w:rPr>
                <w:rFonts w:ascii="宋体" w:hAnsi="宋体"/>
                <w:b/>
                <w:bCs/>
                <w:color w:val="auto"/>
                <w:szCs w:val="21"/>
                <w:highlight w:val="none"/>
              </w:rPr>
              <w:t>1</w:t>
            </w:r>
            <w:r>
              <w:rPr>
                <w:rFonts w:hint="eastAsia" w:ascii="宋体" w:hAnsi="宋体"/>
                <w:b/>
                <w:bCs/>
                <w:color w:val="auto"/>
                <w:szCs w:val="21"/>
                <w:highlight w:val="none"/>
              </w:rPr>
              <w:t>、所有证书必须真实、合规，在有效期内。</w:t>
            </w:r>
          </w:p>
          <w:p w14:paraId="1DF50E58">
            <w:pPr>
              <w:jc w:val="left"/>
              <w:rPr>
                <w:rFonts w:ascii="宋体" w:hAnsi="宋体"/>
                <w:b/>
                <w:bCs/>
                <w:color w:val="auto"/>
                <w:szCs w:val="21"/>
                <w:highlight w:val="none"/>
              </w:rPr>
            </w:pPr>
            <w:r>
              <w:rPr>
                <w:rFonts w:ascii="宋体" w:hAnsi="宋体"/>
                <w:b/>
                <w:bCs/>
                <w:color w:val="auto"/>
                <w:szCs w:val="21"/>
                <w:highlight w:val="none"/>
              </w:rPr>
              <w:t>2</w:t>
            </w:r>
            <w:r>
              <w:rPr>
                <w:rFonts w:hint="eastAsia" w:ascii="宋体" w:hAnsi="宋体"/>
                <w:b/>
                <w:bCs/>
                <w:color w:val="auto"/>
                <w:szCs w:val="21"/>
                <w:highlight w:val="none"/>
              </w:rPr>
              <w:t>、投标文件中须提供清晰可辨的证书彩色扫描件并加盖投标人公章。</w:t>
            </w:r>
          </w:p>
          <w:p w14:paraId="3176E57F">
            <w:pPr>
              <w:jc w:val="left"/>
              <w:rPr>
                <w:rFonts w:ascii="宋体" w:hAnsi="宋体"/>
                <w:color w:val="auto"/>
                <w:szCs w:val="21"/>
                <w:highlight w:val="none"/>
              </w:rPr>
            </w:pPr>
            <w:r>
              <w:rPr>
                <w:rFonts w:ascii="宋体" w:hAnsi="宋体"/>
                <w:b/>
                <w:bCs/>
                <w:color w:val="auto"/>
                <w:szCs w:val="21"/>
                <w:highlight w:val="none"/>
              </w:rPr>
              <w:t>3</w:t>
            </w:r>
            <w:r>
              <w:rPr>
                <w:rFonts w:hint="eastAsia" w:ascii="宋体" w:hAnsi="宋体"/>
                <w:b/>
                <w:bCs/>
                <w:color w:val="auto"/>
                <w:szCs w:val="21"/>
                <w:highlight w:val="none"/>
              </w:rPr>
              <w:t>、如投标人提供的证书扫描件因模糊不清而造成评标委员会在评审时做出对投标人不利的评审由投标人自行承担。</w:t>
            </w:r>
            <w:bookmarkEnd w:id="43"/>
          </w:p>
        </w:tc>
      </w:tr>
      <w:tr w14:paraId="0820DE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4" w:hRule="atLeast"/>
        </w:trPr>
        <w:tc>
          <w:tcPr>
            <w:tcW w:w="724" w:type="dxa"/>
            <w:shd w:val="clear" w:color="000000" w:fill="FFFFFF"/>
            <w:vAlign w:val="center"/>
          </w:tcPr>
          <w:p w14:paraId="6A109DAD">
            <w:pPr>
              <w:jc w:val="center"/>
              <w:rPr>
                <w:color w:val="auto"/>
                <w:szCs w:val="21"/>
                <w:highlight w:val="none"/>
              </w:rPr>
            </w:pPr>
            <w:r>
              <w:rPr>
                <w:rFonts w:hint="eastAsia"/>
                <w:color w:val="auto"/>
                <w:szCs w:val="21"/>
                <w:highlight w:val="none"/>
              </w:rPr>
              <w:t>3</w:t>
            </w:r>
          </w:p>
        </w:tc>
        <w:tc>
          <w:tcPr>
            <w:tcW w:w="1701" w:type="dxa"/>
            <w:shd w:val="clear" w:color="000000" w:fill="FFFFFF"/>
            <w:vAlign w:val="center"/>
          </w:tcPr>
          <w:p w14:paraId="7F01D459">
            <w:pPr>
              <w:jc w:val="center"/>
              <w:rPr>
                <w:rFonts w:ascii="宋体" w:hAnsi="宋体"/>
                <w:color w:val="auto"/>
                <w:szCs w:val="21"/>
                <w:highlight w:val="none"/>
              </w:rPr>
            </w:pPr>
            <w:r>
              <w:rPr>
                <w:rFonts w:hint="eastAsia" w:ascii="宋体" w:hAnsi="宋体"/>
                <w:color w:val="auto"/>
                <w:szCs w:val="21"/>
                <w:highlight w:val="none"/>
              </w:rPr>
              <w:t>项目负责人</w:t>
            </w:r>
          </w:p>
        </w:tc>
        <w:tc>
          <w:tcPr>
            <w:tcW w:w="706" w:type="dxa"/>
            <w:shd w:val="clear" w:color="000000" w:fill="FFFFFF"/>
            <w:vAlign w:val="center"/>
          </w:tcPr>
          <w:p w14:paraId="2EB209EE">
            <w:pPr>
              <w:jc w:val="center"/>
              <w:rPr>
                <w:rFonts w:ascii="宋体" w:hAnsi="宋体"/>
                <w:bCs/>
                <w:color w:val="auto"/>
                <w:szCs w:val="21"/>
                <w:highlight w:val="none"/>
              </w:rPr>
            </w:pPr>
            <w:r>
              <w:rPr>
                <w:rFonts w:hint="eastAsia" w:ascii="宋体" w:hAnsi="宋体"/>
                <w:bCs/>
                <w:color w:val="auto"/>
                <w:szCs w:val="21"/>
                <w:highlight w:val="none"/>
                <w:lang w:val="en-US" w:eastAsia="zh-CN"/>
              </w:rPr>
              <w:t>5</w:t>
            </w:r>
            <w:r>
              <w:rPr>
                <w:rFonts w:hint="eastAsia" w:ascii="宋体" w:hAnsi="宋体"/>
                <w:bCs/>
                <w:color w:val="auto"/>
                <w:szCs w:val="21"/>
                <w:highlight w:val="none"/>
              </w:rPr>
              <w:t>分</w:t>
            </w:r>
          </w:p>
        </w:tc>
        <w:tc>
          <w:tcPr>
            <w:tcW w:w="6149" w:type="dxa"/>
            <w:shd w:val="clear" w:color="000000" w:fill="FFFFFF"/>
            <w:vAlign w:val="center"/>
          </w:tcPr>
          <w:p w14:paraId="0CD86285">
            <w:pPr>
              <w:jc w:val="left"/>
              <w:rPr>
                <w:rFonts w:hint="eastAsia"/>
                <w:color w:val="auto"/>
                <w:highlight w:val="none"/>
              </w:rPr>
            </w:pPr>
            <w:r>
              <w:rPr>
                <w:rFonts w:hint="eastAsia"/>
                <w:color w:val="auto"/>
                <w:highlight w:val="none"/>
                <w:lang w:val="en-US" w:eastAsia="zh-CN"/>
              </w:rPr>
              <w:t>1、拟派</w:t>
            </w:r>
            <w:r>
              <w:rPr>
                <w:rFonts w:hint="eastAsia"/>
                <w:color w:val="auto"/>
                <w:highlight w:val="none"/>
              </w:rPr>
              <w:t>项目负责人具备高级工程师及以上技术职称的，得</w:t>
            </w:r>
            <w:r>
              <w:rPr>
                <w:rFonts w:hint="eastAsia"/>
                <w:color w:val="auto"/>
                <w:highlight w:val="none"/>
                <w:lang w:val="en-US" w:eastAsia="zh-CN"/>
              </w:rPr>
              <w:t>2</w:t>
            </w:r>
            <w:r>
              <w:rPr>
                <w:rFonts w:hint="eastAsia"/>
                <w:color w:val="auto"/>
                <w:highlight w:val="none"/>
              </w:rPr>
              <w:t>分。</w:t>
            </w:r>
          </w:p>
          <w:p w14:paraId="59CFC3B3">
            <w:pPr>
              <w:jc w:val="left"/>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2、</w:t>
            </w:r>
            <w:r>
              <w:rPr>
                <w:rFonts w:hint="eastAsia" w:ascii="宋体" w:hAnsi="宋体"/>
                <w:color w:val="auto"/>
                <w:szCs w:val="21"/>
                <w:highlight w:val="none"/>
              </w:rPr>
              <w:t>提供</w:t>
            </w:r>
            <w:r>
              <w:rPr>
                <w:rFonts w:hint="eastAsia" w:ascii="宋体" w:hAnsi="宋体"/>
                <w:color w:val="auto"/>
                <w:szCs w:val="21"/>
                <w:highlight w:val="none"/>
                <w:lang w:val="en-US" w:eastAsia="zh-CN"/>
              </w:rPr>
              <w:t>项目负责人自</w:t>
            </w:r>
            <w:r>
              <w:rPr>
                <w:rFonts w:hint="eastAsia" w:ascii="宋体" w:hAnsi="宋体"/>
                <w:color w:val="auto"/>
                <w:szCs w:val="21"/>
                <w:highlight w:val="none"/>
              </w:rPr>
              <w:t>202</w:t>
            </w:r>
            <w:r>
              <w:rPr>
                <w:rFonts w:hint="eastAsia" w:ascii="宋体" w:hAnsi="宋体"/>
                <w:color w:val="auto"/>
                <w:szCs w:val="21"/>
                <w:highlight w:val="none"/>
                <w:lang w:val="en-US" w:eastAsia="zh-CN"/>
              </w:rPr>
              <w:t>1</w:t>
            </w:r>
            <w:r>
              <w:rPr>
                <w:rFonts w:hint="eastAsia" w:ascii="宋体" w:hAnsi="宋体"/>
                <w:color w:val="auto"/>
                <w:szCs w:val="21"/>
                <w:highlight w:val="none"/>
              </w:rPr>
              <w:t>年1月1日以来（以合同签订时间为准）</w:t>
            </w:r>
            <w:r>
              <w:rPr>
                <w:rFonts w:hint="eastAsia" w:ascii="宋体" w:hAnsi="宋体" w:cs="宋体"/>
                <w:color w:val="auto"/>
                <w:kern w:val="0"/>
                <w:szCs w:val="21"/>
                <w:highlight w:val="none"/>
              </w:rPr>
              <w:t>施工阶段全过程造价控制</w:t>
            </w:r>
            <w:r>
              <w:rPr>
                <w:rFonts w:hint="eastAsia" w:ascii="宋体" w:hAnsi="宋体" w:cs="宋体"/>
                <w:color w:val="auto"/>
                <w:kern w:val="0"/>
                <w:szCs w:val="21"/>
                <w:highlight w:val="none"/>
                <w:lang w:val="en-US" w:eastAsia="zh-CN"/>
              </w:rPr>
              <w:t>类似</w:t>
            </w:r>
            <w:r>
              <w:rPr>
                <w:rFonts w:hint="eastAsia" w:ascii="宋体" w:hAnsi="宋体"/>
                <w:color w:val="auto"/>
                <w:szCs w:val="21"/>
                <w:highlight w:val="none"/>
              </w:rPr>
              <w:t>项目合同业绩的</w:t>
            </w:r>
            <w:r>
              <w:rPr>
                <w:rFonts w:hint="eastAsia" w:ascii="宋体" w:hAnsi="宋体"/>
                <w:color w:val="auto"/>
                <w:szCs w:val="21"/>
                <w:highlight w:val="none"/>
                <w:lang w:eastAsia="zh-CN"/>
              </w:rPr>
              <w:t>，</w:t>
            </w:r>
            <w:r>
              <w:rPr>
                <w:rFonts w:hint="eastAsia" w:ascii="宋体" w:hAnsi="宋体"/>
                <w:color w:val="auto"/>
                <w:szCs w:val="21"/>
                <w:highlight w:val="none"/>
                <w:lang w:val="en-US" w:eastAsia="zh-CN"/>
              </w:rPr>
              <w:t>每个</w:t>
            </w:r>
            <w:r>
              <w:rPr>
                <w:rFonts w:hint="eastAsia" w:ascii="宋体" w:hAnsi="宋体"/>
                <w:color w:val="auto"/>
                <w:szCs w:val="21"/>
                <w:highlight w:val="none"/>
              </w:rPr>
              <w:t>得1</w:t>
            </w:r>
            <w:r>
              <w:rPr>
                <w:rFonts w:hint="eastAsia" w:ascii="宋体" w:hAnsi="宋体"/>
                <w:color w:val="auto"/>
                <w:szCs w:val="21"/>
                <w:highlight w:val="none"/>
                <w:lang w:val="en-US" w:eastAsia="zh-CN"/>
              </w:rPr>
              <w:t>.5</w:t>
            </w:r>
            <w:r>
              <w:rPr>
                <w:rFonts w:hint="eastAsia" w:ascii="宋体" w:hAnsi="宋体"/>
                <w:color w:val="auto"/>
                <w:szCs w:val="21"/>
                <w:highlight w:val="none"/>
              </w:rPr>
              <w:t>分，最高得</w:t>
            </w:r>
            <w:r>
              <w:rPr>
                <w:rFonts w:hint="eastAsia" w:ascii="宋体" w:hAnsi="宋体"/>
                <w:color w:val="auto"/>
                <w:szCs w:val="21"/>
                <w:highlight w:val="none"/>
                <w:lang w:val="en-US" w:eastAsia="zh-CN"/>
              </w:rPr>
              <w:t>3</w:t>
            </w:r>
            <w:r>
              <w:rPr>
                <w:rFonts w:hint="eastAsia" w:ascii="宋体" w:hAnsi="宋体"/>
                <w:color w:val="auto"/>
                <w:szCs w:val="21"/>
                <w:highlight w:val="none"/>
              </w:rPr>
              <w:t>分。</w:t>
            </w:r>
          </w:p>
          <w:p w14:paraId="1A03822D">
            <w:pPr>
              <w:jc w:val="left"/>
              <w:rPr>
                <w:b/>
                <w:bCs/>
                <w:color w:val="auto"/>
                <w:highlight w:val="none"/>
              </w:rPr>
            </w:pPr>
            <w:r>
              <w:rPr>
                <w:rFonts w:hint="eastAsia"/>
                <w:b/>
                <w:bCs/>
                <w:color w:val="auto"/>
                <w:highlight w:val="none"/>
              </w:rPr>
              <w:t>备注：</w:t>
            </w:r>
          </w:p>
          <w:p w14:paraId="1A02DAEE">
            <w:pPr>
              <w:jc w:val="left"/>
              <w:rPr>
                <w:b/>
                <w:bCs/>
                <w:color w:val="auto"/>
                <w:highlight w:val="none"/>
              </w:rPr>
            </w:pPr>
            <w:r>
              <w:rPr>
                <w:b/>
                <w:bCs/>
                <w:color w:val="auto"/>
                <w:highlight w:val="none"/>
              </w:rPr>
              <w:t>1</w:t>
            </w:r>
            <w:r>
              <w:rPr>
                <w:rFonts w:hint="eastAsia"/>
                <w:b/>
                <w:bCs/>
                <w:color w:val="auto"/>
                <w:highlight w:val="none"/>
              </w:rPr>
              <w:t>、所有证书必须真实、合规，在有效期内。</w:t>
            </w:r>
          </w:p>
          <w:p w14:paraId="4B9B5078">
            <w:pPr>
              <w:jc w:val="left"/>
              <w:rPr>
                <w:rFonts w:hint="eastAsia" w:ascii="Times New Roman" w:hAnsi="Times New Roman" w:eastAsia="宋体" w:cs="Times New Roman"/>
                <w:b/>
                <w:bCs/>
                <w:color w:val="auto"/>
                <w:highlight w:val="none"/>
              </w:rPr>
            </w:pPr>
            <w:r>
              <w:rPr>
                <w:b/>
                <w:bCs/>
                <w:color w:val="auto"/>
                <w:highlight w:val="none"/>
              </w:rPr>
              <w:t>2</w:t>
            </w:r>
            <w:r>
              <w:rPr>
                <w:rFonts w:hint="eastAsia"/>
                <w:b/>
                <w:bCs/>
                <w:color w:val="auto"/>
                <w:highlight w:val="none"/>
              </w:rPr>
              <w:t>、投标文</w:t>
            </w:r>
            <w:r>
              <w:rPr>
                <w:rFonts w:hint="eastAsia" w:ascii="Times New Roman" w:hAnsi="Times New Roman" w:eastAsia="宋体" w:cs="Times New Roman"/>
                <w:b/>
                <w:bCs/>
                <w:color w:val="auto"/>
                <w:highlight w:val="none"/>
              </w:rPr>
              <w:t>件中须提供清晰可辨的证书彩色扫描件</w:t>
            </w:r>
            <w:r>
              <w:rPr>
                <w:rFonts w:hint="eastAsia" w:ascii="Times New Roman" w:hAnsi="Times New Roman" w:eastAsia="宋体" w:cs="Times New Roman"/>
                <w:b/>
                <w:bCs/>
                <w:color w:val="auto"/>
                <w:highlight w:val="none"/>
                <w:lang w:eastAsia="zh-CN"/>
              </w:rPr>
              <w:t>、</w:t>
            </w:r>
            <w:r>
              <w:rPr>
                <w:rFonts w:hint="eastAsia" w:ascii="Times New Roman" w:hAnsi="Times New Roman" w:eastAsia="宋体" w:cs="Times New Roman"/>
                <w:b/>
                <w:bCs/>
                <w:color w:val="auto"/>
                <w:highlight w:val="none"/>
              </w:rPr>
              <w:t>合同扫描件及每个合同业绩1张发票扫描件并加盖投标人公章。</w:t>
            </w:r>
          </w:p>
          <w:p w14:paraId="2627D116">
            <w:pPr>
              <w:jc w:val="left"/>
              <w:rPr>
                <w:b/>
                <w:bCs/>
                <w:color w:val="auto"/>
                <w:highlight w:val="none"/>
              </w:rPr>
            </w:pPr>
            <w:r>
              <w:rPr>
                <w:b/>
                <w:bCs/>
                <w:color w:val="auto"/>
                <w:highlight w:val="none"/>
              </w:rPr>
              <w:t>3</w:t>
            </w:r>
            <w:r>
              <w:rPr>
                <w:rFonts w:hint="eastAsia"/>
                <w:b/>
                <w:bCs/>
                <w:color w:val="auto"/>
                <w:highlight w:val="none"/>
              </w:rPr>
              <w:t>、如投标人提供的证书扫描件因模糊不清而造成评标委员会在评审时做出对投标人不利的评审由投标人自行承担。</w:t>
            </w:r>
          </w:p>
          <w:p w14:paraId="7D820E18">
            <w:pPr>
              <w:jc w:val="left"/>
              <w:rPr>
                <w:color w:val="auto"/>
                <w:highlight w:val="none"/>
              </w:rPr>
            </w:pPr>
            <w:r>
              <w:rPr>
                <w:b/>
                <w:bCs/>
                <w:color w:val="auto"/>
                <w:highlight w:val="none"/>
              </w:rPr>
              <w:t>4</w:t>
            </w:r>
            <w:r>
              <w:rPr>
                <w:rFonts w:hint="eastAsia"/>
                <w:b/>
                <w:bCs/>
                <w:color w:val="auto"/>
                <w:highlight w:val="none"/>
              </w:rPr>
              <w:t>、提供由投标人为上述人员缴纳的近</w:t>
            </w:r>
            <w:r>
              <w:rPr>
                <w:rFonts w:hint="eastAsia"/>
                <w:b/>
                <w:bCs/>
                <w:color w:val="auto"/>
                <w:highlight w:val="none"/>
                <w:lang w:val="en-US" w:eastAsia="zh-CN"/>
              </w:rPr>
              <w:t>3个月</w:t>
            </w:r>
            <w:r>
              <w:rPr>
                <w:rFonts w:hint="eastAsia"/>
                <w:b/>
                <w:bCs/>
                <w:color w:val="auto"/>
                <w:highlight w:val="none"/>
              </w:rPr>
              <w:t>社保缴纳证明材料（如为社会保险机构盖章的网上打印件亦可），未按上述规定提供社保资料的不得分。</w:t>
            </w:r>
          </w:p>
        </w:tc>
      </w:tr>
      <w:tr w14:paraId="5BA1AD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trPr>
        <w:tc>
          <w:tcPr>
            <w:tcW w:w="724" w:type="dxa"/>
            <w:shd w:val="clear" w:color="000000" w:fill="FFFFFF"/>
            <w:vAlign w:val="center"/>
          </w:tcPr>
          <w:p w14:paraId="3F26CA71">
            <w:pPr>
              <w:jc w:val="center"/>
              <w:rPr>
                <w:color w:val="auto"/>
                <w:szCs w:val="21"/>
                <w:highlight w:val="none"/>
              </w:rPr>
            </w:pPr>
            <w:r>
              <w:rPr>
                <w:rFonts w:hint="eastAsia"/>
                <w:color w:val="auto"/>
                <w:szCs w:val="21"/>
                <w:highlight w:val="none"/>
              </w:rPr>
              <w:t>4</w:t>
            </w:r>
          </w:p>
        </w:tc>
        <w:tc>
          <w:tcPr>
            <w:tcW w:w="1701" w:type="dxa"/>
            <w:vAlign w:val="center"/>
          </w:tcPr>
          <w:p w14:paraId="6A3E8B36">
            <w:pPr>
              <w:pStyle w:val="62"/>
              <w:jc w:val="center"/>
              <w:rPr>
                <w:color w:val="auto"/>
                <w:sz w:val="21"/>
                <w:szCs w:val="21"/>
                <w:highlight w:val="none"/>
              </w:rPr>
            </w:pPr>
            <w:r>
              <w:rPr>
                <w:rFonts w:hint="eastAsia" w:hAnsi="宋体"/>
                <w:color w:val="auto"/>
                <w:sz w:val="21"/>
                <w:szCs w:val="21"/>
                <w:highlight w:val="none"/>
              </w:rPr>
              <w:t>项目团队情况（项目负责人除外）</w:t>
            </w:r>
          </w:p>
        </w:tc>
        <w:tc>
          <w:tcPr>
            <w:tcW w:w="706" w:type="dxa"/>
            <w:vAlign w:val="center"/>
          </w:tcPr>
          <w:p w14:paraId="03006DE2">
            <w:pPr>
              <w:pStyle w:val="62"/>
              <w:jc w:val="center"/>
              <w:rPr>
                <w:color w:val="auto"/>
                <w:sz w:val="21"/>
                <w:szCs w:val="21"/>
                <w:highlight w:val="none"/>
              </w:rPr>
            </w:pPr>
            <w:r>
              <w:rPr>
                <w:rFonts w:hint="eastAsia" w:hAnsi="宋体"/>
                <w:bCs/>
                <w:color w:val="auto"/>
                <w:sz w:val="21"/>
                <w:szCs w:val="21"/>
                <w:highlight w:val="none"/>
              </w:rPr>
              <w:t>1</w:t>
            </w:r>
            <w:r>
              <w:rPr>
                <w:rFonts w:hint="eastAsia" w:hAnsi="宋体"/>
                <w:bCs/>
                <w:color w:val="auto"/>
                <w:sz w:val="21"/>
                <w:szCs w:val="21"/>
                <w:highlight w:val="none"/>
                <w:lang w:val="en-US" w:eastAsia="zh-CN"/>
              </w:rPr>
              <w:t>3</w:t>
            </w:r>
            <w:r>
              <w:rPr>
                <w:rFonts w:hint="eastAsia" w:hAnsi="宋体"/>
                <w:bCs/>
                <w:color w:val="auto"/>
                <w:sz w:val="21"/>
                <w:szCs w:val="21"/>
                <w:highlight w:val="none"/>
              </w:rPr>
              <w:t>分</w:t>
            </w:r>
          </w:p>
        </w:tc>
        <w:tc>
          <w:tcPr>
            <w:tcW w:w="6149" w:type="dxa"/>
            <w:vAlign w:val="center"/>
          </w:tcPr>
          <w:p w14:paraId="491DEAF0">
            <w:pPr>
              <w:jc w:val="left"/>
              <w:rPr>
                <w:color w:val="auto"/>
                <w:highlight w:val="none"/>
              </w:rPr>
            </w:pPr>
            <w:r>
              <w:rPr>
                <w:rFonts w:hint="eastAsia"/>
                <w:color w:val="auto"/>
                <w:highlight w:val="none"/>
              </w:rPr>
              <w:t>1、拟派项目组成员中具有高级及以上专业技术职称的每个得</w:t>
            </w:r>
            <w:r>
              <w:rPr>
                <w:rFonts w:hint="eastAsia"/>
                <w:color w:val="auto"/>
                <w:highlight w:val="none"/>
                <w:lang w:val="en-US" w:eastAsia="zh-CN"/>
              </w:rPr>
              <w:t>2</w:t>
            </w:r>
            <w:r>
              <w:rPr>
                <w:rFonts w:hint="eastAsia"/>
                <w:color w:val="auto"/>
                <w:highlight w:val="none"/>
              </w:rPr>
              <w:t>分，最多得</w:t>
            </w:r>
            <w:r>
              <w:rPr>
                <w:rFonts w:hint="eastAsia"/>
                <w:color w:val="auto"/>
                <w:highlight w:val="none"/>
                <w:lang w:val="en-US" w:eastAsia="zh-CN"/>
              </w:rPr>
              <w:t>4</w:t>
            </w:r>
            <w:r>
              <w:rPr>
                <w:rFonts w:hint="eastAsia"/>
                <w:color w:val="auto"/>
                <w:highlight w:val="none"/>
              </w:rPr>
              <w:t>分。</w:t>
            </w:r>
          </w:p>
          <w:p w14:paraId="4BD72607">
            <w:pPr>
              <w:keepNext w:val="0"/>
              <w:keepLines w:val="0"/>
              <w:pageBreakBefore w:val="0"/>
              <w:widowControl w:val="0"/>
              <w:kinsoku/>
              <w:wordWrap/>
              <w:overflowPunct/>
              <w:topLinePunct w:val="0"/>
              <w:bidi w:val="0"/>
              <w:snapToGrid/>
              <w:spacing w:line="240" w:lineRule="auto"/>
              <w:jc w:val="left"/>
              <w:textAlignment w:val="auto"/>
              <w:rPr>
                <w:rFonts w:hint="eastAsia" w:ascii="Times New Roman" w:hAnsi="Times New Roman" w:eastAsia="宋体" w:cs="Times New Roman"/>
                <w:color w:val="auto"/>
                <w:sz w:val="21"/>
                <w:szCs w:val="21"/>
                <w:highlight w:val="none"/>
                <w:lang w:val="en-US" w:eastAsia="zh-CN"/>
              </w:rPr>
            </w:pPr>
            <w:r>
              <w:rPr>
                <w:rFonts w:hint="eastAsia"/>
                <w:color w:val="auto"/>
                <w:highlight w:val="none"/>
                <w:lang w:val="en-US" w:eastAsia="zh-CN"/>
              </w:rPr>
              <w:t>2、</w:t>
            </w:r>
            <w:r>
              <w:rPr>
                <w:rFonts w:hint="eastAsia" w:ascii="Times New Roman" w:hAnsi="Times New Roman" w:eastAsia="宋体" w:cs="Times New Roman"/>
                <w:color w:val="auto"/>
                <w:sz w:val="21"/>
                <w:szCs w:val="21"/>
                <w:highlight w:val="none"/>
                <w:lang w:val="en-US" w:eastAsia="zh-CN"/>
              </w:rPr>
              <w:t>拟派团队成员数量在满足招标需求的基础上，每增加1名具有注册一级造价工程师执业证书的（</w:t>
            </w:r>
            <w:r>
              <w:rPr>
                <w:rFonts w:hint="eastAsia"/>
                <w:color w:val="auto"/>
                <w:highlight w:val="none"/>
                <w:lang w:val="en-US" w:eastAsia="zh-CN"/>
              </w:rPr>
              <w:t>交通运输工程</w:t>
            </w:r>
            <w:r>
              <w:rPr>
                <w:rFonts w:hint="eastAsia"/>
                <w:color w:val="auto"/>
                <w:highlight w:val="none"/>
              </w:rPr>
              <w:t>专业</w:t>
            </w:r>
            <w:r>
              <w:rPr>
                <w:rFonts w:hint="eastAsia"/>
                <w:color w:val="auto"/>
                <w:highlight w:val="none"/>
                <w:lang w:val="en-US" w:eastAsia="zh-CN"/>
              </w:rPr>
              <w:t>或</w:t>
            </w:r>
            <w:r>
              <w:rPr>
                <w:rFonts w:hint="eastAsia" w:ascii="Times New Roman" w:hAnsi="Times New Roman" w:eastAsia="宋体" w:cs="Times New Roman"/>
                <w:color w:val="auto"/>
                <w:sz w:val="21"/>
                <w:szCs w:val="21"/>
                <w:highlight w:val="none"/>
                <w:lang w:val="en-US" w:eastAsia="zh-CN"/>
              </w:rPr>
              <w:t>土木建筑专业）得3分，最多得9分。</w:t>
            </w:r>
          </w:p>
          <w:p w14:paraId="589B20DC">
            <w:pPr>
              <w:jc w:val="left"/>
              <w:rPr>
                <w:b/>
                <w:bCs/>
                <w:color w:val="auto"/>
                <w:highlight w:val="none"/>
              </w:rPr>
            </w:pPr>
            <w:r>
              <w:rPr>
                <w:rFonts w:hint="eastAsia"/>
                <w:b/>
                <w:bCs/>
                <w:color w:val="auto"/>
                <w:highlight w:val="none"/>
              </w:rPr>
              <w:t>备注：</w:t>
            </w:r>
          </w:p>
          <w:p w14:paraId="12AA3B6B">
            <w:pPr>
              <w:jc w:val="left"/>
              <w:rPr>
                <w:b/>
                <w:bCs/>
                <w:color w:val="auto"/>
                <w:highlight w:val="none"/>
              </w:rPr>
            </w:pPr>
            <w:r>
              <w:rPr>
                <w:b/>
                <w:bCs/>
                <w:color w:val="auto"/>
                <w:highlight w:val="none"/>
              </w:rPr>
              <w:t>1</w:t>
            </w:r>
            <w:r>
              <w:rPr>
                <w:rFonts w:hint="eastAsia"/>
                <w:b/>
                <w:bCs/>
                <w:color w:val="auto"/>
                <w:highlight w:val="none"/>
              </w:rPr>
              <w:t>、所有证书必须真实、合规，在有效期内。造价工程师执业证书</w:t>
            </w:r>
            <w:r>
              <w:rPr>
                <w:rFonts w:hint="eastAsia"/>
                <w:b/>
                <w:color w:val="auto"/>
                <w:szCs w:val="21"/>
                <w:highlight w:val="none"/>
                <w:lang w:val="zh-CN"/>
              </w:rPr>
              <w:t>一人</w:t>
            </w:r>
            <w:r>
              <w:rPr>
                <w:rFonts w:hint="eastAsia"/>
                <w:b/>
                <w:color w:val="auto"/>
                <w:szCs w:val="21"/>
                <w:highlight w:val="none"/>
              </w:rPr>
              <w:t>多证</w:t>
            </w:r>
            <w:r>
              <w:rPr>
                <w:rFonts w:hint="eastAsia"/>
                <w:b/>
                <w:color w:val="auto"/>
                <w:szCs w:val="21"/>
                <w:highlight w:val="none"/>
                <w:lang w:val="zh-CN"/>
              </w:rPr>
              <w:t>不累计，</w:t>
            </w:r>
            <w:r>
              <w:rPr>
                <w:rFonts w:hint="eastAsia"/>
                <w:b/>
                <w:bCs/>
                <w:color w:val="auto"/>
                <w:highlight w:val="none"/>
              </w:rPr>
              <w:t>造价工程师执业证书和职称证书可累计。</w:t>
            </w:r>
          </w:p>
          <w:p w14:paraId="3F19CE9F">
            <w:pPr>
              <w:jc w:val="left"/>
              <w:rPr>
                <w:b/>
                <w:bCs/>
                <w:color w:val="auto"/>
                <w:highlight w:val="none"/>
              </w:rPr>
            </w:pPr>
            <w:r>
              <w:rPr>
                <w:b/>
                <w:bCs/>
                <w:color w:val="auto"/>
                <w:highlight w:val="none"/>
              </w:rPr>
              <w:t>2</w:t>
            </w:r>
            <w:r>
              <w:rPr>
                <w:rFonts w:hint="eastAsia"/>
                <w:b/>
                <w:bCs/>
                <w:color w:val="auto"/>
                <w:highlight w:val="none"/>
              </w:rPr>
              <w:t>、投标文件中须提供清晰可辨的证书彩色扫描件并加盖投标人公章。</w:t>
            </w:r>
          </w:p>
          <w:p w14:paraId="141EB844">
            <w:pPr>
              <w:jc w:val="left"/>
              <w:rPr>
                <w:b/>
                <w:bCs/>
                <w:color w:val="auto"/>
                <w:highlight w:val="none"/>
              </w:rPr>
            </w:pPr>
            <w:r>
              <w:rPr>
                <w:b/>
                <w:bCs/>
                <w:color w:val="auto"/>
                <w:highlight w:val="none"/>
              </w:rPr>
              <w:t>3</w:t>
            </w:r>
            <w:r>
              <w:rPr>
                <w:rFonts w:hint="eastAsia"/>
                <w:b/>
                <w:bCs/>
                <w:color w:val="auto"/>
                <w:highlight w:val="none"/>
              </w:rPr>
              <w:t>、如投标人提供的证书扫描件因模糊不清而造成评标委员会在评审时做出对投标人不利的评审由投标人自行承担。</w:t>
            </w:r>
          </w:p>
          <w:p w14:paraId="696F7BAB">
            <w:pPr>
              <w:jc w:val="left"/>
              <w:rPr>
                <w:b/>
                <w:bCs/>
                <w:color w:val="auto"/>
                <w:highlight w:val="none"/>
              </w:rPr>
            </w:pPr>
            <w:r>
              <w:rPr>
                <w:b/>
                <w:bCs/>
                <w:color w:val="auto"/>
                <w:highlight w:val="none"/>
              </w:rPr>
              <w:t>4</w:t>
            </w:r>
            <w:r>
              <w:rPr>
                <w:rFonts w:hint="eastAsia"/>
                <w:b/>
                <w:bCs/>
                <w:color w:val="auto"/>
                <w:highlight w:val="none"/>
              </w:rPr>
              <w:t>、提供由投标人为上述人员缴纳的近</w:t>
            </w:r>
            <w:r>
              <w:rPr>
                <w:rFonts w:hint="eastAsia"/>
                <w:b/>
                <w:bCs/>
                <w:color w:val="auto"/>
                <w:highlight w:val="none"/>
                <w:lang w:val="en-US" w:eastAsia="zh-CN"/>
              </w:rPr>
              <w:t>3个月</w:t>
            </w:r>
            <w:r>
              <w:rPr>
                <w:rFonts w:hint="eastAsia"/>
                <w:b/>
                <w:bCs/>
                <w:color w:val="auto"/>
                <w:highlight w:val="none"/>
              </w:rPr>
              <w:t>社保缴纳证明材料（如为社会保险机构盖章的网上打印件亦可），未按上述规定提供社保资料的不得分。</w:t>
            </w:r>
          </w:p>
          <w:p w14:paraId="3D1E084D">
            <w:pPr>
              <w:jc w:val="left"/>
              <w:rPr>
                <w:b/>
                <w:bCs/>
                <w:color w:val="auto"/>
                <w:highlight w:val="none"/>
              </w:rPr>
            </w:pPr>
            <w:r>
              <w:rPr>
                <w:rFonts w:hint="eastAsia"/>
                <w:b/>
                <w:bCs/>
                <w:color w:val="auto"/>
                <w:highlight w:val="none"/>
              </w:rPr>
              <w:t>5.造价工程师已注册未领证或因换证、年审、变更等原因无法提供证书原件扫描件的，须提供相关主管部门证明原件扫描件及造价工程师注册管理系统的打印件。</w:t>
            </w:r>
          </w:p>
          <w:p w14:paraId="64658AE1">
            <w:pPr>
              <w:jc w:val="left"/>
              <w:rPr>
                <w:color w:val="auto"/>
                <w:highlight w:val="none"/>
              </w:rPr>
            </w:pPr>
            <w:r>
              <w:rPr>
                <w:rFonts w:hint="eastAsia"/>
                <w:b/>
                <w:bCs/>
                <w:color w:val="auto"/>
                <w:highlight w:val="none"/>
              </w:rPr>
              <w:t>6、注册一级造价工程师执业证书指《中华人民共和国造价工程师注册证书》、《中华人民共和国一级造价工程师注册证书》。</w:t>
            </w:r>
          </w:p>
        </w:tc>
      </w:tr>
      <w:tr w14:paraId="5EE44F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5" w:hRule="atLeast"/>
        </w:trPr>
        <w:tc>
          <w:tcPr>
            <w:tcW w:w="724" w:type="dxa"/>
            <w:shd w:val="clear" w:color="000000" w:fill="FFFFFF"/>
            <w:vAlign w:val="center"/>
          </w:tcPr>
          <w:p w14:paraId="5B76F966">
            <w:pPr>
              <w:jc w:val="center"/>
              <w:rPr>
                <w:rFonts w:hint="eastAsia" w:eastAsia="宋体"/>
                <w:color w:val="auto"/>
                <w:szCs w:val="21"/>
                <w:highlight w:val="none"/>
                <w:lang w:eastAsia="zh-CN"/>
              </w:rPr>
            </w:pPr>
            <w:r>
              <w:rPr>
                <w:rFonts w:hint="eastAsia"/>
                <w:color w:val="auto"/>
                <w:szCs w:val="21"/>
                <w:highlight w:val="none"/>
                <w:lang w:val="en-US" w:eastAsia="zh-CN"/>
              </w:rPr>
              <w:t>5</w:t>
            </w:r>
          </w:p>
        </w:tc>
        <w:tc>
          <w:tcPr>
            <w:tcW w:w="1701" w:type="dxa"/>
            <w:shd w:val="clear" w:color="000000" w:fill="FFFFFF"/>
            <w:vAlign w:val="center"/>
          </w:tcPr>
          <w:p w14:paraId="232EC71C">
            <w:pPr>
              <w:jc w:val="center"/>
              <w:rPr>
                <w:rFonts w:ascii="宋体" w:hAnsi="宋体"/>
                <w:color w:val="auto"/>
                <w:szCs w:val="21"/>
                <w:highlight w:val="none"/>
              </w:rPr>
            </w:pPr>
            <w:r>
              <w:rPr>
                <w:rFonts w:hint="eastAsia" w:ascii="宋体" w:hAnsi="宋体"/>
                <w:color w:val="auto"/>
                <w:szCs w:val="21"/>
                <w:highlight w:val="none"/>
              </w:rPr>
              <w:t>投标人业绩</w:t>
            </w:r>
          </w:p>
        </w:tc>
        <w:tc>
          <w:tcPr>
            <w:tcW w:w="706" w:type="dxa"/>
            <w:shd w:val="clear" w:color="000000" w:fill="FFFFFF"/>
            <w:vAlign w:val="center"/>
          </w:tcPr>
          <w:p w14:paraId="7CF115AD">
            <w:pPr>
              <w:jc w:val="center"/>
              <w:rPr>
                <w:rFonts w:ascii="宋体" w:hAnsi="宋体"/>
                <w:bCs/>
                <w:color w:val="auto"/>
                <w:szCs w:val="21"/>
                <w:highlight w:val="none"/>
              </w:rPr>
            </w:pPr>
            <w:r>
              <w:rPr>
                <w:rFonts w:hint="eastAsia" w:ascii="宋体" w:hAnsi="宋体"/>
                <w:bCs/>
                <w:color w:val="auto"/>
                <w:szCs w:val="21"/>
                <w:highlight w:val="none"/>
                <w:lang w:val="en-US" w:eastAsia="zh-CN"/>
              </w:rPr>
              <w:t>2</w:t>
            </w:r>
            <w:r>
              <w:rPr>
                <w:rFonts w:hint="eastAsia" w:ascii="宋体" w:hAnsi="宋体"/>
                <w:bCs/>
                <w:color w:val="auto"/>
                <w:szCs w:val="21"/>
                <w:highlight w:val="none"/>
              </w:rPr>
              <w:t>分</w:t>
            </w:r>
          </w:p>
        </w:tc>
        <w:tc>
          <w:tcPr>
            <w:tcW w:w="6149" w:type="dxa"/>
            <w:shd w:val="clear" w:color="000000" w:fill="FFFFFF"/>
            <w:vAlign w:val="center"/>
          </w:tcPr>
          <w:p w14:paraId="68A16E95">
            <w:pPr>
              <w:jc w:val="left"/>
              <w:rPr>
                <w:rFonts w:hint="eastAsia" w:ascii="宋体" w:hAnsi="宋体"/>
                <w:color w:val="auto"/>
                <w:szCs w:val="21"/>
                <w:highlight w:val="none"/>
              </w:rPr>
            </w:pPr>
            <w:r>
              <w:rPr>
                <w:rFonts w:hint="eastAsia" w:ascii="宋体" w:hAnsi="宋体"/>
                <w:color w:val="auto"/>
                <w:szCs w:val="21"/>
                <w:highlight w:val="none"/>
              </w:rPr>
              <w:t>提供202</w:t>
            </w:r>
            <w:r>
              <w:rPr>
                <w:rFonts w:hint="eastAsia" w:ascii="宋体" w:hAnsi="宋体"/>
                <w:color w:val="auto"/>
                <w:szCs w:val="21"/>
                <w:highlight w:val="none"/>
                <w:lang w:val="en-US" w:eastAsia="zh-CN"/>
              </w:rPr>
              <w:t>3</w:t>
            </w:r>
            <w:r>
              <w:rPr>
                <w:rFonts w:hint="eastAsia" w:ascii="宋体" w:hAnsi="宋体"/>
                <w:color w:val="auto"/>
                <w:szCs w:val="21"/>
                <w:highlight w:val="none"/>
              </w:rPr>
              <w:t>年1月1日以来（以合同签订时间为准）</w:t>
            </w:r>
            <w:r>
              <w:rPr>
                <w:rFonts w:hint="eastAsia" w:ascii="宋体" w:hAnsi="宋体" w:cs="宋体"/>
                <w:color w:val="auto"/>
                <w:kern w:val="0"/>
                <w:szCs w:val="21"/>
                <w:highlight w:val="none"/>
              </w:rPr>
              <w:t>施工阶段全过程造价控制</w:t>
            </w:r>
            <w:r>
              <w:rPr>
                <w:rFonts w:hint="eastAsia" w:ascii="宋体" w:hAnsi="宋体" w:cs="宋体"/>
                <w:color w:val="auto"/>
                <w:kern w:val="0"/>
                <w:szCs w:val="21"/>
                <w:highlight w:val="none"/>
                <w:lang w:val="en-US" w:eastAsia="zh-CN"/>
              </w:rPr>
              <w:t>类似</w:t>
            </w:r>
            <w:r>
              <w:rPr>
                <w:rFonts w:hint="eastAsia" w:ascii="宋体" w:hAnsi="宋体"/>
                <w:color w:val="auto"/>
                <w:szCs w:val="21"/>
                <w:highlight w:val="none"/>
              </w:rPr>
              <w:t>项目合同业绩的得</w:t>
            </w:r>
            <w:r>
              <w:rPr>
                <w:rFonts w:hint="eastAsia" w:ascii="宋体" w:hAnsi="宋体"/>
                <w:color w:val="auto"/>
                <w:szCs w:val="21"/>
                <w:highlight w:val="none"/>
                <w:lang w:val="en-US" w:eastAsia="zh-CN"/>
              </w:rPr>
              <w:t>1</w:t>
            </w:r>
            <w:r>
              <w:rPr>
                <w:rFonts w:hint="eastAsia" w:ascii="宋体" w:hAnsi="宋体"/>
                <w:color w:val="auto"/>
                <w:szCs w:val="21"/>
                <w:highlight w:val="none"/>
              </w:rPr>
              <w:t>分，最高得</w:t>
            </w:r>
            <w:r>
              <w:rPr>
                <w:rFonts w:hint="eastAsia" w:ascii="宋体" w:hAnsi="宋体"/>
                <w:color w:val="auto"/>
                <w:szCs w:val="21"/>
                <w:highlight w:val="none"/>
                <w:lang w:val="en-US" w:eastAsia="zh-CN"/>
              </w:rPr>
              <w:t>2</w:t>
            </w:r>
            <w:r>
              <w:rPr>
                <w:rFonts w:hint="eastAsia" w:ascii="宋体" w:hAnsi="宋体"/>
                <w:color w:val="auto"/>
                <w:szCs w:val="21"/>
                <w:highlight w:val="none"/>
              </w:rPr>
              <w:t>分。</w:t>
            </w:r>
          </w:p>
          <w:p w14:paraId="52F1FC9C">
            <w:pPr>
              <w:jc w:val="left"/>
              <w:rPr>
                <w:rFonts w:ascii="宋体" w:hAnsi="宋体"/>
                <w:color w:val="auto"/>
                <w:szCs w:val="21"/>
                <w:highlight w:val="none"/>
              </w:rPr>
            </w:pPr>
            <w:r>
              <w:rPr>
                <w:rFonts w:hint="eastAsia" w:ascii="宋体" w:hAnsi="宋体"/>
                <w:color w:val="auto"/>
                <w:szCs w:val="21"/>
                <w:highlight w:val="none"/>
              </w:rPr>
              <w:t>备注：</w:t>
            </w:r>
          </w:p>
          <w:p w14:paraId="5A892B47">
            <w:pPr>
              <w:jc w:val="left"/>
              <w:rPr>
                <w:rFonts w:hint="eastAsia" w:ascii="Times New Roman" w:hAnsi="Times New Roman" w:eastAsia="宋体" w:cs="Times New Roman"/>
                <w:b/>
                <w:bCs/>
                <w:color w:val="auto"/>
                <w:highlight w:val="none"/>
              </w:rPr>
            </w:pPr>
            <w:r>
              <w:rPr>
                <w:rFonts w:hint="eastAsia" w:ascii="Times New Roman" w:hAnsi="Times New Roman" w:eastAsia="宋体" w:cs="Times New Roman"/>
                <w:b/>
                <w:bCs/>
                <w:color w:val="auto"/>
                <w:highlight w:val="none"/>
              </w:rPr>
              <w:t>1、合同业绩须为本次投标人的业绩，投标人的独立法人子公司、参股公司的业绩均不予认可。</w:t>
            </w:r>
          </w:p>
          <w:p w14:paraId="781B09F2">
            <w:pPr>
              <w:jc w:val="left"/>
              <w:rPr>
                <w:rFonts w:hint="eastAsia" w:ascii="Times New Roman" w:hAnsi="Times New Roman" w:eastAsia="宋体" w:cs="Times New Roman"/>
                <w:b/>
                <w:bCs/>
                <w:color w:val="auto"/>
                <w:highlight w:val="none"/>
              </w:rPr>
            </w:pPr>
            <w:r>
              <w:rPr>
                <w:rFonts w:hint="eastAsia" w:ascii="Times New Roman" w:hAnsi="Times New Roman" w:eastAsia="宋体" w:cs="Times New Roman"/>
                <w:b/>
                <w:bCs/>
                <w:color w:val="auto"/>
                <w:highlight w:val="none"/>
              </w:rPr>
              <w:t>2、投标文件中须提供清晰可辨的合同扫描件并加盖投标人公章及每个合同业绩1张发票扫描件并加盖投标人公章。</w:t>
            </w:r>
          </w:p>
          <w:p w14:paraId="0BE097B9">
            <w:pPr>
              <w:jc w:val="left"/>
              <w:rPr>
                <w:rFonts w:hint="eastAsia" w:ascii="Times New Roman" w:hAnsi="Times New Roman" w:eastAsia="宋体" w:cs="Times New Roman"/>
                <w:b/>
                <w:bCs/>
                <w:color w:val="auto"/>
                <w:highlight w:val="none"/>
              </w:rPr>
            </w:pPr>
            <w:r>
              <w:rPr>
                <w:rFonts w:hint="eastAsia" w:ascii="Times New Roman" w:hAnsi="Times New Roman" w:eastAsia="宋体" w:cs="Times New Roman"/>
                <w:b/>
                <w:bCs/>
                <w:color w:val="auto"/>
                <w:highlight w:val="none"/>
              </w:rPr>
              <w:t>3、如投标人提供的合同扫描件或发票扫描件因模糊不清而造成评标委员会在评审时做出对投标人不利的评审由投标人自行承担。</w:t>
            </w:r>
          </w:p>
          <w:p w14:paraId="2FFA2C38">
            <w:pPr>
              <w:jc w:val="left"/>
              <w:rPr>
                <w:rFonts w:ascii="宋体" w:hAnsi="宋体"/>
                <w:color w:val="auto"/>
                <w:szCs w:val="21"/>
                <w:highlight w:val="none"/>
              </w:rPr>
            </w:pPr>
            <w:r>
              <w:rPr>
                <w:rFonts w:hint="eastAsia" w:ascii="Times New Roman" w:hAnsi="Times New Roman" w:eastAsia="宋体" w:cs="Times New Roman"/>
                <w:b/>
                <w:bCs/>
                <w:color w:val="auto"/>
                <w:highlight w:val="none"/>
              </w:rPr>
              <w:t>4、评标过程中如须核实发票网上信息的，投标人需提供配合。</w:t>
            </w:r>
          </w:p>
        </w:tc>
      </w:tr>
      <w:tr w14:paraId="0135B1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724" w:type="dxa"/>
            <w:vMerge w:val="restart"/>
            <w:shd w:val="clear" w:color="000000" w:fill="FFFFFF"/>
            <w:vAlign w:val="center"/>
          </w:tcPr>
          <w:p w14:paraId="4D1BE056">
            <w:pPr>
              <w:jc w:val="center"/>
              <w:rPr>
                <w:rFonts w:hint="eastAsia" w:eastAsia="宋体"/>
                <w:color w:val="auto"/>
                <w:szCs w:val="21"/>
                <w:highlight w:val="none"/>
                <w:lang w:eastAsia="zh-CN"/>
              </w:rPr>
            </w:pPr>
            <w:r>
              <w:rPr>
                <w:rFonts w:hint="eastAsia"/>
                <w:color w:val="auto"/>
                <w:szCs w:val="21"/>
                <w:highlight w:val="none"/>
                <w:lang w:val="en-US" w:eastAsia="zh-CN"/>
              </w:rPr>
              <w:t>6</w:t>
            </w:r>
          </w:p>
        </w:tc>
        <w:tc>
          <w:tcPr>
            <w:tcW w:w="1701" w:type="dxa"/>
            <w:vMerge w:val="restart"/>
            <w:shd w:val="clear" w:color="000000" w:fill="FFFFFF"/>
            <w:vAlign w:val="center"/>
          </w:tcPr>
          <w:p w14:paraId="003D5849">
            <w:pPr>
              <w:jc w:val="center"/>
              <w:rPr>
                <w:rFonts w:ascii="宋体" w:hAnsi="宋体"/>
                <w:color w:val="auto"/>
                <w:szCs w:val="21"/>
                <w:highlight w:val="none"/>
              </w:rPr>
            </w:pPr>
            <w:r>
              <w:rPr>
                <w:rFonts w:hint="eastAsia" w:ascii="宋体" w:hAnsi="宋体"/>
                <w:color w:val="auto"/>
                <w:szCs w:val="21"/>
                <w:highlight w:val="none"/>
              </w:rPr>
              <w:t>服务实施方案</w:t>
            </w:r>
          </w:p>
        </w:tc>
        <w:tc>
          <w:tcPr>
            <w:tcW w:w="706" w:type="dxa"/>
            <w:vMerge w:val="restart"/>
            <w:shd w:val="clear" w:color="000000" w:fill="FFFFFF"/>
            <w:vAlign w:val="center"/>
          </w:tcPr>
          <w:p w14:paraId="37E93CD4">
            <w:pPr>
              <w:jc w:val="center"/>
              <w:rPr>
                <w:rFonts w:ascii="宋体" w:hAnsi="宋体"/>
                <w:bCs/>
                <w:color w:val="auto"/>
                <w:szCs w:val="21"/>
                <w:highlight w:val="none"/>
              </w:rPr>
            </w:pPr>
            <w:r>
              <w:rPr>
                <w:rFonts w:hint="eastAsia" w:ascii="宋体" w:hAnsi="宋体"/>
                <w:bCs/>
                <w:color w:val="auto"/>
                <w:szCs w:val="21"/>
                <w:highlight w:val="none"/>
              </w:rPr>
              <w:t>2</w:t>
            </w:r>
            <w:r>
              <w:rPr>
                <w:rFonts w:hint="eastAsia" w:ascii="宋体" w:hAnsi="宋体"/>
                <w:bCs/>
                <w:color w:val="auto"/>
                <w:szCs w:val="21"/>
                <w:highlight w:val="none"/>
                <w:lang w:val="en-US" w:eastAsia="zh-CN"/>
              </w:rPr>
              <w:t>5</w:t>
            </w:r>
            <w:r>
              <w:rPr>
                <w:rFonts w:hint="eastAsia" w:ascii="宋体" w:hAnsi="宋体"/>
                <w:bCs/>
                <w:color w:val="auto"/>
                <w:szCs w:val="21"/>
                <w:highlight w:val="none"/>
              </w:rPr>
              <w:t>分</w:t>
            </w:r>
          </w:p>
        </w:tc>
        <w:tc>
          <w:tcPr>
            <w:tcW w:w="6149" w:type="dxa"/>
            <w:shd w:val="clear" w:color="000000" w:fill="FFFFFF"/>
            <w:vAlign w:val="center"/>
          </w:tcPr>
          <w:p w14:paraId="3EF09F5D">
            <w:pPr>
              <w:rPr>
                <w:color w:val="auto"/>
                <w:highlight w:val="none"/>
              </w:rPr>
            </w:pPr>
            <w:r>
              <w:rPr>
                <w:rFonts w:hint="eastAsia"/>
                <w:color w:val="auto"/>
                <w:highlight w:val="none"/>
              </w:rPr>
              <w:t>1、根据咨询服务大纲内容进行打分</w:t>
            </w:r>
            <w:r>
              <w:rPr>
                <w:rFonts w:hint="eastAsia"/>
                <w:color w:val="auto"/>
                <w:highlight w:val="none"/>
                <w:lang w:val="zh-CN"/>
              </w:rPr>
              <w:t>（0-</w:t>
            </w:r>
            <w:r>
              <w:rPr>
                <w:rFonts w:hint="eastAsia"/>
                <w:color w:val="auto"/>
                <w:highlight w:val="none"/>
                <w:lang w:val="en-US" w:eastAsia="zh-CN"/>
              </w:rPr>
              <w:t>3</w:t>
            </w:r>
            <w:r>
              <w:rPr>
                <w:rFonts w:hint="eastAsia"/>
                <w:color w:val="auto"/>
                <w:highlight w:val="none"/>
                <w:lang w:val="zh-CN"/>
              </w:rPr>
              <w:t>分）。</w:t>
            </w:r>
          </w:p>
        </w:tc>
      </w:tr>
      <w:tr w14:paraId="028B22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724" w:type="dxa"/>
            <w:vMerge w:val="continue"/>
            <w:shd w:val="clear" w:color="000000" w:fill="FFFFFF"/>
            <w:vAlign w:val="center"/>
          </w:tcPr>
          <w:p w14:paraId="145CF4C0">
            <w:pPr>
              <w:jc w:val="center"/>
              <w:rPr>
                <w:rFonts w:hint="eastAsia"/>
                <w:color w:val="auto"/>
                <w:szCs w:val="21"/>
                <w:highlight w:val="none"/>
                <w:lang w:val="en-US" w:eastAsia="zh-CN"/>
              </w:rPr>
            </w:pPr>
          </w:p>
        </w:tc>
        <w:tc>
          <w:tcPr>
            <w:tcW w:w="1701" w:type="dxa"/>
            <w:vMerge w:val="continue"/>
            <w:shd w:val="clear" w:color="000000" w:fill="FFFFFF"/>
            <w:vAlign w:val="center"/>
          </w:tcPr>
          <w:p w14:paraId="12DBDE71">
            <w:pPr>
              <w:jc w:val="center"/>
              <w:rPr>
                <w:rFonts w:hint="eastAsia" w:ascii="宋体" w:hAnsi="宋体"/>
                <w:color w:val="auto"/>
                <w:szCs w:val="21"/>
                <w:highlight w:val="none"/>
              </w:rPr>
            </w:pPr>
          </w:p>
        </w:tc>
        <w:tc>
          <w:tcPr>
            <w:tcW w:w="706" w:type="dxa"/>
            <w:vMerge w:val="continue"/>
            <w:shd w:val="clear" w:color="000000" w:fill="FFFFFF"/>
            <w:vAlign w:val="center"/>
          </w:tcPr>
          <w:p w14:paraId="18D00A2C">
            <w:pPr>
              <w:jc w:val="center"/>
              <w:rPr>
                <w:rFonts w:hint="eastAsia" w:ascii="宋体" w:hAnsi="宋体"/>
                <w:bCs/>
                <w:color w:val="auto"/>
                <w:szCs w:val="21"/>
                <w:highlight w:val="none"/>
              </w:rPr>
            </w:pPr>
          </w:p>
        </w:tc>
        <w:tc>
          <w:tcPr>
            <w:tcW w:w="6149" w:type="dxa"/>
            <w:shd w:val="clear" w:color="000000" w:fill="FFFFFF"/>
            <w:vAlign w:val="center"/>
          </w:tcPr>
          <w:p w14:paraId="014E4037">
            <w:pPr>
              <w:rPr>
                <w:rFonts w:hint="eastAsia"/>
                <w:color w:val="auto"/>
                <w:highlight w:val="none"/>
              </w:rPr>
            </w:pPr>
            <w:r>
              <w:rPr>
                <w:rFonts w:hint="eastAsia"/>
                <w:color w:val="auto"/>
                <w:highlight w:val="none"/>
              </w:rPr>
              <w:t>2、根据</w:t>
            </w:r>
            <w:r>
              <w:rPr>
                <w:rFonts w:hint="eastAsia"/>
                <w:color w:val="auto"/>
                <w:highlight w:val="none"/>
                <w:lang w:val="zh-CN"/>
              </w:rPr>
              <w:t>造价咨询成果质量控制要点以及</w:t>
            </w:r>
            <w:r>
              <w:rPr>
                <w:rFonts w:hint="eastAsia"/>
                <w:color w:val="auto"/>
                <w:highlight w:val="none"/>
              </w:rPr>
              <w:t>保障</w:t>
            </w:r>
            <w:r>
              <w:rPr>
                <w:rFonts w:hint="eastAsia"/>
                <w:color w:val="auto"/>
                <w:highlight w:val="none"/>
                <w:lang w:val="zh-CN"/>
              </w:rPr>
              <w:t>措施进行打分（</w:t>
            </w:r>
            <w:r>
              <w:rPr>
                <w:rFonts w:hint="eastAsia"/>
                <w:color w:val="auto"/>
                <w:highlight w:val="none"/>
              </w:rPr>
              <w:t>0-</w:t>
            </w:r>
            <w:r>
              <w:rPr>
                <w:rFonts w:hint="eastAsia"/>
                <w:color w:val="auto"/>
                <w:highlight w:val="none"/>
                <w:lang w:val="en-US" w:eastAsia="zh-CN"/>
              </w:rPr>
              <w:t>4</w:t>
            </w:r>
            <w:r>
              <w:rPr>
                <w:rFonts w:hint="eastAsia"/>
                <w:color w:val="auto"/>
                <w:highlight w:val="none"/>
              </w:rPr>
              <w:t>分</w:t>
            </w:r>
            <w:r>
              <w:rPr>
                <w:rFonts w:hint="eastAsia"/>
                <w:color w:val="auto"/>
                <w:highlight w:val="none"/>
                <w:lang w:val="zh-CN"/>
              </w:rPr>
              <w:t>）。</w:t>
            </w:r>
          </w:p>
        </w:tc>
      </w:tr>
      <w:tr w14:paraId="311D20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724" w:type="dxa"/>
            <w:vMerge w:val="continue"/>
            <w:shd w:val="clear" w:color="000000" w:fill="FFFFFF"/>
            <w:vAlign w:val="center"/>
          </w:tcPr>
          <w:p w14:paraId="5916B44C">
            <w:pPr>
              <w:jc w:val="center"/>
              <w:rPr>
                <w:rFonts w:hint="eastAsia"/>
                <w:color w:val="auto"/>
                <w:szCs w:val="21"/>
                <w:highlight w:val="none"/>
                <w:lang w:val="en-US" w:eastAsia="zh-CN"/>
              </w:rPr>
            </w:pPr>
          </w:p>
        </w:tc>
        <w:tc>
          <w:tcPr>
            <w:tcW w:w="1701" w:type="dxa"/>
            <w:vMerge w:val="continue"/>
            <w:shd w:val="clear" w:color="000000" w:fill="FFFFFF"/>
            <w:vAlign w:val="center"/>
          </w:tcPr>
          <w:p w14:paraId="3CA288E9">
            <w:pPr>
              <w:jc w:val="center"/>
              <w:rPr>
                <w:rFonts w:hint="eastAsia" w:ascii="宋体" w:hAnsi="宋体"/>
                <w:color w:val="auto"/>
                <w:szCs w:val="21"/>
                <w:highlight w:val="none"/>
              </w:rPr>
            </w:pPr>
          </w:p>
        </w:tc>
        <w:tc>
          <w:tcPr>
            <w:tcW w:w="706" w:type="dxa"/>
            <w:vMerge w:val="continue"/>
            <w:shd w:val="clear" w:color="000000" w:fill="FFFFFF"/>
            <w:vAlign w:val="center"/>
          </w:tcPr>
          <w:p w14:paraId="2FC2BB9F">
            <w:pPr>
              <w:jc w:val="center"/>
              <w:rPr>
                <w:rFonts w:hint="eastAsia" w:ascii="宋体" w:hAnsi="宋体"/>
                <w:bCs/>
                <w:color w:val="auto"/>
                <w:szCs w:val="21"/>
                <w:highlight w:val="none"/>
              </w:rPr>
            </w:pPr>
          </w:p>
        </w:tc>
        <w:tc>
          <w:tcPr>
            <w:tcW w:w="6149" w:type="dxa"/>
            <w:shd w:val="clear" w:color="000000" w:fill="FFFFFF"/>
            <w:vAlign w:val="center"/>
          </w:tcPr>
          <w:p w14:paraId="239CA5EF">
            <w:pPr>
              <w:rPr>
                <w:rFonts w:hint="eastAsia"/>
                <w:color w:val="auto"/>
                <w:highlight w:val="none"/>
              </w:rPr>
            </w:pPr>
            <w:r>
              <w:rPr>
                <w:rFonts w:hint="eastAsia"/>
                <w:color w:val="auto"/>
                <w:highlight w:val="none"/>
              </w:rPr>
              <w:t>3、根据</w:t>
            </w:r>
            <w:r>
              <w:rPr>
                <w:rFonts w:hint="eastAsia"/>
                <w:color w:val="auto"/>
                <w:highlight w:val="none"/>
                <w:lang w:val="zh-CN"/>
              </w:rPr>
              <w:t>投标人对</w:t>
            </w:r>
            <w:r>
              <w:rPr>
                <w:rFonts w:hint="eastAsia"/>
                <w:color w:val="auto"/>
                <w:highlight w:val="none"/>
              </w:rPr>
              <w:t>本项目</w:t>
            </w:r>
            <w:r>
              <w:rPr>
                <w:color w:val="auto"/>
                <w:szCs w:val="21"/>
                <w:highlight w:val="none"/>
              </w:rPr>
              <w:t>协助无价材料、特种材料的询价和咨询工作方案</w:t>
            </w:r>
            <w:r>
              <w:rPr>
                <w:rFonts w:hint="eastAsia"/>
                <w:color w:val="auto"/>
                <w:szCs w:val="21"/>
                <w:highlight w:val="none"/>
              </w:rPr>
              <w:t>进行打分</w:t>
            </w:r>
            <w:r>
              <w:rPr>
                <w:rFonts w:hint="eastAsia"/>
                <w:color w:val="auto"/>
                <w:highlight w:val="none"/>
              </w:rPr>
              <w:t>（0-</w:t>
            </w:r>
            <w:r>
              <w:rPr>
                <w:rFonts w:hint="eastAsia"/>
                <w:color w:val="auto"/>
                <w:highlight w:val="none"/>
                <w:lang w:val="en-US" w:eastAsia="zh-CN"/>
              </w:rPr>
              <w:t>3</w:t>
            </w:r>
            <w:r>
              <w:rPr>
                <w:rFonts w:hint="eastAsia"/>
                <w:color w:val="auto"/>
                <w:highlight w:val="none"/>
              </w:rPr>
              <w:t>分）。</w:t>
            </w:r>
          </w:p>
        </w:tc>
      </w:tr>
      <w:tr w14:paraId="335EEB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724" w:type="dxa"/>
            <w:vMerge w:val="continue"/>
            <w:shd w:val="clear" w:color="000000" w:fill="FFFFFF"/>
            <w:vAlign w:val="center"/>
          </w:tcPr>
          <w:p w14:paraId="0BEB978C">
            <w:pPr>
              <w:jc w:val="center"/>
              <w:rPr>
                <w:rFonts w:hint="eastAsia"/>
                <w:color w:val="auto"/>
                <w:szCs w:val="21"/>
                <w:highlight w:val="none"/>
                <w:lang w:val="en-US" w:eastAsia="zh-CN"/>
              </w:rPr>
            </w:pPr>
          </w:p>
        </w:tc>
        <w:tc>
          <w:tcPr>
            <w:tcW w:w="1701" w:type="dxa"/>
            <w:vMerge w:val="continue"/>
            <w:shd w:val="clear" w:color="000000" w:fill="FFFFFF"/>
            <w:vAlign w:val="center"/>
          </w:tcPr>
          <w:p w14:paraId="15D5AFFA">
            <w:pPr>
              <w:jc w:val="center"/>
              <w:rPr>
                <w:rFonts w:hint="eastAsia" w:ascii="宋体" w:hAnsi="宋体"/>
                <w:color w:val="auto"/>
                <w:szCs w:val="21"/>
                <w:highlight w:val="none"/>
              </w:rPr>
            </w:pPr>
          </w:p>
        </w:tc>
        <w:tc>
          <w:tcPr>
            <w:tcW w:w="706" w:type="dxa"/>
            <w:vMerge w:val="continue"/>
            <w:shd w:val="clear" w:color="000000" w:fill="FFFFFF"/>
            <w:vAlign w:val="center"/>
          </w:tcPr>
          <w:p w14:paraId="437242DE">
            <w:pPr>
              <w:jc w:val="center"/>
              <w:rPr>
                <w:rFonts w:hint="eastAsia" w:ascii="宋体" w:hAnsi="宋体"/>
                <w:bCs/>
                <w:color w:val="auto"/>
                <w:szCs w:val="21"/>
                <w:highlight w:val="none"/>
              </w:rPr>
            </w:pPr>
          </w:p>
        </w:tc>
        <w:tc>
          <w:tcPr>
            <w:tcW w:w="6149" w:type="dxa"/>
            <w:shd w:val="clear" w:color="000000" w:fill="FFFFFF"/>
            <w:vAlign w:val="center"/>
          </w:tcPr>
          <w:p w14:paraId="2D7B40F6">
            <w:pPr>
              <w:pStyle w:val="51"/>
              <w:ind w:left="0" w:leftChars="0" w:firstLine="0"/>
              <w:rPr>
                <w:rFonts w:hint="eastAsia"/>
                <w:color w:val="auto"/>
                <w:highlight w:val="none"/>
              </w:rPr>
            </w:pPr>
            <w:r>
              <w:rPr>
                <w:rFonts w:hint="eastAsia" w:ascii="Times New Roman" w:hAnsi="Times New Roman"/>
                <w:color w:val="auto"/>
                <w:highlight w:val="none"/>
              </w:rPr>
              <w:t>4、根据投标人的</w:t>
            </w:r>
            <w:r>
              <w:rPr>
                <w:rFonts w:ascii="Times New Roman" w:hAnsi="Times New Roman"/>
                <w:color w:val="auto"/>
                <w:szCs w:val="21"/>
                <w:highlight w:val="none"/>
              </w:rPr>
              <w:t>施工阶段工作联系单、签证的审核方案</w:t>
            </w:r>
            <w:r>
              <w:rPr>
                <w:rFonts w:hint="eastAsia" w:ascii="Times New Roman" w:hAnsi="Times New Roman"/>
                <w:color w:val="auto"/>
                <w:szCs w:val="21"/>
                <w:highlight w:val="none"/>
              </w:rPr>
              <w:t>进行打分</w:t>
            </w:r>
            <w:r>
              <w:rPr>
                <w:rFonts w:hint="eastAsia" w:ascii="Times New Roman" w:hAnsi="Times New Roman"/>
                <w:color w:val="auto"/>
                <w:highlight w:val="none"/>
              </w:rPr>
              <w:t>（0-</w:t>
            </w:r>
            <w:r>
              <w:rPr>
                <w:rFonts w:hint="eastAsia" w:ascii="Times New Roman" w:hAnsi="Times New Roman"/>
                <w:color w:val="auto"/>
                <w:highlight w:val="none"/>
                <w:lang w:val="en-US" w:eastAsia="zh-CN"/>
              </w:rPr>
              <w:t>4</w:t>
            </w:r>
            <w:r>
              <w:rPr>
                <w:rFonts w:hint="eastAsia" w:ascii="Times New Roman" w:hAnsi="Times New Roman"/>
                <w:color w:val="auto"/>
                <w:highlight w:val="none"/>
              </w:rPr>
              <w:t>分）。</w:t>
            </w:r>
          </w:p>
        </w:tc>
      </w:tr>
      <w:tr w14:paraId="046F98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724" w:type="dxa"/>
            <w:vMerge w:val="continue"/>
            <w:shd w:val="clear" w:color="000000" w:fill="FFFFFF"/>
            <w:vAlign w:val="center"/>
          </w:tcPr>
          <w:p w14:paraId="277E12CB">
            <w:pPr>
              <w:jc w:val="center"/>
              <w:rPr>
                <w:rFonts w:hint="eastAsia"/>
                <w:color w:val="auto"/>
                <w:szCs w:val="21"/>
                <w:highlight w:val="none"/>
                <w:lang w:val="en-US" w:eastAsia="zh-CN"/>
              </w:rPr>
            </w:pPr>
          </w:p>
        </w:tc>
        <w:tc>
          <w:tcPr>
            <w:tcW w:w="1701" w:type="dxa"/>
            <w:vMerge w:val="continue"/>
            <w:shd w:val="clear" w:color="000000" w:fill="FFFFFF"/>
            <w:vAlign w:val="center"/>
          </w:tcPr>
          <w:p w14:paraId="5834D0B0">
            <w:pPr>
              <w:jc w:val="center"/>
              <w:rPr>
                <w:rFonts w:hint="eastAsia" w:ascii="宋体" w:hAnsi="宋体"/>
                <w:color w:val="auto"/>
                <w:szCs w:val="21"/>
                <w:highlight w:val="none"/>
              </w:rPr>
            </w:pPr>
          </w:p>
        </w:tc>
        <w:tc>
          <w:tcPr>
            <w:tcW w:w="706" w:type="dxa"/>
            <w:vMerge w:val="continue"/>
            <w:shd w:val="clear" w:color="000000" w:fill="FFFFFF"/>
            <w:vAlign w:val="center"/>
          </w:tcPr>
          <w:p w14:paraId="7430BB9E">
            <w:pPr>
              <w:jc w:val="center"/>
              <w:rPr>
                <w:rFonts w:hint="eastAsia" w:ascii="宋体" w:hAnsi="宋体"/>
                <w:bCs/>
                <w:color w:val="auto"/>
                <w:szCs w:val="21"/>
                <w:highlight w:val="none"/>
              </w:rPr>
            </w:pPr>
          </w:p>
        </w:tc>
        <w:tc>
          <w:tcPr>
            <w:tcW w:w="6149" w:type="dxa"/>
            <w:shd w:val="clear" w:color="000000" w:fill="FFFFFF"/>
            <w:vAlign w:val="center"/>
          </w:tcPr>
          <w:p w14:paraId="720A9EF9">
            <w:pPr>
              <w:rPr>
                <w:rFonts w:hint="eastAsia"/>
                <w:color w:val="auto"/>
                <w:highlight w:val="none"/>
              </w:rPr>
            </w:pPr>
            <w:r>
              <w:rPr>
                <w:rFonts w:hint="eastAsia"/>
                <w:color w:val="auto"/>
                <w:szCs w:val="21"/>
                <w:highlight w:val="none"/>
              </w:rPr>
              <w:t>5、根据投标人提供的</w:t>
            </w:r>
            <w:r>
              <w:rPr>
                <w:color w:val="auto"/>
                <w:szCs w:val="21"/>
                <w:highlight w:val="none"/>
              </w:rPr>
              <w:t>阶段性工程款支付审核方案</w:t>
            </w:r>
            <w:r>
              <w:rPr>
                <w:rFonts w:hint="eastAsia"/>
                <w:color w:val="auto"/>
                <w:szCs w:val="21"/>
                <w:highlight w:val="none"/>
              </w:rPr>
              <w:t>进行打分</w:t>
            </w:r>
            <w:r>
              <w:rPr>
                <w:rFonts w:hint="eastAsia"/>
                <w:color w:val="auto"/>
                <w:highlight w:val="none"/>
              </w:rPr>
              <w:t>（0-</w:t>
            </w:r>
            <w:r>
              <w:rPr>
                <w:rFonts w:hint="eastAsia"/>
                <w:color w:val="auto"/>
                <w:highlight w:val="none"/>
                <w:lang w:val="en-US" w:eastAsia="zh-CN"/>
              </w:rPr>
              <w:t>3</w:t>
            </w:r>
            <w:r>
              <w:rPr>
                <w:rFonts w:hint="eastAsia"/>
                <w:color w:val="auto"/>
                <w:highlight w:val="none"/>
              </w:rPr>
              <w:t>分）。</w:t>
            </w:r>
          </w:p>
        </w:tc>
      </w:tr>
      <w:tr w14:paraId="42AED7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724" w:type="dxa"/>
            <w:vMerge w:val="continue"/>
            <w:shd w:val="clear" w:color="000000" w:fill="FFFFFF"/>
            <w:vAlign w:val="center"/>
          </w:tcPr>
          <w:p w14:paraId="2DBF8309">
            <w:pPr>
              <w:jc w:val="center"/>
              <w:rPr>
                <w:rFonts w:hint="eastAsia"/>
                <w:color w:val="auto"/>
                <w:szCs w:val="21"/>
                <w:highlight w:val="none"/>
                <w:lang w:val="en-US" w:eastAsia="zh-CN"/>
              </w:rPr>
            </w:pPr>
          </w:p>
        </w:tc>
        <w:tc>
          <w:tcPr>
            <w:tcW w:w="1701" w:type="dxa"/>
            <w:vMerge w:val="continue"/>
            <w:shd w:val="clear" w:color="000000" w:fill="FFFFFF"/>
            <w:vAlign w:val="center"/>
          </w:tcPr>
          <w:p w14:paraId="263656B5">
            <w:pPr>
              <w:jc w:val="center"/>
              <w:rPr>
                <w:rFonts w:hint="eastAsia" w:ascii="宋体" w:hAnsi="宋体"/>
                <w:color w:val="auto"/>
                <w:szCs w:val="21"/>
                <w:highlight w:val="none"/>
              </w:rPr>
            </w:pPr>
          </w:p>
        </w:tc>
        <w:tc>
          <w:tcPr>
            <w:tcW w:w="706" w:type="dxa"/>
            <w:vMerge w:val="continue"/>
            <w:shd w:val="clear" w:color="000000" w:fill="FFFFFF"/>
            <w:vAlign w:val="center"/>
          </w:tcPr>
          <w:p w14:paraId="2E69FC9A">
            <w:pPr>
              <w:jc w:val="center"/>
              <w:rPr>
                <w:rFonts w:hint="eastAsia" w:ascii="宋体" w:hAnsi="宋体"/>
                <w:bCs/>
                <w:color w:val="auto"/>
                <w:szCs w:val="21"/>
                <w:highlight w:val="none"/>
              </w:rPr>
            </w:pPr>
          </w:p>
        </w:tc>
        <w:tc>
          <w:tcPr>
            <w:tcW w:w="6149" w:type="dxa"/>
            <w:shd w:val="clear" w:color="000000" w:fill="FFFFFF"/>
            <w:vAlign w:val="center"/>
          </w:tcPr>
          <w:p w14:paraId="390E70A0">
            <w:pPr>
              <w:pStyle w:val="51"/>
              <w:ind w:left="0" w:leftChars="0" w:firstLine="0"/>
              <w:rPr>
                <w:rFonts w:hint="eastAsia"/>
                <w:color w:val="auto"/>
                <w:highlight w:val="none"/>
              </w:rPr>
            </w:pPr>
            <w:r>
              <w:rPr>
                <w:rFonts w:hint="eastAsia" w:ascii="Times New Roman" w:hAnsi="Times New Roman"/>
                <w:color w:val="auto"/>
                <w:szCs w:val="21"/>
                <w:highlight w:val="none"/>
              </w:rPr>
              <w:t>6、根据投标人提供的</w:t>
            </w:r>
            <w:r>
              <w:rPr>
                <w:rFonts w:ascii="Times New Roman" w:hAnsi="Times New Roman"/>
                <w:color w:val="auto"/>
                <w:szCs w:val="21"/>
                <w:highlight w:val="none"/>
              </w:rPr>
              <w:t>项目相关单位的协调工作方案</w:t>
            </w:r>
            <w:r>
              <w:rPr>
                <w:rFonts w:hint="eastAsia" w:ascii="Times New Roman" w:hAnsi="Times New Roman"/>
                <w:color w:val="auto"/>
                <w:szCs w:val="21"/>
                <w:highlight w:val="none"/>
              </w:rPr>
              <w:t>进行打分</w:t>
            </w:r>
            <w:r>
              <w:rPr>
                <w:rFonts w:hint="eastAsia" w:ascii="Times New Roman" w:hAnsi="Times New Roman"/>
                <w:color w:val="auto"/>
                <w:highlight w:val="none"/>
              </w:rPr>
              <w:t>（0-</w:t>
            </w:r>
            <w:r>
              <w:rPr>
                <w:rFonts w:hint="eastAsia" w:ascii="Times New Roman" w:hAnsi="Times New Roman"/>
                <w:color w:val="auto"/>
                <w:highlight w:val="none"/>
                <w:lang w:val="en-US" w:eastAsia="zh-CN"/>
              </w:rPr>
              <w:t>4</w:t>
            </w:r>
            <w:r>
              <w:rPr>
                <w:rFonts w:hint="eastAsia" w:ascii="Times New Roman" w:hAnsi="Times New Roman"/>
                <w:color w:val="auto"/>
                <w:highlight w:val="none"/>
              </w:rPr>
              <w:t>分）。</w:t>
            </w:r>
          </w:p>
        </w:tc>
      </w:tr>
      <w:tr w14:paraId="373B90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724" w:type="dxa"/>
            <w:vMerge w:val="continue"/>
            <w:shd w:val="clear" w:color="000000" w:fill="FFFFFF"/>
            <w:vAlign w:val="center"/>
          </w:tcPr>
          <w:p w14:paraId="22F2D078">
            <w:pPr>
              <w:jc w:val="center"/>
              <w:rPr>
                <w:rFonts w:hint="eastAsia"/>
                <w:color w:val="auto"/>
                <w:szCs w:val="21"/>
                <w:highlight w:val="none"/>
                <w:lang w:val="en-US" w:eastAsia="zh-CN"/>
              </w:rPr>
            </w:pPr>
          </w:p>
        </w:tc>
        <w:tc>
          <w:tcPr>
            <w:tcW w:w="1701" w:type="dxa"/>
            <w:vMerge w:val="continue"/>
            <w:shd w:val="clear" w:color="000000" w:fill="FFFFFF"/>
            <w:vAlign w:val="center"/>
          </w:tcPr>
          <w:p w14:paraId="4E1445B1">
            <w:pPr>
              <w:jc w:val="center"/>
              <w:rPr>
                <w:rFonts w:hint="eastAsia" w:ascii="宋体" w:hAnsi="宋体"/>
                <w:color w:val="auto"/>
                <w:szCs w:val="21"/>
                <w:highlight w:val="none"/>
              </w:rPr>
            </w:pPr>
          </w:p>
        </w:tc>
        <w:tc>
          <w:tcPr>
            <w:tcW w:w="706" w:type="dxa"/>
            <w:vMerge w:val="continue"/>
            <w:shd w:val="clear" w:color="000000" w:fill="FFFFFF"/>
            <w:vAlign w:val="center"/>
          </w:tcPr>
          <w:p w14:paraId="2412A9C2">
            <w:pPr>
              <w:jc w:val="center"/>
              <w:rPr>
                <w:rFonts w:hint="eastAsia" w:ascii="宋体" w:hAnsi="宋体"/>
                <w:bCs/>
                <w:color w:val="auto"/>
                <w:szCs w:val="21"/>
                <w:highlight w:val="none"/>
              </w:rPr>
            </w:pPr>
          </w:p>
        </w:tc>
        <w:tc>
          <w:tcPr>
            <w:tcW w:w="6149" w:type="dxa"/>
            <w:shd w:val="clear" w:color="000000" w:fill="FFFFFF"/>
            <w:vAlign w:val="center"/>
          </w:tcPr>
          <w:p w14:paraId="1E1313AF">
            <w:pPr>
              <w:rPr>
                <w:rFonts w:hint="eastAsia"/>
                <w:color w:val="auto"/>
                <w:highlight w:val="none"/>
              </w:rPr>
            </w:pPr>
            <w:r>
              <w:rPr>
                <w:rFonts w:hint="eastAsia"/>
                <w:color w:val="auto"/>
                <w:highlight w:val="none"/>
              </w:rPr>
              <w:t>7、根据</w:t>
            </w:r>
            <w:r>
              <w:rPr>
                <w:rFonts w:hint="eastAsia"/>
                <w:color w:val="auto"/>
                <w:highlight w:val="none"/>
                <w:lang w:val="zh-CN"/>
              </w:rPr>
              <w:t>投标人对项目争议解决机制</w:t>
            </w:r>
            <w:r>
              <w:rPr>
                <w:rFonts w:hint="eastAsia"/>
                <w:color w:val="auto"/>
                <w:highlight w:val="none"/>
              </w:rPr>
              <w:t>方案进行打分（</w:t>
            </w:r>
            <w:r>
              <w:rPr>
                <w:rFonts w:hint="eastAsia"/>
                <w:color w:val="auto"/>
                <w:highlight w:val="none"/>
                <w:lang w:val="zh-CN"/>
              </w:rPr>
              <w:t>0-</w:t>
            </w:r>
            <w:r>
              <w:rPr>
                <w:rFonts w:hint="eastAsia"/>
                <w:color w:val="auto"/>
                <w:highlight w:val="none"/>
                <w:lang w:val="en-US" w:eastAsia="zh-CN"/>
              </w:rPr>
              <w:t>4</w:t>
            </w:r>
            <w:r>
              <w:rPr>
                <w:rFonts w:hint="eastAsia"/>
                <w:color w:val="auto"/>
                <w:highlight w:val="none"/>
                <w:lang w:val="zh-CN"/>
              </w:rPr>
              <w:t>分</w:t>
            </w:r>
            <w:r>
              <w:rPr>
                <w:rFonts w:hint="eastAsia"/>
                <w:color w:val="auto"/>
                <w:highlight w:val="none"/>
              </w:rPr>
              <w:t>）。</w:t>
            </w:r>
          </w:p>
        </w:tc>
      </w:tr>
      <w:tr w14:paraId="1B8A90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trPr>
        <w:tc>
          <w:tcPr>
            <w:tcW w:w="724" w:type="dxa"/>
            <w:shd w:val="clear" w:color="000000" w:fill="FFFFFF"/>
            <w:vAlign w:val="center"/>
          </w:tcPr>
          <w:p w14:paraId="4A1B8D53">
            <w:pPr>
              <w:jc w:val="center"/>
              <w:rPr>
                <w:rFonts w:hint="eastAsia" w:eastAsia="宋体"/>
                <w:color w:val="auto"/>
                <w:szCs w:val="21"/>
                <w:highlight w:val="none"/>
                <w:lang w:eastAsia="zh-CN"/>
              </w:rPr>
            </w:pPr>
            <w:r>
              <w:rPr>
                <w:rFonts w:hint="eastAsia"/>
                <w:color w:val="auto"/>
                <w:szCs w:val="21"/>
                <w:highlight w:val="none"/>
                <w:lang w:val="en-US" w:eastAsia="zh-CN"/>
              </w:rPr>
              <w:t>7</w:t>
            </w:r>
          </w:p>
        </w:tc>
        <w:tc>
          <w:tcPr>
            <w:tcW w:w="1701" w:type="dxa"/>
            <w:shd w:val="clear" w:color="000000" w:fill="FFFFFF"/>
            <w:vAlign w:val="center"/>
          </w:tcPr>
          <w:p w14:paraId="1D3ACFEA">
            <w:pPr>
              <w:jc w:val="center"/>
              <w:rPr>
                <w:rFonts w:ascii="宋体" w:hAnsi="宋体"/>
                <w:color w:val="auto"/>
                <w:szCs w:val="21"/>
                <w:highlight w:val="none"/>
              </w:rPr>
            </w:pPr>
            <w:r>
              <w:rPr>
                <w:rFonts w:hint="eastAsia" w:ascii="宋体" w:hAnsi="宋体"/>
                <w:color w:val="auto"/>
                <w:szCs w:val="21"/>
                <w:highlight w:val="none"/>
              </w:rPr>
              <w:t>质量保证措施</w:t>
            </w:r>
          </w:p>
        </w:tc>
        <w:tc>
          <w:tcPr>
            <w:tcW w:w="706" w:type="dxa"/>
            <w:shd w:val="clear" w:color="000000" w:fill="FFFFFF"/>
            <w:vAlign w:val="center"/>
          </w:tcPr>
          <w:p w14:paraId="53A3B645">
            <w:pPr>
              <w:jc w:val="center"/>
              <w:rPr>
                <w:rFonts w:ascii="宋体" w:hAnsi="宋体"/>
                <w:color w:val="auto"/>
                <w:szCs w:val="21"/>
                <w:highlight w:val="none"/>
              </w:rPr>
            </w:pPr>
            <w:r>
              <w:rPr>
                <w:rFonts w:hint="eastAsia" w:ascii="宋体" w:hAnsi="宋体"/>
                <w:color w:val="auto"/>
                <w:szCs w:val="21"/>
                <w:highlight w:val="none"/>
                <w:lang w:val="en-US" w:eastAsia="zh-CN"/>
              </w:rPr>
              <w:t>5</w:t>
            </w:r>
            <w:r>
              <w:rPr>
                <w:rFonts w:hint="eastAsia" w:ascii="宋体" w:hAnsi="宋体"/>
                <w:color w:val="auto"/>
                <w:szCs w:val="21"/>
                <w:highlight w:val="none"/>
              </w:rPr>
              <w:t>分</w:t>
            </w:r>
          </w:p>
        </w:tc>
        <w:tc>
          <w:tcPr>
            <w:tcW w:w="6149" w:type="dxa"/>
            <w:shd w:val="clear" w:color="000000" w:fill="FFFFFF"/>
            <w:vAlign w:val="center"/>
          </w:tcPr>
          <w:p w14:paraId="64A8A50E">
            <w:pPr>
              <w:rPr>
                <w:rFonts w:hAnsi="宋体"/>
                <w:color w:val="auto"/>
                <w:szCs w:val="21"/>
                <w:highlight w:val="none"/>
              </w:rPr>
            </w:pPr>
            <w:r>
              <w:rPr>
                <w:rFonts w:hint="eastAsia" w:hAnsi="宋体"/>
                <w:color w:val="auto"/>
                <w:szCs w:val="21"/>
                <w:highlight w:val="none"/>
                <w:lang w:val="zh-CN"/>
              </w:rPr>
              <w:t>根据投标人的质量内控体系、复核制度以及其他有效措施的健全度、完善性，可操作性进行</w:t>
            </w:r>
            <w:r>
              <w:rPr>
                <w:rFonts w:hint="eastAsia" w:hAnsi="宋体"/>
                <w:color w:val="auto"/>
                <w:szCs w:val="21"/>
                <w:highlight w:val="none"/>
              </w:rPr>
              <w:t>打分（0-</w:t>
            </w:r>
            <w:r>
              <w:rPr>
                <w:rFonts w:hint="eastAsia" w:hAnsi="宋体"/>
                <w:color w:val="auto"/>
                <w:szCs w:val="21"/>
                <w:highlight w:val="none"/>
                <w:lang w:val="en-US" w:eastAsia="zh-CN"/>
              </w:rPr>
              <w:t>5</w:t>
            </w:r>
            <w:r>
              <w:rPr>
                <w:rFonts w:hint="eastAsia" w:hAnsi="宋体"/>
                <w:color w:val="auto"/>
                <w:szCs w:val="21"/>
                <w:highlight w:val="none"/>
              </w:rPr>
              <w:t>分）。</w:t>
            </w:r>
          </w:p>
        </w:tc>
      </w:tr>
      <w:tr w14:paraId="3C6F2F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trPr>
        <w:tc>
          <w:tcPr>
            <w:tcW w:w="724" w:type="dxa"/>
            <w:shd w:val="clear" w:color="000000" w:fill="FFFFFF"/>
            <w:vAlign w:val="center"/>
          </w:tcPr>
          <w:p w14:paraId="4C62FC7A">
            <w:pPr>
              <w:jc w:val="center"/>
              <w:rPr>
                <w:rFonts w:hint="eastAsia" w:eastAsia="宋体"/>
                <w:color w:val="auto"/>
                <w:szCs w:val="21"/>
                <w:highlight w:val="none"/>
                <w:lang w:eastAsia="zh-CN"/>
              </w:rPr>
            </w:pPr>
            <w:r>
              <w:rPr>
                <w:rFonts w:hint="eastAsia"/>
                <w:color w:val="auto"/>
                <w:szCs w:val="21"/>
                <w:highlight w:val="none"/>
                <w:lang w:val="en-US" w:eastAsia="zh-CN"/>
              </w:rPr>
              <w:t>8</w:t>
            </w:r>
          </w:p>
        </w:tc>
        <w:tc>
          <w:tcPr>
            <w:tcW w:w="1701" w:type="dxa"/>
            <w:shd w:val="clear" w:color="000000" w:fill="FFFFFF"/>
            <w:vAlign w:val="center"/>
          </w:tcPr>
          <w:p w14:paraId="50E53EA6">
            <w:pPr>
              <w:jc w:val="center"/>
              <w:rPr>
                <w:rFonts w:ascii="宋体" w:hAnsi="宋体"/>
                <w:color w:val="auto"/>
                <w:szCs w:val="21"/>
                <w:highlight w:val="none"/>
              </w:rPr>
            </w:pPr>
            <w:r>
              <w:rPr>
                <w:rFonts w:hint="eastAsia" w:ascii="宋体" w:hAnsi="宋体"/>
                <w:color w:val="auto"/>
                <w:szCs w:val="21"/>
                <w:highlight w:val="none"/>
              </w:rPr>
              <w:t>重难点分析</w:t>
            </w:r>
          </w:p>
        </w:tc>
        <w:tc>
          <w:tcPr>
            <w:tcW w:w="706" w:type="dxa"/>
            <w:shd w:val="clear" w:color="000000" w:fill="FFFFFF"/>
            <w:vAlign w:val="center"/>
          </w:tcPr>
          <w:p w14:paraId="16D12B19">
            <w:pPr>
              <w:jc w:val="center"/>
              <w:rPr>
                <w:rFonts w:ascii="宋体" w:hAnsi="宋体"/>
                <w:color w:val="auto"/>
                <w:szCs w:val="21"/>
                <w:highlight w:val="none"/>
              </w:rPr>
            </w:pPr>
            <w:r>
              <w:rPr>
                <w:rFonts w:hint="eastAsia" w:ascii="宋体" w:hAnsi="宋体"/>
                <w:color w:val="auto"/>
                <w:szCs w:val="21"/>
                <w:highlight w:val="none"/>
                <w:lang w:val="en-US" w:eastAsia="zh-CN"/>
              </w:rPr>
              <w:t>5</w:t>
            </w:r>
            <w:r>
              <w:rPr>
                <w:rFonts w:hint="eastAsia" w:ascii="宋体" w:hAnsi="宋体"/>
                <w:color w:val="auto"/>
                <w:szCs w:val="21"/>
                <w:highlight w:val="none"/>
              </w:rPr>
              <w:t>分</w:t>
            </w:r>
          </w:p>
        </w:tc>
        <w:tc>
          <w:tcPr>
            <w:tcW w:w="6149" w:type="dxa"/>
            <w:shd w:val="clear" w:color="000000" w:fill="FFFFFF"/>
            <w:vAlign w:val="center"/>
          </w:tcPr>
          <w:p w14:paraId="792E2214">
            <w:pPr>
              <w:rPr>
                <w:color w:val="auto"/>
                <w:highlight w:val="none"/>
              </w:rPr>
            </w:pPr>
            <w:r>
              <w:rPr>
                <w:rFonts w:hint="eastAsia"/>
                <w:color w:val="auto"/>
                <w:highlight w:val="none"/>
              </w:rPr>
              <w:t>根据投标人对本项目的重点、难点分析是否把握明确，解决方案是否合理，是否符合本项目需求进行打分（0-</w:t>
            </w:r>
            <w:r>
              <w:rPr>
                <w:rFonts w:hint="eastAsia"/>
                <w:color w:val="auto"/>
                <w:highlight w:val="none"/>
                <w:lang w:val="en-US" w:eastAsia="zh-CN"/>
              </w:rPr>
              <w:t>5</w:t>
            </w:r>
            <w:r>
              <w:rPr>
                <w:rFonts w:hint="eastAsia"/>
                <w:color w:val="auto"/>
                <w:highlight w:val="none"/>
              </w:rPr>
              <w:t>分）。</w:t>
            </w:r>
          </w:p>
        </w:tc>
      </w:tr>
      <w:tr w14:paraId="3E8B6E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6" w:hRule="atLeast"/>
        </w:trPr>
        <w:tc>
          <w:tcPr>
            <w:tcW w:w="724" w:type="dxa"/>
            <w:shd w:val="clear" w:color="000000" w:fill="FFFFFF"/>
            <w:vAlign w:val="center"/>
          </w:tcPr>
          <w:p w14:paraId="16D0FBAE">
            <w:pPr>
              <w:jc w:val="center"/>
              <w:rPr>
                <w:rFonts w:hint="eastAsia" w:eastAsia="宋体"/>
                <w:color w:val="auto"/>
                <w:szCs w:val="21"/>
                <w:highlight w:val="none"/>
                <w:lang w:eastAsia="zh-CN"/>
              </w:rPr>
            </w:pPr>
            <w:r>
              <w:rPr>
                <w:rFonts w:hint="eastAsia"/>
                <w:color w:val="auto"/>
                <w:szCs w:val="21"/>
                <w:highlight w:val="none"/>
                <w:lang w:val="en-US" w:eastAsia="zh-CN"/>
              </w:rPr>
              <w:t>9</w:t>
            </w:r>
          </w:p>
        </w:tc>
        <w:tc>
          <w:tcPr>
            <w:tcW w:w="1701" w:type="dxa"/>
            <w:shd w:val="clear" w:color="000000" w:fill="FFFFFF"/>
            <w:vAlign w:val="center"/>
          </w:tcPr>
          <w:p w14:paraId="66B82D1B">
            <w:pPr>
              <w:jc w:val="center"/>
              <w:rPr>
                <w:rFonts w:ascii="宋体" w:hAnsi="宋体"/>
                <w:color w:val="auto"/>
                <w:szCs w:val="21"/>
                <w:highlight w:val="none"/>
              </w:rPr>
            </w:pPr>
            <w:r>
              <w:rPr>
                <w:rFonts w:hint="eastAsia" w:ascii="宋体" w:hAnsi="宋体"/>
                <w:color w:val="auto"/>
                <w:szCs w:val="21"/>
                <w:highlight w:val="none"/>
              </w:rPr>
              <w:t>廉政保证措施</w:t>
            </w:r>
          </w:p>
        </w:tc>
        <w:tc>
          <w:tcPr>
            <w:tcW w:w="706" w:type="dxa"/>
            <w:shd w:val="clear" w:color="000000" w:fill="FFFFFF"/>
            <w:vAlign w:val="center"/>
          </w:tcPr>
          <w:p w14:paraId="1EBD0199">
            <w:pPr>
              <w:jc w:val="center"/>
              <w:rPr>
                <w:rFonts w:ascii="宋体" w:hAnsi="宋体"/>
                <w:color w:val="auto"/>
                <w:szCs w:val="21"/>
                <w:highlight w:val="none"/>
              </w:rPr>
            </w:pPr>
            <w:r>
              <w:rPr>
                <w:rFonts w:hint="eastAsia" w:ascii="宋体" w:hAnsi="宋体"/>
                <w:color w:val="auto"/>
                <w:szCs w:val="21"/>
                <w:highlight w:val="none"/>
              </w:rPr>
              <w:t>3分</w:t>
            </w:r>
          </w:p>
        </w:tc>
        <w:tc>
          <w:tcPr>
            <w:tcW w:w="6149" w:type="dxa"/>
            <w:shd w:val="clear" w:color="000000" w:fill="FFFFFF"/>
            <w:vAlign w:val="center"/>
          </w:tcPr>
          <w:p w14:paraId="29BA4A2C">
            <w:pPr>
              <w:rPr>
                <w:rFonts w:hAnsi="宋体"/>
                <w:color w:val="auto"/>
                <w:szCs w:val="21"/>
                <w:highlight w:val="none"/>
                <w:lang w:val="zh-CN"/>
              </w:rPr>
            </w:pPr>
            <w:r>
              <w:rPr>
                <w:rFonts w:hint="eastAsia" w:hAnsi="宋体"/>
                <w:color w:val="auto"/>
                <w:szCs w:val="21"/>
                <w:highlight w:val="none"/>
              </w:rPr>
              <w:t>根据投标人的廉政保证等措施，由评标委员会进行打分（0-3分）。</w:t>
            </w:r>
          </w:p>
        </w:tc>
      </w:tr>
      <w:tr w14:paraId="2CD890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6" w:hRule="atLeast"/>
        </w:trPr>
        <w:tc>
          <w:tcPr>
            <w:tcW w:w="724" w:type="dxa"/>
            <w:shd w:val="clear" w:color="000000" w:fill="FFFFFF"/>
            <w:vAlign w:val="center"/>
          </w:tcPr>
          <w:p w14:paraId="44881F31">
            <w:pPr>
              <w:jc w:val="center"/>
              <w:rPr>
                <w:rFonts w:hint="default"/>
                <w:color w:val="auto"/>
                <w:szCs w:val="21"/>
                <w:highlight w:val="none"/>
                <w:lang w:val="en-US" w:eastAsia="zh-CN"/>
              </w:rPr>
            </w:pPr>
            <w:r>
              <w:rPr>
                <w:rFonts w:hint="eastAsia"/>
                <w:color w:val="auto"/>
                <w:szCs w:val="21"/>
                <w:highlight w:val="none"/>
                <w:lang w:val="en-US" w:eastAsia="zh-CN"/>
              </w:rPr>
              <w:t>10</w:t>
            </w:r>
          </w:p>
        </w:tc>
        <w:tc>
          <w:tcPr>
            <w:tcW w:w="1701" w:type="dxa"/>
            <w:shd w:val="clear" w:color="000000" w:fill="FFFFFF"/>
            <w:vAlign w:val="center"/>
          </w:tcPr>
          <w:p w14:paraId="1E621AD3">
            <w:pPr>
              <w:jc w:val="center"/>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保密措施</w:t>
            </w:r>
          </w:p>
        </w:tc>
        <w:tc>
          <w:tcPr>
            <w:tcW w:w="706" w:type="dxa"/>
            <w:shd w:val="clear" w:color="000000" w:fill="FFFFFF"/>
            <w:vAlign w:val="center"/>
          </w:tcPr>
          <w:p w14:paraId="1894C773">
            <w:pPr>
              <w:jc w:val="center"/>
              <w:rPr>
                <w:rFonts w:hint="eastAsia" w:ascii="宋体" w:hAnsi="宋体"/>
                <w:color w:val="auto"/>
                <w:szCs w:val="21"/>
                <w:highlight w:val="none"/>
              </w:rPr>
            </w:pPr>
            <w:r>
              <w:rPr>
                <w:rFonts w:hint="eastAsia" w:ascii="宋体" w:hAnsi="宋体"/>
                <w:color w:val="auto"/>
                <w:szCs w:val="21"/>
                <w:highlight w:val="none"/>
              </w:rPr>
              <w:t>3分</w:t>
            </w:r>
          </w:p>
        </w:tc>
        <w:tc>
          <w:tcPr>
            <w:tcW w:w="6149" w:type="dxa"/>
            <w:shd w:val="clear" w:color="000000" w:fill="FFFFFF"/>
            <w:vAlign w:val="center"/>
          </w:tcPr>
          <w:p w14:paraId="0C0B53F5">
            <w:pPr>
              <w:rPr>
                <w:rFonts w:hint="eastAsia" w:hAnsi="宋体" w:eastAsia="宋体"/>
                <w:color w:val="auto"/>
                <w:szCs w:val="21"/>
                <w:highlight w:val="none"/>
                <w:lang w:eastAsia="zh-CN"/>
              </w:rPr>
            </w:pPr>
            <w:r>
              <w:rPr>
                <w:rFonts w:hint="eastAsia" w:hAnsi="宋体"/>
                <w:color w:val="auto"/>
                <w:szCs w:val="21"/>
                <w:highlight w:val="none"/>
              </w:rPr>
              <w:t>根据投标人</w:t>
            </w:r>
            <w:r>
              <w:rPr>
                <w:rFonts w:hint="eastAsia" w:hAnsi="宋体"/>
                <w:color w:val="auto"/>
                <w:szCs w:val="21"/>
                <w:highlight w:val="none"/>
                <w:lang w:val="en-US" w:eastAsia="zh-CN"/>
              </w:rPr>
              <w:t>对本项目的保密</w:t>
            </w:r>
            <w:r>
              <w:rPr>
                <w:rFonts w:hint="eastAsia" w:hAnsi="宋体"/>
                <w:color w:val="auto"/>
                <w:szCs w:val="21"/>
                <w:highlight w:val="none"/>
              </w:rPr>
              <w:t>措施，由评标委员会进行打分（0-3分）</w:t>
            </w:r>
            <w:r>
              <w:rPr>
                <w:rFonts w:hint="eastAsia" w:hAnsi="宋体"/>
                <w:color w:val="auto"/>
                <w:szCs w:val="21"/>
                <w:highlight w:val="none"/>
                <w:lang w:eastAsia="zh-CN"/>
              </w:rPr>
              <w:t>。</w:t>
            </w:r>
          </w:p>
        </w:tc>
      </w:tr>
      <w:tr w14:paraId="4A1A30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8" w:hRule="atLeast"/>
        </w:trPr>
        <w:tc>
          <w:tcPr>
            <w:tcW w:w="724" w:type="dxa"/>
            <w:shd w:val="clear" w:color="000000" w:fill="FFFFFF"/>
            <w:vAlign w:val="center"/>
          </w:tcPr>
          <w:p w14:paraId="63C28DF0">
            <w:pPr>
              <w:jc w:val="center"/>
              <w:rPr>
                <w:rFonts w:hint="default" w:eastAsia="宋体"/>
                <w:color w:val="auto"/>
                <w:szCs w:val="21"/>
                <w:highlight w:val="none"/>
                <w:lang w:val="en-US" w:eastAsia="zh-CN"/>
              </w:rPr>
            </w:pPr>
            <w:r>
              <w:rPr>
                <w:rFonts w:hint="eastAsia"/>
                <w:color w:val="auto"/>
                <w:szCs w:val="21"/>
                <w:highlight w:val="none"/>
                <w:lang w:val="en-US" w:eastAsia="zh-CN"/>
              </w:rPr>
              <w:t>11</w:t>
            </w:r>
          </w:p>
        </w:tc>
        <w:tc>
          <w:tcPr>
            <w:tcW w:w="1701" w:type="dxa"/>
            <w:shd w:val="clear" w:color="000000" w:fill="FFFFFF"/>
            <w:vAlign w:val="center"/>
          </w:tcPr>
          <w:p w14:paraId="1CA80FC7">
            <w:pPr>
              <w:jc w:val="center"/>
              <w:rPr>
                <w:rFonts w:ascii="宋体" w:hAnsi="宋体"/>
                <w:color w:val="auto"/>
                <w:szCs w:val="21"/>
                <w:highlight w:val="none"/>
              </w:rPr>
            </w:pPr>
            <w:r>
              <w:rPr>
                <w:rFonts w:hint="eastAsia" w:ascii="宋体" w:hAnsi="宋体"/>
                <w:color w:val="auto"/>
                <w:szCs w:val="21"/>
                <w:highlight w:val="none"/>
              </w:rPr>
              <w:t>服务承诺</w:t>
            </w:r>
          </w:p>
        </w:tc>
        <w:tc>
          <w:tcPr>
            <w:tcW w:w="706" w:type="dxa"/>
            <w:shd w:val="clear" w:color="000000" w:fill="FFFFFF"/>
            <w:vAlign w:val="center"/>
          </w:tcPr>
          <w:p w14:paraId="6C7FC2A1">
            <w:pPr>
              <w:jc w:val="center"/>
              <w:rPr>
                <w:rFonts w:ascii="宋体" w:hAnsi="宋体"/>
                <w:color w:val="auto"/>
                <w:szCs w:val="21"/>
                <w:highlight w:val="none"/>
              </w:rPr>
            </w:pPr>
            <w:r>
              <w:rPr>
                <w:rFonts w:hint="eastAsia" w:ascii="宋体" w:hAnsi="宋体"/>
                <w:color w:val="auto"/>
                <w:szCs w:val="21"/>
                <w:highlight w:val="none"/>
              </w:rPr>
              <w:t>6分</w:t>
            </w:r>
          </w:p>
        </w:tc>
        <w:tc>
          <w:tcPr>
            <w:tcW w:w="6149" w:type="dxa"/>
            <w:shd w:val="clear" w:color="000000" w:fill="FFFFFF"/>
            <w:vAlign w:val="center"/>
          </w:tcPr>
          <w:p w14:paraId="0D2536AA">
            <w:pPr>
              <w:rPr>
                <w:color w:val="auto"/>
                <w:highlight w:val="none"/>
              </w:rPr>
            </w:pPr>
            <w:r>
              <w:rPr>
                <w:rFonts w:hint="eastAsia"/>
                <w:color w:val="auto"/>
                <w:highlight w:val="none"/>
              </w:rPr>
              <w:t>1、根据投标人提供服务的便捷性（服务机构设置情况等）进行打分（0-3分）。</w:t>
            </w:r>
          </w:p>
          <w:p w14:paraId="58BC1666">
            <w:pPr>
              <w:rPr>
                <w:color w:val="auto"/>
                <w:highlight w:val="none"/>
              </w:rPr>
            </w:pPr>
            <w:r>
              <w:rPr>
                <w:rFonts w:hint="eastAsia"/>
                <w:color w:val="auto"/>
                <w:highlight w:val="none"/>
              </w:rPr>
              <w:t>2、根据投标人提供的响应方案（服务响应时间、服务人员到场时间等）及有效性进行打分（0-3分）。</w:t>
            </w:r>
          </w:p>
        </w:tc>
      </w:tr>
    </w:tbl>
    <w:p w14:paraId="0C2DCFC9">
      <w:pPr>
        <w:spacing w:line="400" w:lineRule="exact"/>
        <w:rPr>
          <w:rFonts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提示：</w:t>
      </w:r>
    </w:p>
    <w:p w14:paraId="2A6905F5">
      <w:pPr>
        <w:spacing w:line="400" w:lineRule="exact"/>
        <w:rPr>
          <w:rFonts w:asciiTheme="minorEastAsia" w:hAnsiTheme="minorEastAsia" w:eastAsiaTheme="minorEastAsia" w:cstheme="minorEastAsia"/>
          <w:b/>
          <w:bCs/>
          <w:color w:val="auto"/>
          <w:sz w:val="24"/>
          <w:highlight w:val="none"/>
          <w:u w:val="single"/>
        </w:rPr>
      </w:pPr>
      <w:r>
        <w:rPr>
          <w:rFonts w:hint="eastAsia" w:asciiTheme="minorEastAsia" w:hAnsiTheme="minorEastAsia" w:eastAsiaTheme="minorEastAsia" w:cstheme="minorEastAsia"/>
          <w:b/>
          <w:bCs/>
          <w:color w:val="auto"/>
          <w:sz w:val="24"/>
          <w:highlight w:val="none"/>
          <w:u w:val="single"/>
        </w:rPr>
        <w:t>1、请各投标人根据本招标文件及评分标准的顺序编制电子投标文件并进行关联定位，以便评标委员会在评审时，点击评分项即可直接定位到该评分项内容。如对招标文件的某项要求，投标人的电子投标文件未能关联定位提供相应的内容与其对应，则评标委员会在评审时如做出对投标人不利的评审由投标人自行承担。</w:t>
      </w:r>
    </w:p>
    <w:p w14:paraId="47AD0188">
      <w:pPr>
        <w:spacing w:line="400" w:lineRule="exact"/>
        <w:rPr>
          <w:rFonts w:asciiTheme="minorEastAsia" w:hAnsiTheme="minorEastAsia" w:eastAsiaTheme="minorEastAsia" w:cstheme="minorEastAsia"/>
          <w:b/>
          <w:bCs/>
          <w:color w:val="auto"/>
          <w:sz w:val="24"/>
          <w:highlight w:val="none"/>
          <w:u w:val="single"/>
        </w:rPr>
      </w:pPr>
      <w:r>
        <w:rPr>
          <w:rFonts w:hint="eastAsia" w:asciiTheme="minorEastAsia" w:hAnsiTheme="minorEastAsia" w:eastAsiaTheme="minorEastAsia" w:cstheme="minorEastAsia"/>
          <w:b/>
          <w:bCs/>
          <w:color w:val="auto"/>
          <w:sz w:val="24"/>
          <w:highlight w:val="none"/>
          <w:u w:val="single"/>
        </w:rPr>
        <w:t>2、投标人提交的所有投标文件、资料（包括所有证书、合同、报告等）都是准确、真实、合规的，如提供虚假资料，投标人需承担一切后果。</w:t>
      </w:r>
    </w:p>
    <w:p w14:paraId="10B3BA4A">
      <w:pPr>
        <w:spacing w:beforeLines="50" w:afterLines="50" w:line="400" w:lineRule="exact"/>
        <w:ind w:right="480" w:firstLine="361" w:firstLineChars="150"/>
        <w:rPr>
          <w:rFonts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（三）商务技术分的计算方式</w:t>
      </w:r>
    </w:p>
    <w:p w14:paraId="6770EA41">
      <w:pPr>
        <w:spacing w:line="3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商务技术分按照评标委员会成员的独立评分结果汇总后，取全部评标委员会成员评分值的算术平均分，计算公式为：</w:t>
      </w:r>
    </w:p>
    <w:p w14:paraId="0F2AF94D">
      <w:pPr>
        <w:spacing w:line="360" w:lineRule="exact"/>
        <w:ind w:firstLine="495"/>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商务技术分=（评标委员会所有成员评分合计数）/（评标委员会组成人员数）</w:t>
      </w:r>
    </w:p>
    <w:p w14:paraId="02033208">
      <w:pPr>
        <w:pStyle w:val="24"/>
        <w:spacing w:beforeLines="50" w:afterLines="50" w:line="360" w:lineRule="auto"/>
        <w:ind w:firstLine="466" w:firstLineChars="200"/>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三、投标人义务</w:t>
      </w:r>
    </w:p>
    <w:p w14:paraId="43D43610">
      <w:pPr>
        <w:adjustRightInd w:val="0"/>
        <w:spacing w:line="240" w:lineRule="atLeast"/>
        <w:ind w:firstLine="480" w:firstLineChars="200"/>
        <w:outlineLvl w:val="0"/>
        <w:rPr>
          <w:rFonts w:asciiTheme="minorEastAsia" w:hAnsiTheme="minorEastAsia" w:eastAsiaTheme="minorEastAsia" w:cstheme="minorEastAsia"/>
          <w:bCs/>
          <w:color w:val="auto"/>
          <w:sz w:val="24"/>
          <w:highlight w:val="none"/>
        </w:rPr>
        <w:sectPr>
          <w:footerReference r:id="rId8" w:type="default"/>
          <w:pgSz w:w="11906" w:h="16838"/>
          <w:pgMar w:top="1021" w:right="1588" w:bottom="851" w:left="1588" w:header="567" w:footer="454" w:gutter="0"/>
          <w:pgNumType w:fmt="decimal"/>
          <w:cols w:space="720" w:num="1"/>
          <w:docGrid w:linePitch="286" w:charSpace="0"/>
        </w:sectPr>
      </w:pPr>
      <w:r>
        <w:rPr>
          <w:rFonts w:hint="eastAsia" w:asciiTheme="minorEastAsia" w:hAnsiTheme="minorEastAsia" w:eastAsiaTheme="minorEastAsia" w:cstheme="minorEastAsia"/>
          <w:bCs/>
          <w:color w:val="auto"/>
          <w:sz w:val="24"/>
          <w:highlight w:val="none"/>
        </w:rPr>
        <w:t>评标期间，投标人应随时随地答复评标委员会的询标，解答包括有关的商务、技术问题等。</w:t>
      </w:r>
    </w:p>
    <w:p w14:paraId="59CE4536">
      <w:pPr>
        <w:pStyle w:val="24"/>
        <w:spacing w:beforeLines="50" w:afterLines="50" w:line="360" w:lineRule="auto"/>
        <w:ind w:firstLine="586" w:firstLineChars="200"/>
        <w:jc w:val="center"/>
        <w:rPr>
          <w:rFonts w:hAnsi="宋体"/>
          <w:b/>
          <w:color w:val="auto"/>
          <w:sz w:val="24"/>
          <w:highlight w:val="none"/>
        </w:rPr>
      </w:pPr>
      <w:r>
        <w:rPr>
          <w:rFonts w:hint="eastAsia" w:hAnsi="宋体"/>
          <w:b/>
          <w:color w:val="auto"/>
          <w:sz w:val="30"/>
          <w:szCs w:val="30"/>
          <w:highlight w:val="none"/>
        </w:rPr>
        <w:t>采购项目评分索引表</w:t>
      </w:r>
    </w:p>
    <w:p w14:paraId="4F3333E3">
      <w:pPr>
        <w:snapToGrid w:val="0"/>
        <w:spacing w:before="100" w:beforeAutospacing="1" w:after="100" w:afterAutospacing="1" w:line="400" w:lineRule="exact"/>
        <w:rPr>
          <w:rFonts w:ascii="宋体" w:hAnsi="宋体"/>
          <w:b/>
          <w:color w:val="auto"/>
          <w:spacing w:val="-4"/>
          <w:szCs w:val="21"/>
          <w:highlight w:val="none"/>
          <w:shd w:val="pct10" w:color="auto" w:fill="FFFFFF"/>
        </w:rPr>
      </w:pPr>
      <w:r>
        <w:rPr>
          <w:rFonts w:hint="eastAsia" w:ascii="宋体" w:hAnsi="宋体"/>
          <w:b/>
          <w:color w:val="auto"/>
          <w:spacing w:val="-4"/>
          <w:szCs w:val="21"/>
          <w:highlight w:val="none"/>
        </w:rPr>
        <w:t>（</w:t>
      </w:r>
      <w:r>
        <w:rPr>
          <w:rFonts w:hint="eastAsia" w:ascii="宋体" w:hAnsi="宋体"/>
          <w:b/>
          <w:color w:val="auto"/>
          <w:spacing w:val="-4"/>
          <w:szCs w:val="21"/>
          <w:highlight w:val="none"/>
          <w:shd w:val="pct10" w:color="auto" w:fill="FFFFFF"/>
        </w:rPr>
        <w:t>本采购项目评分索引表</w:t>
      </w:r>
      <w:r>
        <w:rPr>
          <w:rFonts w:ascii="宋体" w:hAnsi="宋体"/>
          <w:b/>
          <w:color w:val="auto"/>
          <w:spacing w:val="-4"/>
          <w:szCs w:val="21"/>
          <w:highlight w:val="none"/>
          <w:shd w:val="pct10" w:color="auto" w:fill="FFFFFF"/>
        </w:rPr>
        <w:t>放在商务技术文件目录的前</w:t>
      </w:r>
      <w:r>
        <w:rPr>
          <w:rFonts w:hint="eastAsia" w:ascii="宋体" w:hAnsi="宋体"/>
          <w:b/>
          <w:color w:val="auto"/>
          <w:spacing w:val="-4"/>
          <w:szCs w:val="21"/>
          <w:highlight w:val="none"/>
          <w:shd w:val="pct10" w:color="auto" w:fill="FFFFFF"/>
        </w:rPr>
        <w:t>页</w:t>
      </w:r>
      <w:r>
        <w:rPr>
          <w:rFonts w:ascii="宋体" w:hAnsi="宋体"/>
          <w:b/>
          <w:color w:val="auto"/>
          <w:spacing w:val="-4"/>
          <w:szCs w:val="21"/>
          <w:highlight w:val="none"/>
          <w:shd w:val="pct10" w:color="auto" w:fill="FFFFFF"/>
        </w:rPr>
        <w:t>，</w:t>
      </w:r>
      <w:r>
        <w:rPr>
          <w:rFonts w:hint="eastAsia" w:ascii="宋体" w:hAnsi="宋体"/>
          <w:b/>
          <w:color w:val="auto"/>
          <w:spacing w:val="-4"/>
          <w:szCs w:val="21"/>
          <w:highlight w:val="none"/>
          <w:u w:val="single"/>
          <w:shd w:val="pct10" w:color="auto" w:fill="FFFFFF"/>
        </w:rPr>
        <w:t>“投标人应标情况栏目” （客观分部分）请投标人务必逐项详细进行填写（请勿不填写），投标人自评分值（客观分部分）请投标人将应得分值准确自评（请勿不填写也请勿错误填写），以方便评委进行更加优质、高效的评审</w:t>
      </w:r>
      <w:r>
        <w:rPr>
          <w:rFonts w:hint="eastAsia" w:ascii="宋体" w:hAnsi="宋体"/>
          <w:b/>
          <w:color w:val="auto"/>
          <w:spacing w:val="-4"/>
          <w:szCs w:val="21"/>
          <w:highlight w:val="none"/>
          <w:shd w:val="pct10" w:color="auto" w:fill="FFFFFF"/>
        </w:rPr>
        <w:t>)</w:t>
      </w:r>
    </w:p>
    <w:p w14:paraId="21D6E107">
      <w:pPr>
        <w:rPr>
          <w:rFonts w:ascii="宋体" w:hAnsi="宋体"/>
          <w:b/>
          <w:color w:val="auto"/>
          <w:sz w:val="24"/>
          <w:highlight w:val="none"/>
        </w:rPr>
      </w:pPr>
      <w:r>
        <w:rPr>
          <w:rFonts w:hint="eastAsia" w:ascii="宋体" w:hAnsi="宋体"/>
          <w:b/>
          <w:color w:val="auto"/>
          <w:sz w:val="24"/>
          <w:highlight w:val="none"/>
        </w:rPr>
        <w:t xml:space="preserve">项目名称： </w:t>
      </w:r>
      <w:r>
        <w:rPr>
          <w:rFonts w:ascii="宋体" w:hAnsi="宋体"/>
          <w:b/>
          <w:color w:val="auto"/>
          <w:sz w:val="24"/>
          <w:highlight w:val="none"/>
        </w:rPr>
        <w:t xml:space="preserve">                                </w:t>
      </w:r>
      <w:r>
        <w:rPr>
          <w:rFonts w:hint="eastAsia" w:ascii="宋体" w:hAnsi="宋体"/>
          <w:b/>
          <w:color w:val="auto"/>
          <w:sz w:val="24"/>
          <w:highlight w:val="none"/>
        </w:rPr>
        <w:t>投标人名称：</w:t>
      </w:r>
    </w:p>
    <w:tbl>
      <w:tblPr>
        <w:tblStyle w:val="52"/>
        <w:tblW w:w="9197" w:type="dxa"/>
        <w:tblInd w:w="12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7"/>
        <w:gridCol w:w="2220"/>
        <w:gridCol w:w="865"/>
        <w:gridCol w:w="1685"/>
        <w:gridCol w:w="2505"/>
        <w:gridCol w:w="1215"/>
      </w:tblGrid>
      <w:tr w14:paraId="3F836C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trPr>
        <w:tc>
          <w:tcPr>
            <w:tcW w:w="2927" w:type="dxa"/>
            <w:gridSpan w:val="2"/>
            <w:vAlign w:val="center"/>
          </w:tcPr>
          <w:p w14:paraId="1B64BB41">
            <w:pPr>
              <w:widowControl/>
              <w:jc w:val="center"/>
              <w:rPr>
                <w:rFonts w:ascii="宋体" w:hAnsi="宋体"/>
                <w:b/>
                <w:bCs/>
                <w:color w:val="auto"/>
                <w:szCs w:val="21"/>
                <w:highlight w:val="none"/>
              </w:rPr>
            </w:pPr>
            <w:r>
              <w:rPr>
                <w:rFonts w:hint="eastAsia" w:ascii="宋体" w:hAnsi="宋体"/>
                <w:b/>
                <w:bCs/>
                <w:color w:val="auto"/>
                <w:szCs w:val="21"/>
                <w:highlight w:val="none"/>
              </w:rPr>
              <w:t>评标内容</w:t>
            </w:r>
          </w:p>
        </w:tc>
        <w:tc>
          <w:tcPr>
            <w:tcW w:w="865" w:type="dxa"/>
            <w:vAlign w:val="center"/>
          </w:tcPr>
          <w:p w14:paraId="23E31811">
            <w:pPr>
              <w:widowControl/>
              <w:jc w:val="center"/>
              <w:rPr>
                <w:rFonts w:ascii="宋体"/>
                <w:b/>
                <w:bCs/>
                <w:color w:val="auto"/>
                <w:szCs w:val="21"/>
                <w:highlight w:val="none"/>
              </w:rPr>
            </w:pPr>
            <w:r>
              <w:rPr>
                <w:rFonts w:hint="eastAsia" w:ascii="宋体"/>
                <w:b/>
                <w:bCs/>
                <w:color w:val="auto"/>
                <w:szCs w:val="21"/>
                <w:highlight w:val="none"/>
              </w:rPr>
              <w:t>分值</w:t>
            </w:r>
          </w:p>
        </w:tc>
        <w:tc>
          <w:tcPr>
            <w:tcW w:w="1685" w:type="dxa"/>
            <w:tcBorders>
              <w:top w:val="single" w:color="auto" w:sz="4" w:space="0"/>
              <w:left w:val="nil"/>
              <w:bottom w:val="single" w:color="auto" w:sz="4" w:space="0"/>
              <w:right w:val="single" w:color="auto" w:sz="4" w:space="0"/>
            </w:tcBorders>
            <w:vAlign w:val="center"/>
          </w:tcPr>
          <w:p w14:paraId="4C56165F">
            <w:pPr>
              <w:widowControl/>
              <w:jc w:val="center"/>
              <w:rPr>
                <w:rFonts w:ascii="宋体" w:hAnsi="宋体"/>
                <w:b/>
                <w:bCs/>
                <w:color w:val="auto"/>
                <w:szCs w:val="21"/>
                <w:highlight w:val="none"/>
              </w:rPr>
            </w:pPr>
            <w:r>
              <w:rPr>
                <w:rFonts w:hint="eastAsia" w:ascii="宋体" w:hAnsi="宋体"/>
                <w:b/>
                <w:bCs/>
                <w:color w:val="auto"/>
                <w:szCs w:val="21"/>
                <w:highlight w:val="none"/>
              </w:rPr>
              <w:t>投标文件</w:t>
            </w:r>
          </w:p>
          <w:p w14:paraId="7552BC8D">
            <w:pPr>
              <w:widowControl/>
              <w:jc w:val="center"/>
              <w:rPr>
                <w:rFonts w:ascii="宋体"/>
                <w:color w:val="auto"/>
                <w:szCs w:val="21"/>
                <w:highlight w:val="none"/>
              </w:rPr>
            </w:pPr>
            <w:r>
              <w:rPr>
                <w:rFonts w:hint="eastAsia" w:ascii="宋体" w:hAnsi="宋体"/>
                <w:b/>
                <w:bCs/>
                <w:color w:val="auto"/>
                <w:szCs w:val="21"/>
                <w:highlight w:val="none"/>
              </w:rPr>
              <w:t>响应页码</w:t>
            </w:r>
          </w:p>
        </w:tc>
        <w:tc>
          <w:tcPr>
            <w:tcW w:w="2505" w:type="dxa"/>
            <w:tcBorders>
              <w:top w:val="single" w:color="auto" w:sz="4" w:space="0"/>
              <w:left w:val="nil"/>
              <w:bottom w:val="single" w:color="auto" w:sz="4" w:space="0"/>
              <w:right w:val="single" w:color="auto" w:sz="4" w:space="0"/>
            </w:tcBorders>
            <w:vAlign w:val="center"/>
          </w:tcPr>
          <w:p w14:paraId="1F66BAD8">
            <w:pPr>
              <w:widowControl/>
              <w:jc w:val="center"/>
              <w:rPr>
                <w:rFonts w:ascii="宋体" w:hAnsi="宋体" w:cs="宋体"/>
                <w:b/>
                <w:bCs/>
                <w:color w:val="auto"/>
                <w:kern w:val="0"/>
                <w:szCs w:val="21"/>
                <w:highlight w:val="none"/>
              </w:rPr>
            </w:pPr>
            <w:r>
              <w:rPr>
                <w:rFonts w:hint="eastAsia" w:ascii="宋体" w:hAnsi="宋体" w:cs="宋体"/>
                <w:b/>
                <w:bCs/>
                <w:color w:val="auto"/>
                <w:kern w:val="0"/>
                <w:szCs w:val="21"/>
                <w:highlight w:val="none"/>
              </w:rPr>
              <w:t>投标人</w:t>
            </w:r>
          </w:p>
          <w:p w14:paraId="7EF50678">
            <w:pPr>
              <w:widowControl/>
              <w:jc w:val="center"/>
              <w:rPr>
                <w:rFonts w:ascii="宋体" w:hAnsi="宋体"/>
                <w:color w:val="auto"/>
                <w:szCs w:val="21"/>
                <w:highlight w:val="none"/>
              </w:rPr>
            </w:pPr>
            <w:r>
              <w:rPr>
                <w:rFonts w:hint="eastAsia" w:ascii="宋体" w:hAnsi="宋体" w:cs="宋体"/>
                <w:b/>
                <w:bCs/>
                <w:color w:val="auto"/>
                <w:kern w:val="0"/>
                <w:szCs w:val="21"/>
                <w:highlight w:val="none"/>
              </w:rPr>
              <w:t>应标情况</w:t>
            </w:r>
          </w:p>
        </w:tc>
        <w:tc>
          <w:tcPr>
            <w:tcW w:w="1215" w:type="dxa"/>
            <w:tcBorders>
              <w:top w:val="single" w:color="auto" w:sz="4" w:space="0"/>
              <w:left w:val="nil"/>
              <w:bottom w:val="single" w:color="auto" w:sz="4" w:space="0"/>
              <w:right w:val="single" w:color="auto" w:sz="4" w:space="0"/>
            </w:tcBorders>
            <w:vAlign w:val="center"/>
          </w:tcPr>
          <w:p w14:paraId="326B6283">
            <w:pPr>
              <w:widowControl/>
              <w:jc w:val="center"/>
              <w:rPr>
                <w:rFonts w:ascii="宋体" w:hAnsi="宋体"/>
                <w:color w:val="auto"/>
                <w:szCs w:val="21"/>
                <w:highlight w:val="none"/>
              </w:rPr>
            </w:pPr>
            <w:r>
              <w:rPr>
                <w:rFonts w:hint="eastAsia" w:ascii="宋体" w:hAnsi="宋体" w:cs="宋体"/>
                <w:b/>
                <w:bCs/>
                <w:color w:val="auto"/>
                <w:kern w:val="0"/>
                <w:szCs w:val="21"/>
                <w:highlight w:val="none"/>
              </w:rPr>
              <w:t>投标人自评分值</w:t>
            </w:r>
          </w:p>
        </w:tc>
      </w:tr>
      <w:tr w14:paraId="1762D4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trPr>
        <w:tc>
          <w:tcPr>
            <w:tcW w:w="707" w:type="dxa"/>
            <w:vMerge w:val="restart"/>
            <w:vAlign w:val="center"/>
          </w:tcPr>
          <w:p w14:paraId="3E44F2EC">
            <w:pPr>
              <w:jc w:val="center"/>
              <w:rPr>
                <w:rFonts w:ascii="宋体" w:hAnsi="宋体"/>
                <w:bCs/>
                <w:color w:val="auto"/>
                <w:szCs w:val="21"/>
                <w:highlight w:val="none"/>
              </w:rPr>
            </w:pPr>
            <w:r>
              <w:rPr>
                <w:rFonts w:hint="eastAsia" w:ascii="宋体" w:hAnsi="宋体"/>
                <w:bCs/>
                <w:color w:val="auto"/>
                <w:szCs w:val="21"/>
                <w:highlight w:val="none"/>
              </w:rPr>
              <w:t>1</w:t>
            </w:r>
          </w:p>
        </w:tc>
        <w:tc>
          <w:tcPr>
            <w:tcW w:w="2220" w:type="dxa"/>
            <w:vMerge w:val="restart"/>
            <w:vAlign w:val="center"/>
          </w:tcPr>
          <w:p w14:paraId="40BA8658">
            <w:pPr>
              <w:jc w:val="center"/>
              <w:textAlignment w:val="center"/>
              <w:rPr>
                <w:rFonts w:ascii="宋体" w:hAnsi="宋体"/>
                <w:b/>
                <w:bCs/>
                <w:color w:val="auto"/>
                <w:szCs w:val="21"/>
                <w:highlight w:val="none"/>
              </w:rPr>
            </w:pPr>
            <w:r>
              <w:rPr>
                <w:rFonts w:hint="eastAsia" w:ascii="宋体" w:hAnsi="宋体" w:cs="宋体"/>
                <w:bCs/>
                <w:color w:val="auto"/>
                <w:szCs w:val="21"/>
                <w:highlight w:val="none"/>
              </w:rPr>
              <w:t>企业荣誉</w:t>
            </w:r>
          </w:p>
        </w:tc>
        <w:tc>
          <w:tcPr>
            <w:tcW w:w="865" w:type="dxa"/>
            <w:vAlign w:val="center"/>
          </w:tcPr>
          <w:p w14:paraId="4D151EE5">
            <w:pPr>
              <w:jc w:val="center"/>
              <w:rPr>
                <w:rFonts w:ascii="宋体" w:hAnsi="宋体" w:cs="宋体"/>
                <w:bCs/>
                <w:color w:val="auto"/>
                <w:kern w:val="0"/>
                <w:szCs w:val="21"/>
                <w:highlight w:val="none"/>
              </w:rPr>
            </w:pPr>
            <w:r>
              <w:rPr>
                <w:rFonts w:hint="eastAsia" w:ascii="宋体" w:hAnsi="宋体"/>
                <w:bCs/>
                <w:color w:val="auto"/>
                <w:szCs w:val="21"/>
                <w:highlight w:val="none"/>
                <w:lang w:val="en-US" w:eastAsia="zh-CN"/>
              </w:rPr>
              <w:t>4</w:t>
            </w:r>
            <w:r>
              <w:rPr>
                <w:rFonts w:hint="eastAsia" w:ascii="宋体" w:hAnsi="宋体"/>
                <w:bCs/>
                <w:color w:val="auto"/>
                <w:szCs w:val="21"/>
                <w:highlight w:val="none"/>
              </w:rPr>
              <w:t>分</w:t>
            </w:r>
          </w:p>
        </w:tc>
        <w:tc>
          <w:tcPr>
            <w:tcW w:w="1685" w:type="dxa"/>
            <w:tcBorders>
              <w:top w:val="single" w:color="auto" w:sz="4" w:space="0"/>
              <w:left w:val="nil"/>
              <w:bottom w:val="single" w:color="auto" w:sz="4" w:space="0"/>
              <w:right w:val="single" w:color="auto" w:sz="4" w:space="0"/>
            </w:tcBorders>
            <w:vAlign w:val="center"/>
          </w:tcPr>
          <w:p w14:paraId="2345257C">
            <w:pPr>
              <w:widowControl/>
              <w:jc w:val="center"/>
              <w:rPr>
                <w:rFonts w:ascii="宋体" w:hAnsi="宋体"/>
                <w:b/>
                <w:bCs/>
                <w:color w:val="auto"/>
                <w:szCs w:val="21"/>
                <w:highlight w:val="none"/>
              </w:rPr>
            </w:pPr>
          </w:p>
        </w:tc>
        <w:tc>
          <w:tcPr>
            <w:tcW w:w="2505" w:type="dxa"/>
            <w:tcBorders>
              <w:top w:val="single" w:color="auto" w:sz="4" w:space="0"/>
              <w:left w:val="nil"/>
              <w:bottom w:val="single" w:color="auto" w:sz="4" w:space="0"/>
              <w:right w:val="single" w:color="auto" w:sz="4" w:space="0"/>
            </w:tcBorders>
            <w:vAlign w:val="center"/>
          </w:tcPr>
          <w:p w14:paraId="79AAD62A">
            <w:pPr>
              <w:pStyle w:val="14"/>
              <w:ind w:firstLine="0"/>
              <w:jc w:val="center"/>
              <w:rPr>
                <w:rFonts w:ascii="宋体" w:hAnsi="宋体" w:cs="宋体"/>
                <w:b/>
                <w:bCs/>
                <w:color w:val="auto"/>
                <w:sz w:val="21"/>
                <w:szCs w:val="21"/>
                <w:highlight w:val="none"/>
              </w:rPr>
            </w:pPr>
            <w:r>
              <w:rPr>
                <w:rFonts w:hint="eastAsia" w:ascii="宋体" w:hAnsi="宋体" w:cs="宋体"/>
                <w:b/>
                <w:bCs/>
                <w:color w:val="auto"/>
                <w:sz w:val="21"/>
                <w:szCs w:val="21"/>
                <w:highlight w:val="none"/>
                <w:shd w:val="pct10" w:color="auto" w:fill="FFFFFF"/>
              </w:rPr>
              <w:t>投标人务必将应标证书内容逐项详细填写齐全，以方便评委进行更加优质、高效的评审</w:t>
            </w:r>
          </w:p>
        </w:tc>
        <w:tc>
          <w:tcPr>
            <w:tcW w:w="1215" w:type="dxa"/>
            <w:tcBorders>
              <w:top w:val="single" w:color="auto" w:sz="4" w:space="0"/>
              <w:left w:val="nil"/>
              <w:bottom w:val="single" w:color="auto" w:sz="4" w:space="0"/>
              <w:right w:val="single" w:color="auto" w:sz="4" w:space="0"/>
            </w:tcBorders>
            <w:vAlign w:val="center"/>
          </w:tcPr>
          <w:p w14:paraId="5DA99033">
            <w:pPr>
              <w:pStyle w:val="14"/>
              <w:ind w:firstLine="0"/>
              <w:jc w:val="center"/>
              <w:rPr>
                <w:rFonts w:ascii="宋体" w:hAnsi="宋体" w:cs="宋体"/>
                <w:b/>
                <w:bCs/>
                <w:color w:val="auto"/>
                <w:sz w:val="21"/>
                <w:szCs w:val="21"/>
                <w:highlight w:val="none"/>
              </w:rPr>
            </w:pPr>
            <w:r>
              <w:rPr>
                <w:rFonts w:hint="eastAsia" w:ascii="宋体" w:hAnsi="宋体" w:cs="宋体"/>
                <w:b/>
                <w:bCs/>
                <w:color w:val="auto"/>
                <w:sz w:val="21"/>
                <w:szCs w:val="21"/>
                <w:highlight w:val="none"/>
                <w:shd w:val="pct10" w:color="auto" w:fill="FFFFFF"/>
              </w:rPr>
              <w:t>投标人将应得分值填写准确</w:t>
            </w:r>
          </w:p>
        </w:tc>
      </w:tr>
      <w:tr w14:paraId="49A32B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trPr>
        <w:tc>
          <w:tcPr>
            <w:tcW w:w="707" w:type="dxa"/>
            <w:vMerge w:val="continue"/>
            <w:vAlign w:val="center"/>
          </w:tcPr>
          <w:p w14:paraId="1DD3A6EA">
            <w:pPr>
              <w:jc w:val="center"/>
              <w:rPr>
                <w:rFonts w:ascii="宋体" w:hAnsi="宋体"/>
                <w:bCs/>
                <w:color w:val="auto"/>
                <w:szCs w:val="21"/>
                <w:highlight w:val="none"/>
              </w:rPr>
            </w:pPr>
          </w:p>
        </w:tc>
        <w:tc>
          <w:tcPr>
            <w:tcW w:w="2220" w:type="dxa"/>
            <w:vMerge w:val="continue"/>
            <w:vAlign w:val="center"/>
          </w:tcPr>
          <w:p w14:paraId="056C7B64">
            <w:pPr>
              <w:jc w:val="center"/>
              <w:textAlignment w:val="center"/>
              <w:rPr>
                <w:rFonts w:ascii="宋体" w:hAnsi="宋体"/>
                <w:b/>
                <w:bCs/>
                <w:color w:val="auto"/>
                <w:szCs w:val="21"/>
                <w:highlight w:val="none"/>
              </w:rPr>
            </w:pPr>
          </w:p>
        </w:tc>
        <w:tc>
          <w:tcPr>
            <w:tcW w:w="865" w:type="dxa"/>
            <w:vAlign w:val="center"/>
          </w:tcPr>
          <w:p w14:paraId="68770D65">
            <w:pPr>
              <w:jc w:val="center"/>
              <w:rPr>
                <w:rFonts w:ascii="宋体" w:hAnsi="宋体" w:cs="宋体"/>
                <w:color w:val="auto"/>
                <w:szCs w:val="21"/>
                <w:highlight w:val="none"/>
              </w:rPr>
            </w:pPr>
            <w:r>
              <w:rPr>
                <w:rFonts w:hint="eastAsia" w:ascii="宋体" w:hAnsi="宋体"/>
                <w:bCs/>
                <w:color w:val="auto"/>
                <w:szCs w:val="21"/>
                <w:highlight w:val="none"/>
                <w:lang w:val="en-US" w:eastAsia="zh-CN"/>
              </w:rPr>
              <w:t>6</w:t>
            </w:r>
            <w:r>
              <w:rPr>
                <w:rFonts w:hint="eastAsia" w:ascii="宋体" w:hAnsi="宋体"/>
                <w:bCs/>
                <w:color w:val="auto"/>
                <w:szCs w:val="21"/>
                <w:highlight w:val="none"/>
              </w:rPr>
              <w:t>分</w:t>
            </w:r>
          </w:p>
        </w:tc>
        <w:tc>
          <w:tcPr>
            <w:tcW w:w="1685" w:type="dxa"/>
            <w:tcBorders>
              <w:top w:val="single" w:color="auto" w:sz="4" w:space="0"/>
              <w:left w:val="nil"/>
              <w:bottom w:val="single" w:color="auto" w:sz="4" w:space="0"/>
              <w:right w:val="single" w:color="auto" w:sz="4" w:space="0"/>
            </w:tcBorders>
            <w:vAlign w:val="center"/>
          </w:tcPr>
          <w:p w14:paraId="16918EA5">
            <w:pPr>
              <w:widowControl/>
              <w:jc w:val="center"/>
              <w:rPr>
                <w:rFonts w:ascii="宋体" w:hAnsi="宋体"/>
                <w:b/>
                <w:bCs/>
                <w:color w:val="auto"/>
                <w:szCs w:val="21"/>
                <w:highlight w:val="none"/>
              </w:rPr>
            </w:pPr>
          </w:p>
        </w:tc>
        <w:tc>
          <w:tcPr>
            <w:tcW w:w="2505" w:type="dxa"/>
            <w:tcBorders>
              <w:top w:val="single" w:color="auto" w:sz="4" w:space="0"/>
              <w:left w:val="nil"/>
              <w:bottom w:val="single" w:color="auto" w:sz="4" w:space="0"/>
              <w:right w:val="single" w:color="auto" w:sz="4" w:space="0"/>
            </w:tcBorders>
            <w:vAlign w:val="center"/>
          </w:tcPr>
          <w:p w14:paraId="39235197">
            <w:pPr>
              <w:pStyle w:val="14"/>
              <w:ind w:firstLine="0"/>
              <w:jc w:val="center"/>
              <w:rPr>
                <w:rFonts w:ascii="宋体" w:hAnsi="宋体" w:cs="宋体"/>
                <w:b/>
                <w:bCs/>
                <w:color w:val="auto"/>
                <w:sz w:val="21"/>
                <w:szCs w:val="21"/>
                <w:highlight w:val="none"/>
              </w:rPr>
            </w:pPr>
            <w:r>
              <w:rPr>
                <w:rFonts w:hint="eastAsia" w:ascii="宋体" w:hAnsi="宋体" w:cs="宋体"/>
                <w:b/>
                <w:bCs/>
                <w:color w:val="auto"/>
                <w:sz w:val="21"/>
                <w:szCs w:val="21"/>
                <w:highlight w:val="none"/>
                <w:shd w:val="pct10" w:color="auto" w:fill="FFFFFF"/>
              </w:rPr>
              <w:t>投标人务必将应标证书内容逐项详细填写齐全，以方便评委进行更加优质、高效的评审</w:t>
            </w:r>
          </w:p>
        </w:tc>
        <w:tc>
          <w:tcPr>
            <w:tcW w:w="1215" w:type="dxa"/>
            <w:tcBorders>
              <w:top w:val="single" w:color="auto" w:sz="4" w:space="0"/>
              <w:left w:val="nil"/>
              <w:bottom w:val="single" w:color="auto" w:sz="4" w:space="0"/>
              <w:right w:val="single" w:color="auto" w:sz="4" w:space="0"/>
            </w:tcBorders>
            <w:vAlign w:val="center"/>
          </w:tcPr>
          <w:p w14:paraId="7E944450">
            <w:pPr>
              <w:pStyle w:val="14"/>
              <w:ind w:firstLine="0"/>
              <w:jc w:val="center"/>
              <w:rPr>
                <w:rFonts w:ascii="宋体" w:hAnsi="宋体" w:cs="宋体"/>
                <w:b/>
                <w:bCs/>
                <w:color w:val="auto"/>
                <w:sz w:val="21"/>
                <w:szCs w:val="21"/>
                <w:highlight w:val="none"/>
              </w:rPr>
            </w:pPr>
            <w:r>
              <w:rPr>
                <w:rFonts w:hint="eastAsia" w:ascii="宋体" w:hAnsi="宋体" w:cs="宋体"/>
                <w:b/>
                <w:bCs/>
                <w:color w:val="auto"/>
                <w:sz w:val="21"/>
                <w:szCs w:val="21"/>
                <w:highlight w:val="none"/>
                <w:shd w:val="pct10" w:color="auto" w:fill="FFFFFF"/>
              </w:rPr>
              <w:t>投标人将应得分值填写准确</w:t>
            </w:r>
          </w:p>
        </w:tc>
      </w:tr>
      <w:tr w14:paraId="44E205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trPr>
        <w:tc>
          <w:tcPr>
            <w:tcW w:w="707" w:type="dxa"/>
            <w:vAlign w:val="center"/>
          </w:tcPr>
          <w:p w14:paraId="3EE60BEA">
            <w:pPr>
              <w:jc w:val="center"/>
              <w:rPr>
                <w:rFonts w:ascii="宋体" w:hAnsi="宋体"/>
                <w:bCs/>
                <w:color w:val="auto"/>
                <w:szCs w:val="21"/>
                <w:highlight w:val="none"/>
              </w:rPr>
            </w:pPr>
            <w:r>
              <w:rPr>
                <w:rFonts w:hint="eastAsia" w:ascii="宋体" w:hAnsi="宋体"/>
                <w:bCs/>
                <w:color w:val="auto"/>
                <w:szCs w:val="21"/>
                <w:highlight w:val="none"/>
              </w:rPr>
              <w:t>2</w:t>
            </w:r>
          </w:p>
        </w:tc>
        <w:tc>
          <w:tcPr>
            <w:tcW w:w="2220" w:type="dxa"/>
            <w:vAlign w:val="center"/>
          </w:tcPr>
          <w:p w14:paraId="36A58E45">
            <w:pPr>
              <w:jc w:val="left"/>
              <w:rPr>
                <w:rFonts w:ascii="宋体" w:hAnsi="宋体"/>
                <w:b/>
                <w:bCs/>
                <w:color w:val="auto"/>
                <w:szCs w:val="21"/>
                <w:highlight w:val="none"/>
              </w:rPr>
            </w:pPr>
            <w:r>
              <w:rPr>
                <w:rFonts w:hint="eastAsia" w:ascii="宋体" w:hAnsi="宋体"/>
                <w:color w:val="auto"/>
                <w:szCs w:val="21"/>
                <w:highlight w:val="none"/>
              </w:rPr>
              <w:t>投标人认证证书</w:t>
            </w:r>
          </w:p>
        </w:tc>
        <w:tc>
          <w:tcPr>
            <w:tcW w:w="865" w:type="dxa"/>
            <w:vAlign w:val="center"/>
          </w:tcPr>
          <w:p w14:paraId="7DEEEA13">
            <w:pPr>
              <w:jc w:val="center"/>
              <w:rPr>
                <w:rFonts w:ascii="宋体" w:hAnsi="宋体" w:cs="宋体"/>
                <w:color w:val="auto"/>
                <w:szCs w:val="21"/>
                <w:highlight w:val="none"/>
              </w:rPr>
            </w:pPr>
            <w:r>
              <w:rPr>
                <w:rFonts w:ascii="宋体" w:hAnsi="宋体"/>
                <w:bCs/>
                <w:color w:val="auto"/>
                <w:szCs w:val="21"/>
                <w:highlight w:val="none"/>
              </w:rPr>
              <w:t>3</w:t>
            </w:r>
            <w:r>
              <w:rPr>
                <w:rFonts w:hint="eastAsia" w:ascii="宋体" w:hAnsi="宋体"/>
                <w:bCs/>
                <w:color w:val="auto"/>
                <w:szCs w:val="21"/>
                <w:highlight w:val="none"/>
              </w:rPr>
              <w:t>分</w:t>
            </w:r>
          </w:p>
        </w:tc>
        <w:tc>
          <w:tcPr>
            <w:tcW w:w="1685" w:type="dxa"/>
            <w:tcBorders>
              <w:top w:val="single" w:color="auto" w:sz="4" w:space="0"/>
              <w:left w:val="nil"/>
              <w:bottom w:val="single" w:color="auto" w:sz="4" w:space="0"/>
              <w:right w:val="single" w:color="auto" w:sz="4" w:space="0"/>
            </w:tcBorders>
            <w:vAlign w:val="center"/>
          </w:tcPr>
          <w:p w14:paraId="2E0A942B">
            <w:pPr>
              <w:widowControl/>
              <w:jc w:val="center"/>
              <w:rPr>
                <w:rFonts w:ascii="宋体" w:hAnsi="宋体"/>
                <w:b/>
                <w:bCs/>
                <w:color w:val="auto"/>
                <w:szCs w:val="21"/>
                <w:highlight w:val="none"/>
              </w:rPr>
            </w:pPr>
          </w:p>
        </w:tc>
        <w:tc>
          <w:tcPr>
            <w:tcW w:w="2505" w:type="dxa"/>
            <w:tcBorders>
              <w:top w:val="single" w:color="auto" w:sz="4" w:space="0"/>
              <w:left w:val="nil"/>
              <w:bottom w:val="single" w:color="auto" w:sz="4" w:space="0"/>
              <w:right w:val="single" w:color="auto" w:sz="4" w:space="0"/>
            </w:tcBorders>
            <w:vAlign w:val="center"/>
          </w:tcPr>
          <w:p w14:paraId="6E720ADA">
            <w:pPr>
              <w:pStyle w:val="14"/>
              <w:ind w:firstLine="0"/>
              <w:jc w:val="center"/>
              <w:rPr>
                <w:rFonts w:ascii="宋体" w:hAnsi="宋体" w:cs="宋体"/>
                <w:b/>
                <w:bCs/>
                <w:color w:val="auto"/>
                <w:sz w:val="21"/>
                <w:szCs w:val="21"/>
                <w:highlight w:val="none"/>
              </w:rPr>
            </w:pPr>
            <w:r>
              <w:rPr>
                <w:rFonts w:hint="eastAsia" w:ascii="宋体" w:hAnsi="宋体" w:cs="宋体"/>
                <w:b/>
                <w:bCs/>
                <w:color w:val="auto"/>
                <w:sz w:val="21"/>
                <w:szCs w:val="21"/>
                <w:highlight w:val="none"/>
                <w:shd w:val="pct10" w:color="auto" w:fill="FFFFFF"/>
              </w:rPr>
              <w:t>投标人务必将应标证书内容逐项详细填写齐全，以方便评委进行更加优质、高效的评审</w:t>
            </w:r>
          </w:p>
        </w:tc>
        <w:tc>
          <w:tcPr>
            <w:tcW w:w="1215" w:type="dxa"/>
            <w:tcBorders>
              <w:top w:val="single" w:color="auto" w:sz="4" w:space="0"/>
              <w:left w:val="nil"/>
              <w:bottom w:val="single" w:color="auto" w:sz="4" w:space="0"/>
              <w:right w:val="single" w:color="auto" w:sz="4" w:space="0"/>
            </w:tcBorders>
            <w:vAlign w:val="center"/>
          </w:tcPr>
          <w:p w14:paraId="693C2E42">
            <w:pPr>
              <w:pStyle w:val="14"/>
              <w:ind w:firstLine="0"/>
              <w:jc w:val="center"/>
              <w:rPr>
                <w:rFonts w:ascii="宋体" w:hAnsi="宋体" w:cs="宋体"/>
                <w:b/>
                <w:bCs/>
                <w:color w:val="auto"/>
                <w:sz w:val="21"/>
                <w:szCs w:val="21"/>
                <w:highlight w:val="none"/>
              </w:rPr>
            </w:pPr>
            <w:r>
              <w:rPr>
                <w:rFonts w:hint="eastAsia" w:ascii="宋体" w:hAnsi="宋体" w:cs="宋体"/>
                <w:b/>
                <w:bCs/>
                <w:color w:val="auto"/>
                <w:sz w:val="21"/>
                <w:szCs w:val="21"/>
                <w:highlight w:val="none"/>
                <w:shd w:val="pct10" w:color="auto" w:fill="FFFFFF"/>
              </w:rPr>
              <w:t>投标人将应得分值填写准确</w:t>
            </w:r>
          </w:p>
        </w:tc>
      </w:tr>
      <w:tr w14:paraId="35AE9E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trPr>
        <w:tc>
          <w:tcPr>
            <w:tcW w:w="707" w:type="dxa"/>
            <w:vAlign w:val="center"/>
          </w:tcPr>
          <w:p w14:paraId="6362E479">
            <w:pPr>
              <w:jc w:val="center"/>
              <w:rPr>
                <w:rFonts w:ascii="宋体" w:hAnsi="宋体"/>
                <w:bCs/>
                <w:color w:val="auto"/>
                <w:szCs w:val="21"/>
                <w:highlight w:val="none"/>
              </w:rPr>
            </w:pPr>
            <w:r>
              <w:rPr>
                <w:rFonts w:hint="eastAsia" w:ascii="宋体" w:hAnsi="宋体"/>
                <w:bCs/>
                <w:color w:val="auto"/>
                <w:szCs w:val="21"/>
                <w:highlight w:val="none"/>
              </w:rPr>
              <w:t>3</w:t>
            </w:r>
          </w:p>
        </w:tc>
        <w:tc>
          <w:tcPr>
            <w:tcW w:w="2220" w:type="dxa"/>
            <w:vAlign w:val="center"/>
          </w:tcPr>
          <w:p w14:paraId="5B2ED5AB">
            <w:pPr>
              <w:jc w:val="center"/>
              <w:rPr>
                <w:rFonts w:ascii="宋体" w:hAnsi="宋体"/>
                <w:b/>
                <w:bCs/>
                <w:color w:val="auto"/>
                <w:szCs w:val="21"/>
                <w:highlight w:val="none"/>
              </w:rPr>
            </w:pPr>
            <w:r>
              <w:rPr>
                <w:rFonts w:hint="eastAsia" w:ascii="宋体" w:hAnsi="宋体"/>
                <w:color w:val="auto"/>
                <w:szCs w:val="21"/>
                <w:highlight w:val="none"/>
              </w:rPr>
              <w:t>项目负责人</w:t>
            </w:r>
          </w:p>
        </w:tc>
        <w:tc>
          <w:tcPr>
            <w:tcW w:w="865" w:type="dxa"/>
            <w:vAlign w:val="center"/>
          </w:tcPr>
          <w:p w14:paraId="25ECCB4D">
            <w:pPr>
              <w:jc w:val="center"/>
              <w:rPr>
                <w:rFonts w:ascii="宋体" w:hAnsi="宋体" w:cs="宋体"/>
                <w:color w:val="auto"/>
                <w:szCs w:val="21"/>
                <w:highlight w:val="none"/>
              </w:rPr>
            </w:pPr>
            <w:r>
              <w:rPr>
                <w:rFonts w:hint="eastAsia" w:ascii="宋体" w:hAnsi="宋体"/>
                <w:bCs/>
                <w:color w:val="auto"/>
                <w:szCs w:val="21"/>
                <w:highlight w:val="none"/>
                <w:lang w:val="en-US" w:eastAsia="zh-CN"/>
              </w:rPr>
              <w:t>5</w:t>
            </w:r>
            <w:r>
              <w:rPr>
                <w:rFonts w:hint="eastAsia" w:ascii="宋体" w:hAnsi="宋体"/>
                <w:bCs/>
                <w:color w:val="auto"/>
                <w:szCs w:val="21"/>
                <w:highlight w:val="none"/>
              </w:rPr>
              <w:t>分</w:t>
            </w:r>
          </w:p>
        </w:tc>
        <w:tc>
          <w:tcPr>
            <w:tcW w:w="1685" w:type="dxa"/>
            <w:tcBorders>
              <w:top w:val="single" w:color="auto" w:sz="4" w:space="0"/>
              <w:left w:val="nil"/>
              <w:bottom w:val="single" w:color="auto" w:sz="4" w:space="0"/>
              <w:right w:val="single" w:color="auto" w:sz="4" w:space="0"/>
            </w:tcBorders>
            <w:vAlign w:val="center"/>
          </w:tcPr>
          <w:p w14:paraId="7EA15661">
            <w:pPr>
              <w:widowControl/>
              <w:jc w:val="center"/>
              <w:rPr>
                <w:rFonts w:ascii="宋体" w:hAnsi="宋体"/>
                <w:b/>
                <w:bCs/>
                <w:color w:val="auto"/>
                <w:szCs w:val="21"/>
                <w:highlight w:val="none"/>
              </w:rPr>
            </w:pPr>
          </w:p>
        </w:tc>
        <w:tc>
          <w:tcPr>
            <w:tcW w:w="2505" w:type="dxa"/>
            <w:tcBorders>
              <w:top w:val="single" w:color="auto" w:sz="4" w:space="0"/>
              <w:left w:val="nil"/>
              <w:bottom w:val="single" w:color="auto" w:sz="4" w:space="0"/>
              <w:right w:val="single" w:color="auto" w:sz="4" w:space="0"/>
            </w:tcBorders>
            <w:vAlign w:val="center"/>
          </w:tcPr>
          <w:p w14:paraId="707E960B">
            <w:pPr>
              <w:pStyle w:val="14"/>
              <w:ind w:firstLine="0"/>
              <w:jc w:val="center"/>
              <w:rPr>
                <w:rFonts w:ascii="宋体" w:hAnsi="宋体" w:cs="宋体"/>
                <w:b/>
                <w:bCs/>
                <w:color w:val="auto"/>
                <w:sz w:val="21"/>
                <w:szCs w:val="21"/>
                <w:highlight w:val="none"/>
              </w:rPr>
            </w:pPr>
            <w:r>
              <w:rPr>
                <w:rFonts w:hint="eastAsia" w:ascii="宋体" w:hAnsi="宋体" w:cs="宋体"/>
                <w:b/>
                <w:bCs/>
                <w:color w:val="auto"/>
                <w:sz w:val="21"/>
                <w:szCs w:val="21"/>
                <w:highlight w:val="none"/>
                <w:shd w:val="pct10" w:color="auto" w:fill="FFFFFF"/>
              </w:rPr>
              <w:t>投标人务必将应标证书内容逐项详细填写齐全，以方便评委进行更加优质、高效的评审</w:t>
            </w:r>
          </w:p>
        </w:tc>
        <w:tc>
          <w:tcPr>
            <w:tcW w:w="1215" w:type="dxa"/>
            <w:tcBorders>
              <w:top w:val="single" w:color="auto" w:sz="4" w:space="0"/>
              <w:left w:val="nil"/>
              <w:bottom w:val="single" w:color="auto" w:sz="4" w:space="0"/>
              <w:right w:val="single" w:color="auto" w:sz="4" w:space="0"/>
            </w:tcBorders>
            <w:vAlign w:val="center"/>
          </w:tcPr>
          <w:p w14:paraId="1BC56909">
            <w:pPr>
              <w:pStyle w:val="14"/>
              <w:ind w:firstLine="0"/>
              <w:jc w:val="center"/>
              <w:rPr>
                <w:rFonts w:ascii="宋体" w:hAnsi="宋体" w:cs="宋体"/>
                <w:b/>
                <w:bCs/>
                <w:color w:val="auto"/>
                <w:sz w:val="21"/>
                <w:szCs w:val="21"/>
                <w:highlight w:val="none"/>
              </w:rPr>
            </w:pPr>
            <w:r>
              <w:rPr>
                <w:rFonts w:hint="eastAsia" w:ascii="宋体" w:hAnsi="宋体" w:cs="宋体"/>
                <w:b/>
                <w:bCs/>
                <w:color w:val="auto"/>
                <w:sz w:val="21"/>
                <w:szCs w:val="21"/>
                <w:highlight w:val="none"/>
                <w:shd w:val="pct10" w:color="auto" w:fill="FFFFFF"/>
              </w:rPr>
              <w:t>投标人将应得分值填写准确</w:t>
            </w:r>
          </w:p>
        </w:tc>
      </w:tr>
      <w:tr w14:paraId="59065F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trPr>
        <w:tc>
          <w:tcPr>
            <w:tcW w:w="707" w:type="dxa"/>
            <w:vAlign w:val="center"/>
          </w:tcPr>
          <w:p w14:paraId="1BBC77A6">
            <w:pPr>
              <w:jc w:val="center"/>
              <w:rPr>
                <w:rFonts w:ascii="宋体" w:hAnsi="宋体"/>
                <w:bCs/>
                <w:color w:val="auto"/>
                <w:szCs w:val="21"/>
                <w:highlight w:val="none"/>
              </w:rPr>
            </w:pPr>
            <w:r>
              <w:rPr>
                <w:rFonts w:hint="eastAsia" w:ascii="宋体" w:hAnsi="宋体"/>
                <w:bCs/>
                <w:color w:val="auto"/>
                <w:szCs w:val="21"/>
                <w:highlight w:val="none"/>
              </w:rPr>
              <w:t>4</w:t>
            </w:r>
          </w:p>
        </w:tc>
        <w:tc>
          <w:tcPr>
            <w:tcW w:w="2220" w:type="dxa"/>
            <w:vAlign w:val="center"/>
          </w:tcPr>
          <w:p w14:paraId="0CFDA362">
            <w:pPr>
              <w:pStyle w:val="62"/>
              <w:jc w:val="center"/>
              <w:rPr>
                <w:rFonts w:hAnsi="宋体"/>
                <w:b/>
                <w:bCs/>
                <w:color w:val="auto"/>
                <w:sz w:val="21"/>
                <w:szCs w:val="21"/>
                <w:highlight w:val="none"/>
              </w:rPr>
            </w:pPr>
            <w:r>
              <w:rPr>
                <w:rFonts w:hint="eastAsia" w:hAnsi="宋体"/>
                <w:color w:val="auto"/>
                <w:sz w:val="21"/>
                <w:szCs w:val="21"/>
                <w:highlight w:val="none"/>
              </w:rPr>
              <w:t>项目团队情况（项目负责人除外）</w:t>
            </w:r>
          </w:p>
        </w:tc>
        <w:tc>
          <w:tcPr>
            <w:tcW w:w="865" w:type="dxa"/>
            <w:vAlign w:val="center"/>
          </w:tcPr>
          <w:p w14:paraId="3A4AD14D">
            <w:pPr>
              <w:pStyle w:val="62"/>
              <w:jc w:val="center"/>
              <w:rPr>
                <w:rFonts w:hAnsi="宋体"/>
                <w:color w:val="auto"/>
                <w:kern w:val="2"/>
                <w:sz w:val="21"/>
                <w:szCs w:val="21"/>
                <w:highlight w:val="none"/>
              </w:rPr>
            </w:pPr>
            <w:r>
              <w:rPr>
                <w:rFonts w:hint="eastAsia" w:hAnsi="宋体"/>
                <w:bCs/>
                <w:color w:val="auto"/>
                <w:sz w:val="21"/>
                <w:szCs w:val="21"/>
                <w:highlight w:val="none"/>
              </w:rPr>
              <w:t>1</w:t>
            </w:r>
            <w:r>
              <w:rPr>
                <w:rFonts w:hint="eastAsia" w:hAnsi="宋体"/>
                <w:bCs/>
                <w:color w:val="auto"/>
                <w:sz w:val="21"/>
                <w:szCs w:val="21"/>
                <w:highlight w:val="none"/>
                <w:lang w:val="en-US" w:eastAsia="zh-CN"/>
              </w:rPr>
              <w:t>3</w:t>
            </w:r>
            <w:r>
              <w:rPr>
                <w:rFonts w:hint="eastAsia" w:hAnsi="宋体"/>
                <w:bCs/>
                <w:color w:val="auto"/>
                <w:sz w:val="21"/>
                <w:szCs w:val="21"/>
                <w:highlight w:val="none"/>
              </w:rPr>
              <w:t>分</w:t>
            </w:r>
          </w:p>
        </w:tc>
        <w:tc>
          <w:tcPr>
            <w:tcW w:w="1685" w:type="dxa"/>
            <w:tcBorders>
              <w:top w:val="single" w:color="auto" w:sz="4" w:space="0"/>
              <w:left w:val="nil"/>
              <w:bottom w:val="single" w:color="auto" w:sz="4" w:space="0"/>
              <w:right w:val="single" w:color="auto" w:sz="4" w:space="0"/>
            </w:tcBorders>
            <w:vAlign w:val="center"/>
          </w:tcPr>
          <w:p w14:paraId="073A54F6">
            <w:pPr>
              <w:widowControl/>
              <w:jc w:val="center"/>
              <w:rPr>
                <w:rFonts w:ascii="宋体" w:hAnsi="宋体"/>
                <w:b/>
                <w:bCs/>
                <w:color w:val="auto"/>
                <w:szCs w:val="21"/>
                <w:highlight w:val="none"/>
              </w:rPr>
            </w:pPr>
          </w:p>
        </w:tc>
        <w:tc>
          <w:tcPr>
            <w:tcW w:w="2505" w:type="dxa"/>
            <w:tcBorders>
              <w:top w:val="single" w:color="auto" w:sz="4" w:space="0"/>
              <w:left w:val="nil"/>
              <w:bottom w:val="single" w:color="auto" w:sz="4" w:space="0"/>
              <w:right w:val="single" w:color="auto" w:sz="4" w:space="0"/>
            </w:tcBorders>
            <w:vAlign w:val="center"/>
          </w:tcPr>
          <w:p w14:paraId="4BD9C3D3">
            <w:pPr>
              <w:pStyle w:val="14"/>
              <w:ind w:firstLine="0"/>
              <w:jc w:val="center"/>
              <w:rPr>
                <w:rFonts w:ascii="宋体" w:hAnsi="宋体" w:cs="宋体"/>
                <w:b/>
                <w:bCs/>
                <w:color w:val="auto"/>
                <w:sz w:val="21"/>
                <w:szCs w:val="21"/>
                <w:highlight w:val="none"/>
              </w:rPr>
            </w:pPr>
            <w:r>
              <w:rPr>
                <w:rFonts w:hint="eastAsia" w:ascii="宋体" w:hAnsi="宋体" w:cs="宋体"/>
                <w:b/>
                <w:bCs/>
                <w:color w:val="auto"/>
                <w:sz w:val="21"/>
                <w:szCs w:val="21"/>
                <w:highlight w:val="none"/>
                <w:shd w:val="pct10" w:color="auto" w:fill="FFFFFF"/>
              </w:rPr>
              <w:t>投标人务必将应标证书内容逐项详细填写齐全，以方便评委进行更加优质、高效的评审</w:t>
            </w:r>
          </w:p>
        </w:tc>
        <w:tc>
          <w:tcPr>
            <w:tcW w:w="1215" w:type="dxa"/>
            <w:tcBorders>
              <w:top w:val="single" w:color="auto" w:sz="4" w:space="0"/>
              <w:left w:val="nil"/>
              <w:bottom w:val="single" w:color="auto" w:sz="4" w:space="0"/>
              <w:right w:val="single" w:color="auto" w:sz="4" w:space="0"/>
            </w:tcBorders>
            <w:vAlign w:val="center"/>
          </w:tcPr>
          <w:p w14:paraId="3A075582">
            <w:pPr>
              <w:pStyle w:val="14"/>
              <w:ind w:firstLine="0"/>
              <w:jc w:val="center"/>
              <w:rPr>
                <w:rFonts w:ascii="宋体" w:hAnsi="宋体" w:cs="宋体"/>
                <w:b/>
                <w:bCs/>
                <w:color w:val="auto"/>
                <w:sz w:val="21"/>
                <w:szCs w:val="21"/>
                <w:highlight w:val="none"/>
              </w:rPr>
            </w:pPr>
            <w:r>
              <w:rPr>
                <w:rFonts w:hint="eastAsia" w:ascii="宋体" w:hAnsi="宋体" w:cs="宋体"/>
                <w:b/>
                <w:bCs/>
                <w:color w:val="auto"/>
                <w:sz w:val="21"/>
                <w:szCs w:val="21"/>
                <w:highlight w:val="none"/>
                <w:shd w:val="pct10" w:color="auto" w:fill="FFFFFF"/>
              </w:rPr>
              <w:t>投标人将应得分值填写准确</w:t>
            </w:r>
          </w:p>
        </w:tc>
      </w:tr>
      <w:tr w14:paraId="4F2E05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trPr>
        <w:tc>
          <w:tcPr>
            <w:tcW w:w="707" w:type="dxa"/>
            <w:vAlign w:val="center"/>
          </w:tcPr>
          <w:p w14:paraId="1D7C6E8B">
            <w:pPr>
              <w:jc w:val="center"/>
              <w:rPr>
                <w:rFonts w:hint="eastAsia" w:ascii="宋体" w:hAnsi="宋体" w:eastAsia="宋体"/>
                <w:bCs/>
                <w:color w:val="auto"/>
                <w:szCs w:val="21"/>
                <w:highlight w:val="none"/>
                <w:lang w:eastAsia="zh-CN"/>
              </w:rPr>
            </w:pPr>
            <w:r>
              <w:rPr>
                <w:rFonts w:hint="eastAsia" w:ascii="宋体" w:hAnsi="宋体"/>
                <w:bCs/>
                <w:color w:val="auto"/>
                <w:szCs w:val="21"/>
                <w:highlight w:val="none"/>
                <w:lang w:val="en-US" w:eastAsia="zh-CN"/>
              </w:rPr>
              <w:t>5</w:t>
            </w:r>
          </w:p>
        </w:tc>
        <w:tc>
          <w:tcPr>
            <w:tcW w:w="2220" w:type="dxa"/>
            <w:vAlign w:val="center"/>
          </w:tcPr>
          <w:p w14:paraId="61ED3A83">
            <w:pPr>
              <w:jc w:val="center"/>
              <w:rPr>
                <w:rFonts w:ascii="宋体" w:hAnsi="宋体"/>
                <w:b/>
                <w:bCs/>
                <w:color w:val="auto"/>
                <w:szCs w:val="21"/>
                <w:highlight w:val="none"/>
              </w:rPr>
            </w:pPr>
            <w:r>
              <w:rPr>
                <w:rFonts w:hint="eastAsia" w:ascii="宋体" w:hAnsi="宋体"/>
                <w:color w:val="auto"/>
                <w:szCs w:val="21"/>
                <w:highlight w:val="none"/>
              </w:rPr>
              <w:t>投标人业绩</w:t>
            </w:r>
          </w:p>
        </w:tc>
        <w:tc>
          <w:tcPr>
            <w:tcW w:w="865" w:type="dxa"/>
            <w:vAlign w:val="center"/>
          </w:tcPr>
          <w:p w14:paraId="3197B038">
            <w:pPr>
              <w:jc w:val="center"/>
              <w:rPr>
                <w:rFonts w:ascii="宋体" w:hAnsi="宋体" w:cs="宋体"/>
                <w:color w:val="auto"/>
                <w:szCs w:val="21"/>
                <w:highlight w:val="none"/>
              </w:rPr>
            </w:pPr>
            <w:r>
              <w:rPr>
                <w:rFonts w:hint="eastAsia" w:ascii="宋体" w:hAnsi="宋体"/>
                <w:bCs/>
                <w:color w:val="auto"/>
                <w:szCs w:val="21"/>
                <w:highlight w:val="none"/>
                <w:lang w:val="en-US" w:eastAsia="zh-CN"/>
              </w:rPr>
              <w:t>2</w:t>
            </w:r>
            <w:r>
              <w:rPr>
                <w:rFonts w:hint="eastAsia" w:ascii="宋体" w:hAnsi="宋体"/>
                <w:bCs/>
                <w:color w:val="auto"/>
                <w:szCs w:val="21"/>
                <w:highlight w:val="none"/>
              </w:rPr>
              <w:t>分</w:t>
            </w:r>
          </w:p>
        </w:tc>
        <w:tc>
          <w:tcPr>
            <w:tcW w:w="1685" w:type="dxa"/>
            <w:tcBorders>
              <w:top w:val="single" w:color="auto" w:sz="4" w:space="0"/>
              <w:left w:val="nil"/>
              <w:bottom w:val="single" w:color="auto" w:sz="4" w:space="0"/>
              <w:right w:val="single" w:color="auto" w:sz="4" w:space="0"/>
            </w:tcBorders>
            <w:vAlign w:val="center"/>
          </w:tcPr>
          <w:p w14:paraId="4DFECE87">
            <w:pPr>
              <w:widowControl/>
              <w:jc w:val="center"/>
              <w:rPr>
                <w:rFonts w:ascii="宋体" w:hAnsi="宋体"/>
                <w:b/>
                <w:bCs/>
                <w:color w:val="auto"/>
                <w:szCs w:val="21"/>
                <w:highlight w:val="none"/>
              </w:rPr>
            </w:pPr>
          </w:p>
        </w:tc>
        <w:tc>
          <w:tcPr>
            <w:tcW w:w="2505" w:type="dxa"/>
            <w:tcBorders>
              <w:top w:val="single" w:color="auto" w:sz="4" w:space="0"/>
              <w:left w:val="nil"/>
              <w:bottom w:val="single" w:color="auto" w:sz="4" w:space="0"/>
              <w:right w:val="single" w:color="auto" w:sz="4" w:space="0"/>
            </w:tcBorders>
            <w:vAlign w:val="center"/>
          </w:tcPr>
          <w:p w14:paraId="1EC0F7BA">
            <w:pPr>
              <w:pStyle w:val="14"/>
              <w:ind w:firstLine="0"/>
              <w:jc w:val="center"/>
              <w:rPr>
                <w:rFonts w:ascii="宋体" w:hAnsi="宋体" w:cs="宋体"/>
                <w:b/>
                <w:bCs/>
                <w:color w:val="auto"/>
                <w:sz w:val="21"/>
                <w:szCs w:val="21"/>
                <w:highlight w:val="none"/>
              </w:rPr>
            </w:pPr>
            <w:r>
              <w:rPr>
                <w:rFonts w:hint="eastAsia" w:ascii="宋体" w:hAnsi="宋体" w:cs="宋体"/>
                <w:b/>
                <w:bCs/>
                <w:color w:val="auto"/>
                <w:sz w:val="21"/>
                <w:szCs w:val="21"/>
                <w:highlight w:val="none"/>
                <w:shd w:val="pct10" w:color="auto" w:fill="FFFFFF"/>
              </w:rPr>
              <w:t>投标人务必将应标证书内容逐项详细填写齐全，以方便评委进行更加优质、高效的评审</w:t>
            </w:r>
          </w:p>
        </w:tc>
        <w:tc>
          <w:tcPr>
            <w:tcW w:w="1215" w:type="dxa"/>
            <w:tcBorders>
              <w:top w:val="single" w:color="auto" w:sz="4" w:space="0"/>
              <w:left w:val="nil"/>
              <w:bottom w:val="single" w:color="auto" w:sz="4" w:space="0"/>
              <w:right w:val="single" w:color="auto" w:sz="4" w:space="0"/>
            </w:tcBorders>
            <w:vAlign w:val="center"/>
          </w:tcPr>
          <w:p w14:paraId="423E250D">
            <w:pPr>
              <w:pStyle w:val="14"/>
              <w:ind w:firstLine="0"/>
              <w:jc w:val="center"/>
              <w:rPr>
                <w:rFonts w:ascii="宋体" w:hAnsi="宋体" w:cs="宋体"/>
                <w:b/>
                <w:bCs/>
                <w:color w:val="auto"/>
                <w:sz w:val="21"/>
                <w:szCs w:val="21"/>
                <w:highlight w:val="none"/>
              </w:rPr>
            </w:pPr>
            <w:r>
              <w:rPr>
                <w:rFonts w:hint="eastAsia" w:ascii="宋体" w:hAnsi="宋体" w:cs="宋体"/>
                <w:b/>
                <w:bCs/>
                <w:color w:val="auto"/>
                <w:sz w:val="21"/>
                <w:szCs w:val="21"/>
                <w:highlight w:val="none"/>
                <w:shd w:val="pct10" w:color="auto" w:fill="FFFFFF"/>
              </w:rPr>
              <w:t>投标人将应得分值填写准确</w:t>
            </w:r>
          </w:p>
        </w:tc>
      </w:tr>
      <w:tr w14:paraId="3D9098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trPr>
        <w:tc>
          <w:tcPr>
            <w:tcW w:w="707" w:type="dxa"/>
            <w:vAlign w:val="center"/>
          </w:tcPr>
          <w:p w14:paraId="23857F91">
            <w:pPr>
              <w:jc w:val="center"/>
              <w:rPr>
                <w:rFonts w:ascii="宋体" w:hAnsi="宋体"/>
                <w:bCs/>
                <w:color w:val="auto"/>
                <w:szCs w:val="21"/>
                <w:highlight w:val="none"/>
              </w:rPr>
            </w:pPr>
            <w:r>
              <w:rPr>
                <w:rFonts w:hint="eastAsia" w:ascii="宋体" w:hAnsi="宋体"/>
                <w:bCs/>
                <w:color w:val="auto"/>
                <w:szCs w:val="21"/>
                <w:highlight w:val="none"/>
              </w:rPr>
              <w:t>6</w:t>
            </w:r>
          </w:p>
        </w:tc>
        <w:tc>
          <w:tcPr>
            <w:tcW w:w="2220" w:type="dxa"/>
            <w:vAlign w:val="center"/>
          </w:tcPr>
          <w:p w14:paraId="2F18B94C">
            <w:pPr>
              <w:jc w:val="center"/>
              <w:rPr>
                <w:rFonts w:ascii="宋体" w:hAnsi="宋体"/>
                <w:b/>
                <w:bCs/>
                <w:color w:val="auto"/>
                <w:szCs w:val="21"/>
                <w:highlight w:val="none"/>
              </w:rPr>
            </w:pPr>
            <w:r>
              <w:rPr>
                <w:rFonts w:hint="eastAsia" w:ascii="宋体" w:hAnsi="宋体"/>
                <w:color w:val="auto"/>
                <w:szCs w:val="21"/>
                <w:highlight w:val="none"/>
              </w:rPr>
              <w:t>服务实施方案</w:t>
            </w:r>
          </w:p>
        </w:tc>
        <w:tc>
          <w:tcPr>
            <w:tcW w:w="865" w:type="dxa"/>
            <w:vAlign w:val="center"/>
          </w:tcPr>
          <w:p w14:paraId="212CC4E5">
            <w:pPr>
              <w:jc w:val="center"/>
              <w:rPr>
                <w:rFonts w:hint="eastAsia" w:ascii="宋体" w:hAnsi="宋体"/>
                <w:color w:val="auto"/>
                <w:szCs w:val="21"/>
                <w:highlight w:val="none"/>
              </w:rPr>
            </w:pPr>
            <w:r>
              <w:rPr>
                <w:rFonts w:hint="eastAsia" w:ascii="宋体" w:hAnsi="宋体"/>
                <w:color w:val="auto"/>
                <w:szCs w:val="21"/>
                <w:highlight w:val="none"/>
              </w:rPr>
              <w:t>2</w:t>
            </w:r>
            <w:r>
              <w:rPr>
                <w:rFonts w:hint="eastAsia" w:ascii="宋体" w:hAnsi="宋体"/>
                <w:color w:val="auto"/>
                <w:szCs w:val="21"/>
                <w:highlight w:val="none"/>
                <w:lang w:val="en-US" w:eastAsia="zh-CN"/>
              </w:rPr>
              <w:t>5</w:t>
            </w:r>
            <w:r>
              <w:rPr>
                <w:rFonts w:hint="eastAsia" w:ascii="宋体" w:hAnsi="宋体"/>
                <w:color w:val="auto"/>
                <w:szCs w:val="21"/>
                <w:highlight w:val="none"/>
              </w:rPr>
              <w:t>分</w:t>
            </w:r>
          </w:p>
        </w:tc>
        <w:tc>
          <w:tcPr>
            <w:tcW w:w="1685" w:type="dxa"/>
            <w:tcBorders>
              <w:top w:val="single" w:color="auto" w:sz="4" w:space="0"/>
              <w:left w:val="nil"/>
              <w:bottom w:val="single" w:color="auto" w:sz="4" w:space="0"/>
              <w:right w:val="single" w:color="auto" w:sz="4" w:space="0"/>
            </w:tcBorders>
            <w:vAlign w:val="center"/>
          </w:tcPr>
          <w:p w14:paraId="23F0551D">
            <w:pPr>
              <w:widowControl/>
              <w:jc w:val="center"/>
              <w:rPr>
                <w:rFonts w:ascii="宋体" w:hAnsi="宋体"/>
                <w:b/>
                <w:bCs/>
                <w:color w:val="auto"/>
                <w:szCs w:val="21"/>
                <w:highlight w:val="none"/>
              </w:rPr>
            </w:pPr>
          </w:p>
        </w:tc>
        <w:tc>
          <w:tcPr>
            <w:tcW w:w="2505" w:type="dxa"/>
            <w:tcBorders>
              <w:top w:val="single" w:color="auto" w:sz="4" w:space="0"/>
              <w:left w:val="nil"/>
              <w:bottom w:val="single" w:color="auto" w:sz="4" w:space="0"/>
              <w:right w:val="single" w:color="auto" w:sz="4" w:space="0"/>
            </w:tcBorders>
            <w:vAlign w:val="center"/>
          </w:tcPr>
          <w:p w14:paraId="42CD074E">
            <w:pPr>
              <w:widowControl/>
              <w:jc w:val="center"/>
              <w:rPr>
                <w:rFonts w:ascii="宋体" w:hAnsi="宋体" w:cs="宋体"/>
                <w:b/>
                <w:bCs/>
                <w:color w:val="auto"/>
                <w:kern w:val="0"/>
                <w:szCs w:val="21"/>
                <w:highlight w:val="none"/>
              </w:rPr>
            </w:pPr>
          </w:p>
        </w:tc>
        <w:tc>
          <w:tcPr>
            <w:tcW w:w="1215" w:type="dxa"/>
            <w:tcBorders>
              <w:top w:val="single" w:color="auto" w:sz="4" w:space="0"/>
              <w:left w:val="nil"/>
              <w:bottom w:val="single" w:color="auto" w:sz="4" w:space="0"/>
              <w:right w:val="single" w:color="auto" w:sz="4" w:space="0"/>
            </w:tcBorders>
            <w:vAlign w:val="center"/>
          </w:tcPr>
          <w:p w14:paraId="0E63B59B">
            <w:pPr>
              <w:widowControl/>
              <w:jc w:val="center"/>
              <w:rPr>
                <w:rFonts w:ascii="宋体" w:hAnsi="宋体" w:cs="宋体"/>
                <w:b/>
                <w:bCs/>
                <w:color w:val="auto"/>
                <w:kern w:val="0"/>
                <w:szCs w:val="21"/>
                <w:highlight w:val="none"/>
              </w:rPr>
            </w:pPr>
          </w:p>
        </w:tc>
      </w:tr>
      <w:tr w14:paraId="1A410B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trPr>
        <w:tc>
          <w:tcPr>
            <w:tcW w:w="707" w:type="dxa"/>
            <w:vAlign w:val="center"/>
          </w:tcPr>
          <w:p w14:paraId="34982243">
            <w:pPr>
              <w:jc w:val="center"/>
              <w:rPr>
                <w:rFonts w:ascii="宋体" w:hAnsi="宋体"/>
                <w:bCs/>
                <w:color w:val="auto"/>
                <w:szCs w:val="21"/>
                <w:highlight w:val="none"/>
              </w:rPr>
            </w:pPr>
            <w:r>
              <w:rPr>
                <w:rFonts w:hint="eastAsia" w:ascii="宋体" w:hAnsi="宋体" w:cs="宋体"/>
                <w:bCs/>
                <w:color w:val="auto"/>
                <w:kern w:val="0"/>
                <w:szCs w:val="21"/>
                <w:highlight w:val="none"/>
              </w:rPr>
              <w:t>7</w:t>
            </w:r>
          </w:p>
        </w:tc>
        <w:tc>
          <w:tcPr>
            <w:tcW w:w="2220" w:type="dxa"/>
            <w:vAlign w:val="center"/>
          </w:tcPr>
          <w:p w14:paraId="5E64B3BF">
            <w:pPr>
              <w:jc w:val="center"/>
              <w:rPr>
                <w:rFonts w:ascii="宋体" w:hAnsi="宋体"/>
                <w:b/>
                <w:bCs/>
                <w:color w:val="auto"/>
                <w:szCs w:val="21"/>
                <w:highlight w:val="none"/>
              </w:rPr>
            </w:pPr>
            <w:r>
              <w:rPr>
                <w:rFonts w:hint="eastAsia" w:ascii="宋体" w:hAnsi="宋体"/>
                <w:color w:val="auto"/>
                <w:szCs w:val="21"/>
                <w:highlight w:val="none"/>
              </w:rPr>
              <w:t>质量保证措施</w:t>
            </w:r>
          </w:p>
        </w:tc>
        <w:tc>
          <w:tcPr>
            <w:tcW w:w="865" w:type="dxa"/>
            <w:vAlign w:val="center"/>
          </w:tcPr>
          <w:p w14:paraId="4A6D564B">
            <w:pPr>
              <w:jc w:val="center"/>
              <w:rPr>
                <w:rFonts w:hint="eastAsia" w:ascii="宋体" w:hAnsi="宋体"/>
                <w:color w:val="auto"/>
                <w:szCs w:val="21"/>
                <w:highlight w:val="none"/>
              </w:rPr>
            </w:pPr>
            <w:r>
              <w:rPr>
                <w:rFonts w:hint="eastAsia" w:ascii="宋体" w:hAnsi="宋体"/>
                <w:color w:val="auto"/>
                <w:szCs w:val="21"/>
                <w:highlight w:val="none"/>
                <w:lang w:val="en-US" w:eastAsia="zh-CN"/>
              </w:rPr>
              <w:t>5</w:t>
            </w:r>
            <w:r>
              <w:rPr>
                <w:rFonts w:hint="eastAsia" w:ascii="宋体" w:hAnsi="宋体"/>
                <w:color w:val="auto"/>
                <w:szCs w:val="21"/>
                <w:highlight w:val="none"/>
              </w:rPr>
              <w:t>分</w:t>
            </w:r>
          </w:p>
        </w:tc>
        <w:tc>
          <w:tcPr>
            <w:tcW w:w="1685" w:type="dxa"/>
            <w:tcBorders>
              <w:top w:val="single" w:color="auto" w:sz="4" w:space="0"/>
              <w:left w:val="nil"/>
              <w:bottom w:val="single" w:color="auto" w:sz="4" w:space="0"/>
              <w:right w:val="single" w:color="auto" w:sz="4" w:space="0"/>
            </w:tcBorders>
            <w:vAlign w:val="center"/>
          </w:tcPr>
          <w:p w14:paraId="3B80EEAD">
            <w:pPr>
              <w:widowControl/>
              <w:jc w:val="center"/>
              <w:rPr>
                <w:rFonts w:ascii="宋体" w:hAnsi="宋体"/>
                <w:b/>
                <w:bCs/>
                <w:color w:val="auto"/>
                <w:szCs w:val="21"/>
                <w:highlight w:val="none"/>
              </w:rPr>
            </w:pPr>
          </w:p>
        </w:tc>
        <w:tc>
          <w:tcPr>
            <w:tcW w:w="2505" w:type="dxa"/>
            <w:tcBorders>
              <w:top w:val="single" w:color="auto" w:sz="4" w:space="0"/>
              <w:left w:val="nil"/>
              <w:bottom w:val="single" w:color="auto" w:sz="4" w:space="0"/>
              <w:right w:val="single" w:color="auto" w:sz="4" w:space="0"/>
            </w:tcBorders>
            <w:vAlign w:val="center"/>
          </w:tcPr>
          <w:p w14:paraId="1F1FDDC4">
            <w:pPr>
              <w:widowControl/>
              <w:jc w:val="center"/>
              <w:rPr>
                <w:rFonts w:ascii="宋体" w:hAnsi="宋体" w:cs="宋体"/>
                <w:b/>
                <w:bCs/>
                <w:color w:val="auto"/>
                <w:kern w:val="0"/>
                <w:szCs w:val="21"/>
                <w:highlight w:val="none"/>
              </w:rPr>
            </w:pPr>
          </w:p>
        </w:tc>
        <w:tc>
          <w:tcPr>
            <w:tcW w:w="1215" w:type="dxa"/>
            <w:tcBorders>
              <w:top w:val="single" w:color="auto" w:sz="4" w:space="0"/>
              <w:left w:val="nil"/>
              <w:bottom w:val="single" w:color="auto" w:sz="4" w:space="0"/>
              <w:right w:val="single" w:color="auto" w:sz="4" w:space="0"/>
            </w:tcBorders>
            <w:vAlign w:val="center"/>
          </w:tcPr>
          <w:p w14:paraId="35B2616D">
            <w:pPr>
              <w:widowControl/>
              <w:jc w:val="center"/>
              <w:rPr>
                <w:rFonts w:ascii="宋体" w:hAnsi="宋体" w:cs="宋体"/>
                <w:b/>
                <w:bCs/>
                <w:color w:val="auto"/>
                <w:kern w:val="0"/>
                <w:szCs w:val="21"/>
                <w:highlight w:val="none"/>
              </w:rPr>
            </w:pPr>
          </w:p>
        </w:tc>
      </w:tr>
      <w:tr w14:paraId="346C4D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trPr>
        <w:tc>
          <w:tcPr>
            <w:tcW w:w="707" w:type="dxa"/>
            <w:vAlign w:val="center"/>
          </w:tcPr>
          <w:p w14:paraId="743C34A0">
            <w:pPr>
              <w:jc w:val="center"/>
              <w:rPr>
                <w:rFonts w:ascii="宋体" w:hAnsi="宋体"/>
                <w:bCs/>
                <w:color w:val="auto"/>
                <w:szCs w:val="21"/>
                <w:highlight w:val="none"/>
              </w:rPr>
            </w:pPr>
            <w:r>
              <w:rPr>
                <w:rFonts w:hint="eastAsia" w:ascii="宋体" w:hAnsi="宋体" w:cs="宋体"/>
                <w:bCs/>
                <w:color w:val="auto"/>
                <w:kern w:val="0"/>
                <w:szCs w:val="21"/>
                <w:highlight w:val="none"/>
              </w:rPr>
              <w:t>8</w:t>
            </w:r>
          </w:p>
        </w:tc>
        <w:tc>
          <w:tcPr>
            <w:tcW w:w="2220" w:type="dxa"/>
            <w:vAlign w:val="center"/>
          </w:tcPr>
          <w:p w14:paraId="5A6F4373">
            <w:pPr>
              <w:jc w:val="center"/>
              <w:rPr>
                <w:rFonts w:ascii="宋体" w:hAnsi="宋体"/>
                <w:b/>
                <w:bCs/>
                <w:color w:val="auto"/>
                <w:szCs w:val="21"/>
                <w:highlight w:val="none"/>
              </w:rPr>
            </w:pPr>
            <w:r>
              <w:rPr>
                <w:rFonts w:hint="eastAsia" w:ascii="宋体" w:hAnsi="宋体"/>
                <w:color w:val="auto"/>
                <w:szCs w:val="21"/>
                <w:highlight w:val="none"/>
              </w:rPr>
              <w:t>重难点分析</w:t>
            </w:r>
          </w:p>
        </w:tc>
        <w:tc>
          <w:tcPr>
            <w:tcW w:w="865" w:type="dxa"/>
            <w:vAlign w:val="center"/>
          </w:tcPr>
          <w:p w14:paraId="5B1B2731">
            <w:pPr>
              <w:jc w:val="center"/>
              <w:rPr>
                <w:rFonts w:hint="eastAsia" w:ascii="宋体" w:hAnsi="宋体"/>
                <w:color w:val="auto"/>
                <w:szCs w:val="21"/>
                <w:highlight w:val="none"/>
              </w:rPr>
            </w:pPr>
            <w:r>
              <w:rPr>
                <w:rFonts w:hint="eastAsia" w:ascii="宋体" w:hAnsi="宋体"/>
                <w:color w:val="auto"/>
                <w:szCs w:val="21"/>
                <w:highlight w:val="none"/>
                <w:lang w:val="en-US" w:eastAsia="zh-CN"/>
              </w:rPr>
              <w:t>5</w:t>
            </w:r>
            <w:r>
              <w:rPr>
                <w:rFonts w:hint="eastAsia" w:ascii="宋体" w:hAnsi="宋体"/>
                <w:color w:val="auto"/>
                <w:szCs w:val="21"/>
                <w:highlight w:val="none"/>
              </w:rPr>
              <w:t>分</w:t>
            </w:r>
          </w:p>
        </w:tc>
        <w:tc>
          <w:tcPr>
            <w:tcW w:w="1685" w:type="dxa"/>
            <w:tcBorders>
              <w:top w:val="single" w:color="auto" w:sz="4" w:space="0"/>
              <w:left w:val="nil"/>
              <w:bottom w:val="single" w:color="auto" w:sz="4" w:space="0"/>
              <w:right w:val="single" w:color="auto" w:sz="4" w:space="0"/>
            </w:tcBorders>
            <w:vAlign w:val="center"/>
          </w:tcPr>
          <w:p w14:paraId="46992817">
            <w:pPr>
              <w:widowControl/>
              <w:jc w:val="center"/>
              <w:rPr>
                <w:rFonts w:ascii="宋体" w:hAnsi="宋体"/>
                <w:b/>
                <w:bCs/>
                <w:color w:val="auto"/>
                <w:szCs w:val="21"/>
                <w:highlight w:val="none"/>
              </w:rPr>
            </w:pPr>
          </w:p>
        </w:tc>
        <w:tc>
          <w:tcPr>
            <w:tcW w:w="2505" w:type="dxa"/>
            <w:tcBorders>
              <w:top w:val="single" w:color="auto" w:sz="4" w:space="0"/>
              <w:left w:val="nil"/>
              <w:bottom w:val="single" w:color="auto" w:sz="4" w:space="0"/>
              <w:right w:val="single" w:color="auto" w:sz="4" w:space="0"/>
            </w:tcBorders>
            <w:vAlign w:val="center"/>
          </w:tcPr>
          <w:p w14:paraId="09151413">
            <w:pPr>
              <w:widowControl/>
              <w:jc w:val="center"/>
              <w:rPr>
                <w:rFonts w:ascii="宋体" w:hAnsi="宋体" w:cs="宋体"/>
                <w:b/>
                <w:bCs/>
                <w:color w:val="auto"/>
                <w:kern w:val="0"/>
                <w:szCs w:val="21"/>
                <w:highlight w:val="none"/>
              </w:rPr>
            </w:pPr>
          </w:p>
        </w:tc>
        <w:tc>
          <w:tcPr>
            <w:tcW w:w="1215" w:type="dxa"/>
            <w:tcBorders>
              <w:top w:val="single" w:color="auto" w:sz="4" w:space="0"/>
              <w:left w:val="nil"/>
              <w:bottom w:val="single" w:color="auto" w:sz="4" w:space="0"/>
              <w:right w:val="single" w:color="auto" w:sz="4" w:space="0"/>
            </w:tcBorders>
            <w:vAlign w:val="center"/>
          </w:tcPr>
          <w:p w14:paraId="1B2DE79C">
            <w:pPr>
              <w:widowControl/>
              <w:jc w:val="center"/>
              <w:rPr>
                <w:rFonts w:ascii="宋体" w:hAnsi="宋体" w:cs="宋体"/>
                <w:b/>
                <w:bCs/>
                <w:color w:val="auto"/>
                <w:kern w:val="0"/>
                <w:szCs w:val="21"/>
                <w:highlight w:val="none"/>
              </w:rPr>
            </w:pPr>
          </w:p>
        </w:tc>
      </w:tr>
      <w:tr w14:paraId="6CB24C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trPr>
        <w:tc>
          <w:tcPr>
            <w:tcW w:w="707" w:type="dxa"/>
            <w:vAlign w:val="center"/>
          </w:tcPr>
          <w:p w14:paraId="055581B7">
            <w:pPr>
              <w:widowControl/>
              <w:jc w:val="center"/>
              <w:rPr>
                <w:rFonts w:ascii="宋体" w:hAnsi="宋体"/>
                <w:bCs/>
                <w:color w:val="auto"/>
                <w:szCs w:val="21"/>
                <w:highlight w:val="none"/>
              </w:rPr>
            </w:pPr>
            <w:r>
              <w:rPr>
                <w:rFonts w:hint="eastAsia" w:ascii="宋体" w:hAnsi="宋体" w:cs="宋体"/>
                <w:bCs/>
                <w:color w:val="auto"/>
                <w:kern w:val="0"/>
                <w:szCs w:val="21"/>
                <w:highlight w:val="none"/>
              </w:rPr>
              <w:t>9</w:t>
            </w:r>
          </w:p>
        </w:tc>
        <w:tc>
          <w:tcPr>
            <w:tcW w:w="2220" w:type="dxa"/>
            <w:vAlign w:val="center"/>
          </w:tcPr>
          <w:p w14:paraId="2ECA33F3">
            <w:pPr>
              <w:jc w:val="center"/>
              <w:rPr>
                <w:rFonts w:ascii="宋体" w:hAnsi="宋体"/>
                <w:b/>
                <w:bCs/>
                <w:color w:val="auto"/>
                <w:szCs w:val="21"/>
                <w:highlight w:val="none"/>
              </w:rPr>
            </w:pPr>
            <w:r>
              <w:rPr>
                <w:rFonts w:hint="eastAsia" w:ascii="宋体" w:hAnsi="宋体"/>
                <w:color w:val="auto"/>
                <w:szCs w:val="21"/>
                <w:highlight w:val="none"/>
              </w:rPr>
              <w:t>廉政保证措施</w:t>
            </w:r>
          </w:p>
        </w:tc>
        <w:tc>
          <w:tcPr>
            <w:tcW w:w="865" w:type="dxa"/>
            <w:vAlign w:val="center"/>
          </w:tcPr>
          <w:p w14:paraId="501471B9">
            <w:pPr>
              <w:jc w:val="center"/>
              <w:rPr>
                <w:rFonts w:hint="eastAsia" w:ascii="宋体" w:hAnsi="宋体"/>
                <w:color w:val="auto"/>
                <w:szCs w:val="21"/>
                <w:highlight w:val="none"/>
              </w:rPr>
            </w:pPr>
            <w:r>
              <w:rPr>
                <w:rFonts w:hint="eastAsia" w:ascii="宋体" w:hAnsi="宋体"/>
                <w:color w:val="auto"/>
                <w:szCs w:val="21"/>
                <w:highlight w:val="none"/>
              </w:rPr>
              <w:t>3分</w:t>
            </w:r>
          </w:p>
        </w:tc>
        <w:tc>
          <w:tcPr>
            <w:tcW w:w="1685" w:type="dxa"/>
            <w:tcBorders>
              <w:top w:val="single" w:color="auto" w:sz="4" w:space="0"/>
              <w:left w:val="nil"/>
              <w:bottom w:val="single" w:color="auto" w:sz="4" w:space="0"/>
              <w:right w:val="single" w:color="auto" w:sz="4" w:space="0"/>
            </w:tcBorders>
            <w:vAlign w:val="center"/>
          </w:tcPr>
          <w:p w14:paraId="38B6CF9A">
            <w:pPr>
              <w:widowControl/>
              <w:jc w:val="center"/>
              <w:rPr>
                <w:rFonts w:ascii="宋体" w:hAnsi="宋体"/>
                <w:b/>
                <w:bCs/>
                <w:color w:val="auto"/>
                <w:szCs w:val="21"/>
                <w:highlight w:val="none"/>
              </w:rPr>
            </w:pPr>
          </w:p>
        </w:tc>
        <w:tc>
          <w:tcPr>
            <w:tcW w:w="2505" w:type="dxa"/>
            <w:tcBorders>
              <w:top w:val="single" w:color="auto" w:sz="4" w:space="0"/>
              <w:left w:val="nil"/>
              <w:bottom w:val="single" w:color="auto" w:sz="4" w:space="0"/>
              <w:right w:val="single" w:color="auto" w:sz="4" w:space="0"/>
            </w:tcBorders>
            <w:vAlign w:val="center"/>
          </w:tcPr>
          <w:p w14:paraId="34BB2854">
            <w:pPr>
              <w:widowControl/>
              <w:jc w:val="center"/>
              <w:rPr>
                <w:rFonts w:ascii="宋体" w:hAnsi="宋体" w:cs="宋体"/>
                <w:b/>
                <w:bCs/>
                <w:color w:val="auto"/>
                <w:kern w:val="0"/>
                <w:szCs w:val="21"/>
                <w:highlight w:val="none"/>
              </w:rPr>
            </w:pPr>
          </w:p>
        </w:tc>
        <w:tc>
          <w:tcPr>
            <w:tcW w:w="1215" w:type="dxa"/>
            <w:tcBorders>
              <w:top w:val="single" w:color="auto" w:sz="4" w:space="0"/>
              <w:left w:val="nil"/>
              <w:bottom w:val="single" w:color="auto" w:sz="4" w:space="0"/>
              <w:right w:val="single" w:color="auto" w:sz="4" w:space="0"/>
            </w:tcBorders>
            <w:vAlign w:val="center"/>
          </w:tcPr>
          <w:p w14:paraId="198AF447">
            <w:pPr>
              <w:widowControl/>
              <w:jc w:val="center"/>
              <w:rPr>
                <w:rFonts w:ascii="宋体" w:hAnsi="宋体" w:cs="宋体"/>
                <w:b/>
                <w:bCs/>
                <w:color w:val="auto"/>
                <w:kern w:val="0"/>
                <w:szCs w:val="21"/>
                <w:highlight w:val="none"/>
              </w:rPr>
            </w:pPr>
          </w:p>
        </w:tc>
      </w:tr>
      <w:tr w14:paraId="66390D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trPr>
        <w:tc>
          <w:tcPr>
            <w:tcW w:w="707" w:type="dxa"/>
            <w:vAlign w:val="center"/>
          </w:tcPr>
          <w:p w14:paraId="49E580FD">
            <w:pPr>
              <w:widowControl/>
              <w:jc w:val="center"/>
              <w:rPr>
                <w:rFonts w:hint="default" w:ascii="宋体" w:hAnsi="宋体" w:eastAsia="宋体" w:cs="宋体"/>
                <w:bCs/>
                <w:color w:val="auto"/>
                <w:kern w:val="0"/>
                <w:szCs w:val="21"/>
                <w:highlight w:val="none"/>
                <w:lang w:val="en-US" w:eastAsia="zh-CN"/>
              </w:rPr>
            </w:pPr>
            <w:r>
              <w:rPr>
                <w:rFonts w:hint="eastAsia" w:ascii="宋体" w:hAnsi="宋体" w:cs="宋体"/>
                <w:bCs/>
                <w:color w:val="auto"/>
                <w:kern w:val="0"/>
                <w:szCs w:val="21"/>
                <w:highlight w:val="none"/>
                <w:lang w:val="en-US" w:eastAsia="zh-CN"/>
              </w:rPr>
              <w:t>10</w:t>
            </w:r>
          </w:p>
        </w:tc>
        <w:tc>
          <w:tcPr>
            <w:tcW w:w="2220" w:type="dxa"/>
            <w:shd w:val="clear" w:color="000000" w:fill="FFFFFF"/>
            <w:vAlign w:val="center"/>
          </w:tcPr>
          <w:p w14:paraId="6502DF07">
            <w:pPr>
              <w:jc w:val="center"/>
              <w:rPr>
                <w:rFonts w:hint="eastAsia" w:ascii="宋体" w:hAnsi="宋体" w:eastAsia="宋体" w:cs="Times New Roman"/>
                <w:color w:val="auto"/>
                <w:kern w:val="2"/>
                <w:sz w:val="21"/>
                <w:szCs w:val="21"/>
                <w:highlight w:val="none"/>
                <w:lang w:val="en-US" w:eastAsia="zh-CN" w:bidi="ar-SA"/>
              </w:rPr>
            </w:pPr>
            <w:r>
              <w:rPr>
                <w:rFonts w:hint="eastAsia" w:ascii="宋体" w:hAnsi="宋体"/>
                <w:color w:val="auto"/>
                <w:szCs w:val="21"/>
                <w:highlight w:val="none"/>
                <w:lang w:val="en-US" w:eastAsia="zh-CN"/>
              </w:rPr>
              <w:t>保密措施</w:t>
            </w:r>
          </w:p>
        </w:tc>
        <w:tc>
          <w:tcPr>
            <w:tcW w:w="865" w:type="dxa"/>
            <w:shd w:val="clear" w:color="000000" w:fill="FFFFFF"/>
            <w:vAlign w:val="center"/>
          </w:tcPr>
          <w:p w14:paraId="25F30615">
            <w:pPr>
              <w:jc w:val="center"/>
              <w:rPr>
                <w:rFonts w:hint="eastAsia" w:ascii="宋体" w:hAnsi="宋体" w:eastAsia="宋体" w:cs="Times New Roman"/>
                <w:color w:val="auto"/>
                <w:kern w:val="2"/>
                <w:sz w:val="21"/>
                <w:szCs w:val="21"/>
                <w:highlight w:val="none"/>
                <w:lang w:val="en-US" w:eastAsia="zh-CN" w:bidi="ar-SA"/>
              </w:rPr>
            </w:pPr>
            <w:r>
              <w:rPr>
                <w:rFonts w:hint="eastAsia" w:ascii="宋体" w:hAnsi="宋体"/>
                <w:color w:val="auto"/>
                <w:szCs w:val="21"/>
                <w:highlight w:val="none"/>
              </w:rPr>
              <w:t>3分</w:t>
            </w:r>
          </w:p>
        </w:tc>
        <w:tc>
          <w:tcPr>
            <w:tcW w:w="1685" w:type="dxa"/>
            <w:tcBorders>
              <w:top w:val="single" w:color="auto" w:sz="4" w:space="0"/>
              <w:left w:val="nil"/>
              <w:bottom w:val="single" w:color="auto" w:sz="4" w:space="0"/>
              <w:right w:val="single" w:color="auto" w:sz="4" w:space="0"/>
            </w:tcBorders>
            <w:vAlign w:val="center"/>
          </w:tcPr>
          <w:p w14:paraId="3E763D1C">
            <w:pPr>
              <w:widowControl/>
              <w:jc w:val="center"/>
              <w:rPr>
                <w:rFonts w:ascii="宋体" w:hAnsi="宋体"/>
                <w:b/>
                <w:bCs/>
                <w:color w:val="auto"/>
                <w:szCs w:val="21"/>
                <w:highlight w:val="none"/>
              </w:rPr>
            </w:pPr>
          </w:p>
        </w:tc>
        <w:tc>
          <w:tcPr>
            <w:tcW w:w="2505" w:type="dxa"/>
            <w:tcBorders>
              <w:top w:val="single" w:color="auto" w:sz="4" w:space="0"/>
              <w:left w:val="nil"/>
              <w:bottom w:val="single" w:color="auto" w:sz="4" w:space="0"/>
              <w:right w:val="single" w:color="auto" w:sz="4" w:space="0"/>
            </w:tcBorders>
            <w:vAlign w:val="center"/>
          </w:tcPr>
          <w:p w14:paraId="771E8628">
            <w:pPr>
              <w:widowControl/>
              <w:jc w:val="center"/>
              <w:rPr>
                <w:rFonts w:ascii="宋体" w:hAnsi="宋体" w:cs="宋体"/>
                <w:b/>
                <w:bCs/>
                <w:color w:val="auto"/>
                <w:kern w:val="0"/>
                <w:szCs w:val="21"/>
                <w:highlight w:val="none"/>
              </w:rPr>
            </w:pPr>
          </w:p>
        </w:tc>
        <w:tc>
          <w:tcPr>
            <w:tcW w:w="1215" w:type="dxa"/>
            <w:tcBorders>
              <w:top w:val="single" w:color="auto" w:sz="4" w:space="0"/>
              <w:left w:val="nil"/>
              <w:bottom w:val="single" w:color="auto" w:sz="4" w:space="0"/>
              <w:right w:val="single" w:color="auto" w:sz="4" w:space="0"/>
            </w:tcBorders>
            <w:vAlign w:val="center"/>
          </w:tcPr>
          <w:p w14:paraId="01A789A7">
            <w:pPr>
              <w:widowControl/>
              <w:jc w:val="center"/>
              <w:rPr>
                <w:rFonts w:ascii="宋体" w:hAnsi="宋体" w:cs="宋体"/>
                <w:b/>
                <w:bCs/>
                <w:color w:val="auto"/>
                <w:kern w:val="0"/>
                <w:szCs w:val="21"/>
                <w:highlight w:val="none"/>
              </w:rPr>
            </w:pPr>
          </w:p>
        </w:tc>
      </w:tr>
      <w:tr w14:paraId="39DFB5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trPr>
        <w:tc>
          <w:tcPr>
            <w:tcW w:w="707" w:type="dxa"/>
            <w:vAlign w:val="center"/>
          </w:tcPr>
          <w:p w14:paraId="2D44987D">
            <w:pPr>
              <w:widowControl/>
              <w:jc w:val="center"/>
              <w:rPr>
                <w:rFonts w:hint="eastAsia" w:ascii="宋体" w:hAnsi="宋体" w:eastAsia="宋体"/>
                <w:bCs/>
                <w:color w:val="auto"/>
                <w:szCs w:val="21"/>
                <w:highlight w:val="none"/>
                <w:lang w:eastAsia="zh-CN"/>
              </w:rPr>
            </w:pPr>
            <w:r>
              <w:rPr>
                <w:rFonts w:hint="eastAsia" w:ascii="宋体" w:hAnsi="宋体" w:cs="宋体"/>
                <w:bCs/>
                <w:color w:val="auto"/>
                <w:kern w:val="0"/>
                <w:szCs w:val="21"/>
                <w:highlight w:val="none"/>
              </w:rPr>
              <w:t>1</w:t>
            </w:r>
            <w:r>
              <w:rPr>
                <w:rFonts w:hint="eastAsia" w:ascii="宋体" w:hAnsi="宋体" w:cs="宋体"/>
                <w:bCs/>
                <w:color w:val="auto"/>
                <w:kern w:val="0"/>
                <w:szCs w:val="21"/>
                <w:highlight w:val="none"/>
                <w:lang w:val="en-US" w:eastAsia="zh-CN"/>
              </w:rPr>
              <w:t>1</w:t>
            </w:r>
          </w:p>
        </w:tc>
        <w:tc>
          <w:tcPr>
            <w:tcW w:w="2220" w:type="dxa"/>
            <w:vAlign w:val="center"/>
          </w:tcPr>
          <w:p w14:paraId="73EEE4F9">
            <w:pPr>
              <w:jc w:val="center"/>
              <w:rPr>
                <w:rFonts w:ascii="宋体" w:hAnsi="宋体"/>
                <w:b/>
                <w:bCs/>
                <w:color w:val="auto"/>
                <w:szCs w:val="21"/>
                <w:highlight w:val="none"/>
              </w:rPr>
            </w:pPr>
            <w:r>
              <w:rPr>
                <w:rFonts w:hint="eastAsia" w:ascii="宋体" w:hAnsi="宋体"/>
                <w:color w:val="auto"/>
                <w:szCs w:val="21"/>
                <w:highlight w:val="none"/>
              </w:rPr>
              <w:t>服务承诺</w:t>
            </w:r>
          </w:p>
        </w:tc>
        <w:tc>
          <w:tcPr>
            <w:tcW w:w="865" w:type="dxa"/>
            <w:vAlign w:val="center"/>
          </w:tcPr>
          <w:p w14:paraId="4CF07832">
            <w:pPr>
              <w:jc w:val="center"/>
              <w:rPr>
                <w:rFonts w:hint="eastAsia" w:ascii="宋体" w:hAnsi="宋体"/>
                <w:color w:val="auto"/>
                <w:szCs w:val="21"/>
                <w:highlight w:val="none"/>
              </w:rPr>
            </w:pPr>
            <w:r>
              <w:rPr>
                <w:rFonts w:hint="eastAsia" w:ascii="宋体" w:hAnsi="宋体"/>
                <w:color w:val="auto"/>
                <w:szCs w:val="21"/>
                <w:highlight w:val="none"/>
              </w:rPr>
              <w:t>6分</w:t>
            </w:r>
          </w:p>
        </w:tc>
        <w:tc>
          <w:tcPr>
            <w:tcW w:w="1685" w:type="dxa"/>
            <w:tcBorders>
              <w:top w:val="single" w:color="auto" w:sz="4" w:space="0"/>
              <w:left w:val="nil"/>
              <w:bottom w:val="single" w:color="auto" w:sz="4" w:space="0"/>
              <w:right w:val="single" w:color="auto" w:sz="4" w:space="0"/>
            </w:tcBorders>
            <w:vAlign w:val="center"/>
          </w:tcPr>
          <w:p w14:paraId="23DD78FB">
            <w:pPr>
              <w:widowControl/>
              <w:jc w:val="center"/>
              <w:rPr>
                <w:rFonts w:ascii="宋体" w:hAnsi="宋体"/>
                <w:b/>
                <w:bCs/>
                <w:color w:val="auto"/>
                <w:szCs w:val="21"/>
                <w:highlight w:val="none"/>
              </w:rPr>
            </w:pPr>
          </w:p>
        </w:tc>
        <w:tc>
          <w:tcPr>
            <w:tcW w:w="2505" w:type="dxa"/>
            <w:tcBorders>
              <w:top w:val="single" w:color="auto" w:sz="4" w:space="0"/>
              <w:left w:val="nil"/>
              <w:bottom w:val="single" w:color="auto" w:sz="4" w:space="0"/>
              <w:right w:val="single" w:color="auto" w:sz="4" w:space="0"/>
            </w:tcBorders>
            <w:vAlign w:val="center"/>
          </w:tcPr>
          <w:p w14:paraId="65DFE1F0">
            <w:pPr>
              <w:widowControl/>
              <w:jc w:val="center"/>
              <w:rPr>
                <w:rFonts w:ascii="宋体" w:hAnsi="宋体" w:cs="宋体"/>
                <w:b/>
                <w:bCs/>
                <w:color w:val="auto"/>
                <w:kern w:val="0"/>
                <w:szCs w:val="21"/>
                <w:highlight w:val="none"/>
              </w:rPr>
            </w:pPr>
          </w:p>
        </w:tc>
        <w:tc>
          <w:tcPr>
            <w:tcW w:w="1215" w:type="dxa"/>
            <w:tcBorders>
              <w:top w:val="single" w:color="auto" w:sz="4" w:space="0"/>
              <w:left w:val="nil"/>
              <w:bottom w:val="single" w:color="auto" w:sz="4" w:space="0"/>
              <w:right w:val="single" w:color="auto" w:sz="4" w:space="0"/>
            </w:tcBorders>
            <w:vAlign w:val="center"/>
          </w:tcPr>
          <w:p w14:paraId="1AFD6241">
            <w:pPr>
              <w:widowControl/>
              <w:jc w:val="center"/>
              <w:rPr>
                <w:rFonts w:ascii="宋体" w:hAnsi="宋体" w:cs="宋体"/>
                <w:b/>
                <w:bCs/>
                <w:color w:val="auto"/>
                <w:kern w:val="0"/>
                <w:szCs w:val="21"/>
                <w:highlight w:val="none"/>
              </w:rPr>
            </w:pPr>
          </w:p>
        </w:tc>
      </w:tr>
      <w:tr w14:paraId="4A45BA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trPr>
        <w:tc>
          <w:tcPr>
            <w:tcW w:w="2927" w:type="dxa"/>
            <w:gridSpan w:val="2"/>
            <w:vAlign w:val="center"/>
          </w:tcPr>
          <w:p w14:paraId="1C9D3DF7">
            <w:pPr>
              <w:widowControl/>
              <w:jc w:val="center"/>
              <w:rPr>
                <w:rFonts w:ascii="宋体" w:hAnsi="宋体"/>
                <w:b/>
                <w:bCs/>
                <w:color w:val="auto"/>
                <w:szCs w:val="21"/>
                <w:highlight w:val="none"/>
              </w:rPr>
            </w:pPr>
            <w:r>
              <w:rPr>
                <w:rFonts w:hint="eastAsia" w:ascii="宋体" w:hAnsi="宋体" w:cs="宋体"/>
                <w:color w:val="auto"/>
                <w:szCs w:val="21"/>
                <w:highlight w:val="none"/>
              </w:rPr>
              <w:t>合计</w:t>
            </w:r>
          </w:p>
        </w:tc>
        <w:tc>
          <w:tcPr>
            <w:tcW w:w="865" w:type="dxa"/>
            <w:vAlign w:val="center"/>
          </w:tcPr>
          <w:p w14:paraId="764863BA">
            <w:pPr>
              <w:jc w:val="center"/>
              <w:rPr>
                <w:rFonts w:hint="default" w:ascii="宋体" w:hAnsi="宋体"/>
                <w:color w:val="auto"/>
                <w:szCs w:val="21"/>
                <w:highlight w:val="none"/>
                <w:lang w:val="en-US" w:eastAsia="zh-CN"/>
              </w:rPr>
            </w:pPr>
            <w:r>
              <w:rPr>
                <w:rFonts w:hint="eastAsia" w:ascii="宋体" w:hAnsi="宋体"/>
                <w:color w:val="auto"/>
                <w:szCs w:val="21"/>
                <w:highlight w:val="none"/>
                <w:lang w:val="en-US" w:eastAsia="zh-CN"/>
              </w:rPr>
              <w:t>80分</w:t>
            </w:r>
          </w:p>
        </w:tc>
        <w:tc>
          <w:tcPr>
            <w:tcW w:w="1685" w:type="dxa"/>
            <w:tcBorders>
              <w:top w:val="single" w:color="auto" w:sz="4" w:space="0"/>
              <w:left w:val="nil"/>
              <w:bottom w:val="single" w:color="auto" w:sz="4" w:space="0"/>
              <w:right w:val="single" w:color="auto" w:sz="4" w:space="0"/>
            </w:tcBorders>
            <w:vAlign w:val="center"/>
          </w:tcPr>
          <w:p w14:paraId="6665F8FC">
            <w:pPr>
              <w:widowControl/>
              <w:jc w:val="center"/>
              <w:rPr>
                <w:rFonts w:ascii="宋体" w:hAnsi="宋体"/>
                <w:b/>
                <w:bCs/>
                <w:color w:val="auto"/>
                <w:szCs w:val="21"/>
                <w:highlight w:val="none"/>
              </w:rPr>
            </w:pPr>
          </w:p>
        </w:tc>
        <w:tc>
          <w:tcPr>
            <w:tcW w:w="2505" w:type="dxa"/>
            <w:tcBorders>
              <w:top w:val="single" w:color="auto" w:sz="4" w:space="0"/>
              <w:left w:val="nil"/>
              <w:bottom w:val="single" w:color="auto" w:sz="4" w:space="0"/>
              <w:right w:val="single" w:color="auto" w:sz="4" w:space="0"/>
            </w:tcBorders>
            <w:vAlign w:val="center"/>
          </w:tcPr>
          <w:p w14:paraId="3D8BEA81">
            <w:pPr>
              <w:pStyle w:val="14"/>
              <w:ind w:firstLine="0"/>
              <w:jc w:val="center"/>
              <w:rPr>
                <w:rFonts w:ascii="宋体" w:hAnsi="宋体" w:cs="宋体"/>
                <w:b/>
                <w:bCs/>
                <w:color w:val="auto"/>
                <w:sz w:val="21"/>
                <w:szCs w:val="21"/>
                <w:highlight w:val="none"/>
              </w:rPr>
            </w:pPr>
            <w:r>
              <w:rPr>
                <w:rFonts w:hint="eastAsia" w:ascii="宋体"/>
                <w:b/>
                <w:color w:val="auto"/>
                <w:sz w:val="21"/>
                <w:szCs w:val="21"/>
                <w:highlight w:val="none"/>
              </w:rPr>
              <w:t>/</w:t>
            </w:r>
          </w:p>
        </w:tc>
        <w:tc>
          <w:tcPr>
            <w:tcW w:w="1215" w:type="dxa"/>
            <w:tcBorders>
              <w:top w:val="single" w:color="auto" w:sz="4" w:space="0"/>
              <w:left w:val="nil"/>
              <w:bottom w:val="single" w:color="auto" w:sz="4" w:space="0"/>
              <w:right w:val="single" w:color="auto" w:sz="4" w:space="0"/>
            </w:tcBorders>
            <w:vAlign w:val="center"/>
          </w:tcPr>
          <w:p w14:paraId="48C50DC2">
            <w:pPr>
              <w:pStyle w:val="14"/>
              <w:ind w:firstLine="0"/>
              <w:jc w:val="center"/>
              <w:rPr>
                <w:rFonts w:ascii="宋体" w:hAnsi="宋体" w:cs="宋体"/>
                <w:b/>
                <w:bCs/>
                <w:color w:val="auto"/>
                <w:sz w:val="21"/>
                <w:szCs w:val="21"/>
                <w:highlight w:val="none"/>
              </w:rPr>
            </w:pPr>
            <w:r>
              <w:rPr>
                <w:rFonts w:hint="eastAsia" w:ascii="宋体"/>
                <w:b/>
                <w:color w:val="auto"/>
                <w:sz w:val="21"/>
                <w:szCs w:val="21"/>
                <w:highlight w:val="none"/>
              </w:rPr>
              <w:t>/</w:t>
            </w:r>
          </w:p>
        </w:tc>
      </w:tr>
    </w:tbl>
    <w:p w14:paraId="33184D0E">
      <w:pPr>
        <w:adjustRightInd w:val="0"/>
        <w:spacing w:line="240" w:lineRule="atLeast"/>
        <w:jc w:val="center"/>
        <w:outlineLvl w:val="0"/>
        <w:rPr>
          <w:rFonts w:hint="eastAsia" w:asciiTheme="minorEastAsia" w:hAnsiTheme="minorEastAsia" w:eastAsiaTheme="minorEastAsia" w:cstheme="minorEastAsia"/>
          <w:b/>
          <w:color w:val="auto"/>
          <w:sz w:val="30"/>
          <w:szCs w:val="30"/>
          <w:highlight w:val="none"/>
        </w:rPr>
      </w:pPr>
    </w:p>
    <w:p w14:paraId="1B1C2589">
      <w:pPr>
        <w:adjustRightInd w:val="0"/>
        <w:spacing w:line="240" w:lineRule="atLeast"/>
        <w:jc w:val="center"/>
        <w:outlineLvl w:val="0"/>
        <w:rPr>
          <w:rFonts w:hint="eastAsia" w:asciiTheme="minorEastAsia" w:hAnsiTheme="minorEastAsia" w:eastAsiaTheme="minorEastAsia" w:cstheme="minorEastAsia"/>
          <w:b/>
          <w:color w:val="auto"/>
          <w:sz w:val="30"/>
          <w:szCs w:val="30"/>
          <w:highlight w:val="none"/>
        </w:rPr>
      </w:pPr>
    </w:p>
    <w:p w14:paraId="5D22ADF0">
      <w:pPr>
        <w:pStyle w:val="2"/>
        <w:rPr>
          <w:rFonts w:hint="eastAsia"/>
          <w:color w:val="auto"/>
          <w:highlight w:val="none"/>
        </w:rPr>
      </w:pPr>
    </w:p>
    <w:p w14:paraId="7348E44A">
      <w:pPr>
        <w:adjustRightInd w:val="0"/>
        <w:spacing w:line="240" w:lineRule="atLeast"/>
        <w:jc w:val="center"/>
        <w:outlineLvl w:val="0"/>
        <w:rPr>
          <w:rFonts w:hint="eastAsia" w:asciiTheme="minorEastAsia" w:hAnsiTheme="minorEastAsia" w:eastAsiaTheme="minorEastAsia" w:cstheme="minorEastAsia"/>
          <w:b/>
          <w:color w:val="auto"/>
          <w:sz w:val="30"/>
          <w:szCs w:val="30"/>
          <w:highlight w:val="none"/>
        </w:rPr>
      </w:pPr>
    </w:p>
    <w:p w14:paraId="3DDE225F">
      <w:pPr>
        <w:adjustRightInd w:val="0"/>
        <w:spacing w:line="240" w:lineRule="atLeast"/>
        <w:jc w:val="center"/>
        <w:outlineLvl w:val="0"/>
        <w:rPr>
          <w:rFonts w:asciiTheme="minorEastAsia" w:hAnsiTheme="minorEastAsia" w:eastAsiaTheme="minorEastAsia" w:cstheme="minorEastAsia"/>
          <w:b/>
          <w:color w:val="auto"/>
          <w:sz w:val="30"/>
          <w:szCs w:val="30"/>
          <w:highlight w:val="none"/>
        </w:rPr>
      </w:pPr>
      <w:r>
        <w:rPr>
          <w:rFonts w:hint="eastAsia" w:asciiTheme="minorEastAsia" w:hAnsiTheme="minorEastAsia" w:eastAsiaTheme="minorEastAsia" w:cstheme="minorEastAsia"/>
          <w:b/>
          <w:color w:val="auto"/>
          <w:sz w:val="30"/>
          <w:szCs w:val="30"/>
          <w:highlight w:val="none"/>
        </w:rPr>
        <w:t>第五章  合同主要条款</w:t>
      </w:r>
      <w:bookmarkEnd w:id="42"/>
    </w:p>
    <w:p w14:paraId="0F480034">
      <w:pPr>
        <w:adjustRightInd w:val="0"/>
        <w:spacing w:line="240" w:lineRule="atLeast"/>
        <w:jc w:val="center"/>
        <w:rPr>
          <w:rFonts w:hAnsi="宋体"/>
          <w:b/>
          <w:color w:val="auto"/>
          <w:sz w:val="30"/>
          <w:szCs w:val="30"/>
          <w:highlight w:val="none"/>
        </w:rPr>
      </w:pPr>
      <w:bookmarkStart w:id="44" w:name="_Toc466534751"/>
      <w:r>
        <w:rPr>
          <w:rFonts w:hint="eastAsia" w:hAnsi="宋体"/>
          <w:color w:val="auto"/>
          <w:sz w:val="28"/>
          <w:szCs w:val="28"/>
          <w:highlight w:val="none"/>
          <w:shd w:val="pct10" w:color="auto" w:fill="FFFFFF"/>
        </w:rPr>
        <w:t>（此稿为合同样本，最终定稿待双方协商后商定）</w:t>
      </w:r>
    </w:p>
    <w:p w14:paraId="1C1CDC10">
      <w:pPr>
        <w:widowControl/>
        <w:spacing w:line="360" w:lineRule="auto"/>
        <w:jc w:val="center"/>
        <w:rPr>
          <w:rFonts w:ascii="宋体" w:hAnsi="宋体"/>
          <w:b/>
          <w:color w:val="auto"/>
          <w:sz w:val="32"/>
          <w:szCs w:val="32"/>
          <w:highlight w:val="none"/>
        </w:rPr>
      </w:pPr>
      <w:r>
        <w:rPr>
          <w:rFonts w:hint="eastAsia" w:ascii="宋体" w:hAnsi="宋体"/>
          <w:b/>
          <w:color w:val="auto"/>
          <w:sz w:val="32"/>
          <w:szCs w:val="32"/>
          <w:highlight w:val="none"/>
        </w:rPr>
        <w:t xml:space="preserve">第一部分 </w:t>
      </w:r>
      <w:bookmarkStart w:id="45" w:name="OLE_LINK2"/>
      <w:r>
        <w:rPr>
          <w:rFonts w:hint="eastAsia" w:ascii="宋体" w:hAnsi="宋体"/>
          <w:b/>
          <w:color w:val="auto"/>
          <w:sz w:val="32"/>
          <w:szCs w:val="32"/>
          <w:highlight w:val="none"/>
        </w:rPr>
        <w:t>协议书</w:t>
      </w:r>
      <w:bookmarkEnd w:id="45"/>
    </w:p>
    <w:p w14:paraId="5CC81FF8">
      <w:pPr>
        <w:keepNext w:val="0"/>
        <w:keepLines w:val="0"/>
        <w:pageBreakBefore w:val="0"/>
        <w:widowControl w:val="0"/>
        <w:tabs>
          <w:tab w:val="left" w:pos="6919"/>
        </w:tabs>
        <w:kinsoku/>
        <w:wordWrap/>
        <w:overflowPunct/>
        <w:topLinePunct w:val="0"/>
        <w:autoSpaceDE w:val="0"/>
        <w:autoSpaceDN w:val="0"/>
        <w:bidi w:val="0"/>
        <w:adjustRightInd w:val="0"/>
        <w:snapToGrid w:val="0"/>
        <w:spacing w:line="360" w:lineRule="auto"/>
        <w:jc w:val="left"/>
        <w:textAlignment w:val="auto"/>
        <w:rPr>
          <w:rFonts w:hint="eastAsia" w:ascii="宋体" w:hAnsi="宋体" w:eastAsia="宋体" w:cs="宋体"/>
          <w:color w:val="auto"/>
          <w:sz w:val="21"/>
          <w:szCs w:val="21"/>
          <w:highlight w:val="none"/>
          <w:u w:val="single"/>
          <w:lang w:val="zh-CN" w:bidi="zh-CN"/>
        </w:rPr>
      </w:pPr>
      <w:bookmarkStart w:id="46" w:name="BM7"/>
      <w:bookmarkEnd w:id="46"/>
      <w:bookmarkStart w:id="47" w:name="_Toc419045058"/>
      <w:bookmarkStart w:id="48" w:name="_Toc422322476"/>
      <w:r>
        <w:rPr>
          <w:rFonts w:hint="eastAsia" w:ascii="宋体" w:hAnsi="宋体" w:eastAsia="宋体" w:cs="宋体"/>
          <w:color w:val="auto"/>
          <w:sz w:val="21"/>
          <w:szCs w:val="21"/>
          <w:highlight w:val="none"/>
          <w:lang w:val="zh-CN" w:bidi="zh-CN"/>
        </w:rPr>
        <w:t>委托人（全称）：</w:t>
      </w:r>
      <w:r>
        <w:rPr>
          <w:rFonts w:hint="eastAsia" w:ascii="宋体" w:hAnsi="宋体" w:eastAsia="宋体" w:cs="宋体"/>
          <w:color w:val="auto"/>
          <w:sz w:val="21"/>
          <w:szCs w:val="21"/>
          <w:highlight w:val="none"/>
          <w:u w:val="single"/>
          <w:lang w:val="zh-CN" w:eastAsia="zh-CN" w:bidi="zh-CN"/>
        </w:rPr>
        <w:t>临海市头门港三期码头开发有限公司</w:t>
      </w:r>
    </w:p>
    <w:p w14:paraId="6092D6EF">
      <w:pPr>
        <w:keepNext w:val="0"/>
        <w:keepLines w:val="0"/>
        <w:pageBreakBefore w:val="0"/>
        <w:widowControl w:val="0"/>
        <w:tabs>
          <w:tab w:val="left" w:pos="6919"/>
        </w:tabs>
        <w:kinsoku/>
        <w:wordWrap/>
        <w:overflowPunct/>
        <w:topLinePunct w:val="0"/>
        <w:autoSpaceDE w:val="0"/>
        <w:autoSpaceDN w:val="0"/>
        <w:bidi w:val="0"/>
        <w:adjustRightInd w:val="0"/>
        <w:snapToGrid w:val="0"/>
        <w:spacing w:line="360" w:lineRule="auto"/>
        <w:jc w:val="left"/>
        <w:textAlignment w:val="auto"/>
        <w:rPr>
          <w:rFonts w:hint="eastAsia" w:ascii="宋体" w:hAnsi="宋体" w:eastAsia="宋体" w:cs="宋体"/>
          <w:color w:val="auto"/>
          <w:sz w:val="21"/>
          <w:szCs w:val="21"/>
          <w:highlight w:val="none"/>
          <w:lang w:bidi="zh-CN"/>
        </w:rPr>
      </w:pPr>
      <w:r>
        <w:rPr>
          <w:rFonts w:hint="eastAsia" w:ascii="宋体" w:hAnsi="宋体" w:eastAsia="宋体" w:cs="宋体"/>
          <w:color w:val="auto"/>
          <w:sz w:val="21"/>
          <w:szCs w:val="21"/>
          <w:highlight w:val="none"/>
          <w:lang w:val="zh-CN" w:bidi="zh-CN"/>
        </w:rPr>
        <w:t>咨询人（全称）：</w:t>
      </w:r>
      <w:r>
        <w:rPr>
          <w:rFonts w:hint="eastAsia" w:ascii="宋体" w:hAnsi="宋体" w:eastAsia="宋体" w:cs="宋体"/>
          <w:color w:val="auto"/>
          <w:sz w:val="21"/>
          <w:szCs w:val="21"/>
          <w:highlight w:val="none"/>
          <w:u w:val="single"/>
          <w:lang w:val="zh-CN" w:bidi="zh-CN"/>
        </w:rPr>
        <w:t xml:space="preserve"> </w:t>
      </w:r>
      <w:r>
        <w:rPr>
          <w:rFonts w:hint="eastAsia" w:ascii="宋体" w:hAnsi="宋体" w:eastAsia="宋体" w:cs="宋体"/>
          <w:color w:val="auto"/>
          <w:sz w:val="21"/>
          <w:szCs w:val="21"/>
          <w:highlight w:val="none"/>
          <w:u w:val="single"/>
          <w:lang w:bidi="zh-CN"/>
        </w:rPr>
        <w:t xml:space="preserve">                               </w:t>
      </w:r>
    </w:p>
    <w:p w14:paraId="34DBF4A0">
      <w:pPr>
        <w:keepNext w:val="0"/>
        <w:keepLines w:val="0"/>
        <w:pageBreakBefore w:val="0"/>
        <w:widowControl w:val="0"/>
        <w:kinsoku/>
        <w:wordWrap/>
        <w:overflowPunct/>
        <w:topLinePunct w:val="0"/>
        <w:autoSpaceDE w:val="0"/>
        <w:autoSpaceDN w:val="0"/>
        <w:bidi w:val="0"/>
        <w:adjustRightInd w:val="0"/>
        <w:snapToGrid w:val="0"/>
        <w:spacing w:line="360" w:lineRule="auto"/>
        <w:ind w:left="0" w:leftChars="0" w:firstLine="420" w:firstLineChars="200"/>
        <w:jc w:val="left"/>
        <w:textAlignment w:val="auto"/>
        <w:rPr>
          <w:rFonts w:hint="eastAsia" w:ascii="宋体" w:hAnsi="宋体" w:eastAsia="宋体" w:cs="宋体"/>
          <w:color w:val="auto"/>
          <w:sz w:val="21"/>
          <w:szCs w:val="21"/>
          <w:highlight w:val="none"/>
          <w:lang w:val="zh-CN" w:bidi="zh-CN"/>
        </w:rPr>
      </w:pPr>
    </w:p>
    <w:p w14:paraId="4285F03A">
      <w:pPr>
        <w:keepNext w:val="0"/>
        <w:keepLines w:val="0"/>
        <w:pageBreakBefore w:val="0"/>
        <w:widowControl w:val="0"/>
        <w:kinsoku/>
        <w:wordWrap/>
        <w:overflowPunct/>
        <w:topLinePunct w:val="0"/>
        <w:autoSpaceDE w:val="0"/>
        <w:autoSpaceDN w:val="0"/>
        <w:bidi w:val="0"/>
        <w:adjustRightInd w:val="0"/>
        <w:snapToGrid w:val="0"/>
        <w:spacing w:line="360" w:lineRule="auto"/>
        <w:ind w:left="0" w:leftChars="0" w:firstLine="420" w:firstLineChars="200"/>
        <w:jc w:val="left"/>
        <w:textAlignment w:val="auto"/>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根据《中华人民共和国</w:t>
      </w:r>
      <w:r>
        <w:rPr>
          <w:rFonts w:hint="eastAsia" w:ascii="宋体" w:hAnsi="宋体" w:eastAsia="宋体" w:cs="宋体"/>
          <w:color w:val="auto"/>
          <w:sz w:val="21"/>
          <w:szCs w:val="21"/>
          <w:highlight w:val="none"/>
          <w:lang w:bidi="zh-CN"/>
        </w:rPr>
        <w:t>民法典</w:t>
      </w:r>
      <w:r>
        <w:rPr>
          <w:rFonts w:hint="eastAsia" w:ascii="宋体" w:hAnsi="宋体" w:eastAsia="宋体" w:cs="宋体"/>
          <w:color w:val="auto"/>
          <w:sz w:val="21"/>
          <w:szCs w:val="21"/>
          <w:highlight w:val="none"/>
          <w:lang w:val="zh-CN" w:bidi="zh-CN"/>
        </w:rPr>
        <w:t>》及其他有关法律、法规，遵循平等、自</w:t>
      </w:r>
      <w:r>
        <w:rPr>
          <w:rFonts w:hint="eastAsia" w:ascii="宋体" w:hAnsi="宋体" w:eastAsia="宋体" w:cs="宋体"/>
          <w:color w:val="auto"/>
          <w:spacing w:val="-1"/>
          <w:sz w:val="21"/>
          <w:szCs w:val="21"/>
          <w:highlight w:val="none"/>
          <w:lang w:val="zh-CN" w:bidi="zh-CN"/>
        </w:rPr>
        <w:t>愿、公平和诚实信用的原则，双方就下述建设工程委托造价咨询与其他服务事</w:t>
      </w:r>
      <w:r>
        <w:rPr>
          <w:rFonts w:hint="eastAsia" w:ascii="宋体" w:hAnsi="宋体" w:eastAsia="宋体" w:cs="宋体"/>
          <w:color w:val="auto"/>
          <w:sz w:val="21"/>
          <w:szCs w:val="21"/>
          <w:highlight w:val="none"/>
          <w:lang w:val="zh-CN" w:bidi="zh-CN"/>
        </w:rPr>
        <w:t>项协商一致，订立本合同。</w:t>
      </w:r>
    </w:p>
    <w:p w14:paraId="3A700A92">
      <w:pPr>
        <w:keepNext w:val="0"/>
        <w:keepLines w:val="0"/>
        <w:pageBreakBefore w:val="0"/>
        <w:widowControl w:val="0"/>
        <w:kinsoku/>
        <w:wordWrap/>
        <w:overflowPunct/>
        <w:topLinePunct w:val="0"/>
        <w:autoSpaceDE w:val="0"/>
        <w:autoSpaceDN w:val="0"/>
        <w:bidi w:val="0"/>
        <w:adjustRightInd w:val="0"/>
        <w:snapToGrid w:val="0"/>
        <w:spacing w:line="360" w:lineRule="auto"/>
        <w:ind w:left="0" w:leftChars="0" w:firstLine="422" w:firstLineChars="200"/>
        <w:jc w:val="left"/>
        <w:textAlignment w:val="auto"/>
        <w:outlineLvl w:val="3"/>
        <w:rPr>
          <w:rFonts w:hint="eastAsia" w:ascii="宋体" w:hAnsi="宋体" w:eastAsia="宋体" w:cs="宋体"/>
          <w:b/>
          <w:color w:val="auto"/>
          <w:sz w:val="21"/>
          <w:szCs w:val="21"/>
          <w:highlight w:val="none"/>
          <w:lang w:val="zh-CN" w:bidi="zh-CN"/>
        </w:rPr>
      </w:pPr>
      <w:r>
        <w:rPr>
          <w:rFonts w:hint="eastAsia" w:ascii="宋体" w:hAnsi="宋体" w:eastAsia="宋体" w:cs="宋体"/>
          <w:b/>
          <w:color w:val="auto"/>
          <w:sz w:val="21"/>
          <w:szCs w:val="21"/>
          <w:highlight w:val="none"/>
          <w:lang w:val="zh-CN" w:bidi="zh-CN"/>
        </w:rPr>
        <w:t>一、工程概况</w:t>
      </w:r>
    </w:p>
    <w:p w14:paraId="7EAD7B74">
      <w:pPr>
        <w:keepNext w:val="0"/>
        <w:keepLines w:val="0"/>
        <w:pageBreakBefore w:val="0"/>
        <w:widowControl w:val="0"/>
        <w:tabs>
          <w:tab w:val="left" w:pos="1262"/>
          <w:tab w:val="left" w:pos="7519"/>
        </w:tabs>
        <w:kinsoku/>
        <w:wordWrap/>
        <w:overflowPunct/>
        <w:topLinePunct w:val="0"/>
        <w:autoSpaceDE w:val="0"/>
        <w:autoSpaceDN w:val="0"/>
        <w:bidi w:val="0"/>
        <w:adjustRightInd w:val="0"/>
        <w:snapToGrid w:val="0"/>
        <w:spacing w:line="360" w:lineRule="auto"/>
        <w:ind w:left="0" w:leftChars="0" w:firstLine="420" w:firstLineChars="200"/>
        <w:jc w:val="left"/>
        <w:textAlignment w:val="auto"/>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bidi="zh-CN"/>
        </w:rPr>
        <w:t>1.</w:t>
      </w:r>
      <w:r>
        <w:rPr>
          <w:rFonts w:hint="eastAsia" w:ascii="宋体" w:hAnsi="宋体" w:eastAsia="宋体" w:cs="宋体"/>
          <w:color w:val="auto"/>
          <w:sz w:val="21"/>
          <w:szCs w:val="21"/>
          <w:highlight w:val="none"/>
          <w:lang w:val="zh-CN" w:bidi="zh-CN"/>
        </w:rPr>
        <w:t>工程名称：</w:t>
      </w:r>
      <w:r>
        <w:rPr>
          <w:rFonts w:hint="eastAsia" w:ascii="宋体" w:hAnsi="宋体" w:eastAsia="宋体" w:cs="宋体"/>
          <w:color w:val="auto"/>
          <w:spacing w:val="17"/>
          <w:sz w:val="21"/>
          <w:szCs w:val="21"/>
          <w:highlight w:val="none"/>
          <w:u w:val="single" w:color="auto"/>
          <w:lang w:eastAsia="zh-CN"/>
        </w:rPr>
        <w:t>台州港头门港区三期陆域先行工程(场平工程)</w:t>
      </w:r>
      <w:r>
        <w:rPr>
          <w:rFonts w:hint="eastAsia" w:ascii="宋体" w:hAnsi="宋体" w:eastAsia="宋体" w:cs="宋体"/>
          <w:color w:val="auto"/>
          <w:sz w:val="21"/>
          <w:szCs w:val="21"/>
          <w:highlight w:val="none"/>
          <w:u w:val="single"/>
          <w:lang w:val="zh-CN" w:bidi="zh-CN"/>
        </w:rPr>
        <w:t>（全过程造价控制）</w:t>
      </w:r>
    </w:p>
    <w:p w14:paraId="0518E01B">
      <w:pPr>
        <w:keepNext w:val="0"/>
        <w:keepLines w:val="0"/>
        <w:pageBreakBefore w:val="0"/>
        <w:widowControl w:val="0"/>
        <w:tabs>
          <w:tab w:val="left" w:pos="1221"/>
          <w:tab w:val="left" w:pos="7519"/>
        </w:tabs>
        <w:kinsoku/>
        <w:wordWrap/>
        <w:overflowPunct/>
        <w:topLinePunct w:val="0"/>
        <w:autoSpaceDE w:val="0"/>
        <w:autoSpaceDN w:val="0"/>
        <w:bidi w:val="0"/>
        <w:adjustRightInd w:val="0"/>
        <w:snapToGrid w:val="0"/>
        <w:spacing w:line="360" w:lineRule="auto"/>
        <w:ind w:left="0" w:leftChars="0" w:firstLine="420" w:firstLineChars="200"/>
        <w:jc w:val="left"/>
        <w:textAlignment w:val="auto"/>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bidi="zh-CN"/>
        </w:rPr>
        <w:t>2.</w:t>
      </w:r>
      <w:r>
        <w:rPr>
          <w:rFonts w:hint="eastAsia" w:ascii="宋体" w:hAnsi="宋体" w:eastAsia="宋体" w:cs="宋体"/>
          <w:color w:val="auto"/>
          <w:sz w:val="21"/>
          <w:szCs w:val="21"/>
          <w:highlight w:val="none"/>
          <w:lang w:val="zh-CN" w:bidi="zh-CN"/>
        </w:rPr>
        <w:t>工程地点：</w:t>
      </w:r>
      <w:r>
        <w:rPr>
          <w:rFonts w:hint="eastAsia" w:ascii="宋体" w:hAnsi="宋体" w:eastAsia="宋体" w:cs="宋体"/>
          <w:color w:val="auto"/>
          <w:sz w:val="21"/>
          <w:szCs w:val="21"/>
          <w:highlight w:val="none"/>
          <w:u w:val="single"/>
          <w:lang w:val="zh-CN" w:eastAsia="zh-CN" w:bidi="zh-CN"/>
        </w:rPr>
        <w:t>临海市头门岛西部</w:t>
      </w:r>
    </w:p>
    <w:p w14:paraId="6415C6ED">
      <w:pPr>
        <w:keepNext w:val="0"/>
        <w:keepLines w:val="0"/>
        <w:pageBreakBefore w:val="0"/>
        <w:widowControl w:val="0"/>
        <w:tabs>
          <w:tab w:val="left" w:pos="1221"/>
          <w:tab w:val="left" w:pos="7519"/>
        </w:tabs>
        <w:kinsoku/>
        <w:wordWrap/>
        <w:overflowPunct/>
        <w:topLinePunct w:val="0"/>
        <w:autoSpaceDE w:val="0"/>
        <w:autoSpaceDN w:val="0"/>
        <w:bidi w:val="0"/>
        <w:adjustRightInd w:val="0"/>
        <w:snapToGrid w:val="0"/>
        <w:spacing w:line="360" w:lineRule="auto"/>
        <w:ind w:left="0" w:leftChars="0" w:firstLine="420" w:firstLineChars="200"/>
        <w:jc w:val="left"/>
        <w:textAlignment w:val="auto"/>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bidi="zh-CN"/>
        </w:rPr>
        <w:t>3.</w:t>
      </w:r>
      <w:r>
        <w:rPr>
          <w:rFonts w:hint="eastAsia" w:ascii="宋体" w:hAnsi="宋体" w:eastAsia="宋体" w:cs="宋体"/>
          <w:color w:val="auto"/>
          <w:sz w:val="21"/>
          <w:szCs w:val="21"/>
          <w:highlight w:val="none"/>
          <w:lang w:val="zh-CN" w:bidi="zh-CN"/>
        </w:rPr>
        <w:t>工程规模：</w:t>
      </w:r>
      <w:r>
        <w:rPr>
          <w:rFonts w:hint="eastAsia" w:ascii="宋体" w:hAnsi="宋体" w:eastAsia="宋体" w:cs="宋体"/>
          <w:color w:val="auto"/>
          <w:sz w:val="21"/>
          <w:szCs w:val="21"/>
          <w:highlight w:val="none"/>
          <w:lang w:val="en-US" w:eastAsia="zh-CN" w:bidi="zh-CN"/>
        </w:rPr>
        <w:t>本项目主要建设内容为开山工程、陆域形成及地基处理工程，为头门港区三期工程的建设提供开阔、平整的场地，符合堆载要求的场地可先行作为临时堆场，用于本工程石料及头门港区内铁路、港口货物堆存。具体以施工图批复为准。</w:t>
      </w:r>
    </w:p>
    <w:p w14:paraId="583F4ED1">
      <w:pPr>
        <w:keepNext w:val="0"/>
        <w:keepLines w:val="0"/>
        <w:pageBreakBefore w:val="0"/>
        <w:widowControl w:val="0"/>
        <w:tabs>
          <w:tab w:val="left" w:pos="1221"/>
          <w:tab w:val="left" w:pos="7519"/>
        </w:tabs>
        <w:kinsoku/>
        <w:wordWrap/>
        <w:overflowPunct/>
        <w:topLinePunct w:val="0"/>
        <w:autoSpaceDE w:val="0"/>
        <w:autoSpaceDN w:val="0"/>
        <w:bidi w:val="0"/>
        <w:adjustRightInd w:val="0"/>
        <w:snapToGrid w:val="0"/>
        <w:spacing w:line="360" w:lineRule="auto"/>
        <w:ind w:left="0" w:leftChars="0" w:firstLine="420" w:firstLineChars="200"/>
        <w:jc w:val="left"/>
        <w:textAlignment w:val="auto"/>
        <w:rPr>
          <w:rFonts w:hint="eastAsia" w:ascii="宋体" w:hAnsi="宋体" w:eastAsia="宋体" w:cs="宋体"/>
          <w:color w:val="auto"/>
          <w:sz w:val="21"/>
          <w:szCs w:val="21"/>
          <w:highlight w:val="none"/>
          <w:lang w:bidi="zh-CN"/>
        </w:rPr>
      </w:pPr>
      <w:r>
        <w:rPr>
          <w:rFonts w:hint="eastAsia" w:ascii="宋体" w:hAnsi="宋体" w:eastAsia="宋体" w:cs="宋体"/>
          <w:color w:val="auto"/>
          <w:sz w:val="21"/>
          <w:szCs w:val="21"/>
          <w:highlight w:val="none"/>
          <w:lang w:val="en-US" w:eastAsia="zh-CN" w:bidi="zh-CN"/>
        </w:rPr>
        <w:t>招标范围</w:t>
      </w:r>
      <w:r>
        <w:rPr>
          <w:rFonts w:hint="eastAsia" w:ascii="宋体" w:hAnsi="宋体" w:eastAsia="宋体" w:cs="宋体"/>
          <w:color w:val="auto"/>
          <w:sz w:val="21"/>
          <w:szCs w:val="21"/>
          <w:highlight w:val="none"/>
          <w:lang w:bidi="zh-CN"/>
        </w:rPr>
        <w:t>：</w:t>
      </w:r>
    </w:p>
    <w:p w14:paraId="6B6110E9">
      <w:pPr>
        <w:keepNext w:val="0"/>
        <w:keepLines w:val="0"/>
        <w:pageBreakBefore w:val="0"/>
        <w:widowControl w:val="0"/>
        <w:tabs>
          <w:tab w:val="left" w:pos="1221"/>
          <w:tab w:val="left" w:pos="7519"/>
        </w:tabs>
        <w:kinsoku/>
        <w:wordWrap/>
        <w:overflowPunct/>
        <w:topLinePunct w:val="0"/>
        <w:autoSpaceDE w:val="0"/>
        <w:autoSpaceDN w:val="0"/>
        <w:bidi w:val="0"/>
        <w:adjustRightInd w:val="0"/>
        <w:snapToGrid w:val="0"/>
        <w:spacing w:line="360" w:lineRule="auto"/>
        <w:ind w:left="0" w:leftChars="0" w:firstLine="420" w:firstLineChars="200"/>
        <w:jc w:val="left"/>
        <w:textAlignment w:val="auto"/>
        <w:rPr>
          <w:rFonts w:hint="default"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（1）开山工程：主要对头门岛山体开采至+8.00 米高程，分为北部开山区、中部开山区和南部开山区，开山面积约 94.65 万平方米，石方开挖量约 2879.92 万立方米，土方开挖量约 166.61 万立方米，边坡复绿面积约 29467 平方米，挡墙内侧回填复绿面积约 10157 平方米。采用山体露天开挖，自上而下水平分层式开挖、中深孔爆破、挖机铲装、汽车运输的工艺</w:t>
      </w:r>
      <w:r>
        <w:rPr>
          <w:rFonts w:hint="eastAsia" w:ascii="宋体" w:hAnsi="宋体" w:cs="宋体"/>
          <w:color w:val="auto"/>
          <w:sz w:val="21"/>
          <w:szCs w:val="21"/>
          <w:highlight w:val="none"/>
          <w:lang w:val="en-US" w:eastAsia="zh-CN" w:bidi="zh-CN"/>
        </w:rPr>
        <w:t>。</w:t>
      </w:r>
    </w:p>
    <w:p w14:paraId="533639D2">
      <w:pPr>
        <w:keepNext w:val="0"/>
        <w:keepLines w:val="0"/>
        <w:pageBreakBefore w:val="0"/>
        <w:widowControl w:val="0"/>
        <w:tabs>
          <w:tab w:val="left" w:pos="1221"/>
          <w:tab w:val="left" w:pos="7519"/>
        </w:tabs>
        <w:kinsoku/>
        <w:wordWrap/>
        <w:overflowPunct/>
        <w:topLinePunct w:val="0"/>
        <w:autoSpaceDE w:val="0"/>
        <w:autoSpaceDN w:val="0"/>
        <w:bidi w:val="0"/>
        <w:adjustRightInd w:val="0"/>
        <w:snapToGrid w:val="0"/>
        <w:spacing w:line="360" w:lineRule="auto"/>
        <w:ind w:left="0" w:leftChars="0" w:firstLine="420" w:firstLineChars="200"/>
        <w:jc w:val="left"/>
        <w:textAlignment w:val="auto"/>
        <w:rPr>
          <w:rFonts w:hint="eastAsia" w:ascii="宋体" w:hAnsi="宋体" w:eastAsia="宋体" w:cs="宋体"/>
          <w:color w:val="auto"/>
          <w:sz w:val="21"/>
          <w:szCs w:val="21"/>
          <w:highlight w:val="none"/>
          <w:lang w:bidi="zh-CN"/>
        </w:rPr>
      </w:pPr>
      <w:r>
        <w:rPr>
          <w:rFonts w:hint="eastAsia" w:ascii="宋体" w:hAnsi="宋体" w:eastAsia="宋体" w:cs="宋体"/>
          <w:color w:val="auto"/>
          <w:sz w:val="21"/>
          <w:szCs w:val="21"/>
          <w:highlight w:val="none"/>
          <w:lang w:val="en-US" w:eastAsia="zh-CN" w:bidi="zh-CN"/>
        </w:rPr>
        <w:t>(2)陆域形成及地基处理工程：主要对头门岛北部开山区和中部开山区之间的水塘进行回填和地基处理，面积约 7.8 万平方米，水塘回填交工面高程+8.00 米，回填料量约 76 万立方米，对靠近岸侧水塘底软土层采用碎石桩法地基处理形成复合地基，远离岸侧水塘底部软土采用强夯碎石墩法地基处理，塘底软土处理后，采用开山石料将水塘回填至交工面高程。</w:t>
      </w:r>
    </w:p>
    <w:p w14:paraId="7003A3E7">
      <w:pPr>
        <w:keepNext w:val="0"/>
        <w:keepLines w:val="0"/>
        <w:pageBreakBefore w:val="0"/>
        <w:widowControl w:val="0"/>
        <w:tabs>
          <w:tab w:val="left" w:pos="1221"/>
          <w:tab w:val="left" w:pos="7519"/>
        </w:tabs>
        <w:kinsoku/>
        <w:wordWrap/>
        <w:overflowPunct/>
        <w:topLinePunct w:val="0"/>
        <w:autoSpaceDE w:val="0"/>
        <w:autoSpaceDN w:val="0"/>
        <w:bidi w:val="0"/>
        <w:adjustRightInd w:val="0"/>
        <w:snapToGrid w:val="0"/>
        <w:spacing w:line="360" w:lineRule="auto"/>
        <w:ind w:left="0" w:leftChars="0" w:firstLine="420" w:firstLineChars="200"/>
        <w:jc w:val="left"/>
        <w:textAlignment w:val="auto"/>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w:t>
      </w:r>
      <w:r>
        <w:rPr>
          <w:rFonts w:hint="eastAsia" w:ascii="宋体" w:hAnsi="宋体" w:cs="宋体"/>
          <w:color w:val="auto"/>
          <w:sz w:val="21"/>
          <w:szCs w:val="21"/>
          <w:highlight w:val="none"/>
          <w:lang w:val="en-US" w:bidi="zh-CN"/>
        </w:rPr>
        <w:t>3</w:t>
      </w:r>
      <w:r>
        <w:rPr>
          <w:rFonts w:hint="eastAsia" w:ascii="宋体" w:hAnsi="宋体" w:eastAsia="宋体" w:cs="宋体"/>
          <w:color w:val="auto"/>
          <w:sz w:val="21"/>
          <w:szCs w:val="21"/>
          <w:highlight w:val="none"/>
          <w:lang w:val="zh-CN" w:bidi="zh-CN"/>
        </w:rPr>
        <w:t>）</w:t>
      </w:r>
      <w:r>
        <w:rPr>
          <w:rFonts w:hint="eastAsia" w:ascii="宋体" w:hAnsi="宋体" w:cs="宋体"/>
          <w:color w:val="auto"/>
          <w:highlight w:val="none"/>
          <w:lang w:val="en-US" w:eastAsia="zh-CN"/>
        </w:rPr>
        <w:t>估算建安费58555.0377万元</w:t>
      </w:r>
      <w:r>
        <w:rPr>
          <w:rFonts w:hint="eastAsia" w:ascii="宋体" w:hAnsi="宋体" w:cs="宋体"/>
          <w:color w:val="auto"/>
          <w:highlight w:val="none"/>
        </w:rPr>
        <w:t>。</w:t>
      </w:r>
    </w:p>
    <w:p w14:paraId="587FB859">
      <w:pPr>
        <w:keepNext w:val="0"/>
        <w:keepLines w:val="0"/>
        <w:pageBreakBefore w:val="0"/>
        <w:widowControl w:val="0"/>
        <w:tabs>
          <w:tab w:val="left" w:pos="1221"/>
          <w:tab w:val="left" w:pos="7519"/>
        </w:tabs>
        <w:kinsoku/>
        <w:wordWrap/>
        <w:overflowPunct/>
        <w:topLinePunct w:val="0"/>
        <w:autoSpaceDE w:val="0"/>
        <w:autoSpaceDN w:val="0"/>
        <w:bidi w:val="0"/>
        <w:adjustRightInd w:val="0"/>
        <w:snapToGrid w:val="0"/>
        <w:spacing w:line="360" w:lineRule="auto"/>
        <w:ind w:left="0" w:leftChars="0" w:firstLine="420" w:firstLineChars="200"/>
        <w:jc w:val="left"/>
        <w:textAlignment w:val="auto"/>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bidi="zh-CN"/>
        </w:rPr>
        <w:t>4.</w:t>
      </w:r>
      <w:r>
        <w:rPr>
          <w:rFonts w:hint="eastAsia" w:ascii="宋体" w:hAnsi="宋体" w:eastAsia="宋体" w:cs="宋体"/>
          <w:color w:val="auto"/>
          <w:sz w:val="21"/>
          <w:szCs w:val="21"/>
          <w:highlight w:val="none"/>
          <w:lang w:val="zh-CN" w:bidi="zh-CN"/>
        </w:rPr>
        <w:t>资金来源：</w:t>
      </w:r>
      <w:r>
        <w:rPr>
          <w:rFonts w:hint="eastAsia" w:ascii="宋体" w:hAnsi="宋体" w:eastAsia="宋体" w:cs="宋体"/>
          <w:color w:val="auto"/>
          <w:sz w:val="21"/>
          <w:szCs w:val="21"/>
          <w:highlight w:val="none"/>
          <w:u w:val="single"/>
          <w:lang w:bidi="zh-CN"/>
        </w:rPr>
        <w:t>自筹100%</w:t>
      </w:r>
    </w:p>
    <w:p w14:paraId="11408A22">
      <w:pPr>
        <w:keepNext w:val="0"/>
        <w:keepLines w:val="0"/>
        <w:pageBreakBefore w:val="0"/>
        <w:widowControl w:val="0"/>
        <w:kinsoku/>
        <w:wordWrap/>
        <w:overflowPunct/>
        <w:topLinePunct w:val="0"/>
        <w:autoSpaceDE w:val="0"/>
        <w:autoSpaceDN w:val="0"/>
        <w:bidi w:val="0"/>
        <w:adjustRightInd w:val="0"/>
        <w:snapToGrid w:val="0"/>
        <w:spacing w:line="360" w:lineRule="auto"/>
        <w:ind w:left="0" w:leftChars="0" w:firstLine="422" w:firstLineChars="200"/>
        <w:jc w:val="left"/>
        <w:textAlignment w:val="auto"/>
        <w:outlineLvl w:val="3"/>
        <w:rPr>
          <w:rFonts w:hint="eastAsia" w:ascii="宋体" w:hAnsi="宋体" w:eastAsia="宋体" w:cs="宋体"/>
          <w:b/>
          <w:color w:val="auto"/>
          <w:sz w:val="21"/>
          <w:szCs w:val="21"/>
          <w:highlight w:val="none"/>
          <w:lang w:val="zh-CN" w:bidi="zh-CN"/>
        </w:rPr>
      </w:pPr>
      <w:r>
        <w:rPr>
          <w:rFonts w:hint="eastAsia" w:ascii="宋体" w:hAnsi="宋体" w:eastAsia="宋体" w:cs="宋体"/>
          <w:b/>
          <w:color w:val="auto"/>
          <w:sz w:val="21"/>
          <w:szCs w:val="21"/>
          <w:highlight w:val="none"/>
          <w:lang w:val="zh-CN" w:bidi="zh-CN"/>
        </w:rPr>
        <w:t>二、服务范围及工作内容</w:t>
      </w:r>
    </w:p>
    <w:p w14:paraId="06AA4A62">
      <w:pPr>
        <w:keepNext w:val="0"/>
        <w:keepLines w:val="0"/>
        <w:pageBreakBefore w:val="0"/>
        <w:widowControl w:val="0"/>
        <w:tabs>
          <w:tab w:val="left" w:pos="8179"/>
        </w:tabs>
        <w:kinsoku/>
        <w:wordWrap/>
        <w:overflowPunct/>
        <w:topLinePunct w:val="0"/>
        <w:autoSpaceDE w:val="0"/>
        <w:autoSpaceDN w:val="0"/>
        <w:bidi w:val="0"/>
        <w:adjustRightInd w:val="0"/>
        <w:snapToGrid w:val="0"/>
        <w:spacing w:line="360" w:lineRule="auto"/>
        <w:ind w:left="0" w:leftChars="0" w:firstLine="420" w:firstLineChars="200"/>
        <w:jc w:val="left"/>
        <w:textAlignment w:val="auto"/>
        <w:rPr>
          <w:rFonts w:hint="eastAsia" w:ascii="宋体" w:hAnsi="宋体" w:eastAsia="宋体" w:cs="宋体"/>
          <w:color w:val="auto"/>
          <w:sz w:val="21"/>
          <w:szCs w:val="21"/>
          <w:highlight w:val="none"/>
          <w:u w:val="single"/>
          <w:lang w:val="zh-CN" w:bidi="zh-CN"/>
        </w:rPr>
      </w:pPr>
      <w:r>
        <w:rPr>
          <w:rFonts w:hint="eastAsia" w:ascii="宋体" w:hAnsi="宋体" w:eastAsia="宋体" w:cs="宋体"/>
          <w:color w:val="auto"/>
          <w:sz w:val="21"/>
          <w:szCs w:val="21"/>
          <w:highlight w:val="none"/>
          <w:lang w:val="zh-CN" w:bidi="zh-CN"/>
        </w:rPr>
        <w:t>双方约定的服务范围及工作内容（不包含预算编制、预算审核、工程结算审核）：</w:t>
      </w:r>
    </w:p>
    <w:p w14:paraId="4585F6BA">
      <w:pPr>
        <w:keepNext w:val="0"/>
        <w:keepLines w:val="0"/>
        <w:pageBreakBefore w:val="0"/>
        <w:widowControl w:val="0"/>
        <w:tabs>
          <w:tab w:val="left" w:pos="8179"/>
        </w:tabs>
        <w:kinsoku/>
        <w:wordWrap/>
        <w:overflowPunct/>
        <w:topLinePunct w:val="0"/>
        <w:autoSpaceDE w:val="0"/>
        <w:autoSpaceDN w:val="0"/>
        <w:bidi w:val="0"/>
        <w:adjustRightInd w:val="0"/>
        <w:snapToGrid w:val="0"/>
        <w:spacing w:line="360" w:lineRule="auto"/>
        <w:ind w:left="0" w:leftChars="0" w:firstLine="420" w:firstLineChars="200"/>
        <w:jc w:val="left"/>
        <w:textAlignment w:val="auto"/>
        <w:rPr>
          <w:rFonts w:hint="eastAsia" w:ascii="宋体" w:hAnsi="宋体" w:eastAsia="宋体" w:cs="宋体"/>
          <w:color w:val="auto"/>
          <w:sz w:val="21"/>
          <w:szCs w:val="21"/>
          <w:highlight w:val="none"/>
          <w:u w:val="single"/>
          <w:lang w:val="zh-CN" w:bidi="zh-CN"/>
        </w:rPr>
      </w:pPr>
      <w:r>
        <w:rPr>
          <w:rFonts w:hint="eastAsia" w:ascii="宋体" w:hAnsi="宋体" w:eastAsia="宋体" w:cs="宋体"/>
          <w:color w:val="auto"/>
          <w:sz w:val="21"/>
          <w:szCs w:val="21"/>
          <w:highlight w:val="none"/>
          <w:u w:val="single"/>
        </w:rPr>
        <w:t>招标范围为</w:t>
      </w:r>
      <w:r>
        <w:rPr>
          <w:rFonts w:hint="eastAsia" w:ascii="宋体" w:hAnsi="宋体" w:eastAsia="宋体" w:cs="宋体"/>
          <w:bCs/>
          <w:color w:val="auto"/>
          <w:sz w:val="21"/>
          <w:szCs w:val="21"/>
          <w:highlight w:val="none"/>
          <w:u w:val="single"/>
        </w:rPr>
        <w:t>本项目实施阶段</w:t>
      </w:r>
      <w:r>
        <w:rPr>
          <w:rFonts w:hint="eastAsia" w:ascii="宋体" w:hAnsi="宋体" w:eastAsia="宋体" w:cs="宋体"/>
          <w:color w:val="auto"/>
          <w:sz w:val="21"/>
          <w:szCs w:val="21"/>
          <w:highlight w:val="none"/>
          <w:u w:val="single"/>
        </w:rPr>
        <w:t>全过程造价咨询，内容如下，具体以委托人委托为准</w:t>
      </w:r>
      <w:r>
        <w:rPr>
          <w:rFonts w:hint="eastAsia" w:ascii="宋体" w:hAnsi="宋体" w:eastAsia="宋体" w:cs="宋体"/>
          <w:color w:val="auto"/>
          <w:sz w:val="21"/>
          <w:szCs w:val="21"/>
          <w:highlight w:val="none"/>
          <w:u w:val="single"/>
          <w:lang w:val="zh-CN" w:bidi="zh-CN"/>
        </w:rPr>
        <w:t>：</w:t>
      </w:r>
    </w:p>
    <w:p w14:paraId="5597A2C4">
      <w:pPr>
        <w:keepNext w:val="0"/>
        <w:keepLines w:val="0"/>
        <w:pageBreakBefore w:val="0"/>
        <w:widowControl w:val="0"/>
        <w:kinsoku/>
        <w:wordWrap/>
        <w:overflowPunct/>
        <w:topLinePunct w:val="0"/>
        <w:autoSpaceDE w:val="0"/>
        <w:autoSpaceDN w:val="0"/>
        <w:bidi w:val="0"/>
        <w:adjustRightInd w:val="0"/>
        <w:snapToGrid w:val="0"/>
        <w:spacing w:line="360" w:lineRule="auto"/>
        <w:ind w:left="0" w:leftChars="0" w:firstLine="420" w:firstLineChars="200"/>
        <w:jc w:val="left"/>
        <w:textAlignment w:val="auto"/>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lang w:val="zh-CN" w:eastAsia="zh-CN" w:bidi="zh-CN"/>
        </w:rPr>
        <w:t xml:space="preserve">（1）制定造价控制的实施流程，确定造价控制目标； </w:t>
      </w:r>
    </w:p>
    <w:p w14:paraId="356B61C5">
      <w:pPr>
        <w:keepNext w:val="0"/>
        <w:keepLines w:val="0"/>
        <w:pageBreakBefore w:val="0"/>
        <w:widowControl w:val="0"/>
        <w:kinsoku/>
        <w:wordWrap/>
        <w:overflowPunct/>
        <w:topLinePunct w:val="0"/>
        <w:autoSpaceDE w:val="0"/>
        <w:autoSpaceDN w:val="0"/>
        <w:bidi w:val="0"/>
        <w:adjustRightInd w:val="0"/>
        <w:snapToGrid w:val="0"/>
        <w:spacing w:line="360" w:lineRule="auto"/>
        <w:ind w:left="0" w:leftChars="0" w:firstLine="420" w:firstLineChars="200"/>
        <w:jc w:val="left"/>
        <w:textAlignment w:val="auto"/>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lang w:val="zh-CN" w:eastAsia="zh-CN" w:bidi="zh-CN"/>
        </w:rPr>
        <w:t>（2）根据施工承包合同、进度计划及支付申请，编制月度、季度、年度用款计划书（如承包人上报了用款计划书的，则负责审核相关用款计划书）；</w:t>
      </w:r>
    </w:p>
    <w:p w14:paraId="7F7EE0A1">
      <w:pPr>
        <w:keepNext w:val="0"/>
        <w:keepLines w:val="0"/>
        <w:pageBreakBefore w:val="0"/>
        <w:widowControl w:val="0"/>
        <w:kinsoku/>
        <w:wordWrap/>
        <w:overflowPunct/>
        <w:topLinePunct w:val="0"/>
        <w:autoSpaceDE w:val="0"/>
        <w:autoSpaceDN w:val="0"/>
        <w:bidi w:val="0"/>
        <w:adjustRightInd w:val="0"/>
        <w:snapToGrid w:val="0"/>
        <w:spacing w:line="360" w:lineRule="auto"/>
        <w:ind w:left="0" w:leftChars="0" w:firstLine="420" w:firstLineChars="200"/>
        <w:jc w:val="left"/>
        <w:textAlignment w:val="auto"/>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lang w:val="zh-CN" w:eastAsia="zh-CN" w:bidi="zh-CN"/>
        </w:rPr>
        <w:t xml:space="preserve">（3）参与造价控制有关的工程会议； </w:t>
      </w:r>
    </w:p>
    <w:p w14:paraId="38886FE7">
      <w:pPr>
        <w:keepNext w:val="0"/>
        <w:keepLines w:val="0"/>
        <w:pageBreakBefore w:val="0"/>
        <w:widowControl w:val="0"/>
        <w:kinsoku/>
        <w:wordWrap/>
        <w:overflowPunct/>
        <w:topLinePunct w:val="0"/>
        <w:autoSpaceDE w:val="0"/>
        <w:autoSpaceDN w:val="0"/>
        <w:bidi w:val="0"/>
        <w:adjustRightInd w:val="0"/>
        <w:snapToGrid w:val="0"/>
        <w:spacing w:line="360" w:lineRule="auto"/>
        <w:ind w:left="0" w:leftChars="0" w:firstLine="420" w:firstLineChars="200"/>
        <w:jc w:val="left"/>
        <w:textAlignment w:val="auto"/>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lang w:val="zh-CN" w:eastAsia="zh-CN" w:bidi="zh-CN"/>
        </w:rPr>
        <w:t xml:space="preserve">（4）负责对承包人报送的每月(期)完成进度款月报表进行审核，并提出当月(期)付款建议书； </w:t>
      </w:r>
    </w:p>
    <w:p w14:paraId="51BC32A1">
      <w:pPr>
        <w:keepNext w:val="0"/>
        <w:keepLines w:val="0"/>
        <w:pageBreakBefore w:val="0"/>
        <w:widowControl w:val="0"/>
        <w:kinsoku/>
        <w:wordWrap/>
        <w:overflowPunct/>
        <w:topLinePunct w:val="0"/>
        <w:autoSpaceDE w:val="0"/>
        <w:autoSpaceDN w:val="0"/>
        <w:bidi w:val="0"/>
        <w:adjustRightInd w:val="0"/>
        <w:snapToGrid w:val="0"/>
        <w:spacing w:line="360" w:lineRule="auto"/>
        <w:ind w:left="0" w:leftChars="0" w:firstLine="420" w:firstLineChars="200"/>
        <w:jc w:val="left"/>
        <w:textAlignment w:val="auto"/>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lang w:val="zh-CN" w:eastAsia="zh-CN" w:bidi="zh-CN"/>
        </w:rPr>
        <w:t>（5）参与本项目洽商、磋商、询价及合同争议、索赔（包含工期顺延鉴定）等事项的处置，提出具体的解决措施及方案。承发包方提出索赔时，凭据合同和有关法律、法规，提供咨询意见，审核工程索赔费用；</w:t>
      </w:r>
    </w:p>
    <w:p w14:paraId="39675768">
      <w:pPr>
        <w:keepNext w:val="0"/>
        <w:keepLines w:val="0"/>
        <w:pageBreakBefore w:val="0"/>
        <w:widowControl w:val="0"/>
        <w:kinsoku/>
        <w:wordWrap/>
        <w:overflowPunct/>
        <w:topLinePunct w:val="0"/>
        <w:autoSpaceDE w:val="0"/>
        <w:autoSpaceDN w:val="0"/>
        <w:bidi w:val="0"/>
        <w:adjustRightInd w:val="0"/>
        <w:snapToGrid w:val="0"/>
        <w:spacing w:line="360" w:lineRule="auto"/>
        <w:ind w:left="0" w:leftChars="0" w:firstLine="420" w:firstLineChars="200"/>
        <w:jc w:val="left"/>
        <w:textAlignment w:val="auto"/>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lang w:val="zh-CN" w:eastAsia="zh-CN" w:bidi="zh-CN"/>
        </w:rPr>
        <w:t xml:space="preserve">（6）及时审核因设计变更（包括重大设计变更部分需要重新编制预算的）、现场签证等发生的费用，对变更项目所需费用、工程量进行测算、计量，相应调整造价控制目标，并向委托人提供月度简报及投资咨询分析报告[包括但不仅限于工程进度情况、进度款完成情况、设计变更情况（如有）等情况]。做好隐蔽工程的现场查验和相关记录及参与现场验收； </w:t>
      </w:r>
    </w:p>
    <w:p w14:paraId="468E796D">
      <w:pPr>
        <w:keepNext w:val="0"/>
        <w:keepLines w:val="0"/>
        <w:pageBreakBefore w:val="0"/>
        <w:widowControl w:val="0"/>
        <w:kinsoku/>
        <w:wordWrap/>
        <w:overflowPunct/>
        <w:topLinePunct w:val="0"/>
        <w:autoSpaceDE w:val="0"/>
        <w:autoSpaceDN w:val="0"/>
        <w:bidi w:val="0"/>
        <w:adjustRightInd w:val="0"/>
        <w:snapToGrid w:val="0"/>
        <w:spacing w:line="360" w:lineRule="auto"/>
        <w:ind w:left="0" w:leftChars="0" w:firstLine="420" w:firstLineChars="200"/>
        <w:jc w:val="left"/>
        <w:textAlignment w:val="auto"/>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lang w:val="zh-CN" w:eastAsia="zh-CN" w:bidi="zh-CN"/>
        </w:rPr>
        <w:t>（7）提供与造价控制及咨询相关的人工、材料、机械、设备等造价信息。根据设计图纸提取无信息价且用量较大材料、设备，并提供相关材料、设备的名称、材料特征描述、规格型号、计量单位、预算价格等咨询意见</w:t>
      </w:r>
      <w:r>
        <w:rPr>
          <w:rFonts w:hint="eastAsia" w:ascii="宋体" w:hAnsi="宋体" w:cs="宋体"/>
          <w:color w:val="auto"/>
          <w:sz w:val="21"/>
          <w:szCs w:val="21"/>
          <w:highlight w:val="none"/>
          <w:lang w:val="zh-CN" w:eastAsia="zh-CN" w:bidi="zh-CN"/>
        </w:rPr>
        <w:t>；</w:t>
      </w:r>
    </w:p>
    <w:p w14:paraId="359B97F1">
      <w:pPr>
        <w:keepNext w:val="0"/>
        <w:keepLines w:val="0"/>
        <w:pageBreakBefore w:val="0"/>
        <w:widowControl w:val="0"/>
        <w:kinsoku/>
        <w:wordWrap/>
        <w:overflowPunct/>
        <w:topLinePunct w:val="0"/>
        <w:autoSpaceDE w:val="0"/>
        <w:autoSpaceDN w:val="0"/>
        <w:bidi w:val="0"/>
        <w:adjustRightInd w:val="0"/>
        <w:snapToGrid w:val="0"/>
        <w:spacing w:line="360" w:lineRule="auto"/>
        <w:ind w:left="0" w:leftChars="0" w:firstLine="420" w:firstLineChars="200"/>
        <w:jc w:val="left"/>
        <w:textAlignment w:val="auto"/>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lang w:val="zh-CN" w:eastAsia="zh-CN" w:bidi="zh-CN"/>
        </w:rPr>
        <w:t>无信息价且用量较大材料、设备预算价格通过市场调查询，并出具询价过程（含来源、依据、价格范围等所有信息）及结果的书面报告；</w:t>
      </w:r>
    </w:p>
    <w:p w14:paraId="32C0DDC1">
      <w:pPr>
        <w:keepNext w:val="0"/>
        <w:keepLines w:val="0"/>
        <w:pageBreakBefore w:val="0"/>
        <w:widowControl w:val="0"/>
        <w:kinsoku/>
        <w:wordWrap/>
        <w:overflowPunct/>
        <w:topLinePunct w:val="0"/>
        <w:autoSpaceDE w:val="0"/>
        <w:autoSpaceDN w:val="0"/>
        <w:bidi w:val="0"/>
        <w:adjustRightInd w:val="0"/>
        <w:snapToGrid w:val="0"/>
        <w:spacing w:line="360" w:lineRule="auto"/>
        <w:ind w:left="0" w:leftChars="0" w:firstLine="420" w:firstLineChars="200"/>
        <w:jc w:val="left"/>
        <w:textAlignment w:val="auto"/>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lang w:val="zh-CN" w:eastAsia="zh-CN" w:bidi="zh-CN"/>
        </w:rPr>
        <w:t>（</w:t>
      </w:r>
      <w:r>
        <w:rPr>
          <w:rFonts w:hint="eastAsia" w:ascii="宋体" w:hAnsi="宋体" w:eastAsia="宋体" w:cs="宋体"/>
          <w:color w:val="auto"/>
          <w:sz w:val="21"/>
          <w:szCs w:val="21"/>
          <w:highlight w:val="none"/>
          <w:lang w:val="en-US" w:eastAsia="zh-CN" w:bidi="zh-CN"/>
        </w:rPr>
        <w:t>8</w:t>
      </w:r>
      <w:r>
        <w:rPr>
          <w:rFonts w:hint="eastAsia" w:ascii="宋体" w:hAnsi="宋体" w:eastAsia="宋体" w:cs="宋体"/>
          <w:color w:val="auto"/>
          <w:sz w:val="21"/>
          <w:szCs w:val="21"/>
          <w:highlight w:val="none"/>
          <w:lang w:val="zh-CN" w:eastAsia="zh-CN" w:bidi="zh-CN"/>
        </w:rPr>
        <w:t>）配合委托人进行工程竣工结算的办理及复核工作，配合各部门的</w:t>
      </w:r>
      <w:r>
        <w:rPr>
          <w:rFonts w:hint="eastAsia" w:ascii="宋体" w:hAnsi="宋体" w:cs="宋体"/>
          <w:color w:val="auto"/>
          <w:sz w:val="21"/>
          <w:szCs w:val="21"/>
          <w:highlight w:val="none"/>
          <w:lang w:val="en-US" w:eastAsia="zh-CN" w:bidi="zh-CN"/>
        </w:rPr>
        <w:t>审核</w:t>
      </w:r>
      <w:r>
        <w:rPr>
          <w:rFonts w:hint="eastAsia" w:ascii="宋体" w:hAnsi="宋体" w:eastAsia="宋体" w:cs="宋体"/>
          <w:color w:val="auto"/>
          <w:sz w:val="21"/>
          <w:szCs w:val="21"/>
          <w:highlight w:val="none"/>
          <w:lang w:val="zh-CN" w:eastAsia="zh-CN" w:bidi="zh-CN"/>
        </w:rPr>
        <w:t>工作</w:t>
      </w:r>
      <w:r>
        <w:rPr>
          <w:rFonts w:hint="eastAsia" w:ascii="宋体" w:hAnsi="宋体" w:cs="宋体"/>
          <w:color w:val="auto"/>
          <w:sz w:val="21"/>
          <w:szCs w:val="21"/>
          <w:highlight w:val="none"/>
          <w:lang w:val="zh-CN" w:eastAsia="zh-CN" w:bidi="zh-CN"/>
        </w:rPr>
        <w:t>；</w:t>
      </w:r>
    </w:p>
    <w:p w14:paraId="7BC6ACD1">
      <w:pPr>
        <w:keepNext w:val="0"/>
        <w:keepLines w:val="0"/>
        <w:pageBreakBefore w:val="0"/>
        <w:widowControl w:val="0"/>
        <w:kinsoku/>
        <w:wordWrap/>
        <w:overflowPunct/>
        <w:topLinePunct w:val="0"/>
        <w:autoSpaceDE w:val="0"/>
        <w:autoSpaceDN w:val="0"/>
        <w:bidi w:val="0"/>
        <w:adjustRightInd w:val="0"/>
        <w:snapToGrid w:val="0"/>
        <w:spacing w:line="360" w:lineRule="auto"/>
        <w:ind w:left="0" w:leftChars="0" w:firstLine="420" w:firstLineChars="200"/>
        <w:jc w:val="left"/>
        <w:textAlignment w:val="auto"/>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lang w:val="zh-CN" w:eastAsia="zh-CN" w:bidi="zh-CN"/>
        </w:rPr>
        <w:t>（</w:t>
      </w:r>
      <w:r>
        <w:rPr>
          <w:rFonts w:hint="eastAsia" w:ascii="宋体" w:hAnsi="宋体" w:eastAsia="宋体" w:cs="宋体"/>
          <w:color w:val="auto"/>
          <w:sz w:val="21"/>
          <w:szCs w:val="21"/>
          <w:highlight w:val="none"/>
          <w:lang w:val="en-US" w:eastAsia="zh-CN" w:bidi="zh-CN"/>
        </w:rPr>
        <w:t>9</w:t>
      </w:r>
      <w:r>
        <w:rPr>
          <w:rFonts w:hint="eastAsia" w:ascii="宋体" w:hAnsi="宋体" w:eastAsia="宋体" w:cs="宋体"/>
          <w:color w:val="auto"/>
          <w:sz w:val="21"/>
          <w:szCs w:val="21"/>
          <w:highlight w:val="none"/>
          <w:lang w:val="zh-CN" w:eastAsia="zh-CN" w:bidi="zh-CN"/>
        </w:rPr>
        <w:t>）组织工程合同的洽谈、草拟、修改。并协助委托人与相关单位签订材料采购、设备采购合同、施工等合同；</w:t>
      </w:r>
    </w:p>
    <w:p w14:paraId="495530A8">
      <w:pPr>
        <w:keepNext w:val="0"/>
        <w:keepLines w:val="0"/>
        <w:pageBreakBefore w:val="0"/>
        <w:widowControl w:val="0"/>
        <w:kinsoku/>
        <w:wordWrap/>
        <w:overflowPunct/>
        <w:topLinePunct w:val="0"/>
        <w:autoSpaceDE w:val="0"/>
        <w:autoSpaceDN w:val="0"/>
        <w:bidi w:val="0"/>
        <w:adjustRightInd w:val="0"/>
        <w:snapToGrid w:val="0"/>
        <w:spacing w:line="360" w:lineRule="auto"/>
        <w:ind w:left="0" w:leftChars="0" w:firstLine="420" w:firstLineChars="200"/>
        <w:jc w:val="left"/>
        <w:textAlignment w:val="auto"/>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lang w:val="zh-CN" w:eastAsia="zh-CN" w:bidi="zh-CN"/>
        </w:rPr>
        <w:t>（1</w:t>
      </w:r>
      <w:r>
        <w:rPr>
          <w:rFonts w:hint="eastAsia" w:ascii="宋体" w:hAnsi="宋体" w:cs="宋体"/>
          <w:color w:val="auto"/>
          <w:sz w:val="21"/>
          <w:szCs w:val="21"/>
          <w:highlight w:val="none"/>
          <w:lang w:val="en-US" w:eastAsia="zh-CN" w:bidi="zh-CN"/>
        </w:rPr>
        <w:t>0</w:t>
      </w:r>
      <w:r>
        <w:rPr>
          <w:rFonts w:hint="eastAsia" w:ascii="宋体" w:hAnsi="宋体" w:eastAsia="宋体" w:cs="宋体"/>
          <w:color w:val="auto"/>
          <w:sz w:val="21"/>
          <w:szCs w:val="21"/>
          <w:highlight w:val="none"/>
          <w:lang w:val="zh-CN" w:eastAsia="zh-CN" w:bidi="zh-CN"/>
        </w:rPr>
        <w:t>）招标范围内的相关咨询成果须按委托人相关流程会同各参建方会签；</w:t>
      </w:r>
    </w:p>
    <w:p w14:paraId="3E1A5555">
      <w:pPr>
        <w:keepNext w:val="0"/>
        <w:keepLines w:val="0"/>
        <w:pageBreakBefore w:val="0"/>
        <w:widowControl w:val="0"/>
        <w:kinsoku/>
        <w:wordWrap/>
        <w:overflowPunct/>
        <w:topLinePunct w:val="0"/>
        <w:autoSpaceDE w:val="0"/>
        <w:autoSpaceDN w:val="0"/>
        <w:bidi w:val="0"/>
        <w:adjustRightInd w:val="0"/>
        <w:snapToGrid w:val="0"/>
        <w:spacing w:line="360" w:lineRule="auto"/>
        <w:ind w:left="0" w:leftChars="0" w:firstLine="420" w:firstLineChars="200"/>
        <w:jc w:val="left"/>
        <w:textAlignment w:val="auto"/>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lang w:val="zh-CN" w:eastAsia="zh-CN" w:bidi="zh-CN"/>
        </w:rPr>
        <w:t>（</w:t>
      </w:r>
      <w:r>
        <w:rPr>
          <w:rFonts w:hint="eastAsia" w:ascii="宋体" w:hAnsi="宋体" w:cs="宋体"/>
          <w:color w:val="auto"/>
          <w:sz w:val="21"/>
          <w:szCs w:val="21"/>
          <w:highlight w:val="none"/>
          <w:lang w:val="en-US" w:eastAsia="zh-CN" w:bidi="zh-CN"/>
        </w:rPr>
        <w:t>11</w:t>
      </w:r>
      <w:r>
        <w:rPr>
          <w:rFonts w:hint="eastAsia" w:ascii="宋体" w:hAnsi="宋体" w:eastAsia="宋体" w:cs="宋体"/>
          <w:color w:val="auto"/>
          <w:sz w:val="21"/>
          <w:szCs w:val="21"/>
          <w:highlight w:val="none"/>
          <w:lang w:val="zh-CN" w:eastAsia="zh-CN" w:bidi="zh-CN"/>
        </w:rPr>
        <w:t>）完成委托人交办的与造价控制项目有关的其他咨询服务工作。具体以委托人委托为准，委托人有权对上述工作进行细化、局部调整，受托人不得拒绝</w:t>
      </w:r>
      <w:r>
        <w:rPr>
          <w:rFonts w:hint="eastAsia" w:ascii="宋体" w:hAnsi="宋体" w:cs="宋体"/>
          <w:color w:val="auto"/>
          <w:sz w:val="21"/>
          <w:szCs w:val="21"/>
          <w:highlight w:val="none"/>
          <w:lang w:val="zh-CN" w:eastAsia="zh-CN" w:bidi="zh-CN"/>
        </w:rPr>
        <w:t>。</w:t>
      </w:r>
    </w:p>
    <w:p w14:paraId="05D5CCD5">
      <w:pPr>
        <w:keepNext w:val="0"/>
        <w:keepLines w:val="0"/>
        <w:pageBreakBefore w:val="0"/>
        <w:widowControl w:val="0"/>
        <w:kinsoku/>
        <w:wordWrap/>
        <w:overflowPunct/>
        <w:topLinePunct w:val="0"/>
        <w:autoSpaceDE w:val="0"/>
        <w:autoSpaceDN w:val="0"/>
        <w:bidi w:val="0"/>
        <w:adjustRightInd w:val="0"/>
        <w:snapToGrid w:val="0"/>
        <w:spacing w:line="360" w:lineRule="auto"/>
        <w:ind w:left="0" w:leftChars="0" w:firstLine="422" w:firstLineChars="200"/>
        <w:jc w:val="left"/>
        <w:textAlignment w:val="auto"/>
        <w:outlineLvl w:val="3"/>
        <w:rPr>
          <w:rFonts w:hint="eastAsia" w:ascii="宋体" w:hAnsi="宋体" w:eastAsia="宋体" w:cs="宋体"/>
          <w:b/>
          <w:bCs/>
          <w:color w:val="auto"/>
          <w:sz w:val="21"/>
          <w:szCs w:val="21"/>
          <w:highlight w:val="none"/>
          <w:lang w:val="zh-CN" w:bidi="zh-CN"/>
        </w:rPr>
      </w:pPr>
      <w:r>
        <w:rPr>
          <w:rFonts w:hint="eastAsia" w:ascii="宋体" w:hAnsi="宋体" w:eastAsia="宋体" w:cs="宋体"/>
          <w:b/>
          <w:bCs/>
          <w:color w:val="auto"/>
          <w:sz w:val="21"/>
          <w:szCs w:val="21"/>
          <w:highlight w:val="none"/>
          <w:lang w:val="zh-CN" w:bidi="zh-CN"/>
        </w:rPr>
        <w:t>三、服务期限</w:t>
      </w:r>
    </w:p>
    <w:p w14:paraId="7C467211">
      <w:pPr>
        <w:keepNext w:val="0"/>
        <w:keepLines w:val="0"/>
        <w:pageBreakBefore w:val="0"/>
        <w:widowControl w:val="0"/>
        <w:kinsoku/>
        <w:wordWrap/>
        <w:overflowPunct/>
        <w:topLinePunct w:val="0"/>
        <w:autoSpaceDE w:val="0"/>
        <w:autoSpaceDN w:val="0"/>
        <w:bidi w:val="0"/>
        <w:adjustRightInd w:val="0"/>
        <w:snapToGrid w:val="0"/>
        <w:spacing w:line="360" w:lineRule="auto"/>
        <w:ind w:left="0" w:leftChars="0" w:firstLine="420" w:firstLineChars="200"/>
        <w:jc w:val="left"/>
        <w:textAlignment w:val="auto"/>
        <w:outlineLvl w:val="3"/>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自全过程造价咨询合同签订之日起至整个项目工程竣工结算审核完成，并配合第三方咨询单位或</w:t>
      </w:r>
      <w:r>
        <w:rPr>
          <w:rFonts w:hint="eastAsia" w:ascii="宋体" w:hAnsi="宋体" w:eastAsia="宋体" w:cs="宋体"/>
          <w:color w:val="auto"/>
          <w:sz w:val="21"/>
          <w:szCs w:val="21"/>
          <w:highlight w:val="none"/>
          <w:lang w:val="en-US" w:eastAsia="zh-CN"/>
        </w:rPr>
        <w:t>复核</w:t>
      </w:r>
      <w:r>
        <w:rPr>
          <w:rFonts w:hint="eastAsia" w:ascii="宋体" w:hAnsi="宋体" w:eastAsia="宋体" w:cs="宋体"/>
          <w:color w:val="auto"/>
          <w:sz w:val="21"/>
          <w:szCs w:val="21"/>
          <w:highlight w:val="none"/>
        </w:rPr>
        <w:t>单位复审工作等其他后续服务工作。</w:t>
      </w:r>
    </w:p>
    <w:p w14:paraId="0F3A4839">
      <w:pPr>
        <w:keepNext w:val="0"/>
        <w:keepLines w:val="0"/>
        <w:pageBreakBefore w:val="0"/>
        <w:widowControl w:val="0"/>
        <w:kinsoku/>
        <w:wordWrap/>
        <w:overflowPunct/>
        <w:topLinePunct w:val="0"/>
        <w:autoSpaceDE w:val="0"/>
        <w:autoSpaceDN w:val="0"/>
        <w:bidi w:val="0"/>
        <w:adjustRightInd w:val="0"/>
        <w:snapToGrid w:val="0"/>
        <w:spacing w:line="360" w:lineRule="auto"/>
        <w:ind w:left="0" w:leftChars="0" w:firstLine="422" w:firstLineChars="200"/>
        <w:jc w:val="left"/>
        <w:textAlignment w:val="auto"/>
        <w:outlineLvl w:val="3"/>
        <w:rPr>
          <w:rFonts w:hint="eastAsia" w:ascii="宋体" w:hAnsi="宋体" w:eastAsia="宋体" w:cs="宋体"/>
          <w:b/>
          <w:bCs/>
          <w:color w:val="auto"/>
          <w:sz w:val="21"/>
          <w:szCs w:val="21"/>
          <w:highlight w:val="none"/>
          <w:lang w:val="zh-CN" w:bidi="zh-CN"/>
        </w:rPr>
      </w:pPr>
      <w:r>
        <w:rPr>
          <w:rFonts w:hint="eastAsia" w:ascii="宋体" w:hAnsi="宋体" w:eastAsia="宋体" w:cs="宋体"/>
          <w:b/>
          <w:bCs/>
          <w:color w:val="auto"/>
          <w:sz w:val="21"/>
          <w:szCs w:val="21"/>
          <w:highlight w:val="none"/>
          <w:lang w:val="zh-CN" w:bidi="zh-CN"/>
        </w:rPr>
        <w:t>四、质量标准</w:t>
      </w:r>
    </w:p>
    <w:p w14:paraId="3D1CDC28">
      <w:pPr>
        <w:keepNext w:val="0"/>
        <w:keepLines w:val="0"/>
        <w:pageBreakBefore w:val="0"/>
        <w:widowControl w:val="0"/>
        <w:kinsoku/>
        <w:wordWrap/>
        <w:overflowPunct/>
        <w:topLinePunct w:val="0"/>
        <w:autoSpaceDE w:val="0"/>
        <w:autoSpaceDN w:val="0"/>
        <w:bidi w:val="0"/>
        <w:adjustRightInd w:val="0"/>
        <w:snapToGrid w:val="0"/>
        <w:spacing w:line="360" w:lineRule="auto"/>
        <w:ind w:left="0" w:leftChars="0" w:firstLine="420" w:firstLineChars="200"/>
        <w:jc w:val="left"/>
        <w:textAlignment w:val="auto"/>
        <w:rPr>
          <w:rFonts w:hint="eastAsia" w:ascii="宋体" w:hAnsi="宋体" w:eastAsia="宋体" w:cs="宋体"/>
          <w:color w:val="auto"/>
          <w:sz w:val="21"/>
          <w:szCs w:val="21"/>
          <w:highlight w:val="none"/>
          <w:u w:val="single"/>
          <w:lang w:val="zh-CN" w:bidi="zh-CN"/>
        </w:rPr>
      </w:pPr>
      <w:r>
        <w:rPr>
          <w:rFonts w:hint="eastAsia" w:ascii="宋体" w:hAnsi="宋体" w:eastAsia="宋体" w:cs="宋体"/>
          <w:color w:val="auto"/>
          <w:sz w:val="21"/>
          <w:szCs w:val="21"/>
          <w:highlight w:val="none"/>
          <w:lang w:val="zh-CN" w:bidi="zh-CN"/>
        </w:rPr>
        <w:t>工程造价咨询成果文件应符合《浙江省建设工程造价咨询执业操作规程》规定，达到《浙江省建设工程造价咨询质量导则（试行）》要求，满足合同约定的标准。</w:t>
      </w:r>
    </w:p>
    <w:p w14:paraId="30DFF5A4">
      <w:pPr>
        <w:keepNext w:val="0"/>
        <w:keepLines w:val="0"/>
        <w:pageBreakBefore w:val="0"/>
        <w:widowControl w:val="0"/>
        <w:tabs>
          <w:tab w:val="left" w:pos="8179"/>
        </w:tabs>
        <w:kinsoku/>
        <w:wordWrap/>
        <w:overflowPunct/>
        <w:topLinePunct w:val="0"/>
        <w:autoSpaceDE w:val="0"/>
        <w:autoSpaceDN w:val="0"/>
        <w:bidi w:val="0"/>
        <w:adjustRightInd w:val="0"/>
        <w:snapToGrid w:val="0"/>
        <w:spacing w:line="360" w:lineRule="auto"/>
        <w:ind w:left="0" w:leftChars="0" w:firstLine="422" w:firstLineChars="200"/>
        <w:jc w:val="left"/>
        <w:textAlignment w:val="auto"/>
        <w:rPr>
          <w:rFonts w:hint="eastAsia" w:ascii="宋体" w:hAnsi="宋体" w:eastAsia="宋体" w:cs="宋体"/>
          <w:b/>
          <w:color w:val="auto"/>
          <w:kern w:val="0"/>
          <w:sz w:val="21"/>
          <w:szCs w:val="21"/>
          <w:highlight w:val="none"/>
          <w:lang w:val="zh-CN" w:bidi="zh-CN"/>
        </w:rPr>
      </w:pPr>
      <w:r>
        <w:rPr>
          <w:rFonts w:hint="eastAsia" w:ascii="宋体" w:hAnsi="宋体" w:eastAsia="宋体" w:cs="宋体"/>
          <w:b/>
          <w:color w:val="auto"/>
          <w:kern w:val="0"/>
          <w:sz w:val="21"/>
          <w:szCs w:val="21"/>
          <w:highlight w:val="none"/>
          <w:lang w:val="zh-CN" w:bidi="zh-CN"/>
        </w:rPr>
        <w:t>五、酬金或计取方式</w:t>
      </w:r>
    </w:p>
    <w:p w14:paraId="2FD0252B">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bidi="zh-CN"/>
        </w:rPr>
        <w:t>1.签约合同价</w:t>
      </w:r>
      <w:r>
        <w:rPr>
          <w:rFonts w:hint="eastAsia" w:ascii="宋体" w:hAnsi="宋体" w:eastAsia="宋体" w:cs="宋体"/>
          <w:color w:val="auto"/>
          <w:sz w:val="21"/>
          <w:szCs w:val="21"/>
          <w:highlight w:val="none"/>
          <w:lang w:bidi="zh-CN"/>
        </w:rPr>
        <w:t>（</w:t>
      </w:r>
      <w:r>
        <w:rPr>
          <w:rFonts w:hint="eastAsia" w:ascii="宋体" w:hAnsi="宋体" w:eastAsia="宋体" w:cs="宋体"/>
          <w:color w:val="auto"/>
          <w:sz w:val="21"/>
          <w:szCs w:val="21"/>
          <w:highlight w:val="none"/>
          <w:lang w:val="en-US" w:bidi="zh-CN"/>
        </w:rPr>
        <w:t>含税</w:t>
      </w:r>
      <w:r>
        <w:rPr>
          <w:rFonts w:hint="eastAsia" w:ascii="宋体" w:hAnsi="宋体" w:eastAsia="宋体" w:cs="宋体"/>
          <w:color w:val="auto"/>
          <w:sz w:val="21"/>
          <w:szCs w:val="21"/>
          <w:highlight w:val="none"/>
          <w:lang w:bidi="zh-CN"/>
        </w:rPr>
        <w:t>）</w:t>
      </w:r>
      <w:r>
        <w:rPr>
          <w:rFonts w:hint="eastAsia" w:ascii="宋体" w:hAnsi="宋体" w:cs="宋体"/>
          <w:color w:val="auto"/>
          <w:sz w:val="21"/>
          <w:szCs w:val="21"/>
          <w:highlight w:val="none"/>
          <w:lang w:val="zh-CN" w:bidi="zh-CN"/>
        </w:rPr>
        <w:t>：人民币（大写）</w:t>
      </w:r>
      <w:r>
        <w:rPr>
          <w:rFonts w:hint="eastAsia" w:ascii="宋体" w:hAnsi="宋体" w:cs="宋体"/>
          <w:color w:val="auto"/>
          <w:sz w:val="21"/>
          <w:szCs w:val="21"/>
          <w:highlight w:val="none"/>
          <w:u w:val="single"/>
          <w:lang w:val="zh-CN" w:bidi="zh-CN"/>
        </w:rPr>
        <w:t xml:space="preserve"> </w:t>
      </w:r>
      <w:r>
        <w:rPr>
          <w:rFonts w:hint="eastAsia" w:ascii="宋体" w:hAnsi="宋体" w:cs="宋体"/>
          <w:color w:val="auto"/>
          <w:sz w:val="21"/>
          <w:szCs w:val="21"/>
          <w:highlight w:val="none"/>
          <w:u w:val="single"/>
          <w:lang w:val="en-US" w:bidi="zh-CN"/>
        </w:rPr>
        <w:t xml:space="preserve">          </w:t>
      </w:r>
      <w:r>
        <w:rPr>
          <w:rFonts w:hint="eastAsia" w:ascii="宋体" w:hAnsi="宋体" w:cs="宋体"/>
          <w:color w:val="auto"/>
          <w:sz w:val="21"/>
          <w:szCs w:val="21"/>
          <w:highlight w:val="none"/>
          <w:u w:val="single"/>
          <w:lang w:val="zh-CN" w:bidi="zh-CN"/>
        </w:rPr>
        <w:tab/>
      </w:r>
      <w:r>
        <w:rPr>
          <w:rFonts w:hint="eastAsia" w:ascii="宋体" w:hAnsi="宋体" w:cs="宋体"/>
          <w:color w:val="auto"/>
          <w:sz w:val="21"/>
          <w:szCs w:val="21"/>
          <w:highlight w:val="none"/>
          <w:lang w:val="zh-CN" w:bidi="zh-CN"/>
        </w:rPr>
        <w:t>（¥</w:t>
      </w:r>
      <w:r>
        <w:rPr>
          <w:rFonts w:hint="eastAsia" w:ascii="宋体" w:hAnsi="宋体" w:cs="宋体"/>
          <w:color w:val="auto"/>
          <w:sz w:val="21"/>
          <w:szCs w:val="21"/>
          <w:highlight w:val="none"/>
          <w:u w:val="single"/>
          <w:lang w:val="zh-CN" w:bidi="zh-CN"/>
        </w:rPr>
        <w:tab/>
      </w:r>
      <w:r>
        <w:rPr>
          <w:rFonts w:hint="eastAsia" w:ascii="宋体" w:hAnsi="宋体" w:cs="宋体"/>
          <w:color w:val="auto"/>
          <w:sz w:val="21"/>
          <w:szCs w:val="21"/>
          <w:highlight w:val="none"/>
          <w:u w:val="single"/>
          <w:lang w:bidi="zh-CN"/>
        </w:rPr>
        <w:t xml:space="preserve">             </w:t>
      </w:r>
      <w:r>
        <w:rPr>
          <w:rFonts w:hint="eastAsia" w:ascii="宋体" w:hAnsi="宋体" w:eastAsia="宋体" w:cs="宋体"/>
          <w:color w:val="auto"/>
          <w:sz w:val="21"/>
          <w:szCs w:val="21"/>
          <w:highlight w:val="none"/>
        </w:rPr>
        <w:t>元</w:t>
      </w:r>
      <w:r>
        <w:rPr>
          <w:rFonts w:hint="eastAsia" w:ascii="宋体" w:hAnsi="宋体" w:cs="宋体"/>
          <w:color w:val="auto"/>
          <w:sz w:val="21"/>
          <w:szCs w:val="21"/>
          <w:highlight w:val="none"/>
          <w:u w:val="single"/>
          <w:lang w:bidi="zh-CN"/>
        </w:rPr>
        <w:t xml:space="preserve"> </w:t>
      </w:r>
      <w:r>
        <w:rPr>
          <w:rFonts w:hint="eastAsia" w:ascii="宋体" w:hAnsi="宋体" w:cs="宋体"/>
          <w:color w:val="auto"/>
          <w:sz w:val="21"/>
          <w:szCs w:val="21"/>
          <w:highlight w:val="none"/>
          <w:lang w:val="zh-CN" w:bidi="zh-CN"/>
        </w:rPr>
        <w:t>），</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其中，</w:t>
      </w:r>
      <w:r>
        <w:rPr>
          <w:rFonts w:hint="eastAsia" w:ascii="宋体" w:hAnsi="宋体" w:eastAsia="宋体" w:cs="宋体"/>
          <w:color w:val="auto"/>
          <w:sz w:val="21"/>
          <w:szCs w:val="21"/>
          <w:highlight w:val="none"/>
          <w:lang w:eastAsia="zh-CN"/>
        </w:rPr>
        <w:t>本合同不含税金额</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元</w:t>
      </w:r>
      <w:r>
        <w:rPr>
          <w:rFonts w:hint="eastAsia" w:ascii="宋体" w:hAnsi="宋体" w:eastAsia="宋体" w:cs="宋体"/>
          <w:color w:val="auto"/>
          <w:sz w:val="21"/>
          <w:szCs w:val="21"/>
          <w:highlight w:val="none"/>
          <w:lang w:val="en-US" w:eastAsia="zh-CN"/>
        </w:rPr>
        <w:t>，增值税额</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lang w:val="en-US" w:eastAsia="zh-CN"/>
        </w:rPr>
        <w:t>元，税率</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若未来国家税率调整，本合同约定的不含税金额不变，税率按相应的政策规定调整。</w:t>
      </w:r>
    </w:p>
    <w:p w14:paraId="78B7EA25">
      <w:pPr>
        <w:keepNext w:val="0"/>
        <w:keepLines w:val="0"/>
        <w:pageBreakBefore w:val="0"/>
        <w:widowControl w:val="0"/>
        <w:tabs>
          <w:tab w:val="left" w:pos="1101"/>
          <w:tab w:val="left" w:pos="3319"/>
        </w:tabs>
        <w:kinsoku/>
        <w:wordWrap/>
        <w:overflowPunct/>
        <w:topLinePunct w:val="0"/>
        <w:autoSpaceDE w:val="0"/>
        <w:autoSpaceDN w:val="0"/>
        <w:bidi w:val="0"/>
        <w:adjustRightInd w:val="0"/>
        <w:snapToGrid w:val="0"/>
        <w:spacing w:line="360" w:lineRule="auto"/>
        <w:ind w:left="0" w:leftChars="0" w:firstLine="420" w:firstLineChars="200"/>
        <w:textAlignment w:val="auto"/>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bidi="zh-CN"/>
        </w:rPr>
        <w:t>2.</w:t>
      </w:r>
      <w:r>
        <w:rPr>
          <w:rFonts w:hint="eastAsia" w:ascii="宋体" w:hAnsi="宋体" w:eastAsia="宋体" w:cs="宋体"/>
          <w:color w:val="auto"/>
          <w:sz w:val="21"/>
          <w:szCs w:val="21"/>
          <w:highlight w:val="none"/>
          <w:lang w:val="zh-CN" w:bidi="zh-CN"/>
        </w:rPr>
        <w:t>造价咨询费率为</w:t>
      </w:r>
      <w:r>
        <w:rPr>
          <w:rFonts w:hint="eastAsia" w:ascii="宋体" w:hAnsi="宋体" w:eastAsia="宋体" w:cs="宋体"/>
          <w:color w:val="auto"/>
          <w:sz w:val="21"/>
          <w:szCs w:val="21"/>
          <w:highlight w:val="none"/>
          <w:u w:val="single"/>
          <w:lang w:val="zh-CN" w:bidi="zh-CN"/>
        </w:rPr>
        <w:t xml:space="preserve">   </w:t>
      </w:r>
      <w:r>
        <w:rPr>
          <w:rFonts w:hint="eastAsia" w:ascii="宋体" w:hAnsi="宋体" w:eastAsia="宋体" w:cs="宋体"/>
          <w:color w:val="auto"/>
          <w:sz w:val="21"/>
          <w:szCs w:val="21"/>
          <w:highlight w:val="none"/>
          <w:u w:val="single"/>
          <w:lang w:bidi="zh-CN"/>
        </w:rPr>
        <w:t xml:space="preserve"> </w:t>
      </w:r>
      <w:r>
        <w:rPr>
          <w:rFonts w:hint="eastAsia" w:ascii="宋体" w:hAnsi="宋体" w:eastAsia="宋体" w:cs="宋体"/>
          <w:color w:val="auto"/>
          <w:sz w:val="21"/>
          <w:szCs w:val="21"/>
          <w:highlight w:val="none"/>
          <w:u w:val="single"/>
          <w:lang w:val="zh-CN" w:bidi="zh-CN"/>
        </w:rPr>
        <w:t xml:space="preserve">   </w:t>
      </w:r>
      <w:r>
        <w:rPr>
          <w:rFonts w:hint="eastAsia" w:ascii="宋体" w:hAnsi="宋体" w:eastAsia="宋体" w:cs="宋体"/>
          <w:color w:val="auto"/>
          <w:sz w:val="21"/>
          <w:szCs w:val="21"/>
          <w:highlight w:val="none"/>
          <w:lang w:val="zh-CN" w:bidi="zh-CN"/>
        </w:rPr>
        <w:t>%（造价咨询费率=签约合同价/</w:t>
      </w:r>
      <w:r>
        <w:rPr>
          <w:rFonts w:hint="eastAsia" w:ascii="宋体" w:hAnsi="宋体" w:eastAsia="宋体" w:cs="宋体"/>
          <w:color w:val="auto"/>
          <w:sz w:val="21"/>
          <w:szCs w:val="21"/>
          <w:highlight w:val="none"/>
          <w:u w:val="single"/>
          <w:lang w:val="zh-CN" w:eastAsia="zh-CN" w:bidi="zh-CN"/>
        </w:rPr>
        <w:t>58555.0377万元</w:t>
      </w:r>
      <w:r>
        <w:rPr>
          <w:rFonts w:hint="eastAsia" w:ascii="宋体" w:hAnsi="宋体" w:eastAsia="宋体" w:cs="宋体"/>
          <w:color w:val="auto"/>
          <w:sz w:val="21"/>
          <w:szCs w:val="21"/>
          <w:highlight w:val="none"/>
          <w:lang w:val="zh-CN" w:bidi="zh-CN"/>
        </w:rPr>
        <w:t>×100%（百分号前小数点后保留2位，第3位四舍五入），造价咨询费率一次性包干，不</w:t>
      </w:r>
      <w:r>
        <w:rPr>
          <w:rFonts w:hint="eastAsia" w:ascii="宋体" w:hAnsi="宋体" w:eastAsia="宋体" w:cs="宋体"/>
          <w:color w:val="auto"/>
          <w:sz w:val="21"/>
          <w:szCs w:val="21"/>
          <w:highlight w:val="none"/>
          <w:lang w:bidi="zh-CN"/>
        </w:rPr>
        <w:t>作</w:t>
      </w:r>
      <w:r>
        <w:rPr>
          <w:rFonts w:hint="eastAsia" w:ascii="宋体" w:hAnsi="宋体" w:eastAsia="宋体" w:cs="宋体"/>
          <w:color w:val="auto"/>
          <w:sz w:val="21"/>
          <w:szCs w:val="21"/>
          <w:highlight w:val="none"/>
          <w:lang w:val="zh-CN" w:bidi="zh-CN"/>
        </w:rPr>
        <w:t>调整。</w:t>
      </w:r>
    </w:p>
    <w:p w14:paraId="00F6E72D">
      <w:pPr>
        <w:keepNext w:val="0"/>
        <w:keepLines w:val="0"/>
        <w:pageBreakBefore w:val="0"/>
        <w:widowControl w:val="0"/>
        <w:tabs>
          <w:tab w:val="left" w:pos="1101"/>
          <w:tab w:val="left" w:pos="3319"/>
        </w:tabs>
        <w:kinsoku/>
        <w:wordWrap/>
        <w:overflowPunct/>
        <w:topLinePunct w:val="0"/>
        <w:autoSpaceDE w:val="0"/>
        <w:autoSpaceDN w:val="0"/>
        <w:bidi w:val="0"/>
        <w:adjustRightInd w:val="0"/>
        <w:snapToGrid w:val="0"/>
        <w:spacing w:line="360" w:lineRule="auto"/>
        <w:ind w:left="0" w:leftChars="0" w:firstLine="420" w:firstLineChars="200"/>
        <w:textAlignment w:val="auto"/>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en-US" w:bidi="zh-CN"/>
        </w:rPr>
        <w:t>3</w:t>
      </w:r>
      <w:r>
        <w:rPr>
          <w:rFonts w:hint="eastAsia" w:ascii="宋体" w:hAnsi="宋体" w:eastAsia="宋体" w:cs="宋体"/>
          <w:color w:val="auto"/>
          <w:sz w:val="21"/>
          <w:szCs w:val="21"/>
          <w:highlight w:val="none"/>
          <w:lang w:bidi="zh-CN"/>
        </w:rPr>
        <w:t>.</w:t>
      </w:r>
      <w:r>
        <w:rPr>
          <w:rFonts w:hint="eastAsia" w:ascii="宋体" w:hAnsi="宋体" w:eastAsia="宋体" w:cs="宋体"/>
          <w:color w:val="auto"/>
          <w:sz w:val="21"/>
          <w:szCs w:val="21"/>
          <w:highlight w:val="none"/>
          <w:lang w:val="zh-CN" w:bidi="zh-CN"/>
        </w:rPr>
        <w:t>造价咨询费结算价=经结算审核后（以委托的第三方审定为准）合计的建安造价×造价咨询费率。</w:t>
      </w:r>
    </w:p>
    <w:p w14:paraId="5BB45DE9">
      <w:pPr>
        <w:keepNext w:val="0"/>
        <w:keepLines w:val="0"/>
        <w:pageBreakBefore w:val="0"/>
        <w:widowControl w:val="0"/>
        <w:tabs>
          <w:tab w:val="left" w:pos="1101"/>
          <w:tab w:val="left" w:pos="3319"/>
        </w:tabs>
        <w:kinsoku/>
        <w:wordWrap/>
        <w:overflowPunct/>
        <w:topLinePunct w:val="0"/>
        <w:autoSpaceDE w:val="0"/>
        <w:autoSpaceDN w:val="0"/>
        <w:bidi w:val="0"/>
        <w:adjustRightInd w:val="0"/>
        <w:snapToGrid w:val="0"/>
        <w:spacing w:line="360" w:lineRule="auto"/>
        <w:ind w:left="0" w:leftChars="0" w:firstLine="420" w:firstLineChars="200"/>
        <w:textAlignment w:val="auto"/>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en-US" w:bidi="zh-CN"/>
        </w:rPr>
        <w:t>4.</w:t>
      </w:r>
      <w:r>
        <w:rPr>
          <w:rFonts w:hint="eastAsia" w:ascii="宋体" w:hAnsi="宋体" w:eastAsia="宋体" w:cs="宋体"/>
          <w:color w:val="auto"/>
          <w:sz w:val="21"/>
          <w:szCs w:val="21"/>
          <w:highlight w:val="none"/>
          <w:lang w:val="zh-CN" w:bidi="zh-CN"/>
        </w:rPr>
        <w:t>合同价范围内包括项目实施所需的所有的咨询、调查、资料收集、人工、通讯、交通、差旅、餐饮、资料打印、材料、验收、保险、税费、专家评审费（如有）、项目驻场费用、相关配合工作、不可预知费用开销及相应的风险金等为本项目提供正常服务所发生的费用， 以及其它</w:t>
      </w:r>
      <w:r>
        <w:rPr>
          <w:rFonts w:hint="eastAsia" w:ascii="宋体" w:hAnsi="宋体" w:eastAsia="宋体" w:cs="宋体"/>
          <w:color w:val="auto"/>
          <w:sz w:val="21"/>
          <w:szCs w:val="21"/>
          <w:highlight w:val="none"/>
          <w:lang w:bidi="zh-CN"/>
        </w:rPr>
        <w:t>咨询</w:t>
      </w:r>
      <w:r>
        <w:rPr>
          <w:rFonts w:hint="eastAsia" w:ascii="宋体" w:hAnsi="宋体" w:eastAsia="宋体" w:cs="宋体"/>
          <w:color w:val="auto"/>
          <w:sz w:val="21"/>
          <w:szCs w:val="21"/>
          <w:highlight w:val="none"/>
          <w:lang w:val="zh-CN" w:bidi="zh-CN"/>
        </w:rPr>
        <w:t>人应承担的一切工作所发生的费用均包括在投标报价中，未列入报价的费用将被视为</w:t>
      </w:r>
      <w:r>
        <w:rPr>
          <w:rFonts w:hint="eastAsia" w:ascii="宋体" w:hAnsi="宋体" w:eastAsia="宋体" w:cs="宋体"/>
          <w:color w:val="auto"/>
          <w:sz w:val="21"/>
          <w:szCs w:val="21"/>
          <w:highlight w:val="none"/>
          <w:lang w:val="en-US" w:bidi="zh-CN"/>
        </w:rPr>
        <w:t>咨询人</w:t>
      </w:r>
      <w:r>
        <w:rPr>
          <w:rFonts w:hint="eastAsia" w:ascii="宋体" w:hAnsi="宋体" w:eastAsia="宋体" w:cs="宋体"/>
          <w:color w:val="auto"/>
          <w:sz w:val="21"/>
          <w:szCs w:val="21"/>
          <w:highlight w:val="none"/>
          <w:lang w:val="zh-CN" w:bidi="zh-CN"/>
        </w:rPr>
        <w:t>优惠，</w:t>
      </w:r>
      <w:r>
        <w:rPr>
          <w:rFonts w:hint="eastAsia" w:ascii="宋体" w:hAnsi="宋体" w:eastAsia="宋体" w:cs="宋体"/>
          <w:color w:val="auto"/>
          <w:sz w:val="21"/>
          <w:szCs w:val="21"/>
          <w:highlight w:val="none"/>
          <w:lang w:bidi="zh-CN"/>
        </w:rPr>
        <w:t>委托</w:t>
      </w:r>
      <w:r>
        <w:rPr>
          <w:rFonts w:hint="eastAsia" w:ascii="宋体" w:hAnsi="宋体" w:eastAsia="宋体" w:cs="宋体"/>
          <w:color w:val="auto"/>
          <w:sz w:val="21"/>
          <w:szCs w:val="21"/>
          <w:highlight w:val="none"/>
          <w:lang w:val="zh-CN" w:bidi="zh-CN"/>
        </w:rPr>
        <w:t>人均不予支付。</w:t>
      </w:r>
      <w:bookmarkStart w:id="49" w:name="_bookmark2"/>
      <w:bookmarkEnd w:id="49"/>
      <w:bookmarkStart w:id="50" w:name="_bookmark3"/>
      <w:bookmarkEnd w:id="50"/>
    </w:p>
    <w:p w14:paraId="150E182D">
      <w:pPr>
        <w:keepNext w:val="0"/>
        <w:keepLines w:val="0"/>
        <w:pageBreakBefore w:val="0"/>
        <w:widowControl w:val="0"/>
        <w:tabs>
          <w:tab w:val="left" w:pos="1101"/>
          <w:tab w:val="left" w:pos="3319"/>
        </w:tabs>
        <w:kinsoku/>
        <w:wordWrap/>
        <w:overflowPunct/>
        <w:topLinePunct w:val="0"/>
        <w:autoSpaceDE w:val="0"/>
        <w:autoSpaceDN w:val="0"/>
        <w:bidi w:val="0"/>
        <w:adjustRightInd w:val="0"/>
        <w:snapToGrid w:val="0"/>
        <w:spacing w:line="360" w:lineRule="auto"/>
        <w:ind w:left="0" w:leftChars="0" w:firstLine="420" w:firstLineChars="200"/>
        <w:textAlignment w:val="auto"/>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bidi="zh-CN"/>
        </w:rPr>
        <w:t>5.</w:t>
      </w:r>
      <w:r>
        <w:rPr>
          <w:rFonts w:hint="eastAsia" w:ascii="宋体" w:hAnsi="宋体" w:eastAsia="宋体" w:cs="宋体"/>
          <w:color w:val="auto"/>
          <w:sz w:val="21"/>
          <w:szCs w:val="21"/>
          <w:highlight w:val="none"/>
          <w:lang w:val="en-US" w:eastAsia="zh-CN" w:bidi="zh-CN"/>
        </w:rPr>
        <w:t>付款前，咨询人应按委托人要求提供增值税发票，咨询人未按委托人要求提供增值税发票，委托人有权拒绝支付相应款项。</w:t>
      </w:r>
    </w:p>
    <w:p w14:paraId="33D382E9">
      <w:pPr>
        <w:keepNext w:val="0"/>
        <w:keepLines w:val="0"/>
        <w:pageBreakBefore w:val="0"/>
        <w:widowControl w:val="0"/>
        <w:tabs>
          <w:tab w:val="left" w:pos="1101"/>
          <w:tab w:val="left" w:pos="3319"/>
        </w:tabs>
        <w:kinsoku/>
        <w:wordWrap/>
        <w:overflowPunct/>
        <w:topLinePunct w:val="0"/>
        <w:autoSpaceDE w:val="0"/>
        <w:autoSpaceDN w:val="0"/>
        <w:bidi w:val="0"/>
        <w:adjustRightInd w:val="0"/>
        <w:snapToGrid w:val="0"/>
        <w:spacing w:line="360" w:lineRule="auto"/>
        <w:ind w:left="0" w:leftChars="0" w:firstLine="422" w:firstLineChars="200"/>
        <w:jc w:val="left"/>
        <w:textAlignment w:val="auto"/>
        <w:rPr>
          <w:rFonts w:hint="eastAsia" w:ascii="宋体" w:hAnsi="宋体" w:eastAsia="宋体" w:cs="宋体"/>
          <w:b/>
          <w:bCs/>
          <w:color w:val="auto"/>
          <w:sz w:val="21"/>
          <w:szCs w:val="21"/>
          <w:highlight w:val="none"/>
          <w:lang w:val="zh-CN" w:bidi="zh-CN"/>
        </w:rPr>
      </w:pPr>
      <w:r>
        <w:rPr>
          <w:rFonts w:hint="eastAsia" w:ascii="宋体" w:hAnsi="宋体" w:eastAsia="宋体" w:cs="宋体"/>
          <w:b/>
          <w:bCs/>
          <w:color w:val="auto"/>
          <w:sz w:val="21"/>
          <w:szCs w:val="21"/>
          <w:highlight w:val="none"/>
          <w:lang w:val="zh-CN" w:bidi="zh-CN"/>
        </w:rPr>
        <w:t>六、合同文件的构成</w:t>
      </w:r>
    </w:p>
    <w:p w14:paraId="2275FBC7">
      <w:pPr>
        <w:keepNext w:val="0"/>
        <w:keepLines w:val="0"/>
        <w:pageBreakBefore w:val="0"/>
        <w:widowControl w:val="0"/>
        <w:kinsoku/>
        <w:wordWrap/>
        <w:overflowPunct/>
        <w:topLinePunct w:val="0"/>
        <w:autoSpaceDE w:val="0"/>
        <w:autoSpaceDN w:val="0"/>
        <w:bidi w:val="0"/>
        <w:adjustRightInd w:val="0"/>
        <w:snapToGrid w:val="0"/>
        <w:spacing w:line="360" w:lineRule="auto"/>
        <w:ind w:left="0" w:leftChars="0" w:firstLine="420" w:firstLineChars="200"/>
        <w:jc w:val="left"/>
        <w:textAlignment w:val="auto"/>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本协议书与下列文件一起构成合同文件:</w:t>
      </w:r>
    </w:p>
    <w:p w14:paraId="091D5163">
      <w:pPr>
        <w:keepNext w:val="0"/>
        <w:keepLines w:val="0"/>
        <w:pageBreakBefore w:val="0"/>
        <w:widowControl w:val="0"/>
        <w:tabs>
          <w:tab w:val="left" w:pos="1101"/>
        </w:tabs>
        <w:kinsoku/>
        <w:wordWrap/>
        <w:overflowPunct/>
        <w:topLinePunct w:val="0"/>
        <w:autoSpaceDE w:val="0"/>
        <w:autoSpaceDN w:val="0"/>
        <w:bidi w:val="0"/>
        <w:adjustRightInd w:val="0"/>
        <w:snapToGrid w:val="0"/>
        <w:spacing w:line="360" w:lineRule="auto"/>
        <w:ind w:left="0" w:leftChars="0" w:firstLine="420" w:firstLineChars="200"/>
        <w:textAlignment w:val="auto"/>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bidi="zh-CN"/>
        </w:rPr>
        <w:t>1.</w:t>
      </w:r>
      <w:r>
        <w:rPr>
          <w:rFonts w:hint="eastAsia" w:ascii="宋体" w:hAnsi="宋体" w:eastAsia="宋体" w:cs="宋体"/>
          <w:color w:val="auto"/>
          <w:sz w:val="21"/>
          <w:szCs w:val="21"/>
          <w:highlight w:val="none"/>
          <w:lang w:val="zh-CN" w:bidi="zh-CN"/>
        </w:rPr>
        <w:t>中标通知书或委托书（如果有）；</w:t>
      </w:r>
    </w:p>
    <w:p w14:paraId="1D459DAD">
      <w:pPr>
        <w:keepNext w:val="0"/>
        <w:keepLines w:val="0"/>
        <w:pageBreakBefore w:val="0"/>
        <w:widowControl w:val="0"/>
        <w:tabs>
          <w:tab w:val="left" w:pos="1101"/>
        </w:tabs>
        <w:kinsoku/>
        <w:wordWrap/>
        <w:overflowPunct/>
        <w:topLinePunct w:val="0"/>
        <w:autoSpaceDE w:val="0"/>
        <w:autoSpaceDN w:val="0"/>
        <w:bidi w:val="0"/>
        <w:adjustRightInd w:val="0"/>
        <w:snapToGrid w:val="0"/>
        <w:spacing w:line="360" w:lineRule="auto"/>
        <w:ind w:left="0" w:leftChars="0" w:firstLine="420" w:firstLineChars="200"/>
        <w:textAlignment w:val="auto"/>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bidi="zh-CN"/>
        </w:rPr>
        <w:t>2.</w:t>
      </w:r>
      <w:r>
        <w:rPr>
          <w:rFonts w:hint="eastAsia" w:ascii="宋体" w:hAnsi="宋体" w:eastAsia="宋体" w:cs="宋体"/>
          <w:color w:val="auto"/>
          <w:sz w:val="21"/>
          <w:szCs w:val="21"/>
          <w:highlight w:val="none"/>
          <w:lang w:val="zh-CN" w:bidi="zh-CN"/>
        </w:rPr>
        <w:t>投标函及投标函附录或造价咨询服务建议书（如果有）；</w:t>
      </w:r>
    </w:p>
    <w:p w14:paraId="3E7A0917">
      <w:pPr>
        <w:keepNext w:val="0"/>
        <w:keepLines w:val="0"/>
        <w:pageBreakBefore w:val="0"/>
        <w:widowControl w:val="0"/>
        <w:tabs>
          <w:tab w:val="left" w:pos="1101"/>
        </w:tabs>
        <w:kinsoku/>
        <w:wordWrap/>
        <w:overflowPunct/>
        <w:topLinePunct w:val="0"/>
        <w:autoSpaceDE w:val="0"/>
        <w:autoSpaceDN w:val="0"/>
        <w:bidi w:val="0"/>
        <w:adjustRightInd w:val="0"/>
        <w:snapToGrid w:val="0"/>
        <w:spacing w:line="360" w:lineRule="auto"/>
        <w:ind w:left="0" w:leftChars="0" w:firstLine="420" w:firstLineChars="200"/>
        <w:textAlignment w:val="auto"/>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bidi="zh-CN"/>
        </w:rPr>
        <w:t>3.</w:t>
      </w:r>
      <w:r>
        <w:rPr>
          <w:rFonts w:hint="eastAsia" w:ascii="宋体" w:hAnsi="宋体" w:eastAsia="宋体" w:cs="宋体"/>
          <w:color w:val="auto"/>
          <w:sz w:val="21"/>
          <w:szCs w:val="21"/>
          <w:highlight w:val="none"/>
          <w:lang w:val="zh-CN" w:bidi="zh-CN"/>
        </w:rPr>
        <w:t>专用条件及附录；</w:t>
      </w:r>
    </w:p>
    <w:p w14:paraId="370B2D9C">
      <w:pPr>
        <w:keepNext w:val="0"/>
        <w:keepLines w:val="0"/>
        <w:pageBreakBefore w:val="0"/>
        <w:widowControl w:val="0"/>
        <w:tabs>
          <w:tab w:val="left" w:pos="1101"/>
        </w:tabs>
        <w:kinsoku/>
        <w:wordWrap/>
        <w:overflowPunct/>
        <w:topLinePunct w:val="0"/>
        <w:autoSpaceDE w:val="0"/>
        <w:autoSpaceDN w:val="0"/>
        <w:bidi w:val="0"/>
        <w:adjustRightInd w:val="0"/>
        <w:snapToGrid w:val="0"/>
        <w:spacing w:line="360" w:lineRule="auto"/>
        <w:ind w:left="0" w:leftChars="0" w:firstLine="420" w:firstLineChars="200"/>
        <w:textAlignment w:val="auto"/>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bidi="zh-CN"/>
        </w:rPr>
        <w:t>4.</w:t>
      </w:r>
      <w:r>
        <w:rPr>
          <w:rFonts w:hint="eastAsia" w:ascii="宋体" w:hAnsi="宋体" w:eastAsia="宋体" w:cs="宋体"/>
          <w:color w:val="auto"/>
          <w:sz w:val="21"/>
          <w:szCs w:val="21"/>
          <w:highlight w:val="none"/>
          <w:lang w:val="zh-CN" w:bidi="zh-CN"/>
        </w:rPr>
        <w:t>通用条件；</w:t>
      </w:r>
    </w:p>
    <w:p w14:paraId="658F2FCC">
      <w:pPr>
        <w:keepNext w:val="0"/>
        <w:keepLines w:val="0"/>
        <w:pageBreakBefore w:val="0"/>
        <w:widowControl w:val="0"/>
        <w:tabs>
          <w:tab w:val="left" w:pos="1101"/>
        </w:tabs>
        <w:kinsoku/>
        <w:wordWrap/>
        <w:overflowPunct/>
        <w:topLinePunct w:val="0"/>
        <w:autoSpaceDE w:val="0"/>
        <w:autoSpaceDN w:val="0"/>
        <w:bidi w:val="0"/>
        <w:adjustRightInd w:val="0"/>
        <w:snapToGrid w:val="0"/>
        <w:spacing w:line="360" w:lineRule="auto"/>
        <w:ind w:left="0" w:leftChars="0" w:firstLine="420" w:firstLineChars="200"/>
        <w:textAlignment w:val="auto"/>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bidi="zh-CN"/>
        </w:rPr>
        <w:t>5.</w:t>
      </w:r>
      <w:r>
        <w:rPr>
          <w:rFonts w:hint="eastAsia" w:ascii="宋体" w:hAnsi="宋体" w:eastAsia="宋体" w:cs="宋体"/>
          <w:color w:val="auto"/>
          <w:sz w:val="21"/>
          <w:szCs w:val="21"/>
          <w:highlight w:val="none"/>
          <w:lang w:val="zh-CN" w:bidi="zh-CN"/>
        </w:rPr>
        <w:t>其他合同文件。</w:t>
      </w:r>
    </w:p>
    <w:p w14:paraId="78ED33F0">
      <w:pPr>
        <w:keepNext w:val="0"/>
        <w:keepLines w:val="0"/>
        <w:pageBreakBefore w:val="0"/>
        <w:widowControl w:val="0"/>
        <w:kinsoku/>
        <w:wordWrap/>
        <w:overflowPunct/>
        <w:topLinePunct w:val="0"/>
        <w:autoSpaceDE w:val="0"/>
        <w:autoSpaceDN w:val="0"/>
        <w:bidi w:val="0"/>
        <w:adjustRightInd w:val="0"/>
        <w:snapToGrid w:val="0"/>
        <w:spacing w:line="360" w:lineRule="auto"/>
        <w:ind w:left="0" w:leftChars="0" w:firstLine="420" w:firstLineChars="200"/>
        <w:jc w:val="left"/>
        <w:textAlignment w:val="auto"/>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上述各项合同文件包括合同当事人就该项合同文件所作出的补充和修改，属于同一类内容的文件，应以最新签署的为准。</w:t>
      </w:r>
    </w:p>
    <w:p w14:paraId="3ED3A6B6">
      <w:pPr>
        <w:keepNext w:val="0"/>
        <w:keepLines w:val="0"/>
        <w:pageBreakBefore w:val="0"/>
        <w:widowControl w:val="0"/>
        <w:kinsoku/>
        <w:wordWrap/>
        <w:overflowPunct/>
        <w:topLinePunct w:val="0"/>
        <w:autoSpaceDE w:val="0"/>
        <w:autoSpaceDN w:val="0"/>
        <w:bidi w:val="0"/>
        <w:adjustRightInd w:val="0"/>
        <w:snapToGrid w:val="0"/>
        <w:spacing w:line="360" w:lineRule="auto"/>
        <w:ind w:left="0" w:leftChars="0" w:firstLine="420" w:firstLineChars="200"/>
        <w:jc w:val="left"/>
        <w:textAlignment w:val="auto"/>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在合同订立及履行过程中形成的与合同有关的文件（包括补充协议）均构成合同文件的组成部分。</w:t>
      </w:r>
    </w:p>
    <w:p w14:paraId="7FDC5A42">
      <w:pPr>
        <w:keepNext w:val="0"/>
        <w:keepLines w:val="0"/>
        <w:pageBreakBefore w:val="0"/>
        <w:widowControl w:val="0"/>
        <w:kinsoku/>
        <w:wordWrap/>
        <w:overflowPunct/>
        <w:topLinePunct w:val="0"/>
        <w:autoSpaceDE w:val="0"/>
        <w:autoSpaceDN w:val="0"/>
        <w:bidi w:val="0"/>
        <w:adjustRightInd w:val="0"/>
        <w:snapToGrid w:val="0"/>
        <w:spacing w:line="360" w:lineRule="auto"/>
        <w:ind w:left="0" w:leftChars="0" w:firstLine="400" w:firstLineChars="200"/>
        <w:jc w:val="left"/>
        <w:textAlignment w:val="auto"/>
        <w:outlineLvl w:val="3"/>
        <w:rPr>
          <w:rFonts w:hint="eastAsia" w:ascii="宋体" w:hAnsi="宋体" w:eastAsia="宋体" w:cs="宋体"/>
          <w:b/>
          <w:bCs/>
          <w:color w:val="auto"/>
          <w:sz w:val="21"/>
          <w:szCs w:val="21"/>
          <w:highlight w:val="none"/>
          <w:lang w:val="zh-CN" w:bidi="zh-CN"/>
        </w:rPr>
      </w:pPr>
      <w:r>
        <w:rPr>
          <w:rFonts w:hint="eastAsia" w:ascii="宋体" w:hAnsi="宋体" w:eastAsia="宋体" w:cs="宋体"/>
          <w:b/>
          <w:bCs/>
          <w:color w:val="auto"/>
          <w:w w:val="95"/>
          <w:sz w:val="21"/>
          <w:szCs w:val="21"/>
          <w:highlight w:val="none"/>
          <w:lang w:val="zh-CN" w:bidi="zh-CN"/>
        </w:rPr>
        <w:t>七、词语定义</w:t>
      </w:r>
    </w:p>
    <w:p w14:paraId="42854879">
      <w:pPr>
        <w:keepNext w:val="0"/>
        <w:keepLines w:val="0"/>
        <w:pageBreakBefore w:val="0"/>
        <w:widowControl w:val="0"/>
        <w:kinsoku/>
        <w:wordWrap/>
        <w:overflowPunct/>
        <w:topLinePunct w:val="0"/>
        <w:autoSpaceDE w:val="0"/>
        <w:autoSpaceDN w:val="0"/>
        <w:bidi w:val="0"/>
        <w:adjustRightInd w:val="0"/>
        <w:snapToGrid w:val="0"/>
        <w:spacing w:line="360" w:lineRule="auto"/>
        <w:ind w:left="0" w:leftChars="0" w:firstLine="420" w:firstLineChars="200"/>
        <w:jc w:val="left"/>
        <w:textAlignment w:val="auto"/>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协议书中相关词语的含义与通用条件中的定义与解释相同。</w:t>
      </w:r>
    </w:p>
    <w:p w14:paraId="7131760E">
      <w:pPr>
        <w:keepNext w:val="0"/>
        <w:keepLines w:val="0"/>
        <w:pageBreakBefore w:val="0"/>
        <w:widowControl w:val="0"/>
        <w:kinsoku/>
        <w:wordWrap/>
        <w:overflowPunct/>
        <w:topLinePunct w:val="0"/>
        <w:autoSpaceDE w:val="0"/>
        <w:autoSpaceDN w:val="0"/>
        <w:bidi w:val="0"/>
        <w:adjustRightInd w:val="0"/>
        <w:snapToGrid w:val="0"/>
        <w:spacing w:line="360" w:lineRule="auto"/>
        <w:ind w:left="0" w:leftChars="0" w:firstLine="400" w:firstLineChars="200"/>
        <w:jc w:val="left"/>
        <w:textAlignment w:val="auto"/>
        <w:outlineLvl w:val="3"/>
        <w:rPr>
          <w:rFonts w:hint="eastAsia" w:ascii="宋体" w:hAnsi="宋体" w:eastAsia="宋体" w:cs="宋体"/>
          <w:b/>
          <w:bCs/>
          <w:color w:val="auto"/>
          <w:w w:val="95"/>
          <w:sz w:val="21"/>
          <w:szCs w:val="21"/>
          <w:highlight w:val="none"/>
          <w:lang w:val="zh-CN" w:bidi="zh-CN"/>
        </w:rPr>
      </w:pPr>
      <w:r>
        <w:rPr>
          <w:rFonts w:hint="eastAsia" w:ascii="宋体" w:hAnsi="宋体" w:eastAsia="宋体" w:cs="宋体"/>
          <w:b/>
          <w:bCs/>
          <w:color w:val="auto"/>
          <w:w w:val="95"/>
          <w:sz w:val="21"/>
          <w:szCs w:val="21"/>
          <w:highlight w:val="none"/>
          <w:lang w:val="zh-CN" w:bidi="zh-CN"/>
        </w:rPr>
        <w:t>八、合同订立</w:t>
      </w:r>
    </w:p>
    <w:p w14:paraId="1AFA8BB6">
      <w:pPr>
        <w:keepNext w:val="0"/>
        <w:keepLines w:val="0"/>
        <w:pageBreakBefore w:val="0"/>
        <w:widowControl w:val="0"/>
        <w:tabs>
          <w:tab w:val="left" w:pos="1101"/>
          <w:tab w:val="left" w:pos="3379"/>
          <w:tab w:val="left" w:pos="4699"/>
          <w:tab w:val="left" w:pos="6019"/>
        </w:tabs>
        <w:kinsoku/>
        <w:wordWrap/>
        <w:overflowPunct/>
        <w:topLinePunct w:val="0"/>
        <w:autoSpaceDE w:val="0"/>
        <w:autoSpaceDN w:val="0"/>
        <w:bidi w:val="0"/>
        <w:adjustRightInd w:val="0"/>
        <w:snapToGrid w:val="0"/>
        <w:spacing w:line="360" w:lineRule="auto"/>
        <w:ind w:left="0" w:leftChars="0" w:firstLine="420" w:firstLineChars="200"/>
        <w:textAlignment w:val="auto"/>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bidi="zh-CN"/>
        </w:rPr>
        <w:t>1.</w:t>
      </w:r>
      <w:r>
        <w:rPr>
          <w:rFonts w:hint="eastAsia" w:ascii="宋体" w:hAnsi="宋体" w:eastAsia="宋体" w:cs="宋体"/>
          <w:color w:val="auto"/>
          <w:sz w:val="21"/>
          <w:szCs w:val="21"/>
          <w:highlight w:val="none"/>
          <w:lang w:val="zh-CN" w:bidi="zh-CN"/>
        </w:rPr>
        <w:t>订立时间：</w:t>
      </w:r>
      <w:r>
        <w:rPr>
          <w:rFonts w:hint="eastAsia" w:ascii="宋体" w:hAnsi="宋体" w:eastAsia="宋体" w:cs="宋体"/>
          <w:color w:val="auto"/>
          <w:sz w:val="21"/>
          <w:szCs w:val="21"/>
          <w:highlight w:val="none"/>
          <w:u w:val="single"/>
          <w:lang w:bidi="zh-CN"/>
        </w:rPr>
        <w:t>202</w:t>
      </w:r>
      <w:r>
        <w:rPr>
          <w:rFonts w:hint="eastAsia" w:ascii="宋体" w:hAnsi="宋体" w:eastAsia="宋体" w:cs="宋体"/>
          <w:color w:val="auto"/>
          <w:sz w:val="21"/>
          <w:szCs w:val="21"/>
          <w:highlight w:val="none"/>
          <w:u w:val="single"/>
          <w:lang w:val="en-US" w:bidi="zh-CN"/>
        </w:rPr>
        <w:t>6</w:t>
      </w:r>
      <w:r>
        <w:rPr>
          <w:rFonts w:hint="eastAsia" w:ascii="宋体" w:hAnsi="宋体" w:eastAsia="宋体" w:cs="宋体"/>
          <w:color w:val="auto"/>
          <w:sz w:val="21"/>
          <w:szCs w:val="21"/>
          <w:highlight w:val="none"/>
          <w:lang w:val="zh-CN" w:bidi="zh-CN"/>
        </w:rPr>
        <w:t>年</w:t>
      </w:r>
      <w:r>
        <w:rPr>
          <w:rFonts w:hint="eastAsia" w:ascii="宋体" w:hAnsi="宋体" w:eastAsia="宋体" w:cs="宋体"/>
          <w:color w:val="auto"/>
          <w:sz w:val="21"/>
          <w:szCs w:val="21"/>
          <w:highlight w:val="none"/>
          <w:u w:val="single"/>
          <w:lang w:val="zh-CN" w:bidi="zh-CN"/>
        </w:rPr>
        <w:t xml:space="preserve"> </w:t>
      </w:r>
      <w:r>
        <w:rPr>
          <w:rFonts w:hint="eastAsia" w:ascii="宋体" w:hAnsi="宋体" w:eastAsia="宋体" w:cs="宋体"/>
          <w:color w:val="auto"/>
          <w:sz w:val="21"/>
          <w:szCs w:val="21"/>
          <w:highlight w:val="none"/>
          <w:u w:val="single"/>
          <w:lang w:bidi="zh-CN"/>
        </w:rPr>
        <w:t xml:space="preserve">   </w:t>
      </w:r>
      <w:r>
        <w:rPr>
          <w:rFonts w:hint="eastAsia" w:ascii="宋体" w:hAnsi="宋体" w:eastAsia="宋体" w:cs="宋体"/>
          <w:color w:val="auto"/>
          <w:sz w:val="21"/>
          <w:szCs w:val="21"/>
          <w:highlight w:val="none"/>
          <w:lang w:val="zh-CN" w:bidi="zh-CN"/>
        </w:rPr>
        <w:t>月</w:t>
      </w:r>
      <w:r>
        <w:rPr>
          <w:rFonts w:hint="eastAsia" w:ascii="宋体" w:hAnsi="宋体" w:eastAsia="宋体" w:cs="宋体"/>
          <w:color w:val="auto"/>
          <w:sz w:val="21"/>
          <w:szCs w:val="21"/>
          <w:highlight w:val="none"/>
          <w:u w:val="single"/>
          <w:lang w:val="zh-CN" w:bidi="zh-CN"/>
        </w:rPr>
        <w:t xml:space="preserve"> </w:t>
      </w:r>
      <w:r>
        <w:rPr>
          <w:rFonts w:hint="eastAsia" w:ascii="宋体" w:hAnsi="宋体" w:eastAsia="宋体" w:cs="宋体"/>
          <w:color w:val="auto"/>
          <w:sz w:val="21"/>
          <w:szCs w:val="21"/>
          <w:highlight w:val="none"/>
          <w:u w:val="single"/>
          <w:lang w:bidi="zh-CN"/>
        </w:rPr>
        <w:t xml:space="preserve">   </w:t>
      </w:r>
      <w:r>
        <w:rPr>
          <w:rFonts w:hint="eastAsia" w:ascii="宋体" w:hAnsi="宋体" w:eastAsia="宋体" w:cs="宋体"/>
          <w:color w:val="auto"/>
          <w:sz w:val="21"/>
          <w:szCs w:val="21"/>
          <w:highlight w:val="none"/>
          <w:lang w:val="zh-CN" w:bidi="zh-CN"/>
        </w:rPr>
        <w:t>日。</w:t>
      </w:r>
    </w:p>
    <w:p w14:paraId="6321114E">
      <w:pPr>
        <w:keepNext w:val="0"/>
        <w:keepLines w:val="0"/>
        <w:pageBreakBefore w:val="0"/>
        <w:widowControl w:val="0"/>
        <w:tabs>
          <w:tab w:val="left" w:pos="1101"/>
          <w:tab w:val="left" w:pos="6139"/>
        </w:tabs>
        <w:kinsoku/>
        <w:wordWrap/>
        <w:overflowPunct/>
        <w:topLinePunct w:val="0"/>
        <w:autoSpaceDE w:val="0"/>
        <w:autoSpaceDN w:val="0"/>
        <w:bidi w:val="0"/>
        <w:adjustRightInd w:val="0"/>
        <w:snapToGrid w:val="0"/>
        <w:spacing w:line="360" w:lineRule="auto"/>
        <w:ind w:left="0" w:leftChars="0" w:firstLine="420" w:firstLineChars="200"/>
        <w:textAlignment w:val="auto"/>
        <w:rPr>
          <w:rFonts w:hint="eastAsia" w:ascii="宋体" w:hAnsi="宋体" w:eastAsia="宋体" w:cs="宋体"/>
          <w:b/>
          <w:color w:val="auto"/>
          <w:sz w:val="21"/>
          <w:szCs w:val="21"/>
          <w:highlight w:val="none"/>
          <w:lang w:val="zh-CN" w:bidi="zh-CN"/>
        </w:rPr>
      </w:pPr>
      <w:r>
        <w:rPr>
          <w:rFonts w:hint="eastAsia" w:ascii="宋体" w:hAnsi="宋体" w:eastAsia="宋体" w:cs="宋体"/>
          <w:color w:val="auto"/>
          <w:sz w:val="21"/>
          <w:szCs w:val="21"/>
          <w:highlight w:val="none"/>
          <w:lang w:bidi="zh-CN"/>
        </w:rPr>
        <w:t>2.</w:t>
      </w:r>
      <w:r>
        <w:rPr>
          <w:rFonts w:hint="eastAsia" w:ascii="宋体" w:hAnsi="宋体" w:eastAsia="宋体" w:cs="宋体"/>
          <w:color w:val="auto"/>
          <w:sz w:val="21"/>
          <w:szCs w:val="21"/>
          <w:highlight w:val="none"/>
          <w:lang w:val="zh-CN" w:bidi="zh-CN"/>
        </w:rPr>
        <w:t>订立地点：</w:t>
      </w:r>
      <w:r>
        <w:rPr>
          <w:rFonts w:hint="eastAsia" w:ascii="宋体" w:hAnsi="宋体" w:eastAsia="宋体" w:cs="宋体"/>
          <w:color w:val="auto"/>
          <w:sz w:val="21"/>
          <w:szCs w:val="21"/>
          <w:highlight w:val="none"/>
          <w:u w:val="single"/>
          <w:lang w:val="en-US" w:bidi="zh-CN"/>
        </w:rPr>
        <w:t xml:space="preserve">  临海市        </w:t>
      </w:r>
      <w:r>
        <w:rPr>
          <w:rFonts w:hint="eastAsia" w:ascii="宋体" w:hAnsi="宋体" w:eastAsia="宋体" w:cs="宋体"/>
          <w:color w:val="auto"/>
          <w:spacing w:val="-18"/>
          <w:sz w:val="21"/>
          <w:szCs w:val="21"/>
          <w:highlight w:val="none"/>
          <w:lang w:val="zh-CN" w:bidi="zh-CN"/>
        </w:rPr>
        <w:t>。</w:t>
      </w:r>
    </w:p>
    <w:p w14:paraId="5381A1BD">
      <w:pPr>
        <w:keepNext w:val="0"/>
        <w:keepLines w:val="0"/>
        <w:pageBreakBefore w:val="0"/>
        <w:widowControl w:val="0"/>
        <w:kinsoku/>
        <w:wordWrap/>
        <w:overflowPunct/>
        <w:topLinePunct w:val="0"/>
        <w:autoSpaceDE w:val="0"/>
        <w:autoSpaceDN w:val="0"/>
        <w:bidi w:val="0"/>
        <w:adjustRightInd w:val="0"/>
        <w:snapToGrid w:val="0"/>
        <w:spacing w:line="360" w:lineRule="auto"/>
        <w:ind w:left="0" w:leftChars="0" w:firstLine="400" w:firstLineChars="200"/>
        <w:jc w:val="left"/>
        <w:textAlignment w:val="auto"/>
        <w:outlineLvl w:val="3"/>
        <w:rPr>
          <w:rFonts w:hint="eastAsia" w:ascii="宋体" w:hAnsi="宋体" w:eastAsia="宋体" w:cs="宋体"/>
          <w:b/>
          <w:bCs/>
          <w:color w:val="auto"/>
          <w:w w:val="95"/>
          <w:sz w:val="21"/>
          <w:szCs w:val="21"/>
          <w:highlight w:val="none"/>
          <w:lang w:val="zh-CN" w:bidi="zh-CN"/>
        </w:rPr>
      </w:pPr>
      <w:r>
        <w:rPr>
          <w:rFonts w:hint="eastAsia" w:ascii="宋体" w:hAnsi="宋体" w:eastAsia="宋体" w:cs="宋体"/>
          <w:b/>
          <w:bCs/>
          <w:color w:val="auto"/>
          <w:w w:val="95"/>
          <w:sz w:val="21"/>
          <w:szCs w:val="21"/>
          <w:highlight w:val="none"/>
          <w:lang w:val="zh-CN" w:bidi="zh-CN"/>
        </w:rPr>
        <w:t>九、合同生效</w:t>
      </w:r>
    </w:p>
    <w:p w14:paraId="62A265B4">
      <w:pPr>
        <w:keepNext w:val="0"/>
        <w:keepLines w:val="0"/>
        <w:pageBreakBefore w:val="0"/>
        <w:widowControl w:val="0"/>
        <w:kinsoku/>
        <w:wordWrap/>
        <w:overflowPunct/>
        <w:topLinePunct w:val="0"/>
        <w:autoSpaceDE w:val="0"/>
        <w:autoSpaceDN w:val="0"/>
        <w:bidi w:val="0"/>
        <w:adjustRightInd w:val="0"/>
        <w:snapToGrid w:val="0"/>
        <w:spacing w:line="360" w:lineRule="auto"/>
        <w:ind w:left="0" w:leftChars="0" w:firstLine="420" w:firstLineChars="200"/>
        <w:jc w:val="left"/>
        <w:textAlignment w:val="auto"/>
        <w:outlineLvl w:val="3"/>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本合同自</w:t>
      </w:r>
      <w:r>
        <w:rPr>
          <w:rFonts w:hint="eastAsia" w:ascii="宋体" w:hAnsi="宋体" w:eastAsia="宋体" w:cs="宋体"/>
          <w:color w:val="auto"/>
          <w:sz w:val="21"/>
          <w:szCs w:val="21"/>
          <w:highlight w:val="none"/>
          <w:u w:val="single"/>
          <w:lang w:val="zh-CN" w:bidi="zh-CN"/>
        </w:rPr>
        <w:t>双方</w:t>
      </w:r>
      <w:r>
        <w:rPr>
          <w:rFonts w:hint="eastAsia" w:ascii="宋体" w:hAnsi="宋体" w:cs="宋体"/>
          <w:color w:val="auto"/>
          <w:sz w:val="21"/>
          <w:szCs w:val="21"/>
          <w:highlight w:val="none"/>
          <w:u w:val="single"/>
          <w:lang w:val="en-US" w:bidi="zh-CN"/>
        </w:rPr>
        <w:t>法定代表人或其授权的代理人</w:t>
      </w:r>
      <w:r>
        <w:rPr>
          <w:rFonts w:hint="eastAsia" w:ascii="宋体" w:hAnsi="宋体" w:eastAsia="宋体" w:cs="宋体"/>
          <w:color w:val="auto"/>
          <w:sz w:val="21"/>
          <w:szCs w:val="21"/>
          <w:highlight w:val="none"/>
          <w:u w:val="single"/>
          <w:lang w:val="zh-CN" w:bidi="zh-CN"/>
        </w:rPr>
        <w:t>签字</w:t>
      </w:r>
      <w:r>
        <w:rPr>
          <w:rFonts w:hint="eastAsia" w:ascii="宋体" w:hAnsi="宋体" w:cs="宋体"/>
          <w:color w:val="auto"/>
          <w:sz w:val="21"/>
          <w:szCs w:val="21"/>
          <w:highlight w:val="none"/>
          <w:u w:val="single"/>
          <w:lang w:val="en-US" w:bidi="zh-CN"/>
        </w:rPr>
        <w:t>并</w:t>
      </w:r>
      <w:r>
        <w:rPr>
          <w:rFonts w:hint="eastAsia" w:ascii="宋体" w:hAnsi="宋体" w:eastAsia="宋体" w:cs="宋体"/>
          <w:color w:val="auto"/>
          <w:sz w:val="21"/>
          <w:szCs w:val="21"/>
          <w:highlight w:val="none"/>
          <w:u w:val="single"/>
          <w:lang w:val="zh-CN" w:bidi="zh-CN"/>
        </w:rPr>
        <w:t>盖</w:t>
      </w:r>
      <w:r>
        <w:rPr>
          <w:rFonts w:hint="eastAsia" w:ascii="宋体" w:hAnsi="宋体" w:cs="宋体"/>
          <w:color w:val="auto"/>
          <w:sz w:val="21"/>
          <w:szCs w:val="21"/>
          <w:highlight w:val="none"/>
          <w:u w:val="single"/>
          <w:lang w:val="en-US" w:bidi="zh-CN"/>
        </w:rPr>
        <w:t>公</w:t>
      </w:r>
      <w:r>
        <w:rPr>
          <w:rFonts w:hint="eastAsia" w:ascii="宋体" w:hAnsi="宋体" w:eastAsia="宋体" w:cs="宋体"/>
          <w:color w:val="auto"/>
          <w:sz w:val="21"/>
          <w:szCs w:val="21"/>
          <w:highlight w:val="none"/>
          <w:u w:val="single"/>
          <w:lang w:val="zh-CN" w:bidi="zh-CN"/>
        </w:rPr>
        <w:t>章后</w:t>
      </w:r>
      <w:r>
        <w:rPr>
          <w:rFonts w:hint="eastAsia" w:ascii="宋体" w:hAnsi="宋体" w:eastAsia="宋体" w:cs="宋体"/>
          <w:color w:val="auto"/>
          <w:sz w:val="21"/>
          <w:szCs w:val="21"/>
          <w:highlight w:val="none"/>
          <w:lang w:val="zh-CN" w:bidi="zh-CN"/>
        </w:rPr>
        <w:t>生效。</w:t>
      </w:r>
    </w:p>
    <w:p w14:paraId="4D0041BB">
      <w:pPr>
        <w:keepNext w:val="0"/>
        <w:keepLines w:val="0"/>
        <w:pageBreakBefore w:val="0"/>
        <w:widowControl w:val="0"/>
        <w:kinsoku/>
        <w:wordWrap/>
        <w:overflowPunct/>
        <w:topLinePunct w:val="0"/>
        <w:autoSpaceDE w:val="0"/>
        <w:autoSpaceDN w:val="0"/>
        <w:bidi w:val="0"/>
        <w:adjustRightInd w:val="0"/>
        <w:snapToGrid w:val="0"/>
        <w:spacing w:line="360" w:lineRule="auto"/>
        <w:ind w:left="0" w:leftChars="0" w:firstLine="400" w:firstLineChars="200"/>
        <w:jc w:val="left"/>
        <w:textAlignment w:val="auto"/>
        <w:outlineLvl w:val="3"/>
        <w:rPr>
          <w:rFonts w:hint="eastAsia" w:ascii="宋体" w:hAnsi="宋体" w:eastAsia="宋体" w:cs="宋体"/>
          <w:b/>
          <w:bCs/>
          <w:color w:val="auto"/>
          <w:w w:val="95"/>
          <w:sz w:val="21"/>
          <w:szCs w:val="21"/>
          <w:highlight w:val="none"/>
          <w:lang w:val="zh-CN" w:bidi="zh-CN"/>
        </w:rPr>
      </w:pPr>
      <w:r>
        <w:rPr>
          <w:rFonts w:hint="eastAsia" w:ascii="宋体" w:hAnsi="宋体" w:eastAsia="宋体" w:cs="宋体"/>
          <w:b/>
          <w:bCs/>
          <w:color w:val="auto"/>
          <w:w w:val="95"/>
          <w:sz w:val="21"/>
          <w:szCs w:val="21"/>
          <w:highlight w:val="none"/>
          <w:lang w:val="zh-CN" w:bidi="zh-CN"/>
        </w:rPr>
        <w:t>十、合同份数</w:t>
      </w:r>
    </w:p>
    <w:p w14:paraId="218BE8A0">
      <w:pPr>
        <w:keepNext w:val="0"/>
        <w:keepLines w:val="0"/>
        <w:pageBreakBefore w:val="0"/>
        <w:widowControl w:val="0"/>
        <w:kinsoku/>
        <w:wordWrap/>
        <w:overflowPunct/>
        <w:topLinePunct w:val="0"/>
        <w:autoSpaceDE w:val="0"/>
        <w:autoSpaceDN w:val="0"/>
        <w:bidi w:val="0"/>
        <w:adjustRightInd w:val="0"/>
        <w:snapToGrid w:val="0"/>
        <w:spacing w:line="360" w:lineRule="auto"/>
        <w:ind w:left="0" w:leftChars="0" w:firstLine="420" w:firstLineChars="200"/>
        <w:jc w:val="left"/>
        <w:textAlignment w:val="auto"/>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本合同一式</w:t>
      </w:r>
      <w:r>
        <w:rPr>
          <w:rFonts w:hint="eastAsia" w:ascii="宋体" w:hAnsi="宋体" w:eastAsia="宋体" w:cs="宋体"/>
          <w:color w:val="auto"/>
          <w:sz w:val="21"/>
          <w:szCs w:val="21"/>
          <w:highlight w:val="none"/>
          <w:lang w:bidi="zh-CN"/>
        </w:rPr>
        <w:t>捌</w:t>
      </w:r>
      <w:r>
        <w:rPr>
          <w:rFonts w:hint="eastAsia" w:ascii="宋体" w:hAnsi="宋体" w:eastAsia="宋体" w:cs="宋体"/>
          <w:color w:val="auto"/>
          <w:sz w:val="21"/>
          <w:szCs w:val="21"/>
          <w:highlight w:val="none"/>
          <w:lang w:val="zh-CN" w:bidi="zh-CN"/>
        </w:rPr>
        <w:t>份，具有同等法律效力，其中委托人执</w:t>
      </w:r>
      <w:r>
        <w:rPr>
          <w:rFonts w:hint="eastAsia" w:ascii="宋体" w:hAnsi="宋体" w:eastAsia="宋体" w:cs="宋体"/>
          <w:color w:val="auto"/>
          <w:sz w:val="21"/>
          <w:szCs w:val="21"/>
          <w:highlight w:val="none"/>
          <w:u w:val="single"/>
          <w:lang w:val="zh-CN" w:bidi="zh-CN"/>
        </w:rPr>
        <w:t xml:space="preserve"> </w:t>
      </w:r>
      <w:r>
        <w:rPr>
          <w:rFonts w:hint="eastAsia" w:ascii="宋体" w:hAnsi="宋体" w:eastAsia="宋体" w:cs="宋体"/>
          <w:color w:val="auto"/>
          <w:sz w:val="21"/>
          <w:szCs w:val="21"/>
          <w:highlight w:val="none"/>
          <w:u w:val="single"/>
          <w:lang w:bidi="zh-CN"/>
        </w:rPr>
        <w:t xml:space="preserve">   </w:t>
      </w:r>
      <w:r>
        <w:rPr>
          <w:rFonts w:hint="eastAsia" w:ascii="宋体" w:hAnsi="宋体" w:eastAsia="宋体" w:cs="宋体"/>
          <w:color w:val="auto"/>
          <w:sz w:val="21"/>
          <w:szCs w:val="21"/>
          <w:highlight w:val="none"/>
          <w:u w:val="single"/>
          <w:lang w:val="zh-CN" w:bidi="zh-CN"/>
        </w:rPr>
        <w:t xml:space="preserve"> </w:t>
      </w:r>
      <w:r>
        <w:rPr>
          <w:rFonts w:hint="eastAsia" w:ascii="宋体" w:hAnsi="宋体" w:eastAsia="宋体" w:cs="宋体"/>
          <w:color w:val="auto"/>
          <w:sz w:val="21"/>
          <w:szCs w:val="21"/>
          <w:highlight w:val="none"/>
          <w:lang w:val="zh-CN" w:bidi="zh-CN"/>
        </w:rPr>
        <w:t>份，</w:t>
      </w:r>
      <w:r>
        <w:rPr>
          <w:rFonts w:hint="eastAsia" w:ascii="宋体" w:hAnsi="宋体" w:eastAsia="宋体" w:cs="宋体"/>
          <w:color w:val="auto"/>
          <w:sz w:val="21"/>
          <w:szCs w:val="21"/>
          <w:highlight w:val="none"/>
          <w:lang w:val="en-US" w:bidi="zh-CN"/>
        </w:rPr>
        <w:t>咨询人</w:t>
      </w:r>
      <w:r>
        <w:rPr>
          <w:rFonts w:hint="eastAsia" w:ascii="宋体" w:hAnsi="宋体" w:eastAsia="宋体" w:cs="宋体"/>
          <w:color w:val="auto"/>
          <w:sz w:val="21"/>
          <w:szCs w:val="21"/>
          <w:highlight w:val="none"/>
          <w:lang w:val="zh-CN" w:bidi="zh-CN"/>
        </w:rPr>
        <w:t>执</w:t>
      </w:r>
      <w:r>
        <w:rPr>
          <w:rFonts w:hint="eastAsia" w:ascii="宋体" w:hAnsi="宋体" w:eastAsia="宋体" w:cs="宋体"/>
          <w:color w:val="auto"/>
          <w:sz w:val="21"/>
          <w:szCs w:val="21"/>
          <w:highlight w:val="none"/>
          <w:u w:val="single"/>
          <w:lang w:val="zh-CN" w:bidi="zh-CN"/>
        </w:rPr>
        <w:t xml:space="preserve">  </w:t>
      </w:r>
      <w:r>
        <w:rPr>
          <w:rFonts w:hint="eastAsia" w:ascii="宋体" w:hAnsi="宋体" w:eastAsia="宋体" w:cs="宋体"/>
          <w:color w:val="auto"/>
          <w:sz w:val="21"/>
          <w:szCs w:val="21"/>
          <w:highlight w:val="none"/>
          <w:u w:val="single"/>
          <w:lang w:bidi="zh-CN"/>
        </w:rPr>
        <w:t xml:space="preserve">  </w:t>
      </w:r>
      <w:r>
        <w:rPr>
          <w:rFonts w:hint="eastAsia" w:ascii="宋体" w:hAnsi="宋体" w:eastAsia="宋体" w:cs="宋体"/>
          <w:color w:val="auto"/>
          <w:sz w:val="21"/>
          <w:szCs w:val="21"/>
          <w:highlight w:val="none"/>
          <w:u w:val="single"/>
          <w:lang w:val="zh-CN" w:bidi="zh-CN"/>
        </w:rPr>
        <w:t xml:space="preserve"> </w:t>
      </w:r>
      <w:r>
        <w:rPr>
          <w:rFonts w:hint="eastAsia" w:ascii="宋体" w:hAnsi="宋体" w:eastAsia="宋体" w:cs="宋体"/>
          <w:color w:val="auto"/>
          <w:sz w:val="21"/>
          <w:szCs w:val="21"/>
          <w:highlight w:val="none"/>
          <w:lang w:val="zh-CN" w:bidi="zh-CN"/>
        </w:rPr>
        <w:t>份。</w:t>
      </w:r>
    </w:p>
    <w:p w14:paraId="79C3BCC4">
      <w:pPr>
        <w:keepNext w:val="0"/>
        <w:keepLines w:val="0"/>
        <w:pageBreakBefore w:val="0"/>
        <w:widowControl w:val="0"/>
        <w:tabs>
          <w:tab w:val="left" w:pos="3384"/>
          <w:tab w:val="left" w:pos="5179"/>
          <w:tab w:val="left" w:pos="7723"/>
        </w:tabs>
        <w:kinsoku/>
        <w:wordWrap/>
        <w:overflowPunct/>
        <w:topLinePunct w:val="0"/>
        <w:autoSpaceDE w:val="0"/>
        <w:autoSpaceDN w:val="0"/>
        <w:bidi w:val="0"/>
        <w:adjustRightInd w:val="0"/>
        <w:snapToGrid w:val="0"/>
        <w:spacing w:line="360" w:lineRule="auto"/>
        <w:ind w:left="0" w:leftChars="0" w:firstLine="420" w:firstLineChars="200"/>
        <w:jc w:val="left"/>
        <w:textAlignment w:val="auto"/>
        <w:rPr>
          <w:rFonts w:hint="eastAsia" w:ascii="宋体" w:hAnsi="宋体" w:eastAsia="宋体" w:cs="宋体"/>
          <w:color w:val="auto"/>
          <w:sz w:val="21"/>
          <w:szCs w:val="21"/>
          <w:highlight w:val="none"/>
          <w:lang w:val="zh-CN" w:bidi="zh-CN"/>
        </w:rPr>
      </w:pPr>
    </w:p>
    <w:p w14:paraId="7C63A7ED">
      <w:pPr>
        <w:keepNext w:val="0"/>
        <w:keepLines w:val="0"/>
        <w:pageBreakBefore w:val="0"/>
        <w:widowControl w:val="0"/>
        <w:tabs>
          <w:tab w:val="left" w:pos="3384"/>
          <w:tab w:val="left" w:pos="5179"/>
          <w:tab w:val="left" w:pos="7723"/>
        </w:tabs>
        <w:kinsoku/>
        <w:wordWrap/>
        <w:overflowPunct/>
        <w:topLinePunct w:val="0"/>
        <w:autoSpaceDE w:val="0"/>
        <w:autoSpaceDN w:val="0"/>
        <w:bidi w:val="0"/>
        <w:adjustRightInd w:val="0"/>
        <w:snapToGrid w:val="0"/>
        <w:spacing w:line="360" w:lineRule="auto"/>
        <w:ind w:left="0" w:leftChars="0" w:firstLine="420" w:firstLineChars="200"/>
        <w:jc w:val="left"/>
        <w:textAlignment w:val="auto"/>
        <w:rPr>
          <w:rFonts w:hint="eastAsia" w:ascii="宋体" w:hAnsi="宋体" w:eastAsia="宋体" w:cs="宋体"/>
          <w:color w:val="auto"/>
          <w:spacing w:val="-16"/>
          <w:sz w:val="21"/>
          <w:szCs w:val="21"/>
          <w:highlight w:val="none"/>
          <w:lang w:val="zh-CN" w:bidi="zh-CN"/>
        </w:rPr>
      </w:pPr>
      <w:r>
        <w:rPr>
          <w:rFonts w:hint="eastAsia" w:ascii="宋体" w:hAnsi="宋体" w:eastAsia="宋体" w:cs="宋体"/>
          <w:color w:val="auto"/>
          <w:sz w:val="21"/>
          <w:szCs w:val="21"/>
          <w:highlight w:val="none"/>
          <w:lang w:val="zh-CN" w:bidi="zh-CN"/>
        </w:rPr>
        <w:t>委 托</w:t>
      </w:r>
      <w:r>
        <w:rPr>
          <w:rFonts w:hint="eastAsia" w:ascii="宋体" w:hAnsi="宋体" w:eastAsia="宋体" w:cs="宋体"/>
          <w:color w:val="auto"/>
          <w:spacing w:val="3"/>
          <w:sz w:val="21"/>
          <w:szCs w:val="21"/>
          <w:highlight w:val="none"/>
          <w:lang w:val="zh-CN" w:bidi="zh-CN"/>
        </w:rPr>
        <w:t xml:space="preserve"> </w:t>
      </w:r>
      <w:r>
        <w:rPr>
          <w:rFonts w:hint="eastAsia" w:ascii="宋体" w:hAnsi="宋体" w:eastAsia="宋体" w:cs="宋体"/>
          <w:color w:val="auto"/>
          <w:sz w:val="21"/>
          <w:szCs w:val="21"/>
          <w:highlight w:val="none"/>
          <w:lang w:val="zh-CN" w:bidi="zh-CN"/>
        </w:rPr>
        <w:t>人：</w:t>
      </w:r>
      <w:r>
        <w:rPr>
          <w:rFonts w:hint="eastAsia" w:ascii="宋体" w:hAnsi="宋体" w:eastAsia="宋体" w:cs="宋体"/>
          <w:color w:val="auto"/>
          <w:sz w:val="21"/>
          <w:szCs w:val="21"/>
          <w:highlight w:val="none"/>
          <w:u w:val="single"/>
          <w:lang w:val="zh-CN" w:bidi="zh-CN"/>
        </w:rPr>
        <w:t xml:space="preserve"> </w:t>
      </w:r>
      <w:r>
        <w:rPr>
          <w:rFonts w:hint="eastAsia" w:ascii="宋体" w:hAnsi="宋体" w:eastAsia="宋体" w:cs="宋体"/>
          <w:color w:val="auto"/>
          <w:sz w:val="21"/>
          <w:szCs w:val="21"/>
          <w:highlight w:val="none"/>
          <w:u w:val="single"/>
          <w:lang w:val="zh-CN" w:bidi="zh-CN"/>
        </w:rPr>
        <w:tab/>
      </w:r>
      <w:r>
        <w:rPr>
          <w:rFonts w:hint="eastAsia" w:ascii="宋体" w:hAnsi="宋体" w:eastAsia="宋体" w:cs="宋体"/>
          <w:color w:val="auto"/>
          <w:sz w:val="21"/>
          <w:szCs w:val="21"/>
          <w:highlight w:val="none"/>
          <w:lang w:val="zh-CN" w:bidi="zh-CN"/>
        </w:rPr>
        <w:t>（盖章）</w:t>
      </w:r>
      <w:r>
        <w:rPr>
          <w:rFonts w:hint="eastAsia" w:ascii="宋体" w:hAnsi="宋体" w:eastAsia="宋体" w:cs="宋体"/>
          <w:color w:val="auto"/>
          <w:sz w:val="21"/>
          <w:szCs w:val="21"/>
          <w:highlight w:val="none"/>
          <w:lang w:val="zh-CN" w:bidi="zh-CN"/>
        </w:rPr>
        <w:tab/>
      </w:r>
      <w:r>
        <w:rPr>
          <w:rFonts w:hint="eastAsia" w:ascii="宋体" w:hAnsi="宋体" w:eastAsia="宋体" w:cs="宋体"/>
          <w:color w:val="auto"/>
          <w:sz w:val="21"/>
          <w:szCs w:val="21"/>
          <w:highlight w:val="none"/>
          <w:lang w:val="zh-CN" w:bidi="zh-CN"/>
        </w:rPr>
        <w:t>咨 询</w:t>
      </w:r>
      <w:r>
        <w:rPr>
          <w:rFonts w:hint="eastAsia" w:ascii="宋体" w:hAnsi="宋体" w:eastAsia="宋体" w:cs="宋体"/>
          <w:color w:val="auto"/>
          <w:spacing w:val="3"/>
          <w:sz w:val="21"/>
          <w:szCs w:val="21"/>
          <w:highlight w:val="none"/>
          <w:lang w:val="zh-CN" w:bidi="zh-CN"/>
        </w:rPr>
        <w:t xml:space="preserve"> </w:t>
      </w:r>
      <w:r>
        <w:rPr>
          <w:rFonts w:hint="eastAsia" w:ascii="宋体" w:hAnsi="宋体" w:eastAsia="宋体" w:cs="宋体"/>
          <w:color w:val="auto"/>
          <w:sz w:val="21"/>
          <w:szCs w:val="21"/>
          <w:highlight w:val="none"/>
          <w:lang w:val="zh-CN" w:bidi="zh-CN"/>
        </w:rPr>
        <w:t>人：</w:t>
      </w:r>
      <w:r>
        <w:rPr>
          <w:rFonts w:hint="eastAsia" w:ascii="宋体" w:hAnsi="宋体" w:eastAsia="宋体" w:cs="宋体"/>
          <w:color w:val="auto"/>
          <w:sz w:val="21"/>
          <w:szCs w:val="21"/>
          <w:highlight w:val="none"/>
          <w:u w:val="single"/>
          <w:lang w:val="zh-CN" w:bidi="zh-CN"/>
        </w:rPr>
        <w:t xml:space="preserve"> </w:t>
      </w:r>
      <w:r>
        <w:rPr>
          <w:rFonts w:hint="eastAsia" w:ascii="宋体" w:hAnsi="宋体" w:eastAsia="宋体" w:cs="宋体"/>
          <w:color w:val="auto"/>
          <w:sz w:val="21"/>
          <w:szCs w:val="21"/>
          <w:highlight w:val="none"/>
          <w:u w:val="single"/>
          <w:lang w:val="zh-CN" w:bidi="zh-CN"/>
        </w:rPr>
        <w:tab/>
      </w:r>
      <w:r>
        <w:rPr>
          <w:rFonts w:hint="eastAsia" w:ascii="宋体" w:hAnsi="宋体" w:eastAsia="宋体" w:cs="宋体"/>
          <w:color w:val="auto"/>
          <w:sz w:val="21"/>
          <w:szCs w:val="21"/>
          <w:highlight w:val="none"/>
          <w:lang w:val="zh-CN" w:bidi="zh-CN"/>
        </w:rPr>
        <w:t>（盖章</w:t>
      </w:r>
      <w:r>
        <w:rPr>
          <w:rFonts w:hint="eastAsia" w:ascii="宋体" w:hAnsi="宋体" w:eastAsia="宋体" w:cs="宋体"/>
          <w:color w:val="auto"/>
          <w:spacing w:val="-16"/>
          <w:sz w:val="21"/>
          <w:szCs w:val="21"/>
          <w:highlight w:val="none"/>
          <w:lang w:val="zh-CN" w:bidi="zh-CN"/>
        </w:rPr>
        <w:t>）</w:t>
      </w:r>
    </w:p>
    <w:p w14:paraId="61216B26">
      <w:pPr>
        <w:keepNext w:val="0"/>
        <w:keepLines w:val="0"/>
        <w:pageBreakBefore w:val="0"/>
        <w:widowControl w:val="0"/>
        <w:tabs>
          <w:tab w:val="left" w:pos="3384"/>
          <w:tab w:val="left" w:pos="5179"/>
          <w:tab w:val="left" w:pos="7723"/>
        </w:tabs>
        <w:kinsoku/>
        <w:wordWrap/>
        <w:overflowPunct/>
        <w:topLinePunct w:val="0"/>
        <w:autoSpaceDE w:val="0"/>
        <w:autoSpaceDN w:val="0"/>
        <w:bidi w:val="0"/>
        <w:adjustRightInd w:val="0"/>
        <w:snapToGrid w:val="0"/>
        <w:spacing w:line="360" w:lineRule="auto"/>
        <w:ind w:left="0" w:leftChars="0" w:firstLine="420" w:firstLineChars="200"/>
        <w:jc w:val="left"/>
        <w:textAlignment w:val="auto"/>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法定代表人或其授权的</w:t>
      </w:r>
      <w:r>
        <w:rPr>
          <w:rFonts w:hint="eastAsia" w:ascii="宋体" w:hAnsi="宋体" w:eastAsia="宋体" w:cs="宋体"/>
          <w:color w:val="auto"/>
          <w:sz w:val="21"/>
          <w:szCs w:val="21"/>
          <w:highlight w:val="none"/>
          <w:lang w:val="zh-CN" w:bidi="zh-CN"/>
        </w:rPr>
        <w:tab/>
      </w:r>
      <w:r>
        <w:rPr>
          <w:rFonts w:hint="eastAsia" w:ascii="宋体" w:hAnsi="宋体" w:eastAsia="宋体" w:cs="宋体"/>
          <w:color w:val="auto"/>
          <w:sz w:val="21"/>
          <w:szCs w:val="21"/>
          <w:highlight w:val="none"/>
          <w:lang w:val="zh-CN" w:bidi="zh-CN"/>
        </w:rPr>
        <w:tab/>
      </w:r>
      <w:r>
        <w:rPr>
          <w:rFonts w:hint="eastAsia" w:ascii="宋体" w:hAnsi="宋体" w:eastAsia="宋体" w:cs="宋体"/>
          <w:color w:val="auto"/>
          <w:sz w:val="21"/>
          <w:szCs w:val="21"/>
          <w:highlight w:val="none"/>
          <w:lang w:val="zh-CN" w:bidi="zh-CN"/>
        </w:rPr>
        <w:t>法定代表人或其授权的</w:t>
      </w:r>
    </w:p>
    <w:p w14:paraId="2E82786E">
      <w:pPr>
        <w:keepNext w:val="0"/>
        <w:keepLines w:val="0"/>
        <w:pageBreakBefore w:val="0"/>
        <w:widowControl w:val="0"/>
        <w:tabs>
          <w:tab w:val="left" w:pos="3216"/>
          <w:tab w:val="left" w:pos="5172"/>
          <w:tab w:val="left" w:pos="7529"/>
        </w:tabs>
        <w:kinsoku/>
        <w:wordWrap/>
        <w:overflowPunct/>
        <w:topLinePunct w:val="0"/>
        <w:autoSpaceDE w:val="0"/>
        <w:autoSpaceDN w:val="0"/>
        <w:bidi w:val="0"/>
        <w:adjustRightInd w:val="0"/>
        <w:snapToGrid w:val="0"/>
        <w:spacing w:line="360" w:lineRule="auto"/>
        <w:ind w:left="0" w:leftChars="0" w:firstLine="420" w:firstLineChars="200"/>
        <w:jc w:val="left"/>
        <w:textAlignment w:val="auto"/>
        <w:rPr>
          <w:rFonts w:hint="eastAsia" w:ascii="宋体" w:hAnsi="宋体" w:eastAsia="宋体" w:cs="宋体"/>
          <w:color w:val="auto"/>
          <w:spacing w:val="-13"/>
          <w:sz w:val="21"/>
          <w:szCs w:val="21"/>
          <w:highlight w:val="none"/>
          <w:lang w:val="zh-CN" w:bidi="zh-CN"/>
        </w:rPr>
      </w:pPr>
      <w:r>
        <w:rPr>
          <w:rFonts w:hint="eastAsia" w:ascii="宋体" w:hAnsi="宋体" w:eastAsia="宋体" w:cs="宋体"/>
          <w:color w:val="auto"/>
          <w:sz w:val="21"/>
          <w:szCs w:val="21"/>
          <w:highlight w:val="none"/>
          <w:lang w:val="zh-CN" w:bidi="zh-CN"/>
        </w:rPr>
        <w:t>代</w:t>
      </w:r>
      <w:r>
        <w:rPr>
          <w:rFonts w:hint="eastAsia" w:ascii="宋体" w:hAnsi="宋体" w:eastAsia="宋体" w:cs="宋体"/>
          <w:color w:val="auto"/>
          <w:spacing w:val="-56"/>
          <w:sz w:val="21"/>
          <w:szCs w:val="21"/>
          <w:highlight w:val="none"/>
          <w:lang w:val="zh-CN" w:bidi="zh-CN"/>
        </w:rPr>
        <w:t xml:space="preserve"> </w:t>
      </w:r>
      <w:r>
        <w:rPr>
          <w:rFonts w:hint="eastAsia" w:ascii="宋体" w:hAnsi="宋体" w:eastAsia="宋体" w:cs="宋体"/>
          <w:color w:val="auto"/>
          <w:sz w:val="21"/>
          <w:szCs w:val="21"/>
          <w:highlight w:val="none"/>
          <w:lang w:val="zh-CN" w:bidi="zh-CN"/>
        </w:rPr>
        <w:t>理</w:t>
      </w:r>
      <w:r>
        <w:rPr>
          <w:rFonts w:hint="eastAsia" w:ascii="宋体" w:hAnsi="宋体" w:eastAsia="宋体" w:cs="宋体"/>
          <w:color w:val="auto"/>
          <w:spacing w:val="-58"/>
          <w:sz w:val="21"/>
          <w:szCs w:val="21"/>
          <w:highlight w:val="none"/>
          <w:lang w:val="zh-CN" w:bidi="zh-CN"/>
        </w:rPr>
        <w:t xml:space="preserve"> </w:t>
      </w:r>
      <w:r>
        <w:rPr>
          <w:rFonts w:hint="eastAsia" w:ascii="宋体" w:hAnsi="宋体" w:eastAsia="宋体" w:cs="宋体"/>
          <w:color w:val="auto"/>
          <w:sz w:val="21"/>
          <w:szCs w:val="21"/>
          <w:highlight w:val="none"/>
          <w:lang w:val="zh-CN" w:bidi="zh-CN"/>
        </w:rPr>
        <w:t>人</w:t>
      </w:r>
      <w:r>
        <w:rPr>
          <w:rFonts w:hint="eastAsia" w:ascii="宋体" w:hAnsi="宋体" w:eastAsia="宋体" w:cs="宋体"/>
          <w:color w:val="auto"/>
          <w:spacing w:val="-56"/>
          <w:sz w:val="21"/>
          <w:szCs w:val="21"/>
          <w:highlight w:val="none"/>
          <w:lang w:val="zh-CN" w:bidi="zh-CN"/>
        </w:rPr>
        <w:t xml:space="preserve"> </w:t>
      </w:r>
      <w:r>
        <w:rPr>
          <w:rFonts w:hint="eastAsia" w:ascii="宋体" w:hAnsi="宋体" w:eastAsia="宋体" w:cs="宋体"/>
          <w:color w:val="auto"/>
          <w:sz w:val="21"/>
          <w:szCs w:val="21"/>
          <w:highlight w:val="none"/>
          <w:lang w:val="zh-CN" w:bidi="zh-CN"/>
        </w:rPr>
        <w:t>：</w:t>
      </w:r>
      <w:r>
        <w:rPr>
          <w:rFonts w:hint="eastAsia" w:ascii="宋体" w:hAnsi="宋体" w:eastAsia="宋体" w:cs="宋体"/>
          <w:color w:val="auto"/>
          <w:sz w:val="21"/>
          <w:szCs w:val="21"/>
          <w:highlight w:val="none"/>
          <w:u w:val="single"/>
          <w:lang w:val="zh-CN" w:bidi="zh-CN"/>
        </w:rPr>
        <w:t xml:space="preserve"> </w:t>
      </w:r>
      <w:r>
        <w:rPr>
          <w:rFonts w:hint="eastAsia" w:ascii="宋体" w:hAnsi="宋体" w:eastAsia="宋体" w:cs="宋体"/>
          <w:color w:val="auto"/>
          <w:sz w:val="21"/>
          <w:szCs w:val="21"/>
          <w:highlight w:val="none"/>
          <w:u w:val="single"/>
          <w:lang w:val="zh-CN" w:bidi="zh-CN"/>
        </w:rPr>
        <w:tab/>
      </w:r>
      <w:r>
        <w:rPr>
          <w:rFonts w:hint="eastAsia" w:ascii="宋体" w:hAnsi="宋体" w:eastAsia="宋体" w:cs="宋体"/>
          <w:color w:val="auto"/>
          <w:sz w:val="21"/>
          <w:szCs w:val="21"/>
          <w:highlight w:val="none"/>
          <w:lang w:val="zh-CN" w:bidi="zh-CN"/>
        </w:rPr>
        <w:t>（</w:t>
      </w:r>
      <w:r>
        <w:rPr>
          <w:rFonts w:hint="eastAsia" w:ascii="宋体" w:hAnsi="宋体" w:eastAsia="宋体" w:cs="宋体"/>
          <w:color w:val="auto"/>
          <w:spacing w:val="-56"/>
          <w:sz w:val="21"/>
          <w:szCs w:val="21"/>
          <w:highlight w:val="none"/>
          <w:lang w:val="zh-CN" w:bidi="zh-CN"/>
        </w:rPr>
        <w:t xml:space="preserve"> </w:t>
      </w:r>
      <w:r>
        <w:rPr>
          <w:rFonts w:hint="eastAsia" w:ascii="宋体" w:hAnsi="宋体" w:eastAsia="宋体" w:cs="宋体"/>
          <w:color w:val="auto"/>
          <w:sz w:val="21"/>
          <w:szCs w:val="21"/>
          <w:highlight w:val="none"/>
          <w:lang w:val="zh-CN" w:bidi="zh-CN"/>
        </w:rPr>
        <w:t>签</w:t>
      </w:r>
      <w:r>
        <w:rPr>
          <w:rFonts w:hint="eastAsia" w:ascii="宋体" w:hAnsi="宋体" w:eastAsia="宋体" w:cs="宋体"/>
          <w:color w:val="auto"/>
          <w:spacing w:val="-58"/>
          <w:sz w:val="21"/>
          <w:szCs w:val="21"/>
          <w:highlight w:val="none"/>
          <w:lang w:val="zh-CN" w:bidi="zh-CN"/>
        </w:rPr>
        <w:t xml:space="preserve"> </w:t>
      </w:r>
      <w:r>
        <w:rPr>
          <w:rFonts w:hint="eastAsia" w:ascii="宋体" w:hAnsi="宋体" w:eastAsia="宋体" w:cs="宋体"/>
          <w:color w:val="auto"/>
          <w:sz w:val="21"/>
          <w:szCs w:val="21"/>
          <w:highlight w:val="none"/>
          <w:lang w:val="zh-CN" w:bidi="zh-CN"/>
        </w:rPr>
        <w:t>字</w:t>
      </w:r>
      <w:r>
        <w:rPr>
          <w:rFonts w:hint="eastAsia" w:ascii="宋体" w:hAnsi="宋体" w:eastAsia="宋体" w:cs="宋体"/>
          <w:color w:val="auto"/>
          <w:spacing w:val="-56"/>
          <w:sz w:val="21"/>
          <w:szCs w:val="21"/>
          <w:highlight w:val="none"/>
          <w:lang w:val="zh-CN" w:bidi="zh-CN"/>
        </w:rPr>
        <w:t xml:space="preserve"> </w:t>
      </w:r>
      <w:r>
        <w:rPr>
          <w:rFonts w:hint="eastAsia" w:ascii="宋体" w:hAnsi="宋体" w:eastAsia="宋体" w:cs="宋体"/>
          <w:color w:val="auto"/>
          <w:sz w:val="21"/>
          <w:szCs w:val="21"/>
          <w:highlight w:val="none"/>
          <w:lang w:val="zh-CN" w:bidi="zh-CN"/>
        </w:rPr>
        <w:t>）</w:t>
      </w:r>
      <w:r>
        <w:rPr>
          <w:rFonts w:hint="eastAsia" w:ascii="宋体" w:hAnsi="宋体" w:eastAsia="宋体" w:cs="宋体"/>
          <w:color w:val="auto"/>
          <w:sz w:val="21"/>
          <w:szCs w:val="21"/>
          <w:highlight w:val="none"/>
          <w:lang w:val="zh-CN" w:bidi="zh-CN"/>
        </w:rPr>
        <w:tab/>
      </w:r>
      <w:r>
        <w:rPr>
          <w:rFonts w:hint="eastAsia" w:ascii="宋体" w:hAnsi="宋体" w:eastAsia="宋体" w:cs="宋体"/>
          <w:color w:val="auto"/>
          <w:sz w:val="21"/>
          <w:szCs w:val="21"/>
          <w:highlight w:val="none"/>
          <w:lang w:val="zh-CN" w:bidi="zh-CN"/>
        </w:rPr>
        <w:t>代</w:t>
      </w:r>
      <w:r>
        <w:rPr>
          <w:rFonts w:hint="eastAsia" w:ascii="宋体" w:hAnsi="宋体" w:eastAsia="宋体" w:cs="宋体"/>
          <w:color w:val="auto"/>
          <w:spacing w:val="-56"/>
          <w:sz w:val="21"/>
          <w:szCs w:val="21"/>
          <w:highlight w:val="none"/>
          <w:lang w:val="zh-CN" w:bidi="zh-CN"/>
        </w:rPr>
        <w:t xml:space="preserve"> </w:t>
      </w:r>
      <w:r>
        <w:rPr>
          <w:rFonts w:hint="eastAsia" w:ascii="宋体" w:hAnsi="宋体" w:eastAsia="宋体" w:cs="宋体"/>
          <w:color w:val="auto"/>
          <w:sz w:val="21"/>
          <w:szCs w:val="21"/>
          <w:highlight w:val="none"/>
          <w:lang w:val="zh-CN" w:bidi="zh-CN"/>
        </w:rPr>
        <w:t>理</w:t>
      </w:r>
      <w:r>
        <w:rPr>
          <w:rFonts w:hint="eastAsia" w:ascii="宋体" w:hAnsi="宋体" w:eastAsia="宋体" w:cs="宋体"/>
          <w:color w:val="auto"/>
          <w:spacing w:val="-58"/>
          <w:sz w:val="21"/>
          <w:szCs w:val="21"/>
          <w:highlight w:val="none"/>
          <w:lang w:val="zh-CN" w:bidi="zh-CN"/>
        </w:rPr>
        <w:t xml:space="preserve"> </w:t>
      </w:r>
      <w:r>
        <w:rPr>
          <w:rFonts w:hint="eastAsia" w:ascii="宋体" w:hAnsi="宋体" w:eastAsia="宋体" w:cs="宋体"/>
          <w:color w:val="auto"/>
          <w:sz w:val="21"/>
          <w:szCs w:val="21"/>
          <w:highlight w:val="none"/>
          <w:lang w:val="zh-CN" w:bidi="zh-CN"/>
        </w:rPr>
        <w:t>人</w:t>
      </w:r>
      <w:r>
        <w:rPr>
          <w:rFonts w:hint="eastAsia" w:ascii="宋体" w:hAnsi="宋体" w:eastAsia="宋体" w:cs="宋体"/>
          <w:color w:val="auto"/>
          <w:spacing w:val="-56"/>
          <w:sz w:val="21"/>
          <w:szCs w:val="21"/>
          <w:highlight w:val="none"/>
          <w:lang w:val="zh-CN" w:bidi="zh-CN"/>
        </w:rPr>
        <w:t xml:space="preserve"> </w:t>
      </w:r>
      <w:r>
        <w:rPr>
          <w:rFonts w:hint="eastAsia" w:ascii="宋体" w:hAnsi="宋体" w:eastAsia="宋体" w:cs="宋体"/>
          <w:color w:val="auto"/>
          <w:sz w:val="21"/>
          <w:szCs w:val="21"/>
          <w:highlight w:val="none"/>
          <w:lang w:val="zh-CN" w:bidi="zh-CN"/>
        </w:rPr>
        <w:t>：</w:t>
      </w:r>
      <w:r>
        <w:rPr>
          <w:rFonts w:hint="eastAsia" w:ascii="宋体" w:hAnsi="宋体" w:eastAsia="宋体" w:cs="宋体"/>
          <w:color w:val="auto"/>
          <w:sz w:val="21"/>
          <w:szCs w:val="21"/>
          <w:highlight w:val="none"/>
          <w:u w:val="single"/>
          <w:lang w:val="zh-CN" w:bidi="zh-CN"/>
        </w:rPr>
        <w:t xml:space="preserve"> </w:t>
      </w:r>
      <w:r>
        <w:rPr>
          <w:rFonts w:hint="eastAsia" w:ascii="宋体" w:hAnsi="宋体" w:eastAsia="宋体" w:cs="宋体"/>
          <w:color w:val="auto"/>
          <w:sz w:val="21"/>
          <w:szCs w:val="21"/>
          <w:highlight w:val="none"/>
          <w:u w:val="single"/>
          <w:lang w:val="zh-CN" w:bidi="zh-CN"/>
        </w:rPr>
        <w:tab/>
      </w:r>
      <w:r>
        <w:rPr>
          <w:rFonts w:hint="eastAsia" w:ascii="宋体" w:hAnsi="宋体" w:eastAsia="宋体" w:cs="宋体"/>
          <w:color w:val="auto"/>
          <w:sz w:val="21"/>
          <w:szCs w:val="21"/>
          <w:highlight w:val="none"/>
          <w:lang w:val="zh-CN" w:bidi="zh-CN"/>
        </w:rPr>
        <w:t>（</w:t>
      </w:r>
      <w:r>
        <w:rPr>
          <w:rFonts w:hint="eastAsia" w:ascii="宋体" w:hAnsi="宋体" w:eastAsia="宋体" w:cs="宋体"/>
          <w:color w:val="auto"/>
          <w:spacing w:val="-56"/>
          <w:sz w:val="21"/>
          <w:szCs w:val="21"/>
          <w:highlight w:val="none"/>
          <w:lang w:val="zh-CN" w:bidi="zh-CN"/>
        </w:rPr>
        <w:t xml:space="preserve"> </w:t>
      </w:r>
      <w:r>
        <w:rPr>
          <w:rFonts w:hint="eastAsia" w:ascii="宋体" w:hAnsi="宋体" w:eastAsia="宋体" w:cs="宋体"/>
          <w:color w:val="auto"/>
          <w:sz w:val="21"/>
          <w:szCs w:val="21"/>
          <w:highlight w:val="none"/>
          <w:lang w:val="zh-CN" w:bidi="zh-CN"/>
        </w:rPr>
        <w:t>签</w:t>
      </w:r>
      <w:r>
        <w:rPr>
          <w:rFonts w:hint="eastAsia" w:ascii="宋体" w:hAnsi="宋体" w:eastAsia="宋体" w:cs="宋体"/>
          <w:color w:val="auto"/>
          <w:spacing w:val="-58"/>
          <w:sz w:val="21"/>
          <w:szCs w:val="21"/>
          <w:highlight w:val="none"/>
          <w:lang w:val="zh-CN" w:bidi="zh-CN"/>
        </w:rPr>
        <w:t xml:space="preserve"> </w:t>
      </w:r>
      <w:r>
        <w:rPr>
          <w:rFonts w:hint="eastAsia" w:ascii="宋体" w:hAnsi="宋体" w:eastAsia="宋体" w:cs="宋体"/>
          <w:color w:val="auto"/>
          <w:sz w:val="21"/>
          <w:szCs w:val="21"/>
          <w:highlight w:val="none"/>
          <w:lang w:val="zh-CN" w:bidi="zh-CN"/>
        </w:rPr>
        <w:t>字</w:t>
      </w:r>
      <w:r>
        <w:rPr>
          <w:rFonts w:hint="eastAsia" w:ascii="宋体" w:hAnsi="宋体" w:eastAsia="宋体" w:cs="宋体"/>
          <w:color w:val="auto"/>
          <w:spacing w:val="-56"/>
          <w:sz w:val="21"/>
          <w:szCs w:val="21"/>
          <w:highlight w:val="none"/>
          <w:lang w:val="zh-CN" w:bidi="zh-CN"/>
        </w:rPr>
        <w:t xml:space="preserve"> </w:t>
      </w:r>
      <w:r>
        <w:rPr>
          <w:rFonts w:hint="eastAsia" w:ascii="宋体" w:hAnsi="宋体" w:eastAsia="宋体" w:cs="宋体"/>
          <w:color w:val="auto"/>
          <w:spacing w:val="-13"/>
          <w:sz w:val="21"/>
          <w:szCs w:val="21"/>
          <w:highlight w:val="none"/>
          <w:lang w:val="zh-CN" w:bidi="zh-CN"/>
        </w:rPr>
        <w:t xml:space="preserve">） </w:t>
      </w:r>
    </w:p>
    <w:p w14:paraId="3E05BE70">
      <w:pPr>
        <w:keepNext w:val="0"/>
        <w:keepLines w:val="0"/>
        <w:pageBreakBefore w:val="0"/>
        <w:widowControl w:val="0"/>
        <w:tabs>
          <w:tab w:val="left" w:pos="3216"/>
          <w:tab w:val="left" w:pos="5172"/>
          <w:tab w:val="left" w:pos="7529"/>
        </w:tabs>
        <w:kinsoku/>
        <w:wordWrap/>
        <w:overflowPunct/>
        <w:topLinePunct w:val="0"/>
        <w:autoSpaceDE w:val="0"/>
        <w:autoSpaceDN w:val="0"/>
        <w:bidi w:val="0"/>
        <w:adjustRightInd w:val="0"/>
        <w:snapToGrid w:val="0"/>
        <w:spacing w:line="360" w:lineRule="auto"/>
        <w:ind w:left="0" w:leftChars="0" w:firstLine="420" w:firstLineChars="200"/>
        <w:jc w:val="left"/>
        <w:textAlignment w:val="auto"/>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组织机构代码：</w:t>
      </w:r>
      <w:r>
        <w:rPr>
          <w:rFonts w:hint="eastAsia" w:ascii="宋体" w:hAnsi="宋体" w:eastAsia="宋体" w:cs="宋体"/>
          <w:color w:val="auto"/>
          <w:sz w:val="21"/>
          <w:szCs w:val="21"/>
          <w:highlight w:val="none"/>
          <w:lang w:val="zh-CN" w:bidi="zh-CN"/>
        </w:rPr>
        <w:tab/>
      </w:r>
      <w:r>
        <w:rPr>
          <w:rFonts w:hint="eastAsia" w:ascii="宋体" w:hAnsi="宋体" w:eastAsia="宋体" w:cs="宋体"/>
          <w:color w:val="auto"/>
          <w:sz w:val="21"/>
          <w:szCs w:val="21"/>
          <w:highlight w:val="none"/>
          <w:lang w:val="zh-CN" w:bidi="zh-CN"/>
        </w:rPr>
        <w:tab/>
      </w:r>
      <w:r>
        <w:rPr>
          <w:rFonts w:hint="eastAsia" w:ascii="宋体" w:hAnsi="宋体" w:eastAsia="宋体" w:cs="宋体"/>
          <w:color w:val="auto"/>
          <w:sz w:val="21"/>
          <w:szCs w:val="21"/>
          <w:highlight w:val="none"/>
          <w:lang w:val="zh-CN" w:bidi="zh-CN"/>
        </w:rPr>
        <w:t>组织机构代码：</w:t>
      </w:r>
    </w:p>
    <w:p w14:paraId="7DE0CF3C">
      <w:pPr>
        <w:keepNext w:val="0"/>
        <w:keepLines w:val="0"/>
        <w:pageBreakBefore w:val="0"/>
        <w:widowControl w:val="0"/>
        <w:tabs>
          <w:tab w:val="left" w:pos="5179"/>
        </w:tabs>
        <w:kinsoku/>
        <w:wordWrap/>
        <w:overflowPunct/>
        <w:topLinePunct w:val="0"/>
        <w:autoSpaceDE w:val="0"/>
        <w:autoSpaceDN w:val="0"/>
        <w:bidi w:val="0"/>
        <w:adjustRightInd w:val="0"/>
        <w:snapToGrid w:val="0"/>
        <w:spacing w:line="360" w:lineRule="auto"/>
        <w:ind w:left="0" w:leftChars="0" w:firstLine="420" w:firstLineChars="200"/>
        <w:jc w:val="left"/>
        <w:textAlignment w:val="auto"/>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纳税人识别码：</w:t>
      </w:r>
      <w:r>
        <w:rPr>
          <w:rFonts w:hint="eastAsia" w:ascii="宋体" w:hAnsi="宋体" w:eastAsia="宋体" w:cs="宋体"/>
          <w:color w:val="auto"/>
          <w:sz w:val="21"/>
          <w:szCs w:val="21"/>
          <w:highlight w:val="none"/>
          <w:lang w:val="zh-CN" w:bidi="zh-CN"/>
        </w:rPr>
        <w:tab/>
      </w:r>
      <w:r>
        <w:rPr>
          <w:rFonts w:hint="eastAsia" w:ascii="宋体" w:hAnsi="宋体" w:eastAsia="宋体" w:cs="宋体"/>
          <w:color w:val="auto"/>
          <w:sz w:val="21"/>
          <w:szCs w:val="21"/>
          <w:highlight w:val="none"/>
          <w:lang w:val="zh-CN" w:bidi="zh-CN"/>
        </w:rPr>
        <w:t>纳税人识别码：</w:t>
      </w:r>
    </w:p>
    <w:p w14:paraId="57596820">
      <w:pPr>
        <w:keepNext w:val="0"/>
        <w:keepLines w:val="0"/>
        <w:pageBreakBefore w:val="0"/>
        <w:widowControl w:val="0"/>
        <w:tabs>
          <w:tab w:val="left" w:pos="1579"/>
          <w:tab w:val="left" w:pos="5179"/>
          <w:tab w:val="left" w:pos="5899"/>
        </w:tabs>
        <w:kinsoku/>
        <w:wordWrap/>
        <w:overflowPunct/>
        <w:topLinePunct w:val="0"/>
        <w:autoSpaceDE w:val="0"/>
        <w:autoSpaceDN w:val="0"/>
        <w:bidi w:val="0"/>
        <w:adjustRightInd w:val="0"/>
        <w:snapToGrid w:val="0"/>
        <w:spacing w:line="360" w:lineRule="auto"/>
        <w:ind w:left="0" w:leftChars="0" w:firstLine="420" w:firstLineChars="200"/>
        <w:jc w:val="left"/>
        <w:textAlignment w:val="auto"/>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住</w:t>
      </w:r>
      <w:r>
        <w:rPr>
          <w:rFonts w:hint="eastAsia" w:ascii="宋体" w:hAnsi="宋体" w:eastAsia="宋体" w:cs="宋体"/>
          <w:color w:val="auto"/>
          <w:sz w:val="21"/>
          <w:szCs w:val="21"/>
          <w:highlight w:val="none"/>
          <w:lang w:val="zh-CN" w:bidi="zh-CN"/>
        </w:rPr>
        <w:tab/>
      </w:r>
      <w:r>
        <w:rPr>
          <w:rFonts w:hint="eastAsia" w:ascii="宋体" w:hAnsi="宋体" w:eastAsia="宋体" w:cs="宋体"/>
          <w:color w:val="auto"/>
          <w:sz w:val="21"/>
          <w:szCs w:val="21"/>
          <w:highlight w:val="none"/>
          <w:lang w:val="zh-CN" w:bidi="zh-CN"/>
        </w:rPr>
        <w:t>所：</w:t>
      </w:r>
      <w:r>
        <w:rPr>
          <w:rFonts w:hint="eastAsia" w:ascii="宋体" w:hAnsi="宋体" w:eastAsia="宋体" w:cs="宋体"/>
          <w:color w:val="auto"/>
          <w:sz w:val="21"/>
          <w:szCs w:val="21"/>
          <w:highlight w:val="none"/>
          <w:lang w:val="zh-CN" w:bidi="zh-CN"/>
        </w:rPr>
        <w:tab/>
      </w:r>
      <w:r>
        <w:rPr>
          <w:rFonts w:hint="eastAsia" w:ascii="宋体" w:hAnsi="宋体" w:eastAsia="宋体" w:cs="宋体"/>
          <w:color w:val="auto"/>
          <w:sz w:val="21"/>
          <w:szCs w:val="21"/>
          <w:highlight w:val="none"/>
          <w:lang w:val="zh-CN" w:bidi="zh-CN"/>
        </w:rPr>
        <w:t>住</w:t>
      </w:r>
      <w:r>
        <w:rPr>
          <w:rFonts w:hint="eastAsia" w:ascii="宋体" w:hAnsi="宋体" w:eastAsia="宋体" w:cs="宋体"/>
          <w:color w:val="auto"/>
          <w:sz w:val="21"/>
          <w:szCs w:val="21"/>
          <w:highlight w:val="none"/>
          <w:lang w:val="zh-CN" w:bidi="zh-CN"/>
        </w:rPr>
        <w:tab/>
      </w:r>
      <w:r>
        <w:rPr>
          <w:rFonts w:hint="eastAsia" w:ascii="宋体" w:hAnsi="宋体" w:eastAsia="宋体" w:cs="宋体"/>
          <w:color w:val="auto"/>
          <w:sz w:val="21"/>
          <w:szCs w:val="21"/>
          <w:highlight w:val="none"/>
          <w:lang w:val="zh-CN" w:bidi="zh-CN"/>
        </w:rPr>
        <w:t>所：</w:t>
      </w:r>
    </w:p>
    <w:p w14:paraId="496B7D95">
      <w:pPr>
        <w:keepNext w:val="0"/>
        <w:keepLines w:val="0"/>
        <w:pageBreakBefore w:val="0"/>
        <w:widowControl w:val="0"/>
        <w:tabs>
          <w:tab w:val="left" w:pos="1579"/>
          <w:tab w:val="left" w:pos="5179"/>
          <w:tab w:val="left" w:pos="5899"/>
        </w:tabs>
        <w:kinsoku/>
        <w:wordWrap/>
        <w:overflowPunct/>
        <w:topLinePunct w:val="0"/>
        <w:autoSpaceDE w:val="0"/>
        <w:autoSpaceDN w:val="0"/>
        <w:bidi w:val="0"/>
        <w:adjustRightInd w:val="0"/>
        <w:snapToGrid w:val="0"/>
        <w:spacing w:line="360" w:lineRule="auto"/>
        <w:ind w:left="0" w:leftChars="0" w:firstLine="420" w:firstLineChars="200"/>
        <w:jc w:val="left"/>
        <w:textAlignment w:val="auto"/>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账</w:t>
      </w:r>
      <w:r>
        <w:rPr>
          <w:rFonts w:hint="eastAsia" w:ascii="宋体" w:hAnsi="宋体" w:eastAsia="宋体" w:cs="宋体"/>
          <w:color w:val="auto"/>
          <w:sz w:val="21"/>
          <w:szCs w:val="21"/>
          <w:highlight w:val="none"/>
          <w:lang w:val="zh-CN" w:bidi="zh-CN"/>
        </w:rPr>
        <w:tab/>
      </w:r>
      <w:r>
        <w:rPr>
          <w:rFonts w:hint="eastAsia" w:ascii="宋体" w:hAnsi="宋体" w:eastAsia="宋体" w:cs="宋体"/>
          <w:color w:val="auto"/>
          <w:sz w:val="21"/>
          <w:szCs w:val="21"/>
          <w:highlight w:val="none"/>
          <w:lang w:val="zh-CN" w:bidi="zh-CN"/>
        </w:rPr>
        <w:t>号：</w:t>
      </w:r>
      <w:r>
        <w:rPr>
          <w:rFonts w:hint="eastAsia" w:ascii="宋体" w:hAnsi="宋体" w:eastAsia="宋体" w:cs="宋体"/>
          <w:color w:val="auto"/>
          <w:sz w:val="21"/>
          <w:szCs w:val="21"/>
          <w:highlight w:val="none"/>
          <w:lang w:val="zh-CN" w:bidi="zh-CN"/>
        </w:rPr>
        <w:tab/>
      </w:r>
      <w:r>
        <w:rPr>
          <w:rFonts w:hint="eastAsia" w:ascii="宋体" w:hAnsi="宋体" w:eastAsia="宋体" w:cs="宋体"/>
          <w:color w:val="auto"/>
          <w:sz w:val="21"/>
          <w:szCs w:val="21"/>
          <w:highlight w:val="none"/>
          <w:lang w:val="zh-CN" w:bidi="zh-CN"/>
        </w:rPr>
        <w:t>账</w:t>
      </w:r>
      <w:r>
        <w:rPr>
          <w:rFonts w:hint="eastAsia" w:ascii="宋体" w:hAnsi="宋体" w:eastAsia="宋体" w:cs="宋体"/>
          <w:color w:val="auto"/>
          <w:sz w:val="21"/>
          <w:szCs w:val="21"/>
          <w:highlight w:val="none"/>
          <w:lang w:val="zh-CN" w:bidi="zh-CN"/>
        </w:rPr>
        <w:tab/>
      </w:r>
      <w:r>
        <w:rPr>
          <w:rFonts w:hint="eastAsia" w:ascii="宋体" w:hAnsi="宋体" w:eastAsia="宋体" w:cs="宋体"/>
          <w:color w:val="auto"/>
          <w:sz w:val="21"/>
          <w:szCs w:val="21"/>
          <w:highlight w:val="none"/>
          <w:lang w:val="zh-CN" w:bidi="zh-CN"/>
        </w:rPr>
        <w:t>号：</w:t>
      </w:r>
    </w:p>
    <w:p w14:paraId="49342E9E">
      <w:pPr>
        <w:keepNext w:val="0"/>
        <w:keepLines w:val="0"/>
        <w:pageBreakBefore w:val="0"/>
        <w:widowControl w:val="0"/>
        <w:tabs>
          <w:tab w:val="left" w:pos="5179"/>
        </w:tabs>
        <w:kinsoku/>
        <w:wordWrap/>
        <w:overflowPunct/>
        <w:topLinePunct w:val="0"/>
        <w:autoSpaceDE w:val="0"/>
        <w:autoSpaceDN w:val="0"/>
        <w:bidi w:val="0"/>
        <w:adjustRightInd w:val="0"/>
        <w:snapToGrid w:val="0"/>
        <w:spacing w:line="360" w:lineRule="auto"/>
        <w:ind w:left="0" w:leftChars="0" w:firstLine="420" w:firstLineChars="200"/>
        <w:jc w:val="left"/>
        <w:textAlignment w:val="auto"/>
        <w:rPr>
          <w:rFonts w:hint="eastAsia" w:ascii="宋体" w:hAnsi="宋体" w:eastAsia="宋体" w:cs="宋体"/>
          <w:color w:val="auto"/>
          <w:sz w:val="21"/>
          <w:szCs w:val="21"/>
          <w:highlight w:val="none"/>
          <w:lang w:val="zh-CN" w:bidi="zh-CN"/>
        </w:rPr>
      </w:pPr>
      <w:bookmarkStart w:id="51" w:name="_bookmark5"/>
      <w:bookmarkEnd w:id="51"/>
      <w:bookmarkStart w:id="52" w:name="_bookmark6"/>
      <w:bookmarkEnd w:id="52"/>
      <w:r>
        <w:rPr>
          <w:rFonts w:hint="eastAsia" w:ascii="宋体" w:hAnsi="宋体" w:eastAsia="宋体" w:cs="宋体"/>
          <w:color w:val="auto"/>
          <w:sz w:val="21"/>
          <w:szCs w:val="21"/>
          <w:highlight w:val="none"/>
          <w:lang w:val="zh-CN" w:bidi="zh-CN"/>
        </w:rPr>
        <w:t>开户银行：</w:t>
      </w:r>
      <w:r>
        <w:rPr>
          <w:rFonts w:hint="eastAsia" w:ascii="宋体" w:hAnsi="宋体" w:eastAsia="宋体" w:cs="宋体"/>
          <w:color w:val="auto"/>
          <w:sz w:val="21"/>
          <w:szCs w:val="21"/>
          <w:highlight w:val="none"/>
          <w:lang w:val="zh-CN" w:bidi="zh-CN"/>
        </w:rPr>
        <w:tab/>
      </w:r>
      <w:bookmarkStart w:id="53" w:name="_bookmark4"/>
      <w:bookmarkEnd w:id="53"/>
      <w:r>
        <w:rPr>
          <w:rFonts w:hint="eastAsia" w:ascii="宋体" w:hAnsi="宋体" w:eastAsia="宋体" w:cs="宋体"/>
          <w:color w:val="auto"/>
          <w:sz w:val="21"/>
          <w:szCs w:val="21"/>
          <w:highlight w:val="none"/>
          <w:lang w:val="zh-CN" w:bidi="zh-CN"/>
        </w:rPr>
        <w:t>开户银行：</w:t>
      </w:r>
    </w:p>
    <w:p w14:paraId="528AEC75">
      <w:pPr>
        <w:keepNext w:val="0"/>
        <w:keepLines w:val="0"/>
        <w:pageBreakBefore w:val="0"/>
        <w:widowControl w:val="0"/>
        <w:tabs>
          <w:tab w:val="left" w:pos="5179"/>
        </w:tabs>
        <w:kinsoku/>
        <w:wordWrap/>
        <w:overflowPunct/>
        <w:topLinePunct w:val="0"/>
        <w:autoSpaceDE w:val="0"/>
        <w:autoSpaceDN w:val="0"/>
        <w:bidi w:val="0"/>
        <w:adjustRightInd w:val="0"/>
        <w:snapToGrid w:val="0"/>
        <w:spacing w:line="360" w:lineRule="auto"/>
        <w:ind w:left="0" w:leftChars="0" w:firstLine="420" w:firstLineChars="200"/>
        <w:jc w:val="left"/>
        <w:textAlignment w:val="auto"/>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邮政编码：</w:t>
      </w:r>
      <w:r>
        <w:rPr>
          <w:rFonts w:hint="eastAsia" w:ascii="宋体" w:hAnsi="宋体" w:eastAsia="宋体" w:cs="宋体"/>
          <w:color w:val="auto"/>
          <w:sz w:val="21"/>
          <w:szCs w:val="21"/>
          <w:highlight w:val="none"/>
          <w:lang w:val="zh-CN" w:bidi="zh-CN"/>
        </w:rPr>
        <w:tab/>
      </w:r>
      <w:r>
        <w:rPr>
          <w:rFonts w:hint="eastAsia" w:ascii="宋体" w:hAnsi="宋体" w:eastAsia="宋体" w:cs="宋体"/>
          <w:color w:val="auto"/>
          <w:sz w:val="21"/>
          <w:szCs w:val="21"/>
          <w:highlight w:val="none"/>
          <w:lang w:val="zh-CN" w:bidi="zh-CN"/>
        </w:rPr>
        <w:t>邮政编码：</w:t>
      </w:r>
    </w:p>
    <w:p w14:paraId="6B80356D">
      <w:pPr>
        <w:keepNext w:val="0"/>
        <w:keepLines w:val="0"/>
        <w:pageBreakBefore w:val="0"/>
        <w:widowControl w:val="0"/>
        <w:tabs>
          <w:tab w:val="left" w:pos="1579"/>
          <w:tab w:val="left" w:pos="5179"/>
          <w:tab w:val="left" w:pos="5899"/>
        </w:tabs>
        <w:kinsoku/>
        <w:wordWrap/>
        <w:overflowPunct/>
        <w:topLinePunct w:val="0"/>
        <w:autoSpaceDE w:val="0"/>
        <w:autoSpaceDN w:val="0"/>
        <w:bidi w:val="0"/>
        <w:adjustRightInd w:val="0"/>
        <w:snapToGrid w:val="0"/>
        <w:spacing w:line="360" w:lineRule="auto"/>
        <w:ind w:left="0" w:leftChars="0" w:firstLine="420" w:firstLineChars="200"/>
        <w:jc w:val="left"/>
        <w:textAlignment w:val="auto"/>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电</w:t>
      </w:r>
      <w:r>
        <w:rPr>
          <w:rFonts w:hint="eastAsia" w:ascii="宋体" w:hAnsi="宋体" w:eastAsia="宋体" w:cs="宋体"/>
          <w:color w:val="auto"/>
          <w:sz w:val="21"/>
          <w:szCs w:val="21"/>
          <w:highlight w:val="none"/>
          <w:lang w:val="zh-CN" w:bidi="zh-CN"/>
        </w:rPr>
        <w:tab/>
      </w:r>
      <w:r>
        <w:rPr>
          <w:rFonts w:hint="eastAsia" w:ascii="宋体" w:hAnsi="宋体" w:eastAsia="宋体" w:cs="宋体"/>
          <w:color w:val="auto"/>
          <w:sz w:val="21"/>
          <w:szCs w:val="21"/>
          <w:highlight w:val="none"/>
          <w:lang w:val="zh-CN" w:bidi="zh-CN"/>
        </w:rPr>
        <w:t>话：</w:t>
      </w:r>
      <w:r>
        <w:rPr>
          <w:rFonts w:hint="eastAsia" w:ascii="宋体" w:hAnsi="宋体" w:eastAsia="宋体" w:cs="宋体"/>
          <w:color w:val="auto"/>
          <w:sz w:val="21"/>
          <w:szCs w:val="21"/>
          <w:highlight w:val="none"/>
          <w:lang w:val="zh-CN" w:bidi="zh-CN"/>
        </w:rPr>
        <w:tab/>
      </w:r>
      <w:r>
        <w:rPr>
          <w:rFonts w:hint="eastAsia" w:ascii="宋体" w:hAnsi="宋体" w:eastAsia="宋体" w:cs="宋体"/>
          <w:color w:val="auto"/>
          <w:sz w:val="21"/>
          <w:szCs w:val="21"/>
          <w:highlight w:val="none"/>
          <w:lang w:val="zh-CN" w:bidi="zh-CN"/>
        </w:rPr>
        <w:t>电</w:t>
      </w:r>
      <w:r>
        <w:rPr>
          <w:rFonts w:hint="eastAsia" w:ascii="宋体" w:hAnsi="宋体" w:eastAsia="宋体" w:cs="宋体"/>
          <w:color w:val="auto"/>
          <w:sz w:val="21"/>
          <w:szCs w:val="21"/>
          <w:highlight w:val="none"/>
          <w:lang w:val="zh-CN" w:bidi="zh-CN"/>
        </w:rPr>
        <w:tab/>
      </w:r>
      <w:r>
        <w:rPr>
          <w:rFonts w:hint="eastAsia" w:ascii="宋体" w:hAnsi="宋体" w:eastAsia="宋体" w:cs="宋体"/>
          <w:color w:val="auto"/>
          <w:sz w:val="21"/>
          <w:szCs w:val="21"/>
          <w:highlight w:val="none"/>
          <w:lang w:val="zh-CN" w:bidi="zh-CN"/>
        </w:rPr>
        <w:t>话：</w:t>
      </w:r>
    </w:p>
    <w:p w14:paraId="5031412D">
      <w:pPr>
        <w:keepNext w:val="0"/>
        <w:keepLines w:val="0"/>
        <w:pageBreakBefore w:val="0"/>
        <w:widowControl w:val="0"/>
        <w:tabs>
          <w:tab w:val="left" w:pos="1579"/>
          <w:tab w:val="left" w:pos="5179"/>
          <w:tab w:val="left" w:pos="5899"/>
        </w:tabs>
        <w:kinsoku/>
        <w:wordWrap/>
        <w:overflowPunct/>
        <w:topLinePunct w:val="0"/>
        <w:autoSpaceDE w:val="0"/>
        <w:autoSpaceDN w:val="0"/>
        <w:bidi w:val="0"/>
        <w:adjustRightInd w:val="0"/>
        <w:snapToGrid w:val="0"/>
        <w:spacing w:line="360" w:lineRule="auto"/>
        <w:ind w:left="0" w:leftChars="0" w:firstLine="420" w:firstLineChars="200"/>
        <w:jc w:val="left"/>
        <w:textAlignment w:val="auto"/>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传</w:t>
      </w:r>
      <w:r>
        <w:rPr>
          <w:rFonts w:hint="eastAsia" w:ascii="宋体" w:hAnsi="宋体" w:eastAsia="宋体" w:cs="宋体"/>
          <w:color w:val="auto"/>
          <w:sz w:val="21"/>
          <w:szCs w:val="21"/>
          <w:highlight w:val="none"/>
          <w:lang w:val="zh-CN" w:bidi="zh-CN"/>
        </w:rPr>
        <w:tab/>
      </w:r>
      <w:r>
        <w:rPr>
          <w:rFonts w:hint="eastAsia" w:ascii="宋体" w:hAnsi="宋体" w:eastAsia="宋体" w:cs="宋体"/>
          <w:color w:val="auto"/>
          <w:sz w:val="21"/>
          <w:szCs w:val="21"/>
          <w:highlight w:val="none"/>
          <w:lang w:val="zh-CN" w:bidi="zh-CN"/>
        </w:rPr>
        <w:t>真：</w:t>
      </w:r>
      <w:r>
        <w:rPr>
          <w:rFonts w:hint="eastAsia" w:ascii="宋体" w:hAnsi="宋体" w:eastAsia="宋体" w:cs="宋体"/>
          <w:color w:val="auto"/>
          <w:sz w:val="21"/>
          <w:szCs w:val="21"/>
          <w:highlight w:val="none"/>
          <w:lang w:val="zh-CN" w:bidi="zh-CN"/>
        </w:rPr>
        <w:tab/>
      </w:r>
      <w:r>
        <w:rPr>
          <w:rFonts w:hint="eastAsia" w:ascii="宋体" w:hAnsi="宋体" w:eastAsia="宋体" w:cs="宋体"/>
          <w:color w:val="auto"/>
          <w:sz w:val="21"/>
          <w:szCs w:val="21"/>
          <w:highlight w:val="none"/>
          <w:lang w:val="zh-CN" w:bidi="zh-CN"/>
        </w:rPr>
        <w:t>传</w:t>
      </w:r>
      <w:r>
        <w:rPr>
          <w:rFonts w:hint="eastAsia" w:ascii="宋体" w:hAnsi="宋体" w:eastAsia="宋体" w:cs="宋体"/>
          <w:color w:val="auto"/>
          <w:sz w:val="21"/>
          <w:szCs w:val="21"/>
          <w:highlight w:val="none"/>
          <w:lang w:val="zh-CN" w:bidi="zh-CN"/>
        </w:rPr>
        <w:tab/>
      </w:r>
      <w:r>
        <w:rPr>
          <w:rFonts w:hint="eastAsia" w:ascii="宋体" w:hAnsi="宋体" w:eastAsia="宋体" w:cs="宋体"/>
          <w:color w:val="auto"/>
          <w:sz w:val="21"/>
          <w:szCs w:val="21"/>
          <w:highlight w:val="none"/>
          <w:lang w:val="zh-CN" w:bidi="zh-CN"/>
        </w:rPr>
        <w:t>真：</w:t>
      </w:r>
    </w:p>
    <w:p w14:paraId="676C2621">
      <w:pPr>
        <w:keepNext w:val="0"/>
        <w:keepLines w:val="0"/>
        <w:pageBreakBefore w:val="0"/>
        <w:widowControl w:val="0"/>
        <w:tabs>
          <w:tab w:val="left" w:pos="5179"/>
        </w:tabs>
        <w:kinsoku/>
        <w:wordWrap/>
        <w:overflowPunct/>
        <w:topLinePunct w:val="0"/>
        <w:autoSpaceDE w:val="0"/>
        <w:autoSpaceDN w:val="0"/>
        <w:bidi w:val="0"/>
        <w:adjustRightInd w:val="0"/>
        <w:snapToGrid w:val="0"/>
        <w:spacing w:line="360" w:lineRule="auto"/>
        <w:ind w:left="0" w:leftChars="0" w:firstLine="420" w:firstLineChars="200"/>
        <w:jc w:val="left"/>
        <w:textAlignment w:val="auto"/>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电子信箱：</w:t>
      </w:r>
      <w:r>
        <w:rPr>
          <w:rFonts w:hint="eastAsia" w:ascii="宋体" w:hAnsi="宋体" w:eastAsia="宋体" w:cs="宋体"/>
          <w:color w:val="auto"/>
          <w:sz w:val="21"/>
          <w:szCs w:val="21"/>
          <w:highlight w:val="none"/>
          <w:lang w:val="zh-CN" w:bidi="zh-CN"/>
        </w:rPr>
        <w:tab/>
      </w:r>
      <w:r>
        <w:rPr>
          <w:rFonts w:hint="eastAsia" w:ascii="宋体" w:hAnsi="宋体" w:eastAsia="宋体" w:cs="宋体"/>
          <w:color w:val="auto"/>
          <w:sz w:val="21"/>
          <w:szCs w:val="21"/>
          <w:highlight w:val="none"/>
          <w:lang w:val="zh-CN" w:bidi="zh-CN"/>
        </w:rPr>
        <w:t>电子信箱：</w:t>
      </w:r>
    </w:p>
    <w:bookmarkEnd w:id="47"/>
    <w:bookmarkEnd w:id="48"/>
    <w:p w14:paraId="29E2F1FF">
      <w:pPr>
        <w:widowControl/>
        <w:adjustRightInd w:val="0"/>
        <w:snapToGrid w:val="0"/>
        <w:spacing w:line="360" w:lineRule="auto"/>
        <w:ind w:firstLine="480" w:firstLineChars="200"/>
        <w:jc w:val="left"/>
        <w:rPr>
          <w:rFonts w:hint="eastAsia" w:ascii="宋体" w:hAnsi="宋体"/>
          <w:color w:val="auto"/>
          <w:sz w:val="24"/>
          <w:highlight w:val="none"/>
        </w:rPr>
      </w:pPr>
    </w:p>
    <w:p w14:paraId="147494E8">
      <w:pPr>
        <w:widowControl/>
        <w:adjustRightInd w:val="0"/>
        <w:snapToGrid w:val="0"/>
        <w:spacing w:line="360" w:lineRule="auto"/>
        <w:ind w:firstLine="480" w:firstLineChars="200"/>
        <w:jc w:val="left"/>
        <w:rPr>
          <w:rFonts w:ascii="宋体" w:hAnsi="宋体"/>
          <w:color w:val="auto"/>
          <w:sz w:val="24"/>
          <w:highlight w:val="none"/>
        </w:rPr>
        <w:sectPr>
          <w:footerReference r:id="rId9" w:type="default"/>
          <w:pgSz w:w="11906" w:h="16838"/>
          <w:pgMar w:top="1021" w:right="1588" w:bottom="851" w:left="1588" w:header="567" w:footer="454" w:gutter="0"/>
          <w:pgNumType w:fmt="decimal"/>
          <w:cols w:space="720" w:num="1"/>
          <w:docGrid w:linePitch="286" w:charSpace="0"/>
        </w:sectPr>
      </w:pPr>
      <w:r>
        <w:rPr>
          <w:rFonts w:hint="eastAsia" w:ascii="宋体" w:hAnsi="宋体"/>
          <w:color w:val="auto"/>
          <w:sz w:val="24"/>
          <w:highlight w:val="none"/>
        </w:rPr>
        <w:t>鉴证方（盖章）：</w:t>
      </w:r>
    </w:p>
    <w:p w14:paraId="04015003">
      <w:pPr>
        <w:widowControl/>
        <w:spacing w:line="360" w:lineRule="auto"/>
        <w:jc w:val="center"/>
        <w:rPr>
          <w:rFonts w:ascii="宋体" w:hAnsi="宋体"/>
          <w:b/>
          <w:color w:val="auto"/>
          <w:sz w:val="32"/>
          <w:szCs w:val="32"/>
          <w:highlight w:val="none"/>
        </w:rPr>
      </w:pPr>
      <w:r>
        <w:rPr>
          <w:rFonts w:hint="eastAsia" w:ascii="宋体" w:hAnsi="宋体"/>
          <w:b/>
          <w:color w:val="auto"/>
          <w:sz w:val="32"/>
          <w:szCs w:val="32"/>
          <w:highlight w:val="none"/>
        </w:rPr>
        <w:t>第二部分 通用条件</w:t>
      </w:r>
    </w:p>
    <w:p w14:paraId="0A9DB820">
      <w:pPr>
        <w:widowControl/>
        <w:adjustRightInd w:val="0"/>
        <w:snapToGrid w:val="0"/>
        <w:spacing w:line="360" w:lineRule="auto"/>
        <w:ind w:firstLine="420" w:firstLineChars="200"/>
        <w:jc w:val="left"/>
        <w:rPr>
          <w:rFonts w:hint="eastAsia" w:ascii="宋体" w:hAnsi="宋体" w:cs="宋体"/>
          <w:color w:val="auto"/>
          <w:highlight w:val="none"/>
        </w:rPr>
      </w:pPr>
      <w:bookmarkStart w:id="54" w:name="_Toc422322521"/>
      <w:bookmarkEnd w:id="54"/>
      <w:bookmarkStart w:id="55" w:name="_Toc422322482"/>
      <w:bookmarkEnd w:id="55"/>
      <w:bookmarkStart w:id="56" w:name="_Toc419045098"/>
      <w:bookmarkEnd w:id="56"/>
      <w:r>
        <w:rPr>
          <w:rFonts w:hint="eastAsia" w:ascii="宋体" w:hAnsi="宋体" w:cs="宋体"/>
          <w:color w:val="auto"/>
          <w:highlight w:val="none"/>
        </w:rPr>
        <w:t>1.词语定义、语言、解释顺序与适用法律</w:t>
      </w:r>
    </w:p>
    <w:p w14:paraId="23A529FE">
      <w:pPr>
        <w:widowControl/>
        <w:adjustRightInd w:val="0"/>
        <w:snapToGrid w:val="0"/>
        <w:spacing w:line="360" w:lineRule="auto"/>
        <w:ind w:firstLine="420" w:firstLineChars="200"/>
        <w:jc w:val="left"/>
        <w:rPr>
          <w:rFonts w:hint="eastAsia" w:ascii="宋体" w:hAnsi="宋体" w:cs="宋体"/>
          <w:color w:val="auto"/>
          <w:highlight w:val="none"/>
        </w:rPr>
      </w:pPr>
      <w:r>
        <w:rPr>
          <w:rFonts w:hint="eastAsia" w:ascii="宋体" w:hAnsi="宋体" w:cs="宋体"/>
          <w:color w:val="auto"/>
          <w:highlight w:val="none"/>
        </w:rPr>
        <w:t>1.1词语定义</w:t>
      </w:r>
    </w:p>
    <w:p w14:paraId="6576F869">
      <w:pPr>
        <w:widowControl/>
        <w:adjustRightInd w:val="0"/>
        <w:snapToGrid w:val="0"/>
        <w:spacing w:line="360" w:lineRule="auto"/>
        <w:ind w:firstLine="420" w:firstLineChars="200"/>
        <w:jc w:val="left"/>
        <w:rPr>
          <w:rFonts w:hint="eastAsia" w:ascii="宋体" w:hAnsi="宋体" w:cs="宋体"/>
          <w:color w:val="auto"/>
          <w:highlight w:val="none"/>
        </w:rPr>
      </w:pPr>
      <w:r>
        <w:rPr>
          <w:rFonts w:hint="eastAsia" w:ascii="宋体" w:hAnsi="宋体" w:cs="宋体"/>
          <w:color w:val="auto"/>
          <w:highlight w:val="none"/>
        </w:rPr>
        <w:t>组成本合同的全部文件中的下列名词和用语应具有本款所赋予的含义： 1.1.1“工程”是指按照本合同约定实施造价咨询与其他服务的建设工程。</w:t>
      </w:r>
    </w:p>
    <w:p w14:paraId="4B663FFD">
      <w:pPr>
        <w:widowControl/>
        <w:adjustRightInd w:val="0"/>
        <w:snapToGrid w:val="0"/>
        <w:spacing w:line="360" w:lineRule="auto"/>
        <w:ind w:firstLine="420" w:firstLineChars="200"/>
        <w:jc w:val="left"/>
        <w:rPr>
          <w:rFonts w:hint="eastAsia" w:ascii="宋体" w:hAnsi="宋体" w:cs="宋体"/>
          <w:color w:val="auto"/>
          <w:highlight w:val="none"/>
        </w:rPr>
      </w:pPr>
      <w:r>
        <w:rPr>
          <w:rFonts w:hint="eastAsia" w:ascii="宋体" w:hAnsi="宋体" w:cs="宋体"/>
          <w:color w:val="auto"/>
          <w:highlight w:val="none"/>
        </w:rPr>
        <w:t>1.1.2“工程造价”是指工程项目建设过程中预计或实际支出的全部费用。</w:t>
      </w:r>
    </w:p>
    <w:p w14:paraId="5E8D0C82">
      <w:pPr>
        <w:widowControl/>
        <w:adjustRightInd w:val="0"/>
        <w:snapToGrid w:val="0"/>
        <w:spacing w:line="360" w:lineRule="auto"/>
        <w:ind w:firstLine="420" w:firstLineChars="200"/>
        <w:jc w:val="left"/>
        <w:rPr>
          <w:rFonts w:hint="eastAsia" w:ascii="宋体" w:hAnsi="宋体" w:cs="宋体"/>
          <w:color w:val="auto"/>
          <w:highlight w:val="none"/>
        </w:rPr>
      </w:pPr>
      <w:r>
        <w:rPr>
          <w:rFonts w:hint="eastAsia" w:ascii="宋体" w:hAnsi="宋体" w:cs="宋体"/>
          <w:color w:val="auto"/>
          <w:highlight w:val="none"/>
        </w:rPr>
        <w:t>1.1.3“委托人”是指本合同中委托造价咨询与其他服务的一方，及其合法的继承人或受让人。</w:t>
      </w:r>
    </w:p>
    <w:p w14:paraId="59488952">
      <w:pPr>
        <w:widowControl/>
        <w:adjustRightInd w:val="0"/>
        <w:snapToGrid w:val="0"/>
        <w:spacing w:line="360" w:lineRule="auto"/>
        <w:ind w:firstLine="420" w:firstLineChars="200"/>
        <w:jc w:val="left"/>
        <w:rPr>
          <w:rFonts w:hint="eastAsia" w:ascii="宋体" w:hAnsi="宋体" w:cs="宋体"/>
          <w:color w:val="auto"/>
          <w:highlight w:val="none"/>
        </w:rPr>
      </w:pPr>
      <w:r>
        <w:rPr>
          <w:rFonts w:hint="eastAsia" w:ascii="宋体" w:hAnsi="宋体" w:cs="宋体"/>
          <w:color w:val="auto"/>
          <w:highlight w:val="none"/>
        </w:rPr>
        <w:t>1.1.4“咨询人”是指本合同中提供造价咨询与其他服务的一方，及其合法的继承人。</w:t>
      </w:r>
    </w:p>
    <w:p w14:paraId="013AB9D9">
      <w:pPr>
        <w:widowControl/>
        <w:adjustRightInd w:val="0"/>
        <w:snapToGrid w:val="0"/>
        <w:spacing w:line="360" w:lineRule="auto"/>
        <w:ind w:firstLine="420" w:firstLineChars="200"/>
        <w:jc w:val="left"/>
        <w:rPr>
          <w:rFonts w:hint="eastAsia" w:ascii="宋体" w:hAnsi="宋体" w:cs="宋体"/>
          <w:color w:val="auto"/>
          <w:highlight w:val="none"/>
        </w:rPr>
      </w:pPr>
      <w:r>
        <w:rPr>
          <w:rFonts w:hint="eastAsia" w:ascii="宋体" w:hAnsi="宋体" w:cs="宋体"/>
          <w:color w:val="auto"/>
          <w:highlight w:val="none"/>
        </w:rPr>
        <w:t>1.1.5“第三人”是指除委托人、咨询人以外与本咨询业务有关的当事人。</w:t>
      </w:r>
    </w:p>
    <w:p w14:paraId="7C46F3CE">
      <w:pPr>
        <w:widowControl/>
        <w:adjustRightInd w:val="0"/>
        <w:snapToGrid w:val="0"/>
        <w:spacing w:line="360" w:lineRule="auto"/>
        <w:ind w:firstLine="420" w:firstLineChars="200"/>
        <w:jc w:val="left"/>
        <w:rPr>
          <w:rFonts w:hint="eastAsia" w:ascii="宋体" w:hAnsi="宋体" w:cs="宋体"/>
          <w:color w:val="auto"/>
          <w:highlight w:val="none"/>
        </w:rPr>
      </w:pPr>
      <w:r>
        <w:rPr>
          <w:rFonts w:hint="eastAsia" w:ascii="宋体" w:hAnsi="宋体" w:cs="宋体"/>
          <w:color w:val="auto"/>
          <w:highlight w:val="none"/>
        </w:rPr>
        <w:t>1.1.6“正常工作”是指本合同订立时通用条件和专用条件中约定的咨询人的工作。</w:t>
      </w:r>
    </w:p>
    <w:p w14:paraId="3CC849FF">
      <w:pPr>
        <w:widowControl/>
        <w:adjustRightInd w:val="0"/>
        <w:snapToGrid w:val="0"/>
        <w:spacing w:line="360" w:lineRule="auto"/>
        <w:ind w:firstLine="420" w:firstLineChars="200"/>
        <w:jc w:val="left"/>
        <w:rPr>
          <w:rFonts w:hint="eastAsia" w:ascii="宋体" w:hAnsi="宋体" w:cs="宋体"/>
          <w:color w:val="auto"/>
          <w:highlight w:val="none"/>
        </w:rPr>
      </w:pPr>
      <w:r>
        <w:rPr>
          <w:rFonts w:hint="eastAsia" w:ascii="宋体" w:hAnsi="宋体" w:cs="宋体"/>
          <w:color w:val="auto"/>
          <w:highlight w:val="none"/>
        </w:rPr>
        <w:t>1.1.7“附加工作”是指咨询人根据合同条件完成的正常工作以外的工作。</w:t>
      </w:r>
    </w:p>
    <w:p w14:paraId="30243C6A">
      <w:pPr>
        <w:widowControl/>
        <w:adjustRightInd w:val="0"/>
        <w:snapToGrid w:val="0"/>
        <w:spacing w:line="360" w:lineRule="auto"/>
        <w:ind w:firstLine="420" w:firstLineChars="200"/>
        <w:jc w:val="left"/>
        <w:rPr>
          <w:rFonts w:hint="eastAsia" w:ascii="宋体" w:hAnsi="宋体" w:cs="宋体"/>
          <w:color w:val="auto"/>
          <w:highlight w:val="none"/>
        </w:rPr>
      </w:pPr>
      <w:r>
        <w:rPr>
          <w:rFonts w:hint="eastAsia" w:ascii="宋体" w:hAnsi="宋体" w:cs="宋体"/>
          <w:color w:val="auto"/>
          <w:highlight w:val="none"/>
        </w:rPr>
        <w:t>1.1.8“项目咨询团队”是指咨询人指派负责履行本合同的团队，其团队成员为本合同的项目咨询人员。</w:t>
      </w:r>
    </w:p>
    <w:p w14:paraId="08C0336D">
      <w:pPr>
        <w:widowControl/>
        <w:adjustRightInd w:val="0"/>
        <w:snapToGrid w:val="0"/>
        <w:spacing w:line="360" w:lineRule="auto"/>
        <w:ind w:firstLine="420" w:firstLineChars="200"/>
        <w:jc w:val="left"/>
        <w:rPr>
          <w:rFonts w:hint="eastAsia" w:ascii="宋体" w:hAnsi="宋体" w:cs="宋体"/>
          <w:color w:val="auto"/>
          <w:highlight w:val="none"/>
        </w:rPr>
      </w:pPr>
      <w:r>
        <w:rPr>
          <w:rFonts w:hint="eastAsia" w:ascii="宋体" w:hAnsi="宋体" w:cs="宋体"/>
          <w:color w:val="auto"/>
          <w:highlight w:val="none"/>
        </w:rPr>
        <w:t>1.1.9“项目负责人”是指由咨询人的法定代表人书面授权，在授权范围内负责履行本合同、主持项目咨询团队工作的负责人。</w:t>
      </w:r>
    </w:p>
    <w:p w14:paraId="3F2EBEF2">
      <w:pPr>
        <w:widowControl/>
        <w:adjustRightInd w:val="0"/>
        <w:snapToGrid w:val="0"/>
        <w:spacing w:line="360" w:lineRule="auto"/>
        <w:ind w:firstLine="420" w:firstLineChars="200"/>
        <w:jc w:val="left"/>
        <w:rPr>
          <w:rFonts w:hint="eastAsia" w:ascii="宋体" w:hAnsi="宋体" w:cs="宋体"/>
          <w:color w:val="auto"/>
          <w:highlight w:val="none"/>
        </w:rPr>
      </w:pPr>
      <w:r>
        <w:rPr>
          <w:rFonts w:hint="eastAsia" w:ascii="宋体" w:hAnsi="宋体" w:cs="宋体"/>
          <w:color w:val="auto"/>
          <w:highlight w:val="none"/>
        </w:rPr>
        <w:t>1.1.10“委托人代表”是指由委托人的法定代表人书面授权，在授权范围内行使委托人权利的人。</w:t>
      </w:r>
    </w:p>
    <w:p w14:paraId="19B8A8E0">
      <w:pPr>
        <w:widowControl/>
        <w:adjustRightInd w:val="0"/>
        <w:snapToGrid w:val="0"/>
        <w:spacing w:line="360" w:lineRule="auto"/>
        <w:ind w:firstLine="420" w:firstLineChars="200"/>
        <w:jc w:val="left"/>
        <w:rPr>
          <w:rFonts w:hint="eastAsia" w:ascii="宋体" w:hAnsi="宋体" w:cs="宋体"/>
          <w:color w:val="auto"/>
          <w:highlight w:val="none"/>
        </w:rPr>
      </w:pPr>
      <w:r>
        <w:rPr>
          <w:rFonts w:hint="eastAsia" w:ascii="宋体" w:hAnsi="宋体" w:cs="宋体"/>
          <w:color w:val="auto"/>
          <w:highlight w:val="none"/>
        </w:rPr>
        <w:t>1.1.11“酬金”是指咨询人履行本合同义务，委托人按照本合同约定给付咨询人的金额。</w:t>
      </w:r>
    </w:p>
    <w:p w14:paraId="08981AE0">
      <w:pPr>
        <w:widowControl/>
        <w:adjustRightInd w:val="0"/>
        <w:snapToGrid w:val="0"/>
        <w:spacing w:line="360" w:lineRule="auto"/>
        <w:ind w:firstLine="420" w:firstLineChars="200"/>
        <w:jc w:val="left"/>
        <w:rPr>
          <w:rFonts w:hint="eastAsia" w:ascii="宋体" w:hAnsi="宋体" w:cs="宋体"/>
          <w:color w:val="auto"/>
          <w:highlight w:val="none"/>
        </w:rPr>
      </w:pPr>
      <w:r>
        <w:rPr>
          <w:rFonts w:hint="eastAsia" w:ascii="宋体" w:hAnsi="宋体" w:cs="宋体"/>
          <w:color w:val="auto"/>
          <w:highlight w:val="none"/>
        </w:rPr>
        <w:t>1.1.12“正常工作酬金”是指在协议书中载明的，咨询人完成正常工作， 委托人应给付咨询人的酬金。</w:t>
      </w:r>
    </w:p>
    <w:p w14:paraId="444F5152">
      <w:pPr>
        <w:widowControl/>
        <w:adjustRightInd w:val="0"/>
        <w:snapToGrid w:val="0"/>
        <w:spacing w:line="360" w:lineRule="auto"/>
        <w:ind w:firstLine="420" w:firstLineChars="200"/>
        <w:jc w:val="left"/>
        <w:rPr>
          <w:rFonts w:hint="eastAsia" w:ascii="宋体" w:hAnsi="宋体" w:cs="宋体"/>
          <w:color w:val="auto"/>
          <w:highlight w:val="none"/>
        </w:rPr>
      </w:pPr>
      <w:r>
        <w:rPr>
          <w:rFonts w:hint="eastAsia" w:ascii="宋体" w:hAnsi="宋体" w:cs="宋体"/>
          <w:color w:val="auto"/>
          <w:highlight w:val="none"/>
        </w:rPr>
        <w:t>1.1.13“附加工作酬金”是指咨询人完成附加工作，委托人应给付咨询人的酬金。</w:t>
      </w:r>
    </w:p>
    <w:p w14:paraId="496E78D2">
      <w:pPr>
        <w:widowControl/>
        <w:adjustRightInd w:val="0"/>
        <w:snapToGrid w:val="0"/>
        <w:spacing w:line="360" w:lineRule="auto"/>
        <w:ind w:firstLine="420" w:firstLineChars="200"/>
        <w:jc w:val="left"/>
        <w:rPr>
          <w:rFonts w:hint="eastAsia" w:ascii="宋体" w:hAnsi="宋体" w:cs="宋体"/>
          <w:color w:val="auto"/>
          <w:highlight w:val="none"/>
        </w:rPr>
      </w:pPr>
      <w:r>
        <w:rPr>
          <w:rFonts w:hint="eastAsia" w:ascii="宋体" w:hAnsi="宋体" w:cs="宋体"/>
          <w:color w:val="auto"/>
          <w:highlight w:val="none"/>
        </w:rPr>
        <w:t>1.1.14“书面形式”是指合同书、信件和数据电文（包括电报、电传、传真、电子数据交换和电子邮件）等可以有形地表现所载内容的形式。</w:t>
      </w:r>
    </w:p>
    <w:p w14:paraId="5E1FDBEA">
      <w:pPr>
        <w:widowControl/>
        <w:adjustRightInd w:val="0"/>
        <w:snapToGrid w:val="0"/>
        <w:spacing w:line="360" w:lineRule="auto"/>
        <w:ind w:firstLine="420" w:firstLineChars="200"/>
        <w:jc w:val="left"/>
        <w:rPr>
          <w:rFonts w:hint="eastAsia" w:ascii="宋体" w:hAnsi="宋体" w:cs="宋体"/>
          <w:color w:val="auto"/>
          <w:highlight w:val="none"/>
        </w:rPr>
      </w:pPr>
      <w:r>
        <w:rPr>
          <w:rFonts w:hint="eastAsia" w:ascii="宋体" w:hAnsi="宋体" w:cs="宋体"/>
          <w:color w:val="auto"/>
          <w:highlight w:val="none"/>
        </w:rPr>
        <w:t>1.1.15“不可抗力”是指委托人和咨询人在订立本合同时不可预见，在合同履行过程中不可避免并不能克服的自然灾害和社会性突发事件，如地震、海啸、瘟疫、水灾、骚乱、暴动、战争等情形。</w:t>
      </w:r>
    </w:p>
    <w:p w14:paraId="641F14C5">
      <w:pPr>
        <w:widowControl/>
        <w:adjustRightInd w:val="0"/>
        <w:snapToGrid w:val="0"/>
        <w:spacing w:line="360" w:lineRule="auto"/>
        <w:ind w:firstLine="420" w:firstLineChars="200"/>
        <w:jc w:val="left"/>
        <w:rPr>
          <w:rFonts w:hint="eastAsia" w:ascii="宋体" w:hAnsi="宋体" w:cs="宋体"/>
          <w:color w:val="auto"/>
          <w:highlight w:val="none"/>
        </w:rPr>
      </w:pPr>
      <w:r>
        <w:rPr>
          <w:rFonts w:hint="eastAsia" w:ascii="宋体" w:hAnsi="宋体" w:cs="宋体"/>
          <w:color w:val="auto"/>
          <w:highlight w:val="none"/>
        </w:rPr>
        <w:t>1.2语言</w:t>
      </w:r>
    </w:p>
    <w:p w14:paraId="14BC7769">
      <w:pPr>
        <w:widowControl/>
        <w:adjustRightInd w:val="0"/>
        <w:snapToGrid w:val="0"/>
        <w:spacing w:line="360" w:lineRule="auto"/>
        <w:ind w:firstLine="420" w:firstLineChars="200"/>
        <w:jc w:val="left"/>
        <w:rPr>
          <w:rFonts w:hint="eastAsia" w:ascii="宋体" w:hAnsi="宋体" w:cs="宋体"/>
          <w:color w:val="auto"/>
          <w:highlight w:val="none"/>
        </w:rPr>
      </w:pPr>
      <w:r>
        <w:rPr>
          <w:rFonts w:hint="eastAsia" w:ascii="宋体" w:hAnsi="宋体" w:cs="宋体"/>
          <w:color w:val="auto"/>
          <w:highlight w:val="none"/>
        </w:rPr>
        <w:t>本合同使用中文书写、解释和说明。如专用条件约定使用两种及以上语言文字时，应以中文为准。</w:t>
      </w:r>
    </w:p>
    <w:p w14:paraId="669FD396">
      <w:pPr>
        <w:widowControl/>
        <w:adjustRightInd w:val="0"/>
        <w:snapToGrid w:val="0"/>
        <w:spacing w:line="360" w:lineRule="auto"/>
        <w:ind w:firstLine="420" w:firstLineChars="200"/>
        <w:jc w:val="left"/>
        <w:rPr>
          <w:rFonts w:hint="eastAsia" w:ascii="宋体" w:hAnsi="宋体" w:cs="宋体"/>
          <w:color w:val="auto"/>
          <w:highlight w:val="none"/>
        </w:rPr>
      </w:pPr>
      <w:r>
        <w:rPr>
          <w:rFonts w:hint="eastAsia" w:ascii="宋体" w:hAnsi="宋体" w:cs="宋体"/>
          <w:color w:val="auto"/>
          <w:highlight w:val="none"/>
        </w:rPr>
        <w:t>1.3合同文件的优先顺序</w:t>
      </w:r>
    </w:p>
    <w:p w14:paraId="276231FE">
      <w:pPr>
        <w:widowControl/>
        <w:adjustRightInd w:val="0"/>
        <w:snapToGrid w:val="0"/>
        <w:spacing w:line="360" w:lineRule="auto"/>
        <w:ind w:firstLine="420" w:firstLineChars="200"/>
        <w:jc w:val="left"/>
        <w:rPr>
          <w:rFonts w:hint="eastAsia" w:ascii="宋体" w:hAnsi="宋体" w:cs="宋体"/>
          <w:color w:val="auto"/>
          <w:highlight w:val="none"/>
        </w:rPr>
      </w:pPr>
      <w:r>
        <w:rPr>
          <w:rFonts w:hint="eastAsia" w:ascii="宋体" w:hAnsi="宋体" w:cs="宋体"/>
          <w:color w:val="auto"/>
          <w:highlight w:val="none"/>
        </w:rPr>
        <w:t>组成本合同的下列文件彼此应能相互解释、互为说明。除专用条件另有约定外，本合同文件的解释顺序如下：</w:t>
      </w:r>
    </w:p>
    <w:p w14:paraId="5F07D0FE">
      <w:pPr>
        <w:widowControl/>
        <w:adjustRightInd w:val="0"/>
        <w:snapToGrid w:val="0"/>
        <w:spacing w:line="360" w:lineRule="auto"/>
        <w:ind w:firstLine="420" w:firstLineChars="200"/>
        <w:jc w:val="left"/>
        <w:rPr>
          <w:rFonts w:hint="eastAsia" w:ascii="宋体" w:hAnsi="宋体" w:cs="宋体"/>
          <w:color w:val="auto"/>
          <w:highlight w:val="none"/>
        </w:rPr>
      </w:pPr>
      <w:r>
        <w:rPr>
          <w:rFonts w:hint="eastAsia" w:ascii="宋体" w:hAnsi="宋体" w:cs="宋体"/>
          <w:color w:val="auto"/>
          <w:highlight w:val="none"/>
        </w:rPr>
        <w:t>1.协议书</w:t>
      </w:r>
    </w:p>
    <w:p w14:paraId="451D7CEE">
      <w:pPr>
        <w:widowControl/>
        <w:adjustRightInd w:val="0"/>
        <w:snapToGrid w:val="0"/>
        <w:spacing w:line="360" w:lineRule="auto"/>
        <w:ind w:firstLine="420" w:firstLineChars="200"/>
        <w:jc w:val="left"/>
        <w:rPr>
          <w:rFonts w:hint="eastAsia" w:ascii="宋体" w:hAnsi="宋体" w:cs="宋体"/>
          <w:color w:val="auto"/>
          <w:highlight w:val="none"/>
        </w:rPr>
      </w:pPr>
      <w:r>
        <w:rPr>
          <w:rFonts w:hint="eastAsia" w:ascii="宋体" w:hAnsi="宋体" w:cs="宋体"/>
          <w:color w:val="auto"/>
          <w:highlight w:val="none"/>
        </w:rPr>
        <w:t>2.中标通知书或委托书（如果有）；</w:t>
      </w:r>
    </w:p>
    <w:p w14:paraId="05BCB9DD">
      <w:pPr>
        <w:widowControl/>
        <w:adjustRightInd w:val="0"/>
        <w:snapToGrid w:val="0"/>
        <w:spacing w:line="360" w:lineRule="auto"/>
        <w:ind w:firstLine="420" w:firstLineChars="200"/>
        <w:jc w:val="left"/>
        <w:rPr>
          <w:rFonts w:hint="eastAsia" w:ascii="宋体" w:hAnsi="宋体" w:cs="宋体"/>
          <w:color w:val="auto"/>
          <w:highlight w:val="none"/>
        </w:rPr>
      </w:pPr>
      <w:r>
        <w:rPr>
          <w:rFonts w:hint="eastAsia" w:ascii="宋体" w:hAnsi="宋体" w:cs="宋体"/>
          <w:color w:val="auto"/>
          <w:highlight w:val="none"/>
        </w:rPr>
        <w:t>3.专用条件及附录；</w:t>
      </w:r>
    </w:p>
    <w:p w14:paraId="3CF8BAC2">
      <w:pPr>
        <w:widowControl/>
        <w:adjustRightInd w:val="0"/>
        <w:snapToGrid w:val="0"/>
        <w:spacing w:line="360" w:lineRule="auto"/>
        <w:ind w:firstLine="420" w:firstLineChars="200"/>
        <w:jc w:val="left"/>
        <w:rPr>
          <w:rFonts w:hint="eastAsia" w:ascii="宋体" w:hAnsi="宋体" w:cs="宋体"/>
          <w:color w:val="auto"/>
          <w:highlight w:val="none"/>
        </w:rPr>
      </w:pPr>
      <w:r>
        <w:rPr>
          <w:rFonts w:hint="eastAsia" w:ascii="宋体" w:hAnsi="宋体" w:cs="宋体"/>
          <w:color w:val="auto"/>
          <w:highlight w:val="none"/>
        </w:rPr>
        <w:t>4.通用条件；</w:t>
      </w:r>
    </w:p>
    <w:p w14:paraId="71AE2B11">
      <w:pPr>
        <w:widowControl/>
        <w:adjustRightInd w:val="0"/>
        <w:snapToGrid w:val="0"/>
        <w:spacing w:line="360" w:lineRule="auto"/>
        <w:ind w:firstLine="420" w:firstLineChars="200"/>
        <w:jc w:val="left"/>
        <w:rPr>
          <w:rFonts w:hint="eastAsia" w:ascii="宋体" w:hAnsi="宋体" w:cs="宋体"/>
          <w:color w:val="auto"/>
          <w:highlight w:val="none"/>
        </w:rPr>
      </w:pPr>
      <w:r>
        <w:rPr>
          <w:rFonts w:hint="eastAsia" w:ascii="宋体" w:hAnsi="宋体" w:cs="宋体"/>
          <w:color w:val="auto"/>
          <w:highlight w:val="none"/>
        </w:rPr>
        <w:t>5.投标函及投标函附录或造价咨询服务建议书（如果有）；</w:t>
      </w:r>
    </w:p>
    <w:p w14:paraId="542374D5">
      <w:pPr>
        <w:widowControl/>
        <w:adjustRightInd w:val="0"/>
        <w:snapToGrid w:val="0"/>
        <w:spacing w:line="360" w:lineRule="auto"/>
        <w:ind w:firstLine="420" w:firstLineChars="200"/>
        <w:jc w:val="left"/>
        <w:rPr>
          <w:rFonts w:hint="default" w:ascii="宋体" w:hAnsi="宋体" w:eastAsia="宋体" w:cs="宋体"/>
          <w:color w:val="auto"/>
          <w:highlight w:val="none"/>
          <w:lang w:val="en-US" w:eastAsia="zh-CN"/>
        </w:rPr>
      </w:pPr>
      <w:r>
        <w:rPr>
          <w:rFonts w:hint="eastAsia" w:ascii="宋体" w:hAnsi="宋体" w:cs="宋体"/>
          <w:color w:val="auto"/>
          <w:highlight w:val="none"/>
        </w:rPr>
        <w:t>6.其他合同文件。</w:t>
      </w:r>
      <w:r>
        <w:rPr>
          <w:rFonts w:hint="eastAsia" w:ascii="宋体" w:hAnsi="宋体" w:cs="宋体"/>
          <w:color w:val="auto"/>
          <w:highlight w:val="none"/>
          <w:lang w:val="en-US" w:eastAsia="zh-CN"/>
        </w:rPr>
        <w:t xml:space="preserve">  </w:t>
      </w:r>
    </w:p>
    <w:p w14:paraId="0C2BA8DC">
      <w:pPr>
        <w:widowControl/>
        <w:adjustRightInd w:val="0"/>
        <w:snapToGrid w:val="0"/>
        <w:spacing w:line="360" w:lineRule="auto"/>
        <w:ind w:firstLine="420" w:firstLineChars="200"/>
        <w:jc w:val="left"/>
        <w:rPr>
          <w:rFonts w:hint="eastAsia" w:ascii="宋体" w:hAnsi="宋体" w:cs="宋体"/>
          <w:color w:val="auto"/>
          <w:highlight w:val="none"/>
        </w:rPr>
      </w:pPr>
      <w:r>
        <w:rPr>
          <w:rFonts w:hint="eastAsia" w:ascii="宋体" w:hAnsi="宋体" w:cs="宋体"/>
          <w:color w:val="auto"/>
          <w:highlight w:val="none"/>
        </w:rPr>
        <w:t>上述各项合同文件包括合同当事人就该项合同文件所作出的补充和修改， 属于同一类内容的文件，应以最新签署的为准。</w:t>
      </w:r>
    </w:p>
    <w:p w14:paraId="527D371A">
      <w:pPr>
        <w:widowControl/>
        <w:adjustRightInd w:val="0"/>
        <w:snapToGrid w:val="0"/>
        <w:spacing w:line="360" w:lineRule="auto"/>
        <w:ind w:firstLine="420" w:firstLineChars="200"/>
        <w:jc w:val="left"/>
        <w:rPr>
          <w:rFonts w:hint="eastAsia" w:ascii="宋体" w:hAnsi="宋体" w:cs="宋体"/>
          <w:color w:val="auto"/>
          <w:highlight w:val="none"/>
        </w:rPr>
      </w:pPr>
      <w:r>
        <w:rPr>
          <w:rFonts w:hint="eastAsia" w:ascii="宋体" w:hAnsi="宋体" w:cs="宋体"/>
          <w:color w:val="auto"/>
          <w:highlight w:val="none"/>
        </w:rPr>
        <w:t>在合同订立及履行过程中形成的与合同有关的文件均构成合同文件的组成部分。</w:t>
      </w:r>
    </w:p>
    <w:p w14:paraId="4F699A68">
      <w:pPr>
        <w:widowControl/>
        <w:adjustRightInd w:val="0"/>
        <w:snapToGrid w:val="0"/>
        <w:spacing w:line="360" w:lineRule="auto"/>
        <w:ind w:firstLine="420" w:firstLineChars="200"/>
        <w:jc w:val="left"/>
        <w:rPr>
          <w:rFonts w:hint="eastAsia" w:ascii="宋体" w:hAnsi="宋体" w:cs="宋体"/>
          <w:color w:val="auto"/>
          <w:highlight w:val="none"/>
        </w:rPr>
      </w:pPr>
      <w:r>
        <w:rPr>
          <w:rFonts w:hint="eastAsia" w:ascii="宋体" w:hAnsi="宋体" w:cs="宋体"/>
          <w:color w:val="auto"/>
          <w:highlight w:val="none"/>
        </w:rPr>
        <w:t>1.4适用法律</w:t>
      </w:r>
    </w:p>
    <w:p w14:paraId="1314D9FE">
      <w:pPr>
        <w:widowControl/>
        <w:adjustRightInd w:val="0"/>
        <w:snapToGrid w:val="0"/>
        <w:spacing w:line="360" w:lineRule="auto"/>
        <w:ind w:firstLine="420" w:firstLineChars="200"/>
        <w:jc w:val="left"/>
        <w:rPr>
          <w:rFonts w:hint="eastAsia" w:ascii="宋体" w:hAnsi="宋体" w:cs="宋体"/>
          <w:color w:val="auto"/>
          <w:highlight w:val="none"/>
        </w:rPr>
      </w:pPr>
      <w:r>
        <w:rPr>
          <w:rFonts w:hint="eastAsia" w:ascii="宋体" w:hAnsi="宋体" w:cs="宋体"/>
          <w:color w:val="auto"/>
          <w:highlight w:val="none"/>
        </w:rPr>
        <w:t>本合同适用中华人民共和国法律、行政法规、部门规章以及工程所在地的地方性法规、自治条例、单行条例和地方政府规章等。</w:t>
      </w:r>
    </w:p>
    <w:p w14:paraId="4C287E6C">
      <w:pPr>
        <w:widowControl/>
        <w:adjustRightInd w:val="0"/>
        <w:snapToGrid w:val="0"/>
        <w:spacing w:line="360" w:lineRule="auto"/>
        <w:ind w:firstLine="420" w:firstLineChars="200"/>
        <w:jc w:val="left"/>
        <w:rPr>
          <w:rFonts w:hint="eastAsia" w:ascii="宋体" w:hAnsi="宋体" w:cs="宋体"/>
          <w:color w:val="auto"/>
          <w:highlight w:val="none"/>
        </w:rPr>
      </w:pPr>
      <w:r>
        <w:rPr>
          <w:rFonts w:hint="eastAsia" w:ascii="宋体" w:hAnsi="宋体" w:cs="宋体"/>
          <w:color w:val="auto"/>
          <w:highlight w:val="none"/>
        </w:rPr>
        <w:t>合同当事人可以在专用条件中约定本合同适用的其他规范、规程、定额、技术标准等规范性文件。</w:t>
      </w:r>
    </w:p>
    <w:p w14:paraId="03BA99C7">
      <w:pPr>
        <w:widowControl/>
        <w:adjustRightInd w:val="0"/>
        <w:snapToGrid w:val="0"/>
        <w:spacing w:line="360" w:lineRule="auto"/>
        <w:ind w:firstLine="420" w:firstLineChars="200"/>
        <w:jc w:val="left"/>
        <w:rPr>
          <w:rFonts w:hint="eastAsia" w:ascii="宋体" w:hAnsi="宋体" w:cs="宋体"/>
          <w:color w:val="auto"/>
          <w:highlight w:val="none"/>
        </w:rPr>
      </w:pPr>
      <w:r>
        <w:rPr>
          <w:rFonts w:hint="eastAsia" w:ascii="宋体" w:hAnsi="宋体" w:cs="宋体"/>
          <w:color w:val="auto"/>
          <w:highlight w:val="none"/>
        </w:rPr>
        <w:t>2.委托人的义务</w:t>
      </w:r>
    </w:p>
    <w:p w14:paraId="51D35CB1">
      <w:pPr>
        <w:widowControl/>
        <w:adjustRightInd w:val="0"/>
        <w:snapToGrid w:val="0"/>
        <w:spacing w:line="360" w:lineRule="auto"/>
        <w:ind w:firstLine="420" w:firstLineChars="200"/>
        <w:jc w:val="left"/>
        <w:rPr>
          <w:rFonts w:hint="eastAsia" w:ascii="宋体" w:hAnsi="宋体" w:cs="宋体"/>
          <w:color w:val="auto"/>
          <w:highlight w:val="none"/>
        </w:rPr>
      </w:pPr>
      <w:r>
        <w:rPr>
          <w:rFonts w:hint="eastAsia" w:ascii="宋体" w:hAnsi="宋体" w:cs="宋体"/>
          <w:color w:val="auto"/>
          <w:highlight w:val="none"/>
        </w:rPr>
        <w:t>2.1提供资料</w:t>
      </w:r>
    </w:p>
    <w:p w14:paraId="105BDC83">
      <w:pPr>
        <w:widowControl/>
        <w:adjustRightInd w:val="0"/>
        <w:snapToGrid w:val="0"/>
        <w:spacing w:line="360" w:lineRule="auto"/>
        <w:ind w:firstLine="420" w:firstLineChars="200"/>
        <w:jc w:val="left"/>
        <w:rPr>
          <w:rFonts w:hint="eastAsia" w:ascii="宋体" w:hAnsi="宋体" w:cs="宋体"/>
          <w:color w:val="auto"/>
          <w:highlight w:val="none"/>
        </w:rPr>
      </w:pPr>
      <w:r>
        <w:rPr>
          <w:rFonts w:hint="eastAsia" w:ascii="宋体" w:hAnsi="宋体" w:cs="宋体"/>
          <w:color w:val="auto"/>
          <w:highlight w:val="none"/>
        </w:rPr>
        <w:t>委托人应当在专用条件约定的时间内，按照附录 C 的约定无偿向咨询人提供与本合同咨询业务有关的资料。在本合同履行过程中，委托人应及时向咨询人提供最新的与本合同咨询业务有关的资料。委托人应对所提供资料的真实 性、准确性、合法性与完整性负责。</w:t>
      </w:r>
    </w:p>
    <w:p w14:paraId="2A383071">
      <w:pPr>
        <w:widowControl/>
        <w:adjustRightInd w:val="0"/>
        <w:snapToGrid w:val="0"/>
        <w:spacing w:line="360" w:lineRule="auto"/>
        <w:ind w:firstLine="420" w:firstLineChars="200"/>
        <w:jc w:val="left"/>
        <w:rPr>
          <w:rFonts w:hint="eastAsia" w:ascii="宋体" w:hAnsi="宋体" w:cs="宋体"/>
          <w:color w:val="auto"/>
          <w:highlight w:val="none"/>
        </w:rPr>
      </w:pPr>
      <w:r>
        <w:rPr>
          <w:rFonts w:hint="eastAsia" w:ascii="宋体" w:hAnsi="宋体" w:cs="宋体"/>
          <w:color w:val="auto"/>
          <w:highlight w:val="none"/>
        </w:rPr>
        <w:t>2.2提供工作条件</w:t>
      </w:r>
    </w:p>
    <w:p w14:paraId="78D59D76">
      <w:pPr>
        <w:widowControl/>
        <w:adjustRightInd w:val="0"/>
        <w:snapToGrid w:val="0"/>
        <w:spacing w:line="360" w:lineRule="auto"/>
        <w:ind w:firstLine="420" w:firstLineChars="200"/>
        <w:jc w:val="left"/>
        <w:rPr>
          <w:rFonts w:hint="eastAsia" w:ascii="宋体" w:hAnsi="宋体" w:cs="宋体"/>
          <w:color w:val="auto"/>
          <w:highlight w:val="none"/>
        </w:rPr>
      </w:pPr>
      <w:r>
        <w:rPr>
          <w:rFonts w:hint="eastAsia" w:ascii="宋体" w:hAnsi="宋体" w:cs="宋体"/>
          <w:color w:val="auto"/>
          <w:highlight w:val="none"/>
        </w:rPr>
        <w:t>委托人应为咨询人完成造价咨询提供必要的条件。</w:t>
      </w:r>
    </w:p>
    <w:p w14:paraId="1F382719">
      <w:pPr>
        <w:widowControl/>
        <w:adjustRightInd w:val="0"/>
        <w:snapToGrid w:val="0"/>
        <w:spacing w:line="360" w:lineRule="auto"/>
        <w:ind w:firstLine="420" w:firstLineChars="200"/>
        <w:jc w:val="left"/>
        <w:rPr>
          <w:rFonts w:hint="eastAsia" w:ascii="宋体" w:hAnsi="宋体" w:cs="宋体"/>
          <w:color w:val="auto"/>
          <w:highlight w:val="none"/>
        </w:rPr>
      </w:pPr>
      <w:r>
        <w:rPr>
          <w:rFonts w:hint="eastAsia" w:ascii="宋体" w:hAnsi="宋体" w:cs="宋体"/>
          <w:color w:val="auto"/>
          <w:highlight w:val="none"/>
        </w:rPr>
        <w:t>2.2.1委托人需要咨询人派驻项目现场咨询人员的，除专用条件另有约定外，项目咨询人员有权无偿使用附录 D 中由委托人提供的房屋及设备。</w:t>
      </w:r>
    </w:p>
    <w:p w14:paraId="3C22F94F">
      <w:pPr>
        <w:widowControl/>
        <w:adjustRightInd w:val="0"/>
        <w:snapToGrid w:val="0"/>
        <w:spacing w:line="360" w:lineRule="auto"/>
        <w:ind w:firstLine="420" w:firstLineChars="200"/>
        <w:jc w:val="left"/>
        <w:rPr>
          <w:rFonts w:hint="eastAsia" w:ascii="宋体" w:hAnsi="宋体" w:cs="宋体"/>
          <w:color w:val="auto"/>
          <w:highlight w:val="none"/>
        </w:rPr>
      </w:pPr>
      <w:r>
        <w:rPr>
          <w:rFonts w:hint="eastAsia" w:ascii="宋体" w:hAnsi="宋体" w:cs="宋体"/>
          <w:color w:val="auto"/>
          <w:highlight w:val="none"/>
        </w:rPr>
        <w:t>2.2.2委托人应负责与本工程造价咨询业务有关的所有外部关系的协调， 为咨询人履行本合同提供必要的外部条件。</w:t>
      </w:r>
    </w:p>
    <w:p w14:paraId="00625213">
      <w:pPr>
        <w:widowControl/>
        <w:adjustRightInd w:val="0"/>
        <w:snapToGrid w:val="0"/>
        <w:spacing w:line="360" w:lineRule="auto"/>
        <w:ind w:firstLine="420" w:firstLineChars="200"/>
        <w:jc w:val="left"/>
        <w:rPr>
          <w:rFonts w:hint="eastAsia" w:ascii="宋体" w:hAnsi="宋体" w:cs="宋体"/>
          <w:color w:val="auto"/>
          <w:highlight w:val="none"/>
        </w:rPr>
      </w:pPr>
      <w:r>
        <w:rPr>
          <w:rFonts w:hint="eastAsia" w:ascii="宋体" w:hAnsi="宋体" w:cs="宋体"/>
          <w:color w:val="auto"/>
          <w:highlight w:val="none"/>
        </w:rPr>
        <w:t>2.3合理工作时限</w:t>
      </w:r>
    </w:p>
    <w:p w14:paraId="206170F7">
      <w:pPr>
        <w:widowControl/>
        <w:adjustRightInd w:val="0"/>
        <w:snapToGrid w:val="0"/>
        <w:spacing w:line="360" w:lineRule="auto"/>
        <w:ind w:firstLine="420" w:firstLineChars="200"/>
        <w:jc w:val="left"/>
        <w:rPr>
          <w:rFonts w:hint="eastAsia" w:ascii="宋体" w:hAnsi="宋体" w:cs="宋体"/>
          <w:color w:val="auto"/>
          <w:highlight w:val="none"/>
        </w:rPr>
      </w:pPr>
      <w:r>
        <w:rPr>
          <w:rFonts w:hint="eastAsia" w:ascii="宋体" w:hAnsi="宋体" w:cs="宋体"/>
          <w:color w:val="auto"/>
          <w:highlight w:val="none"/>
        </w:rPr>
        <w:t>委托人应当为咨询人完成其咨询工作，设定合理的工作时限。</w:t>
      </w:r>
    </w:p>
    <w:p w14:paraId="545B10C9">
      <w:pPr>
        <w:widowControl/>
        <w:adjustRightInd w:val="0"/>
        <w:snapToGrid w:val="0"/>
        <w:spacing w:line="360" w:lineRule="auto"/>
        <w:ind w:firstLine="420" w:firstLineChars="200"/>
        <w:jc w:val="left"/>
        <w:rPr>
          <w:rFonts w:hint="eastAsia" w:ascii="宋体" w:hAnsi="宋体" w:cs="宋体"/>
          <w:color w:val="auto"/>
          <w:highlight w:val="none"/>
        </w:rPr>
      </w:pPr>
      <w:r>
        <w:rPr>
          <w:rFonts w:hint="eastAsia" w:ascii="宋体" w:hAnsi="宋体" w:cs="宋体"/>
          <w:color w:val="auto"/>
          <w:highlight w:val="none"/>
        </w:rPr>
        <w:t>2.4委托人代表</w:t>
      </w:r>
    </w:p>
    <w:p w14:paraId="0C7E99DD">
      <w:pPr>
        <w:widowControl/>
        <w:adjustRightInd w:val="0"/>
        <w:snapToGrid w:val="0"/>
        <w:spacing w:line="360" w:lineRule="auto"/>
        <w:ind w:firstLine="420" w:firstLineChars="200"/>
        <w:jc w:val="left"/>
        <w:rPr>
          <w:rFonts w:hint="eastAsia" w:ascii="宋体" w:hAnsi="宋体" w:cs="宋体"/>
          <w:color w:val="auto"/>
          <w:highlight w:val="none"/>
        </w:rPr>
      </w:pPr>
      <w:r>
        <w:rPr>
          <w:rFonts w:hint="eastAsia" w:ascii="宋体" w:hAnsi="宋体" w:cs="宋体"/>
          <w:color w:val="auto"/>
          <w:highlight w:val="none"/>
        </w:rPr>
        <w:t>委托人应授权一名代表负责本合同的履行。委托人应在双方签订本合同 7 日内，将委托人代表的姓名和权限范围书面告知咨询人。委托人更换委托人代表时，应提前 7 日书面通知咨询人。</w:t>
      </w:r>
    </w:p>
    <w:p w14:paraId="774A74B1">
      <w:pPr>
        <w:widowControl/>
        <w:adjustRightInd w:val="0"/>
        <w:snapToGrid w:val="0"/>
        <w:spacing w:line="360" w:lineRule="auto"/>
        <w:ind w:firstLine="420" w:firstLineChars="200"/>
        <w:jc w:val="left"/>
        <w:rPr>
          <w:rFonts w:hint="eastAsia" w:ascii="宋体" w:hAnsi="宋体" w:cs="宋体"/>
          <w:color w:val="auto"/>
          <w:highlight w:val="none"/>
        </w:rPr>
      </w:pPr>
      <w:r>
        <w:rPr>
          <w:rFonts w:hint="eastAsia" w:ascii="宋体" w:hAnsi="宋体" w:cs="宋体"/>
          <w:color w:val="auto"/>
          <w:highlight w:val="none"/>
        </w:rPr>
        <w:t>2.5答复</w:t>
      </w:r>
    </w:p>
    <w:p w14:paraId="7592EFAD">
      <w:pPr>
        <w:widowControl/>
        <w:adjustRightInd w:val="0"/>
        <w:snapToGrid w:val="0"/>
        <w:spacing w:line="360" w:lineRule="auto"/>
        <w:ind w:firstLine="420" w:firstLineChars="200"/>
        <w:jc w:val="left"/>
        <w:rPr>
          <w:rFonts w:hint="eastAsia" w:ascii="宋体" w:hAnsi="宋体" w:cs="宋体"/>
          <w:color w:val="auto"/>
          <w:highlight w:val="none"/>
        </w:rPr>
      </w:pPr>
      <w:r>
        <w:rPr>
          <w:rFonts w:hint="eastAsia" w:ascii="宋体" w:hAnsi="宋体" w:cs="宋体"/>
          <w:color w:val="auto"/>
          <w:highlight w:val="none"/>
        </w:rPr>
        <w:t>委托人应当在专用条件约定的时间内就咨询人以书面形式提交并要求做出答复的事宜给予书面答复。逾期未答复的，由此造成的工作延误和损失由委托人承担。</w:t>
      </w:r>
    </w:p>
    <w:p w14:paraId="7D65168D">
      <w:pPr>
        <w:widowControl/>
        <w:adjustRightInd w:val="0"/>
        <w:snapToGrid w:val="0"/>
        <w:spacing w:line="360" w:lineRule="auto"/>
        <w:ind w:firstLine="420" w:firstLineChars="200"/>
        <w:jc w:val="left"/>
        <w:rPr>
          <w:rFonts w:hint="eastAsia" w:ascii="宋体" w:hAnsi="宋体" w:cs="宋体"/>
          <w:color w:val="auto"/>
          <w:highlight w:val="none"/>
        </w:rPr>
      </w:pPr>
      <w:r>
        <w:rPr>
          <w:rFonts w:hint="eastAsia" w:ascii="宋体" w:hAnsi="宋体" w:cs="宋体"/>
          <w:color w:val="auto"/>
          <w:highlight w:val="none"/>
        </w:rPr>
        <w:t>2.6支付</w:t>
      </w:r>
    </w:p>
    <w:p w14:paraId="66F3C5EB">
      <w:pPr>
        <w:widowControl/>
        <w:adjustRightInd w:val="0"/>
        <w:snapToGrid w:val="0"/>
        <w:spacing w:line="360" w:lineRule="auto"/>
        <w:ind w:firstLine="420" w:firstLineChars="200"/>
        <w:jc w:val="left"/>
        <w:rPr>
          <w:rFonts w:hint="eastAsia" w:ascii="宋体" w:hAnsi="宋体" w:cs="宋体"/>
          <w:color w:val="auto"/>
          <w:highlight w:val="none"/>
        </w:rPr>
      </w:pPr>
      <w:r>
        <w:rPr>
          <w:rFonts w:hint="eastAsia" w:ascii="宋体" w:hAnsi="宋体" w:cs="宋体"/>
          <w:color w:val="auto"/>
          <w:highlight w:val="none"/>
        </w:rPr>
        <w:t>委托人应当按照合同的约定，向咨询人支付酬金。</w:t>
      </w:r>
    </w:p>
    <w:p w14:paraId="691607C9">
      <w:pPr>
        <w:widowControl/>
        <w:adjustRightInd w:val="0"/>
        <w:snapToGrid w:val="0"/>
        <w:spacing w:line="360" w:lineRule="auto"/>
        <w:ind w:firstLine="420" w:firstLineChars="200"/>
        <w:jc w:val="left"/>
        <w:rPr>
          <w:rFonts w:hint="eastAsia" w:ascii="宋体" w:hAnsi="宋体" w:cs="宋体"/>
          <w:color w:val="auto"/>
          <w:highlight w:val="none"/>
        </w:rPr>
      </w:pPr>
      <w:r>
        <w:rPr>
          <w:rFonts w:hint="eastAsia" w:ascii="宋体" w:hAnsi="宋体" w:cs="宋体"/>
          <w:color w:val="auto"/>
          <w:highlight w:val="none"/>
        </w:rPr>
        <w:t>3.咨询人的义务</w:t>
      </w:r>
    </w:p>
    <w:p w14:paraId="6A240205">
      <w:pPr>
        <w:widowControl/>
        <w:adjustRightInd w:val="0"/>
        <w:snapToGrid w:val="0"/>
        <w:spacing w:line="360" w:lineRule="auto"/>
        <w:ind w:firstLine="420" w:firstLineChars="200"/>
        <w:jc w:val="left"/>
        <w:rPr>
          <w:rFonts w:hint="eastAsia" w:ascii="宋体" w:hAnsi="宋体" w:cs="宋体"/>
          <w:color w:val="auto"/>
          <w:highlight w:val="none"/>
        </w:rPr>
      </w:pPr>
      <w:r>
        <w:rPr>
          <w:rFonts w:hint="eastAsia" w:ascii="宋体" w:hAnsi="宋体" w:cs="宋体"/>
          <w:color w:val="auto"/>
          <w:highlight w:val="none"/>
        </w:rPr>
        <w:t>3.1项目咨询团队及人员</w:t>
      </w:r>
    </w:p>
    <w:p w14:paraId="58ED64E5">
      <w:pPr>
        <w:widowControl/>
        <w:adjustRightInd w:val="0"/>
        <w:snapToGrid w:val="0"/>
        <w:spacing w:line="360" w:lineRule="auto"/>
        <w:ind w:firstLine="420" w:firstLineChars="200"/>
        <w:jc w:val="left"/>
        <w:rPr>
          <w:rFonts w:hint="eastAsia" w:ascii="宋体" w:hAnsi="宋体" w:cs="宋体"/>
          <w:color w:val="auto"/>
          <w:highlight w:val="none"/>
        </w:rPr>
      </w:pPr>
      <w:r>
        <w:rPr>
          <w:rFonts w:hint="eastAsia" w:ascii="宋体" w:hAnsi="宋体" w:cs="宋体"/>
          <w:color w:val="auto"/>
          <w:highlight w:val="none"/>
        </w:rPr>
        <w:t>3.1.1项目咨询团队的主要人员应具有专用条件约定的资格条件，团队人员的数量应符合专用条件的约定。</w:t>
      </w:r>
    </w:p>
    <w:p w14:paraId="298B84FA">
      <w:pPr>
        <w:widowControl/>
        <w:adjustRightInd w:val="0"/>
        <w:snapToGrid w:val="0"/>
        <w:spacing w:line="360" w:lineRule="auto"/>
        <w:ind w:firstLine="420" w:firstLineChars="200"/>
        <w:jc w:val="left"/>
        <w:rPr>
          <w:rFonts w:hint="eastAsia" w:ascii="宋体" w:hAnsi="宋体" w:cs="宋体"/>
          <w:color w:val="auto"/>
          <w:highlight w:val="none"/>
        </w:rPr>
      </w:pPr>
      <w:r>
        <w:rPr>
          <w:rFonts w:hint="eastAsia" w:ascii="宋体" w:hAnsi="宋体" w:cs="宋体"/>
          <w:color w:val="auto"/>
          <w:highlight w:val="none"/>
        </w:rPr>
        <w:t>3.1.2项目负责人</w:t>
      </w:r>
    </w:p>
    <w:p w14:paraId="5FABC02A">
      <w:pPr>
        <w:widowControl/>
        <w:adjustRightInd w:val="0"/>
        <w:snapToGrid w:val="0"/>
        <w:spacing w:line="360" w:lineRule="auto"/>
        <w:ind w:firstLine="420" w:firstLineChars="200"/>
        <w:jc w:val="left"/>
        <w:rPr>
          <w:rFonts w:hint="eastAsia" w:ascii="宋体" w:hAnsi="宋体" w:cs="宋体"/>
          <w:color w:val="auto"/>
          <w:highlight w:val="none"/>
        </w:rPr>
      </w:pPr>
      <w:r>
        <w:rPr>
          <w:rFonts w:hint="eastAsia" w:ascii="宋体" w:hAnsi="宋体" w:cs="宋体"/>
          <w:color w:val="auto"/>
          <w:highlight w:val="none"/>
        </w:rPr>
        <w:t>咨询人应以书面形式授权一名项目负责人负责履行本合同、主持项目咨询团队工作。采用招标程序签署本合同的，项目负责人应当与投标文件载明的一致。</w:t>
      </w:r>
    </w:p>
    <w:p w14:paraId="31E21B1B">
      <w:pPr>
        <w:widowControl/>
        <w:adjustRightInd w:val="0"/>
        <w:snapToGrid w:val="0"/>
        <w:spacing w:line="360" w:lineRule="auto"/>
        <w:ind w:firstLine="420" w:firstLineChars="200"/>
        <w:jc w:val="left"/>
        <w:rPr>
          <w:rFonts w:hint="eastAsia" w:ascii="宋体" w:hAnsi="宋体" w:cs="宋体"/>
          <w:color w:val="auto"/>
          <w:highlight w:val="none"/>
        </w:rPr>
      </w:pPr>
      <w:r>
        <w:rPr>
          <w:rFonts w:hint="eastAsia" w:ascii="宋体" w:hAnsi="宋体" w:cs="宋体"/>
          <w:color w:val="auto"/>
          <w:highlight w:val="none"/>
        </w:rPr>
        <w:t>3.1.3在本合同履行过程中，咨询人员应保持相对稳定，以保证咨询工作正常进行。</w:t>
      </w:r>
    </w:p>
    <w:p w14:paraId="36D8F17A">
      <w:pPr>
        <w:widowControl/>
        <w:adjustRightInd w:val="0"/>
        <w:snapToGrid w:val="0"/>
        <w:spacing w:line="360" w:lineRule="auto"/>
        <w:ind w:firstLine="420" w:firstLineChars="200"/>
        <w:jc w:val="left"/>
        <w:rPr>
          <w:rFonts w:hint="eastAsia" w:ascii="宋体" w:hAnsi="宋体" w:cs="宋体"/>
          <w:color w:val="auto"/>
          <w:highlight w:val="none"/>
        </w:rPr>
      </w:pPr>
      <w:r>
        <w:rPr>
          <w:rFonts w:hint="eastAsia" w:ascii="宋体" w:hAnsi="宋体" w:cs="宋体"/>
          <w:color w:val="auto"/>
          <w:highlight w:val="none"/>
        </w:rPr>
        <w:t>咨询人可根据工程进展和工作需要等情形调整项目咨询团队人员。咨询人更换项目负责人时，应提前 7 日向委托人书面报告，经委托人同意后方可更换。除专用条件另有约定外，咨询人更换项目咨询团队其他咨询人员，应提前3 日向委托人书面报告，经委托人同意后以相当资格与能力的人员替换。</w:t>
      </w:r>
    </w:p>
    <w:p w14:paraId="657C8DC0">
      <w:pPr>
        <w:widowControl/>
        <w:adjustRightInd w:val="0"/>
        <w:snapToGrid w:val="0"/>
        <w:spacing w:line="360" w:lineRule="auto"/>
        <w:ind w:firstLine="420" w:firstLineChars="200"/>
        <w:jc w:val="left"/>
        <w:rPr>
          <w:rFonts w:hint="eastAsia" w:ascii="宋体" w:hAnsi="宋体" w:cs="宋体"/>
          <w:color w:val="auto"/>
          <w:highlight w:val="none"/>
        </w:rPr>
      </w:pPr>
      <w:r>
        <w:rPr>
          <w:rFonts w:hint="eastAsia" w:ascii="宋体" w:hAnsi="宋体" w:cs="宋体"/>
          <w:color w:val="auto"/>
          <w:highlight w:val="none"/>
        </w:rPr>
        <w:t>3.1.4咨询人员有下列情形之一，委托人要求咨询人更换的，咨询人应当更换：</w:t>
      </w:r>
    </w:p>
    <w:p w14:paraId="5AEAD9AC">
      <w:pPr>
        <w:widowControl/>
        <w:adjustRightInd w:val="0"/>
        <w:snapToGrid w:val="0"/>
        <w:spacing w:line="360" w:lineRule="auto"/>
        <w:ind w:firstLine="420" w:firstLineChars="200"/>
        <w:jc w:val="left"/>
        <w:rPr>
          <w:rFonts w:hint="eastAsia" w:ascii="宋体" w:hAnsi="宋体" w:cs="宋体"/>
          <w:color w:val="auto"/>
          <w:highlight w:val="none"/>
        </w:rPr>
      </w:pPr>
      <w:r>
        <w:rPr>
          <w:rFonts w:hint="eastAsia" w:ascii="宋体" w:hAnsi="宋体" w:cs="宋体"/>
          <w:color w:val="auto"/>
          <w:highlight w:val="none"/>
        </w:rPr>
        <w:t>（1）存在严重过失行为的；</w:t>
      </w:r>
    </w:p>
    <w:p w14:paraId="6EC353A8">
      <w:pPr>
        <w:widowControl/>
        <w:adjustRightInd w:val="0"/>
        <w:snapToGrid w:val="0"/>
        <w:spacing w:line="360" w:lineRule="auto"/>
        <w:ind w:firstLine="420" w:firstLineChars="200"/>
        <w:jc w:val="left"/>
        <w:rPr>
          <w:rFonts w:hint="eastAsia" w:ascii="宋体" w:hAnsi="宋体" w:cs="宋体"/>
          <w:color w:val="auto"/>
          <w:highlight w:val="none"/>
        </w:rPr>
      </w:pPr>
      <w:r>
        <w:rPr>
          <w:rFonts w:hint="eastAsia" w:ascii="宋体" w:hAnsi="宋体" w:cs="宋体"/>
          <w:color w:val="auto"/>
          <w:highlight w:val="none"/>
        </w:rPr>
        <w:t>（2）存在违法行为不能履行职责的；</w:t>
      </w:r>
    </w:p>
    <w:p w14:paraId="4AF52D6C">
      <w:pPr>
        <w:widowControl/>
        <w:adjustRightInd w:val="0"/>
        <w:snapToGrid w:val="0"/>
        <w:spacing w:line="360" w:lineRule="auto"/>
        <w:ind w:firstLine="420" w:firstLineChars="200"/>
        <w:jc w:val="left"/>
        <w:rPr>
          <w:rFonts w:hint="eastAsia" w:ascii="宋体" w:hAnsi="宋体" w:cs="宋体"/>
          <w:color w:val="auto"/>
          <w:highlight w:val="none"/>
        </w:rPr>
      </w:pPr>
      <w:r>
        <w:rPr>
          <w:rFonts w:hint="eastAsia" w:ascii="宋体" w:hAnsi="宋体" w:cs="宋体"/>
          <w:color w:val="auto"/>
          <w:highlight w:val="none"/>
        </w:rPr>
        <w:t>（3）涉嫌犯罪的；</w:t>
      </w:r>
    </w:p>
    <w:p w14:paraId="50F07068">
      <w:pPr>
        <w:widowControl/>
        <w:adjustRightInd w:val="0"/>
        <w:snapToGrid w:val="0"/>
        <w:spacing w:line="360" w:lineRule="auto"/>
        <w:ind w:firstLine="420" w:firstLineChars="200"/>
        <w:jc w:val="left"/>
        <w:rPr>
          <w:rFonts w:hint="eastAsia" w:ascii="宋体" w:hAnsi="宋体" w:cs="宋体"/>
          <w:color w:val="auto"/>
          <w:highlight w:val="none"/>
        </w:rPr>
      </w:pPr>
      <w:r>
        <w:rPr>
          <w:rFonts w:hint="eastAsia" w:ascii="宋体" w:hAnsi="宋体" w:cs="宋体"/>
          <w:color w:val="auto"/>
          <w:highlight w:val="none"/>
        </w:rPr>
        <w:t>（4）不能胜任岗位职责的；</w:t>
      </w:r>
    </w:p>
    <w:p w14:paraId="2E956286">
      <w:pPr>
        <w:widowControl/>
        <w:adjustRightInd w:val="0"/>
        <w:snapToGrid w:val="0"/>
        <w:spacing w:line="360" w:lineRule="auto"/>
        <w:ind w:firstLine="420" w:firstLineChars="200"/>
        <w:jc w:val="left"/>
        <w:rPr>
          <w:rFonts w:hint="eastAsia" w:ascii="宋体" w:hAnsi="宋体" w:cs="宋体"/>
          <w:color w:val="auto"/>
          <w:highlight w:val="none"/>
        </w:rPr>
      </w:pPr>
      <w:r>
        <w:rPr>
          <w:rFonts w:hint="eastAsia" w:ascii="宋体" w:hAnsi="宋体" w:cs="宋体"/>
          <w:color w:val="auto"/>
          <w:highlight w:val="none"/>
        </w:rPr>
        <w:t>（5）严重违反职业道德的；</w:t>
      </w:r>
    </w:p>
    <w:p w14:paraId="7745FEB1">
      <w:pPr>
        <w:widowControl/>
        <w:adjustRightInd w:val="0"/>
        <w:snapToGrid w:val="0"/>
        <w:spacing w:line="360" w:lineRule="auto"/>
        <w:ind w:firstLine="420" w:firstLineChars="200"/>
        <w:jc w:val="left"/>
        <w:rPr>
          <w:rFonts w:hint="eastAsia" w:ascii="宋体" w:hAnsi="宋体" w:cs="宋体"/>
          <w:color w:val="auto"/>
          <w:highlight w:val="none"/>
        </w:rPr>
      </w:pPr>
      <w:r>
        <w:rPr>
          <w:rFonts w:hint="eastAsia" w:ascii="宋体" w:hAnsi="宋体" w:cs="宋体"/>
          <w:color w:val="auto"/>
          <w:highlight w:val="none"/>
        </w:rPr>
        <w:t>（6）专用条件约定的其他情形。</w:t>
      </w:r>
    </w:p>
    <w:p w14:paraId="0FCA5C41">
      <w:pPr>
        <w:widowControl/>
        <w:adjustRightInd w:val="0"/>
        <w:snapToGrid w:val="0"/>
        <w:spacing w:line="360" w:lineRule="auto"/>
        <w:ind w:firstLine="420" w:firstLineChars="200"/>
        <w:jc w:val="left"/>
        <w:rPr>
          <w:rFonts w:hint="eastAsia" w:ascii="宋体" w:hAnsi="宋体" w:cs="宋体"/>
          <w:color w:val="auto"/>
          <w:highlight w:val="none"/>
        </w:rPr>
      </w:pPr>
      <w:r>
        <w:rPr>
          <w:rFonts w:hint="eastAsia" w:ascii="宋体" w:hAnsi="宋体" w:cs="宋体"/>
          <w:color w:val="auto"/>
          <w:highlight w:val="none"/>
        </w:rPr>
        <w:t>3.2咨询人的工作要求</w:t>
      </w:r>
    </w:p>
    <w:p w14:paraId="60AF6806">
      <w:pPr>
        <w:widowControl/>
        <w:adjustRightInd w:val="0"/>
        <w:snapToGrid w:val="0"/>
        <w:spacing w:line="360" w:lineRule="auto"/>
        <w:ind w:firstLine="420" w:firstLineChars="200"/>
        <w:jc w:val="left"/>
        <w:rPr>
          <w:rFonts w:hint="eastAsia" w:ascii="宋体" w:hAnsi="宋体" w:cs="宋体"/>
          <w:color w:val="auto"/>
          <w:highlight w:val="none"/>
        </w:rPr>
      </w:pPr>
      <w:r>
        <w:rPr>
          <w:rFonts w:hint="eastAsia" w:ascii="宋体" w:hAnsi="宋体" w:cs="宋体"/>
          <w:color w:val="auto"/>
          <w:highlight w:val="none"/>
        </w:rPr>
        <w:t>3.2.1咨询人应当按照专用条件约定的时间等要求向委托人提供与工程造价咨询业务有关的资料，包括工程造价咨询企业的资质证书及承担本合同业务的团队人员名单及执业（从业）资格证书、咨询工作大纲等，并按合同约定的服务范围和工作内容实施咨询业务。</w:t>
      </w:r>
    </w:p>
    <w:p w14:paraId="337A8EA5">
      <w:pPr>
        <w:widowControl/>
        <w:adjustRightInd w:val="0"/>
        <w:snapToGrid w:val="0"/>
        <w:spacing w:line="360" w:lineRule="auto"/>
        <w:ind w:firstLine="420" w:firstLineChars="200"/>
        <w:jc w:val="left"/>
        <w:rPr>
          <w:rFonts w:hint="eastAsia" w:ascii="宋体" w:hAnsi="宋体" w:cs="宋体"/>
          <w:color w:val="auto"/>
          <w:highlight w:val="none"/>
        </w:rPr>
      </w:pPr>
      <w:r>
        <w:rPr>
          <w:rFonts w:hint="eastAsia" w:ascii="宋体" w:hAnsi="宋体" w:cs="宋体"/>
          <w:color w:val="auto"/>
          <w:highlight w:val="none"/>
        </w:rPr>
        <w:t>3.2.2咨询人应当在专用条件约定的时间内，按照专用条件约定的份数、组成向委托人提交咨询成果文件。</w:t>
      </w:r>
    </w:p>
    <w:p w14:paraId="1FDA81BB">
      <w:pPr>
        <w:widowControl/>
        <w:adjustRightInd w:val="0"/>
        <w:snapToGrid w:val="0"/>
        <w:spacing w:line="360" w:lineRule="auto"/>
        <w:ind w:firstLine="420" w:firstLineChars="200"/>
        <w:jc w:val="left"/>
        <w:rPr>
          <w:rFonts w:hint="eastAsia" w:ascii="宋体" w:hAnsi="宋体" w:cs="宋体"/>
          <w:color w:val="auto"/>
          <w:highlight w:val="none"/>
        </w:rPr>
      </w:pPr>
      <w:r>
        <w:rPr>
          <w:rFonts w:hint="eastAsia" w:ascii="宋体" w:hAnsi="宋体" w:cs="宋体"/>
          <w:color w:val="auto"/>
          <w:highlight w:val="none"/>
        </w:rPr>
        <w:t>咨询人提供造价咨询服务以及出具工程造价咨询成果文件应符合现行国家或行业有关规定、标准、规范的要求。委托人要求的工程造价咨询成果文件质量标准高于现行国家或行业标准的，应在专用条件中约定具体的质量标准，并相应增加服务酬金。</w:t>
      </w:r>
    </w:p>
    <w:p w14:paraId="474DCA05">
      <w:pPr>
        <w:widowControl/>
        <w:adjustRightInd w:val="0"/>
        <w:snapToGrid w:val="0"/>
        <w:spacing w:line="360" w:lineRule="auto"/>
        <w:ind w:firstLine="420" w:firstLineChars="200"/>
        <w:jc w:val="left"/>
        <w:rPr>
          <w:rFonts w:hint="eastAsia" w:ascii="宋体" w:hAnsi="宋体" w:cs="宋体"/>
          <w:color w:val="auto"/>
          <w:highlight w:val="none"/>
        </w:rPr>
      </w:pPr>
      <w:r>
        <w:rPr>
          <w:rFonts w:hint="eastAsia" w:ascii="宋体" w:hAnsi="宋体" w:cs="宋体"/>
          <w:color w:val="auto"/>
          <w:highlight w:val="none"/>
        </w:rPr>
        <w:t>3.2.3咨询人提交的工程造价咨询成果文件，除加盖咨询人单位公章、工程造价咨询企业执业印章外，还必须按要求加盖参加咨询工作人员的执业（从业）资格印章。</w:t>
      </w:r>
    </w:p>
    <w:p w14:paraId="230D1CD5">
      <w:pPr>
        <w:widowControl/>
        <w:adjustRightInd w:val="0"/>
        <w:snapToGrid w:val="0"/>
        <w:spacing w:line="360" w:lineRule="auto"/>
        <w:ind w:firstLine="420" w:firstLineChars="200"/>
        <w:jc w:val="left"/>
        <w:rPr>
          <w:rFonts w:hint="eastAsia" w:ascii="宋体" w:hAnsi="宋体" w:cs="宋体"/>
          <w:color w:val="auto"/>
          <w:highlight w:val="none"/>
        </w:rPr>
      </w:pPr>
      <w:r>
        <w:rPr>
          <w:rFonts w:hint="eastAsia" w:ascii="宋体" w:hAnsi="宋体" w:cs="宋体"/>
          <w:color w:val="auto"/>
          <w:highlight w:val="none"/>
        </w:rPr>
        <w:t>3.2.4咨询人应在专用条件约定的时间内，对委托人以书面形式提出的建议或者异议给予书面答复。</w:t>
      </w:r>
    </w:p>
    <w:p w14:paraId="52F8E08E">
      <w:pPr>
        <w:widowControl/>
        <w:adjustRightInd w:val="0"/>
        <w:snapToGrid w:val="0"/>
        <w:spacing w:line="360" w:lineRule="auto"/>
        <w:ind w:firstLine="420" w:firstLineChars="200"/>
        <w:jc w:val="left"/>
        <w:rPr>
          <w:rFonts w:hint="eastAsia" w:ascii="宋体" w:hAnsi="宋体" w:cs="宋体"/>
          <w:color w:val="auto"/>
          <w:highlight w:val="none"/>
        </w:rPr>
      </w:pPr>
      <w:r>
        <w:rPr>
          <w:rFonts w:hint="eastAsia" w:ascii="宋体" w:hAnsi="宋体" w:cs="宋体"/>
          <w:color w:val="auto"/>
          <w:highlight w:val="none"/>
        </w:rPr>
        <w:t>3.2.5咨询人从事工程造价咨询活动，应当遵循独立、客观、公正、诚实信用的原则，不得损害社会公共利益和他人的合法权益。</w:t>
      </w:r>
    </w:p>
    <w:p w14:paraId="7C054D0F">
      <w:pPr>
        <w:widowControl/>
        <w:adjustRightInd w:val="0"/>
        <w:snapToGrid w:val="0"/>
        <w:spacing w:line="360" w:lineRule="auto"/>
        <w:ind w:firstLine="420" w:firstLineChars="200"/>
        <w:jc w:val="left"/>
        <w:rPr>
          <w:rFonts w:hint="eastAsia" w:ascii="宋体" w:hAnsi="宋体" w:cs="宋体"/>
          <w:color w:val="auto"/>
          <w:highlight w:val="none"/>
        </w:rPr>
      </w:pPr>
      <w:r>
        <w:rPr>
          <w:rFonts w:hint="eastAsia" w:ascii="宋体" w:hAnsi="宋体" w:cs="宋体"/>
          <w:color w:val="auto"/>
          <w:highlight w:val="none"/>
        </w:rPr>
        <w:t>3.2.6咨询人承诺按照法律规定及合同约定，完成合同范围内的建设工程造价咨询服务，不转包承接的造价咨询服务业务。</w:t>
      </w:r>
    </w:p>
    <w:p w14:paraId="4F05F269">
      <w:pPr>
        <w:widowControl/>
        <w:adjustRightInd w:val="0"/>
        <w:snapToGrid w:val="0"/>
        <w:spacing w:line="360" w:lineRule="auto"/>
        <w:ind w:firstLine="420" w:firstLineChars="200"/>
        <w:jc w:val="left"/>
        <w:rPr>
          <w:rFonts w:hint="eastAsia" w:ascii="宋体" w:hAnsi="宋体" w:cs="宋体"/>
          <w:color w:val="auto"/>
          <w:highlight w:val="none"/>
        </w:rPr>
      </w:pPr>
      <w:r>
        <w:rPr>
          <w:rFonts w:hint="eastAsia" w:ascii="宋体" w:hAnsi="宋体" w:cs="宋体"/>
          <w:color w:val="auto"/>
          <w:highlight w:val="none"/>
        </w:rPr>
        <w:t>3.3咨询人的工作依据</w:t>
      </w:r>
    </w:p>
    <w:p w14:paraId="64213E80">
      <w:pPr>
        <w:widowControl/>
        <w:adjustRightInd w:val="0"/>
        <w:snapToGrid w:val="0"/>
        <w:spacing w:line="360" w:lineRule="auto"/>
        <w:ind w:firstLine="420" w:firstLineChars="200"/>
        <w:jc w:val="left"/>
        <w:rPr>
          <w:rFonts w:hint="eastAsia" w:ascii="宋体" w:hAnsi="宋体" w:cs="宋体"/>
          <w:color w:val="auto"/>
          <w:highlight w:val="none"/>
        </w:rPr>
      </w:pPr>
      <w:r>
        <w:rPr>
          <w:rFonts w:hint="eastAsia" w:ascii="宋体" w:hAnsi="宋体" w:cs="宋体"/>
          <w:color w:val="auto"/>
          <w:highlight w:val="none"/>
        </w:rPr>
        <w:t>咨询人应在专用条件内与委托人协商明确履行本合同约定的咨询服务需要适用的技术标准、规范、定额等工作依据，但不得违反国家及工程所在地的强制性标准、规范。</w:t>
      </w:r>
    </w:p>
    <w:p w14:paraId="36764A6D">
      <w:pPr>
        <w:widowControl/>
        <w:adjustRightInd w:val="0"/>
        <w:snapToGrid w:val="0"/>
        <w:spacing w:line="360" w:lineRule="auto"/>
        <w:ind w:firstLine="420" w:firstLineChars="200"/>
        <w:jc w:val="left"/>
        <w:rPr>
          <w:rFonts w:hint="eastAsia" w:ascii="宋体" w:hAnsi="宋体" w:cs="宋体"/>
          <w:color w:val="auto"/>
          <w:highlight w:val="none"/>
        </w:rPr>
      </w:pPr>
      <w:r>
        <w:rPr>
          <w:rFonts w:hint="eastAsia" w:ascii="宋体" w:hAnsi="宋体" w:cs="宋体"/>
          <w:color w:val="auto"/>
          <w:highlight w:val="none"/>
        </w:rPr>
        <w:t>咨询人应自行配备本条所述的技术标准、规范、定额等相关资料。必须由委托人提供的资料，应在附录 C 中载明。需要委托人协助才能获得的资料，委托人应予以协助。</w:t>
      </w:r>
    </w:p>
    <w:p w14:paraId="06D80FA7">
      <w:pPr>
        <w:widowControl/>
        <w:adjustRightInd w:val="0"/>
        <w:snapToGrid w:val="0"/>
        <w:spacing w:line="360" w:lineRule="auto"/>
        <w:ind w:firstLine="420" w:firstLineChars="200"/>
        <w:jc w:val="left"/>
        <w:rPr>
          <w:rFonts w:hint="eastAsia" w:ascii="宋体" w:hAnsi="宋体" w:cs="宋体"/>
          <w:color w:val="auto"/>
          <w:highlight w:val="none"/>
        </w:rPr>
      </w:pPr>
      <w:r>
        <w:rPr>
          <w:rFonts w:hint="eastAsia" w:ascii="宋体" w:hAnsi="宋体" w:cs="宋体"/>
          <w:color w:val="auto"/>
          <w:highlight w:val="none"/>
        </w:rPr>
        <w:t>3.4使用委托人房屋及设备的返还</w:t>
      </w:r>
    </w:p>
    <w:p w14:paraId="3BACA2CE">
      <w:pPr>
        <w:widowControl/>
        <w:adjustRightInd w:val="0"/>
        <w:snapToGrid w:val="0"/>
        <w:spacing w:line="360" w:lineRule="auto"/>
        <w:ind w:firstLine="420" w:firstLineChars="200"/>
        <w:jc w:val="left"/>
        <w:rPr>
          <w:rFonts w:hint="eastAsia" w:ascii="宋体" w:hAnsi="宋体" w:cs="宋体"/>
          <w:color w:val="auto"/>
          <w:highlight w:val="none"/>
        </w:rPr>
      </w:pPr>
      <w:r>
        <w:rPr>
          <w:rFonts w:hint="eastAsia" w:ascii="宋体" w:hAnsi="宋体" w:cs="宋体"/>
          <w:color w:val="auto"/>
          <w:highlight w:val="none"/>
        </w:rPr>
        <w:t>项目咨询人员使用委托人提供的房屋及设备的，咨询人应妥善使用和保 管，在本合同终止时将上述房屋及设备按专用条件约定的时间和方式返还委托人。</w:t>
      </w:r>
    </w:p>
    <w:p w14:paraId="1BA32D3E">
      <w:pPr>
        <w:widowControl/>
        <w:adjustRightInd w:val="0"/>
        <w:snapToGrid w:val="0"/>
        <w:spacing w:line="360" w:lineRule="auto"/>
        <w:ind w:firstLine="420" w:firstLineChars="200"/>
        <w:jc w:val="left"/>
        <w:rPr>
          <w:rFonts w:hint="eastAsia" w:ascii="宋体" w:hAnsi="宋体" w:cs="宋体"/>
          <w:color w:val="auto"/>
          <w:highlight w:val="none"/>
        </w:rPr>
      </w:pPr>
      <w:r>
        <w:rPr>
          <w:rFonts w:hint="eastAsia" w:ascii="宋体" w:hAnsi="宋体" w:cs="宋体"/>
          <w:color w:val="auto"/>
          <w:highlight w:val="none"/>
        </w:rPr>
        <w:t>4.违约责任</w:t>
      </w:r>
    </w:p>
    <w:p w14:paraId="3729992D">
      <w:pPr>
        <w:widowControl/>
        <w:adjustRightInd w:val="0"/>
        <w:snapToGrid w:val="0"/>
        <w:spacing w:line="360" w:lineRule="auto"/>
        <w:ind w:firstLine="420" w:firstLineChars="200"/>
        <w:jc w:val="left"/>
        <w:rPr>
          <w:rFonts w:hint="eastAsia" w:ascii="宋体" w:hAnsi="宋体" w:cs="宋体"/>
          <w:color w:val="auto"/>
          <w:highlight w:val="none"/>
        </w:rPr>
      </w:pPr>
      <w:r>
        <w:rPr>
          <w:rFonts w:hint="eastAsia" w:ascii="宋体" w:hAnsi="宋体" w:cs="宋体"/>
          <w:color w:val="auto"/>
          <w:highlight w:val="none"/>
        </w:rPr>
        <w:t>4.1委托人的违约责任</w:t>
      </w:r>
    </w:p>
    <w:p w14:paraId="79FE715D">
      <w:pPr>
        <w:widowControl/>
        <w:adjustRightInd w:val="0"/>
        <w:snapToGrid w:val="0"/>
        <w:spacing w:line="360" w:lineRule="auto"/>
        <w:ind w:firstLine="420" w:firstLineChars="200"/>
        <w:jc w:val="left"/>
        <w:rPr>
          <w:rFonts w:hint="eastAsia" w:ascii="宋体" w:hAnsi="宋体" w:cs="宋体"/>
          <w:color w:val="auto"/>
          <w:highlight w:val="none"/>
        </w:rPr>
      </w:pPr>
      <w:r>
        <w:rPr>
          <w:rFonts w:hint="eastAsia" w:ascii="宋体" w:hAnsi="宋体" w:cs="宋体"/>
          <w:color w:val="auto"/>
          <w:highlight w:val="none"/>
        </w:rPr>
        <w:t>4.1.1委托人不履行本合同义务或者履行义务不符合本合同约定的，应承担违约责任。双方可在专用条件中约定违约金的计算及支付方法。</w:t>
      </w:r>
    </w:p>
    <w:p w14:paraId="6D5E9B95">
      <w:pPr>
        <w:widowControl/>
        <w:adjustRightInd w:val="0"/>
        <w:snapToGrid w:val="0"/>
        <w:spacing w:line="360" w:lineRule="auto"/>
        <w:ind w:firstLine="420" w:firstLineChars="200"/>
        <w:jc w:val="left"/>
        <w:rPr>
          <w:rFonts w:hint="eastAsia" w:ascii="宋体" w:hAnsi="宋体" w:cs="宋体"/>
          <w:color w:val="auto"/>
          <w:highlight w:val="none"/>
        </w:rPr>
      </w:pPr>
      <w:r>
        <w:rPr>
          <w:rFonts w:hint="eastAsia" w:ascii="宋体" w:hAnsi="宋体" w:cs="宋体"/>
          <w:color w:val="auto"/>
          <w:highlight w:val="none"/>
        </w:rPr>
        <w:t>4.1.2委托人违反本合同约定造成咨询人损失的，委托人应予以赔偿。双方可在专用条件中约定赔偿金额的确定及支付方法。</w:t>
      </w:r>
    </w:p>
    <w:p w14:paraId="3F02D92A">
      <w:pPr>
        <w:widowControl/>
        <w:adjustRightInd w:val="0"/>
        <w:snapToGrid w:val="0"/>
        <w:spacing w:line="360" w:lineRule="auto"/>
        <w:ind w:firstLine="420" w:firstLineChars="200"/>
        <w:jc w:val="left"/>
        <w:rPr>
          <w:rFonts w:hint="eastAsia" w:ascii="宋体" w:hAnsi="宋体" w:cs="宋体"/>
          <w:color w:val="auto"/>
          <w:highlight w:val="none"/>
        </w:rPr>
      </w:pPr>
      <w:r>
        <w:rPr>
          <w:rFonts w:hint="eastAsia" w:ascii="宋体" w:hAnsi="宋体" w:cs="宋体"/>
          <w:color w:val="auto"/>
          <w:highlight w:val="none"/>
        </w:rPr>
        <w:t>4.1.3委托人未能按期支付酬金超过 14 天，应按下列方法计算并支付逾期付款利息。逾期付款利息=当期应付款总额×全国银行间同业拆借中心公布的贷款市场报价利率（一年期LPR）×逾期支付天数（自逾期之日起计算）。双方也可在专用条件中另行约定逾期付款利息的计算及支付方法。</w:t>
      </w:r>
    </w:p>
    <w:p w14:paraId="3E1F787F">
      <w:pPr>
        <w:widowControl/>
        <w:adjustRightInd w:val="0"/>
        <w:snapToGrid w:val="0"/>
        <w:spacing w:line="360" w:lineRule="auto"/>
        <w:ind w:firstLine="420" w:firstLineChars="200"/>
        <w:jc w:val="left"/>
        <w:rPr>
          <w:rFonts w:hint="eastAsia" w:ascii="宋体" w:hAnsi="宋体" w:cs="宋体"/>
          <w:color w:val="auto"/>
          <w:highlight w:val="none"/>
        </w:rPr>
      </w:pPr>
      <w:r>
        <w:rPr>
          <w:rFonts w:hint="eastAsia" w:ascii="宋体" w:hAnsi="宋体" w:cs="宋体"/>
          <w:color w:val="auto"/>
          <w:highlight w:val="none"/>
        </w:rPr>
        <w:t>4.2咨询人的违约责任</w:t>
      </w:r>
    </w:p>
    <w:p w14:paraId="3D3EBAC7">
      <w:pPr>
        <w:widowControl/>
        <w:adjustRightInd w:val="0"/>
        <w:snapToGrid w:val="0"/>
        <w:spacing w:line="360" w:lineRule="auto"/>
        <w:ind w:firstLine="420" w:firstLineChars="200"/>
        <w:jc w:val="left"/>
        <w:rPr>
          <w:rFonts w:hint="eastAsia" w:ascii="宋体" w:hAnsi="宋体" w:cs="宋体"/>
          <w:color w:val="auto"/>
          <w:highlight w:val="none"/>
        </w:rPr>
      </w:pPr>
      <w:r>
        <w:rPr>
          <w:rFonts w:hint="eastAsia" w:ascii="宋体" w:hAnsi="宋体" w:cs="宋体"/>
          <w:color w:val="auto"/>
          <w:highlight w:val="none"/>
        </w:rPr>
        <w:t>4.2.1咨询人不履行本合同义务或者履行义务不符合本合同约定的，应承担违约责任。双方可在专用条件中约定违约金的计算及支付方法。</w:t>
      </w:r>
    </w:p>
    <w:p w14:paraId="72AED2E7">
      <w:pPr>
        <w:widowControl/>
        <w:adjustRightInd w:val="0"/>
        <w:snapToGrid w:val="0"/>
        <w:spacing w:line="360" w:lineRule="auto"/>
        <w:ind w:firstLine="420" w:firstLineChars="200"/>
        <w:jc w:val="left"/>
        <w:rPr>
          <w:rFonts w:hint="eastAsia" w:ascii="宋体" w:hAnsi="宋体" w:cs="宋体"/>
          <w:color w:val="auto"/>
          <w:highlight w:val="none"/>
        </w:rPr>
      </w:pPr>
      <w:r>
        <w:rPr>
          <w:rFonts w:hint="eastAsia" w:ascii="宋体" w:hAnsi="宋体" w:cs="宋体"/>
          <w:color w:val="auto"/>
          <w:highlight w:val="none"/>
        </w:rPr>
        <w:t>4.2.2因咨询人违反本合同约定给委托人造成损失的，咨询人应当赔偿委托人损失。双方可在专用条件中约定赔偿金额的确定及支付方法。</w:t>
      </w:r>
    </w:p>
    <w:p w14:paraId="6B5A2E6B">
      <w:pPr>
        <w:widowControl/>
        <w:adjustRightInd w:val="0"/>
        <w:snapToGrid w:val="0"/>
        <w:spacing w:line="360" w:lineRule="auto"/>
        <w:ind w:firstLine="420" w:firstLineChars="200"/>
        <w:jc w:val="left"/>
        <w:rPr>
          <w:rFonts w:hint="eastAsia" w:ascii="宋体" w:hAnsi="宋体" w:cs="宋体"/>
          <w:color w:val="auto"/>
          <w:highlight w:val="none"/>
        </w:rPr>
      </w:pPr>
      <w:r>
        <w:rPr>
          <w:rFonts w:hint="eastAsia" w:ascii="宋体" w:hAnsi="宋体" w:cs="宋体"/>
          <w:color w:val="auto"/>
          <w:highlight w:val="none"/>
        </w:rPr>
        <w:t>5.支付</w:t>
      </w:r>
    </w:p>
    <w:p w14:paraId="4DE3327F">
      <w:pPr>
        <w:widowControl/>
        <w:adjustRightInd w:val="0"/>
        <w:snapToGrid w:val="0"/>
        <w:spacing w:line="360" w:lineRule="auto"/>
        <w:ind w:firstLine="420" w:firstLineChars="200"/>
        <w:jc w:val="left"/>
        <w:rPr>
          <w:rFonts w:hint="eastAsia" w:ascii="宋体" w:hAnsi="宋体" w:cs="宋体"/>
          <w:color w:val="auto"/>
          <w:highlight w:val="none"/>
        </w:rPr>
      </w:pPr>
      <w:r>
        <w:rPr>
          <w:rFonts w:hint="eastAsia" w:ascii="宋体" w:hAnsi="宋体" w:cs="宋体"/>
          <w:color w:val="auto"/>
          <w:highlight w:val="none"/>
        </w:rPr>
        <w:t>5.1支付货币</w:t>
      </w:r>
    </w:p>
    <w:p w14:paraId="552BB1A0">
      <w:pPr>
        <w:widowControl/>
        <w:adjustRightInd w:val="0"/>
        <w:snapToGrid w:val="0"/>
        <w:spacing w:line="360" w:lineRule="auto"/>
        <w:ind w:firstLine="420" w:firstLineChars="200"/>
        <w:jc w:val="left"/>
        <w:rPr>
          <w:rFonts w:hint="eastAsia" w:ascii="宋体" w:hAnsi="宋体" w:cs="宋体"/>
          <w:color w:val="auto"/>
          <w:highlight w:val="none"/>
        </w:rPr>
      </w:pPr>
      <w:r>
        <w:rPr>
          <w:rFonts w:hint="eastAsia" w:ascii="宋体" w:hAnsi="宋体" w:cs="宋体"/>
          <w:color w:val="auto"/>
          <w:highlight w:val="none"/>
        </w:rPr>
        <w:t>除专用条件另有约定外，酬金均以人民币支付。涉及外币支付的，所采用的货币种类和汇率等在专用条件中约定。</w:t>
      </w:r>
    </w:p>
    <w:p w14:paraId="5D46F85D">
      <w:pPr>
        <w:widowControl/>
        <w:adjustRightInd w:val="0"/>
        <w:snapToGrid w:val="0"/>
        <w:spacing w:line="360" w:lineRule="auto"/>
        <w:ind w:firstLine="420" w:firstLineChars="200"/>
        <w:jc w:val="left"/>
        <w:rPr>
          <w:rFonts w:hint="eastAsia" w:ascii="宋体" w:hAnsi="宋体" w:cs="宋体"/>
          <w:color w:val="auto"/>
          <w:highlight w:val="none"/>
        </w:rPr>
      </w:pPr>
      <w:r>
        <w:rPr>
          <w:rFonts w:hint="eastAsia" w:ascii="宋体" w:hAnsi="宋体" w:cs="宋体"/>
          <w:color w:val="auto"/>
          <w:highlight w:val="none"/>
        </w:rPr>
        <w:t>5.2支付申请</w:t>
      </w:r>
    </w:p>
    <w:p w14:paraId="0D7D0763">
      <w:pPr>
        <w:widowControl/>
        <w:adjustRightInd w:val="0"/>
        <w:snapToGrid w:val="0"/>
        <w:spacing w:line="360" w:lineRule="auto"/>
        <w:ind w:firstLine="420" w:firstLineChars="200"/>
        <w:jc w:val="left"/>
        <w:rPr>
          <w:rFonts w:hint="eastAsia" w:ascii="宋体" w:hAnsi="宋体" w:cs="宋体"/>
          <w:color w:val="auto"/>
          <w:highlight w:val="none"/>
        </w:rPr>
      </w:pPr>
      <w:r>
        <w:rPr>
          <w:rFonts w:hint="eastAsia" w:ascii="宋体" w:hAnsi="宋体" w:cs="宋体"/>
          <w:color w:val="auto"/>
          <w:highlight w:val="none"/>
        </w:rPr>
        <w:t>咨询人应在本合同约定的每次应付款日期前，向委托人提交支付申请书， 支付申请书的提交日期由双方在专用条件中约定。支付申请书应当说明当期应付款总额，并列出当期应支付的款项及其金额。</w:t>
      </w:r>
    </w:p>
    <w:p w14:paraId="36F5B70A">
      <w:pPr>
        <w:widowControl/>
        <w:adjustRightInd w:val="0"/>
        <w:snapToGrid w:val="0"/>
        <w:spacing w:line="360" w:lineRule="auto"/>
        <w:ind w:firstLine="420" w:firstLineChars="200"/>
        <w:jc w:val="left"/>
        <w:rPr>
          <w:rFonts w:hint="eastAsia" w:ascii="宋体" w:hAnsi="宋体" w:cs="宋体"/>
          <w:color w:val="auto"/>
          <w:highlight w:val="none"/>
        </w:rPr>
      </w:pPr>
      <w:r>
        <w:rPr>
          <w:rFonts w:hint="eastAsia" w:ascii="宋体" w:hAnsi="宋体" w:cs="宋体"/>
          <w:color w:val="auto"/>
          <w:highlight w:val="none"/>
        </w:rPr>
        <w:t>5.3支付酬金</w:t>
      </w:r>
    </w:p>
    <w:p w14:paraId="49E1E3DA">
      <w:pPr>
        <w:widowControl/>
        <w:adjustRightInd w:val="0"/>
        <w:snapToGrid w:val="0"/>
        <w:spacing w:line="360" w:lineRule="auto"/>
        <w:ind w:firstLine="420" w:firstLineChars="200"/>
        <w:jc w:val="left"/>
        <w:rPr>
          <w:rFonts w:hint="eastAsia" w:ascii="宋体" w:hAnsi="宋体" w:cs="宋体"/>
          <w:color w:val="auto"/>
          <w:highlight w:val="none"/>
        </w:rPr>
      </w:pPr>
      <w:r>
        <w:rPr>
          <w:rFonts w:hint="eastAsia" w:ascii="宋体" w:hAnsi="宋体" w:cs="宋体"/>
          <w:color w:val="auto"/>
          <w:highlight w:val="none"/>
        </w:rPr>
        <w:t>支付酬金包括正常工作酬金、附加工作酬金、合理化建议奖励金额及费用。</w:t>
      </w:r>
    </w:p>
    <w:p w14:paraId="227596B4">
      <w:pPr>
        <w:widowControl/>
        <w:adjustRightInd w:val="0"/>
        <w:snapToGrid w:val="0"/>
        <w:spacing w:line="360" w:lineRule="auto"/>
        <w:ind w:firstLine="420" w:firstLineChars="200"/>
        <w:jc w:val="left"/>
        <w:rPr>
          <w:rFonts w:hint="eastAsia" w:ascii="宋体" w:hAnsi="宋体" w:cs="宋体"/>
          <w:color w:val="auto"/>
          <w:highlight w:val="none"/>
        </w:rPr>
      </w:pPr>
      <w:r>
        <w:rPr>
          <w:rFonts w:hint="eastAsia" w:ascii="宋体" w:hAnsi="宋体" w:cs="宋体"/>
          <w:color w:val="auto"/>
          <w:highlight w:val="none"/>
        </w:rPr>
        <w:t>5.4有异议部分的支付</w:t>
      </w:r>
    </w:p>
    <w:p w14:paraId="46FFDB96">
      <w:pPr>
        <w:widowControl/>
        <w:adjustRightInd w:val="0"/>
        <w:snapToGrid w:val="0"/>
        <w:spacing w:line="360" w:lineRule="auto"/>
        <w:ind w:firstLine="420" w:firstLineChars="200"/>
        <w:jc w:val="left"/>
        <w:rPr>
          <w:rFonts w:hint="eastAsia" w:ascii="宋体" w:hAnsi="宋体" w:cs="宋体"/>
          <w:color w:val="auto"/>
          <w:highlight w:val="none"/>
        </w:rPr>
      </w:pPr>
      <w:r>
        <w:rPr>
          <w:rFonts w:hint="eastAsia" w:ascii="宋体" w:hAnsi="宋体" w:cs="宋体"/>
          <w:color w:val="auto"/>
          <w:highlight w:val="none"/>
        </w:rPr>
        <w:t>委托人对咨询人提交的支付申请书有异议时，应当在收到咨询人提交的支付申请书后 7 日内，以书面形式向咨询人发出异议通知。无异议部分的款项应按期支付，有异议部分的款项按第 7 条约定办理。</w:t>
      </w:r>
    </w:p>
    <w:p w14:paraId="12B1ABA3">
      <w:pPr>
        <w:widowControl/>
        <w:adjustRightInd w:val="0"/>
        <w:snapToGrid w:val="0"/>
        <w:spacing w:line="360" w:lineRule="auto"/>
        <w:ind w:firstLine="420" w:firstLineChars="200"/>
        <w:jc w:val="left"/>
        <w:rPr>
          <w:rFonts w:hint="eastAsia" w:ascii="宋体" w:hAnsi="宋体" w:cs="宋体"/>
          <w:color w:val="auto"/>
          <w:highlight w:val="none"/>
        </w:rPr>
      </w:pPr>
      <w:r>
        <w:rPr>
          <w:rFonts w:hint="eastAsia" w:ascii="宋体" w:hAnsi="宋体" w:cs="宋体"/>
          <w:color w:val="auto"/>
          <w:highlight w:val="none"/>
        </w:rPr>
        <w:t>6.合同变更、解除与终止</w:t>
      </w:r>
    </w:p>
    <w:p w14:paraId="6789D4A9">
      <w:pPr>
        <w:widowControl/>
        <w:adjustRightInd w:val="0"/>
        <w:snapToGrid w:val="0"/>
        <w:spacing w:line="360" w:lineRule="auto"/>
        <w:ind w:firstLine="420" w:firstLineChars="200"/>
        <w:jc w:val="left"/>
        <w:rPr>
          <w:rFonts w:hint="eastAsia" w:ascii="宋体" w:hAnsi="宋体" w:cs="宋体"/>
          <w:color w:val="auto"/>
          <w:highlight w:val="none"/>
        </w:rPr>
      </w:pPr>
      <w:r>
        <w:rPr>
          <w:rFonts w:hint="eastAsia" w:ascii="宋体" w:hAnsi="宋体" w:cs="宋体"/>
          <w:color w:val="auto"/>
          <w:highlight w:val="none"/>
        </w:rPr>
        <w:t>6.1合同变更</w:t>
      </w:r>
    </w:p>
    <w:p w14:paraId="5E0A5371">
      <w:pPr>
        <w:widowControl/>
        <w:adjustRightInd w:val="0"/>
        <w:snapToGrid w:val="0"/>
        <w:spacing w:line="360" w:lineRule="auto"/>
        <w:ind w:firstLine="420" w:firstLineChars="200"/>
        <w:jc w:val="left"/>
        <w:rPr>
          <w:rFonts w:hint="eastAsia" w:ascii="宋体" w:hAnsi="宋体" w:cs="宋体"/>
          <w:color w:val="auto"/>
          <w:highlight w:val="none"/>
        </w:rPr>
      </w:pPr>
      <w:r>
        <w:rPr>
          <w:rFonts w:hint="eastAsia" w:ascii="宋体" w:hAnsi="宋体" w:cs="宋体"/>
          <w:color w:val="auto"/>
          <w:highlight w:val="none"/>
        </w:rPr>
        <w:t>6.1.1任何一方以书面形式提出变更请求时，双方经协商一致后可进行变更。</w:t>
      </w:r>
    </w:p>
    <w:p w14:paraId="47A6D5BB">
      <w:pPr>
        <w:widowControl/>
        <w:adjustRightInd w:val="0"/>
        <w:snapToGrid w:val="0"/>
        <w:spacing w:line="360" w:lineRule="auto"/>
        <w:ind w:firstLine="420" w:firstLineChars="200"/>
        <w:jc w:val="left"/>
        <w:rPr>
          <w:rFonts w:hint="eastAsia" w:ascii="宋体" w:hAnsi="宋体" w:cs="宋体"/>
          <w:color w:val="auto"/>
          <w:highlight w:val="none"/>
        </w:rPr>
      </w:pPr>
      <w:r>
        <w:rPr>
          <w:rFonts w:hint="eastAsia" w:ascii="宋体" w:hAnsi="宋体" w:cs="宋体"/>
          <w:color w:val="auto"/>
          <w:highlight w:val="none"/>
        </w:rPr>
        <w:t>6.1.2除不可抗力外，因非咨询人原因导致咨询人履行合同期限延长、内容增加时，咨询人应当将此情况与可能产生的影响及时通知委托人。增加的工作时间或工作内容应视为附加工作。附加工作酬金的确定方法由双方根据委托的服务范围及工作内容在专用条件中约定。</w:t>
      </w:r>
    </w:p>
    <w:p w14:paraId="7A0B42D2">
      <w:pPr>
        <w:widowControl/>
        <w:adjustRightInd w:val="0"/>
        <w:snapToGrid w:val="0"/>
        <w:spacing w:line="360" w:lineRule="auto"/>
        <w:ind w:firstLine="420" w:firstLineChars="200"/>
        <w:jc w:val="left"/>
        <w:rPr>
          <w:rFonts w:hint="eastAsia" w:ascii="宋体" w:hAnsi="宋体" w:cs="宋体"/>
          <w:color w:val="auto"/>
          <w:highlight w:val="none"/>
        </w:rPr>
      </w:pPr>
      <w:r>
        <w:rPr>
          <w:rFonts w:hint="eastAsia" w:ascii="宋体" w:hAnsi="宋体" w:cs="宋体"/>
          <w:color w:val="auto"/>
          <w:highlight w:val="none"/>
        </w:rPr>
        <w:t>6.1.3合同履行过程中，遇有与工程相关的法律法规、强制性标准颁布或修订的，双方应遵照执行。非强制性标准、规范、定额等发生变化的，双方协商确定执行依据。由此引起造价咨询的服务范围及内容、服务期限、酬金变化的，双方应通过协商确定。</w:t>
      </w:r>
    </w:p>
    <w:p w14:paraId="0FF4E174">
      <w:pPr>
        <w:widowControl/>
        <w:adjustRightInd w:val="0"/>
        <w:snapToGrid w:val="0"/>
        <w:spacing w:line="360" w:lineRule="auto"/>
        <w:ind w:firstLine="420" w:firstLineChars="200"/>
        <w:jc w:val="left"/>
        <w:rPr>
          <w:rFonts w:hint="eastAsia" w:ascii="宋体" w:hAnsi="宋体" w:cs="宋体"/>
          <w:color w:val="auto"/>
          <w:highlight w:val="none"/>
        </w:rPr>
      </w:pPr>
      <w:r>
        <w:rPr>
          <w:rFonts w:hint="eastAsia" w:ascii="宋体" w:hAnsi="宋体" w:cs="宋体"/>
          <w:color w:val="auto"/>
          <w:highlight w:val="none"/>
        </w:rPr>
        <w:t>6.1.4因工程规模、服务范围及工作内容的变化等导致咨询人的工作量增减时，服务酬金应作相应调整，调整方法由双方在专用条件中约定。</w:t>
      </w:r>
    </w:p>
    <w:p w14:paraId="36A6230A">
      <w:pPr>
        <w:widowControl/>
        <w:adjustRightInd w:val="0"/>
        <w:snapToGrid w:val="0"/>
        <w:spacing w:line="360" w:lineRule="auto"/>
        <w:ind w:firstLine="420" w:firstLineChars="200"/>
        <w:jc w:val="left"/>
        <w:rPr>
          <w:rFonts w:hint="eastAsia" w:ascii="宋体" w:hAnsi="宋体" w:cs="宋体"/>
          <w:color w:val="auto"/>
          <w:highlight w:val="none"/>
        </w:rPr>
      </w:pPr>
      <w:r>
        <w:rPr>
          <w:rFonts w:hint="eastAsia" w:ascii="宋体" w:hAnsi="宋体" w:cs="宋体"/>
          <w:color w:val="auto"/>
          <w:highlight w:val="none"/>
        </w:rPr>
        <w:t>6.2合同解除</w:t>
      </w:r>
    </w:p>
    <w:p w14:paraId="7F30819A">
      <w:pPr>
        <w:widowControl/>
        <w:adjustRightInd w:val="0"/>
        <w:snapToGrid w:val="0"/>
        <w:spacing w:line="360" w:lineRule="auto"/>
        <w:ind w:firstLine="420" w:firstLineChars="200"/>
        <w:jc w:val="left"/>
        <w:rPr>
          <w:rFonts w:hint="eastAsia" w:ascii="宋体" w:hAnsi="宋体" w:cs="宋体"/>
          <w:color w:val="auto"/>
          <w:highlight w:val="none"/>
        </w:rPr>
      </w:pPr>
      <w:r>
        <w:rPr>
          <w:rFonts w:hint="eastAsia" w:ascii="宋体" w:hAnsi="宋体" w:cs="宋体"/>
          <w:color w:val="auto"/>
          <w:highlight w:val="none"/>
        </w:rPr>
        <w:t>6.2.1委托人与咨询人协商一致，可以解除合同。</w:t>
      </w:r>
    </w:p>
    <w:p w14:paraId="6BE6ADE1">
      <w:pPr>
        <w:widowControl/>
        <w:adjustRightInd w:val="0"/>
        <w:snapToGrid w:val="0"/>
        <w:spacing w:line="360" w:lineRule="auto"/>
        <w:ind w:firstLine="420" w:firstLineChars="200"/>
        <w:jc w:val="left"/>
        <w:rPr>
          <w:rFonts w:hint="eastAsia" w:ascii="宋体" w:hAnsi="宋体" w:cs="宋体"/>
          <w:color w:val="auto"/>
          <w:highlight w:val="none"/>
        </w:rPr>
      </w:pPr>
      <w:r>
        <w:rPr>
          <w:rFonts w:hint="eastAsia" w:ascii="宋体" w:hAnsi="宋体" w:cs="宋体"/>
          <w:color w:val="auto"/>
          <w:highlight w:val="none"/>
        </w:rPr>
        <w:t>6.2.2有下列情形之一的，合同当事人一方或双方可以解除合同：</w:t>
      </w:r>
    </w:p>
    <w:p w14:paraId="6B13826C">
      <w:pPr>
        <w:widowControl/>
        <w:adjustRightInd w:val="0"/>
        <w:snapToGrid w:val="0"/>
        <w:spacing w:line="360" w:lineRule="auto"/>
        <w:ind w:firstLine="420" w:firstLineChars="200"/>
        <w:jc w:val="left"/>
        <w:rPr>
          <w:rFonts w:hint="eastAsia" w:ascii="宋体" w:hAnsi="宋体" w:cs="宋体"/>
          <w:color w:val="auto"/>
          <w:highlight w:val="none"/>
        </w:rPr>
      </w:pPr>
      <w:r>
        <w:rPr>
          <w:rFonts w:hint="eastAsia" w:ascii="宋体" w:hAnsi="宋体" w:cs="宋体"/>
          <w:color w:val="auto"/>
          <w:highlight w:val="none"/>
        </w:rPr>
        <w:t>（1）咨询人将本合同约定的工程造价咨询服务工作全部或部分转包给他人，委托人可以解除合同；</w:t>
      </w:r>
    </w:p>
    <w:p w14:paraId="46D5A2C5">
      <w:pPr>
        <w:widowControl/>
        <w:adjustRightInd w:val="0"/>
        <w:snapToGrid w:val="0"/>
        <w:spacing w:line="360" w:lineRule="auto"/>
        <w:ind w:firstLine="420" w:firstLineChars="200"/>
        <w:jc w:val="left"/>
        <w:rPr>
          <w:rFonts w:hint="eastAsia" w:ascii="宋体" w:hAnsi="宋体" w:cs="宋体"/>
          <w:color w:val="auto"/>
          <w:highlight w:val="none"/>
        </w:rPr>
      </w:pPr>
      <w:r>
        <w:rPr>
          <w:rFonts w:hint="eastAsia" w:ascii="宋体" w:hAnsi="宋体" w:cs="宋体"/>
          <w:color w:val="auto"/>
          <w:highlight w:val="none"/>
        </w:rPr>
        <w:t>（2）咨询人提供的造价咨询服务不符合合同约定的要求，经委托人催告仍不能达到合同约定要求的，委托人可以解除合同；</w:t>
      </w:r>
    </w:p>
    <w:p w14:paraId="0788CDEB">
      <w:pPr>
        <w:widowControl/>
        <w:adjustRightInd w:val="0"/>
        <w:snapToGrid w:val="0"/>
        <w:spacing w:line="360" w:lineRule="auto"/>
        <w:ind w:firstLine="420" w:firstLineChars="200"/>
        <w:jc w:val="left"/>
        <w:rPr>
          <w:rFonts w:hint="eastAsia" w:ascii="宋体" w:hAnsi="宋体" w:cs="宋体"/>
          <w:color w:val="auto"/>
          <w:highlight w:val="none"/>
        </w:rPr>
      </w:pPr>
      <w:r>
        <w:rPr>
          <w:rFonts w:hint="eastAsia" w:ascii="宋体" w:hAnsi="宋体" w:cs="宋体"/>
          <w:color w:val="auto"/>
          <w:highlight w:val="none"/>
        </w:rPr>
        <w:t>（3）委托人未按合同约定支付服务酬金，经咨询人催告后，在 28 天内仍未支付的，咨询人可以解除合同；</w:t>
      </w:r>
    </w:p>
    <w:p w14:paraId="2F952EFC">
      <w:pPr>
        <w:widowControl/>
        <w:adjustRightInd w:val="0"/>
        <w:snapToGrid w:val="0"/>
        <w:spacing w:line="360" w:lineRule="auto"/>
        <w:ind w:firstLine="420" w:firstLineChars="200"/>
        <w:jc w:val="left"/>
        <w:rPr>
          <w:rFonts w:hint="eastAsia" w:ascii="宋体" w:hAnsi="宋体" w:cs="宋体"/>
          <w:color w:val="auto"/>
          <w:highlight w:val="none"/>
        </w:rPr>
      </w:pPr>
      <w:r>
        <w:rPr>
          <w:rFonts w:hint="eastAsia" w:ascii="宋体" w:hAnsi="宋体" w:cs="宋体"/>
          <w:color w:val="auto"/>
          <w:highlight w:val="none"/>
        </w:rPr>
        <w:t>（4）因不可抗力致使合同无法履行；</w:t>
      </w:r>
    </w:p>
    <w:p w14:paraId="31A28E7C">
      <w:pPr>
        <w:widowControl/>
        <w:adjustRightInd w:val="0"/>
        <w:snapToGrid w:val="0"/>
        <w:spacing w:line="360" w:lineRule="auto"/>
        <w:ind w:firstLine="420" w:firstLineChars="200"/>
        <w:jc w:val="left"/>
        <w:rPr>
          <w:rFonts w:hint="eastAsia" w:ascii="宋体" w:hAnsi="宋体" w:cs="宋体"/>
          <w:color w:val="auto"/>
          <w:highlight w:val="none"/>
        </w:rPr>
      </w:pPr>
      <w:r>
        <w:rPr>
          <w:rFonts w:hint="eastAsia" w:ascii="宋体" w:hAnsi="宋体" w:cs="宋体"/>
          <w:color w:val="auto"/>
          <w:highlight w:val="none"/>
        </w:rPr>
        <w:t>（5）因一方违约致使合同无法实际履行或实际履行已无必要。</w:t>
      </w:r>
    </w:p>
    <w:p w14:paraId="683851D5">
      <w:pPr>
        <w:widowControl/>
        <w:adjustRightInd w:val="0"/>
        <w:snapToGrid w:val="0"/>
        <w:spacing w:line="360" w:lineRule="auto"/>
        <w:ind w:firstLine="420" w:firstLineChars="200"/>
        <w:jc w:val="left"/>
        <w:rPr>
          <w:rFonts w:hint="eastAsia" w:ascii="宋体" w:hAnsi="宋体" w:cs="宋体"/>
          <w:color w:val="auto"/>
          <w:highlight w:val="none"/>
        </w:rPr>
      </w:pPr>
      <w:r>
        <w:rPr>
          <w:rFonts w:hint="eastAsia" w:ascii="宋体" w:hAnsi="宋体" w:cs="宋体"/>
          <w:color w:val="auto"/>
          <w:highlight w:val="none"/>
        </w:rPr>
        <w:t>除上述情形外，双方可以根据委托的服务范围及工作内容，在专用条件中约定解除合同的其他条件。</w:t>
      </w:r>
    </w:p>
    <w:p w14:paraId="0ED11F41">
      <w:pPr>
        <w:widowControl/>
        <w:adjustRightInd w:val="0"/>
        <w:snapToGrid w:val="0"/>
        <w:spacing w:line="360" w:lineRule="auto"/>
        <w:ind w:firstLine="420" w:firstLineChars="200"/>
        <w:jc w:val="left"/>
        <w:rPr>
          <w:rFonts w:hint="eastAsia" w:ascii="宋体" w:hAnsi="宋体" w:cs="宋体"/>
          <w:color w:val="auto"/>
          <w:highlight w:val="none"/>
        </w:rPr>
      </w:pPr>
      <w:r>
        <w:rPr>
          <w:rFonts w:hint="eastAsia" w:ascii="宋体" w:hAnsi="宋体" w:cs="宋体"/>
          <w:color w:val="auto"/>
          <w:highlight w:val="none"/>
        </w:rPr>
        <w:t>6.2.3任何一方提出解除合同的，应提前 30 天书面通知对方。</w:t>
      </w:r>
    </w:p>
    <w:p w14:paraId="16F0C8CD">
      <w:pPr>
        <w:widowControl/>
        <w:adjustRightInd w:val="0"/>
        <w:snapToGrid w:val="0"/>
        <w:spacing w:line="360" w:lineRule="auto"/>
        <w:ind w:firstLine="420" w:firstLineChars="200"/>
        <w:jc w:val="left"/>
        <w:rPr>
          <w:rFonts w:hint="eastAsia" w:ascii="宋体" w:hAnsi="宋体" w:cs="宋体"/>
          <w:color w:val="auto"/>
          <w:highlight w:val="none"/>
        </w:rPr>
      </w:pPr>
      <w:r>
        <w:rPr>
          <w:rFonts w:hint="eastAsia" w:ascii="宋体" w:hAnsi="宋体" w:cs="宋体"/>
          <w:color w:val="auto"/>
          <w:highlight w:val="none"/>
        </w:rPr>
        <w:t>6.2.4合同解除后，委托人应按照合同约定向咨询人支付已完成部分的咨询服务酬金。</w:t>
      </w:r>
    </w:p>
    <w:p w14:paraId="178302DB">
      <w:pPr>
        <w:widowControl/>
        <w:adjustRightInd w:val="0"/>
        <w:snapToGrid w:val="0"/>
        <w:spacing w:line="360" w:lineRule="auto"/>
        <w:ind w:firstLine="420" w:firstLineChars="200"/>
        <w:jc w:val="left"/>
        <w:rPr>
          <w:rFonts w:hint="eastAsia" w:ascii="宋体" w:hAnsi="宋体" w:cs="宋体"/>
          <w:color w:val="auto"/>
          <w:highlight w:val="none"/>
        </w:rPr>
      </w:pPr>
      <w:r>
        <w:rPr>
          <w:rFonts w:hint="eastAsia" w:ascii="宋体" w:hAnsi="宋体" w:cs="宋体"/>
          <w:color w:val="auto"/>
          <w:highlight w:val="none"/>
        </w:rPr>
        <w:t>因不可抗力导致的合同解除，其损失的分担按照合理分担的原则由合同当事人在专用条件中自行约定。除不可抗力外因非咨询人原因导致的合同解除， 其损失由委托人承担。因咨询人自身原因导致的合同解除，按照违约责任处理。</w:t>
      </w:r>
    </w:p>
    <w:p w14:paraId="1A49F1F4">
      <w:pPr>
        <w:widowControl/>
        <w:adjustRightInd w:val="0"/>
        <w:snapToGrid w:val="0"/>
        <w:spacing w:line="360" w:lineRule="auto"/>
        <w:ind w:firstLine="420" w:firstLineChars="200"/>
        <w:jc w:val="left"/>
        <w:rPr>
          <w:rFonts w:hint="eastAsia" w:ascii="宋体" w:hAnsi="宋体" w:cs="宋体"/>
          <w:color w:val="auto"/>
          <w:highlight w:val="none"/>
        </w:rPr>
      </w:pPr>
      <w:r>
        <w:rPr>
          <w:rFonts w:hint="eastAsia" w:ascii="宋体" w:hAnsi="宋体" w:cs="宋体"/>
          <w:color w:val="auto"/>
          <w:highlight w:val="none"/>
        </w:rPr>
        <w:t>6.2.5本合同解除后，本合同约定的有关结算、争议解决方式的条款仍然有效。</w:t>
      </w:r>
    </w:p>
    <w:p w14:paraId="3CC28094">
      <w:pPr>
        <w:widowControl/>
        <w:adjustRightInd w:val="0"/>
        <w:snapToGrid w:val="0"/>
        <w:spacing w:line="360" w:lineRule="auto"/>
        <w:ind w:firstLine="420" w:firstLineChars="200"/>
        <w:jc w:val="left"/>
        <w:rPr>
          <w:rFonts w:hint="eastAsia" w:ascii="宋体" w:hAnsi="宋体" w:cs="宋体"/>
          <w:color w:val="auto"/>
          <w:highlight w:val="none"/>
        </w:rPr>
      </w:pPr>
      <w:r>
        <w:rPr>
          <w:rFonts w:hint="eastAsia" w:ascii="宋体" w:hAnsi="宋体" w:cs="宋体"/>
          <w:color w:val="auto"/>
          <w:highlight w:val="none"/>
        </w:rPr>
        <w:t>6.3合同终止</w:t>
      </w:r>
    </w:p>
    <w:p w14:paraId="109F709F">
      <w:pPr>
        <w:widowControl/>
        <w:adjustRightInd w:val="0"/>
        <w:snapToGrid w:val="0"/>
        <w:spacing w:line="360" w:lineRule="auto"/>
        <w:ind w:firstLine="420" w:firstLineChars="200"/>
        <w:jc w:val="left"/>
        <w:rPr>
          <w:rFonts w:hint="eastAsia" w:ascii="宋体" w:hAnsi="宋体" w:cs="宋体"/>
          <w:color w:val="auto"/>
          <w:highlight w:val="none"/>
        </w:rPr>
      </w:pPr>
      <w:r>
        <w:rPr>
          <w:rFonts w:hint="eastAsia" w:ascii="宋体" w:hAnsi="宋体" w:cs="宋体"/>
          <w:color w:val="auto"/>
          <w:highlight w:val="none"/>
        </w:rPr>
        <w:t>除合同解除外，以下条件全部满足时，本合同终止：</w:t>
      </w:r>
    </w:p>
    <w:p w14:paraId="685DFA54">
      <w:pPr>
        <w:widowControl/>
        <w:adjustRightInd w:val="0"/>
        <w:snapToGrid w:val="0"/>
        <w:spacing w:line="360" w:lineRule="auto"/>
        <w:ind w:firstLine="420" w:firstLineChars="200"/>
        <w:jc w:val="left"/>
        <w:rPr>
          <w:rFonts w:hint="eastAsia" w:ascii="宋体" w:hAnsi="宋体" w:cs="宋体"/>
          <w:color w:val="auto"/>
          <w:highlight w:val="none"/>
        </w:rPr>
      </w:pPr>
      <w:r>
        <w:rPr>
          <w:rFonts w:hint="eastAsia" w:ascii="宋体" w:hAnsi="宋体" w:cs="宋体"/>
          <w:color w:val="auto"/>
          <w:highlight w:val="none"/>
        </w:rPr>
        <w:t>（1）咨询人完成本合同约定的全部工作；</w:t>
      </w:r>
    </w:p>
    <w:p w14:paraId="698C750A">
      <w:pPr>
        <w:widowControl/>
        <w:adjustRightInd w:val="0"/>
        <w:snapToGrid w:val="0"/>
        <w:spacing w:line="360" w:lineRule="auto"/>
        <w:ind w:firstLine="420" w:firstLineChars="200"/>
        <w:jc w:val="left"/>
        <w:rPr>
          <w:rFonts w:hint="eastAsia" w:ascii="宋体" w:hAnsi="宋体" w:cs="宋体"/>
          <w:color w:val="auto"/>
          <w:highlight w:val="none"/>
        </w:rPr>
      </w:pPr>
      <w:r>
        <w:rPr>
          <w:rFonts w:hint="eastAsia" w:ascii="宋体" w:hAnsi="宋体" w:cs="宋体"/>
          <w:color w:val="auto"/>
          <w:highlight w:val="none"/>
        </w:rPr>
        <w:t>（2）委托人与咨询人结清并支付酬金；</w:t>
      </w:r>
    </w:p>
    <w:p w14:paraId="5292DD97">
      <w:pPr>
        <w:widowControl/>
        <w:adjustRightInd w:val="0"/>
        <w:snapToGrid w:val="0"/>
        <w:spacing w:line="360" w:lineRule="auto"/>
        <w:ind w:firstLine="420" w:firstLineChars="200"/>
        <w:jc w:val="left"/>
        <w:rPr>
          <w:rFonts w:hint="eastAsia" w:ascii="宋体" w:hAnsi="宋体" w:cs="宋体"/>
          <w:color w:val="auto"/>
          <w:highlight w:val="none"/>
        </w:rPr>
      </w:pPr>
      <w:r>
        <w:rPr>
          <w:rFonts w:hint="eastAsia" w:ascii="宋体" w:hAnsi="宋体" w:cs="宋体"/>
          <w:color w:val="auto"/>
          <w:highlight w:val="none"/>
        </w:rPr>
        <w:t>（3）咨询人将委托人提供的资料交还。</w:t>
      </w:r>
    </w:p>
    <w:p w14:paraId="5266231B">
      <w:pPr>
        <w:widowControl/>
        <w:adjustRightInd w:val="0"/>
        <w:snapToGrid w:val="0"/>
        <w:spacing w:line="360" w:lineRule="auto"/>
        <w:ind w:firstLine="420" w:firstLineChars="200"/>
        <w:jc w:val="left"/>
        <w:rPr>
          <w:rFonts w:hint="eastAsia" w:ascii="宋体" w:hAnsi="宋体" w:cs="宋体"/>
          <w:color w:val="auto"/>
          <w:highlight w:val="none"/>
        </w:rPr>
      </w:pPr>
      <w:r>
        <w:rPr>
          <w:rFonts w:hint="eastAsia" w:ascii="宋体" w:hAnsi="宋体" w:cs="宋体"/>
          <w:color w:val="auto"/>
          <w:highlight w:val="none"/>
        </w:rPr>
        <w:t>7.争议解决</w:t>
      </w:r>
    </w:p>
    <w:p w14:paraId="04403992">
      <w:pPr>
        <w:widowControl/>
        <w:adjustRightInd w:val="0"/>
        <w:snapToGrid w:val="0"/>
        <w:spacing w:line="360" w:lineRule="auto"/>
        <w:ind w:firstLine="420" w:firstLineChars="200"/>
        <w:jc w:val="left"/>
        <w:rPr>
          <w:rFonts w:hint="eastAsia" w:ascii="宋体" w:hAnsi="宋体" w:cs="宋体"/>
          <w:color w:val="auto"/>
          <w:highlight w:val="none"/>
        </w:rPr>
      </w:pPr>
      <w:r>
        <w:rPr>
          <w:rFonts w:hint="eastAsia" w:ascii="宋体" w:hAnsi="宋体" w:cs="宋体"/>
          <w:color w:val="auto"/>
          <w:highlight w:val="none"/>
        </w:rPr>
        <w:t>7.1协商</w:t>
      </w:r>
    </w:p>
    <w:p w14:paraId="287B5DCC">
      <w:pPr>
        <w:widowControl/>
        <w:adjustRightInd w:val="0"/>
        <w:snapToGrid w:val="0"/>
        <w:spacing w:line="360" w:lineRule="auto"/>
        <w:ind w:firstLine="420" w:firstLineChars="200"/>
        <w:jc w:val="left"/>
        <w:rPr>
          <w:rFonts w:hint="eastAsia" w:ascii="宋体" w:hAnsi="宋体" w:cs="宋体"/>
          <w:color w:val="auto"/>
          <w:highlight w:val="none"/>
        </w:rPr>
      </w:pPr>
      <w:r>
        <w:rPr>
          <w:rFonts w:hint="eastAsia" w:ascii="宋体" w:hAnsi="宋体" w:cs="宋体"/>
          <w:color w:val="auto"/>
          <w:highlight w:val="none"/>
        </w:rPr>
        <w:t>双方应本着诚实信用的原则协商解决本合同履行过程中发生的争议。</w:t>
      </w:r>
    </w:p>
    <w:p w14:paraId="35C63BAD">
      <w:pPr>
        <w:widowControl/>
        <w:adjustRightInd w:val="0"/>
        <w:snapToGrid w:val="0"/>
        <w:spacing w:line="360" w:lineRule="auto"/>
        <w:ind w:firstLine="420" w:firstLineChars="200"/>
        <w:jc w:val="left"/>
        <w:rPr>
          <w:rFonts w:hint="eastAsia" w:ascii="宋体" w:hAnsi="宋体" w:cs="宋体"/>
          <w:color w:val="auto"/>
          <w:highlight w:val="none"/>
        </w:rPr>
      </w:pPr>
      <w:r>
        <w:rPr>
          <w:rFonts w:hint="eastAsia" w:ascii="宋体" w:hAnsi="宋体" w:cs="宋体"/>
          <w:color w:val="auto"/>
          <w:highlight w:val="none"/>
        </w:rPr>
        <w:t>7.2调解</w:t>
      </w:r>
    </w:p>
    <w:p w14:paraId="5C45E5F0">
      <w:pPr>
        <w:widowControl/>
        <w:adjustRightInd w:val="0"/>
        <w:snapToGrid w:val="0"/>
        <w:spacing w:line="360" w:lineRule="auto"/>
        <w:ind w:firstLine="420" w:firstLineChars="200"/>
        <w:jc w:val="left"/>
        <w:rPr>
          <w:rFonts w:hint="eastAsia" w:ascii="宋体" w:hAnsi="宋体" w:cs="宋体"/>
          <w:color w:val="auto"/>
          <w:highlight w:val="none"/>
        </w:rPr>
      </w:pPr>
      <w:r>
        <w:rPr>
          <w:rFonts w:hint="eastAsia" w:ascii="宋体" w:hAnsi="宋体" w:cs="宋体"/>
          <w:color w:val="auto"/>
          <w:highlight w:val="none"/>
        </w:rPr>
        <w:t>如果双方不能在 14 日内或双方商定的其他时间内解决本合同争议，可以将其提交给专用条件约定的或事后达成协议的调解人进行调解。</w:t>
      </w:r>
    </w:p>
    <w:p w14:paraId="63179A74">
      <w:pPr>
        <w:widowControl/>
        <w:adjustRightInd w:val="0"/>
        <w:snapToGrid w:val="0"/>
        <w:spacing w:line="360" w:lineRule="auto"/>
        <w:ind w:firstLine="420" w:firstLineChars="200"/>
        <w:jc w:val="left"/>
        <w:rPr>
          <w:rFonts w:hint="eastAsia" w:ascii="宋体" w:hAnsi="宋体" w:cs="宋体"/>
          <w:color w:val="auto"/>
          <w:highlight w:val="none"/>
        </w:rPr>
      </w:pPr>
      <w:r>
        <w:rPr>
          <w:rFonts w:hint="eastAsia" w:ascii="宋体" w:hAnsi="宋体" w:cs="宋体"/>
          <w:color w:val="auto"/>
          <w:highlight w:val="none"/>
        </w:rPr>
        <w:t>7.3仲裁或诉讼</w:t>
      </w:r>
    </w:p>
    <w:p w14:paraId="7E3B0EA6">
      <w:pPr>
        <w:widowControl/>
        <w:adjustRightInd w:val="0"/>
        <w:snapToGrid w:val="0"/>
        <w:spacing w:line="360" w:lineRule="auto"/>
        <w:ind w:firstLine="420" w:firstLineChars="200"/>
        <w:jc w:val="left"/>
        <w:rPr>
          <w:rFonts w:hint="eastAsia" w:ascii="宋体" w:hAnsi="宋体" w:cs="宋体"/>
          <w:color w:val="auto"/>
          <w:highlight w:val="none"/>
        </w:rPr>
      </w:pPr>
      <w:r>
        <w:rPr>
          <w:rFonts w:hint="eastAsia" w:ascii="宋体" w:hAnsi="宋体" w:cs="宋体"/>
          <w:color w:val="auto"/>
          <w:highlight w:val="none"/>
        </w:rPr>
        <w:t>双方均有权不经调解直接向专用条件约定的仲裁机构申请仲裁或向有管辖权的人民法院提起诉讼。</w:t>
      </w:r>
    </w:p>
    <w:p w14:paraId="5BAE5AF6">
      <w:pPr>
        <w:widowControl/>
        <w:adjustRightInd w:val="0"/>
        <w:snapToGrid w:val="0"/>
        <w:spacing w:line="360" w:lineRule="auto"/>
        <w:ind w:firstLine="420" w:firstLineChars="200"/>
        <w:jc w:val="left"/>
        <w:rPr>
          <w:rFonts w:hint="eastAsia" w:ascii="宋体" w:hAnsi="宋体" w:cs="宋体"/>
          <w:color w:val="auto"/>
          <w:highlight w:val="none"/>
        </w:rPr>
      </w:pPr>
      <w:r>
        <w:rPr>
          <w:rFonts w:hint="eastAsia" w:ascii="宋体" w:hAnsi="宋体" w:cs="宋体"/>
          <w:color w:val="auto"/>
          <w:highlight w:val="none"/>
        </w:rPr>
        <w:t>8.其他</w:t>
      </w:r>
    </w:p>
    <w:p w14:paraId="221B38C4">
      <w:pPr>
        <w:widowControl/>
        <w:adjustRightInd w:val="0"/>
        <w:snapToGrid w:val="0"/>
        <w:spacing w:line="360" w:lineRule="auto"/>
        <w:ind w:firstLine="420" w:firstLineChars="200"/>
        <w:jc w:val="left"/>
        <w:rPr>
          <w:rFonts w:hint="eastAsia" w:ascii="宋体" w:hAnsi="宋体" w:cs="宋体"/>
          <w:color w:val="auto"/>
          <w:highlight w:val="none"/>
        </w:rPr>
      </w:pPr>
      <w:r>
        <w:rPr>
          <w:rFonts w:hint="eastAsia" w:ascii="宋体" w:hAnsi="宋体" w:cs="宋体"/>
          <w:color w:val="auto"/>
          <w:highlight w:val="none"/>
        </w:rPr>
        <w:t>8.1考察及相关费用</w:t>
      </w:r>
    </w:p>
    <w:p w14:paraId="3C10FEDE">
      <w:pPr>
        <w:widowControl/>
        <w:adjustRightInd w:val="0"/>
        <w:snapToGrid w:val="0"/>
        <w:spacing w:line="360" w:lineRule="auto"/>
        <w:ind w:firstLine="420" w:firstLineChars="200"/>
        <w:jc w:val="left"/>
        <w:rPr>
          <w:rFonts w:hint="eastAsia" w:ascii="宋体" w:hAnsi="宋体" w:cs="宋体"/>
          <w:color w:val="auto"/>
          <w:highlight w:val="none"/>
        </w:rPr>
      </w:pPr>
      <w:r>
        <w:rPr>
          <w:rFonts w:hint="eastAsia" w:ascii="宋体" w:hAnsi="宋体" w:cs="宋体"/>
          <w:color w:val="auto"/>
          <w:highlight w:val="none"/>
        </w:rPr>
        <w:t>除专用条件另有约定外，咨询人经委托人同意进行考察发生的费用由委托人审核后另行支付。差旅费及相关费用的承担由双方在专用条件中约定。</w:t>
      </w:r>
    </w:p>
    <w:p w14:paraId="0C7DFDDB">
      <w:pPr>
        <w:widowControl/>
        <w:adjustRightInd w:val="0"/>
        <w:snapToGrid w:val="0"/>
        <w:spacing w:line="360" w:lineRule="auto"/>
        <w:ind w:firstLine="420" w:firstLineChars="200"/>
        <w:jc w:val="left"/>
        <w:rPr>
          <w:rFonts w:hint="eastAsia" w:ascii="宋体" w:hAnsi="宋体" w:cs="宋体"/>
          <w:color w:val="auto"/>
          <w:highlight w:val="none"/>
        </w:rPr>
      </w:pPr>
      <w:r>
        <w:rPr>
          <w:rFonts w:hint="eastAsia" w:ascii="宋体" w:hAnsi="宋体" w:cs="宋体"/>
          <w:color w:val="auto"/>
          <w:highlight w:val="none"/>
        </w:rPr>
        <w:t>8.2奖励</w:t>
      </w:r>
    </w:p>
    <w:p w14:paraId="08FC74A1">
      <w:pPr>
        <w:widowControl/>
        <w:adjustRightInd w:val="0"/>
        <w:snapToGrid w:val="0"/>
        <w:spacing w:line="360" w:lineRule="auto"/>
        <w:ind w:firstLine="420" w:firstLineChars="200"/>
        <w:jc w:val="left"/>
        <w:rPr>
          <w:rFonts w:hint="eastAsia" w:ascii="宋体" w:hAnsi="宋体" w:cs="宋体"/>
          <w:color w:val="auto"/>
          <w:highlight w:val="none"/>
        </w:rPr>
      </w:pPr>
      <w:r>
        <w:rPr>
          <w:rFonts w:hint="eastAsia" w:ascii="宋体" w:hAnsi="宋体" w:cs="宋体"/>
          <w:color w:val="auto"/>
          <w:highlight w:val="none"/>
        </w:rPr>
        <w:t>对于咨询人在服务过程中提出合理化建议，使委托人获得效益的，双方在专用条件中约定奖励金额的确定方法。奖励金额在合理化建议被采纳后，与最近一期的正常工作酬金同期支付。</w:t>
      </w:r>
    </w:p>
    <w:p w14:paraId="25916C71">
      <w:pPr>
        <w:widowControl/>
        <w:adjustRightInd w:val="0"/>
        <w:snapToGrid w:val="0"/>
        <w:spacing w:line="360" w:lineRule="auto"/>
        <w:ind w:firstLine="420" w:firstLineChars="200"/>
        <w:jc w:val="left"/>
        <w:rPr>
          <w:rFonts w:hint="eastAsia" w:ascii="宋体" w:hAnsi="宋体" w:cs="宋体"/>
          <w:color w:val="auto"/>
          <w:highlight w:val="none"/>
        </w:rPr>
      </w:pPr>
      <w:r>
        <w:rPr>
          <w:rFonts w:hint="eastAsia" w:ascii="宋体" w:hAnsi="宋体" w:cs="宋体"/>
          <w:color w:val="auto"/>
          <w:highlight w:val="none"/>
        </w:rPr>
        <w:t>8.3保密</w:t>
      </w:r>
    </w:p>
    <w:p w14:paraId="6D856D0B">
      <w:pPr>
        <w:widowControl/>
        <w:adjustRightInd w:val="0"/>
        <w:snapToGrid w:val="0"/>
        <w:spacing w:line="360" w:lineRule="auto"/>
        <w:ind w:firstLine="420" w:firstLineChars="200"/>
        <w:jc w:val="left"/>
        <w:rPr>
          <w:rFonts w:hint="eastAsia" w:ascii="宋体" w:hAnsi="宋体" w:cs="宋体"/>
          <w:color w:val="auto"/>
          <w:highlight w:val="none"/>
        </w:rPr>
      </w:pPr>
      <w:r>
        <w:rPr>
          <w:rFonts w:hint="eastAsia" w:ascii="宋体" w:hAnsi="宋体" w:cs="宋体"/>
          <w:color w:val="auto"/>
          <w:highlight w:val="none"/>
        </w:rPr>
        <w:t>在本合同履行期间或专用条件约定的期限内，双方不得泄露对方申明的保密资料，亦不得泄露与实施工程有关的第三人所提供的保密资料。保密事项在专用条件中约定。</w:t>
      </w:r>
    </w:p>
    <w:p w14:paraId="203F566F">
      <w:pPr>
        <w:widowControl/>
        <w:adjustRightInd w:val="0"/>
        <w:snapToGrid w:val="0"/>
        <w:spacing w:line="360" w:lineRule="auto"/>
        <w:ind w:firstLine="420" w:firstLineChars="200"/>
        <w:jc w:val="left"/>
        <w:rPr>
          <w:rFonts w:hint="eastAsia" w:ascii="宋体" w:hAnsi="宋体" w:cs="宋体"/>
          <w:color w:val="auto"/>
          <w:highlight w:val="none"/>
        </w:rPr>
      </w:pPr>
      <w:r>
        <w:rPr>
          <w:rFonts w:hint="eastAsia" w:ascii="宋体" w:hAnsi="宋体" w:cs="宋体"/>
          <w:color w:val="auto"/>
          <w:highlight w:val="none"/>
        </w:rPr>
        <w:t>8.4联络</w:t>
      </w:r>
    </w:p>
    <w:p w14:paraId="21E6E08C">
      <w:pPr>
        <w:widowControl/>
        <w:adjustRightInd w:val="0"/>
        <w:snapToGrid w:val="0"/>
        <w:spacing w:line="360" w:lineRule="auto"/>
        <w:ind w:firstLine="420" w:firstLineChars="200"/>
        <w:jc w:val="left"/>
        <w:rPr>
          <w:rFonts w:hint="eastAsia" w:ascii="宋体" w:hAnsi="宋体" w:cs="宋体"/>
          <w:color w:val="auto"/>
          <w:highlight w:val="none"/>
        </w:rPr>
      </w:pPr>
      <w:r>
        <w:rPr>
          <w:rFonts w:hint="eastAsia" w:ascii="宋体" w:hAnsi="宋体" w:cs="宋体"/>
          <w:color w:val="auto"/>
          <w:highlight w:val="none"/>
        </w:rPr>
        <w:t>8.4.1与合同有关的通知、指示、要求、决定等，均应采用书面形式，并应在专用条件约定的期限内送达接收人和送达地点。</w:t>
      </w:r>
    </w:p>
    <w:p w14:paraId="14B5736E">
      <w:pPr>
        <w:widowControl/>
        <w:adjustRightInd w:val="0"/>
        <w:snapToGrid w:val="0"/>
        <w:spacing w:line="360" w:lineRule="auto"/>
        <w:ind w:firstLine="420" w:firstLineChars="200"/>
        <w:jc w:val="left"/>
        <w:rPr>
          <w:rFonts w:hint="eastAsia" w:ascii="宋体" w:hAnsi="宋体" w:cs="宋体"/>
          <w:color w:val="auto"/>
          <w:highlight w:val="none"/>
        </w:rPr>
      </w:pPr>
      <w:r>
        <w:rPr>
          <w:rFonts w:hint="eastAsia" w:ascii="宋体" w:hAnsi="宋体" w:cs="宋体"/>
          <w:color w:val="auto"/>
          <w:highlight w:val="none"/>
        </w:rPr>
        <w:t>8.4.2委托人和咨询人应在专用条件中约定各自的送达接收人、送达地 点、电子邮箱。任何一方指定的接收人或送达地点或电子邮箱发生变动的，应提前 3 天以书面形式通知对方，否则视为未发生变动。</w:t>
      </w:r>
    </w:p>
    <w:p w14:paraId="61F17CC3">
      <w:pPr>
        <w:widowControl/>
        <w:adjustRightInd w:val="0"/>
        <w:snapToGrid w:val="0"/>
        <w:spacing w:line="360" w:lineRule="auto"/>
        <w:ind w:firstLine="420" w:firstLineChars="200"/>
        <w:jc w:val="left"/>
        <w:rPr>
          <w:rFonts w:hint="eastAsia" w:ascii="宋体" w:hAnsi="宋体" w:cs="宋体"/>
          <w:color w:val="auto"/>
          <w:highlight w:val="none"/>
        </w:rPr>
      </w:pPr>
      <w:r>
        <w:rPr>
          <w:rFonts w:hint="eastAsia" w:ascii="宋体" w:hAnsi="宋体" w:cs="宋体"/>
          <w:color w:val="auto"/>
          <w:highlight w:val="none"/>
        </w:rPr>
        <w:t>8.4.3委托人和咨询人应当及时签收另一方送达至送达地点和指定接收人的往来函件，如确有充分证据证明一方无正当理由拒不签收的，视为认可往来函件的内容。</w:t>
      </w:r>
    </w:p>
    <w:p w14:paraId="2C76D576">
      <w:pPr>
        <w:widowControl/>
        <w:adjustRightInd w:val="0"/>
        <w:snapToGrid w:val="0"/>
        <w:spacing w:line="360" w:lineRule="auto"/>
        <w:ind w:firstLine="420" w:firstLineChars="200"/>
        <w:jc w:val="left"/>
        <w:rPr>
          <w:rFonts w:hint="eastAsia" w:ascii="宋体" w:hAnsi="宋体" w:cs="宋体"/>
          <w:color w:val="auto"/>
          <w:highlight w:val="none"/>
        </w:rPr>
      </w:pPr>
      <w:r>
        <w:rPr>
          <w:rFonts w:hint="eastAsia" w:ascii="宋体" w:hAnsi="宋体" w:cs="宋体"/>
          <w:color w:val="auto"/>
          <w:highlight w:val="none"/>
        </w:rPr>
        <w:t>8.5知识产权</w:t>
      </w:r>
    </w:p>
    <w:p w14:paraId="7FD54F42">
      <w:pPr>
        <w:widowControl/>
        <w:adjustRightInd w:val="0"/>
        <w:snapToGrid w:val="0"/>
        <w:spacing w:line="360" w:lineRule="auto"/>
        <w:ind w:firstLine="420" w:firstLineChars="200"/>
        <w:jc w:val="left"/>
        <w:rPr>
          <w:rFonts w:hint="eastAsia" w:ascii="宋体" w:hAnsi="宋体" w:cs="宋体"/>
          <w:color w:val="auto"/>
          <w:highlight w:val="none"/>
        </w:rPr>
      </w:pPr>
      <w:r>
        <w:rPr>
          <w:rFonts w:hint="eastAsia" w:ascii="宋体" w:hAnsi="宋体" w:cs="宋体"/>
          <w:color w:val="auto"/>
          <w:highlight w:val="none"/>
        </w:rPr>
        <w:t>除专用条件另有约定外，委托人提供给咨询人的图纸、委托人为实施工程自行编制或委托编制的技术规范以及反映委托人要求的或其他类似性质文件的著作权属于委托人，咨询人可以为实现本合同目的而复制或者以其他方式使用此类文件，但不能用于与本合同无关的其他事项。未经委托人书面同意，咨询人不得为了本合同以外的目的而复制或者以其他方式使用上述文件或将之提供给任何第三方。</w:t>
      </w:r>
    </w:p>
    <w:p w14:paraId="530E780A">
      <w:pPr>
        <w:widowControl/>
        <w:adjustRightInd w:val="0"/>
        <w:snapToGrid w:val="0"/>
        <w:spacing w:line="360" w:lineRule="auto"/>
        <w:ind w:firstLine="420" w:firstLineChars="200"/>
        <w:jc w:val="left"/>
        <w:rPr>
          <w:rFonts w:hint="eastAsia" w:ascii="宋体" w:hAnsi="宋体" w:cs="宋体"/>
          <w:color w:val="auto"/>
          <w:highlight w:val="none"/>
        </w:rPr>
      </w:pPr>
      <w:r>
        <w:rPr>
          <w:rFonts w:hint="eastAsia" w:ascii="宋体" w:hAnsi="宋体" w:cs="宋体"/>
          <w:color w:val="auto"/>
          <w:highlight w:val="none"/>
        </w:rPr>
        <w:t>除专用条件另有约定外，咨询人为履行本合同约定而编制的成果文件，其著作权属于咨询人。委托人可以为实现合同目的而复制、使用此类文件，但不能擅自修改或用于与本合同无关的其他事项。未经咨询人书面同意，委托人不得为了本合同以外的目的而复制或者以其他方式使用上述文件或将之提供给任何第三方。</w:t>
      </w:r>
    </w:p>
    <w:p w14:paraId="6D90C764">
      <w:pPr>
        <w:widowControl/>
        <w:adjustRightInd w:val="0"/>
        <w:snapToGrid w:val="0"/>
        <w:spacing w:line="360" w:lineRule="auto"/>
        <w:ind w:firstLine="420" w:firstLineChars="200"/>
        <w:jc w:val="left"/>
        <w:rPr>
          <w:rFonts w:hint="eastAsia" w:ascii="宋体" w:hAnsi="宋体" w:cs="宋体"/>
          <w:color w:val="auto"/>
          <w:highlight w:val="none"/>
        </w:rPr>
      </w:pPr>
      <w:r>
        <w:rPr>
          <w:rFonts w:hint="eastAsia" w:ascii="宋体" w:hAnsi="宋体" w:cs="宋体"/>
          <w:color w:val="auto"/>
          <w:highlight w:val="none"/>
        </w:rPr>
        <w:t>双方保证在履行本合同过程中不侵犯对方及第三方的知识产权。因咨询人侵犯他人知识产权所引起的责任，由咨询人承担；因委托人提供的基础资料导致侵权的，由委托人承担责任。</w:t>
      </w:r>
    </w:p>
    <w:p w14:paraId="0011E9C4">
      <w:pPr>
        <w:widowControl/>
        <w:autoSpaceDE w:val="0"/>
        <w:spacing w:line="360" w:lineRule="auto"/>
        <w:ind w:firstLine="420" w:firstLineChars="200"/>
        <w:jc w:val="left"/>
        <w:rPr>
          <w:rFonts w:ascii="宋体" w:hAnsi="宋体"/>
          <w:color w:val="auto"/>
          <w:sz w:val="24"/>
          <w:highlight w:val="none"/>
        </w:rPr>
      </w:pPr>
      <w:r>
        <w:rPr>
          <w:rFonts w:hint="eastAsia" w:ascii="宋体" w:hAnsi="宋体" w:cs="宋体"/>
          <w:color w:val="auto"/>
          <w:highlight w:val="none"/>
        </w:rPr>
        <w:t>除专用条件另有约定外，双方均有权在履行本合同保密义务并且不损害对方利益的情况下，将履行本合同形成的有关成果文件用于企业宣传、申报奖项以及接受上级主管部门的检查。</w:t>
      </w:r>
    </w:p>
    <w:p w14:paraId="703B7975">
      <w:pPr>
        <w:widowControl/>
        <w:spacing w:line="360" w:lineRule="auto"/>
        <w:jc w:val="left"/>
        <w:rPr>
          <w:rFonts w:ascii="宋体" w:hAnsi="宋体"/>
          <w:color w:val="auto"/>
          <w:szCs w:val="21"/>
          <w:highlight w:val="none"/>
        </w:rPr>
      </w:pPr>
      <w:r>
        <w:rPr>
          <w:rFonts w:hint="eastAsia" w:ascii="宋体" w:hAnsi="宋体"/>
          <w:color w:val="auto"/>
          <w:szCs w:val="21"/>
          <w:highlight w:val="none"/>
        </w:rPr>
        <w:t xml:space="preserve"> </w:t>
      </w:r>
    </w:p>
    <w:p w14:paraId="55198520">
      <w:pPr>
        <w:widowControl/>
        <w:spacing w:line="360" w:lineRule="auto"/>
        <w:jc w:val="left"/>
        <w:rPr>
          <w:rFonts w:ascii="宋体" w:eastAsia="仿宋_GB2312"/>
          <w:color w:val="auto"/>
          <w:sz w:val="22"/>
          <w:szCs w:val="22"/>
          <w:highlight w:val="none"/>
        </w:rPr>
      </w:pPr>
      <w:r>
        <w:rPr>
          <w:rFonts w:hint="eastAsia" w:ascii="宋体" w:eastAsia="仿宋_GB2312"/>
          <w:color w:val="auto"/>
          <w:sz w:val="22"/>
          <w:szCs w:val="22"/>
          <w:highlight w:val="none"/>
        </w:rPr>
        <w:t xml:space="preserve"> </w:t>
      </w:r>
    </w:p>
    <w:p w14:paraId="2423C8CC">
      <w:pPr>
        <w:widowControl/>
        <w:spacing w:line="360" w:lineRule="auto"/>
        <w:jc w:val="center"/>
        <w:rPr>
          <w:color w:val="auto"/>
          <w:szCs w:val="21"/>
          <w:highlight w:val="none"/>
        </w:rPr>
      </w:pPr>
      <w:r>
        <w:rPr>
          <w:rFonts w:hint="eastAsia" w:ascii="宋体" w:eastAsia="仿宋_GB2312"/>
          <w:color w:val="auto"/>
          <w:sz w:val="22"/>
          <w:szCs w:val="22"/>
          <w:highlight w:val="none"/>
        </w:rPr>
        <w:br w:type="page"/>
      </w:r>
      <w:r>
        <w:rPr>
          <w:rFonts w:hint="eastAsia" w:ascii="宋体" w:hAnsi="宋体"/>
          <w:b/>
          <w:color w:val="auto"/>
          <w:sz w:val="32"/>
          <w:szCs w:val="32"/>
          <w:highlight w:val="none"/>
        </w:rPr>
        <w:t>第三部分  专用条件</w:t>
      </w:r>
      <w:bookmarkStart w:id="57" w:name="BM45"/>
      <w:bookmarkEnd w:id="57"/>
    </w:p>
    <w:p w14:paraId="5B668DFB">
      <w:pPr>
        <w:keepNext w:val="0"/>
        <w:keepLines w:val="0"/>
        <w:pageBreakBefore w:val="0"/>
        <w:kinsoku/>
        <w:wordWrap/>
        <w:overflowPunct/>
        <w:topLinePunct w:val="0"/>
        <w:autoSpaceDE/>
        <w:autoSpaceDN/>
        <w:bidi w:val="0"/>
        <w:adjustRightInd w:val="0"/>
        <w:snapToGrid w:val="0"/>
        <w:spacing w:line="360" w:lineRule="auto"/>
        <w:ind w:firstLine="422" w:firstLineChars="200"/>
        <w:textAlignment w:val="auto"/>
        <w:rPr>
          <w:rFonts w:hint="eastAsia" w:ascii="宋体" w:hAnsi="宋体" w:eastAsia="宋体" w:cs="宋体"/>
          <w:color w:val="auto"/>
          <w:highlight w:val="none"/>
        </w:rPr>
      </w:pPr>
      <w:r>
        <w:rPr>
          <w:rFonts w:hint="eastAsia" w:ascii="宋体" w:hAnsi="宋体"/>
          <w:b/>
          <w:color w:val="auto"/>
          <w:szCs w:val="21"/>
          <w:highlight w:val="none"/>
        </w:rPr>
        <w:t xml:space="preserve"> </w:t>
      </w:r>
      <w:bookmarkStart w:id="58" w:name="_Toc419045099"/>
      <w:bookmarkEnd w:id="58"/>
      <w:r>
        <w:rPr>
          <w:rFonts w:hint="eastAsia" w:ascii="宋体" w:hAnsi="宋体" w:eastAsia="宋体" w:cs="宋体"/>
          <w:color w:val="auto"/>
          <w:highlight w:val="none"/>
        </w:rPr>
        <w:t>1.词语定义、语言、解释顺序与适用法律</w:t>
      </w:r>
    </w:p>
    <w:p w14:paraId="6118E0DC">
      <w:pPr>
        <w:keepNext w:val="0"/>
        <w:keepLines w:val="0"/>
        <w:pageBreakBefore w:val="0"/>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1.2语言</w:t>
      </w:r>
    </w:p>
    <w:p w14:paraId="42625175">
      <w:pPr>
        <w:keepNext w:val="0"/>
        <w:keepLines w:val="0"/>
        <w:pageBreakBefore w:val="0"/>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本合同文件使用中文。</w:t>
      </w:r>
    </w:p>
    <w:p w14:paraId="5889D103">
      <w:pPr>
        <w:keepNext w:val="0"/>
        <w:keepLines w:val="0"/>
        <w:pageBreakBefore w:val="0"/>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1.3合同文件的优先顺序</w:t>
      </w:r>
    </w:p>
    <w:p w14:paraId="287E1FD5">
      <w:pPr>
        <w:keepNext w:val="0"/>
        <w:keepLines w:val="0"/>
        <w:pageBreakBefore w:val="0"/>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本合同文件的解释顺序为：</w:t>
      </w:r>
      <w:r>
        <w:rPr>
          <w:rFonts w:hint="eastAsia" w:ascii="宋体" w:hAnsi="宋体" w:eastAsia="宋体" w:cs="宋体"/>
          <w:color w:val="auto"/>
          <w:highlight w:val="none"/>
          <w:u w:val="single"/>
        </w:rPr>
        <w:t>按通用条件</w:t>
      </w:r>
      <w:r>
        <w:rPr>
          <w:rFonts w:hint="eastAsia" w:ascii="宋体" w:hAnsi="宋体" w:eastAsia="宋体" w:cs="宋体"/>
          <w:color w:val="auto"/>
          <w:highlight w:val="none"/>
        </w:rPr>
        <w:t>。</w:t>
      </w:r>
    </w:p>
    <w:p w14:paraId="6707AFE5">
      <w:pPr>
        <w:keepNext w:val="0"/>
        <w:keepLines w:val="0"/>
        <w:pageBreakBefore w:val="0"/>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1.4适用法律</w:t>
      </w:r>
    </w:p>
    <w:p w14:paraId="2E5C7AF7">
      <w:pPr>
        <w:keepNext w:val="0"/>
        <w:keepLines w:val="0"/>
        <w:pageBreakBefore w:val="0"/>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本合同适用的其他规范性文件包括：</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w:t>
      </w:r>
    </w:p>
    <w:p w14:paraId="317720BB">
      <w:pPr>
        <w:keepNext w:val="0"/>
        <w:keepLines w:val="0"/>
        <w:pageBreakBefore w:val="0"/>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1.4.1工程造价控制及咨询依据</w:t>
      </w:r>
    </w:p>
    <w:p w14:paraId="44AA9D53">
      <w:pPr>
        <w:keepNext w:val="0"/>
        <w:keepLines w:val="0"/>
        <w:pageBreakBefore w:val="0"/>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（1）国家、省有关法律、法规、条例和规章。</w:t>
      </w:r>
    </w:p>
    <w:p w14:paraId="7331A023">
      <w:pPr>
        <w:keepNext w:val="0"/>
        <w:keepLines w:val="0"/>
        <w:pageBreakBefore w:val="0"/>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（2）国家及有关部门颁布的工程造价控制及咨询技术标准、规程、规范和工程质量验收标准。</w:t>
      </w:r>
    </w:p>
    <w:p w14:paraId="1E682DA2">
      <w:pPr>
        <w:keepNext w:val="0"/>
        <w:keepLines w:val="0"/>
        <w:pageBreakBefore w:val="0"/>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（3）上级主管部门批准的设计文件和批文。</w:t>
      </w:r>
    </w:p>
    <w:p w14:paraId="57655989">
      <w:pPr>
        <w:keepNext w:val="0"/>
        <w:keepLines w:val="0"/>
        <w:pageBreakBefore w:val="0"/>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（4）经审查的施工图纸、设计变更、会议纪要、有关签证及相关资料和说明。</w:t>
      </w:r>
    </w:p>
    <w:p w14:paraId="48837002">
      <w:pPr>
        <w:keepNext w:val="0"/>
        <w:keepLines w:val="0"/>
        <w:pageBreakBefore w:val="0"/>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（5）工程施工承包合同及有关文件、附件、补充协议等。</w:t>
      </w:r>
    </w:p>
    <w:p w14:paraId="03953D07">
      <w:pPr>
        <w:keepNext w:val="0"/>
        <w:keepLines w:val="0"/>
        <w:pageBreakBefore w:val="0"/>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（6）工程招、投标文件、询标纪要等。</w:t>
      </w:r>
    </w:p>
    <w:p w14:paraId="56089C97">
      <w:pPr>
        <w:keepNext w:val="0"/>
        <w:keepLines w:val="0"/>
        <w:pageBreakBefore w:val="0"/>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（7）施工组织设计（或施工方案）、市场价格行情等。</w:t>
      </w:r>
    </w:p>
    <w:p w14:paraId="3B63A12F">
      <w:pPr>
        <w:keepNext w:val="0"/>
        <w:keepLines w:val="0"/>
        <w:pageBreakBefore w:val="0"/>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（8）委托方与施工单位之间往来的补遗、信函等。</w:t>
      </w:r>
    </w:p>
    <w:p w14:paraId="73D84494">
      <w:pPr>
        <w:keepNext w:val="0"/>
        <w:keepLines w:val="0"/>
        <w:pageBreakBefore w:val="0"/>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（9）其它文件和资料。</w:t>
      </w:r>
    </w:p>
    <w:p w14:paraId="1498179C">
      <w:pPr>
        <w:keepNext w:val="0"/>
        <w:keepLines w:val="0"/>
        <w:pageBreakBefore w:val="0"/>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2.委托人的义务</w:t>
      </w:r>
    </w:p>
    <w:p w14:paraId="127C250F">
      <w:pPr>
        <w:keepNext w:val="0"/>
        <w:keepLines w:val="0"/>
        <w:pageBreakBefore w:val="0"/>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2.1提供资料：</w:t>
      </w:r>
    </w:p>
    <w:p w14:paraId="0284D61B">
      <w:pPr>
        <w:keepNext w:val="0"/>
        <w:keepLines w:val="0"/>
        <w:pageBreakBefore w:val="0"/>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委托人按照约定无偿向咨询人提供与本合同咨询业务有关资料的时间为：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w:t>
      </w:r>
    </w:p>
    <w:p w14:paraId="7F5365DB">
      <w:pPr>
        <w:keepNext w:val="0"/>
        <w:keepLines w:val="0"/>
        <w:pageBreakBefore w:val="0"/>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2.2提供工作条件</w:t>
      </w:r>
    </w:p>
    <w:p w14:paraId="287D2163">
      <w:pPr>
        <w:keepNext w:val="0"/>
        <w:keepLines w:val="0"/>
        <w:pageBreakBefore w:val="0"/>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2.2.1项目咨询人员使用由委托人提供的房屋及设备，支付使用费的标准为：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w:t>
      </w:r>
    </w:p>
    <w:p w14:paraId="771DD416">
      <w:pPr>
        <w:keepNext w:val="0"/>
        <w:keepLines w:val="0"/>
        <w:pageBreakBefore w:val="0"/>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2.4委托人代表</w:t>
      </w:r>
    </w:p>
    <w:p w14:paraId="11F96564">
      <w:pPr>
        <w:keepNext w:val="0"/>
        <w:keepLines w:val="0"/>
        <w:pageBreakBefore w:val="0"/>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highlight w:val="none"/>
          <w:u w:val="single"/>
        </w:rPr>
      </w:pPr>
      <w:r>
        <w:rPr>
          <w:rFonts w:hint="eastAsia" w:ascii="宋体" w:hAnsi="宋体" w:eastAsia="宋体" w:cs="宋体"/>
          <w:color w:val="auto"/>
          <w:highlight w:val="none"/>
        </w:rPr>
        <w:t>委托人代表为：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rPr>
        <w:t>，其权限范围：</w:t>
      </w:r>
      <w:r>
        <w:rPr>
          <w:rFonts w:hint="eastAsia" w:ascii="宋体" w:hAnsi="宋体" w:eastAsia="宋体" w:cs="宋体"/>
          <w:color w:val="auto"/>
          <w:highlight w:val="none"/>
          <w:u w:val="single"/>
        </w:rPr>
        <w:t>签复咨询人提起的有关咨询联系单、咨询成果确认单、现场勘查记录</w:t>
      </w:r>
      <w:r>
        <w:rPr>
          <w:rFonts w:hint="eastAsia" w:ascii="宋体" w:hAnsi="宋体" w:eastAsia="宋体" w:cs="宋体"/>
          <w:color w:val="auto"/>
          <w:highlight w:val="none"/>
          <w:u w:val="single"/>
          <w:lang w:val="en-US" w:eastAsia="zh-CN"/>
        </w:rPr>
        <w:t>等</w:t>
      </w:r>
      <w:r>
        <w:rPr>
          <w:rFonts w:hint="eastAsia" w:ascii="宋体" w:hAnsi="宋体" w:eastAsia="宋体" w:cs="宋体"/>
          <w:color w:val="auto"/>
          <w:highlight w:val="none"/>
          <w:u w:val="single"/>
        </w:rPr>
        <w:t>。</w:t>
      </w:r>
    </w:p>
    <w:p w14:paraId="42417C6F">
      <w:pPr>
        <w:keepNext w:val="0"/>
        <w:keepLines w:val="0"/>
        <w:pageBreakBefore w:val="0"/>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2.5答复</w:t>
      </w:r>
    </w:p>
    <w:p w14:paraId="1648CF76">
      <w:pPr>
        <w:keepNext w:val="0"/>
        <w:keepLines w:val="0"/>
        <w:pageBreakBefore w:val="0"/>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委托人同意在十五个工作日内，对咨询人书面提交并要求做出决定的事宜给予书面答复。</w:t>
      </w:r>
    </w:p>
    <w:p w14:paraId="37D8CB52">
      <w:pPr>
        <w:keepNext w:val="0"/>
        <w:keepLines w:val="0"/>
        <w:pageBreakBefore w:val="0"/>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2.6委托人有以下权利：</w:t>
      </w:r>
    </w:p>
    <w:p w14:paraId="59FAD1B7">
      <w:pPr>
        <w:keepNext w:val="0"/>
        <w:keepLines w:val="0"/>
        <w:pageBreakBefore w:val="0"/>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1）有权向咨询人询问工作进展情况及相关的内容。</w:t>
      </w:r>
    </w:p>
    <w:p w14:paraId="729A20FC">
      <w:pPr>
        <w:keepNext w:val="0"/>
        <w:keepLines w:val="0"/>
        <w:pageBreakBefore w:val="0"/>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2）委托人有权监督、检查咨询人的实际工作，有权对咨询人的工作和文件成果提出合理的质疑和修改意见。但委托人修改意见的执行并不能成为咨询人免除工作质量责任的理由。</w:t>
      </w:r>
    </w:p>
    <w:p w14:paraId="3B2297E9">
      <w:pPr>
        <w:keepNext w:val="0"/>
        <w:keepLines w:val="0"/>
        <w:pageBreakBefore w:val="0"/>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3）当委托人有理由认定</w:t>
      </w:r>
      <w:r>
        <w:rPr>
          <w:rFonts w:hint="eastAsia" w:ascii="宋体" w:hAnsi="宋体" w:cs="宋体"/>
          <w:color w:val="auto"/>
          <w:highlight w:val="none"/>
          <w:lang w:val="en-US" w:eastAsia="zh-CN"/>
        </w:rPr>
        <w:t>咨询</w:t>
      </w:r>
      <w:r>
        <w:rPr>
          <w:rFonts w:hint="eastAsia" w:ascii="宋体" w:hAnsi="宋体" w:eastAsia="宋体" w:cs="宋体"/>
          <w:color w:val="auto"/>
          <w:highlight w:val="none"/>
        </w:rPr>
        <w:t>专业人员不按</w:t>
      </w:r>
      <w:r>
        <w:rPr>
          <w:rFonts w:hint="eastAsia" w:ascii="宋体" w:hAnsi="宋体" w:cs="宋体"/>
          <w:color w:val="auto"/>
          <w:highlight w:val="none"/>
          <w:lang w:val="en-US" w:eastAsia="zh-CN"/>
        </w:rPr>
        <w:t>咨询</w:t>
      </w:r>
      <w:r>
        <w:rPr>
          <w:rFonts w:hint="eastAsia" w:ascii="宋体" w:hAnsi="宋体" w:eastAsia="宋体" w:cs="宋体"/>
          <w:color w:val="auto"/>
          <w:highlight w:val="none"/>
        </w:rPr>
        <w:t>合同履行其职责，或与第三人串通给委托人造成经济损失的，或</w:t>
      </w:r>
      <w:r>
        <w:rPr>
          <w:rFonts w:hint="eastAsia" w:ascii="宋体" w:hAnsi="宋体" w:cs="宋体"/>
          <w:color w:val="auto"/>
          <w:highlight w:val="none"/>
          <w:lang w:val="en-US" w:eastAsia="zh-CN"/>
        </w:rPr>
        <w:t>咨询</w:t>
      </w:r>
      <w:r>
        <w:rPr>
          <w:rFonts w:hint="eastAsia" w:ascii="宋体" w:hAnsi="宋体" w:eastAsia="宋体" w:cs="宋体"/>
          <w:color w:val="auto"/>
          <w:highlight w:val="none"/>
        </w:rPr>
        <w:t>专业人员业务水平不能满足实际需要的，委托人有权要求更换</w:t>
      </w:r>
      <w:r>
        <w:rPr>
          <w:rFonts w:hint="eastAsia" w:ascii="宋体" w:hAnsi="宋体" w:cs="宋体"/>
          <w:color w:val="auto"/>
          <w:highlight w:val="none"/>
          <w:lang w:val="en-US" w:eastAsia="zh-CN"/>
        </w:rPr>
        <w:t>咨询</w:t>
      </w:r>
      <w:r>
        <w:rPr>
          <w:rFonts w:hint="eastAsia" w:ascii="宋体" w:hAnsi="宋体" w:eastAsia="宋体" w:cs="宋体"/>
          <w:color w:val="auto"/>
          <w:highlight w:val="none"/>
        </w:rPr>
        <w:t>专业人员，直至终止合同并要求咨询人承担相应的赔偿责任。</w:t>
      </w:r>
    </w:p>
    <w:p w14:paraId="78D4A2DD">
      <w:pPr>
        <w:keepNext w:val="0"/>
        <w:keepLines w:val="0"/>
        <w:pageBreakBefore w:val="0"/>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3.咨询人的义务</w:t>
      </w:r>
    </w:p>
    <w:p w14:paraId="6D474985">
      <w:pPr>
        <w:keepNext w:val="0"/>
        <w:keepLines w:val="0"/>
        <w:pageBreakBefore w:val="0"/>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3.1项目咨询团队及人员</w:t>
      </w:r>
    </w:p>
    <w:p w14:paraId="5A7CEDD4">
      <w:pPr>
        <w:keepNext w:val="0"/>
        <w:keepLines w:val="0"/>
        <w:pageBreakBefore w:val="0"/>
        <w:kinsoku/>
        <w:overflowPunct/>
        <w:bidi w:val="0"/>
        <w:snapToGrid/>
        <w:spacing w:line="360" w:lineRule="exact"/>
        <w:ind w:left="0" w:right="0" w:firstLine="420"/>
        <w:textAlignment w:val="auto"/>
        <w:rPr>
          <w:rFonts w:hint="eastAsia" w:ascii="宋体" w:hAnsi="宋体" w:eastAsia="宋体" w:cs="宋体"/>
          <w:color w:val="auto"/>
          <w:highlight w:val="none"/>
        </w:rPr>
      </w:pPr>
      <w:r>
        <w:rPr>
          <w:rFonts w:hint="eastAsia" w:ascii="宋体" w:hAnsi="宋体" w:eastAsia="宋体" w:cs="宋体"/>
          <w:color w:val="auto"/>
          <w:highlight w:val="none"/>
        </w:rPr>
        <w:t>3.1.1项目咨询团队的主要人员资格条件及人数要求：</w:t>
      </w:r>
    </w:p>
    <w:p w14:paraId="44A29E4A">
      <w:pPr>
        <w:keepNext w:val="0"/>
        <w:keepLines w:val="0"/>
        <w:pageBreakBefore w:val="0"/>
        <w:kinsoku/>
        <w:overflowPunct/>
        <w:bidi w:val="0"/>
        <w:snapToGrid/>
        <w:spacing w:line="360" w:lineRule="exact"/>
        <w:ind w:left="0" w:right="0" w:firstLine="420"/>
        <w:textAlignment w:val="auto"/>
        <w:rPr>
          <w:rFonts w:hint="eastAsia" w:ascii="宋体" w:hAnsi="宋体" w:eastAsia="宋体" w:cs="宋体"/>
          <w:color w:val="auto"/>
          <w:highlight w:val="none"/>
          <w:u w:val="single"/>
          <w:lang w:eastAsia="zh-CN"/>
        </w:rPr>
      </w:pPr>
      <w:r>
        <w:rPr>
          <w:rFonts w:hint="eastAsia" w:ascii="宋体" w:hAnsi="宋体" w:cs="宋体"/>
          <w:color w:val="auto"/>
          <w:highlight w:val="none"/>
          <w:lang w:val="en-US" w:eastAsia="zh-CN"/>
        </w:rPr>
        <w:t>1、</w:t>
      </w:r>
      <w:r>
        <w:rPr>
          <w:rFonts w:hint="eastAsia" w:ascii="宋体" w:hAnsi="宋体" w:cs="宋体"/>
          <w:color w:val="auto"/>
          <w:highlight w:val="none"/>
          <w:u w:val="single"/>
        </w:rPr>
        <w:t>项目组团队驻场成员按投标承诺（附名单）</w:t>
      </w:r>
      <w:r>
        <w:rPr>
          <w:rFonts w:hint="eastAsia" w:ascii="宋体" w:hAnsi="宋体" w:cs="宋体"/>
          <w:color w:val="auto"/>
          <w:highlight w:val="none"/>
          <w:u w:val="single"/>
          <w:lang w:eastAsia="zh-CN"/>
        </w:rPr>
        <w:t>。</w:t>
      </w:r>
    </w:p>
    <w:p w14:paraId="1C9257BE">
      <w:pPr>
        <w:keepNext w:val="0"/>
        <w:keepLines w:val="0"/>
        <w:pageBreakBefore w:val="0"/>
        <w:kinsoku/>
        <w:overflowPunct/>
        <w:bidi w:val="0"/>
        <w:snapToGrid/>
        <w:spacing w:line="360" w:lineRule="exact"/>
        <w:ind w:left="0" w:right="0" w:firstLine="420"/>
        <w:textAlignment w:val="auto"/>
        <w:rPr>
          <w:color w:val="auto"/>
          <w:highlight w:val="none"/>
        </w:rPr>
      </w:pPr>
      <w:r>
        <w:rPr>
          <w:rFonts w:hint="eastAsia" w:ascii="宋体" w:hAnsi="宋体" w:cs="宋体"/>
          <w:color w:val="auto"/>
          <w:highlight w:val="none"/>
          <w:u w:val="single"/>
          <w:lang w:val="en-US" w:eastAsia="zh-CN"/>
        </w:rPr>
        <w:t>2</w:t>
      </w:r>
      <w:r>
        <w:rPr>
          <w:rFonts w:hint="eastAsia" w:ascii="宋体" w:hAnsi="宋体" w:cs="宋体"/>
          <w:color w:val="auto"/>
          <w:highlight w:val="none"/>
          <w:u w:val="single"/>
        </w:rPr>
        <w:t>、项目组现场驻场人员</w:t>
      </w:r>
      <w:r>
        <w:rPr>
          <w:rFonts w:hint="eastAsia" w:ascii="宋体" w:hAnsi="宋体" w:cs="宋体"/>
          <w:color w:val="auto"/>
          <w:highlight w:val="none"/>
          <w:u w:val="single"/>
          <w:lang w:eastAsia="zh-CN"/>
        </w:rPr>
        <w:t>（</w:t>
      </w:r>
      <w:r>
        <w:rPr>
          <w:rFonts w:hint="eastAsia" w:ascii="宋体" w:hAnsi="宋体" w:cs="宋体"/>
          <w:color w:val="auto"/>
          <w:highlight w:val="none"/>
          <w:u w:val="single"/>
          <w:lang w:val="en-US" w:eastAsia="zh-CN"/>
        </w:rPr>
        <w:t>可兼任</w:t>
      </w:r>
      <w:r>
        <w:rPr>
          <w:rFonts w:hint="eastAsia" w:ascii="宋体" w:hAnsi="宋体" w:cs="宋体"/>
          <w:color w:val="auto"/>
          <w:highlight w:val="none"/>
          <w:u w:val="single"/>
          <w:lang w:eastAsia="zh-CN"/>
        </w:rPr>
        <w:t>）</w:t>
      </w:r>
      <w:r>
        <w:rPr>
          <w:rFonts w:hint="eastAsia" w:ascii="宋体" w:hAnsi="宋体" w:cs="宋体"/>
          <w:color w:val="auto"/>
          <w:highlight w:val="none"/>
          <w:u w:val="single"/>
        </w:rPr>
        <w:t>：至少1人，要求已取得</w:t>
      </w:r>
      <w:r>
        <w:rPr>
          <w:rFonts w:hint="eastAsia" w:ascii="宋体" w:hAnsi="宋体" w:eastAsia="宋体" w:cs="宋体"/>
          <w:color w:val="auto"/>
          <w:highlight w:val="none"/>
          <w:u w:val="single"/>
          <w:lang w:val="en-US" w:eastAsia="zh-CN"/>
        </w:rPr>
        <w:t>中华人民共和国二</w:t>
      </w:r>
      <w:r>
        <w:rPr>
          <w:rFonts w:hint="eastAsia" w:ascii="宋体" w:hAnsi="宋体" w:eastAsia="宋体" w:cs="宋体"/>
          <w:color w:val="auto"/>
          <w:highlight w:val="none"/>
          <w:u w:val="single"/>
        </w:rPr>
        <w:t>级造价工程师（</w:t>
      </w:r>
      <w:r>
        <w:rPr>
          <w:rFonts w:hint="eastAsia" w:ascii="宋体" w:hAnsi="宋体" w:eastAsia="宋体" w:cs="宋体"/>
          <w:color w:val="auto"/>
          <w:highlight w:val="none"/>
          <w:u w:val="single"/>
          <w:lang w:val="en-US" w:eastAsia="zh-CN"/>
        </w:rPr>
        <w:t>交通运输</w:t>
      </w:r>
      <w:r>
        <w:rPr>
          <w:rFonts w:hint="eastAsia" w:ascii="宋体" w:hAnsi="宋体" w:eastAsia="宋体" w:cs="宋体"/>
          <w:color w:val="auto"/>
          <w:highlight w:val="none"/>
          <w:u w:val="single"/>
        </w:rPr>
        <w:t>专业）</w:t>
      </w:r>
      <w:r>
        <w:rPr>
          <w:rFonts w:hint="eastAsia" w:ascii="宋体" w:hAnsi="宋体" w:cs="宋体"/>
          <w:color w:val="auto"/>
          <w:highlight w:val="none"/>
          <w:u w:val="single"/>
          <w:lang w:val="en-US" w:eastAsia="zh-CN"/>
        </w:rPr>
        <w:t>及以上</w:t>
      </w:r>
      <w:r>
        <w:rPr>
          <w:rFonts w:hint="eastAsia" w:ascii="宋体" w:hAnsi="宋体" w:eastAsia="宋体" w:cs="宋体"/>
          <w:color w:val="auto"/>
          <w:highlight w:val="none"/>
          <w:u w:val="single"/>
        </w:rPr>
        <w:t>执业证书</w:t>
      </w:r>
      <w:r>
        <w:rPr>
          <w:rFonts w:hint="eastAsia" w:ascii="宋体" w:hAnsi="宋体" w:cs="宋体"/>
          <w:color w:val="auto"/>
          <w:highlight w:val="none"/>
          <w:u w:val="single"/>
        </w:rPr>
        <w:t>，除现场驻场人员外，还须安排相应的造价专业人员协助完成施工阶段全过程工程造价控制及咨询服务内容的所有工作。</w:t>
      </w:r>
    </w:p>
    <w:p w14:paraId="6A71AC81">
      <w:pPr>
        <w:keepNext w:val="0"/>
        <w:keepLines w:val="0"/>
        <w:pageBreakBefore w:val="0"/>
        <w:kinsoku/>
        <w:overflowPunct/>
        <w:bidi w:val="0"/>
        <w:snapToGrid/>
        <w:spacing w:line="360" w:lineRule="exact"/>
        <w:ind w:left="0" w:right="0" w:firstLine="420"/>
        <w:textAlignment w:val="auto"/>
        <w:rPr>
          <w:rFonts w:hint="eastAsia" w:ascii="宋体" w:hAnsi="宋体" w:eastAsia="宋体" w:cs="宋体"/>
          <w:color w:val="auto"/>
          <w:highlight w:val="none"/>
          <w:u w:val="single"/>
        </w:rPr>
      </w:pPr>
      <w:r>
        <w:rPr>
          <w:rFonts w:hint="eastAsia" w:ascii="宋体" w:hAnsi="宋体" w:cs="宋体"/>
          <w:color w:val="auto"/>
          <w:highlight w:val="none"/>
          <w:u w:val="single"/>
          <w:lang w:val="en-US" w:eastAsia="zh-CN"/>
        </w:rPr>
        <w:t>3</w:t>
      </w:r>
      <w:r>
        <w:rPr>
          <w:rFonts w:hint="eastAsia" w:ascii="宋体" w:hAnsi="宋体" w:cs="宋体"/>
          <w:color w:val="auto"/>
          <w:highlight w:val="none"/>
          <w:u w:val="single"/>
        </w:rPr>
        <w:t>、根据实际进度和需求配备相关专业人员。拟派人员的执业资格注册单位须与咨询人名称相一致。</w:t>
      </w:r>
    </w:p>
    <w:p w14:paraId="2FB20C1C">
      <w:pPr>
        <w:keepNext w:val="0"/>
        <w:keepLines w:val="0"/>
        <w:pageBreakBefore w:val="0"/>
        <w:kinsoku/>
        <w:wordWrap/>
        <w:overflowPunct/>
        <w:topLinePunct w:val="0"/>
        <w:autoSpaceDE/>
        <w:autoSpaceDN/>
        <w:bidi w:val="0"/>
        <w:adjustRightInd w:val="0"/>
        <w:snapToGrid w:val="0"/>
        <w:spacing w:line="360" w:lineRule="auto"/>
        <w:ind w:firstLine="422" w:firstLineChars="200"/>
        <w:textAlignment w:val="auto"/>
        <w:rPr>
          <w:rFonts w:hint="eastAsia" w:ascii="宋体" w:hAnsi="宋体" w:eastAsia="宋体" w:cs="宋体"/>
          <w:color w:val="auto"/>
          <w:highlight w:val="none"/>
          <w:u w:val="single"/>
        </w:rPr>
      </w:pPr>
      <w:r>
        <w:rPr>
          <w:rFonts w:hint="eastAsia" w:ascii="宋体" w:hAnsi="宋体" w:eastAsia="宋体" w:cs="宋体"/>
          <w:b/>
          <w:bCs/>
          <w:color w:val="auto"/>
          <w:highlight w:val="none"/>
          <w:u w:val="single"/>
        </w:rPr>
        <w:t>施工过程驻场要求</w:t>
      </w:r>
      <w:r>
        <w:rPr>
          <w:rFonts w:hint="eastAsia" w:ascii="宋体" w:hAnsi="宋体" w:eastAsia="宋体" w:cs="宋体"/>
          <w:color w:val="auto"/>
          <w:highlight w:val="none"/>
          <w:u w:val="single"/>
        </w:rPr>
        <w:t>：</w:t>
      </w:r>
      <w:r>
        <w:rPr>
          <w:rFonts w:hint="eastAsia" w:ascii="宋体" w:hAnsi="宋体" w:cs="宋体"/>
          <w:color w:val="auto"/>
          <w:highlight w:val="none"/>
          <w:u w:val="single"/>
          <w:lang w:val="en-US" w:eastAsia="zh-CN"/>
        </w:rPr>
        <w:t>1、</w:t>
      </w:r>
      <w:r>
        <w:rPr>
          <w:rFonts w:hint="eastAsia" w:ascii="宋体" w:hAnsi="宋体" w:cs="宋体"/>
          <w:color w:val="auto"/>
          <w:highlight w:val="none"/>
          <w:u w:val="single"/>
        </w:rPr>
        <w:t>项目组团队驻场成员按投标承诺（附名单），月到岗率不得少于</w:t>
      </w:r>
      <w:r>
        <w:rPr>
          <w:rFonts w:hint="eastAsia" w:ascii="宋体" w:hAnsi="宋体" w:cs="宋体"/>
          <w:color w:val="auto"/>
          <w:highlight w:val="none"/>
          <w:u w:val="single"/>
          <w:lang w:val="en-US" w:eastAsia="zh-CN"/>
        </w:rPr>
        <w:t>10</w:t>
      </w:r>
      <w:r>
        <w:rPr>
          <w:rFonts w:hint="eastAsia" w:ascii="宋体" w:hAnsi="宋体" w:cs="宋体"/>
          <w:color w:val="auto"/>
          <w:highlight w:val="none"/>
          <w:u w:val="single"/>
        </w:rPr>
        <w:t>天（春节期间及政府要求停工的日期视为到岗），并根据项目实际情况和委托人要求及时增派相关专业人员。</w:t>
      </w:r>
    </w:p>
    <w:p w14:paraId="61BBFC67">
      <w:pPr>
        <w:keepNext w:val="0"/>
        <w:keepLines w:val="0"/>
        <w:pageBreakBefore w:val="0"/>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highlight w:val="none"/>
        </w:rPr>
      </w:pPr>
      <w:r>
        <w:rPr>
          <w:rFonts w:hint="eastAsia" w:ascii="宋体" w:hAnsi="宋体" w:cs="宋体"/>
          <w:color w:val="auto"/>
          <w:highlight w:val="none"/>
          <w:lang w:val="en-US" w:eastAsia="zh-CN"/>
        </w:rPr>
        <w:t>2、</w:t>
      </w:r>
      <w:r>
        <w:rPr>
          <w:rFonts w:hint="eastAsia" w:ascii="宋体" w:hAnsi="宋体" w:eastAsia="宋体" w:cs="宋体"/>
          <w:color w:val="auto"/>
          <w:highlight w:val="none"/>
        </w:rPr>
        <w:t>跟随项目进度按委托人要求派遣</w:t>
      </w:r>
      <w:r>
        <w:rPr>
          <w:rFonts w:hint="eastAsia" w:ascii="宋体" w:hAnsi="宋体" w:eastAsia="宋体" w:cs="宋体"/>
          <w:color w:val="auto"/>
          <w:highlight w:val="none"/>
          <w:lang w:val="en-US" w:eastAsia="zh-CN"/>
        </w:rPr>
        <w:t>交通运输工程</w:t>
      </w:r>
      <w:r>
        <w:rPr>
          <w:rFonts w:hint="eastAsia" w:ascii="宋体" w:hAnsi="宋体" w:eastAsia="宋体" w:cs="宋体"/>
          <w:color w:val="auto"/>
          <w:highlight w:val="none"/>
        </w:rPr>
        <w:t>专业人员驻场，并经委托人认可。现场驻场人员如未达到上述要求，委托人有权要求咨询人在限定时间内更换现场驻场人员，直至委托人认可后方可驻场。除现场驻场人员外，还须安排相应的造价专业人员协助完成施工阶段全过程工程造价控制及咨询服务内容的所有工作。</w:t>
      </w:r>
    </w:p>
    <w:p w14:paraId="61B22DAA">
      <w:pPr>
        <w:keepNext w:val="0"/>
        <w:keepLines w:val="0"/>
        <w:pageBreakBefore w:val="0"/>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highlight w:val="none"/>
        </w:rPr>
      </w:pPr>
      <w:r>
        <w:rPr>
          <w:rFonts w:hint="eastAsia" w:ascii="宋体" w:hAnsi="宋体" w:cs="宋体"/>
          <w:color w:val="auto"/>
          <w:highlight w:val="none"/>
          <w:lang w:val="en-US" w:eastAsia="zh-CN"/>
        </w:rPr>
        <w:t>3、</w:t>
      </w:r>
      <w:r>
        <w:rPr>
          <w:rFonts w:hint="eastAsia" w:ascii="宋体" w:hAnsi="宋体" w:eastAsia="宋体" w:cs="宋体"/>
          <w:color w:val="auto"/>
          <w:highlight w:val="none"/>
        </w:rPr>
        <w:t>除现场驻场人数要求外，咨询人还须安排专业的造价</w:t>
      </w:r>
      <w:r>
        <w:rPr>
          <w:rFonts w:hint="eastAsia" w:ascii="宋体" w:hAnsi="宋体" w:cs="宋体"/>
          <w:color w:val="auto"/>
          <w:highlight w:val="none"/>
          <w:lang w:val="en-US" w:eastAsia="zh-CN"/>
        </w:rPr>
        <w:t>咨询</w:t>
      </w:r>
      <w:r>
        <w:rPr>
          <w:rFonts w:hint="eastAsia" w:ascii="宋体" w:hAnsi="宋体" w:eastAsia="宋体" w:cs="宋体"/>
          <w:color w:val="auto"/>
          <w:highlight w:val="none"/>
        </w:rPr>
        <w:t>人员协助完成施工阶段全过程工程造价控制及咨询服务内容的所有工作。</w:t>
      </w:r>
    </w:p>
    <w:p w14:paraId="40348AB0">
      <w:pPr>
        <w:keepNext w:val="0"/>
        <w:keepLines w:val="0"/>
        <w:pageBreakBefore w:val="0"/>
        <w:widowControl/>
        <w:kinsoku/>
        <w:wordWrap/>
        <w:overflowPunct/>
        <w:topLinePunct w:val="0"/>
        <w:autoSpaceDE/>
        <w:autoSpaceDN/>
        <w:bidi w:val="0"/>
        <w:adjustRightInd w:val="0"/>
        <w:snapToGrid w:val="0"/>
        <w:spacing w:line="360" w:lineRule="auto"/>
        <w:ind w:firstLine="420" w:firstLineChars="20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3.1.2项目负责人为：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rPr>
        <w:t>，身份证号码：</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w:t>
      </w:r>
    </w:p>
    <w:p w14:paraId="1A979D86">
      <w:pPr>
        <w:keepNext w:val="0"/>
        <w:keepLines w:val="0"/>
        <w:pageBreakBefore w:val="0"/>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执业证书：</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，执业注册号：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w:t>
      </w:r>
    </w:p>
    <w:tbl>
      <w:tblPr>
        <w:tblStyle w:val="52"/>
        <w:tblW w:w="88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40"/>
        <w:gridCol w:w="834"/>
        <w:gridCol w:w="1052"/>
        <w:gridCol w:w="985"/>
        <w:gridCol w:w="3116"/>
        <w:gridCol w:w="1437"/>
      </w:tblGrid>
      <w:tr w14:paraId="243106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4" w:hRule="atLeast"/>
          <w:jc w:val="center"/>
        </w:trPr>
        <w:tc>
          <w:tcPr>
            <w:tcW w:w="1440" w:type="dxa"/>
            <w:noWrap w:val="0"/>
            <w:vAlign w:val="center"/>
          </w:tcPr>
          <w:p w14:paraId="51CB2584">
            <w:pPr>
              <w:jc w:val="center"/>
              <w:rPr>
                <w:rFonts w:ascii="宋体" w:hAnsi="宋体" w:eastAsia="宋体" w:cs="Times New Roman"/>
                <w:color w:val="auto"/>
                <w:highlight w:val="none"/>
              </w:rPr>
            </w:pPr>
            <w:r>
              <w:rPr>
                <w:rFonts w:hint="eastAsia" w:ascii="宋体" w:hAnsi="宋体" w:eastAsia="宋体" w:cs="Times New Roman"/>
                <w:color w:val="auto"/>
                <w:highlight w:val="none"/>
              </w:rPr>
              <w:t>职务</w:t>
            </w:r>
          </w:p>
        </w:tc>
        <w:tc>
          <w:tcPr>
            <w:tcW w:w="834" w:type="dxa"/>
            <w:noWrap w:val="0"/>
            <w:vAlign w:val="center"/>
          </w:tcPr>
          <w:p w14:paraId="58E35F5D">
            <w:pPr>
              <w:jc w:val="center"/>
              <w:rPr>
                <w:rFonts w:ascii="宋体" w:hAnsi="宋体" w:eastAsia="宋体" w:cs="Times New Roman"/>
                <w:color w:val="auto"/>
                <w:highlight w:val="none"/>
              </w:rPr>
            </w:pPr>
            <w:r>
              <w:rPr>
                <w:rFonts w:hint="eastAsia" w:ascii="宋体" w:hAnsi="宋体" w:eastAsia="宋体" w:cs="Times New Roman"/>
                <w:color w:val="auto"/>
                <w:highlight w:val="none"/>
              </w:rPr>
              <w:t>姓名</w:t>
            </w:r>
          </w:p>
        </w:tc>
        <w:tc>
          <w:tcPr>
            <w:tcW w:w="1052" w:type="dxa"/>
            <w:tcBorders>
              <w:bottom w:val="single" w:color="auto" w:sz="4" w:space="0"/>
            </w:tcBorders>
            <w:noWrap w:val="0"/>
            <w:vAlign w:val="center"/>
          </w:tcPr>
          <w:p w14:paraId="18690301">
            <w:pPr>
              <w:jc w:val="center"/>
              <w:rPr>
                <w:rFonts w:ascii="宋体" w:hAnsi="宋体" w:eastAsia="宋体" w:cs="Times New Roman"/>
                <w:color w:val="auto"/>
                <w:highlight w:val="none"/>
              </w:rPr>
            </w:pPr>
            <w:r>
              <w:rPr>
                <w:rFonts w:hint="eastAsia" w:ascii="宋体" w:hAnsi="宋体" w:eastAsia="宋体" w:cs="Times New Roman"/>
                <w:color w:val="auto"/>
                <w:highlight w:val="none"/>
              </w:rPr>
              <w:t>岗位证书号码</w:t>
            </w:r>
          </w:p>
        </w:tc>
        <w:tc>
          <w:tcPr>
            <w:tcW w:w="985" w:type="dxa"/>
            <w:noWrap w:val="0"/>
            <w:vAlign w:val="center"/>
          </w:tcPr>
          <w:p w14:paraId="09A81F50">
            <w:pPr>
              <w:jc w:val="center"/>
              <w:rPr>
                <w:rFonts w:ascii="宋体" w:hAnsi="宋体" w:eastAsia="宋体" w:cs="Times New Roman"/>
                <w:color w:val="auto"/>
                <w:highlight w:val="none"/>
              </w:rPr>
            </w:pPr>
            <w:r>
              <w:rPr>
                <w:rFonts w:hint="eastAsia" w:ascii="宋体" w:hAnsi="宋体" w:eastAsia="宋体" w:cs="Times New Roman"/>
                <w:color w:val="auto"/>
                <w:highlight w:val="none"/>
              </w:rPr>
              <w:t>身份证号</w:t>
            </w:r>
          </w:p>
        </w:tc>
        <w:tc>
          <w:tcPr>
            <w:tcW w:w="3116" w:type="dxa"/>
            <w:tcBorders>
              <w:bottom w:val="single" w:color="auto" w:sz="4" w:space="0"/>
            </w:tcBorders>
            <w:noWrap w:val="0"/>
            <w:vAlign w:val="center"/>
          </w:tcPr>
          <w:p w14:paraId="4C744241">
            <w:pPr>
              <w:jc w:val="center"/>
              <w:rPr>
                <w:rFonts w:ascii="宋体" w:hAnsi="宋体" w:eastAsia="宋体" w:cs="Times New Roman"/>
                <w:color w:val="auto"/>
                <w:highlight w:val="none"/>
              </w:rPr>
            </w:pPr>
            <w:r>
              <w:rPr>
                <w:rFonts w:hint="eastAsia" w:ascii="宋体" w:hAnsi="宋体" w:eastAsia="宋体" w:cs="Times New Roman"/>
                <w:color w:val="auto"/>
                <w:highlight w:val="none"/>
              </w:rPr>
              <w:t>须提供的证书</w:t>
            </w:r>
          </w:p>
        </w:tc>
        <w:tc>
          <w:tcPr>
            <w:tcW w:w="1437" w:type="dxa"/>
            <w:tcBorders>
              <w:bottom w:val="single" w:color="auto" w:sz="4" w:space="0"/>
            </w:tcBorders>
            <w:noWrap w:val="0"/>
            <w:vAlign w:val="center"/>
          </w:tcPr>
          <w:p w14:paraId="75BBFC68">
            <w:pPr>
              <w:ind w:left="35" w:leftChars="-32" w:right="-69" w:rightChars="-33" w:hanging="102" w:hangingChars="49"/>
              <w:jc w:val="center"/>
              <w:rPr>
                <w:rFonts w:ascii="宋体" w:hAnsi="宋体" w:eastAsia="宋体" w:cs="Times New Roman"/>
                <w:color w:val="auto"/>
                <w:highlight w:val="none"/>
              </w:rPr>
            </w:pPr>
            <w:r>
              <w:rPr>
                <w:rFonts w:hint="eastAsia" w:ascii="宋体" w:hAnsi="宋体" w:eastAsia="宋体" w:cs="Times New Roman"/>
                <w:color w:val="auto"/>
                <w:highlight w:val="none"/>
              </w:rPr>
              <w:t>备注</w:t>
            </w:r>
          </w:p>
        </w:tc>
      </w:tr>
      <w:tr w14:paraId="23F9F1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72" w:hRule="atLeast"/>
          <w:jc w:val="center"/>
        </w:trPr>
        <w:tc>
          <w:tcPr>
            <w:tcW w:w="1440" w:type="dxa"/>
            <w:noWrap w:val="0"/>
            <w:vAlign w:val="center"/>
          </w:tcPr>
          <w:p w14:paraId="696DF18F">
            <w:pPr>
              <w:jc w:val="center"/>
              <w:rPr>
                <w:rFonts w:ascii="宋体" w:hAnsi="宋体" w:eastAsia="宋体" w:cs="Times New Roman"/>
                <w:color w:val="auto"/>
                <w:highlight w:val="none"/>
              </w:rPr>
            </w:pPr>
            <w:r>
              <w:rPr>
                <w:rFonts w:hint="eastAsia" w:ascii="宋体" w:hAnsi="宋体" w:eastAsia="宋体" w:cs="Times New Roman"/>
                <w:color w:val="auto"/>
                <w:highlight w:val="none"/>
              </w:rPr>
              <w:t>项目负责人</w:t>
            </w:r>
          </w:p>
        </w:tc>
        <w:tc>
          <w:tcPr>
            <w:tcW w:w="834" w:type="dxa"/>
            <w:noWrap w:val="0"/>
            <w:vAlign w:val="center"/>
          </w:tcPr>
          <w:p w14:paraId="2CA00D5C">
            <w:pPr>
              <w:jc w:val="center"/>
              <w:rPr>
                <w:rFonts w:ascii="宋体" w:hAnsi="宋体" w:eastAsia="宋体" w:cs="Times New Roman"/>
                <w:color w:val="auto"/>
                <w:highlight w:val="none"/>
              </w:rPr>
            </w:pPr>
          </w:p>
        </w:tc>
        <w:tc>
          <w:tcPr>
            <w:tcW w:w="1052" w:type="dxa"/>
            <w:tcBorders>
              <w:bottom w:val="single" w:color="auto" w:sz="4" w:space="0"/>
            </w:tcBorders>
            <w:noWrap w:val="0"/>
            <w:vAlign w:val="center"/>
          </w:tcPr>
          <w:p w14:paraId="516C2E72">
            <w:pPr>
              <w:jc w:val="center"/>
              <w:rPr>
                <w:rFonts w:ascii="宋体" w:hAnsi="宋体" w:eastAsia="宋体" w:cs="Times New Roman"/>
                <w:color w:val="auto"/>
                <w:highlight w:val="none"/>
              </w:rPr>
            </w:pPr>
          </w:p>
        </w:tc>
        <w:tc>
          <w:tcPr>
            <w:tcW w:w="985" w:type="dxa"/>
            <w:noWrap w:val="0"/>
            <w:vAlign w:val="center"/>
          </w:tcPr>
          <w:p w14:paraId="05BA5897">
            <w:pPr>
              <w:jc w:val="center"/>
              <w:rPr>
                <w:rFonts w:ascii="宋体" w:hAnsi="宋体" w:eastAsia="宋体" w:cs="Times New Roman"/>
                <w:color w:val="auto"/>
                <w:highlight w:val="none"/>
              </w:rPr>
            </w:pPr>
          </w:p>
        </w:tc>
        <w:tc>
          <w:tcPr>
            <w:tcW w:w="3116" w:type="dxa"/>
            <w:tcBorders>
              <w:bottom w:val="single" w:color="auto" w:sz="4" w:space="0"/>
            </w:tcBorders>
            <w:noWrap w:val="0"/>
            <w:vAlign w:val="center"/>
          </w:tcPr>
          <w:p w14:paraId="3BDE09CE">
            <w:pPr>
              <w:rPr>
                <w:rFonts w:ascii="宋体" w:hAnsi="宋体" w:eastAsia="宋体" w:cs="Times New Roman"/>
                <w:color w:val="auto"/>
                <w:highlight w:val="none"/>
              </w:rPr>
            </w:pPr>
            <w:r>
              <w:rPr>
                <w:color w:val="auto"/>
                <w:spacing w:val="-1"/>
                <w:highlight w:val="none"/>
              </w:rPr>
              <w:t>具有工程师及以上技术职称；具有一级注册造价工程师</w:t>
            </w:r>
            <w:r>
              <w:rPr>
                <w:color w:val="auto"/>
                <w:spacing w:val="-2"/>
                <w:highlight w:val="none"/>
              </w:rPr>
              <w:t>（交通运输工程）证书且注册在投标人单位。</w:t>
            </w:r>
          </w:p>
        </w:tc>
        <w:tc>
          <w:tcPr>
            <w:tcW w:w="1437" w:type="dxa"/>
            <w:tcBorders>
              <w:bottom w:val="single" w:color="auto" w:sz="4" w:space="0"/>
            </w:tcBorders>
            <w:noWrap w:val="0"/>
            <w:vAlign w:val="center"/>
          </w:tcPr>
          <w:p w14:paraId="67A5D5F1">
            <w:pPr>
              <w:ind w:left="35" w:leftChars="-32" w:right="-69" w:rightChars="-33" w:hanging="102" w:hangingChars="49"/>
              <w:jc w:val="center"/>
              <w:rPr>
                <w:rFonts w:ascii="宋体" w:hAnsi="宋体" w:eastAsia="宋体" w:cs="Times New Roman"/>
                <w:color w:val="auto"/>
                <w:highlight w:val="none"/>
              </w:rPr>
            </w:pPr>
            <w:r>
              <w:rPr>
                <w:rFonts w:hint="eastAsia" w:ascii="宋体" w:hAnsi="宋体" w:eastAsia="宋体" w:cs="Times New Roman"/>
                <w:color w:val="auto"/>
                <w:highlight w:val="none"/>
              </w:rPr>
              <w:t>必须配备</w:t>
            </w:r>
          </w:p>
        </w:tc>
      </w:tr>
      <w:tr w14:paraId="0FA866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14" w:hRule="exact"/>
          <w:jc w:val="center"/>
        </w:trPr>
        <w:tc>
          <w:tcPr>
            <w:tcW w:w="1440" w:type="dxa"/>
            <w:noWrap w:val="0"/>
            <w:vAlign w:val="center"/>
          </w:tcPr>
          <w:p w14:paraId="59BB12F9">
            <w:pPr>
              <w:jc w:val="center"/>
              <w:rPr>
                <w:rFonts w:ascii="Times New Roman" w:hAnsi="Times New Roman" w:eastAsia="宋体" w:cs="Times New Roman"/>
                <w:bCs/>
                <w:color w:val="auto"/>
                <w:highlight w:val="none"/>
              </w:rPr>
            </w:pPr>
            <w:r>
              <w:rPr>
                <w:color w:val="auto"/>
                <w:spacing w:val="-3"/>
                <w:highlight w:val="none"/>
              </w:rPr>
              <w:t>项目组成员</w:t>
            </w:r>
          </w:p>
        </w:tc>
        <w:tc>
          <w:tcPr>
            <w:tcW w:w="834" w:type="dxa"/>
            <w:noWrap w:val="0"/>
            <w:vAlign w:val="center"/>
          </w:tcPr>
          <w:p w14:paraId="158A100E">
            <w:pPr>
              <w:jc w:val="center"/>
              <w:rPr>
                <w:rFonts w:ascii="宋体" w:hAnsi="宋体" w:eastAsia="宋体" w:cs="Times New Roman"/>
                <w:color w:val="auto"/>
                <w:highlight w:val="none"/>
              </w:rPr>
            </w:pPr>
          </w:p>
        </w:tc>
        <w:tc>
          <w:tcPr>
            <w:tcW w:w="1052" w:type="dxa"/>
            <w:noWrap w:val="0"/>
            <w:vAlign w:val="center"/>
          </w:tcPr>
          <w:p w14:paraId="4AD6F687">
            <w:pPr>
              <w:jc w:val="center"/>
              <w:rPr>
                <w:rFonts w:ascii="宋体" w:hAnsi="宋体" w:eastAsia="宋体" w:cs="Times New Roman"/>
                <w:color w:val="auto"/>
                <w:highlight w:val="none"/>
              </w:rPr>
            </w:pPr>
          </w:p>
        </w:tc>
        <w:tc>
          <w:tcPr>
            <w:tcW w:w="985" w:type="dxa"/>
            <w:noWrap w:val="0"/>
            <w:vAlign w:val="center"/>
          </w:tcPr>
          <w:p w14:paraId="4D4900AD">
            <w:pPr>
              <w:jc w:val="center"/>
              <w:rPr>
                <w:rFonts w:ascii="宋体" w:hAnsi="宋体" w:eastAsia="宋体" w:cs="Times New Roman"/>
                <w:color w:val="auto"/>
                <w:highlight w:val="none"/>
              </w:rPr>
            </w:pPr>
          </w:p>
        </w:tc>
        <w:tc>
          <w:tcPr>
            <w:tcW w:w="3116" w:type="dxa"/>
            <w:noWrap w:val="0"/>
            <w:vAlign w:val="center"/>
          </w:tcPr>
          <w:p w14:paraId="012A0CCE">
            <w:pPr>
              <w:ind w:right="-73" w:rightChars="-35"/>
              <w:rPr>
                <w:rFonts w:ascii="宋体" w:hAnsi="宋体" w:eastAsia="宋体" w:cs="Times New Roman"/>
                <w:color w:val="auto"/>
                <w:highlight w:val="none"/>
              </w:rPr>
            </w:pPr>
            <w:r>
              <w:rPr>
                <w:rFonts w:hint="eastAsia"/>
                <w:color w:val="auto"/>
                <w:spacing w:val="-1"/>
                <w:highlight w:val="none"/>
              </w:rPr>
              <w:t>具有交通运输部颁发的</w:t>
            </w:r>
            <w:r>
              <w:rPr>
                <w:rFonts w:hint="eastAsia"/>
                <w:color w:val="auto"/>
                <w:spacing w:val="-1"/>
                <w:highlight w:val="none"/>
                <w:lang w:val="en-US" w:eastAsia="zh-CN"/>
              </w:rPr>
              <w:t>水运</w:t>
            </w:r>
            <w:r>
              <w:rPr>
                <w:rFonts w:hint="eastAsia"/>
                <w:color w:val="auto"/>
                <w:spacing w:val="-1"/>
                <w:highlight w:val="none"/>
              </w:rPr>
              <w:t>工程造价甲级资格证书或具有注册一级造价工程师（</w:t>
            </w:r>
            <w:r>
              <w:rPr>
                <w:rFonts w:hint="eastAsia"/>
                <w:color w:val="auto"/>
                <w:spacing w:val="-1"/>
                <w:highlight w:val="none"/>
                <w:lang w:val="en-US" w:eastAsia="zh-CN"/>
              </w:rPr>
              <w:t>交通运输工程</w:t>
            </w:r>
            <w:r>
              <w:rPr>
                <w:rFonts w:hint="eastAsia"/>
                <w:color w:val="auto"/>
                <w:spacing w:val="-1"/>
                <w:highlight w:val="none"/>
              </w:rPr>
              <w:t>专业）执业证书且注册在投标人单位。</w:t>
            </w:r>
          </w:p>
        </w:tc>
        <w:tc>
          <w:tcPr>
            <w:tcW w:w="1437" w:type="dxa"/>
            <w:noWrap w:val="0"/>
            <w:vAlign w:val="center"/>
          </w:tcPr>
          <w:p w14:paraId="765F2D3F">
            <w:pPr>
              <w:ind w:left="-67" w:leftChars="-32" w:right="-69" w:rightChars="-33" w:firstLine="2"/>
              <w:jc w:val="center"/>
              <w:rPr>
                <w:rFonts w:hint="eastAsia" w:ascii="宋体" w:hAnsi="宋体" w:eastAsia="宋体" w:cs="Times New Roman"/>
                <w:color w:val="auto"/>
                <w:highlight w:val="none"/>
              </w:rPr>
            </w:pPr>
            <w:r>
              <w:rPr>
                <w:rFonts w:hint="eastAsia" w:ascii="宋体" w:hAnsi="宋体" w:eastAsia="宋体" w:cs="Times New Roman"/>
                <w:color w:val="auto"/>
                <w:highlight w:val="none"/>
              </w:rPr>
              <w:t>必须配备</w:t>
            </w:r>
          </w:p>
        </w:tc>
      </w:tr>
      <w:tr w14:paraId="254A08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14" w:hRule="exact"/>
          <w:jc w:val="center"/>
        </w:trPr>
        <w:tc>
          <w:tcPr>
            <w:tcW w:w="1440" w:type="dxa"/>
            <w:noWrap w:val="0"/>
            <w:vAlign w:val="center"/>
          </w:tcPr>
          <w:p w14:paraId="2F6B5AD6">
            <w:pPr>
              <w:jc w:val="center"/>
              <w:rPr>
                <w:rFonts w:hint="eastAsia" w:eastAsia="宋体"/>
                <w:color w:val="auto"/>
                <w:spacing w:val="-3"/>
                <w:highlight w:val="none"/>
                <w:lang w:val="en-US" w:eastAsia="zh-CN"/>
              </w:rPr>
            </w:pPr>
            <w:r>
              <w:rPr>
                <w:rFonts w:hint="eastAsia"/>
                <w:color w:val="auto"/>
                <w:spacing w:val="-3"/>
                <w:highlight w:val="none"/>
                <w:lang w:val="en-US" w:eastAsia="zh-CN"/>
              </w:rPr>
              <w:t>驻场人员</w:t>
            </w:r>
          </w:p>
        </w:tc>
        <w:tc>
          <w:tcPr>
            <w:tcW w:w="834" w:type="dxa"/>
            <w:noWrap w:val="0"/>
            <w:vAlign w:val="center"/>
          </w:tcPr>
          <w:p w14:paraId="1D39B640">
            <w:pPr>
              <w:jc w:val="center"/>
              <w:rPr>
                <w:rFonts w:ascii="宋体" w:hAnsi="宋体" w:eastAsia="宋体" w:cs="Times New Roman"/>
                <w:color w:val="auto"/>
                <w:highlight w:val="none"/>
              </w:rPr>
            </w:pPr>
          </w:p>
        </w:tc>
        <w:tc>
          <w:tcPr>
            <w:tcW w:w="1052" w:type="dxa"/>
            <w:noWrap w:val="0"/>
            <w:vAlign w:val="center"/>
          </w:tcPr>
          <w:p w14:paraId="12955F08">
            <w:pPr>
              <w:jc w:val="center"/>
              <w:rPr>
                <w:rFonts w:ascii="宋体" w:hAnsi="宋体" w:eastAsia="宋体" w:cs="Times New Roman"/>
                <w:color w:val="auto"/>
                <w:highlight w:val="none"/>
              </w:rPr>
            </w:pPr>
          </w:p>
        </w:tc>
        <w:tc>
          <w:tcPr>
            <w:tcW w:w="985" w:type="dxa"/>
            <w:noWrap w:val="0"/>
            <w:vAlign w:val="center"/>
          </w:tcPr>
          <w:p w14:paraId="454ECFBB">
            <w:pPr>
              <w:jc w:val="center"/>
              <w:rPr>
                <w:rFonts w:ascii="宋体" w:hAnsi="宋体" w:eastAsia="宋体" w:cs="Times New Roman"/>
                <w:color w:val="auto"/>
                <w:highlight w:val="none"/>
              </w:rPr>
            </w:pPr>
          </w:p>
        </w:tc>
        <w:tc>
          <w:tcPr>
            <w:tcW w:w="3116" w:type="dxa"/>
            <w:noWrap w:val="0"/>
            <w:vAlign w:val="center"/>
          </w:tcPr>
          <w:p w14:paraId="4CF30309">
            <w:pPr>
              <w:ind w:right="-73" w:rightChars="-35"/>
              <w:rPr>
                <w:color w:val="auto"/>
                <w:spacing w:val="-1"/>
                <w:highlight w:val="none"/>
              </w:rPr>
            </w:pPr>
            <w:r>
              <w:rPr>
                <w:rFonts w:hint="eastAsia"/>
                <w:color w:val="auto"/>
                <w:spacing w:val="-2"/>
                <w:highlight w:val="none"/>
              </w:rPr>
              <w:t>具有</w:t>
            </w:r>
            <w:r>
              <w:rPr>
                <w:rFonts w:hint="eastAsia"/>
                <w:color w:val="auto"/>
                <w:spacing w:val="-2"/>
                <w:highlight w:val="none"/>
                <w:lang w:val="en-US" w:eastAsia="zh-CN"/>
              </w:rPr>
              <w:t>中华人民共和国二</w:t>
            </w:r>
            <w:r>
              <w:rPr>
                <w:rFonts w:hint="eastAsia"/>
                <w:color w:val="auto"/>
                <w:spacing w:val="-2"/>
                <w:highlight w:val="none"/>
              </w:rPr>
              <w:t>级造价工程师（</w:t>
            </w:r>
            <w:r>
              <w:rPr>
                <w:rFonts w:hint="eastAsia"/>
                <w:color w:val="auto"/>
                <w:spacing w:val="-2"/>
                <w:highlight w:val="none"/>
                <w:lang w:val="en-US" w:eastAsia="zh-CN"/>
              </w:rPr>
              <w:t>交通运输</w:t>
            </w:r>
            <w:r>
              <w:rPr>
                <w:rFonts w:hint="eastAsia"/>
                <w:color w:val="auto"/>
                <w:spacing w:val="-2"/>
                <w:highlight w:val="none"/>
              </w:rPr>
              <w:t>专业）</w:t>
            </w:r>
            <w:r>
              <w:rPr>
                <w:rFonts w:hint="eastAsia"/>
                <w:color w:val="auto"/>
                <w:spacing w:val="-2"/>
                <w:highlight w:val="none"/>
                <w:lang w:val="en-US" w:eastAsia="zh-CN"/>
              </w:rPr>
              <w:t>及以上</w:t>
            </w:r>
            <w:r>
              <w:rPr>
                <w:rFonts w:hint="eastAsia"/>
                <w:color w:val="auto"/>
                <w:spacing w:val="-2"/>
                <w:highlight w:val="none"/>
              </w:rPr>
              <w:t>执业证书</w:t>
            </w:r>
            <w:r>
              <w:rPr>
                <w:color w:val="auto"/>
                <w:spacing w:val="-2"/>
                <w:highlight w:val="none"/>
              </w:rPr>
              <w:t>且注册在投标人单位。</w:t>
            </w:r>
          </w:p>
        </w:tc>
        <w:tc>
          <w:tcPr>
            <w:tcW w:w="1437" w:type="dxa"/>
            <w:noWrap w:val="0"/>
            <w:vAlign w:val="center"/>
          </w:tcPr>
          <w:p w14:paraId="4D9C9F24">
            <w:pPr>
              <w:ind w:left="-67" w:leftChars="-32" w:right="-69" w:rightChars="-33" w:firstLine="2"/>
              <w:jc w:val="center"/>
              <w:rPr>
                <w:rFonts w:hint="eastAsia" w:ascii="宋体" w:hAnsi="宋体" w:eastAsia="宋体" w:cs="Times New Roman"/>
                <w:color w:val="auto"/>
                <w:highlight w:val="none"/>
              </w:rPr>
            </w:pPr>
            <w:r>
              <w:rPr>
                <w:rFonts w:hint="eastAsia" w:ascii="宋体" w:hAnsi="宋体" w:eastAsia="宋体" w:cs="Times New Roman"/>
                <w:color w:val="auto"/>
                <w:highlight w:val="none"/>
              </w:rPr>
              <w:t>必须配备</w:t>
            </w:r>
          </w:p>
        </w:tc>
      </w:tr>
      <w:tr w14:paraId="61E700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14" w:hRule="exact"/>
          <w:jc w:val="center"/>
        </w:trPr>
        <w:tc>
          <w:tcPr>
            <w:tcW w:w="1440" w:type="dxa"/>
            <w:noWrap w:val="0"/>
            <w:vAlign w:val="center"/>
          </w:tcPr>
          <w:p w14:paraId="6C770622">
            <w:pPr>
              <w:jc w:val="center"/>
              <w:rPr>
                <w:rFonts w:hint="default"/>
                <w:color w:val="auto"/>
                <w:spacing w:val="-3"/>
                <w:highlight w:val="none"/>
                <w:lang w:val="en-US" w:eastAsia="zh-CN"/>
              </w:rPr>
            </w:pPr>
            <w:r>
              <w:rPr>
                <w:rFonts w:hint="eastAsia"/>
                <w:color w:val="auto"/>
                <w:spacing w:val="-3"/>
                <w:highlight w:val="none"/>
                <w:lang w:val="en-US" w:eastAsia="zh-CN"/>
              </w:rPr>
              <w:t>......</w:t>
            </w:r>
          </w:p>
        </w:tc>
        <w:tc>
          <w:tcPr>
            <w:tcW w:w="834" w:type="dxa"/>
            <w:noWrap w:val="0"/>
            <w:vAlign w:val="center"/>
          </w:tcPr>
          <w:p w14:paraId="7C190157">
            <w:pPr>
              <w:jc w:val="center"/>
              <w:rPr>
                <w:rFonts w:ascii="宋体" w:hAnsi="宋体" w:eastAsia="宋体" w:cs="Times New Roman"/>
                <w:color w:val="auto"/>
                <w:highlight w:val="none"/>
              </w:rPr>
            </w:pPr>
          </w:p>
        </w:tc>
        <w:tc>
          <w:tcPr>
            <w:tcW w:w="1052" w:type="dxa"/>
            <w:noWrap w:val="0"/>
            <w:vAlign w:val="center"/>
          </w:tcPr>
          <w:p w14:paraId="7BC2B6E9">
            <w:pPr>
              <w:jc w:val="center"/>
              <w:rPr>
                <w:rFonts w:ascii="宋体" w:hAnsi="宋体" w:eastAsia="宋体" w:cs="Times New Roman"/>
                <w:color w:val="auto"/>
                <w:highlight w:val="none"/>
              </w:rPr>
            </w:pPr>
          </w:p>
        </w:tc>
        <w:tc>
          <w:tcPr>
            <w:tcW w:w="985" w:type="dxa"/>
            <w:noWrap w:val="0"/>
            <w:vAlign w:val="center"/>
          </w:tcPr>
          <w:p w14:paraId="23F526B3">
            <w:pPr>
              <w:jc w:val="center"/>
              <w:rPr>
                <w:rFonts w:ascii="宋体" w:hAnsi="宋体" w:eastAsia="宋体" w:cs="Times New Roman"/>
                <w:color w:val="auto"/>
                <w:highlight w:val="none"/>
              </w:rPr>
            </w:pPr>
          </w:p>
        </w:tc>
        <w:tc>
          <w:tcPr>
            <w:tcW w:w="3116" w:type="dxa"/>
            <w:noWrap w:val="0"/>
            <w:vAlign w:val="center"/>
          </w:tcPr>
          <w:p w14:paraId="6EC563B2">
            <w:pPr>
              <w:ind w:right="-73" w:rightChars="-35"/>
              <w:rPr>
                <w:rFonts w:hint="default" w:eastAsia="宋体"/>
                <w:color w:val="auto"/>
                <w:spacing w:val="-2"/>
                <w:highlight w:val="none"/>
                <w:lang w:val="en-US" w:eastAsia="zh-CN"/>
              </w:rPr>
            </w:pPr>
            <w:r>
              <w:rPr>
                <w:rFonts w:hint="eastAsia"/>
                <w:color w:val="auto"/>
                <w:spacing w:val="-2"/>
                <w:highlight w:val="none"/>
                <w:lang w:val="en-US" w:eastAsia="zh-CN"/>
              </w:rPr>
              <w:t>....</w:t>
            </w:r>
          </w:p>
        </w:tc>
        <w:tc>
          <w:tcPr>
            <w:tcW w:w="1437" w:type="dxa"/>
            <w:noWrap w:val="0"/>
            <w:vAlign w:val="center"/>
          </w:tcPr>
          <w:p w14:paraId="5D4E0B48">
            <w:pPr>
              <w:ind w:left="-67" w:leftChars="-32" w:right="-69" w:rightChars="-33" w:firstLine="2"/>
              <w:jc w:val="center"/>
              <w:rPr>
                <w:rFonts w:hint="eastAsia" w:ascii="宋体" w:hAnsi="宋体" w:eastAsia="宋体" w:cs="Times New Roman"/>
                <w:color w:val="auto"/>
                <w:highlight w:val="none"/>
              </w:rPr>
            </w:pPr>
          </w:p>
        </w:tc>
      </w:tr>
    </w:tbl>
    <w:p w14:paraId="2E7CD27F">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项目负责人为履行本合同的权限为：</w:t>
      </w:r>
    </w:p>
    <w:p w14:paraId="7121B09E">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（1）审批工程造价控制及咨询的方案、审核工程量清单和工程造价的变更，向委托方提出书面意见或建议。</w:t>
      </w:r>
    </w:p>
    <w:p w14:paraId="457EAC4F">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（2）经委托方同意，撤换不能胜任本职工作或行为不端或玩忽职守的本项目部工程造价控制及咨询人员。</w:t>
      </w:r>
    </w:p>
    <w:p w14:paraId="40295744">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（3）遵守政府和行业主管部门有关工程造价的法规、规范、标准和指导规程，执行企业规章制度。</w:t>
      </w:r>
    </w:p>
    <w:p w14:paraId="4ECBC8DE">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（4）负责项目造价咨询的组织实施、专业间协调和质量管理工作，对项目组成员的执业行为进行管理。</w:t>
      </w:r>
    </w:p>
    <w:p w14:paraId="30AC5561">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（5）负责办理咨询项目合同的草拟，接收和验核委托人提供的资料。</w:t>
      </w:r>
    </w:p>
    <w:p w14:paraId="6EB2FF98">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（6）制定咨询项目实施方案。</w:t>
      </w:r>
    </w:p>
    <w:p w14:paraId="79959C0B">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（7）动态掌握咨询项目实施状况，负责督促检查各咨询子项和各专业的进度，研究解决存在的问题。</w:t>
      </w:r>
    </w:p>
    <w:p w14:paraId="3B96C7F5">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（8）对咨询项目的咨询质量负责，监督专业审核人员/校核人员进行质量校核，负责对项目初步成果进行复核。</w:t>
      </w:r>
    </w:p>
    <w:p w14:paraId="6C0DC32E">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（9）编写咨询成果报告及总说明、总目录，确保成果文件格式规范、表述清晰和满足使用需要。</w:t>
      </w:r>
    </w:p>
    <w:p w14:paraId="1CE5F3F4">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（10）负责审核意见的送达，办理相关资料归还和移交手续，与委托人结算造价咨询费。</w:t>
      </w:r>
    </w:p>
    <w:p w14:paraId="1EBC6B4C">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3.1.3咨询人更换项目咨询团队其他咨询人员的约定：</w:t>
      </w:r>
      <w:r>
        <w:rPr>
          <w:rFonts w:hint="eastAsia" w:ascii="宋体" w:hAnsi="宋体" w:eastAsia="宋体" w:cs="宋体"/>
          <w:color w:val="auto"/>
          <w:sz w:val="21"/>
          <w:szCs w:val="21"/>
          <w:highlight w:val="none"/>
          <w:u w:val="single"/>
        </w:rPr>
        <w:t>拟委派的项目负责人及项目工作组人员（包括驻场人员）一经确认，未经委托人同意不得随意更换，如</w:t>
      </w:r>
      <w:r>
        <w:rPr>
          <w:rFonts w:hint="eastAsia" w:ascii="宋体" w:hAnsi="宋体" w:cs="宋体"/>
          <w:color w:val="auto"/>
          <w:sz w:val="21"/>
          <w:szCs w:val="21"/>
          <w:highlight w:val="none"/>
          <w:u w:val="single"/>
          <w:lang w:val="en-US" w:eastAsia="zh-CN"/>
        </w:rPr>
        <w:t>咨询人</w:t>
      </w:r>
      <w:r>
        <w:rPr>
          <w:rFonts w:hint="eastAsia" w:ascii="宋体" w:hAnsi="宋体" w:eastAsia="宋体" w:cs="宋体"/>
          <w:color w:val="auto"/>
          <w:sz w:val="21"/>
          <w:szCs w:val="21"/>
          <w:highlight w:val="none"/>
          <w:u w:val="single"/>
          <w:lang w:val="en-US" w:eastAsia="zh-CN"/>
        </w:rPr>
        <w:t>需要更换项目</w:t>
      </w:r>
      <w:r>
        <w:rPr>
          <w:rFonts w:hint="eastAsia" w:ascii="宋体" w:hAnsi="宋体" w:cs="宋体"/>
          <w:color w:val="auto"/>
          <w:sz w:val="21"/>
          <w:szCs w:val="21"/>
          <w:highlight w:val="none"/>
          <w:u w:val="single"/>
          <w:lang w:val="en-US" w:eastAsia="zh-CN"/>
        </w:rPr>
        <w:t>负责人</w:t>
      </w:r>
      <w:r>
        <w:rPr>
          <w:rFonts w:hint="eastAsia" w:ascii="宋体" w:hAnsi="宋体" w:eastAsia="宋体" w:cs="宋体"/>
          <w:color w:val="auto"/>
          <w:sz w:val="21"/>
          <w:szCs w:val="21"/>
          <w:highlight w:val="none"/>
          <w:u w:val="single"/>
        </w:rPr>
        <w:t>，应征得委托人同意，且更换后的人员不得低于原人员所具有的资格；</w:t>
      </w:r>
      <w:r>
        <w:rPr>
          <w:rFonts w:hint="eastAsia" w:ascii="宋体" w:hAnsi="宋体" w:eastAsia="宋体" w:cs="宋体"/>
          <w:color w:val="auto"/>
          <w:sz w:val="21"/>
          <w:szCs w:val="21"/>
          <w:highlight w:val="none"/>
          <w:u w:val="single"/>
          <w:lang w:eastAsia="zh-CN"/>
        </w:rPr>
        <w:t>如发现不称职或能力不够的咨询人员，委托人有权要求</w:t>
      </w:r>
      <w:r>
        <w:rPr>
          <w:rFonts w:hint="eastAsia" w:ascii="宋体" w:hAnsi="宋体" w:eastAsia="宋体" w:cs="宋体"/>
          <w:color w:val="auto"/>
          <w:sz w:val="21"/>
          <w:szCs w:val="21"/>
          <w:highlight w:val="none"/>
          <w:u w:val="single"/>
          <w:lang w:val="en-US" w:eastAsia="zh-CN"/>
        </w:rPr>
        <w:t>咨询人</w:t>
      </w:r>
      <w:r>
        <w:rPr>
          <w:rFonts w:hint="eastAsia" w:ascii="宋体" w:hAnsi="宋体" w:eastAsia="宋体" w:cs="宋体"/>
          <w:color w:val="auto"/>
          <w:sz w:val="21"/>
          <w:szCs w:val="21"/>
          <w:highlight w:val="none"/>
          <w:u w:val="single"/>
          <w:lang w:eastAsia="zh-CN"/>
        </w:rPr>
        <w:t>更换人员，要求更换的人员应在7</w:t>
      </w:r>
      <w:r>
        <w:rPr>
          <w:rFonts w:hint="eastAsia" w:ascii="宋体" w:hAnsi="宋体" w:eastAsia="宋体" w:cs="宋体"/>
          <w:color w:val="auto"/>
          <w:sz w:val="21"/>
          <w:szCs w:val="21"/>
          <w:highlight w:val="none"/>
          <w:u w:val="single"/>
          <w:lang w:val="en-US" w:eastAsia="zh-CN"/>
        </w:rPr>
        <w:t>日</w:t>
      </w:r>
      <w:r>
        <w:rPr>
          <w:rFonts w:hint="eastAsia" w:ascii="宋体" w:hAnsi="宋体" w:eastAsia="宋体" w:cs="宋体"/>
          <w:color w:val="auto"/>
          <w:sz w:val="21"/>
          <w:szCs w:val="21"/>
          <w:highlight w:val="none"/>
          <w:u w:val="single"/>
          <w:lang w:eastAsia="zh-CN"/>
        </w:rPr>
        <w:t>内更换，</w:t>
      </w:r>
      <w:r>
        <w:rPr>
          <w:rFonts w:hint="eastAsia" w:ascii="宋体" w:hAnsi="宋体" w:eastAsia="宋体" w:cs="宋体"/>
          <w:color w:val="auto"/>
          <w:sz w:val="21"/>
          <w:szCs w:val="21"/>
          <w:highlight w:val="none"/>
          <w:u w:val="single"/>
          <w:lang w:val="en-US" w:eastAsia="zh-CN"/>
        </w:rPr>
        <w:t>逾期</w:t>
      </w:r>
      <w:r>
        <w:rPr>
          <w:rFonts w:hint="eastAsia" w:ascii="宋体" w:hAnsi="宋体" w:eastAsia="宋体" w:cs="宋体"/>
          <w:color w:val="auto"/>
          <w:sz w:val="21"/>
          <w:szCs w:val="21"/>
          <w:highlight w:val="none"/>
          <w:u w:val="single"/>
          <w:lang w:eastAsia="zh-CN"/>
        </w:rPr>
        <w:t>更换的每人每天处5000元</w:t>
      </w:r>
      <w:r>
        <w:rPr>
          <w:rFonts w:hint="eastAsia" w:ascii="宋体" w:hAnsi="宋体" w:cs="宋体"/>
          <w:color w:val="auto"/>
          <w:sz w:val="21"/>
          <w:szCs w:val="21"/>
          <w:highlight w:val="none"/>
          <w:u w:val="single"/>
          <w:lang w:eastAsia="zh-CN"/>
        </w:rPr>
        <w:t>的</w:t>
      </w:r>
      <w:r>
        <w:rPr>
          <w:rFonts w:hint="eastAsia" w:ascii="宋体" w:hAnsi="宋体" w:eastAsia="宋体" w:cs="宋体"/>
          <w:color w:val="auto"/>
          <w:sz w:val="21"/>
          <w:szCs w:val="21"/>
          <w:highlight w:val="none"/>
          <w:u w:val="single"/>
          <w:lang w:eastAsia="zh-CN"/>
        </w:rPr>
        <w:t>违约金。</w:t>
      </w:r>
      <w:r>
        <w:rPr>
          <w:rFonts w:hint="eastAsia" w:ascii="宋体" w:hAnsi="宋体" w:cs="宋体"/>
          <w:color w:val="auto"/>
          <w:sz w:val="21"/>
          <w:szCs w:val="21"/>
          <w:highlight w:val="none"/>
          <w:u w:val="single"/>
          <w:lang w:val="en-US" w:eastAsia="zh-CN"/>
        </w:rPr>
        <w:t>不管何种原因，每</w:t>
      </w:r>
      <w:r>
        <w:rPr>
          <w:rFonts w:hint="eastAsia" w:ascii="宋体" w:hAnsi="宋体" w:eastAsia="宋体" w:cs="宋体"/>
          <w:color w:val="auto"/>
          <w:sz w:val="21"/>
          <w:szCs w:val="21"/>
          <w:highlight w:val="none"/>
          <w:u w:val="single"/>
        </w:rPr>
        <w:t>更换</w:t>
      </w:r>
      <w:r>
        <w:rPr>
          <w:rFonts w:hint="eastAsia" w:ascii="宋体" w:hAnsi="宋体" w:cs="宋体"/>
          <w:color w:val="auto"/>
          <w:sz w:val="21"/>
          <w:szCs w:val="21"/>
          <w:highlight w:val="none"/>
          <w:u w:val="single"/>
          <w:lang w:val="en-US" w:eastAsia="zh-CN"/>
        </w:rPr>
        <w:t>一人次项目负责人咨询人需向委托人支付违约金3万元；每</w:t>
      </w:r>
      <w:r>
        <w:rPr>
          <w:rFonts w:hint="eastAsia" w:ascii="宋体" w:hAnsi="宋体" w:eastAsia="宋体" w:cs="宋体"/>
          <w:color w:val="auto"/>
          <w:sz w:val="21"/>
          <w:szCs w:val="21"/>
          <w:highlight w:val="none"/>
          <w:u w:val="single"/>
        </w:rPr>
        <w:t>更换</w:t>
      </w:r>
      <w:r>
        <w:rPr>
          <w:rFonts w:hint="eastAsia" w:ascii="宋体" w:hAnsi="宋体" w:cs="宋体"/>
          <w:color w:val="auto"/>
          <w:sz w:val="21"/>
          <w:szCs w:val="21"/>
          <w:highlight w:val="none"/>
          <w:u w:val="single"/>
          <w:lang w:val="en-US" w:eastAsia="zh-CN"/>
        </w:rPr>
        <w:t>一人次</w:t>
      </w:r>
      <w:r>
        <w:rPr>
          <w:rFonts w:hint="eastAsia" w:ascii="宋体" w:hAnsi="宋体" w:eastAsia="宋体" w:cs="宋体"/>
          <w:color w:val="auto"/>
          <w:sz w:val="21"/>
          <w:szCs w:val="21"/>
          <w:highlight w:val="none"/>
          <w:u w:val="single"/>
        </w:rPr>
        <w:t>项目组人员（包括驻场人员）</w:t>
      </w:r>
      <w:r>
        <w:rPr>
          <w:rFonts w:hint="eastAsia" w:ascii="宋体" w:hAnsi="宋体" w:cs="宋体"/>
          <w:color w:val="auto"/>
          <w:sz w:val="21"/>
          <w:szCs w:val="21"/>
          <w:highlight w:val="none"/>
          <w:u w:val="single"/>
          <w:lang w:val="en-US" w:eastAsia="zh-CN"/>
        </w:rPr>
        <w:t>咨询人需向委托人支付违约金2万元</w:t>
      </w:r>
      <w:r>
        <w:rPr>
          <w:rFonts w:hint="eastAsia" w:ascii="宋体" w:hAnsi="宋体" w:eastAsia="宋体" w:cs="宋体"/>
          <w:color w:val="auto"/>
          <w:sz w:val="21"/>
          <w:szCs w:val="21"/>
          <w:highlight w:val="none"/>
          <w:u w:val="single"/>
          <w:lang w:eastAsia="zh-CN"/>
        </w:rPr>
        <w:t>。</w:t>
      </w:r>
      <w:r>
        <w:rPr>
          <w:rFonts w:hint="eastAsia" w:ascii="宋体" w:hAnsi="宋体" w:eastAsia="宋体" w:cs="宋体"/>
          <w:color w:val="auto"/>
          <w:sz w:val="21"/>
          <w:szCs w:val="21"/>
          <w:highlight w:val="none"/>
          <w:u w:val="single"/>
          <w:lang w:val="en-US" w:eastAsia="zh-CN"/>
        </w:rPr>
        <w:t>上述违约金</w:t>
      </w:r>
      <w:r>
        <w:rPr>
          <w:rFonts w:hint="eastAsia" w:ascii="宋体" w:hAnsi="宋体" w:eastAsia="宋体" w:cs="宋体"/>
          <w:color w:val="auto"/>
          <w:sz w:val="21"/>
          <w:szCs w:val="21"/>
          <w:highlight w:val="none"/>
          <w:u w:val="single"/>
        </w:rPr>
        <w:t>在最近一期的咨询服务费支付时扣回。</w:t>
      </w:r>
    </w:p>
    <w:p w14:paraId="688F8666">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3.1.4委托人要求更换咨询人员的情形还包括：</w:t>
      </w:r>
      <w:r>
        <w:rPr>
          <w:rFonts w:hint="eastAsia" w:ascii="宋体" w:hAnsi="宋体" w:eastAsia="宋体" w:cs="宋体"/>
          <w:color w:val="auto"/>
          <w:sz w:val="21"/>
          <w:szCs w:val="21"/>
          <w:highlight w:val="none"/>
          <w:u w:val="single"/>
        </w:rPr>
        <w:t>按通用条款</w:t>
      </w:r>
      <w:r>
        <w:rPr>
          <w:rFonts w:hint="eastAsia" w:ascii="宋体" w:hAnsi="宋体" w:eastAsia="宋体" w:cs="宋体"/>
          <w:color w:val="auto"/>
          <w:sz w:val="21"/>
          <w:szCs w:val="21"/>
          <w:highlight w:val="none"/>
        </w:rPr>
        <w:t>。</w:t>
      </w:r>
    </w:p>
    <w:p w14:paraId="1484F735">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3.2咨询人的工作要求</w:t>
      </w:r>
    </w:p>
    <w:p w14:paraId="58243050">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3.2.1咨询人向委托人提供有关资料的时间：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rPr>
        <w:t>。</w:t>
      </w:r>
    </w:p>
    <w:p w14:paraId="30428F86">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咨询人向委托人提供的资料还包括：</w:t>
      </w:r>
      <w:r>
        <w:rPr>
          <w:rFonts w:hint="eastAsia" w:ascii="宋体" w:hAnsi="宋体" w:eastAsia="宋体" w:cs="宋体"/>
          <w:color w:val="auto"/>
          <w:sz w:val="21"/>
          <w:szCs w:val="21"/>
          <w:highlight w:val="none"/>
          <w:u w:val="single"/>
        </w:rPr>
        <w:t>依据项目实施情况确认需要提供的资料</w:t>
      </w:r>
      <w:r>
        <w:rPr>
          <w:rFonts w:hint="eastAsia" w:ascii="宋体" w:hAnsi="宋体" w:eastAsia="宋体" w:cs="宋体"/>
          <w:color w:val="auto"/>
          <w:sz w:val="21"/>
          <w:szCs w:val="21"/>
          <w:highlight w:val="none"/>
        </w:rPr>
        <w:t>。</w:t>
      </w:r>
    </w:p>
    <w:p w14:paraId="5AAB0A04">
      <w:pPr>
        <w:keepNext w:val="0"/>
        <w:keepLines w:val="0"/>
        <w:pageBreakBefore w:val="0"/>
        <w:widowControl w:val="0"/>
        <w:kinsoku/>
        <w:wordWrap/>
        <w:overflowPunct/>
        <w:topLinePunct w:val="0"/>
        <w:autoSpaceDE/>
        <w:autoSpaceDN/>
        <w:bidi w:val="0"/>
        <w:adjustRightInd w:val="0"/>
        <w:snapToGrid w:val="0"/>
        <w:spacing w:line="360" w:lineRule="auto"/>
        <w:ind w:firstLine="422" w:firstLineChars="200"/>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3.2.2咨询人应在收到委托人以书面形式提出的建议或者异议后5个工作日内给予书面答复。</w:t>
      </w:r>
    </w:p>
    <w:p w14:paraId="2BD2A666">
      <w:pPr>
        <w:keepNext w:val="0"/>
        <w:keepLines w:val="0"/>
        <w:pageBreakBefore w:val="0"/>
        <w:widowControl w:val="0"/>
        <w:kinsoku/>
        <w:wordWrap/>
        <w:overflowPunct/>
        <w:topLinePunct w:val="0"/>
        <w:autoSpaceDE/>
        <w:autoSpaceDN/>
        <w:bidi w:val="0"/>
        <w:adjustRightInd w:val="0"/>
        <w:snapToGrid w:val="0"/>
        <w:spacing w:line="360" w:lineRule="auto"/>
        <w:ind w:firstLine="422" w:firstLineChars="200"/>
        <w:textAlignment w:val="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基本工作要求：</w:t>
      </w:r>
    </w:p>
    <w:p w14:paraId="0BD9B61D">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（1）组织建立工程造价控制及咨询机构，委派项目负责人，并授予其行使本工程造价控制及咨询合同范围内处理咨询业务的全部权力。</w:t>
      </w:r>
    </w:p>
    <w:p w14:paraId="7A264191">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（2）未经委托人同意，咨询人不得调换项目负责人和已派驻现场的造价控制及咨询服务人员。</w:t>
      </w:r>
    </w:p>
    <w:p w14:paraId="44A04BF1">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（3）根据国家有关法律、法规、规定、工程建设批文、合同、规范、验收标准等对工程进行工程造价控制及咨询。</w:t>
      </w:r>
    </w:p>
    <w:p w14:paraId="0B910398">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（4）编制工程造价控制及咨询工作大纲和实施细则报</w:t>
      </w:r>
      <w:r>
        <w:rPr>
          <w:rFonts w:hint="eastAsia" w:ascii="宋体" w:hAnsi="宋体" w:eastAsia="宋体" w:cs="宋体"/>
          <w:color w:val="auto"/>
          <w:sz w:val="21"/>
          <w:szCs w:val="21"/>
          <w:highlight w:val="none"/>
          <w:lang w:eastAsia="zh-CN"/>
        </w:rPr>
        <w:t>备</w:t>
      </w:r>
      <w:r>
        <w:rPr>
          <w:rFonts w:hint="eastAsia" w:ascii="宋体" w:hAnsi="宋体" w:eastAsia="宋体" w:cs="宋体"/>
          <w:color w:val="auto"/>
          <w:sz w:val="21"/>
          <w:szCs w:val="21"/>
          <w:highlight w:val="none"/>
        </w:rPr>
        <w:t>委托方。</w:t>
      </w:r>
    </w:p>
    <w:p w14:paraId="29E2C259">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（5）及时调遣咨询人员、设备进入施工现场，完成咨询准备工作。</w:t>
      </w:r>
    </w:p>
    <w:p w14:paraId="57E35AED">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（6）审核现场签证工程量、工程联系单、设计变更单工程量及审核意见。</w:t>
      </w:r>
    </w:p>
    <w:p w14:paraId="079D5F78">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rPr>
        <w:t>）根据委托方要求及时向委托方报送进度款审核意见书、工程量及造价汇总表。</w:t>
      </w:r>
    </w:p>
    <w:p w14:paraId="02368E9D">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rPr>
        <w:t>）对工程的各工序工程量进行现场检查验收，并按规定进行记录。</w:t>
      </w:r>
    </w:p>
    <w:p w14:paraId="34F054CE">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9</w:t>
      </w:r>
      <w:r>
        <w:rPr>
          <w:rFonts w:hint="eastAsia" w:ascii="宋体" w:hAnsi="宋体" w:eastAsia="宋体" w:cs="宋体"/>
          <w:color w:val="auto"/>
          <w:sz w:val="21"/>
          <w:szCs w:val="21"/>
          <w:highlight w:val="none"/>
        </w:rPr>
        <w:t>）咨询班子人员组成须结合本工程实际配备齐全，所配备的主要专业造价咨询服务人员要符合招标文件要求。</w:t>
      </w:r>
    </w:p>
    <w:p w14:paraId="1E4DB1EB">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10</w:t>
      </w:r>
      <w:r>
        <w:rPr>
          <w:rFonts w:hint="eastAsia" w:ascii="宋体" w:hAnsi="宋体" w:eastAsia="宋体" w:cs="宋体"/>
          <w:color w:val="auto"/>
          <w:sz w:val="21"/>
          <w:szCs w:val="21"/>
          <w:highlight w:val="none"/>
        </w:rPr>
        <w:t>）咨询项目部内部应配备具有大型房建项目造价咨询服务丰富经验的专家或顾问，对工程全过程造价控制的实施进行专业技术支持和指导。专家或顾问应参与咨询规划、咨询细则的编制，参与各单体建筑物的工程造价控制及咨询。</w:t>
      </w:r>
    </w:p>
    <w:p w14:paraId="212BB14E">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）根据设计图纸、施工合同、变更单及相关的招标文件，提供委托方变更后的招标控制价审核及软件资料。</w:t>
      </w:r>
    </w:p>
    <w:p w14:paraId="48C28B0B">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）做好本工程全过程工程造价控制及咨询工作中资料收集、整理、汇编、归档等的工作，确保资料完整。</w:t>
      </w:r>
    </w:p>
    <w:p w14:paraId="49788A2D">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）严格遵守与本工程有关的法律、法规和规章，保证委托方免于承担由于咨询人违反上述法律、法规和规章而引起的的任何责任。</w:t>
      </w:r>
    </w:p>
    <w:p w14:paraId="1FA5F913">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）在履行合同期间及本项目完成后，应对委托方提供的所有资料、咨询工作内容具有保密义务，未经委托方事先许可认可，不得对除委托方以外的第三方披露。</w:t>
      </w:r>
    </w:p>
    <w:p w14:paraId="622B3CB9">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根据不同施工阶段的需要，参加有关工程会议（按委托方要求参加工程监理例会、有关工程造价的协调会议等），并根据委托方提供的施工单位与监理方之间的有关工程造价的往来资料以及市场信息，及时向委托方提供咨询意见，须将所有</w:t>
      </w:r>
      <w:r>
        <w:rPr>
          <w:rFonts w:hint="eastAsia" w:ascii="宋体" w:hAnsi="宋体" w:cs="宋体"/>
          <w:color w:val="auto"/>
          <w:sz w:val="21"/>
          <w:szCs w:val="21"/>
          <w:highlight w:val="none"/>
          <w:lang w:val="en-US" w:eastAsia="zh-CN"/>
        </w:rPr>
        <w:t>审核</w:t>
      </w:r>
      <w:r>
        <w:rPr>
          <w:rFonts w:hint="eastAsia" w:ascii="宋体" w:hAnsi="宋体" w:eastAsia="宋体" w:cs="宋体"/>
          <w:color w:val="auto"/>
          <w:sz w:val="21"/>
          <w:szCs w:val="21"/>
          <w:highlight w:val="none"/>
        </w:rPr>
        <w:t>、咨询服务内容作书面记录保存在案，以便委托方查阅。</w:t>
      </w:r>
    </w:p>
    <w:p w14:paraId="10C61541">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）若因咨询人过失，造成委托方经济损失的，咨询人应全额赔偿。</w:t>
      </w:r>
    </w:p>
    <w:p w14:paraId="712B4CE5">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rPr>
        <w:t>）咨询人在合同签订后需设立固定办公场所。驻场人员</w:t>
      </w:r>
      <w:r>
        <w:rPr>
          <w:rFonts w:hint="eastAsia" w:ascii="宋体" w:hAnsi="宋体" w:eastAsia="宋体" w:cs="宋体"/>
          <w:color w:val="auto"/>
          <w:sz w:val="21"/>
          <w:szCs w:val="21"/>
          <w:highlight w:val="none"/>
        </w:rPr>
        <w:t>食宿自行解决，不得与施工单位或监理单位搭伙，费用在总报价内考虑。</w:t>
      </w:r>
    </w:p>
    <w:p w14:paraId="0C35DE3D">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18</w:t>
      </w:r>
      <w:r>
        <w:rPr>
          <w:rFonts w:hint="eastAsia" w:ascii="宋体" w:hAnsi="宋体" w:eastAsia="宋体" w:cs="宋体"/>
          <w:color w:val="auto"/>
          <w:sz w:val="21"/>
          <w:szCs w:val="21"/>
          <w:highlight w:val="none"/>
        </w:rPr>
        <w:t>）咨询单位必须每日对施工进展和咨询工作情况进行记录，定期对施工日志和监理日志中跟造价（包括进度款支付、设计变更、工程变更、索赔事项等）有关的内容进行核查，并留存影像资料和书面资料(现场丈量纪要、照片、摄像等)，同时要求每月提供详细的月报及动态跟踪表。</w:t>
      </w:r>
    </w:p>
    <w:p w14:paraId="326AA205">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19</w:t>
      </w:r>
      <w:r>
        <w:rPr>
          <w:rFonts w:hint="eastAsia" w:ascii="宋体" w:hAnsi="宋体" w:eastAsia="宋体" w:cs="宋体"/>
          <w:color w:val="auto"/>
          <w:sz w:val="21"/>
          <w:szCs w:val="21"/>
          <w:highlight w:val="none"/>
        </w:rPr>
        <w:t>）合同执行过程涉及需核价项和材料，咨询人提供不少于</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家市场比价结果并提供</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家及以上市场报价人详细资讯以及历史参考。</w:t>
      </w:r>
    </w:p>
    <w:p w14:paraId="2F64E815">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0</w:t>
      </w:r>
      <w:r>
        <w:rPr>
          <w:rFonts w:hint="eastAsia" w:ascii="宋体" w:hAnsi="宋体" w:eastAsia="宋体" w:cs="宋体"/>
          <w:color w:val="auto"/>
          <w:sz w:val="21"/>
          <w:szCs w:val="21"/>
          <w:highlight w:val="none"/>
        </w:rPr>
        <w:t>）配合委托人完成竣工结算审核。</w:t>
      </w:r>
    </w:p>
    <w:p w14:paraId="09586E98">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21</w:t>
      </w:r>
      <w:r>
        <w:rPr>
          <w:rFonts w:hint="eastAsia" w:ascii="宋体" w:hAnsi="宋体" w:eastAsia="宋体" w:cs="宋体"/>
          <w:color w:val="auto"/>
          <w:sz w:val="21"/>
          <w:szCs w:val="21"/>
          <w:highlight w:val="none"/>
        </w:rPr>
        <w:t>）根据工程合同相应的建设工程法律、法规、标准规范与工程计价依据、招投标文件、施工图纸、现场发生的各项有效证明审核工程造价</w:t>
      </w:r>
      <w:r>
        <w:rPr>
          <w:rFonts w:hint="eastAsia" w:ascii="宋体" w:hAnsi="宋体" w:cs="宋体"/>
          <w:color w:val="auto"/>
          <w:sz w:val="21"/>
          <w:szCs w:val="21"/>
          <w:highlight w:val="none"/>
          <w:lang w:eastAsia="zh-CN"/>
        </w:rPr>
        <w:t>。</w:t>
      </w:r>
    </w:p>
    <w:p w14:paraId="672ABF35">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）现场踏勘、计量复核；及时审核工程变更、现场签证、索赔（包含工期顺延鉴定）等发生的费用，及时提交变更的合法性、合理性建议，在工程实施过程中对设计变更项目所需费用进行审核并确认</w:t>
      </w:r>
      <w:r>
        <w:rPr>
          <w:rFonts w:hint="eastAsia" w:ascii="宋体" w:hAnsi="宋体" w:cs="宋体"/>
          <w:color w:val="auto"/>
          <w:sz w:val="21"/>
          <w:szCs w:val="21"/>
          <w:highlight w:val="none"/>
          <w:lang w:eastAsia="zh-CN"/>
        </w:rPr>
        <w:t>。</w:t>
      </w:r>
    </w:p>
    <w:p w14:paraId="17D4A78E">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rPr>
        <w:t>）工程量、工程要素价格及各类项目费用进行审核确定；协助委托人确定“甲供材料”、“甲定乙供材料”、 “暂估价及变更材料”、“设备选购价格”，“零星签证”、“无价材料”并通过市场调查询价确定价格范围，明确甲供材料取费的规定，并出具书面报告。</w:t>
      </w:r>
    </w:p>
    <w:p w14:paraId="68B47D8C">
      <w:pPr>
        <w:keepNext w:val="0"/>
        <w:keepLines w:val="0"/>
        <w:pageBreakBefore w:val="0"/>
        <w:widowControl w:val="0"/>
        <w:kinsoku/>
        <w:wordWrap/>
        <w:overflowPunct/>
        <w:topLinePunct w:val="0"/>
        <w:autoSpaceDE/>
        <w:autoSpaceDN/>
        <w:bidi w:val="0"/>
        <w:adjustRightInd w:val="0"/>
        <w:snapToGrid w:val="0"/>
        <w:spacing w:line="360" w:lineRule="auto"/>
        <w:ind w:firstLine="422" w:firstLineChars="200"/>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其他工作要求：</w:t>
      </w:r>
    </w:p>
    <w:p w14:paraId="655703F2">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（1）咨询人应结合本项目的实际情况，及时深入现场查看，掌握项目的一线资料，为造价咨询创造有利条件。</w:t>
      </w:r>
    </w:p>
    <w:p w14:paraId="2E07E142">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（2）咨询人有义务参与本项目有关的会议，并从造价咨询角度提出专业建议，从根本上避免甚至杜绝不合规或不合法现象的发生。</w:t>
      </w:r>
    </w:p>
    <w:p w14:paraId="3B384A25">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（3）咨询人应根据委托人的要求，定期或不定期地提供专项造价咨询报告或综合造价咨询报告。咨询人同时应保管好各种造价咨询资料，根据委托人的要求，逐步将造价咨询资料移交给委托人。</w:t>
      </w:r>
    </w:p>
    <w:p w14:paraId="2A14CC26">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（4）咨询人未经委托人或其授权代表书面同意，不得将本合同各阶段形成的工作成果、文件资料及委托人和设计公司提供的图纸，资料泄露或交与任何第三者或其它项目使用。</w:t>
      </w:r>
    </w:p>
    <w:p w14:paraId="5A3252C8">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咨询人必须自行完成本项目的所有造价咨询服务工作，未经委托人同意和本合同规定，咨询人不得委托、转包和分包给任何第三方。咨询人确因需要委托有关专业顾问完成本属咨询人的服务职责和义务时，应经委托人书面同意，并且受托的专业顾问资格需经委托人书面认可。咨询人对转委托的工作负责。</w:t>
      </w:r>
    </w:p>
    <w:p w14:paraId="771F22A4">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（6）无论因任何原因而终止合同，咨询人应将所有由咨询人拥有或控制而与委托人有关资料和文件移交给委托人或任何由委托人重新委托的工程造价单位，且咨询人应提供合作及协助，以使本项目的顺利交接。</w:t>
      </w:r>
    </w:p>
    <w:p w14:paraId="48501D5C">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（7）造价咨询完成，咨询人负责审核档案的归档和立卷工作，并对委托人移交的资料安全、完整性负责。咨询人在造价咨询档案的归档和立卷完成后，应及时把所有资料移交给委托人。</w:t>
      </w:r>
    </w:p>
    <w:p w14:paraId="5E4B76E8">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咨询人应加强对项目组人员（含项目组负责人）的管理与教育，并加强造价咨询工作成果质量检查，提高造价咨询工作服务质量。督促所属人员按合同规定履约，严格遵守廉洁自律规定。咨询人应指定一名企业副总经理以上负责人与委托人保持联系，每季度一次书面征询委托人意见，作为考核项目组人员履职能力依据。</w:t>
      </w:r>
    </w:p>
    <w:p w14:paraId="30C58A73">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3.2.3咨询人向委托人提供咨询成果文件的名称、组成、时间、份数及质量标准：</w:t>
      </w:r>
      <w:r>
        <w:rPr>
          <w:rFonts w:hint="eastAsia" w:ascii="宋体" w:hAnsi="宋体" w:eastAsia="宋体" w:cs="宋体"/>
          <w:color w:val="auto"/>
          <w:sz w:val="21"/>
          <w:szCs w:val="21"/>
          <w:highlight w:val="none"/>
          <w:u w:val="single"/>
        </w:rPr>
        <w:t>详见下表</w:t>
      </w:r>
      <w:r>
        <w:rPr>
          <w:rFonts w:hint="eastAsia" w:ascii="宋体" w:hAnsi="宋体" w:eastAsia="宋体" w:cs="宋体"/>
          <w:color w:val="auto"/>
          <w:sz w:val="21"/>
          <w:szCs w:val="21"/>
          <w:highlight w:val="none"/>
        </w:rPr>
        <w:t>。</w:t>
      </w:r>
    </w:p>
    <w:p w14:paraId="0C69627F">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（1）全过程工程造价咨询咨询意见完成时间：</w:t>
      </w:r>
    </w:p>
    <w:tbl>
      <w:tblPr>
        <w:tblStyle w:val="52"/>
        <w:tblW w:w="925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789"/>
        <w:gridCol w:w="1500"/>
        <w:gridCol w:w="3457"/>
        <w:gridCol w:w="1512"/>
      </w:tblGrid>
      <w:tr w14:paraId="44D3EB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6" w:hRule="atLeast"/>
          <w:jc w:val="center"/>
        </w:trPr>
        <w:tc>
          <w:tcPr>
            <w:tcW w:w="2789" w:type="dxa"/>
            <w:noWrap w:val="0"/>
            <w:vAlign w:val="center"/>
          </w:tcPr>
          <w:p w14:paraId="7626795F">
            <w:pPr>
              <w:jc w:val="center"/>
              <w:rPr>
                <w:rFonts w:ascii="宋体" w:hAnsi="宋体" w:cs="宋体"/>
                <w:color w:val="auto"/>
                <w:highlight w:val="none"/>
              </w:rPr>
            </w:pPr>
            <w:r>
              <w:rPr>
                <w:rFonts w:hint="eastAsia" w:ascii="宋体" w:hAnsi="宋体" w:cs="宋体"/>
                <w:color w:val="auto"/>
                <w:highlight w:val="none"/>
              </w:rPr>
              <w:t>造价咨询内容</w:t>
            </w:r>
          </w:p>
        </w:tc>
        <w:tc>
          <w:tcPr>
            <w:tcW w:w="1500" w:type="dxa"/>
            <w:noWrap w:val="0"/>
            <w:vAlign w:val="center"/>
          </w:tcPr>
          <w:p w14:paraId="1E231306">
            <w:pPr>
              <w:jc w:val="center"/>
              <w:rPr>
                <w:rFonts w:ascii="宋体" w:hAnsi="宋体" w:cs="宋体"/>
                <w:color w:val="auto"/>
                <w:highlight w:val="none"/>
              </w:rPr>
            </w:pPr>
            <w:r>
              <w:rPr>
                <w:rFonts w:hint="eastAsia" w:ascii="宋体" w:hAnsi="宋体" w:cs="宋体"/>
                <w:color w:val="auto"/>
                <w:highlight w:val="none"/>
              </w:rPr>
              <w:t>成果完成时间</w:t>
            </w:r>
          </w:p>
        </w:tc>
        <w:tc>
          <w:tcPr>
            <w:tcW w:w="3457" w:type="dxa"/>
            <w:tcBorders>
              <w:right w:val="single" w:color="auto" w:sz="4" w:space="0"/>
            </w:tcBorders>
            <w:noWrap w:val="0"/>
            <w:vAlign w:val="center"/>
          </w:tcPr>
          <w:p w14:paraId="05A3B756">
            <w:pPr>
              <w:jc w:val="center"/>
              <w:rPr>
                <w:rFonts w:ascii="宋体" w:hAnsi="宋体" w:cs="宋体"/>
                <w:color w:val="auto"/>
                <w:highlight w:val="none"/>
              </w:rPr>
            </w:pPr>
            <w:r>
              <w:rPr>
                <w:rFonts w:hint="eastAsia" w:ascii="宋体" w:hAnsi="宋体" w:cs="宋体"/>
                <w:color w:val="auto"/>
                <w:highlight w:val="none"/>
              </w:rPr>
              <w:t>说明</w:t>
            </w:r>
          </w:p>
        </w:tc>
        <w:tc>
          <w:tcPr>
            <w:tcW w:w="1512" w:type="dxa"/>
            <w:tcBorders>
              <w:left w:val="single" w:color="auto" w:sz="4" w:space="0"/>
            </w:tcBorders>
            <w:noWrap w:val="0"/>
            <w:vAlign w:val="center"/>
          </w:tcPr>
          <w:p w14:paraId="631A265A">
            <w:pPr>
              <w:jc w:val="center"/>
              <w:rPr>
                <w:rFonts w:ascii="宋体" w:hAnsi="宋体" w:cs="宋体"/>
                <w:color w:val="auto"/>
                <w:highlight w:val="none"/>
              </w:rPr>
            </w:pPr>
            <w:r>
              <w:rPr>
                <w:rFonts w:hint="eastAsia" w:ascii="宋体" w:hAnsi="宋体" w:cs="宋体"/>
                <w:color w:val="auto"/>
                <w:highlight w:val="none"/>
              </w:rPr>
              <w:t>成果文件</w:t>
            </w:r>
          </w:p>
        </w:tc>
      </w:tr>
      <w:tr w14:paraId="57D8CD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6" w:hRule="atLeast"/>
          <w:jc w:val="center"/>
        </w:trPr>
        <w:tc>
          <w:tcPr>
            <w:tcW w:w="2789" w:type="dxa"/>
            <w:noWrap w:val="0"/>
            <w:vAlign w:val="center"/>
          </w:tcPr>
          <w:p w14:paraId="495E35F5">
            <w:pPr>
              <w:jc w:val="center"/>
              <w:rPr>
                <w:rFonts w:ascii="宋体" w:hAnsi="宋体" w:cs="宋体"/>
                <w:color w:val="auto"/>
                <w:highlight w:val="none"/>
              </w:rPr>
            </w:pPr>
            <w:r>
              <w:rPr>
                <w:rFonts w:hint="eastAsia" w:ascii="宋体" w:hAnsi="宋体" w:cs="宋体"/>
                <w:color w:val="auto"/>
                <w:highlight w:val="none"/>
              </w:rPr>
              <w:t>一般造价咨询内容</w:t>
            </w:r>
          </w:p>
        </w:tc>
        <w:tc>
          <w:tcPr>
            <w:tcW w:w="1500" w:type="dxa"/>
            <w:noWrap w:val="0"/>
            <w:vAlign w:val="center"/>
          </w:tcPr>
          <w:p w14:paraId="3DB5F439">
            <w:pPr>
              <w:rPr>
                <w:rFonts w:ascii="宋体" w:hAnsi="宋体" w:cs="宋体"/>
                <w:color w:val="auto"/>
                <w:highlight w:val="none"/>
              </w:rPr>
            </w:pPr>
            <w:r>
              <w:rPr>
                <w:rFonts w:hint="eastAsia" w:ascii="宋体" w:hAnsi="宋体" w:cs="宋体"/>
                <w:color w:val="auto"/>
                <w:highlight w:val="none"/>
              </w:rPr>
              <w:t>3个工作日</w:t>
            </w:r>
          </w:p>
        </w:tc>
        <w:tc>
          <w:tcPr>
            <w:tcW w:w="3457" w:type="dxa"/>
            <w:tcBorders>
              <w:right w:val="single" w:color="auto" w:sz="4" w:space="0"/>
            </w:tcBorders>
            <w:noWrap w:val="0"/>
            <w:vAlign w:val="center"/>
          </w:tcPr>
          <w:p w14:paraId="3C8312A0">
            <w:pPr>
              <w:jc w:val="left"/>
              <w:rPr>
                <w:rFonts w:ascii="宋体" w:hAnsi="宋体" w:cs="宋体"/>
                <w:color w:val="auto"/>
                <w:highlight w:val="none"/>
              </w:rPr>
            </w:pPr>
            <w:r>
              <w:rPr>
                <w:rFonts w:hint="eastAsia" w:ascii="宋体" w:hAnsi="宋体" w:cs="宋体"/>
                <w:color w:val="auto"/>
                <w:highlight w:val="none"/>
              </w:rPr>
              <w:t>可以通过快递方式递交成果</w:t>
            </w:r>
          </w:p>
        </w:tc>
        <w:tc>
          <w:tcPr>
            <w:tcW w:w="1512" w:type="dxa"/>
            <w:tcBorders>
              <w:left w:val="single" w:color="auto" w:sz="4" w:space="0"/>
            </w:tcBorders>
            <w:noWrap w:val="0"/>
            <w:vAlign w:val="center"/>
          </w:tcPr>
          <w:p w14:paraId="752234B5">
            <w:pPr>
              <w:jc w:val="center"/>
              <w:rPr>
                <w:rFonts w:ascii="宋体" w:hAnsi="宋体" w:cs="宋体"/>
                <w:color w:val="auto"/>
                <w:highlight w:val="none"/>
              </w:rPr>
            </w:pPr>
            <w:r>
              <w:rPr>
                <w:rFonts w:hint="eastAsia" w:ascii="宋体" w:hAnsi="宋体" w:cs="宋体"/>
                <w:color w:val="auto"/>
                <w:highlight w:val="none"/>
              </w:rPr>
              <w:t>审核意见</w:t>
            </w:r>
          </w:p>
        </w:tc>
      </w:tr>
      <w:tr w14:paraId="233665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6" w:hRule="atLeast"/>
          <w:jc w:val="center"/>
        </w:trPr>
        <w:tc>
          <w:tcPr>
            <w:tcW w:w="2789" w:type="dxa"/>
            <w:noWrap w:val="0"/>
            <w:vAlign w:val="center"/>
          </w:tcPr>
          <w:p w14:paraId="5FE15099">
            <w:pPr>
              <w:ind w:firstLine="420" w:firstLineChars="200"/>
              <w:rPr>
                <w:rFonts w:ascii="宋体" w:hAnsi="宋体" w:cs="宋体"/>
                <w:color w:val="auto"/>
                <w:highlight w:val="none"/>
              </w:rPr>
            </w:pPr>
            <w:r>
              <w:rPr>
                <w:rFonts w:hint="eastAsia" w:ascii="宋体" w:hAnsi="宋体" w:cs="宋体"/>
                <w:color w:val="auto"/>
                <w:highlight w:val="none"/>
              </w:rPr>
              <w:t>重要造价咨询内容</w:t>
            </w:r>
          </w:p>
        </w:tc>
        <w:tc>
          <w:tcPr>
            <w:tcW w:w="1500" w:type="dxa"/>
            <w:noWrap w:val="0"/>
            <w:vAlign w:val="center"/>
          </w:tcPr>
          <w:p w14:paraId="1E33D154">
            <w:pPr>
              <w:rPr>
                <w:rFonts w:ascii="宋体" w:hAnsi="宋体" w:cs="宋体"/>
                <w:color w:val="auto"/>
                <w:highlight w:val="none"/>
              </w:rPr>
            </w:pPr>
            <w:r>
              <w:rPr>
                <w:rFonts w:hint="eastAsia" w:ascii="宋体" w:hAnsi="宋体" w:cs="宋体"/>
                <w:color w:val="auto"/>
                <w:highlight w:val="none"/>
              </w:rPr>
              <w:t>7个工作日</w:t>
            </w:r>
          </w:p>
        </w:tc>
        <w:tc>
          <w:tcPr>
            <w:tcW w:w="3457" w:type="dxa"/>
            <w:tcBorders>
              <w:right w:val="single" w:color="auto" w:sz="4" w:space="0"/>
            </w:tcBorders>
            <w:noWrap w:val="0"/>
            <w:vAlign w:val="center"/>
          </w:tcPr>
          <w:p w14:paraId="0F955114">
            <w:pPr>
              <w:jc w:val="left"/>
              <w:rPr>
                <w:rFonts w:ascii="宋体" w:hAnsi="宋体" w:cs="宋体"/>
                <w:color w:val="auto"/>
                <w:highlight w:val="none"/>
              </w:rPr>
            </w:pPr>
            <w:r>
              <w:rPr>
                <w:rFonts w:hint="eastAsia" w:ascii="宋体" w:hAnsi="宋体" w:cs="宋体"/>
                <w:color w:val="auto"/>
                <w:highlight w:val="none"/>
              </w:rPr>
              <w:t>必要时施工方、委托人予以配合</w:t>
            </w:r>
          </w:p>
        </w:tc>
        <w:tc>
          <w:tcPr>
            <w:tcW w:w="1512" w:type="dxa"/>
            <w:tcBorders>
              <w:left w:val="single" w:color="auto" w:sz="4" w:space="0"/>
            </w:tcBorders>
            <w:noWrap w:val="0"/>
            <w:vAlign w:val="center"/>
          </w:tcPr>
          <w:p w14:paraId="3BF4089C">
            <w:pPr>
              <w:jc w:val="center"/>
              <w:rPr>
                <w:rFonts w:ascii="宋体" w:hAnsi="宋体" w:cs="宋体"/>
                <w:color w:val="auto"/>
                <w:highlight w:val="none"/>
              </w:rPr>
            </w:pPr>
            <w:r>
              <w:rPr>
                <w:rFonts w:hint="eastAsia" w:ascii="宋体" w:hAnsi="宋体" w:cs="宋体"/>
                <w:color w:val="auto"/>
                <w:highlight w:val="none"/>
              </w:rPr>
              <w:t>审核意见</w:t>
            </w:r>
          </w:p>
        </w:tc>
      </w:tr>
      <w:tr w14:paraId="0457FE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6" w:hRule="atLeast"/>
          <w:jc w:val="center"/>
        </w:trPr>
        <w:tc>
          <w:tcPr>
            <w:tcW w:w="2789" w:type="dxa"/>
            <w:noWrap w:val="0"/>
            <w:vAlign w:val="center"/>
          </w:tcPr>
          <w:p w14:paraId="21633660">
            <w:pPr>
              <w:ind w:firstLine="420" w:firstLineChars="200"/>
              <w:rPr>
                <w:rFonts w:ascii="宋体" w:hAnsi="宋体" w:cs="宋体"/>
                <w:color w:val="auto"/>
                <w:highlight w:val="none"/>
              </w:rPr>
            </w:pPr>
            <w:r>
              <w:rPr>
                <w:rFonts w:hint="eastAsia" w:ascii="宋体" w:hAnsi="宋体" w:cs="宋体"/>
                <w:color w:val="auto"/>
                <w:highlight w:val="none"/>
              </w:rPr>
              <w:t>中间计量支付审核</w:t>
            </w:r>
          </w:p>
        </w:tc>
        <w:tc>
          <w:tcPr>
            <w:tcW w:w="1500" w:type="dxa"/>
            <w:noWrap w:val="0"/>
            <w:vAlign w:val="center"/>
          </w:tcPr>
          <w:p w14:paraId="0FB2643F">
            <w:pPr>
              <w:rPr>
                <w:rFonts w:ascii="宋体" w:hAnsi="宋体" w:cs="宋体"/>
                <w:color w:val="auto"/>
                <w:highlight w:val="none"/>
              </w:rPr>
            </w:pPr>
            <w:r>
              <w:rPr>
                <w:rFonts w:hint="eastAsia" w:ascii="宋体" w:hAnsi="宋体" w:cs="宋体"/>
                <w:color w:val="auto"/>
                <w:highlight w:val="none"/>
              </w:rPr>
              <w:t>5个工作日</w:t>
            </w:r>
          </w:p>
        </w:tc>
        <w:tc>
          <w:tcPr>
            <w:tcW w:w="3457" w:type="dxa"/>
            <w:tcBorders>
              <w:right w:val="single" w:color="auto" w:sz="4" w:space="0"/>
            </w:tcBorders>
            <w:noWrap w:val="0"/>
            <w:vAlign w:val="center"/>
          </w:tcPr>
          <w:p w14:paraId="0B172026">
            <w:pPr>
              <w:jc w:val="left"/>
              <w:rPr>
                <w:rFonts w:ascii="宋体" w:hAnsi="宋体" w:cs="宋体"/>
                <w:color w:val="auto"/>
                <w:highlight w:val="none"/>
              </w:rPr>
            </w:pPr>
            <w:r>
              <w:rPr>
                <w:rFonts w:hint="eastAsia" w:ascii="宋体" w:hAnsi="宋体" w:cs="宋体"/>
                <w:color w:val="auto"/>
                <w:highlight w:val="none"/>
              </w:rPr>
              <w:t>必要时施工方、委托人予以配合</w:t>
            </w:r>
          </w:p>
        </w:tc>
        <w:tc>
          <w:tcPr>
            <w:tcW w:w="1512" w:type="dxa"/>
            <w:tcBorders>
              <w:left w:val="single" w:color="auto" w:sz="4" w:space="0"/>
            </w:tcBorders>
            <w:noWrap w:val="0"/>
            <w:vAlign w:val="center"/>
          </w:tcPr>
          <w:p w14:paraId="0A6BDBCA">
            <w:pPr>
              <w:jc w:val="center"/>
              <w:rPr>
                <w:rFonts w:ascii="宋体" w:hAnsi="宋体" w:cs="宋体"/>
                <w:color w:val="auto"/>
                <w:highlight w:val="none"/>
              </w:rPr>
            </w:pPr>
            <w:r>
              <w:rPr>
                <w:rFonts w:hint="eastAsia" w:ascii="宋体" w:hAnsi="宋体" w:cs="宋体"/>
                <w:color w:val="auto"/>
                <w:highlight w:val="none"/>
              </w:rPr>
              <w:t>审核意见</w:t>
            </w:r>
          </w:p>
        </w:tc>
      </w:tr>
      <w:tr w14:paraId="61620C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6" w:hRule="atLeast"/>
          <w:jc w:val="center"/>
        </w:trPr>
        <w:tc>
          <w:tcPr>
            <w:tcW w:w="2789" w:type="dxa"/>
            <w:noWrap w:val="0"/>
            <w:vAlign w:val="center"/>
          </w:tcPr>
          <w:p w14:paraId="3EAA49A9">
            <w:pPr>
              <w:ind w:firstLine="420" w:firstLineChars="200"/>
              <w:rPr>
                <w:rFonts w:ascii="宋体" w:hAnsi="宋体" w:cs="宋体"/>
                <w:color w:val="auto"/>
                <w:highlight w:val="none"/>
              </w:rPr>
            </w:pPr>
            <w:r>
              <w:rPr>
                <w:rFonts w:hint="eastAsia" w:ascii="宋体" w:hAnsi="宋体" w:cs="宋体"/>
                <w:color w:val="auto"/>
                <w:highlight w:val="none"/>
              </w:rPr>
              <w:t>一般工程变更审核</w:t>
            </w:r>
          </w:p>
        </w:tc>
        <w:tc>
          <w:tcPr>
            <w:tcW w:w="1500" w:type="dxa"/>
            <w:noWrap w:val="0"/>
            <w:vAlign w:val="center"/>
          </w:tcPr>
          <w:p w14:paraId="2B86E185">
            <w:pPr>
              <w:rPr>
                <w:rFonts w:ascii="宋体" w:hAnsi="宋体" w:cs="宋体"/>
                <w:color w:val="auto"/>
                <w:highlight w:val="none"/>
              </w:rPr>
            </w:pPr>
            <w:r>
              <w:rPr>
                <w:rFonts w:hint="eastAsia" w:ascii="宋体" w:hAnsi="宋体" w:cs="宋体"/>
                <w:color w:val="auto"/>
                <w:highlight w:val="none"/>
              </w:rPr>
              <w:t>3个工作日</w:t>
            </w:r>
          </w:p>
        </w:tc>
        <w:tc>
          <w:tcPr>
            <w:tcW w:w="3457" w:type="dxa"/>
            <w:tcBorders>
              <w:right w:val="single" w:color="auto" w:sz="4" w:space="0"/>
            </w:tcBorders>
            <w:noWrap w:val="0"/>
            <w:vAlign w:val="center"/>
          </w:tcPr>
          <w:p w14:paraId="0299933A">
            <w:pPr>
              <w:jc w:val="left"/>
              <w:rPr>
                <w:rFonts w:ascii="宋体" w:hAnsi="宋体" w:cs="宋体"/>
                <w:color w:val="auto"/>
                <w:highlight w:val="none"/>
              </w:rPr>
            </w:pPr>
            <w:r>
              <w:rPr>
                <w:rFonts w:hint="eastAsia" w:ascii="宋体" w:hAnsi="宋体" w:cs="宋体"/>
                <w:color w:val="auto"/>
                <w:highlight w:val="none"/>
              </w:rPr>
              <w:t>必要时施工方、委托人予以配合</w:t>
            </w:r>
          </w:p>
        </w:tc>
        <w:tc>
          <w:tcPr>
            <w:tcW w:w="1512" w:type="dxa"/>
            <w:tcBorders>
              <w:left w:val="single" w:color="auto" w:sz="4" w:space="0"/>
            </w:tcBorders>
            <w:noWrap w:val="0"/>
            <w:vAlign w:val="center"/>
          </w:tcPr>
          <w:p w14:paraId="5D1B865D">
            <w:pPr>
              <w:jc w:val="center"/>
              <w:rPr>
                <w:rFonts w:ascii="宋体" w:hAnsi="宋体" w:cs="宋体"/>
                <w:color w:val="auto"/>
                <w:highlight w:val="none"/>
              </w:rPr>
            </w:pPr>
            <w:r>
              <w:rPr>
                <w:rFonts w:hint="eastAsia" w:ascii="宋体" w:hAnsi="宋体" w:cs="宋体"/>
                <w:color w:val="auto"/>
                <w:highlight w:val="none"/>
              </w:rPr>
              <w:t>审核意见</w:t>
            </w:r>
          </w:p>
        </w:tc>
      </w:tr>
      <w:tr w14:paraId="281CA8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22" w:hRule="atLeast"/>
          <w:jc w:val="center"/>
        </w:trPr>
        <w:tc>
          <w:tcPr>
            <w:tcW w:w="2789" w:type="dxa"/>
            <w:noWrap w:val="0"/>
            <w:vAlign w:val="center"/>
          </w:tcPr>
          <w:p w14:paraId="2A665F1E">
            <w:pPr>
              <w:jc w:val="center"/>
              <w:rPr>
                <w:rFonts w:ascii="宋体" w:hAnsi="宋体" w:cs="宋体"/>
                <w:color w:val="auto"/>
                <w:highlight w:val="none"/>
              </w:rPr>
            </w:pPr>
            <w:r>
              <w:rPr>
                <w:rFonts w:hint="eastAsia" w:ascii="宋体" w:hAnsi="宋体" w:cs="宋体"/>
                <w:color w:val="auto"/>
                <w:highlight w:val="none"/>
              </w:rPr>
              <w:t>较大工程变更审核</w:t>
            </w:r>
          </w:p>
        </w:tc>
        <w:tc>
          <w:tcPr>
            <w:tcW w:w="1500" w:type="dxa"/>
            <w:noWrap w:val="0"/>
            <w:vAlign w:val="center"/>
          </w:tcPr>
          <w:p w14:paraId="2ED6E758">
            <w:pPr>
              <w:rPr>
                <w:rFonts w:ascii="宋体" w:hAnsi="宋体" w:cs="宋体"/>
                <w:color w:val="auto"/>
                <w:highlight w:val="none"/>
              </w:rPr>
            </w:pPr>
            <w:r>
              <w:rPr>
                <w:rFonts w:hint="eastAsia" w:ascii="宋体" w:hAnsi="宋体" w:cs="宋体"/>
                <w:color w:val="auto"/>
                <w:highlight w:val="none"/>
              </w:rPr>
              <w:t>10个工作日</w:t>
            </w:r>
          </w:p>
        </w:tc>
        <w:tc>
          <w:tcPr>
            <w:tcW w:w="3457" w:type="dxa"/>
            <w:tcBorders>
              <w:right w:val="single" w:color="auto" w:sz="4" w:space="0"/>
            </w:tcBorders>
            <w:noWrap w:val="0"/>
            <w:vAlign w:val="center"/>
          </w:tcPr>
          <w:p w14:paraId="1AB96F0F">
            <w:pPr>
              <w:jc w:val="left"/>
              <w:rPr>
                <w:rFonts w:ascii="宋体" w:hAnsi="宋体" w:cs="宋体"/>
                <w:color w:val="auto"/>
                <w:highlight w:val="none"/>
              </w:rPr>
            </w:pPr>
            <w:r>
              <w:rPr>
                <w:rFonts w:hint="eastAsia" w:ascii="宋体" w:hAnsi="宋体" w:cs="宋体"/>
                <w:color w:val="auto"/>
                <w:highlight w:val="none"/>
              </w:rPr>
              <w:t>必要时施工方、委托人予以配合，需上级主管部门审批，特殊情况经与委托人协商，可以延长到15个日历天。</w:t>
            </w:r>
          </w:p>
        </w:tc>
        <w:tc>
          <w:tcPr>
            <w:tcW w:w="1512" w:type="dxa"/>
            <w:tcBorders>
              <w:left w:val="single" w:color="auto" w:sz="4" w:space="0"/>
            </w:tcBorders>
            <w:noWrap w:val="0"/>
            <w:vAlign w:val="center"/>
          </w:tcPr>
          <w:p w14:paraId="3FFEEF61">
            <w:pPr>
              <w:jc w:val="center"/>
              <w:rPr>
                <w:rFonts w:ascii="宋体" w:hAnsi="宋体" w:cs="宋体"/>
                <w:color w:val="auto"/>
                <w:highlight w:val="none"/>
              </w:rPr>
            </w:pPr>
            <w:r>
              <w:rPr>
                <w:rFonts w:hint="eastAsia" w:ascii="宋体" w:hAnsi="宋体" w:cs="宋体"/>
                <w:color w:val="auto"/>
                <w:highlight w:val="none"/>
              </w:rPr>
              <w:t>审核意见</w:t>
            </w:r>
          </w:p>
        </w:tc>
      </w:tr>
      <w:tr w14:paraId="7CFAFB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7" w:hRule="atLeast"/>
          <w:jc w:val="center"/>
        </w:trPr>
        <w:tc>
          <w:tcPr>
            <w:tcW w:w="2789" w:type="dxa"/>
            <w:noWrap w:val="0"/>
            <w:vAlign w:val="center"/>
          </w:tcPr>
          <w:p w14:paraId="14BCC787">
            <w:pPr>
              <w:jc w:val="center"/>
              <w:rPr>
                <w:rFonts w:ascii="宋体" w:hAnsi="宋体" w:cs="宋体"/>
                <w:color w:val="auto"/>
                <w:highlight w:val="none"/>
              </w:rPr>
            </w:pPr>
            <w:r>
              <w:rPr>
                <w:rFonts w:hint="eastAsia" w:ascii="宋体" w:hAnsi="宋体" w:cs="宋体"/>
                <w:color w:val="auto"/>
                <w:highlight w:val="none"/>
              </w:rPr>
              <w:t>出具阶段性进度款审核意见书</w:t>
            </w:r>
          </w:p>
        </w:tc>
        <w:tc>
          <w:tcPr>
            <w:tcW w:w="1500" w:type="dxa"/>
            <w:noWrap w:val="0"/>
            <w:vAlign w:val="center"/>
          </w:tcPr>
          <w:p w14:paraId="2E9C09CF">
            <w:pPr>
              <w:rPr>
                <w:rFonts w:ascii="宋体" w:hAnsi="宋体" w:cs="宋体"/>
                <w:color w:val="auto"/>
                <w:highlight w:val="none"/>
              </w:rPr>
            </w:pPr>
            <w:r>
              <w:rPr>
                <w:rFonts w:hint="eastAsia" w:ascii="宋体" w:hAnsi="宋体" w:cs="宋体"/>
                <w:color w:val="auto"/>
                <w:highlight w:val="none"/>
              </w:rPr>
              <w:t>阶段任务完成20个日历天</w:t>
            </w:r>
          </w:p>
        </w:tc>
        <w:tc>
          <w:tcPr>
            <w:tcW w:w="3457" w:type="dxa"/>
            <w:tcBorders>
              <w:right w:val="single" w:color="auto" w:sz="4" w:space="0"/>
            </w:tcBorders>
            <w:noWrap w:val="0"/>
            <w:vAlign w:val="center"/>
          </w:tcPr>
          <w:p w14:paraId="7168C9F1">
            <w:pPr>
              <w:jc w:val="left"/>
              <w:rPr>
                <w:rFonts w:ascii="宋体" w:hAnsi="宋体" w:cs="宋体"/>
                <w:color w:val="auto"/>
                <w:highlight w:val="none"/>
              </w:rPr>
            </w:pPr>
            <w:r>
              <w:rPr>
                <w:rFonts w:hint="eastAsia" w:ascii="宋体" w:hAnsi="宋体" w:cs="宋体"/>
                <w:color w:val="auto"/>
                <w:highlight w:val="none"/>
              </w:rPr>
              <w:t>相关方提供资料之日起算</w:t>
            </w:r>
          </w:p>
        </w:tc>
        <w:tc>
          <w:tcPr>
            <w:tcW w:w="1512" w:type="dxa"/>
            <w:tcBorders>
              <w:left w:val="single" w:color="auto" w:sz="4" w:space="0"/>
            </w:tcBorders>
            <w:noWrap w:val="0"/>
            <w:vAlign w:val="center"/>
          </w:tcPr>
          <w:p w14:paraId="659CD14B">
            <w:pPr>
              <w:jc w:val="center"/>
              <w:rPr>
                <w:rFonts w:ascii="宋体" w:hAnsi="宋体" w:cs="宋体"/>
                <w:color w:val="auto"/>
                <w:highlight w:val="none"/>
              </w:rPr>
            </w:pPr>
            <w:r>
              <w:rPr>
                <w:rFonts w:hint="eastAsia" w:ascii="宋体" w:hAnsi="宋体" w:cs="宋体"/>
                <w:color w:val="auto"/>
                <w:highlight w:val="none"/>
              </w:rPr>
              <w:t>审核意见</w:t>
            </w:r>
          </w:p>
        </w:tc>
      </w:tr>
    </w:tbl>
    <w:p w14:paraId="60E0F189">
      <w:pPr>
        <w:adjustRightInd w:val="0"/>
        <w:snapToGrid w:val="0"/>
        <w:spacing w:line="360" w:lineRule="auto"/>
        <w:ind w:firstLine="420" w:firstLineChars="200"/>
        <w:jc w:val="left"/>
        <w:rPr>
          <w:rFonts w:ascii="宋体" w:hAnsi="宋体" w:cs="宋体"/>
          <w:color w:val="auto"/>
          <w:highlight w:val="none"/>
          <w:u w:val="single"/>
        </w:rPr>
      </w:pPr>
      <w:r>
        <w:rPr>
          <w:rFonts w:hint="eastAsia" w:ascii="宋体" w:hAnsi="宋体" w:cs="宋体"/>
          <w:color w:val="auto"/>
          <w:highlight w:val="none"/>
          <w:u w:val="single"/>
        </w:rPr>
        <w:t>注：如委托方有特殊时间节点要求，以委托方要求时间节点为准，在委托方要求的时间内提供相应的成果报告。</w:t>
      </w:r>
    </w:p>
    <w:p w14:paraId="18929BB1">
      <w:pPr>
        <w:adjustRightInd w:val="0"/>
        <w:snapToGrid w:val="0"/>
        <w:spacing w:line="360" w:lineRule="auto"/>
        <w:ind w:firstLine="420" w:firstLineChars="200"/>
        <w:jc w:val="left"/>
        <w:rPr>
          <w:rFonts w:hint="eastAsia" w:ascii="宋体" w:hAnsi="宋体" w:cs="宋体"/>
          <w:color w:val="auto"/>
          <w:highlight w:val="none"/>
          <w:u w:val="single"/>
        </w:rPr>
      </w:pPr>
      <w:r>
        <w:rPr>
          <w:rFonts w:hint="eastAsia" w:ascii="宋体" w:hAnsi="宋体" w:cs="宋体"/>
          <w:color w:val="auto"/>
          <w:highlight w:val="none"/>
          <w:u w:val="single"/>
        </w:rPr>
        <w:t>（2）工程价款审核意见书完成时间</w:t>
      </w:r>
    </w:p>
    <w:p w14:paraId="3F59EE05">
      <w:pPr>
        <w:adjustRightInd w:val="0"/>
        <w:snapToGrid w:val="0"/>
        <w:spacing w:line="360" w:lineRule="auto"/>
        <w:ind w:firstLine="420" w:firstLineChars="200"/>
        <w:jc w:val="left"/>
        <w:rPr>
          <w:rFonts w:hint="eastAsia" w:ascii="宋体" w:hAnsi="宋体" w:cs="宋体"/>
          <w:color w:val="auto"/>
          <w:highlight w:val="none"/>
          <w:u w:val="single"/>
        </w:rPr>
      </w:pPr>
      <w:r>
        <w:rPr>
          <w:rFonts w:hint="eastAsia" w:ascii="宋体" w:hAnsi="宋体" w:cs="宋体"/>
          <w:color w:val="auto"/>
          <w:highlight w:val="none"/>
          <w:u w:val="single"/>
        </w:rPr>
        <w:t>自委托人提供完整资料之日起，咨询人应在3日内完成并出具审核报告，委托人、监理方、施工方应予积极配合。</w:t>
      </w:r>
    </w:p>
    <w:tbl>
      <w:tblPr>
        <w:tblStyle w:val="52"/>
        <w:tblW w:w="935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127"/>
        <w:gridCol w:w="2268"/>
        <w:gridCol w:w="2551"/>
        <w:gridCol w:w="2410"/>
      </w:tblGrid>
      <w:tr w14:paraId="6E57EB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2127" w:type="dxa"/>
            <w:noWrap w:val="0"/>
            <w:vAlign w:val="center"/>
          </w:tcPr>
          <w:p w14:paraId="6C73B83E">
            <w:pPr>
              <w:widowControl/>
              <w:jc w:val="center"/>
              <w:rPr>
                <w:rFonts w:ascii="宋体" w:hAnsi="Times New Roman" w:eastAsia="宋体" w:cs="Times New Roman"/>
                <w:color w:val="auto"/>
                <w:highlight w:val="none"/>
              </w:rPr>
            </w:pPr>
            <w:r>
              <w:rPr>
                <w:rFonts w:hint="eastAsia" w:ascii="宋体" w:hAnsi="宋体" w:eastAsia="宋体" w:cs="宋体"/>
                <w:color w:val="auto"/>
                <w:highlight w:val="none"/>
              </w:rPr>
              <w:t>咨询造价</w:t>
            </w:r>
          </w:p>
        </w:tc>
        <w:tc>
          <w:tcPr>
            <w:tcW w:w="2268" w:type="dxa"/>
            <w:noWrap w:val="0"/>
            <w:vAlign w:val="center"/>
          </w:tcPr>
          <w:p w14:paraId="7C0399F3">
            <w:pPr>
              <w:widowControl/>
              <w:jc w:val="center"/>
              <w:rPr>
                <w:rFonts w:ascii="宋体" w:hAnsi="Times New Roman" w:eastAsia="宋体" w:cs="Times New Roman"/>
                <w:color w:val="auto"/>
                <w:highlight w:val="none"/>
              </w:rPr>
            </w:pPr>
            <w:r>
              <w:rPr>
                <w:rFonts w:hint="eastAsia" w:ascii="宋体" w:hAnsi="宋体" w:eastAsia="宋体" w:cs="宋体"/>
                <w:color w:val="auto"/>
                <w:highlight w:val="none"/>
              </w:rPr>
              <w:t>完成审核初稿时间</w:t>
            </w:r>
          </w:p>
        </w:tc>
        <w:tc>
          <w:tcPr>
            <w:tcW w:w="2551" w:type="dxa"/>
            <w:noWrap w:val="0"/>
            <w:vAlign w:val="center"/>
          </w:tcPr>
          <w:p w14:paraId="2DFD9EDD">
            <w:pPr>
              <w:widowControl/>
              <w:jc w:val="center"/>
              <w:rPr>
                <w:rFonts w:ascii="宋体" w:hAnsi="Times New Roman" w:eastAsia="宋体" w:cs="Times New Roman"/>
                <w:color w:val="auto"/>
                <w:highlight w:val="none"/>
              </w:rPr>
            </w:pPr>
            <w:r>
              <w:rPr>
                <w:rFonts w:hint="eastAsia" w:ascii="宋体" w:hAnsi="宋体" w:eastAsia="宋体" w:cs="宋体"/>
                <w:color w:val="auto"/>
                <w:highlight w:val="none"/>
              </w:rPr>
              <w:t>委托人组织完成核对时间</w:t>
            </w:r>
          </w:p>
        </w:tc>
        <w:tc>
          <w:tcPr>
            <w:tcW w:w="2410" w:type="dxa"/>
            <w:noWrap w:val="0"/>
            <w:vAlign w:val="center"/>
          </w:tcPr>
          <w:p w14:paraId="362DE9F1">
            <w:pPr>
              <w:widowControl/>
              <w:jc w:val="center"/>
              <w:rPr>
                <w:rFonts w:ascii="宋体" w:hAnsi="Times New Roman" w:eastAsia="宋体" w:cs="Times New Roman"/>
                <w:color w:val="auto"/>
                <w:highlight w:val="none"/>
              </w:rPr>
            </w:pPr>
            <w:r>
              <w:rPr>
                <w:rFonts w:hint="eastAsia" w:ascii="宋体" w:hAnsi="宋体" w:eastAsia="宋体" w:cs="宋体"/>
                <w:color w:val="auto"/>
                <w:highlight w:val="none"/>
              </w:rPr>
              <w:t>出具正式审核意见书/报告时间</w:t>
            </w:r>
          </w:p>
        </w:tc>
      </w:tr>
      <w:tr w14:paraId="5BD0E9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7" w:hRule="atLeast"/>
          <w:jc w:val="center"/>
        </w:trPr>
        <w:tc>
          <w:tcPr>
            <w:tcW w:w="2127" w:type="dxa"/>
            <w:noWrap w:val="0"/>
            <w:vAlign w:val="center"/>
          </w:tcPr>
          <w:p w14:paraId="2F8029CC">
            <w:pPr>
              <w:widowControl/>
              <w:jc w:val="center"/>
              <w:rPr>
                <w:rFonts w:ascii="宋体" w:hAnsi="Times New Roman" w:eastAsia="宋体" w:cs="Times New Roman"/>
                <w:color w:val="auto"/>
                <w:highlight w:val="none"/>
              </w:rPr>
            </w:pPr>
            <w:r>
              <w:rPr>
                <w:rFonts w:ascii="宋体" w:hAnsi="宋体" w:eastAsia="宋体" w:cs="宋体"/>
                <w:color w:val="auto"/>
                <w:highlight w:val="none"/>
              </w:rPr>
              <w:t>2000</w:t>
            </w:r>
            <w:r>
              <w:rPr>
                <w:rFonts w:hint="eastAsia" w:ascii="宋体" w:hAnsi="宋体" w:eastAsia="宋体" w:cs="宋体"/>
                <w:color w:val="auto"/>
                <w:highlight w:val="none"/>
              </w:rPr>
              <w:t>万元（含）以内</w:t>
            </w:r>
          </w:p>
        </w:tc>
        <w:tc>
          <w:tcPr>
            <w:tcW w:w="2268" w:type="dxa"/>
            <w:noWrap w:val="0"/>
            <w:vAlign w:val="center"/>
          </w:tcPr>
          <w:p w14:paraId="7BBFB067">
            <w:pPr>
              <w:widowControl/>
              <w:jc w:val="center"/>
              <w:rPr>
                <w:rFonts w:ascii="宋体" w:hAnsi="Times New Roman" w:eastAsia="宋体" w:cs="Times New Roman"/>
                <w:color w:val="auto"/>
                <w:highlight w:val="none"/>
              </w:rPr>
            </w:pPr>
            <w:r>
              <w:rPr>
                <w:rFonts w:hint="eastAsia" w:ascii="宋体" w:hAnsi="宋体" w:eastAsia="宋体" w:cs="宋体"/>
                <w:color w:val="auto"/>
                <w:highlight w:val="none"/>
              </w:rPr>
              <w:t>3个日历天</w:t>
            </w:r>
          </w:p>
        </w:tc>
        <w:tc>
          <w:tcPr>
            <w:tcW w:w="2551" w:type="dxa"/>
            <w:noWrap w:val="0"/>
            <w:vAlign w:val="center"/>
          </w:tcPr>
          <w:p w14:paraId="016F36E0">
            <w:pPr>
              <w:widowControl/>
              <w:jc w:val="center"/>
              <w:rPr>
                <w:rFonts w:ascii="宋体" w:hAnsi="Times New Roman" w:eastAsia="宋体" w:cs="Times New Roman"/>
                <w:color w:val="auto"/>
                <w:highlight w:val="none"/>
              </w:rPr>
            </w:pPr>
            <w:r>
              <w:rPr>
                <w:rFonts w:hint="eastAsia" w:ascii="宋体" w:hAnsi="宋体" w:eastAsia="宋体" w:cs="宋体"/>
                <w:color w:val="auto"/>
                <w:highlight w:val="none"/>
              </w:rPr>
              <w:t>10个日历天</w:t>
            </w:r>
          </w:p>
        </w:tc>
        <w:tc>
          <w:tcPr>
            <w:tcW w:w="2410" w:type="dxa"/>
            <w:noWrap w:val="0"/>
            <w:vAlign w:val="center"/>
          </w:tcPr>
          <w:p w14:paraId="09A17DD3">
            <w:pPr>
              <w:widowControl/>
              <w:jc w:val="center"/>
              <w:rPr>
                <w:rFonts w:ascii="宋体" w:hAnsi="Times New Roman" w:eastAsia="宋体" w:cs="Times New Roman"/>
                <w:color w:val="auto"/>
                <w:highlight w:val="none"/>
              </w:rPr>
            </w:pPr>
            <w:r>
              <w:rPr>
                <w:rFonts w:hint="eastAsia" w:ascii="宋体" w:hAnsi="宋体" w:eastAsia="宋体" w:cs="宋体"/>
                <w:color w:val="auto"/>
                <w:highlight w:val="none"/>
              </w:rPr>
              <w:t>2个日历天</w:t>
            </w:r>
          </w:p>
        </w:tc>
      </w:tr>
      <w:tr w14:paraId="12F795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7" w:hRule="atLeast"/>
          <w:jc w:val="center"/>
        </w:trPr>
        <w:tc>
          <w:tcPr>
            <w:tcW w:w="2127" w:type="dxa"/>
            <w:noWrap w:val="0"/>
            <w:vAlign w:val="center"/>
          </w:tcPr>
          <w:p w14:paraId="2EC9BC13">
            <w:pPr>
              <w:widowControl/>
              <w:jc w:val="center"/>
              <w:rPr>
                <w:rFonts w:ascii="宋体" w:hAnsi="Times New Roman" w:eastAsia="宋体" w:cs="Times New Roman"/>
                <w:color w:val="auto"/>
                <w:highlight w:val="none"/>
              </w:rPr>
            </w:pPr>
            <w:r>
              <w:rPr>
                <w:rFonts w:ascii="宋体" w:hAnsi="宋体" w:eastAsia="宋体" w:cs="宋体"/>
                <w:color w:val="auto"/>
                <w:highlight w:val="none"/>
              </w:rPr>
              <w:t>2000</w:t>
            </w:r>
            <w:r>
              <w:rPr>
                <w:rFonts w:hint="eastAsia" w:ascii="宋体" w:hAnsi="宋体" w:eastAsia="宋体" w:cs="宋体"/>
                <w:color w:val="auto"/>
                <w:highlight w:val="none"/>
              </w:rPr>
              <w:t>万元以上</w:t>
            </w:r>
          </w:p>
        </w:tc>
        <w:tc>
          <w:tcPr>
            <w:tcW w:w="2268" w:type="dxa"/>
            <w:noWrap w:val="0"/>
            <w:vAlign w:val="center"/>
          </w:tcPr>
          <w:p w14:paraId="08047F68">
            <w:pPr>
              <w:widowControl/>
              <w:jc w:val="center"/>
              <w:rPr>
                <w:rFonts w:ascii="宋体" w:hAnsi="Times New Roman" w:eastAsia="宋体" w:cs="Times New Roman"/>
                <w:color w:val="auto"/>
                <w:highlight w:val="none"/>
              </w:rPr>
            </w:pPr>
            <w:r>
              <w:rPr>
                <w:rFonts w:hint="eastAsia" w:ascii="宋体" w:hAnsi="宋体" w:eastAsia="宋体" w:cs="宋体"/>
                <w:color w:val="auto"/>
                <w:highlight w:val="none"/>
              </w:rPr>
              <w:t>5个日历天</w:t>
            </w:r>
          </w:p>
        </w:tc>
        <w:tc>
          <w:tcPr>
            <w:tcW w:w="2551" w:type="dxa"/>
            <w:noWrap w:val="0"/>
            <w:vAlign w:val="center"/>
          </w:tcPr>
          <w:p w14:paraId="140829B4">
            <w:pPr>
              <w:widowControl/>
              <w:jc w:val="center"/>
              <w:rPr>
                <w:rFonts w:ascii="宋体" w:hAnsi="Times New Roman" w:eastAsia="宋体" w:cs="Times New Roman"/>
                <w:color w:val="auto"/>
                <w:highlight w:val="none"/>
              </w:rPr>
            </w:pPr>
            <w:r>
              <w:rPr>
                <w:rFonts w:hint="eastAsia" w:ascii="宋体" w:hAnsi="宋体" w:eastAsia="宋体" w:cs="宋体"/>
                <w:color w:val="auto"/>
                <w:highlight w:val="none"/>
              </w:rPr>
              <w:t>10个日历天</w:t>
            </w:r>
          </w:p>
        </w:tc>
        <w:tc>
          <w:tcPr>
            <w:tcW w:w="2410" w:type="dxa"/>
            <w:noWrap w:val="0"/>
            <w:vAlign w:val="center"/>
          </w:tcPr>
          <w:p w14:paraId="1CF5C1A7">
            <w:pPr>
              <w:widowControl/>
              <w:jc w:val="center"/>
              <w:rPr>
                <w:rFonts w:ascii="宋体" w:hAnsi="Times New Roman" w:eastAsia="宋体" w:cs="Times New Roman"/>
                <w:color w:val="auto"/>
                <w:highlight w:val="none"/>
              </w:rPr>
            </w:pPr>
            <w:r>
              <w:rPr>
                <w:rFonts w:hint="eastAsia" w:ascii="宋体" w:hAnsi="宋体" w:eastAsia="宋体" w:cs="宋体"/>
                <w:color w:val="auto"/>
                <w:highlight w:val="none"/>
              </w:rPr>
              <w:t>2个日历天</w:t>
            </w:r>
          </w:p>
        </w:tc>
      </w:tr>
    </w:tbl>
    <w:p w14:paraId="74DD0F4A">
      <w:pPr>
        <w:adjustRightInd w:val="0"/>
        <w:snapToGrid w:val="0"/>
        <w:spacing w:line="360" w:lineRule="auto"/>
        <w:ind w:firstLine="420" w:firstLineChars="200"/>
        <w:jc w:val="left"/>
        <w:rPr>
          <w:rFonts w:hint="eastAsia" w:ascii="宋体" w:hAnsi="宋体" w:cs="宋体"/>
          <w:color w:val="auto"/>
          <w:highlight w:val="none"/>
        </w:rPr>
      </w:pPr>
    </w:p>
    <w:p w14:paraId="75EACD40">
      <w:pPr>
        <w:adjustRightInd w:val="0"/>
        <w:snapToGrid w:val="0"/>
        <w:spacing w:line="360" w:lineRule="auto"/>
        <w:ind w:firstLine="420" w:firstLineChars="200"/>
        <w:jc w:val="left"/>
        <w:rPr>
          <w:rFonts w:hint="eastAsia" w:ascii="宋体" w:hAnsi="宋体" w:cs="宋体"/>
          <w:color w:val="auto"/>
          <w:highlight w:val="none"/>
        </w:rPr>
      </w:pPr>
      <w:r>
        <w:rPr>
          <w:rFonts w:hint="eastAsia" w:ascii="宋体" w:hAnsi="宋体" w:cs="宋体"/>
          <w:color w:val="auto"/>
          <w:highlight w:val="none"/>
        </w:rPr>
        <w:t>（3）提供完整的报告及各项费用汇总表完成时间：</w:t>
      </w:r>
    </w:p>
    <w:p w14:paraId="2DC2FCC1">
      <w:pPr>
        <w:adjustRightInd w:val="0"/>
        <w:snapToGrid w:val="0"/>
        <w:spacing w:line="360" w:lineRule="auto"/>
        <w:ind w:firstLine="420" w:firstLineChars="200"/>
        <w:jc w:val="left"/>
        <w:rPr>
          <w:rFonts w:hint="eastAsia" w:ascii="宋体" w:hAnsi="宋体" w:cs="宋体"/>
          <w:color w:val="auto"/>
          <w:highlight w:val="none"/>
          <w:u w:val="single"/>
        </w:rPr>
      </w:pPr>
      <w:r>
        <w:rPr>
          <w:rFonts w:hint="eastAsia" w:ascii="宋体" w:hAnsi="宋体" w:cs="宋体"/>
          <w:color w:val="auto"/>
          <w:highlight w:val="none"/>
          <w:u w:val="single"/>
        </w:rPr>
        <w:t>自委托人提供完整资料之日起，60日历天内提供。</w:t>
      </w:r>
    </w:p>
    <w:p w14:paraId="7678007E">
      <w:pPr>
        <w:adjustRightInd w:val="0"/>
        <w:snapToGrid w:val="0"/>
        <w:spacing w:line="360" w:lineRule="auto"/>
        <w:ind w:firstLine="420" w:firstLineChars="200"/>
        <w:jc w:val="left"/>
        <w:rPr>
          <w:rFonts w:hint="eastAsia" w:ascii="宋体" w:hAnsi="宋体" w:cs="宋体"/>
          <w:color w:val="auto"/>
          <w:highlight w:val="none"/>
          <w:u w:val="single"/>
        </w:rPr>
      </w:pPr>
      <w:r>
        <w:rPr>
          <w:rFonts w:hint="eastAsia" w:ascii="宋体" w:hAnsi="宋体" w:cs="宋体"/>
          <w:color w:val="auto"/>
          <w:highlight w:val="none"/>
          <w:u w:val="single"/>
        </w:rPr>
        <w:t>注：以上时间节点，必要时要满足委托方的时间节点，在委托方要求的时间内提供相应的成果报告，如委托方有特殊时间节点要求，咨询单位需无条件配合在相应时间节点内提供报告。</w:t>
      </w:r>
    </w:p>
    <w:p w14:paraId="7AFBBAC6">
      <w:pPr>
        <w:adjustRightInd w:val="0"/>
        <w:snapToGrid w:val="0"/>
        <w:spacing w:line="360" w:lineRule="auto"/>
        <w:ind w:firstLine="420" w:firstLineChars="200"/>
        <w:jc w:val="left"/>
        <w:rPr>
          <w:rFonts w:hint="eastAsia" w:ascii="宋体" w:hAnsi="宋体" w:eastAsia="宋体" w:cs="宋体"/>
          <w:color w:val="auto"/>
          <w:highlight w:val="none"/>
          <w:u w:val="single"/>
        </w:rPr>
      </w:pPr>
      <w:r>
        <w:rPr>
          <w:rFonts w:hint="eastAsia" w:ascii="宋体" w:hAnsi="宋体" w:eastAsia="宋体" w:cs="宋体"/>
          <w:color w:val="auto"/>
          <w:highlight w:val="none"/>
          <w:u w:val="single"/>
        </w:rPr>
        <w:t>（4）份数、质量要求：各咨询报告书份数按委托人要求份数提供，质量须符合《浙江省建设工程造价咨询质量导则（试行）》等相关规定、招标文件合同约定的质量要求。</w:t>
      </w:r>
    </w:p>
    <w:p w14:paraId="1F419BEE">
      <w:pPr>
        <w:adjustRightInd w:val="0"/>
        <w:snapToGrid w:val="0"/>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3.3咨询人的工作依据</w:t>
      </w:r>
    </w:p>
    <w:p w14:paraId="337D0ADF">
      <w:pPr>
        <w:widowControl/>
        <w:adjustRightInd w:val="0"/>
        <w:snapToGrid w:val="0"/>
        <w:spacing w:line="360" w:lineRule="auto"/>
        <w:ind w:firstLine="420" w:firstLineChars="200"/>
        <w:jc w:val="left"/>
        <w:rPr>
          <w:rFonts w:hint="eastAsia" w:ascii="宋体" w:hAnsi="宋体" w:cs="宋体"/>
          <w:color w:val="auto"/>
          <w:highlight w:val="none"/>
        </w:rPr>
      </w:pPr>
      <w:r>
        <w:rPr>
          <w:rFonts w:hint="eastAsia" w:ascii="宋体" w:hAnsi="宋体" w:cs="宋体"/>
          <w:color w:val="auto"/>
          <w:highlight w:val="none"/>
        </w:rPr>
        <w:t>经双方协商，本合同约定的造价咨询服务适用的技术标准、规范、定额等工作依据为：</w:t>
      </w:r>
      <w:r>
        <w:rPr>
          <w:rFonts w:hint="eastAsia" w:ascii="宋体" w:hAnsi="宋体" w:cs="宋体"/>
          <w:color w:val="auto"/>
          <w:highlight w:val="none"/>
          <w:u w:val="single"/>
        </w:rPr>
        <w:t>施工合同及相关协议等约定。</w:t>
      </w:r>
    </w:p>
    <w:p w14:paraId="6B90EE3B">
      <w:pPr>
        <w:adjustRightInd w:val="0"/>
        <w:snapToGrid w:val="0"/>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3.4使用委托人房屋及设备的返还</w:t>
      </w:r>
    </w:p>
    <w:p w14:paraId="065A32C8">
      <w:pPr>
        <w:widowControl/>
        <w:adjustRightInd w:val="0"/>
        <w:snapToGrid w:val="0"/>
        <w:spacing w:line="360" w:lineRule="auto"/>
        <w:ind w:firstLine="420" w:firstLineChars="200"/>
        <w:jc w:val="left"/>
        <w:rPr>
          <w:rFonts w:hint="eastAsia" w:ascii="宋体" w:hAnsi="宋体" w:cs="宋体"/>
          <w:color w:val="auto"/>
          <w:highlight w:val="none"/>
          <w:u w:val="single"/>
        </w:rPr>
      </w:pPr>
      <w:r>
        <w:rPr>
          <w:rFonts w:hint="eastAsia" w:ascii="宋体" w:hAnsi="宋体" w:cs="宋体"/>
          <w:color w:val="auto"/>
          <w:highlight w:val="none"/>
        </w:rPr>
        <w:t>咨询人应在本合同终止后</w:t>
      </w:r>
      <w:r>
        <w:rPr>
          <w:rFonts w:hint="eastAsia" w:ascii="宋体" w:hAnsi="宋体" w:cs="宋体"/>
          <w:color w:val="auto"/>
          <w:highlight w:val="none"/>
          <w:u w:val="single"/>
        </w:rPr>
        <w:t xml:space="preserve"> </w:t>
      </w:r>
      <w:r>
        <w:rPr>
          <w:rFonts w:hint="eastAsia" w:ascii="宋体" w:hAnsi="宋体" w:cs="宋体"/>
          <w:color w:val="auto"/>
          <w:highlight w:val="none"/>
          <w:u w:val="single"/>
          <w:lang w:val="en-US" w:eastAsia="zh-CN"/>
        </w:rPr>
        <w:t>/</w:t>
      </w:r>
      <w:r>
        <w:rPr>
          <w:rFonts w:hint="eastAsia" w:ascii="宋体" w:hAnsi="宋体" w:cs="宋体"/>
          <w:color w:val="auto"/>
          <w:highlight w:val="none"/>
          <w:u w:val="single"/>
        </w:rPr>
        <w:t xml:space="preserve"> </w:t>
      </w:r>
      <w:r>
        <w:rPr>
          <w:rFonts w:hint="eastAsia" w:ascii="宋体" w:hAnsi="宋体" w:cs="宋体"/>
          <w:color w:val="auto"/>
          <w:highlight w:val="none"/>
        </w:rPr>
        <w:t>日内移交委托人提供的房屋及设备，移交的方式为</w:t>
      </w:r>
      <w:r>
        <w:rPr>
          <w:rFonts w:hint="eastAsia" w:ascii="宋体" w:hAnsi="宋体" w:cs="宋体"/>
          <w:color w:val="auto"/>
          <w:highlight w:val="none"/>
          <w:u w:val="single"/>
          <w:lang w:val="en-US" w:eastAsia="zh-CN"/>
        </w:rPr>
        <w:t xml:space="preserve">/  </w:t>
      </w:r>
      <w:r>
        <w:rPr>
          <w:rFonts w:hint="eastAsia" w:ascii="宋体" w:hAnsi="宋体" w:cs="宋体"/>
          <w:color w:val="auto"/>
          <w:highlight w:val="none"/>
          <w:u w:val="single"/>
        </w:rPr>
        <w:t>。</w:t>
      </w:r>
    </w:p>
    <w:p w14:paraId="6A6E8F34">
      <w:pPr>
        <w:adjustRightInd w:val="0"/>
        <w:snapToGrid w:val="0"/>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4.违约责任</w:t>
      </w:r>
    </w:p>
    <w:p w14:paraId="7C95FC82">
      <w:pPr>
        <w:adjustRightInd w:val="0"/>
        <w:snapToGrid w:val="0"/>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4.1委托人的违约责任</w:t>
      </w:r>
    </w:p>
    <w:p w14:paraId="4F3C8A11">
      <w:pPr>
        <w:adjustRightInd w:val="0"/>
        <w:snapToGrid w:val="0"/>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4.1.1委托人违约金的计算及支付方法：</w:t>
      </w:r>
      <w:r>
        <w:rPr>
          <w:rFonts w:hint="eastAsia" w:ascii="宋体" w:hAnsi="宋体" w:cs="宋体"/>
          <w:color w:val="auto"/>
          <w:highlight w:val="none"/>
          <w:u w:val="single"/>
        </w:rPr>
        <w:t>协商确认</w:t>
      </w:r>
      <w:r>
        <w:rPr>
          <w:rFonts w:hint="eastAsia" w:ascii="宋体" w:hAnsi="宋体" w:cs="宋体"/>
          <w:color w:val="auto"/>
          <w:highlight w:val="none"/>
        </w:rPr>
        <w:t>。</w:t>
      </w:r>
    </w:p>
    <w:p w14:paraId="74440CC4">
      <w:pPr>
        <w:adjustRightInd w:val="0"/>
        <w:snapToGrid w:val="0"/>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4.1.2委托人逾期付款利息按下列方法计算并支付：</w:t>
      </w:r>
      <w:r>
        <w:rPr>
          <w:rFonts w:hint="eastAsia" w:ascii="宋体" w:hAnsi="宋体" w:cs="宋体"/>
          <w:color w:val="auto"/>
          <w:highlight w:val="none"/>
          <w:u w:val="single"/>
        </w:rPr>
        <w:t xml:space="preserve">       /        </w:t>
      </w:r>
      <w:r>
        <w:rPr>
          <w:rFonts w:hint="eastAsia" w:ascii="宋体" w:hAnsi="宋体" w:cs="宋体"/>
          <w:color w:val="auto"/>
          <w:highlight w:val="none"/>
        </w:rPr>
        <w:t>。</w:t>
      </w:r>
    </w:p>
    <w:p w14:paraId="65FF9F0B">
      <w:pPr>
        <w:adjustRightInd w:val="0"/>
        <w:snapToGrid w:val="0"/>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4.2咨询人的违约责任</w:t>
      </w:r>
    </w:p>
    <w:p w14:paraId="19C40FFC">
      <w:pPr>
        <w:widowControl/>
        <w:adjustRightInd w:val="0"/>
        <w:snapToGrid w:val="0"/>
        <w:spacing w:line="360" w:lineRule="auto"/>
        <w:ind w:firstLine="420" w:firstLineChars="200"/>
        <w:jc w:val="left"/>
        <w:rPr>
          <w:rFonts w:hint="eastAsia" w:ascii="宋体" w:hAnsi="宋体" w:cs="宋体"/>
          <w:color w:val="auto"/>
          <w:highlight w:val="none"/>
        </w:rPr>
      </w:pPr>
      <w:r>
        <w:rPr>
          <w:rFonts w:hint="eastAsia" w:ascii="宋体" w:hAnsi="宋体" w:cs="宋体"/>
          <w:color w:val="auto"/>
          <w:highlight w:val="none"/>
        </w:rPr>
        <w:t>4.2.1咨询人违约金的计算及支付方法：</w:t>
      </w:r>
    </w:p>
    <w:p w14:paraId="6F02B232">
      <w:pPr>
        <w:adjustRightInd w:val="0"/>
        <w:snapToGrid w:val="0"/>
        <w:spacing w:line="360" w:lineRule="auto"/>
        <w:ind w:firstLine="420" w:firstLineChars="200"/>
        <w:rPr>
          <w:rFonts w:hint="eastAsia" w:ascii="宋体" w:hAnsi="宋体" w:cs="宋体"/>
          <w:color w:val="auto"/>
          <w:highlight w:val="none"/>
          <w:u w:val="single"/>
        </w:rPr>
      </w:pPr>
      <w:r>
        <w:rPr>
          <w:rFonts w:hint="eastAsia" w:ascii="宋体" w:hAnsi="宋体" w:cs="宋体"/>
          <w:color w:val="auto"/>
          <w:highlight w:val="none"/>
          <w:u w:val="single"/>
        </w:rPr>
        <w:t>（1）委托人提供完整资料的前提下，咨询人应按照合同约定的工作内容和工作时间完成本合同规定的各项造价咨询咨询工作，若未能及时完成应视为咨询人违约，咨询人应按2000元/天向委托人支付违约金。</w:t>
      </w:r>
    </w:p>
    <w:p w14:paraId="1A7EEAAD">
      <w:pPr>
        <w:adjustRightInd w:val="0"/>
        <w:snapToGrid w:val="0"/>
        <w:spacing w:line="360" w:lineRule="auto"/>
        <w:ind w:firstLine="420" w:firstLineChars="200"/>
        <w:rPr>
          <w:rFonts w:hint="eastAsia" w:ascii="宋体" w:hAnsi="宋体" w:eastAsia="宋体" w:cs="宋体"/>
          <w:color w:val="auto"/>
          <w:highlight w:val="none"/>
          <w:u w:val="single"/>
          <w:lang w:eastAsia="zh-CN"/>
        </w:rPr>
      </w:pPr>
      <w:r>
        <w:rPr>
          <w:rFonts w:hint="eastAsia" w:ascii="宋体" w:hAnsi="宋体" w:cs="宋体"/>
          <w:color w:val="auto"/>
          <w:highlight w:val="none"/>
          <w:u w:val="single"/>
        </w:rPr>
        <w:t>（2）发生以下事项后咨询人无正当理由</w:t>
      </w:r>
      <w:r>
        <w:rPr>
          <w:rFonts w:hint="eastAsia" w:ascii="宋体" w:hAnsi="宋体" w:cs="宋体"/>
          <w:color w:val="auto"/>
          <w:highlight w:val="none"/>
          <w:u w:val="single"/>
          <w:lang w:val="en-US" w:eastAsia="zh-CN"/>
        </w:rPr>
        <w:t>未完成的</w:t>
      </w:r>
      <w:r>
        <w:rPr>
          <w:rFonts w:hint="eastAsia" w:ascii="宋体" w:hAnsi="宋体" w:cs="宋体"/>
          <w:color w:val="auto"/>
          <w:highlight w:val="none"/>
          <w:u w:val="single"/>
        </w:rPr>
        <w:t>，每项处以2000元违约金；经委托人书面通知整改却未能纠正的，每项处以2000元违约金；经委托人二次催告后仍未整改的，每项处以10000元违约金。累计发生三次及以上的，委托人有权单方面解除协议，咨询人承担全部违约责任。由此给委托人造成的相应经济损失，全部由咨询人负责赔偿</w:t>
      </w:r>
      <w:r>
        <w:rPr>
          <w:rFonts w:hint="eastAsia" w:ascii="宋体" w:hAnsi="宋体" w:cs="宋体"/>
          <w:color w:val="auto"/>
          <w:highlight w:val="none"/>
          <w:u w:val="single"/>
          <w:lang w:eastAsia="zh-CN"/>
        </w:rPr>
        <w:t>。</w:t>
      </w:r>
    </w:p>
    <w:p w14:paraId="21482909">
      <w:pPr>
        <w:adjustRightInd w:val="0"/>
        <w:snapToGrid w:val="0"/>
        <w:spacing w:line="360" w:lineRule="auto"/>
        <w:ind w:firstLine="420" w:firstLineChars="200"/>
        <w:rPr>
          <w:rFonts w:hint="eastAsia" w:ascii="宋体" w:hAnsi="宋体" w:cs="宋体"/>
          <w:color w:val="auto"/>
          <w:highlight w:val="none"/>
          <w:u w:val="single"/>
        </w:rPr>
      </w:pPr>
      <w:r>
        <w:rPr>
          <w:rFonts w:hint="eastAsia" w:ascii="宋体" w:hAnsi="宋体" w:cs="宋体"/>
          <w:color w:val="auto"/>
          <w:highlight w:val="none"/>
          <w:u w:val="single"/>
        </w:rPr>
        <w:t>①咨询人对委托人所提出的问题不能及时核对和答复；②不能按时进场造价咨询或咨询人未能及时提交合格的造价咨询报告；③未能按照本合同所附造价咨询方案约定安排现场造价咨询人员；④在委托人提供完整的送审资料后不能按约定出具各类意见、报告</w:t>
      </w:r>
      <w:r>
        <w:rPr>
          <w:rFonts w:hint="eastAsia" w:ascii="宋体" w:hAnsi="宋体" w:cs="宋体"/>
          <w:color w:val="auto"/>
          <w:highlight w:val="none"/>
          <w:u w:val="single"/>
          <w:lang w:eastAsia="zh-CN"/>
        </w:rPr>
        <w:t>及在委托人相关流程会签</w:t>
      </w:r>
      <w:r>
        <w:rPr>
          <w:rFonts w:hint="eastAsia" w:ascii="宋体" w:hAnsi="宋体" w:cs="宋体"/>
          <w:color w:val="auto"/>
          <w:highlight w:val="none"/>
          <w:u w:val="single"/>
        </w:rPr>
        <w:t>的；⑤未能按照委托人要求进行深入现场踏勘的。</w:t>
      </w:r>
    </w:p>
    <w:p w14:paraId="501878BC">
      <w:pPr>
        <w:spacing w:line="360" w:lineRule="auto"/>
        <w:ind w:firstLine="420" w:firstLineChars="200"/>
        <w:rPr>
          <w:rFonts w:hint="eastAsia" w:ascii="宋体" w:hAnsi="宋体" w:cs="宋体"/>
          <w:color w:val="auto"/>
          <w:highlight w:val="none"/>
          <w:u w:val="single"/>
        </w:rPr>
      </w:pPr>
      <w:r>
        <w:rPr>
          <w:rFonts w:hint="eastAsia" w:ascii="宋体" w:hAnsi="宋体" w:cs="宋体"/>
          <w:color w:val="auto"/>
          <w:highlight w:val="none"/>
          <w:u w:val="single"/>
        </w:rPr>
        <w:t>（3）项目组成员驻场人员月到岗不足</w:t>
      </w:r>
      <w:r>
        <w:rPr>
          <w:rFonts w:hint="eastAsia" w:ascii="宋体" w:hAnsi="宋体" w:cs="宋体"/>
          <w:color w:val="auto"/>
          <w:highlight w:val="none"/>
          <w:u w:val="single"/>
          <w:lang w:val="en-US" w:eastAsia="zh-CN"/>
        </w:rPr>
        <w:t>10</w:t>
      </w:r>
      <w:r>
        <w:rPr>
          <w:rFonts w:hint="eastAsia" w:ascii="宋体" w:hAnsi="宋体" w:cs="宋体"/>
          <w:color w:val="auto"/>
          <w:highlight w:val="none"/>
          <w:u w:val="single"/>
        </w:rPr>
        <w:t>天的（驻场人员驻扎工地现场办公，并到委托人指定地点进行考勤，如每日到岗低于6个小时的，视作当日缺岗）</w:t>
      </w:r>
      <w:r>
        <w:rPr>
          <w:rFonts w:hint="eastAsia" w:ascii="宋体" w:hAnsi="宋体" w:cs="宋体"/>
          <w:color w:val="auto"/>
          <w:highlight w:val="none"/>
          <w:u w:val="single"/>
        </w:rPr>
        <w:t>，每人每天</w:t>
      </w:r>
      <w:r>
        <w:rPr>
          <w:rFonts w:hint="eastAsia" w:ascii="宋体" w:hAnsi="宋体" w:cs="宋体"/>
          <w:color w:val="auto"/>
          <w:highlight w:val="none"/>
          <w:u w:val="single"/>
          <w:lang w:val="en-US" w:eastAsia="zh-CN"/>
        </w:rPr>
        <w:t>处以</w:t>
      </w:r>
      <w:r>
        <w:rPr>
          <w:rFonts w:hint="eastAsia" w:ascii="宋体" w:hAnsi="宋体" w:cs="宋体"/>
          <w:color w:val="auto"/>
          <w:highlight w:val="none"/>
          <w:u w:val="single"/>
        </w:rPr>
        <w:t>咨询费1000元</w:t>
      </w:r>
      <w:r>
        <w:rPr>
          <w:rFonts w:hint="eastAsia" w:ascii="宋体" w:hAnsi="宋体" w:cs="宋体"/>
          <w:color w:val="auto"/>
          <w:highlight w:val="none"/>
          <w:u w:val="single"/>
          <w:lang w:eastAsia="zh-CN"/>
        </w:rPr>
        <w:t>的</w:t>
      </w:r>
      <w:r>
        <w:rPr>
          <w:rFonts w:hint="eastAsia" w:ascii="宋体" w:hAnsi="宋体" w:cs="宋体"/>
          <w:color w:val="auto"/>
          <w:highlight w:val="none"/>
          <w:u w:val="single"/>
          <w:lang w:val="en-US" w:eastAsia="zh-CN"/>
        </w:rPr>
        <w:t>违约金</w:t>
      </w:r>
      <w:r>
        <w:rPr>
          <w:rFonts w:hint="eastAsia" w:ascii="宋体" w:hAnsi="宋体" w:cs="宋体"/>
          <w:color w:val="auto"/>
          <w:highlight w:val="none"/>
          <w:u w:val="single"/>
        </w:rPr>
        <w:t>，在当期咨询费支付时扣除；连续三个月不能到岗的，一次性</w:t>
      </w:r>
      <w:r>
        <w:rPr>
          <w:rFonts w:hint="eastAsia" w:ascii="宋体" w:hAnsi="宋体" w:cs="宋体"/>
          <w:color w:val="auto"/>
          <w:highlight w:val="none"/>
          <w:u w:val="single"/>
          <w:lang w:val="en-US" w:eastAsia="zh-CN"/>
        </w:rPr>
        <w:t>处以</w:t>
      </w:r>
      <w:r>
        <w:rPr>
          <w:rFonts w:hint="eastAsia" w:ascii="宋体" w:hAnsi="宋体" w:cs="宋体"/>
          <w:color w:val="auto"/>
          <w:highlight w:val="none"/>
          <w:u w:val="single"/>
        </w:rPr>
        <w:t>合同价的10%</w:t>
      </w:r>
      <w:r>
        <w:rPr>
          <w:rFonts w:hint="eastAsia" w:ascii="宋体" w:hAnsi="宋体" w:cs="宋体"/>
          <w:color w:val="auto"/>
          <w:highlight w:val="none"/>
          <w:u w:val="single"/>
          <w:lang w:eastAsia="zh-CN"/>
        </w:rPr>
        <w:t>的</w:t>
      </w:r>
      <w:r>
        <w:rPr>
          <w:rFonts w:hint="eastAsia" w:ascii="宋体" w:hAnsi="宋体" w:cs="宋体"/>
          <w:color w:val="auto"/>
          <w:highlight w:val="none"/>
          <w:u w:val="single"/>
          <w:lang w:val="en-US" w:eastAsia="zh-CN"/>
        </w:rPr>
        <w:t>违约金</w:t>
      </w:r>
      <w:r>
        <w:rPr>
          <w:rFonts w:hint="eastAsia" w:ascii="宋体" w:hAnsi="宋体" w:cs="宋体"/>
          <w:color w:val="auto"/>
          <w:highlight w:val="none"/>
          <w:u w:val="single"/>
        </w:rPr>
        <w:t>，且委托人有权要求咨询人更换驻场人员或解除合同，同时由咨询人赔偿委托人由此造成的损失。情节严重的，委托人将把咨询人的违约行为上报到行政主管部门，列入不良记录或黑名单。因咨询人监督不力，工程出现质量、安全问题，如列入管理部门不良纪录的，每次</w:t>
      </w:r>
      <w:r>
        <w:rPr>
          <w:rFonts w:hint="eastAsia" w:ascii="宋体" w:hAnsi="宋体" w:cs="宋体"/>
          <w:color w:val="auto"/>
          <w:highlight w:val="none"/>
          <w:u w:val="single"/>
          <w:lang w:val="en-US" w:eastAsia="zh-CN"/>
        </w:rPr>
        <w:t>处以</w:t>
      </w:r>
      <w:r>
        <w:rPr>
          <w:rFonts w:ascii="宋体" w:hAnsi="宋体" w:cs="宋体"/>
          <w:color w:val="auto"/>
          <w:highlight w:val="none"/>
          <w:u w:val="single"/>
        </w:rPr>
        <w:t>2</w:t>
      </w:r>
      <w:r>
        <w:rPr>
          <w:rFonts w:hint="eastAsia" w:ascii="宋体" w:hAnsi="宋体" w:cs="宋体"/>
          <w:color w:val="auto"/>
          <w:highlight w:val="none"/>
          <w:u w:val="single"/>
        </w:rPr>
        <w:t>万元违约金，列入黑名单的，每次</w:t>
      </w:r>
      <w:r>
        <w:rPr>
          <w:rFonts w:hint="eastAsia" w:ascii="宋体" w:hAnsi="宋体" w:cs="宋体"/>
          <w:color w:val="auto"/>
          <w:highlight w:val="none"/>
          <w:u w:val="single"/>
          <w:lang w:val="en-US" w:eastAsia="zh-CN"/>
        </w:rPr>
        <w:t>处以</w:t>
      </w:r>
      <w:r>
        <w:rPr>
          <w:rFonts w:ascii="宋体" w:hAnsi="宋体" w:cs="宋体"/>
          <w:color w:val="auto"/>
          <w:highlight w:val="none"/>
          <w:u w:val="single"/>
        </w:rPr>
        <w:t>5</w:t>
      </w:r>
      <w:r>
        <w:rPr>
          <w:rFonts w:hint="eastAsia" w:ascii="宋体" w:hAnsi="宋体" w:cs="宋体"/>
          <w:color w:val="auto"/>
          <w:highlight w:val="none"/>
          <w:u w:val="single"/>
        </w:rPr>
        <w:t>万元违约金。组织召开例会、专题例会或委托人单位要求需要项目负责人参加会议的（按委托人需求），项目负责人需按要求及时参会，发现一次无故未到会的</w:t>
      </w:r>
      <w:r>
        <w:rPr>
          <w:rFonts w:hint="eastAsia" w:ascii="宋体" w:hAnsi="宋体" w:cs="宋体"/>
          <w:color w:val="auto"/>
          <w:highlight w:val="none"/>
          <w:u w:val="single"/>
          <w:lang w:val="en-US" w:eastAsia="zh-CN"/>
        </w:rPr>
        <w:t>处以</w:t>
      </w:r>
      <w:r>
        <w:rPr>
          <w:rFonts w:ascii="宋体" w:hAnsi="宋体" w:cs="宋体"/>
          <w:color w:val="auto"/>
          <w:highlight w:val="none"/>
          <w:u w:val="single"/>
        </w:rPr>
        <w:t>5000</w:t>
      </w:r>
      <w:r>
        <w:rPr>
          <w:rFonts w:hint="eastAsia" w:ascii="宋体" w:hAnsi="宋体" w:cs="宋体"/>
          <w:color w:val="auto"/>
          <w:highlight w:val="none"/>
          <w:u w:val="single"/>
        </w:rPr>
        <w:t>元违约金。</w:t>
      </w:r>
    </w:p>
    <w:p w14:paraId="7E244479">
      <w:pPr>
        <w:adjustRightInd w:val="0"/>
        <w:snapToGrid w:val="0"/>
        <w:spacing w:line="360" w:lineRule="auto"/>
        <w:ind w:firstLine="420" w:firstLineChars="200"/>
        <w:rPr>
          <w:rFonts w:hint="eastAsia" w:ascii="宋体" w:hAnsi="宋体" w:cs="宋体"/>
          <w:color w:val="auto"/>
          <w:highlight w:val="none"/>
          <w:u w:val="single"/>
        </w:rPr>
      </w:pPr>
      <w:r>
        <w:rPr>
          <w:rFonts w:hint="eastAsia" w:ascii="宋体" w:hAnsi="宋体" w:cs="宋体"/>
          <w:color w:val="auto"/>
          <w:highlight w:val="none"/>
          <w:u w:val="single"/>
        </w:rPr>
        <w:t>（4）非委托人原因，咨询人违反本合同条款时，委托人有权终止合同并提前十天书面通知并支付咨询人正确履行义务而完成部分或全部工作的服务酬金。因咨询人未能履行合同所承担的全过程造价咨询工作责任，委托人有权在咨询人造价咨询费用中扣除相应的金额。</w:t>
      </w:r>
    </w:p>
    <w:p w14:paraId="587FED6F">
      <w:pPr>
        <w:adjustRightInd w:val="0"/>
        <w:snapToGrid w:val="0"/>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4.2.2</w:t>
      </w:r>
      <w:r>
        <w:rPr>
          <w:rFonts w:hint="eastAsia" w:ascii="宋体" w:hAnsi="宋体" w:cs="宋体"/>
          <w:color w:val="auto"/>
          <w:highlight w:val="none"/>
          <w:u w:val="single"/>
        </w:rPr>
        <w:t>咨询人赔偿金额按下列方法确定并支付：合同履行期内，双方应当履行建设工程造价咨询合同约定的义务。如咨询人违约，应当赔偿委托人全部损失（包括但不限于律师费、鉴定费、评估费、差旅费、诉讼费、保全保险费、保全费等费用）。</w:t>
      </w:r>
    </w:p>
    <w:p w14:paraId="624F2D3F">
      <w:pPr>
        <w:adjustRightInd w:val="0"/>
        <w:snapToGrid w:val="0"/>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5.支付</w:t>
      </w:r>
    </w:p>
    <w:p w14:paraId="02EF847C">
      <w:pPr>
        <w:adjustRightInd w:val="0"/>
        <w:snapToGrid w:val="0"/>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5.1支付货币币种为：</w:t>
      </w:r>
      <w:r>
        <w:rPr>
          <w:rFonts w:hint="eastAsia" w:ascii="宋体" w:hAnsi="宋体" w:cs="宋体"/>
          <w:color w:val="auto"/>
          <w:highlight w:val="none"/>
          <w:u w:val="single"/>
        </w:rPr>
        <w:t>人民币</w:t>
      </w:r>
      <w:r>
        <w:rPr>
          <w:rFonts w:hint="eastAsia" w:ascii="宋体" w:hAnsi="宋体" w:cs="宋体"/>
          <w:color w:val="auto"/>
          <w:highlight w:val="none"/>
        </w:rPr>
        <w:t>。</w:t>
      </w:r>
    </w:p>
    <w:p w14:paraId="5008F5D0">
      <w:pPr>
        <w:adjustRightInd w:val="0"/>
        <w:snapToGrid w:val="0"/>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5.2支付申请</w:t>
      </w:r>
    </w:p>
    <w:p w14:paraId="6D405B4B">
      <w:pPr>
        <w:adjustRightInd w:val="0"/>
        <w:snapToGrid w:val="0"/>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咨询人应在本合同约定的每次应付款日期三个工作日前，向委托人提交</w:t>
      </w:r>
      <w:r>
        <w:rPr>
          <w:rFonts w:hint="eastAsia" w:ascii="宋体" w:hAnsi="宋体" w:cs="宋体"/>
          <w:color w:val="auto"/>
          <w:highlight w:val="none"/>
          <w:u w:val="single"/>
        </w:rPr>
        <w:t>支付申请书</w:t>
      </w:r>
      <w:r>
        <w:rPr>
          <w:rFonts w:hint="eastAsia" w:ascii="宋体" w:hAnsi="宋体" w:cs="宋体"/>
          <w:color w:val="auto"/>
          <w:highlight w:val="none"/>
        </w:rPr>
        <w:t>。</w:t>
      </w:r>
    </w:p>
    <w:p w14:paraId="7A93B8E1">
      <w:pPr>
        <w:adjustRightInd w:val="0"/>
        <w:snapToGrid w:val="0"/>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5.3支付酬金</w:t>
      </w:r>
    </w:p>
    <w:p w14:paraId="1302F8B4">
      <w:pPr>
        <w:adjustRightInd w:val="0"/>
        <w:snapToGrid w:val="0"/>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正常工作酬金的支付：</w:t>
      </w:r>
    </w:p>
    <w:p w14:paraId="4AB12B3E">
      <w:pPr>
        <w:adjustRightInd w:val="0"/>
        <w:snapToGrid w:val="0"/>
        <w:spacing w:line="360" w:lineRule="auto"/>
        <w:ind w:firstLine="422" w:firstLineChars="200"/>
        <w:rPr>
          <w:rFonts w:hint="eastAsia" w:ascii="宋体" w:hAnsi="宋体" w:eastAsia="宋体" w:cs="宋体"/>
          <w:b/>
          <w:bCs/>
          <w:color w:val="auto"/>
          <w:highlight w:val="none"/>
          <w:u w:val="single"/>
          <w:lang w:eastAsia="zh-CN"/>
        </w:rPr>
      </w:pPr>
      <w:r>
        <w:rPr>
          <w:rFonts w:hint="eastAsia" w:ascii="宋体" w:hAnsi="宋体" w:cs="宋体"/>
          <w:b/>
          <w:bCs/>
          <w:color w:val="auto"/>
          <w:highlight w:val="none"/>
          <w:u w:val="single"/>
        </w:rPr>
        <w:t>（1）合同签订并签发工程开工报告后，支付签约合同价的10%</w:t>
      </w:r>
      <w:r>
        <w:rPr>
          <w:rFonts w:hint="eastAsia" w:ascii="宋体" w:hAnsi="宋体" w:cs="宋体"/>
          <w:b/>
          <w:bCs/>
          <w:color w:val="auto"/>
          <w:highlight w:val="none"/>
          <w:u w:val="single"/>
          <w:lang w:eastAsia="zh-CN"/>
        </w:rPr>
        <w:t>。</w:t>
      </w:r>
    </w:p>
    <w:p w14:paraId="65C19319">
      <w:pPr>
        <w:adjustRightInd w:val="0"/>
        <w:snapToGrid w:val="0"/>
        <w:spacing w:line="360" w:lineRule="auto"/>
        <w:ind w:firstLine="422" w:firstLineChars="200"/>
        <w:rPr>
          <w:rFonts w:hint="eastAsia" w:ascii="宋体" w:hAnsi="宋体" w:cs="宋体"/>
          <w:b/>
          <w:bCs/>
          <w:color w:val="auto"/>
          <w:highlight w:val="none"/>
          <w:u w:val="single"/>
        </w:rPr>
      </w:pPr>
      <w:r>
        <w:rPr>
          <w:rFonts w:hint="eastAsia" w:ascii="宋体" w:hAnsi="宋体" w:cs="宋体"/>
          <w:b/>
          <w:bCs/>
          <w:color w:val="auto"/>
          <w:highlight w:val="none"/>
          <w:u w:val="single"/>
        </w:rPr>
        <w:t>（2）工程施工期间按半年支付造价咨询费，每半年按经委托人审核后建安工程造价支付造价咨询费，该部分造价咨询费=按经委托人审核后建安工程造价×造价咨询费费率×</w:t>
      </w:r>
      <w:r>
        <w:rPr>
          <w:rFonts w:hint="eastAsia" w:ascii="宋体" w:hAnsi="宋体" w:cs="宋体"/>
          <w:b/>
          <w:bCs/>
          <w:color w:val="auto"/>
          <w:highlight w:val="none"/>
          <w:u w:val="single"/>
          <w:lang w:val="en-US" w:eastAsia="zh-CN"/>
        </w:rPr>
        <w:t>75</w:t>
      </w:r>
      <w:r>
        <w:rPr>
          <w:rFonts w:hint="eastAsia" w:ascii="宋体" w:hAnsi="宋体" w:cs="宋体"/>
          <w:b/>
          <w:bCs/>
          <w:color w:val="auto"/>
          <w:highlight w:val="none"/>
          <w:u w:val="single"/>
        </w:rPr>
        <w:t>%；如支付达到签约合同价的8</w:t>
      </w:r>
      <w:r>
        <w:rPr>
          <w:rFonts w:ascii="宋体" w:hAnsi="宋体" w:cs="宋体"/>
          <w:b/>
          <w:bCs/>
          <w:color w:val="auto"/>
          <w:highlight w:val="none"/>
          <w:u w:val="single"/>
        </w:rPr>
        <w:t>5</w:t>
      </w:r>
      <w:r>
        <w:rPr>
          <w:rFonts w:hint="eastAsia" w:ascii="宋体" w:hAnsi="宋体" w:cs="宋体"/>
          <w:b/>
          <w:bCs/>
          <w:color w:val="auto"/>
          <w:highlight w:val="none"/>
          <w:u w:val="single"/>
        </w:rPr>
        <w:t>%（含预付款）则暂停支付。</w:t>
      </w:r>
    </w:p>
    <w:p w14:paraId="1835A43B">
      <w:pPr>
        <w:adjustRightInd w:val="0"/>
        <w:snapToGrid w:val="0"/>
        <w:spacing w:line="360" w:lineRule="auto"/>
        <w:ind w:firstLine="422" w:firstLineChars="200"/>
        <w:rPr>
          <w:rFonts w:hint="eastAsia" w:ascii="宋体" w:hAnsi="宋体" w:cs="宋体"/>
          <w:b/>
          <w:bCs/>
          <w:color w:val="auto"/>
          <w:highlight w:val="none"/>
          <w:u w:val="single"/>
        </w:rPr>
      </w:pPr>
      <w:r>
        <w:rPr>
          <w:rFonts w:hint="eastAsia" w:ascii="宋体" w:hAnsi="宋体" w:cs="宋体"/>
          <w:b/>
          <w:bCs/>
          <w:color w:val="auto"/>
          <w:highlight w:val="none"/>
          <w:u w:val="single"/>
        </w:rPr>
        <w:t>（3）全部工程结束后，待全部工程通过财政审核（如财政部门不审核，以最后委托的第三方审核为准）完成后并按合同约定移交全部咨询成果和返还前期交付的资料后，付清余款。</w:t>
      </w:r>
    </w:p>
    <w:p w14:paraId="30182F39">
      <w:pPr>
        <w:adjustRightInd w:val="0"/>
        <w:snapToGrid w:val="0"/>
        <w:spacing w:line="360" w:lineRule="auto"/>
        <w:ind w:firstLine="422" w:firstLineChars="200"/>
        <w:rPr>
          <w:rFonts w:hint="eastAsia" w:ascii="宋体" w:hAnsi="宋体" w:cs="宋体"/>
          <w:b/>
          <w:bCs/>
          <w:color w:val="auto"/>
          <w:highlight w:val="none"/>
          <w:u w:val="single"/>
        </w:rPr>
      </w:pPr>
      <w:r>
        <w:rPr>
          <w:rFonts w:hint="eastAsia" w:ascii="宋体" w:hAnsi="宋体" w:cs="宋体"/>
          <w:b/>
          <w:bCs/>
          <w:color w:val="auto"/>
          <w:highlight w:val="none"/>
          <w:u w:val="single"/>
        </w:rPr>
        <w:t>（</w:t>
      </w:r>
      <w:r>
        <w:rPr>
          <w:rFonts w:hint="eastAsia" w:ascii="宋体" w:hAnsi="宋体" w:cs="宋体"/>
          <w:b/>
          <w:bCs/>
          <w:color w:val="auto"/>
          <w:highlight w:val="none"/>
          <w:u w:val="single"/>
          <w:lang w:val="en-US" w:eastAsia="zh-CN"/>
        </w:rPr>
        <w:t>4</w:t>
      </w:r>
      <w:r>
        <w:rPr>
          <w:rFonts w:hint="eastAsia" w:ascii="宋体" w:hAnsi="宋体" w:cs="宋体"/>
          <w:b/>
          <w:bCs/>
          <w:color w:val="auto"/>
          <w:highlight w:val="none"/>
          <w:u w:val="single"/>
        </w:rPr>
        <w:t>）以上时间段的付款期限为</w:t>
      </w:r>
      <w:r>
        <w:rPr>
          <w:rFonts w:hint="eastAsia" w:ascii="宋体" w:hAnsi="宋体" w:cs="宋体"/>
          <w:b/>
          <w:bCs/>
          <w:color w:val="auto"/>
          <w:highlight w:val="none"/>
          <w:u w:val="single"/>
          <w:lang w:val="en-US" w:eastAsia="zh-CN"/>
        </w:rPr>
        <w:t>3</w:t>
      </w:r>
      <w:r>
        <w:rPr>
          <w:rFonts w:hint="eastAsia" w:ascii="宋体" w:hAnsi="宋体" w:cs="宋体"/>
          <w:b/>
          <w:bCs/>
          <w:color w:val="auto"/>
          <w:highlight w:val="none"/>
          <w:u w:val="single"/>
        </w:rPr>
        <w:t>0个</w:t>
      </w:r>
      <w:r>
        <w:rPr>
          <w:rFonts w:hint="eastAsia" w:ascii="宋体" w:hAnsi="宋体" w:cs="宋体"/>
          <w:b/>
          <w:bCs/>
          <w:color w:val="auto"/>
          <w:highlight w:val="none"/>
          <w:u w:val="single"/>
          <w:lang w:eastAsia="zh-CN"/>
        </w:rPr>
        <w:t>日历天</w:t>
      </w:r>
      <w:r>
        <w:rPr>
          <w:rFonts w:hint="eastAsia" w:ascii="宋体" w:hAnsi="宋体" w:cs="宋体"/>
          <w:b/>
          <w:bCs/>
          <w:color w:val="auto"/>
          <w:highlight w:val="none"/>
          <w:u w:val="single"/>
        </w:rPr>
        <w:t>。委托人付款前，咨询人应先提供符合委托人要求的增值税发票，否则委托人有权顺延支付期限。</w:t>
      </w:r>
    </w:p>
    <w:p w14:paraId="737975DE">
      <w:pPr>
        <w:adjustRightInd w:val="0"/>
        <w:snapToGrid w:val="0"/>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履约担保（如为现金）待本项目咨询服务期结束后，并按合同条款规定完全履约后，由咨询人申请退还。收到咨询人退还申请后，委托人应根据合同履约情况在30日内退还咨询人全部或部分履约保证金。如咨询人在咨询服务过程中违背合同规定的，委托人有权没收相应的履约担保；履约担保如为现金的不计息。</w:t>
      </w:r>
    </w:p>
    <w:p w14:paraId="62EF1168">
      <w:pPr>
        <w:adjustRightInd w:val="0"/>
        <w:snapToGrid w:val="0"/>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注：如办理工程保函的，投标人工程保函须包含“见索即付”条款。</w:t>
      </w:r>
    </w:p>
    <w:p w14:paraId="44FF70AA">
      <w:pPr>
        <w:adjustRightInd w:val="0"/>
        <w:snapToGrid w:val="0"/>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6.合同变更、解除与终止</w:t>
      </w:r>
    </w:p>
    <w:p w14:paraId="2EDA2F20">
      <w:pPr>
        <w:adjustRightInd w:val="0"/>
        <w:snapToGrid w:val="0"/>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6.1合同变更</w:t>
      </w:r>
    </w:p>
    <w:p w14:paraId="401EBDEF">
      <w:pPr>
        <w:adjustRightInd w:val="0"/>
        <w:snapToGrid w:val="0"/>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6.1.2 因非咨询人原因导致本合同履行期限延长、内容增加时，附加工作酬金按下列方法确定：</w:t>
      </w:r>
      <w:r>
        <w:rPr>
          <w:rFonts w:hint="eastAsia" w:ascii="宋体" w:hAnsi="宋体" w:cs="宋体"/>
          <w:color w:val="auto"/>
          <w:highlight w:val="none"/>
          <w:u w:val="single"/>
        </w:rPr>
        <w:t>不予调整</w:t>
      </w:r>
      <w:r>
        <w:rPr>
          <w:rFonts w:hint="eastAsia" w:ascii="宋体" w:hAnsi="宋体" w:cs="宋体"/>
          <w:color w:val="auto"/>
          <w:highlight w:val="none"/>
        </w:rPr>
        <w:t>。</w:t>
      </w:r>
    </w:p>
    <w:p w14:paraId="42F67421">
      <w:pPr>
        <w:widowControl/>
        <w:adjustRightInd w:val="0"/>
        <w:snapToGrid w:val="0"/>
        <w:spacing w:line="360" w:lineRule="auto"/>
        <w:ind w:firstLine="420" w:firstLineChars="200"/>
        <w:jc w:val="left"/>
        <w:rPr>
          <w:rFonts w:hint="eastAsia" w:ascii="宋体" w:hAnsi="宋体" w:cs="宋体"/>
          <w:color w:val="auto"/>
          <w:highlight w:val="none"/>
        </w:rPr>
      </w:pPr>
      <w:r>
        <w:rPr>
          <w:rFonts w:hint="eastAsia" w:ascii="宋体" w:hAnsi="宋体" w:cs="宋体"/>
          <w:color w:val="auto"/>
          <w:highlight w:val="none"/>
        </w:rPr>
        <w:t>6.1.4 因工程规模、服务范围及内容的变化等导致咨询人的工作量增减时，服务酬金的调整方法：</w:t>
      </w:r>
      <w:r>
        <w:rPr>
          <w:rFonts w:hint="eastAsia" w:ascii="宋体" w:hAnsi="宋体" w:cs="宋体"/>
          <w:color w:val="auto"/>
          <w:highlight w:val="none"/>
          <w:u w:val="single"/>
        </w:rPr>
        <w:t>按本合同计算方式进行调整</w:t>
      </w:r>
      <w:r>
        <w:rPr>
          <w:rFonts w:hint="eastAsia" w:ascii="宋体" w:hAnsi="宋体" w:cs="宋体"/>
          <w:color w:val="auto"/>
          <w:highlight w:val="none"/>
        </w:rPr>
        <w:t>。</w:t>
      </w:r>
    </w:p>
    <w:p w14:paraId="42F5A076">
      <w:pPr>
        <w:adjustRightInd w:val="0"/>
        <w:snapToGrid w:val="0"/>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6.2合同解除</w:t>
      </w:r>
    </w:p>
    <w:p w14:paraId="49AFAA2A">
      <w:pPr>
        <w:adjustRightInd w:val="0"/>
        <w:snapToGrid w:val="0"/>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6.2.2 双方约定解除合同的条件还包括：</w:t>
      </w:r>
      <w:r>
        <w:rPr>
          <w:rFonts w:hint="eastAsia" w:ascii="宋体" w:hAnsi="宋体" w:cs="宋体"/>
          <w:color w:val="auto"/>
          <w:highlight w:val="none"/>
          <w:u w:val="single"/>
        </w:rPr>
        <w:t>/</w:t>
      </w:r>
      <w:r>
        <w:rPr>
          <w:rFonts w:hint="eastAsia" w:ascii="宋体" w:hAnsi="宋体" w:cs="宋体"/>
          <w:color w:val="auto"/>
          <w:highlight w:val="none"/>
        </w:rPr>
        <w:t>。</w:t>
      </w:r>
    </w:p>
    <w:p w14:paraId="090B6612">
      <w:pPr>
        <w:adjustRightInd w:val="0"/>
        <w:snapToGrid w:val="0"/>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6.2.4 因不可抗力导致的合同解除，双方约定损失的分担如下：</w:t>
      </w:r>
      <w:r>
        <w:rPr>
          <w:rFonts w:hint="eastAsia" w:ascii="宋体" w:hAnsi="宋体" w:cs="宋体"/>
          <w:color w:val="auto"/>
          <w:highlight w:val="none"/>
          <w:u w:val="single"/>
        </w:rPr>
        <w:t>协商确认</w:t>
      </w:r>
      <w:r>
        <w:rPr>
          <w:rFonts w:hint="eastAsia" w:ascii="宋体" w:hAnsi="宋体" w:cs="宋体"/>
          <w:color w:val="auto"/>
          <w:highlight w:val="none"/>
        </w:rPr>
        <w:t>。</w:t>
      </w:r>
    </w:p>
    <w:p w14:paraId="3CEFFA6E">
      <w:pPr>
        <w:adjustRightInd w:val="0"/>
        <w:snapToGrid w:val="0"/>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7.争议解决</w:t>
      </w:r>
    </w:p>
    <w:p w14:paraId="59CFC563">
      <w:pPr>
        <w:adjustRightInd w:val="0"/>
        <w:snapToGrid w:val="0"/>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7.2调解</w:t>
      </w:r>
    </w:p>
    <w:p w14:paraId="314B4483">
      <w:pPr>
        <w:adjustRightInd w:val="0"/>
        <w:snapToGrid w:val="0"/>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如果双方不能在</w:t>
      </w:r>
      <w:r>
        <w:rPr>
          <w:rFonts w:hint="eastAsia" w:ascii="宋体" w:hAnsi="宋体" w:cs="宋体"/>
          <w:color w:val="auto"/>
          <w:highlight w:val="none"/>
          <w:u w:val="single"/>
        </w:rPr>
        <w:t>10个工作日</w:t>
      </w:r>
      <w:r>
        <w:rPr>
          <w:rFonts w:hint="eastAsia" w:ascii="宋体" w:hAnsi="宋体" w:cs="宋体"/>
          <w:color w:val="auto"/>
          <w:highlight w:val="none"/>
        </w:rPr>
        <w:t>内解决本合同争议，可以将其提交</w:t>
      </w:r>
      <w:r>
        <w:rPr>
          <w:rFonts w:hint="eastAsia" w:ascii="宋体" w:hAnsi="宋体" w:cs="宋体"/>
          <w:color w:val="auto"/>
          <w:highlight w:val="none"/>
          <w:u w:val="single"/>
        </w:rPr>
        <w:t>建设行业主管部门</w:t>
      </w:r>
      <w:r>
        <w:rPr>
          <w:rFonts w:hint="eastAsia" w:ascii="宋体" w:hAnsi="宋体" w:cs="宋体"/>
          <w:color w:val="auto"/>
          <w:highlight w:val="none"/>
        </w:rPr>
        <w:t>进行调解。</w:t>
      </w:r>
    </w:p>
    <w:p w14:paraId="5F5396B4">
      <w:pPr>
        <w:adjustRightInd w:val="0"/>
        <w:snapToGrid w:val="0"/>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7.3仲裁或诉讼</w:t>
      </w:r>
    </w:p>
    <w:p w14:paraId="5B210B15">
      <w:pPr>
        <w:adjustRightInd w:val="0"/>
        <w:snapToGrid w:val="0"/>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合同争议的最终解决方式为下列第</w:t>
      </w:r>
      <w:r>
        <w:rPr>
          <w:rFonts w:hint="eastAsia" w:ascii="宋体" w:hAnsi="宋体" w:cs="宋体"/>
          <w:color w:val="auto"/>
          <w:highlight w:val="none"/>
          <w:u w:val="single"/>
        </w:rPr>
        <w:t xml:space="preserve"> </w:t>
      </w:r>
      <w:r>
        <w:rPr>
          <w:rFonts w:hint="eastAsia" w:ascii="宋体" w:hAnsi="宋体" w:cs="宋体"/>
          <w:color w:val="auto"/>
          <w:highlight w:val="none"/>
          <w:u w:val="single"/>
          <w:lang w:val="en-US" w:eastAsia="zh-CN"/>
        </w:rPr>
        <w:t>（1）</w:t>
      </w:r>
      <w:r>
        <w:rPr>
          <w:rFonts w:hint="eastAsia" w:ascii="宋体" w:hAnsi="宋体" w:cs="宋体"/>
          <w:color w:val="auto"/>
          <w:highlight w:val="none"/>
          <w:u w:val="single"/>
        </w:rPr>
        <w:t xml:space="preserve"> </w:t>
      </w:r>
      <w:r>
        <w:rPr>
          <w:rFonts w:hint="eastAsia" w:ascii="宋体" w:hAnsi="宋体" w:cs="宋体"/>
          <w:color w:val="auto"/>
          <w:highlight w:val="none"/>
        </w:rPr>
        <w:t>种方式（由委托人任选一种）：</w:t>
      </w:r>
    </w:p>
    <w:p w14:paraId="6BFD4C5A">
      <w:pPr>
        <w:adjustRightInd w:val="0"/>
        <w:snapToGrid w:val="0"/>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（1）提请台州仲裁委员会进行仲裁。</w:t>
      </w:r>
    </w:p>
    <w:p w14:paraId="2F89D858">
      <w:pPr>
        <w:adjustRightInd w:val="0"/>
        <w:snapToGrid w:val="0"/>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（2）向委托人所在地人民法院提起诉讼。</w:t>
      </w:r>
    </w:p>
    <w:p w14:paraId="60CDD695">
      <w:pPr>
        <w:adjustRightInd w:val="0"/>
        <w:snapToGrid w:val="0"/>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8.其他</w:t>
      </w:r>
    </w:p>
    <w:p w14:paraId="784D2956">
      <w:pPr>
        <w:adjustRightInd w:val="0"/>
        <w:snapToGrid w:val="0"/>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8.1考察及相关费用</w:t>
      </w:r>
    </w:p>
    <w:p w14:paraId="1C0CFE37">
      <w:pPr>
        <w:adjustRightInd w:val="0"/>
        <w:snapToGrid w:val="0"/>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咨询人经委托人同意进行考察发生的费用由</w:t>
      </w:r>
      <w:r>
        <w:rPr>
          <w:rFonts w:hint="eastAsia" w:ascii="宋体" w:hAnsi="宋体" w:cs="宋体"/>
          <w:color w:val="auto"/>
          <w:highlight w:val="none"/>
          <w:u w:val="single"/>
        </w:rPr>
        <w:t>咨询人自行承担</w:t>
      </w:r>
      <w:r>
        <w:rPr>
          <w:rFonts w:hint="eastAsia" w:ascii="宋体" w:hAnsi="宋体" w:cs="宋体"/>
          <w:color w:val="auto"/>
          <w:highlight w:val="none"/>
        </w:rPr>
        <w:t>。</w:t>
      </w:r>
    </w:p>
    <w:p w14:paraId="49C90990">
      <w:pPr>
        <w:adjustRightInd w:val="0"/>
        <w:snapToGrid w:val="0"/>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差旅费及相关费用的支付：</w:t>
      </w:r>
      <w:r>
        <w:rPr>
          <w:rFonts w:hint="eastAsia" w:ascii="宋体" w:hAnsi="宋体" w:cs="宋体"/>
          <w:color w:val="auto"/>
          <w:highlight w:val="none"/>
          <w:u w:val="single"/>
        </w:rPr>
        <w:t xml:space="preserve">     /      </w:t>
      </w:r>
      <w:r>
        <w:rPr>
          <w:rFonts w:hint="eastAsia" w:ascii="宋体" w:hAnsi="宋体" w:cs="宋体"/>
          <w:color w:val="auto"/>
          <w:highlight w:val="none"/>
        </w:rPr>
        <w:t>。</w:t>
      </w:r>
    </w:p>
    <w:p w14:paraId="1FEAF8BE">
      <w:pPr>
        <w:adjustRightInd w:val="0"/>
        <w:snapToGrid w:val="0"/>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8.2奖励</w:t>
      </w:r>
    </w:p>
    <w:p w14:paraId="3C43E021">
      <w:pPr>
        <w:adjustRightInd w:val="0"/>
        <w:snapToGrid w:val="0"/>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合理化建议的奖励金额按下列方法确定：</w:t>
      </w:r>
      <w:r>
        <w:rPr>
          <w:rFonts w:hint="eastAsia" w:ascii="宋体" w:hAnsi="宋体" w:cs="宋体"/>
          <w:color w:val="auto"/>
          <w:highlight w:val="none"/>
          <w:u w:val="single"/>
        </w:rPr>
        <w:t xml:space="preserve">     /      </w:t>
      </w:r>
      <w:r>
        <w:rPr>
          <w:rFonts w:hint="eastAsia" w:ascii="宋体" w:hAnsi="宋体" w:cs="宋体"/>
          <w:color w:val="auto"/>
          <w:highlight w:val="none"/>
        </w:rPr>
        <w:t>。</w:t>
      </w:r>
    </w:p>
    <w:p w14:paraId="35D6081E">
      <w:pPr>
        <w:adjustRightInd w:val="0"/>
        <w:snapToGrid w:val="0"/>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8.3保密</w:t>
      </w:r>
    </w:p>
    <w:p w14:paraId="2FC3C741">
      <w:pPr>
        <w:adjustRightInd w:val="0"/>
        <w:snapToGrid w:val="0"/>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委托人申明的保密事项和期限：</w:t>
      </w:r>
      <w:r>
        <w:rPr>
          <w:rFonts w:hint="eastAsia" w:ascii="宋体" w:hAnsi="宋体" w:cs="宋体"/>
          <w:color w:val="auto"/>
          <w:highlight w:val="none"/>
          <w:u w:val="single"/>
        </w:rPr>
        <w:t>按通用条款</w:t>
      </w:r>
      <w:r>
        <w:rPr>
          <w:rFonts w:hint="eastAsia" w:ascii="宋体" w:hAnsi="宋体" w:cs="宋体"/>
          <w:color w:val="auto"/>
          <w:highlight w:val="none"/>
        </w:rPr>
        <w:t>。</w:t>
      </w:r>
    </w:p>
    <w:p w14:paraId="11EFC348">
      <w:pPr>
        <w:adjustRightInd w:val="0"/>
        <w:snapToGrid w:val="0"/>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咨询人申明的保密事项和期限：</w:t>
      </w:r>
      <w:r>
        <w:rPr>
          <w:rFonts w:hint="eastAsia" w:ascii="宋体" w:hAnsi="宋体" w:cs="宋体"/>
          <w:color w:val="auto"/>
          <w:highlight w:val="none"/>
          <w:u w:val="single"/>
        </w:rPr>
        <w:t>按通用条款</w:t>
      </w:r>
      <w:r>
        <w:rPr>
          <w:rFonts w:hint="eastAsia" w:ascii="宋体" w:hAnsi="宋体" w:cs="宋体"/>
          <w:color w:val="auto"/>
          <w:highlight w:val="none"/>
        </w:rPr>
        <w:t>。</w:t>
      </w:r>
    </w:p>
    <w:p w14:paraId="0A183C62">
      <w:pPr>
        <w:adjustRightInd w:val="0"/>
        <w:snapToGrid w:val="0"/>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第三人申明的保密事项和期限：</w:t>
      </w:r>
      <w:r>
        <w:rPr>
          <w:rFonts w:hint="eastAsia" w:ascii="宋体" w:hAnsi="宋体" w:cs="宋体"/>
          <w:color w:val="auto"/>
          <w:highlight w:val="none"/>
          <w:u w:val="single"/>
        </w:rPr>
        <w:t>按通用条款</w:t>
      </w:r>
      <w:r>
        <w:rPr>
          <w:rFonts w:hint="eastAsia" w:ascii="宋体" w:hAnsi="宋体" w:cs="宋体"/>
          <w:color w:val="auto"/>
          <w:highlight w:val="none"/>
        </w:rPr>
        <w:t>。</w:t>
      </w:r>
    </w:p>
    <w:p w14:paraId="6466665B">
      <w:pPr>
        <w:adjustRightInd w:val="0"/>
        <w:snapToGrid w:val="0"/>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8.4联络</w:t>
      </w:r>
    </w:p>
    <w:p w14:paraId="47077339">
      <w:pPr>
        <w:adjustRightInd w:val="0"/>
        <w:snapToGrid w:val="0"/>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8.4.1任何一方与合同有关的通知、指示、要求、决定等，均应在</w:t>
      </w:r>
      <w:r>
        <w:rPr>
          <w:rFonts w:hint="eastAsia" w:ascii="宋体" w:hAnsi="宋体" w:cs="宋体"/>
          <w:color w:val="auto"/>
          <w:highlight w:val="none"/>
          <w:u w:val="single"/>
        </w:rPr>
        <w:t>两个工作日</w:t>
      </w:r>
      <w:r>
        <w:rPr>
          <w:rFonts w:hint="eastAsia" w:ascii="宋体" w:hAnsi="宋体" w:cs="宋体"/>
          <w:color w:val="auto"/>
          <w:highlight w:val="none"/>
        </w:rPr>
        <w:t>内送达对方指定的接收人和送达地点。</w:t>
      </w:r>
    </w:p>
    <w:p w14:paraId="6FE0D115">
      <w:pPr>
        <w:adjustRightInd w:val="0"/>
        <w:snapToGrid w:val="0"/>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8.4.2委托人指定的送达接收人：</w:t>
      </w:r>
      <w:r>
        <w:rPr>
          <w:rFonts w:hint="eastAsia" w:ascii="宋体" w:hAnsi="宋体" w:cs="宋体"/>
          <w:color w:val="auto"/>
          <w:highlight w:val="none"/>
          <w:u w:val="single"/>
        </w:rPr>
        <w:t xml:space="preserve">              </w:t>
      </w:r>
      <w:r>
        <w:rPr>
          <w:rFonts w:hint="eastAsia" w:ascii="宋体" w:hAnsi="宋体" w:cs="宋体"/>
          <w:color w:val="auto"/>
          <w:highlight w:val="none"/>
        </w:rPr>
        <w:t>，送达地点：</w:t>
      </w:r>
      <w:r>
        <w:rPr>
          <w:rFonts w:hint="eastAsia" w:ascii="宋体" w:hAnsi="宋体" w:cs="宋体"/>
          <w:color w:val="auto"/>
          <w:highlight w:val="none"/>
          <w:u w:val="single"/>
        </w:rPr>
        <w:t xml:space="preserve">                 </w:t>
      </w:r>
      <w:r>
        <w:rPr>
          <w:rFonts w:hint="eastAsia" w:ascii="宋体" w:hAnsi="宋体" w:cs="宋体"/>
          <w:color w:val="auto"/>
          <w:highlight w:val="none"/>
        </w:rPr>
        <w:t>，电子邮箱：</w:t>
      </w:r>
      <w:r>
        <w:rPr>
          <w:rFonts w:hint="eastAsia" w:ascii="宋体" w:hAnsi="宋体" w:cs="宋体"/>
          <w:color w:val="auto"/>
          <w:highlight w:val="none"/>
          <w:u w:val="single"/>
        </w:rPr>
        <w:t xml:space="preserve">              </w:t>
      </w:r>
      <w:r>
        <w:rPr>
          <w:rFonts w:hint="eastAsia" w:ascii="宋体" w:hAnsi="宋体" w:cs="宋体"/>
          <w:color w:val="auto"/>
          <w:highlight w:val="none"/>
        </w:rPr>
        <w:t>。</w:t>
      </w:r>
    </w:p>
    <w:p w14:paraId="2E6C4211">
      <w:pPr>
        <w:adjustRightInd w:val="0"/>
        <w:snapToGrid w:val="0"/>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咨询人指定的送达接收人：</w:t>
      </w:r>
      <w:r>
        <w:rPr>
          <w:rFonts w:hint="eastAsia" w:ascii="宋体" w:hAnsi="宋体" w:cs="宋体"/>
          <w:color w:val="auto"/>
          <w:highlight w:val="none"/>
          <w:u w:val="single"/>
        </w:rPr>
        <w:t xml:space="preserve">              </w:t>
      </w:r>
      <w:r>
        <w:rPr>
          <w:rFonts w:hint="eastAsia" w:ascii="宋体" w:hAnsi="宋体" w:cs="宋体"/>
          <w:color w:val="auto"/>
          <w:highlight w:val="none"/>
        </w:rPr>
        <w:t>，送达地点：</w:t>
      </w:r>
      <w:r>
        <w:rPr>
          <w:rFonts w:hint="eastAsia" w:ascii="宋体" w:hAnsi="宋体" w:cs="宋体"/>
          <w:color w:val="auto"/>
          <w:highlight w:val="none"/>
          <w:u w:val="single"/>
        </w:rPr>
        <w:t xml:space="preserve">                 </w:t>
      </w:r>
      <w:r>
        <w:rPr>
          <w:rFonts w:hint="eastAsia" w:ascii="宋体" w:hAnsi="宋体" w:cs="宋体"/>
          <w:color w:val="auto"/>
          <w:highlight w:val="none"/>
        </w:rPr>
        <w:t>，电子邮箱：</w:t>
      </w:r>
      <w:r>
        <w:rPr>
          <w:rFonts w:hint="eastAsia" w:ascii="宋体" w:hAnsi="宋体" w:cs="宋体"/>
          <w:color w:val="auto"/>
          <w:highlight w:val="none"/>
          <w:u w:val="single"/>
        </w:rPr>
        <w:t xml:space="preserve">              </w:t>
      </w:r>
      <w:r>
        <w:rPr>
          <w:rFonts w:hint="eastAsia" w:ascii="宋体" w:hAnsi="宋体" w:cs="宋体"/>
          <w:color w:val="auto"/>
          <w:highlight w:val="none"/>
        </w:rPr>
        <w:t>。</w:t>
      </w:r>
    </w:p>
    <w:p w14:paraId="380DF0B7">
      <w:pPr>
        <w:adjustRightInd w:val="0"/>
        <w:snapToGrid w:val="0"/>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8.5知识产权</w:t>
      </w:r>
    </w:p>
    <w:p w14:paraId="7D45FF8C">
      <w:pPr>
        <w:adjustRightInd w:val="0"/>
        <w:snapToGrid w:val="0"/>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委托人提供给咨询人的图纸、委托人为实施工程自行编制或委托编制的技术规范以及反映委托人要求的或其他类似性质文件的著作权属于委托人。</w:t>
      </w:r>
    </w:p>
    <w:p w14:paraId="31ADF557">
      <w:pPr>
        <w:adjustRightInd w:val="0"/>
        <w:snapToGrid w:val="0"/>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咨询人为履行本合同约定而编制的成果文件，其著作权属于委托人。</w:t>
      </w:r>
    </w:p>
    <w:p w14:paraId="76AB71B4">
      <w:pPr>
        <w:adjustRightInd w:val="0"/>
        <w:snapToGrid w:val="0"/>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双方将履行本合同形成的有关成果文件用于企业宣传、申报奖项以及接受上级主管部门的检查须遵守以下约定：</w:t>
      </w:r>
      <w:r>
        <w:rPr>
          <w:rFonts w:hint="eastAsia" w:ascii="宋体" w:hAnsi="宋体" w:cs="宋体"/>
          <w:color w:val="auto"/>
          <w:highlight w:val="none"/>
          <w:u w:val="single"/>
        </w:rPr>
        <w:t>以相关主管部门颁发的文件为准</w:t>
      </w:r>
      <w:r>
        <w:rPr>
          <w:rFonts w:hint="eastAsia" w:ascii="宋体" w:hAnsi="宋体" w:cs="宋体"/>
          <w:color w:val="auto"/>
          <w:highlight w:val="none"/>
        </w:rPr>
        <w:t xml:space="preserve">。 </w:t>
      </w:r>
      <w:r>
        <w:rPr>
          <w:rFonts w:hint="eastAsia" w:ascii="宋体" w:hAnsi="宋体" w:cs="宋体"/>
          <w:color w:val="auto"/>
          <w:highlight w:val="none"/>
        </w:rPr>
        <w:tab/>
      </w:r>
    </w:p>
    <w:p w14:paraId="290AA53D">
      <w:pPr>
        <w:adjustRightInd w:val="0"/>
        <w:snapToGrid w:val="0"/>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9.补充条款</w:t>
      </w:r>
    </w:p>
    <w:p w14:paraId="36BB9528">
      <w:pPr>
        <w:adjustRightInd w:val="0"/>
        <w:snapToGrid w:val="0"/>
        <w:spacing w:line="360" w:lineRule="auto"/>
        <w:ind w:firstLine="422" w:firstLineChars="200"/>
        <w:rPr>
          <w:rFonts w:hint="eastAsia" w:ascii="宋体" w:hAnsi="宋体" w:cs="宋体"/>
          <w:b/>
          <w:bCs/>
          <w:color w:val="auto"/>
          <w:highlight w:val="none"/>
        </w:rPr>
      </w:pPr>
      <w:r>
        <w:rPr>
          <w:rFonts w:hint="eastAsia" w:ascii="宋体" w:hAnsi="宋体" w:cs="宋体"/>
          <w:b/>
          <w:bCs/>
          <w:color w:val="auto"/>
          <w:highlight w:val="none"/>
        </w:rPr>
        <w:t>9.1 委托人的权利</w:t>
      </w:r>
    </w:p>
    <w:p w14:paraId="41EFFC0E">
      <w:pPr>
        <w:adjustRightInd w:val="0"/>
        <w:snapToGrid w:val="0"/>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（1）有权向咨询人询问工作进展情况及相关的内容。</w:t>
      </w:r>
    </w:p>
    <w:p w14:paraId="35D01467">
      <w:pPr>
        <w:adjustRightInd w:val="0"/>
        <w:snapToGrid w:val="0"/>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（2）委托人有权监督、检查咨询人的实际工作，有权对咨询人的工作和文件成果提出合理的质疑和修改意见。但委托人修改意见的执行并不能成为咨询人免除工作质量责任的理由。</w:t>
      </w:r>
    </w:p>
    <w:p w14:paraId="3F6B15F3">
      <w:pPr>
        <w:adjustRightInd w:val="0"/>
        <w:snapToGrid w:val="0"/>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3）当委托人有理由认定咨询专业人员不按咨询合同履行其职责，或与第三人串通给委托人造成经济损失的，或咨询专业人员业务水平不能满足实际需要的，委托人有权要求更换咨询专业人员，直至终止合同并要求咨询人承担相应的赔偿责任。</w:t>
      </w:r>
    </w:p>
    <w:p w14:paraId="29CF24C3">
      <w:pPr>
        <w:adjustRightInd w:val="0"/>
        <w:snapToGrid w:val="0"/>
        <w:spacing w:line="360" w:lineRule="auto"/>
        <w:ind w:firstLine="422" w:firstLineChars="200"/>
        <w:rPr>
          <w:rFonts w:hint="eastAsia" w:ascii="宋体" w:hAnsi="宋体" w:cs="宋体"/>
          <w:b/>
          <w:bCs/>
          <w:color w:val="auto"/>
          <w:highlight w:val="none"/>
        </w:rPr>
      </w:pPr>
      <w:r>
        <w:rPr>
          <w:rFonts w:hint="eastAsia" w:ascii="宋体" w:hAnsi="宋体" w:cs="宋体"/>
          <w:b/>
          <w:bCs/>
          <w:color w:val="auto"/>
          <w:highlight w:val="none"/>
        </w:rPr>
        <w:t>9.2 咨询人的权利</w:t>
      </w:r>
    </w:p>
    <w:p w14:paraId="0EBD245C">
      <w:pPr>
        <w:adjustRightInd w:val="0"/>
        <w:snapToGrid w:val="0"/>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（1）咨询人在跟踪造价控制及咨询过程中，如委托方提供的资料不明确时可向委托方提出书面报告。</w:t>
      </w:r>
    </w:p>
    <w:p w14:paraId="35F26CCD">
      <w:pPr>
        <w:adjustRightInd w:val="0"/>
        <w:snapToGrid w:val="0"/>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（2）咨询人在跟踪造价控制及咨询过程中，有权对第三人提出与本咨询业务有关的问题进行核对或查问。</w:t>
      </w:r>
    </w:p>
    <w:p w14:paraId="2937E62D">
      <w:pPr>
        <w:adjustRightInd w:val="0"/>
        <w:snapToGrid w:val="0"/>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（3）咨询人在造价控制及咨询过程中，有到工程现场勘察的权利。</w:t>
      </w:r>
    </w:p>
    <w:p w14:paraId="540C03DA">
      <w:pPr>
        <w:adjustRightInd w:val="0"/>
        <w:snapToGrid w:val="0"/>
        <w:spacing w:line="360" w:lineRule="auto"/>
        <w:ind w:firstLine="422" w:firstLineChars="200"/>
        <w:rPr>
          <w:rFonts w:hint="eastAsia" w:ascii="宋体" w:hAnsi="宋体" w:cs="宋体"/>
          <w:color w:val="auto"/>
          <w:highlight w:val="none"/>
        </w:rPr>
      </w:pPr>
      <w:r>
        <w:rPr>
          <w:rFonts w:hint="eastAsia" w:ascii="宋体" w:hAnsi="宋体" w:cs="宋体"/>
          <w:b/>
          <w:bCs/>
          <w:color w:val="auto"/>
          <w:highlight w:val="none"/>
        </w:rPr>
        <w:t>9.3 造价咨询的出具</w:t>
      </w:r>
    </w:p>
    <w:p w14:paraId="4613E4BA">
      <w:pPr>
        <w:adjustRightInd w:val="0"/>
        <w:snapToGrid w:val="0"/>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（1）咨询人应根据委托人的要求每季度出具一次阶段性造价咨询报告：每月按时提交工程计量支付造价咨询月报，并做好相应的变更审核及中期计量审核台帐。</w:t>
      </w:r>
    </w:p>
    <w:p w14:paraId="79EC3687">
      <w:pPr>
        <w:adjustRightInd w:val="0"/>
        <w:snapToGrid w:val="0"/>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2）咨询人每次出具的专项造价咨询报告或其他造价咨询报告一式7份，其中：向委托人提供5份，向委托人提供的报告由委托人分发、使用。恰当使用审核报告是委托人的责任，如出现使用不当的情况与咨询人无关。咨询人存档 2份 。</w:t>
      </w:r>
    </w:p>
    <w:p w14:paraId="2F95828B">
      <w:pPr>
        <w:adjustRightInd w:val="0"/>
        <w:snapToGrid w:val="0"/>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（3）在出具造价咨询报告前应与委托人充分沟通，对外提供造价咨询报告时，应征得委托人同意。</w:t>
      </w:r>
    </w:p>
    <w:p w14:paraId="4928E883">
      <w:pPr>
        <w:adjustRightInd w:val="0"/>
        <w:snapToGrid w:val="0"/>
        <w:spacing w:line="360" w:lineRule="auto"/>
        <w:ind w:firstLine="422" w:firstLineChars="200"/>
        <w:rPr>
          <w:rFonts w:hint="eastAsia" w:ascii="宋体" w:hAnsi="宋体" w:cs="宋体"/>
          <w:b/>
          <w:bCs/>
          <w:color w:val="auto"/>
          <w:highlight w:val="none"/>
        </w:rPr>
      </w:pPr>
      <w:r>
        <w:rPr>
          <w:rFonts w:hint="eastAsia" w:ascii="宋体" w:hAnsi="宋体" w:cs="宋体"/>
          <w:b/>
          <w:bCs/>
          <w:color w:val="auto"/>
          <w:highlight w:val="none"/>
        </w:rPr>
        <w:t>9.4 其他</w:t>
      </w:r>
    </w:p>
    <w:p w14:paraId="062BF097">
      <w:pPr>
        <w:adjustRightInd w:val="0"/>
        <w:snapToGrid w:val="0"/>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1）非咨询人原因导致合同终止，委托人需支付咨询人合同终止前已从本合同工作时间内应获的合理服务费。由于委托人或第三者的原因使咨询人工作受到阻碍或延误以至增加了工作量或持续时间，则咨询人应当将此情况与可能产生的影响及时书面通知委托人。</w:t>
      </w:r>
    </w:p>
    <w:p w14:paraId="24E87743">
      <w:pPr>
        <w:adjustRightInd w:val="0"/>
        <w:snapToGrid w:val="0"/>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（2）未经对方的书面同意，双方均不得转让合同约定的权利和义务。</w:t>
      </w:r>
    </w:p>
    <w:p w14:paraId="6D742577">
      <w:pPr>
        <w:adjustRightInd w:val="0"/>
        <w:snapToGrid w:val="0"/>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（3）咨询人所有人员必须严守职业道德，廉洁执业，遵守“廉洁承诺书”，如咨询人所属人员违反“廉洁承诺书”条款内容导致委托人遭受损失，咨询人应对委托人的损失承担赔偿责任。</w:t>
      </w:r>
    </w:p>
    <w:p w14:paraId="103BEBDB">
      <w:pPr>
        <w:adjustRightInd w:val="0"/>
        <w:snapToGrid w:val="0"/>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4）在本协议履行期间及履行完成以后，咨询人应对委托人提供的所有相关合同、图纸、结算资料以及相关全部信息承担保密义务，未经委托人书面批准同意，不得向任何第三方复制、告知、传播或以其他方式泄密。也不得未经委托人书面批准同意接收相关新闻媒体采访。如咨询人违反保密约定导致委托人及项目相关方（包括监理、施工单位、监测单位、检测单位等）遭受损失，咨询人应对委托人及项目相关方的损失承担赔偿责任。</w:t>
      </w:r>
    </w:p>
    <w:p w14:paraId="63F236EC">
      <w:pPr>
        <w:adjustRightInd w:val="0"/>
        <w:snapToGrid w:val="0"/>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（5）本项目因投资计划改变、政策调整等原因导致项目延期或暂停或终止，咨询人不得因此要求赔偿，相关风险由咨询人在投标时综合考虑。</w:t>
      </w:r>
    </w:p>
    <w:p w14:paraId="2919829E">
      <w:pPr>
        <w:adjustRightInd w:val="0"/>
        <w:snapToGrid w:val="0"/>
        <w:spacing w:line="360" w:lineRule="auto"/>
        <w:ind w:firstLine="422" w:firstLineChars="200"/>
        <w:rPr>
          <w:rFonts w:hint="eastAsia" w:ascii="宋体" w:hAnsi="宋体" w:cs="宋体"/>
          <w:b/>
          <w:bCs/>
          <w:color w:val="auto"/>
          <w:highlight w:val="none"/>
        </w:rPr>
      </w:pPr>
      <w:r>
        <w:rPr>
          <w:rFonts w:hint="eastAsia" w:ascii="宋体" w:hAnsi="宋体" w:cs="宋体"/>
          <w:b/>
          <w:bCs/>
          <w:color w:val="auto"/>
          <w:highlight w:val="none"/>
        </w:rPr>
        <w:t>9.5 施工全过程阶段委托人对咨询人的考评标准：</w:t>
      </w:r>
    </w:p>
    <w:p w14:paraId="480FD9DA">
      <w:pPr>
        <w:tabs>
          <w:tab w:val="left" w:pos="3300"/>
        </w:tabs>
        <w:adjustRightInd w:val="0"/>
        <w:snapToGrid w:val="0"/>
        <w:spacing w:line="360" w:lineRule="auto"/>
        <w:ind w:firstLine="422" w:firstLineChars="200"/>
        <w:rPr>
          <w:rFonts w:hint="eastAsia" w:ascii="宋体" w:hAnsi="宋体" w:cs="宋体"/>
          <w:b/>
          <w:color w:val="auto"/>
          <w:kern w:val="1"/>
          <w:highlight w:val="none"/>
        </w:rPr>
      </w:pPr>
      <w:r>
        <w:rPr>
          <w:rFonts w:hint="eastAsia" w:ascii="宋体" w:hAnsi="宋体" w:cs="宋体"/>
          <w:b/>
          <w:color w:val="auto"/>
          <w:kern w:val="1"/>
          <w:highlight w:val="none"/>
        </w:rPr>
        <w:t>（1）因咨询人编制原因造成</w:t>
      </w:r>
      <w:r>
        <w:rPr>
          <w:rFonts w:hint="eastAsia" w:ascii="宋体" w:hAnsi="宋体" w:cs="宋体"/>
          <w:b/>
          <w:color w:val="auto"/>
          <w:kern w:val="1"/>
          <w:highlight w:val="none"/>
          <w:lang w:eastAsia="zh-CN"/>
        </w:rPr>
        <w:t>委托人</w:t>
      </w:r>
      <w:r>
        <w:rPr>
          <w:rFonts w:hint="eastAsia" w:ascii="宋体" w:hAnsi="宋体" w:cs="宋体"/>
          <w:b/>
          <w:color w:val="auto"/>
          <w:kern w:val="1"/>
          <w:highlight w:val="none"/>
        </w:rPr>
        <w:t>损失的按以下处罚：</w:t>
      </w:r>
    </w:p>
    <w:p w14:paraId="2A80EB7C">
      <w:pPr>
        <w:pStyle w:val="2"/>
        <w:rPr>
          <w:rFonts w:hint="eastAsia" w:ascii="宋体" w:hAnsi="宋体" w:cs="宋体"/>
          <w:b/>
          <w:color w:val="auto"/>
          <w:kern w:val="1"/>
          <w:highlight w:val="none"/>
          <w:lang w:val="en-US" w:eastAsia="zh-CN"/>
        </w:rPr>
      </w:pPr>
      <w:r>
        <w:rPr>
          <w:rFonts w:hint="eastAsia" w:ascii="宋体" w:hAnsi="宋体" w:cs="宋体"/>
          <w:b/>
          <w:color w:val="auto"/>
          <w:kern w:val="1"/>
          <w:highlight w:val="none"/>
          <w:lang w:val="en-US" w:eastAsia="zh-CN"/>
        </w:rPr>
        <w:t>1）每次咨询报告或报表核算错误偏差超1000万元及以上的，则处以违约金10万元。</w:t>
      </w:r>
    </w:p>
    <w:p w14:paraId="02AC3EA9">
      <w:pPr>
        <w:pStyle w:val="2"/>
        <w:rPr>
          <w:rFonts w:hint="eastAsia" w:ascii="宋体" w:hAnsi="宋体" w:cs="宋体"/>
          <w:b/>
          <w:color w:val="auto"/>
          <w:kern w:val="1"/>
          <w:highlight w:val="none"/>
          <w:lang w:val="en-US" w:eastAsia="zh-CN"/>
        </w:rPr>
      </w:pPr>
      <w:r>
        <w:rPr>
          <w:rFonts w:hint="eastAsia" w:ascii="宋体" w:hAnsi="宋体" w:cs="宋体"/>
          <w:b/>
          <w:color w:val="auto"/>
          <w:kern w:val="1"/>
          <w:highlight w:val="none"/>
          <w:lang w:val="en-US" w:eastAsia="zh-CN"/>
        </w:rPr>
        <w:t>2）每次咨询报告或报表核算错误偏差超100万元（含本数）-1000万元（不含本数）的，则处以违约金2万元。</w:t>
      </w:r>
    </w:p>
    <w:p w14:paraId="21D8547A">
      <w:pPr>
        <w:pStyle w:val="2"/>
        <w:rPr>
          <w:rFonts w:hint="eastAsia" w:ascii="宋体" w:hAnsi="宋体" w:cs="宋体"/>
          <w:b/>
          <w:color w:val="auto"/>
          <w:kern w:val="1"/>
          <w:highlight w:val="none"/>
          <w:lang w:val="en-US" w:eastAsia="zh-CN"/>
        </w:rPr>
      </w:pPr>
      <w:r>
        <w:rPr>
          <w:rFonts w:hint="eastAsia" w:ascii="宋体" w:hAnsi="宋体" w:cs="宋体"/>
          <w:b/>
          <w:color w:val="auto"/>
          <w:kern w:val="1"/>
          <w:highlight w:val="none"/>
          <w:lang w:val="en-US" w:eastAsia="zh-CN"/>
        </w:rPr>
        <w:t>3）每次咨询报告或报表核算错误偏差超50万元（含本数）-100万元（不含本数）的，则处以违约金1万元。</w:t>
      </w:r>
    </w:p>
    <w:p w14:paraId="443D4E72">
      <w:pPr>
        <w:pStyle w:val="2"/>
        <w:rPr>
          <w:rFonts w:hint="eastAsia" w:ascii="宋体" w:hAnsi="宋体" w:cs="宋体"/>
          <w:b/>
          <w:color w:val="auto"/>
          <w:kern w:val="1"/>
          <w:highlight w:val="none"/>
          <w:lang w:val="en-US" w:eastAsia="zh-CN"/>
        </w:rPr>
      </w:pPr>
      <w:r>
        <w:rPr>
          <w:rFonts w:hint="eastAsia" w:ascii="宋体" w:hAnsi="宋体" w:cs="宋体"/>
          <w:b/>
          <w:color w:val="auto"/>
          <w:kern w:val="1"/>
          <w:highlight w:val="none"/>
          <w:lang w:val="en-US" w:eastAsia="zh-CN"/>
        </w:rPr>
        <w:t>4）每次咨询报告或报表核算错误偏差超10万元（含本数）-50万元（不含本数）的，则处以违约金5000元。</w:t>
      </w:r>
    </w:p>
    <w:p w14:paraId="4AC78E27">
      <w:pPr>
        <w:pStyle w:val="2"/>
        <w:rPr>
          <w:rFonts w:hint="eastAsia" w:ascii="宋体" w:hAnsi="宋体" w:cs="宋体"/>
          <w:b/>
          <w:color w:val="auto"/>
          <w:kern w:val="1"/>
          <w:highlight w:val="none"/>
          <w:lang w:val="en-US" w:eastAsia="zh-CN"/>
        </w:rPr>
      </w:pPr>
      <w:r>
        <w:rPr>
          <w:rFonts w:hint="eastAsia" w:ascii="宋体" w:hAnsi="宋体" w:cs="宋体"/>
          <w:b/>
          <w:color w:val="auto"/>
          <w:kern w:val="1"/>
          <w:highlight w:val="none"/>
          <w:lang w:val="en-US" w:eastAsia="zh-CN"/>
        </w:rPr>
        <w:t>5）每次咨询报告或报表核算错误偏差超5万元（含本数）-10万元（不含本数）的，则处以违约金3000元。</w:t>
      </w:r>
    </w:p>
    <w:p w14:paraId="32FB4702">
      <w:pPr>
        <w:pStyle w:val="2"/>
        <w:rPr>
          <w:rFonts w:hint="eastAsia" w:ascii="宋体" w:hAnsi="宋体" w:cs="宋体"/>
          <w:b/>
          <w:color w:val="auto"/>
          <w:kern w:val="1"/>
          <w:highlight w:val="none"/>
          <w:lang w:val="en-US" w:eastAsia="zh-CN"/>
        </w:rPr>
      </w:pPr>
      <w:r>
        <w:rPr>
          <w:rFonts w:hint="eastAsia" w:ascii="宋体" w:hAnsi="宋体" w:cs="宋体"/>
          <w:b/>
          <w:color w:val="auto"/>
          <w:kern w:val="1"/>
          <w:highlight w:val="none"/>
          <w:lang w:val="en-US" w:eastAsia="zh-CN"/>
        </w:rPr>
        <w:t>6）每次咨询报告或报表核算错误偏差超2万元（含本数）-5万元（不含本数）的，则处以违约金1000元。</w:t>
      </w:r>
    </w:p>
    <w:p w14:paraId="53E73366">
      <w:pPr>
        <w:pStyle w:val="2"/>
        <w:rPr>
          <w:rFonts w:hint="default" w:ascii="宋体" w:hAnsi="宋体" w:cs="宋体"/>
          <w:b/>
          <w:color w:val="auto"/>
          <w:kern w:val="1"/>
          <w:highlight w:val="none"/>
          <w:lang w:val="en-US" w:eastAsia="zh-CN"/>
        </w:rPr>
      </w:pPr>
    </w:p>
    <w:p w14:paraId="60075BA8">
      <w:pPr>
        <w:tabs>
          <w:tab w:val="left" w:pos="3300"/>
        </w:tabs>
        <w:adjustRightInd w:val="0"/>
        <w:snapToGrid w:val="0"/>
        <w:spacing w:line="360" w:lineRule="auto"/>
        <w:ind w:firstLine="420" w:firstLineChars="200"/>
        <w:rPr>
          <w:rFonts w:hint="eastAsia" w:ascii="宋体" w:hAnsi="宋体" w:cs="宋体"/>
          <w:bCs/>
          <w:color w:val="auto"/>
          <w:kern w:val="1"/>
          <w:highlight w:val="none"/>
        </w:rPr>
      </w:pPr>
      <w:r>
        <w:rPr>
          <w:rFonts w:hint="eastAsia" w:ascii="宋体" w:hAnsi="宋体" w:cs="宋体"/>
          <w:bCs/>
          <w:color w:val="auto"/>
          <w:kern w:val="1"/>
          <w:highlight w:val="none"/>
        </w:rPr>
        <w:t>（</w:t>
      </w:r>
      <w:r>
        <w:rPr>
          <w:rFonts w:hint="eastAsia" w:ascii="宋体" w:hAnsi="宋体" w:cs="宋体"/>
          <w:bCs/>
          <w:color w:val="auto"/>
          <w:kern w:val="1"/>
          <w:highlight w:val="none"/>
          <w:lang w:val="en-US" w:eastAsia="zh-CN"/>
        </w:rPr>
        <w:t>2</w:t>
      </w:r>
      <w:r>
        <w:rPr>
          <w:rFonts w:hint="eastAsia" w:ascii="宋体" w:hAnsi="宋体" w:cs="宋体"/>
          <w:bCs/>
          <w:color w:val="auto"/>
          <w:kern w:val="1"/>
          <w:highlight w:val="none"/>
        </w:rPr>
        <w:t xml:space="preserve">）组织召开例会、专题例会或委托人召开的其他会议，需要造价负责人或专业造价人员参加的，委托人提前24小时告知咨询人，造价咨询机构均需按要求及时参会，若未经委托人同意无故不到会的，每人每次处罚金2000元（在最近一期进度款中扣除）。 </w:t>
      </w:r>
    </w:p>
    <w:p w14:paraId="6E63C735">
      <w:pPr>
        <w:tabs>
          <w:tab w:val="left" w:pos="3300"/>
        </w:tabs>
        <w:adjustRightInd w:val="0"/>
        <w:snapToGrid w:val="0"/>
        <w:spacing w:line="360" w:lineRule="auto"/>
        <w:ind w:firstLine="420" w:firstLineChars="200"/>
        <w:rPr>
          <w:rFonts w:hint="eastAsia" w:ascii="宋体" w:hAnsi="宋体" w:cs="宋体"/>
          <w:bCs/>
          <w:color w:val="auto"/>
          <w:kern w:val="1"/>
          <w:highlight w:val="none"/>
        </w:rPr>
      </w:pPr>
      <w:r>
        <w:rPr>
          <w:rFonts w:hint="eastAsia" w:ascii="宋体" w:hAnsi="宋体" w:cs="宋体"/>
          <w:bCs/>
          <w:color w:val="auto"/>
          <w:kern w:val="1"/>
          <w:highlight w:val="none"/>
        </w:rPr>
        <w:t>（</w:t>
      </w:r>
      <w:r>
        <w:rPr>
          <w:rFonts w:hint="eastAsia" w:ascii="宋体" w:hAnsi="宋体" w:cs="宋体"/>
          <w:bCs/>
          <w:color w:val="auto"/>
          <w:kern w:val="1"/>
          <w:highlight w:val="none"/>
          <w:lang w:val="en-US" w:eastAsia="zh-CN"/>
        </w:rPr>
        <w:t>3</w:t>
      </w:r>
      <w:r>
        <w:rPr>
          <w:rFonts w:hint="eastAsia" w:ascii="宋体" w:hAnsi="宋体" w:cs="宋体"/>
          <w:bCs/>
          <w:color w:val="auto"/>
          <w:kern w:val="1"/>
          <w:highlight w:val="none"/>
        </w:rPr>
        <w:t>）以上（1）、（2）造价咨询服务扣除的违约金总额上限为该工程造价咨询费用的30%，违约金在最近期咨询费支付时扣回。如果造价咨询机构没有履行合同，项目单位有权拒绝支付所有造价咨询费用。</w:t>
      </w:r>
    </w:p>
    <w:p w14:paraId="390B26CE">
      <w:pPr>
        <w:tabs>
          <w:tab w:val="left" w:pos="3300"/>
        </w:tabs>
        <w:adjustRightInd w:val="0"/>
        <w:snapToGrid w:val="0"/>
        <w:spacing w:line="360" w:lineRule="auto"/>
        <w:ind w:firstLine="420" w:firstLineChars="200"/>
        <w:rPr>
          <w:rFonts w:hint="eastAsia" w:ascii="宋体" w:hAnsi="宋体" w:cs="宋体"/>
          <w:bCs/>
          <w:color w:val="auto"/>
          <w:kern w:val="1"/>
          <w:highlight w:val="none"/>
        </w:rPr>
      </w:pPr>
      <w:r>
        <w:rPr>
          <w:rFonts w:hint="eastAsia" w:ascii="宋体" w:hAnsi="宋体" w:cs="宋体"/>
          <w:bCs/>
          <w:color w:val="auto"/>
          <w:kern w:val="1"/>
          <w:highlight w:val="none"/>
        </w:rPr>
        <w:t>（</w:t>
      </w:r>
      <w:r>
        <w:rPr>
          <w:rFonts w:hint="eastAsia" w:ascii="宋体" w:hAnsi="宋体" w:cs="宋体"/>
          <w:bCs/>
          <w:color w:val="auto"/>
          <w:kern w:val="1"/>
          <w:highlight w:val="none"/>
          <w:lang w:val="en-US" w:eastAsia="zh-CN"/>
        </w:rPr>
        <w:t>4</w:t>
      </w:r>
      <w:r>
        <w:rPr>
          <w:rFonts w:hint="eastAsia" w:ascii="宋体" w:hAnsi="宋体" w:cs="宋体"/>
          <w:bCs/>
          <w:color w:val="auto"/>
          <w:kern w:val="1"/>
          <w:highlight w:val="none"/>
        </w:rPr>
        <w:t>）委托人另行委托第三方（或自审）复核，如需核对，乙方须无条件配合（包括但不限于以下内容：提供计算过程稿件，提供相关原始资料等；对第三方提出的出入应如实配合）。</w:t>
      </w:r>
    </w:p>
    <w:p w14:paraId="7A73EC8F">
      <w:pPr>
        <w:tabs>
          <w:tab w:val="left" w:pos="3300"/>
        </w:tabs>
        <w:adjustRightInd w:val="0"/>
        <w:snapToGrid w:val="0"/>
        <w:spacing w:line="360" w:lineRule="auto"/>
        <w:ind w:firstLine="422" w:firstLineChars="200"/>
        <w:rPr>
          <w:rFonts w:hint="eastAsia" w:ascii="宋体" w:hAnsi="宋体" w:cs="宋体"/>
          <w:color w:val="auto"/>
          <w:kern w:val="1"/>
          <w:highlight w:val="none"/>
          <w:u w:val="single"/>
          <w:lang w:val="zh-CN"/>
        </w:rPr>
      </w:pPr>
      <w:r>
        <w:rPr>
          <w:rFonts w:hint="eastAsia" w:ascii="宋体" w:hAnsi="宋体" w:cs="宋体"/>
          <w:b/>
          <w:bCs/>
          <w:color w:val="auto"/>
          <w:kern w:val="1"/>
          <w:highlight w:val="none"/>
        </w:rPr>
        <w:t xml:space="preserve">9.5.2 </w:t>
      </w:r>
      <w:r>
        <w:rPr>
          <w:rFonts w:hint="eastAsia" w:ascii="宋体" w:hAnsi="宋体" w:cs="宋体"/>
          <w:color w:val="auto"/>
          <w:kern w:val="1"/>
          <w:highlight w:val="none"/>
          <w:lang w:val="zh-CN"/>
        </w:rPr>
        <w:t>咨询人如有下列情况之一者，委托人有权解除合同，给委托人造成损失的，咨询人还应赔偿全部损失：</w:t>
      </w:r>
    </w:p>
    <w:p w14:paraId="502656FA">
      <w:pPr>
        <w:tabs>
          <w:tab w:val="left" w:pos="3300"/>
        </w:tabs>
        <w:adjustRightInd w:val="0"/>
        <w:snapToGrid w:val="0"/>
        <w:spacing w:line="360" w:lineRule="auto"/>
        <w:ind w:firstLine="420" w:firstLineChars="200"/>
        <w:rPr>
          <w:rFonts w:hint="eastAsia" w:ascii="宋体" w:hAnsi="宋体" w:cs="宋体"/>
          <w:color w:val="auto"/>
          <w:kern w:val="1"/>
          <w:highlight w:val="none"/>
          <w:u w:val="single"/>
          <w:lang w:val="zh-CN"/>
        </w:rPr>
      </w:pPr>
      <w:r>
        <w:rPr>
          <w:rFonts w:hint="eastAsia" w:ascii="宋体" w:hAnsi="宋体" w:cs="宋体"/>
          <w:color w:val="auto"/>
          <w:kern w:val="1"/>
          <w:highlight w:val="none"/>
          <w:u w:val="single"/>
          <w:lang w:val="zh-CN"/>
        </w:rPr>
        <w:t>①收受施工、材料设备供应等单位的财物与请吃、旅游等形式的不当利益。</w:t>
      </w:r>
    </w:p>
    <w:p w14:paraId="783D848D">
      <w:pPr>
        <w:tabs>
          <w:tab w:val="left" w:pos="3300"/>
        </w:tabs>
        <w:adjustRightInd w:val="0"/>
        <w:snapToGrid w:val="0"/>
        <w:spacing w:line="360" w:lineRule="auto"/>
        <w:ind w:firstLine="420" w:firstLineChars="200"/>
        <w:rPr>
          <w:rFonts w:hint="eastAsia" w:ascii="宋体" w:hAnsi="宋体" w:cs="宋体"/>
          <w:color w:val="auto"/>
          <w:kern w:val="1"/>
          <w:highlight w:val="none"/>
          <w:u w:val="single"/>
          <w:lang w:val="zh-CN"/>
        </w:rPr>
      </w:pPr>
      <w:r>
        <w:rPr>
          <w:rFonts w:hint="eastAsia" w:ascii="宋体" w:hAnsi="宋体" w:cs="宋体"/>
          <w:color w:val="auto"/>
          <w:kern w:val="1"/>
          <w:highlight w:val="none"/>
          <w:u w:val="single"/>
          <w:lang w:val="zh-CN"/>
        </w:rPr>
        <w:t>②未遵守保密条款。</w:t>
      </w:r>
    </w:p>
    <w:p w14:paraId="55FD909C">
      <w:pPr>
        <w:tabs>
          <w:tab w:val="left" w:pos="3300"/>
        </w:tabs>
        <w:adjustRightInd w:val="0"/>
        <w:snapToGrid w:val="0"/>
        <w:spacing w:line="360" w:lineRule="auto"/>
        <w:ind w:firstLine="420" w:firstLineChars="200"/>
        <w:rPr>
          <w:rFonts w:hint="eastAsia" w:ascii="宋体" w:hAnsi="宋体" w:cs="宋体"/>
          <w:color w:val="auto"/>
          <w:kern w:val="1"/>
          <w:highlight w:val="none"/>
          <w:u w:val="single"/>
          <w:lang w:val="zh-CN"/>
        </w:rPr>
      </w:pPr>
      <w:r>
        <w:rPr>
          <w:rFonts w:hint="eastAsia" w:ascii="宋体" w:hAnsi="宋体" w:cs="宋体"/>
          <w:color w:val="auto"/>
          <w:kern w:val="1"/>
          <w:highlight w:val="none"/>
          <w:u w:val="single"/>
          <w:lang w:val="zh-CN"/>
        </w:rPr>
        <w:fldChar w:fldCharType="begin"/>
      </w:r>
      <w:r>
        <w:rPr>
          <w:rFonts w:hint="eastAsia" w:ascii="宋体" w:hAnsi="宋体" w:cs="宋体"/>
          <w:color w:val="auto"/>
          <w:kern w:val="1"/>
          <w:highlight w:val="none"/>
          <w:u w:val="single"/>
          <w:lang w:val="zh-CN"/>
        </w:rPr>
        <w:instrText xml:space="preserve"> = 3 \* GB3 \* MERGEFORMAT </w:instrText>
      </w:r>
      <w:r>
        <w:rPr>
          <w:rFonts w:hint="eastAsia" w:ascii="宋体" w:hAnsi="宋体" w:cs="宋体"/>
          <w:color w:val="auto"/>
          <w:kern w:val="1"/>
          <w:highlight w:val="none"/>
          <w:u w:val="single"/>
          <w:lang w:val="zh-CN"/>
        </w:rPr>
        <w:fldChar w:fldCharType="separate"/>
      </w:r>
      <w:r>
        <w:rPr>
          <w:rFonts w:hint="eastAsia" w:ascii="宋体" w:hAnsi="宋体" w:cs="宋体"/>
          <w:color w:val="auto"/>
          <w:kern w:val="1"/>
          <w:highlight w:val="none"/>
          <w:u w:val="single"/>
          <w:lang w:val="zh-CN"/>
        </w:rPr>
        <w:t>③</w:t>
      </w:r>
      <w:r>
        <w:rPr>
          <w:rFonts w:hint="eastAsia" w:ascii="宋体" w:hAnsi="宋体" w:cs="宋体"/>
          <w:color w:val="auto"/>
          <w:kern w:val="1"/>
          <w:highlight w:val="none"/>
          <w:u w:val="single"/>
          <w:lang w:val="zh-CN"/>
        </w:rPr>
        <w:fldChar w:fldCharType="end"/>
      </w:r>
      <w:r>
        <w:rPr>
          <w:rFonts w:hint="eastAsia" w:ascii="宋体" w:hAnsi="宋体" w:cs="宋体"/>
          <w:color w:val="auto"/>
          <w:kern w:val="1"/>
          <w:highlight w:val="none"/>
          <w:u w:val="single"/>
          <w:lang w:val="zh-CN"/>
        </w:rPr>
        <w:t>擅自转让合同约定的权利和义务。</w:t>
      </w:r>
    </w:p>
    <w:p w14:paraId="449CCAB2">
      <w:pPr>
        <w:tabs>
          <w:tab w:val="left" w:pos="3300"/>
        </w:tabs>
        <w:adjustRightInd w:val="0"/>
        <w:snapToGrid w:val="0"/>
        <w:spacing w:line="360" w:lineRule="auto"/>
        <w:ind w:firstLine="420" w:firstLineChars="200"/>
        <w:rPr>
          <w:rFonts w:hint="eastAsia" w:ascii="宋体" w:hAnsi="宋体" w:cs="宋体"/>
          <w:color w:val="auto"/>
          <w:kern w:val="1"/>
          <w:highlight w:val="none"/>
          <w:u w:val="single"/>
          <w:lang w:val="zh-CN"/>
        </w:rPr>
      </w:pPr>
      <w:r>
        <w:rPr>
          <w:rFonts w:hint="eastAsia" w:ascii="宋体" w:hAnsi="宋体" w:cs="宋体"/>
          <w:color w:val="auto"/>
          <w:kern w:val="1"/>
          <w:highlight w:val="none"/>
          <w:u w:val="single"/>
          <w:lang w:val="zh-CN"/>
        </w:rPr>
        <w:fldChar w:fldCharType="begin"/>
      </w:r>
      <w:r>
        <w:rPr>
          <w:rFonts w:hint="eastAsia" w:ascii="宋体" w:hAnsi="宋体" w:cs="宋体"/>
          <w:color w:val="auto"/>
          <w:kern w:val="1"/>
          <w:highlight w:val="none"/>
          <w:u w:val="single"/>
          <w:lang w:val="zh-CN"/>
        </w:rPr>
        <w:instrText xml:space="preserve"> = 4 \* GB3 \* MERGEFORMAT </w:instrText>
      </w:r>
      <w:r>
        <w:rPr>
          <w:rFonts w:hint="eastAsia" w:ascii="宋体" w:hAnsi="宋体" w:cs="宋体"/>
          <w:color w:val="auto"/>
          <w:kern w:val="1"/>
          <w:highlight w:val="none"/>
          <w:u w:val="single"/>
          <w:lang w:val="zh-CN"/>
        </w:rPr>
        <w:fldChar w:fldCharType="separate"/>
      </w:r>
      <w:r>
        <w:rPr>
          <w:rFonts w:hint="eastAsia" w:ascii="宋体" w:hAnsi="宋体" w:cs="宋体"/>
          <w:color w:val="auto"/>
          <w:kern w:val="1"/>
          <w:highlight w:val="none"/>
          <w:u w:val="single"/>
          <w:lang w:val="zh-CN"/>
        </w:rPr>
        <w:t>④</w:t>
      </w:r>
      <w:r>
        <w:rPr>
          <w:rFonts w:hint="eastAsia" w:ascii="宋体" w:hAnsi="宋体" w:cs="宋体"/>
          <w:color w:val="auto"/>
          <w:kern w:val="1"/>
          <w:highlight w:val="none"/>
          <w:u w:val="single"/>
          <w:lang w:val="zh-CN"/>
        </w:rPr>
        <w:fldChar w:fldCharType="end"/>
      </w:r>
      <w:r>
        <w:rPr>
          <w:rFonts w:hint="eastAsia" w:ascii="宋体" w:hAnsi="宋体" w:cs="宋体"/>
          <w:color w:val="auto"/>
          <w:kern w:val="1"/>
          <w:highlight w:val="none"/>
          <w:u w:val="single"/>
          <w:lang w:val="zh-CN"/>
        </w:rPr>
        <w:t>参与可能与委托方利益相冲突的任何活动。</w:t>
      </w:r>
    </w:p>
    <w:p w14:paraId="1BC23CE2">
      <w:pPr>
        <w:tabs>
          <w:tab w:val="left" w:pos="3300"/>
        </w:tabs>
        <w:adjustRightInd w:val="0"/>
        <w:snapToGrid w:val="0"/>
        <w:spacing w:line="360" w:lineRule="auto"/>
        <w:ind w:firstLine="420" w:firstLineChars="200"/>
        <w:rPr>
          <w:rFonts w:hint="eastAsia" w:ascii="宋体" w:hAnsi="宋体" w:cs="宋体"/>
          <w:color w:val="auto"/>
          <w:kern w:val="1"/>
          <w:highlight w:val="none"/>
          <w:u w:val="single"/>
          <w:lang w:val="zh-CN"/>
        </w:rPr>
      </w:pPr>
      <w:r>
        <w:rPr>
          <w:rFonts w:hint="eastAsia" w:ascii="宋体" w:hAnsi="宋体" w:cs="宋体"/>
          <w:color w:val="auto"/>
          <w:kern w:val="1"/>
          <w:highlight w:val="none"/>
          <w:u w:val="single"/>
          <w:lang w:val="zh-CN"/>
        </w:rPr>
        <w:fldChar w:fldCharType="begin"/>
      </w:r>
      <w:r>
        <w:rPr>
          <w:rFonts w:hint="eastAsia" w:ascii="宋体" w:hAnsi="宋体" w:cs="宋体"/>
          <w:color w:val="auto"/>
          <w:kern w:val="1"/>
          <w:highlight w:val="none"/>
          <w:u w:val="single"/>
          <w:lang w:val="zh-CN"/>
        </w:rPr>
        <w:instrText xml:space="preserve"> = 5 \* GB3 \* MERGEFORMAT </w:instrText>
      </w:r>
      <w:r>
        <w:rPr>
          <w:rFonts w:hint="eastAsia" w:ascii="宋体" w:hAnsi="宋体" w:cs="宋体"/>
          <w:color w:val="auto"/>
          <w:kern w:val="1"/>
          <w:highlight w:val="none"/>
          <w:u w:val="single"/>
          <w:lang w:val="zh-CN"/>
        </w:rPr>
        <w:fldChar w:fldCharType="separate"/>
      </w:r>
      <w:r>
        <w:rPr>
          <w:rFonts w:hint="eastAsia" w:ascii="宋体" w:hAnsi="宋体" w:cs="宋体"/>
          <w:color w:val="auto"/>
          <w:kern w:val="1"/>
          <w:highlight w:val="none"/>
          <w:u w:val="single"/>
          <w:lang w:val="zh-CN"/>
        </w:rPr>
        <w:t>⑤</w:t>
      </w:r>
      <w:r>
        <w:rPr>
          <w:rFonts w:hint="eastAsia" w:ascii="宋体" w:hAnsi="宋体" w:cs="宋体"/>
          <w:color w:val="auto"/>
          <w:kern w:val="1"/>
          <w:highlight w:val="none"/>
          <w:u w:val="single"/>
          <w:lang w:val="zh-CN"/>
        </w:rPr>
        <w:fldChar w:fldCharType="end"/>
      </w:r>
      <w:r>
        <w:rPr>
          <w:rFonts w:hint="eastAsia" w:ascii="宋体" w:hAnsi="宋体" w:cs="宋体"/>
          <w:color w:val="auto"/>
          <w:kern w:val="1"/>
          <w:highlight w:val="none"/>
          <w:u w:val="single"/>
          <w:lang w:val="zh-CN"/>
        </w:rPr>
        <w:t>应委托人要求更换的不称职</w:t>
      </w:r>
      <w:r>
        <w:rPr>
          <w:rFonts w:hint="eastAsia" w:ascii="宋体" w:hAnsi="宋体" w:cs="宋体"/>
          <w:color w:val="auto"/>
          <w:kern w:val="1"/>
          <w:highlight w:val="none"/>
          <w:u w:val="single"/>
        </w:rPr>
        <w:t>现场驻场人员</w:t>
      </w:r>
      <w:r>
        <w:rPr>
          <w:rFonts w:hint="eastAsia" w:ascii="宋体" w:hAnsi="宋体" w:cs="宋体"/>
          <w:color w:val="auto"/>
          <w:kern w:val="1"/>
          <w:highlight w:val="none"/>
          <w:u w:val="single"/>
          <w:lang w:val="zh-CN"/>
        </w:rPr>
        <w:t>的人数超过（6）人次。</w:t>
      </w:r>
    </w:p>
    <w:p w14:paraId="4086A5ED">
      <w:pPr>
        <w:tabs>
          <w:tab w:val="left" w:pos="3300"/>
        </w:tabs>
        <w:adjustRightInd w:val="0"/>
        <w:snapToGrid w:val="0"/>
        <w:spacing w:line="360" w:lineRule="auto"/>
        <w:ind w:firstLine="420" w:firstLineChars="200"/>
        <w:rPr>
          <w:rFonts w:hint="eastAsia" w:ascii="宋体" w:hAnsi="宋体" w:cs="宋体"/>
          <w:color w:val="auto"/>
          <w:kern w:val="1"/>
          <w:highlight w:val="none"/>
          <w:u w:val="single"/>
          <w:lang w:val="zh-CN"/>
        </w:rPr>
      </w:pPr>
      <w:r>
        <w:rPr>
          <w:rFonts w:hint="eastAsia" w:ascii="宋体" w:hAnsi="宋体" w:cs="宋体"/>
          <w:color w:val="auto"/>
          <w:kern w:val="1"/>
          <w:highlight w:val="none"/>
          <w:u w:val="single"/>
          <w:lang w:val="zh-CN"/>
        </w:rPr>
        <w:fldChar w:fldCharType="begin"/>
      </w:r>
      <w:r>
        <w:rPr>
          <w:rFonts w:hint="eastAsia" w:ascii="宋体" w:hAnsi="宋体" w:cs="宋体"/>
          <w:color w:val="auto"/>
          <w:kern w:val="1"/>
          <w:highlight w:val="none"/>
          <w:u w:val="single"/>
          <w:lang w:val="zh-CN"/>
        </w:rPr>
        <w:instrText xml:space="preserve"> = 6 \* GB3 \* MERGEFORMAT </w:instrText>
      </w:r>
      <w:r>
        <w:rPr>
          <w:rFonts w:hint="eastAsia" w:ascii="宋体" w:hAnsi="宋体" w:cs="宋体"/>
          <w:color w:val="auto"/>
          <w:kern w:val="1"/>
          <w:highlight w:val="none"/>
          <w:u w:val="single"/>
          <w:lang w:val="zh-CN"/>
        </w:rPr>
        <w:fldChar w:fldCharType="separate"/>
      </w:r>
      <w:r>
        <w:rPr>
          <w:rFonts w:hint="eastAsia" w:ascii="宋体" w:hAnsi="宋体" w:cs="宋体"/>
          <w:color w:val="auto"/>
          <w:kern w:val="1"/>
          <w:highlight w:val="none"/>
          <w:u w:val="single"/>
          <w:lang w:val="zh-CN"/>
        </w:rPr>
        <w:t>⑥</w:t>
      </w:r>
      <w:r>
        <w:rPr>
          <w:rFonts w:hint="eastAsia" w:ascii="宋体" w:hAnsi="宋体" w:cs="宋体"/>
          <w:color w:val="auto"/>
          <w:kern w:val="1"/>
          <w:highlight w:val="none"/>
          <w:u w:val="single"/>
          <w:lang w:val="zh-CN"/>
        </w:rPr>
        <w:fldChar w:fldCharType="end"/>
      </w:r>
      <w:r>
        <w:rPr>
          <w:rFonts w:hint="eastAsia" w:ascii="宋体" w:hAnsi="宋体" w:cs="宋体"/>
          <w:color w:val="auto"/>
          <w:kern w:val="1"/>
          <w:highlight w:val="none"/>
          <w:u w:val="single"/>
          <w:lang w:val="zh-CN"/>
        </w:rPr>
        <w:t>未按投标承诺执行并完成咨询业务。</w:t>
      </w:r>
    </w:p>
    <w:p w14:paraId="15254EDA">
      <w:pPr>
        <w:adjustRightInd w:val="0"/>
        <w:snapToGrid w:val="0"/>
        <w:spacing w:line="360" w:lineRule="auto"/>
        <w:ind w:firstLine="422" w:firstLineChars="200"/>
        <w:rPr>
          <w:rFonts w:hint="eastAsia" w:ascii="宋体" w:hAnsi="宋体" w:cs="宋体"/>
          <w:b/>
          <w:bCs/>
          <w:color w:val="auto"/>
          <w:highlight w:val="none"/>
        </w:rPr>
      </w:pPr>
      <w:r>
        <w:rPr>
          <w:rFonts w:hint="eastAsia" w:ascii="宋体" w:hAnsi="宋体" w:cs="宋体"/>
          <w:b/>
          <w:bCs/>
          <w:color w:val="auto"/>
          <w:highlight w:val="none"/>
        </w:rPr>
        <w:t>9.6 施工阶段全过程工程造价控制及咨询的控制目标和控制工作要求</w:t>
      </w:r>
    </w:p>
    <w:p w14:paraId="025555AF">
      <w:pPr>
        <w:adjustRightInd w:val="0"/>
        <w:snapToGrid w:val="0"/>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咨询人应认真履行工程造价控制及咨询职责，并应协助委托人做好施工阶段全过程工程造价的事前管理、事中管理、事后管理。</w:t>
      </w:r>
    </w:p>
    <w:p w14:paraId="7BBDE74E">
      <w:pPr>
        <w:adjustRightInd w:val="0"/>
        <w:snapToGrid w:val="0"/>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积极配合委托人的法定</w:t>
      </w:r>
      <w:r>
        <w:rPr>
          <w:rFonts w:hint="eastAsia" w:ascii="宋体" w:hAnsi="宋体" w:cs="宋体"/>
          <w:color w:val="auto"/>
          <w:highlight w:val="none"/>
          <w:lang w:val="en-US" w:eastAsia="zh-CN"/>
        </w:rPr>
        <w:t>复核</w:t>
      </w:r>
      <w:r>
        <w:rPr>
          <w:rFonts w:hint="eastAsia" w:ascii="宋体" w:hAnsi="宋体" w:cs="宋体"/>
          <w:color w:val="auto"/>
          <w:highlight w:val="none"/>
        </w:rPr>
        <w:t>（含委托人上级各部门的</w:t>
      </w:r>
      <w:r>
        <w:rPr>
          <w:rFonts w:hint="eastAsia" w:ascii="宋体" w:hAnsi="宋体" w:cs="宋体"/>
          <w:color w:val="auto"/>
          <w:highlight w:val="none"/>
          <w:lang w:val="en-US" w:eastAsia="zh-CN"/>
        </w:rPr>
        <w:t>复核</w:t>
      </w:r>
      <w:r>
        <w:rPr>
          <w:rFonts w:hint="eastAsia" w:ascii="宋体" w:hAnsi="宋体" w:cs="宋体"/>
          <w:color w:val="auto"/>
          <w:highlight w:val="none"/>
        </w:rPr>
        <w:t>）工作</w:t>
      </w:r>
      <w:r>
        <w:rPr>
          <w:rFonts w:hint="eastAsia" w:ascii="宋体" w:hAnsi="宋体" w:cs="宋体"/>
          <w:color w:val="auto"/>
          <w:highlight w:val="none"/>
        </w:rPr>
        <w:t>，</w:t>
      </w:r>
      <w:r>
        <w:rPr>
          <w:rFonts w:hint="eastAsia" w:ascii="宋体" w:hAnsi="宋体" w:cs="宋体"/>
          <w:color w:val="auto"/>
          <w:highlight w:val="none"/>
        </w:rPr>
        <w:t>并及时提交各项所需资料。具体要求如下（但不仅限于）：</w:t>
      </w:r>
    </w:p>
    <w:p w14:paraId="53E7D434">
      <w:pPr>
        <w:adjustRightInd w:val="0"/>
        <w:snapToGrid w:val="0"/>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（1）必须根据委托人要求在限定的时间内出具详细的书面审核意见，审核意见书上须有项目负责人的签字并加盖单位公章。</w:t>
      </w:r>
    </w:p>
    <w:p w14:paraId="7769B4D6">
      <w:pPr>
        <w:adjustRightInd w:val="0"/>
        <w:snapToGrid w:val="0"/>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（2）对工程项目初审结果须以正式的书面报告向委托人详细通报，使委托人充分了解核减与核增的细项和原因，及有关不确定问题政策依据、处理态度以及建议。</w:t>
      </w:r>
    </w:p>
    <w:p w14:paraId="06A5F169">
      <w:pPr>
        <w:adjustRightInd w:val="0"/>
        <w:snapToGrid w:val="0"/>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（3）咨询人与施工单位对帐后，审核结果须向委托人书面说明，委托人有权进行复核。</w:t>
      </w:r>
    </w:p>
    <w:p w14:paraId="2A81C0BB">
      <w:pPr>
        <w:adjustRightInd w:val="0"/>
        <w:snapToGrid w:val="0"/>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（4）委托人有权对审核结果提交第三方复核。委托人可视咨询人在施工阶段全过程造价控制及咨询工作中的表现，委托人有权单方面解除合同，并不补偿任何费用。</w:t>
      </w:r>
    </w:p>
    <w:p w14:paraId="6461AD1B">
      <w:pPr>
        <w:adjustRightInd w:val="0"/>
        <w:snapToGrid w:val="0"/>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（5）咨询人应按照客观、独立、公正的原则实施</w:t>
      </w:r>
      <w:r>
        <w:rPr>
          <w:rFonts w:hint="eastAsia" w:ascii="宋体" w:hAnsi="宋体" w:cs="宋体"/>
          <w:color w:val="auto"/>
          <w:highlight w:val="none"/>
          <w:lang w:val="en-US" w:eastAsia="zh-CN"/>
        </w:rPr>
        <w:t>咨询</w:t>
      </w:r>
      <w:r>
        <w:rPr>
          <w:rFonts w:hint="eastAsia" w:ascii="宋体" w:hAnsi="宋体" w:cs="宋体"/>
          <w:color w:val="auto"/>
          <w:highlight w:val="none"/>
        </w:rPr>
        <w:t>工作，依法维护委托人的合法权益，不得收受施工单位等其他单位赠送的礼品及财物，如发现有收受财物现象的，委托人可直接解除合同，并追究咨询人的违约责任。</w:t>
      </w:r>
    </w:p>
    <w:p w14:paraId="6E3FBB3A">
      <w:pPr>
        <w:autoSpaceDE w:val="0"/>
        <w:autoSpaceDN w:val="0"/>
        <w:adjustRightInd w:val="0"/>
        <w:snapToGrid w:val="0"/>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（6）未经委托人同意不得向第三方透漏具体</w:t>
      </w:r>
      <w:r>
        <w:rPr>
          <w:rFonts w:hint="eastAsia" w:ascii="宋体" w:hAnsi="宋体" w:cs="宋体"/>
          <w:color w:val="auto"/>
          <w:highlight w:val="none"/>
          <w:lang w:val="en-US" w:eastAsia="zh-CN"/>
        </w:rPr>
        <w:t>咨询</w:t>
      </w:r>
      <w:r>
        <w:rPr>
          <w:rFonts w:hint="eastAsia" w:ascii="宋体" w:hAnsi="宋体" w:cs="宋体"/>
          <w:color w:val="auto"/>
          <w:highlight w:val="none"/>
        </w:rPr>
        <w:t>项目的内容，不得泄漏</w:t>
      </w:r>
      <w:r>
        <w:rPr>
          <w:rFonts w:hint="eastAsia" w:ascii="宋体" w:hAnsi="宋体" w:cs="宋体"/>
          <w:color w:val="auto"/>
          <w:highlight w:val="none"/>
          <w:lang w:val="en-US" w:eastAsia="zh-CN"/>
        </w:rPr>
        <w:t>项目相关</w:t>
      </w:r>
      <w:r>
        <w:rPr>
          <w:rFonts w:hint="eastAsia" w:ascii="宋体" w:hAnsi="宋体" w:cs="宋体"/>
          <w:color w:val="auto"/>
          <w:highlight w:val="none"/>
        </w:rPr>
        <w:t>单位的商业秘密，否则委托人可直接解除合同，并追究咨询人的违约责任。</w:t>
      </w:r>
    </w:p>
    <w:p w14:paraId="6C717209">
      <w:pPr>
        <w:autoSpaceDE w:val="0"/>
        <w:autoSpaceDN w:val="0"/>
        <w:adjustRightInd w:val="0"/>
        <w:snapToGrid w:val="0"/>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（7）在执行本项目工作期间，因咨询人或其工作人员过失造成委托人经济损失的，咨询人应全额赔偿委托人。</w:t>
      </w:r>
    </w:p>
    <w:p w14:paraId="6EA04F6F">
      <w:pPr>
        <w:adjustRightInd w:val="0"/>
        <w:snapToGrid w:val="0"/>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8）在执行本项目工作期间，未经委托人书面同意，咨询人不能随意更换项目负责人和现场驻场人员。委托人有权要求咨询人在限定时间内更换不称职的现场驻场人员，若因此更换的人次在6次以上的，委托人有权直接解除合同。</w:t>
      </w:r>
    </w:p>
    <w:p w14:paraId="5CE8B166">
      <w:pPr>
        <w:adjustRightInd w:val="0"/>
        <w:snapToGrid w:val="0"/>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（9）要求咨询人根据</w:t>
      </w:r>
      <w:r>
        <w:rPr>
          <w:rFonts w:hint="eastAsia" w:ascii="宋体" w:hAnsi="宋体" w:cs="宋体"/>
          <w:color w:val="auto"/>
          <w:highlight w:val="none"/>
          <w:lang w:val="en-US" w:eastAsia="zh-CN"/>
        </w:rPr>
        <w:t>工作</w:t>
      </w:r>
      <w:r>
        <w:rPr>
          <w:rFonts w:hint="eastAsia" w:ascii="宋体" w:hAnsi="宋体" w:cs="宋体"/>
          <w:color w:val="auto"/>
          <w:highlight w:val="none"/>
        </w:rPr>
        <w:t>需要安排常驻工地人员、定期踏勘现场、施工过程旁站要求项目负责人及造价工程师身体健康，能够适应工程现场工作。</w:t>
      </w:r>
    </w:p>
    <w:p w14:paraId="09A62E8C">
      <w:pPr>
        <w:spacing w:line="360" w:lineRule="auto"/>
        <w:ind w:firstLine="420" w:firstLineChars="200"/>
        <w:jc w:val="left"/>
        <w:rPr>
          <w:rFonts w:ascii="宋体" w:hAnsi="宋体" w:cs="宋体"/>
          <w:color w:val="auto"/>
          <w:sz w:val="24"/>
          <w:highlight w:val="none"/>
        </w:rPr>
      </w:pPr>
      <w:r>
        <w:rPr>
          <w:rFonts w:hint="eastAsia" w:ascii="宋体" w:hAnsi="宋体" w:cs="宋体"/>
          <w:color w:val="auto"/>
          <w:highlight w:val="none"/>
        </w:rPr>
        <w:t>（10）本项目常驻人员为造价专业人员，并根据</w:t>
      </w:r>
      <w:r>
        <w:rPr>
          <w:rFonts w:hint="eastAsia" w:ascii="宋体" w:hAnsi="宋体" w:cs="宋体"/>
          <w:color w:val="auto"/>
          <w:highlight w:val="none"/>
          <w:lang w:val="en-US" w:eastAsia="zh-CN"/>
        </w:rPr>
        <w:t>工作</w:t>
      </w:r>
      <w:r>
        <w:rPr>
          <w:rFonts w:hint="eastAsia" w:ascii="宋体" w:hAnsi="宋体" w:cs="宋体"/>
          <w:color w:val="auto"/>
          <w:highlight w:val="none"/>
        </w:rPr>
        <w:t>需要或委托人要求及时增派各相关专业人员。项目负责人及驻场造价</w:t>
      </w:r>
      <w:r>
        <w:rPr>
          <w:rFonts w:hint="eastAsia" w:ascii="宋体" w:hAnsi="宋体" w:cs="宋体"/>
          <w:color w:val="auto"/>
          <w:highlight w:val="none"/>
          <w:lang w:val="en-US" w:eastAsia="zh-CN"/>
        </w:rPr>
        <w:t>咨询</w:t>
      </w:r>
      <w:r>
        <w:rPr>
          <w:rFonts w:hint="eastAsia" w:ascii="宋体" w:hAnsi="宋体" w:cs="宋体"/>
          <w:color w:val="auto"/>
          <w:highlight w:val="none"/>
        </w:rPr>
        <w:t>服务人员未经委托人同意不得随意更换变动，因客观情况确需更换的，应征得委托人同意，且更换后的人员不得低于原投标承诺人员所具有的资格。</w:t>
      </w:r>
    </w:p>
    <w:p w14:paraId="75A519E0">
      <w:pPr>
        <w:pStyle w:val="62"/>
        <w:rPr>
          <w:rFonts w:hAnsi="宋体" w:cs="Times New Roman"/>
          <w:color w:val="auto"/>
          <w:sz w:val="21"/>
          <w:szCs w:val="21"/>
          <w:highlight w:val="none"/>
        </w:rPr>
      </w:pPr>
    </w:p>
    <w:p w14:paraId="05617100">
      <w:pPr>
        <w:pStyle w:val="62"/>
        <w:rPr>
          <w:rFonts w:hAnsi="宋体" w:cs="Times New Roman"/>
          <w:color w:val="auto"/>
          <w:sz w:val="21"/>
          <w:szCs w:val="21"/>
          <w:highlight w:val="none"/>
        </w:rPr>
      </w:pPr>
    </w:p>
    <w:p w14:paraId="20758E34">
      <w:pPr>
        <w:pStyle w:val="62"/>
        <w:rPr>
          <w:rFonts w:hAnsi="宋体" w:cs="Times New Roman"/>
          <w:color w:val="auto"/>
          <w:sz w:val="21"/>
          <w:szCs w:val="21"/>
          <w:highlight w:val="none"/>
        </w:rPr>
      </w:pPr>
    </w:p>
    <w:p w14:paraId="637D07FD">
      <w:pPr>
        <w:pStyle w:val="62"/>
        <w:rPr>
          <w:rFonts w:hAnsi="宋体" w:cs="Times New Roman"/>
          <w:color w:val="auto"/>
          <w:sz w:val="21"/>
          <w:szCs w:val="21"/>
          <w:highlight w:val="none"/>
        </w:rPr>
      </w:pPr>
    </w:p>
    <w:p w14:paraId="6CD84480">
      <w:pPr>
        <w:pStyle w:val="62"/>
        <w:rPr>
          <w:rFonts w:hAnsi="宋体" w:cs="Times New Roman"/>
          <w:color w:val="auto"/>
          <w:sz w:val="21"/>
          <w:szCs w:val="21"/>
          <w:highlight w:val="none"/>
        </w:rPr>
      </w:pPr>
    </w:p>
    <w:p w14:paraId="2EE5EB56">
      <w:pPr>
        <w:pStyle w:val="62"/>
        <w:rPr>
          <w:rFonts w:hAnsi="宋体" w:cs="Times New Roman"/>
          <w:color w:val="auto"/>
          <w:sz w:val="21"/>
          <w:szCs w:val="21"/>
          <w:highlight w:val="none"/>
        </w:rPr>
      </w:pPr>
    </w:p>
    <w:p w14:paraId="6BDCE076">
      <w:pPr>
        <w:pStyle w:val="62"/>
        <w:rPr>
          <w:rFonts w:hAnsi="宋体" w:cs="Times New Roman"/>
          <w:color w:val="auto"/>
          <w:sz w:val="21"/>
          <w:szCs w:val="21"/>
          <w:highlight w:val="none"/>
        </w:rPr>
      </w:pPr>
    </w:p>
    <w:p w14:paraId="464ABBEE">
      <w:pPr>
        <w:pStyle w:val="62"/>
        <w:rPr>
          <w:rFonts w:hAnsi="宋体" w:cs="Times New Roman"/>
          <w:color w:val="auto"/>
          <w:sz w:val="21"/>
          <w:szCs w:val="21"/>
          <w:highlight w:val="none"/>
        </w:rPr>
      </w:pPr>
    </w:p>
    <w:p w14:paraId="4BD1E896">
      <w:pPr>
        <w:pStyle w:val="62"/>
        <w:rPr>
          <w:rFonts w:hAnsi="宋体" w:cs="Times New Roman"/>
          <w:color w:val="auto"/>
          <w:sz w:val="21"/>
          <w:szCs w:val="21"/>
          <w:highlight w:val="none"/>
        </w:rPr>
      </w:pPr>
    </w:p>
    <w:p w14:paraId="658C373E">
      <w:pPr>
        <w:pStyle w:val="62"/>
        <w:rPr>
          <w:rFonts w:hAnsi="宋体" w:cs="Times New Roman"/>
          <w:color w:val="auto"/>
          <w:sz w:val="21"/>
          <w:szCs w:val="21"/>
          <w:highlight w:val="none"/>
        </w:rPr>
      </w:pPr>
    </w:p>
    <w:p w14:paraId="4B6C4B63">
      <w:pPr>
        <w:pStyle w:val="62"/>
        <w:rPr>
          <w:rFonts w:hAnsi="宋体" w:cs="Times New Roman"/>
          <w:color w:val="auto"/>
          <w:sz w:val="21"/>
          <w:szCs w:val="21"/>
          <w:highlight w:val="none"/>
        </w:rPr>
      </w:pPr>
    </w:p>
    <w:p w14:paraId="5A21516D">
      <w:pPr>
        <w:pStyle w:val="62"/>
        <w:rPr>
          <w:rFonts w:hAnsi="宋体" w:cs="Times New Roman"/>
          <w:color w:val="auto"/>
          <w:sz w:val="21"/>
          <w:szCs w:val="21"/>
          <w:highlight w:val="none"/>
        </w:rPr>
      </w:pPr>
    </w:p>
    <w:p w14:paraId="6B21595D">
      <w:pPr>
        <w:spacing w:line="360" w:lineRule="auto"/>
        <w:jc w:val="center"/>
        <w:rPr>
          <w:rFonts w:ascii="宋体" w:hAnsi="宋体"/>
          <w:color w:val="auto"/>
          <w:sz w:val="32"/>
          <w:szCs w:val="32"/>
          <w:highlight w:val="none"/>
        </w:rPr>
      </w:pPr>
      <w:r>
        <w:rPr>
          <w:rFonts w:hint="eastAsia" w:ascii="宋体" w:hAnsi="宋体"/>
          <w:b/>
          <w:bCs/>
          <w:color w:val="auto"/>
          <w:sz w:val="32"/>
          <w:szCs w:val="32"/>
          <w:highlight w:val="none"/>
        </w:rPr>
        <w:t>第四部分   廉政责任书</w:t>
      </w:r>
    </w:p>
    <w:p w14:paraId="16D3DC0A">
      <w:pPr>
        <w:spacing w:before="183" w:line="360" w:lineRule="auto"/>
        <w:ind w:left="1" w:right="65" w:firstLine="478"/>
        <w:rPr>
          <w:rFonts w:ascii="宋体" w:hAnsi="宋体" w:eastAsia="宋体" w:cs="宋体"/>
          <w:color w:val="auto"/>
          <w:sz w:val="24"/>
          <w:szCs w:val="24"/>
          <w:highlight w:val="none"/>
        </w:rPr>
      </w:pPr>
      <w:bookmarkStart w:id="59" w:name="_Toc14350"/>
      <w:bookmarkStart w:id="60" w:name="_Toc24427"/>
      <w:r>
        <w:rPr>
          <w:rFonts w:ascii="宋体" w:hAnsi="宋体" w:eastAsia="宋体" w:cs="宋体"/>
          <w:color w:val="auto"/>
          <w:sz w:val="24"/>
          <w:szCs w:val="24"/>
          <w:highlight w:val="none"/>
        </w:rPr>
        <w:t>根据《在交通基础设施建设中加强廉政建设的若干意见》以及有关工程建设、廉政建设的规定，为做好工程建设中的党风廉政建设，保证工程建设高效优质，保证建设资</w:t>
      </w:r>
      <w:r>
        <w:rPr>
          <w:rFonts w:ascii="宋体" w:hAnsi="宋体" w:eastAsia="宋体" w:cs="宋体"/>
          <w:color w:val="auto"/>
          <w:spacing w:val="-2"/>
          <w:sz w:val="24"/>
          <w:szCs w:val="24"/>
          <w:highlight w:val="none"/>
        </w:rPr>
        <w:t>金的安全和有效使用以及投资效益，项目的</w:t>
      </w:r>
      <w:r>
        <w:rPr>
          <w:rFonts w:hint="eastAsia" w:ascii="宋体" w:hAnsi="宋体" w:eastAsia="宋体" w:cs="宋体"/>
          <w:color w:val="auto"/>
          <w:spacing w:val="-2"/>
          <w:sz w:val="24"/>
          <w:szCs w:val="24"/>
          <w:highlight w:val="none"/>
          <w:lang w:val="en-US" w:eastAsia="zh-CN"/>
        </w:rPr>
        <w:t>委托人</w:t>
      </w:r>
      <w:r>
        <w:rPr>
          <w:rFonts w:ascii="宋体" w:hAnsi="宋体" w:eastAsia="宋体" w:cs="宋体"/>
          <w:color w:val="auto"/>
          <w:spacing w:val="-2"/>
          <w:sz w:val="24"/>
          <w:szCs w:val="24"/>
          <w:highlight w:val="none"/>
        </w:rPr>
        <w:t>(</w:t>
      </w:r>
      <w:r>
        <w:rPr>
          <w:rFonts w:hint="eastAsia" w:ascii="宋体" w:hAnsi="宋体" w:eastAsia="宋体" w:cs="宋体"/>
          <w:color w:val="auto"/>
          <w:spacing w:val="-2"/>
          <w:sz w:val="24"/>
          <w:szCs w:val="24"/>
          <w:highlight w:val="none"/>
          <w:lang w:val="en-US" w:eastAsia="zh-CN"/>
        </w:rPr>
        <w:t>委托人</w:t>
      </w:r>
      <w:r>
        <w:rPr>
          <w:rFonts w:ascii="宋体" w:hAnsi="宋体" w:eastAsia="宋体" w:cs="宋体"/>
          <w:color w:val="auto"/>
          <w:spacing w:val="-2"/>
          <w:sz w:val="24"/>
          <w:szCs w:val="24"/>
          <w:highlight w:val="none"/>
        </w:rPr>
        <w:t>名称</w:t>
      </w:r>
      <w:r>
        <w:rPr>
          <w:rFonts w:hint="eastAsia" w:ascii="宋体" w:hAnsi="宋体" w:eastAsia="宋体" w:cs="宋体"/>
          <w:color w:val="auto"/>
          <w:spacing w:val="-2"/>
          <w:sz w:val="24"/>
          <w:szCs w:val="24"/>
          <w:highlight w:val="none"/>
          <w:u w:val="single"/>
          <w:lang w:val="en-US" w:eastAsia="zh-CN"/>
        </w:rPr>
        <w:t xml:space="preserve">             </w:t>
      </w:r>
      <w:r>
        <w:rPr>
          <w:rFonts w:ascii="宋体" w:hAnsi="宋体" w:eastAsia="宋体" w:cs="宋体"/>
          <w:color w:val="auto"/>
          <w:spacing w:val="-2"/>
          <w:sz w:val="24"/>
          <w:szCs w:val="24"/>
          <w:highlight w:val="none"/>
        </w:rPr>
        <w:t>，以下简称“</w:t>
      </w:r>
      <w:r>
        <w:rPr>
          <w:rFonts w:ascii="宋体" w:hAnsi="宋体" w:eastAsia="宋体" w:cs="宋体"/>
          <w:color w:val="auto"/>
          <w:spacing w:val="-75"/>
          <w:sz w:val="24"/>
          <w:szCs w:val="24"/>
          <w:highlight w:val="none"/>
        </w:rPr>
        <w:t xml:space="preserve"> </w:t>
      </w:r>
      <w:r>
        <w:rPr>
          <w:rFonts w:ascii="宋体" w:hAnsi="宋体" w:eastAsia="宋体" w:cs="宋体"/>
          <w:color w:val="auto"/>
          <w:spacing w:val="-2"/>
          <w:sz w:val="24"/>
          <w:szCs w:val="24"/>
          <w:highlight w:val="none"/>
        </w:rPr>
        <w:t>甲方</w:t>
      </w:r>
      <w:r>
        <w:rPr>
          <w:rFonts w:ascii="宋体" w:hAnsi="宋体" w:eastAsia="宋体" w:cs="宋体"/>
          <w:color w:val="auto"/>
          <w:spacing w:val="-88"/>
          <w:sz w:val="24"/>
          <w:szCs w:val="24"/>
          <w:highlight w:val="none"/>
        </w:rPr>
        <w:t xml:space="preserve"> </w:t>
      </w:r>
      <w:r>
        <w:rPr>
          <w:rFonts w:ascii="宋体" w:hAnsi="宋体" w:eastAsia="宋体" w:cs="宋体"/>
          <w:color w:val="auto"/>
          <w:spacing w:val="-2"/>
          <w:sz w:val="24"/>
          <w:szCs w:val="24"/>
          <w:highlight w:val="none"/>
        </w:rPr>
        <w:t>”)与该项目标段的</w:t>
      </w:r>
      <w:r>
        <w:rPr>
          <w:rFonts w:hint="eastAsia" w:ascii="宋体" w:hAnsi="宋体" w:eastAsia="宋体" w:cs="宋体"/>
          <w:color w:val="auto"/>
          <w:spacing w:val="-2"/>
          <w:sz w:val="24"/>
          <w:szCs w:val="24"/>
          <w:highlight w:val="none"/>
          <w:lang w:val="en-US" w:eastAsia="zh-CN"/>
        </w:rPr>
        <w:t>咨询人</w:t>
      </w:r>
      <w:r>
        <w:rPr>
          <w:rFonts w:ascii="宋体" w:hAnsi="宋体" w:eastAsia="宋体" w:cs="宋体"/>
          <w:color w:val="auto"/>
          <w:spacing w:val="-2"/>
          <w:sz w:val="24"/>
          <w:szCs w:val="24"/>
          <w:highlight w:val="none"/>
        </w:rPr>
        <w:t>(</w:t>
      </w:r>
      <w:r>
        <w:rPr>
          <w:rFonts w:hint="eastAsia" w:ascii="宋体" w:hAnsi="宋体" w:eastAsia="宋体" w:cs="宋体"/>
          <w:color w:val="auto"/>
          <w:spacing w:val="-2"/>
          <w:sz w:val="24"/>
          <w:szCs w:val="24"/>
          <w:highlight w:val="none"/>
          <w:lang w:val="en-US" w:eastAsia="zh-CN"/>
        </w:rPr>
        <w:t>咨询人</w:t>
      </w:r>
      <w:r>
        <w:rPr>
          <w:rFonts w:ascii="宋体" w:hAnsi="宋体" w:eastAsia="宋体" w:cs="宋体"/>
          <w:color w:val="auto"/>
          <w:spacing w:val="-2"/>
          <w:sz w:val="24"/>
          <w:szCs w:val="24"/>
          <w:highlight w:val="none"/>
        </w:rPr>
        <w:t>名称</w:t>
      </w:r>
      <w:r>
        <w:rPr>
          <w:rFonts w:hint="eastAsia" w:ascii="宋体" w:hAnsi="宋体" w:eastAsia="宋体" w:cs="宋体"/>
          <w:color w:val="auto"/>
          <w:spacing w:val="-2"/>
          <w:sz w:val="24"/>
          <w:szCs w:val="24"/>
          <w:highlight w:val="none"/>
          <w:u w:val="single"/>
          <w:lang w:val="en-US" w:eastAsia="zh-CN"/>
        </w:rPr>
        <w:t xml:space="preserve">         </w:t>
      </w:r>
      <w:r>
        <w:rPr>
          <w:rFonts w:ascii="宋体" w:hAnsi="宋体" w:eastAsia="宋体" w:cs="宋体"/>
          <w:color w:val="auto"/>
          <w:spacing w:val="-2"/>
          <w:sz w:val="24"/>
          <w:szCs w:val="24"/>
          <w:highlight w:val="none"/>
        </w:rPr>
        <w:t>，以下简称“</w:t>
      </w:r>
      <w:r>
        <w:rPr>
          <w:rFonts w:ascii="宋体" w:hAnsi="宋体" w:eastAsia="宋体" w:cs="宋体"/>
          <w:color w:val="auto"/>
          <w:spacing w:val="-87"/>
          <w:sz w:val="24"/>
          <w:szCs w:val="24"/>
          <w:highlight w:val="none"/>
        </w:rPr>
        <w:t xml:space="preserve"> </w:t>
      </w:r>
      <w:r>
        <w:rPr>
          <w:rFonts w:ascii="宋体" w:hAnsi="宋体" w:eastAsia="宋体" w:cs="宋体"/>
          <w:color w:val="auto"/>
          <w:spacing w:val="-2"/>
          <w:sz w:val="24"/>
          <w:szCs w:val="24"/>
          <w:highlight w:val="none"/>
        </w:rPr>
        <w:t>乙方</w:t>
      </w:r>
      <w:r>
        <w:rPr>
          <w:rFonts w:ascii="宋体" w:hAnsi="宋体" w:eastAsia="宋体" w:cs="宋体"/>
          <w:color w:val="auto"/>
          <w:spacing w:val="-88"/>
          <w:sz w:val="24"/>
          <w:szCs w:val="24"/>
          <w:highlight w:val="none"/>
        </w:rPr>
        <w:t xml:space="preserve"> </w:t>
      </w:r>
      <w:r>
        <w:rPr>
          <w:rFonts w:ascii="宋体" w:hAnsi="宋体" w:eastAsia="宋体" w:cs="宋体"/>
          <w:color w:val="auto"/>
          <w:spacing w:val="-2"/>
          <w:sz w:val="24"/>
          <w:szCs w:val="24"/>
          <w:highlight w:val="none"/>
        </w:rPr>
        <w:t>”</w:t>
      </w:r>
      <w:r>
        <w:rPr>
          <w:rFonts w:ascii="宋体" w:hAnsi="宋体" w:eastAsia="宋体" w:cs="宋体"/>
          <w:color w:val="auto"/>
          <w:spacing w:val="-3"/>
          <w:sz w:val="24"/>
          <w:szCs w:val="24"/>
          <w:highlight w:val="none"/>
        </w:rPr>
        <w:t>)，特订立如下合同。</w:t>
      </w:r>
    </w:p>
    <w:p w14:paraId="7F9F25D9">
      <w:pPr>
        <w:spacing w:line="219" w:lineRule="auto"/>
        <w:ind w:left="480"/>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第一条甲乙双方的权利和义务</w:t>
      </w:r>
    </w:p>
    <w:p w14:paraId="118B470A">
      <w:pPr>
        <w:spacing w:before="182" w:line="360" w:lineRule="auto"/>
        <w:ind w:left="3" w:right="68" w:firstLine="518"/>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(一) 严格遵守党的政策规定和国家有关法律法规及交通运输部和浙江省交通运输</w:t>
      </w:r>
      <w:r>
        <w:rPr>
          <w:rFonts w:ascii="宋体" w:hAnsi="宋体" w:eastAsia="宋体" w:cs="宋体"/>
          <w:color w:val="auto"/>
          <w:spacing w:val="-2"/>
          <w:sz w:val="24"/>
          <w:szCs w:val="24"/>
          <w:highlight w:val="none"/>
        </w:rPr>
        <w:t>厅的有关规定。</w:t>
      </w:r>
    </w:p>
    <w:p w14:paraId="476AA367">
      <w:pPr>
        <w:spacing w:line="219" w:lineRule="auto"/>
        <w:ind w:left="522"/>
        <w:rPr>
          <w:rFonts w:ascii="宋体" w:hAnsi="宋体" w:eastAsia="宋体" w:cs="宋体"/>
          <w:color w:val="auto"/>
          <w:sz w:val="24"/>
          <w:szCs w:val="24"/>
          <w:highlight w:val="none"/>
        </w:rPr>
      </w:pPr>
      <w:r>
        <w:rPr>
          <w:rFonts w:ascii="宋体" w:hAnsi="宋体" w:eastAsia="宋体" w:cs="宋体"/>
          <w:color w:val="auto"/>
          <w:spacing w:val="-4"/>
          <w:sz w:val="24"/>
          <w:szCs w:val="24"/>
          <w:highlight w:val="none"/>
        </w:rPr>
        <w:t>(二) 严格执行招标代理合同文件，</w:t>
      </w:r>
      <w:r>
        <w:rPr>
          <w:rFonts w:ascii="宋体" w:hAnsi="宋体" w:eastAsia="宋体" w:cs="宋体"/>
          <w:color w:val="auto"/>
          <w:spacing w:val="-71"/>
          <w:sz w:val="24"/>
          <w:szCs w:val="24"/>
          <w:highlight w:val="none"/>
        </w:rPr>
        <w:t xml:space="preserve"> </w:t>
      </w:r>
      <w:r>
        <w:rPr>
          <w:rFonts w:ascii="宋体" w:hAnsi="宋体" w:eastAsia="宋体" w:cs="宋体"/>
          <w:color w:val="auto"/>
          <w:spacing w:val="-4"/>
          <w:sz w:val="24"/>
          <w:szCs w:val="24"/>
          <w:highlight w:val="none"/>
        </w:rPr>
        <w:t>自觉按合同办</w:t>
      </w:r>
      <w:r>
        <w:rPr>
          <w:rFonts w:ascii="宋体" w:hAnsi="宋体" w:eastAsia="宋体" w:cs="宋体"/>
          <w:color w:val="auto"/>
          <w:spacing w:val="-5"/>
          <w:sz w:val="24"/>
          <w:szCs w:val="24"/>
          <w:highlight w:val="none"/>
        </w:rPr>
        <w:t>事。</w:t>
      </w:r>
    </w:p>
    <w:p w14:paraId="480CF95F">
      <w:pPr>
        <w:spacing w:before="183" w:line="360" w:lineRule="auto"/>
        <w:ind w:firstLine="521"/>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(三) 双方的业务活动坚持公开、公正、诚信、透明的原则(法律认定的商业</w:t>
      </w:r>
      <w:r>
        <w:rPr>
          <w:rFonts w:ascii="宋体" w:hAnsi="宋体" w:eastAsia="宋体" w:cs="宋体"/>
          <w:color w:val="auto"/>
          <w:spacing w:val="-2"/>
          <w:sz w:val="24"/>
          <w:szCs w:val="24"/>
          <w:highlight w:val="none"/>
        </w:rPr>
        <w:t>秘密和</w:t>
      </w:r>
      <w:r>
        <w:rPr>
          <w:rFonts w:ascii="宋体" w:hAnsi="宋体" w:eastAsia="宋体" w:cs="宋体"/>
          <w:color w:val="auto"/>
          <w:spacing w:val="-1"/>
          <w:sz w:val="24"/>
          <w:szCs w:val="24"/>
          <w:highlight w:val="none"/>
        </w:rPr>
        <w:t>合同文件另有规定除外)，不得损害国家和集体利益，不得</w:t>
      </w:r>
      <w:r>
        <w:rPr>
          <w:rFonts w:ascii="宋体" w:hAnsi="宋体" w:eastAsia="宋体" w:cs="宋体"/>
          <w:color w:val="auto"/>
          <w:spacing w:val="-2"/>
          <w:sz w:val="24"/>
          <w:szCs w:val="24"/>
          <w:highlight w:val="none"/>
        </w:rPr>
        <w:t>违反工程建设管理规章制度。</w:t>
      </w:r>
    </w:p>
    <w:p w14:paraId="56FD1AA3">
      <w:pPr>
        <w:spacing w:before="3" w:line="359" w:lineRule="auto"/>
        <w:ind w:right="68" w:firstLine="522"/>
        <w:rPr>
          <w:rFonts w:ascii="宋体" w:hAnsi="宋体" w:eastAsia="宋体" w:cs="宋体"/>
          <w:color w:val="auto"/>
          <w:sz w:val="24"/>
          <w:szCs w:val="24"/>
          <w:highlight w:val="none"/>
        </w:rPr>
      </w:pPr>
      <w:r>
        <w:rPr>
          <w:rFonts w:ascii="宋体" w:hAnsi="宋体" w:eastAsia="宋体" w:cs="宋体"/>
          <w:color w:val="auto"/>
          <w:spacing w:val="-4"/>
          <w:sz w:val="24"/>
          <w:szCs w:val="24"/>
          <w:highlight w:val="none"/>
        </w:rPr>
        <w:t>(四) 建立健全廉政制度，开展廉政教育，设立廉政告示牌，公</w:t>
      </w:r>
      <w:r>
        <w:rPr>
          <w:rFonts w:ascii="宋体" w:hAnsi="宋体" w:eastAsia="宋体" w:cs="宋体"/>
          <w:color w:val="auto"/>
          <w:spacing w:val="-5"/>
          <w:sz w:val="24"/>
          <w:szCs w:val="24"/>
          <w:highlight w:val="none"/>
        </w:rPr>
        <w:t>布举报电话，监督并</w:t>
      </w:r>
      <w:r>
        <w:rPr>
          <w:rFonts w:ascii="宋体" w:hAnsi="宋体" w:eastAsia="宋体" w:cs="宋体"/>
          <w:color w:val="auto"/>
          <w:spacing w:val="-1"/>
          <w:sz w:val="24"/>
          <w:szCs w:val="24"/>
          <w:highlight w:val="none"/>
        </w:rPr>
        <w:t>认真查处违法违纪行为。</w:t>
      </w:r>
    </w:p>
    <w:p w14:paraId="0CF91E39">
      <w:pPr>
        <w:spacing w:line="360" w:lineRule="auto"/>
        <w:ind w:left="2" w:right="68" w:firstLine="519"/>
        <w:rPr>
          <w:rFonts w:ascii="宋体" w:hAnsi="宋体" w:eastAsia="宋体" w:cs="宋体"/>
          <w:color w:val="auto"/>
          <w:sz w:val="24"/>
          <w:szCs w:val="24"/>
          <w:highlight w:val="none"/>
        </w:rPr>
      </w:pPr>
      <w:r>
        <w:rPr>
          <w:rFonts w:ascii="宋体" w:hAnsi="宋体" w:eastAsia="宋体" w:cs="宋体"/>
          <w:color w:val="auto"/>
          <w:spacing w:val="-4"/>
          <w:sz w:val="24"/>
          <w:szCs w:val="24"/>
          <w:highlight w:val="none"/>
        </w:rPr>
        <w:t>(五) 发现对方在业务活动中有违反廉政规定的行为，有及时提</w:t>
      </w:r>
      <w:r>
        <w:rPr>
          <w:rFonts w:ascii="宋体" w:hAnsi="宋体" w:eastAsia="宋体" w:cs="宋体"/>
          <w:color w:val="auto"/>
          <w:spacing w:val="-5"/>
          <w:sz w:val="24"/>
          <w:szCs w:val="24"/>
          <w:highlight w:val="none"/>
        </w:rPr>
        <w:t>醒对方纠正的权利和义务。</w:t>
      </w:r>
    </w:p>
    <w:p w14:paraId="44585DA0">
      <w:pPr>
        <w:spacing w:before="2" w:line="359" w:lineRule="auto"/>
        <w:ind w:left="7" w:right="68" w:firstLine="514"/>
        <w:rPr>
          <w:rFonts w:ascii="宋体" w:hAnsi="宋体" w:eastAsia="宋体" w:cs="宋体"/>
          <w:color w:val="auto"/>
          <w:sz w:val="24"/>
          <w:szCs w:val="24"/>
          <w:highlight w:val="none"/>
        </w:rPr>
      </w:pPr>
      <w:r>
        <w:rPr>
          <w:rFonts w:ascii="宋体" w:hAnsi="宋体" w:eastAsia="宋体" w:cs="宋体"/>
          <w:color w:val="auto"/>
          <w:spacing w:val="-4"/>
          <w:sz w:val="24"/>
          <w:szCs w:val="24"/>
          <w:highlight w:val="none"/>
        </w:rPr>
        <w:t>(六) 发现对方严重违反本合同义务条款的行为，有向其上级有</w:t>
      </w:r>
      <w:r>
        <w:rPr>
          <w:rFonts w:ascii="宋体" w:hAnsi="宋体" w:eastAsia="宋体" w:cs="宋体"/>
          <w:color w:val="auto"/>
          <w:spacing w:val="-5"/>
          <w:sz w:val="24"/>
          <w:szCs w:val="24"/>
          <w:highlight w:val="none"/>
        </w:rPr>
        <w:t>关部门举报、建议给</w:t>
      </w:r>
      <w:r>
        <w:rPr>
          <w:rFonts w:ascii="宋体" w:hAnsi="宋体" w:eastAsia="宋体" w:cs="宋体"/>
          <w:color w:val="auto"/>
          <w:spacing w:val="-2"/>
          <w:sz w:val="24"/>
          <w:szCs w:val="24"/>
          <w:highlight w:val="none"/>
        </w:rPr>
        <w:t>予处理并要求告知处理结果的权利。</w:t>
      </w:r>
    </w:p>
    <w:p w14:paraId="5695ACDE">
      <w:pPr>
        <w:spacing w:before="1" w:line="219" w:lineRule="auto"/>
        <w:ind w:left="480"/>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第二条甲方的义务</w:t>
      </w:r>
    </w:p>
    <w:p w14:paraId="68EB3BDE">
      <w:pPr>
        <w:spacing w:before="183" w:line="360" w:lineRule="auto"/>
        <w:ind w:left="23" w:right="68" w:firstLine="498"/>
        <w:rPr>
          <w:rFonts w:ascii="宋体" w:hAnsi="宋体" w:eastAsia="宋体" w:cs="宋体"/>
          <w:color w:val="auto"/>
          <w:sz w:val="24"/>
          <w:szCs w:val="24"/>
          <w:highlight w:val="none"/>
        </w:rPr>
      </w:pPr>
      <w:r>
        <w:rPr>
          <w:rFonts w:ascii="宋体" w:hAnsi="宋体" w:eastAsia="宋体" w:cs="宋体"/>
          <w:color w:val="auto"/>
          <w:spacing w:val="-5"/>
          <w:sz w:val="24"/>
          <w:szCs w:val="24"/>
          <w:highlight w:val="none"/>
        </w:rPr>
        <w:t>(一)</w:t>
      </w:r>
      <w:r>
        <w:rPr>
          <w:rFonts w:ascii="宋体" w:hAnsi="宋体" w:eastAsia="宋体" w:cs="宋体"/>
          <w:color w:val="auto"/>
          <w:spacing w:val="40"/>
          <w:sz w:val="24"/>
          <w:szCs w:val="24"/>
          <w:highlight w:val="none"/>
        </w:rPr>
        <w:t xml:space="preserve"> </w:t>
      </w:r>
      <w:r>
        <w:rPr>
          <w:rFonts w:ascii="宋体" w:hAnsi="宋体" w:eastAsia="宋体" w:cs="宋体"/>
          <w:color w:val="auto"/>
          <w:spacing w:val="-5"/>
          <w:sz w:val="24"/>
          <w:szCs w:val="24"/>
          <w:highlight w:val="none"/>
        </w:rPr>
        <w:t>甲方及其工作人员不得索要或接受乙方的</w:t>
      </w:r>
      <w:r>
        <w:rPr>
          <w:rFonts w:ascii="宋体" w:hAnsi="宋体" w:eastAsia="宋体" w:cs="宋体"/>
          <w:color w:val="auto"/>
          <w:spacing w:val="-6"/>
          <w:sz w:val="24"/>
          <w:szCs w:val="24"/>
          <w:highlight w:val="none"/>
        </w:rPr>
        <w:t>礼金、有价证券和贵重物品，不得在</w:t>
      </w:r>
      <w:r>
        <w:rPr>
          <w:rFonts w:ascii="宋体" w:hAnsi="宋体" w:eastAsia="宋体" w:cs="宋体"/>
          <w:color w:val="auto"/>
          <w:spacing w:val="-2"/>
          <w:sz w:val="24"/>
          <w:szCs w:val="24"/>
          <w:highlight w:val="none"/>
        </w:rPr>
        <w:t>乙方报销何应由甲方或甲方工作人员个人支付的费用等。</w:t>
      </w:r>
    </w:p>
    <w:p w14:paraId="327EE241">
      <w:pPr>
        <w:spacing w:line="360" w:lineRule="auto"/>
        <w:ind w:left="19" w:right="68" w:firstLine="502"/>
        <w:rPr>
          <w:rFonts w:ascii="宋体" w:hAnsi="宋体" w:eastAsia="宋体" w:cs="宋体"/>
          <w:color w:val="auto"/>
          <w:sz w:val="24"/>
          <w:szCs w:val="24"/>
          <w:highlight w:val="none"/>
        </w:rPr>
      </w:pPr>
      <w:r>
        <w:rPr>
          <w:rFonts w:ascii="宋体" w:hAnsi="宋体" w:eastAsia="宋体" w:cs="宋体"/>
          <w:color w:val="auto"/>
          <w:spacing w:val="-5"/>
          <w:sz w:val="24"/>
          <w:szCs w:val="24"/>
          <w:highlight w:val="none"/>
        </w:rPr>
        <w:t>(二)</w:t>
      </w:r>
      <w:r>
        <w:rPr>
          <w:rFonts w:ascii="宋体" w:hAnsi="宋体" w:eastAsia="宋体" w:cs="宋体"/>
          <w:color w:val="auto"/>
          <w:spacing w:val="40"/>
          <w:sz w:val="24"/>
          <w:szCs w:val="24"/>
          <w:highlight w:val="none"/>
        </w:rPr>
        <w:t xml:space="preserve"> </w:t>
      </w:r>
      <w:r>
        <w:rPr>
          <w:rFonts w:ascii="宋体" w:hAnsi="宋体" w:eastAsia="宋体" w:cs="宋体"/>
          <w:color w:val="auto"/>
          <w:spacing w:val="-5"/>
          <w:sz w:val="24"/>
          <w:szCs w:val="24"/>
          <w:highlight w:val="none"/>
        </w:rPr>
        <w:t>甲方工作人员不得参加乙方安排的超标准</w:t>
      </w:r>
      <w:r>
        <w:rPr>
          <w:rFonts w:ascii="宋体" w:hAnsi="宋体" w:eastAsia="宋体" w:cs="宋体"/>
          <w:color w:val="auto"/>
          <w:spacing w:val="-6"/>
          <w:sz w:val="24"/>
          <w:szCs w:val="24"/>
          <w:highlight w:val="none"/>
        </w:rPr>
        <w:t>宴请和娱乐活动；不得接受乙方提供</w:t>
      </w:r>
      <w:r>
        <w:rPr>
          <w:rFonts w:ascii="宋体" w:hAnsi="宋体" w:eastAsia="宋体" w:cs="宋体"/>
          <w:color w:val="auto"/>
          <w:spacing w:val="-2"/>
          <w:sz w:val="24"/>
          <w:szCs w:val="24"/>
          <w:highlight w:val="none"/>
        </w:rPr>
        <w:t>的通讯工具、交通工具和高档办公用品等。</w:t>
      </w:r>
    </w:p>
    <w:p w14:paraId="36C78B24">
      <w:pPr>
        <w:spacing w:before="2" w:line="359" w:lineRule="auto"/>
        <w:ind w:right="68" w:firstLine="521"/>
        <w:rPr>
          <w:rFonts w:ascii="宋体" w:hAnsi="宋体" w:eastAsia="宋体" w:cs="宋体"/>
          <w:color w:val="auto"/>
          <w:sz w:val="24"/>
          <w:szCs w:val="24"/>
          <w:highlight w:val="none"/>
        </w:rPr>
      </w:pPr>
      <w:r>
        <w:rPr>
          <w:rFonts w:ascii="宋体" w:hAnsi="宋体" w:eastAsia="宋体" w:cs="宋体"/>
          <w:color w:val="auto"/>
          <w:spacing w:val="-5"/>
          <w:sz w:val="24"/>
          <w:szCs w:val="24"/>
          <w:highlight w:val="none"/>
        </w:rPr>
        <w:t>(三)</w:t>
      </w:r>
      <w:r>
        <w:rPr>
          <w:rFonts w:ascii="宋体" w:hAnsi="宋体" w:eastAsia="宋体" w:cs="宋体"/>
          <w:color w:val="auto"/>
          <w:spacing w:val="40"/>
          <w:sz w:val="24"/>
          <w:szCs w:val="24"/>
          <w:highlight w:val="none"/>
        </w:rPr>
        <w:t xml:space="preserve"> </w:t>
      </w:r>
      <w:r>
        <w:rPr>
          <w:rFonts w:ascii="宋体" w:hAnsi="宋体" w:eastAsia="宋体" w:cs="宋体"/>
          <w:color w:val="auto"/>
          <w:spacing w:val="-5"/>
          <w:sz w:val="24"/>
          <w:szCs w:val="24"/>
          <w:highlight w:val="none"/>
        </w:rPr>
        <w:t>甲方及其工作人员不得要求或者接受乙方</w:t>
      </w:r>
      <w:r>
        <w:rPr>
          <w:rFonts w:ascii="宋体" w:hAnsi="宋体" w:eastAsia="宋体" w:cs="宋体"/>
          <w:color w:val="auto"/>
          <w:spacing w:val="-6"/>
          <w:sz w:val="24"/>
          <w:szCs w:val="24"/>
          <w:highlight w:val="none"/>
        </w:rPr>
        <w:t>为其住房装修、婚丧嫁娶活动、配偶</w:t>
      </w:r>
      <w:r>
        <w:rPr>
          <w:rFonts w:ascii="宋体" w:hAnsi="宋体" w:eastAsia="宋体" w:cs="宋体"/>
          <w:color w:val="auto"/>
          <w:spacing w:val="-1"/>
          <w:sz w:val="24"/>
          <w:szCs w:val="24"/>
          <w:highlight w:val="none"/>
        </w:rPr>
        <w:t>子女及其亲属的工作安排以及出国出境、旅游等提供方便等。</w:t>
      </w:r>
    </w:p>
    <w:p w14:paraId="70619CBD">
      <w:pPr>
        <w:spacing w:line="360" w:lineRule="auto"/>
        <w:ind w:right="68" w:firstLine="522"/>
        <w:rPr>
          <w:rFonts w:ascii="宋体" w:hAnsi="宋体" w:eastAsia="宋体" w:cs="宋体"/>
          <w:color w:val="auto"/>
          <w:sz w:val="24"/>
          <w:szCs w:val="24"/>
          <w:highlight w:val="none"/>
        </w:rPr>
      </w:pPr>
      <w:r>
        <w:rPr>
          <w:rFonts w:ascii="宋体" w:hAnsi="宋体" w:eastAsia="宋体" w:cs="宋体"/>
          <w:color w:val="auto"/>
          <w:spacing w:val="-4"/>
          <w:sz w:val="24"/>
          <w:szCs w:val="24"/>
          <w:highlight w:val="none"/>
        </w:rPr>
        <w:t>(四) 不准向乙方和相关单位介绍或为配偶、子女、亲属参与同</w:t>
      </w:r>
      <w:r>
        <w:rPr>
          <w:rFonts w:ascii="宋体" w:hAnsi="宋体" w:eastAsia="宋体" w:cs="宋体"/>
          <w:color w:val="auto"/>
          <w:spacing w:val="-5"/>
          <w:sz w:val="24"/>
          <w:szCs w:val="24"/>
          <w:highlight w:val="none"/>
        </w:rPr>
        <w:t>本勘察设计合同有关</w:t>
      </w:r>
      <w:r>
        <w:rPr>
          <w:rFonts w:ascii="宋体" w:hAnsi="宋体" w:eastAsia="宋体" w:cs="宋体"/>
          <w:color w:val="auto"/>
          <w:sz w:val="24"/>
          <w:szCs w:val="24"/>
          <w:highlight w:val="none"/>
        </w:rPr>
        <w:t>的勘察设计业务等活动。不得以任何理由要求乙方和相关单位在设计中使用某种产品、</w:t>
      </w:r>
      <w:r>
        <w:rPr>
          <w:rFonts w:ascii="宋体" w:hAnsi="宋体" w:eastAsia="宋体" w:cs="宋体"/>
          <w:color w:val="auto"/>
          <w:spacing w:val="-2"/>
          <w:sz w:val="24"/>
          <w:szCs w:val="24"/>
          <w:highlight w:val="none"/>
        </w:rPr>
        <w:t>材料和设备。</w:t>
      </w:r>
    </w:p>
    <w:p w14:paraId="15703445">
      <w:pPr>
        <w:spacing w:before="1" w:line="219" w:lineRule="auto"/>
        <w:ind w:left="480"/>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第三条乙方的义务</w:t>
      </w:r>
    </w:p>
    <w:p w14:paraId="2BAAA20E">
      <w:pPr>
        <w:spacing w:before="183" w:line="218" w:lineRule="auto"/>
        <w:ind w:left="522"/>
        <w:rPr>
          <w:rFonts w:ascii="宋体" w:hAnsi="宋体" w:eastAsia="宋体" w:cs="宋体"/>
          <w:color w:val="auto"/>
          <w:sz w:val="24"/>
          <w:szCs w:val="24"/>
          <w:highlight w:val="none"/>
        </w:rPr>
      </w:pPr>
      <w:r>
        <w:rPr>
          <w:rFonts w:ascii="宋体" w:hAnsi="宋体" w:eastAsia="宋体" w:cs="宋体"/>
          <w:color w:val="auto"/>
          <w:spacing w:val="-5"/>
          <w:sz w:val="24"/>
          <w:szCs w:val="24"/>
          <w:highlight w:val="none"/>
        </w:rPr>
        <w:t>(一)</w:t>
      </w:r>
      <w:r>
        <w:rPr>
          <w:rFonts w:ascii="宋体" w:hAnsi="宋体" w:eastAsia="宋体" w:cs="宋体"/>
          <w:color w:val="auto"/>
          <w:spacing w:val="33"/>
          <w:sz w:val="24"/>
          <w:szCs w:val="24"/>
          <w:highlight w:val="none"/>
        </w:rPr>
        <w:t xml:space="preserve"> </w:t>
      </w:r>
      <w:r>
        <w:rPr>
          <w:rFonts w:ascii="宋体" w:hAnsi="宋体" w:eastAsia="宋体" w:cs="宋体"/>
          <w:color w:val="auto"/>
          <w:spacing w:val="-5"/>
          <w:sz w:val="24"/>
          <w:szCs w:val="24"/>
          <w:highlight w:val="none"/>
        </w:rPr>
        <w:t>乙方不得以任何理由向甲方及其工作人员行贿或馈赠礼金</w:t>
      </w:r>
      <w:r>
        <w:rPr>
          <w:rFonts w:ascii="宋体" w:hAnsi="宋体" w:eastAsia="宋体" w:cs="宋体"/>
          <w:color w:val="auto"/>
          <w:spacing w:val="-6"/>
          <w:sz w:val="24"/>
          <w:szCs w:val="24"/>
          <w:highlight w:val="none"/>
        </w:rPr>
        <w:t>、有价证券、贵重礼</w:t>
      </w:r>
    </w:p>
    <w:p w14:paraId="02CEA76F">
      <w:pPr>
        <w:spacing w:line="218" w:lineRule="auto"/>
        <w:rPr>
          <w:rFonts w:ascii="宋体" w:hAnsi="宋体" w:eastAsia="宋体" w:cs="宋体"/>
          <w:color w:val="auto"/>
          <w:sz w:val="24"/>
          <w:szCs w:val="24"/>
          <w:highlight w:val="none"/>
        </w:rPr>
        <w:sectPr>
          <w:footerReference r:id="rId10" w:type="default"/>
          <w:pgSz w:w="11906" w:h="16839"/>
          <w:pgMar w:top="969" w:right="1129" w:bottom="1362" w:left="1586" w:header="0" w:footer="1200" w:gutter="0"/>
          <w:pgNumType w:fmt="decimal"/>
          <w:cols w:space="720" w:num="1"/>
        </w:sectPr>
      </w:pPr>
    </w:p>
    <w:p w14:paraId="2805EF43">
      <w:pPr>
        <w:spacing w:before="78" w:line="224" w:lineRule="auto"/>
        <w:ind w:left="19"/>
        <w:rPr>
          <w:rFonts w:ascii="宋体" w:hAnsi="宋体" w:eastAsia="宋体" w:cs="宋体"/>
          <w:color w:val="auto"/>
          <w:sz w:val="24"/>
          <w:szCs w:val="24"/>
          <w:highlight w:val="none"/>
        </w:rPr>
      </w:pPr>
      <w:r>
        <w:rPr>
          <w:rFonts w:ascii="宋体" w:hAnsi="宋体" w:eastAsia="宋体" w:cs="宋体"/>
          <w:color w:val="auto"/>
          <w:spacing w:val="-15"/>
          <w:sz w:val="24"/>
          <w:szCs w:val="24"/>
          <w:highlight w:val="none"/>
        </w:rPr>
        <w:t>品。</w:t>
      </w:r>
    </w:p>
    <w:p w14:paraId="7051B033">
      <w:pPr>
        <w:spacing w:before="177" w:line="360" w:lineRule="auto"/>
        <w:ind w:left="3" w:right="200" w:firstLine="518"/>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(二)</w:t>
      </w:r>
      <w:r>
        <w:rPr>
          <w:rFonts w:ascii="宋体" w:hAnsi="宋体" w:eastAsia="宋体" w:cs="宋体"/>
          <w:color w:val="auto"/>
          <w:spacing w:val="43"/>
          <w:sz w:val="24"/>
          <w:szCs w:val="24"/>
          <w:highlight w:val="none"/>
        </w:rPr>
        <w:t xml:space="preserve"> </w:t>
      </w:r>
      <w:r>
        <w:rPr>
          <w:rFonts w:ascii="宋体" w:hAnsi="宋体" w:eastAsia="宋体" w:cs="宋体"/>
          <w:color w:val="auto"/>
          <w:spacing w:val="1"/>
          <w:sz w:val="24"/>
          <w:szCs w:val="24"/>
          <w:highlight w:val="none"/>
        </w:rPr>
        <w:t>乙方不得以任何名义为甲方及其工作人员报销应由甲方单位或个人支付的任</w:t>
      </w:r>
      <w:r>
        <w:rPr>
          <w:rFonts w:ascii="宋体" w:hAnsi="宋体" w:eastAsia="宋体" w:cs="宋体"/>
          <w:color w:val="auto"/>
          <w:spacing w:val="-4"/>
          <w:sz w:val="24"/>
          <w:szCs w:val="24"/>
          <w:highlight w:val="none"/>
        </w:rPr>
        <w:t>何费用。</w:t>
      </w:r>
    </w:p>
    <w:p w14:paraId="4E89CE68">
      <w:pPr>
        <w:spacing w:line="219" w:lineRule="auto"/>
        <w:ind w:left="522"/>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(三)</w:t>
      </w:r>
      <w:r>
        <w:rPr>
          <w:rFonts w:ascii="宋体" w:hAnsi="宋体" w:eastAsia="宋体" w:cs="宋体"/>
          <w:color w:val="auto"/>
          <w:spacing w:val="46"/>
          <w:sz w:val="24"/>
          <w:szCs w:val="24"/>
          <w:highlight w:val="none"/>
        </w:rPr>
        <w:t xml:space="preserve"> </w:t>
      </w:r>
      <w:r>
        <w:rPr>
          <w:rFonts w:ascii="宋体" w:hAnsi="宋体" w:eastAsia="宋体" w:cs="宋体"/>
          <w:color w:val="auto"/>
          <w:spacing w:val="-3"/>
          <w:sz w:val="24"/>
          <w:szCs w:val="24"/>
          <w:highlight w:val="none"/>
        </w:rPr>
        <w:t>乙方不得以任何理由安排甲方工作人员参加超标准宴请及娱乐活动。</w:t>
      </w:r>
    </w:p>
    <w:p w14:paraId="57A20CD3">
      <w:pPr>
        <w:spacing w:before="182" w:line="219" w:lineRule="auto"/>
        <w:jc w:val="right"/>
        <w:rPr>
          <w:rFonts w:ascii="宋体" w:hAnsi="宋体" w:eastAsia="宋体" w:cs="宋体"/>
          <w:color w:val="auto"/>
          <w:sz w:val="24"/>
          <w:szCs w:val="24"/>
          <w:highlight w:val="none"/>
        </w:rPr>
      </w:pPr>
      <w:r>
        <w:rPr>
          <w:rFonts w:ascii="宋体" w:hAnsi="宋体" w:eastAsia="宋体" w:cs="宋体"/>
          <w:color w:val="auto"/>
          <w:spacing w:val="-6"/>
          <w:sz w:val="24"/>
          <w:szCs w:val="24"/>
          <w:highlight w:val="none"/>
        </w:rPr>
        <w:t>(四)</w:t>
      </w:r>
      <w:r>
        <w:rPr>
          <w:rFonts w:ascii="宋体" w:hAnsi="宋体" w:eastAsia="宋体" w:cs="宋体"/>
          <w:color w:val="auto"/>
          <w:spacing w:val="33"/>
          <w:sz w:val="24"/>
          <w:szCs w:val="24"/>
          <w:highlight w:val="none"/>
        </w:rPr>
        <w:t xml:space="preserve"> </w:t>
      </w:r>
      <w:r>
        <w:rPr>
          <w:rFonts w:ascii="宋体" w:hAnsi="宋体" w:eastAsia="宋体" w:cs="宋体"/>
          <w:color w:val="auto"/>
          <w:spacing w:val="-6"/>
          <w:sz w:val="24"/>
          <w:szCs w:val="24"/>
          <w:highlight w:val="none"/>
        </w:rPr>
        <w:t>乙方不得为甲方单位和个人购置或提供通讯工具、交通工具和高档</w:t>
      </w:r>
      <w:r>
        <w:rPr>
          <w:rFonts w:ascii="宋体" w:hAnsi="宋体" w:eastAsia="宋体" w:cs="宋体"/>
          <w:color w:val="auto"/>
          <w:spacing w:val="-7"/>
          <w:sz w:val="24"/>
          <w:szCs w:val="24"/>
          <w:highlight w:val="none"/>
        </w:rPr>
        <w:t>办公用品等。</w:t>
      </w:r>
    </w:p>
    <w:p w14:paraId="0FA0FDED">
      <w:pPr>
        <w:spacing w:before="184" w:line="219" w:lineRule="auto"/>
        <w:ind w:left="480"/>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第四条违约责任</w:t>
      </w:r>
    </w:p>
    <w:p w14:paraId="3F90FAEC">
      <w:pPr>
        <w:spacing w:before="182" w:line="360" w:lineRule="auto"/>
        <w:ind w:right="197" w:firstLine="522"/>
        <w:rPr>
          <w:rFonts w:ascii="宋体" w:hAnsi="宋体" w:eastAsia="宋体" w:cs="宋体"/>
          <w:color w:val="auto"/>
          <w:sz w:val="24"/>
          <w:szCs w:val="24"/>
          <w:highlight w:val="none"/>
        </w:rPr>
      </w:pPr>
      <w:r>
        <w:rPr>
          <w:rFonts w:ascii="宋体" w:hAnsi="宋体" w:eastAsia="宋体" w:cs="宋体"/>
          <w:color w:val="auto"/>
          <w:spacing w:val="-5"/>
          <w:sz w:val="24"/>
          <w:szCs w:val="24"/>
          <w:highlight w:val="none"/>
        </w:rPr>
        <w:t>(一)</w:t>
      </w:r>
      <w:r>
        <w:rPr>
          <w:rFonts w:ascii="宋体" w:hAnsi="宋体" w:eastAsia="宋体" w:cs="宋体"/>
          <w:color w:val="auto"/>
          <w:spacing w:val="40"/>
          <w:sz w:val="24"/>
          <w:szCs w:val="24"/>
          <w:highlight w:val="none"/>
        </w:rPr>
        <w:t xml:space="preserve"> </w:t>
      </w:r>
      <w:r>
        <w:rPr>
          <w:rFonts w:ascii="宋体" w:hAnsi="宋体" w:eastAsia="宋体" w:cs="宋体"/>
          <w:color w:val="auto"/>
          <w:spacing w:val="-5"/>
          <w:sz w:val="24"/>
          <w:szCs w:val="24"/>
          <w:highlight w:val="none"/>
        </w:rPr>
        <w:t>甲方及其工作人员违反本合同第一、二条</w:t>
      </w:r>
      <w:r>
        <w:rPr>
          <w:rFonts w:ascii="宋体" w:hAnsi="宋体" w:eastAsia="宋体" w:cs="宋体"/>
          <w:color w:val="auto"/>
          <w:spacing w:val="-6"/>
          <w:sz w:val="24"/>
          <w:szCs w:val="24"/>
          <w:highlight w:val="none"/>
        </w:rPr>
        <w:t>，按管理权限，依据有关规定给予党</w:t>
      </w:r>
      <w:r>
        <w:rPr>
          <w:rFonts w:ascii="宋体" w:hAnsi="宋体" w:eastAsia="宋体" w:cs="宋体"/>
          <w:color w:val="auto"/>
          <w:sz w:val="24"/>
          <w:szCs w:val="24"/>
          <w:highlight w:val="none"/>
        </w:rPr>
        <w:t>纪、政纪或组织处理；涉嫌犯罪的，移交司法机关追究刑事责任；给乙方单位造成经济</w:t>
      </w:r>
      <w:r>
        <w:rPr>
          <w:rFonts w:ascii="宋体" w:hAnsi="宋体" w:eastAsia="宋体" w:cs="宋体"/>
          <w:color w:val="auto"/>
          <w:spacing w:val="-1"/>
          <w:sz w:val="24"/>
          <w:szCs w:val="24"/>
          <w:highlight w:val="none"/>
        </w:rPr>
        <w:t>损失的，应予以赔偿。</w:t>
      </w:r>
    </w:p>
    <w:p w14:paraId="59B85358">
      <w:pPr>
        <w:spacing w:before="4" w:line="359" w:lineRule="auto"/>
        <w:ind w:left="1" w:right="197" w:firstLine="520"/>
        <w:rPr>
          <w:rFonts w:ascii="宋体" w:hAnsi="宋体" w:eastAsia="宋体" w:cs="宋体"/>
          <w:color w:val="auto"/>
          <w:sz w:val="24"/>
          <w:szCs w:val="24"/>
          <w:highlight w:val="none"/>
        </w:rPr>
      </w:pPr>
      <w:r>
        <w:rPr>
          <w:rFonts w:ascii="宋体" w:hAnsi="宋体" w:eastAsia="宋体" w:cs="宋体"/>
          <w:color w:val="auto"/>
          <w:spacing w:val="-5"/>
          <w:sz w:val="24"/>
          <w:szCs w:val="24"/>
          <w:highlight w:val="none"/>
        </w:rPr>
        <w:t>(二)</w:t>
      </w:r>
      <w:r>
        <w:rPr>
          <w:rFonts w:ascii="宋体" w:hAnsi="宋体" w:eastAsia="宋体" w:cs="宋体"/>
          <w:color w:val="auto"/>
          <w:spacing w:val="33"/>
          <w:sz w:val="24"/>
          <w:szCs w:val="24"/>
          <w:highlight w:val="none"/>
        </w:rPr>
        <w:t xml:space="preserve"> </w:t>
      </w:r>
      <w:r>
        <w:rPr>
          <w:rFonts w:ascii="宋体" w:hAnsi="宋体" w:eastAsia="宋体" w:cs="宋体"/>
          <w:color w:val="auto"/>
          <w:spacing w:val="-5"/>
          <w:sz w:val="24"/>
          <w:szCs w:val="24"/>
          <w:highlight w:val="none"/>
        </w:rPr>
        <w:t>乙方及其工作人员违反本合同第一、三条，按管理权限，</w:t>
      </w:r>
      <w:r>
        <w:rPr>
          <w:rFonts w:ascii="宋体" w:hAnsi="宋体" w:eastAsia="宋体" w:cs="宋体"/>
          <w:color w:val="auto"/>
          <w:spacing w:val="-6"/>
          <w:sz w:val="24"/>
          <w:szCs w:val="24"/>
          <w:highlight w:val="none"/>
        </w:rPr>
        <w:t>依据有关规定给予党</w:t>
      </w:r>
      <w:r>
        <w:rPr>
          <w:rFonts w:ascii="宋体" w:hAnsi="宋体" w:eastAsia="宋体" w:cs="宋体"/>
          <w:color w:val="auto"/>
          <w:sz w:val="24"/>
          <w:szCs w:val="24"/>
          <w:highlight w:val="none"/>
        </w:rPr>
        <w:t>纪、政纪或组织处理；给甲方单位造成经济损失的，应予以赔偿；情节严重的，甲方建议交通运输主管部门给予乙方一至三年内不得进入其</w:t>
      </w:r>
      <w:r>
        <w:rPr>
          <w:rFonts w:ascii="宋体" w:hAnsi="宋体" w:eastAsia="宋体" w:cs="宋体"/>
          <w:color w:val="auto"/>
          <w:spacing w:val="-1"/>
          <w:sz w:val="24"/>
          <w:szCs w:val="24"/>
          <w:highlight w:val="none"/>
        </w:rPr>
        <w:t>主管的公路建设市场的处罚。</w:t>
      </w:r>
    </w:p>
    <w:p w14:paraId="35E10BBA">
      <w:pPr>
        <w:spacing w:line="360" w:lineRule="auto"/>
        <w:ind w:left="3" w:right="197" w:firstLine="476"/>
        <w:rPr>
          <w:rFonts w:ascii="宋体" w:hAnsi="宋体" w:eastAsia="宋体" w:cs="宋体"/>
          <w:color w:val="auto"/>
          <w:sz w:val="24"/>
          <w:szCs w:val="24"/>
          <w:highlight w:val="none"/>
        </w:rPr>
      </w:pPr>
      <w:r>
        <w:rPr>
          <w:rFonts w:ascii="宋体" w:hAnsi="宋体" w:eastAsia="宋体" w:cs="宋体"/>
          <w:color w:val="auto"/>
          <w:sz w:val="24"/>
          <w:szCs w:val="24"/>
          <w:highlight w:val="none"/>
        </w:rPr>
        <w:t>第五条双方约定：本合同由双方或双方上级单位的纪检监察部门负责监督执行。由甲方或甲方上级单位的纪检监察部门约请乙方或乙方上级单位纪检监察部门对本合同执</w:t>
      </w:r>
      <w:r>
        <w:rPr>
          <w:rFonts w:ascii="宋体" w:hAnsi="宋体" w:eastAsia="宋体" w:cs="宋体"/>
          <w:color w:val="auto"/>
          <w:spacing w:val="-1"/>
          <w:sz w:val="24"/>
          <w:szCs w:val="24"/>
          <w:highlight w:val="none"/>
        </w:rPr>
        <w:t>行情况进行检查，提出在本合同规定范围内的裁定意见。</w:t>
      </w:r>
    </w:p>
    <w:p w14:paraId="70A1B7E8">
      <w:pPr>
        <w:spacing w:before="1" w:line="218" w:lineRule="auto"/>
        <w:ind w:left="480"/>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第六条本合同有效期为甲乙双方签署之日起至合同失效日止。</w:t>
      </w:r>
    </w:p>
    <w:p w14:paraId="7680D161">
      <w:pPr>
        <w:spacing w:before="184" w:line="360" w:lineRule="auto"/>
        <w:ind w:right="197" w:firstLine="479"/>
        <w:rPr>
          <w:rFonts w:ascii="宋体" w:hAnsi="宋体" w:eastAsia="宋体" w:cs="宋体"/>
          <w:color w:val="auto"/>
          <w:sz w:val="24"/>
          <w:szCs w:val="24"/>
          <w:highlight w:val="none"/>
        </w:rPr>
      </w:pPr>
      <w:r>
        <w:rPr>
          <w:rFonts w:ascii="宋体" w:hAnsi="宋体" w:eastAsia="宋体" w:cs="宋体"/>
          <w:color w:val="auto"/>
          <w:sz w:val="24"/>
          <w:szCs w:val="24"/>
          <w:highlight w:val="none"/>
        </w:rPr>
        <w:t>第七条本合同作为招标代理合同的附件，与招标代理合同具有同等的法律效力，经</w:t>
      </w:r>
      <w:r>
        <w:rPr>
          <w:rFonts w:ascii="宋体" w:hAnsi="宋体" w:eastAsia="宋体" w:cs="宋体"/>
          <w:color w:val="auto"/>
          <w:spacing w:val="-1"/>
          <w:sz w:val="24"/>
          <w:szCs w:val="24"/>
          <w:highlight w:val="none"/>
        </w:rPr>
        <w:t>合同双方签署后立即生效。</w:t>
      </w:r>
    </w:p>
    <w:p w14:paraId="072A67BE">
      <w:pPr>
        <w:spacing w:before="1" w:line="361" w:lineRule="auto"/>
        <w:ind w:left="3" w:right="138" w:firstLine="476"/>
        <w:rPr>
          <w:color w:val="auto"/>
          <w:highlight w:val="none"/>
        </w:rPr>
      </w:pPr>
      <w:r>
        <w:rPr>
          <w:rFonts w:ascii="宋体" w:hAnsi="宋体" w:eastAsia="宋体" w:cs="宋体"/>
          <w:color w:val="auto"/>
          <w:spacing w:val="-5"/>
          <w:sz w:val="24"/>
          <w:szCs w:val="24"/>
          <w:highlight w:val="none"/>
        </w:rPr>
        <w:t>第八条本合同正本一式贰份，其中发包人执壹份，中标人执壹份；副本捌份，其中，</w:t>
      </w:r>
      <w:r>
        <w:rPr>
          <w:rFonts w:ascii="宋体" w:hAnsi="宋体" w:eastAsia="宋体" w:cs="宋体"/>
          <w:color w:val="auto"/>
          <w:spacing w:val="-2"/>
          <w:sz w:val="24"/>
          <w:szCs w:val="24"/>
          <w:highlight w:val="none"/>
        </w:rPr>
        <w:t>发包人肆份，中标人肆份。</w:t>
      </w:r>
    </w:p>
    <w:tbl>
      <w:tblPr>
        <w:tblStyle w:val="398"/>
        <w:tblW w:w="8030" w:type="dxa"/>
        <w:tblInd w:w="48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0" w:type="dxa"/>
          <w:bottom w:w="0" w:type="dxa"/>
          <w:right w:w="0" w:type="dxa"/>
        </w:tblCellMar>
      </w:tblPr>
      <w:tblGrid>
        <w:gridCol w:w="3830"/>
        <w:gridCol w:w="4200"/>
      </w:tblGrid>
      <w:tr w14:paraId="304E5A39">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351" w:hRule="atLeast"/>
        </w:trPr>
        <w:tc>
          <w:tcPr>
            <w:tcW w:w="3830" w:type="dxa"/>
            <w:noWrap w:val="0"/>
            <w:vAlign w:val="top"/>
          </w:tcPr>
          <w:p w14:paraId="528B07D8">
            <w:pPr>
              <w:spacing w:before="184" w:line="360" w:lineRule="auto"/>
              <w:ind w:right="197" w:firstLine="479"/>
              <w:rPr>
                <w:rFonts w:ascii="宋体" w:hAnsi="宋体" w:eastAsia="宋体" w:cs="宋体"/>
                <w:color w:val="auto"/>
                <w:sz w:val="24"/>
                <w:szCs w:val="24"/>
                <w:highlight w:val="none"/>
              </w:rPr>
            </w:pPr>
            <w:r>
              <w:rPr>
                <w:rFonts w:ascii="宋体" w:hAnsi="宋体" w:eastAsia="宋体" w:cs="宋体"/>
                <w:color w:val="auto"/>
                <w:sz w:val="24"/>
                <w:szCs w:val="24"/>
                <w:highlight w:val="none"/>
              </w:rPr>
              <w:t>甲方：</w:t>
            </w:r>
          </w:p>
        </w:tc>
        <w:tc>
          <w:tcPr>
            <w:tcW w:w="4200" w:type="dxa"/>
            <w:noWrap w:val="0"/>
            <w:vAlign w:val="top"/>
          </w:tcPr>
          <w:p w14:paraId="7077A565">
            <w:pPr>
              <w:spacing w:before="184" w:line="360" w:lineRule="auto"/>
              <w:ind w:right="197" w:firstLine="479"/>
              <w:rPr>
                <w:rFonts w:ascii="宋体" w:hAnsi="宋体" w:eastAsia="宋体" w:cs="宋体"/>
                <w:color w:val="auto"/>
                <w:sz w:val="24"/>
                <w:szCs w:val="24"/>
                <w:highlight w:val="none"/>
              </w:rPr>
            </w:pPr>
            <w:r>
              <w:rPr>
                <w:rFonts w:ascii="宋体" w:hAnsi="宋体" w:eastAsia="宋体" w:cs="宋体"/>
                <w:color w:val="auto"/>
                <w:sz w:val="24"/>
                <w:szCs w:val="24"/>
                <w:highlight w:val="none"/>
              </w:rPr>
              <w:t>乙方：</w:t>
            </w:r>
          </w:p>
        </w:tc>
      </w:tr>
      <w:tr w14:paraId="43081BCA">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469" w:hRule="atLeast"/>
        </w:trPr>
        <w:tc>
          <w:tcPr>
            <w:tcW w:w="3830" w:type="dxa"/>
            <w:noWrap w:val="0"/>
            <w:vAlign w:val="top"/>
          </w:tcPr>
          <w:p w14:paraId="27E93C7D">
            <w:pPr>
              <w:spacing w:before="184" w:line="360" w:lineRule="auto"/>
              <w:ind w:right="197" w:firstLine="479"/>
              <w:rPr>
                <w:rFonts w:ascii="宋体" w:hAnsi="宋体" w:eastAsia="宋体" w:cs="宋体"/>
                <w:color w:val="auto"/>
                <w:sz w:val="24"/>
                <w:szCs w:val="24"/>
                <w:highlight w:val="none"/>
              </w:rPr>
            </w:pPr>
            <w:r>
              <w:rPr>
                <w:rFonts w:ascii="宋体" w:hAnsi="宋体" w:eastAsia="宋体" w:cs="宋体"/>
                <w:color w:val="auto"/>
                <w:sz w:val="24"/>
                <w:szCs w:val="24"/>
                <w:highlight w:val="none"/>
              </w:rPr>
              <w:t>（单位全称）（盖单位章）</w:t>
            </w:r>
          </w:p>
        </w:tc>
        <w:tc>
          <w:tcPr>
            <w:tcW w:w="4200" w:type="dxa"/>
            <w:noWrap w:val="0"/>
            <w:vAlign w:val="top"/>
          </w:tcPr>
          <w:p w14:paraId="045F9F1B">
            <w:pPr>
              <w:spacing w:before="184" w:line="360" w:lineRule="auto"/>
              <w:ind w:right="197" w:firstLine="479"/>
              <w:rPr>
                <w:rFonts w:ascii="宋体" w:hAnsi="宋体" w:eastAsia="宋体" w:cs="宋体"/>
                <w:color w:val="auto"/>
                <w:sz w:val="24"/>
                <w:szCs w:val="24"/>
                <w:highlight w:val="none"/>
              </w:rPr>
            </w:pPr>
            <w:r>
              <w:rPr>
                <w:rFonts w:ascii="宋体" w:hAnsi="宋体" w:eastAsia="宋体" w:cs="宋体"/>
                <w:color w:val="auto"/>
                <w:sz w:val="24"/>
                <w:szCs w:val="24"/>
                <w:highlight w:val="none"/>
              </w:rPr>
              <w:t>（单位全称）（盖单位章）</w:t>
            </w:r>
          </w:p>
        </w:tc>
      </w:tr>
      <w:tr w14:paraId="1AD22A5B">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468" w:hRule="atLeast"/>
        </w:trPr>
        <w:tc>
          <w:tcPr>
            <w:tcW w:w="3830" w:type="dxa"/>
            <w:noWrap w:val="0"/>
            <w:vAlign w:val="top"/>
          </w:tcPr>
          <w:p w14:paraId="26491D53">
            <w:pPr>
              <w:spacing w:before="184" w:line="360" w:lineRule="auto"/>
              <w:ind w:right="197" w:firstLine="479"/>
              <w:rPr>
                <w:rFonts w:ascii="宋体" w:hAnsi="宋体" w:eastAsia="宋体" w:cs="宋体"/>
                <w:color w:val="auto"/>
                <w:sz w:val="24"/>
                <w:szCs w:val="24"/>
                <w:highlight w:val="none"/>
              </w:rPr>
            </w:pPr>
            <w:r>
              <w:rPr>
                <w:rFonts w:ascii="宋体" w:hAnsi="宋体" w:eastAsia="宋体" w:cs="宋体"/>
                <w:color w:val="auto"/>
                <w:sz w:val="24"/>
                <w:szCs w:val="24"/>
                <w:highlight w:val="none"/>
              </w:rPr>
              <w:t>法定代表人或其委托代理人</w:t>
            </w:r>
          </w:p>
        </w:tc>
        <w:tc>
          <w:tcPr>
            <w:tcW w:w="4200" w:type="dxa"/>
            <w:noWrap w:val="0"/>
            <w:vAlign w:val="top"/>
          </w:tcPr>
          <w:p w14:paraId="608B0E96">
            <w:pPr>
              <w:spacing w:before="184" w:line="360" w:lineRule="auto"/>
              <w:ind w:right="197" w:firstLine="479"/>
              <w:rPr>
                <w:rFonts w:ascii="宋体" w:hAnsi="宋体" w:eastAsia="宋体" w:cs="宋体"/>
                <w:color w:val="auto"/>
                <w:sz w:val="24"/>
                <w:szCs w:val="24"/>
                <w:highlight w:val="none"/>
              </w:rPr>
            </w:pPr>
            <w:r>
              <w:rPr>
                <w:rFonts w:ascii="宋体" w:hAnsi="宋体" w:eastAsia="宋体" w:cs="宋体"/>
                <w:color w:val="auto"/>
                <w:sz w:val="24"/>
                <w:szCs w:val="24"/>
                <w:highlight w:val="none"/>
              </w:rPr>
              <w:t>法定代表人或其委托代理人</w:t>
            </w:r>
          </w:p>
        </w:tc>
      </w:tr>
      <w:tr w14:paraId="2C7F3331">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468" w:hRule="atLeast"/>
        </w:trPr>
        <w:tc>
          <w:tcPr>
            <w:tcW w:w="3830" w:type="dxa"/>
            <w:noWrap w:val="0"/>
            <w:vAlign w:val="top"/>
          </w:tcPr>
          <w:p w14:paraId="4F3F2C88">
            <w:pPr>
              <w:spacing w:before="184" w:line="360" w:lineRule="auto"/>
              <w:ind w:right="197" w:firstLine="479"/>
              <w:rPr>
                <w:rFonts w:ascii="宋体" w:hAnsi="宋体" w:eastAsia="宋体" w:cs="宋体"/>
                <w:color w:val="auto"/>
                <w:sz w:val="24"/>
                <w:szCs w:val="24"/>
                <w:highlight w:val="none"/>
              </w:rPr>
            </w:pPr>
            <w:r>
              <w:rPr>
                <w:rFonts w:ascii="宋体" w:hAnsi="宋体" w:eastAsia="宋体" w:cs="宋体"/>
                <w:color w:val="auto"/>
                <w:sz w:val="24"/>
                <w:szCs w:val="24"/>
                <w:highlight w:val="none"/>
              </w:rPr>
              <w:t>（签字）</w:t>
            </w:r>
          </w:p>
        </w:tc>
        <w:tc>
          <w:tcPr>
            <w:tcW w:w="4200" w:type="dxa"/>
            <w:noWrap w:val="0"/>
            <w:vAlign w:val="top"/>
          </w:tcPr>
          <w:p w14:paraId="08CF7A40">
            <w:pPr>
              <w:spacing w:before="184" w:line="360" w:lineRule="auto"/>
              <w:ind w:right="197" w:firstLine="479"/>
              <w:rPr>
                <w:rFonts w:ascii="宋体" w:hAnsi="宋体" w:eastAsia="宋体" w:cs="宋体"/>
                <w:color w:val="auto"/>
                <w:sz w:val="24"/>
                <w:szCs w:val="24"/>
                <w:highlight w:val="none"/>
              </w:rPr>
            </w:pPr>
            <w:r>
              <w:rPr>
                <w:rFonts w:ascii="宋体" w:hAnsi="宋体" w:eastAsia="宋体" w:cs="宋体"/>
                <w:color w:val="auto"/>
                <w:sz w:val="24"/>
                <w:szCs w:val="24"/>
                <w:highlight w:val="none"/>
              </w:rPr>
              <w:t>（签字）</w:t>
            </w:r>
          </w:p>
        </w:tc>
      </w:tr>
      <w:tr w14:paraId="3A55D462">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464" w:hRule="atLeast"/>
        </w:trPr>
        <w:tc>
          <w:tcPr>
            <w:tcW w:w="3830" w:type="dxa"/>
            <w:noWrap w:val="0"/>
            <w:vAlign w:val="top"/>
          </w:tcPr>
          <w:p w14:paraId="75BBFADC">
            <w:pPr>
              <w:spacing w:before="184" w:line="360" w:lineRule="auto"/>
              <w:ind w:right="197" w:firstLine="479"/>
              <w:rPr>
                <w:rFonts w:ascii="宋体" w:hAnsi="宋体" w:eastAsia="宋体" w:cs="宋体"/>
                <w:color w:val="auto"/>
                <w:sz w:val="24"/>
                <w:szCs w:val="24"/>
                <w:highlight w:val="none"/>
              </w:rPr>
            </w:pPr>
            <w:r>
              <w:rPr>
                <w:rFonts w:ascii="宋体" w:hAnsi="宋体" w:eastAsia="宋体" w:cs="宋体"/>
                <w:color w:val="auto"/>
                <w:sz w:val="24"/>
                <w:szCs w:val="24"/>
                <w:highlight w:val="none"/>
              </w:rPr>
              <w:t>地址：</w:t>
            </w:r>
          </w:p>
        </w:tc>
        <w:tc>
          <w:tcPr>
            <w:tcW w:w="4200" w:type="dxa"/>
            <w:noWrap w:val="0"/>
            <w:vAlign w:val="top"/>
          </w:tcPr>
          <w:p w14:paraId="75C0C553">
            <w:pPr>
              <w:spacing w:before="184" w:line="360" w:lineRule="auto"/>
              <w:ind w:right="197" w:firstLine="479"/>
              <w:rPr>
                <w:rFonts w:ascii="宋体" w:hAnsi="宋体" w:eastAsia="宋体" w:cs="宋体"/>
                <w:color w:val="auto"/>
                <w:sz w:val="24"/>
                <w:szCs w:val="24"/>
                <w:highlight w:val="none"/>
              </w:rPr>
            </w:pPr>
            <w:r>
              <w:rPr>
                <w:rFonts w:ascii="宋体" w:hAnsi="宋体" w:eastAsia="宋体" w:cs="宋体"/>
                <w:color w:val="auto"/>
                <w:sz w:val="24"/>
                <w:szCs w:val="24"/>
                <w:highlight w:val="none"/>
              </w:rPr>
              <w:t>地址：</w:t>
            </w:r>
          </w:p>
        </w:tc>
      </w:tr>
      <w:tr w14:paraId="189CA886">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359" w:hRule="atLeast"/>
        </w:trPr>
        <w:tc>
          <w:tcPr>
            <w:tcW w:w="3830" w:type="dxa"/>
            <w:noWrap w:val="0"/>
            <w:vAlign w:val="top"/>
          </w:tcPr>
          <w:p w14:paraId="712B3C5C">
            <w:pPr>
              <w:spacing w:before="184" w:line="360" w:lineRule="auto"/>
              <w:ind w:right="197" w:firstLine="479"/>
              <w:rPr>
                <w:rFonts w:ascii="宋体" w:hAnsi="宋体" w:eastAsia="宋体" w:cs="宋体"/>
                <w:color w:val="auto"/>
                <w:sz w:val="24"/>
                <w:szCs w:val="24"/>
                <w:highlight w:val="none"/>
              </w:rPr>
            </w:pPr>
            <w:r>
              <w:rPr>
                <w:rFonts w:ascii="宋体" w:hAnsi="宋体" w:eastAsia="宋体" w:cs="宋体"/>
                <w:color w:val="auto"/>
                <w:sz w:val="24"/>
                <w:szCs w:val="24"/>
                <w:highlight w:val="none"/>
              </w:rPr>
              <w:t>电话：</w:t>
            </w:r>
          </w:p>
        </w:tc>
        <w:tc>
          <w:tcPr>
            <w:tcW w:w="4200" w:type="dxa"/>
            <w:noWrap w:val="0"/>
            <w:vAlign w:val="top"/>
          </w:tcPr>
          <w:p w14:paraId="19F3105F">
            <w:pPr>
              <w:spacing w:before="184" w:line="360" w:lineRule="auto"/>
              <w:ind w:right="197" w:firstLine="479"/>
              <w:rPr>
                <w:rFonts w:ascii="宋体" w:hAnsi="宋体" w:eastAsia="宋体" w:cs="宋体"/>
                <w:color w:val="auto"/>
                <w:sz w:val="24"/>
                <w:szCs w:val="24"/>
                <w:highlight w:val="none"/>
              </w:rPr>
            </w:pPr>
            <w:r>
              <w:rPr>
                <w:rFonts w:ascii="宋体" w:hAnsi="宋体" w:eastAsia="宋体" w:cs="宋体"/>
                <w:color w:val="auto"/>
                <w:sz w:val="24"/>
                <w:szCs w:val="24"/>
                <w:highlight w:val="none"/>
              </w:rPr>
              <w:t>电话：</w:t>
            </w:r>
          </w:p>
        </w:tc>
      </w:tr>
    </w:tbl>
    <w:p w14:paraId="4D400359">
      <w:pPr>
        <w:ind w:firstLine="444" w:firstLineChars="200"/>
        <w:rPr>
          <w:rFonts w:ascii="宋体" w:hAnsi="宋体" w:eastAsia="宋体" w:cs="宋体"/>
          <w:color w:val="auto"/>
          <w:spacing w:val="-9"/>
          <w:sz w:val="24"/>
          <w:szCs w:val="24"/>
          <w:highlight w:val="none"/>
        </w:rPr>
      </w:pPr>
    </w:p>
    <w:p w14:paraId="69A3EB74">
      <w:pPr>
        <w:ind w:firstLine="444" w:firstLineChars="200"/>
        <w:rPr>
          <w:rFonts w:asciiTheme="minorEastAsia" w:hAnsiTheme="minorEastAsia" w:eastAsiaTheme="minorEastAsia" w:cstheme="minorEastAsia"/>
          <w:b/>
          <w:color w:val="auto"/>
          <w:sz w:val="30"/>
          <w:szCs w:val="30"/>
          <w:highlight w:val="none"/>
        </w:rPr>
      </w:pPr>
      <w:r>
        <w:rPr>
          <w:rFonts w:ascii="宋体" w:hAnsi="宋体" w:eastAsia="宋体" w:cs="宋体"/>
          <w:color w:val="auto"/>
          <w:spacing w:val="-9"/>
          <w:sz w:val="24"/>
          <w:szCs w:val="24"/>
          <w:highlight w:val="none"/>
        </w:rPr>
        <w:t>日期：</w:t>
      </w:r>
      <w:r>
        <w:rPr>
          <w:rFonts w:hint="eastAsia" w:ascii="宋体" w:hAnsi="宋体" w:eastAsia="宋体" w:cs="宋体"/>
          <w:color w:val="auto"/>
          <w:spacing w:val="-9"/>
          <w:sz w:val="24"/>
          <w:szCs w:val="24"/>
          <w:highlight w:val="none"/>
          <w:lang w:val="en-US" w:eastAsia="zh-CN"/>
        </w:rPr>
        <w:t xml:space="preserve">  </w:t>
      </w:r>
      <w:r>
        <w:rPr>
          <w:rFonts w:ascii="宋体" w:hAnsi="宋体" w:eastAsia="宋体" w:cs="宋体"/>
          <w:color w:val="auto"/>
          <w:spacing w:val="-9"/>
          <w:sz w:val="24"/>
          <w:szCs w:val="24"/>
          <w:highlight w:val="none"/>
        </w:rPr>
        <w:t>年</w:t>
      </w:r>
      <w:r>
        <w:rPr>
          <w:rFonts w:hint="eastAsia" w:ascii="宋体" w:hAnsi="宋体" w:eastAsia="宋体" w:cs="宋体"/>
          <w:color w:val="auto"/>
          <w:spacing w:val="-9"/>
          <w:sz w:val="24"/>
          <w:szCs w:val="24"/>
          <w:highlight w:val="none"/>
          <w:lang w:val="en-US" w:eastAsia="zh-CN"/>
        </w:rPr>
        <w:t xml:space="preserve">    </w:t>
      </w:r>
      <w:r>
        <w:rPr>
          <w:rFonts w:ascii="宋体" w:hAnsi="宋体" w:eastAsia="宋体" w:cs="宋体"/>
          <w:color w:val="auto"/>
          <w:spacing w:val="-9"/>
          <w:sz w:val="24"/>
          <w:szCs w:val="24"/>
          <w:highlight w:val="none"/>
        </w:rPr>
        <w:t>月</w:t>
      </w:r>
      <w:r>
        <w:rPr>
          <w:rFonts w:hint="eastAsia" w:ascii="宋体" w:hAnsi="宋体" w:eastAsia="宋体" w:cs="宋体"/>
          <w:color w:val="auto"/>
          <w:spacing w:val="-9"/>
          <w:sz w:val="24"/>
          <w:szCs w:val="24"/>
          <w:highlight w:val="none"/>
          <w:lang w:val="en-US" w:eastAsia="zh-CN"/>
        </w:rPr>
        <w:t xml:space="preserve">   </w:t>
      </w:r>
      <w:r>
        <w:rPr>
          <w:rFonts w:ascii="宋体" w:hAnsi="宋体" w:eastAsia="宋体" w:cs="宋体"/>
          <w:color w:val="auto"/>
          <w:spacing w:val="-9"/>
          <w:sz w:val="24"/>
          <w:szCs w:val="24"/>
          <w:highlight w:val="none"/>
        </w:rPr>
        <w:t>日</w:t>
      </w:r>
      <w:r>
        <w:rPr>
          <w:rFonts w:hint="eastAsia" w:asciiTheme="minorEastAsia" w:hAnsiTheme="minorEastAsia" w:eastAsiaTheme="minorEastAsia" w:cstheme="minorEastAsia"/>
          <w:b/>
          <w:color w:val="auto"/>
          <w:sz w:val="30"/>
          <w:szCs w:val="30"/>
          <w:highlight w:val="none"/>
        </w:rPr>
        <w:br w:type="page"/>
      </w:r>
    </w:p>
    <w:p w14:paraId="4BDEFA2F">
      <w:pPr>
        <w:pStyle w:val="21"/>
        <w:spacing w:line="248" w:lineRule="auto"/>
        <w:rPr>
          <w:color w:val="auto"/>
          <w:highlight w:val="none"/>
        </w:rPr>
      </w:pPr>
    </w:p>
    <w:p w14:paraId="7117A3D5">
      <w:pPr>
        <w:pStyle w:val="21"/>
        <w:spacing w:line="248" w:lineRule="auto"/>
        <w:rPr>
          <w:color w:val="auto"/>
          <w:highlight w:val="none"/>
        </w:rPr>
      </w:pPr>
    </w:p>
    <w:p w14:paraId="66B5702E">
      <w:pPr>
        <w:spacing w:line="360" w:lineRule="auto"/>
        <w:jc w:val="center"/>
        <w:rPr>
          <w:rFonts w:ascii="宋体" w:hAnsi="宋体"/>
          <w:color w:val="auto"/>
          <w:sz w:val="32"/>
          <w:szCs w:val="32"/>
          <w:highlight w:val="none"/>
        </w:rPr>
      </w:pPr>
      <w:r>
        <w:rPr>
          <w:rFonts w:hint="eastAsia" w:ascii="宋体" w:hAnsi="宋体"/>
          <w:b/>
          <w:bCs/>
          <w:color w:val="auto"/>
          <w:sz w:val="32"/>
          <w:szCs w:val="32"/>
          <w:highlight w:val="none"/>
        </w:rPr>
        <w:t>第</w:t>
      </w:r>
      <w:r>
        <w:rPr>
          <w:rFonts w:hint="eastAsia" w:ascii="宋体" w:hAnsi="宋体"/>
          <w:b/>
          <w:bCs/>
          <w:color w:val="auto"/>
          <w:sz w:val="32"/>
          <w:szCs w:val="32"/>
          <w:highlight w:val="none"/>
          <w:lang w:val="en-US" w:eastAsia="zh-CN"/>
        </w:rPr>
        <w:t>五</w:t>
      </w:r>
      <w:r>
        <w:rPr>
          <w:rFonts w:hint="eastAsia" w:ascii="宋体" w:hAnsi="宋体"/>
          <w:b/>
          <w:bCs/>
          <w:color w:val="auto"/>
          <w:sz w:val="32"/>
          <w:szCs w:val="32"/>
          <w:highlight w:val="none"/>
        </w:rPr>
        <w:t>部分  图纸资料保密承诺函</w:t>
      </w:r>
    </w:p>
    <w:p w14:paraId="2742C0F5">
      <w:pPr>
        <w:spacing w:before="78" w:line="219" w:lineRule="auto"/>
        <w:ind w:left="498"/>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1、我方保证严格遵守国家有关保密的法律、法规和规章制度的规定，履行保密义务。</w:t>
      </w:r>
    </w:p>
    <w:p w14:paraId="157AF4B0">
      <w:pPr>
        <w:spacing w:before="184" w:line="359" w:lineRule="auto"/>
        <w:ind w:left="2" w:right="61" w:firstLine="480"/>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2、我方保证，图纸资料和从其他相关渠道获取的涉密信息（以下统称“保密信息”</w:t>
      </w:r>
      <w:r>
        <w:rPr>
          <w:rFonts w:ascii="宋体" w:hAnsi="宋体" w:eastAsia="宋体" w:cs="宋体"/>
          <w:color w:val="auto"/>
          <w:spacing w:val="-46"/>
          <w:w w:val="73"/>
          <w:sz w:val="24"/>
          <w:szCs w:val="24"/>
          <w:highlight w:val="none"/>
        </w:rPr>
        <w:t>），</w:t>
      </w:r>
      <w:r>
        <w:rPr>
          <w:rFonts w:ascii="宋体" w:hAnsi="宋体" w:eastAsia="宋体" w:cs="宋体"/>
          <w:color w:val="auto"/>
          <w:spacing w:val="-1"/>
          <w:sz w:val="24"/>
          <w:szCs w:val="24"/>
          <w:highlight w:val="none"/>
        </w:rPr>
        <w:t>我方始终严格履行保密义务，不会以（包括</w:t>
      </w:r>
      <w:r>
        <w:rPr>
          <w:rFonts w:ascii="宋体" w:hAnsi="宋体" w:eastAsia="宋体" w:cs="宋体"/>
          <w:color w:val="auto"/>
          <w:spacing w:val="-2"/>
          <w:sz w:val="24"/>
          <w:szCs w:val="24"/>
          <w:highlight w:val="none"/>
        </w:rPr>
        <w:t>但不限于）眷写、复印、拍照、录音、录像等任</w:t>
      </w:r>
      <w:r>
        <w:rPr>
          <w:rFonts w:ascii="宋体" w:hAnsi="宋体" w:eastAsia="宋体" w:cs="宋体"/>
          <w:color w:val="auto"/>
          <w:spacing w:val="-1"/>
          <w:sz w:val="24"/>
          <w:szCs w:val="24"/>
          <w:highlight w:val="none"/>
        </w:rPr>
        <w:t>何方式进行复制，并且不会以任何形式将其</w:t>
      </w:r>
      <w:r>
        <w:rPr>
          <w:rFonts w:ascii="宋体" w:hAnsi="宋体" w:eastAsia="宋体" w:cs="宋体"/>
          <w:color w:val="auto"/>
          <w:spacing w:val="-2"/>
          <w:sz w:val="24"/>
          <w:szCs w:val="24"/>
          <w:highlight w:val="none"/>
        </w:rPr>
        <w:t>泄漏给第三方。我方将采取严格、有效的内部保</w:t>
      </w:r>
      <w:r>
        <w:rPr>
          <w:rFonts w:ascii="宋体" w:hAnsi="宋体" w:eastAsia="宋体" w:cs="宋体"/>
          <w:color w:val="auto"/>
          <w:sz w:val="24"/>
          <w:szCs w:val="24"/>
          <w:highlight w:val="none"/>
        </w:rPr>
        <w:t>管制度和措施，加强保密教育，避免和本项目无关的其</w:t>
      </w:r>
      <w:r>
        <w:rPr>
          <w:rFonts w:ascii="宋体" w:hAnsi="宋体" w:eastAsia="宋体" w:cs="宋体"/>
          <w:color w:val="auto"/>
          <w:spacing w:val="-1"/>
          <w:sz w:val="24"/>
          <w:szCs w:val="24"/>
          <w:highlight w:val="none"/>
        </w:rPr>
        <w:t>他人接触，获悉本项目信息。</w:t>
      </w:r>
    </w:p>
    <w:p w14:paraId="459F1FFD">
      <w:pPr>
        <w:spacing w:line="359" w:lineRule="auto"/>
        <w:ind w:firstLine="485"/>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3、我方确认已被告知，本项目属于经有关保密工作部门、机构批准、备案的</w:t>
      </w:r>
      <w:r>
        <w:rPr>
          <w:rFonts w:ascii="宋体" w:hAnsi="宋体" w:eastAsia="宋体" w:cs="宋体"/>
          <w:color w:val="auto"/>
          <w:spacing w:val="-4"/>
          <w:sz w:val="24"/>
          <w:szCs w:val="24"/>
          <w:highlight w:val="none"/>
        </w:rPr>
        <w:t>涉密项目，</w:t>
      </w:r>
      <w:r>
        <w:rPr>
          <w:rFonts w:ascii="宋体" w:hAnsi="宋体" w:eastAsia="宋体" w:cs="宋体"/>
          <w:color w:val="auto"/>
          <w:sz w:val="24"/>
          <w:szCs w:val="24"/>
          <w:highlight w:val="none"/>
        </w:rPr>
        <w:t>在参与该项目招投标活动过程中，我方应严格依法</w:t>
      </w:r>
      <w:r>
        <w:rPr>
          <w:rFonts w:ascii="宋体" w:hAnsi="宋体" w:eastAsia="宋体" w:cs="宋体"/>
          <w:color w:val="auto"/>
          <w:spacing w:val="-1"/>
          <w:sz w:val="24"/>
          <w:szCs w:val="24"/>
          <w:highlight w:val="none"/>
        </w:rPr>
        <w:t>承担保守秘密的义务。</w:t>
      </w:r>
    </w:p>
    <w:p w14:paraId="6BB9179D">
      <w:pPr>
        <w:spacing w:line="359" w:lineRule="auto"/>
        <w:ind w:left="6" w:right="64" w:firstLine="473"/>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4、我方保证严格执行相关材料保密制度，所有</w:t>
      </w:r>
      <w:r>
        <w:rPr>
          <w:rFonts w:ascii="宋体" w:hAnsi="宋体" w:eastAsia="宋体" w:cs="宋体"/>
          <w:color w:val="auto"/>
          <w:spacing w:val="1"/>
          <w:sz w:val="24"/>
          <w:szCs w:val="24"/>
          <w:highlight w:val="none"/>
        </w:rPr>
        <w:t>跟项目相关的文件均按照秘密保密级保</w:t>
      </w:r>
      <w:r>
        <w:rPr>
          <w:rFonts w:ascii="宋体" w:hAnsi="宋体" w:eastAsia="宋体" w:cs="宋体"/>
          <w:color w:val="auto"/>
          <w:spacing w:val="-1"/>
          <w:sz w:val="24"/>
          <w:szCs w:val="24"/>
          <w:highlight w:val="none"/>
        </w:rPr>
        <w:t>管，严禁在互联网，报刊，电视等公共媒体上公开发表。</w:t>
      </w:r>
    </w:p>
    <w:p w14:paraId="17D3FC5D">
      <w:pPr>
        <w:spacing w:line="359" w:lineRule="auto"/>
        <w:ind w:left="2" w:firstLine="482"/>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5、我方保证按规定在递交投标文件的同时删除所下载的图纸、资料等，若未</w:t>
      </w:r>
      <w:r>
        <w:rPr>
          <w:rFonts w:ascii="宋体" w:hAnsi="宋体" w:eastAsia="宋体" w:cs="宋体"/>
          <w:color w:val="auto"/>
          <w:spacing w:val="-4"/>
          <w:sz w:val="24"/>
          <w:szCs w:val="24"/>
          <w:highlight w:val="none"/>
        </w:rPr>
        <w:t>及时删除，</w:t>
      </w:r>
      <w:r>
        <w:rPr>
          <w:rFonts w:ascii="宋体" w:hAnsi="宋体" w:eastAsia="宋体" w:cs="宋体"/>
          <w:color w:val="auto"/>
          <w:spacing w:val="-1"/>
          <w:sz w:val="24"/>
          <w:szCs w:val="24"/>
          <w:highlight w:val="none"/>
        </w:rPr>
        <w:t>我方将承担相应法律责任。</w:t>
      </w:r>
    </w:p>
    <w:p w14:paraId="5747919F">
      <w:pPr>
        <w:spacing w:line="359" w:lineRule="auto"/>
        <w:ind w:left="9" w:right="64" w:firstLine="473"/>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6、对于我方或我方工作人员未能严格履行</w:t>
      </w:r>
      <w:r>
        <w:rPr>
          <w:rFonts w:ascii="宋体" w:hAnsi="宋体" w:eastAsia="宋体" w:cs="宋体"/>
          <w:color w:val="auto"/>
          <w:spacing w:val="1"/>
          <w:sz w:val="24"/>
          <w:szCs w:val="24"/>
          <w:highlight w:val="none"/>
        </w:rPr>
        <w:t>保密义务而可能被依法追究刑事责任、行政</w:t>
      </w:r>
      <w:r>
        <w:rPr>
          <w:rFonts w:ascii="宋体" w:hAnsi="宋体" w:eastAsia="宋体" w:cs="宋体"/>
          <w:color w:val="auto"/>
          <w:spacing w:val="-1"/>
          <w:sz w:val="24"/>
          <w:szCs w:val="24"/>
          <w:highlight w:val="none"/>
        </w:rPr>
        <w:t>责任和民事责任的相关法律风险，我方已有充分的认识和了解。</w:t>
      </w:r>
    </w:p>
    <w:p w14:paraId="2786B68E">
      <w:pPr>
        <w:spacing w:line="219" w:lineRule="auto"/>
        <w:ind w:left="480"/>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特此承诺。</w:t>
      </w:r>
    </w:p>
    <w:p w14:paraId="607F191F">
      <w:pPr>
        <w:pStyle w:val="21"/>
        <w:spacing w:line="247" w:lineRule="auto"/>
        <w:rPr>
          <w:color w:val="auto"/>
          <w:highlight w:val="none"/>
        </w:rPr>
      </w:pPr>
    </w:p>
    <w:p w14:paraId="06899B39">
      <w:pPr>
        <w:pStyle w:val="21"/>
        <w:spacing w:line="247" w:lineRule="auto"/>
        <w:rPr>
          <w:color w:val="auto"/>
          <w:highlight w:val="none"/>
        </w:rPr>
      </w:pPr>
    </w:p>
    <w:p w14:paraId="7D5559C6">
      <w:pPr>
        <w:pStyle w:val="21"/>
        <w:spacing w:line="247" w:lineRule="auto"/>
        <w:rPr>
          <w:color w:val="auto"/>
          <w:highlight w:val="none"/>
        </w:rPr>
      </w:pPr>
    </w:p>
    <w:p w14:paraId="7CE5EECA">
      <w:pPr>
        <w:pStyle w:val="21"/>
        <w:spacing w:line="247" w:lineRule="auto"/>
        <w:rPr>
          <w:color w:val="auto"/>
          <w:highlight w:val="none"/>
        </w:rPr>
      </w:pPr>
    </w:p>
    <w:p w14:paraId="543450C6">
      <w:pPr>
        <w:pStyle w:val="21"/>
        <w:spacing w:line="248" w:lineRule="auto"/>
        <w:rPr>
          <w:color w:val="auto"/>
          <w:highlight w:val="none"/>
        </w:rPr>
      </w:pPr>
    </w:p>
    <w:p w14:paraId="6ECB73B9">
      <w:pPr>
        <w:pStyle w:val="21"/>
        <w:spacing w:line="248" w:lineRule="auto"/>
        <w:rPr>
          <w:color w:val="auto"/>
          <w:highlight w:val="none"/>
        </w:rPr>
      </w:pPr>
    </w:p>
    <w:p w14:paraId="68F6EB50">
      <w:pPr>
        <w:pStyle w:val="21"/>
        <w:spacing w:line="248" w:lineRule="auto"/>
        <w:rPr>
          <w:color w:val="auto"/>
          <w:highlight w:val="none"/>
        </w:rPr>
      </w:pPr>
    </w:p>
    <w:p w14:paraId="7650FA26">
      <w:pPr>
        <w:spacing w:before="78" w:line="219" w:lineRule="auto"/>
        <w:ind w:left="492"/>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（承诺人</w:t>
      </w:r>
      <w:r>
        <w:rPr>
          <w:rFonts w:ascii="宋体" w:hAnsi="宋体" w:eastAsia="宋体" w:cs="宋体"/>
          <w:color w:val="auto"/>
          <w:spacing w:val="-56"/>
          <w:sz w:val="24"/>
          <w:szCs w:val="24"/>
          <w:highlight w:val="none"/>
        </w:rPr>
        <w:t>）：</w:t>
      </w:r>
      <w:r>
        <w:rPr>
          <w:rFonts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eastAsia="zh-CN"/>
        </w:rPr>
        <w:t>（</w:t>
      </w:r>
      <w:r>
        <w:rPr>
          <w:rFonts w:ascii="宋体" w:hAnsi="宋体" w:eastAsia="宋体" w:cs="宋体"/>
          <w:color w:val="auto"/>
          <w:spacing w:val="1"/>
          <w:sz w:val="24"/>
          <w:szCs w:val="24"/>
          <w:highlight w:val="none"/>
        </w:rPr>
        <w:t>盖单位章</w:t>
      </w:r>
      <w:r>
        <w:rPr>
          <w:rFonts w:hint="eastAsia" w:ascii="宋体" w:hAnsi="宋体" w:eastAsia="宋体" w:cs="宋体"/>
          <w:color w:val="auto"/>
          <w:sz w:val="24"/>
          <w:szCs w:val="24"/>
          <w:highlight w:val="none"/>
          <w:lang w:eastAsia="zh-CN"/>
        </w:rPr>
        <w:t>）</w:t>
      </w:r>
    </w:p>
    <w:p w14:paraId="40BF7517">
      <w:pPr>
        <w:spacing w:before="184" w:line="219" w:lineRule="auto"/>
        <w:ind w:left="1"/>
        <w:outlineLvl w:val="1"/>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法定代表人或其授权代理人</w:t>
      </w:r>
      <w:r>
        <w:rPr>
          <w:rFonts w:ascii="宋体" w:hAnsi="宋体" w:eastAsia="宋体" w:cs="宋体"/>
          <w:color w:val="auto"/>
          <w:spacing w:val="-15"/>
          <w:sz w:val="24"/>
          <w:szCs w:val="24"/>
          <w:highlight w:val="none"/>
        </w:rPr>
        <w:t>：</w:t>
      </w:r>
      <w:r>
        <w:rPr>
          <w:rFonts w:ascii="宋体" w:hAnsi="宋体" w:eastAsia="宋体" w:cs="宋体"/>
          <w:color w:val="auto"/>
          <w:spacing w:val="13"/>
          <w:sz w:val="24"/>
          <w:szCs w:val="24"/>
          <w:highlight w:val="none"/>
        </w:rPr>
        <w:t xml:space="preserve">         </w:t>
      </w:r>
      <w:r>
        <w:rPr>
          <w:rFonts w:ascii="宋体" w:hAnsi="宋体" w:eastAsia="宋体" w:cs="宋体"/>
          <w:color w:val="auto"/>
          <w:spacing w:val="-15"/>
          <w:sz w:val="24"/>
          <w:szCs w:val="24"/>
          <w:highlight w:val="none"/>
        </w:rPr>
        <w:t>（</w:t>
      </w:r>
      <w:r>
        <w:rPr>
          <w:rFonts w:ascii="宋体" w:hAnsi="宋体" w:eastAsia="宋体" w:cs="宋体"/>
          <w:color w:val="auto"/>
          <w:spacing w:val="1"/>
          <w:sz w:val="24"/>
          <w:szCs w:val="24"/>
          <w:highlight w:val="none"/>
        </w:rPr>
        <w:t>签字或盖章）</w:t>
      </w:r>
    </w:p>
    <w:p w14:paraId="56C3734A">
      <w:pPr>
        <w:spacing w:line="219" w:lineRule="auto"/>
        <w:rPr>
          <w:rFonts w:ascii="宋体" w:hAnsi="宋体" w:eastAsia="宋体" w:cs="宋体"/>
          <w:color w:val="auto"/>
          <w:sz w:val="24"/>
          <w:szCs w:val="24"/>
          <w:highlight w:val="none"/>
        </w:rPr>
        <w:sectPr>
          <w:footerReference r:id="rId11" w:type="default"/>
          <w:pgSz w:w="11906" w:h="16839"/>
          <w:pgMar w:top="400" w:right="1212" w:bottom="1154" w:left="1088" w:header="0" w:footer="991" w:gutter="0"/>
          <w:pgNumType w:fmt="decimal"/>
          <w:cols w:space="720" w:num="1"/>
        </w:sectPr>
      </w:pPr>
    </w:p>
    <w:p w14:paraId="32E736EC">
      <w:pPr>
        <w:pStyle w:val="32"/>
        <w:snapToGrid w:val="0"/>
        <w:spacing w:beforeLines="0" w:afterLines="0" w:line="440" w:lineRule="exact"/>
        <w:jc w:val="center"/>
        <w:rPr>
          <w:rFonts w:asciiTheme="minorEastAsia" w:hAnsiTheme="minorEastAsia" w:eastAsiaTheme="minorEastAsia" w:cstheme="minorEastAsia"/>
          <w:b/>
          <w:color w:val="auto"/>
          <w:sz w:val="30"/>
          <w:szCs w:val="30"/>
          <w:highlight w:val="none"/>
        </w:rPr>
      </w:pPr>
      <w:r>
        <w:rPr>
          <w:rFonts w:hint="eastAsia" w:asciiTheme="minorEastAsia" w:hAnsiTheme="minorEastAsia" w:eastAsiaTheme="minorEastAsia" w:cstheme="minorEastAsia"/>
          <w:b/>
          <w:color w:val="auto"/>
          <w:sz w:val="30"/>
          <w:szCs w:val="30"/>
          <w:highlight w:val="none"/>
        </w:rPr>
        <w:t>第六章　投标文件格式</w:t>
      </w:r>
      <w:bookmarkEnd w:id="44"/>
      <w:bookmarkEnd w:id="59"/>
      <w:bookmarkEnd w:id="60"/>
    </w:p>
    <w:p w14:paraId="7408F2DE">
      <w:pPr>
        <w:pStyle w:val="32"/>
        <w:snapToGrid w:val="0"/>
        <w:spacing w:beforeLines="0" w:afterLines="0" w:line="420" w:lineRule="exact"/>
        <w:jc w:val="center"/>
        <w:rPr>
          <w:rFonts w:asciiTheme="minorEastAsia" w:hAnsiTheme="minorEastAsia" w:eastAsiaTheme="minorEastAsia" w:cstheme="minorEastAsia"/>
          <w:color w:val="auto"/>
          <w:sz w:val="30"/>
          <w:szCs w:val="30"/>
          <w:highlight w:val="none"/>
        </w:rPr>
      </w:pPr>
    </w:p>
    <w:p w14:paraId="235BF012">
      <w:pPr>
        <w:snapToGrid w:val="0"/>
        <w:spacing w:beforeLines="50" w:after="50"/>
        <w:jc w:val="center"/>
        <w:outlineLvl w:val="1"/>
        <w:rPr>
          <w:rFonts w:asciiTheme="minorEastAsia" w:hAnsiTheme="minorEastAsia" w:eastAsiaTheme="minorEastAsia" w:cstheme="minorEastAsia"/>
          <w:b/>
          <w:bCs/>
          <w:color w:val="auto"/>
          <w:sz w:val="28"/>
          <w:szCs w:val="28"/>
          <w:highlight w:val="none"/>
        </w:rPr>
      </w:pPr>
      <w:bookmarkStart w:id="61" w:name="_Toc30690"/>
      <w:bookmarkStart w:id="62" w:name="_Toc29949"/>
      <w:bookmarkStart w:id="63" w:name="_Toc265669850"/>
      <w:r>
        <w:rPr>
          <w:rFonts w:hint="eastAsia" w:asciiTheme="minorEastAsia" w:hAnsiTheme="minorEastAsia" w:eastAsiaTheme="minorEastAsia" w:cstheme="minorEastAsia"/>
          <w:b/>
          <w:bCs/>
          <w:color w:val="auto"/>
          <w:sz w:val="28"/>
          <w:szCs w:val="28"/>
          <w:highlight w:val="none"/>
        </w:rPr>
        <w:t>一、资格响应文件格式</w:t>
      </w:r>
      <w:bookmarkEnd w:id="61"/>
      <w:bookmarkEnd w:id="62"/>
    </w:p>
    <w:p w14:paraId="32663FC0">
      <w:pPr>
        <w:snapToGrid w:val="0"/>
        <w:spacing w:beforeLines="50" w:after="50"/>
        <w:jc w:val="center"/>
        <w:rPr>
          <w:rFonts w:asciiTheme="minorEastAsia" w:hAnsiTheme="minorEastAsia" w:eastAsiaTheme="minorEastAsia" w:cstheme="minorEastAsia"/>
          <w:color w:val="auto"/>
          <w:sz w:val="28"/>
          <w:szCs w:val="28"/>
          <w:highlight w:val="none"/>
        </w:rPr>
      </w:pPr>
    </w:p>
    <w:p w14:paraId="5A354A18">
      <w:pPr>
        <w:snapToGrid w:val="0"/>
        <w:spacing w:beforeLines="50" w:after="50"/>
        <w:jc w:val="center"/>
        <w:rPr>
          <w:rFonts w:asciiTheme="minorEastAsia" w:hAnsiTheme="minorEastAsia" w:eastAsiaTheme="minorEastAsia" w:cstheme="minorEastAsia"/>
          <w:color w:val="auto"/>
          <w:sz w:val="28"/>
          <w:szCs w:val="28"/>
          <w:highlight w:val="none"/>
        </w:rPr>
      </w:pPr>
    </w:p>
    <w:p w14:paraId="60364679">
      <w:pPr>
        <w:snapToGrid w:val="0"/>
        <w:spacing w:beforeLines="50" w:after="50"/>
        <w:ind w:firstLine="560" w:firstLineChars="20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1.资格响应文件封面格式： </w:t>
      </w:r>
    </w:p>
    <w:p w14:paraId="52A61DDE">
      <w:pPr>
        <w:snapToGrid w:val="0"/>
        <w:spacing w:beforeLines="50" w:after="50"/>
        <w:rPr>
          <w:rFonts w:asciiTheme="minorEastAsia" w:hAnsiTheme="minorEastAsia" w:eastAsiaTheme="minorEastAsia" w:cstheme="minorEastAsia"/>
          <w:b/>
          <w:bCs/>
          <w:color w:val="auto"/>
          <w:sz w:val="28"/>
          <w:szCs w:val="28"/>
          <w:highlight w:val="none"/>
        </w:rPr>
      </w:pPr>
      <w:r>
        <w:rPr>
          <w:rFonts w:hint="eastAsia" w:asciiTheme="minorEastAsia" w:hAnsiTheme="minorEastAsia" w:eastAsiaTheme="minorEastAsia" w:cstheme="minorEastAsia"/>
          <w:b/>
          <w:bCs/>
          <w:color w:val="auto"/>
          <w:sz w:val="28"/>
          <w:szCs w:val="28"/>
          <w:highlight w:val="none"/>
        </w:rPr>
        <w:t xml:space="preserve"> </w:t>
      </w:r>
    </w:p>
    <w:p w14:paraId="5DC2F01F">
      <w:pPr>
        <w:snapToGrid w:val="0"/>
        <w:spacing w:beforeLines="50" w:after="50"/>
        <w:rPr>
          <w:rFonts w:asciiTheme="minorEastAsia" w:hAnsiTheme="minorEastAsia" w:eastAsiaTheme="minorEastAsia" w:cstheme="minorEastAsia"/>
          <w:color w:val="auto"/>
          <w:sz w:val="28"/>
          <w:szCs w:val="28"/>
          <w:highlight w:val="none"/>
        </w:rPr>
      </w:pPr>
    </w:p>
    <w:p w14:paraId="2AABE090">
      <w:pPr>
        <w:snapToGrid w:val="0"/>
        <w:spacing w:beforeLines="50" w:after="50"/>
        <w:jc w:val="center"/>
        <w:rPr>
          <w:rFonts w:asciiTheme="minorEastAsia" w:hAnsiTheme="minorEastAsia" w:eastAsiaTheme="minorEastAsia" w:cstheme="minorEastAsia"/>
          <w:bCs/>
          <w:color w:val="auto"/>
          <w:sz w:val="28"/>
          <w:szCs w:val="28"/>
          <w:highlight w:val="none"/>
        </w:rPr>
      </w:pPr>
    </w:p>
    <w:p w14:paraId="50D3DD86">
      <w:pPr>
        <w:snapToGrid w:val="0"/>
        <w:spacing w:beforeLines="50" w:after="50"/>
        <w:jc w:val="center"/>
        <w:rPr>
          <w:rFonts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资格响应文件</w:t>
      </w:r>
    </w:p>
    <w:p w14:paraId="354F34D7">
      <w:pPr>
        <w:snapToGrid w:val="0"/>
        <w:spacing w:beforeLines="50" w:after="50" w:line="360" w:lineRule="auto"/>
        <w:jc w:val="center"/>
        <w:rPr>
          <w:rFonts w:asciiTheme="minorEastAsia" w:hAnsiTheme="minorEastAsia" w:eastAsiaTheme="minorEastAsia" w:cstheme="minorEastAsia"/>
          <w:bCs/>
          <w:color w:val="auto"/>
          <w:sz w:val="28"/>
          <w:szCs w:val="28"/>
          <w:highlight w:val="none"/>
        </w:rPr>
      </w:pPr>
    </w:p>
    <w:p w14:paraId="6FADEA91">
      <w:pPr>
        <w:snapToGrid w:val="0"/>
        <w:spacing w:beforeLines="50" w:after="50" w:line="360" w:lineRule="auto"/>
        <w:jc w:val="center"/>
        <w:rPr>
          <w:rFonts w:asciiTheme="minorEastAsia" w:hAnsiTheme="minorEastAsia" w:eastAsiaTheme="minorEastAsia" w:cstheme="minorEastAsia"/>
          <w:bCs/>
          <w:color w:val="auto"/>
          <w:sz w:val="28"/>
          <w:szCs w:val="28"/>
          <w:highlight w:val="none"/>
        </w:rPr>
      </w:pPr>
    </w:p>
    <w:p w14:paraId="42A19806">
      <w:pPr>
        <w:snapToGrid w:val="0"/>
        <w:spacing w:beforeLines="50" w:after="50" w:line="360" w:lineRule="auto"/>
        <w:ind w:firstLine="1246" w:firstLineChars="445"/>
        <w:rPr>
          <w:rFonts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项目名称：</w:t>
      </w:r>
    </w:p>
    <w:p w14:paraId="26F964E9">
      <w:pPr>
        <w:snapToGrid w:val="0"/>
        <w:spacing w:beforeLines="50" w:after="50" w:line="360" w:lineRule="auto"/>
        <w:ind w:firstLine="560" w:firstLineChars="200"/>
        <w:rPr>
          <w:rFonts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     项目编号：    </w:t>
      </w:r>
    </w:p>
    <w:p w14:paraId="7938AAD2">
      <w:pPr>
        <w:pStyle w:val="14"/>
        <w:snapToGrid w:val="0"/>
        <w:spacing w:before="50" w:after="50" w:line="360" w:lineRule="auto"/>
        <w:ind w:firstLine="1164" w:firstLineChars="416"/>
        <w:rPr>
          <w:rFonts w:asciiTheme="minorEastAsia" w:hAnsiTheme="minorEastAsia" w:eastAsiaTheme="minorEastAsia" w:cstheme="minorEastAsia"/>
          <w:bCs/>
          <w:color w:val="auto"/>
          <w:sz w:val="28"/>
          <w:szCs w:val="28"/>
          <w:highlight w:val="none"/>
        </w:rPr>
      </w:pPr>
    </w:p>
    <w:p w14:paraId="588B9BC3">
      <w:pPr>
        <w:pStyle w:val="14"/>
        <w:snapToGrid w:val="0"/>
        <w:spacing w:before="50" w:after="50" w:line="360" w:lineRule="auto"/>
        <w:ind w:firstLine="1164" w:firstLineChars="416"/>
        <w:rPr>
          <w:rFonts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投标人名称：</w:t>
      </w:r>
    </w:p>
    <w:p w14:paraId="42F97D34">
      <w:pPr>
        <w:pStyle w:val="14"/>
        <w:snapToGrid w:val="0"/>
        <w:spacing w:before="50" w:after="50" w:line="360" w:lineRule="auto"/>
        <w:ind w:firstLine="1164" w:firstLineChars="416"/>
        <w:rPr>
          <w:rFonts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投标人地址：</w:t>
      </w:r>
    </w:p>
    <w:p w14:paraId="5D8ED202">
      <w:pPr>
        <w:pStyle w:val="14"/>
        <w:snapToGrid w:val="0"/>
        <w:spacing w:before="50" w:after="50"/>
        <w:ind w:firstLine="1120" w:firstLineChars="400"/>
        <w:rPr>
          <w:rFonts w:asciiTheme="minorEastAsia" w:hAnsiTheme="minorEastAsia" w:eastAsiaTheme="minorEastAsia" w:cstheme="minorEastAsia"/>
          <w:bCs/>
          <w:color w:val="auto"/>
          <w:sz w:val="28"/>
          <w:szCs w:val="28"/>
          <w:highlight w:val="none"/>
        </w:rPr>
      </w:pPr>
    </w:p>
    <w:p w14:paraId="65D2A166">
      <w:pPr>
        <w:snapToGrid w:val="0"/>
        <w:spacing w:line="360" w:lineRule="auto"/>
        <w:ind w:firstLine="3360" w:firstLineChars="1200"/>
        <w:jc w:val="left"/>
        <w:rPr>
          <w:rFonts w:asciiTheme="minorEastAsia" w:hAnsiTheme="minorEastAsia" w:eastAsiaTheme="minorEastAsia" w:cstheme="minorEastAsia"/>
          <w:color w:val="auto"/>
          <w:sz w:val="28"/>
          <w:szCs w:val="28"/>
          <w:highlight w:val="none"/>
        </w:rPr>
      </w:pPr>
    </w:p>
    <w:p w14:paraId="2D680B1F">
      <w:pPr>
        <w:snapToGrid w:val="0"/>
        <w:spacing w:line="360" w:lineRule="auto"/>
        <w:ind w:firstLine="3640" w:firstLineChars="1300"/>
        <w:jc w:val="lef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8"/>
          <w:szCs w:val="28"/>
          <w:highlight w:val="none"/>
        </w:rPr>
        <w:t>年  月  日</w:t>
      </w:r>
      <w:r>
        <w:rPr>
          <w:rFonts w:hint="eastAsia" w:asciiTheme="minorEastAsia" w:hAnsiTheme="minorEastAsia" w:eastAsiaTheme="minorEastAsia" w:cstheme="minorEastAsia"/>
          <w:color w:val="auto"/>
          <w:sz w:val="28"/>
          <w:szCs w:val="28"/>
          <w:highlight w:val="none"/>
        </w:rPr>
        <w:br w:type="page"/>
      </w:r>
      <w:bookmarkStart w:id="64" w:name="_Hlk60757343"/>
      <w:r>
        <w:rPr>
          <w:rFonts w:hint="eastAsia" w:asciiTheme="minorEastAsia" w:hAnsiTheme="minorEastAsia" w:eastAsiaTheme="minorEastAsia" w:cstheme="minorEastAsia"/>
          <w:color w:val="auto"/>
          <w:sz w:val="24"/>
          <w:highlight w:val="none"/>
        </w:rPr>
        <w:t>2.营业执照等：</w:t>
      </w:r>
      <w:bookmarkEnd w:id="64"/>
    </w:p>
    <w:p w14:paraId="3D048EDD">
      <w:pPr>
        <w:snapToGrid w:val="0"/>
        <w:spacing w:line="360" w:lineRule="auto"/>
        <w:jc w:val="center"/>
        <w:rPr>
          <w:rFonts w:asciiTheme="minorEastAsia" w:hAnsiTheme="minorEastAsia" w:eastAsiaTheme="minorEastAsia" w:cstheme="minorEastAsia"/>
          <w:b/>
          <w:color w:val="auto"/>
          <w:kern w:val="0"/>
          <w:sz w:val="32"/>
          <w:szCs w:val="32"/>
          <w:highlight w:val="none"/>
          <w:lang w:val="zh-CN"/>
        </w:rPr>
      </w:pPr>
    </w:p>
    <w:p w14:paraId="2A323499">
      <w:pPr>
        <w:snapToGrid w:val="0"/>
        <w:spacing w:line="360" w:lineRule="auto"/>
        <w:jc w:val="center"/>
        <w:rPr>
          <w:rFonts w:asciiTheme="minorEastAsia" w:hAnsiTheme="minorEastAsia" w:eastAsiaTheme="minorEastAsia" w:cstheme="minorEastAsia"/>
          <w:b/>
          <w:color w:val="auto"/>
          <w:kern w:val="0"/>
          <w:sz w:val="32"/>
          <w:szCs w:val="32"/>
          <w:highlight w:val="none"/>
          <w:lang w:val="zh-CN"/>
        </w:rPr>
      </w:pPr>
    </w:p>
    <w:p w14:paraId="73981780">
      <w:pPr>
        <w:snapToGrid w:val="0"/>
        <w:spacing w:line="360" w:lineRule="auto"/>
        <w:jc w:val="center"/>
        <w:rPr>
          <w:rFonts w:asciiTheme="minorEastAsia" w:hAnsiTheme="minorEastAsia" w:eastAsiaTheme="minorEastAsia" w:cstheme="minorEastAsia"/>
          <w:b/>
          <w:color w:val="auto"/>
          <w:kern w:val="0"/>
          <w:sz w:val="32"/>
          <w:szCs w:val="32"/>
          <w:highlight w:val="none"/>
          <w:lang w:val="zh-CN"/>
        </w:rPr>
      </w:pPr>
      <w:r>
        <w:rPr>
          <w:rFonts w:hint="eastAsia" w:asciiTheme="minorEastAsia" w:hAnsiTheme="minorEastAsia" w:eastAsiaTheme="minorEastAsia" w:cstheme="minorEastAsia"/>
          <w:b/>
          <w:color w:val="auto"/>
          <w:kern w:val="0"/>
          <w:sz w:val="32"/>
          <w:szCs w:val="32"/>
          <w:highlight w:val="none"/>
          <w:lang w:val="zh-CN"/>
        </w:rPr>
        <w:t>营业执照（推荐使用电子营业执照）</w:t>
      </w:r>
    </w:p>
    <w:p w14:paraId="2D8465FB">
      <w:pPr>
        <w:snapToGrid w:val="0"/>
        <w:spacing w:line="360" w:lineRule="auto"/>
        <w:rPr>
          <w:rFonts w:asciiTheme="minorEastAsia" w:hAnsiTheme="minorEastAsia" w:eastAsiaTheme="minorEastAsia" w:cstheme="minorEastAsia"/>
          <w:b/>
          <w:color w:val="auto"/>
          <w:kern w:val="0"/>
          <w:sz w:val="32"/>
          <w:szCs w:val="32"/>
          <w:highlight w:val="none"/>
          <w:lang w:val="zh-CN"/>
        </w:rPr>
      </w:pPr>
      <w:r>
        <w:rPr>
          <w:rFonts w:hint="eastAsia" w:asciiTheme="minorEastAsia" w:hAnsiTheme="minorEastAsia" w:eastAsiaTheme="minorEastAsia" w:cstheme="minorEastAsia"/>
          <w:b/>
          <w:color w:val="auto"/>
          <w:kern w:val="0"/>
          <w:sz w:val="32"/>
          <w:szCs w:val="32"/>
          <w:highlight w:val="none"/>
          <w:lang w:val="zh-CN"/>
        </w:rPr>
        <w:t>或事业法人登记证或其他工商等登记证明材料原件扫描件或复印件</w:t>
      </w:r>
    </w:p>
    <w:p w14:paraId="22DB5681">
      <w:pPr>
        <w:snapToGrid w:val="0"/>
        <w:spacing w:line="360" w:lineRule="auto"/>
        <w:rPr>
          <w:rFonts w:asciiTheme="minorEastAsia" w:hAnsiTheme="minorEastAsia" w:eastAsiaTheme="minorEastAsia" w:cstheme="minorEastAsia"/>
          <w:bCs/>
          <w:color w:val="auto"/>
          <w:kern w:val="0"/>
          <w:sz w:val="28"/>
          <w:szCs w:val="28"/>
          <w:highlight w:val="none"/>
          <w:lang w:val="zh-CN"/>
        </w:rPr>
      </w:pPr>
      <w:r>
        <w:rPr>
          <w:rFonts w:hint="eastAsia" w:asciiTheme="minorEastAsia" w:hAnsiTheme="minorEastAsia" w:eastAsiaTheme="minorEastAsia" w:cstheme="minorEastAsia"/>
          <w:bCs/>
          <w:color w:val="auto"/>
          <w:kern w:val="0"/>
          <w:sz w:val="28"/>
          <w:szCs w:val="28"/>
          <w:highlight w:val="none"/>
          <w:lang w:val="zh-CN"/>
        </w:rPr>
        <w:t>温馨提示：下载电子营业执照：可微信搜索“电子营业执照”小程序——点击“下载执照”——输入“姓名”“身份证号”“手机号码”（必须与当初登记的信息一致）——点击“确认”——点击“授权验证”后点击“返回”并勾选协议后进行人脸识别——输入登记地“浙江”——选择需要下载的营业执照——勾选执照下载声明并点击下载。</w:t>
      </w:r>
    </w:p>
    <w:p w14:paraId="4732AC24">
      <w:pPr>
        <w:snapToGrid w:val="0"/>
        <w:spacing w:line="360" w:lineRule="auto"/>
        <w:jc w:val="center"/>
        <w:rPr>
          <w:rFonts w:asciiTheme="minorEastAsia" w:hAnsiTheme="minorEastAsia" w:eastAsiaTheme="minorEastAsia" w:cstheme="minorEastAsia"/>
          <w:b/>
          <w:color w:val="auto"/>
          <w:sz w:val="30"/>
          <w:szCs w:val="30"/>
          <w:highlight w:val="none"/>
        </w:rPr>
      </w:pPr>
    </w:p>
    <w:p w14:paraId="6CA28DF7">
      <w:pPr>
        <w:spacing w:line="360" w:lineRule="auto"/>
        <w:jc w:val="center"/>
        <w:rPr>
          <w:rFonts w:asciiTheme="minorEastAsia" w:hAnsiTheme="minorEastAsia" w:eastAsiaTheme="minorEastAsia" w:cstheme="minorEastAsia"/>
          <w:b/>
          <w:color w:val="auto"/>
          <w:sz w:val="32"/>
          <w:szCs w:val="32"/>
          <w:highlight w:val="none"/>
        </w:rPr>
      </w:pPr>
    </w:p>
    <w:p w14:paraId="1EF15EC5">
      <w:pPr>
        <w:spacing w:line="360" w:lineRule="auto"/>
        <w:jc w:val="center"/>
        <w:rPr>
          <w:rFonts w:asciiTheme="minorEastAsia" w:hAnsiTheme="minorEastAsia" w:eastAsiaTheme="minorEastAsia" w:cstheme="minorEastAsia"/>
          <w:b/>
          <w:color w:val="auto"/>
          <w:sz w:val="32"/>
          <w:szCs w:val="32"/>
          <w:highlight w:val="none"/>
        </w:rPr>
      </w:pPr>
      <w:r>
        <w:rPr>
          <w:rFonts w:hint="eastAsia" w:asciiTheme="minorEastAsia" w:hAnsiTheme="minorEastAsia" w:eastAsiaTheme="minorEastAsia" w:cstheme="minorEastAsia"/>
          <w:b/>
          <w:color w:val="auto"/>
          <w:sz w:val="32"/>
          <w:szCs w:val="32"/>
          <w:highlight w:val="none"/>
        </w:rPr>
        <w:t>特定资格条件要求的资质文件复印件</w:t>
      </w:r>
    </w:p>
    <w:p w14:paraId="76EE1225">
      <w:pPr>
        <w:widowControl/>
        <w:spacing w:line="360" w:lineRule="auto"/>
        <w:ind w:firstLine="480" w:firstLineChars="200"/>
        <w:jc w:val="lef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（由投标人根据招标公告合格的投标人应具备的特定资格要求编制，如果本项目没有设置特定资格条件，则不需要提供）</w:t>
      </w:r>
    </w:p>
    <w:p w14:paraId="0EF76307">
      <w:pPr>
        <w:spacing w:line="360" w:lineRule="auto"/>
        <w:jc w:val="center"/>
        <w:rPr>
          <w:rFonts w:asciiTheme="minorEastAsia" w:hAnsiTheme="minorEastAsia" w:eastAsiaTheme="minorEastAsia" w:cstheme="minorEastAsia"/>
          <w:b/>
          <w:bCs/>
          <w:color w:val="auto"/>
          <w:sz w:val="32"/>
          <w:szCs w:val="32"/>
          <w:highlight w:val="none"/>
        </w:rPr>
      </w:pPr>
    </w:p>
    <w:p w14:paraId="16FAD632">
      <w:pPr>
        <w:spacing w:line="360" w:lineRule="auto"/>
        <w:jc w:val="center"/>
        <w:rPr>
          <w:rFonts w:asciiTheme="minorEastAsia" w:hAnsiTheme="minorEastAsia" w:eastAsiaTheme="minorEastAsia" w:cstheme="minorEastAsia"/>
          <w:b/>
          <w:bCs/>
          <w:color w:val="auto"/>
          <w:sz w:val="32"/>
          <w:szCs w:val="32"/>
          <w:highlight w:val="none"/>
        </w:rPr>
      </w:pPr>
    </w:p>
    <w:p w14:paraId="0DFE31A3">
      <w:pPr>
        <w:spacing w:line="360" w:lineRule="auto"/>
        <w:jc w:val="lef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b/>
          <w:bCs/>
          <w:color w:val="auto"/>
          <w:sz w:val="28"/>
          <w:szCs w:val="28"/>
          <w:highlight w:val="none"/>
        </w:rPr>
        <w:br w:type="page"/>
      </w:r>
      <w:r>
        <w:rPr>
          <w:rFonts w:hint="eastAsia" w:asciiTheme="minorEastAsia" w:hAnsiTheme="minorEastAsia" w:eastAsiaTheme="minorEastAsia" w:cstheme="minorEastAsia"/>
          <w:color w:val="auto"/>
          <w:sz w:val="24"/>
          <w:highlight w:val="none"/>
        </w:rPr>
        <w:t>3.</w:t>
      </w:r>
      <w:r>
        <w:rPr>
          <w:rFonts w:hint="eastAsia" w:asciiTheme="minorEastAsia" w:hAnsiTheme="minorEastAsia" w:eastAsiaTheme="minorEastAsia" w:cstheme="minorEastAsia"/>
          <w:color w:val="auto"/>
          <w:highlight w:val="none"/>
        </w:rPr>
        <w:t xml:space="preserve"> </w:t>
      </w:r>
      <w:r>
        <w:rPr>
          <w:rFonts w:hint="eastAsia" w:asciiTheme="minorEastAsia" w:hAnsiTheme="minorEastAsia" w:eastAsiaTheme="minorEastAsia" w:cstheme="minorEastAsia"/>
          <w:color w:val="auto"/>
          <w:sz w:val="24"/>
          <w:highlight w:val="none"/>
        </w:rPr>
        <w:t>没有重大违法记录的承诺函格式：</w:t>
      </w:r>
    </w:p>
    <w:p w14:paraId="7BFB4F10">
      <w:pPr>
        <w:spacing w:line="360" w:lineRule="auto"/>
        <w:jc w:val="center"/>
        <w:rPr>
          <w:rFonts w:asciiTheme="minorEastAsia" w:hAnsiTheme="minorEastAsia" w:eastAsiaTheme="minorEastAsia" w:cstheme="minorEastAsia"/>
          <w:b/>
          <w:color w:val="auto"/>
          <w:kern w:val="0"/>
          <w:sz w:val="32"/>
          <w:szCs w:val="32"/>
          <w:highlight w:val="none"/>
        </w:rPr>
      </w:pPr>
    </w:p>
    <w:p w14:paraId="0A7FDCC8">
      <w:pPr>
        <w:spacing w:line="520" w:lineRule="exact"/>
        <w:jc w:val="center"/>
        <w:rPr>
          <w:rFonts w:asciiTheme="minorEastAsia" w:hAnsiTheme="minorEastAsia" w:eastAsiaTheme="minorEastAsia" w:cstheme="minorEastAsia"/>
          <w:b/>
          <w:color w:val="auto"/>
          <w:sz w:val="32"/>
          <w:szCs w:val="32"/>
          <w:highlight w:val="none"/>
        </w:rPr>
      </w:pPr>
      <w:r>
        <w:rPr>
          <w:rFonts w:hint="eastAsia" w:asciiTheme="minorEastAsia" w:hAnsiTheme="minorEastAsia" w:eastAsiaTheme="minorEastAsia" w:cstheme="minorEastAsia"/>
          <w:b/>
          <w:color w:val="auto"/>
          <w:sz w:val="32"/>
          <w:szCs w:val="32"/>
          <w:highlight w:val="none"/>
        </w:rPr>
        <w:t>参加本次采购项目前三年内在经营活动中</w:t>
      </w:r>
    </w:p>
    <w:p w14:paraId="7EF31BE2">
      <w:pPr>
        <w:spacing w:line="520" w:lineRule="exact"/>
        <w:jc w:val="center"/>
        <w:rPr>
          <w:rFonts w:asciiTheme="minorEastAsia" w:hAnsiTheme="minorEastAsia" w:eastAsiaTheme="minorEastAsia" w:cstheme="minorEastAsia"/>
          <w:b/>
          <w:color w:val="auto"/>
          <w:sz w:val="32"/>
          <w:szCs w:val="32"/>
          <w:highlight w:val="none"/>
        </w:rPr>
      </w:pPr>
      <w:r>
        <w:rPr>
          <w:rFonts w:hint="eastAsia" w:asciiTheme="minorEastAsia" w:hAnsiTheme="minorEastAsia" w:eastAsiaTheme="minorEastAsia" w:cstheme="minorEastAsia"/>
          <w:b/>
          <w:color w:val="auto"/>
          <w:sz w:val="32"/>
          <w:szCs w:val="32"/>
          <w:highlight w:val="none"/>
        </w:rPr>
        <w:t>没有重大违法记录的承诺函</w:t>
      </w:r>
    </w:p>
    <w:p w14:paraId="0EC7378C">
      <w:pPr>
        <w:spacing w:line="520" w:lineRule="exact"/>
        <w:jc w:val="center"/>
        <w:rPr>
          <w:rFonts w:asciiTheme="minorEastAsia" w:hAnsiTheme="minorEastAsia" w:eastAsiaTheme="minorEastAsia" w:cstheme="minorEastAsia"/>
          <w:bCs/>
          <w:color w:val="auto"/>
          <w:sz w:val="24"/>
          <w:highlight w:val="none"/>
        </w:rPr>
      </w:pPr>
    </w:p>
    <w:p w14:paraId="255564E6">
      <w:pPr>
        <w:ind w:firstLine="420"/>
        <w:rPr>
          <w:rFonts w:asciiTheme="minorEastAsia" w:hAnsiTheme="minorEastAsia" w:eastAsiaTheme="minorEastAsia" w:cstheme="minorEastAsia"/>
          <w:color w:val="auto"/>
          <w:sz w:val="24"/>
          <w:highlight w:val="none"/>
        </w:rPr>
      </w:pPr>
    </w:p>
    <w:p w14:paraId="4E9D2210">
      <w:pPr>
        <w:spacing w:line="360" w:lineRule="auto"/>
        <w:rPr>
          <w:rFonts w:asciiTheme="minorEastAsia" w:hAnsiTheme="minorEastAsia" w:eastAsiaTheme="minorEastAsia" w:cstheme="minorEastAsia"/>
          <w:color w:val="auto"/>
          <w:kern w:val="0"/>
          <w:sz w:val="24"/>
          <w:highlight w:val="none"/>
        </w:rPr>
      </w:pPr>
      <w:r>
        <w:rPr>
          <w:rFonts w:hint="eastAsia" w:asciiTheme="minorEastAsia" w:hAnsiTheme="minorEastAsia" w:eastAsiaTheme="minorEastAsia" w:cstheme="minorEastAsia"/>
          <w:bCs/>
          <w:color w:val="auto"/>
          <w:sz w:val="24"/>
          <w:highlight w:val="none"/>
        </w:rPr>
        <w:t>致：</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（招标人名称）</w:t>
      </w:r>
      <w:r>
        <w:rPr>
          <w:rFonts w:hint="eastAsia" w:asciiTheme="minorEastAsia" w:hAnsiTheme="minorEastAsia" w:eastAsiaTheme="minorEastAsia" w:cstheme="minorEastAsia"/>
          <w:b/>
          <w:bCs/>
          <w:color w:val="auto"/>
          <w:sz w:val="24"/>
          <w:highlight w:val="none"/>
        </w:rPr>
        <w:t xml:space="preserve"> </w:t>
      </w:r>
      <w:r>
        <w:rPr>
          <w:rFonts w:hint="eastAsia" w:asciiTheme="minorEastAsia" w:hAnsiTheme="minorEastAsia" w:eastAsiaTheme="minorEastAsia" w:cstheme="minorEastAsia"/>
          <w:color w:val="auto"/>
          <w:sz w:val="24"/>
          <w:highlight w:val="none"/>
        </w:rPr>
        <w:t>：</w:t>
      </w:r>
    </w:p>
    <w:p w14:paraId="449DFEE4">
      <w:pPr>
        <w:snapToGrid w:val="0"/>
        <w:spacing w:beforeLines="50" w:after="50"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我方郑重承诺，我方在参加</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项目（项目编号：</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采购活动前三年内，在经营活动中没有重大违法记录（没有因违法经营受到刑事处罚，没有被责令停产停业、被吊销许可证或者执照、被处以较大数额罚款等行政处罚，没有因被列为失信被执行人、重大税收违法案件当事人名单、政府采购严重违法失信行为记录名单及其他不符合《中华人民共和国政府采购法》第二十二条规定条件而被限制参加采购活动，没有因违法经营被禁止参加活动的期限未满情形）。如有虚假或隐瞒，招标人可取消我方任何资格（投标/谈判/中标（成交）/签订合同），我方对此无任何异议，并愿意承担一切后果和责任。</w:t>
      </w:r>
    </w:p>
    <w:p w14:paraId="67697AC7">
      <w:pPr>
        <w:ind w:firstLine="420"/>
        <w:rPr>
          <w:rFonts w:asciiTheme="minorEastAsia" w:hAnsiTheme="minorEastAsia" w:eastAsiaTheme="minorEastAsia" w:cstheme="minorEastAsia"/>
          <w:color w:val="auto"/>
          <w:sz w:val="24"/>
          <w:highlight w:val="none"/>
        </w:rPr>
      </w:pPr>
    </w:p>
    <w:p w14:paraId="59CCF1C0">
      <w:pPr>
        <w:snapToGrid w:val="0"/>
        <w:spacing w:beforeLines="50" w:after="50"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特此</w:t>
      </w:r>
      <w:r>
        <w:rPr>
          <w:rFonts w:hint="eastAsia" w:asciiTheme="minorEastAsia" w:hAnsiTheme="minorEastAsia" w:eastAsiaTheme="minorEastAsia" w:cstheme="minorEastAsia"/>
          <w:color w:val="auto"/>
          <w:kern w:val="0"/>
          <w:sz w:val="24"/>
          <w:highlight w:val="none"/>
        </w:rPr>
        <w:t>承诺</w:t>
      </w:r>
      <w:r>
        <w:rPr>
          <w:rFonts w:hint="eastAsia" w:asciiTheme="minorEastAsia" w:hAnsiTheme="minorEastAsia" w:eastAsiaTheme="minorEastAsia" w:cstheme="minorEastAsia"/>
          <w:color w:val="auto"/>
          <w:sz w:val="24"/>
          <w:highlight w:val="none"/>
        </w:rPr>
        <w:t>！</w:t>
      </w:r>
    </w:p>
    <w:p w14:paraId="3808DF7E">
      <w:pPr>
        <w:snapToGrid w:val="0"/>
        <w:spacing w:before="50" w:afterLines="50"/>
        <w:jc w:val="left"/>
        <w:rPr>
          <w:rFonts w:asciiTheme="minorEastAsia" w:hAnsiTheme="minorEastAsia" w:eastAsiaTheme="minorEastAsia" w:cstheme="minorEastAsia"/>
          <w:color w:val="auto"/>
          <w:kern w:val="0"/>
          <w:sz w:val="24"/>
          <w:highlight w:val="none"/>
          <w:lang w:val="zh-CN"/>
        </w:rPr>
      </w:pPr>
    </w:p>
    <w:p w14:paraId="57FFDE77">
      <w:pPr>
        <w:snapToGrid w:val="0"/>
        <w:spacing w:before="50" w:afterLines="50"/>
        <w:jc w:val="left"/>
        <w:rPr>
          <w:rFonts w:asciiTheme="minorEastAsia" w:hAnsiTheme="minorEastAsia" w:eastAsiaTheme="minorEastAsia" w:cstheme="minorEastAsia"/>
          <w:color w:val="auto"/>
          <w:kern w:val="0"/>
          <w:sz w:val="24"/>
          <w:highlight w:val="none"/>
          <w:lang w:val="zh-CN"/>
        </w:rPr>
      </w:pPr>
    </w:p>
    <w:p w14:paraId="4E418F1F">
      <w:pPr>
        <w:snapToGrid w:val="0"/>
        <w:spacing w:before="50" w:afterLines="50"/>
        <w:jc w:val="left"/>
        <w:rPr>
          <w:rFonts w:asciiTheme="minorEastAsia" w:hAnsiTheme="minorEastAsia" w:eastAsiaTheme="minorEastAsia" w:cstheme="minorEastAsia"/>
          <w:color w:val="auto"/>
          <w:kern w:val="0"/>
          <w:sz w:val="24"/>
          <w:highlight w:val="none"/>
          <w:lang w:val="zh-CN"/>
        </w:rPr>
      </w:pPr>
    </w:p>
    <w:p w14:paraId="35E0FB69">
      <w:pPr>
        <w:snapToGrid w:val="0"/>
        <w:spacing w:before="50" w:afterLines="50"/>
        <w:jc w:val="left"/>
        <w:rPr>
          <w:rFonts w:asciiTheme="minorEastAsia" w:hAnsiTheme="minorEastAsia" w:eastAsiaTheme="minorEastAsia" w:cstheme="minorEastAsia"/>
          <w:b/>
          <w:color w:val="auto"/>
          <w:spacing w:val="20"/>
          <w:sz w:val="24"/>
          <w:highlight w:val="none"/>
        </w:rPr>
      </w:pPr>
      <w:r>
        <w:rPr>
          <w:rFonts w:hint="eastAsia" w:asciiTheme="minorEastAsia" w:hAnsiTheme="minorEastAsia" w:eastAsiaTheme="minorEastAsia" w:cstheme="minorEastAsia"/>
          <w:b/>
          <w:color w:val="auto"/>
          <w:spacing w:val="20"/>
          <w:sz w:val="24"/>
          <w:highlight w:val="none"/>
        </w:rPr>
        <w:t>法定代表人签字（或盖章）：         投标人（盖章）：</w:t>
      </w:r>
    </w:p>
    <w:p w14:paraId="5592E39D">
      <w:pPr>
        <w:snapToGrid w:val="0"/>
        <w:spacing w:before="50" w:afterLines="50"/>
        <w:jc w:val="left"/>
        <w:rPr>
          <w:rFonts w:asciiTheme="minorEastAsia" w:hAnsiTheme="minorEastAsia" w:eastAsiaTheme="minorEastAsia" w:cstheme="minorEastAsia"/>
          <w:b/>
          <w:color w:val="auto"/>
          <w:sz w:val="24"/>
          <w:highlight w:val="none"/>
        </w:rPr>
      </w:pPr>
    </w:p>
    <w:p w14:paraId="4D511E2C">
      <w:pPr>
        <w:snapToGrid w:val="0"/>
        <w:spacing w:before="50" w:afterLines="50"/>
        <w:jc w:val="left"/>
        <w:rPr>
          <w:rFonts w:asciiTheme="minorEastAsia" w:hAnsiTheme="minorEastAsia" w:eastAsiaTheme="minorEastAsia" w:cstheme="minorEastAsia"/>
          <w:b/>
          <w:color w:val="auto"/>
          <w:sz w:val="24"/>
          <w:highlight w:val="none"/>
        </w:rPr>
      </w:pPr>
    </w:p>
    <w:p w14:paraId="323598D1">
      <w:pPr>
        <w:snapToGrid w:val="0"/>
        <w:spacing w:before="50" w:afterLines="50"/>
        <w:jc w:val="left"/>
        <w:rPr>
          <w:rFonts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日期：  _____年___月___日</w:t>
      </w:r>
    </w:p>
    <w:p w14:paraId="79F51459">
      <w:pPr>
        <w:snapToGrid w:val="0"/>
        <w:spacing w:before="50" w:afterLines="50"/>
        <w:jc w:val="left"/>
        <w:rPr>
          <w:rFonts w:asciiTheme="minorEastAsia" w:hAnsiTheme="minorEastAsia" w:eastAsiaTheme="minorEastAsia" w:cstheme="minorEastAsia"/>
          <w:color w:val="auto"/>
          <w:sz w:val="28"/>
          <w:szCs w:val="28"/>
          <w:highlight w:val="none"/>
        </w:rPr>
      </w:pPr>
    </w:p>
    <w:p w14:paraId="1A15A6EE">
      <w:pPr>
        <w:snapToGrid w:val="0"/>
        <w:spacing w:line="360" w:lineRule="auto"/>
        <w:rPr>
          <w:rFonts w:asciiTheme="minorEastAsia" w:hAnsiTheme="minorEastAsia" w:eastAsiaTheme="minorEastAsia" w:cstheme="minorEastAsia"/>
          <w:color w:val="auto"/>
          <w:kern w:val="0"/>
          <w:sz w:val="24"/>
          <w:highlight w:val="none"/>
        </w:rPr>
      </w:pPr>
      <w:r>
        <w:rPr>
          <w:rFonts w:hint="eastAsia" w:asciiTheme="minorEastAsia" w:hAnsiTheme="minorEastAsia" w:eastAsiaTheme="minorEastAsia" w:cstheme="minorEastAsia"/>
          <w:color w:val="auto"/>
          <w:kern w:val="0"/>
          <w:sz w:val="24"/>
          <w:highlight w:val="none"/>
          <w:lang w:val="zh-CN"/>
        </w:rPr>
        <w:br w:type="page"/>
      </w:r>
    </w:p>
    <w:p w14:paraId="0D1D91A0">
      <w:pPr>
        <w:snapToGrid w:val="0"/>
        <w:spacing w:beforeLines="50" w:after="50"/>
        <w:outlineLvl w:val="1"/>
        <w:rPr>
          <w:rFonts w:asciiTheme="minorEastAsia" w:hAnsiTheme="minorEastAsia" w:eastAsiaTheme="minorEastAsia" w:cstheme="minorEastAsia"/>
          <w:color w:val="auto"/>
          <w:kern w:val="0"/>
          <w:sz w:val="24"/>
          <w:highlight w:val="none"/>
        </w:rPr>
      </w:pPr>
    </w:p>
    <w:p w14:paraId="1F97E34E">
      <w:pPr>
        <w:snapToGrid w:val="0"/>
        <w:spacing w:beforeLines="50" w:after="50"/>
        <w:outlineLvl w:val="1"/>
        <w:rPr>
          <w:rFonts w:asciiTheme="minorEastAsia" w:hAnsiTheme="minorEastAsia" w:eastAsiaTheme="minorEastAsia" w:cstheme="minorEastAsia"/>
          <w:color w:val="auto"/>
          <w:kern w:val="0"/>
          <w:sz w:val="24"/>
          <w:highlight w:val="none"/>
        </w:rPr>
      </w:pPr>
    </w:p>
    <w:p w14:paraId="5C7A5112">
      <w:pPr>
        <w:snapToGrid w:val="0"/>
        <w:spacing w:beforeLines="50" w:after="50"/>
        <w:outlineLvl w:val="1"/>
        <w:rPr>
          <w:rFonts w:asciiTheme="minorEastAsia" w:hAnsiTheme="minorEastAsia" w:eastAsiaTheme="minorEastAsia" w:cstheme="minorEastAsia"/>
          <w:b/>
          <w:bCs/>
          <w:color w:val="auto"/>
          <w:sz w:val="24"/>
          <w:highlight w:val="none"/>
        </w:rPr>
      </w:pPr>
    </w:p>
    <w:p w14:paraId="34F4CC58">
      <w:pPr>
        <w:snapToGrid w:val="0"/>
        <w:spacing w:beforeLines="50" w:after="50"/>
        <w:outlineLvl w:val="1"/>
        <w:rPr>
          <w:rFonts w:asciiTheme="minorEastAsia" w:hAnsiTheme="minorEastAsia" w:eastAsiaTheme="minorEastAsia" w:cstheme="minorEastAsia"/>
          <w:b/>
          <w:bCs/>
          <w:color w:val="auto"/>
          <w:sz w:val="24"/>
          <w:highlight w:val="none"/>
        </w:rPr>
      </w:pPr>
    </w:p>
    <w:p w14:paraId="000F29C2">
      <w:pPr>
        <w:snapToGrid w:val="0"/>
        <w:spacing w:beforeLines="50" w:after="50"/>
        <w:jc w:val="center"/>
        <w:outlineLvl w:val="1"/>
        <w:rPr>
          <w:rFonts w:asciiTheme="minorEastAsia" w:hAnsiTheme="minorEastAsia" w:eastAsiaTheme="minorEastAsia" w:cstheme="minorEastAsia"/>
          <w:b/>
          <w:bCs/>
          <w:color w:val="auto"/>
          <w:sz w:val="24"/>
          <w:highlight w:val="none"/>
        </w:rPr>
      </w:pPr>
    </w:p>
    <w:p w14:paraId="34943F14">
      <w:pPr>
        <w:snapToGrid w:val="0"/>
        <w:spacing w:beforeLines="50" w:after="50"/>
        <w:jc w:val="center"/>
        <w:outlineLvl w:val="1"/>
        <w:rPr>
          <w:rFonts w:asciiTheme="minorEastAsia" w:hAnsiTheme="minorEastAsia" w:eastAsiaTheme="minorEastAsia" w:cstheme="minorEastAsia"/>
          <w:b/>
          <w:bCs/>
          <w:color w:val="auto"/>
          <w:sz w:val="28"/>
          <w:szCs w:val="28"/>
          <w:highlight w:val="none"/>
        </w:rPr>
      </w:pPr>
      <w:bookmarkStart w:id="65" w:name="_Toc15805"/>
      <w:bookmarkStart w:id="66" w:name="_Toc18185"/>
      <w:bookmarkStart w:id="67" w:name="_Toc466534753"/>
      <w:r>
        <w:rPr>
          <w:rFonts w:hint="eastAsia" w:asciiTheme="minorEastAsia" w:hAnsiTheme="minorEastAsia" w:eastAsiaTheme="minorEastAsia" w:cstheme="minorEastAsia"/>
          <w:b/>
          <w:bCs/>
          <w:color w:val="auto"/>
          <w:sz w:val="28"/>
          <w:szCs w:val="28"/>
          <w:highlight w:val="none"/>
        </w:rPr>
        <w:t>二、商务技术文件格式</w:t>
      </w:r>
      <w:bookmarkEnd w:id="63"/>
      <w:bookmarkEnd w:id="65"/>
      <w:bookmarkEnd w:id="66"/>
      <w:bookmarkEnd w:id="67"/>
    </w:p>
    <w:p w14:paraId="2FB4AC5E">
      <w:pPr>
        <w:snapToGrid w:val="0"/>
        <w:spacing w:beforeLines="50" w:after="50"/>
        <w:jc w:val="center"/>
        <w:rPr>
          <w:rFonts w:asciiTheme="minorEastAsia" w:hAnsiTheme="minorEastAsia" w:eastAsiaTheme="minorEastAsia" w:cstheme="minorEastAsia"/>
          <w:color w:val="auto"/>
          <w:sz w:val="28"/>
          <w:szCs w:val="28"/>
          <w:highlight w:val="none"/>
        </w:rPr>
      </w:pPr>
    </w:p>
    <w:p w14:paraId="0253451B">
      <w:pPr>
        <w:snapToGrid w:val="0"/>
        <w:spacing w:beforeLines="50" w:after="50"/>
        <w:jc w:val="center"/>
        <w:rPr>
          <w:rFonts w:asciiTheme="minorEastAsia" w:hAnsiTheme="minorEastAsia" w:eastAsiaTheme="minorEastAsia" w:cstheme="minorEastAsia"/>
          <w:color w:val="auto"/>
          <w:sz w:val="28"/>
          <w:szCs w:val="28"/>
          <w:highlight w:val="none"/>
        </w:rPr>
      </w:pPr>
    </w:p>
    <w:p w14:paraId="7321F736">
      <w:pPr>
        <w:snapToGrid w:val="0"/>
        <w:spacing w:beforeLines="50" w:after="50"/>
        <w:ind w:firstLine="560" w:firstLineChars="20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4.商务技术文件封面格式： </w:t>
      </w:r>
    </w:p>
    <w:p w14:paraId="265E031F">
      <w:pPr>
        <w:snapToGrid w:val="0"/>
        <w:spacing w:beforeLines="50" w:after="50"/>
        <w:rPr>
          <w:rFonts w:asciiTheme="minorEastAsia" w:hAnsiTheme="minorEastAsia" w:eastAsiaTheme="minorEastAsia" w:cstheme="minorEastAsia"/>
          <w:b/>
          <w:bCs/>
          <w:color w:val="auto"/>
          <w:sz w:val="28"/>
          <w:szCs w:val="28"/>
          <w:highlight w:val="none"/>
        </w:rPr>
      </w:pPr>
      <w:r>
        <w:rPr>
          <w:rFonts w:hint="eastAsia" w:asciiTheme="minorEastAsia" w:hAnsiTheme="minorEastAsia" w:eastAsiaTheme="minorEastAsia" w:cstheme="minorEastAsia"/>
          <w:b/>
          <w:bCs/>
          <w:color w:val="auto"/>
          <w:sz w:val="28"/>
          <w:szCs w:val="28"/>
          <w:highlight w:val="none"/>
        </w:rPr>
        <w:t xml:space="preserve"> </w:t>
      </w:r>
    </w:p>
    <w:p w14:paraId="0665BFD5">
      <w:pPr>
        <w:snapToGrid w:val="0"/>
        <w:spacing w:beforeLines="50" w:after="50"/>
        <w:rPr>
          <w:rFonts w:asciiTheme="minorEastAsia" w:hAnsiTheme="minorEastAsia" w:eastAsiaTheme="minorEastAsia" w:cstheme="minorEastAsia"/>
          <w:color w:val="auto"/>
          <w:sz w:val="28"/>
          <w:szCs w:val="28"/>
          <w:highlight w:val="none"/>
        </w:rPr>
      </w:pPr>
    </w:p>
    <w:p w14:paraId="6A8AB80C">
      <w:pPr>
        <w:snapToGrid w:val="0"/>
        <w:spacing w:beforeLines="50" w:after="50"/>
        <w:jc w:val="center"/>
        <w:rPr>
          <w:rFonts w:asciiTheme="minorEastAsia" w:hAnsiTheme="minorEastAsia" w:eastAsiaTheme="minorEastAsia" w:cstheme="minorEastAsia"/>
          <w:bCs/>
          <w:color w:val="auto"/>
          <w:sz w:val="28"/>
          <w:szCs w:val="28"/>
          <w:highlight w:val="none"/>
        </w:rPr>
      </w:pPr>
    </w:p>
    <w:p w14:paraId="42E6A621">
      <w:pPr>
        <w:snapToGrid w:val="0"/>
        <w:spacing w:beforeLines="50" w:after="50"/>
        <w:jc w:val="center"/>
        <w:rPr>
          <w:rFonts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商务技术文件</w:t>
      </w:r>
    </w:p>
    <w:p w14:paraId="7ABDD511">
      <w:pPr>
        <w:snapToGrid w:val="0"/>
        <w:spacing w:beforeLines="50" w:after="50" w:line="360" w:lineRule="auto"/>
        <w:jc w:val="center"/>
        <w:rPr>
          <w:rFonts w:asciiTheme="minorEastAsia" w:hAnsiTheme="minorEastAsia" w:eastAsiaTheme="minorEastAsia" w:cstheme="minorEastAsia"/>
          <w:bCs/>
          <w:color w:val="auto"/>
          <w:sz w:val="28"/>
          <w:szCs w:val="28"/>
          <w:highlight w:val="none"/>
        </w:rPr>
      </w:pPr>
    </w:p>
    <w:p w14:paraId="2F2F019E">
      <w:pPr>
        <w:snapToGrid w:val="0"/>
        <w:spacing w:beforeLines="50" w:after="50" w:line="360" w:lineRule="auto"/>
        <w:jc w:val="center"/>
        <w:rPr>
          <w:rFonts w:asciiTheme="minorEastAsia" w:hAnsiTheme="minorEastAsia" w:eastAsiaTheme="minorEastAsia" w:cstheme="minorEastAsia"/>
          <w:bCs/>
          <w:color w:val="auto"/>
          <w:sz w:val="28"/>
          <w:szCs w:val="28"/>
          <w:highlight w:val="none"/>
        </w:rPr>
      </w:pPr>
    </w:p>
    <w:p w14:paraId="1722D90A">
      <w:pPr>
        <w:snapToGrid w:val="0"/>
        <w:spacing w:beforeLines="50" w:after="50" w:line="360" w:lineRule="auto"/>
        <w:ind w:firstLine="1246" w:firstLineChars="445"/>
        <w:rPr>
          <w:rFonts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项目名称：</w:t>
      </w:r>
    </w:p>
    <w:p w14:paraId="5881175F">
      <w:pPr>
        <w:snapToGrid w:val="0"/>
        <w:spacing w:beforeLines="50" w:after="50" w:line="360" w:lineRule="auto"/>
        <w:ind w:firstLine="560" w:firstLineChars="200"/>
        <w:rPr>
          <w:rFonts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     项目编号：    </w:t>
      </w:r>
    </w:p>
    <w:p w14:paraId="22F9EE3A">
      <w:pPr>
        <w:pStyle w:val="14"/>
        <w:snapToGrid w:val="0"/>
        <w:spacing w:before="50" w:after="50" w:line="360" w:lineRule="auto"/>
        <w:ind w:firstLine="1164" w:firstLineChars="416"/>
        <w:rPr>
          <w:rFonts w:asciiTheme="minorEastAsia" w:hAnsiTheme="minorEastAsia" w:eastAsiaTheme="minorEastAsia" w:cstheme="minorEastAsia"/>
          <w:bCs/>
          <w:color w:val="auto"/>
          <w:sz w:val="28"/>
          <w:szCs w:val="28"/>
          <w:highlight w:val="none"/>
        </w:rPr>
      </w:pPr>
    </w:p>
    <w:p w14:paraId="653602DE">
      <w:pPr>
        <w:pStyle w:val="14"/>
        <w:snapToGrid w:val="0"/>
        <w:spacing w:before="50" w:after="50" w:line="360" w:lineRule="auto"/>
        <w:ind w:firstLine="1164" w:firstLineChars="416"/>
        <w:rPr>
          <w:rFonts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投标人名称：</w:t>
      </w:r>
    </w:p>
    <w:p w14:paraId="70448DDD">
      <w:pPr>
        <w:pStyle w:val="14"/>
        <w:snapToGrid w:val="0"/>
        <w:spacing w:before="50" w:after="50" w:line="360" w:lineRule="auto"/>
        <w:ind w:firstLine="1164" w:firstLineChars="416"/>
        <w:rPr>
          <w:rFonts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投标人地址：</w:t>
      </w:r>
    </w:p>
    <w:p w14:paraId="1F3B5EB1">
      <w:pPr>
        <w:pStyle w:val="14"/>
        <w:snapToGrid w:val="0"/>
        <w:spacing w:before="50" w:after="50"/>
        <w:ind w:firstLine="1120" w:firstLineChars="400"/>
        <w:rPr>
          <w:rFonts w:asciiTheme="minorEastAsia" w:hAnsiTheme="minorEastAsia" w:eastAsiaTheme="minorEastAsia" w:cstheme="minorEastAsia"/>
          <w:bCs/>
          <w:color w:val="auto"/>
          <w:sz w:val="28"/>
          <w:szCs w:val="28"/>
          <w:highlight w:val="none"/>
        </w:rPr>
      </w:pPr>
    </w:p>
    <w:p w14:paraId="5474BCEB">
      <w:pPr>
        <w:snapToGrid w:val="0"/>
        <w:spacing w:beforeLines="50" w:after="50"/>
        <w:ind w:firstLine="645"/>
        <w:jc w:val="lef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8"/>
          <w:szCs w:val="28"/>
          <w:highlight w:val="none"/>
        </w:rPr>
        <w:t xml:space="preserve">                        年  月  日</w:t>
      </w:r>
      <w:r>
        <w:rPr>
          <w:rFonts w:hint="eastAsia" w:asciiTheme="minorEastAsia" w:hAnsiTheme="minorEastAsia" w:eastAsiaTheme="minorEastAsia" w:cstheme="minorEastAsia"/>
          <w:color w:val="auto"/>
          <w:sz w:val="24"/>
          <w:highlight w:val="none"/>
        </w:rPr>
        <w:br w:type="page"/>
      </w:r>
      <w:bookmarkStart w:id="68" w:name="_Hlk60757098"/>
      <w:r>
        <w:rPr>
          <w:rFonts w:hint="eastAsia" w:asciiTheme="minorEastAsia" w:hAnsiTheme="minorEastAsia" w:eastAsiaTheme="minorEastAsia" w:cstheme="minorEastAsia"/>
          <w:color w:val="auto"/>
          <w:sz w:val="24"/>
          <w:highlight w:val="none"/>
        </w:rPr>
        <w:t>5.投标函格式：</w:t>
      </w:r>
      <w:bookmarkEnd w:id="68"/>
    </w:p>
    <w:p w14:paraId="621F515B">
      <w:pPr>
        <w:snapToGrid w:val="0"/>
        <w:spacing w:beforeLines="50" w:after="50"/>
        <w:jc w:val="center"/>
        <w:rPr>
          <w:rFonts w:asciiTheme="minorEastAsia" w:hAnsiTheme="minorEastAsia" w:eastAsiaTheme="minorEastAsia" w:cstheme="minorEastAsia"/>
          <w:b/>
          <w:color w:val="auto"/>
          <w:sz w:val="36"/>
          <w:szCs w:val="36"/>
          <w:highlight w:val="none"/>
        </w:rPr>
      </w:pPr>
      <w:r>
        <w:rPr>
          <w:rFonts w:hint="eastAsia" w:asciiTheme="minorEastAsia" w:hAnsiTheme="minorEastAsia" w:eastAsiaTheme="minorEastAsia" w:cstheme="minorEastAsia"/>
          <w:b/>
          <w:color w:val="auto"/>
          <w:sz w:val="36"/>
          <w:szCs w:val="36"/>
          <w:highlight w:val="none"/>
        </w:rPr>
        <w:t>投 标 函</w:t>
      </w:r>
    </w:p>
    <w:p w14:paraId="5AD42C4C">
      <w:pPr>
        <w:snapToGrid w:val="0"/>
        <w:spacing w:beforeLines="50" w:after="50" w:line="380" w:lineRule="exact"/>
        <w:rPr>
          <w:rFonts w:asciiTheme="minorEastAsia" w:hAnsiTheme="minorEastAsia" w:eastAsiaTheme="minorEastAsia" w:cstheme="minorEastAsia"/>
          <w:color w:val="auto"/>
          <w:sz w:val="24"/>
          <w:szCs w:val="20"/>
          <w:highlight w:val="none"/>
        </w:rPr>
      </w:pPr>
      <w:r>
        <w:rPr>
          <w:rFonts w:hint="eastAsia" w:asciiTheme="minorEastAsia" w:hAnsiTheme="minorEastAsia" w:eastAsiaTheme="minorEastAsia" w:cstheme="minorEastAsia"/>
          <w:color w:val="auto"/>
          <w:sz w:val="24"/>
          <w:highlight w:val="none"/>
        </w:rPr>
        <w:t>致：______</w:t>
      </w:r>
      <w:r>
        <w:rPr>
          <w:rFonts w:hint="eastAsia" w:asciiTheme="minorEastAsia" w:hAnsiTheme="minorEastAsia" w:eastAsiaTheme="minorEastAsia" w:cstheme="minorEastAsia"/>
          <w:color w:val="auto"/>
          <w:sz w:val="24"/>
          <w:highlight w:val="none"/>
          <w:u w:val="single"/>
        </w:rPr>
        <w:t>_     _</w:t>
      </w:r>
      <w:r>
        <w:rPr>
          <w:rFonts w:hint="eastAsia" w:asciiTheme="minorEastAsia" w:hAnsiTheme="minorEastAsia" w:eastAsiaTheme="minorEastAsia" w:cstheme="minorEastAsia"/>
          <w:color w:val="auto"/>
          <w:sz w:val="24"/>
          <w:highlight w:val="none"/>
        </w:rPr>
        <w:t>_（招标人名称）：</w:t>
      </w:r>
    </w:p>
    <w:p w14:paraId="62716480">
      <w:pPr>
        <w:snapToGrid w:val="0"/>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1、我方自愿参加贵方组织的_____</w:t>
      </w:r>
      <w:r>
        <w:rPr>
          <w:rFonts w:hint="eastAsia" w:asciiTheme="minorEastAsia" w:hAnsiTheme="minorEastAsia" w:eastAsiaTheme="minorEastAsia" w:cstheme="minorEastAsia"/>
          <w:color w:val="auto"/>
          <w:sz w:val="24"/>
          <w:highlight w:val="none"/>
          <w:u w:val="single"/>
        </w:rPr>
        <w:t>_              _</w:t>
      </w:r>
      <w:r>
        <w:rPr>
          <w:rFonts w:hint="eastAsia" w:asciiTheme="minorEastAsia" w:hAnsiTheme="minorEastAsia" w:eastAsiaTheme="minorEastAsia" w:cstheme="minorEastAsia"/>
          <w:color w:val="auto"/>
          <w:sz w:val="24"/>
          <w:highlight w:val="none"/>
        </w:rPr>
        <w:t>_项目（项目编号：____</w:t>
      </w:r>
      <w:r>
        <w:rPr>
          <w:rFonts w:hint="eastAsia" w:asciiTheme="minorEastAsia" w:hAnsiTheme="minorEastAsia" w:eastAsiaTheme="minorEastAsia" w:cstheme="minorEastAsia"/>
          <w:color w:val="auto"/>
          <w:sz w:val="24"/>
          <w:highlight w:val="none"/>
          <w:u w:val="single"/>
        </w:rPr>
        <w:t>_     _</w:t>
      </w:r>
      <w:r>
        <w:rPr>
          <w:rFonts w:hint="eastAsia" w:asciiTheme="minorEastAsia" w:hAnsiTheme="minorEastAsia" w:eastAsiaTheme="minorEastAsia" w:cstheme="minorEastAsia"/>
          <w:color w:val="auto"/>
          <w:sz w:val="24"/>
          <w:highlight w:val="none"/>
        </w:rPr>
        <w:t>_）的投标，并按采购文件的要求提交商务技术文件、报价文件。</w:t>
      </w:r>
    </w:p>
    <w:p w14:paraId="00060E13">
      <w:pPr>
        <w:snapToGrid w:val="0"/>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2、我方完全理解并接受招标文件（包括修改补充文件）的各项规定和要求，不再对招标文件的合理性、合法性等相关内容提出质疑或投诉。</w:t>
      </w:r>
    </w:p>
    <w:p w14:paraId="1B5A844B">
      <w:pPr>
        <w:snapToGrid w:val="0"/>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3、我方不是招标人的附属机构以及其它法律法规所规定的限制投标单位。</w:t>
      </w:r>
    </w:p>
    <w:p w14:paraId="20D22E68">
      <w:pPr>
        <w:snapToGrid w:val="0"/>
        <w:spacing w:line="360" w:lineRule="auto"/>
        <w:ind w:firstLine="482" w:firstLineChars="200"/>
        <w:rPr>
          <w:rFonts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4.、我方向贵方提交的所有投标文件、资料（包括所有</w:t>
      </w:r>
      <w:bookmarkStart w:id="69" w:name="_Hlk59707887"/>
      <w:r>
        <w:rPr>
          <w:rFonts w:hint="eastAsia" w:asciiTheme="minorEastAsia" w:hAnsiTheme="minorEastAsia" w:eastAsiaTheme="minorEastAsia" w:cstheme="minorEastAsia"/>
          <w:b/>
          <w:bCs/>
          <w:color w:val="auto"/>
          <w:sz w:val="24"/>
          <w:highlight w:val="none"/>
        </w:rPr>
        <w:t>证书、合同、报告等</w:t>
      </w:r>
      <w:bookmarkEnd w:id="69"/>
      <w:r>
        <w:rPr>
          <w:rFonts w:hint="eastAsia" w:asciiTheme="minorEastAsia" w:hAnsiTheme="minorEastAsia" w:eastAsiaTheme="minorEastAsia" w:cstheme="minorEastAsia"/>
          <w:b/>
          <w:bCs/>
          <w:color w:val="auto"/>
          <w:sz w:val="24"/>
          <w:highlight w:val="none"/>
        </w:rPr>
        <w:t>）都是准确、真实、合规的，如有虚假或隐瞒，我方愿意承担一切后果。</w:t>
      </w:r>
    </w:p>
    <w:p w14:paraId="7A44702A">
      <w:pPr>
        <w:snapToGrid w:val="0"/>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5、自投标截止日起 90天内有效。</w:t>
      </w:r>
    </w:p>
    <w:p w14:paraId="13ABB397">
      <w:pPr>
        <w:snapToGrid w:val="0"/>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6、如中标，本投标文件至本项目合同履行完毕均保持有效，同意按照贵方要求提供与投标有关的一切数据或资料，并按“招标文件”及相关法律、法规的规定履行合同责任和义务。</w:t>
      </w:r>
    </w:p>
    <w:p w14:paraId="64D5B639">
      <w:pPr>
        <w:snapToGrid w:val="0"/>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7、以上事项如有虚假或隐瞒，我方愿意承担一切后果，并不再寻求任何旨在减轻或免除法律责任的辩解，同意我方的履约保证金不予退回，并对招标人因此引起的损失予以赔偿。</w:t>
      </w:r>
    </w:p>
    <w:p w14:paraId="10649B16">
      <w:pPr>
        <w:snapToGrid w:val="0"/>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8、我方全权授权被授权人办理针对上述项目的投标、开标、评标、签约等具体事务和签署相关文件，对被授权的各项行为负全部责任，在撤销授权的书面通知以前，本授权书一直有效，被授权人无转委托权。</w:t>
      </w:r>
    </w:p>
    <w:p w14:paraId="23A8E315">
      <w:pPr>
        <w:snapToGrid w:val="0"/>
        <w:spacing w:line="360" w:lineRule="auto"/>
        <w:ind w:firstLine="361" w:firstLineChars="150"/>
        <w:rPr>
          <w:rFonts w:asciiTheme="minorEastAsia" w:hAnsiTheme="minorEastAsia" w:eastAsiaTheme="minorEastAsia" w:cstheme="minorEastAsia"/>
          <w:b/>
          <w:bCs/>
          <w:color w:val="auto"/>
          <w:sz w:val="24"/>
          <w:highlight w:val="none"/>
          <w:u w:val="single"/>
        </w:rPr>
      </w:pPr>
      <w:bookmarkStart w:id="70" w:name="_Hlk36048718"/>
      <w:r>
        <w:rPr>
          <w:rFonts w:hint="eastAsia" w:asciiTheme="minorEastAsia" w:hAnsiTheme="minorEastAsia" w:eastAsiaTheme="minorEastAsia" w:cstheme="minorEastAsia"/>
          <w:b/>
          <w:bCs/>
          <w:color w:val="auto"/>
          <w:sz w:val="24"/>
          <w:highlight w:val="none"/>
        </w:rPr>
        <w:t>与本投标有关的一切正式往来信函、传真或邮件</w:t>
      </w:r>
      <w:r>
        <w:rPr>
          <w:rFonts w:hint="eastAsia" w:asciiTheme="minorEastAsia" w:hAnsiTheme="minorEastAsia" w:eastAsiaTheme="minorEastAsia" w:cstheme="minorEastAsia"/>
          <w:b/>
          <w:bCs/>
          <w:color w:val="auto"/>
          <w:sz w:val="24"/>
          <w:highlight w:val="none"/>
          <w:u w:val="single"/>
        </w:rPr>
        <w:t>（例如质疑回复函、中标通知书、采购合同等）请采用如下联系方式送达，我方确保能够及时、准确收悉。</w:t>
      </w:r>
    </w:p>
    <w:p w14:paraId="6CE088F0">
      <w:pPr>
        <w:snapToGrid w:val="0"/>
        <w:spacing w:line="360" w:lineRule="auto"/>
        <w:ind w:firstLine="360" w:firstLineChars="15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邮寄详细地址：__________</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 xml:space="preserve">  邮编：__________</w:t>
      </w:r>
    </w:p>
    <w:p w14:paraId="4E99C2F8">
      <w:pPr>
        <w:snapToGrid w:val="0"/>
        <w:spacing w:line="360" w:lineRule="auto"/>
        <w:ind w:firstLine="360" w:firstLineChars="15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收件人姓名：_______</w:t>
      </w:r>
      <w:r>
        <w:rPr>
          <w:rFonts w:hint="eastAsia" w:asciiTheme="minorEastAsia" w:hAnsiTheme="minorEastAsia" w:eastAsiaTheme="minorEastAsia" w:cstheme="minorEastAsia"/>
          <w:color w:val="auto"/>
          <w:sz w:val="24"/>
          <w:highlight w:val="none"/>
          <w:u w:val="single"/>
        </w:rPr>
        <w:t xml:space="preserve">_   </w:t>
      </w:r>
      <w:r>
        <w:rPr>
          <w:rFonts w:hint="eastAsia" w:asciiTheme="minorEastAsia" w:hAnsiTheme="minorEastAsia" w:eastAsiaTheme="minorEastAsia" w:cstheme="minorEastAsia"/>
          <w:color w:val="auto"/>
          <w:sz w:val="24"/>
          <w:highlight w:val="none"/>
        </w:rPr>
        <w:t>联系手机：</w:t>
      </w:r>
      <w:bookmarkStart w:id="71" w:name="_Hlk59370410"/>
      <w:r>
        <w:rPr>
          <w:rFonts w:hint="eastAsia" w:asciiTheme="minorEastAsia" w:hAnsiTheme="minorEastAsia" w:eastAsiaTheme="minorEastAsia" w:cstheme="minorEastAsia"/>
          <w:color w:val="auto"/>
          <w:sz w:val="24"/>
          <w:highlight w:val="none"/>
        </w:rPr>
        <w:t>_______</w:t>
      </w:r>
      <w:r>
        <w:rPr>
          <w:rFonts w:hint="eastAsia" w:asciiTheme="minorEastAsia" w:hAnsiTheme="minorEastAsia" w:eastAsiaTheme="minorEastAsia" w:cstheme="minorEastAsia"/>
          <w:color w:val="auto"/>
          <w:sz w:val="24"/>
          <w:highlight w:val="none"/>
          <w:u w:val="single"/>
        </w:rPr>
        <w:t xml:space="preserve">_       </w:t>
      </w:r>
      <w:bookmarkEnd w:id="71"/>
      <w:r>
        <w:rPr>
          <w:rFonts w:hint="eastAsia" w:asciiTheme="minorEastAsia" w:hAnsiTheme="minorEastAsia" w:eastAsiaTheme="minorEastAsia" w:cstheme="minorEastAsia"/>
          <w:color w:val="auto"/>
          <w:sz w:val="24"/>
          <w:highlight w:val="none"/>
        </w:rPr>
        <w:t>公司电子邮箱</w:t>
      </w:r>
      <w:r>
        <w:rPr>
          <w:rFonts w:hint="eastAsia" w:asciiTheme="minorEastAsia" w:hAnsiTheme="minorEastAsia" w:eastAsiaTheme="minorEastAsia" w:cstheme="minorEastAsia"/>
          <w:b/>
          <w:bCs/>
          <w:color w:val="auto"/>
          <w:sz w:val="24"/>
          <w:highlight w:val="none"/>
        </w:rPr>
        <w:t>：</w:t>
      </w:r>
      <w:r>
        <w:rPr>
          <w:rFonts w:hint="eastAsia" w:asciiTheme="minorEastAsia" w:hAnsiTheme="minorEastAsia" w:eastAsiaTheme="minorEastAsia" w:cstheme="minorEastAsia"/>
          <w:color w:val="auto"/>
          <w:sz w:val="24"/>
          <w:highlight w:val="none"/>
          <w:u w:val="single"/>
        </w:rPr>
        <w:t xml:space="preserve"> _     __ </w:t>
      </w:r>
      <w:r>
        <w:rPr>
          <w:rFonts w:hint="eastAsia" w:asciiTheme="minorEastAsia" w:hAnsiTheme="minorEastAsia" w:eastAsiaTheme="minorEastAsia" w:cstheme="minorEastAsia"/>
          <w:color w:val="auto"/>
          <w:sz w:val="24"/>
          <w:highlight w:val="none"/>
        </w:rPr>
        <w:t xml:space="preserve"> </w:t>
      </w:r>
    </w:p>
    <w:p w14:paraId="2847E2A6">
      <w:pPr>
        <w:snapToGrid w:val="0"/>
        <w:spacing w:line="360" w:lineRule="auto"/>
        <w:ind w:firstLine="361" w:firstLineChars="150"/>
        <w:jc w:val="left"/>
        <w:rPr>
          <w:rFonts w:asciiTheme="minorEastAsia" w:hAnsiTheme="minorEastAsia" w:eastAsiaTheme="minorEastAsia" w:cstheme="minorEastAsia"/>
          <w:b/>
          <w:bCs/>
          <w:color w:val="auto"/>
          <w:sz w:val="24"/>
          <w:highlight w:val="none"/>
        </w:rPr>
      </w:pPr>
      <w:bookmarkStart w:id="72" w:name="_Hlk59370586"/>
      <w:r>
        <w:rPr>
          <w:rFonts w:hint="eastAsia" w:asciiTheme="minorEastAsia" w:hAnsiTheme="minorEastAsia" w:eastAsiaTheme="minorEastAsia" w:cstheme="minorEastAsia"/>
          <w:b/>
          <w:bCs/>
          <w:color w:val="auto"/>
          <w:sz w:val="24"/>
          <w:highlight w:val="none"/>
        </w:rPr>
        <w:t>为了方便评标委员会在必要时对投标人进行询标，请投标人填写以下投标文件编制人信息，以便及时、准确进行询标，投标文件编制人信息可不限于1人。</w:t>
      </w:r>
    </w:p>
    <w:p w14:paraId="4F1970B5">
      <w:pPr>
        <w:snapToGrid w:val="0"/>
        <w:spacing w:line="360" w:lineRule="auto"/>
        <w:ind w:firstLine="361" w:firstLineChars="150"/>
        <w:jc w:val="left"/>
        <w:rPr>
          <w:rFonts w:asciiTheme="minorEastAsia" w:hAnsiTheme="minorEastAsia" w:eastAsiaTheme="minorEastAsia" w:cstheme="minorEastAsia"/>
          <w:b/>
          <w:bCs/>
          <w:color w:val="auto"/>
          <w:sz w:val="24"/>
          <w:highlight w:val="none"/>
          <w:u w:val="single"/>
        </w:rPr>
      </w:pPr>
      <w:r>
        <w:rPr>
          <w:rFonts w:hint="eastAsia" w:asciiTheme="minorEastAsia" w:hAnsiTheme="minorEastAsia" w:eastAsiaTheme="minorEastAsia" w:cstheme="minorEastAsia"/>
          <w:b/>
          <w:bCs/>
          <w:color w:val="auto"/>
          <w:sz w:val="24"/>
          <w:highlight w:val="none"/>
        </w:rPr>
        <w:t>投标文件编制人</w:t>
      </w:r>
      <w:bookmarkEnd w:id="72"/>
      <w:r>
        <w:rPr>
          <w:rFonts w:hint="eastAsia" w:asciiTheme="minorEastAsia" w:hAnsiTheme="minorEastAsia" w:eastAsiaTheme="minorEastAsia" w:cstheme="minorEastAsia"/>
          <w:b/>
          <w:bCs/>
          <w:color w:val="auto"/>
          <w:sz w:val="24"/>
          <w:highlight w:val="none"/>
        </w:rPr>
        <w:t>姓名：_</w:t>
      </w:r>
      <w:r>
        <w:rPr>
          <w:rFonts w:hint="eastAsia" w:asciiTheme="minorEastAsia" w:hAnsiTheme="minorEastAsia" w:eastAsiaTheme="minorEastAsia" w:cstheme="minorEastAsia"/>
          <w:b/>
          <w:bCs/>
          <w:color w:val="auto"/>
          <w:sz w:val="24"/>
          <w:highlight w:val="none"/>
          <w:u w:val="single"/>
        </w:rPr>
        <w:t>_</w:t>
      </w:r>
      <w:r>
        <w:rPr>
          <w:rFonts w:hint="eastAsia" w:asciiTheme="minorEastAsia" w:hAnsiTheme="minorEastAsia" w:eastAsiaTheme="minorEastAsia" w:cstheme="minorEastAsia"/>
          <w:b/>
          <w:bCs/>
          <w:color w:val="auto"/>
          <w:sz w:val="24"/>
          <w:highlight w:val="none"/>
        </w:rPr>
        <w:t>________    手机号码：__</w:t>
      </w:r>
      <w:r>
        <w:rPr>
          <w:rFonts w:hint="eastAsia" w:asciiTheme="minorEastAsia" w:hAnsiTheme="minorEastAsia" w:eastAsiaTheme="minorEastAsia" w:cstheme="minorEastAsia"/>
          <w:b/>
          <w:bCs/>
          <w:color w:val="auto"/>
          <w:sz w:val="24"/>
          <w:highlight w:val="none"/>
          <w:u w:val="single"/>
        </w:rPr>
        <w:t>____    _    __</w:t>
      </w:r>
    </w:p>
    <w:p w14:paraId="2A2BC5BC">
      <w:pPr>
        <w:snapToGrid w:val="0"/>
        <w:spacing w:line="360" w:lineRule="auto"/>
        <w:ind w:firstLine="361" w:firstLineChars="150"/>
        <w:jc w:val="left"/>
        <w:rPr>
          <w:rFonts w:asciiTheme="minorEastAsia" w:hAnsiTheme="minorEastAsia" w:eastAsiaTheme="minorEastAsia" w:cstheme="minorEastAsia"/>
          <w:b/>
          <w:color w:val="auto"/>
          <w:sz w:val="24"/>
          <w:highlight w:val="none"/>
          <w:u w:val="single"/>
        </w:rPr>
      </w:pPr>
      <w:r>
        <w:rPr>
          <w:rFonts w:hint="eastAsia" w:asciiTheme="minorEastAsia" w:hAnsiTheme="minorEastAsia" w:eastAsiaTheme="minorEastAsia" w:cstheme="minorEastAsia"/>
          <w:b/>
          <w:color w:val="auto"/>
          <w:sz w:val="24"/>
          <w:highlight w:val="none"/>
        </w:rPr>
        <w:t>法定代表人（签字或盖章）：</w:t>
      </w:r>
    </w:p>
    <w:p w14:paraId="27E15BDF">
      <w:pPr>
        <w:snapToGrid w:val="0"/>
        <w:spacing w:line="360" w:lineRule="auto"/>
        <w:ind w:firstLine="361" w:firstLineChars="150"/>
        <w:jc w:val="left"/>
        <w:rPr>
          <w:rFonts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color w:val="auto"/>
          <w:sz w:val="24"/>
          <w:highlight w:val="none"/>
        </w:rPr>
        <w:t>被授权人（签字）:</w:t>
      </w:r>
      <w:bookmarkStart w:id="73" w:name="_Hlk34136414"/>
      <w:r>
        <w:rPr>
          <w:rFonts w:hint="eastAsia" w:asciiTheme="minorEastAsia" w:hAnsiTheme="minorEastAsia" w:eastAsiaTheme="minorEastAsia" w:cstheme="minorEastAsia"/>
          <w:b/>
          <w:color w:val="auto"/>
          <w:sz w:val="24"/>
          <w:highlight w:val="none"/>
        </w:rPr>
        <w:t>_</w:t>
      </w:r>
      <w:r>
        <w:rPr>
          <w:rFonts w:hint="eastAsia" w:asciiTheme="minorEastAsia" w:hAnsiTheme="minorEastAsia" w:eastAsiaTheme="minorEastAsia" w:cstheme="minorEastAsia"/>
          <w:color w:val="auto"/>
          <w:sz w:val="24"/>
          <w:highlight w:val="none"/>
        </w:rPr>
        <w:t>_</w:t>
      </w:r>
      <w:r>
        <w:rPr>
          <w:rFonts w:hint="eastAsia" w:asciiTheme="minorEastAsia" w:hAnsiTheme="minorEastAsia" w:eastAsiaTheme="minorEastAsia" w:cstheme="minorEastAsia"/>
          <w:color w:val="auto"/>
          <w:sz w:val="24"/>
          <w:highlight w:val="none"/>
          <w:u w:val="single"/>
        </w:rPr>
        <w:t>_</w:t>
      </w:r>
      <w:r>
        <w:rPr>
          <w:rFonts w:hint="eastAsia" w:asciiTheme="minorEastAsia" w:hAnsiTheme="minorEastAsia" w:eastAsiaTheme="minorEastAsia" w:cstheme="minorEastAsia"/>
          <w:color w:val="auto"/>
          <w:sz w:val="24"/>
          <w:highlight w:val="none"/>
        </w:rPr>
        <w:t>________</w:t>
      </w:r>
      <w:bookmarkEnd w:id="73"/>
      <w:r>
        <w:rPr>
          <w:rFonts w:hint="eastAsia" w:asciiTheme="minorEastAsia" w:hAnsiTheme="minorEastAsia" w:eastAsiaTheme="minorEastAsia" w:cstheme="minorEastAsia"/>
          <w:color w:val="auto"/>
          <w:sz w:val="24"/>
          <w:highlight w:val="none"/>
        </w:rPr>
        <w:t xml:space="preserve">  </w:t>
      </w:r>
      <w:r>
        <w:rPr>
          <w:rFonts w:hint="eastAsia" w:asciiTheme="minorEastAsia" w:hAnsiTheme="minorEastAsia" w:eastAsiaTheme="minorEastAsia" w:cstheme="minorEastAsia"/>
          <w:b/>
          <w:bCs/>
          <w:color w:val="auto"/>
          <w:sz w:val="24"/>
          <w:highlight w:val="none"/>
        </w:rPr>
        <w:t>被授权人手机号码：</w:t>
      </w:r>
      <w:r>
        <w:rPr>
          <w:rFonts w:hint="eastAsia" w:asciiTheme="minorEastAsia" w:hAnsiTheme="minorEastAsia" w:eastAsiaTheme="minorEastAsia" w:cstheme="minorEastAsia"/>
          <w:b/>
          <w:color w:val="auto"/>
          <w:sz w:val="24"/>
          <w:highlight w:val="none"/>
        </w:rPr>
        <w:t>_</w:t>
      </w:r>
      <w:r>
        <w:rPr>
          <w:rFonts w:hint="eastAsia" w:asciiTheme="minorEastAsia" w:hAnsiTheme="minorEastAsia" w:eastAsiaTheme="minorEastAsia" w:cstheme="minorEastAsia"/>
          <w:color w:val="auto"/>
          <w:sz w:val="24"/>
          <w:highlight w:val="none"/>
        </w:rPr>
        <w:t>_</w:t>
      </w:r>
      <w:r>
        <w:rPr>
          <w:rFonts w:hint="eastAsia" w:asciiTheme="minorEastAsia" w:hAnsiTheme="minorEastAsia" w:eastAsiaTheme="minorEastAsia" w:cstheme="minorEastAsia"/>
          <w:color w:val="auto"/>
          <w:sz w:val="24"/>
          <w:highlight w:val="none"/>
          <w:u w:val="single"/>
        </w:rPr>
        <w:t xml:space="preserve">____    _    __   </w:t>
      </w:r>
    </w:p>
    <w:bookmarkEnd w:id="70"/>
    <w:p w14:paraId="3E48699C">
      <w:pPr>
        <w:snapToGrid w:val="0"/>
        <w:spacing w:line="360" w:lineRule="auto"/>
        <w:jc w:val="left"/>
        <w:rPr>
          <w:rFonts w:asciiTheme="minorEastAsia" w:hAnsiTheme="minorEastAsia" w:eastAsiaTheme="minorEastAsia" w:cstheme="minorEastAsia"/>
          <w:color w:val="auto"/>
          <w:sz w:val="24"/>
          <w:highlight w:val="none"/>
        </w:rPr>
      </w:pPr>
    </w:p>
    <w:p w14:paraId="48915A01">
      <w:pPr>
        <w:snapToGrid w:val="0"/>
        <w:spacing w:line="360" w:lineRule="auto"/>
        <w:ind w:firstLine="482" w:firstLineChars="200"/>
        <w:jc w:val="lef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b/>
          <w:bCs/>
          <w:color w:val="auto"/>
          <w:sz w:val="24"/>
          <w:highlight w:val="none"/>
        </w:rPr>
        <w:t xml:space="preserve">投标人:(公章) </w:t>
      </w:r>
      <w:r>
        <w:rPr>
          <w:rFonts w:hint="eastAsia" w:asciiTheme="minorEastAsia" w:hAnsiTheme="minorEastAsia" w:eastAsiaTheme="minorEastAsia" w:cstheme="minorEastAsia"/>
          <w:color w:val="auto"/>
          <w:sz w:val="24"/>
          <w:highlight w:val="none"/>
        </w:rPr>
        <w:t xml:space="preserve">                           </w:t>
      </w:r>
      <w:r>
        <w:rPr>
          <w:rFonts w:hint="eastAsia" w:asciiTheme="minorEastAsia" w:hAnsiTheme="minorEastAsia" w:eastAsiaTheme="minorEastAsia" w:cstheme="minorEastAsia"/>
          <w:b/>
          <w:color w:val="auto"/>
          <w:sz w:val="24"/>
          <w:highlight w:val="none"/>
        </w:rPr>
        <w:t>日期:_____年___月___日</w:t>
      </w:r>
    </w:p>
    <w:p w14:paraId="68619D5C">
      <w:pPr>
        <w:snapToGrid w:val="0"/>
        <w:spacing w:beforeLines="50" w:after="50"/>
        <w:rPr>
          <w:rFonts w:asciiTheme="minorEastAsia" w:hAnsiTheme="minorEastAsia" w:eastAsiaTheme="minorEastAsia" w:cstheme="minorEastAsia"/>
          <w:color w:val="auto"/>
          <w:sz w:val="24"/>
          <w:szCs w:val="20"/>
          <w:highlight w:val="none"/>
        </w:rPr>
      </w:pPr>
      <w:r>
        <w:rPr>
          <w:rFonts w:hint="eastAsia" w:asciiTheme="minorEastAsia" w:hAnsiTheme="minorEastAsia" w:eastAsiaTheme="minorEastAsia" w:cstheme="minorEastAsia"/>
          <w:color w:val="auto"/>
          <w:highlight w:val="none"/>
        </w:rPr>
        <w:br w:type="page"/>
      </w:r>
      <w:r>
        <w:rPr>
          <w:rFonts w:hint="eastAsia" w:asciiTheme="minorEastAsia" w:hAnsiTheme="minorEastAsia" w:eastAsiaTheme="minorEastAsia" w:cstheme="minorEastAsia"/>
          <w:color w:val="auto"/>
          <w:sz w:val="24"/>
          <w:highlight w:val="none"/>
        </w:rPr>
        <w:t>6.法定代表人授权委托书格式：</w:t>
      </w:r>
    </w:p>
    <w:p w14:paraId="293C0FAC">
      <w:pPr>
        <w:snapToGrid w:val="0"/>
        <w:spacing w:beforeLines="50" w:after="50"/>
        <w:jc w:val="center"/>
        <w:rPr>
          <w:rFonts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法定代表人授权委托书</w:t>
      </w:r>
    </w:p>
    <w:p w14:paraId="56FE8547">
      <w:pPr>
        <w:snapToGrid w:val="0"/>
        <w:spacing w:beforeLines="50" w:after="50" w:line="460" w:lineRule="exact"/>
        <w:rPr>
          <w:rFonts w:asciiTheme="minorEastAsia" w:hAnsiTheme="minorEastAsia" w:eastAsiaTheme="minorEastAsia" w:cstheme="minorEastAsia"/>
          <w:b/>
          <w:bCs/>
          <w:color w:val="auto"/>
          <w:sz w:val="24"/>
          <w:szCs w:val="20"/>
          <w:highlight w:val="none"/>
        </w:rPr>
      </w:pPr>
      <w:r>
        <w:rPr>
          <w:rFonts w:hint="eastAsia" w:asciiTheme="minorEastAsia" w:hAnsiTheme="minorEastAsia" w:eastAsiaTheme="minorEastAsia" w:cstheme="minorEastAsia"/>
          <w:bCs/>
          <w:color w:val="auto"/>
          <w:sz w:val="24"/>
          <w:highlight w:val="none"/>
        </w:rPr>
        <w:t>致：</w:t>
      </w:r>
      <w:r>
        <w:rPr>
          <w:rFonts w:hint="eastAsia" w:asciiTheme="minorEastAsia" w:hAnsiTheme="minorEastAsia" w:eastAsiaTheme="minorEastAsia" w:cstheme="minorEastAsia"/>
          <w:color w:val="auto"/>
          <w:sz w:val="24"/>
          <w:highlight w:val="none"/>
        </w:rPr>
        <w:t>______</w:t>
      </w:r>
      <w:r>
        <w:rPr>
          <w:rFonts w:hint="eastAsia" w:asciiTheme="minorEastAsia" w:hAnsiTheme="minorEastAsia" w:eastAsiaTheme="minorEastAsia" w:cstheme="minorEastAsia"/>
          <w:color w:val="auto"/>
          <w:sz w:val="24"/>
          <w:highlight w:val="none"/>
          <w:u w:val="single"/>
        </w:rPr>
        <w:t>_     _</w:t>
      </w:r>
      <w:r>
        <w:rPr>
          <w:rFonts w:hint="eastAsia" w:asciiTheme="minorEastAsia" w:hAnsiTheme="minorEastAsia" w:eastAsiaTheme="minorEastAsia" w:cstheme="minorEastAsia"/>
          <w:color w:val="auto"/>
          <w:sz w:val="24"/>
          <w:highlight w:val="none"/>
        </w:rPr>
        <w:t>_（招标人名称）：</w:t>
      </w:r>
    </w:p>
    <w:p w14:paraId="6A545C93">
      <w:pPr>
        <w:snapToGrid w:val="0"/>
        <w:spacing w:beforeLines="50" w:after="50" w:line="460" w:lineRule="exact"/>
        <w:ind w:firstLine="480" w:firstLineChars="200"/>
        <w:rPr>
          <w:rFonts w:asciiTheme="minorEastAsia" w:hAnsiTheme="minorEastAsia" w:eastAsiaTheme="minorEastAsia" w:cstheme="minorEastAsia"/>
          <w:color w:val="auto"/>
          <w:sz w:val="24"/>
          <w:szCs w:val="20"/>
          <w:highlight w:val="none"/>
        </w:rPr>
      </w:pPr>
      <w:r>
        <w:rPr>
          <w:rFonts w:hint="eastAsia" w:asciiTheme="minorEastAsia" w:hAnsiTheme="minorEastAsia" w:eastAsiaTheme="minorEastAsia" w:cstheme="minorEastAsia"/>
          <w:color w:val="auto"/>
          <w:sz w:val="24"/>
          <w:highlight w:val="none"/>
        </w:rPr>
        <w:t>我</w:t>
      </w:r>
      <w:bookmarkStart w:id="74" w:name="_Hlk12177807"/>
      <w:r>
        <w:rPr>
          <w:rFonts w:hint="eastAsia" w:asciiTheme="minorEastAsia" w:hAnsiTheme="minorEastAsia" w:eastAsiaTheme="minorEastAsia" w:cstheme="minorEastAsia"/>
          <w:color w:val="auto"/>
          <w:sz w:val="24"/>
          <w:highlight w:val="none"/>
        </w:rPr>
        <w:t>______</w:t>
      </w:r>
      <w:r>
        <w:rPr>
          <w:rFonts w:hint="eastAsia" w:asciiTheme="minorEastAsia" w:hAnsiTheme="minorEastAsia" w:eastAsiaTheme="minorEastAsia" w:cstheme="minorEastAsia"/>
          <w:color w:val="auto"/>
          <w:sz w:val="24"/>
          <w:highlight w:val="none"/>
          <w:u w:val="single"/>
        </w:rPr>
        <w:t>_</w:t>
      </w:r>
      <w:r>
        <w:rPr>
          <w:rFonts w:hint="eastAsia" w:asciiTheme="minorEastAsia" w:hAnsiTheme="minorEastAsia" w:eastAsiaTheme="minorEastAsia" w:cstheme="minorEastAsia"/>
          <w:color w:val="auto"/>
          <w:sz w:val="24"/>
          <w:highlight w:val="none"/>
        </w:rPr>
        <w:t>_</w:t>
      </w:r>
      <w:bookmarkEnd w:id="74"/>
      <w:r>
        <w:rPr>
          <w:rFonts w:hint="eastAsia" w:asciiTheme="minorEastAsia" w:hAnsiTheme="minorEastAsia" w:eastAsiaTheme="minorEastAsia" w:cstheme="minorEastAsia"/>
          <w:color w:val="auto"/>
          <w:sz w:val="24"/>
          <w:highlight w:val="none"/>
        </w:rPr>
        <w:t>（姓名）系______</w:t>
      </w:r>
      <w:r>
        <w:rPr>
          <w:rFonts w:hint="eastAsia" w:asciiTheme="minorEastAsia" w:hAnsiTheme="minorEastAsia" w:eastAsiaTheme="minorEastAsia" w:cstheme="minorEastAsia"/>
          <w:color w:val="auto"/>
          <w:sz w:val="24"/>
          <w:highlight w:val="none"/>
          <w:u w:val="single"/>
        </w:rPr>
        <w:t>_     _</w:t>
      </w:r>
      <w:r>
        <w:rPr>
          <w:rFonts w:hint="eastAsia" w:asciiTheme="minorEastAsia" w:hAnsiTheme="minorEastAsia" w:eastAsiaTheme="minorEastAsia" w:cstheme="minorEastAsia"/>
          <w:color w:val="auto"/>
          <w:sz w:val="24"/>
          <w:highlight w:val="none"/>
        </w:rPr>
        <w:t xml:space="preserve">_（投标单位名称）的法定代表人，现授权委托本单位职工 </w:t>
      </w:r>
      <w:bookmarkStart w:id="75" w:name="_Hlk12177819"/>
      <w:r>
        <w:rPr>
          <w:rFonts w:hint="eastAsia" w:asciiTheme="minorEastAsia" w:hAnsiTheme="minorEastAsia" w:eastAsiaTheme="minorEastAsia" w:cstheme="minorEastAsia"/>
          <w:color w:val="auto"/>
          <w:sz w:val="24"/>
          <w:highlight w:val="none"/>
        </w:rPr>
        <w:t>______</w:t>
      </w:r>
      <w:r>
        <w:rPr>
          <w:rFonts w:hint="eastAsia" w:asciiTheme="minorEastAsia" w:hAnsiTheme="minorEastAsia" w:eastAsiaTheme="minorEastAsia" w:cstheme="minorEastAsia"/>
          <w:color w:val="auto"/>
          <w:sz w:val="24"/>
          <w:highlight w:val="none"/>
          <w:u w:val="single"/>
        </w:rPr>
        <w:t xml:space="preserve">_ </w:t>
      </w:r>
      <w:bookmarkEnd w:id="75"/>
      <w:r>
        <w:rPr>
          <w:rFonts w:hint="eastAsia" w:asciiTheme="minorEastAsia" w:hAnsiTheme="minorEastAsia" w:eastAsiaTheme="minorEastAsia" w:cstheme="minorEastAsia"/>
          <w:color w:val="auto"/>
          <w:sz w:val="24"/>
          <w:highlight w:val="none"/>
        </w:rPr>
        <w:t>（姓名）以我方的名义参加______</w:t>
      </w:r>
      <w:r>
        <w:rPr>
          <w:rFonts w:hint="eastAsia" w:asciiTheme="minorEastAsia" w:hAnsiTheme="minorEastAsia" w:eastAsiaTheme="minorEastAsia" w:cstheme="minorEastAsia"/>
          <w:color w:val="auto"/>
          <w:sz w:val="24"/>
          <w:highlight w:val="none"/>
          <w:u w:val="single"/>
        </w:rPr>
        <w:t xml:space="preserve">_          </w:t>
      </w:r>
      <w:r>
        <w:rPr>
          <w:rFonts w:hint="eastAsia" w:asciiTheme="minorEastAsia" w:hAnsiTheme="minorEastAsia" w:eastAsiaTheme="minorEastAsia" w:cstheme="minorEastAsia"/>
          <w:color w:val="auto"/>
          <w:sz w:val="24"/>
          <w:highlight w:val="none"/>
        </w:rPr>
        <w:t>项目的投标活动，并代表我方全权办理针对上述项目的投标、开标、评标、签约等具体事务和签署相关文件。</w:t>
      </w:r>
    </w:p>
    <w:p w14:paraId="0868053E">
      <w:pPr>
        <w:snapToGrid w:val="0"/>
        <w:spacing w:beforeLines="50" w:after="50" w:line="460" w:lineRule="exact"/>
        <w:rPr>
          <w:rFonts w:asciiTheme="minorEastAsia" w:hAnsiTheme="minorEastAsia" w:eastAsiaTheme="minorEastAsia" w:cstheme="minorEastAsia"/>
          <w:color w:val="auto"/>
          <w:sz w:val="24"/>
          <w:szCs w:val="20"/>
          <w:highlight w:val="none"/>
        </w:rPr>
      </w:pPr>
      <w:r>
        <w:rPr>
          <w:rFonts w:hint="eastAsia" w:asciiTheme="minorEastAsia" w:hAnsiTheme="minorEastAsia" w:eastAsiaTheme="minorEastAsia" w:cstheme="minorEastAsia"/>
          <w:color w:val="auto"/>
          <w:sz w:val="24"/>
          <w:highlight w:val="none"/>
        </w:rPr>
        <w:t xml:space="preserve">    我方对被授权人的签名事项负全部责任。</w:t>
      </w:r>
    </w:p>
    <w:p w14:paraId="7FAEEBB5">
      <w:pPr>
        <w:snapToGrid w:val="0"/>
        <w:spacing w:beforeLines="50" w:after="50" w:line="460" w:lineRule="exact"/>
        <w:ind w:firstLine="480"/>
        <w:rPr>
          <w:rFonts w:asciiTheme="minorEastAsia" w:hAnsiTheme="minorEastAsia" w:eastAsiaTheme="minorEastAsia" w:cstheme="minorEastAsia"/>
          <w:color w:val="auto"/>
          <w:sz w:val="24"/>
          <w:szCs w:val="20"/>
          <w:highlight w:val="none"/>
        </w:rPr>
      </w:pPr>
      <w:r>
        <w:rPr>
          <w:rFonts w:hint="eastAsia" w:asciiTheme="minorEastAsia" w:hAnsiTheme="minorEastAsia" w:eastAsiaTheme="minorEastAsia" w:cstheme="minorEastAsia"/>
          <w:color w:val="auto"/>
          <w:sz w:val="24"/>
          <w:highlight w:val="none"/>
          <w:u w:val="single"/>
        </w:rPr>
        <w:t>在撤销授权的书面通知以前，本授权书一直有效。</w:t>
      </w:r>
      <w:r>
        <w:rPr>
          <w:rFonts w:hint="eastAsia" w:asciiTheme="minorEastAsia" w:hAnsiTheme="minorEastAsia" w:eastAsiaTheme="minorEastAsia" w:cstheme="minorEastAsia"/>
          <w:color w:val="auto"/>
          <w:sz w:val="24"/>
          <w:highlight w:val="none"/>
        </w:rPr>
        <w:t>被授权人在授权书有效期内签署的所有文件不因授权的撤销而失效。</w:t>
      </w:r>
    </w:p>
    <w:p w14:paraId="57F4E2FC">
      <w:pPr>
        <w:snapToGrid w:val="0"/>
        <w:spacing w:beforeLines="50" w:after="50" w:line="460" w:lineRule="exact"/>
        <w:ind w:firstLine="480"/>
        <w:rPr>
          <w:rFonts w:asciiTheme="minorEastAsia" w:hAnsiTheme="minorEastAsia" w:eastAsiaTheme="minorEastAsia" w:cstheme="minorEastAsia"/>
          <w:color w:val="auto"/>
          <w:sz w:val="24"/>
          <w:szCs w:val="20"/>
          <w:highlight w:val="none"/>
        </w:rPr>
      </w:pPr>
      <w:r>
        <w:rPr>
          <w:rFonts w:hint="eastAsia" w:asciiTheme="minorEastAsia" w:hAnsiTheme="minorEastAsia" w:eastAsiaTheme="minorEastAsia" w:cstheme="minorEastAsia"/>
          <w:color w:val="auto"/>
          <w:sz w:val="24"/>
          <w:highlight w:val="none"/>
        </w:rPr>
        <w:t>被授权人无转委托权，特此委托。</w:t>
      </w:r>
    </w:p>
    <w:p w14:paraId="0424331F">
      <w:pPr>
        <w:snapToGrid w:val="0"/>
        <w:spacing w:beforeLines="50" w:after="50" w:line="46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b/>
          <w:bCs/>
          <w:color w:val="auto"/>
          <w:sz w:val="28"/>
          <w:szCs w:val="28"/>
          <w:highlight w:val="none"/>
          <w:u w:val="single"/>
        </w:rPr>
        <w:t>法定代表人签名或盖章：</w:t>
      </w:r>
      <w:r>
        <w:rPr>
          <w:rFonts w:hint="eastAsia" w:asciiTheme="minorEastAsia" w:hAnsiTheme="minorEastAsia" w:eastAsiaTheme="minorEastAsia" w:cstheme="minorEastAsia"/>
          <w:b/>
          <w:bCs/>
          <w:color w:val="auto"/>
          <w:sz w:val="28"/>
          <w:szCs w:val="28"/>
          <w:highlight w:val="none"/>
        </w:rPr>
        <w:t xml:space="preserve">             </w:t>
      </w:r>
      <w:r>
        <w:rPr>
          <w:rFonts w:hint="eastAsia" w:asciiTheme="minorEastAsia" w:hAnsiTheme="minorEastAsia" w:eastAsiaTheme="minorEastAsia" w:cstheme="minorEastAsia"/>
          <w:b/>
          <w:bCs/>
          <w:color w:val="auto"/>
          <w:sz w:val="28"/>
          <w:szCs w:val="28"/>
          <w:highlight w:val="none"/>
          <w:u w:val="single"/>
        </w:rPr>
        <w:t xml:space="preserve">被授权人签字： </w:t>
      </w:r>
      <w:r>
        <w:rPr>
          <w:rFonts w:hint="eastAsia" w:asciiTheme="minorEastAsia" w:hAnsiTheme="minorEastAsia" w:eastAsiaTheme="minorEastAsia" w:cstheme="minorEastAsia"/>
          <w:color w:val="auto"/>
          <w:sz w:val="28"/>
          <w:szCs w:val="28"/>
          <w:highlight w:val="none"/>
        </w:rPr>
        <w:t xml:space="preserve">               </w:t>
      </w:r>
    </w:p>
    <w:p w14:paraId="7B8AF410">
      <w:pPr>
        <w:snapToGrid w:val="0"/>
        <w:spacing w:beforeLines="50" w:after="50" w:line="460" w:lineRule="exact"/>
        <w:rPr>
          <w:rFonts w:asciiTheme="minorEastAsia" w:hAnsiTheme="minorEastAsia" w:eastAsiaTheme="minorEastAsia" w:cstheme="minorEastAsia"/>
          <w:color w:val="auto"/>
          <w:sz w:val="24"/>
          <w:szCs w:val="20"/>
          <w:highlight w:val="none"/>
          <w:u w:val="single"/>
        </w:rPr>
      </w:pPr>
    </w:p>
    <w:p w14:paraId="2DF3074D">
      <w:pPr>
        <w:snapToGrid w:val="0"/>
        <w:spacing w:beforeLines="50" w:after="50" w:line="460" w:lineRule="exact"/>
        <w:rPr>
          <w:rFonts w:asciiTheme="minorEastAsia" w:hAnsiTheme="minorEastAsia" w:eastAsiaTheme="minorEastAsia" w:cstheme="minorEastAsia"/>
          <w:b/>
          <w:bCs/>
          <w:color w:val="auto"/>
          <w:sz w:val="28"/>
          <w:szCs w:val="28"/>
          <w:highlight w:val="none"/>
        </w:rPr>
      </w:pPr>
      <w:r>
        <w:rPr>
          <w:rFonts w:hint="eastAsia" w:asciiTheme="minorEastAsia" w:hAnsiTheme="minorEastAsia" w:eastAsiaTheme="minorEastAsia" w:cstheme="minorEastAsia"/>
          <w:b/>
          <w:bCs/>
          <w:color w:val="auto"/>
          <w:sz w:val="28"/>
          <w:szCs w:val="28"/>
          <w:highlight w:val="none"/>
        </w:rPr>
        <w:t>法定代表人身份证复印件            被授权人身份证复印件</w:t>
      </w:r>
    </w:p>
    <w:tbl>
      <w:tblPr>
        <w:tblStyle w:val="52"/>
        <w:tblW w:w="9923" w:type="dxa"/>
        <w:tblInd w:w="-601"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autofit"/>
        <w:tblCellMar>
          <w:top w:w="0" w:type="dxa"/>
          <w:left w:w="108" w:type="dxa"/>
          <w:bottom w:w="0" w:type="dxa"/>
          <w:right w:w="108" w:type="dxa"/>
        </w:tblCellMar>
      </w:tblPr>
      <w:tblGrid>
        <w:gridCol w:w="4962"/>
        <w:gridCol w:w="4961"/>
      </w:tblGrid>
      <w:tr w14:paraId="358BF15F">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238" w:hRule="atLeast"/>
        </w:trPr>
        <w:tc>
          <w:tcPr>
            <w:tcW w:w="4962" w:type="dxa"/>
          </w:tcPr>
          <w:p w14:paraId="6F859EE5">
            <w:pPr>
              <w:spacing w:line="360" w:lineRule="auto"/>
              <w:rPr>
                <w:rFonts w:asciiTheme="minorEastAsia" w:hAnsiTheme="minorEastAsia" w:eastAsiaTheme="minorEastAsia" w:cstheme="minorEastAsia"/>
                <w:color w:val="auto"/>
                <w:sz w:val="30"/>
                <w:szCs w:val="30"/>
                <w:highlight w:val="none"/>
              </w:rPr>
            </w:pPr>
            <w:r>
              <w:rPr>
                <w:rFonts w:hint="eastAsia" w:asciiTheme="minorEastAsia" w:hAnsiTheme="minorEastAsia" w:eastAsiaTheme="minorEastAsia" w:cstheme="minorEastAsia"/>
                <w:color w:val="auto"/>
                <w:sz w:val="30"/>
                <w:szCs w:val="30"/>
                <w:highlight w:val="none"/>
              </w:rPr>
              <w:t>身份证复印件粘贴处，正反两面均复印，复印件清晰可认。</w:t>
            </w:r>
          </w:p>
        </w:tc>
        <w:tc>
          <w:tcPr>
            <w:tcW w:w="4961" w:type="dxa"/>
          </w:tcPr>
          <w:p w14:paraId="5984A899">
            <w:pPr>
              <w:spacing w:line="360" w:lineRule="auto"/>
              <w:rPr>
                <w:rFonts w:asciiTheme="minorEastAsia" w:hAnsiTheme="minorEastAsia" w:eastAsiaTheme="minorEastAsia" w:cstheme="minorEastAsia"/>
                <w:color w:val="auto"/>
                <w:sz w:val="30"/>
                <w:szCs w:val="30"/>
                <w:highlight w:val="none"/>
              </w:rPr>
            </w:pPr>
            <w:r>
              <w:rPr>
                <w:rFonts w:hint="eastAsia" w:asciiTheme="minorEastAsia" w:hAnsiTheme="minorEastAsia" w:eastAsiaTheme="minorEastAsia" w:cstheme="minorEastAsia"/>
                <w:color w:val="auto"/>
                <w:sz w:val="30"/>
                <w:szCs w:val="30"/>
                <w:highlight w:val="none"/>
              </w:rPr>
              <w:t>身份证复印件粘贴处，正反两面均复印，复印件清晰可认。</w:t>
            </w:r>
          </w:p>
        </w:tc>
      </w:tr>
      <w:tr w14:paraId="1F997D18">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099" w:hRule="atLeast"/>
        </w:trPr>
        <w:tc>
          <w:tcPr>
            <w:tcW w:w="4962" w:type="dxa"/>
          </w:tcPr>
          <w:p w14:paraId="1E541F87">
            <w:pPr>
              <w:spacing w:line="360" w:lineRule="auto"/>
              <w:rPr>
                <w:rFonts w:asciiTheme="minorEastAsia" w:hAnsiTheme="minorEastAsia" w:eastAsiaTheme="minorEastAsia" w:cstheme="minorEastAsia"/>
                <w:color w:val="auto"/>
                <w:sz w:val="30"/>
                <w:szCs w:val="30"/>
                <w:highlight w:val="none"/>
              </w:rPr>
            </w:pPr>
          </w:p>
        </w:tc>
        <w:tc>
          <w:tcPr>
            <w:tcW w:w="4961" w:type="dxa"/>
          </w:tcPr>
          <w:p w14:paraId="00F6B597">
            <w:pPr>
              <w:spacing w:line="360" w:lineRule="auto"/>
              <w:rPr>
                <w:rFonts w:asciiTheme="minorEastAsia" w:hAnsiTheme="minorEastAsia" w:eastAsiaTheme="minorEastAsia" w:cstheme="minorEastAsia"/>
                <w:color w:val="auto"/>
                <w:sz w:val="30"/>
                <w:szCs w:val="30"/>
                <w:highlight w:val="none"/>
              </w:rPr>
            </w:pPr>
          </w:p>
        </w:tc>
      </w:tr>
    </w:tbl>
    <w:p w14:paraId="0C81FF22">
      <w:pPr>
        <w:snapToGrid w:val="0"/>
        <w:spacing w:beforeLines="50" w:after="50" w:line="460" w:lineRule="exact"/>
        <w:rPr>
          <w:rFonts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color w:val="auto"/>
          <w:sz w:val="24"/>
          <w:highlight w:val="none"/>
        </w:rPr>
        <w:t xml:space="preserve">                                            </w:t>
      </w:r>
      <w:r>
        <w:rPr>
          <w:rFonts w:hint="eastAsia" w:asciiTheme="minorEastAsia" w:hAnsiTheme="minorEastAsia" w:eastAsiaTheme="minorEastAsia" w:cstheme="minorEastAsia"/>
          <w:b/>
          <w:bCs/>
          <w:color w:val="auto"/>
          <w:sz w:val="24"/>
          <w:highlight w:val="none"/>
        </w:rPr>
        <w:t>投标人:(公章)</w:t>
      </w:r>
    </w:p>
    <w:p w14:paraId="441AA6DC">
      <w:pPr>
        <w:snapToGrid w:val="0"/>
        <w:spacing w:beforeLines="50" w:after="50"/>
        <w:jc w:val="center"/>
        <w:rPr>
          <w:rFonts w:asciiTheme="minorEastAsia" w:hAnsiTheme="minorEastAsia" w:eastAsiaTheme="minorEastAsia" w:cstheme="minorEastAsia"/>
          <w:b/>
          <w:color w:val="auto"/>
          <w:sz w:val="24"/>
          <w:szCs w:val="20"/>
          <w:highlight w:val="none"/>
        </w:rPr>
      </w:pPr>
      <w:r>
        <w:rPr>
          <w:rFonts w:hint="eastAsia" w:asciiTheme="minorEastAsia" w:hAnsiTheme="minorEastAsia" w:eastAsiaTheme="minorEastAsia" w:cstheme="minorEastAsia"/>
          <w:b/>
          <w:color w:val="auto"/>
          <w:sz w:val="24"/>
          <w:highlight w:val="none"/>
        </w:rPr>
        <w:t xml:space="preserve">                                        日期：  _____年___月___日</w:t>
      </w:r>
    </w:p>
    <w:p w14:paraId="3599C9DD">
      <w:pPr>
        <w:snapToGrid w:val="0"/>
        <w:spacing w:beforeLines="50" w:after="50" w:line="46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7.服务内容响应表格式：</w:t>
      </w:r>
    </w:p>
    <w:p w14:paraId="41D3AD8A">
      <w:pPr>
        <w:snapToGrid w:val="0"/>
        <w:spacing w:beforeLines="50" w:after="50" w:line="360" w:lineRule="auto"/>
        <w:jc w:val="center"/>
        <w:rPr>
          <w:rFonts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服务内容响应表</w:t>
      </w:r>
    </w:p>
    <w:p w14:paraId="75FAE866">
      <w:pPr>
        <w:snapToGrid w:val="0"/>
        <w:spacing w:beforeLines="50" w:after="50" w:line="360" w:lineRule="auto"/>
        <w:rPr>
          <w:rFonts w:asciiTheme="minorEastAsia" w:hAnsiTheme="minorEastAsia" w:eastAsiaTheme="minorEastAsia" w:cstheme="minorEastAsia"/>
          <w:bCs/>
          <w:color w:val="auto"/>
          <w:sz w:val="24"/>
          <w:szCs w:val="20"/>
          <w:highlight w:val="none"/>
        </w:rPr>
      </w:pPr>
      <w:r>
        <w:rPr>
          <w:rFonts w:hint="eastAsia" w:asciiTheme="minorEastAsia" w:hAnsiTheme="minorEastAsia" w:eastAsiaTheme="minorEastAsia" w:cstheme="minorEastAsia"/>
          <w:bCs/>
          <w:color w:val="auto"/>
          <w:sz w:val="24"/>
          <w:highlight w:val="none"/>
        </w:rPr>
        <w:t>项目名称：</w:t>
      </w:r>
    </w:p>
    <w:p w14:paraId="54AA85AB">
      <w:pPr>
        <w:snapToGrid w:val="0"/>
        <w:spacing w:beforeLines="50" w:after="50" w:line="360" w:lineRule="auto"/>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项目编号：</w:t>
      </w:r>
    </w:p>
    <w:tbl>
      <w:tblPr>
        <w:tblStyle w:val="52"/>
        <w:tblW w:w="0" w:type="auto"/>
        <w:tblInd w:w="93" w:type="dxa"/>
        <w:tblLayout w:type="fixed"/>
        <w:tblCellMar>
          <w:top w:w="0" w:type="dxa"/>
          <w:left w:w="108" w:type="dxa"/>
          <w:bottom w:w="0" w:type="dxa"/>
          <w:right w:w="108" w:type="dxa"/>
        </w:tblCellMar>
      </w:tblPr>
      <w:tblGrid>
        <w:gridCol w:w="1036"/>
        <w:gridCol w:w="2552"/>
        <w:gridCol w:w="3544"/>
        <w:gridCol w:w="1417"/>
      </w:tblGrid>
      <w:tr w14:paraId="544FA560">
        <w:tblPrEx>
          <w:tblCellMar>
            <w:top w:w="0" w:type="dxa"/>
            <w:left w:w="108" w:type="dxa"/>
            <w:bottom w:w="0" w:type="dxa"/>
            <w:right w:w="108" w:type="dxa"/>
          </w:tblCellMar>
        </w:tblPrEx>
        <w:trPr>
          <w:trHeight w:val="435" w:hRule="atLeast"/>
        </w:trPr>
        <w:tc>
          <w:tcPr>
            <w:tcW w:w="1036"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65612412">
            <w:pPr>
              <w:widowControl/>
              <w:jc w:val="center"/>
              <w:rPr>
                <w:rFonts w:asciiTheme="minorEastAsia" w:hAnsiTheme="minorEastAsia" w:eastAsiaTheme="minorEastAsia" w:cstheme="minorEastAsia"/>
                <w:b/>
                <w:color w:val="auto"/>
                <w:kern w:val="0"/>
                <w:sz w:val="24"/>
                <w:highlight w:val="none"/>
              </w:rPr>
            </w:pPr>
            <w:r>
              <w:rPr>
                <w:rFonts w:hint="eastAsia" w:asciiTheme="minorEastAsia" w:hAnsiTheme="minorEastAsia" w:eastAsiaTheme="minorEastAsia" w:cstheme="minorEastAsia"/>
                <w:b/>
                <w:color w:val="auto"/>
                <w:kern w:val="0"/>
                <w:sz w:val="24"/>
                <w:highlight w:val="none"/>
              </w:rPr>
              <w:t>序号</w:t>
            </w:r>
          </w:p>
        </w:tc>
        <w:tc>
          <w:tcPr>
            <w:tcW w:w="2552"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108EAB83">
            <w:pPr>
              <w:widowControl/>
              <w:jc w:val="center"/>
              <w:rPr>
                <w:rFonts w:asciiTheme="minorEastAsia" w:hAnsiTheme="minorEastAsia" w:eastAsiaTheme="minorEastAsia" w:cstheme="minorEastAsia"/>
                <w:b/>
                <w:color w:val="auto"/>
                <w:kern w:val="0"/>
                <w:sz w:val="24"/>
                <w:highlight w:val="none"/>
              </w:rPr>
            </w:pPr>
            <w:r>
              <w:rPr>
                <w:rFonts w:hint="eastAsia" w:asciiTheme="minorEastAsia" w:hAnsiTheme="minorEastAsia" w:eastAsiaTheme="minorEastAsia" w:cstheme="minorEastAsia"/>
                <w:b/>
                <w:color w:val="auto"/>
                <w:kern w:val="0"/>
                <w:sz w:val="24"/>
                <w:highlight w:val="none"/>
              </w:rPr>
              <w:t>服务项目</w:t>
            </w:r>
          </w:p>
        </w:tc>
        <w:tc>
          <w:tcPr>
            <w:tcW w:w="3544"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3DC63DA4">
            <w:pPr>
              <w:widowControl/>
              <w:jc w:val="center"/>
              <w:rPr>
                <w:rFonts w:asciiTheme="minorEastAsia" w:hAnsiTheme="minorEastAsia" w:eastAsiaTheme="minorEastAsia" w:cstheme="minorEastAsia"/>
                <w:b/>
                <w:color w:val="auto"/>
                <w:kern w:val="0"/>
                <w:sz w:val="24"/>
                <w:highlight w:val="none"/>
              </w:rPr>
            </w:pPr>
            <w:r>
              <w:rPr>
                <w:rFonts w:hint="eastAsia" w:asciiTheme="minorEastAsia" w:hAnsiTheme="minorEastAsia" w:eastAsiaTheme="minorEastAsia" w:cstheme="minorEastAsia"/>
                <w:b/>
                <w:color w:val="auto"/>
                <w:kern w:val="0"/>
                <w:sz w:val="24"/>
                <w:highlight w:val="none"/>
              </w:rPr>
              <w:t>投标人服务响应情况</w:t>
            </w:r>
          </w:p>
        </w:tc>
        <w:tc>
          <w:tcPr>
            <w:tcW w:w="1417" w:type="dxa"/>
            <w:vMerge w:val="restart"/>
            <w:tcBorders>
              <w:top w:val="single" w:color="000000" w:sz="4" w:space="0"/>
              <w:left w:val="single" w:color="auto" w:sz="4" w:space="0"/>
              <w:bottom w:val="single" w:color="000000" w:sz="4" w:space="0"/>
              <w:right w:val="single" w:color="000000" w:sz="4" w:space="0"/>
            </w:tcBorders>
            <w:shd w:val="clear" w:color="auto" w:fill="FFFFFF"/>
            <w:vAlign w:val="center"/>
          </w:tcPr>
          <w:p w14:paraId="4AE009CE">
            <w:pPr>
              <w:widowControl/>
              <w:jc w:val="center"/>
              <w:rPr>
                <w:rFonts w:asciiTheme="minorEastAsia" w:hAnsiTheme="minorEastAsia" w:eastAsiaTheme="minorEastAsia" w:cstheme="minorEastAsia"/>
                <w:b/>
                <w:color w:val="auto"/>
                <w:kern w:val="0"/>
                <w:sz w:val="24"/>
                <w:highlight w:val="none"/>
              </w:rPr>
            </w:pPr>
            <w:r>
              <w:rPr>
                <w:rFonts w:hint="eastAsia" w:asciiTheme="minorEastAsia" w:hAnsiTheme="minorEastAsia" w:eastAsiaTheme="minorEastAsia" w:cstheme="minorEastAsia"/>
                <w:b/>
                <w:color w:val="auto"/>
                <w:kern w:val="0"/>
                <w:sz w:val="24"/>
                <w:highlight w:val="none"/>
              </w:rPr>
              <w:t>备注</w:t>
            </w:r>
          </w:p>
        </w:tc>
      </w:tr>
      <w:tr w14:paraId="5833470F">
        <w:tblPrEx>
          <w:tblCellMar>
            <w:top w:w="0" w:type="dxa"/>
            <w:left w:w="108" w:type="dxa"/>
            <w:bottom w:w="0" w:type="dxa"/>
            <w:right w:w="108" w:type="dxa"/>
          </w:tblCellMar>
        </w:tblPrEx>
        <w:trPr>
          <w:trHeight w:val="311" w:hRule="atLeast"/>
        </w:trPr>
        <w:tc>
          <w:tcPr>
            <w:tcW w:w="1036" w:type="dxa"/>
            <w:vMerge w:val="continue"/>
            <w:tcBorders>
              <w:top w:val="single" w:color="000000" w:sz="4" w:space="0"/>
              <w:left w:val="single" w:color="000000" w:sz="4" w:space="0"/>
              <w:bottom w:val="single" w:color="000000" w:sz="4" w:space="0"/>
              <w:right w:val="single" w:color="000000" w:sz="4" w:space="0"/>
            </w:tcBorders>
            <w:vAlign w:val="center"/>
          </w:tcPr>
          <w:p w14:paraId="340B4DF5">
            <w:pPr>
              <w:widowControl/>
              <w:jc w:val="left"/>
              <w:rPr>
                <w:rFonts w:asciiTheme="minorEastAsia" w:hAnsiTheme="minorEastAsia" w:eastAsiaTheme="minorEastAsia" w:cstheme="minorEastAsia"/>
                <w:color w:val="auto"/>
                <w:kern w:val="0"/>
                <w:sz w:val="24"/>
                <w:highlight w:val="none"/>
              </w:rPr>
            </w:pPr>
          </w:p>
        </w:tc>
        <w:tc>
          <w:tcPr>
            <w:tcW w:w="2552" w:type="dxa"/>
            <w:vMerge w:val="continue"/>
            <w:tcBorders>
              <w:top w:val="single" w:color="000000" w:sz="4" w:space="0"/>
              <w:left w:val="single" w:color="000000" w:sz="4" w:space="0"/>
              <w:bottom w:val="single" w:color="000000" w:sz="4" w:space="0"/>
              <w:right w:val="single" w:color="000000" w:sz="4" w:space="0"/>
            </w:tcBorders>
            <w:vAlign w:val="center"/>
          </w:tcPr>
          <w:p w14:paraId="7FF6DA88">
            <w:pPr>
              <w:widowControl/>
              <w:jc w:val="left"/>
              <w:rPr>
                <w:rFonts w:asciiTheme="minorEastAsia" w:hAnsiTheme="minorEastAsia" w:eastAsiaTheme="minorEastAsia" w:cstheme="minorEastAsia"/>
                <w:color w:val="auto"/>
                <w:kern w:val="0"/>
                <w:sz w:val="24"/>
                <w:highlight w:val="none"/>
              </w:rPr>
            </w:pPr>
          </w:p>
        </w:tc>
        <w:tc>
          <w:tcPr>
            <w:tcW w:w="3544" w:type="dxa"/>
            <w:vMerge w:val="continue"/>
            <w:tcBorders>
              <w:top w:val="single" w:color="000000" w:sz="4" w:space="0"/>
              <w:left w:val="single" w:color="000000" w:sz="4" w:space="0"/>
              <w:bottom w:val="single" w:color="000000" w:sz="4" w:space="0"/>
              <w:right w:val="single" w:color="000000" w:sz="4" w:space="0"/>
            </w:tcBorders>
            <w:vAlign w:val="center"/>
          </w:tcPr>
          <w:p w14:paraId="6912CBE0">
            <w:pPr>
              <w:widowControl/>
              <w:jc w:val="left"/>
              <w:rPr>
                <w:rFonts w:asciiTheme="minorEastAsia" w:hAnsiTheme="minorEastAsia" w:eastAsiaTheme="minorEastAsia" w:cstheme="minorEastAsia"/>
                <w:color w:val="auto"/>
                <w:kern w:val="0"/>
                <w:sz w:val="24"/>
                <w:highlight w:val="none"/>
              </w:rPr>
            </w:pPr>
          </w:p>
        </w:tc>
        <w:tc>
          <w:tcPr>
            <w:tcW w:w="1417" w:type="dxa"/>
            <w:vMerge w:val="continue"/>
            <w:tcBorders>
              <w:top w:val="single" w:color="000000" w:sz="4" w:space="0"/>
              <w:left w:val="single" w:color="auto" w:sz="4" w:space="0"/>
              <w:bottom w:val="single" w:color="000000" w:sz="4" w:space="0"/>
              <w:right w:val="single" w:color="000000" w:sz="4" w:space="0"/>
            </w:tcBorders>
            <w:vAlign w:val="center"/>
          </w:tcPr>
          <w:p w14:paraId="750F653C">
            <w:pPr>
              <w:widowControl/>
              <w:jc w:val="left"/>
              <w:rPr>
                <w:rFonts w:asciiTheme="minorEastAsia" w:hAnsiTheme="minorEastAsia" w:eastAsiaTheme="minorEastAsia" w:cstheme="minorEastAsia"/>
                <w:color w:val="auto"/>
                <w:kern w:val="0"/>
                <w:sz w:val="24"/>
                <w:highlight w:val="none"/>
              </w:rPr>
            </w:pPr>
          </w:p>
        </w:tc>
      </w:tr>
      <w:tr w14:paraId="12604F53">
        <w:tblPrEx>
          <w:tblCellMar>
            <w:top w:w="0" w:type="dxa"/>
            <w:left w:w="108" w:type="dxa"/>
            <w:bottom w:w="0" w:type="dxa"/>
            <w:right w:w="108" w:type="dxa"/>
          </w:tblCellMar>
        </w:tblPrEx>
        <w:trPr>
          <w:trHeight w:val="624" w:hRule="atLeast"/>
        </w:trPr>
        <w:tc>
          <w:tcPr>
            <w:tcW w:w="1036" w:type="dxa"/>
            <w:tcBorders>
              <w:top w:val="nil"/>
              <w:left w:val="single" w:color="000000" w:sz="4" w:space="0"/>
              <w:bottom w:val="single" w:color="000000" w:sz="4" w:space="0"/>
              <w:right w:val="single" w:color="000000" w:sz="4" w:space="0"/>
            </w:tcBorders>
            <w:shd w:val="clear" w:color="auto" w:fill="FFFFFF"/>
            <w:vAlign w:val="center"/>
          </w:tcPr>
          <w:p w14:paraId="59553455">
            <w:pPr>
              <w:widowControl/>
              <w:jc w:val="center"/>
              <w:rPr>
                <w:rFonts w:asciiTheme="minorEastAsia" w:hAnsiTheme="minorEastAsia" w:eastAsiaTheme="minorEastAsia" w:cstheme="minorEastAsia"/>
                <w:color w:val="auto"/>
                <w:kern w:val="0"/>
                <w:sz w:val="24"/>
                <w:highlight w:val="none"/>
              </w:rPr>
            </w:pPr>
            <w:r>
              <w:rPr>
                <w:rFonts w:hint="eastAsia" w:asciiTheme="minorEastAsia" w:hAnsiTheme="minorEastAsia" w:eastAsiaTheme="minorEastAsia" w:cstheme="minorEastAsia"/>
                <w:color w:val="auto"/>
                <w:kern w:val="0"/>
                <w:sz w:val="24"/>
                <w:highlight w:val="none"/>
              </w:rPr>
              <w:t>1</w:t>
            </w:r>
          </w:p>
        </w:tc>
        <w:tc>
          <w:tcPr>
            <w:tcW w:w="2552" w:type="dxa"/>
            <w:tcBorders>
              <w:top w:val="nil"/>
              <w:left w:val="nil"/>
              <w:bottom w:val="single" w:color="000000" w:sz="4" w:space="0"/>
              <w:right w:val="single" w:color="000000" w:sz="4" w:space="0"/>
            </w:tcBorders>
            <w:shd w:val="clear" w:color="auto" w:fill="FFFFFF"/>
            <w:vAlign w:val="center"/>
          </w:tcPr>
          <w:p w14:paraId="17C90BFD">
            <w:pPr>
              <w:widowControl/>
              <w:jc w:val="left"/>
              <w:rPr>
                <w:rFonts w:asciiTheme="minorEastAsia" w:hAnsiTheme="minorEastAsia" w:eastAsiaTheme="minorEastAsia" w:cstheme="minorEastAsia"/>
                <w:color w:val="auto"/>
                <w:kern w:val="0"/>
                <w:sz w:val="24"/>
                <w:highlight w:val="none"/>
              </w:rPr>
            </w:pPr>
          </w:p>
        </w:tc>
        <w:tc>
          <w:tcPr>
            <w:tcW w:w="3544" w:type="dxa"/>
            <w:tcBorders>
              <w:top w:val="nil"/>
              <w:left w:val="nil"/>
              <w:bottom w:val="single" w:color="000000" w:sz="4" w:space="0"/>
              <w:right w:val="single" w:color="000000" w:sz="4" w:space="0"/>
            </w:tcBorders>
            <w:shd w:val="clear" w:color="auto" w:fill="FFFFFF"/>
            <w:vAlign w:val="center"/>
          </w:tcPr>
          <w:p w14:paraId="18A95A08">
            <w:pPr>
              <w:widowControl/>
              <w:jc w:val="center"/>
              <w:rPr>
                <w:rFonts w:asciiTheme="minorEastAsia" w:hAnsiTheme="minorEastAsia" w:eastAsiaTheme="minorEastAsia" w:cstheme="minorEastAsia"/>
                <w:color w:val="auto"/>
                <w:kern w:val="0"/>
                <w:sz w:val="24"/>
                <w:highlight w:val="none"/>
              </w:rPr>
            </w:pPr>
          </w:p>
        </w:tc>
        <w:tc>
          <w:tcPr>
            <w:tcW w:w="1417" w:type="dxa"/>
            <w:tcBorders>
              <w:top w:val="nil"/>
              <w:left w:val="single" w:color="auto" w:sz="4" w:space="0"/>
              <w:bottom w:val="single" w:color="000000" w:sz="4" w:space="0"/>
              <w:right w:val="single" w:color="000000" w:sz="4" w:space="0"/>
            </w:tcBorders>
            <w:shd w:val="clear" w:color="auto" w:fill="FFFFFF"/>
            <w:vAlign w:val="center"/>
          </w:tcPr>
          <w:p w14:paraId="30A529FD">
            <w:pPr>
              <w:widowControl/>
              <w:jc w:val="center"/>
              <w:rPr>
                <w:rFonts w:asciiTheme="minorEastAsia" w:hAnsiTheme="minorEastAsia" w:eastAsiaTheme="minorEastAsia" w:cstheme="minorEastAsia"/>
                <w:color w:val="auto"/>
                <w:kern w:val="0"/>
                <w:sz w:val="24"/>
                <w:highlight w:val="none"/>
              </w:rPr>
            </w:pPr>
          </w:p>
        </w:tc>
      </w:tr>
      <w:tr w14:paraId="2AA5E598">
        <w:tblPrEx>
          <w:tblCellMar>
            <w:top w:w="0" w:type="dxa"/>
            <w:left w:w="108" w:type="dxa"/>
            <w:bottom w:w="0" w:type="dxa"/>
            <w:right w:w="108" w:type="dxa"/>
          </w:tblCellMar>
        </w:tblPrEx>
        <w:trPr>
          <w:trHeight w:val="624" w:hRule="atLeast"/>
        </w:trPr>
        <w:tc>
          <w:tcPr>
            <w:tcW w:w="1036" w:type="dxa"/>
            <w:tcBorders>
              <w:top w:val="nil"/>
              <w:left w:val="single" w:color="000000" w:sz="4" w:space="0"/>
              <w:bottom w:val="single" w:color="000000" w:sz="4" w:space="0"/>
              <w:right w:val="single" w:color="000000" w:sz="4" w:space="0"/>
            </w:tcBorders>
            <w:shd w:val="clear" w:color="auto" w:fill="FFFFFF"/>
            <w:vAlign w:val="center"/>
          </w:tcPr>
          <w:p w14:paraId="584CBEAF">
            <w:pPr>
              <w:widowControl/>
              <w:jc w:val="center"/>
              <w:rPr>
                <w:rFonts w:asciiTheme="minorEastAsia" w:hAnsiTheme="minorEastAsia" w:eastAsiaTheme="minorEastAsia" w:cstheme="minorEastAsia"/>
                <w:color w:val="auto"/>
                <w:kern w:val="0"/>
                <w:sz w:val="24"/>
                <w:highlight w:val="none"/>
              </w:rPr>
            </w:pPr>
            <w:r>
              <w:rPr>
                <w:rFonts w:hint="eastAsia" w:asciiTheme="minorEastAsia" w:hAnsiTheme="minorEastAsia" w:eastAsiaTheme="minorEastAsia" w:cstheme="minorEastAsia"/>
                <w:color w:val="auto"/>
                <w:kern w:val="0"/>
                <w:sz w:val="24"/>
                <w:highlight w:val="none"/>
              </w:rPr>
              <w:t>2</w:t>
            </w:r>
          </w:p>
        </w:tc>
        <w:tc>
          <w:tcPr>
            <w:tcW w:w="2552" w:type="dxa"/>
            <w:tcBorders>
              <w:top w:val="nil"/>
              <w:left w:val="nil"/>
              <w:bottom w:val="single" w:color="000000" w:sz="4" w:space="0"/>
              <w:right w:val="single" w:color="000000" w:sz="4" w:space="0"/>
            </w:tcBorders>
            <w:shd w:val="clear" w:color="auto" w:fill="FFFFFF"/>
            <w:vAlign w:val="center"/>
          </w:tcPr>
          <w:p w14:paraId="287A676A">
            <w:pPr>
              <w:widowControl/>
              <w:jc w:val="left"/>
              <w:rPr>
                <w:rFonts w:asciiTheme="minorEastAsia" w:hAnsiTheme="minorEastAsia" w:eastAsiaTheme="minorEastAsia" w:cstheme="minorEastAsia"/>
                <w:color w:val="auto"/>
                <w:kern w:val="0"/>
                <w:sz w:val="24"/>
                <w:highlight w:val="none"/>
              </w:rPr>
            </w:pPr>
          </w:p>
        </w:tc>
        <w:tc>
          <w:tcPr>
            <w:tcW w:w="3544" w:type="dxa"/>
            <w:tcBorders>
              <w:top w:val="nil"/>
              <w:left w:val="nil"/>
              <w:bottom w:val="single" w:color="000000" w:sz="4" w:space="0"/>
              <w:right w:val="single" w:color="000000" w:sz="4" w:space="0"/>
            </w:tcBorders>
            <w:shd w:val="clear" w:color="auto" w:fill="FFFFFF"/>
            <w:vAlign w:val="center"/>
          </w:tcPr>
          <w:p w14:paraId="1671C523">
            <w:pPr>
              <w:widowControl/>
              <w:jc w:val="center"/>
              <w:rPr>
                <w:rFonts w:asciiTheme="minorEastAsia" w:hAnsiTheme="minorEastAsia" w:eastAsiaTheme="minorEastAsia" w:cstheme="minorEastAsia"/>
                <w:color w:val="auto"/>
                <w:kern w:val="0"/>
                <w:sz w:val="24"/>
                <w:highlight w:val="none"/>
              </w:rPr>
            </w:pPr>
          </w:p>
        </w:tc>
        <w:tc>
          <w:tcPr>
            <w:tcW w:w="1417" w:type="dxa"/>
            <w:tcBorders>
              <w:top w:val="nil"/>
              <w:left w:val="single" w:color="auto" w:sz="4" w:space="0"/>
              <w:bottom w:val="single" w:color="000000" w:sz="4" w:space="0"/>
              <w:right w:val="single" w:color="000000" w:sz="4" w:space="0"/>
            </w:tcBorders>
            <w:shd w:val="clear" w:color="auto" w:fill="FFFFFF"/>
            <w:vAlign w:val="center"/>
          </w:tcPr>
          <w:p w14:paraId="50E97AD9">
            <w:pPr>
              <w:widowControl/>
              <w:jc w:val="center"/>
              <w:rPr>
                <w:rFonts w:asciiTheme="minorEastAsia" w:hAnsiTheme="minorEastAsia" w:eastAsiaTheme="minorEastAsia" w:cstheme="minorEastAsia"/>
                <w:color w:val="auto"/>
                <w:kern w:val="0"/>
                <w:sz w:val="24"/>
                <w:highlight w:val="none"/>
              </w:rPr>
            </w:pPr>
          </w:p>
        </w:tc>
      </w:tr>
      <w:tr w14:paraId="6CAE19A9">
        <w:tblPrEx>
          <w:tblCellMar>
            <w:top w:w="0" w:type="dxa"/>
            <w:left w:w="108" w:type="dxa"/>
            <w:bottom w:w="0" w:type="dxa"/>
            <w:right w:w="108" w:type="dxa"/>
          </w:tblCellMar>
        </w:tblPrEx>
        <w:trPr>
          <w:trHeight w:val="624" w:hRule="atLeast"/>
        </w:trPr>
        <w:tc>
          <w:tcPr>
            <w:tcW w:w="1036" w:type="dxa"/>
            <w:tcBorders>
              <w:top w:val="nil"/>
              <w:left w:val="single" w:color="000000" w:sz="4" w:space="0"/>
              <w:bottom w:val="single" w:color="000000" w:sz="4" w:space="0"/>
              <w:right w:val="single" w:color="000000" w:sz="4" w:space="0"/>
            </w:tcBorders>
            <w:shd w:val="clear" w:color="auto" w:fill="FFFFFF"/>
            <w:vAlign w:val="center"/>
          </w:tcPr>
          <w:p w14:paraId="368F1BE9">
            <w:pPr>
              <w:widowControl/>
              <w:jc w:val="center"/>
              <w:rPr>
                <w:rFonts w:asciiTheme="minorEastAsia" w:hAnsiTheme="minorEastAsia" w:eastAsiaTheme="minorEastAsia" w:cstheme="minorEastAsia"/>
                <w:color w:val="auto"/>
                <w:kern w:val="0"/>
                <w:sz w:val="24"/>
                <w:highlight w:val="none"/>
              </w:rPr>
            </w:pPr>
            <w:r>
              <w:rPr>
                <w:rFonts w:hint="eastAsia" w:asciiTheme="minorEastAsia" w:hAnsiTheme="minorEastAsia" w:eastAsiaTheme="minorEastAsia" w:cstheme="minorEastAsia"/>
                <w:color w:val="auto"/>
                <w:kern w:val="0"/>
                <w:sz w:val="24"/>
                <w:highlight w:val="none"/>
              </w:rPr>
              <w:t>3</w:t>
            </w:r>
          </w:p>
        </w:tc>
        <w:tc>
          <w:tcPr>
            <w:tcW w:w="2552" w:type="dxa"/>
            <w:tcBorders>
              <w:top w:val="nil"/>
              <w:left w:val="nil"/>
              <w:bottom w:val="single" w:color="000000" w:sz="4" w:space="0"/>
              <w:right w:val="single" w:color="000000" w:sz="4" w:space="0"/>
            </w:tcBorders>
            <w:shd w:val="clear" w:color="auto" w:fill="FFFFFF"/>
            <w:vAlign w:val="center"/>
          </w:tcPr>
          <w:p w14:paraId="1EFF894F">
            <w:pPr>
              <w:widowControl/>
              <w:jc w:val="left"/>
              <w:rPr>
                <w:rFonts w:asciiTheme="minorEastAsia" w:hAnsiTheme="minorEastAsia" w:eastAsiaTheme="minorEastAsia" w:cstheme="minorEastAsia"/>
                <w:color w:val="auto"/>
                <w:kern w:val="0"/>
                <w:sz w:val="24"/>
                <w:highlight w:val="none"/>
              </w:rPr>
            </w:pPr>
          </w:p>
        </w:tc>
        <w:tc>
          <w:tcPr>
            <w:tcW w:w="3544" w:type="dxa"/>
            <w:tcBorders>
              <w:top w:val="nil"/>
              <w:left w:val="nil"/>
              <w:bottom w:val="single" w:color="000000" w:sz="4" w:space="0"/>
              <w:right w:val="single" w:color="000000" w:sz="4" w:space="0"/>
            </w:tcBorders>
            <w:shd w:val="clear" w:color="auto" w:fill="FFFFFF"/>
            <w:vAlign w:val="center"/>
          </w:tcPr>
          <w:p w14:paraId="15463570">
            <w:pPr>
              <w:widowControl/>
              <w:jc w:val="center"/>
              <w:rPr>
                <w:rFonts w:asciiTheme="minorEastAsia" w:hAnsiTheme="minorEastAsia" w:eastAsiaTheme="minorEastAsia" w:cstheme="minorEastAsia"/>
                <w:color w:val="auto"/>
                <w:kern w:val="0"/>
                <w:sz w:val="24"/>
                <w:highlight w:val="none"/>
              </w:rPr>
            </w:pPr>
          </w:p>
        </w:tc>
        <w:tc>
          <w:tcPr>
            <w:tcW w:w="1417" w:type="dxa"/>
            <w:tcBorders>
              <w:top w:val="nil"/>
              <w:left w:val="single" w:color="auto" w:sz="4" w:space="0"/>
              <w:bottom w:val="single" w:color="000000" w:sz="4" w:space="0"/>
              <w:right w:val="single" w:color="000000" w:sz="4" w:space="0"/>
            </w:tcBorders>
            <w:shd w:val="clear" w:color="auto" w:fill="FFFFFF"/>
            <w:vAlign w:val="center"/>
          </w:tcPr>
          <w:p w14:paraId="053EB30B">
            <w:pPr>
              <w:widowControl/>
              <w:jc w:val="center"/>
              <w:rPr>
                <w:rFonts w:asciiTheme="minorEastAsia" w:hAnsiTheme="minorEastAsia" w:eastAsiaTheme="minorEastAsia" w:cstheme="minorEastAsia"/>
                <w:color w:val="auto"/>
                <w:kern w:val="0"/>
                <w:sz w:val="24"/>
                <w:highlight w:val="none"/>
              </w:rPr>
            </w:pPr>
          </w:p>
        </w:tc>
      </w:tr>
      <w:tr w14:paraId="406F6E8F">
        <w:tblPrEx>
          <w:tblCellMar>
            <w:top w:w="0" w:type="dxa"/>
            <w:left w:w="108" w:type="dxa"/>
            <w:bottom w:w="0" w:type="dxa"/>
            <w:right w:w="108" w:type="dxa"/>
          </w:tblCellMar>
        </w:tblPrEx>
        <w:trPr>
          <w:trHeight w:val="624" w:hRule="atLeast"/>
        </w:trPr>
        <w:tc>
          <w:tcPr>
            <w:tcW w:w="1036" w:type="dxa"/>
            <w:tcBorders>
              <w:top w:val="nil"/>
              <w:left w:val="single" w:color="000000" w:sz="4" w:space="0"/>
              <w:bottom w:val="single" w:color="000000" w:sz="4" w:space="0"/>
              <w:right w:val="single" w:color="000000" w:sz="4" w:space="0"/>
            </w:tcBorders>
            <w:shd w:val="clear" w:color="auto" w:fill="FFFFFF"/>
            <w:vAlign w:val="center"/>
          </w:tcPr>
          <w:p w14:paraId="268CF09F">
            <w:pPr>
              <w:widowControl/>
              <w:jc w:val="center"/>
              <w:rPr>
                <w:rFonts w:asciiTheme="minorEastAsia" w:hAnsiTheme="minorEastAsia" w:eastAsiaTheme="minorEastAsia" w:cstheme="minorEastAsia"/>
                <w:color w:val="auto"/>
                <w:kern w:val="0"/>
                <w:sz w:val="24"/>
                <w:highlight w:val="none"/>
              </w:rPr>
            </w:pPr>
            <w:r>
              <w:rPr>
                <w:rFonts w:hint="eastAsia" w:asciiTheme="minorEastAsia" w:hAnsiTheme="minorEastAsia" w:eastAsiaTheme="minorEastAsia" w:cstheme="minorEastAsia"/>
                <w:color w:val="auto"/>
                <w:kern w:val="0"/>
                <w:sz w:val="24"/>
                <w:highlight w:val="none"/>
              </w:rPr>
              <w:t>4</w:t>
            </w:r>
          </w:p>
        </w:tc>
        <w:tc>
          <w:tcPr>
            <w:tcW w:w="2552" w:type="dxa"/>
            <w:tcBorders>
              <w:top w:val="nil"/>
              <w:left w:val="nil"/>
              <w:bottom w:val="single" w:color="000000" w:sz="4" w:space="0"/>
              <w:right w:val="single" w:color="000000" w:sz="4" w:space="0"/>
            </w:tcBorders>
            <w:shd w:val="clear" w:color="auto" w:fill="FFFFFF"/>
            <w:vAlign w:val="center"/>
          </w:tcPr>
          <w:p w14:paraId="206E4716">
            <w:pPr>
              <w:widowControl/>
              <w:jc w:val="left"/>
              <w:rPr>
                <w:rFonts w:asciiTheme="minorEastAsia" w:hAnsiTheme="minorEastAsia" w:eastAsiaTheme="minorEastAsia" w:cstheme="minorEastAsia"/>
                <w:color w:val="auto"/>
                <w:kern w:val="0"/>
                <w:sz w:val="24"/>
                <w:highlight w:val="none"/>
              </w:rPr>
            </w:pPr>
          </w:p>
        </w:tc>
        <w:tc>
          <w:tcPr>
            <w:tcW w:w="3544" w:type="dxa"/>
            <w:tcBorders>
              <w:top w:val="nil"/>
              <w:left w:val="nil"/>
              <w:bottom w:val="single" w:color="000000" w:sz="4" w:space="0"/>
              <w:right w:val="single" w:color="000000" w:sz="4" w:space="0"/>
            </w:tcBorders>
            <w:shd w:val="clear" w:color="auto" w:fill="FFFFFF"/>
            <w:vAlign w:val="center"/>
          </w:tcPr>
          <w:p w14:paraId="24C07863">
            <w:pPr>
              <w:widowControl/>
              <w:jc w:val="center"/>
              <w:rPr>
                <w:rFonts w:asciiTheme="minorEastAsia" w:hAnsiTheme="minorEastAsia" w:eastAsiaTheme="minorEastAsia" w:cstheme="minorEastAsia"/>
                <w:color w:val="auto"/>
                <w:kern w:val="0"/>
                <w:sz w:val="24"/>
                <w:highlight w:val="none"/>
              </w:rPr>
            </w:pPr>
          </w:p>
        </w:tc>
        <w:tc>
          <w:tcPr>
            <w:tcW w:w="1417" w:type="dxa"/>
            <w:tcBorders>
              <w:top w:val="nil"/>
              <w:left w:val="single" w:color="auto" w:sz="4" w:space="0"/>
              <w:bottom w:val="single" w:color="000000" w:sz="4" w:space="0"/>
              <w:right w:val="single" w:color="000000" w:sz="4" w:space="0"/>
            </w:tcBorders>
            <w:shd w:val="clear" w:color="auto" w:fill="FFFFFF"/>
            <w:vAlign w:val="center"/>
          </w:tcPr>
          <w:p w14:paraId="6C72BE77">
            <w:pPr>
              <w:widowControl/>
              <w:jc w:val="center"/>
              <w:rPr>
                <w:rFonts w:asciiTheme="minorEastAsia" w:hAnsiTheme="minorEastAsia" w:eastAsiaTheme="minorEastAsia" w:cstheme="minorEastAsia"/>
                <w:color w:val="auto"/>
                <w:kern w:val="0"/>
                <w:sz w:val="24"/>
                <w:highlight w:val="none"/>
              </w:rPr>
            </w:pPr>
          </w:p>
        </w:tc>
      </w:tr>
      <w:tr w14:paraId="36CBE6DF">
        <w:tblPrEx>
          <w:tblCellMar>
            <w:top w:w="0" w:type="dxa"/>
            <w:left w:w="108" w:type="dxa"/>
            <w:bottom w:w="0" w:type="dxa"/>
            <w:right w:w="108" w:type="dxa"/>
          </w:tblCellMar>
        </w:tblPrEx>
        <w:trPr>
          <w:trHeight w:val="624" w:hRule="atLeast"/>
        </w:trPr>
        <w:tc>
          <w:tcPr>
            <w:tcW w:w="1036" w:type="dxa"/>
            <w:tcBorders>
              <w:top w:val="nil"/>
              <w:left w:val="single" w:color="000000" w:sz="4" w:space="0"/>
              <w:bottom w:val="single" w:color="000000" w:sz="4" w:space="0"/>
              <w:right w:val="single" w:color="000000" w:sz="4" w:space="0"/>
            </w:tcBorders>
            <w:shd w:val="clear" w:color="auto" w:fill="FFFFFF"/>
            <w:vAlign w:val="center"/>
          </w:tcPr>
          <w:p w14:paraId="212ED987">
            <w:pPr>
              <w:widowControl/>
              <w:jc w:val="center"/>
              <w:rPr>
                <w:rFonts w:asciiTheme="minorEastAsia" w:hAnsiTheme="minorEastAsia" w:eastAsiaTheme="minorEastAsia" w:cstheme="minorEastAsia"/>
                <w:color w:val="auto"/>
                <w:kern w:val="0"/>
                <w:sz w:val="24"/>
                <w:highlight w:val="none"/>
              </w:rPr>
            </w:pPr>
            <w:r>
              <w:rPr>
                <w:rFonts w:hint="eastAsia" w:asciiTheme="minorEastAsia" w:hAnsiTheme="minorEastAsia" w:eastAsiaTheme="minorEastAsia" w:cstheme="minorEastAsia"/>
                <w:color w:val="auto"/>
                <w:kern w:val="0"/>
                <w:sz w:val="24"/>
                <w:highlight w:val="none"/>
              </w:rPr>
              <w:t>5</w:t>
            </w:r>
          </w:p>
        </w:tc>
        <w:tc>
          <w:tcPr>
            <w:tcW w:w="2552" w:type="dxa"/>
            <w:tcBorders>
              <w:top w:val="nil"/>
              <w:left w:val="nil"/>
              <w:bottom w:val="single" w:color="000000" w:sz="4" w:space="0"/>
              <w:right w:val="single" w:color="000000" w:sz="4" w:space="0"/>
            </w:tcBorders>
            <w:shd w:val="clear" w:color="auto" w:fill="FFFFFF"/>
            <w:vAlign w:val="center"/>
          </w:tcPr>
          <w:p w14:paraId="176E7A41">
            <w:pPr>
              <w:widowControl/>
              <w:jc w:val="left"/>
              <w:rPr>
                <w:rFonts w:asciiTheme="minorEastAsia" w:hAnsiTheme="minorEastAsia" w:eastAsiaTheme="minorEastAsia" w:cstheme="minorEastAsia"/>
                <w:color w:val="auto"/>
                <w:kern w:val="0"/>
                <w:sz w:val="24"/>
                <w:highlight w:val="none"/>
              </w:rPr>
            </w:pPr>
          </w:p>
        </w:tc>
        <w:tc>
          <w:tcPr>
            <w:tcW w:w="3544" w:type="dxa"/>
            <w:tcBorders>
              <w:top w:val="nil"/>
              <w:left w:val="nil"/>
              <w:bottom w:val="single" w:color="000000" w:sz="4" w:space="0"/>
              <w:right w:val="single" w:color="000000" w:sz="4" w:space="0"/>
            </w:tcBorders>
            <w:shd w:val="clear" w:color="auto" w:fill="FFFFFF"/>
            <w:vAlign w:val="center"/>
          </w:tcPr>
          <w:p w14:paraId="39584067">
            <w:pPr>
              <w:widowControl/>
              <w:jc w:val="center"/>
              <w:rPr>
                <w:rFonts w:asciiTheme="minorEastAsia" w:hAnsiTheme="minorEastAsia" w:eastAsiaTheme="minorEastAsia" w:cstheme="minorEastAsia"/>
                <w:color w:val="auto"/>
                <w:kern w:val="0"/>
                <w:sz w:val="24"/>
                <w:highlight w:val="none"/>
              </w:rPr>
            </w:pPr>
          </w:p>
        </w:tc>
        <w:tc>
          <w:tcPr>
            <w:tcW w:w="1417" w:type="dxa"/>
            <w:tcBorders>
              <w:top w:val="nil"/>
              <w:left w:val="single" w:color="auto" w:sz="4" w:space="0"/>
              <w:bottom w:val="single" w:color="000000" w:sz="4" w:space="0"/>
              <w:right w:val="single" w:color="000000" w:sz="4" w:space="0"/>
            </w:tcBorders>
            <w:shd w:val="clear" w:color="auto" w:fill="FFFFFF"/>
            <w:vAlign w:val="center"/>
          </w:tcPr>
          <w:p w14:paraId="01D8D0CE">
            <w:pPr>
              <w:widowControl/>
              <w:jc w:val="center"/>
              <w:rPr>
                <w:rFonts w:asciiTheme="minorEastAsia" w:hAnsiTheme="minorEastAsia" w:eastAsiaTheme="minorEastAsia" w:cstheme="minorEastAsia"/>
                <w:color w:val="auto"/>
                <w:kern w:val="0"/>
                <w:sz w:val="24"/>
                <w:highlight w:val="none"/>
              </w:rPr>
            </w:pPr>
          </w:p>
        </w:tc>
      </w:tr>
      <w:tr w14:paraId="4D62E7B2">
        <w:tblPrEx>
          <w:tblCellMar>
            <w:top w:w="0" w:type="dxa"/>
            <w:left w:w="108" w:type="dxa"/>
            <w:bottom w:w="0" w:type="dxa"/>
            <w:right w:w="108" w:type="dxa"/>
          </w:tblCellMar>
        </w:tblPrEx>
        <w:trPr>
          <w:trHeight w:val="624" w:hRule="atLeast"/>
        </w:trPr>
        <w:tc>
          <w:tcPr>
            <w:tcW w:w="1036" w:type="dxa"/>
            <w:tcBorders>
              <w:top w:val="nil"/>
              <w:left w:val="single" w:color="000000" w:sz="4" w:space="0"/>
              <w:bottom w:val="single" w:color="000000" w:sz="4" w:space="0"/>
              <w:right w:val="single" w:color="000000" w:sz="4" w:space="0"/>
            </w:tcBorders>
            <w:shd w:val="clear" w:color="auto" w:fill="FFFFFF"/>
            <w:vAlign w:val="center"/>
          </w:tcPr>
          <w:p w14:paraId="712CA28F">
            <w:pPr>
              <w:widowControl/>
              <w:jc w:val="center"/>
              <w:rPr>
                <w:rFonts w:asciiTheme="minorEastAsia" w:hAnsiTheme="minorEastAsia" w:eastAsiaTheme="minorEastAsia" w:cstheme="minorEastAsia"/>
                <w:color w:val="auto"/>
                <w:kern w:val="0"/>
                <w:sz w:val="24"/>
                <w:highlight w:val="none"/>
              </w:rPr>
            </w:pPr>
            <w:r>
              <w:rPr>
                <w:rFonts w:hint="eastAsia" w:asciiTheme="minorEastAsia" w:hAnsiTheme="minorEastAsia" w:eastAsiaTheme="minorEastAsia" w:cstheme="minorEastAsia"/>
                <w:color w:val="auto"/>
                <w:kern w:val="0"/>
                <w:sz w:val="24"/>
                <w:highlight w:val="none"/>
              </w:rPr>
              <w:t>6</w:t>
            </w:r>
          </w:p>
        </w:tc>
        <w:tc>
          <w:tcPr>
            <w:tcW w:w="2552" w:type="dxa"/>
            <w:tcBorders>
              <w:top w:val="nil"/>
              <w:left w:val="nil"/>
              <w:bottom w:val="single" w:color="000000" w:sz="4" w:space="0"/>
              <w:right w:val="single" w:color="000000" w:sz="4" w:space="0"/>
            </w:tcBorders>
            <w:shd w:val="clear" w:color="auto" w:fill="FFFFFF"/>
            <w:vAlign w:val="center"/>
          </w:tcPr>
          <w:p w14:paraId="3D50854E">
            <w:pPr>
              <w:widowControl/>
              <w:jc w:val="left"/>
              <w:rPr>
                <w:rFonts w:asciiTheme="minorEastAsia" w:hAnsiTheme="minorEastAsia" w:eastAsiaTheme="minorEastAsia" w:cstheme="minorEastAsia"/>
                <w:color w:val="auto"/>
                <w:kern w:val="0"/>
                <w:sz w:val="24"/>
                <w:highlight w:val="none"/>
              </w:rPr>
            </w:pPr>
          </w:p>
        </w:tc>
        <w:tc>
          <w:tcPr>
            <w:tcW w:w="3544" w:type="dxa"/>
            <w:tcBorders>
              <w:top w:val="nil"/>
              <w:left w:val="nil"/>
              <w:bottom w:val="single" w:color="000000" w:sz="4" w:space="0"/>
              <w:right w:val="single" w:color="000000" w:sz="4" w:space="0"/>
            </w:tcBorders>
            <w:shd w:val="clear" w:color="auto" w:fill="FFFFFF"/>
            <w:vAlign w:val="center"/>
          </w:tcPr>
          <w:p w14:paraId="722A9EE4">
            <w:pPr>
              <w:widowControl/>
              <w:jc w:val="center"/>
              <w:rPr>
                <w:rFonts w:asciiTheme="minorEastAsia" w:hAnsiTheme="minorEastAsia" w:eastAsiaTheme="minorEastAsia" w:cstheme="minorEastAsia"/>
                <w:color w:val="auto"/>
                <w:kern w:val="0"/>
                <w:sz w:val="24"/>
                <w:highlight w:val="none"/>
              </w:rPr>
            </w:pPr>
          </w:p>
        </w:tc>
        <w:tc>
          <w:tcPr>
            <w:tcW w:w="1417" w:type="dxa"/>
            <w:tcBorders>
              <w:top w:val="nil"/>
              <w:left w:val="single" w:color="auto" w:sz="4" w:space="0"/>
              <w:bottom w:val="single" w:color="000000" w:sz="4" w:space="0"/>
              <w:right w:val="single" w:color="000000" w:sz="4" w:space="0"/>
            </w:tcBorders>
            <w:shd w:val="clear" w:color="auto" w:fill="FFFFFF"/>
            <w:vAlign w:val="center"/>
          </w:tcPr>
          <w:p w14:paraId="6FBE0737">
            <w:pPr>
              <w:widowControl/>
              <w:jc w:val="center"/>
              <w:rPr>
                <w:rFonts w:asciiTheme="minorEastAsia" w:hAnsiTheme="minorEastAsia" w:eastAsiaTheme="minorEastAsia" w:cstheme="minorEastAsia"/>
                <w:color w:val="auto"/>
                <w:kern w:val="0"/>
                <w:sz w:val="24"/>
                <w:highlight w:val="none"/>
              </w:rPr>
            </w:pPr>
          </w:p>
        </w:tc>
      </w:tr>
      <w:tr w14:paraId="241EDF12">
        <w:tblPrEx>
          <w:tblCellMar>
            <w:top w:w="0" w:type="dxa"/>
            <w:left w:w="108" w:type="dxa"/>
            <w:bottom w:w="0" w:type="dxa"/>
            <w:right w:w="108" w:type="dxa"/>
          </w:tblCellMar>
        </w:tblPrEx>
        <w:trPr>
          <w:trHeight w:val="624" w:hRule="atLeast"/>
        </w:trPr>
        <w:tc>
          <w:tcPr>
            <w:tcW w:w="1036" w:type="dxa"/>
            <w:tcBorders>
              <w:top w:val="nil"/>
              <w:left w:val="single" w:color="000000" w:sz="4" w:space="0"/>
              <w:bottom w:val="single" w:color="000000" w:sz="4" w:space="0"/>
              <w:right w:val="single" w:color="000000" w:sz="4" w:space="0"/>
            </w:tcBorders>
            <w:shd w:val="clear" w:color="auto" w:fill="FFFFFF"/>
            <w:vAlign w:val="center"/>
          </w:tcPr>
          <w:p w14:paraId="558D6C65">
            <w:pPr>
              <w:widowControl/>
              <w:jc w:val="center"/>
              <w:rPr>
                <w:rFonts w:asciiTheme="minorEastAsia" w:hAnsiTheme="minorEastAsia" w:eastAsiaTheme="minorEastAsia" w:cstheme="minorEastAsia"/>
                <w:color w:val="auto"/>
                <w:kern w:val="0"/>
                <w:sz w:val="24"/>
                <w:highlight w:val="none"/>
              </w:rPr>
            </w:pPr>
            <w:r>
              <w:rPr>
                <w:rFonts w:hint="eastAsia" w:asciiTheme="minorEastAsia" w:hAnsiTheme="minorEastAsia" w:eastAsiaTheme="minorEastAsia" w:cstheme="minorEastAsia"/>
                <w:color w:val="auto"/>
                <w:kern w:val="0"/>
                <w:sz w:val="24"/>
                <w:highlight w:val="none"/>
              </w:rPr>
              <w:t>7</w:t>
            </w:r>
          </w:p>
        </w:tc>
        <w:tc>
          <w:tcPr>
            <w:tcW w:w="2552" w:type="dxa"/>
            <w:tcBorders>
              <w:top w:val="nil"/>
              <w:left w:val="nil"/>
              <w:bottom w:val="single" w:color="000000" w:sz="4" w:space="0"/>
              <w:right w:val="single" w:color="000000" w:sz="4" w:space="0"/>
            </w:tcBorders>
            <w:shd w:val="clear" w:color="auto" w:fill="FFFFFF"/>
            <w:vAlign w:val="center"/>
          </w:tcPr>
          <w:p w14:paraId="24824F60">
            <w:pPr>
              <w:widowControl/>
              <w:jc w:val="left"/>
              <w:rPr>
                <w:rFonts w:asciiTheme="minorEastAsia" w:hAnsiTheme="minorEastAsia" w:eastAsiaTheme="minorEastAsia" w:cstheme="minorEastAsia"/>
                <w:color w:val="auto"/>
                <w:kern w:val="0"/>
                <w:sz w:val="24"/>
                <w:highlight w:val="none"/>
              </w:rPr>
            </w:pPr>
          </w:p>
        </w:tc>
        <w:tc>
          <w:tcPr>
            <w:tcW w:w="3544" w:type="dxa"/>
            <w:tcBorders>
              <w:top w:val="nil"/>
              <w:left w:val="nil"/>
              <w:bottom w:val="single" w:color="000000" w:sz="4" w:space="0"/>
              <w:right w:val="single" w:color="000000" w:sz="4" w:space="0"/>
            </w:tcBorders>
            <w:shd w:val="clear" w:color="auto" w:fill="FFFFFF"/>
            <w:vAlign w:val="center"/>
          </w:tcPr>
          <w:p w14:paraId="2763C137">
            <w:pPr>
              <w:widowControl/>
              <w:jc w:val="center"/>
              <w:rPr>
                <w:rFonts w:asciiTheme="minorEastAsia" w:hAnsiTheme="minorEastAsia" w:eastAsiaTheme="minorEastAsia" w:cstheme="minorEastAsia"/>
                <w:color w:val="auto"/>
                <w:kern w:val="0"/>
                <w:sz w:val="24"/>
                <w:highlight w:val="none"/>
              </w:rPr>
            </w:pPr>
          </w:p>
        </w:tc>
        <w:tc>
          <w:tcPr>
            <w:tcW w:w="1417" w:type="dxa"/>
            <w:tcBorders>
              <w:top w:val="nil"/>
              <w:left w:val="single" w:color="auto" w:sz="4" w:space="0"/>
              <w:bottom w:val="single" w:color="000000" w:sz="4" w:space="0"/>
              <w:right w:val="single" w:color="000000" w:sz="4" w:space="0"/>
            </w:tcBorders>
            <w:shd w:val="clear" w:color="auto" w:fill="FFFFFF"/>
            <w:vAlign w:val="center"/>
          </w:tcPr>
          <w:p w14:paraId="317430F2">
            <w:pPr>
              <w:widowControl/>
              <w:jc w:val="center"/>
              <w:rPr>
                <w:rFonts w:asciiTheme="minorEastAsia" w:hAnsiTheme="minorEastAsia" w:eastAsiaTheme="minorEastAsia" w:cstheme="minorEastAsia"/>
                <w:color w:val="auto"/>
                <w:kern w:val="0"/>
                <w:sz w:val="24"/>
                <w:highlight w:val="none"/>
              </w:rPr>
            </w:pPr>
          </w:p>
        </w:tc>
      </w:tr>
      <w:tr w14:paraId="052BFC9B">
        <w:tblPrEx>
          <w:tblCellMar>
            <w:top w:w="0" w:type="dxa"/>
            <w:left w:w="108" w:type="dxa"/>
            <w:bottom w:w="0" w:type="dxa"/>
            <w:right w:w="108" w:type="dxa"/>
          </w:tblCellMar>
        </w:tblPrEx>
        <w:trPr>
          <w:trHeight w:val="624" w:hRule="atLeast"/>
        </w:trPr>
        <w:tc>
          <w:tcPr>
            <w:tcW w:w="1036" w:type="dxa"/>
            <w:tcBorders>
              <w:top w:val="nil"/>
              <w:left w:val="single" w:color="000000" w:sz="4" w:space="0"/>
              <w:bottom w:val="single" w:color="000000" w:sz="4" w:space="0"/>
              <w:right w:val="single" w:color="000000" w:sz="4" w:space="0"/>
            </w:tcBorders>
            <w:shd w:val="clear" w:color="auto" w:fill="FFFFFF"/>
            <w:vAlign w:val="center"/>
          </w:tcPr>
          <w:p w14:paraId="522EC259">
            <w:pPr>
              <w:widowControl/>
              <w:jc w:val="center"/>
              <w:rPr>
                <w:rFonts w:asciiTheme="minorEastAsia" w:hAnsiTheme="minorEastAsia" w:eastAsiaTheme="minorEastAsia" w:cstheme="minorEastAsia"/>
                <w:color w:val="auto"/>
                <w:kern w:val="0"/>
                <w:sz w:val="24"/>
                <w:highlight w:val="none"/>
              </w:rPr>
            </w:pPr>
            <w:r>
              <w:rPr>
                <w:rFonts w:hint="eastAsia" w:asciiTheme="minorEastAsia" w:hAnsiTheme="minorEastAsia" w:eastAsiaTheme="minorEastAsia" w:cstheme="minorEastAsia"/>
                <w:color w:val="auto"/>
                <w:kern w:val="0"/>
                <w:sz w:val="24"/>
                <w:highlight w:val="none"/>
              </w:rPr>
              <w:t>8</w:t>
            </w:r>
          </w:p>
        </w:tc>
        <w:tc>
          <w:tcPr>
            <w:tcW w:w="2552" w:type="dxa"/>
            <w:tcBorders>
              <w:top w:val="nil"/>
              <w:left w:val="nil"/>
              <w:bottom w:val="single" w:color="000000" w:sz="4" w:space="0"/>
              <w:right w:val="single" w:color="000000" w:sz="4" w:space="0"/>
            </w:tcBorders>
            <w:shd w:val="clear" w:color="auto" w:fill="FFFFFF"/>
            <w:vAlign w:val="center"/>
          </w:tcPr>
          <w:p w14:paraId="1B958CD8">
            <w:pPr>
              <w:widowControl/>
              <w:jc w:val="left"/>
              <w:rPr>
                <w:rFonts w:asciiTheme="minorEastAsia" w:hAnsiTheme="minorEastAsia" w:eastAsiaTheme="minorEastAsia" w:cstheme="minorEastAsia"/>
                <w:color w:val="auto"/>
                <w:kern w:val="0"/>
                <w:sz w:val="24"/>
                <w:highlight w:val="none"/>
              </w:rPr>
            </w:pPr>
          </w:p>
        </w:tc>
        <w:tc>
          <w:tcPr>
            <w:tcW w:w="3544" w:type="dxa"/>
            <w:tcBorders>
              <w:top w:val="nil"/>
              <w:left w:val="nil"/>
              <w:bottom w:val="single" w:color="000000" w:sz="4" w:space="0"/>
              <w:right w:val="single" w:color="000000" w:sz="4" w:space="0"/>
            </w:tcBorders>
            <w:shd w:val="clear" w:color="auto" w:fill="FFFFFF"/>
            <w:vAlign w:val="center"/>
          </w:tcPr>
          <w:p w14:paraId="3C4022F1">
            <w:pPr>
              <w:widowControl/>
              <w:jc w:val="center"/>
              <w:rPr>
                <w:rFonts w:asciiTheme="minorEastAsia" w:hAnsiTheme="minorEastAsia" w:eastAsiaTheme="minorEastAsia" w:cstheme="minorEastAsia"/>
                <w:color w:val="auto"/>
                <w:kern w:val="0"/>
                <w:sz w:val="24"/>
                <w:highlight w:val="none"/>
              </w:rPr>
            </w:pPr>
          </w:p>
        </w:tc>
        <w:tc>
          <w:tcPr>
            <w:tcW w:w="1417" w:type="dxa"/>
            <w:tcBorders>
              <w:top w:val="nil"/>
              <w:left w:val="single" w:color="auto" w:sz="4" w:space="0"/>
              <w:bottom w:val="single" w:color="000000" w:sz="4" w:space="0"/>
              <w:right w:val="single" w:color="000000" w:sz="4" w:space="0"/>
            </w:tcBorders>
            <w:shd w:val="clear" w:color="auto" w:fill="FFFFFF"/>
            <w:vAlign w:val="center"/>
          </w:tcPr>
          <w:p w14:paraId="02C27664">
            <w:pPr>
              <w:widowControl/>
              <w:jc w:val="center"/>
              <w:rPr>
                <w:rFonts w:asciiTheme="minorEastAsia" w:hAnsiTheme="minorEastAsia" w:eastAsiaTheme="minorEastAsia" w:cstheme="minorEastAsia"/>
                <w:color w:val="auto"/>
                <w:kern w:val="0"/>
                <w:sz w:val="24"/>
                <w:highlight w:val="none"/>
              </w:rPr>
            </w:pPr>
          </w:p>
        </w:tc>
      </w:tr>
      <w:tr w14:paraId="76D86468">
        <w:tblPrEx>
          <w:tblCellMar>
            <w:top w:w="0" w:type="dxa"/>
            <w:left w:w="108" w:type="dxa"/>
            <w:bottom w:w="0" w:type="dxa"/>
            <w:right w:w="108" w:type="dxa"/>
          </w:tblCellMar>
        </w:tblPrEx>
        <w:trPr>
          <w:trHeight w:val="624" w:hRule="atLeast"/>
        </w:trPr>
        <w:tc>
          <w:tcPr>
            <w:tcW w:w="1036" w:type="dxa"/>
            <w:tcBorders>
              <w:top w:val="nil"/>
              <w:left w:val="single" w:color="000000" w:sz="4" w:space="0"/>
              <w:bottom w:val="single" w:color="000000" w:sz="4" w:space="0"/>
              <w:right w:val="single" w:color="000000" w:sz="4" w:space="0"/>
            </w:tcBorders>
            <w:shd w:val="clear" w:color="auto" w:fill="FFFFFF"/>
            <w:vAlign w:val="center"/>
          </w:tcPr>
          <w:p w14:paraId="5D438C76">
            <w:pPr>
              <w:widowControl/>
              <w:jc w:val="center"/>
              <w:rPr>
                <w:rFonts w:asciiTheme="minorEastAsia" w:hAnsiTheme="minorEastAsia" w:eastAsiaTheme="minorEastAsia" w:cstheme="minorEastAsia"/>
                <w:color w:val="auto"/>
                <w:kern w:val="0"/>
                <w:sz w:val="24"/>
                <w:highlight w:val="none"/>
              </w:rPr>
            </w:pPr>
            <w:r>
              <w:rPr>
                <w:rFonts w:hint="eastAsia" w:asciiTheme="minorEastAsia" w:hAnsiTheme="minorEastAsia" w:eastAsiaTheme="minorEastAsia" w:cstheme="minorEastAsia"/>
                <w:color w:val="auto"/>
                <w:kern w:val="0"/>
                <w:sz w:val="24"/>
                <w:highlight w:val="none"/>
              </w:rPr>
              <w:t>9</w:t>
            </w:r>
          </w:p>
        </w:tc>
        <w:tc>
          <w:tcPr>
            <w:tcW w:w="2552" w:type="dxa"/>
            <w:tcBorders>
              <w:top w:val="nil"/>
              <w:left w:val="nil"/>
              <w:bottom w:val="single" w:color="000000" w:sz="4" w:space="0"/>
              <w:right w:val="single" w:color="000000" w:sz="4" w:space="0"/>
            </w:tcBorders>
            <w:shd w:val="clear" w:color="auto" w:fill="FFFFFF"/>
            <w:vAlign w:val="center"/>
          </w:tcPr>
          <w:p w14:paraId="55142F54">
            <w:pPr>
              <w:widowControl/>
              <w:jc w:val="left"/>
              <w:rPr>
                <w:rFonts w:asciiTheme="minorEastAsia" w:hAnsiTheme="minorEastAsia" w:eastAsiaTheme="minorEastAsia" w:cstheme="minorEastAsia"/>
                <w:color w:val="auto"/>
                <w:kern w:val="0"/>
                <w:sz w:val="24"/>
                <w:highlight w:val="none"/>
              </w:rPr>
            </w:pPr>
          </w:p>
        </w:tc>
        <w:tc>
          <w:tcPr>
            <w:tcW w:w="3544" w:type="dxa"/>
            <w:tcBorders>
              <w:top w:val="nil"/>
              <w:left w:val="nil"/>
              <w:bottom w:val="single" w:color="000000" w:sz="4" w:space="0"/>
              <w:right w:val="single" w:color="000000" w:sz="4" w:space="0"/>
            </w:tcBorders>
            <w:shd w:val="clear" w:color="auto" w:fill="FFFFFF"/>
            <w:vAlign w:val="center"/>
          </w:tcPr>
          <w:p w14:paraId="531FFCA3">
            <w:pPr>
              <w:widowControl/>
              <w:jc w:val="center"/>
              <w:rPr>
                <w:rFonts w:asciiTheme="minorEastAsia" w:hAnsiTheme="minorEastAsia" w:eastAsiaTheme="minorEastAsia" w:cstheme="minorEastAsia"/>
                <w:color w:val="auto"/>
                <w:kern w:val="0"/>
                <w:sz w:val="24"/>
                <w:highlight w:val="none"/>
              </w:rPr>
            </w:pPr>
          </w:p>
        </w:tc>
        <w:tc>
          <w:tcPr>
            <w:tcW w:w="1417" w:type="dxa"/>
            <w:tcBorders>
              <w:top w:val="nil"/>
              <w:left w:val="single" w:color="auto" w:sz="4" w:space="0"/>
              <w:bottom w:val="single" w:color="000000" w:sz="4" w:space="0"/>
              <w:right w:val="single" w:color="000000" w:sz="4" w:space="0"/>
            </w:tcBorders>
            <w:shd w:val="clear" w:color="auto" w:fill="FFFFFF"/>
            <w:vAlign w:val="center"/>
          </w:tcPr>
          <w:p w14:paraId="63155924">
            <w:pPr>
              <w:widowControl/>
              <w:jc w:val="center"/>
              <w:rPr>
                <w:rFonts w:asciiTheme="minorEastAsia" w:hAnsiTheme="minorEastAsia" w:eastAsiaTheme="minorEastAsia" w:cstheme="minorEastAsia"/>
                <w:color w:val="auto"/>
                <w:kern w:val="0"/>
                <w:sz w:val="24"/>
                <w:highlight w:val="none"/>
              </w:rPr>
            </w:pPr>
          </w:p>
        </w:tc>
      </w:tr>
      <w:tr w14:paraId="0CB0A4EA">
        <w:tblPrEx>
          <w:tblCellMar>
            <w:top w:w="0" w:type="dxa"/>
            <w:left w:w="108" w:type="dxa"/>
            <w:bottom w:w="0" w:type="dxa"/>
            <w:right w:w="108" w:type="dxa"/>
          </w:tblCellMar>
        </w:tblPrEx>
        <w:trPr>
          <w:trHeight w:val="624" w:hRule="atLeast"/>
        </w:trPr>
        <w:tc>
          <w:tcPr>
            <w:tcW w:w="1036" w:type="dxa"/>
            <w:tcBorders>
              <w:top w:val="nil"/>
              <w:left w:val="single" w:color="000000" w:sz="4" w:space="0"/>
              <w:bottom w:val="single" w:color="000000" w:sz="4" w:space="0"/>
              <w:right w:val="single" w:color="000000" w:sz="4" w:space="0"/>
            </w:tcBorders>
            <w:shd w:val="clear" w:color="auto" w:fill="FFFFFF"/>
            <w:vAlign w:val="center"/>
          </w:tcPr>
          <w:p w14:paraId="10543D6B">
            <w:pPr>
              <w:widowControl/>
              <w:jc w:val="center"/>
              <w:rPr>
                <w:rFonts w:asciiTheme="minorEastAsia" w:hAnsiTheme="minorEastAsia" w:eastAsiaTheme="minorEastAsia" w:cstheme="minorEastAsia"/>
                <w:color w:val="auto"/>
                <w:kern w:val="0"/>
                <w:sz w:val="24"/>
                <w:highlight w:val="none"/>
              </w:rPr>
            </w:pPr>
            <w:r>
              <w:rPr>
                <w:rFonts w:hint="eastAsia" w:asciiTheme="minorEastAsia" w:hAnsiTheme="minorEastAsia" w:eastAsiaTheme="minorEastAsia" w:cstheme="minorEastAsia"/>
                <w:color w:val="auto"/>
                <w:kern w:val="0"/>
                <w:sz w:val="24"/>
                <w:highlight w:val="none"/>
              </w:rPr>
              <w:t>10</w:t>
            </w:r>
          </w:p>
        </w:tc>
        <w:tc>
          <w:tcPr>
            <w:tcW w:w="2552" w:type="dxa"/>
            <w:tcBorders>
              <w:top w:val="nil"/>
              <w:left w:val="nil"/>
              <w:bottom w:val="single" w:color="000000" w:sz="4" w:space="0"/>
              <w:right w:val="single" w:color="000000" w:sz="4" w:space="0"/>
            </w:tcBorders>
            <w:shd w:val="clear" w:color="auto" w:fill="FFFFFF"/>
            <w:vAlign w:val="center"/>
          </w:tcPr>
          <w:p w14:paraId="6E2A6B0E">
            <w:pPr>
              <w:widowControl/>
              <w:jc w:val="left"/>
              <w:rPr>
                <w:rFonts w:asciiTheme="minorEastAsia" w:hAnsiTheme="minorEastAsia" w:eastAsiaTheme="minorEastAsia" w:cstheme="minorEastAsia"/>
                <w:color w:val="auto"/>
                <w:kern w:val="0"/>
                <w:sz w:val="24"/>
                <w:highlight w:val="none"/>
              </w:rPr>
            </w:pPr>
          </w:p>
        </w:tc>
        <w:tc>
          <w:tcPr>
            <w:tcW w:w="3544" w:type="dxa"/>
            <w:tcBorders>
              <w:top w:val="nil"/>
              <w:left w:val="nil"/>
              <w:bottom w:val="single" w:color="000000" w:sz="4" w:space="0"/>
              <w:right w:val="single" w:color="000000" w:sz="4" w:space="0"/>
            </w:tcBorders>
            <w:shd w:val="clear" w:color="auto" w:fill="FFFFFF"/>
            <w:vAlign w:val="center"/>
          </w:tcPr>
          <w:p w14:paraId="2BDB8438">
            <w:pPr>
              <w:widowControl/>
              <w:jc w:val="center"/>
              <w:rPr>
                <w:rFonts w:asciiTheme="minorEastAsia" w:hAnsiTheme="minorEastAsia" w:eastAsiaTheme="minorEastAsia" w:cstheme="minorEastAsia"/>
                <w:color w:val="auto"/>
                <w:kern w:val="0"/>
                <w:sz w:val="24"/>
                <w:highlight w:val="none"/>
              </w:rPr>
            </w:pPr>
          </w:p>
        </w:tc>
        <w:tc>
          <w:tcPr>
            <w:tcW w:w="1417" w:type="dxa"/>
            <w:tcBorders>
              <w:top w:val="nil"/>
              <w:left w:val="single" w:color="auto" w:sz="4" w:space="0"/>
              <w:bottom w:val="single" w:color="000000" w:sz="4" w:space="0"/>
              <w:right w:val="single" w:color="000000" w:sz="4" w:space="0"/>
            </w:tcBorders>
            <w:shd w:val="clear" w:color="auto" w:fill="FFFFFF"/>
            <w:vAlign w:val="center"/>
          </w:tcPr>
          <w:p w14:paraId="05721CC7">
            <w:pPr>
              <w:widowControl/>
              <w:jc w:val="center"/>
              <w:rPr>
                <w:rFonts w:asciiTheme="minorEastAsia" w:hAnsiTheme="minorEastAsia" w:eastAsiaTheme="minorEastAsia" w:cstheme="minorEastAsia"/>
                <w:color w:val="auto"/>
                <w:kern w:val="0"/>
                <w:sz w:val="24"/>
                <w:highlight w:val="none"/>
              </w:rPr>
            </w:pPr>
          </w:p>
        </w:tc>
      </w:tr>
      <w:tr w14:paraId="34421E8B">
        <w:tblPrEx>
          <w:tblCellMar>
            <w:top w:w="0" w:type="dxa"/>
            <w:left w:w="108" w:type="dxa"/>
            <w:bottom w:w="0" w:type="dxa"/>
            <w:right w:w="108" w:type="dxa"/>
          </w:tblCellMar>
        </w:tblPrEx>
        <w:trPr>
          <w:trHeight w:val="624" w:hRule="atLeast"/>
        </w:trPr>
        <w:tc>
          <w:tcPr>
            <w:tcW w:w="1036" w:type="dxa"/>
            <w:tcBorders>
              <w:top w:val="nil"/>
              <w:left w:val="single" w:color="000000" w:sz="4" w:space="0"/>
              <w:bottom w:val="single" w:color="000000" w:sz="4" w:space="0"/>
              <w:right w:val="single" w:color="000000" w:sz="4" w:space="0"/>
            </w:tcBorders>
            <w:shd w:val="clear" w:color="auto" w:fill="FFFFFF"/>
            <w:vAlign w:val="center"/>
          </w:tcPr>
          <w:p w14:paraId="637CB1E3">
            <w:pPr>
              <w:widowControl/>
              <w:jc w:val="center"/>
              <w:rPr>
                <w:rFonts w:asciiTheme="minorEastAsia" w:hAnsiTheme="minorEastAsia" w:eastAsiaTheme="minorEastAsia" w:cstheme="minorEastAsia"/>
                <w:color w:val="auto"/>
                <w:kern w:val="0"/>
                <w:sz w:val="24"/>
                <w:highlight w:val="none"/>
              </w:rPr>
            </w:pPr>
            <w:r>
              <w:rPr>
                <w:rFonts w:hint="eastAsia" w:asciiTheme="minorEastAsia" w:hAnsiTheme="minorEastAsia" w:eastAsiaTheme="minorEastAsia" w:cstheme="minorEastAsia"/>
                <w:color w:val="auto"/>
                <w:kern w:val="0"/>
                <w:sz w:val="24"/>
                <w:highlight w:val="none"/>
              </w:rPr>
              <w:t>11</w:t>
            </w:r>
          </w:p>
        </w:tc>
        <w:tc>
          <w:tcPr>
            <w:tcW w:w="2552" w:type="dxa"/>
            <w:tcBorders>
              <w:top w:val="nil"/>
              <w:left w:val="nil"/>
              <w:bottom w:val="single" w:color="000000" w:sz="4" w:space="0"/>
              <w:right w:val="single" w:color="000000" w:sz="4" w:space="0"/>
            </w:tcBorders>
            <w:shd w:val="clear" w:color="auto" w:fill="FFFFFF"/>
            <w:vAlign w:val="center"/>
          </w:tcPr>
          <w:p w14:paraId="15DC688E">
            <w:pPr>
              <w:widowControl/>
              <w:jc w:val="left"/>
              <w:rPr>
                <w:rFonts w:asciiTheme="minorEastAsia" w:hAnsiTheme="minorEastAsia" w:eastAsiaTheme="minorEastAsia" w:cstheme="minorEastAsia"/>
                <w:color w:val="auto"/>
                <w:kern w:val="0"/>
                <w:sz w:val="24"/>
                <w:highlight w:val="none"/>
              </w:rPr>
            </w:pPr>
          </w:p>
        </w:tc>
        <w:tc>
          <w:tcPr>
            <w:tcW w:w="3544" w:type="dxa"/>
            <w:tcBorders>
              <w:top w:val="nil"/>
              <w:left w:val="nil"/>
              <w:bottom w:val="single" w:color="000000" w:sz="4" w:space="0"/>
              <w:right w:val="single" w:color="000000" w:sz="4" w:space="0"/>
            </w:tcBorders>
            <w:shd w:val="clear" w:color="auto" w:fill="FFFFFF"/>
            <w:vAlign w:val="center"/>
          </w:tcPr>
          <w:p w14:paraId="39C244C8">
            <w:pPr>
              <w:widowControl/>
              <w:jc w:val="center"/>
              <w:rPr>
                <w:rFonts w:asciiTheme="minorEastAsia" w:hAnsiTheme="minorEastAsia" w:eastAsiaTheme="minorEastAsia" w:cstheme="minorEastAsia"/>
                <w:color w:val="auto"/>
                <w:kern w:val="0"/>
                <w:sz w:val="24"/>
                <w:highlight w:val="none"/>
              </w:rPr>
            </w:pPr>
          </w:p>
        </w:tc>
        <w:tc>
          <w:tcPr>
            <w:tcW w:w="1417" w:type="dxa"/>
            <w:tcBorders>
              <w:top w:val="nil"/>
              <w:left w:val="single" w:color="auto" w:sz="4" w:space="0"/>
              <w:bottom w:val="single" w:color="000000" w:sz="4" w:space="0"/>
              <w:right w:val="single" w:color="000000" w:sz="4" w:space="0"/>
            </w:tcBorders>
            <w:shd w:val="clear" w:color="auto" w:fill="FFFFFF"/>
            <w:vAlign w:val="center"/>
          </w:tcPr>
          <w:p w14:paraId="29394B17">
            <w:pPr>
              <w:widowControl/>
              <w:jc w:val="center"/>
              <w:rPr>
                <w:rFonts w:asciiTheme="minorEastAsia" w:hAnsiTheme="minorEastAsia" w:eastAsiaTheme="minorEastAsia" w:cstheme="minorEastAsia"/>
                <w:color w:val="auto"/>
                <w:kern w:val="0"/>
                <w:sz w:val="24"/>
                <w:highlight w:val="none"/>
              </w:rPr>
            </w:pPr>
          </w:p>
        </w:tc>
      </w:tr>
      <w:tr w14:paraId="66390CE9">
        <w:tblPrEx>
          <w:tblCellMar>
            <w:top w:w="0" w:type="dxa"/>
            <w:left w:w="108" w:type="dxa"/>
            <w:bottom w:w="0" w:type="dxa"/>
            <w:right w:w="108" w:type="dxa"/>
          </w:tblCellMar>
        </w:tblPrEx>
        <w:trPr>
          <w:trHeight w:val="624" w:hRule="atLeast"/>
        </w:trPr>
        <w:tc>
          <w:tcPr>
            <w:tcW w:w="1036" w:type="dxa"/>
            <w:tcBorders>
              <w:top w:val="nil"/>
              <w:left w:val="single" w:color="000000" w:sz="4" w:space="0"/>
              <w:bottom w:val="single" w:color="000000" w:sz="4" w:space="0"/>
              <w:right w:val="single" w:color="000000" w:sz="4" w:space="0"/>
            </w:tcBorders>
            <w:shd w:val="clear" w:color="auto" w:fill="FFFFFF"/>
            <w:vAlign w:val="center"/>
          </w:tcPr>
          <w:p w14:paraId="6229561E">
            <w:pPr>
              <w:widowControl/>
              <w:jc w:val="center"/>
              <w:rPr>
                <w:rFonts w:asciiTheme="minorEastAsia" w:hAnsiTheme="minorEastAsia" w:eastAsiaTheme="minorEastAsia" w:cstheme="minorEastAsia"/>
                <w:color w:val="auto"/>
                <w:kern w:val="0"/>
                <w:sz w:val="24"/>
                <w:highlight w:val="none"/>
              </w:rPr>
            </w:pPr>
            <w:r>
              <w:rPr>
                <w:rFonts w:hint="eastAsia" w:asciiTheme="minorEastAsia" w:hAnsiTheme="minorEastAsia" w:eastAsiaTheme="minorEastAsia" w:cstheme="minorEastAsia"/>
                <w:color w:val="auto"/>
                <w:kern w:val="0"/>
                <w:sz w:val="24"/>
                <w:highlight w:val="none"/>
              </w:rPr>
              <w:t>12</w:t>
            </w:r>
          </w:p>
        </w:tc>
        <w:tc>
          <w:tcPr>
            <w:tcW w:w="2552" w:type="dxa"/>
            <w:tcBorders>
              <w:top w:val="nil"/>
              <w:left w:val="nil"/>
              <w:bottom w:val="single" w:color="000000" w:sz="4" w:space="0"/>
              <w:right w:val="single" w:color="000000" w:sz="4" w:space="0"/>
            </w:tcBorders>
            <w:shd w:val="clear" w:color="auto" w:fill="FFFFFF"/>
            <w:vAlign w:val="center"/>
          </w:tcPr>
          <w:p w14:paraId="05BCD0C6">
            <w:pPr>
              <w:widowControl/>
              <w:jc w:val="left"/>
              <w:rPr>
                <w:rFonts w:asciiTheme="minorEastAsia" w:hAnsiTheme="minorEastAsia" w:eastAsiaTheme="minorEastAsia" w:cstheme="minorEastAsia"/>
                <w:color w:val="auto"/>
                <w:kern w:val="0"/>
                <w:sz w:val="24"/>
                <w:highlight w:val="none"/>
              </w:rPr>
            </w:pPr>
          </w:p>
        </w:tc>
        <w:tc>
          <w:tcPr>
            <w:tcW w:w="3544" w:type="dxa"/>
            <w:tcBorders>
              <w:top w:val="nil"/>
              <w:left w:val="nil"/>
              <w:bottom w:val="single" w:color="000000" w:sz="4" w:space="0"/>
              <w:right w:val="single" w:color="000000" w:sz="4" w:space="0"/>
            </w:tcBorders>
            <w:shd w:val="clear" w:color="auto" w:fill="FFFFFF"/>
            <w:vAlign w:val="center"/>
          </w:tcPr>
          <w:p w14:paraId="481ADE52">
            <w:pPr>
              <w:widowControl/>
              <w:jc w:val="center"/>
              <w:rPr>
                <w:rFonts w:asciiTheme="minorEastAsia" w:hAnsiTheme="minorEastAsia" w:eastAsiaTheme="minorEastAsia" w:cstheme="minorEastAsia"/>
                <w:color w:val="auto"/>
                <w:kern w:val="0"/>
                <w:sz w:val="24"/>
                <w:highlight w:val="none"/>
              </w:rPr>
            </w:pPr>
          </w:p>
        </w:tc>
        <w:tc>
          <w:tcPr>
            <w:tcW w:w="1417" w:type="dxa"/>
            <w:tcBorders>
              <w:top w:val="nil"/>
              <w:left w:val="single" w:color="auto" w:sz="4" w:space="0"/>
              <w:bottom w:val="single" w:color="000000" w:sz="4" w:space="0"/>
              <w:right w:val="single" w:color="000000" w:sz="4" w:space="0"/>
            </w:tcBorders>
            <w:shd w:val="clear" w:color="auto" w:fill="FFFFFF"/>
            <w:vAlign w:val="center"/>
          </w:tcPr>
          <w:p w14:paraId="21983E9A">
            <w:pPr>
              <w:widowControl/>
              <w:jc w:val="center"/>
              <w:rPr>
                <w:rFonts w:asciiTheme="minorEastAsia" w:hAnsiTheme="minorEastAsia" w:eastAsiaTheme="minorEastAsia" w:cstheme="minorEastAsia"/>
                <w:color w:val="auto"/>
                <w:kern w:val="0"/>
                <w:sz w:val="24"/>
                <w:highlight w:val="none"/>
              </w:rPr>
            </w:pPr>
          </w:p>
        </w:tc>
      </w:tr>
      <w:tr w14:paraId="29088BBF">
        <w:tblPrEx>
          <w:tblCellMar>
            <w:top w:w="0" w:type="dxa"/>
            <w:left w:w="108" w:type="dxa"/>
            <w:bottom w:w="0" w:type="dxa"/>
            <w:right w:w="108" w:type="dxa"/>
          </w:tblCellMar>
        </w:tblPrEx>
        <w:trPr>
          <w:trHeight w:val="624" w:hRule="atLeast"/>
        </w:trPr>
        <w:tc>
          <w:tcPr>
            <w:tcW w:w="1036" w:type="dxa"/>
            <w:tcBorders>
              <w:top w:val="nil"/>
              <w:left w:val="single" w:color="000000" w:sz="4" w:space="0"/>
              <w:bottom w:val="single" w:color="000000" w:sz="4" w:space="0"/>
              <w:right w:val="single" w:color="000000" w:sz="4" w:space="0"/>
            </w:tcBorders>
            <w:shd w:val="clear" w:color="auto" w:fill="FFFFFF"/>
            <w:vAlign w:val="center"/>
          </w:tcPr>
          <w:p w14:paraId="21A3A18A">
            <w:pPr>
              <w:widowControl/>
              <w:jc w:val="center"/>
              <w:rPr>
                <w:rFonts w:asciiTheme="minorEastAsia" w:hAnsiTheme="minorEastAsia" w:eastAsiaTheme="minorEastAsia" w:cstheme="minorEastAsia"/>
                <w:color w:val="auto"/>
                <w:kern w:val="0"/>
                <w:sz w:val="24"/>
                <w:highlight w:val="none"/>
              </w:rPr>
            </w:pPr>
            <w:r>
              <w:rPr>
                <w:rFonts w:hint="eastAsia" w:asciiTheme="minorEastAsia" w:hAnsiTheme="minorEastAsia" w:eastAsiaTheme="minorEastAsia" w:cstheme="minorEastAsia"/>
                <w:color w:val="auto"/>
                <w:kern w:val="0"/>
                <w:sz w:val="24"/>
                <w:highlight w:val="none"/>
              </w:rPr>
              <w:t>13</w:t>
            </w:r>
          </w:p>
        </w:tc>
        <w:tc>
          <w:tcPr>
            <w:tcW w:w="2552" w:type="dxa"/>
            <w:tcBorders>
              <w:top w:val="nil"/>
              <w:left w:val="nil"/>
              <w:bottom w:val="single" w:color="000000" w:sz="4" w:space="0"/>
              <w:right w:val="single" w:color="000000" w:sz="4" w:space="0"/>
            </w:tcBorders>
            <w:shd w:val="clear" w:color="auto" w:fill="FFFFFF"/>
            <w:vAlign w:val="center"/>
          </w:tcPr>
          <w:p w14:paraId="2DA20954">
            <w:pPr>
              <w:widowControl/>
              <w:jc w:val="left"/>
              <w:rPr>
                <w:rFonts w:asciiTheme="minorEastAsia" w:hAnsiTheme="minorEastAsia" w:eastAsiaTheme="minorEastAsia" w:cstheme="minorEastAsia"/>
                <w:color w:val="auto"/>
                <w:kern w:val="0"/>
                <w:sz w:val="24"/>
                <w:highlight w:val="none"/>
              </w:rPr>
            </w:pPr>
          </w:p>
        </w:tc>
        <w:tc>
          <w:tcPr>
            <w:tcW w:w="3544" w:type="dxa"/>
            <w:tcBorders>
              <w:top w:val="nil"/>
              <w:left w:val="nil"/>
              <w:bottom w:val="single" w:color="000000" w:sz="4" w:space="0"/>
              <w:right w:val="single" w:color="000000" w:sz="4" w:space="0"/>
            </w:tcBorders>
            <w:shd w:val="clear" w:color="auto" w:fill="FFFFFF"/>
            <w:vAlign w:val="center"/>
          </w:tcPr>
          <w:p w14:paraId="47588283">
            <w:pPr>
              <w:widowControl/>
              <w:jc w:val="center"/>
              <w:rPr>
                <w:rFonts w:asciiTheme="minorEastAsia" w:hAnsiTheme="minorEastAsia" w:eastAsiaTheme="minorEastAsia" w:cstheme="minorEastAsia"/>
                <w:color w:val="auto"/>
                <w:kern w:val="0"/>
                <w:sz w:val="24"/>
                <w:highlight w:val="none"/>
              </w:rPr>
            </w:pPr>
          </w:p>
        </w:tc>
        <w:tc>
          <w:tcPr>
            <w:tcW w:w="1417" w:type="dxa"/>
            <w:tcBorders>
              <w:top w:val="nil"/>
              <w:left w:val="single" w:color="auto" w:sz="4" w:space="0"/>
              <w:bottom w:val="single" w:color="000000" w:sz="4" w:space="0"/>
              <w:right w:val="single" w:color="000000" w:sz="4" w:space="0"/>
            </w:tcBorders>
            <w:shd w:val="clear" w:color="auto" w:fill="FFFFFF"/>
            <w:vAlign w:val="center"/>
          </w:tcPr>
          <w:p w14:paraId="345AE43A">
            <w:pPr>
              <w:widowControl/>
              <w:jc w:val="center"/>
              <w:rPr>
                <w:rFonts w:asciiTheme="minorEastAsia" w:hAnsiTheme="minorEastAsia" w:eastAsiaTheme="minorEastAsia" w:cstheme="minorEastAsia"/>
                <w:color w:val="auto"/>
                <w:kern w:val="0"/>
                <w:sz w:val="24"/>
                <w:highlight w:val="none"/>
              </w:rPr>
            </w:pPr>
          </w:p>
        </w:tc>
      </w:tr>
    </w:tbl>
    <w:p w14:paraId="741F8B22">
      <w:pPr>
        <w:snapToGrid w:val="0"/>
        <w:spacing w:before="50" w:afterLines="50"/>
        <w:jc w:val="left"/>
        <w:rPr>
          <w:rFonts w:asciiTheme="minorEastAsia" w:hAnsiTheme="minorEastAsia" w:eastAsiaTheme="minorEastAsia" w:cstheme="minorEastAsia"/>
          <w:color w:val="auto"/>
          <w:spacing w:val="20"/>
          <w:sz w:val="24"/>
          <w:highlight w:val="none"/>
        </w:rPr>
      </w:pPr>
    </w:p>
    <w:p w14:paraId="511299A1">
      <w:pPr>
        <w:snapToGrid w:val="0"/>
        <w:spacing w:beforeLines="50" w:after="50" w:line="360" w:lineRule="auto"/>
        <w:rPr>
          <w:rFonts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注：投标人根据采购服务需求中的内容进行填写，勿填写价格信息。</w:t>
      </w:r>
    </w:p>
    <w:p w14:paraId="124170E5">
      <w:pPr>
        <w:snapToGrid w:val="0"/>
        <w:spacing w:before="50" w:afterLines="50"/>
        <w:jc w:val="left"/>
        <w:rPr>
          <w:rFonts w:asciiTheme="minorEastAsia" w:hAnsiTheme="minorEastAsia" w:eastAsiaTheme="minorEastAsia" w:cstheme="minorEastAsia"/>
          <w:b/>
          <w:color w:val="auto"/>
          <w:spacing w:val="20"/>
          <w:sz w:val="24"/>
          <w:highlight w:val="none"/>
        </w:rPr>
      </w:pPr>
    </w:p>
    <w:p w14:paraId="7B700134">
      <w:pPr>
        <w:snapToGrid w:val="0"/>
        <w:spacing w:before="50" w:afterLines="50"/>
        <w:jc w:val="left"/>
        <w:rPr>
          <w:rFonts w:asciiTheme="minorEastAsia" w:hAnsiTheme="minorEastAsia" w:eastAsiaTheme="minorEastAsia" w:cstheme="minorEastAsia"/>
          <w:b/>
          <w:color w:val="auto"/>
          <w:spacing w:val="20"/>
          <w:sz w:val="24"/>
          <w:highlight w:val="none"/>
        </w:rPr>
      </w:pPr>
      <w:r>
        <w:rPr>
          <w:rFonts w:hint="eastAsia" w:asciiTheme="minorEastAsia" w:hAnsiTheme="minorEastAsia" w:eastAsiaTheme="minorEastAsia" w:cstheme="minorEastAsia"/>
          <w:b/>
          <w:color w:val="auto"/>
          <w:spacing w:val="20"/>
          <w:sz w:val="24"/>
          <w:highlight w:val="none"/>
        </w:rPr>
        <w:t>法定代表人签字（或盖章）：            投标人（盖章）：</w:t>
      </w:r>
    </w:p>
    <w:p w14:paraId="1B740958">
      <w:pPr>
        <w:snapToGrid w:val="0"/>
        <w:spacing w:before="50" w:afterLines="50"/>
        <w:jc w:val="left"/>
        <w:rPr>
          <w:rFonts w:asciiTheme="minorEastAsia" w:hAnsiTheme="minorEastAsia" w:eastAsiaTheme="minorEastAsia" w:cstheme="minorEastAsia"/>
          <w:b/>
          <w:color w:val="auto"/>
          <w:sz w:val="24"/>
          <w:highlight w:val="none"/>
        </w:rPr>
      </w:pPr>
    </w:p>
    <w:p w14:paraId="03AEE6DE">
      <w:pPr>
        <w:snapToGrid w:val="0"/>
        <w:spacing w:before="50" w:afterLines="50"/>
        <w:jc w:val="left"/>
        <w:rPr>
          <w:rFonts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日期：  _____年___月___日</w:t>
      </w:r>
    </w:p>
    <w:p w14:paraId="197516EB">
      <w:pPr>
        <w:snapToGrid w:val="0"/>
        <w:spacing w:before="50" w:afterLines="50"/>
        <w:jc w:val="lef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br w:type="page"/>
      </w:r>
      <w:r>
        <w:rPr>
          <w:rFonts w:hint="eastAsia" w:asciiTheme="minorEastAsia" w:hAnsiTheme="minorEastAsia" w:eastAsiaTheme="minorEastAsia" w:cstheme="minorEastAsia"/>
          <w:color w:val="auto"/>
          <w:sz w:val="24"/>
          <w:highlight w:val="none"/>
        </w:rPr>
        <w:t>8.项目负责人简历：</w:t>
      </w:r>
    </w:p>
    <w:p w14:paraId="1102C5A6">
      <w:pPr>
        <w:snapToGrid w:val="0"/>
        <w:spacing w:before="50" w:afterLines="50"/>
        <w:jc w:val="left"/>
        <w:rPr>
          <w:rFonts w:asciiTheme="minorEastAsia" w:hAnsiTheme="minorEastAsia" w:eastAsiaTheme="minorEastAsia" w:cstheme="minorEastAsia"/>
          <w:color w:val="auto"/>
          <w:sz w:val="24"/>
          <w:szCs w:val="20"/>
          <w:highlight w:val="none"/>
        </w:rPr>
      </w:pPr>
    </w:p>
    <w:p w14:paraId="474D9315">
      <w:pPr>
        <w:jc w:val="center"/>
        <w:rPr>
          <w:rFonts w:asciiTheme="minorEastAsia" w:hAnsiTheme="minorEastAsia" w:eastAsiaTheme="minorEastAsia" w:cstheme="minorEastAsia"/>
          <w:snapToGrid w:val="0"/>
          <w:color w:val="auto"/>
          <w:sz w:val="28"/>
          <w:highlight w:val="none"/>
        </w:rPr>
      </w:pPr>
      <w:r>
        <w:rPr>
          <w:rFonts w:hint="eastAsia" w:asciiTheme="minorEastAsia" w:hAnsiTheme="minorEastAsia" w:eastAsiaTheme="minorEastAsia" w:cstheme="minorEastAsia"/>
          <w:snapToGrid w:val="0"/>
          <w:color w:val="auto"/>
          <w:sz w:val="28"/>
          <w:highlight w:val="none"/>
        </w:rPr>
        <w:t>项目负责人简历表</w:t>
      </w:r>
    </w:p>
    <w:p w14:paraId="7472DA77">
      <w:pPr>
        <w:snapToGrid w:val="0"/>
        <w:spacing w:beforeLines="50" w:after="50" w:line="360" w:lineRule="auto"/>
        <w:jc w:val="center"/>
        <w:rPr>
          <w:rFonts w:asciiTheme="minorEastAsia" w:hAnsiTheme="minorEastAsia" w:eastAsiaTheme="minorEastAsia" w:cstheme="minorEastAsia"/>
          <w:bCs/>
          <w:color w:val="auto"/>
          <w:sz w:val="24"/>
          <w:highlight w:val="none"/>
        </w:rPr>
      </w:pPr>
    </w:p>
    <w:p w14:paraId="407FB465">
      <w:pPr>
        <w:snapToGrid w:val="0"/>
        <w:spacing w:beforeLines="50" w:after="50" w:line="480" w:lineRule="auto"/>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bCs/>
          <w:color w:val="auto"/>
          <w:sz w:val="24"/>
          <w:highlight w:val="none"/>
        </w:rPr>
        <w:t>项目名称：</w:t>
      </w:r>
    </w:p>
    <w:p w14:paraId="6D80E739">
      <w:pPr>
        <w:snapToGrid w:val="0"/>
        <w:spacing w:beforeLines="50" w:after="50" w:line="480" w:lineRule="auto"/>
        <w:rPr>
          <w:rFonts w:asciiTheme="minorEastAsia" w:hAnsiTheme="minorEastAsia" w:eastAsiaTheme="minorEastAsia" w:cstheme="minorEastAsia"/>
          <w:bCs/>
          <w:color w:val="auto"/>
          <w:sz w:val="24"/>
          <w:szCs w:val="20"/>
          <w:highlight w:val="none"/>
        </w:rPr>
      </w:pPr>
      <w:r>
        <w:rPr>
          <w:rFonts w:hint="eastAsia" w:asciiTheme="minorEastAsia" w:hAnsiTheme="minorEastAsia" w:eastAsiaTheme="minorEastAsia" w:cstheme="minorEastAsia"/>
          <w:bCs/>
          <w:color w:val="auto"/>
          <w:sz w:val="24"/>
          <w:highlight w:val="none"/>
        </w:rPr>
        <w:t>项目编号：</w:t>
      </w:r>
    </w:p>
    <w:tbl>
      <w:tblPr>
        <w:tblStyle w:val="52"/>
        <w:tblpPr w:leftFromText="180" w:rightFromText="180" w:vertAnchor="text" w:tblpY="219"/>
        <w:tblW w:w="957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880"/>
        <w:gridCol w:w="1084"/>
        <w:gridCol w:w="2733"/>
        <w:gridCol w:w="1952"/>
        <w:gridCol w:w="2928"/>
      </w:tblGrid>
      <w:tr w14:paraId="7290A9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3" w:hRule="atLeast"/>
        </w:trPr>
        <w:tc>
          <w:tcPr>
            <w:tcW w:w="1964" w:type="dxa"/>
            <w:gridSpan w:val="2"/>
            <w:tcBorders>
              <w:top w:val="single" w:color="000000" w:sz="8" w:space="0"/>
              <w:left w:val="single" w:color="000000" w:sz="8" w:space="0"/>
              <w:bottom w:val="single" w:color="000000" w:sz="4" w:space="0"/>
              <w:right w:val="single" w:color="auto" w:sz="4" w:space="0"/>
            </w:tcBorders>
            <w:vAlign w:val="center"/>
          </w:tcPr>
          <w:p w14:paraId="52186A0E">
            <w:pPr>
              <w:spacing w:line="351" w:lineRule="atLeast"/>
              <w:jc w:val="center"/>
              <w:rPr>
                <w:rFonts w:asciiTheme="minorEastAsia" w:hAnsiTheme="minorEastAsia" w:eastAsiaTheme="minorEastAsia" w:cstheme="minorEastAsia"/>
                <w:color w:val="auto"/>
                <w:sz w:val="28"/>
                <w:highlight w:val="none"/>
                <w:u w:color="000000"/>
              </w:rPr>
            </w:pPr>
            <w:r>
              <w:rPr>
                <w:rFonts w:hint="eastAsia" w:asciiTheme="minorEastAsia" w:hAnsiTheme="minorEastAsia" w:eastAsiaTheme="minorEastAsia" w:cstheme="minorEastAsia"/>
                <w:color w:val="auto"/>
                <w:sz w:val="28"/>
                <w:highlight w:val="none"/>
              </w:rPr>
              <w:t>姓  名</w:t>
            </w:r>
          </w:p>
        </w:tc>
        <w:tc>
          <w:tcPr>
            <w:tcW w:w="2733" w:type="dxa"/>
            <w:tcBorders>
              <w:top w:val="single" w:color="000000" w:sz="8" w:space="0"/>
              <w:left w:val="single" w:color="auto" w:sz="4" w:space="0"/>
              <w:bottom w:val="single" w:color="000000" w:sz="4" w:space="0"/>
              <w:right w:val="single" w:color="000000" w:sz="4" w:space="0"/>
            </w:tcBorders>
            <w:vAlign w:val="center"/>
          </w:tcPr>
          <w:p w14:paraId="7CFA94F0">
            <w:pPr>
              <w:spacing w:line="351" w:lineRule="atLeast"/>
              <w:jc w:val="center"/>
              <w:rPr>
                <w:rFonts w:asciiTheme="minorEastAsia" w:hAnsiTheme="minorEastAsia" w:eastAsiaTheme="minorEastAsia" w:cstheme="minorEastAsia"/>
                <w:color w:val="auto"/>
                <w:sz w:val="28"/>
                <w:highlight w:val="none"/>
                <w:u w:color="000000"/>
              </w:rPr>
            </w:pPr>
          </w:p>
        </w:tc>
        <w:tc>
          <w:tcPr>
            <w:tcW w:w="1952" w:type="dxa"/>
            <w:tcBorders>
              <w:top w:val="single" w:color="000000" w:sz="8" w:space="0"/>
              <w:left w:val="single" w:color="auto" w:sz="4" w:space="0"/>
              <w:bottom w:val="single" w:color="000000" w:sz="4" w:space="0"/>
              <w:right w:val="single" w:color="000000" w:sz="4" w:space="0"/>
            </w:tcBorders>
            <w:vAlign w:val="center"/>
          </w:tcPr>
          <w:p w14:paraId="1D811112">
            <w:pPr>
              <w:spacing w:line="351" w:lineRule="atLeast"/>
              <w:jc w:val="center"/>
              <w:rPr>
                <w:rFonts w:asciiTheme="minorEastAsia" w:hAnsiTheme="minorEastAsia" w:eastAsiaTheme="minorEastAsia" w:cstheme="minorEastAsia"/>
                <w:color w:val="auto"/>
                <w:sz w:val="28"/>
                <w:highlight w:val="none"/>
                <w:u w:color="000000"/>
              </w:rPr>
            </w:pPr>
            <w:r>
              <w:rPr>
                <w:rFonts w:hint="eastAsia" w:asciiTheme="minorEastAsia" w:hAnsiTheme="minorEastAsia" w:eastAsiaTheme="minorEastAsia" w:cstheme="minorEastAsia"/>
                <w:color w:val="auto"/>
                <w:sz w:val="28"/>
                <w:highlight w:val="none"/>
              </w:rPr>
              <w:t>性  别</w:t>
            </w:r>
          </w:p>
        </w:tc>
        <w:tc>
          <w:tcPr>
            <w:tcW w:w="2928" w:type="dxa"/>
            <w:tcBorders>
              <w:top w:val="single" w:color="000000" w:sz="8" w:space="0"/>
              <w:left w:val="single" w:color="auto" w:sz="4" w:space="0"/>
              <w:bottom w:val="single" w:color="000000" w:sz="4" w:space="0"/>
              <w:right w:val="single" w:color="000000" w:sz="8" w:space="0"/>
            </w:tcBorders>
            <w:vAlign w:val="center"/>
          </w:tcPr>
          <w:p w14:paraId="01B81BB1">
            <w:pPr>
              <w:spacing w:line="351" w:lineRule="atLeast"/>
              <w:jc w:val="center"/>
              <w:rPr>
                <w:rFonts w:asciiTheme="minorEastAsia" w:hAnsiTheme="minorEastAsia" w:eastAsiaTheme="minorEastAsia" w:cstheme="minorEastAsia"/>
                <w:color w:val="auto"/>
                <w:sz w:val="28"/>
                <w:highlight w:val="none"/>
                <w:u w:color="000000"/>
              </w:rPr>
            </w:pPr>
          </w:p>
        </w:tc>
      </w:tr>
      <w:tr w14:paraId="3FC9DB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3" w:hRule="atLeast"/>
        </w:trPr>
        <w:tc>
          <w:tcPr>
            <w:tcW w:w="1964" w:type="dxa"/>
            <w:gridSpan w:val="2"/>
            <w:tcBorders>
              <w:top w:val="single" w:color="000000" w:sz="8" w:space="0"/>
              <w:left w:val="single" w:color="000000" w:sz="8" w:space="0"/>
              <w:bottom w:val="single" w:color="000000" w:sz="4" w:space="0"/>
              <w:right w:val="single" w:color="auto" w:sz="4" w:space="0"/>
            </w:tcBorders>
            <w:vAlign w:val="center"/>
          </w:tcPr>
          <w:p w14:paraId="748471B3">
            <w:pPr>
              <w:spacing w:line="351" w:lineRule="atLeast"/>
              <w:jc w:val="center"/>
              <w:rPr>
                <w:rFonts w:asciiTheme="minorEastAsia" w:hAnsiTheme="minorEastAsia" w:eastAsiaTheme="minorEastAsia" w:cstheme="minorEastAsia"/>
                <w:color w:val="auto"/>
                <w:sz w:val="28"/>
                <w:highlight w:val="none"/>
              </w:rPr>
            </w:pPr>
            <w:r>
              <w:rPr>
                <w:rFonts w:hint="eastAsia" w:asciiTheme="minorEastAsia" w:hAnsiTheme="minorEastAsia" w:eastAsiaTheme="minorEastAsia" w:cstheme="minorEastAsia"/>
                <w:color w:val="auto"/>
                <w:sz w:val="28"/>
                <w:highlight w:val="none"/>
              </w:rPr>
              <w:t>年  龄</w:t>
            </w:r>
          </w:p>
        </w:tc>
        <w:tc>
          <w:tcPr>
            <w:tcW w:w="2733" w:type="dxa"/>
            <w:tcBorders>
              <w:top w:val="single" w:color="000000" w:sz="8" w:space="0"/>
              <w:left w:val="single" w:color="auto" w:sz="4" w:space="0"/>
              <w:bottom w:val="single" w:color="000000" w:sz="4" w:space="0"/>
              <w:right w:val="single" w:color="000000" w:sz="4" w:space="0"/>
            </w:tcBorders>
            <w:vAlign w:val="center"/>
          </w:tcPr>
          <w:p w14:paraId="6BE318EB">
            <w:pPr>
              <w:spacing w:line="351" w:lineRule="atLeast"/>
              <w:jc w:val="center"/>
              <w:rPr>
                <w:rFonts w:asciiTheme="minorEastAsia" w:hAnsiTheme="minorEastAsia" w:eastAsiaTheme="minorEastAsia" w:cstheme="minorEastAsia"/>
                <w:color w:val="auto"/>
                <w:sz w:val="28"/>
                <w:highlight w:val="none"/>
                <w:u w:color="000000"/>
              </w:rPr>
            </w:pPr>
          </w:p>
        </w:tc>
        <w:tc>
          <w:tcPr>
            <w:tcW w:w="1952" w:type="dxa"/>
            <w:tcBorders>
              <w:top w:val="single" w:color="000000" w:sz="8" w:space="0"/>
              <w:left w:val="single" w:color="auto" w:sz="4" w:space="0"/>
              <w:bottom w:val="single" w:color="000000" w:sz="4" w:space="0"/>
              <w:right w:val="single" w:color="000000" w:sz="4" w:space="0"/>
            </w:tcBorders>
            <w:vAlign w:val="center"/>
          </w:tcPr>
          <w:p w14:paraId="6972B3BC">
            <w:pPr>
              <w:spacing w:line="351" w:lineRule="atLeast"/>
              <w:jc w:val="center"/>
              <w:rPr>
                <w:rFonts w:asciiTheme="minorEastAsia" w:hAnsiTheme="minorEastAsia" w:eastAsiaTheme="minorEastAsia" w:cstheme="minorEastAsia"/>
                <w:color w:val="auto"/>
                <w:sz w:val="28"/>
                <w:highlight w:val="none"/>
              </w:rPr>
            </w:pPr>
            <w:r>
              <w:rPr>
                <w:rFonts w:hint="eastAsia" w:asciiTheme="minorEastAsia" w:hAnsiTheme="minorEastAsia" w:eastAsiaTheme="minorEastAsia" w:cstheme="minorEastAsia"/>
                <w:color w:val="auto"/>
                <w:sz w:val="28"/>
                <w:highlight w:val="none"/>
              </w:rPr>
              <w:t>身份证号</w:t>
            </w:r>
          </w:p>
        </w:tc>
        <w:tc>
          <w:tcPr>
            <w:tcW w:w="2928" w:type="dxa"/>
            <w:tcBorders>
              <w:top w:val="single" w:color="000000" w:sz="8" w:space="0"/>
              <w:left w:val="single" w:color="auto" w:sz="4" w:space="0"/>
              <w:bottom w:val="single" w:color="000000" w:sz="4" w:space="0"/>
              <w:right w:val="single" w:color="000000" w:sz="8" w:space="0"/>
            </w:tcBorders>
            <w:vAlign w:val="center"/>
          </w:tcPr>
          <w:p w14:paraId="21B832AF">
            <w:pPr>
              <w:spacing w:line="351" w:lineRule="atLeast"/>
              <w:jc w:val="center"/>
              <w:rPr>
                <w:rFonts w:asciiTheme="minorEastAsia" w:hAnsiTheme="minorEastAsia" w:eastAsiaTheme="minorEastAsia" w:cstheme="minorEastAsia"/>
                <w:color w:val="auto"/>
                <w:sz w:val="28"/>
                <w:highlight w:val="none"/>
                <w:u w:color="000000"/>
              </w:rPr>
            </w:pPr>
          </w:p>
        </w:tc>
      </w:tr>
      <w:tr w14:paraId="1A4C47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31" w:hRule="atLeast"/>
        </w:trPr>
        <w:tc>
          <w:tcPr>
            <w:tcW w:w="1964" w:type="dxa"/>
            <w:gridSpan w:val="2"/>
            <w:tcBorders>
              <w:top w:val="single" w:color="auto" w:sz="4" w:space="0"/>
              <w:left w:val="single" w:color="000000" w:sz="8" w:space="0"/>
              <w:bottom w:val="single" w:color="000000" w:sz="4" w:space="0"/>
              <w:right w:val="single" w:color="auto" w:sz="4" w:space="0"/>
            </w:tcBorders>
            <w:vAlign w:val="center"/>
          </w:tcPr>
          <w:p w14:paraId="4616C641">
            <w:pPr>
              <w:spacing w:line="351" w:lineRule="atLeast"/>
              <w:ind w:firstLine="557" w:firstLineChars="199"/>
              <w:rPr>
                <w:rFonts w:asciiTheme="minorEastAsia" w:hAnsiTheme="minorEastAsia" w:eastAsiaTheme="minorEastAsia" w:cstheme="minorEastAsia"/>
                <w:color w:val="auto"/>
                <w:sz w:val="28"/>
                <w:highlight w:val="none"/>
                <w:u w:color="000000"/>
              </w:rPr>
            </w:pPr>
            <w:r>
              <w:rPr>
                <w:rFonts w:hint="eastAsia" w:asciiTheme="minorEastAsia" w:hAnsiTheme="minorEastAsia" w:eastAsiaTheme="minorEastAsia" w:cstheme="minorEastAsia"/>
                <w:color w:val="auto"/>
                <w:sz w:val="28"/>
                <w:highlight w:val="none"/>
              </w:rPr>
              <w:t>职  称</w:t>
            </w:r>
          </w:p>
        </w:tc>
        <w:tc>
          <w:tcPr>
            <w:tcW w:w="2733" w:type="dxa"/>
            <w:tcBorders>
              <w:top w:val="single" w:color="auto" w:sz="4" w:space="0"/>
              <w:left w:val="single" w:color="auto" w:sz="4" w:space="0"/>
              <w:bottom w:val="single" w:color="000000" w:sz="4" w:space="0"/>
              <w:right w:val="single" w:color="000000" w:sz="4" w:space="0"/>
            </w:tcBorders>
            <w:vAlign w:val="center"/>
          </w:tcPr>
          <w:p w14:paraId="15C2CAE2">
            <w:pPr>
              <w:spacing w:line="351" w:lineRule="atLeast"/>
              <w:ind w:firstLine="419"/>
              <w:jc w:val="center"/>
              <w:rPr>
                <w:rFonts w:asciiTheme="minorEastAsia" w:hAnsiTheme="minorEastAsia" w:eastAsiaTheme="minorEastAsia" w:cstheme="minorEastAsia"/>
                <w:color w:val="auto"/>
                <w:sz w:val="28"/>
                <w:highlight w:val="none"/>
                <w:u w:color="000000"/>
              </w:rPr>
            </w:pPr>
          </w:p>
        </w:tc>
        <w:tc>
          <w:tcPr>
            <w:tcW w:w="1952" w:type="dxa"/>
            <w:tcBorders>
              <w:top w:val="single" w:color="auto" w:sz="4" w:space="0"/>
              <w:left w:val="single" w:color="auto" w:sz="4" w:space="0"/>
              <w:bottom w:val="single" w:color="000000" w:sz="4" w:space="0"/>
              <w:right w:val="single" w:color="auto" w:sz="4" w:space="0"/>
            </w:tcBorders>
            <w:vAlign w:val="center"/>
          </w:tcPr>
          <w:p w14:paraId="07E87E00">
            <w:pPr>
              <w:spacing w:line="351" w:lineRule="atLeast"/>
              <w:ind w:firstLine="554" w:firstLineChars="198"/>
              <w:rPr>
                <w:rFonts w:asciiTheme="minorEastAsia" w:hAnsiTheme="minorEastAsia" w:eastAsiaTheme="minorEastAsia" w:cstheme="minorEastAsia"/>
                <w:color w:val="auto"/>
                <w:sz w:val="28"/>
                <w:highlight w:val="none"/>
                <w:u w:color="000000"/>
              </w:rPr>
            </w:pPr>
            <w:r>
              <w:rPr>
                <w:rFonts w:hint="eastAsia" w:asciiTheme="minorEastAsia" w:hAnsiTheme="minorEastAsia" w:eastAsiaTheme="minorEastAsia" w:cstheme="minorEastAsia"/>
                <w:color w:val="auto"/>
                <w:sz w:val="28"/>
                <w:highlight w:val="none"/>
              </w:rPr>
              <w:t>学  历</w:t>
            </w:r>
          </w:p>
        </w:tc>
        <w:tc>
          <w:tcPr>
            <w:tcW w:w="2928" w:type="dxa"/>
            <w:tcBorders>
              <w:top w:val="single" w:color="auto" w:sz="4" w:space="0"/>
              <w:left w:val="single" w:color="auto" w:sz="4" w:space="0"/>
              <w:bottom w:val="single" w:color="000000" w:sz="4" w:space="0"/>
              <w:right w:val="single" w:color="000000" w:sz="8" w:space="0"/>
            </w:tcBorders>
            <w:vAlign w:val="center"/>
          </w:tcPr>
          <w:p w14:paraId="36FF7F61">
            <w:pPr>
              <w:spacing w:line="351" w:lineRule="atLeast"/>
              <w:jc w:val="center"/>
              <w:rPr>
                <w:rFonts w:asciiTheme="minorEastAsia" w:hAnsiTheme="minorEastAsia" w:eastAsiaTheme="minorEastAsia" w:cstheme="minorEastAsia"/>
                <w:color w:val="auto"/>
                <w:sz w:val="28"/>
                <w:highlight w:val="none"/>
                <w:u w:color="000000"/>
              </w:rPr>
            </w:pPr>
          </w:p>
        </w:tc>
      </w:tr>
      <w:tr w14:paraId="22476F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10" w:hRule="atLeast"/>
        </w:trPr>
        <w:tc>
          <w:tcPr>
            <w:tcW w:w="1964" w:type="dxa"/>
            <w:gridSpan w:val="2"/>
            <w:tcBorders>
              <w:top w:val="single" w:color="auto" w:sz="4" w:space="0"/>
              <w:left w:val="single" w:color="000000" w:sz="8" w:space="0"/>
              <w:bottom w:val="single" w:color="000000" w:sz="4" w:space="0"/>
              <w:right w:val="single" w:color="000000" w:sz="4" w:space="0"/>
            </w:tcBorders>
            <w:vAlign w:val="center"/>
          </w:tcPr>
          <w:p w14:paraId="60ADA340">
            <w:pPr>
              <w:spacing w:line="351" w:lineRule="atLeast"/>
              <w:jc w:val="center"/>
              <w:rPr>
                <w:rFonts w:asciiTheme="minorEastAsia" w:hAnsiTheme="minorEastAsia" w:eastAsiaTheme="minorEastAsia" w:cstheme="minorEastAsia"/>
                <w:color w:val="auto"/>
                <w:sz w:val="28"/>
                <w:highlight w:val="none"/>
                <w:u w:color="000000"/>
              </w:rPr>
            </w:pPr>
            <w:r>
              <w:rPr>
                <w:rFonts w:hint="eastAsia" w:asciiTheme="minorEastAsia" w:hAnsiTheme="minorEastAsia" w:eastAsiaTheme="minorEastAsia" w:cstheme="minorEastAsia"/>
                <w:color w:val="auto"/>
                <w:sz w:val="28"/>
                <w:highlight w:val="none"/>
                <w:u w:color="000000"/>
              </w:rPr>
              <w:t>手机号</w:t>
            </w:r>
          </w:p>
        </w:tc>
        <w:tc>
          <w:tcPr>
            <w:tcW w:w="2733" w:type="dxa"/>
            <w:tcBorders>
              <w:top w:val="single" w:color="auto" w:sz="4" w:space="0"/>
              <w:left w:val="single" w:color="auto" w:sz="4" w:space="0"/>
              <w:bottom w:val="single" w:color="000000" w:sz="4" w:space="0"/>
              <w:right w:val="single" w:color="000000" w:sz="4" w:space="0"/>
            </w:tcBorders>
            <w:vAlign w:val="center"/>
          </w:tcPr>
          <w:p w14:paraId="24C18DA5">
            <w:pPr>
              <w:spacing w:line="351" w:lineRule="atLeast"/>
              <w:jc w:val="center"/>
              <w:rPr>
                <w:rFonts w:asciiTheme="minorEastAsia" w:hAnsiTheme="minorEastAsia" w:eastAsiaTheme="minorEastAsia" w:cstheme="minorEastAsia"/>
                <w:color w:val="auto"/>
                <w:sz w:val="28"/>
                <w:highlight w:val="none"/>
                <w:u w:color="000000"/>
              </w:rPr>
            </w:pPr>
          </w:p>
        </w:tc>
        <w:tc>
          <w:tcPr>
            <w:tcW w:w="1952" w:type="dxa"/>
            <w:tcBorders>
              <w:top w:val="single" w:color="auto" w:sz="4" w:space="0"/>
              <w:left w:val="single" w:color="auto" w:sz="4" w:space="0"/>
              <w:bottom w:val="single" w:color="000000" w:sz="4" w:space="0"/>
              <w:right w:val="single" w:color="auto" w:sz="4" w:space="0"/>
            </w:tcBorders>
            <w:vAlign w:val="center"/>
          </w:tcPr>
          <w:p w14:paraId="4D98B704">
            <w:pPr>
              <w:spacing w:line="351" w:lineRule="atLeast"/>
              <w:jc w:val="center"/>
              <w:rPr>
                <w:rFonts w:asciiTheme="minorEastAsia" w:hAnsiTheme="minorEastAsia" w:eastAsiaTheme="minorEastAsia" w:cstheme="minorEastAsia"/>
                <w:color w:val="auto"/>
                <w:sz w:val="28"/>
                <w:highlight w:val="none"/>
                <w:u w:color="000000"/>
              </w:rPr>
            </w:pPr>
            <w:r>
              <w:rPr>
                <w:rFonts w:hint="eastAsia" w:asciiTheme="minorEastAsia" w:hAnsiTheme="minorEastAsia" w:eastAsiaTheme="minorEastAsia" w:cstheme="minorEastAsia"/>
                <w:color w:val="auto"/>
                <w:sz w:val="28"/>
                <w:highlight w:val="none"/>
                <w:u w:color="000000"/>
              </w:rPr>
              <w:t>联系电话</w:t>
            </w:r>
          </w:p>
        </w:tc>
        <w:tc>
          <w:tcPr>
            <w:tcW w:w="2928" w:type="dxa"/>
            <w:tcBorders>
              <w:top w:val="single" w:color="auto" w:sz="4" w:space="0"/>
              <w:left w:val="single" w:color="auto" w:sz="4" w:space="0"/>
              <w:bottom w:val="single" w:color="000000" w:sz="4" w:space="0"/>
              <w:right w:val="single" w:color="000000" w:sz="8" w:space="0"/>
            </w:tcBorders>
            <w:vAlign w:val="center"/>
          </w:tcPr>
          <w:p w14:paraId="228B4B16">
            <w:pPr>
              <w:spacing w:line="351" w:lineRule="atLeast"/>
              <w:jc w:val="center"/>
              <w:rPr>
                <w:rFonts w:asciiTheme="minorEastAsia" w:hAnsiTheme="minorEastAsia" w:eastAsiaTheme="minorEastAsia" w:cstheme="minorEastAsia"/>
                <w:color w:val="auto"/>
                <w:sz w:val="28"/>
                <w:highlight w:val="none"/>
                <w:u w:color="000000"/>
              </w:rPr>
            </w:pPr>
          </w:p>
        </w:tc>
      </w:tr>
      <w:tr w14:paraId="20A45A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572" w:hRule="atLeast"/>
        </w:trPr>
        <w:tc>
          <w:tcPr>
            <w:tcW w:w="880" w:type="dxa"/>
            <w:tcBorders>
              <w:top w:val="single" w:color="auto" w:sz="4" w:space="0"/>
              <w:left w:val="single" w:color="000000" w:sz="8" w:space="0"/>
              <w:bottom w:val="single" w:color="000000" w:sz="8" w:space="0"/>
              <w:right w:val="single" w:color="000000" w:sz="4" w:space="0"/>
            </w:tcBorders>
            <w:vAlign w:val="center"/>
          </w:tcPr>
          <w:p w14:paraId="7AA8E874">
            <w:pPr>
              <w:jc w:val="center"/>
              <w:rPr>
                <w:rFonts w:asciiTheme="minorEastAsia" w:hAnsiTheme="minorEastAsia" w:eastAsiaTheme="minorEastAsia" w:cstheme="minorEastAsia"/>
                <w:color w:val="auto"/>
                <w:sz w:val="28"/>
                <w:highlight w:val="none"/>
                <w:u w:color="000000"/>
              </w:rPr>
            </w:pPr>
            <w:r>
              <w:rPr>
                <w:rFonts w:hint="eastAsia" w:asciiTheme="minorEastAsia" w:hAnsiTheme="minorEastAsia" w:eastAsiaTheme="minorEastAsia" w:cstheme="minorEastAsia"/>
                <w:color w:val="auto"/>
                <w:sz w:val="28"/>
                <w:highlight w:val="none"/>
              </w:rPr>
              <w:t>简</w:t>
            </w:r>
          </w:p>
          <w:p w14:paraId="20407AF3">
            <w:pPr>
              <w:jc w:val="center"/>
              <w:rPr>
                <w:rFonts w:asciiTheme="minorEastAsia" w:hAnsiTheme="minorEastAsia" w:eastAsiaTheme="minorEastAsia" w:cstheme="minorEastAsia"/>
                <w:color w:val="auto"/>
                <w:sz w:val="28"/>
                <w:highlight w:val="none"/>
              </w:rPr>
            </w:pPr>
          </w:p>
          <w:p w14:paraId="1EB1684C">
            <w:pPr>
              <w:jc w:val="center"/>
              <w:rPr>
                <w:rFonts w:asciiTheme="minorEastAsia" w:hAnsiTheme="minorEastAsia" w:eastAsiaTheme="minorEastAsia" w:cstheme="minorEastAsia"/>
                <w:color w:val="auto"/>
                <w:sz w:val="28"/>
                <w:highlight w:val="none"/>
              </w:rPr>
            </w:pPr>
          </w:p>
          <w:p w14:paraId="5137D2D2">
            <w:pPr>
              <w:spacing w:line="351" w:lineRule="atLeast"/>
              <w:jc w:val="center"/>
              <w:rPr>
                <w:rFonts w:asciiTheme="minorEastAsia" w:hAnsiTheme="minorEastAsia" w:eastAsiaTheme="minorEastAsia" w:cstheme="minorEastAsia"/>
                <w:color w:val="auto"/>
                <w:highlight w:val="none"/>
                <w:u w:color="000000"/>
              </w:rPr>
            </w:pPr>
            <w:r>
              <w:rPr>
                <w:rFonts w:hint="eastAsia" w:asciiTheme="minorEastAsia" w:hAnsiTheme="minorEastAsia" w:eastAsiaTheme="minorEastAsia" w:cstheme="minorEastAsia"/>
                <w:color w:val="auto"/>
                <w:sz w:val="28"/>
                <w:highlight w:val="none"/>
              </w:rPr>
              <w:t>历</w:t>
            </w:r>
          </w:p>
        </w:tc>
        <w:tc>
          <w:tcPr>
            <w:tcW w:w="8697" w:type="dxa"/>
            <w:gridSpan w:val="4"/>
            <w:tcBorders>
              <w:top w:val="single" w:color="auto" w:sz="4" w:space="0"/>
              <w:left w:val="single" w:color="auto" w:sz="4" w:space="0"/>
              <w:bottom w:val="single" w:color="000000" w:sz="8" w:space="0"/>
              <w:right w:val="single" w:color="000000" w:sz="8" w:space="0"/>
            </w:tcBorders>
            <w:vAlign w:val="center"/>
          </w:tcPr>
          <w:p w14:paraId="4C0FCFBA">
            <w:pPr>
              <w:spacing w:line="351" w:lineRule="atLeast"/>
              <w:jc w:val="center"/>
              <w:rPr>
                <w:rFonts w:asciiTheme="minorEastAsia" w:hAnsiTheme="minorEastAsia" w:eastAsiaTheme="minorEastAsia" w:cstheme="minorEastAsia"/>
                <w:color w:val="auto"/>
                <w:highlight w:val="none"/>
                <w:u w:color="000000"/>
              </w:rPr>
            </w:pPr>
          </w:p>
        </w:tc>
      </w:tr>
    </w:tbl>
    <w:p w14:paraId="6682207E">
      <w:pPr>
        <w:rPr>
          <w:rFonts w:asciiTheme="minorEastAsia" w:hAnsiTheme="minorEastAsia" w:eastAsiaTheme="minorEastAsia" w:cstheme="minorEastAsia"/>
          <w:bCs/>
          <w:snapToGrid w:val="0"/>
          <w:color w:val="auto"/>
          <w:highlight w:val="none"/>
        </w:rPr>
      </w:pPr>
    </w:p>
    <w:p w14:paraId="6041AA78">
      <w:pPr>
        <w:snapToGrid w:val="0"/>
        <w:spacing w:before="50" w:afterLines="50"/>
        <w:jc w:val="left"/>
        <w:rPr>
          <w:rFonts w:asciiTheme="minorEastAsia" w:hAnsiTheme="minorEastAsia" w:eastAsiaTheme="minorEastAsia" w:cstheme="minorEastAsia"/>
          <w:b/>
          <w:color w:val="auto"/>
          <w:spacing w:val="20"/>
          <w:sz w:val="24"/>
          <w:highlight w:val="none"/>
        </w:rPr>
      </w:pPr>
      <w:bookmarkStart w:id="76" w:name="_Hlk60757472"/>
      <w:r>
        <w:rPr>
          <w:rFonts w:hint="eastAsia" w:asciiTheme="minorEastAsia" w:hAnsiTheme="minorEastAsia" w:eastAsiaTheme="minorEastAsia" w:cstheme="minorEastAsia"/>
          <w:b/>
          <w:color w:val="auto"/>
          <w:spacing w:val="20"/>
          <w:sz w:val="24"/>
          <w:highlight w:val="none"/>
        </w:rPr>
        <w:t>法定代表人签字（或盖章）：            投标人（盖章）：</w:t>
      </w:r>
    </w:p>
    <w:p w14:paraId="54218473">
      <w:pPr>
        <w:snapToGrid w:val="0"/>
        <w:spacing w:before="50" w:afterLines="50"/>
        <w:jc w:val="left"/>
        <w:rPr>
          <w:rFonts w:asciiTheme="minorEastAsia" w:hAnsiTheme="minorEastAsia" w:eastAsiaTheme="minorEastAsia" w:cstheme="minorEastAsia"/>
          <w:b/>
          <w:color w:val="auto"/>
          <w:sz w:val="24"/>
          <w:highlight w:val="none"/>
        </w:rPr>
      </w:pPr>
    </w:p>
    <w:p w14:paraId="0D266087">
      <w:pPr>
        <w:snapToGrid w:val="0"/>
        <w:spacing w:before="50" w:afterLines="50"/>
        <w:jc w:val="lef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b/>
          <w:color w:val="auto"/>
          <w:sz w:val="24"/>
          <w:highlight w:val="none"/>
        </w:rPr>
        <w:t>日期：  _____年___月___日</w:t>
      </w:r>
      <w:r>
        <w:rPr>
          <w:rFonts w:hint="eastAsia" w:asciiTheme="minorEastAsia" w:hAnsiTheme="minorEastAsia" w:eastAsiaTheme="minorEastAsia" w:cstheme="minorEastAsia"/>
          <w:b/>
          <w:color w:val="auto"/>
          <w:sz w:val="24"/>
          <w:highlight w:val="none"/>
        </w:rPr>
        <w:br w:type="page"/>
      </w:r>
      <w:bookmarkEnd w:id="76"/>
      <w:r>
        <w:rPr>
          <w:rFonts w:hint="eastAsia" w:asciiTheme="minorEastAsia" w:hAnsiTheme="minorEastAsia" w:eastAsiaTheme="minorEastAsia" w:cstheme="minorEastAsia"/>
          <w:color w:val="auto"/>
          <w:sz w:val="24"/>
          <w:highlight w:val="none"/>
        </w:rPr>
        <w:t>9、项目实施人员一览表格式</w:t>
      </w:r>
    </w:p>
    <w:p w14:paraId="5C37073E">
      <w:pPr>
        <w:snapToGrid w:val="0"/>
        <w:spacing w:before="50" w:afterLines="50"/>
        <w:jc w:val="left"/>
        <w:rPr>
          <w:rFonts w:asciiTheme="minorEastAsia" w:hAnsiTheme="minorEastAsia" w:eastAsiaTheme="minorEastAsia" w:cstheme="minorEastAsia"/>
          <w:color w:val="auto"/>
          <w:sz w:val="24"/>
          <w:szCs w:val="20"/>
          <w:highlight w:val="none"/>
        </w:rPr>
      </w:pPr>
    </w:p>
    <w:p w14:paraId="11F54BA6">
      <w:pPr>
        <w:snapToGrid w:val="0"/>
        <w:spacing w:beforeLines="50" w:after="50"/>
        <w:jc w:val="center"/>
        <w:rPr>
          <w:rFonts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项目实施人员（主要从业人员及其技术资格）一览表</w:t>
      </w:r>
    </w:p>
    <w:p w14:paraId="6CACBF7B">
      <w:pPr>
        <w:snapToGrid w:val="0"/>
        <w:spacing w:beforeLines="50" w:after="50" w:line="480" w:lineRule="auto"/>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bCs/>
          <w:color w:val="auto"/>
          <w:sz w:val="24"/>
          <w:highlight w:val="none"/>
        </w:rPr>
        <w:t>项目名称：</w:t>
      </w:r>
    </w:p>
    <w:p w14:paraId="03F73491">
      <w:pPr>
        <w:snapToGrid w:val="0"/>
        <w:spacing w:beforeLines="50" w:after="50" w:line="480" w:lineRule="auto"/>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项目编号：</w:t>
      </w:r>
    </w:p>
    <w:tbl>
      <w:tblPr>
        <w:tblStyle w:val="52"/>
        <w:tblW w:w="9182" w:type="dxa"/>
        <w:tblInd w:w="-143"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18"/>
        <w:gridCol w:w="1560"/>
        <w:gridCol w:w="1701"/>
        <w:gridCol w:w="1842"/>
        <w:gridCol w:w="1560"/>
        <w:gridCol w:w="1701"/>
      </w:tblGrid>
      <w:tr w14:paraId="610E060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vAlign w:val="center"/>
          </w:tcPr>
          <w:p w14:paraId="3CFDCA44">
            <w:pPr>
              <w:snapToGrid w:val="0"/>
              <w:spacing w:beforeLines="50" w:after="50" w:line="360" w:lineRule="auto"/>
              <w:jc w:val="center"/>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序号</w:t>
            </w:r>
          </w:p>
        </w:tc>
        <w:tc>
          <w:tcPr>
            <w:tcW w:w="1560" w:type="dxa"/>
            <w:tcBorders>
              <w:top w:val="single" w:color="auto" w:sz="4" w:space="0"/>
              <w:left w:val="single" w:color="auto" w:sz="4" w:space="0"/>
              <w:bottom w:val="single" w:color="auto" w:sz="4" w:space="0"/>
              <w:right w:val="single" w:color="auto" w:sz="4" w:space="0"/>
            </w:tcBorders>
            <w:vAlign w:val="center"/>
          </w:tcPr>
          <w:p w14:paraId="01A8AF08">
            <w:pPr>
              <w:snapToGrid w:val="0"/>
              <w:spacing w:beforeLines="50" w:after="50" w:line="360" w:lineRule="auto"/>
              <w:jc w:val="center"/>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姓名</w:t>
            </w:r>
          </w:p>
        </w:tc>
        <w:tc>
          <w:tcPr>
            <w:tcW w:w="1701" w:type="dxa"/>
            <w:tcBorders>
              <w:top w:val="single" w:color="auto" w:sz="4" w:space="0"/>
              <w:left w:val="single" w:color="auto" w:sz="4" w:space="0"/>
              <w:bottom w:val="single" w:color="auto" w:sz="4" w:space="0"/>
              <w:right w:val="single" w:color="auto" w:sz="4" w:space="0"/>
            </w:tcBorders>
            <w:vAlign w:val="center"/>
          </w:tcPr>
          <w:p w14:paraId="1945C3D9">
            <w:pPr>
              <w:snapToGrid w:val="0"/>
              <w:spacing w:beforeLines="50" w:after="50" w:line="360" w:lineRule="auto"/>
              <w:jc w:val="center"/>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职务</w:t>
            </w:r>
          </w:p>
        </w:tc>
        <w:tc>
          <w:tcPr>
            <w:tcW w:w="1842" w:type="dxa"/>
            <w:tcBorders>
              <w:top w:val="single" w:color="auto" w:sz="4" w:space="0"/>
              <w:left w:val="single" w:color="auto" w:sz="4" w:space="0"/>
              <w:bottom w:val="single" w:color="auto" w:sz="4" w:space="0"/>
              <w:right w:val="single" w:color="auto" w:sz="4" w:space="0"/>
            </w:tcBorders>
            <w:vAlign w:val="center"/>
          </w:tcPr>
          <w:p w14:paraId="17D1AD1F">
            <w:pPr>
              <w:snapToGrid w:val="0"/>
              <w:spacing w:beforeLines="50" w:after="50" w:line="360" w:lineRule="auto"/>
              <w:jc w:val="center"/>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专业技术资格</w:t>
            </w:r>
          </w:p>
        </w:tc>
        <w:tc>
          <w:tcPr>
            <w:tcW w:w="1560" w:type="dxa"/>
            <w:tcBorders>
              <w:top w:val="single" w:color="auto" w:sz="4" w:space="0"/>
              <w:left w:val="single" w:color="auto" w:sz="4" w:space="0"/>
              <w:bottom w:val="single" w:color="auto" w:sz="4" w:space="0"/>
              <w:right w:val="single" w:color="auto" w:sz="4" w:space="0"/>
            </w:tcBorders>
            <w:vAlign w:val="center"/>
          </w:tcPr>
          <w:p w14:paraId="21E2A8FD">
            <w:pPr>
              <w:snapToGrid w:val="0"/>
              <w:spacing w:beforeLines="50" w:after="50" w:line="360" w:lineRule="auto"/>
              <w:jc w:val="center"/>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证书编号</w:t>
            </w:r>
          </w:p>
        </w:tc>
        <w:tc>
          <w:tcPr>
            <w:tcW w:w="1701" w:type="dxa"/>
            <w:tcBorders>
              <w:top w:val="single" w:color="auto" w:sz="4" w:space="0"/>
              <w:left w:val="single" w:color="auto" w:sz="4" w:space="0"/>
              <w:bottom w:val="single" w:color="auto" w:sz="4" w:space="0"/>
              <w:right w:val="single" w:color="auto" w:sz="4" w:space="0"/>
            </w:tcBorders>
            <w:vAlign w:val="center"/>
          </w:tcPr>
          <w:p w14:paraId="2D34878D">
            <w:pPr>
              <w:snapToGrid w:val="0"/>
              <w:spacing w:beforeLines="50" w:after="50" w:line="360" w:lineRule="auto"/>
              <w:jc w:val="center"/>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进入本单位工作开始时间</w:t>
            </w:r>
          </w:p>
        </w:tc>
      </w:tr>
      <w:tr w14:paraId="12CD3B7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7A838628">
            <w:pPr>
              <w:snapToGrid w:val="0"/>
              <w:spacing w:beforeLines="50" w:after="50" w:line="360" w:lineRule="auto"/>
              <w:rPr>
                <w:rFonts w:asciiTheme="minorEastAsia" w:hAnsiTheme="minorEastAsia" w:eastAsiaTheme="minorEastAsia" w:cstheme="minorEastAsia"/>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37DDE015">
            <w:pPr>
              <w:snapToGrid w:val="0"/>
              <w:spacing w:beforeLines="50" w:after="50" w:line="360" w:lineRule="auto"/>
              <w:rPr>
                <w:rFonts w:asciiTheme="minorEastAsia" w:hAnsiTheme="minorEastAsia" w:eastAsiaTheme="minorEastAsia" w:cstheme="minorEastAsia"/>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10BBDC58">
            <w:pPr>
              <w:snapToGrid w:val="0"/>
              <w:spacing w:beforeLines="50" w:after="50" w:line="360" w:lineRule="auto"/>
              <w:rPr>
                <w:rFonts w:asciiTheme="minorEastAsia" w:hAnsiTheme="minorEastAsia" w:eastAsiaTheme="minorEastAsia" w:cstheme="minorEastAsia"/>
                <w:color w:val="auto"/>
                <w:sz w:val="24"/>
                <w:highlight w:val="none"/>
              </w:rPr>
            </w:pPr>
          </w:p>
        </w:tc>
        <w:tc>
          <w:tcPr>
            <w:tcW w:w="1842" w:type="dxa"/>
            <w:tcBorders>
              <w:top w:val="single" w:color="auto" w:sz="4" w:space="0"/>
              <w:left w:val="single" w:color="auto" w:sz="4" w:space="0"/>
              <w:bottom w:val="single" w:color="auto" w:sz="4" w:space="0"/>
              <w:right w:val="single" w:color="auto" w:sz="4" w:space="0"/>
            </w:tcBorders>
          </w:tcPr>
          <w:p w14:paraId="721A51A9">
            <w:pPr>
              <w:snapToGrid w:val="0"/>
              <w:spacing w:beforeLines="50" w:after="50" w:line="360" w:lineRule="auto"/>
              <w:rPr>
                <w:rFonts w:asciiTheme="minorEastAsia" w:hAnsiTheme="minorEastAsia" w:eastAsiaTheme="minorEastAsia" w:cstheme="minorEastAsia"/>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20EFDEFC">
            <w:pPr>
              <w:snapToGrid w:val="0"/>
              <w:spacing w:beforeLines="50" w:after="50" w:line="360" w:lineRule="auto"/>
              <w:rPr>
                <w:rFonts w:asciiTheme="minorEastAsia" w:hAnsiTheme="minorEastAsia" w:eastAsiaTheme="minorEastAsia" w:cstheme="minorEastAsia"/>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5336DB6D">
            <w:pPr>
              <w:snapToGrid w:val="0"/>
              <w:spacing w:beforeLines="50" w:after="50" w:line="360" w:lineRule="auto"/>
              <w:rPr>
                <w:rFonts w:asciiTheme="minorEastAsia" w:hAnsiTheme="minorEastAsia" w:eastAsiaTheme="minorEastAsia" w:cstheme="minorEastAsia"/>
                <w:color w:val="auto"/>
                <w:sz w:val="24"/>
                <w:highlight w:val="none"/>
              </w:rPr>
            </w:pPr>
          </w:p>
        </w:tc>
      </w:tr>
      <w:tr w14:paraId="63F2BB9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6B98F969">
            <w:pPr>
              <w:snapToGrid w:val="0"/>
              <w:spacing w:beforeLines="50" w:after="50" w:line="360" w:lineRule="auto"/>
              <w:rPr>
                <w:rFonts w:asciiTheme="minorEastAsia" w:hAnsiTheme="minorEastAsia" w:eastAsiaTheme="minorEastAsia" w:cstheme="minorEastAsia"/>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7E0EA09E">
            <w:pPr>
              <w:snapToGrid w:val="0"/>
              <w:spacing w:beforeLines="50" w:after="50" w:line="360" w:lineRule="auto"/>
              <w:rPr>
                <w:rFonts w:asciiTheme="minorEastAsia" w:hAnsiTheme="minorEastAsia" w:eastAsiaTheme="minorEastAsia" w:cstheme="minorEastAsia"/>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1B783994">
            <w:pPr>
              <w:snapToGrid w:val="0"/>
              <w:spacing w:beforeLines="50" w:after="50" w:line="360" w:lineRule="auto"/>
              <w:rPr>
                <w:rFonts w:asciiTheme="minorEastAsia" w:hAnsiTheme="minorEastAsia" w:eastAsiaTheme="minorEastAsia" w:cstheme="minorEastAsia"/>
                <w:color w:val="auto"/>
                <w:sz w:val="24"/>
                <w:highlight w:val="none"/>
              </w:rPr>
            </w:pPr>
          </w:p>
        </w:tc>
        <w:tc>
          <w:tcPr>
            <w:tcW w:w="1842" w:type="dxa"/>
            <w:tcBorders>
              <w:top w:val="single" w:color="auto" w:sz="4" w:space="0"/>
              <w:left w:val="single" w:color="auto" w:sz="4" w:space="0"/>
              <w:bottom w:val="single" w:color="auto" w:sz="4" w:space="0"/>
              <w:right w:val="single" w:color="auto" w:sz="4" w:space="0"/>
            </w:tcBorders>
          </w:tcPr>
          <w:p w14:paraId="66E9F417">
            <w:pPr>
              <w:snapToGrid w:val="0"/>
              <w:spacing w:beforeLines="50" w:after="50" w:line="360" w:lineRule="auto"/>
              <w:rPr>
                <w:rFonts w:asciiTheme="minorEastAsia" w:hAnsiTheme="minorEastAsia" w:eastAsiaTheme="minorEastAsia" w:cstheme="minorEastAsia"/>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337D5C40">
            <w:pPr>
              <w:snapToGrid w:val="0"/>
              <w:spacing w:beforeLines="50" w:after="50" w:line="360" w:lineRule="auto"/>
              <w:rPr>
                <w:rFonts w:asciiTheme="minorEastAsia" w:hAnsiTheme="minorEastAsia" w:eastAsiaTheme="minorEastAsia" w:cstheme="minorEastAsia"/>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6CE597EB">
            <w:pPr>
              <w:snapToGrid w:val="0"/>
              <w:spacing w:beforeLines="50" w:after="50" w:line="360" w:lineRule="auto"/>
              <w:rPr>
                <w:rFonts w:asciiTheme="minorEastAsia" w:hAnsiTheme="minorEastAsia" w:eastAsiaTheme="minorEastAsia" w:cstheme="minorEastAsia"/>
                <w:color w:val="auto"/>
                <w:sz w:val="24"/>
                <w:highlight w:val="none"/>
              </w:rPr>
            </w:pPr>
          </w:p>
        </w:tc>
      </w:tr>
      <w:tr w14:paraId="5A78840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5BE0BA3F">
            <w:pPr>
              <w:snapToGrid w:val="0"/>
              <w:spacing w:beforeLines="50" w:after="50" w:line="360" w:lineRule="auto"/>
              <w:rPr>
                <w:rFonts w:asciiTheme="minorEastAsia" w:hAnsiTheme="minorEastAsia" w:eastAsiaTheme="minorEastAsia" w:cstheme="minorEastAsia"/>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1FE9BA2D">
            <w:pPr>
              <w:snapToGrid w:val="0"/>
              <w:spacing w:beforeLines="50" w:after="50" w:line="360" w:lineRule="auto"/>
              <w:rPr>
                <w:rFonts w:asciiTheme="minorEastAsia" w:hAnsiTheme="minorEastAsia" w:eastAsiaTheme="minorEastAsia" w:cstheme="minorEastAsia"/>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1EEA9803">
            <w:pPr>
              <w:snapToGrid w:val="0"/>
              <w:spacing w:beforeLines="50" w:after="50" w:line="360" w:lineRule="auto"/>
              <w:rPr>
                <w:rFonts w:asciiTheme="minorEastAsia" w:hAnsiTheme="minorEastAsia" w:eastAsiaTheme="minorEastAsia" w:cstheme="minorEastAsia"/>
                <w:color w:val="auto"/>
                <w:sz w:val="24"/>
                <w:highlight w:val="none"/>
              </w:rPr>
            </w:pPr>
          </w:p>
        </w:tc>
        <w:tc>
          <w:tcPr>
            <w:tcW w:w="1842" w:type="dxa"/>
            <w:tcBorders>
              <w:top w:val="single" w:color="auto" w:sz="4" w:space="0"/>
              <w:left w:val="single" w:color="auto" w:sz="4" w:space="0"/>
              <w:bottom w:val="single" w:color="auto" w:sz="4" w:space="0"/>
              <w:right w:val="single" w:color="auto" w:sz="4" w:space="0"/>
            </w:tcBorders>
          </w:tcPr>
          <w:p w14:paraId="41E0652C">
            <w:pPr>
              <w:pStyle w:val="34"/>
              <w:snapToGrid w:val="0"/>
              <w:spacing w:beforeLines="50" w:after="50" w:line="360" w:lineRule="auto"/>
              <w:ind w:left="5250"/>
              <w:rPr>
                <w:rFonts w:asciiTheme="minorEastAsia" w:hAnsiTheme="minorEastAsia" w:eastAsiaTheme="minorEastAsia" w:cstheme="minorEastAsia"/>
                <w:color w:val="auto"/>
                <w:kern w:val="2"/>
                <w:sz w:val="24"/>
                <w:szCs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10A33D06">
            <w:pPr>
              <w:snapToGrid w:val="0"/>
              <w:spacing w:beforeLines="50" w:after="50" w:line="360" w:lineRule="auto"/>
              <w:rPr>
                <w:rFonts w:asciiTheme="minorEastAsia" w:hAnsiTheme="minorEastAsia" w:eastAsiaTheme="minorEastAsia" w:cstheme="minorEastAsia"/>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79BA5C80">
            <w:pPr>
              <w:snapToGrid w:val="0"/>
              <w:spacing w:beforeLines="50" w:after="50" w:line="360" w:lineRule="auto"/>
              <w:rPr>
                <w:rFonts w:asciiTheme="minorEastAsia" w:hAnsiTheme="minorEastAsia" w:eastAsiaTheme="minorEastAsia" w:cstheme="minorEastAsia"/>
                <w:color w:val="auto"/>
                <w:sz w:val="24"/>
                <w:highlight w:val="none"/>
              </w:rPr>
            </w:pPr>
          </w:p>
        </w:tc>
      </w:tr>
      <w:tr w14:paraId="5F39DB8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78D6C910">
            <w:pPr>
              <w:snapToGrid w:val="0"/>
              <w:spacing w:beforeLines="50" w:after="50" w:line="360" w:lineRule="auto"/>
              <w:rPr>
                <w:rFonts w:asciiTheme="minorEastAsia" w:hAnsiTheme="minorEastAsia" w:eastAsiaTheme="minorEastAsia" w:cstheme="minorEastAsia"/>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01C10F9D">
            <w:pPr>
              <w:snapToGrid w:val="0"/>
              <w:spacing w:beforeLines="50" w:after="50" w:line="360" w:lineRule="auto"/>
              <w:rPr>
                <w:rFonts w:asciiTheme="minorEastAsia" w:hAnsiTheme="minorEastAsia" w:eastAsiaTheme="minorEastAsia" w:cstheme="minorEastAsia"/>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34EC89C7">
            <w:pPr>
              <w:snapToGrid w:val="0"/>
              <w:spacing w:beforeLines="50" w:after="50" w:line="360" w:lineRule="auto"/>
              <w:rPr>
                <w:rFonts w:asciiTheme="minorEastAsia" w:hAnsiTheme="minorEastAsia" w:eastAsiaTheme="minorEastAsia" w:cstheme="minorEastAsia"/>
                <w:color w:val="auto"/>
                <w:sz w:val="24"/>
                <w:highlight w:val="none"/>
              </w:rPr>
            </w:pPr>
          </w:p>
        </w:tc>
        <w:tc>
          <w:tcPr>
            <w:tcW w:w="1842" w:type="dxa"/>
            <w:tcBorders>
              <w:top w:val="single" w:color="auto" w:sz="4" w:space="0"/>
              <w:left w:val="single" w:color="auto" w:sz="4" w:space="0"/>
              <w:bottom w:val="single" w:color="auto" w:sz="4" w:space="0"/>
              <w:right w:val="single" w:color="auto" w:sz="4" w:space="0"/>
            </w:tcBorders>
          </w:tcPr>
          <w:p w14:paraId="2D195963">
            <w:pPr>
              <w:snapToGrid w:val="0"/>
              <w:spacing w:beforeLines="50" w:after="50" w:line="360" w:lineRule="auto"/>
              <w:rPr>
                <w:rFonts w:asciiTheme="minorEastAsia" w:hAnsiTheme="minorEastAsia" w:eastAsiaTheme="minorEastAsia" w:cstheme="minorEastAsia"/>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585E2658">
            <w:pPr>
              <w:snapToGrid w:val="0"/>
              <w:spacing w:beforeLines="50" w:after="50" w:line="360" w:lineRule="auto"/>
              <w:rPr>
                <w:rFonts w:asciiTheme="minorEastAsia" w:hAnsiTheme="minorEastAsia" w:eastAsiaTheme="minorEastAsia" w:cstheme="minorEastAsia"/>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257CD894">
            <w:pPr>
              <w:snapToGrid w:val="0"/>
              <w:spacing w:beforeLines="50" w:after="50" w:line="360" w:lineRule="auto"/>
              <w:rPr>
                <w:rFonts w:asciiTheme="minorEastAsia" w:hAnsiTheme="minorEastAsia" w:eastAsiaTheme="minorEastAsia" w:cstheme="minorEastAsia"/>
                <w:color w:val="auto"/>
                <w:sz w:val="24"/>
                <w:highlight w:val="none"/>
              </w:rPr>
            </w:pPr>
          </w:p>
        </w:tc>
      </w:tr>
      <w:tr w14:paraId="48A630A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5509D935">
            <w:pPr>
              <w:snapToGrid w:val="0"/>
              <w:spacing w:beforeLines="50" w:after="50" w:line="360" w:lineRule="auto"/>
              <w:rPr>
                <w:rFonts w:asciiTheme="minorEastAsia" w:hAnsiTheme="minorEastAsia" w:eastAsiaTheme="minorEastAsia" w:cstheme="minorEastAsia"/>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184B1661">
            <w:pPr>
              <w:snapToGrid w:val="0"/>
              <w:spacing w:beforeLines="50" w:after="50" w:line="360" w:lineRule="auto"/>
              <w:rPr>
                <w:rFonts w:asciiTheme="minorEastAsia" w:hAnsiTheme="minorEastAsia" w:eastAsiaTheme="minorEastAsia" w:cstheme="minorEastAsia"/>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7FA5E2C4">
            <w:pPr>
              <w:snapToGrid w:val="0"/>
              <w:spacing w:beforeLines="50" w:after="50" w:line="360" w:lineRule="auto"/>
              <w:rPr>
                <w:rFonts w:asciiTheme="minorEastAsia" w:hAnsiTheme="minorEastAsia" w:eastAsiaTheme="minorEastAsia" w:cstheme="minorEastAsia"/>
                <w:color w:val="auto"/>
                <w:sz w:val="24"/>
                <w:highlight w:val="none"/>
              </w:rPr>
            </w:pPr>
          </w:p>
        </w:tc>
        <w:tc>
          <w:tcPr>
            <w:tcW w:w="1842" w:type="dxa"/>
            <w:tcBorders>
              <w:top w:val="single" w:color="auto" w:sz="4" w:space="0"/>
              <w:left w:val="single" w:color="auto" w:sz="4" w:space="0"/>
              <w:bottom w:val="single" w:color="auto" w:sz="4" w:space="0"/>
              <w:right w:val="single" w:color="auto" w:sz="4" w:space="0"/>
            </w:tcBorders>
          </w:tcPr>
          <w:p w14:paraId="0577BC6F">
            <w:pPr>
              <w:snapToGrid w:val="0"/>
              <w:spacing w:beforeLines="50" w:after="50" w:line="360" w:lineRule="auto"/>
              <w:rPr>
                <w:rFonts w:asciiTheme="minorEastAsia" w:hAnsiTheme="minorEastAsia" w:eastAsiaTheme="minorEastAsia" w:cstheme="minorEastAsia"/>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17F93509">
            <w:pPr>
              <w:snapToGrid w:val="0"/>
              <w:spacing w:beforeLines="50" w:after="50" w:line="360" w:lineRule="auto"/>
              <w:rPr>
                <w:rFonts w:asciiTheme="minorEastAsia" w:hAnsiTheme="minorEastAsia" w:eastAsiaTheme="minorEastAsia" w:cstheme="minorEastAsia"/>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705F8913">
            <w:pPr>
              <w:snapToGrid w:val="0"/>
              <w:spacing w:beforeLines="50" w:after="50" w:line="360" w:lineRule="auto"/>
              <w:rPr>
                <w:rFonts w:asciiTheme="minorEastAsia" w:hAnsiTheme="minorEastAsia" w:eastAsiaTheme="minorEastAsia" w:cstheme="minorEastAsia"/>
                <w:color w:val="auto"/>
                <w:sz w:val="24"/>
                <w:highlight w:val="none"/>
              </w:rPr>
            </w:pPr>
          </w:p>
        </w:tc>
      </w:tr>
      <w:tr w14:paraId="2242281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23EF9EE8">
            <w:pPr>
              <w:snapToGrid w:val="0"/>
              <w:spacing w:beforeLines="50" w:after="50" w:line="360" w:lineRule="auto"/>
              <w:rPr>
                <w:rFonts w:asciiTheme="minorEastAsia" w:hAnsiTheme="minorEastAsia" w:eastAsiaTheme="minorEastAsia" w:cstheme="minorEastAsia"/>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36D62BB2">
            <w:pPr>
              <w:snapToGrid w:val="0"/>
              <w:spacing w:beforeLines="50" w:after="50" w:line="360" w:lineRule="auto"/>
              <w:rPr>
                <w:rFonts w:asciiTheme="minorEastAsia" w:hAnsiTheme="minorEastAsia" w:eastAsiaTheme="minorEastAsia" w:cstheme="minorEastAsia"/>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36B64FEF">
            <w:pPr>
              <w:snapToGrid w:val="0"/>
              <w:spacing w:beforeLines="50" w:after="50" w:line="360" w:lineRule="auto"/>
              <w:rPr>
                <w:rFonts w:asciiTheme="minorEastAsia" w:hAnsiTheme="minorEastAsia" w:eastAsiaTheme="minorEastAsia" w:cstheme="minorEastAsia"/>
                <w:color w:val="auto"/>
                <w:sz w:val="24"/>
                <w:highlight w:val="none"/>
              </w:rPr>
            </w:pPr>
          </w:p>
        </w:tc>
        <w:tc>
          <w:tcPr>
            <w:tcW w:w="1842" w:type="dxa"/>
            <w:tcBorders>
              <w:top w:val="single" w:color="auto" w:sz="4" w:space="0"/>
              <w:left w:val="single" w:color="auto" w:sz="4" w:space="0"/>
              <w:bottom w:val="single" w:color="auto" w:sz="4" w:space="0"/>
              <w:right w:val="single" w:color="auto" w:sz="4" w:space="0"/>
            </w:tcBorders>
          </w:tcPr>
          <w:p w14:paraId="2DEB4C71">
            <w:pPr>
              <w:snapToGrid w:val="0"/>
              <w:spacing w:beforeLines="50" w:after="50" w:line="360" w:lineRule="auto"/>
              <w:rPr>
                <w:rFonts w:asciiTheme="minorEastAsia" w:hAnsiTheme="minorEastAsia" w:eastAsiaTheme="minorEastAsia" w:cstheme="minorEastAsia"/>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6D54B5D1">
            <w:pPr>
              <w:snapToGrid w:val="0"/>
              <w:spacing w:beforeLines="50" w:after="50" w:line="360" w:lineRule="auto"/>
              <w:rPr>
                <w:rFonts w:asciiTheme="minorEastAsia" w:hAnsiTheme="minorEastAsia" w:eastAsiaTheme="minorEastAsia" w:cstheme="minorEastAsia"/>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4D15F09A">
            <w:pPr>
              <w:snapToGrid w:val="0"/>
              <w:spacing w:beforeLines="50" w:after="50" w:line="360" w:lineRule="auto"/>
              <w:rPr>
                <w:rFonts w:asciiTheme="minorEastAsia" w:hAnsiTheme="minorEastAsia" w:eastAsiaTheme="minorEastAsia" w:cstheme="minorEastAsia"/>
                <w:color w:val="auto"/>
                <w:sz w:val="24"/>
                <w:highlight w:val="none"/>
              </w:rPr>
            </w:pPr>
          </w:p>
        </w:tc>
      </w:tr>
      <w:tr w14:paraId="45762FE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722F2616">
            <w:pPr>
              <w:snapToGrid w:val="0"/>
              <w:spacing w:beforeLines="50" w:after="50" w:line="360" w:lineRule="auto"/>
              <w:rPr>
                <w:rFonts w:asciiTheme="minorEastAsia" w:hAnsiTheme="minorEastAsia" w:eastAsiaTheme="minorEastAsia" w:cstheme="minorEastAsia"/>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7F89A343">
            <w:pPr>
              <w:snapToGrid w:val="0"/>
              <w:spacing w:beforeLines="50" w:after="50" w:line="360" w:lineRule="auto"/>
              <w:rPr>
                <w:rFonts w:asciiTheme="minorEastAsia" w:hAnsiTheme="minorEastAsia" w:eastAsiaTheme="minorEastAsia" w:cstheme="minorEastAsia"/>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202B04C7">
            <w:pPr>
              <w:snapToGrid w:val="0"/>
              <w:spacing w:beforeLines="50" w:after="50" w:line="360" w:lineRule="auto"/>
              <w:rPr>
                <w:rFonts w:asciiTheme="minorEastAsia" w:hAnsiTheme="minorEastAsia" w:eastAsiaTheme="minorEastAsia" w:cstheme="minorEastAsia"/>
                <w:color w:val="auto"/>
                <w:sz w:val="24"/>
                <w:highlight w:val="none"/>
              </w:rPr>
            </w:pPr>
          </w:p>
        </w:tc>
        <w:tc>
          <w:tcPr>
            <w:tcW w:w="1842" w:type="dxa"/>
            <w:tcBorders>
              <w:top w:val="single" w:color="auto" w:sz="4" w:space="0"/>
              <w:left w:val="single" w:color="auto" w:sz="4" w:space="0"/>
              <w:bottom w:val="single" w:color="auto" w:sz="4" w:space="0"/>
              <w:right w:val="single" w:color="auto" w:sz="4" w:space="0"/>
            </w:tcBorders>
          </w:tcPr>
          <w:p w14:paraId="7D7F065D">
            <w:pPr>
              <w:snapToGrid w:val="0"/>
              <w:spacing w:beforeLines="50" w:after="50" w:line="360" w:lineRule="auto"/>
              <w:rPr>
                <w:rFonts w:asciiTheme="minorEastAsia" w:hAnsiTheme="minorEastAsia" w:eastAsiaTheme="minorEastAsia" w:cstheme="minorEastAsia"/>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647E30FC">
            <w:pPr>
              <w:snapToGrid w:val="0"/>
              <w:spacing w:beforeLines="50" w:after="50" w:line="360" w:lineRule="auto"/>
              <w:rPr>
                <w:rFonts w:asciiTheme="minorEastAsia" w:hAnsiTheme="minorEastAsia" w:eastAsiaTheme="minorEastAsia" w:cstheme="minorEastAsia"/>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62FF110C">
            <w:pPr>
              <w:snapToGrid w:val="0"/>
              <w:spacing w:beforeLines="50" w:after="50" w:line="360" w:lineRule="auto"/>
              <w:rPr>
                <w:rFonts w:asciiTheme="minorEastAsia" w:hAnsiTheme="minorEastAsia" w:eastAsiaTheme="minorEastAsia" w:cstheme="minorEastAsia"/>
                <w:color w:val="auto"/>
                <w:sz w:val="24"/>
                <w:highlight w:val="none"/>
              </w:rPr>
            </w:pPr>
          </w:p>
        </w:tc>
      </w:tr>
      <w:tr w14:paraId="3E48A9D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2F0A918D">
            <w:pPr>
              <w:snapToGrid w:val="0"/>
              <w:spacing w:beforeLines="50" w:after="50" w:line="360" w:lineRule="auto"/>
              <w:rPr>
                <w:rFonts w:asciiTheme="minorEastAsia" w:hAnsiTheme="minorEastAsia" w:eastAsiaTheme="minorEastAsia" w:cstheme="minorEastAsia"/>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259D4A01">
            <w:pPr>
              <w:snapToGrid w:val="0"/>
              <w:spacing w:beforeLines="50" w:after="50" w:line="360" w:lineRule="auto"/>
              <w:rPr>
                <w:rFonts w:asciiTheme="minorEastAsia" w:hAnsiTheme="minorEastAsia" w:eastAsiaTheme="minorEastAsia" w:cstheme="minorEastAsia"/>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1F2B63AA">
            <w:pPr>
              <w:snapToGrid w:val="0"/>
              <w:spacing w:beforeLines="50" w:after="50" w:line="360" w:lineRule="auto"/>
              <w:rPr>
                <w:rFonts w:asciiTheme="minorEastAsia" w:hAnsiTheme="minorEastAsia" w:eastAsiaTheme="minorEastAsia" w:cstheme="minorEastAsia"/>
                <w:color w:val="auto"/>
                <w:sz w:val="24"/>
                <w:highlight w:val="none"/>
              </w:rPr>
            </w:pPr>
          </w:p>
        </w:tc>
        <w:tc>
          <w:tcPr>
            <w:tcW w:w="1842" w:type="dxa"/>
            <w:tcBorders>
              <w:top w:val="single" w:color="auto" w:sz="4" w:space="0"/>
              <w:left w:val="single" w:color="auto" w:sz="4" w:space="0"/>
              <w:bottom w:val="single" w:color="auto" w:sz="4" w:space="0"/>
              <w:right w:val="single" w:color="auto" w:sz="4" w:space="0"/>
            </w:tcBorders>
          </w:tcPr>
          <w:p w14:paraId="16F6E342">
            <w:pPr>
              <w:snapToGrid w:val="0"/>
              <w:spacing w:beforeLines="50" w:after="50" w:line="360" w:lineRule="auto"/>
              <w:rPr>
                <w:rFonts w:asciiTheme="minorEastAsia" w:hAnsiTheme="minorEastAsia" w:eastAsiaTheme="minorEastAsia" w:cstheme="minorEastAsia"/>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13EF2958">
            <w:pPr>
              <w:snapToGrid w:val="0"/>
              <w:spacing w:beforeLines="50" w:after="50" w:line="360" w:lineRule="auto"/>
              <w:rPr>
                <w:rFonts w:asciiTheme="minorEastAsia" w:hAnsiTheme="minorEastAsia" w:eastAsiaTheme="minorEastAsia" w:cstheme="minorEastAsia"/>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017B1913">
            <w:pPr>
              <w:snapToGrid w:val="0"/>
              <w:spacing w:beforeLines="50" w:after="50" w:line="360" w:lineRule="auto"/>
              <w:rPr>
                <w:rFonts w:asciiTheme="minorEastAsia" w:hAnsiTheme="minorEastAsia" w:eastAsiaTheme="minorEastAsia" w:cstheme="minorEastAsia"/>
                <w:color w:val="auto"/>
                <w:sz w:val="24"/>
                <w:highlight w:val="none"/>
              </w:rPr>
            </w:pPr>
          </w:p>
        </w:tc>
      </w:tr>
      <w:tr w14:paraId="6AFBA1A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6891F88C">
            <w:pPr>
              <w:snapToGrid w:val="0"/>
              <w:spacing w:beforeLines="50" w:after="50" w:line="360" w:lineRule="auto"/>
              <w:rPr>
                <w:rFonts w:asciiTheme="minorEastAsia" w:hAnsiTheme="minorEastAsia" w:eastAsiaTheme="minorEastAsia" w:cstheme="minorEastAsia"/>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03D6F437">
            <w:pPr>
              <w:snapToGrid w:val="0"/>
              <w:spacing w:beforeLines="50" w:after="50" w:line="360" w:lineRule="auto"/>
              <w:rPr>
                <w:rFonts w:asciiTheme="minorEastAsia" w:hAnsiTheme="minorEastAsia" w:eastAsiaTheme="minorEastAsia" w:cstheme="minorEastAsia"/>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57B36DF9">
            <w:pPr>
              <w:snapToGrid w:val="0"/>
              <w:spacing w:beforeLines="50" w:after="50" w:line="360" w:lineRule="auto"/>
              <w:rPr>
                <w:rFonts w:asciiTheme="minorEastAsia" w:hAnsiTheme="minorEastAsia" w:eastAsiaTheme="minorEastAsia" w:cstheme="minorEastAsia"/>
                <w:color w:val="auto"/>
                <w:sz w:val="24"/>
                <w:highlight w:val="none"/>
              </w:rPr>
            </w:pPr>
          </w:p>
        </w:tc>
        <w:tc>
          <w:tcPr>
            <w:tcW w:w="1842" w:type="dxa"/>
            <w:tcBorders>
              <w:top w:val="single" w:color="auto" w:sz="4" w:space="0"/>
              <w:left w:val="single" w:color="auto" w:sz="4" w:space="0"/>
              <w:bottom w:val="single" w:color="auto" w:sz="4" w:space="0"/>
              <w:right w:val="single" w:color="auto" w:sz="4" w:space="0"/>
            </w:tcBorders>
          </w:tcPr>
          <w:p w14:paraId="1FD373A6">
            <w:pPr>
              <w:snapToGrid w:val="0"/>
              <w:spacing w:beforeLines="50" w:after="50" w:line="360" w:lineRule="auto"/>
              <w:rPr>
                <w:rFonts w:asciiTheme="minorEastAsia" w:hAnsiTheme="minorEastAsia" w:eastAsiaTheme="minorEastAsia" w:cstheme="minorEastAsia"/>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693AA29A">
            <w:pPr>
              <w:snapToGrid w:val="0"/>
              <w:spacing w:beforeLines="50" w:after="50" w:line="360" w:lineRule="auto"/>
              <w:rPr>
                <w:rFonts w:asciiTheme="minorEastAsia" w:hAnsiTheme="minorEastAsia" w:eastAsiaTheme="minorEastAsia" w:cstheme="minorEastAsia"/>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73C5FE2F">
            <w:pPr>
              <w:snapToGrid w:val="0"/>
              <w:spacing w:beforeLines="50" w:after="50" w:line="360" w:lineRule="auto"/>
              <w:rPr>
                <w:rFonts w:asciiTheme="minorEastAsia" w:hAnsiTheme="minorEastAsia" w:eastAsiaTheme="minorEastAsia" w:cstheme="minorEastAsia"/>
                <w:color w:val="auto"/>
                <w:sz w:val="24"/>
                <w:highlight w:val="none"/>
              </w:rPr>
            </w:pPr>
          </w:p>
        </w:tc>
      </w:tr>
    </w:tbl>
    <w:p w14:paraId="04AEAA98">
      <w:pPr>
        <w:snapToGrid w:val="0"/>
        <w:spacing w:beforeLines="50" w:after="50" w:line="480" w:lineRule="auto"/>
        <w:rPr>
          <w:rFonts w:asciiTheme="minorEastAsia" w:hAnsiTheme="minorEastAsia" w:eastAsiaTheme="minorEastAsia" w:cstheme="minorEastAsia"/>
          <w:bCs/>
          <w:color w:val="auto"/>
          <w:sz w:val="24"/>
          <w:highlight w:val="none"/>
        </w:rPr>
      </w:pPr>
    </w:p>
    <w:p w14:paraId="1370D4CD">
      <w:pPr>
        <w:snapToGrid w:val="0"/>
        <w:spacing w:before="50" w:afterLines="50"/>
        <w:jc w:val="left"/>
        <w:rPr>
          <w:rFonts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注：在填写时，如本表格不适合投标人的实际情况，可根据本表格式自行划表填写。</w:t>
      </w:r>
    </w:p>
    <w:p w14:paraId="0CAB4E35">
      <w:pPr>
        <w:snapToGrid w:val="0"/>
        <w:spacing w:before="50" w:afterLines="50" w:line="360" w:lineRule="auto"/>
        <w:jc w:val="left"/>
        <w:rPr>
          <w:rFonts w:asciiTheme="minorEastAsia" w:hAnsiTheme="minorEastAsia" w:eastAsiaTheme="minorEastAsia" w:cstheme="minorEastAsia"/>
          <w:color w:val="auto"/>
          <w:sz w:val="24"/>
          <w:szCs w:val="20"/>
          <w:highlight w:val="none"/>
        </w:rPr>
      </w:pPr>
    </w:p>
    <w:p w14:paraId="0B0BC363">
      <w:pPr>
        <w:snapToGrid w:val="0"/>
        <w:spacing w:before="50" w:afterLines="50" w:line="360" w:lineRule="auto"/>
        <w:jc w:val="left"/>
        <w:rPr>
          <w:rFonts w:asciiTheme="minorEastAsia" w:hAnsiTheme="minorEastAsia" w:eastAsiaTheme="minorEastAsia" w:cstheme="minorEastAsia"/>
          <w:color w:val="auto"/>
          <w:sz w:val="24"/>
          <w:szCs w:val="20"/>
          <w:highlight w:val="none"/>
        </w:rPr>
      </w:pPr>
    </w:p>
    <w:p w14:paraId="28DC36A2">
      <w:pPr>
        <w:snapToGrid w:val="0"/>
        <w:spacing w:before="50" w:after="50" w:line="360" w:lineRule="auto"/>
        <w:rPr>
          <w:rFonts w:asciiTheme="minorEastAsia" w:hAnsiTheme="minorEastAsia" w:eastAsiaTheme="minorEastAsia" w:cstheme="minorEastAsia"/>
          <w:b/>
          <w:color w:val="auto"/>
          <w:sz w:val="24"/>
          <w:szCs w:val="20"/>
          <w:highlight w:val="none"/>
        </w:rPr>
      </w:pPr>
      <w:r>
        <w:rPr>
          <w:rFonts w:hint="eastAsia" w:asciiTheme="minorEastAsia" w:hAnsiTheme="minorEastAsia" w:eastAsiaTheme="minorEastAsia" w:cstheme="minorEastAsia"/>
          <w:b/>
          <w:color w:val="auto"/>
          <w:spacing w:val="20"/>
          <w:sz w:val="24"/>
          <w:highlight w:val="none"/>
        </w:rPr>
        <w:t xml:space="preserve">法定代表人签字（或盖章）：            投标人（盖章）：          </w:t>
      </w:r>
    </w:p>
    <w:p w14:paraId="49173729">
      <w:pPr>
        <w:pStyle w:val="32"/>
        <w:snapToGrid w:val="0"/>
        <w:spacing w:beforeLines="0" w:afterLines="0" w:line="240" w:lineRule="auto"/>
        <w:rPr>
          <w:rFonts w:asciiTheme="minorEastAsia" w:hAnsiTheme="minorEastAsia" w:eastAsiaTheme="minorEastAsia" w:cstheme="minorEastAsia"/>
          <w:b/>
          <w:color w:val="auto"/>
          <w:highlight w:val="none"/>
        </w:rPr>
      </w:pPr>
    </w:p>
    <w:p w14:paraId="23DE50E0">
      <w:pPr>
        <w:pStyle w:val="32"/>
        <w:snapToGrid w:val="0"/>
        <w:spacing w:beforeLines="0" w:afterLines="0" w:line="240" w:lineRule="auto"/>
        <w:rPr>
          <w:rFonts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t>日期：  _____年___月___日</w:t>
      </w:r>
    </w:p>
    <w:p w14:paraId="24B86300">
      <w:pPr>
        <w:pStyle w:val="32"/>
        <w:snapToGrid w:val="0"/>
        <w:spacing w:beforeLines="0" w:afterLines="0" w:line="240" w:lineRule="auto"/>
        <w:rPr>
          <w:rFonts w:asciiTheme="minorEastAsia" w:hAnsiTheme="minorEastAsia" w:eastAsiaTheme="minorEastAsia" w:cstheme="minorEastAsia"/>
          <w:color w:val="auto"/>
          <w:highlight w:val="none"/>
        </w:rPr>
      </w:pPr>
    </w:p>
    <w:p w14:paraId="7C6C7AA2">
      <w:pPr>
        <w:pStyle w:val="32"/>
        <w:snapToGrid w:val="0"/>
        <w:spacing w:beforeLines="0" w:afterLines="0" w:line="240" w:lineRule="auto"/>
        <w:rPr>
          <w:rFonts w:asciiTheme="minorEastAsia" w:hAnsiTheme="minorEastAsia" w:eastAsiaTheme="minorEastAsia" w:cstheme="minorEastAsia"/>
          <w:color w:val="auto"/>
          <w:highlight w:val="none"/>
        </w:rPr>
        <w:sectPr>
          <w:pgSz w:w="11906" w:h="16838"/>
          <w:pgMar w:top="1021" w:right="1588" w:bottom="851" w:left="1588" w:header="567" w:footer="454" w:gutter="0"/>
          <w:pgNumType w:fmt="decimal"/>
          <w:cols w:space="720" w:num="1"/>
          <w:docGrid w:linePitch="286" w:charSpace="0"/>
        </w:sectPr>
      </w:pPr>
    </w:p>
    <w:p w14:paraId="2EAF9EF8">
      <w:pPr>
        <w:snapToGrid w:val="0"/>
        <w:spacing w:before="50" w:afterLines="50"/>
        <w:ind w:firstLine="360" w:firstLineChars="150"/>
        <w:jc w:val="lef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10.投标人类似合同案例一览表格式：</w:t>
      </w:r>
    </w:p>
    <w:p w14:paraId="10370C70">
      <w:pPr>
        <w:snapToGrid w:val="0"/>
        <w:spacing w:before="50" w:afterLines="50"/>
        <w:jc w:val="center"/>
        <w:rPr>
          <w:rFonts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投标人类似合同案例一览表</w:t>
      </w:r>
    </w:p>
    <w:p w14:paraId="754345AC">
      <w:pPr>
        <w:snapToGrid w:val="0"/>
        <w:spacing w:beforeLines="50" w:after="50" w:line="480" w:lineRule="auto"/>
        <w:ind w:firstLine="1068" w:firstLineChars="445"/>
        <w:rPr>
          <w:rFonts w:asciiTheme="minorEastAsia" w:hAnsiTheme="minorEastAsia" w:eastAsiaTheme="minorEastAsia" w:cstheme="minorEastAsia"/>
          <w:bCs/>
          <w:color w:val="auto"/>
          <w:sz w:val="24"/>
          <w:highlight w:val="none"/>
        </w:rPr>
      </w:pPr>
    </w:p>
    <w:p w14:paraId="318DD951">
      <w:pPr>
        <w:snapToGrid w:val="0"/>
        <w:spacing w:beforeLines="50" w:after="50" w:line="480" w:lineRule="auto"/>
        <w:ind w:firstLine="1068" w:firstLineChars="445"/>
        <w:rPr>
          <w:rFonts w:asciiTheme="minorEastAsia" w:hAnsiTheme="minorEastAsia" w:eastAsiaTheme="minorEastAsia" w:cstheme="minorEastAsia"/>
          <w:bCs/>
          <w:color w:val="auto"/>
          <w:sz w:val="24"/>
          <w:szCs w:val="20"/>
          <w:highlight w:val="none"/>
        </w:rPr>
      </w:pPr>
      <w:r>
        <w:rPr>
          <w:rFonts w:hint="eastAsia" w:asciiTheme="minorEastAsia" w:hAnsiTheme="minorEastAsia" w:eastAsiaTheme="minorEastAsia" w:cstheme="minorEastAsia"/>
          <w:bCs/>
          <w:color w:val="auto"/>
          <w:sz w:val="24"/>
          <w:highlight w:val="none"/>
        </w:rPr>
        <w:t xml:space="preserve">项目名称：                                            </w:t>
      </w:r>
      <w:r>
        <w:rPr>
          <w:rFonts w:hint="eastAsia" w:asciiTheme="minorEastAsia" w:hAnsiTheme="minorEastAsia" w:eastAsiaTheme="minorEastAsia" w:cstheme="minorEastAsia"/>
          <w:color w:val="auto"/>
          <w:sz w:val="24"/>
          <w:highlight w:val="none"/>
        </w:rPr>
        <w:t>项目编号：</w:t>
      </w:r>
    </w:p>
    <w:tbl>
      <w:tblPr>
        <w:tblStyle w:val="52"/>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2433"/>
        <w:gridCol w:w="2835"/>
        <w:gridCol w:w="2003"/>
        <w:gridCol w:w="1843"/>
        <w:gridCol w:w="1921"/>
        <w:gridCol w:w="1399"/>
      </w:tblGrid>
      <w:tr w14:paraId="6064BE2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925" w:hRule="atLeast"/>
          <w:jc w:val="center"/>
        </w:trPr>
        <w:tc>
          <w:tcPr>
            <w:tcW w:w="2433" w:type="dxa"/>
            <w:tcBorders>
              <w:top w:val="single" w:color="auto" w:sz="4" w:space="0"/>
              <w:left w:val="single" w:color="auto" w:sz="4" w:space="0"/>
              <w:bottom w:val="single" w:color="auto" w:sz="4" w:space="0"/>
              <w:right w:val="single" w:color="auto" w:sz="4" w:space="0"/>
            </w:tcBorders>
            <w:vAlign w:val="center"/>
          </w:tcPr>
          <w:p w14:paraId="12E4380A">
            <w:pPr>
              <w:snapToGrid w:val="0"/>
              <w:spacing w:line="400" w:lineRule="exact"/>
              <w:jc w:val="center"/>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招标人名称</w:t>
            </w:r>
          </w:p>
        </w:tc>
        <w:tc>
          <w:tcPr>
            <w:tcW w:w="2835" w:type="dxa"/>
            <w:tcBorders>
              <w:top w:val="single" w:color="auto" w:sz="4" w:space="0"/>
              <w:left w:val="single" w:color="auto" w:sz="4" w:space="0"/>
              <w:bottom w:val="single" w:color="auto" w:sz="4" w:space="0"/>
              <w:right w:val="single" w:color="auto" w:sz="4" w:space="0"/>
            </w:tcBorders>
            <w:vAlign w:val="center"/>
          </w:tcPr>
          <w:p w14:paraId="43223C62">
            <w:pPr>
              <w:snapToGrid w:val="0"/>
              <w:spacing w:line="400" w:lineRule="exact"/>
              <w:jc w:val="center"/>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项目名称</w:t>
            </w:r>
          </w:p>
        </w:tc>
        <w:tc>
          <w:tcPr>
            <w:tcW w:w="2003" w:type="dxa"/>
            <w:tcBorders>
              <w:top w:val="single" w:color="auto" w:sz="4" w:space="0"/>
              <w:left w:val="single" w:color="auto" w:sz="4" w:space="0"/>
              <w:bottom w:val="single" w:color="auto" w:sz="4" w:space="0"/>
              <w:right w:val="single" w:color="auto" w:sz="4" w:space="0"/>
            </w:tcBorders>
            <w:vAlign w:val="center"/>
          </w:tcPr>
          <w:p w14:paraId="6CFA5071">
            <w:pPr>
              <w:snapToGrid w:val="0"/>
              <w:spacing w:line="400" w:lineRule="exact"/>
              <w:jc w:val="center"/>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合同金额（万元）</w:t>
            </w:r>
          </w:p>
        </w:tc>
        <w:tc>
          <w:tcPr>
            <w:tcW w:w="1843" w:type="dxa"/>
            <w:tcBorders>
              <w:top w:val="single" w:color="auto" w:sz="4" w:space="0"/>
              <w:left w:val="single" w:color="auto" w:sz="4" w:space="0"/>
              <w:right w:val="single" w:color="auto" w:sz="4" w:space="0"/>
            </w:tcBorders>
            <w:vAlign w:val="center"/>
          </w:tcPr>
          <w:p w14:paraId="7475951B">
            <w:pPr>
              <w:snapToGrid w:val="0"/>
              <w:spacing w:line="400" w:lineRule="exact"/>
              <w:jc w:val="center"/>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合同签订时间</w:t>
            </w:r>
          </w:p>
        </w:tc>
        <w:tc>
          <w:tcPr>
            <w:tcW w:w="1921" w:type="dxa"/>
            <w:tcBorders>
              <w:top w:val="single" w:color="auto" w:sz="4" w:space="0"/>
              <w:left w:val="single" w:color="auto" w:sz="4" w:space="0"/>
              <w:bottom w:val="single" w:color="auto" w:sz="4" w:space="0"/>
              <w:right w:val="single" w:color="auto" w:sz="4" w:space="0"/>
            </w:tcBorders>
            <w:vAlign w:val="center"/>
          </w:tcPr>
          <w:p w14:paraId="71F63C85">
            <w:pPr>
              <w:snapToGrid w:val="0"/>
              <w:spacing w:line="400" w:lineRule="exact"/>
              <w:jc w:val="center"/>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招标人联系人</w:t>
            </w:r>
          </w:p>
        </w:tc>
        <w:tc>
          <w:tcPr>
            <w:tcW w:w="1399" w:type="dxa"/>
            <w:tcBorders>
              <w:top w:val="single" w:color="auto" w:sz="4" w:space="0"/>
              <w:left w:val="single" w:color="auto" w:sz="4" w:space="0"/>
              <w:bottom w:val="single" w:color="auto" w:sz="4" w:space="0"/>
              <w:right w:val="single" w:color="auto" w:sz="4" w:space="0"/>
            </w:tcBorders>
            <w:vAlign w:val="center"/>
          </w:tcPr>
          <w:p w14:paraId="45A59D7E">
            <w:pPr>
              <w:snapToGrid w:val="0"/>
              <w:spacing w:line="400" w:lineRule="exact"/>
              <w:jc w:val="center"/>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联系电话</w:t>
            </w:r>
          </w:p>
        </w:tc>
      </w:tr>
      <w:tr w14:paraId="12142E5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9" w:hRule="atLeast"/>
          <w:jc w:val="center"/>
        </w:trPr>
        <w:tc>
          <w:tcPr>
            <w:tcW w:w="2433" w:type="dxa"/>
            <w:tcBorders>
              <w:top w:val="single" w:color="auto" w:sz="4" w:space="0"/>
              <w:left w:val="single" w:color="auto" w:sz="4" w:space="0"/>
              <w:bottom w:val="single" w:color="auto" w:sz="4" w:space="0"/>
              <w:right w:val="single" w:color="auto" w:sz="4" w:space="0"/>
            </w:tcBorders>
          </w:tcPr>
          <w:p w14:paraId="1898E1D8">
            <w:pPr>
              <w:snapToGrid w:val="0"/>
              <w:spacing w:line="240" w:lineRule="exact"/>
              <w:jc w:val="left"/>
              <w:rPr>
                <w:rFonts w:asciiTheme="minorEastAsia" w:hAnsiTheme="minorEastAsia" w:eastAsiaTheme="minorEastAsia" w:cstheme="minorEastAsia"/>
                <w:color w:val="auto"/>
                <w:sz w:val="24"/>
                <w:highlight w:val="none"/>
              </w:rPr>
            </w:pPr>
          </w:p>
        </w:tc>
        <w:tc>
          <w:tcPr>
            <w:tcW w:w="2835" w:type="dxa"/>
            <w:tcBorders>
              <w:top w:val="single" w:color="auto" w:sz="4" w:space="0"/>
              <w:left w:val="single" w:color="auto" w:sz="4" w:space="0"/>
              <w:bottom w:val="single" w:color="auto" w:sz="4" w:space="0"/>
              <w:right w:val="single" w:color="auto" w:sz="4" w:space="0"/>
            </w:tcBorders>
          </w:tcPr>
          <w:p w14:paraId="71226A91">
            <w:pPr>
              <w:snapToGrid w:val="0"/>
              <w:spacing w:line="240" w:lineRule="exact"/>
              <w:jc w:val="left"/>
              <w:rPr>
                <w:rFonts w:asciiTheme="minorEastAsia" w:hAnsiTheme="minorEastAsia" w:eastAsiaTheme="minorEastAsia" w:cstheme="minorEastAsia"/>
                <w:color w:val="auto"/>
                <w:sz w:val="24"/>
                <w:highlight w:val="none"/>
              </w:rPr>
            </w:pPr>
          </w:p>
        </w:tc>
        <w:tc>
          <w:tcPr>
            <w:tcW w:w="2003" w:type="dxa"/>
            <w:tcBorders>
              <w:top w:val="single" w:color="auto" w:sz="4" w:space="0"/>
              <w:left w:val="single" w:color="auto" w:sz="4" w:space="0"/>
              <w:bottom w:val="single" w:color="auto" w:sz="4" w:space="0"/>
              <w:right w:val="single" w:color="auto" w:sz="4" w:space="0"/>
            </w:tcBorders>
          </w:tcPr>
          <w:p w14:paraId="1AEAB2F8">
            <w:pPr>
              <w:snapToGrid w:val="0"/>
              <w:spacing w:line="240" w:lineRule="exact"/>
              <w:jc w:val="left"/>
              <w:rPr>
                <w:rFonts w:asciiTheme="minorEastAsia" w:hAnsiTheme="minorEastAsia" w:eastAsiaTheme="minorEastAsia" w:cstheme="minorEastAsia"/>
                <w:color w:val="auto"/>
                <w:sz w:val="24"/>
                <w:highlight w:val="none"/>
              </w:rPr>
            </w:pPr>
          </w:p>
        </w:tc>
        <w:tc>
          <w:tcPr>
            <w:tcW w:w="1843" w:type="dxa"/>
            <w:tcBorders>
              <w:top w:val="single" w:color="auto" w:sz="4" w:space="0"/>
              <w:left w:val="single" w:color="auto" w:sz="4" w:space="0"/>
              <w:bottom w:val="single" w:color="auto" w:sz="4" w:space="0"/>
              <w:right w:val="single" w:color="auto" w:sz="4" w:space="0"/>
            </w:tcBorders>
          </w:tcPr>
          <w:p w14:paraId="46E68844">
            <w:pPr>
              <w:snapToGrid w:val="0"/>
              <w:spacing w:line="240" w:lineRule="exact"/>
              <w:jc w:val="left"/>
              <w:rPr>
                <w:rFonts w:asciiTheme="minorEastAsia" w:hAnsiTheme="minorEastAsia" w:eastAsiaTheme="minorEastAsia" w:cstheme="minorEastAsia"/>
                <w:color w:val="auto"/>
                <w:sz w:val="24"/>
                <w:highlight w:val="none"/>
              </w:rPr>
            </w:pPr>
          </w:p>
        </w:tc>
        <w:tc>
          <w:tcPr>
            <w:tcW w:w="1921" w:type="dxa"/>
            <w:tcBorders>
              <w:top w:val="single" w:color="auto" w:sz="4" w:space="0"/>
              <w:left w:val="single" w:color="auto" w:sz="4" w:space="0"/>
              <w:bottom w:val="single" w:color="auto" w:sz="4" w:space="0"/>
              <w:right w:val="single" w:color="auto" w:sz="4" w:space="0"/>
            </w:tcBorders>
          </w:tcPr>
          <w:p w14:paraId="2D58F1AF">
            <w:pPr>
              <w:snapToGrid w:val="0"/>
              <w:spacing w:line="240" w:lineRule="exact"/>
              <w:jc w:val="left"/>
              <w:rPr>
                <w:rFonts w:asciiTheme="minorEastAsia" w:hAnsiTheme="minorEastAsia" w:eastAsiaTheme="minorEastAsia" w:cstheme="minorEastAsia"/>
                <w:color w:val="auto"/>
                <w:sz w:val="24"/>
                <w:highlight w:val="none"/>
              </w:rPr>
            </w:pPr>
          </w:p>
        </w:tc>
        <w:tc>
          <w:tcPr>
            <w:tcW w:w="1399" w:type="dxa"/>
            <w:tcBorders>
              <w:top w:val="single" w:color="auto" w:sz="4" w:space="0"/>
              <w:left w:val="single" w:color="auto" w:sz="4" w:space="0"/>
              <w:bottom w:val="single" w:color="auto" w:sz="4" w:space="0"/>
              <w:right w:val="single" w:color="auto" w:sz="4" w:space="0"/>
            </w:tcBorders>
          </w:tcPr>
          <w:p w14:paraId="67A7BBDD">
            <w:pPr>
              <w:snapToGrid w:val="0"/>
              <w:spacing w:line="240" w:lineRule="exact"/>
              <w:jc w:val="left"/>
              <w:rPr>
                <w:rFonts w:asciiTheme="minorEastAsia" w:hAnsiTheme="minorEastAsia" w:eastAsiaTheme="minorEastAsia" w:cstheme="minorEastAsia"/>
                <w:color w:val="auto"/>
                <w:sz w:val="24"/>
                <w:highlight w:val="none"/>
              </w:rPr>
            </w:pPr>
          </w:p>
        </w:tc>
      </w:tr>
      <w:tr w14:paraId="6121EC4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433" w:type="dxa"/>
            <w:tcBorders>
              <w:top w:val="single" w:color="auto" w:sz="4" w:space="0"/>
              <w:left w:val="single" w:color="auto" w:sz="4" w:space="0"/>
              <w:bottom w:val="single" w:color="auto" w:sz="4" w:space="0"/>
              <w:right w:val="single" w:color="auto" w:sz="4" w:space="0"/>
            </w:tcBorders>
          </w:tcPr>
          <w:p w14:paraId="6664A2E5">
            <w:pPr>
              <w:snapToGrid w:val="0"/>
              <w:spacing w:before="50" w:afterLines="50" w:line="400" w:lineRule="exact"/>
              <w:jc w:val="left"/>
              <w:rPr>
                <w:rFonts w:asciiTheme="minorEastAsia" w:hAnsiTheme="minorEastAsia" w:eastAsiaTheme="minorEastAsia" w:cstheme="minorEastAsia"/>
                <w:color w:val="auto"/>
                <w:sz w:val="24"/>
                <w:szCs w:val="20"/>
                <w:highlight w:val="none"/>
              </w:rPr>
            </w:pPr>
          </w:p>
        </w:tc>
        <w:tc>
          <w:tcPr>
            <w:tcW w:w="2835" w:type="dxa"/>
            <w:tcBorders>
              <w:top w:val="single" w:color="auto" w:sz="4" w:space="0"/>
              <w:left w:val="single" w:color="auto" w:sz="4" w:space="0"/>
              <w:bottom w:val="single" w:color="auto" w:sz="4" w:space="0"/>
              <w:right w:val="single" w:color="auto" w:sz="4" w:space="0"/>
            </w:tcBorders>
          </w:tcPr>
          <w:p w14:paraId="61DD9EC3">
            <w:pPr>
              <w:snapToGrid w:val="0"/>
              <w:spacing w:before="50" w:afterLines="50" w:line="400" w:lineRule="exact"/>
              <w:jc w:val="left"/>
              <w:rPr>
                <w:rFonts w:asciiTheme="minorEastAsia" w:hAnsiTheme="minorEastAsia" w:eastAsiaTheme="minorEastAsia" w:cstheme="minorEastAsia"/>
                <w:color w:val="auto"/>
                <w:sz w:val="24"/>
                <w:szCs w:val="20"/>
                <w:highlight w:val="none"/>
              </w:rPr>
            </w:pPr>
          </w:p>
        </w:tc>
        <w:tc>
          <w:tcPr>
            <w:tcW w:w="2003" w:type="dxa"/>
            <w:tcBorders>
              <w:top w:val="single" w:color="auto" w:sz="4" w:space="0"/>
              <w:left w:val="single" w:color="auto" w:sz="4" w:space="0"/>
              <w:bottom w:val="single" w:color="auto" w:sz="4" w:space="0"/>
              <w:right w:val="single" w:color="auto" w:sz="4" w:space="0"/>
            </w:tcBorders>
          </w:tcPr>
          <w:p w14:paraId="6D3CD472">
            <w:pPr>
              <w:snapToGrid w:val="0"/>
              <w:spacing w:before="50" w:afterLines="50" w:line="400" w:lineRule="exact"/>
              <w:jc w:val="left"/>
              <w:rPr>
                <w:rFonts w:asciiTheme="minorEastAsia" w:hAnsiTheme="minorEastAsia" w:eastAsiaTheme="minorEastAsia" w:cstheme="minorEastAsia"/>
                <w:color w:val="auto"/>
                <w:sz w:val="24"/>
                <w:szCs w:val="20"/>
                <w:highlight w:val="none"/>
              </w:rPr>
            </w:pPr>
          </w:p>
        </w:tc>
        <w:tc>
          <w:tcPr>
            <w:tcW w:w="1843" w:type="dxa"/>
            <w:tcBorders>
              <w:top w:val="single" w:color="auto" w:sz="4" w:space="0"/>
              <w:left w:val="single" w:color="auto" w:sz="4" w:space="0"/>
              <w:bottom w:val="single" w:color="auto" w:sz="4" w:space="0"/>
              <w:right w:val="single" w:color="auto" w:sz="4" w:space="0"/>
            </w:tcBorders>
          </w:tcPr>
          <w:p w14:paraId="16A40018">
            <w:pPr>
              <w:snapToGrid w:val="0"/>
              <w:spacing w:before="50" w:afterLines="50" w:line="400" w:lineRule="exact"/>
              <w:jc w:val="left"/>
              <w:rPr>
                <w:rFonts w:asciiTheme="minorEastAsia" w:hAnsiTheme="minorEastAsia" w:eastAsiaTheme="minorEastAsia" w:cstheme="minorEastAsia"/>
                <w:color w:val="auto"/>
                <w:sz w:val="24"/>
                <w:szCs w:val="20"/>
                <w:highlight w:val="none"/>
              </w:rPr>
            </w:pPr>
          </w:p>
        </w:tc>
        <w:tc>
          <w:tcPr>
            <w:tcW w:w="1921" w:type="dxa"/>
            <w:tcBorders>
              <w:top w:val="single" w:color="auto" w:sz="4" w:space="0"/>
              <w:left w:val="single" w:color="auto" w:sz="4" w:space="0"/>
              <w:bottom w:val="single" w:color="auto" w:sz="4" w:space="0"/>
              <w:right w:val="single" w:color="auto" w:sz="4" w:space="0"/>
            </w:tcBorders>
          </w:tcPr>
          <w:p w14:paraId="07718C6F">
            <w:pPr>
              <w:snapToGrid w:val="0"/>
              <w:spacing w:before="50" w:afterLines="50" w:line="400" w:lineRule="exact"/>
              <w:jc w:val="left"/>
              <w:rPr>
                <w:rFonts w:asciiTheme="minorEastAsia" w:hAnsiTheme="minorEastAsia" w:eastAsiaTheme="minorEastAsia" w:cstheme="minorEastAsia"/>
                <w:color w:val="auto"/>
                <w:sz w:val="24"/>
                <w:szCs w:val="20"/>
                <w:highlight w:val="none"/>
              </w:rPr>
            </w:pPr>
          </w:p>
        </w:tc>
        <w:tc>
          <w:tcPr>
            <w:tcW w:w="1399" w:type="dxa"/>
            <w:tcBorders>
              <w:top w:val="single" w:color="auto" w:sz="4" w:space="0"/>
              <w:left w:val="single" w:color="auto" w:sz="4" w:space="0"/>
              <w:bottom w:val="single" w:color="auto" w:sz="4" w:space="0"/>
              <w:right w:val="single" w:color="auto" w:sz="4" w:space="0"/>
            </w:tcBorders>
          </w:tcPr>
          <w:p w14:paraId="418A4020">
            <w:pPr>
              <w:snapToGrid w:val="0"/>
              <w:spacing w:before="50" w:afterLines="50" w:line="400" w:lineRule="exact"/>
              <w:jc w:val="left"/>
              <w:rPr>
                <w:rFonts w:asciiTheme="minorEastAsia" w:hAnsiTheme="minorEastAsia" w:eastAsiaTheme="minorEastAsia" w:cstheme="minorEastAsia"/>
                <w:color w:val="auto"/>
                <w:sz w:val="24"/>
                <w:szCs w:val="20"/>
                <w:highlight w:val="none"/>
              </w:rPr>
            </w:pPr>
          </w:p>
        </w:tc>
      </w:tr>
      <w:tr w14:paraId="72A8594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10" w:hRule="atLeast"/>
          <w:jc w:val="center"/>
        </w:trPr>
        <w:tc>
          <w:tcPr>
            <w:tcW w:w="2433" w:type="dxa"/>
            <w:tcBorders>
              <w:top w:val="single" w:color="auto" w:sz="4" w:space="0"/>
              <w:left w:val="single" w:color="auto" w:sz="4" w:space="0"/>
              <w:bottom w:val="single" w:color="auto" w:sz="4" w:space="0"/>
              <w:right w:val="single" w:color="auto" w:sz="4" w:space="0"/>
            </w:tcBorders>
          </w:tcPr>
          <w:p w14:paraId="602F418C">
            <w:pPr>
              <w:snapToGrid w:val="0"/>
              <w:spacing w:before="50" w:afterLines="50" w:line="400" w:lineRule="exact"/>
              <w:jc w:val="left"/>
              <w:rPr>
                <w:rFonts w:asciiTheme="minorEastAsia" w:hAnsiTheme="minorEastAsia" w:eastAsiaTheme="minorEastAsia" w:cstheme="minorEastAsia"/>
                <w:color w:val="auto"/>
                <w:sz w:val="24"/>
                <w:szCs w:val="20"/>
                <w:highlight w:val="none"/>
              </w:rPr>
            </w:pPr>
          </w:p>
        </w:tc>
        <w:tc>
          <w:tcPr>
            <w:tcW w:w="2835" w:type="dxa"/>
            <w:tcBorders>
              <w:top w:val="single" w:color="auto" w:sz="4" w:space="0"/>
              <w:left w:val="single" w:color="auto" w:sz="4" w:space="0"/>
              <w:bottom w:val="single" w:color="auto" w:sz="4" w:space="0"/>
              <w:right w:val="single" w:color="auto" w:sz="4" w:space="0"/>
            </w:tcBorders>
          </w:tcPr>
          <w:p w14:paraId="77DC0F41">
            <w:pPr>
              <w:snapToGrid w:val="0"/>
              <w:spacing w:before="50" w:afterLines="50" w:line="400" w:lineRule="exact"/>
              <w:jc w:val="left"/>
              <w:rPr>
                <w:rFonts w:asciiTheme="minorEastAsia" w:hAnsiTheme="minorEastAsia" w:eastAsiaTheme="minorEastAsia" w:cstheme="minorEastAsia"/>
                <w:color w:val="auto"/>
                <w:sz w:val="24"/>
                <w:szCs w:val="20"/>
                <w:highlight w:val="none"/>
              </w:rPr>
            </w:pPr>
          </w:p>
        </w:tc>
        <w:tc>
          <w:tcPr>
            <w:tcW w:w="2003" w:type="dxa"/>
            <w:tcBorders>
              <w:top w:val="single" w:color="auto" w:sz="4" w:space="0"/>
              <w:left w:val="single" w:color="auto" w:sz="4" w:space="0"/>
              <w:bottom w:val="single" w:color="auto" w:sz="4" w:space="0"/>
              <w:right w:val="single" w:color="auto" w:sz="4" w:space="0"/>
            </w:tcBorders>
          </w:tcPr>
          <w:p w14:paraId="2CEFC0F9">
            <w:pPr>
              <w:snapToGrid w:val="0"/>
              <w:spacing w:before="50" w:afterLines="50" w:line="400" w:lineRule="exact"/>
              <w:jc w:val="left"/>
              <w:rPr>
                <w:rFonts w:asciiTheme="minorEastAsia" w:hAnsiTheme="minorEastAsia" w:eastAsiaTheme="minorEastAsia" w:cstheme="minorEastAsia"/>
                <w:color w:val="auto"/>
                <w:sz w:val="24"/>
                <w:szCs w:val="20"/>
                <w:highlight w:val="none"/>
              </w:rPr>
            </w:pPr>
          </w:p>
        </w:tc>
        <w:tc>
          <w:tcPr>
            <w:tcW w:w="1843" w:type="dxa"/>
            <w:tcBorders>
              <w:top w:val="single" w:color="auto" w:sz="4" w:space="0"/>
              <w:left w:val="single" w:color="auto" w:sz="4" w:space="0"/>
              <w:bottom w:val="single" w:color="auto" w:sz="4" w:space="0"/>
              <w:right w:val="single" w:color="auto" w:sz="4" w:space="0"/>
            </w:tcBorders>
          </w:tcPr>
          <w:p w14:paraId="04309182">
            <w:pPr>
              <w:snapToGrid w:val="0"/>
              <w:spacing w:before="50" w:afterLines="50" w:line="400" w:lineRule="exact"/>
              <w:jc w:val="left"/>
              <w:rPr>
                <w:rFonts w:asciiTheme="minorEastAsia" w:hAnsiTheme="minorEastAsia" w:eastAsiaTheme="minorEastAsia" w:cstheme="minorEastAsia"/>
                <w:color w:val="auto"/>
                <w:sz w:val="24"/>
                <w:szCs w:val="20"/>
                <w:highlight w:val="none"/>
              </w:rPr>
            </w:pPr>
          </w:p>
        </w:tc>
        <w:tc>
          <w:tcPr>
            <w:tcW w:w="1921" w:type="dxa"/>
            <w:tcBorders>
              <w:top w:val="single" w:color="auto" w:sz="4" w:space="0"/>
              <w:left w:val="single" w:color="auto" w:sz="4" w:space="0"/>
              <w:bottom w:val="single" w:color="auto" w:sz="4" w:space="0"/>
              <w:right w:val="single" w:color="auto" w:sz="4" w:space="0"/>
            </w:tcBorders>
          </w:tcPr>
          <w:p w14:paraId="2621254E">
            <w:pPr>
              <w:snapToGrid w:val="0"/>
              <w:spacing w:before="50" w:afterLines="50" w:line="400" w:lineRule="exact"/>
              <w:jc w:val="left"/>
              <w:rPr>
                <w:rFonts w:asciiTheme="minorEastAsia" w:hAnsiTheme="minorEastAsia" w:eastAsiaTheme="minorEastAsia" w:cstheme="minorEastAsia"/>
                <w:color w:val="auto"/>
                <w:sz w:val="24"/>
                <w:szCs w:val="20"/>
                <w:highlight w:val="none"/>
              </w:rPr>
            </w:pPr>
          </w:p>
        </w:tc>
        <w:tc>
          <w:tcPr>
            <w:tcW w:w="1399" w:type="dxa"/>
            <w:tcBorders>
              <w:top w:val="single" w:color="auto" w:sz="4" w:space="0"/>
              <w:left w:val="single" w:color="auto" w:sz="4" w:space="0"/>
              <w:bottom w:val="single" w:color="auto" w:sz="4" w:space="0"/>
              <w:right w:val="single" w:color="auto" w:sz="4" w:space="0"/>
            </w:tcBorders>
          </w:tcPr>
          <w:p w14:paraId="032010CA">
            <w:pPr>
              <w:snapToGrid w:val="0"/>
              <w:spacing w:before="50" w:afterLines="50" w:line="400" w:lineRule="exact"/>
              <w:jc w:val="left"/>
              <w:rPr>
                <w:rFonts w:asciiTheme="minorEastAsia" w:hAnsiTheme="minorEastAsia" w:eastAsiaTheme="minorEastAsia" w:cstheme="minorEastAsia"/>
                <w:color w:val="auto"/>
                <w:sz w:val="24"/>
                <w:szCs w:val="20"/>
                <w:highlight w:val="none"/>
              </w:rPr>
            </w:pPr>
          </w:p>
        </w:tc>
      </w:tr>
      <w:tr w14:paraId="4B8296B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433" w:type="dxa"/>
            <w:tcBorders>
              <w:top w:val="single" w:color="auto" w:sz="4" w:space="0"/>
              <w:left w:val="single" w:color="auto" w:sz="4" w:space="0"/>
              <w:bottom w:val="single" w:color="auto" w:sz="4" w:space="0"/>
              <w:right w:val="single" w:color="auto" w:sz="4" w:space="0"/>
            </w:tcBorders>
          </w:tcPr>
          <w:p w14:paraId="65BEF1B2">
            <w:pPr>
              <w:snapToGrid w:val="0"/>
              <w:spacing w:before="50" w:afterLines="50" w:line="400" w:lineRule="exact"/>
              <w:jc w:val="left"/>
              <w:rPr>
                <w:rFonts w:asciiTheme="minorEastAsia" w:hAnsiTheme="minorEastAsia" w:eastAsiaTheme="minorEastAsia" w:cstheme="minorEastAsia"/>
                <w:color w:val="auto"/>
                <w:sz w:val="24"/>
                <w:szCs w:val="20"/>
                <w:highlight w:val="none"/>
              </w:rPr>
            </w:pPr>
          </w:p>
        </w:tc>
        <w:tc>
          <w:tcPr>
            <w:tcW w:w="2835" w:type="dxa"/>
            <w:tcBorders>
              <w:top w:val="single" w:color="auto" w:sz="4" w:space="0"/>
              <w:left w:val="single" w:color="auto" w:sz="4" w:space="0"/>
              <w:bottom w:val="single" w:color="auto" w:sz="4" w:space="0"/>
              <w:right w:val="single" w:color="auto" w:sz="4" w:space="0"/>
            </w:tcBorders>
          </w:tcPr>
          <w:p w14:paraId="1D3F41C1">
            <w:pPr>
              <w:snapToGrid w:val="0"/>
              <w:spacing w:before="50" w:afterLines="50" w:line="400" w:lineRule="exact"/>
              <w:jc w:val="left"/>
              <w:rPr>
                <w:rFonts w:asciiTheme="minorEastAsia" w:hAnsiTheme="minorEastAsia" w:eastAsiaTheme="minorEastAsia" w:cstheme="minorEastAsia"/>
                <w:color w:val="auto"/>
                <w:sz w:val="24"/>
                <w:szCs w:val="20"/>
                <w:highlight w:val="none"/>
              </w:rPr>
            </w:pPr>
          </w:p>
        </w:tc>
        <w:tc>
          <w:tcPr>
            <w:tcW w:w="2003" w:type="dxa"/>
            <w:tcBorders>
              <w:top w:val="single" w:color="auto" w:sz="4" w:space="0"/>
              <w:left w:val="single" w:color="auto" w:sz="4" w:space="0"/>
              <w:bottom w:val="single" w:color="auto" w:sz="4" w:space="0"/>
              <w:right w:val="single" w:color="auto" w:sz="4" w:space="0"/>
            </w:tcBorders>
          </w:tcPr>
          <w:p w14:paraId="44F5876C">
            <w:pPr>
              <w:snapToGrid w:val="0"/>
              <w:spacing w:before="50" w:afterLines="50" w:line="400" w:lineRule="exact"/>
              <w:jc w:val="left"/>
              <w:rPr>
                <w:rFonts w:asciiTheme="minorEastAsia" w:hAnsiTheme="minorEastAsia" w:eastAsiaTheme="minorEastAsia" w:cstheme="minorEastAsia"/>
                <w:color w:val="auto"/>
                <w:sz w:val="24"/>
                <w:szCs w:val="20"/>
                <w:highlight w:val="none"/>
              </w:rPr>
            </w:pPr>
          </w:p>
        </w:tc>
        <w:tc>
          <w:tcPr>
            <w:tcW w:w="1843" w:type="dxa"/>
            <w:tcBorders>
              <w:top w:val="single" w:color="auto" w:sz="4" w:space="0"/>
              <w:left w:val="single" w:color="auto" w:sz="4" w:space="0"/>
              <w:bottom w:val="single" w:color="auto" w:sz="4" w:space="0"/>
              <w:right w:val="single" w:color="auto" w:sz="4" w:space="0"/>
            </w:tcBorders>
          </w:tcPr>
          <w:p w14:paraId="52BDF5B7">
            <w:pPr>
              <w:snapToGrid w:val="0"/>
              <w:spacing w:before="50" w:afterLines="50" w:line="400" w:lineRule="exact"/>
              <w:jc w:val="left"/>
              <w:rPr>
                <w:rFonts w:asciiTheme="minorEastAsia" w:hAnsiTheme="minorEastAsia" w:eastAsiaTheme="minorEastAsia" w:cstheme="minorEastAsia"/>
                <w:color w:val="auto"/>
                <w:sz w:val="24"/>
                <w:szCs w:val="20"/>
                <w:highlight w:val="none"/>
              </w:rPr>
            </w:pPr>
          </w:p>
        </w:tc>
        <w:tc>
          <w:tcPr>
            <w:tcW w:w="1921" w:type="dxa"/>
            <w:tcBorders>
              <w:top w:val="single" w:color="auto" w:sz="4" w:space="0"/>
              <w:left w:val="single" w:color="auto" w:sz="4" w:space="0"/>
              <w:bottom w:val="single" w:color="auto" w:sz="4" w:space="0"/>
              <w:right w:val="single" w:color="auto" w:sz="4" w:space="0"/>
            </w:tcBorders>
          </w:tcPr>
          <w:p w14:paraId="0C8E8A3B">
            <w:pPr>
              <w:snapToGrid w:val="0"/>
              <w:spacing w:before="50" w:afterLines="50" w:line="400" w:lineRule="exact"/>
              <w:jc w:val="left"/>
              <w:rPr>
                <w:rFonts w:asciiTheme="minorEastAsia" w:hAnsiTheme="minorEastAsia" w:eastAsiaTheme="minorEastAsia" w:cstheme="minorEastAsia"/>
                <w:color w:val="auto"/>
                <w:sz w:val="24"/>
                <w:szCs w:val="20"/>
                <w:highlight w:val="none"/>
              </w:rPr>
            </w:pPr>
          </w:p>
        </w:tc>
        <w:tc>
          <w:tcPr>
            <w:tcW w:w="1399" w:type="dxa"/>
            <w:tcBorders>
              <w:top w:val="single" w:color="auto" w:sz="4" w:space="0"/>
              <w:left w:val="single" w:color="auto" w:sz="4" w:space="0"/>
              <w:bottom w:val="single" w:color="auto" w:sz="4" w:space="0"/>
              <w:right w:val="single" w:color="auto" w:sz="4" w:space="0"/>
            </w:tcBorders>
          </w:tcPr>
          <w:p w14:paraId="2BAFC877">
            <w:pPr>
              <w:snapToGrid w:val="0"/>
              <w:spacing w:before="50" w:afterLines="50" w:line="400" w:lineRule="exact"/>
              <w:jc w:val="left"/>
              <w:rPr>
                <w:rFonts w:asciiTheme="minorEastAsia" w:hAnsiTheme="minorEastAsia" w:eastAsiaTheme="minorEastAsia" w:cstheme="minorEastAsia"/>
                <w:color w:val="auto"/>
                <w:sz w:val="24"/>
                <w:szCs w:val="20"/>
                <w:highlight w:val="none"/>
              </w:rPr>
            </w:pPr>
          </w:p>
        </w:tc>
      </w:tr>
      <w:tr w14:paraId="2DC7372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433" w:type="dxa"/>
            <w:tcBorders>
              <w:top w:val="single" w:color="auto" w:sz="4" w:space="0"/>
              <w:left w:val="single" w:color="auto" w:sz="4" w:space="0"/>
              <w:bottom w:val="single" w:color="auto" w:sz="4" w:space="0"/>
              <w:right w:val="single" w:color="auto" w:sz="4" w:space="0"/>
            </w:tcBorders>
          </w:tcPr>
          <w:p w14:paraId="47F0CC3F">
            <w:pPr>
              <w:snapToGrid w:val="0"/>
              <w:spacing w:before="50" w:afterLines="50" w:line="400" w:lineRule="exact"/>
              <w:jc w:val="left"/>
              <w:rPr>
                <w:rFonts w:asciiTheme="minorEastAsia" w:hAnsiTheme="minorEastAsia" w:eastAsiaTheme="minorEastAsia" w:cstheme="minorEastAsia"/>
                <w:color w:val="auto"/>
                <w:sz w:val="24"/>
                <w:szCs w:val="20"/>
                <w:highlight w:val="none"/>
              </w:rPr>
            </w:pPr>
          </w:p>
        </w:tc>
        <w:tc>
          <w:tcPr>
            <w:tcW w:w="2835" w:type="dxa"/>
            <w:tcBorders>
              <w:top w:val="single" w:color="auto" w:sz="4" w:space="0"/>
              <w:left w:val="single" w:color="auto" w:sz="4" w:space="0"/>
              <w:bottom w:val="single" w:color="auto" w:sz="4" w:space="0"/>
              <w:right w:val="single" w:color="auto" w:sz="4" w:space="0"/>
            </w:tcBorders>
          </w:tcPr>
          <w:p w14:paraId="75CE329B">
            <w:pPr>
              <w:snapToGrid w:val="0"/>
              <w:spacing w:before="50" w:afterLines="50" w:line="400" w:lineRule="exact"/>
              <w:jc w:val="left"/>
              <w:rPr>
                <w:rFonts w:asciiTheme="minorEastAsia" w:hAnsiTheme="minorEastAsia" w:eastAsiaTheme="minorEastAsia" w:cstheme="minorEastAsia"/>
                <w:color w:val="auto"/>
                <w:sz w:val="24"/>
                <w:szCs w:val="20"/>
                <w:highlight w:val="none"/>
              </w:rPr>
            </w:pPr>
          </w:p>
        </w:tc>
        <w:tc>
          <w:tcPr>
            <w:tcW w:w="2003" w:type="dxa"/>
            <w:tcBorders>
              <w:top w:val="single" w:color="auto" w:sz="4" w:space="0"/>
              <w:left w:val="single" w:color="auto" w:sz="4" w:space="0"/>
              <w:bottom w:val="single" w:color="auto" w:sz="4" w:space="0"/>
              <w:right w:val="single" w:color="auto" w:sz="4" w:space="0"/>
            </w:tcBorders>
          </w:tcPr>
          <w:p w14:paraId="437626EC">
            <w:pPr>
              <w:snapToGrid w:val="0"/>
              <w:spacing w:before="50" w:afterLines="50" w:line="400" w:lineRule="exact"/>
              <w:jc w:val="left"/>
              <w:rPr>
                <w:rFonts w:asciiTheme="minorEastAsia" w:hAnsiTheme="minorEastAsia" w:eastAsiaTheme="minorEastAsia" w:cstheme="minorEastAsia"/>
                <w:color w:val="auto"/>
                <w:sz w:val="24"/>
                <w:szCs w:val="20"/>
                <w:highlight w:val="none"/>
              </w:rPr>
            </w:pPr>
          </w:p>
        </w:tc>
        <w:tc>
          <w:tcPr>
            <w:tcW w:w="1843" w:type="dxa"/>
            <w:tcBorders>
              <w:top w:val="single" w:color="auto" w:sz="4" w:space="0"/>
              <w:left w:val="single" w:color="auto" w:sz="4" w:space="0"/>
              <w:bottom w:val="single" w:color="auto" w:sz="4" w:space="0"/>
              <w:right w:val="single" w:color="auto" w:sz="4" w:space="0"/>
            </w:tcBorders>
          </w:tcPr>
          <w:p w14:paraId="703F6727">
            <w:pPr>
              <w:snapToGrid w:val="0"/>
              <w:spacing w:before="50" w:afterLines="50" w:line="400" w:lineRule="exact"/>
              <w:jc w:val="left"/>
              <w:rPr>
                <w:rFonts w:asciiTheme="minorEastAsia" w:hAnsiTheme="minorEastAsia" w:eastAsiaTheme="minorEastAsia" w:cstheme="minorEastAsia"/>
                <w:color w:val="auto"/>
                <w:sz w:val="24"/>
                <w:szCs w:val="20"/>
                <w:highlight w:val="none"/>
              </w:rPr>
            </w:pPr>
          </w:p>
        </w:tc>
        <w:tc>
          <w:tcPr>
            <w:tcW w:w="1921" w:type="dxa"/>
            <w:tcBorders>
              <w:top w:val="single" w:color="auto" w:sz="4" w:space="0"/>
              <w:left w:val="single" w:color="auto" w:sz="4" w:space="0"/>
              <w:bottom w:val="single" w:color="auto" w:sz="4" w:space="0"/>
              <w:right w:val="single" w:color="auto" w:sz="4" w:space="0"/>
            </w:tcBorders>
          </w:tcPr>
          <w:p w14:paraId="0934801C">
            <w:pPr>
              <w:snapToGrid w:val="0"/>
              <w:spacing w:before="50" w:afterLines="50" w:line="400" w:lineRule="exact"/>
              <w:jc w:val="left"/>
              <w:rPr>
                <w:rFonts w:asciiTheme="minorEastAsia" w:hAnsiTheme="minorEastAsia" w:eastAsiaTheme="minorEastAsia" w:cstheme="minorEastAsia"/>
                <w:color w:val="auto"/>
                <w:sz w:val="24"/>
                <w:szCs w:val="20"/>
                <w:highlight w:val="none"/>
              </w:rPr>
            </w:pPr>
          </w:p>
        </w:tc>
        <w:tc>
          <w:tcPr>
            <w:tcW w:w="1399" w:type="dxa"/>
            <w:tcBorders>
              <w:top w:val="single" w:color="auto" w:sz="4" w:space="0"/>
              <w:left w:val="single" w:color="auto" w:sz="4" w:space="0"/>
              <w:bottom w:val="single" w:color="auto" w:sz="4" w:space="0"/>
              <w:right w:val="single" w:color="auto" w:sz="4" w:space="0"/>
            </w:tcBorders>
          </w:tcPr>
          <w:p w14:paraId="2CC02D44">
            <w:pPr>
              <w:snapToGrid w:val="0"/>
              <w:spacing w:before="50" w:afterLines="50" w:line="400" w:lineRule="exact"/>
              <w:jc w:val="left"/>
              <w:rPr>
                <w:rFonts w:asciiTheme="minorEastAsia" w:hAnsiTheme="minorEastAsia" w:eastAsiaTheme="minorEastAsia" w:cstheme="minorEastAsia"/>
                <w:color w:val="auto"/>
                <w:sz w:val="24"/>
                <w:szCs w:val="20"/>
                <w:highlight w:val="none"/>
              </w:rPr>
            </w:pPr>
          </w:p>
        </w:tc>
      </w:tr>
    </w:tbl>
    <w:p w14:paraId="19473D36">
      <w:pPr>
        <w:pStyle w:val="15"/>
        <w:snapToGrid w:val="0"/>
        <w:ind w:firstLine="960" w:firstLineChars="4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p>
    <w:p w14:paraId="1B22CF45">
      <w:pPr>
        <w:pStyle w:val="15"/>
        <w:snapToGrid w:val="0"/>
        <w:ind w:firstLine="361" w:firstLineChars="150"/>
        <w:rPr>
          <w:rFonts w:asciiTheme="minorEastAsia" w:hAnsiTheme="minorEastAsia" w:eastAsiaTheme="minorEastAsia" w:cstheme="minorEastAsia"/>
          <w:b/>
          <w:color w:val="auto"/>
          <w:sz w:val="24"/>
          <w:szCs w:val="24"/>
          <w:highlight w:val="none"/>
        </w:rPr>
      </w:pPr>
    </w:p>
    <w:p w14:paraId="715629B1">
      <w:pPr>
        <w:pStyle w:val="15"/>
        <w:snapToGrid w:val="0"/>
        <w:ind w:firstLine="482" w:firstLineChars="200"/>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法定代表人签字（或盖章）：                            投标人（盖章）：    </w:t>
      </w:r>
      <w:r>
        <w:rPr>
          <w:rFonts w:hint="eastAsia" w:asciiTheme="minorEastAsia" w:hAnsiTheme="minorEastAsia" w:eastAsiaTheme="minorEastAsia" w:cstheme="minorEastAsia"/>
          <w:color w:val="auto"/>
          <w:sz w:val="24"/>
          <w:szCs w:val="24"/>
          <w:highlight w:val="none"/>
        </w:rPr>
        <w:t xml:space="preserve">                </w:t>
      </w:r>
      <w:r>
        <w:rPr>
          <w:rFonts w:hint="eastAsia" w:asciiTheme="minorEastAsia" w:hAnsiTheme="minorEastAsia" w:eastAsiaTheme="minorEastAsia" w:cstheme="minorEastAsia"/>
          <w:b/>
          <w:color w:val="auto"/>
          <w:sz w:val="24"/>
          <w:szCs w:val="24"/>
          <w:highlight w:val="none"/>
        </w:rPr>
        <w:t>日期：  _____年___月___日</w:t>
      </w:r>
    </w:p>
    <w:p w14:paraId="176E9B6B">
      <w:pPr>
        <w:pStyle w:val="15"/>
        <w:snapToGrid w:val="0"/>
        <w:rPr>
          <w:rFonts w:asciiTheme="minorEastAsia" w:hAnsiTheme="minorEastAsia" w:eastAsiaTheme="minorEastAsia" w:cstheme="minorEastAsia"/>
          <w:color w:val="auto"/>
          <w:sz w:val="24"/>
          <w:szCs w:val="24"/>
          <w:highlight w:val="none"/>
        </w:rPr>
        <w:sectPr>
          <w:pgSz w:w="16838" w:h="11906" w:orient="landscape"/>
          <w:pgMar w:top="1588" w:right="851" w:bottom="1588" w:left="1021" w:header="851" w:footer="851" w:gutter="0"/>
          <w:pgNumType w:fmt="decimal"/>
          <w:cols w:space="720" w:num="1"/>
        </w:sectPr>
      </w:pPr>
    </w:p>
    <w:p w14:paraId="4D4DD8D4">
      <w:pPr>
        <w:snapToGrid w:val="0"/>
        <w:spacing w:before="50" w:afterLines="50"/>
        <w:jc w:val="left"/>
        <w:rPr>
          <w:rFonts w:asciiTheme="minorEastAsia" w:hAnsiTheme="minorEastAsia" w:eastAsiaTheme="minorEastAsia" w:cstheme="minorEastAsia"/>
          <w:color w:val="auto"/>
          <w:sz w:val="24"/>
          <w:szCs w:val="20"/>
          <w:highlight w:val="none"/>
        </w:rPr>
      </w:pPr>
      <w:r>
        <w:rPr>
          <w:rFonts w:hint="eastAsia" w:asciiTheme="minorEastAsia" w:hAnsiTheme="minorEastAsia" w:eastAsiaTheme="minorEastAsia" w:cstheme="minorEastAsia"/>
          <w:color w:val="auto"/>
          <w:sz w:val="24"/>
          <w:highlight w:val="none"/>
        </w:rPr>
        <w:t>11.售后服务网点情况表格式：</w:t>
      </w:r>
    </w:p>
    <w:p w14:paraId="0FE2D68C">
      <w:pPr>
        <w:snapToGrid w:val="0"/>
        <w:spacing w:before="50" w:afterLines="50"/>
        <w:jc w:val="left"/>
        <w:rPr>
          <w:rFonts w:asciiTheme="minorEastAsia" w:hAnsiTheme="minorEastAsia" w:eastAsiaTheme="minorEastAsia" w:cstheme="minorEastAsia"/>
          <w:color w:val="auto"/>
          <w:sz w:val="24"/>
          <w:szCs w:val="20"/>
          <w:highlight w:val="none"/>
        </w:rPr>
      </w:pPr>
      <w:r>
        <w:rPr>
          <w:rFonts w:hint="eastAsia" w:asciiTheme="minorEastAsia" w:hAnsiTheme="minorEastAsia" w:eastAsiaTheme="minorEastAsia" w:cstheme="minorEastAsia"/>
          <w:color w:val="auto"/>
          <w:sz w:val="24"/>
          <w:szCs w:val="20"/>
          <w:highlight w:val="none"/>
        </w:rPr>
        <w:t xml:space="preserve"> </w:t>
      </w:r>
    </w:p>
    <w:p w14:paraId="071E7968">
      <w:pPr>
        <w:pStyle w:val="41"/>
        <w:snapToGrid w:val="0"/>
        <w:ind w:left="480" w:hanging="480"/>
        <w:rPr>
          <w:rFonts w:asciiTheme="minorEastAsia" w:hAnsiTheme="minorEastAsia" w:eastAsiaTheme="minorEastAsia" w:cstheme="minorEastAsia"/>
          <w:color w:val="auto"/>
          <w:sz w:val="24"/>
          <w:highlight w:val="none"/>
        </w:rPr>
      </w:pPr>
    </w:p>
    <w:p w14:paraId="06CBC6E6">
      <w:pPr>
        <w:pStyle w:val="41"/>
        <w:snapToGrid w:val="0"/>
        <w:ind w:left="482" w:hanging="482"/>
        <w:jc w:val="center"/>
        <w:rPr>
          <w:rFonts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售后服务网点情况表</w:t>
      </w:r>
    </w:p>
    <w:p w14:paraId="166CF3D1">
      <w:pPr>
        <w:snapToGrid w:val="0"/>
        <w:spacing w:beforeLines="50" w:after="50" w:line="360" w:lineRule="auto"/>
        <w:jc w:val="center"/>
        <w:rPr>
          <w:rFonts w:asciiTheme="minorEastAsia" w:hAnsiTheme="minorEastAsia" w:eastAsiaTheme="minorEastAsia" w:cstheme="minorEastAsia"/>
          <w:bCs/>
          <w:color w:val="auto"/>
          <w:sz w:val="24"/>
          <w:highlight w:val="none"/>
        </w:rPr>
      </w:pPr>
    </w:p>
    <w:p w14:paraId="0C76E0B8">
      <w:pPr>
        <w:snapToGrid w:val="0"/>
        <w:spacing w:beforeLines="50" w:after="50" w:line="480" w:lineRule="auto"/>
        <w:rPr>
          <w:rFonts w:asciiTheme="minorEastAsia" w:hAnsiTheme="minorEastAsia" w:eastAsiaTheme="minorEastAsia" w:cstheme="minorEastAsia"/>
          <w:bCs/>
          <w:color w:val="auto"/>
          <w:sz w:val="24"/>
          <w:szCs w:val="20"/>
          <w:highlight w:val="none"/>
        </w:rPr>
      </w:pPr>
      <w:r>
        <w:rPr>
          <w:rFonts w:hint="eastAsia" w:asciiTheme="minorEastAsia" w:hAnsiTheme="minorEastAsia" w:eastAsiaTheme="minorEastAsia" w:cstheme="minorEastAsia"/>
          <w:bCs/>
          <w:color w:val="auto"/>
          <w:sz w:val="24"/>
          <w:highlight w:val="none"/>
        </w:rPr>
        <w:t>项目名称：</w:t>
      </w:r>
    </w:p>
    <w:p w14:paraId="0B23EA2A">
      <w:pPr>
        <w:snapToGrid w:val="0"/>
        <w:spacing w:beforeLines="50" w:after="50" w:line="480" w:lineRule="auto"/>
        <w:rPr>
          <w:rFonts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color w:val="auto"/>
          <w:sz w:val="24"/>
          <w:highlight w:val="none"/>
        </w:rPr>
        <w:t>项目编号：</w:t>
      </w:r>
    </w:p>
    <w:tbl>
      <w:tblPr>
        <w:tblStyle w:val="52"/>
        <w:tblpPr w:leftFromText="180" w:rightFromText="180" w:vertAnchor="text" w:horzAnchor="margin" w:tblpY="66"/>
        <w:tblW w:w="8581"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726"/>
        <w:gridCol w:w="1622"/>
        <w:gridCol w:w="540"/>
        <w:gridCol w:w="1326"/>
        <w:gridCol w:w="888"/>
        <w:gridCol w:w="2479"/>
      </w:tblGrid>
      <w:tr w14:paraId="7A7B780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Pr>
        <w:tc>
          <w:tcPr>
            <w:tcW w:w="1726" w:type="dxa"/>
            <w:tcBorders>
              <w:top w:val="single" w:color="auto" w:sz="4" w:space="0"/>
              <w:left w:val="single" w:color="auto" w:sz="4" w:space="0"/>
              <w:bottom w:val="single" w:color="auto" w:sz="4" w:space="0"/>
              <w:right w:val="single" w:color="auto" w:sz="4" w:space="0"/>
            </w:tcBorders>
          </w:tcPr>
          <w:p w14:paraId="51B307B1">
            <w:pPr>
              <w:snapToGrid w:val="0"/>
              <w:spacing w:before="50" w:afterLines="50" w:line="360" w:lineRule="auto"/>
              <w:jc w:val="left"/>
              <w:rPr>
                <w:rFonts w:asciiTheme="minorEastAsia" w:hAnsiTheme="minorEastAsia" w:eastAsiaTheme="minorEastAsia" w:cstheme="minorEastAsia"/>
                <w:color w:val="auto"/>
                <w:sz w:val="24"/>
                <w:szCs w:val="20"/>
                <w:highlight w:val="none"/>
              </w:rPr>
            </w:pPr>
            <w:r>
              <w:rPr>
                <w:rFonts w:hint="eastAsia" w:asciiTheme="minorEastAsia" w:hAnsiTheme="minorEastAsia" w:eastAsiaTheme="minorEastAsia" w:cstheme="minorEastAsia"/>
                <w:color w:val="auto"/>
                <w:sz w:val="24"/>
                <w:highlight w:val="none"/>
              </w:rPr>
              <w:t>服务网点名称</w:t>
            </w:r>
          </w:p>
        </w:tc>
        <w:tc>
          <w:tcPr>
            <w:tcW w:w="6855" w:type="dxa"/>
            <w:gridSpan w:val="5"/>
            <w:tcBorders>
              <w:top w:val="single" w:color="auto" w:sz="4" w:space="0"/>
              <w:left w:val="single" w:color="auto" w:sz="4" w:space="0"/>
              <w:bottom w:val="single" w:color="auto" w:sz="4" w:space="0"/>
              <w:right w:val="single" w:color="auto" w:sz="4" w:space="0"/>
            </w:tcBorders>
          </w:tcPr>
          <w:p w14:paraId="09713A85">
            <w:pPr>
              <w:snapToGrid w:val="0"/>
              <w:spacing w:before="50" w:afterLines="50" w:line="360" w:lineRule="auto"/>
              <w:jc w:val="left"/>
              <w:rPr>
                <w:rFonts w:asciiTheme="minorEastAsia" w:hAnsiTheme="minorEastAsia" w:eastAsiaTheme="minorEastAsia" w:cstheme="minorEastAsia"/>
                <w:color w:val="auto"/>
                <w:sz w:val="24"/>
                <w:szCs w:val="20"/>
                <w:highlight w:val="none"/>
              </w:rPr>
            </w:pPr>
          </w:p>
        </w:tc>
      </w:tr>
      <w:tr w14:paraId="108C5E0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Pr>
        <w:tc>
          <w:tcPr>
            <w:tcW w:w="1726" w:type="dxa"/>
            <w:tcBorders>
              <w:top w:val="single" w:color="auto" w:sz="4" w:space="0"/>
              <w:left w:val="single" w:color="auto" w:sz="4" w:space="0"/>
              <w:bottom w:val="single" w:color="auto" w:sz="4" w:space="0"/>
              <w:right w:val="single" w:color="auto" w:sz="4" w:space="0"/>
            </w:tcBorders>
          </w:tcPr>
          <w:p w14:paraId="7BBCDCBF">
            <w:pPr>
              <w:snapToGrid w:val="0"/>
              <w:spacing w:before="50" w:afterLines="50" w:line="360" w:lineRule="auto"/>
              <w:jc w:val="left"/>
              <w:rPr>
                <w:rFonts w:asciiTheme="minorEastAsia" w:hAnsiTheme="minorEastAsia" w:eastAsiaTheme="minorEastAsia" w:cstheme="minorEastAsia"/>
                <w:color w:val="auto"/>
                <w:sz w:val="24"/>
                <w:szCs w:val="20"/>
                <w:highlight w:val="none"/>
              </w:rPr>
            </w:pPr>
            <w:r>
              <w:rPr>
                <w:rFonts w:hint="eastAsia" w:asciiTheme="minorEastAsia" w:hAnsiTheme="minorEastAsia" w:eastAsiaTheme="minorEastAsia" w:cstheme="minorEastAsia"/>
                <w:color w:val="auto"/>
                <w:sz w:val="24"/>
                <w:highlight w:val="none"/>
              </w:rPr>
              <w:t>地址</w:t>
            </w:r>
          </w:p>
        </w:tc>
        <w:tc>
          <w:tcPr>
            <w:tcW w:w="6855" w:type="dxa"/>
            <w:gridSpan w:val="5"/>
            <w:tcBorders>
              <w:top w:val="single" w:color="auto" w:sz="4" w:space="0"/>
              <w:left w:val="single" w:color="auto" w:sz="4" w:space="0"/>
              <w:bottom w:val="single" w:color="auto" w:sz="4" w:space="0"/>
              <w:right w:val="single" w:color="auto" w:sz="4" w:space="0"/>
            </w:tcBorders>
          </w:tcPr>
          <w:p w14:paraId="437E12C0">
            <w:pPr>
              <w:snapToGrid w:val="0"/>
              <w:spacing w:before="50" w:afterLines="50" w:line="360" w:lineRule="auto"/>
              <w:jc w:val="left"/>
              <w:rPr>
                <w:rFonts w:asciiTheme="minorEastAsia" w:hAnsiTheme="minorEastAsia" w:eastAsiaTheme="minorEastAsia" w:cstheme="minorEastAsia"/>
                <w:color w:val="auto"/>
                <w:sz w:val="24"/>
                <w:szCs w:val="20"/>
                <w:highlight w:val="none"/>
              </w:rPr>
            </w:pPr>
          </w:p>
        </w:tc>
      </w:tr>
      <w:tr w14:paraId="0900A4C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0A07D730">
            <w:pPr>
              <w:snapToGrid w:val="0"/>
              <w:spacing w:before="50" w:afterLines="50" w:line="360" w:lineRule="auto"/>
              <w:jc w:val="left"/>
              <w:rPr>
                <w:rFonts w:asciiTheme="minorEastAsia" w:hAnsiTheme="minorEastAsia" w:eastAsiaTheme="minorEastAsia" w:cstheme="minorEastAsia"/>
                <w:color w:val="auto"/>
                <w:sz w:val="24"/>
                <w:szCs w:val="20"/>
                <w:highlight w:val="none"/>
              </w:rPr>
            </w:pPr>
            <w:r>
              <w:rPr>
                <w:rFonts w:hint="eastAsia" w:asciiTheme="minorEastAsia" w:hAnsiTheme="minorEastAsia" w:eastAsiaTheme="minorEastAsia" w:cstheme="minorEastAsia"/>
                <w:color w:val="auto"/>
                <w:sz w:val="24"/>
                <w:highlight w:val="none"/>
              </w:rPr>
              <w:t>注册资本金</w:t>
            </w:r>
          </w:p>
        </w:tc>
        <w:tc>
          <w:tcPr>
            <w:tcW w:w="1622" w:type="dxa"/>
            <w:tcBorders>
              <w:top w:val="single" w:color="auto" w:sz="4" w:space="0"/>
              <w:left w:val="single" w:color="auto" w:sz="4" w:space="0"/>
              <w:bottom w:val="single" w:color="auto" w:sz="4" w:space="0"/>
              <w:right w:val="single" w:color="auto" w:sz="4" w:space="0"/>
            </w:tcBorders>
          </w:tcPr>
          <w:p w14:paraId="7CFB5BC4">
            <w:pPr>
              <w:snapToGrid w:val="0"/>
              <w:spacing w:before="50" w:afterLines="50" w:line="360" w:lineRule="auto"/>
              <w:jc w:val="left"/>
              <w:rPr>
                <w:rFonts w:asciiTheme="minorEastAsia" w:hAnsiTheme="minorEastAsia" w:eastAsiaTheme="minorEastAsia" w:cstheme="minorEastAsia"/>
                <w:color w:val="auto"/>
                <w:sz w:val="24"/>
                <w:szCs w:val="20"/>
                <w:highlight w:val="none"/>
              </w:rPr>
            </w:pPr>
          </w:p>
        </w:tc>
        <w:tc>
          <w:tcPr>
            <w:tcW w:w="2754" w:type="dxa"/>
            <w:gridSpan w:val="3"/>
            <w:tcBorders>
              <w:top w:val="single" w:color="auto" w:sz="4" w:space="0"/>
              <w:left w:val="single" w:color="auto" w:sz="4" w:space="0"/>
              <w:bottom w:val="single" w:color="auto" w:sz="4" w:space="0"/>
              <w:right w:val="single" w:color="auto" w:sz="4" w:space="0"/>
            </w:tcBorders>
          </w:tcPr>
          <w:p w14:paraId="6C02FE7A">
            <w:pPr>
              <w:snapToGrid w:val="0"/>
              <w:spacing w:before="50" w:afterLines="50" w:line="360" w:lineRule="auto"/>
              <w:jc w:val="left"/>
              <w:rPr>
                <w:rFonts w:asciiTheme="minorEastAsia" w:hAnsiTheme="minorEastAsia" w:eastAsiaTheme="minorEastAsia" w:cstheme="minorEastAsia"/>
                <w:color w:val="auto"/>
                <w:sz w:val="24"/>
                <w:szCs w:val="20"/>
                <w:highlight w:val="none"/>
              </w:rPr>
            </w:pPr>
            <w:r>
              <w:rPr>
                <w:rFonts w:hint="eastAsia" w:asciiTheme="minorEastAsia" w:hAnsiTheme="minorEastAsia" w:eastAsiaTheme="minorEastAsia" w:cstheme="minorEastAsia"/>
                <w:color w:val="auto"/>
                <w:sz w:val="24"/>
                <w:highlight w:val="none"/>
              </w:rPr>
              <w:t>其中：投标人出资比例</w:t>
            </w:r>
          </w:p>
        </w:tc>
        <w:tc>
          <w:tcPr>
            <w:tcW w:w="2479" w:type="dxa"/>
            <w:tcBorders>
              <w:top w:val="single" w:color="auto" w:sz="4" w:space="0"/>
              <w:left w:val="single" w:color="auto" w:sz="4" w:space="0"/>
              <w:bottom w:val="single" w:color="auto" w:sz="4" w:space="0"/>
              <w:right w:val="single" w:color="auto" w:sz="4" w:space="0"/>
            </w:tcBorders>
          </w:tcPr>
          <w:p w14:paraId="2C327552">
            <w:pPr>
              <w:snapToGrid w:val="0"/>
              <w:spacing w:before="50" w:afterLines="50" w:line="360" w:lineRule="auto"/>
              <w:jc w:val="left"/>
              <w:rPr>
                <w:rFonts w:asciiTheme="minorEastAsia" w:hAnsiTheme="minorEastAsia" w:eastAsiaTheme="minorEastAsia" w:cstheme="minorEastAsia"/>
                <w:color w:val="auto"/>
                <w:sz w:val="24"/>
                <w:szCs w:val="20"/>
                <w:highlight w:val="none"/>
              </w:rPr>
            </w:pPr>
          </w:p>
        </w:tc>
      </w:tr>
      <w:tr w14:paraId="4F20B13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2C7E7A2E">
            <w:pPr>
              <w:snapToGrid w:val="0"/>
              <w:spacing w:before="50" w:afterLines="50" w:line="360" w:lineRule="auto"/>
              <w:jc w:val="left"/>
              <w:rPr>
                <w:rFonts w:asciiTheme="minorEastAsia" w:hAnsiTheme="minorEastAsia" w:eastAsiaTheme="minorEastAsia" w:cstheme="minorEastAsia"/>
                <w:color w:val="auto"/>
                <w:sz w:val="24"/>
                <w:szCs w:val="20"/>
                <w:highlight w:val="none"/>
              </w:rPr>
            </w:pPr>
            <w:r>
              <w:rPr>
                <w:rFonts w:hint="eastAsia" w:asciiTheme="minorEastAsia" w:hAnsiTheme="minorEastAsia" w:eastAsiaTheme="minorEastAsia" w:cstheme="minorEastAsia"/>
                <w:color w:val="auto"/>
                <w:sz w:val="24"/>
                <w:highlight w:val="none"/>
              </w:rPr>
              <w:t>员工总人数</w:t>
            </w:r>
          </w:p>
        </w:tc>
        <w:tc>
          <w:tcPr>
            <w:tcW w:w="1622" w:type="dxa"/>
            <w:tcBorders>
              <w:top w:val="single" w:color="auto" w:sz="4" w:space="0"/>
              <w:left w:val="single" w:color="auto" w:sz="4" w:space="0"/>
              <w:bottom w:val="single" w:color="auto" w:sz="4" w:space="0"/>
              <w:right w:val="single" w:color="auto" w:sz="4" w:space="0"/>
            </w:tcBorders>
          </w:tcPr>
          <w:p w14:paraId="2A9A0A7D">
            <w:pPr>
              <w:snapToGrid w:val="0"/>
              <w:spacing w:before="50" w:afterLines="50" w:line="360" w:lineRule="auto"/>
              <w:jc w:val="left"/>
              <w:rPr>
                <w:rFonts w:asciiTheme="minorEastAsia" w:hAnsiTheme="minorEastAsia" w:eastAsiaTheme="minorEastAsia" w:cstheme="minorEastAsia"/>
                <w:color w:val="auto"/>
                <w:sz w:val="24"/>
                <w:szCs w:val="20"/>
                <w:highlight w:val="none"/>
              </w:rPr>
            </w:pPr>
          </w:p>
        </w:tc>
        <w:tc>
          <w:tcPr>
            <w:tcW w:w="2754" w:type="dxa"/>
            <w:gridSpan w:val="3"/>
            <w:tcBorders>
              <w:top w:val="single" w:color="auto" w:sz="4" w:space="0"/>
              <w:left w:val="single" w:color="auto" w:sz="4" w:space="0"/>
              <w:bottom w:val="single" w:color="auto" w:sz="4" w:space="0"/>
              <w:right w:val="single" w:color="auto" w:sz="4" w:space="0"/>
            </w:tcBorders>
          </w:tcPr>
          <w:p w14:paraId="5DB76FC8">
            <w:pPr>
              <w:snapToGrid w:val="0"/>
              <w:spacing w:before="50" w:afterLines="50" w:line="360" w:lineRule="auto"/>
              <w:ind w:left="120"/>
              <w:jc w:val="left"/>
              <w:rPr>
                <w:rFonts w:asciiTheme="minorEastAsia" w:hAnsiTheme="minorEastAsia" w:eastAsiaTheme="minorEastAsia" w:cstheme="minorEastAsia"/>
                <w:color w:val="auto"/>
                <w:sz w:val="24"/>
                <w:szCs w:val="20"/>
                <w:highlight w:val="none"/>
              </w:rPr>
            </w:pPr>
            <w:r>
              <w:rPr>
                <w:rFonts w:hint="eastAsia" w:asciiTheme="minorEastAsia" w:hAnsiTheme="minorEastAsia" w:eastAsiaTheme="minorEastAsia" w:cstheme="minorEastAsia"/>
                <w:color w:val="auto"/>
                <w:sz w:val="24"/>
                <w:highlight w:val="none"/>
              </w:rPr>
              <w:t>其中：技术人员数</w:t>
            </w:r>
          </w:p>
        </w:tc>
        <w:tc>
          <w:tcPr>
            <w:tcW w:w="2479" w:type="dxa"/>
            <w:tcBorders>
              <w:top w:val="single" w:color="auto" w:sz="4" w:space="0"/>
              <w:left w:val="single" w:color="auto" w:sz="4" w:space="0"/>
              <w:bottom w:val="single" w:color="auto" w:sz="4" w:space="0"/>
              <w:right w:val="single" w:color="auto" w:sz="4" w:space="0"/>
            </w:tcBorders>
          </w:tcPr>
          <w:p w14:paraId="21751DE4">
            <w:pPr>
              <w:snapToGrid w:val="0"/>
              <w:spacing w:before="50" w:afterLines="50" w:line="360" w:lineRule="auto"/>
              <w:jc w:val="left"/>
              <w:rPr>
                <w:rFonts w:asciiTheme="minorEastAsia" w:hAnsiTheme="minorEastAsia" w:eastAsiaTheme="minorEastAsia" w:cstheme="minorEastAsia"/>
                <w:color w:val="auto"/>
                <w:sz w:val="24"/>
                <w:szCs w:val="20"/>
                <w:highlight w:val="none"/>
              </w:rPr>
            </w:pPr>
          </w:p>
        </w:tc>
      </w:tr>
      <w:tr w14:paraId="21DFF0B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016BEA61">
            <w:pPr>
              <w:snapToGrid w:val="0"/>
              <w:spacing w:before="50" w:afterLines="50" w:line="360" w:lineRule="auto"/>
              <w:jc w:val="left"/>
              <w:rPr>
                <w:rFonts w:asciiTheme="minorEastAsia" w:hAnsiTheme="minorEastAsia" w:eastAsiaTheme="minorEastAsia" w:cstheme="minorEastAsia"/>
                <w:color w:val="auto"/>
                <w:sz w:val="24"/>
                <w:szCs w:val="20"/>
                <w:highlight w:val="none"/>
              </w:rPr>
            </w:pPr>
            <w:r>
              <w:rPr>
                <w:rFonts w:hint="eastAsia" w:asciiTheme="minorEastAsia" w:hAnsiTheme="minorEastAsia" w:eastAsiaTheme="minorEastAsia" w:cstheme="minorEastAsia"/>
                <w:color w:val="auto"/>
                <w:sz w:val="24"/>
                <w:szCs w:val="20"/>
                <w:highlight w:val="none"/>
              </w:rPr>
              <w:t>设立日期</w:t>
            </w:r>
          </w:p>
        </w:tc>
        <w:tc>
          <w:tcPr>
            <w:tcW w:w="6855" w:type="dxa"/>
            <w:gridSpan w:val="5"/>
            <w:tcBorders>
              <w:top w:val="single" w:color="auto" w:sz="4" w:space="0"/>
              <w:left w:val="single" w:color="auto" w:sz="4" w:space="0"/>
              <w:bottom w:val="single" w:color="auto" w:sz="4" w:space="0"/>
              <w:right w:val="single" w:color="auto" w:sz="4" w:space="0"/>
            </w:tcBorders>
          </w:tcPr>
          <w:p w14:paraId="66CADE5F">
            <w:pPr>
              <w:snapToGrid w:val="0"/>
              <w:spacing w:before="50" w:afterLines="50" w:line="360" w:lineRule="auto"/>
              <w:jc w:val="left"/>
              <w:rPr>
                <w:rFonts w:asciiTheme="minorEastAsia" w:hAnsiTheme="minorEastAsia" w:eastAsiaTheme="minorEastAsia" w:cstheme="minorEastAsia"/>
                <w:color w:val="auto"/>
                <w:sz w:val="24"/>
                <w:szCs w:val="20"/>
                <w:highlight w:val="none"/>
              </w:rPr>
            </w:pPr>
          </w:p>
        </w:tc>
      </w:tr>
      <w:tr w14:paraId="08CA0AD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5817FFE2">
            <w:pPr>
              <w:snapToGrid w:val="0"/>
              <w:spacing w:before="50" w:afterLines="50" w:line="360" w:lineRule="auto"/>
              <w:jc w:val="left"/>
              <w:rPr>
                <w:rFonts w:asciiTheme="minorEastAsia" w:hAnsiTheme="minorEastAsia" w:eastAsiaTheme="minorEastAsia" w:cstheme="minorEastAsia"/>
                <w:color w:val="auto"/>
                <w:sz w:val="24"/>
                <w:szCs w:val="20"/>
                <w:highlight w:val="none"/>
              </w:rPr>
            </w:pPr>
            <w:r>
              <w:rPr>
                <w:rFonts w:hint="eastAsia" w:asciiTheme="minorEastAsia" w:hAnsiTheme="minorEastAsia" w:eastAsiaTheme="minorEastAsia" w:cstheme="minorEastAsia"/>
                <w:color w:val="auto"/>
                <w:sz w:val="24"/>
                <w:highlight w:val="none"/>
              </w:rPr>
              <w:t>业务咨询电话</w:t>
            </w:r>
          </w:p>
        </w:tc>
        <w:tc>
          <w:tcPr>
            <w:tcW w:w="2162" w:type="dxa"/>
            <w:gridSpan w:val="2"/>
            <w:tcBorders>
              <w:top w:val="single" w:color="auto" w:sz="4" w:space="0"/>
              <w:left w:val="single" w:color="auto" w:sz="4" w:space="0"/>
              <w:bottom w:val="single" w:color="auto" w:sz="4" w:space="0"/>
              <w:right w:val="single" w:color="auto" w:sz="2" w:space="0"/>
            </w:tcBorders>
          </w:tcPr>
          <w:p w14:paraId="5F499718">
            <w:pPr>
              <w:snapToGrid w:val="0"/>
              <w:spacing w:before="50" w:afterLines="50" w:line="360" w:lineRule="auto"/>
              <w:jc w:val="left"/>
              <w:rPr>
                <w:rFonts w:asciiTheme="minorEastAsia" w:hAnsiTheme="minorEastAsia" w:eastAsiaTheme="minorEastAsia" w:cstheme="minorEastAsia"/>
                <w:color w:val="auto"/>
                <w:sz w:val="24"/>
                <w:szCs w:val="20"/>
                <w:highlight w:val="none"/>
              </w:rPr>
            </w:pPr>
          </w:p>
        </w:tc>
        <w:tc>
          <w:tcPr>
            <w:tcW w:w="1326" w:type="dxa"/>
            <w:tcBorders>
              <w:top w:val="single" w:color="auto" w:sz="4" w:space="0"/>
              <w:left w:val="single" w:color="auto" w:sz="2" w:space="0"/>
              <w:bottom w:val="single" w:color="auto" w:sz="4" w:space="0"/>
              <w:right w:val="single" w:color="auto" w:sz="2" w:space="0"/>
            </w:tcBorders>
          </w:tcPr>
          <w:p w14:paraId="4D676B4B">
            <w:pPr>
              <w:snapToGrid w:val="0"/>
              <w:spacing w:before="50" w:afterLines="50" w:line="360" w:lineRule="auto"/>
              <w:jc w:val="center"/>
              <w:rPr>
                <w:rFonts w:asciiTheme="minorEastAsia" w:hAnsiTheme="minorEastAsia" w:eastAsiaTheme="minorEastAsia" w:cstheme="minorEastAsia"/>
                <w:color w:val="auto"/>
                <w:sz w:val="24"/>
                <w:szCs w:val="20"/>
                <w:highlight w:val="none"/>
              </w:rPr>
            </w:pPr>
            <w:r>
              <w:rPr>
                <w:rFonts w:hint="eastAsia" w:asciiTheme="minorEastAsia" w:hAnsiTheme="minorEastAsia" w:eastAsiaTheme="minorEastAsia" w:cstheme="minorEastAsia"/>
                <w:color w:val="auto"/>
                <w:sz w:val="24"/>
                <w:highlight w:val="none"/>
              </w:rPr>
              <w:t>传 真</w:t>
            </w:r>
          </w:p>
        </w:tc>
        <w:tc>
          <w:tcPr>
            <w:tcW w:w="3367" w:type="dxa"/>
            <w:gridSpan w:val="2"/>
            <w:tcBorders>
              <w:top w:val="single" w:color="auto" w:sz="4" w:space="0"/>
              <w:left w:val="single" w:color="auto" w:sz="2" w:space="0"/>
              <w:bottom w:val="single" w:color="auto" w:sz="4" w:space="0"/>
              <w:right w:val="single" w:color="auto" w:sz="2" w:space="0"/>
            </w:tcBorders>
          </w:tcPr>
          <w:p w14:paraId="462289CA">
            <w:pPr>
              <w:snapToGrid w:val="0"/>
              <w:spacing w:before="50" w:afterLines="50" w:line="360" w:lineRule="auto"/>
              <w:jc w:val="left"/>
              <w:rPr>
                <w:rFonts w:asciiTheme="minorEastAsia" w:hAnsiTheme="minorEastAsia" w:eastAsiaTheme="minorEastAsia" w:cstheme="minorEastAsia"/>
                <w:color w:val="auto"/>
                <w:sz w:val="24"/>
                <w:szCs w:val="20"/>
                <w:highlight w:val="none"/>
              </w:rPr>
            </w:pPr>
          </w:p>
        </w:tc>
      </w:tr>
      <w:tr w14:paraId="05B917C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00" w:hRule="atLeast"/>
        </w:trPr>
        <w:tc>
          <w:tcPr>
            <w:tcW w:w="1726" w:type="dxa"/>
            <w:tcBorders>
              <w:top w:val="single" w:color="auto" w:sz="4" w:space="0"/>
              <w:left w:val="single" w:color="auto" w:sz="4" w:space="0"/>
              <w:bottom w:val="single" w:color="auto" w:sz="4" w:space="0"/>
              <w:right w:val="single" w:color="auto" w:sz="4" w:space="0"/>
            </w:tcBorders>
          </w:tcPr>
          <w:p w14:paraId="231F86F3">
            <w:pPr>
              <w:snapToGrid w:val="0"/>
              <w:spacing w:before="50" w:afterLines="50" w:line="360" w:lineRule="auto"/>
              <w:jc w:val="left"/>
              <w:rPr>
                <w:rFonts w:asciiTheme="minorEastAsia" w:hAnsiTheme="minorEastAsia" w:eastAsiaTheme="minorEastAsia" w:cstheme="minorEastAsia"/>
                <w:color w:val="auto"/>
                <w:sz w:val="24"/>
                <w:szCs w:val="20"/>
                <w:highlight w:val="none"/>
              </w:rPr>
            </w:pPr>
            <w:r>
              <w:rPr>
                <w:rFonts w:hint="eastAsia" w:asciiTheme="minorEastAsia" w:hAnsiTheme="minorEastAsia" w:eastAsiaTheme="minorEastAsia" w:cstheme="minorEastAsia"/>
                <w:color w:val="auto"/>
                <w:sz w:val="24"/>
                <w:highlight w:val="none"/>
              </w:rPr>
              <w:t>负责人</w:t>
            </w:r>
          </w:p>
        </w:tc>
        <w:tc>
          <w:tcPr>
            <w:tcW w:w="2162" w:type="dxa"/>
            <w:gridSpan w:val="2"/>
            <w:tcBorders>
              <w:top w:val="single" w:color="auto" w:sz="4" w:space="0"/>
              <w:left w:val="single" w:color="auto" w:sz="4" w:space="0"/>
              <w:bottom w:val="single" w:color="auto" w:sz="4" w:space="0"/>
              <w:right w:val="single" w:color="auto" w:sz="2" w:space="0"/>
            </w:tcBorders>
          </w:tcPr>
          <w:p w14:paraId="20457E29">
            <w:pPr>
              <w:snapToGrid w:val="0"/>
              <w:spacing w:before="50" w:afterLines="50" w:line="360" w:lineRule="auto"/>
              <w:jc w:val="left"/>
              <w:rPr>
                <w:rFonts w:asciiTheme="minorEastAsia" w:hAnsiTheme="minorEastAsia" w:eastAsiaTheme="minorEastAsia" w:cstheme="minorEastAsia"/>
                <w:color w:val="auto"/>
                <w:sz w:val="24"/>
                <w:szCs w:val="20"/>
                <w:highlight w:val="none"/>
              </w:rPr>
            </w:pPr>
          </w:p>
        </w:tc>
        <w:tc>
          <w:tcPr>
            <w:tcW w:w="1326" w:type="dxa"/>
            <w:tcBorders>
              <w:top w:val="single" w:color="auto" w:sz="4" w:space="0"/>
              <w:left w:val="single" w:color="auto" w:sz="2" w:space="0"/>
              <w:bottom w:val="single" w:color="auto" w:sz="4" w:space="0"/>
              <w:right w:val="single" w:color="auto" w:sz="2" w:space="0"/>
            </w:tcBorders>
          </w:tcPr>
          <w:p w14:paraId="3CD472BC">
            <w:pPr>
              <w:snapToGrid w:val="0"/>
              <w:spacing w:before="50" w:afterLines="50" w:line="360" w:lineRule="auto"/>
              <w:jc w:val="center"/>
              <w:rPr>
                <w:rFonts w:asciiTheme="minorEastAsia" w:hAnsiTheme="minorEastAsia" w:eastAsiaTheme="minorEastAsia" w:cstheme="minorEastAsia"/>
                <w:color w:val="auto"/>
                <w:sz w:val="24"/>
                <w:szCs w:val="20"/>
                <w:highlight w:val="none"/>
              </w:rPr>
            </w:pPr>
            <w:r>
              <w:rPr>
                <w:rFonts w:hint="eastAsia" w:asciiTheme="minorEastAsia" w:hAnsiTheme="minorEastAsia" w:eastAsiaTheme="minorEastAsia" w:cstheme="minorEastAsia"/>
                <w:color w:val="auto"/>
                <w:sz w:val="24"/>
                <w:highlight w:val="none"/>
              </w:rPr>
              <w:t>联系电话</w:t>
            </w:r>
          </w:p>
        </w:tc>
        <w:tc>
          <w:tcPr>
            <w:tcW w:w="3367" w:type="dxa"/>
            <w:gridSpan w:val="2"/>
            <w:tcBorders>
              <w:top w:val="single" w:color="auto" w:sz="4" w:space="0"/>
              <w:left w:val="single" w:color="auto" w:sz="2" w:space="0"/>
              <w:bottom w:val="single" w:color="auto" w:sz="4" w:space="0"/>
              <w:right w:val="single" w:color="auto" w:sz="4" w:space="0"/>
            </w:tcBorders>
          </w:tcPr>
          <w:p w14:paraId="4FB3DCEB">
            <w:pPr>
              <w:snapToGrid w:val="0"/>
              <w:spacing w:before="50" w:afterLines="50" w:line="360" w:lineRule="auto"/>
              <w:jc w:val="left"/>
              <w:rPr>
                <w:rFonts w:asciiTheme="minorEastAsia" w:hAnsiTheme="minorEastAsia" w:eastAsiaTheme="minorEastAsia" w:cstheme="minorEastAsia"/>
                <w:color w:val="auto"/>
                <w:sz w:val="24"/>
                <w:szCs w:val="20"/>
                <w:highlight w:val="none"/>
              </w:rPr>
            </w:pPr>
          </w:p>
        </w:tc>
      </w:tr>
    </w:tbl>
    <w:p w14:paraId="1DEF5684">
      <w:pPr>
        <w:pStyle w:val="41"/>
        <w:snapToGrid w:val="0"/>
        <w:ind w:left="199" w:hanging="199" w:hangingChars="83"/>
        <w:rPr>
          <w:rFonts w:asciiTheme="minorEastAsia" w:hAnsiTheme="minorEastAsia" w:eastAsiaTheme="minorEastAsia" w:cstheme="minorEastAsia"/>
          <w:color w:val="auto"/>
          <w:sz w:val="24"/>
          <w:highlight w:val="none"/>
        </w:rPr>
      </w:pPr>
    </w:p>
    <w:p w14:paraId="4F7EE687">
      <w:pPr>
        <w:pStyle w:val="15"/>
        <w:snapToGrid w:val="0"/>
        <w:rPr>
          <w:rFonts w:asciiTheme="minorEastAsia" w:hAnsiTheme="minorEastAsia" w:eastAsiaTheme="minorEastAsia" w:cstheme="minorEastAsia"/>
          <w:color w:val="auto"/>
          <w:sz w:val="24"/>
          <w:highlight w:val="none"/>
        </w:rPr>
      </w:pPr>
    </w:p>
    <w:p w14:paraId="518CA0A9">
      <w:pPr>
        <w:pStyle w:val="21"/>
        <w:snapToGrid w:val="0"/>
        <w:rPr>
          <w:rFonts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pacing w:val="20"/>
          <w:sz w:val="24"/>
          <w:highlight w:val="none"/>
        </w:rPr>
        <w:t xml:space="preserve">法定代表人签字（或盖章）：            投标人（盖章）： </w:t>
      </w:r>
      <w:r>
        <w:rPr>
          <w:rFonts w:hint="eastAsia" w:asciiTheme="minorEastAsia" w:hAnsiTheme="minorEastAsia" w:eastAsiaTheme="minorEastAsia" w:cstheme="minorEastAsia"/>
          <w:b/>
          <w:color w:val="auto"/>
          <w:sz w:val="24"/>
          <w:highlight w:val="none"/>
        </w:rPr>
        <w:t xml:space="preserve">           　 </w:t>
      </w:r>
    </w:p>
    <w:p w14:paraId="46BD37B1">
      <w:pPr>
        <w:pStyle w:val="21"/>
        <w:snapToGrid w:val="0"/>
        <w:rPr>
          <w:rFonts w:asciiTheme="minorEastAsia" w:hAnsiTheme="minorEastAsia" w:eastAsiaTheme="minorEastAsia" w:cstheme="minorEastAsia"/>
          <w:b/>
          <w:color w:val="auto"/>
          <w:sz w:val="24"/>
          <w:highlight w:val="none"/>
        </w:rPr>
      </w:pPr>
    </w:p>
    <w:p w14:paraId="0D09DBD4">
      <w:pPr>
        <w:snapToGrid w:val="0"/>
        <w:spacing w:before="50" w:afterLines="50"/>
        <w:jc w:val="left"/>
        <w:rPr>
          <w:rFonts w:asciiTheme="minorEastAsia" w:hAnsiTheme="minorEastAsia" w:eastAsiaTheme="minorEastAsia" w:cstheme="minorEastAsia"/>
          <w:b/>
          <w:color w:val="auto"/>
          <w:sz w:val="24"/>
          <w:szCs w:val="20"/>
          <w:highlight w:val="none"/>
        </w:rPr>
      </w:pPr>
      <w:r>
        <w:rPr>
          <w:rFonts w:hint="eastAsia" w:asciiTheme="minorEastAsia" w:hAnsiTheme="minorEastAsia" w:eastAsiaTheme="minorEastAsia" w:cstheme="minorEastAsia"/>
          <w:b/>
          <w:color w:val="auto"/>
          <w:kern w:val="0"/>
          <w:sz w:val="24"/>
          <w:highlight w:val="none"/>
        </w:rPr>
        <w:t>日期：  _____年___月___日</w:t>
      </w:r>
    </w:p>
    <w:p w14:paraId="11590A59">
      <w:pPr>
        <w:snapToGrid w:val="0"/>
        <w:spacing w:before="50"/>
        <w:jc w:val="left"/>
        <w:rPr>
          <w:rFonts w:asciiTheme="minorEastAsia" w:hAnsiTheme="minorEastAsia" w:eastAsiaTheme="minorEastAsia" w:cstheme="minorEastAsia"/>
          <w:color w:val="auto"/>
          <w:sz w:val="24"/>
          <w:highlight w:val="none"/>
        </w:rPr>
      </w:pPr>
    </w:p>
    <w:p w14:paraId="705AB7D3">
      <w:pPr>
        <w:snapToGrid w:val="0"/>
        <w:spacing w:before="50"/>
        <w:jc w:val="left"/>
        <w:rPr>
          <w:rFonts w:asciiTheme="minorEastAsia" w:hAnsiTheme="minorEastAsia" w:eastAsiaTheme="minorEastAsia" w:cstheme="minorEastAsia"/>
          <w:color w:val="auto"/>
          <w:sz w:val="24"/>
          <w:highlight w:val="none"/>
        </w:rPr>
      </w:pPr>
    </w:p>
    <w:p w14:paraId="271D7B05">
      <w:pPr>
        <w:snapToGrid w:val="0"/>
        <w:spacing w:before="50"/>
        <w:jc w:val="lef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br w:type="page"/>
      </w:r>
      <w:bookmarkStart w:id="77" w:name="_Hlk77588362"/>
      <w:r>
        <w:rPr>
          <w:rFonts w:hint="eastAsia" w:asciiTheme="minorEastAsia" w:hAnsiTheme="minorEastAsia" w:eastAsiaTheme="minorEastAsia" w:cstheme="minorEastAsia"/>
          <w:color w:val="auto"/>
          <w:sz w:val="24"/>
          <w:highlight w:val="none"/>
        </w:rPr>
        <w:t>12.商务及技术响应表格式：</w:t>
      </w:r>
      <w:bookmarkEnd w:id="77"/>
    </w:p>
    <w:p w14:paraId="55DAE7BF">
      <w:pPr>
        <w:snapToGrid w:val="0"/>
        <w:spacing w:before="50"/>
        <w:jc w:val="left"/>
        <w:rPr>
          <w:rFonts w:asciiTheme="minorEastAsia" w:hAnsiTheme="minorEastAsia" w:eastAsiaTheme="minorEastAsia" w:cstheme="minorEastAsia"/>
          <w:color w:val="auto"/>
          <w:sz w:val="24"/>
          <w:highlight w:val="none"/>
        </w:rPr>
      </w:pPr>
    </w:p>
    <w:p w14:paraId="37C2F9F7">
      <w:pPr>
        <w:snapToGrid w:val="0"/>
        <w:spacing w:before="50"/>
        <w:jc w:val="center"/>
        <w:rPr>
          <w:rFonts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商务及技术响应表</w:t>
      </w:r>
    </w:p>
    <w:p w14:paraId="342CE6F3">
      <w:pPr>
        <w:snapToGrid w:val="0"/>
        <w:spacing w:beforeLines="50" w:after="50" w:line="360" w:lineRule="auto"/>
        <w:jc w:val="center"/>
        <w:rPr>
          <w:rFonts w:asciiTheme="minorEastAsia" w:hAnsiTheme="minorEastAsia" w:eastAsiaTheme="minorEastAsia" w:cstheme="minorEastAsia"/>
          <w:bCs/>
          <w:color w:val="auto"/>
          <w:sz w:val="24"/>
          <w:highlight w:val="none"/>
        </w:rPr>
      </w:pPr>
    </w:p>
    <w:p w14:paraId="28E0B680">
      <w:pPr>
        <w:snapToGrid w:val="0"/>
        <w:spacing w:beforeLines="50" w:after="50" w:line="480" w:lineRule="auto"/>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bCs/>
          <w:color w:val="auto"/>
          <w:sz w:val="24"/>
          <w:highlight w:val="none"/>
        </w:rPr>
        <w:t>项目名称：</w:t>
      </w:r>
    </w:p>
    <w:p w14:paraId="58833675">
      <w:pPr>
        <w:snapToGrid w:val="0"/>
        <w:spacing w:beforeLines="50" w:after="50" w:line="480" w:lineRule="auto"/>
        <w:rPr>
          <w:rFonts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color w:val="auto"/>
          <w:sz w:val="24"/>
          <w:highlight w:val="none"/>
        </w:rPr>
        <w:t>项目编号：</w:t>
      </w:r>
    </w:p>
    <w:tbl>
      <w:tblPr>
        <w:tblStyle w:val="52"/>
        <w:tblW w:w="9498" w:type="dxa"/>
        <w:tblInd w:w="-31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52"/>
        <w:gridCol w:w="1842"/>
        <w:gridCol w:w="1701"/>
        <w:gridCol w:w="993"/>
        <w:gridCol w:w="2409"/>
        <w:gridCol w:w="1701"/>
      </w:tblGrid>
      <w:tr w14:paraId="2C4FA45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2" w:hRule="atLeast"/>
        </w:trPr>
        <w:tc>
          <w:tcPr>
            <w:tcW w:w="852" w:type="dxa"/>
            <w:tcBorders>
              <w:top w:val="single" w:color="auto" w:sz="4" w:space="0"/>
              <w:left w:val="single" w:color="auto" w:sz="4" w:space="0"/>
              <w:bottom w:val="single" w:color="auto" w:sz="4" w:space="0"/>
              <w:right w:val="single" w:color="auto" w:sz="4" w:space="0"/>
            </w:tcBorders>
            <w:vAlign w:val="center"/>
          </w:tcPr>
          <w:p w14:paraId="79C4C3F4">
            <w:pPr>
              <w:snapToGrid w:val="0"/>
              <w:spacing w:beforeLines="50" w:line="360" w:lineRule="exact"/>
              <w:jc w:val="center"/>
              <w:rPr>
                <w:rFonts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序号</w:t>
            </w:r>
          </w:p>
        </w:tc>
        <w:tc>
          <w:tcPr>
            <w:tcW w:w="1842" w:type="dxa"/>
            <w:tcBorders>
              <w:top w:val="single" w:color="auto" w:sz="4" w:space="0"/>
              <w:left w:val="single" w:color="auto" w:sz="4" w:space="0"/>
              <w:bottom w:val="single" w:color="auto" w:sz="4" w:space="0"/>
              <w:right w:val="single" w:color="auto" w:sz="4" w:space="0"/>
            </w:tcBorders>
            <w:vAlign w:val="center"/>
          </w:tcPr>
          <w:p w14:paraId="514F8135">
            <w:pPr>
              <w:snapToGrid w:val="0"/>
              <w:spacing w:beforeLines="50" w:line="360" w:lineRule="exact"/>
              <w:jc w:val="center"/>
              <w:rPr>
                <w:rFonts w:asciiTheme="minorEastAsia" w:hAnsiTheme="minorEastAsia" w:eastAsiaTheme="minorEastAsia" w:cstheme="minorEastAsia"/>
                <w:b/>
                <w:color w:val="auto"/>
                <w:sz w:val="24"/>
                <w:szCs w:val="20"/>
                <w:highlight w:val="none"/>
              </w:rPr>
            </w:pPr>
            <w:r>
              <w:rPr>
                <w:rFonts w:hint="eastAsia" w:asciiTheme="minorEastAsia" w:hAnsiTheme="minorEastAsia" w:eastAsiaTheme="minorEastAsia" w:cstheme="minorEastAsia"/>
                <w:b/>
                <w:color w:val="auto"/>
                <w:sz w:val="24"/>
                <w:highlight w:val="none"/>
              </w:rPr>
              <w:t>名称</w:t>
            </w:r>
          </w:p>
        </w:tc>
        <w:tc>
          <w:tcPr>
            <w:tcW w:w="1701" w:type="dxa"/>
            <w:tcBorders>
              <w:top w:val="single" w:color="auto" w:sz="4" w:space="0"/>
              <w:left w:val="single" w:color="auto" w:sz="4" w:space="0"/>
              <w:bottom w:val="single" w:color="auto" w:sz="4" w:space="0"/>
              <w:right w:val="single" w:color="auto" w:sz="4" w:space="0"/>
            </w:tcBorders>
            <w:vAlign w:val="center"/>
          </w:tcPr>
          <w:p w14:paraId="5EB67014">
            <w:pPr>
              <w:snapToGrid w:val="0"/>
              <w:spacing w:beforeLines="50" w:line="360" w:lineRule="exact"/>
              <w:jc w:val="center"/>
              <w:rPr>
                <w:rFonts w:asciiTheme="minorEastAsia" w:hAnsiTheme="minorEastAsia" w:eastAsiaTheme="minorEastAsia" w:cstheme="minorEastAsia"/>
                <w:b/>
                <w:color w:val="auto"/>
                <w:sz w:val="24"/>
                <w:szCs w:val="20"/>
                <w:highlight w:val="none"/>
              </w:rPr>
            </w:pPr>
            <w:r>
              <w:rPr>
                <w:rFonts w:hint="eastAsia" w:asciiTheme="minorEastAsia" w:hAnsiTheme="minorEastAsia" w:eastAsiaTheme="minorEastAsia" w:cstheme="minorEastAsia"/>
                <w:b/>
                <w:color w:val="auto"/>
                <w:sz w:val="24"/>
                <w:highlight w:val="none"/>
              </w:rPr>
              <w:t>招标文件要求</w:t>
            </w:r>
          </w:p>
        </w:tc>
        <w:tc>
          <w:tcPr>
            <w:tcW w:w="993" w:type="dxa"/>
            <w:tcBorders>
              <w:top w:val="single" w:color="auto" w:sz="4" w:space="0"/>
              <w:left w:val="single" w:color="auto" w:sz="4" w:space="0"/>
              <w:bottom w:val="single" w:color="auto" w:sz="4" w:space="0"/>
              <w:right w:val="single" w:color="auto" w:sz="4" w:space="0"/>
            </w:tcBorders>
            <w:vAlign w:val="center"/>
          </w:tcPr>
          <w:p w14:paraId="20881226">
            <w:pPr>
              <w:snapToGrid w:val="0"/>
              <w:spacing w:beforeLines="50" w:line="360" w:lineRule="exact"/>
              <w:jc w:val="center"/>
              <w:rPr>
                <w:rFonts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是否</w:t>
            </w:r>
          </w:p>
          <w:p w14:paraId="66FEE12A">
            <w:pPr>
              <w:snapToGrid w:val="0"/>
              <w:spacing w:beforeLines="50" w:line="360" w:lineRule="exact"/>
              <w:jc w:val="center"/>
              <w:rPr>
                <w:rFonts w:asciiTheme="minorEastAsia" w:hAnsiTheme="minorEastAsia" w:eastAsiaTheme="minorEastAsia" w:cstheme="minorEastAsia"/>
                <w:b/>
                <w:color w:val="auto"/>
                <w:sz w:val="24"/>
                <w:szCs w:val="20"/>
                <w:highlight w:val="none"/>
              </w:rPr>
            </w:pPr>
            <w:r>
              <w:rPr>
                <w:rFonts w:hint="eastAsia" w:asciiTheme="minorEastAsia" w:hAnsiTheme="minorEastAsia" w:eastAsiaTheme="minorEastAsia" w:cstheme="minorEastAsia"/>
                <w:b/>
                <w:color w:val="auto"/>
                <w:sz w:val="24"/>
                <w:highlight w:val="none"/>
              </w:rPr>
              <w:t>响应</w:t>
            </w:r>
          </w:p>
        </w:tc>
        <w:tc>
          <w:tcPr>
            <w:tcW w:w="2409" w:type="dxa"/>
            <w:tcBorders>
              <w:top w:val="single" w:color="auto" w:sz="4" w:space="0"/>
              <w:left w:val="single" w:color="auto" w:sz="4" w:space="0"/>
              <w:bottom w:val="single" w:color="auto" w:sz="4" w:space="0"/>
              <w:right w:val="single" w:color="auto" w:sz="4" w:space="0"/>
            </w:tcBorders>
            <w:vAlign w:val="center"/>
          </w:tcPr>
          <w:p w14:paraId="078E1285">
            <w:pPr>
              <w:snapToGrid w:val="0"/>
              <w:spacing w:beforeLines="50" w:line="360" w:lineRule="exact"/>
              <w:jc w:val="center"/>
              <w:rPr>
                <w:rFonts w:asciiTheme="minorEastAsia" w:hAnsiTheme="minorEastAsia" w:eastAsiaTheme="minorEastAsia" w:cstheme="minorEastAsia"/>
                <w:b/>
                <w:color w:val="auto"/>
                <w:sz w:val="24"/>
                <w:szCs w:val="20"/>
                <w:highlight w:val="none"/>
              </w:rPr>
            </w:pPr>
            <w:r>
              <w:rPr>
                <w:rFonts w:hint="eastAsia" w:asciiTheme="minorEastAsia" w:hAnsiTheme="minorEastAsia" w:eastAsiaTheme="minorEastAsia" w:cstheme="minorEastAsia"/>
                <w:b/>
                <w:color w:val="auto"/>
                <w:sz w:val="24"/>
                <w:highlight w:val="none"/>
              </w:rPr>
              <w:t>投标人的应标情况</w:t>
            </w:r>
          </w:p>
        </w:tc>
        <w:tc>
          <w:tcPr>
            <w:tcW w:w="1701" w:type="dxa"/>
            <w:tcBorders>
              <w:top w:val="single" w:color="auto" w:sz="4" w:space="0"/>
              <w:left w:val="single" w:color="auto" w:sz="4" w:space="0"/>
              <w:bottom w:val="single" w:color="auto" w:sz="4" w:space="0"/>
              <w:right w:val="single" w:color="auto" w:sz="4" w:space="0"/>
            </w:tcBorders>
            <w:vAlign w:val="center"/>
          </w:tcPr>
          <w:p w14:paraId="3DF7E728">
            <w:pPr>
              <w:snapToGrid w:val="0"/>
              <w:spacing w:beforeLines="50" w:line="360" w:lineRule="exact"/>
              <w:jc w:val="center"/>
              <w:rPr>
                <w:rFonts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相应内容在投标文件中页码</w:t>
            </w:r>
          </w:p>
        </w:tc>
      </w:tr>
      <w:tr w14:paraId="3A3702B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44" w:hRule="atLeast"/>
        </w:trPr>
        <w:tc>
          <w:tcPr>
            <w:tcW w:w="852" w:type="dxa"/>
            <w:tcBorders>
              <w:top w:val="single" w:color="auto" w:sz="4" w:space="0"/>
              <w:left w:val="single" w:color="auto" w:sz="4" w:space="0"/>
              <w:bottom w:val="single" w:color="auto" w:sz="4" w:space="0"/>
              <w:right w:val="single" w:color="auto" w:sz="4" w:space="0"/>
            </w:tcBorders>
          </w:tcPr>
          <w:p w14:paraId="04636F25">
            <w:pPr>
              <w:snapToGrid w:val="0"/>
              <w:spacing w:beforeLines="50" w:line="360" w:lineRule="auto"/>
              <w:rPr>
                <w:rFonts w:asciiTheme="minorEastAsia" w:hAnsiTheme="minorEastAsia" w:eastAsiaTheme="minorEastAsia" w:cstheme="minorEastAsia"/>
                <w:color w:val="auto"/>
                <w:sz w:val="24"/>
                <w:szCs w:val="20"/>
                <w:highlight w:val="none"/>
              </w:rPr>
            </w:pPr>
            <w:r>
              <w:rPr>
                <w:rFonts w:hint="eastAsia" w:asciiTheme="minorEastAsia" w:hAnsiTheme="minorEastAsia" w:eastAsiaTheme="minorEastAsia" w:cstheme="minorEastAsia"/>
                <w:color w:val="auto"/>
                <w:sz w:val="24"/>
                <w:szCs w:val="20"/>
                <w:highlight w:val="none"/>
              </w:rPr>
              <w:t>1</w:t>
            </w:r>
          </w:p>
        </w:tc>
        <w:tc>
          <w:tcPr>
            <w:tcW w:w="1842" w:type="dxa"/>
            <w:tcBorders>
              <w:top w:val="single" w:color="auto" w:sz="4" w:space="0"/>
              <w:left w:val="single" w:color="auto" w:sz="4" w:space="0"/>
              <w:bottom w:val="single" w:color="auto" w:sz="4" w:space="0"/>
              <w:right w:val="single" w:color="auto" w:sz="4" w:space="0"/>
            </w:tcBorders>
          </w:tcPr>
          <w:p w14:paraId="30B9F01F">
            <w:pPr>
              <w:snapToGrid w:val="0"/>
              <w:spacing w:beforeLines="50" w:line="360" w:lineRule="auto"/>
              <w:rPr>
                <w:rFonts w:asciiTheme="minorEastAsia" w:hAnsiTheme="minorEastAsia" w:eastAsiaTheme="minorEastAsia" w:cstheme="minorEastAsia"/>
                <w:color w:val="auto"/>
                <w:sz w:val="24"/>
                <w:szCs w:val="20"/>
                <w:highlight w:val="none"/>
              </w:rPr>
            </w:pPr>
          </w:p>
        </w:tc>
        <w:tc>
          <w:tcPr>
            <w:tcW w:w="1701" w:type="dxa"/>
            <w:tcBorders>
              <w:top w:val="single" w:color="auto" w:sz="4" w:space="0"/>
              <w:left w:val="single" w:color="auto" w:sz="4" w:space="0"/>
              <w:bottom w:val="single" w:color="auto" w:sz="4" w:space="0"/>
              <w:right w:val="single" w:color="auto" w:sz="4" w:space="0"/>
            </w:tcBorders>
          </w:tcPr>
          <w:p w14:paraId="7D809080">
            <w:pPr>
              <w:snapToGrid w:val="0"/>
              <w:spacing w:beforeLines="50" w:line="360" w:lineRule="auto"/>
              <w:rPr>
                <w:rFonts w:asciiTheme="minorEastAsia" w:hAnsiTheme="minorEastAsia" w:eastAsiaTheme="minorEastAsia" w:cstheme="minorEastAsia"/>
                <w:color w:val="auto"/>
                <w:sz w:val="24"/>
                <w:szCs w:val="20"/>
                <w:highlight w:val="none"/>
              </w:rPr>
            </w:pPr>
          </w:p>
        </w:tc>
        <w:tc>
          <w:tcPr>
            <w:tcW w:w="993" w:type="dxa"/>
            <w:tcBorders>
              <w:top w:val="single" w:color="auto" w:sz="4" w:space="0"/>
              <w:left w:val="single" w:color="auto" w:sz="4" w:space="0"/>
              <w:bottom w:val="single" w:color="auto" w:sz="4" w:space="0"/>
              <w:right w:val="single" w:color="auto" w:sz="4" w:space="0"/>
            </w:tcBorders>
          </w:tcPr>
          <w:p w14:paraId="0A24B47F">
            <w:pPr>
              <w:snapToGrid w:val="0"/>
              <w:spacing w:beforeLines="50" w:line="360" w:lineRule="auto"/>
              <w:rPr>
                <w:rFonts w:asciiTheme="minorEastAsia" w:hAnsiTheme="minorEastAsia" w:eastAsiaTheme="minorEastAsia" w:cstheme="minorEastAsia"/>
                <w:color w:val="auto"/>
                <w:sz w:val="24"/>
                <w:szCs w:val="20"/>
                <w:highlight w:val="none"/>
              </w:rPr>
            </w:pPr>
          </w:p>
        </w:tc>
        <w:tc>
          <w:tcPr>
            <w:tcW w:w="2409" w:type="dxa"/>
            <w:tcBorders>
              <w:top w:val="single" w:color="auto" w:sz="4" w:space="0"/>
              <w:left w:val="single" w:color="auto" w:sz="4" w:space="0"/>
              <w:bottom w:val="single" w:color="auto" w:sz="4" w:space="0"/>
              <w:right w:val="single" w:color="auto" w:sz="4" w:space="0"/>
            </w:tcBorders>
          </w:tcPr>
          <w:p w14:paraId="63EF7975">
            <w:pPr>
              <w:snapToGrid w:val="0"/>
              <w:spacing w:beforeLines="50" w:line="360" w:lineRule="auto"/>
              <w:rPr>
                <w:rFonts w:asciiTheme="minorEastAsia" w:hAnsiTheme="minorEastAsia" w:eastAsiaTheme="minorEastAsia" w:cstheme="minorEastAsia"/>
                <w:color w:val="auto"/>
                <w:sz w:val="24"/>
                <w:szCs w:val="20"/>
                <w:highlight w:val="none"/>
              </w:rPr>
            </w:pPr>
          </w:p>
        </w:tc>
        <w:tc>
          <w:tcPr>
            <w:tcW w:w="1701" w:type="dxa"/>
            <w:tcBorders>
              <w:top w:val="single" w:color="auto" w:sz="4" w:space="0"/>
              <w:left w:val="single" w:color="auto" w:sz="4" w:space="0"/>
              <w:bottom w:val="single" w:color="auto" w:sz="4" w:space="0"/>
              <w:right w:val="single" w:color="auto" w:sz="4" w:space="0"/>
            </w:tcBorders>
          </w:tcPr>
          <w:p w14:paraId="494B3509">
            <w:pPr>
              <w:snapToGrid w:val="0"/>
              <w:spacing w:beforeLines="50" w:line="360" w:lineRule="auto"/>
              <w:rPr>
                <w:rFonts w:asciiTheme="minorEastAsia" w:hAnsiTheme="minorEastAsia" w:eastAsiaTheme="minorEastAsia" w:cstheme="minorEastAsia"/>
                <w:color w:val="auto"/>
                <w:sz w:val="24"/>
                <w:szCs w:val="20"/>
                <w:highlight w:val="none"/>
              </w:rPr>
            </w:pPr>
          </w:p>
        </w:tc>
      </w:tr>
      <w:tr w14:paraId="5ABC3CA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56" w:hRule="atLeast"/>
        </w:trPr>
        <w:tc>
          <w:tcPr>
            <w:tcW w:w="852" w:type="dxa"/>
            <w:tcBorders>
              <w:top w:val="single" w:color="auto" w:sz="4" w:space="0"/>
              <w:left w:val="single" w:color="auto" w:sz="4" w:space="0"/>
              <w:bottom w:val="single" w:color="auto" w:sz="4" w:space="0"/>
              <w:right w:val="single" w:color="auto" w:sz="4" w:space="0"/>
            </w:tcBorders>
          </w:tcPr>
          <w:p w14:paraId="3CFBEA10">
            <w:pPr>
              <w:snapToGrid w:val="0"/>
              <w:spacing w:beforeLines="50" w:line="360" w:lineRule="auto"/>
              <w:rPr>
                <w:rFonts w:asciiTheme="minorEastAsia" w:hAnsiTheme="minorEastAsia" w:eastAsiaTheme="minorEastAsia" w:cstheme="minorEastAsia"/>
                <w:color w:val="auto"/>
                <w:sz w:val="24"/>
                <w:szCs w:val="20"/>
                <w:highlight w:val="none"/>
              </w:rPr>
            </w:pPr>
            <w:r>
              <w:rPr>
                <w:rFonts w:hint="eastAsia" w:asciiTheme="minorEastAsia" w:hAnsiTheme="minorEastAsia" w:eastAsiaTheme="minorEastAsia" w:cstheme="minorEastAsia"/>
                <w:color w:val="auto"/>
                <w:sz w:val="24"/>
                <w:szCs w:val="20"/>
                <w:highlight w:val="none"/>
              </w:rPr>
              <w:t>2</w:t>
            </w:r>
          </w:p>
        </w:tc>
        <w:tc>
          <w:tcPr>
            <w:tcW w:w="1842" w:type="dxa"/>
            <w:tcBorders>
              <w:top w:val="single" w:color="auto" w:sz="4" w:space="0"/>
              <w:left w:val="single" w:color="auto" w:sz="4" w:space="0"/>
              <w:bottom w:val="single" w:color="auto" w:sz="4" w:space="0"/>
              <w:right w:val="single" w:color="auto" w:sz="4" w:space="0"/>
            </w:tcBorders>
          </w:tcPr>
          <w:p w14:paraId="5FA0BAB0">
            <w:pPr>
              <w:snapToGrid w:val="0"/>
              <w:spacing w:beforeLines="50" w:line="360" w:lineRule="auto"/>
              <w:rPr>
                <w:rFonts w:asciiTheme="minorEastAsia" w:hAnsiTheme="minorEastAsia" w:eastAsiaTheme="minorEastAsia" w:cstheme="minorEastAsia"/>
                <w:color w:val="auto"/>
                <w:sz w:val="24"/>
                <w:szCs w:val="20"/>
                <w:highlight w:val="none"/>
              </w:rPr>
            </w:pPr>
          </w:p>
        </w:tc>
        <w:tc>
          <w:tcPr>
            <w:tcW w:w="1701" w:type="dxa"/>
            <w:tcBorders>
              <w:top w:val="single" w:color="auto" w:sz="4" w:space="0"/>
              <w:left w:val="single" w:color="auto" w:sz="4" w:space="0"/>
              <w:bottom w:val="single" w:color="auto" w:sz="4" w:space="0"/>
              <w:right w:val="single" w:color="auto" w:sz="4" w:space="0"/>
            </w:tcBorders>
          </w:tcPr>
          <w:p w14:paraId="5EBFFA86">
            <w:pPr>
              <w:snapToGrid w:val="0"/>
              <w:spacing w:beforeLines="50" w:line="360" w:lineRule="auto"/>
              <w:rPr>
                <w:rFonts w:asciiTheme="minorEastAsia" w:hAnsiTheme="minorEastAsia" w:eastAsiaTheme="minorEastAsia" w:cstheme="minorEastAsia"/>
                <w:color w:val="auto"/>
                <w:sz w:val="24"/>
                <w:szCs w:val="20"/>
                <w:highlight w:val="none"/>
              </w:rPr>
            </w:pPr>
          </w:p>
        </w:tc>
        <w:tc>
          <w:tcPr>
            <w:tcW w:w="993" w:type="dxa"/>
            <w:tcBorders>
              <w:top w:val="single" w:color="auto" w:sz="4" w:space="0"/>
              <w:left w:val="single" w:color="auto" w:sz="4" w:space="0"/>
              <w:bottom w:val="single" w:color="auto" w:sz="4" w:space="0"/>
              <w:right w:val="single" w:color="auto" w:sz="4" w:space="0"/>
            </w:tcBorders>
          </w:tcPr>
          <w:p w14:paraId="011D822F">
            <w:pPr>
              <w:snapToGrid w:val="0"/>
              <w:spacing w:beforeLines="50" w:line="360" w:lineRule="auto"/>
              <w:rPr>
                <w:rFonts w:asciiTheme="minorEastAsia" w:hAnsiTheme="minorEastAsia" w:eastAsiaTheme="minorEastAsia" w:cstheme="minorEastAsia"/>
                <w:color w:val="auto"/>
                <w:sz w:val="24"/>
                <w:szCs w:val="20"/>
                <w:highlight w:val="none"/>
              </w:rPr>
            </w:pPr>
          </w:p>
        </w:tc>
        <w:tc>
          <w:tcPr>
            <w:tcW w:w="2409" w:type="dxa"/>
            <w:tcBorders>
              <w:top w:val="single" w:color="auto" w:sz="4" w:space="0"/>
              <w:left w:val="single" w:color="auto" w:sz="4" w:space="0"/>
              <w:bottom w:val="single" w:color="auto" w:sz="4" w:space="0"/>
              <w:right w:val="single" w:color="auto" w:sz="4" w:space="0"/>
            </w:tcBorders>
          </w:tcPr>
          <w:p w14:paraId="311E795C">
            <w:pPr>
              <w:snapToGrid w:val="0"/>
              <w:spacing w:beforeLines="50" w:line="360" w:lineRule="auto"/>
              <w:rPr>
                <w:rFonts w:asciiTheme="minorEastAsia" w:hAnsiTheme="minorEastAsia" w:eastAsiaTheme="minorEastAsia" w:cstheme="minorEastAsia"/>
                <w:color w:val="auto"/>
                <w:sz w:val="24"/>
                <w:szCs w:val="20"/>
                <w:highlight w:val="none"/>
              </w:rPr>
            </w:pPr>
          </w:p>
        </w:tc>
        <w:tc>
          <w:tcPr>
            <w:tcW w:w="1701" w:type="dxa"/>
            <w:tcBorders>
              <w:top w:val="single" w:color="auto" w:sz="4" w:space="0"/>
              <w:left w:val="single" w:color="auto" w:sz="4" w:space="0"/>
              <w:bottom w:val="single" w:color="auto" w:sz="4" w:space="0"/>
              <w:right w:val="single" w:color="auto" w:sz="4" w:space="0"/>
            </w:tcBorders>
          </w:tcPr>
          <w:p w14:paraId="5234CAF2">
            <w:pPr>
              <w:snapToGrid w:val="0"/>
              <w:spacing w:beforeLines="50" w:line="360" w:lineRule="auto"/>
              <w:rPr>
                <w:rFonts w:asciiTheme="minorEastAsia" w:hAnsiTheme="minorEastAsia" w:eastAsiaTheme="minorEastAsia" w:cstheme="minorEastAsia"/>
                <w:color w:val="auto"/>
                <w:sz w:val="24"/>
                <w:szCs w:val="20"/>
                <w:highlight w:val="none"/>
              </w:rPr>
            </w:pPr>
          </w:p>
        </w:tc>
      </w:tr>
      <w:tr w14:paraId="1469B99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50" w:hRule="atLeast"/>
        </w:trPr>
        <w:tc>
          <w:tcPr>
            <w:tcW w:w="852" w:type="dxa"/>
            <w:tcBorders>
              <w:top w:val="single" w:color="auto" w:sz="4" w:space="0"/>
              <w:left w:val="single" w:color="auto" w:sz="4" w:space="0"/>
              <w:bottom w:val="single" w:color="auto" w:sz="4" w:space="0"/>
              <w:right w:val="single" w:color="auto" w:sz="4" w:space="0"/>
            </w:tcBorders>
          </w:tcPr>
          <w:p w14:paraId="39A2081C">
            <w:pPr>
              <w:snapToGrid w:val="0"/>
              <w:spacing w:beforeLines="50" w:line="360" w:lineRule="auto"/>
              <w:rPr>
                <w:rFonts w:asciiTheme="minorEastAsia" w:hAnsiTheme="minorEastAsia" w:eastAsiaTheme="minorEastAsia" w:cstheme="minorEastAsia"/>
                <w:color w:val="auto"/>
                <w:sz w:val="24"/>
                <w:szCs w:val="20"/>
                <w:highlight w:val="none"/>
              </w:rPr>
            </w:pPr>
            <w:r>
              <w:rPr>
                <w:rFonts w:hint="eastAsia" w:asciiTheme="minorEastAsia" w:hAnsiTheme="minorEastAsia" w:eastAsiaTheme="minorEastAsia" w:cstheme="minorEastAsia"/>
                <w:color w:val="auto"/>
                <w:sz w:val="24"/>
                <w:szCs w:val="20"/>
                <w:highlight w:val="none"/>
              </w:rPr>
              <w:t>3</w:t>
            </w:r>
          </w:p>
        </w:tc>
        <w:tc>
          <w:tcPr>
            <w:tcW w:w="1842" w:type="dxa"/>
            <w:tcBorders>
              <w:top w:val="single" w:color="auto" w:sz="4" w:space="0"/>
              <w:left w:val="single" w:color="auto" w:sz="4" w:space="0"/>
              <w:bottom w:val="single" w:color="auto" w:sz="4" w:space="0"/>
              <w:right w:val="single" w:color="auto" w:sz="4" w:space="0"/>
            </w:tcBorders>
          </w:tcPr>
          <w:p w14:paraId="1791AE18">
            <w:pPr>
              <w:snapToGrid w:val="0"/>
              <w:spacing w:beforeLines="50" w:line="360" w:lineRule="auto"/>
              <w:rPr>
                <w:rFonts w:asciiTheme="minorEastAsia" w:hAnsiTheme="minorEastAsia" w:eastAsiaTheme="minorEastAsia" w:cstheme="minorEastAsia"/>
                <w:color w:val="auto"/>
                <w:sz w:val="24"/>
                <w:szCs w:val="20"/>
                <w:highlight w:val="none"/>
              </w:rPr>
            </w:pPr>
          </w:p>
        </w:tc>
        <w:tc>
          <w:tcPr>
            <w:tcW w:w="1701" w:type="dxa"/>
            <w:tcBorders>
              <w:top w:val="single" w:color="auto" w:sz="4" w:space="0"/>
              <w:left w:val="single" w:color="auto" w:sz="4" w:space="0"/>
              <w:bottom w:val="single" w:color="auto" w:sz="4" w:space="0"/>
              <w:right w:val="single" w:color="auto" w:sz="4" w:space="0"/>
            </w:tcBorders>
          </w:tcPr>
          <w:p w14:paraId="6B147A5B">
            <w:pPr>
              <w:snapToGrid w:val="0"/>
              <w:spacing w:beforeLines="50" w:line="360" w:lineRule="auto"/>
              <w:rPr>
                <w:rFonts w:asciiTheme="minorEastAsia" w:hAnsiTheme="minorEastAsia" w:eastAsiaTheme="minorEastAsia" w:cstheme="minorEastAsia"/>
                <w:color w:val="auto"/>
                <w:sz w:val="24"/>
                <w:szCs w:val="20"/>
                <w:highlight w:val="none"/>
              </w:rPr>
            </w:pPr>
          </w:p>
        </w:tc>
        <w:tc>
          <w:tcPr>
            <w:tcW w:w="993" w:type="dxa"/>
            <w:tcBorders>
              <w:top w:val="single" w:color="auto" w:sz="4" w:space="0"/>
              <w:left w:val="single" w:color="auto" w:sz="4" w:space="0"/>
              <w:bottom w:val="single" w:color="auto" w:sz="4" w:space="0"/>
              <w:right w:val="single" w:color="auto" w:sz="4" w:space="0"/>
            </w:tcBorders>
          </w:tcPr>
          <w:p w14:paraId="4ABE3B12">
            <w:pPr>
              <w:snapToGrid w:val="0"/>
              <w:spacing w:beforeLines="50" w:line="360" w:lineRule="auto"/>
              <w:ind w:left="86"/>
              <w:rPr>
                <w:rFonts w:asciiTheme="minorEastAsia" w:hAnsiTheme="minorEastAsia" w:eastAsiaTheme="minorEastAsia" w:cstheme="minorEastAsia"/>
                <w:color w:val="auto"/>
                <w:sz w:val="24"/>
                <w:szCs w:val="20"/>
                <w:highlight w:val="none"/>
              </w:rPr>
            </w:pPr>
          </w:p>
        </w:tc>
        <w:tc>
          <w:tcPr>
            <w:tcW w:w="2409" w:type="dxa"/>
            <w:tcBorders>
              <w:top w:val="single" w:color="auto" w:sz="4" w:space="0"/>
              <w:left w:val="single" w:color="auto" w:sz="4" w:space="0"/>
              <w:bottom w:val="single" w:color="auto" w:sz="4" w:space="0"/>
              <w:right w:val="single" w:color="auto" w:sz="4" w:space="0"/>
            </w:tcBorders>
          </w:tcPr>
          <w:p w14:paraId="76EE5C2F">
            <w:pPr>
              <w:snapToGrid w:val="0"/>
              <w:spacing w:beforeLines="50" w:line="360" w:lineRule="auto"/>
              <w:ind w:left="86"/>
              <w:rPr>
                <w:rFonts w:asciiTheme="minorEastAsia" w:hAnsiTheme="minorEastAsia" w:eastAsiaTheme="minorEastAsia" w:cstheme="minorEastAsia"/>
                <w:color w:val="auto"/>
                <w:sz w:val="24"/>
                <w:szCs w:val="20"/>
                <w:highlight w:val="none"/>
              </w:rPr>
            </w:pPr>
          </w:p>
        </w:tc>
        <w:tc>
          <w:tcPr>
            <w:tcW w:w="1701" w:type="dxa"/>
            <w:tcBorders>
              <w:top w:val="single" w:color="auto" w:sz="4" w:space="0"/>
              <w:left w:val="single" w:color="auto" w:sz="4" w:space="0"/>
              <w:bottom w:val="single" w:color="auto" w:sz="4" w:space="0"/>
              <w:right w:val="single" w:color="auto" w:sz="4" w:space="0"/>
            </w:tcBorders>
          </w:tcPr>
          <w:p w14:paraId="5CBA5D14">
            <w:pPr>
              <w:snapToGrid w:val="0"/>
              <w:spacing w:beforeLines="50" w:line="360" w:lineRule="auto"/>
              <w:ind w:left="86"/>
              <w:rPr>
                <w:rFonts w:asciiTheme="minorEastAsia" w:hAnsiTheme="minorEastAsia" w:eastAsiaTheme="minorEastAsia" w:cstheme="minorEastAsia"/>
                <w:color w:val="auto"/>
                <w:sz w:val="24"/>
                <w:szCs w:val="20"/>
                <w:highlight w:val="none"/>
              </w:rPr>
            </w:pPr>
          </w:p>
        </w:tc>
      </w:tr>
      <w:tr w14:paraId="7027145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8" w:hRule="atLeast"/>
        </w:trPr>
        <w:tc>
          <w:tcPr>
            <w:tcW w:w="852" w:type="dxa"/>
            <w:tcBorders>
              <w:top w:val="single" w:color="auto" w:sz="4" w:space="0"/>
              <w:left w:val="single" w:color="auto" w:sz="4" w:space="0"/>
              <w:bottom w:val="single" w:color="auto" w:sz="4" w:space="0"/>
              <w:right w:val="single" w:color="auto" w:sz="4" w:space="0"/>
            </w:tcBorders>
          </w:tcPr>
          <w:p w14:paraId="6F8B1A03">
            <w:pPr>
              <w:snapToGrid w:val="0"/>
              <w:spacing w:beforeLines="50" w:line="360" w:lineRule="auto"/>
              <w:rPr>
                <w:rFonts w:asciiTheme="minorEastAsia" w:hAnsiTheme="minorEastAsia" w:eastAsiaTheme="minorEastAsia" w:cstheme="minorEastAsia"/>
                <w:color w:val="auto"/>
                <w:sz w:val="24"/>
                <w:szCs w:val="20"/>
                <w:highlight w:val="none"/>
              </w:rPr>
            </w:pPr>
          </w:p>
        </w:tc>
        <w:tc>
          <w:tcPr>
            <w:tcW w:w="1842" w:type="dxa"/>
            <w:tcBorders>
              <w:top w:val="single" w:color="auto" w:sz="4" w:space="0"/>
              <w:left w:val="single" w:color="auto" w:sz="4" w:space="0"/>
              <w:bottom w:val="single" w:color="auto" w:sz="4" w:space="0"/>
              <w:right w:val="single" w:color="auto" w:sz="4" w:space="0"/>
            </w:tcBorders>
          </w:tcPr>
          <w:p w14:paraId="557E0E62">
            <w:pPr>
              <w:snapToGrid w:val="0"/>
              <w:spacing w:beforeLines="50" w:line="360" w:lineRule="auto"/>
              <w:rPr>
                <w:rFonts w:asciiTheme="minorEastAsia" w:hAnsiTheme="minorEastAsia" w:eastAsiaTheme="minorEastAsia" w:cstheme="minorEastAsia"/>
                <w:color w:val="auto"/>
                <w:sz w:val="24"/>
                <w:szCs w:val="20"/>
                <w:highlight w:val="none"/>
              </w:rPr>
            </w:pPr>
          </w:p>
        </w:tc>
        <w:tc>
          <w:tcPr>
            <w:tcW w:w="1701" w:type="dxa"/>
            <w:tcBorders>
              <w:top w:val="single" w:color="auto" w:sz="4" w:space="0"/>
              <w:left w:val="single" w:color="auto" w:sz="4" w:space="0"/>
              <w:bottom w:val="single" w:color="auto" w:sz="4" w:space="0"/>
              <w:right w:val="single" w:color="auto" w:sz="4" w:space="0"/>
            </w:tcBorders>
          </w:tcPr>
          <w:p w14:paraId="2A2CCD09">
            <w:pPr>
              <w:snapToGrid w:val="0"/>
              <w:spacing w:beforeLines="50" w:line="360" w:lineRule="auto"/>
              <w:rPr>
                <w:rFonts w:asciiTheme="minorEastAsia" w:hAnsiTheme="minorEastAsia" w:eastAsiaTheme="minorEastAsia" w:cstheme="minorEastAsia"/>
                <w:color w:val="auto"/>
                <w:sz w:val="24"/>
                <w:szCs w:val="20"/>
                <w:highlight w:val="none"/>
              </w:rPr>
            </w:pPr>
          </w:p>
        </w:tc>
        <w:tc>
          <w:tcPr>
            <w:tcW w:w="993" w:type="dxa"/>
            <w:tcBorders>
              <w:top w:val="single" w:color="auto" w:sz="4" w:space="0"/>
              <w:left w:val="single" w:color="auto" w:sz="4" w:space="0"/>
              <w:bottom w:val="single" w:color="auto" w:sz="4" w:space="0"/>
              <w:right w:val="single" w:color="auto" w:sz="4" w:space="0"/>
            </w:tcBorders>
          </w:tcPr>
          <w:p w14:paraId="420DEFC4">
            <w:pPr>
              <w:snapToGrid w:val="0"/>
              <w:spacing w:beforeLines="50" w:line="360" w:lineRule="auto"/>
              <w:rPr>
                <w:rFonts w:asciiTheme="minorEastAsia" w:hAnsiTheme="minorEastAsia" w:eastAsiaTheme="minorEastAsia" w:cstheme="minorEastAsia"/>
                <w:color w:val="auto"/>
                <w:sz w:val="24"/>
                <w:szCs w:val="20"/>
                <w:highlight w:val="none"/>
              </w:rPr>
            </w:pPr>
          </w:p>
        </w:tc>
        <w:tc>
          <w:tcPr>
            <w:tcW w:w="2409" w:type="dxa"/>
            <w:tcBorders>
              <w:top w:val="single" w:color="auto" w:sz="4" w:space="0"/>
              <w:left w:val="single" w:color="auto" w:sz="4" w:space="0"/>
              <w:bottom w:val="single" w:color="auto" w:sz="4" w:space="0"/>
              <w:right w:val="single" w:color="auto" w:sz="4" w:space="0"/>
            </w:tcBorders>
          </w:tcPr>
          <w:p w14:paraId="696A4F96">
            <w:pPr>
              <w:snapToGrid w:val="0"/>
              <w:spacing w:beforeLines="50" w:line="360" w:lineRule="auto"/>
              <w:rPr>
                <w:rFonts w:asciiTheme="minorEastAsia" w:hAnsiTheme="minorEastAsia" w:eastAsiaTheme="minorEastAsia" w:cstheme="minorEastAsia"/>
                <w:color w:val="auto"/>
                <w:sz w:val="24"/>
                <w:szCs w:val="20"/>
                <w:highlight w:val="none"/>
              </w:rPr>
            </w:pPr>
          </w:p>
        </w:tc>
        <w:tc>
          <w:tcPr>
            <w:tcW w:w="1701" w:type="dxa"/>
            <w:tcBorders>
              <w:top w:val="single" w:color="auto" w:sz="4" w:space="0"/>
              <w:left w:val="single" w:color="auto" w:sz="4" w:space="0"/>
              <w:bottom w:val="single" w:color="auto" w:sz="4" w:space="0"/>
              <w:right w:val="single" w:color="auto" w:sz="4" w:space="0"/>
            </w:tcBorders>
          </w:tcPr>
          <w:p w14:paraId="3E9B1032">
            <w:pPr>
              <w:snapToGrid w:val="0"/>
              <w:spacing w:beforeLines="50" w:line="360" w:lineRule="auto"/>
              <w:rPr>
                <w:rFonts w:asciiTheme="minorEastAsia" w:hAnsiTheme="minorEastAsia" w:eastAsiaTheme="minorEastAsia" w:cstheme="minorEastAsia"/>
                <w:color w:val="auto"/>
                <w:sz w:val="24"/>
                <w:szCs w:val="20"/>
                <w:highlight w:val="none"/>
              </w:rPr>
            </w:pPr>
          </w:p>
        </w:tc>
      </w:tr>
      <w:tr w14:paraId="5919313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52" w:type="dxa"/>
            <w:tcBorders>
              <w:top w:val="single" w:color="auto" w:sz="4" w:space="0"/>
              <w:left w:val="single" w:color="auto" w:sz="4" w:space="0"/>
              <w:bottom w:val="single" w:color="auto" w:sz="4" w:space="0"/>
              <w:right w:val="single" w:color="auto" w:sz="4" w:space="0"/>
            </w:tcBorders>
          </w:tcPr>
          <w:p w14:paraId="78940F02">
            <w:pPr>
              <w:snapToGrid w:val="0"/>
              <w:spacing w:beforeLines="50" w:line="360" w:lineRule="auto"/>
              <w:rPr>
                <w:rFonts w:asciiTheme="minorEastAsia" w:hAnsiTheme="minorEastAsia" w:eastAsiaTheme="minorEastAsia" w:cstheme="minorEastAsia"/>
                <w:color w:val="auto"/>
                <w:sz w:val="24"/>
                <w:szCs w:val="20"/>
                <w:highlight w:val="none"/>
              </w:rPr>
            </w:pPr>
          </w:p>
        </w:tc>
        <w:tc>
          <w:tcPr>
            <w:tcW w:w="1842" w:type="dxa"/>
            <w:tcBorders>
              <w:top w:val="single" w:color="auto" w:sz="4" w:space="0"/>
              <w:left w:val="single" w:color="auto" w:sz="4" w:space="0"/>
              <w:bottom w:val="single" w:color="auto" w:sz="4" w:space="0"/>
              <w:right w:val="single" w:color="auto" w:sz="4" w:space="0"/>
            </w:tcBorders>
          </w:tcPr>
          <w:p w14:paraId="70E64887">
            <w:pPr>
              <w:snapToGrid w:val="0"/>
              <w:spacing w:beforeLines="50" w:line="360" w:lineRule="auto"/>
              <w:rPr>
                <w:rFonts w:asciiTheme="minorEastAsia" w:hAnsiTheme="minorEastAsia" w:eastAsiaTheme="minorEastAsia" w:cstheme="minorEastAsia"/>
                <w:color w:val="auto"/>
                <w:sz w:val="24"/>
                <w:szCs w:val="20"/>
                <w:highlight w:val="none"/>
              </w:rPr>
            </w:pPr>
          </w:p>
        </w:tc>
        <w:tc>
          <w:tcPr>
            <w:tcW w:w="1701" w:type="dxa"/>
            <w:tcBorders>
              <w:top w:val="single" w:color="auto" w:sz="4" w:space="0"/>
              <w:left w:val="single" w:color="auto" w:sz="4" w:space="0"/>
              <w:bottom w:val="single" w:color="auto" w:sz="4" w:space="0"/>
              <w:right w:val="single" w:color="auto" w:sz="4" w:space="0"/>
            </w:tcBorders>
          </w:tcPr>
          <w:p w14:paraId="1AE14893">
            <w:pPr>
              <w:snapToGrid w:val="0"/>
              <w:spacing w:beforeLines="50" w:line="360" w:lineRule="auto"/>
              <w:rPr>
                <w:rFonts w:asciiTheme="minorEastAsia" w:hAnsiTheme="minorEastAsia" w:eastAsiaTheme="minorEastAsia" w:cstheme="minorEastAsia"/>
                <w:color w:val="auto"/>
                <w:sz w:val="24"/>
                <w:szCs w:val="20"/>
                <w:highlight w:val="none"/>
              </w:rPr>
            </w:pPr>
          </w:p>
        </w:tc>
        <w:tc>
          <w:tcPr>
            <w:tcW w:w="993" w:type="dxa"/>
            <w:tcBorders>
              <w:top w:val="single" w:color="auto" w:sz="4" w:space="0"/>
              <w:left w:val="single" w:color="auto" w:sz="4" w:space="0"/>
              <w:bottom w:val="single" w:color="auto" w:sz="4" w:space="0"/>
              <w:right w:val="single" w:color="auto" w:sz="4" w:space="0"/>
            </w:tcBorders>
          </w:tcPr>
          <w:p w14:paraId="1F71DA19">
            <w:pPr>
              <w:snapToGrid w:val="0"/>
              <w:spacing w:beforeLines="50" w:line="360" w:lineRule="auto"/>
              <w:rPr>
                <w:rFonts w:asciiTheme="minorEastAsia" w:hAnsiTheme="minorEastAsia" w:eastAsiaTheme="minorEastAsia" w:cstheme="minorEastAsia"/>
                <w:color w:val="auto"/>
                <w:sz w:val="24"/>
                <w:szCs w:val="20"/>
                <w:highlight w:val="none"/>
              </w:rPr>
            </w:pPr>
          </w:p>
        </w:tc>
        <w:tc>
          <w:tcPr>
            <w:tcW w:w="2409" w:type="dxa"/>
            <w:tcBorders>
              <w:top w:val="single" w:color="auto" w:sz="4" w:space="0"/>
              <w:left w:val="single" w:color="auto" w:sz="4" w:space="0"/>
              <w:bottom w:val="single" w:color="auto" w:sz="4" w:space="0"/>
              <w:right w:val="single" w:color="auto" w:sz="4" w:space="0"/>
            </w:tcBorders>
          </w:tcPr>
          <w:p w14:paraId="2D9CEC41">
            <w:pPr>
              <w:snapToGrid w:val="0"/>
              <w:spacing w:beforeLines="50" w:line="360" w:lineRule="auto"/>
              <w:rPr>
                <w:rFonts w:asciiTheme="minorEastAsia" w:hAnsiTheme="minorEastAsia" w:eastAsiaTheme="minorEastAsia" w:cstheme="minorEastAsia"/>
                <w:color w:val="auto"/>
                <w:sz w:val="24"/>
                <w:szCs w:val="20"/>
                <w:highlight w:val="none"/>
              </w:rPr>
            </w:pPr>
          </w:p>
        </w:tc>
        <w:tc>
          <w:tcPr>
            <w:tcW w:w="1701" w:type="dxa"/>
            <w:tcBorders>
              <w:top w:val="single" w:color="auto" w:sz="4" w:space="0"/>
              <w:left w:val="single" w:color="auto" w:sz="4" w:space="0"/>
              <w:bottom w:val="single" w:color="auto" w:sz="4" w:space="0"/>
              <w:right w:val="single" w:color="auto" w:sz="4" w:space="0"/>
            </w:tcBorders>
          </w:tcPr>
          <w:p w14:paraId="76FF26BA">
            <w:pPr>
              <w:snapToGrid w:val="0"/>
              <w:spacing w:beforeLines="50" w:line="360" w:lineRule="auto"/>
              <w:rPr>
                <w:rFonts w:asciiTheme="minorEastAsia" w:hAnsiTheme="minorEastAsia" w:eastAsiaTheme="minorEastAsia" w:cstheme="minorEastAsia"/>
                <w:color w:val="auto"/>
                <w:sz w:val="24"/>
                <w:szCs w:val="20"/>
                <w:highlight w:val="none"/>
              </w:rPr>
            </w:pPr>
          </w:p>
        </w:tc>
      </w:tr>
      <w:tr w14:paraId="673C5AA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84" w:hRule="atLeast"/>
        </w:trPr>
        <w:tc>
          <w:tcPr>
            <w:tcW w:w="852" w:type="dxa"/>
            <w:tcBorders>
              <w:top w:val="single" w:color="auto" w:sz="4" w:space="0"/>
              <w:left w:val="single" w:color="auto" w:sz="4" w:space="0"/>
              <w:bottom w:val="single" w:color="auto" w:sz="4" w:space="0"/>
              <w:right w:val="single" w:color="auto" w:sz="4" w:space="0"/>
            </w:tcBorders>
          </w:tcPr>
          <w:p w14:paraId="2030FF1E">
            <w:pPr>
              <w:snapToGrid w:val="0"/>
              <w:spacing w:beforeLines="50" w:line="360" w:lineRule="auto"/>
              <w:rPr>
                <w:rFonts w:asciiTheme="minorEastAsia" w:hAnsiTheme="minorEastAsia" w:eastAsiaTheme="minorEastAsia" w:cstheme="minorEastAsia"/>
                <w:color w:val="auto"/>
                <w:sz w:val="24"/>
                <w:szCs w:val="20"/>
                <w:highlight w:val="none"/>
              </w:rPr>
            </w:pPr>
          </w:p>
        </w:tc>
        <w:tc>
          <w:tcPr>
            <w:tcW w:w="1842" w:type="dxa"/>
            <w:tcBorders>
              <w:top w:val="single" w:color="auto" w:sz="4" w:space="0"/>
              <w:left w:val="single" w:color="auto" w:sz="4" w:space="0"/>
              <w:bottom w:val="single" w:color="auto" w:sz="4" w:space="0"/>
              <w:right w:val="single" w:color="auto" w:sz="4" w:space="0"/>
            </w:tcBorders>
          </w:tcPr>
          <w:p w14:paraId="3442CDC8">
            <w:pPr>
              <w:snapToGrid w:val="0"/>
              <w:spacing w:beforeLines="50" w:line="360" w:lineRule="auto"/>
              <w:rPr>
                <w:rFonts w:asciiTheme="minorEastAsia" w:hAnsiTheme="minorEastAsia" w:eastAsiaTheme="minorEastAsia" w:cstheme="minorEastAsia"/>
                <w:color w:val="auto"/>
                <w:sz w:val="24"/>
                <w:szCs w:val="20"/>
                <w:highlight w:val="none"/>
              </w:rPr>
            </w:pPr>
          </w:p>
        </w:tc>
        <w:tc>
          <w:tcPr>
            <w:tcW w:w="1701" w:type="dxa"/>
            <w:tcBorders>
              <w:top w:val="single" w:color="auto" w:sz="4" w:space="0"/>
              <w:left w:val="single" w:color="auto" w:sz="4" w:space="0"/>
              <w:bottom w:val="single" w:color="auto" w:sz="4" w:space="0"/>
              <w:right w:val="single" w:color="auto" w:sz="4" w:space="0"/>
            </w:tcBorders>
          </w:tcPr>
          <w:p w14:paraId="6A39EAD3">
            <w:pPr>
              <w:snapToGrid w:val="0"/>
              <w:spacing w:beforeLines="50" w:line="360" w:lineRule="auto"/>
              <w:rPr>
                <w:rFonts w:asciiTheme="minorEastAsia" w:hAnsiTheme="minorEastAsia" w:eastAsiaTheme="minorEastAsia" w:cstheme="minorEastAsia"/>
                <w:color w:val="auto"/>
                <w:sz w:val="24"/>
                <w:szCs w:val="20"/>
                <w:highlight w:val="none"/>
              </w:rPr>
            </w:pPr>
          </w:p>
        </w:tc>
        <w:tc>
          <w:tcPr>
            <w:tcW w:w="993" w:type="dxa"/>
            <w:tcBorders>
              <w:top w:val="single" w:color="auto" w:sz="4" w:space="0"/>
              <w:left w:val="single" w:color="auto" w:sz="4" w:space="0"/>
              <w:bottom w:val="single" w:color="auto" w:sz="4" w:space="0"/>
              <w:right w:val="single" w:color="auto" w:sz="4" w:space="0"/>
            </w:tcBorders>
          </w:tcPr>
          <w:p w14:paraId="3E8D735B">
            <w:pPr>
              <w:snapToGrid w:val="0"/>
              <w:spacing w:beforeLines="50" w:line="360" w:lineRule="auto"/>
              <w:rPr>
                <w:rFonts w:asciiTheme="minorEastAsia" w:hAnsiTheme="minorEastAsia" w:eastAsiaTheme="minorEastAsia" w:cstheme="minorEastAsia"/>
                <w:color w:val="auto"/>
                <w:sz w:val="24"/>
                <w:szCs w:val="20"/>
                <w:highlight w:val="none"/>
              </w:rPr>
            </w:pPr>
          </w:p>
        </w:tc>
        <w:tc>
          <w:tcPr>
            <w:tcW w:w="2409" w:type="dxa"/>
            <w:tcBorders>
              <w:top w:val="single" w:color="auto" w:sz="4" w:space="0"/>
              <w:left w:val="single" w:color="auto" w:sz="4" w:space="0"/>
              <w:bottom w:val="single" w:color="auto" w:sz="4" w:space="0"/>
              <w:right w:val="single" w:color="auto" w:sz="4" w:space="0"/>
            </w:tcBorders>
          </w:tcPr>
          <w:p w14:paraId="2B2135C8">
            <w:pPr>
              <w:snapToGrid w:val="0"/>
              <w:spacing w:beforeLines="50" w:line="360" w:lineRule="auto"/>
              <w:rPr>
                <w:rFonts w:asciiTheme="minorEastAsia" w:hAnsiTheme="minorEastAsia" w:eastAsiaTheme="minorEastAsia" w:cstheme="minorEastAsia"/>
                <w:color w:val="auto"/>
                <w:sz w:val="24"/>
                <w:szCs w:val="20"/>
                <w:highlight w:val="none"/>
              </w:rPr>
            </w:pPr>
          </w:p>
        </w:tc>
        <w:tc>
          <w:tcPr>
            <w:tcW w:w="1701" w:type="dxa"/>
            <w:tcBorders>
              <w:top w:val="single" w:color="auto" w:sz="4" w:space="0"/>
              <w:left w:val="single" w:color="auto" w:sz="4" w:space="0"/>
              <w:bottom w:val="single" w:color="auto" w:sz="4" w:space="0"/>
              <w:right w:val="single" w:color="auto" w:sz="4" w:space="0"/>
            </w:tcBorders>
          </w:tcPr>
          <w:p w14:paraId="4974C8CB">
            <w:pPr>
              <w:snapToGrid w:val="0"/>
              <w:spacing w:beforeLines="50" w:line="360" w:lineRule="auto"/>
              <w:rPr>
                <w:rFonts w:asciiTheme="minorEastAsia" w:hAnsiTheme="minorEastAsia" w:eastAsiaTheme="minorEastAsia" w:cstheme="minorEastAsia"/>
                <w:color w:val="auto"/>
                <w:sz w:val="24"/>
                <w:szCs w:val="20"/>
                <w:highlight w:val="none"/>
              </w:rPr>
            </w:pPr>
          </w:p>
        </w:tc>
      </w:tr>
      <w:tr w14:paraId="113ABA1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84" w:hRule="atLeast"/>
        </w:trPr>
        <w:tc>
          <w:tcPr>
            <w:tcW w:w="852" w:type="dxa"/>
            <w:tcBorders>
              <w:top w:val="single" w:color="auto" w:sz="4" w:space="0"/>
              <w:left w:val="single" w:color="auto" w:sz="4" w:space="0"/>
              <w:bottom w:val="single" w:color="auto" w:sz="4" w:space="0"/>
              <w:right w:val="single" w:color="auto" w:sz="4" w:space="0"/>
            </w:tcBorders>
          </w:tcPr>
          <w:p w14:paraId="38A492C7">
            <w:pPr>
              <w:snapToGrid w:val="0"/>
              <w:spacing w:beforeLines="50" w:line="360" w:lineRule="auto"/>
              <w:rPr>
                <w:rFonts w:asciiTheme="minorEastAsia" w:hAnsiTheme="minorEastAsia" w:eastAsiaTheme="minorEastAsia" w:cstheme="minorEastAsia"/>
                <w:color w:val="auto"/>
                <w:sz w:val="24"/>
                <w:szCs w:val="20"/>
                <w:highlight w:val="none"/>
              </w:rPr>
            </w:pPr>
          </w:p>
        </w:tc>
        <w:tc>
          <w:tcPr>
            <w:tcW w:w="1842" w:type="dxa"/>
            <w:tcBorders>
              <w:top w:val="single" w:color="auto" w:sz="4" w:space="0"/>
              <w:left w:val="single" w:color="auto" w:sz="4" w:space="0"/>
              <w:bottom w:val="single" w:color="auto" w:sz="4" w:space="0"/>
              <w:right w:val="single" w:color="auto" w:sz="4" w:space="0"/>
            </w:tcBorders>
          </w:tcPr>
          <w:p w14:paraId="4BA78718">
            <w:pPr>
              <w:snapToGrid w:val="0"/>
              <w:spacing w:beforeLines="50" w:line="360" w:lineRule="auto"/>
              <w:rPr>
                <w:rFonts w:asciiTheme="minorEastAsia" w:hAnsiTheme="minorEastAsia" w:eastAsiaTheme="minorEastAsia" w:cstheme="minorEastAsia"/>
                <w:color w:val="auto"/>
                <w:sz w:val="24"/>
                <w:szCs w:val="20"/>
                <w:highlight w:val="none"/>
              </w:rPr>
            </w:pPr>
          </w:p>
        </w:tc>
        <w:tc>
          <w:tcPr>
            <w:tcW w:w="1701" w:type="dxa"/>
            <w:tcBorders>
              <w:top w:val="single" w:color="auto" w:sz="4" w:space="0"/>
              <w:left w:val="single" w:color="auto" w:sz="4" w:space="0"/>
              <w:bottom w:val="single" w:color="auto" w:sz="4" w:space="0"/>
              <w:right w:val="single" w:color="auto" w:sz="4" w:space="0"/>
            </w:tcBorders>
          </w:tcPr>
          <w:p w14:paraId="1E9E8220">
            <w:pPr>
              <w:snapToGrid w:val="0"/>
              <w:spacing w:beforeLines="50" w:line="360" w:lineRule="auto"/>
              <w:rPr>
                <w:rFonts w:asciiTheme="minorEastAsia" w:hAnsiTheme="minorEastAsia" w:eastAsiaTheme="minorEastAsia" w:cstheme="minorEastAsia"/>
                <w:color w:val="auto"/>
                <w:sz w:val="24"/>
                <w:szCs w:val="20"/>
                <w:highlight w:val="none"/>
              </w:rPr>
            </w:pPr>
          </w:p>
        </w:tc>
        <w:tc>
          <w:tcPr>
            <w:tcW w:w="993" w:type="dxa"/>
            <w:tcBorders>
              <w:top w:val="single" w:color="auto" w:sz="4" w:space="0"/>
              <w:left w:val="single" w:color="auto" w:sz="4" w:space="0"/>
              <w:bottom w:val="single" w:color="auto" w:sz="4" w:space="0"/>
              <w:right w:val="single" w:color="auto" w:sz="4" w:space="0"/>
            </w:tcBorders>
          </w:tcPr>
          <w:p w14:paraId="6ED708FF">
            <w:pPr>
              <w:snapToGrid w:val="0"/>
              <w:spacing w:beforeLines="50" w:line="360" w:lineRule="auto"/>
              <w:rPr>
                <w:rFonts w:asciiTheme="minorEastAsia" w:hAnsiTheme="minorEastAsia" w:eastAsiaTheme="minorEastAsia" w:cstheme="minorEastAsia"/>
                <w:color w:val="auto"/>
                <w:sz w:val="24"/>
                <w:szCs w:val="20"/>
                <w:highlight w:val="none"/>
              </w:rPr>
            </w:pPr>
          </w:p>
        </w:tc>
        <w:tc>
          <w:tcPr>
            <w:tcW w:w="2409" w:type="dxa"/>
            <w:tcBorders>
              <w:top w:val="single" w:color="auto" w:sz="4" w:space="0"/>
              <w:left w:val="single" w:color="auto" w:sz="4" w:space="0"/>
              <w:bottom w:val="single" w:color="auto" w:sz="4" w:space="0"/>
              <w:right w:val="single" w:color="auto" w:sz="4" w:space="0"/>
            </w:tcBorders>
          </w:tcPr>
          <w:p w14:paraId="39E4B8FE">
            <w:pPr>
              <w:snapToGrid w:val="0"/>
              <w:spacing w:beforeLines="50" w:line="360" w:lineRule="auto"/>
              <w:rPr>
                <w:rFonts w:asciiTheme="minorEastAsia" w:hAnsiTheme="minorEastAsia" w:eastAsiaTheme="minorEastAsia" w:cstheme="minorEastAsia"/>
                <w:color w:val="auto"/>
                <w:sz w:val="24"/>
                <w:szCs w:val="20"/>
                <w:highlight w:val="none"/>
              </w:rPr>
            </w:pPr>
          </w:p>
        </w:tc>
        <w:tc>
          <w:tcPr>
            <w:tcW w:w="1701" w:type="dxa"/>
            <w:tcBorders>
              <w:top w:val="single" w:color="auto" w:sz="4" w:space="0"/>
              <w:left w:val="single" w:color="auto" w:sz="4" w:space="0"/>
              <w:bottom w:val="single" w:color="auto" w:sz="4" w:space="0"/>
              <w:right w:val="single" w:color="auto" w:sz="4" w:space="0"/>
            </w:tcBorders>
          </w:tcPr>
          <w:p w14:paraId="75294592">
            <w:pPr>
              <w:snapToGrid w:val="0"/>
              <w:spacing w:beforeLines="50" w:line="360" w:lineRule="auto"/>
              <w:rPr>
                <w:rFonts w:asciiTheme="minorEastAsia" w:hAnsiTheme="minorEastAsia" w:eastAsiaTheme="minorEastAsia" w:cstheme="minorEastAsia"/>
                <w:color w:val="auto"/>
                <w:sz w:val="24"/>
                <w:szCs w:val="20"/>
                <w:highlight w:val="none"/>
              </w:rPr>
            </w:pPr>
          </w:p>
        </w:tc>
      </w:tr>
      <w:tr w14:paraId="4E20D74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84" w:hRule="atLeast"/>
        </w:trPr>
        <w:tc>
          <w:tcPr>
            <w:tcW w:w="852" w:type="dxa"/>
            <w:tcBorders>
              <w:top w:val="single" w:color="auto" w:sz="4" w:space="0"/>
              <w:left w:val="single" w:color="auto" w:sz="4" w:space="0"/>
              <w:bottom w:val="single" w:color="auto" w:sz="4" w:space="0"/>
              <w:right w:val="single" w:color="auto" w:sz="4" w:space="0"/>
            </w:tcBorders>
          </w:tcPr>
          <w:p w14:paraId="632F6021">
            <w:pPr>
              <w:snapToGrid w:val="0"/>
              <w:spacing w:beforeLines="50" w:line="360" w:lineRule="auto"/>
              <w:rPr>
                <w:rFonts w:asciiTheme="minorEastAsia" w:hAnsiTheme="minorEastAsia" w:eastAsiaTheme="minorEastAsia" w:cstheme="minorEastAsia"/>
                <w:color w:val="auto"/>
                <w:sz w:val="24"/>
                <w:szCs w:val="20"/>
                <w:highlight w:val="none"/>
              </w:rPr>
            </w:pPr>
          </w:p>
        </w:tc>
        <w:tc>
          <w:tcPr>
            <w:tcW w:w="1842" w:type="dxa"/>
            <w:tcBorders>
              <w:top w:val="single" w:color="auto" w:sz="4" w:space="0"/>
              <w:left w:val="single" w:color="auto" w:sz="4" w:space="0"/>
              <w:bottom w:val="single" w:color="auto" w:sz="4" w:space="0"/>
              <w:right w:val="single" w:color="auto" w:sz="4" w:space="0"/>
            </w:tcBorders>
          </w:tcPr>
          <w:p w14:paraId="5D333EC4">
            <w:pPr>
              <w:snapToGrid w:val="0"/>
              <w:spacing w:beforeLines="50" w:line="360" w:lineRule="auto"/>
              <w:rPr>
                <w:rFonts w:asciiTheme="minorEastAsia" w:hAnsiTheme="minorEastAsia" w:eastAsiaTheme="minorEastAsia" w:cstheme="minorEastAsia"/>
                <w:color w:val="auto"/>
                <w:sz w:val="24"/>
                <w:szCs w:val="20"/>
                <w:highlight w:val="none"/>
              </w:rPr>
            </w:pPr>
          </w:p>
        </w:tc>
        <w:tc>
          <w:tcPr>
            <w:tcW w:w="1701" w:type="dxa"/>
            <w:tcBorders>
              <w:top w:val="single" w:color="auto" w:sz="4" w:space="0"/>
              <w:left w:val="single" w:color="auto" w:sz="4" w:space="0"/>
              <w:bottom w:val="single" w:color="auto" w:sz="4" w:space="0"/>
              <w:right w:val="single" w:color="auto" w:sz="4" w:space="0"/>
            </w:tcBorders>
          </w:tcPr>
          <w:p w14:paraId="0C08D047">
            <w:pPr>
              <w:snapToGrid w:val="0"/>
              <w:spacing w:beforeLines="50" w:line="360" w:lineRule="auto"/>
              <w:rPr>
                <w:rFonts w:asciiTheme="minorEastAsia" w:hAnsiTheme="minorEastAsia" w:eastAsiaTheme="minorEastAsia" w:cstheme="minorEastAsia"/>
                <w:color w:val="auto"/>
                <w:sz w:val="24"/>
                <w:szCs w:val="20"/>
                <w:highlight w:val="none"/>
              </w:rPr>
            </w:pPr>
          </w:p>
        </w:tc>
        <w:tc>
          <w:tcPr>
            <w:tcW w:w="993" w:type="dxa"/>
            <w:tcBorders>
              <w:top w:val="single" w:color="auto" w:sz="4" w:space="0"/>
              <w:left w:val="single" w:color="auto" w:sz="4" w:space="0"/>
              <w:bottom w:val="single" w:color="auto" w:sz="4" w:space="0"/>
              <w:right w:val="single" w:color="auto" w:sz="4" w:space="0"/>
            </w:tcBorders>
          </w:tcPr>
          <w:p w14:paraId="1FEBA5AC">
            <w:pPr>
              <w:snapToGrid w:val="0"/>
              <w:spacing w:beforeLines="50" w:line="360" w:lineRule="auto"/>
              <w:rPr>
                <w:rFonts w:asciiTheme="minorEastAsia" w:hAnsiTheme="minorEastAsia" w:eastAsiaTheme="minorEastAsia" w:cstheme="minorEastAsia"/>
                <w:color w:val="auto"/>
                <w:sz w:val="24"/>
                <w:szCs w:val="20"/>
                <w:highlight w:val="none"/>
              </w:rPr>
            </w:pPr>
          </w:p>
        </w:tc>
        <w:tc>
          <w:tcPr>
            <w:tcW w:w="2409" w:type="dxa"/>
            <w:tcBorders>
              <w:top w:val="single" w:color="auto" w:sz="4" w:space="0"/>
              <w:left w:val="single" w:color="auto" w:sz="4" w:space="0"/>
              <w:bottom w:val="single" w:color="auto" w:sz="4" w:space="0"/>
              <w:right w:val="single" w:color="auto" w:sz="4" w:space="0"/>
            </w:tcBorders>
          </w:tcPr>
          <w:p w14:paraId="0598A552">
            <w:pPr>
              <w:snapToGrid w:val="0"/>
              <w:spacing w:beforeLines="50" w:line="360" w:lineRule="auto"/>
              <w:rPr>
                <w:rFonts w:asciiTheme="minorEastAsia" w:hAnsiTheme="minorEastAsia" w:eastAsiaTheme="minorEastAsia" w:cstheme="minorEastAsia"/>
                <w:color w:val="auto"/>
                <w:sz w:val="24"/>
                <w:szCs w:val="20"/>
                <w:highlight w:val="none"/>
              </w:rPr>
            </w:pPr>
          </w:p>
        </w:tc>
        <w:tc>
          <w:tcPr>
            <w:tcW w:w="1701" w:type="dxa"/>
            <w:tcBorders>
              <w:top w:val="single" w:color="auto" w:sz="4" w:space="0"/>
              <w:left w:val="single" w:color="auto" w:sz="4" w:space="0"/>
              <w:bottom w:val="single" w:color="auto" w:sz="4" w:space="0"/>
              <w:right w:val="single" w:color="auto" w:sz="4" w:space="0"/>
            </w:tcBorders>
          </w:tcPr>
          <w:p w14:paraId="1998D03A">
            <w:pPr>
              <w:snapToGrid w:val="0"/>
              <w:spacing w:beforeLines="50" w:line="360" w:lineRule="auto"/>
              <w:rPr>
                <w:rFonts w:asciiTheme="minorEastAsia" w:hAnsiTheme="minorEastAsia" w:eastAsiaTheme="minorEastAsia" w:cstheme="minorEastAsia"/>
                <w:color w:val="auto"/>
                <w:sz w:val="24"/>
                <w:szCs w:val="20"/>
                <w:highlight w:val="none"/>
              </w:rPr>
            </w:pPr>
          </w:p>
        </w:tc>
      </w:tr>
    </w:tbl>
    <w:p w14:paraId="6697D0D6">
      <w:pPr>
        <w:snapToGrid w:val="0"/>
        <w:spacing w:line="400" w:lineRule="exact"/>
        <w:rPr>
          <w:color w:val="auto"/>
          <w:szCs w:val="21"/>
          <w:highlight w:val="none"/>
        </w:rPr>
      </w:pPr>
      <w:r>
        <w:rPr>
          <w:rFonts w:hint="eastAsia" w:ascii="宋体" w:hAnsi="宋体"/>
          <w:b/>
          <w:color w:val="auto"/>
          <w:sz w:val="24"/>
          <w:highlight w:val="none"/>
        </w:rPr>
        <w:t>注：投标人可按上述的格式自行自行增减表格，但内容必须填写完整。若内容未填写，则视为投标文件完全响应，无偏离。</w:t>
      </w:r>
    </w:p>
    <w:p w14:paraId="7DDEFCDB">
      <w:pPr>
        <w:pStyle w:val="32"/>
        <w:snapToGrid w:val="0"/>
        <w:spacing w:beforeLines="0" w:afterLines="0" w:line="240" w:lineRule="auto"/>
        <w:rPr>
          <w:rFonts w:asciiTheme="minorEastAsia" w:hAnsiTheme="minorEastAsia" w:eastAsiaTheme="minorEastAsia" w:cstheme="minorEastAsia"/>
          <w:color w:val="auto"/>
          <w:spacing w:val="20"/>
          <w:highlight w:val="none"/>
        </w:rPr>
      </w:pPr>
    </w:p>
    <w:p w14:paraId="0306C986">
      <w:pPr>
        <w:pStyle w:val="32"/>
        <w:snapToGrid w:val="0"/>
        <w:spacing w:beforeLines="0" w:afterLines="0" w:line="240" w:lineRule="auto"/>
        <w:rPr>
          <w:rFonts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spacing w:val="20"/>
          <w:highlight w:val="none"/>
        </w:rPr>
        <w:t>法定代表人签字（或盖章）：            投标人（盖章）：</w:t>
      </w:r>
    </w:p>
    <w:p w14:paraId="5F9C1E8D">
      <w:pPr>
        <w:widowControl/>
        <w:jc w:val="left"/>
        <w:rPr>
          <w:rFonts w:asciiTheme="minorEastAsia" w:hAnsiTheme="minorEastAsia" w:eastAsiaTheme="minorEastAsia" w:cstheme="minorEastAsia"/>
          <w:b/>
          <w:color w:val="auto"/>
          <w:sz w:val="24"/>
          <w:highlight w:val="none"/>
        </w:rPr>
      </w:pPr>
    </w:p>
    <w:p w14:paraId="004A99E7">
      <w:pPr>
        <w:snapToGrid w:val="0"/>
        <w:spacing w:before="50" w:afterLines="50"/>
        <w:jc w:val="left"/>
        <w:rPr>
          <w:rFonts w:asciiTheme="minorEastAsia" w:hAnsiTheme="minorEastAsia" w:eastAsiaTheme="minorEastAsia" w:cstheme="minorEastAsia"/>
          <w:b/>
          <w:color w:val="auto"/>
          <w:sz w:val="24"/>
          <w:szCs w:val="20"/>
          <w:highlight w:val="none"/>
        </w:rPr>
      </w:pPr>
      <w:r>
        <w:rPr>
          <w:rFonts w:hint="eastAsia" w:asciiTheme="minorEastAsia" w:hAnsiTheme="minorEastAsia" w:eastAsiaTheme="minorEastAsia" w:cstheme="minorEastAsia"/>
          <w:b/>
          <w:color w:val="auto"/>
          <w:kern w:val="0"/>
          <w:sz w:val="24"/>
          <w:highlight w:val="none"/>
        </w:rPr>
        <w:t>日期：  _____年___月___日</w:t>
      </w:r>
    </w:p>
    <w:p w14:paraId="5FB8F30C">
      <w:pPr>
        <w:snapToGrid w:val="0"/>
        <w:spacing w:line="400" w:lineRule="exact"/>
        <w:jc w:val="left"/>
        <w:rPr>
          <w:rFonts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color w:val="auto"/>
          <w:sz w:val="24"/>
          <w:highlight w:val="none"/>
        </w:rPr>
        <w:br w:type="page"/>
      </w:r>
      <w:bookmarkStart w:id="78" w:name="_Toc265669851"/>
    </w:p>
    <w:p w14:paraId="1E13F3E7">
      <w:pPr>
        <w:snapToGrid w:val="0"/>
        <w:spacing w:line="400" w:lineRule="exact"/>
        <w:ind w:firstLine="472" w:firstLineChars="196"/>
        <w:jc w:val="left"/>
        <w:rPr>
          <w:rFonts w:asciiTheme="minorEastAsia" w:hAnsiTheme="minorEastAsia" w:eastAsiaTheme="minorEastAsia" w:cstheme="minorEastAsia"/>
          <w:b/>
          <w:bCs/>
          <w:color w:val="auto"/>
          <w:sz w:val="24"/>
          <w:highlight w:val="none"/>
        </w:rPr>
      </w:pPr>
    </w:p>
    <w:p w14:paraId="53B48F6F">
      <w:pPr>
        <w:widowControl/>
        <w:jc w:val="left"/>
        <w:rPr>
          <w:rFonts w:asciiTheme="minorEastAsia" w:hAnsiTheme="minorEastAsia" w:eastAsiaTheme="minorEastAsia" w:cstheme="minorEastAsia"/>
          <w:b/>
          <w:color w:val="auto"/>
          <w:sz w:val="24"/>
          <w:highlight w:val="none"/>
        </w:rPr>
      </w:pPr>
    </w:p>
    <w:p w14:paraId="32667FBE">
      <w:pPr>
        <w:snapToGrid w:val="0"/>
        <w:spacing w:before="50" w:afterLines="50"/>
        <w:jc w:val="center"/>
        <w:outlineLvl w:val="1"/>
        <w:rPr>
          <w:rFonts w:asciiTheme="minorEastAsia" w:hAnsiTheme="minorEastAsia" w:eastAsiaTheme="minorEastAsia" w:cstheme="minorEastAsia"/>
          <w:b/>
          <w:color w:val="auto"/>
          <w:sz w:val="24"/>
          <w:highlight w:val="none"/>
        </w:rPr>
      </w:pPr>
    </w:p>
    <w:p w14:paraId="6EF5CBEF">
      <w:pPr>
        <w:snapToGrid w:val="0"/>
        <w:spacing w:before="50" w:afterLines="50"/>
        <w:jc w:val="center"/>
        <w:outlineLvl w:val="1"/>
        <w:rPr>
          <w:rFonts w:asciiTheme="minorEastAsia" w:hAnsiTheme="minorEastAsia" w:eastAsiaTheme="minorEastAsia" w:cstheme="minorEastAsia"/>
          <w:b/>
          <w:color w:val="auto"/>
          <w:sz w:val="30"/>
          <w:szCs w:val="30"/>
          <w:highlight w:val="none"/>
        </w:rPr>
      </w:pPr>
      <w:bookmarkStart w:id="79" w:name="_Toc16395"/>
      <w:bookmarkStart w:id="80" w:name="_Toc466534754"/>
      <w:bookmarkStart w:id="81" w:name="_Toc11354"/>
      <w:r>
        <w:rPr>
          <w:rFonts w:hint="eastAsia" w:asciiTheme="minorEastAsia" w:hAnsiTheme="minorEastAsia" w:eastAsiaTheme="minorEastAsia" w:cstheme="minorEastAsia"/>
          <w:b/>
          <w:color w:val="auto"/>
          <w:sz w:val="30"/>
          <w:szCs w:val="30"/>
          <w:highlight w:val="none"/>
        </w:rPr>
        <w:t>三、报价文件格式</w:t>
      </w:r>
      <w:bookmarkEnd w:id="78"/>
      <w:bookmarkEnd w:id="79"/>
      <w:bookmarkEnd w:id="80"/>
      <w:bookmarkEnd w:id="81"/>
    </w:p>
    <w:p w14:paraId="61961BE3">
      <w:pPr>
        <w:snapToGrid w:val="0"/>
        <w:spacing w:beforeLines="50" w:after="50"/>
        <w:ind w:firstLine="645"/>
        <w:jc w:val="center"/>
        <w:rPr>
          <w:rFonts w:asciiTheme="minorEastAsia" w:hAnsiTheme="minorEastAsia" w:eastAsiaTheme="minorEastAsia" w:cstheme="minorEastAsia"/>
          <w:color w:val="auto"/>
          <w:sz w:val="24"/>
          <w:szCs w:val="20"/>
          <w:highlight w:val="none"/>
        </w:rPr>
      </w:pPr>
      <w:r>
        <w:rPr>
          <w:rFonts w:hint="eastAsia" w:asciiTheme="minorEastAsia" w:hAnsiTheme="minorEastAsia" w:eastAsiaTheme="minorEastAsia" w:cstheme="minorEastAsia"/>
          <w:bCs/>
          <w:color w:val="auto"/>
          <w:sz w:val="24"/>
          <w:highlight w:val="none"/>
        </w:rPr>
        <w:t xml:space="preserve"> </w:t>
      </w:r>
    </w:p>
    <w:p w14:paraId="70FFC66E">
      <w:pPr>
        <w:snapToGrid w:val="0"/>
        <w:spacing w:beforeLines="50" w:after="50"/>
        <w:rPr>
          <w:rFonts w:asciiTheme="minorEastAsia" w:hAnsiTheme="minorEastAsia" w:eastAsiaTheme="minorEastAsia" w:cstheme="minorEastAsia"/>
          <w:color w:val="auto"/>
          <w:sz w:val="24"/>
          <w:szCs w:val="20"/>
          <w:highlight w:val="none"/>
        </w:rPr>
      </w:pPr>
    </w:p>
    <w:p w14:paraId="0F4DB000">
      <w:pPr>
        <w:snapToGrid w:val="0"/>
        <w:spacing w:beforeLines="50" w:after="50"/>
        <w:rPr>
          <w:rFonts w:asciiTheme="minorEastAsia" w:hAnsiTheme="minorEastAsia" w:eastAsiaTheme="minorEastAsia" w:cstheme="minorEastAsia"/>
          <w:color w:val="auto"/>
          <w:sz w:val="24"/>
          <w:szCs w:val="20"/>
          <w:highlight w:val="none"/>
        </w:rPr>
      </w:pPr>
    </w:p>
    <w:p w14:paraId="715633AD">
      <w:pPr>
        <w:snapToGrid w:val="0"/>
        <w:spacing w:beforeLines="50" w:after="50"/>
        <w:ind w:firstLine="560" w:firstLineChars="20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13.报价文件封面格式： </w:t>
      </w:r>
    </w:p>
    <w:p w14:paraId="79CD8E77">
      <w:pPr>
        <w:snapToGrid w:val="0"/>
        <w:spacing w:beforeLines="50" w:after="50"/>
        <w:jc w:val="center"/>
        <w:rPr>
          <w:rFonts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报 价 文 件</w:t>
      </w:r>
    </w:p>
    <w:p w14:paraId="32F4BC7B">
      <w:pPr>
        <w:snapToGrid w:val="0"/>
        <w:spacing w:beforeLines="50" w:after="50"/>
        <w:jc w:val="center"/>
        <w:rPr>
          <w:rFonts w:asciiTheme="minorEastAsia" w:hAnsiTheme="minorEastAsia" w:eastAsiaTheme="minorEastAsia" w:cstheme="minorEastAsia"/>
          <w:b/>
          <w:bCs/>
          <w:color w:val="auto"/>
          <w:sz w:val="28"/>
          <w:szCs w:val="28"/>
          <w:highlight w:val="none"/>
        </w:rPr>
      </w:pPr>
      <w:r>
        <w:rPr>
          <w:rFonts w:hint="eastAsia" w:asciiTheme="minorEastAsia" w:hAnsiTheme="minorEastAsia" w:eastAsiaTheme="minorEastAsia" w:cstheme="minorEastAsia"/>
          <w:b/>
          <w:bCs/>
          <w:color w:val="auto"/>
          <w:sz w:val="28"/>
          <w:szCs w:val="28"/>
          <w:highlight w:val="none"/>
        </w:rPr>
        <w:t xml:space="preserve"> </w:t>
      </w:r>
    </w:p>
    <w:p w14:paraId="59BBAB94">
      <w:pPr>
        <w:snapToGrid w:val="0"/>
        <w:spacing w:beforeLines="50" w:after="50" w:line="360" w:lineRule="auto"/>
        <w:jc w:val="center"/>
        <w:rPr>
          <w:rFonts w:asciiTheme="minorEastAsia" w:hAnsiTheme="minorEastAsia" w:eastAsiaTheme="minorEastAsia" w:cstheme="minorEastAsia"/>
          <w:bCs/>
          <w:color w:val="auto"/>
          <w:sz w:val="28"/>
          <w:szCs w:val="28"/>
          <w:highlight w:val="none"/>
        </w:rPr>
      </w:pPr>
    </w:p>
    <w:p w14:paraId="33A8952F">
      <w:pPr>
        <w:snapToGrid w:val="0"/>
        <w:spacing w:beforeLines="50" w:after="50" w:line="360" w:lineRule="auto"/>
        <w:ind w:firstLine="1246" w:firstLineChars="445"/>
        <w:rPr>
          <w:rFonts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项目名称：</w:t>
      </w:r>
    </w:p>
    <w:p w14:paraId="3589B227">
      <w:pPr>
        <w:snapToGrid w:val="0"/>
        <w:spacing w:beforeLines="50" w:after="50" w:line="360" w:lineRule="auto"/>
        <w:ind w:firstLine="560" w:firstLineChars="200"/>
        <w:rPr>
          <w:rFonts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     项目编号：</w:t>
      </w:r>
    </w:p>
    <w:p w14:paraId="3C1B96E5">
      <w:pPr>
        <w:pStyle w:val="14"/>
        <w:snapToGrid w:val="0"/>
        <w:spacing w:before="50" w:after="50" w:line="360" w:lineRule="auto"/>
        <w:ind w:firstLine="1164" w:firstLineChars="416"/>
        <w:rPr>
          <w:rFonts w:asciiTheme="minorEastAsia" w:hAnsiTheme="minorEastAsia" w:eastAsiaTheme="minorEastAsia" w:cstheme="minorEastAsia"/>
          <w:bCs/>
          <w:color w:val="auto"/>
          <w:sz w:val="28"/>
          <w:szCs w:val="28"/>
          <w:highlight w:val="none"/>
        </w:rPr>
      </w:pPr>
    </w:p>
    <w:p w14:paraId="0C2E66D9">
      <w:pPr>
        <w:pStyle w:val="14"/>
        <w:snapToGrid w:val="0"/>
        <w:spacing w:before="50" w:after="50" w:line="360" w:lineRule="auto"/>
        <w:ind w:firstLine="1164" w:firstLineChars="416"/>
        <w:rPr>
          <w:rFonts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投标人名称：</w:t>
      </w:r>
    </w:p>
    <w:p w14:paraId="78F10736">
      <w:pPr>
        <w:pStyle w:val="14"/>
        <w:snapToGrid w:val="0"/>
        <w:spacing w:before="50" w:after="50" w:line="360" w:lineRule="auto"/>
        <w:ind w:firstLine="1164" w:firstLineChars="416"/>
        <w:rPr>
          <w:rFonts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投标人地址：</w:t>
      </w:r>
    </w:p>
    <w:p w14:paraId="01E30E37">
      <w:pPr>
        <w:snapToGrid w:val="0"/>
        <w:spacing w:beforeLines="50" w:after="50" w:line="360" w:lineRule="auto"/>
        <w:jc w:val="center"/>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                        </w:t>
      </w:r>
    </w:p>
    <w:p w14:paraId="78BD6223">
      <w:pPr>
        <w:snapToGrid w:val="0"/>
        <w:spacing w:beforeLines="50" w:after="50" w:line="360" w:lineRule="auto"/>
        <w:jc w:val="center"/>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年  月  日</w:t>
      </w:r>
    </w:p>
    <w:p w14:paraId="1560279E">
      <w:pPr>
        <w:pStyle w:val="32"/>
        <w:snapToGrid w:val="0"/>
        <w:spacing w:beforeLines="0" w:afterLines="0" w:line="24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br w:type="page"/>
      </w:r>
      <w:r>
        <w:rPr>
          <w:rFonts w:hint="eastAsia" w:asciiTheme="minorEastAsia" w:hAnsiTheme="minorEastAsia" w:eastAsiaTheme="minorEastAsia" w:cstheme="minorEastAsia"/>
          <w:color w:val="auto"/>
          <w:highlight w:val="none"/>
        </w:rPr>
        <w:t>14.开标一览表格式：</w:t>
      </w:r>
    </w:p>
    <w:p w14:paraId="74ED296A">
      <w:pPr>
        <w:pStyle w:val="32"/>
        <w:snapToGrid w:val="0"/>
        <w:spacing w:beforeLines="0" w:afterLines="0" w:line="240" w:lineRule="auto"/>
        <w:jc w:val="center"/>
        <w:rPr>
          <w:rFonts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t>开标一览表</w:t>
      </w:r>
    </w:p>
    <w:p w14:paraId="6F2DDB78">
      <w:pPr>
        <w:snapToGrid w:val="0"/>
        <w:spacing w:beforeLines="50" w:after="50" w:line="480" w:lineRule="auto"/>
        <w:rPr>
          <w:rFonts w:asciiTheme="minorEastAsia" w:hAnsiTheme="minorEastAsia" w:eastAsiaTheme="minorEastAsia" w:cstheme="minorEastAsia"/>
          <w:b/>
          <w:color w:val="auto"/>
          <w:sz w:val="24"/>
          <w:highlight w:val="none"/>
        </w:rPr>
      </w:pPr>
    </w:p>
    <w:p w14:paraId="14E5E290">
      <w:pPr>
        <w:snapToGrid w:val="0"/>
        <w:spacing w:beforeLines="50" w:after="50" w:line="480" w:lineRule="auto"/>
        <w:ind w:firstLine="480" w:firstLineChars="200"/>
        <w:rPr>
          <w:rFonts w:asciiTheme="minorEastAsia" w:hAnsiTheme="minorEastAsia" w:eastAsiaTheme="minorEastAsia" w:cstheme="minorEastAsia"/>
          <w:bCs/>
          <w:color w:val="auto"/>
          <w:sz w:val="24"/>
          <w:szCs w:val="20"/>
          <w:highlight w:val="none"/>
        </w:rPr>
      </w:pPr>
      <w:r>
        <w:rPr>
          <w:rFonts w:hint="eastAsia" w:asciiTheme="minorEastAsia" w:hAnsiTheme="minorEastAsia" w:eastAsiaTheme="minorEastAsia" w:cstheme="minorEastAsia"/>
          <w:bCs/>
          <w:color w:val="auto"/>
          <w:sz w:val="24"/>
          <w:highlight w:val="none"/>
        </w:rPr>
        <w:t>项目名称：</w:t>
      </w:r>
    </w:p>
    <w:p w14:paraId="07422049">
      <w:pPr>
        <w:snapToGrid w:val="0"/>
        <w:spacing w:beforeLines="50" w:after="50" w:line="480" w:lineRule="auto"/>
        <w:ind w:firstLine="480" w:firstLineChars="200"/>
        <w:rPr>
          <w:rFonts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color w:val="auto"/>
          <w:sz w:val="24"/>
          <w:highlight w:val="none"/>
        </w:rPr>
        <w:t>项目编号：</w:t>
      </w:r>
    </w:p>
    <w:tbl>
      <w:tblPr>
        <w:tblStyle w:val="52"/>
        <w:tblW w:w="910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28"/>
        <w:gridCol w:w="5526"/>
        <w:gridCol w:w="1854"/>
      </w:tblGrid>
      <w:tr w14:paraId="763944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1" w:hRule="atLeast"/>
        </w:trPr>
        <w:tc>
          <w:tcPr>
            <w:tcW w:w="1728" w:type="dxa"/>
            <w:vAlign w:val="center"/>
          </w:tcPr>
          <w:p w14:paraId="4919968D">
            <w:pPr>
              <w:pStyle w:val="32"/>
              <w:snapToGrid w:val="0"/>
              <w:spacing w:beforeLines="0" w:afterLines="0" w:line="240" w:lineRule="auto"/>
              <w:jc w:val="center"/>
              <w:rPr>
                <w:rFonts w:asciiTheme="minorEastAsia" w:hAnsiTheme="minorEastAsia" w:eastAsiaTheme="minorEastAsia" w:cstheme="minorEastAsia"/>
                <w:b/>
                <w:color w:val="auto"/>
                <w:highlight w:val="none"/>
              </w:rPr>
            </w:pPr>
            <w:r>
              <w:rPr>
                <w:rFonts w:hint="eastAsia" w:hAnsi="宋体"/>
                <w:b/>
                <w:color w:val="auto"/>
                <w:kern w:val="2"/>
                <w:highlight w:val="none"/>
              </w:rPr>
              <w:t>名称</w:t>
            </w:r>
          </w:p>
        </w:tc>
        <w:tc>
          <w:tcPr>
            <w:tcW w:w="5526" w:type="dxa"/>
            <w:vAlign w:val="center"/>
          </w:tcPr>
          <w:p w14:paraId="7F7B25DA">
            <w:pPr>
              <w:pStyle w:val="32"/>
              <w:snapToGrid w:val="0"/>
              <w:spacing w:beforeLines="0" w:afterLines="0" w:line="240" w:lineRule="auto"/>
              <w:jc w:val="center"/>
              <w:rPr>
                <w:rFonts w:asciiTheme="minorEastAsia" w:hAnsiTheme="minorEastAsia" w:eastAsiaTheme="minorEastAsia" w:cstheme="minorEastAsia"/>
                <w:b/>
                <w:color w:val="auto"/>
                <w:highlight w:val="none"/>
              </w:rPr>
            </w:pPr>
            <w:r>
              <w:rPr>
                <w:rFonts w:hint="eastAsia" w:hAnsi="宋体"/>
                <w:b/>
                <w:color w:val="auto"/>
                <w:kern w:val="2"/>
                <w:highlight w:val="none"/>
              </w:rPr>
              <w:t>内容</w:t>
            </w:r>
          </w:p>
        </w:tc>
        <w:tc>
          <w:tcPr>
            <w:tcW w:w="1854" w:type="dxa"/>
            <w:vAlign w:val="center"/>
          </w:tcPr>
          <w:p w14:paraId="0E63FFD7">
            <w:pPr>
              <w:pStyle w:val="32"/>
              <w:snapToGrid w:val="0"/>
              <w:spacing w:beforeLines="0" w:afterLines="0" w:line="240" w:lineRule="auto"/>
              <w:jc w:val="center"/>
              <w:rPr>
                <w:rFonts w:asciiTheme="minorEastAsia" w:hAnsiTheme="minorEastAsia" w:eastAsiaTheme="minorEastAsia" w:cstheme="minorEastAsia"/>
                <w:b/>
                <w:color w:val="auto"/>
                <w:highlight w:val="none"/>
              </w:rPr>
            </w:pPr>
            <w:r>
              <w:rPr>
                <w:rFonts w:hint="eastAsia" w:hAnsi="宋体"/>
                <w:b/>
                <w:color w:val="auto"/>
                <w:kern w:val="2"/>
                <w:highlight w:val="none"/>
              </w:rPr>
              <w:t>备注</w:t>
            </w:r>
          </w:p>
        </w:tc>
      </w:tr>
      <w:tr w14:paraId="0CBB44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22" w:hRule="atLeast"/>
        </w:trPr>
        <w:tc>
          <w:tcPr>
            <w:tcW w:w="1728" w:type="dxa"/>
            <w:vAlign w:val="center"/>
          </w:tcPr>
          <w:p w14:paraId="5E24D7D0">
            <w:pPr>
              <w:pStyle w:val="32"/>
              <w:snapToGrid w:val="0"/>
              <w:spacing w:beforeLines="0" w:afterLines="0" w:line="240" w:lineRule="auto"/>
              <w:jc w:val="center"/>
              <w:rPr>
                <w:rFonts w:hAnsi="宋体"/>
                <w:b/>
                <w:color w:val="auto"/>
                <w:kern w:val="2"/>
                <w:highlight w:val="none"/>
              </w:rPr>
            </w:pPr>
          </w:p>
          <w:p w14:paraId="7BFCC1D2">
            <w:pPr>
              <w:pStyle w:val="32"/>
              <w:snapToGrid w:val="0"/>
              <w:spacing w:beforeLines="0" w:afterLines="0" w:line="240" w:lineRule="auto"/>
              <w:jc w:val="center"/>
              <w:rPr>
                <w:rFonts w:hAnsi="宋体"/>
                <w:color w:val="auto"/>
                <w:kern w:val="2"/>
                <w:highlight w:val="none"/>
              </w:rPr>
            </w:pPr>
            <w:r>
              <w:rPr>
                <w:rFonts w:hint="eastAsia" w:hAnsi="宋体"/>
                <w:color w:val="auto"/>
                <w:kern w:val="2"/>
                <w:highlight w:val="none"/>
              </w:rPr>
              <w:t>投标</w:t>
            </w:r>
            <w:r>
              <w:rPr>
                <w:rFonts w:hint="eastAsia" w:hAnsi="宋体"/>
                <w:b/>
                <w:bCs/>
                <w:color w:val="auto"/>
                <w:kern w:val="2"/>
                <w:highlight w:val="none"/>
              </w:rPr>
              <w:t>总</w:t>
            </w:r>
            <w:r>
              <w:rPr>
                <w:rFonts w:hint="eastAsia" w:hAnsi="宋体"/>
                <w:color w:val="auto"/>
                <w:kern w:val="2"/>
                <w:highlight w:val="none"/>
              </w:rPr>
              <w:t>报价</w:t>
            </w:r>
          </w:p>
          <w:p w14:paraId="260515A2">
            <w:pPr>
              <w:pStyle w:val="32"/>
              <w:snapToGrid w:val="0"/>
              <w:spacing w:beforeLines="0" w:afterLines="0" w:line="240" w:lineRule="auto"/>
              <w:jc w:val="center"/>
              <w:rPr>
                <w:rFonts w:hAnsi="宋体"/>
                <w:b/>
                <w:color w:val="auto"/>
                <w:kern w:val="2"/>
                <w:highlight w:val="none"/>
              </w:rPr>
            </w:pPr>
          </w:p>
          <w:p w14:paraId="66DD9A42">
            <w:pPr>
              <w:pStyle w:val="32"/>
              <w:snapToGrid w:val="0"/>
              <w:spacing w:beforeLines="0" w:afterLines="0" w:line="240" w:lineRule="auto"/>
              <w:jc w:val="center"/>
              <w:rPr>
                <w:rFonts w:hAnsi="宋体"/>
                <w:b/>
                <w:color w:val="auto"/>
                <w:kern w:val="2"/>
                <w:highlight w:val="none"/>
              </w:rPr>
            </w:pPr>
          </w:p>
          <w:p w14:paraId="1D0D2565">
            <w:pPr>
              <w:pStyle w:val="32"/>
              <w:snapToGrid w:val="0"/>
              <w:spacing w:beforeLines="0" w:afterLines="0" w:line="240" w:lineRule="auto"/>
              <w:jc w:val="center"/>
              <w:rPr>
                <w:rFonts w:asciiTheme="minorEastAsia" w:hAnsiTheme="minorEastAsia" w:eastAsiaTheme="minorEastAsia" w:cstheme="minorEastAsia"/>
                <w:b/>
                <w:color w:val="auto"/>
                <w:highlight w:val="none"/>
              </w:rPr>
            </w:pPr>
          </w:p>
        </w:tc>
        <w:tc>
          <w:tcPr>
            <w:tcW w:w="5526" w:type="dxa"/>
            <w:vAlign w:val="center"/>
          </w:tcPr>
          <w:p w14:paraId="302BE717">
            <w:pPr>
              <w:pStyle w:val="32"/>
              <w:snapToGrid w:val="0"/>
              <w:spacing w:beforeLines="0" w:afterLines="0" w:line="240" w:lineRule="auto"/>
              <w:rPr>
                <w:rFonts w:hAnsi="宋体"/>
                <w:color w:val="auto"/>
                <w:kern w:val="2"/>
                <w:highlight w:val="none"/>
              </w:rPr>
            </w:pPr>
          </w:p>
          <w:p w14:paraId="45BC1A62">
            <w:pPr>
              <w:pStyle w:val="32"/>
              <w:snapToGrid w:val="0"/>
              <w:spacing w:beforeLines="0" w:afterLines="0" w:line="240" w:lineRule="auto"/>
              <w:ind w:left="240" w:hanging="240" w:hangingChars="100"/>
              <w:rPr>
                <w:rFonts w:hAnsi="宋体"/>
                <w:color w:val="auto"/>
                <w:kern w:val="2"/>
                <w:highlight w:val="none"/>
              </w:rPr>
            </w:pPr>
            <w:r>
              <w:rPr>
                <w:rFonts w:hint="eastAsia" w:hAnsi="宋体"/>
                <w:color w:val="auto"/>
                <w:kern w:val="2"/>
                <w:highlight w:val="none"/>
              </w:rPr>
              <w:t>大写：人民币</w:t>
            </w:r>
            <w:r>
              <w:rPr>
                <w:rFonts w:hint="eastAsia" w:hAnsi="宋体"/>
                <w:color w:val="auto"/>
                <w:kern w:val="2"/>
                <w:highlight w:val="none"/>
                <w:lang w:val="en-US" w:eastAsia="zh-CN"/>
              </w:rPr>
              <w:t xml:space="preserve"> </w:t>
            </w:r>
            <w:r>
              <w:rPr>
                <w:rFonts w:hAnsi="宋体"/>
                <w:color w:val="auto"/>
                <w:kern w:val="2"/>
                <w:highlight w:val="none"/>
                <w:u w:val="single"/>
              </w:rPr>
              <w:t xml:space="preserve">   </w:t>
            </w:r>
            <w:r>
              <w:rPr>
                <w:rFonts w:hint="eastAsia" w:hAnsi="宋体"/>
                <w:color w:val="auto"/>
                <w:kern w:val="2"/>
                <w:highlight w:val="none"/>
                <w:lang w:val="en-US" w:eastAsia="zh-CN"/>
              </w:rPr>
              <w:t>佰</w:t>
            </w:r>
            <w:r>
              <w:rPr>
                <w:rFonts w:hint="eastAsia" w:hAnsi="宋体"/>
                <w:color w:val="auto"/>
                <w:kern w:val="2"/>
                <w:highlight w:val="none"/>
                <w:u w:val="single"/>
              </w:rPr>
              <w:t xml:space="preserve"> </w:t>
            </w:r>
            <w:r>
              <w:rPr>
                <w:rFonts w:hAnsi="宋体"/>
                <w:color w:val="auto"/>
                <w:kern w:val="2"/>
                <w:highlight w:val="none"/>
                <w:u w:val="single"/>
              </w:rPr>
              <w:t xml:space="preserve">   </w:t>
            </w:r>
            <w:r>
              <w:rPr>
                <w:rFonts w:hint="eastAsia" w:hAnsi="宋体"/>
                <w:color w:val="auto"/>
                <w:kern w:val="2"/>
                <w:highlight w:val="none"/>
              </w:rPr>
              <w:t>拾</w:t>
            </w:r>
            <w:r>
              <w:rPr>
                <w:rFonts w:hint="eastAsia" w:hAnsi="宋体"/>
                <w:color w:val="auto"/>
                <w:kern w:val="2"/>
                <w:highlight w:val="none"/>
                <w:u w:val="single"/>
              </w:rPr>
              <w:t xml:space="preserve"> </w:t>
            </w:r>
            <w:r>
              <w:rPr>
                <w:rFonts w:hAnsi="宋体"/>
                <w:color w:val="auto"/>
                <w:kern w:val="2"/>
                <w:highlight w:val="none"/>
                <w:u w:val="single"/>
              </w:rPr>
              <w:t xml:space="preserve">  </w:t>
            </w:r>
            <w:r>
              <w:rPr>
                <w:rFonts w:hint="eastAsia" w:hAnsi="宋体"/>
                <w:color w:val="auto"/>
                <w:kern w:val="2"/>
                <w:highlight w:val="none"/>
              </w:rPr>
              <w:t>万</w:t>
            </w:r>
            <w:r>
              <w:rPr>
                <w:rFonts w:hint="eastAsia" w:hAnsi="宋体"/>
                <w:color w:val="auto"/>
                <w:kern w:val="2"/>
                <w:highlight w:val="none"/>
                <w:u w:val="single"/>
              </w:rPr>
              <w:t xml:space="preserve"> </w:t>
            </w:r>
            <w:r>
              <w:rPr>
                <w:rFonts w:hAnsi="宋体"/>
                <w:color w:val="auto"/>
                <w:kern w:val="2"/>
                <w:highlight w:val="none"/>
                <w:u w:val="single"/>
              </w:rPr>
              <w:t xml:space="preserve">  </w:t>
            </w:r>
            <w:r>
              <w:rPr>
                <w:rFonts w:hint="eastAsia" w:hAnsi="宋体"/>
                <w:color w:val="auto"/>
                <w:kern w:val="2"/>
                <w:highlight w:val="none"/>
              </w:rPr>
              <w:t>仟</w:t>
            </w:r>
            <w:r>
              <w:rPr>
                <w:rFonts w:hint="eastAsia" w:hAnsi="宋体"/>
                <w:color w:val="auto"/>
                <w:kern w:val="2"/>
                <w:highlight w:val="none"/>
                <w:u w:val="single"/>
              </w:rPr>
              <w:t xml:space="preserve"> </w:t>
            </w:r>
            <w:r>
              <w:rPr>
                <w:rFonts w:hAnsi="宋体"/>
                <w:color w:val="auto"/>
                <w:kern w:val="2"/>
                <w:highlight w:val="none"/>
                <w:u w:val="single"/>
              </w:rPr>
              <w:t xml:space="preserve">  </w:t>
            </w:r>
            <w:r>
              <w:rPr>
                <w:rFonts w:hint="eastAsia" w:hAnsi="宋体"/>
                <w:color w:val="auto"/>
                <w:kern w:val="2"/>
                <w:highlight w:val="none"/>
              </w:rPr>
              <w:t>佰</w:t>
            </w:r>
            <w:r>
              <w:rPr>
                <w:rFonts w:hint="eastAsia" w:hAnsi="宋体"/>
                <w:color w:val="auto"/>
                <w:kern w:val="2"/>
                <w:highlight w:val="none"/>
                <w:u w:val="single"/>
              </w:rPr>
              <w:t xml:space="preserve"> </w:t>
            </w:r>
            <w:r>
              <w:rPr>
                <w:rFonts w:hAnsi="宋体"/>
                <w:color w:val="auto"/>
                <w:kern w:val="2"/>
                <w:highlight w:val="none"/>
                <w:u w:val="single"/>
              </w:rPr>
              <w:t xml:space="preserve">  </w:t>
            </w:r>
            <w:r>
              <w:rPr>
                <w:rFonts w:hint="eastAsia" w:hAnsi="宋体"/>
                <w:color w:val="auto"/>
                <w:kern w:val="2"/>
                <w:highlight w:val="none"/>
              </w:rPr>
              <w:t>拾</w:t>
            </w:r>
          </w:p>
          <w:p w14:paraId="20B96CF6">
            <w:pPr>
              <w:pStyle w:val="32"/>
              <w:snapToGrid w:val="0"/>
              <w:spacing w:beforeLines="0" w:afterLines="0" w:line="240" w:lineRule="auto"/>
              <w:ind w:left="210" w:leftChars="100" w:firstLine="480" w:firstLineChars="200"/>
              <w:rPr>
                <w:rFonts w:hAnsi="宋体"/>
                <w:color w:val="auto"/>
                <w:kern w:val="2"/>
                <w:highlight w:val="none"/>
              </w:rPr>
            </w:pPr>
            <w:r>
              <w:rPr>
                <w:rFonts w:hint="eastAsia" w:hAnsi="宋体"/>
                <w:color w:val="auto"/>
                <w:kern w:val="2"/>
                <w:highlight w:val="none"/>
                <w:u w:val="single"/>
              </w:rPr>
              <w:t xml:space="preserve"> </w:t>
            </w:r>
            <w:r>
              <w:rPr>
                <w:rFonts w:hAnsi="宋体"/>
                <w:color w:val="auto"/>
                <w:kern w:val="2"/>
                <w:highlight w:val="none"/>
                <w:u w:val="single"/>
              </w:rPr>
              <w:t xml:space="preserve">   </w:t>
            </w:r>
            <w:r>
              <w:rPr>
                <w:rFonts w:hint="eastAsia" w:hAnsi="宋体"/>
                <w:color w:val="auto"/>
                <w:kern w:val="2"/>
                <w:highlight w:val="none"/>
              </w:rPr>
              <w:t>元</w:t>
            </w:r>
            <w:r>
              <w:rPr>
                <w:rFonts w:hAnsi="宋体"/>
                <w:color w:val="auto"/>
                <w:kern w:val="2"/>
                <w:highlight w:val="none"/>
              </w:rPr>
              <w:t xml:space="preserve"> </w:t>
            </w:r>
            <w:r>
              <w:rPr>
                <w:rFonts w:hAnsi="宋体"/>
                <w:color w:val="auto"/>
                <w:kern w:val="2"/>
                <w:highlight w:val="none"/>
                <w:u w:val="single"/>
              </w:rPr>
              <w:t xml:space="preserve"> </w:t>
            </w:r>
            <w:r>
              <w:rPr>
                <w:rFonts w:hint="eastAsia" w:hAnsi="宋体"/>
                <w:color w:val="auto"/>
                <w:kern w:val="2"/>
                <w:highlight w:val="none"/>
                <w:u w:val="single"/>
              </w:rPr>
              <w:t xml:space="preserve"> </w:t>
            </w:r>
            <w:r>
              <w:rPr>
                <w:rFonts w:hAnsi="宋体"/>
                <w:color w:val="auto"/>
                <w:kern w:val="2"/>
                <w:highlight w:val="none"/>
                <w:u w:val="single"/>
              </w:rPr>
              <w:t xml:space="preserve">  </w:t>
            </w:r>
            <w:r>
              <w:rPr>
                <w:rFonts w:hint="eastAsia" w:hAnsi="宋体"/>
                <w:color w:val="auto"/>
                <w:kern w:val="2"/>
                <w:highlight w:val="none"/>
              </w:rPr>
              <w:t>角</w:t>
            </w:r>
            <w:r>
              <w:rPr>
                <w:rFonts w:hint="eastAsia" w:hAnsi="宋体"/>
                <w:color w:val="auto"/>
                <w:kern w:val="2"/>
                <w:highlight w:val="none"/>
                <w:u w:val="single"/>
              </w:rPr>
              <w:t xml:space="preserve"> </w:t>
            </w:r>
            <w:r>
              <w:rPr>
                <w:rFonts w:hAnsi="宋体"/>
                <w:color w:val="auto"/>
                <w:kern w:val="2"/>
                <w:highlight w:val="none"/>
                <w:u w:val="single"/>
              </w:rPr>
              <w:t xml:space="preserve">   </w:t>
            </w:r>
            <w:r>
              <w:rPr>
                <w:rFonts w:hint="eastAsia" w:hAnsi="宋体"/>
                <w:color w:val="auto"/>
                <w:kern w:val="2"/>
                <w:highlight w:val="none"/>
              </w:rPr>
              <w:t>分整</w:t>
            </w:r>
          </w:p>
          <w:p w14:paraId="7047DA4E">
            <w:pPr>
              <w:pStyle w:val="32"/>
              <w:snapToGrid w:val="0"/>
              <w:spacing w:beforeLines="0" w:afterLines="0" w:line="240" w:lineRule="auto"/>
              <w:rPr>
                <w:rFonts w:hAnsi="宋体"/>
                <w:color w:val="auto"/>
                <w:kern w:val="2"/>
                <w:highlight w:val="none"/>
              </w:rPr>
            </w:pPr>
          </w:p>
          <w:p w14:paraId="0DD774AD">
            <w:pPr>
              <w:pStyle w:val="32"/>
              <w:snapToGrid w:val="0"/>
              <w:spacing w:beforeLines="0" w:afterLines="0" w:line="240" w:lineRule="auto"/>
              <w:rPr>
                <w:rFonts w:hAnsi="宋体"/>
                <w:color w:val="auto"/>
                <w:kern w:val="2"/>
                <w:highlight w:val="none"/>
              </w:rPr>
            </w:pPr>
            <w:r>
              <w:rPr>
                <w:rFonts w:hint="eastAsia" w:hAnsi="宋体"/>
                <w:color w:val="auto"/>
                <w:kern w:val="2"/>
                <w:highlight w:val="none"/>
              </w:rPr>
              <w:t>小写：</w:t>
            </w:r>
            <w:r>
              <w:rPr>
                <w:rFonts w:hint="eastAsia" w:hAnsi="宋体"/>
                <w:color w:val="auto"/>
                <w:kern w:val="2"/>
                <w:highlight w:val="none"/>
                <w:u w:val="single"/>
              </w:rPr>
              <w:t>￥_</w:t>
            </w:r>
            <w:r>
              <w:rPr>
                <w:rFonts w:hint="eastAsia" w:hAnsi="宋体"/>
                <w:color w:val="auto"/>
                <w:kern w:val="2"/>
                <w:highlight w:val="none"/>
              </w:rPr>
              <w:t>_______________________元整</w:t>
            </w:r>
          </w:p>
          <w:p w14:paraId="59AF4D8C">
            <w:pPr>
              <w:pStyle w:val="32"/>
              <w:snapToGrid w:val="0"/>
              <w:spacing w:beforeLines="0" w:afterLines="0" w:line="240" w:lineRule="auto"/>
              <w:rPr>
                <w:rFonts w:asciiTheme="minorEastAsia" w:hAnsiTheme="minorEastAsia" w:eastAsiaTheme="minorEastAsia" w:cstheme="minorEastAsia"/>
                <w:b/>
                <w:color w:val="auto"/>
                <w:highlight w:val="none"/>
              </w:rPr>
            </w:pPr>
          </w:p>
        </w:tc>
        <w:tc>
          <w:tcPr>
            <w:tcW w:w="1854" w:type="dxa"/>
          </w:tcPr>
          <w:p w14:paraId="7AD9A98A">
            <w:pPr>
              <w:pStyle w:val="32"/>
              <w:snapToGrid w:val="0"/>
              <w:spacing w:beforeLines="0" w:afterLines="0" w:line="240" w:lineRule="auto"/>
              <w:rPr>
                <w:rFonts w:asciiTheme="minorEastAsia" w:hAnsiTheme="minorEastAsia" w:eastAsiaTheme="minorEastAsia" w:cstheme="minorEastAsia"/>
                <w:color w:val="auto"/>
                <w:highlight w:val="none"/>
              </w:rPr>
            </w:pPr>
          </w:p>
        </w:tc>
      </w:tr>
    </w:tbl>
    <w:p w14:paraId="087ABC5F">
      <w:pPr>
        <w:pStyle w:val="32"/>
        <w:snapToGrid w:val="0"/>
        <w:spacing w:beforeLines="0" w:afterLines="0" w:line="240" w:lineRule="auto"/>
        <w:rPr>
          <w:rFonts w:hint="eastAsia"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t>注：</w:t>
      </w:r>
    </w:p>
    <w:p w14:paraId="45ED5AA0">
      <w:pPr>
        <w:pStyle w:val="32"/>
        <w:snapToGrid w:val="0"/>
        <w:spacing w:beforeLines="0" w:afterLines="0" w:line="240" w:lineRule="auto"/>
        <w:rPr>
          <w:rFonts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lang w:val="en-US" w:eastAsia="zh-CN"/>
        </w:rPr>
        <w:t>1、</w:t>
      </w:r>
      <w:r>
        <w:rPr>
          <w:rFonts w:hint="eastAsia" w:asciiTheme="minorEastAsia" w:hAnsiTheme="minorEastAsia" w:eastAsiaTheme="minorEastAsia" w:cstheme="minorEastAsia"/>
          <w:b/>
          <w:color w:val="auto"/>
          <w:highlight w:val="none"/>
        </w:rPr>
        <w:t>投标总报价包括</w:t>
      </w:r>
      <w:r>
        <w:rPr>
          <w:rFonts w:hint="eastAsia" w:asciiTheme="minorEastAsia" w:hAnsiTheme="minorEastAsia" w:eastAsiaTheme="minorEastAsia" w:cstheme="minorEastAsia"/>
          <w:b/>
          <w:color w:val="auto"/>
          <w:highlight w:val="none"/>
          <w:lang w:eastAsia="zh-CN"/>
        </w:rPr>
        <w:t>招标范围内涉及到所有的咨询、调查、资料收集、人工、通讯、交通、差旅、餐饮、资料打印、材料、验收、保险、税费、专家评审费（如有）、相关配合工作、不可预知费用开销及相应的风险金等为本项目提供正常服务所发生的费用，以及其它</w:t>
      </w:r>
      <w:r>
        <w:rPr>
          <w:rFonts w:hint="eastAsia" w:asciiTheme="minorEastAsia" w:hAnsiTheme="minorEastAsia" w:eastAsiaTheme="minorEastAsia" w:cstheme="minorEastAsia"/>
          <w:b/>
          <w:color w:val="auto"/>
          <w:highlight w:val="none"/>
          <w:lang w:val="en-US" w:eastAsia="zh-CN"/>
        </w:rPr>
        <w:t>中标人</w:t>
      </w:r>
      <w:r>
        <w:rPr>
          <w:rFonts w:hint="eastAsia" w:asciiTheme="minorEastAsia" w:hAnsiTheme="minorEastAsia" w:eastAsiaTheme="minorEastAsia" w:cstheme="minorEastAsia"/>
          <w:b/>
          <w:color w:val="auto"/>
          <w:highlight w:val="none"/>
          <w:lang w:eastAsia="zh-CN"/>
        </w:rPr>
        <w:t>应承担的一切工作所发生的费用。</w:t>
      </w:r>
    </w:p>
    <w:p w14:paraId="25BA7275">
      <w:pPr>
        <w:pStyle w:val="32"/>
        <w:snapToGrid w:val="0"/>
        <w:spacing w:beforeLines="0" w:afterLines="0" w:line="240" w:lineRule="auto"/>
        <w:rPr>
          <w:rFonts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lang w:val="en-US" w:eastAsia="zh-CN"/>
        </w:rPr>
        <w:t>2、</w:t>
      </w:r>
      <w:r>
        <w:rPr>
          <w:rFonts w:asciiTheme="minorEastAsia" w:hAnsiTheme="minorEastAsia" w:eastAsiaTheme="minorEastAsia" w:cstheme="minorEastAsia"/>
          <w:b/>
          <w:color w:val="auto"/>
          <w:highlight w:val="none"/>
        </w:rPr>
        <w:t>投标人应</w:t>
      </w:r>
      <w:r>
        <w:rPr>
          <w:rFonts w:hint="eastAsia" w:asciiTheme="minorEastAsia" w:hAnsiTheme="minorEastAsia" w:eastAsiaTheme="minorEastAsia" w:cstheme="minorEastAsia"/>
          <w:b/>
          <w:color w:val="auto"/>
          <w:highlight w:val="none"/>
          <w:lang w:val="en-US" w:eastAsia="zh-CN"/>
        </w:rPr>
        <w:t>根据</w:t>
      </w:r>
      <w:r>
        <w:rPr>
          <w:rFonts w:hint="eastAsia" w:asciiTheme="minorEastAsia" w:hAnsiTheme="minorEastAsia" w:eastAsiaTheme="minorEastAsia" w:cstheme="minorEastAsia"/>
          <w:b/>
          <w:color w:val="auto"/>
          <w:highlight w:val="none"/>
        </w:rPr>
        <w:t>《浙江省建设工程造价咨询服务基准收费标准》</w:t>
      </w:r>
      <w:r>
        <w:rPr>
          <w:rFonts w:asciiTheme="minorEastAsia" w:hAnsiTheme="minorEastAsia" w:eastAsiaTheme="minorEastAsia" w:cstheme="minorEastAsia"/>
          <w:b/>
          <w:color w:val="auto"/>
          <w:highlight w:val="none"/>
        </w:rPr>
        <w:t>浙价服〔2009〕84号本招标文件规定的工作内容和计划工作量，自行测算服务费用。</w:t>
      </w:r>
    </w:p>
    <w:p w14:paraId="2B976704">
      <w:pPr>
        <w:pStyle w:val="32"/>
        <w:snapToGrid w:val="0"/>
        <w:spacing w:beforeLines="0" w:afterLines="0" w:line="240" w:lineRule="auto"/>
        <w:rPr>
          <w:rFonts w:asciiTheme="minorEastAsia" w:hAnsiTheme="minorEastAsia" w:eastAsiaTheme="minorEastAsia" w:cstheme="minorEastAsia"/>
          <w:color w:val="auto"/>
          <w:spacing w:val="20"/>
          <w:highlight w:val="none"/>
        </w:rPr>
      </w:pPr>
    </w:p>
    <w:p w14:paraId="14BDEC9F">
      <w:pPr>
        <w:pStyle w:val="32"/>
        <w:snapToGrid w:val="0"/>
        <w:spacing w:beforeLines="0" w:afterLines="0" w:line="240" w:lineRule="auto"/>
        <w:rPr>
          <w:rFonts w:asciiTheme="minorEastAsia" w:hAnsiTheme="minorEastAsia" w:eastAsiaTheme="minorEastAsia" w:cstheme="minorEastAsia"/>
          <w:color w:val="auto"/>
          <w:spacing w:val="20"/>
          <w:highlight w:val="none"/>
        </w:rPr>
      </w:pPr>
    </w:p>
    <w:p w14:paraId="7D026F61">
      <w:pPr>
        <w:pStyle w:val="32"/>
        <w:snapToGrid w:val="0"/>
        <w:spacing w:beforeLines="0" w:afterLines="0" w:line="240" w:lineRule="auto"/>
        <w:rPr>
          <w:rFonts w:asciiTheme="minorEastAsia" w:hAnsiTheme="minorEastAsia" w:eastAsiaTheme="minorEastAsia" w:cstheme="minorEastAsia"/>
          <w:b/>
          <w:color w:val="auto"/>
          <w:spacing w:val="20"/>
          <w:highlight w:val="none"/>
        </w:rPr>
      </w:pPr>
      <w:r>
        <w:rPr>
          <w:rFonts w:hint="eastAsia" w:asciiTheme="minorEastAsia" w:hAnsiTheme="minorEastAsia" w:eastAsiaTheme="minorEastAsia" w:cstheme="minorEastAsia"/>
          <w:b/>
          <w:color w:val="auto"/>
          <w:spacing w:val="20"/>
          <w:highlight w:val="none"/>
        </w:rPr>
        <w:t xml:space="preserve">法定代表人签字（或盖章）：            投标人（盖章）：  </w:t>
      </w:r>
    </w:p>
    <w:p w14:paraId="1A01FFD8">
      <w:pPr>
        <w:pStyle w:val="32"/>
        <w:snapToGrid w:val="0"/>
        <w:spacing w:beforeLines="0" w:afterLines="0" w:line="240" w:lineRule="auto"/>
        <w:rPr>
          <w:rFonts w:asciiTheme="minorEastAsia" w:hAnsiTheme="minorEastAsia" w:eastAsiaTheme="minorEastAsia" w:cstheme="minorEastAsia"/>
          <w:b/>
          <w:color w:val="auto"/>
          <w:highlight w:val="none"/>
        </w:rPr>
      </w:pPr>
    </w:p>
    <w:p w14:paraId="23700DE7">
      <w:pPr>
        <w:snapToGrid w:val="0"/>
        <w:spacing w:before="50" w:afterLines="50"/>
        <w:jc w:val="left"/>
        <w:rPr>
          <w:rFonts w:asciiTheme="minorEastAsia" w:hAnsiTheme="minorEastAsia" w:eastAsiaTheme="minorEastAsia" w:cstheme="minorEastAsia"/>
          <w:b/>
          <w:color w:val="auto"/>
          <w:kern w:val="0"/>
          <w:sz w:val="24"/>
          <w:highlight w:val="none"/>
        </w:rPr>
      </w:pPr>
    </w:p>
    <w:p w14:paraId="4A754E43">
      <w:pPr>
        <w:snapToGrid w:val="0"/>
        <w:spacing w:before="50" w:afterLines="50"/>
        <w:jc w:val="left"/>
        <w:rPr>
          <w:rFonts w:asciiTheme="minorEastAsia" w:hAnsiTheme="minorEastAsia" w:eastAsiaTheme="minorEastAsia" w:cstheme="minorEastAsia"/>
          <w:b/>
          <w:color w:val="auto"/>
          <w:sz w:val="24"/>
          <w:szCs w:val="20"/>
          <w:highlight w:val="none"/>
        </w:rPr>
      </w:pPr>
      <w:r>
        <w:rPr>
          <w:rFonts w:hint="eastAsia" w:asciiTheme="minorEastAsia" w:hAnsiTheme="minorEastAsia" w:eastAsiaTheme="minorEastAsia" w:cstheme="minorEastAsia"/>
          <w:b/>
          <w:color w:val="auto"/>
          <w:kern w:val="0"/>
          <w:sz w:val="24"/>
          <w:highlight w:val="none"/>
        </w:rPr>
        <w:t>日期：  _____年___月___日</w:t>
      </w:r>
    </w:p>
    <w:p w14:paraId="1FEF4C31">
      <w:pPr>
        <w:pStyle w:val="32"/>
        <w:snapToGrid w:val="0"/>
        <w:spacing w:beforeLines="0" w:afterLines="0" w:line="240" w:lineRule="auto"/>
        <w:rPr>
          <w:rFonts w:asciiTheme="minorEastAsia" w:hAnsiTheme="minorEastAsia" w:eastAsiaTheme="minorEastAsia" w:cstheme="minorEastAsia"/>
          <w:color w:val="auto"/>
          <w:highlight w:val="none"/>
        </w:rPr>
      </w:pPr>
    </w:p>
    <w:p w14:paraId="45CE20E8">
      <w:pPr>
        <w:pStyle w:val="32"/>
        <w:snapToGrid w:val="0"/>
        <w:spacing w:beforeLines="0" w:afterLines="0" w:line="240" w:lineRule="auto"/>
        <w:rPr>
          <w:rFonts w:asciiTheme="minorEastAsia" w:hAnsiTheme="minorEastAsia" w:eastAsiaTheme="minorEastAsia" w:cstheme="minorEastAsia"/>
          <w:color w:val="auto"/>
          <w:highlight w:val="none"/>
        </w:rPr>
      </w:pPr>
    </w:p>
    <w:p w14:paraId="536F4EFD">
      <w:pPr>
        <w:pStyle w:val="32"/>
        <w:snapToGrid w:val="0"/>
        <w:spacing w:beforeLines="0" w:afterLines="0" w:line="240" w:lineRule="auto"/>
        <w:rPr>
          <w:rFonts w:asciiTheme="minorEastAsia" w:hAnsiTheme="minorEastAsia" w:eastAsiaTheme="minorEastAsia" w:cstheme="minorEastAsia"/>
          <w:color w:val="auto"/>
          <w:highlight w:val="none"/>
        </w:rPr>
      </w:pPr>
    </w:p>
    <w:p w14:paraId="7DF53F9F">
      <w:pPr>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highlight w:val="none"/>
        </w:rPr>
        <w:br w:type="page"/>
      </w:r>
    </w:p>
    <w:p w14:paraId="6234AA7B">
      <w:pPr>
        <w:snapToGrid w:val="0"/>
        <w:spacing w:line="360" w:lineRule="auto"/>
        <w:rPr>
          <w:rFonts w:hAnsi="宋体"/>
          <w:color w:val="auto"/>
          <w:sz w:val="24"/>
          <w:highlight w:val="none"/>
        </w:rPr>
      </w:pPr>
      <w:r>
        <w:rPr>
          <w:rFonts w:hint="eastAsia" w:hAnsi="宋体"/>
          <w:color w:val="auto"/>
          <w:highlight w:val="none"/>
        </w:rPr>
        <w:t>15</w:t>
      </w:r>
      <w:r>
        <w:rPr>
          <w:rFonts w:hint="eastAsia" w:hAnsi="宋体"/>
          <w:color w:val="auto"/>
          <w:sz w:val="24"/>
          <w:highlight w:val="none"/>
        </w:rPr>
        <w:t>.投标活动现场确认声明书</w:t>
      </w:r>
    </w:p>
    <w:p w14:paraId="16B69962">
      <w:pPr>
        <w:snapToGrid w:val="0"/>
        <w:spacing w:line="500" w:lineRule="exact"/>
        <w:jc w:val="center"/>
        <w:rPr>
          <w:rFonts w:ascii="方正小标宋简体" w:hAnsi="方正小标宋简体" w:eastAsia="方正小标宋简体" w:cs="方正小标宋简体"/>
          <w:color w:val="auto"/>
          <w:sz w:val="44"/>
          <w:szCs w:val="44"/>
          <w:highlight w:val="none"/>
        </w:rPr>
      </w:pPr>
    </w:p>
    <w:p w14:paraId="27937570">
      <w:pPr>
        <w:snapToGrid w:val="0"/>
        <w:spacing w:line="500" w:lineRule="exact"/>
        <w:jc w:val="center"/>
        <w:rPr>
          <w:rFonts w:asciiTheme="minorEastAsia" w:hAnsiTheme="minorEastAsia" w:eastAsiaTheme="minorEastAsia" w:cstheme="minorEastAsia"/>
          <w:color w:val="auto"/>
          <w:sz w:val="44"/>
          <w:szCs w:val="44"/>
          <w:highlight w:val="none"/>
        </w:rPr>
      </w:pPr>
      <w:r>
        <w:rPr>
          <w:rFonts w:hint="eastAsia" w:asciiTheme="minorEastAsia" w:hAnsiTheme="minorEastAsia" w:eastAsiaTheme="minorEastAsia" w:cstheme="minorEastAsia"/>
          <w:color w:val="auto"/>
          <w:sz w:val="44"/>
          <w:szCs w:val="44"/>
          <w:highlight w:val="none"/>
        </w:rPr>
        <w:t>投标活动现场确认声明书</w:t>
      </w:r>
    </w:p>
    <w:p w14:paraId="55FC92B5">
      <w:pPr>
        <w:snapToGrid w:val="0"/>
        <w:spacing w:line="500" w:lineRule="exact"/>
        <w:rPr>
          <w:rFonts w:ascii="仿宋" w:hAnsi="Courier New" w:eastAsia="仿宋"/>
          <w:b/>
          <w:color w:val="auto"/>
          <w:sz w:val="24"/>
          <w:highlight w:val="none"/>
        </w:rPr>
      </w:pPr>
      <w:r>
        <w:rPr>
          <w:rFonts w:hint="eastAsia" w:ascii="仿宋" w:hAnsi="仿宋"/>
          <w:color w:val="auto"/>
          <w:kern w:val="0"/>
          <w:sz w:val="24"/>
          <w:highlight w:val="none"/>
          <w:u w:val="single"/>
        </w:rPr>
        <w:t xml:space="preserve"> </w:t>
      </w:r>
      <w:r>
        <w:rPr>
          <w:rFonts w:ascii="仿宋" w:hAnsi="仿宋"/>
          <w:color w:val="auto"/>
          <w:kern w:val="0"/>
          <w:sz w:val="24"/>
          <w:highlight w:val="none"/>
          <w:u w:val="single"/>
        </w:rPr>
        <w:t xml:space="preserve">               </w:t>
      </w:r>
      <w:r>
        <w:rPr>
          <w:rFonts w:hint="eastAsia" w:ascii="仿宋" w:hAnsi="仿宋"/>
          <w:color w:val="auto"/>
          <w:kern w:val="0"/>
          <w:sz w:val="24"/>
          <w:highlight w:val="none"/>
          <w:u w:val="single"/>
        </w:rPr>
        <w:t xml:space="preserve"> </w:t>
      </w:r>
      <w:r>
        <w:rPr>
          <w:rFonts w:hint="eastAsia" w:ascii="仿宋" w:hAnsi="仿宋"/>
          <w:color w:val="auto"/>
          <w:kern w:val="0"/>
          <w:sz w:val="24"/>
          <w:highlight w:val="none"/>
        </w:rPr>
        <w:t>（代理机构名称）：</w:t>
      </w:r>
    </w:p>
    <w:p w14:paraId="7A8BF8B8">
      <w:pPr>
        <w:widowControl/>
        <w:spacing w:line="360" w:lineRule="exact"/>
        <w:ind w:firstLine="504" w:firstLineChars="200"/>
        <w:jc w:val="left"/>
        <w:rPr>
          <w:rFonts w:ascii="宋体" w:hAnsi="宋体"/>
          <w:color w:val="auto"/>
          <w:kern w:val="0"/>
          <w:sz w:val="24"/>
          <w:highlight w:val="none"/>
        </w:rPr>
      </w:pPr>
      <w:r>
        <w:rPr>
          <w:rFonts w:hint="eastAsia" w:ascii="仿宋" w:hAnsi="仿宋"/>
          <w:color w:val="auto"/>
          <w:spacing w:val="6"/>
          <w:kern w:val="0"/>
          <w:sz w:val="24"/>
          <w:highlight w:val="none"/>
        </w:rPr>
        <w:t>本人经由</w:t>
      </w:r>
      <w:r>
        <w:rPr>
          <w:rFonts w:hint="eastAsia" w:ascii="仿宋" w:hAnsi="仿宋"/>
          <w:color w:val="auto"/>
          <w:spacing w:val="6"/>
          <w:kern w:val="0"/>
          <w:sz w:val="24"/>
          <w:highlight w:val="none"/>
          <w:u w:val="single"/>
        </w:rPr>
        <w:t xml:space="preserve">                   </w:t>
      </w:r>
      <w:r>
        <w:rPr>
          <w:rFonts w:ascii="仿宋" w:hAnsi="仿宋"/>
          <w:color w:val="auto"/>
          <w:spacing w:val="6"/>
          <w:kern w:val="0"/>
          <w:sz w:val="24"/>
          <w:highlight w:val="none"/>
          <w:u w:val="single"/>
        </w:rPr>
        <w:t xml:space="preserve">          </w:t>
      </w:r>
      <w:r>
        <w:rPr>
          <w:rFonts w:hint="eastAsia" w:ascii="仿宋" w:hAnsi="仿宋"/>
          <w:color w:val="auto"/>
          <w:spacing w:val="6"/>
          <w:kern w:val="0"/>
          <w:sz w:val="24"/>
          <w:highlight w:val="none"/>
        </w:rPr>
        <w:t>单位</w:t>
      </w:r>
      <w:r>
        <w:rPr>
          <w:rFonts w:hint="eastAsia" w:ascii="仿宋" w:hAnsi="仿宋"/>
          <w:color w:val="auto"/>
          <w:spacing w:val="6"/>
          <w:kern w:val="0"/>
          <w:sz w:val="24"/>
          <w:highlight w:val="none"/>
          <w:u w:val="single"/>
        </w:rPr>
        <w:t xml:space="preserve">         (法人代表)</w:t>
      </w:r>
      <w:r>
        <w:rPr>
          <w:rFonts w:hint="eastAsia" w:ascii="仿宋" w:hAnsi="仿宋"/>
          <w:color w:val="auto"/>
          <w:spacing w:val="6"/>
          <w:kern w:val="0"/>
          <w:sz w:val="24"/>
          <w:highlight w:val="none"/>
        </w:rPr>
        <w:t>合法授权参加</w:t>
      </w:r>
      <w:r>
        <w:rPr>
          <w:rFonts w:hint="eastAsia" w:ascii="宋体" w:hAnsi="宋体"/>
          <w:color w:val="auto"/>
          <w:kern w:val="0"/>
          <w:sz w:val="24"/>
          <w:highlight w:val="none"/>
          <w:u w:val="single"/>
        </w:rPr>
        <w:t xml:space="preserve"> </w:t>
      </w:r>
      <w:r>
        <w:rPr>
          <w:rFonts w:ascii="宋体" w:hAnsi="宋体"/>
          <w:color w:val="auto"/>
          <w:kern w:val="0"/>
          <w:sz w:val="24"/>
          <w:highlight w:val="none"/>
          <w:u w:val="single"/>
        </w:rPr>
        <w:t xml:space="preserve">                 </w:t>
      </w:r>
      <w:r>
        <w:rPr>
          <w:rFonts w:hint="eastAsia" w:ascii="宋体" w:hAnsi="宋体"/>
          <w:color w:val="auto"/>
          <w:kern w:val="0"/>
          <w:sz w:val="24"/>
          <w:highlight w:val="none"/>
          <w:u w:val="single"/>
        </w:rPr>
        <w:t xml:space="preserve"> </w:t>
      </w:r>
      <w:r>
        <w:rPr>
          <w:rFonts w:ascii="宋体" w:hAnsi="宋体"/>
          <w:color w:val="auto"/>
          <w:kern w:val="0"/>
          <w:sz w:val="24"/>
          <w:highlight w:val="none"/>
          <w:u w:val="single"/>
        </w:rPr>
        <w:t xml:space="preserve">   </w:t>
      </w:r>
      <w:r>
        <w:rPr>
          <w:rFonts w:hint="eastAsia" w:ascii="宋体" w:hAnsi="宋体"/>
          <w:color w:val="auto"/>
          <w:kern w:val="0"/>
          <w:sz w:val="24"/>
          <w:highlight w:val="none"/>
          <w:u w:val="single"/>
        </w:rPr>
        <w:t>采购</w:t>
      </w:r>
      <w:r>
        <w:rPr>
          <w:rFonts w:hint="eastAsia" w:ascii="仿宋" w:hAnsi="仿宋"/>
          <w:color w:val="auto"/>
          <w:spacing w:val="6"/>
          <w:kern w:val="0"/>
          <w:sz w:val="24"/>
          <w:highlight w:val="none"/>
          <w:u w:val="single"/>
        </w:rPr>
        <w:t xml:space="preserve">（编号： </w:t>
      </w:r>
      <w:r>
        <w:rPr>
          <w:rFonts w:ascii="仿宋" w:hAnsi="仿宋"/>
          <w:color w:val="auto"/>
          <w:spacing w:val="6"/>
          <w:kern w:val="0"/>
          <w:sz w:val="24"/>
          <w:highlight w:val="none"/>
          <w:u w:val="single"/>
        </w:rPr>
        <w:t xml:space="preserve">      ）</w:t>
      </w:r>
      <w:r>
        <w:rPr>
          <w:rFonts w:hint="eastAsia" w:ascii="仿宋" w:hAnsi="仿宋"/>
          <w:color w:val="auto"/>
          <w:spacing w:val="6"/>
          <w:kern w:val="0"/>
          <w:sz w:val="24"/>
          <w:highlight w:val="none"/>
        </w:rPr>
        <w:t>投标活动，经与本单位法人代表（负责人）联系确认，现就有关公平竞争事项郑重声明如下：</w:t>
      </w:r>
    </w:p>
    <w:p w14:paraId="0D695E41">
      <w:pPr>
        <w:widowControl/>
        <w:snapToGrid w:val="0"/>
        <w:spacing w:line="440" w:lineRule="exact"/>
        <w:rPr>
          <w:rFonts w:ascii="仿宋" w:eastAsia="仿宋"/>
          <w:color w:val="auto"/>
          <w:kern w:val="0"/>
          <w:sz w:val="24"/>
          <w:highlight w:val="none"/>
        </w:rPr>
      </w:pPr>
      <w:r>
        <w:rPr>
          <w:rFonts w:hint="eastAsia" w:ascii="仿宋" w:hAnsi="仿宋"/>
          <w:color w:val="auto"/>
          <w:kern w:val="0"/>
          <w:sz w:val="24"/>
          <w:highlight w:val="none"/>
        </w:rPr>
        <w:t>一、本单位与招标人之间</w:t>
      </w:r>
    </w:p>
    <w:p w14:paraId="719446A3">
      <w:pPr>
        <w:widowControl/>
        <w:snapToGrid w:val="0"/>
        <w:spacing w:line="440" w:lineRule="exact"/>
        <w:ind w:left="454"/>
        <w:rPr>
          <w:rFonts w:ascii="仿宋" w:eastAsia="仿宋"/>
          <w:color w:val="auto"/>
          <w:kern w:val="0"/>
          <w:sz w:val="24"/>
          <w:highlight w:val="none"/>
        </w:rPr>
      </w:pPr>
      <w:r>
        <w:rPr>
          <w:rFonts w:hint="eastAsia" w:ascii="宋体" w:hAnsi="宋体" w:cs="宋体"/>
          <w:color w:val="auto"/>
          <w:kern w:val="0"/>
          <w:sz w:val="24"/>
          <w:highlight w:val="none"/>
        </w:rPr>
        <w:t>□</w:t>
      </w:r>
      <w:r>
        <w:rPr>
          <w:rFonts w:hint="eastAsia" w:ascii="仿宋" w:hAnsi="仿宋"/>
          <w:color w:val="auto"/>
          <w:kern w:val="0"/>
          <w:sz w:val="24"/>
          <w:highlight w:val="none"/>
        </w:rPr>
        <w:t>不存在利害关系</w:t>
      </w:r>
    </w:p>
    <w:p w14:paraId="41D0F707">
      <w:pPr>
        <w:widowControl/>
        <w:snapToGrid w:val="0"/>
        <w:spacing w:line="440" w:lineRule="exact"/>
        <w:ind w:left="454"/>
        <w:rPr>
          <w:rFonts w:ascii="仿宋" w:eastAsia="仿宋"/>
          <w:color w:val="auto"/>
          <w:kern w:val="0"/>
          <w:sz w:val="24"/>
          <w:highlight w:val="none"/>
        </w:rPr>
      </w:pPr>
      <w:r>
        <w:rPr>
          <w:rFonts w:hint="eastAsia" w:ascii="宋体" w:hAnsi="宋体" w:cs="宋体"/>
          <w:color w:val="auto"/>
          <w:kern w:val="0"/>
          <w:sz w:val="24"/>
          <w:highlight w:val="none"/>
        </w:rPr>
        <w:t>□</w:t>
      </w:r>
      <w:r>
        <w:rPr>
          <w:rFonts w:hint="eastAsia" w:ascii="仿宋" w:hAnsi="仿宋"/>
          <w:color w:val="auto"/>
          <w:kern w:val="0"/>
          <w:sz w:val="24"/>
          <w:highlight w:val="none"/>
        </w:rPr>
        <w:t>存在下列利害关系：</w:t>
      </w:r>
    </w:p>
    <w:p w14:paraId="46D13913">
      <w:pPr>
        <w:widowControl/>
        <w:snapToGrid w:val="0"/>
        <w:spacing w:line="440" w:lineRule="exact"/>
        <w:rPr>
          <w:rFonts w:ascii="仿宋" w:eastAsia="仿宋"/>
          <w:color w:val="auto"/>
          <w:kern w:val="0"/>
          <w:sz w:val="24"/>
          <w:highlight w:val="none"/>
        </w:rPr>
      </w:pPr>
      <w:r>
        <w:rPr>
          <w:rFonts w:ascii="仿宋" w:hAnsi="仿宋"/>
          <w:color w:val="auto"/>
          <w:kern w:val="0"/>
          <w:sz w:val="24"/>
          <w:highlight w:val="none"/>
        </w:rPr>
        <w:t xml:space="preserve">  A.</w:t>
      </w:r>
      <w:r>
        <w:rPr>
          <w:rFonts w:hint="eastAsia" w:ascii="仿宋" w:hAnsi="仿宋"/>
          <w:color w:val="auto"/>
          <w:kern w:val="0"/>
          <w:sz w:val="24"/>
          <w:highlight w:val="none"/>
        </w:rPr>
        <w:t>投资关系</w:t>
      </w:r>
      <w:r>
        <w:rPr>
          <w:rFonts w:ascii="仿宋" w:hAnsi="仿宋"/>
          <w:color w:val="auto"/>
          <w:kern w:val="0"/>
          <w:sz w:val="24"/>
          <w:highlight w:val="none"/>
        </w:rPr>
        <w:t xml:space="preserve">    B.</w:t>
      </w:r>
      <w:r>
        <w:rPr>
          <w:rFonts w:hint="eastAsia" w:ascii="仿宋" w:hAnsi="仿宋"/>
          <w:color w:val="auto"/>
          <w:kern w:val="0"/>
          <w:sz w:val="24"/>
          <w:highlight w:val="none"/>
        </w:rPr>
        <w:t>行政隶属关系</w:t>
      </w:r>
      <w:r>
        <w:rPr>
          <w:rFonts w:ascii="仿宋" w:hAnsi="仿宋"/>
          <w:color w:val="auto"/>
          <w:kern w:val="0"/>
          <w:sz w:val="24"/>
          <w:highlight w:val="none"/>
        </w:rPr>
        <w:t xml:space="preserve">    C.</w:t>
      </w:r>
      <w:r>
        <w:rPr>
          <w:rFonts w:hint="eastAsia" w:ascii="仿宋" w:hAnsi="仿宋"/>
          <w:color w:val="auto"/>
          <w:kern w:val="0"/>
          <w:sz w:val="24"/>
          <w:highlight w:val="none"/>
        </w:rPr>
        <w:t>业务指导关系</w:t>
      </w:r>
    </w:p>
    <w:p w14:paraId="712B019C">
      <w:pPr>
        <w:widowControl/>
        <w:snapToGrid w:val="0"/>
        <w:spacing w:line="440" w:lineRule="exact"/>
        <w:rPr>
          <w:rFonts w:ascii="仿宋" w:eastAsia="仿宋"/>
          <w:color w:val="auto"/>
          <w:kern w:val="0"/>
          <w:sz w:val="24"/>
          <w:highlight w:val="none"/>
        </w:rPr>
      </w:pPr>
      <w:r>
        <w:rPr>
          <w:rFonts w:ascii="仿宋" w:hAnsi="仿宋"/>
          <w:color w:val="auto"/>
          <w:kern w:val="0"/>
          <w:sz w:val="24"/>
          <w:highlight w:val="none"/>
        </w:rPr>
        <w:t xml:space="preserve">  D.</w:t>
      </w:r>
      <w:r>
        <w:rPr>
          <w:rFonts w:hint="eastAsia" w:ascii="仿宋" w:hAnsi="仿宋"/>
          <w:color w:val="auto"/>
          <w:kern w:val="0"/>
          <w:sz w:val="24"/>
          <w:highlight w:val="none"/>
        </w:rPr>
        <w:t>其他可能</w:t>
      </w:r>
      <w:r>
        <w:rPr>
          <w:rFonts w:hint="eastAsia" w:ascii="仿宋" w:hAnsi="仿宋"/>
          <w:color w:val="auto"/>
          <w:sz w:val="24"/>
          <w:highlight w:val="none"/>
        </w:rPr>
        <w:t>影响采购公正的</w:t>
      </w:r>
      <w:r>
        <w:rPr>
          <w:rFonts w:hint="eastAsia" w:ascii="仿宋" w:hAnsi="仿宋"/>
          <w:color w:val="auto"/>
          <w:kern w:val="0"/>
          <w:sz w:val="24"/>
          <w:highlight w:val="none"/>
        </w:rPr>
        <w:t>利害关系。</w:t>
      </w:r>
    </w:p>
    <w:p w14:paraId="072F4DF9">
      <w:pPr>
        <w:widowControl/>
        <w:snapToGrid w:val="0"/>
        <w:spacing w:line="440" w:lineRule="exact"/>
        <w:rPr>
          <w:rFonts w:ascii="仿宋" w:eastAsia="仿宋"/>
          <w:color w:val="auto"/>
          <w:kern w:val="0"/>
          <w:sz w:val="24"/>
          <w:highlight w:val="none"/>
        </w:rPr>
      </w:pPr>
      <w:r>
        <w:rPr>
          <w:rFonts w:hint="eastAsia" w:ascii="仿宋" w:hAnsi="仿宋"/>
          <w:color w:val="auto"/>
          <w:spacing w:val="6"/>
          <w:sz w:val="24"/>
          <w:highlight w:val="none"/>
        </w:rPr>
        <w:t>二、</w:t>
      </w:r>
      <w:r>
        <w:rPr>
          <w:rFonts w:hint="eastAsia" w:ascii="仿宋" w:hAnsi="仿宋"/>
          <w:color w:val="auto"/>
          <w:kern w:val="0"/>
          <w:sz w:val="24"/>
          <w:highlight w:val="none"/>
        </w:rPr>
        <w:t>现已清楚知道参加本项目投标活动的其他投标人名称，本单位</w:t>
      </w:r>
    </w:p>
    <w:p w14:paraId="66EBC851">
      <w:pPr>
        <w:widowControl/>
        <w:snapToGrid w:val="0"/>
        <w:spacing w:line="440" w:lineRule="exact"/>
        <w:ind w:firstLine="480" w:firstLineChars="200"/>
        <w:rPr>
          <w:rFonts w:ascii="仿宋" w:eastAsia="仿宋"/>
          <w:color w:val="auto"/>
          <w:kern w:val="0"/>
          <w:sz w:val="24"/>
          <w:highlight w:val="none"/>
        </w:rPr>
      </w:pPr>
      <w:r>
        <w:rPr>
          <w:rFonts w:hint="eastAsia" w:ascii="宋体" w:hAnsi="宋体" w:cs="宋体"/>
          <w:color w:val="auto"/>
          <w:kern w:val="0"/>
          <w:sz w:val="24"/>
          <w:highlight w:val="none"/>
        </w:rPr>
        <w:t>□与其他所有投标人之间均</w:t>
      </w:r>
      <w:r>
        <w:rPr>
          <w:rFonts w:hint="eastAsia" w:ascii="仿宋" w:hAnsi="仿宋"/>
          <w:color w:val="auto"/>
          <w:kern w:val="0"/>
          <w:sz w:val="24"/>
          <w:highlight w:val="none"/>
        </w:rPr>
        <w:t>不存在利害关系</w:t>
      </w:r>
    </w:p>
    <w:p w14:paraId="32E487E6">
      <w:pPr>
        <w:widowControl/>
        <w:snapToGrid w:val="0"/>
        <w:spacing w:line="440" w:lineRule="exact"/>
        <w:ind w:firstLine="480" w:firstLineChars="200"/>
        <w:rPr>
          <w:rFonts w:ascii="仿宋" w:eastAsia="仿宋"/>
          <w:color w:val="auto"/>
          <w:kern w:val="0"/>
          <w:sz w:val="24"/>
          <w:highlight w:val="none"/>
        </w:rPr>
      </w:pPr>
      <w:r>
        <w:rPr>
          <w:rFonts w:hint="eastAsia" w:ascii="宋体" w:hAnsi="宋体" w:cs="宋体"/>
          <w:color w:val="auto"/>
          <w:kern w:val="0"/>
          <w:sz w:val="24"/>
          <w:highlight w:val="none"/>
        </w:rPr>
        <w:t>□与之间</w:t>
      </w:r>
      <w:r>
        <w:rPr>
          <w:rFonts w:hint="eastAsia" w:ascii="仿宋" w:hAnsi="仿宋"/>
          <w:color w:val="auto"/>
          <w:kern w:val="0"/>
          <w:sz w:val="24"/>
          <w:highlight w:val="none"/>
        </w:rPr>
        <w:t>存在下列利害关系：</w:t>
      </w:r>
    </w:p>
    <w:p w14:paraId="10CBC9F4">
      <w:pPr>
        <w:snapToGrid w:val="0"/>
        <w:spacing w:line="440" w:lineRule="exact"/>
        <w:rPr>
          <w:rFonts w:ascii="仿宋" w:hAnsi="Courier New" w:eastAsia="仿宋"/>
          <w:color w:val="auto"/>
          <w:kern w:val="0"/>
          <w:sz w:val="24"/>
          <w:highlight w:val="none"/>
        </w:rPr>
      </w:pPr>
      <w:r>
        <w:rPr>
          <w:rFonts w:ascii="仿宋" w:hAnsi="仿宋"/>
          <w:color w:val="auto"/>
          <w:kern w:val="0"/>
          <w:sz w:val="24"/>
          <w:highlight w:val="none"/>
        </w:rPr>
        <w:t xml:space="preserve">  A.</w:t>
      </w:r>
      <w:r>
        <w:rPr>
          <w:rFonts w:hint="eastAsia" w:ascii="仿宋" w:hAnsi="仿宋"/>
          <w:color w:val="auto"/>
          <w:kern w:val="0"/>
          <w:sz w:val="24"/>
          <w:highlight w:val="none"/>
        </w:rPr>
        <w:t>法定代表人或负责人或实际控制人是同一人</w:t>
      </w:r>
    </w:p>
    <w:p w14:paraId="7CB16F79">
      <w:pPr>
        <w:snapToGrid w:val="0"/>
        <w:spacing w:line="440" w:lineRule="exact"/>
        <w:rPr>
          <w:rFonts w:ascii="仿宋" w:hAnsi="Courier New" w:eastAsia="仿宋"/>
          <w:color w:val="auto"/>
          <w:spacing w:val="6"/>
          <w:sz w:val="24"/>
          <w:highlight w:val="none"/>
        </w:rPr>
      </w:pPr>
      <w:r>
        <w:rPr>
          <w:rFonts w:ascii="仿宋" w:hAnsi="仿宋"/>
          <w:color w:val="auto"/>
          <w:kern w:val="0"/>
          <w:sz w:val="24"/>
          <w:highlight w:val="none"/>
        </w:rPr>
        <w:t xml:space="preserve">  B.</w:t>
      </w:r>
      <w:r>
        <w:rPr>
          <w:rFonts w:hint="eastAsia" w:ascii="仿宋" w:hAnsi="仿宋"/>
          <w:color w:val="auto"/>
          <w:kern w:val="0"/>
          <w:sz w:val="24"/>
          <w:highlight w:val="none"/>
        </w:rPr>
        <w:t>法定代表人或负责人或实际控制人是夫妻关系</w:t>
      </w:r>
    </w:p>
    <w:p w14:paraId="0276435F">
      <w:pPr>
        <w:snapToGrid w:val="0"/>
        <w:spacing w:line="440" w:lineRule="exact"/>
        <w:rPr>
          <w:rFonts w:ascii="仿宋" w:hAnsi="Courier New" w:eastAsia="仿宋"/>
          <w:color w:val="auto"/>
          <w:spacing w:val="6"/>
          <w:sz w:val="24"/>
          <w:highlight w:val="none"/>
        </w:rPr>
      </w:pPr>
      <w:r>
        <w:rPr>
          <w:rFonts w:ascii="仿宋" w:hAnsi="仿宋"/>
          <w:color w:val="auto"/>
          <w:kern w:val="0"/>
          <w:sz w:val="24"/>
          <w:highlight w:val="none"/>
        </w:rPr>
        <w:t xml:space="preserve">  C.</w:t>
      </w:r>
      <w:r>
        <w:rPr>
          <w:rFonts w:hint="eastAsia" w:ascii="仿宋" w:hAnsi="仿宋"/>
          <w:color w:val="auto"/>
          <w:kern w:val="0"/>
          <w:sz w:val="24"/>
          <w:highlight w:val="none"/>
        </w:rPr>
        <w:t>法定代表人或负责人或实际控制人是直系血亲关系</w:t>
      </w:r>
    </w:p>
    <w:p w14:paraId="42BE654A">
      <w:pPr>
        <w:snapToGrid w:val="0"/>
        <w:spacing w:line="440" w:lineRule="exact"/>
        <w:rPr>
          <w:rFonts w:ascii="仿宋" w:hAnsi="Courier New" w:eastAsia="仿宋"/>
          <w:color w:val="auto"/>
          <w:spacing w:val="6"/>
          <w:sz w:val="24"/>
          <w:highlight w:val="none"/>
        </w:rPr>
      </w:pPr>
      <w:r>
        <w:rPr>
          <w:rFonts w:ascii="仿宋" w:hAnsi="仿宋"/>
          <w:color w:val="auto"/>
          <w:kern w:val="0"/>
          <w:sz w:val="24"/>
          <w:highlight w:val="none"/>
        </w:rPr>
        <w:t xml:space="preserve">  D.</w:t>
      </w:r>
      <w:r>
        <w:rPr>
          <w:rFonts w:hint="eastAsia" w:ascii="仿宋" w:hAnsi="仿宋"/>
          <w:color w:val="auto"/>
          <w:kern w:val="0"/>
          <w:sz w:val="24"/>
          <w:highlight w:val="none"/>
        </w:rPr>
        <w:t>法定代表人或负责人或实际控制人存在三代以内旁系血亲关系</w:t>
      </w:r>
    </w:p>
    <w:p w14:paraId="67A11C66">
      <w:pPr>
        <w:snapToGrid w:val="0"/>
        <w:spacing w:line="440" w:lineRule="exact"/>
        <w:rPr>
          <w:rFonts w:ascii="仿宋" w:hAnsi="Courier New" w:eastAsia="仿宋"/>
          <w:color w:val="auto"/>
          <w:kern w:val="0"/>
          <w:sz w:val="24"/>
          <w:highlight w:val="none"/>
        </w:rPr>
      </w:pPr>
      <w:r>
        <w:rPr>
          <w:rFonts w:ascii="仿宋" w:hAnsi="仿宋"/>
          <w:color w:val="auto"/>
          <w:kern w:val="0"/>
          <w:sz w:val="24"/>
          <w:highlight w:val="none"/>
        </w:rPr>
        <w:t xml:space="preserve">  E.</w:t>
      </w:r>
      <w:r>
        <w:rPr>
          <w:rFonts w:hint="eastAsia" w:ascii="仿宋" w:hAnsi="仿宋"/>
          <w:color w:val="auto"/>
          <w:kern w:val="0"/>
          <w:sz w:val="24"/>
          <w:highlight w:val="none"/>
        </w:rPr>
        <w:t>法定代表人或负责人或实际控制人存在近姻亲关系</w:t>
      </w:r>
    </w:p>
    <w:p w14:paraId="7CBCEE98">
      <w:pPr>
        <w:snapToGrid w:val="0"/>
        <w:spacing w:line="440" w:lineRule="exact"/>
        <w:rPr>
          <w:rFonts w:ascii="仿宋" w:hAnsi="Courier New" w:eastAsia="仿宋"/>
          <w:color w:val="auto"/>
          <w:kern w:val="0"/>
          <w:sz w:val="24"/>
          <w:highlight w:val="none"/>
        </w:rPr>
      </w:pPr>
      <w:r>
        <w:rPr>
          <w:rFonts w:ascii="仿宋" w:hAnsi="仿宋"/>
          <w:color w:val="auto"/>
          <w:kern w:val="0"/>
          <w:sz w:val="24"/>
          <w:highlight w:val="none"/>
        </w:rPr>
        <w:t xml:space="preserve">  F.</w:t>
      </w:r>
      <w:r>
        <w:rPr>
          <w:rFonts w:hint="eastAsia" w:ascii="仿宋" w:hAnsi="仿宋"/>
          <w:color w:val="auto"/>
          <w:kern w:val="0"/>
          <w:sz w:val="24"/>
          <w:highlight w:val="none"/>
        </w:rPr>
        <w:t>法定代表人或负责人或实际控制人存在股份控制或实际控制关系</w:t>
      </w:r>
    </w:p>
    <w:p w14:paraId="62A20DD1">
      <w:pPr>
        <w:snapToGrid w:val="0"/>
        <w:spacing w:line="440" w:lineRule="exact"/>
        <w:outlineLvl w:val="0"/>
        <w:rPr>
          <w:rFonts w:ascii="仿宋" w:hAnsi="Courier New" w:eastAsia="仿宋"/>
          <w:color w:val="auto"/>
          <w:kern w:val="0"/>
          <w:sz w:val="24"/>
          <w:highlight w:val="none"/>
        </w:rPr>
      </w:pPr>
      <w:r>
        <w:rPr>
          <w:rFonts w:ascii="仿宋" w:hAnsi="仿宋"/>
          <w:color w:val="auto"/>
          <w:kern w:val="0"/>
          <w:sz w:val="24"/>
          <w:highlight w:val="none"/>
        </w:rPr>
        <w:t xml:space="preserve">  G.</w:t>
      </w:r>
      <w:r>
        <w:rPr>
          <w:rFonts w:hint="eastAsia" w:ascii="仿宋" w:hAnsi="仿宋"/>
          <w:color w:val="auto"/>
          <w:kern w:val="0"/>
          <w:sz w:val="24"/>
          <w:highlight w:val="none"/>
        </w:rPr>
        <w:t>存在共同直接或间接投资设立子公司、联营企业和合营企业情况</w:t>
      </w:r>
    </w:p>
    <w:p w14:paraId="006C6C51">
      <w:pPr>
        <w:snapToGrid w:val="0"/>
        <w:spacing w:line="440" w:lineRule="exact"/>
        <w:rPr>
          <w:rFonts w:ascii="仿宋" w:hAnsi="Courier New" w:eastAsia="仿宋"/>
          <w:color w:val="auto"/>
          <w:sz w:val="24"/>
          <w:highlight w:val="none"/>
        </w:rPr>
      </w:pPr>
      <w:r>
        <w:rPr>
          <w:rFonts w:ascii="仿宋" w:hAnsi="仿宋"/>
          <w:color w:val="auto"/>
          <w:kern w:val="0"/>
          <w:sz w:val="24"/>
          <w:highlight w:val="none"/>
        </w:rPr>
        <w:t xml:space="preserve">  H.</w:t>
      </w:r>
      <w:r>
        <w:rPr>
          <w:rFonts w:hint="eastAsia" w:ascii="仿宋" w:hAnsi="仿宋"/>
          <w:color w:val="auto"/>
          <w:kern w:val="0"/>
          <w:sz w:val="24"/>
          <w:highlight w:val="none"/>
        </w:rPr>
        <w:t>存在分级代理或代销关系、同一生产制造商关系、</w:t>
      </w:r>
      <w:r>
        <w:rPr>
          <w:rFonts w:hint="eastAsia" w:ascii="仿宋" w:hAnsi="仿宋"/>
          <w:color w:val="auto"/>
          <w:sz w:val="24"/>
          <w:highlight w:val="none"/>
        </w:rPr>
        <w:t>管理关系、重要业务（占主营业务收入</w:t>
      </w:r>
      <w:r>
        <w:rPr>
          <w:rFonts w:ascii="仿宋" w:hAnsi="仿宋"/>
          <w:color w:val="auto"/>
          <w:sz w:val="24"/>
          <w:highlight w:val="none"/>
        </w:rPr>
        <w:t>50%</w:t>
      </w:r>
      <w:r>
        <w:rPr>
          <w:rFonts w:hint="eastAsia" w:ascii="仿宋" w:hAnsi="仿宋"/>
          <w:color w:val="auto"/>
          <w:sz w:val="24"/>
          <w:highlight w:val="none"/>
        </w:rPr>
        <w:t>以上）或重要财务往来关系（如融资）等其他实质性控制关系</w:t>
      </w:r>
    </w:p>
    <w:p w14:paraId="48509474">
      <w:pPr>
        <w:snapToGrid w:val="0"/>
        <w:spacing w:line="440" w:lineRule="exact"/>
        <w:rPr>
          <w:rFonts w:ascii="仿宋" w:hAnsi="Courier New" w:eastAsia="仿宋"/>
          <w:color w:val="auto"/>
          <w:spacing w:val="6"/>
          <w:sz w:val="24"/>
          <w:highlight w:val="none"/>
        </w:rPr>
      </w:pPr>
      <w:r>
        <w:rPr>
          <w:rFonts w:ascii="仿宋" w:hAnsi="仿宋"/>
          <w:color w:val="auto"/>
          <w:sz w:val="24"/>
          <w:highlight w:val="none"/>
        </w:rPr>
        <w:t>I</w:t>
      </w:r>
      <w:r>
        <w:rPr>
          <w:rFonts w:ascii="仿宋" w:hAnsi="Courier New" w:eastAsia="仿宋"/>
          <w:color w:val="auto"/>
          <w:kern w:val="0"/>
          <w:sz w:val="24"/>
          <w:highlight w:val="none"/>
        </w:rPr>
        <w:t>.</w:t>
      </w:r>
      <w:r>
        <w:rPr>
          <w:rFonts w:hint="eastAsia" w:ascii="仿宋" w:hAnsi="仿宋"/>
          <w:color w:val="auto"/>
          <w:sz w:val="24"/>
          <w:highlight w:val="none"/>
        </w:rPr>
        <w:t>其他利害关系情况</w:t>
      </w:r>
      <w:r>
        <w:rPr>
          <w:rFonts w:hint="eastAsia" w:ascii="仿宋" w:hAnsi="仿宋"/>
          <w:color w:val="auto"/>
          <w:kern w:val="0"/>
          <w:sz w:val="24"/>
          <w:highlight w:val="none"/>
        </w:rPr>
        <w:t>。</w:t>
      </w:r>
    </w:p>
    <w:p w14:paraId="797DD514">
      <w:pPr>
        <w:widowControl/>
        <w:snapToGrid w:val="0"/>
        <w:spacing w:line="440" w:lineRule="exact"/>
        <w:rPr>
          <w:rFonts w:ascii="仿宋" w:eastAsia="仿宋"/>
          <w:color w:val="auto"/>
          <w:kern w:val="0"/>
          <w:sz w:val="24"/>
          <w:highlight w:val="none"/>
        </w:rPr>
      </w:pPr>
      <w:r>
        <w:rPr>
          <w:rFonts w:hint="eastAsia" w:ascii="仿宋" w:hAnsi="仿宋"/>
          <w:color w:val="auto"/>
          <w:sz w:val="24"/>
          <w:highlight w:val="none"/>
        </w:rPr>
        <w:t>三、现已清楚知道并</w:t>
      </w:r>
      <w:r>
        <w:rPr>
          <w:rFonts w:hint="eastAsia" w:ascii="仿宋" w:hAnsi="仿宋"/>
          <w:color w:val="auto"/>
          <w:kern w:val="0"/>
          <w:sz w:val="24"/>
          <w:highlight w:val="none"/>
        </w:rPr>
        <w:t>严格遵守招投标相关法律法规和现场纪律。</w:t>
      </w:r>
    </w:p>
    <w:p w14:paraId="13844742">
      <w:pPr>
        <w:widowControl/>
        <w:snapToGrid w:val="0"/>
        <w:spacing w:line="440" w:lineRule="exact"/>
        <w:rPr>
          <w:rFonts w:ascii="仿宋" w:hAnsi="仿宋"/>
          <w:color w:val="auto"/>
          <w:kern w:val="0"/>
          <w:sz w:val="24"/>
          <w:highlight w:val="none"/>
        </w:rPr>
      </w:pPr>
      <w:r>
        <w:rPr>
          <w:rFonts w:hint="eastAsia" w:ascii="仿宋" w:hAnsi="仿宋"/>
          <w:color w:val="auto"/>
          <w:kern w:val="0"/>
          <w:sz w:val="24"/>
          <w:highlight w:val="none"/>
        </w:rPr>
        <w:t>四、我发现投标人之间存在或可能存在上述第二条第项利害关系。</w:t>
      </w:r>
    </w:p>
    <w:p w14:paraId="4F973947">
      <w:pPr>
        <w:widowControl/>
        <w:snapToGrid w:val="0"/>
        <w:spacing w:line="440" w:lineRule="exact"/>
        <w:rPr>
          <w:rFonts w:ascii="宋体" w:hAnsi="宋体"/>
          <w:color w:val="auto"/>
          <w:kern w:val="0"/>
          <w:sz w:val="24"/>
          <w:highlight w:val="none"/>
        </w:rPr>
      </w:pPr>
      <w:r>
        <w:rPr>
          <w:rFonts w:hint="eastAsia" w:ascii="宋体" w:hAnsi="宋体"/>
          <w:color w:val="auto"/>
          <w:kern w:val="0"/>
          <w:sz w:val="24"/>
          <w:highlight w:val="none"/>
        </w:rPr>
        <w:t>□不存在利害关系</w:t>
      </w:r>
    </w:p>
    <w:p w14:paraId="1995618F">
      <w:pPr>
        <w:widowControl/>
        <w:snapToGrid w:val="0"/>
        <w:spacing w:line="440" w:lineRule="exact"/>
        <w:rPr>
          <w:rFonts w:ascii="宋体" w:hAnsi="宋体"/>
          <w:color w:val="auto"/>
          <w:kern w:val="0"/>
          <w:sz w:val="24"/>
          <w:highlight w:val="none"/>
        </w:rPr>
      </w:pPr>
      <w:r>
        <w:rPr>
          <w:rFonts w:hint="eastAsia" w:ascii="宋体" w:hAnsi="宋体"/>
          <w:color w:val="auto"/>
          <w:kern w:val="0"/>
          <w:sz w:val="24"/>
          <w:highlight w:val="none"/>
        </w:rPr>
        <w:t>□存在下列利害关系</w:t>
      </w:r>
    </w:p>
    <w:p w14:paraId="0D40BFC6">
      <w:pPr>
        <w:snapToGrid w:val="0"/>
        <w:spacing w:line="500" w:lineRule="exact"/>
        <w:ind w:firstLine="480" w:firstLineChars="200"/>
        <w:rPr>
          <w:rFonts w:ascii="仿宋" w:hAnsi="仿宋"/>
          <w:color w:val="auto"/>
          <w:sz w:val="24"/>
          <w:highlight w:val="none"/>
        </w:rPr>
      </w:pPr>
    </w:p>
    <w:p w14:paraId="52B6FE61">
      <w:pPr>
        <w:snapToGrid w:val="0"/>
        <w:spacing w:line="500" w:lineRule="exact"/>
        <w:ind w:firstLine="482" w:firstLineChars="200"/>
        <w:rPr>
          <w:rFonts w:ascii="仿宋" w:hAnsi="Courier New" w:eastAsia="仿宋"/>
          <w:b/>
          <w:color w:val="auto"/>
          <w:sz w:val="24"/>
          <w:highlight w:val="none"/>
        </w:rPr>
      </w:pPr>
      <w:r>
        <w:rPr>
          <w:rFonts w:hint="eastAsia" w:ascii="仿宋" w:hAnsi="仿宋"/>
          <w:b/>
          <w:color w:val="auto"/>
          <w:sz w:val="24"/>
          <w:highlight w:val="none"/>
        </w:rPr>
        <w:t>投标人代表签名：</w:t>
      </w:r>
    </w:p>
    <w:p w14:paraId="22AFF09A">
      <w:pPr>
        <w:ind w:firstLine="3840" w:firstLineChars="1600"/>
        <w:rPr>
          <w:rFonts w:ascii="仿宋" w:eastAsia="仿宋"/>
          <w:color w:val="auto"/>
          <w:sz w:val="24"/>
          <w:highlight w:val="none"/>
        </w:rPr>
      </w:pPr>
    </w:p>
    <w:p w14:paraId="660D17B1">
      <w:pPr>
        <w:ind w:firstLine="5880" w:firstLineChars="2450"/>
        <w:rPr>
          <w:color w:val="auto"/>
          <w:highlight w:val="none"/>
        </w:rPr>
      </w:pPr>
      <w:r>
        <w:rPr>
          <w:rFonts w:hint="eastAsia" w:ascii="仿宋" w:hAnsi="仿宋"/>
          <w:color w:val="auto"/>
          <w:sz w:val="24"/>
          <w:highlight w:val="none"/>
        </w:rPr>
        <w:t>年</w:t>
      </w:r>
      <w:r>
        <w:rPr>
          <w:rFonts w:ascii="仿宋" w:hAnsi="仿宋"/>
          <w:color w:val="auto"/>
          <w:sz w:val="24"/>
          <w:highlight w:val="none"/>
        </w:rPr>
        <w:t xml:space="preserve">  </w:t>
      </w:r>
      <w:r>
        <w:rPr>
          <w:rFonts w:hint="eastAsia" w:ascii="仿宋" w:hAnsi="仿宋"/>
          <w:color w:val="auto"/>
          <w:sz w:val="24"/>
          <w:highlight w:val="none"/>
        </w:rPr>
        <w:t>月</w:t>
      </w:r>
      <w:r>
        <w:rPr>
          <w:rFonts w:ascii="仿宋" w:hAnsi="仿宋"/>
          <w:color w:val="auto"/>
          <w:sz w:val="24"/>
          <w:highlight w:val="none"/>
        </w:rPr>
        <w:t xml:space="preserve">   </w:t>
      </w:r>
      <w:r>
        <w:rPr>
          <w:rFonts w:hint="eastAsia" w:ascii="仿宋" w:hAnsi="仿宋"/>
          <w:color w:val="auto"/>
          <w:sz w:val="24"/>
          <w:highlight w:val="none"/>
        </w:rPr>
        <w:t>日</w:t>
      </w:r>
    </w:p>
    <w:p w14:paraId="1138721C">
      <w:pPr>
        <w:rPr>
          <w:rFonts w:ascii="宋体" w:hAnsi="宋体"/>
          <w:b/>
          <w:color w:val="auto"/>
          <w:sz w:val="24"/>
          <w:highlight w:val="none"/>
        </w:rPr>
      </w:pPr>
    </w:p>
    <w:bookmarkEnd w:id="82"/>
    <w:sectPr>
      <w:footerReference r:id="rId12" w:type="default"/>
      <w:pgSz w:w="11906" w:h="16838"/>
      <w:pgMar w:top="1021" w:right="1588" w:bottom="851" w:left="1588" w:header="851" w:footer="851" w:gutter="0"/>
      <w:pgNumType w:fmt="decimal"/>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8"/>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华文楷体">
    <w:altName w:val="宋体"/>
    <w:panose1 w:val="02010600040101010101"/>
    <w:charset w:val="86"/>
    <w:family w:val="auto"/>
    <w:pitch w:val="default"/>
    <w:sig w:usb0="00000000" w:usb1="00000000" w:usb2="00000000" w:usb3="00000000" w:csb0="0004009F" w:csb1="DFD7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Verdana">
    <w:panose1 w:val="020B0604030504040204"/>
    <w:charset w:val="00"/>
    <w:family w:val="swiss"/>
    <w:pitch w:val="default"/>
    <w:sig w:usb0="A00006FF" w:usb1="4000205B" w:usb2="00000010" w:usb3="00000000" w:csb0="2000019F" w:csb1="00000000"/>
  </w:font>
  <w:font w:name="ˎ̥">
    <w:altName w:val="微软雅黑"/>
    <w:panose1 w:val="00000000000000000000"/>
    <w:charset w:val="00"/>
    <w:family w:val="roman"/>
    <w:pitch w:val="default"/>
    <w:sig w:usb0="00000000" w:usb1="00000000" w:usb2="00000000" w:usb3="00000000" w:csb0="00040001" w:csb1="00000000"/>
  </w:font>
  <w:font w:name="HelveticaNeueLT Std Lt">
    <w:altName w:val="新宋体"/>
    <w:panose1 w:val="00000000000000000000"/>
    <w:charset w:val="86"/>
    <w:family w:val="auto"/>
    <w:pitch w:val="default"/>
    <w:sig w:usb0="00000000" w:usb1="00000000" w:usb2="00000010" w:usb3="00000000" w:csb0="00040000" w:csb1="00000000"/>
  </w:font>
  <w:font w:name="新宋体">
    <w:panose1 w:val="02010609030101010101"/>
    <w:charset w:val="86"/>
    <w:family w:val="auto"/>
    <w:pitch w:val="default"/>
    <w:sig w:usb0="00000203" w:usb1="288F0000" w:usb2="00000006" w:usb3="00000000" w:csb0="00040001" w:csb1="00000000"/>
  </w:font>
  <w:font w:name="Helvetica">
    <w:panose1 w:val="020B0504020202030204"/>
    <w:charset w:val="00"/>
    <w:family w:val="swiss"/>
    <w:pitch w:val="default"/>
    <w:sig w:usb0="00000007" w:usb1="00000000" w:usb2="00000000" w:usb3="00000000" w:csb0="00000093" w:csb1="00000000"/>
  </w:font>
  <w:font w:name="Arial Unicode MS">
    <w:altName w:val="宋体"/>
    <w:panose1 w:val="020B0604020202020204"/>
    <w:charset w:val="86"/>
    <w:family w:val="swiss"/>
    <w:pitch w:val="default"/>
    <w:sig w:usb0="00000000" w:usb1="00000000" w:usb2="0000003F" w:usb3="00000000" w:csb0="603F01FF" w:csb1="FFFF0000"/>
  </w:font>
  <w:font w:name="Swis721 Lt BT">
    <w:altName w:val="Yu Gothic UI Semilight"/>
    <w:panose1 w:val="020B0403020202020204"/>
    <w:charset w:val="00"/>
    <w:family w:val="swiss"/>
    <w:pitch w:val="default"/>
    <w:sig w:usb0="00000000" w:usb1="00000000" w:usb2="00000000" w:usb3="00000000" w:csb0="0000001B" w:csb1="00000000"/>
  </w:font>
  <w:font w:name="Yu Gothic UI Semilight">
    <w:panose1 w:val="020B0400000000000000"/>
    <w:charset w:val="80"/>
    <w:family w:val="auto"/>
    <w:pitch w:val="default"/>
    <w:sig w:usb0="E00002FF" w:usb1="2AC7FDFF" w:usb2="00000016" w:usb3="00000000" w:csb0="2002009F" w:csb1="00000000"/>
  </w:font>
  <w:font w:name="Garamond">
    <w:panose1 w:val="02020502050306020203"/>
    <w:charset w:val="00"/>
    <w:family w:val="roman"/>
    <w:pitch w:val="default"/>
    <w:sig w:usb0="00000007" w:usb1="00000000" w:usb2="00000000" w:usb3="00000000" w:csb0="00000093" w:csb1="00000000"/>
  </w:font>
  <w:font w:name="EtGsHeiBold">
    <w:altName w:val="黑体"/>
    <w:panose1 w:val="00000000000000000000"/>
    <w:charset w:val="86"/>
    <w:family w:val="auto"/>
    <w:pitch w:val="default"/>
    <w:sig w:usb0="00000000" w:usb1="00000000" w:usb2="00000010" w:usb3="00000000" w:csb0="00040000" w:csb1="00000000"/>
  </w:font>
  <w:font w:name="Calibri Light">
    <w:panose1 w:val="020F03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文鼎粗黑">
    <w:altName w:val="黑体"/>
    <w:panose1 w:val="00000000000000000000"/>
    <w:charset w:val="86"/>
    <w:family w:val="modern"/>
    <w:pitch w:val="default"/>
    <w:sig w:usb0="00000000" w:usb1="00000000" w:usb2="00000010" w:usb3="00000000" w:csb0="00040000" w:csb1="00000000"/>
  </w:font>
  <w:font w:name="华文中宋">
    <w:altName w:val="宋体"/>
    <w:panose1 w:val="02010600040101010101"/>
    <w:charset w:val="86"/>
    <w:family w:val="auto"/>
    <w:pitch w:val="default"/>
    <w:sig w:usb0="00000000" w:usb1="00000000" w:usb2="00000000" w:usb3="00000000" w:csb0="0004009F" w:csb1="DFD70000"/>
  </w:font>
  <w:font w:name="Tms Rmn">
    <w:altName w:val="Segoe Print"/>
    <w:panose1 w:val="02020603040505020304"/>
    <w:charset w:val="00"/>
    <w:family w:val="roman"/>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长城仿宋">
    <w:altName w:val="黑体"/>
    <w:panose1 w:val="00000000000000000000"/>
    <w:charset w:val="86"/>
    <w:family w:val="modern"/>
    <w:pitch w:val="default"/>
    <w:sig w:usb0="00000000" w:usb1="00000000" w:usb2="00000010" w:usb3="00000000" w:csb0="00040000" w:csb1="00000000"/>
  </w:font>
  <w:font w:name="昆仑仿宋">
    <w:altName w:val="仿宋"/>
    <w:panose1 w:val="00000000000000000000"/>
    <w:charset w:val="86"/>
    <w:family w:val="modern"/>
    <w:pitch w:val="default"/>
    <w:sig w:usb0="00000000" w:usb1="00000000" w:usb2="00000010" w:usb3="00000000" w:csb0="00040000" w:csb1="00000000"/>
  </w:font>
  <w:font w:name="华文新魏">
    <w:altName w:val="宋体"/>
    <w:panose1 w:val="02010800040101010101"/>
    <w:charset w:val="86"/>
    <w:family w:val="auto"/>
    <w:pitch w:val="default"/>
    <w:sig w:usb0="00000000" w:usb1="00000000" w:usb2="00000000" w:usb3="00000000" w:csb0="00040000" w:csb1="00000000"/>
  </w:font>
  <w:font w:name="华文仿宋">
    <w:altName w:val="仿宋"/>
    <w:panose1 w:val="02010600040101010101"/>
    <w:charset w:val="86"/>
    <w:family w:val="auto"/>
    <w:pitch w:val="default"/>
    <w:sig w:usb0="00000000" w:usb1="00000000" w:usb2="00000000" w:usb3="00000000" w:csb0="0004009F" w:csb1="DFD70000"/>
  </w:font>
  <w:font w:name="方正小标宋简体">
    <w:altName w:val="黑体"/>
    <w:panose1 w:val="02010601030101010101"/>
    <w:charset w:val="86"/>
    <w:family w:val="auto"/>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7B3D4B">
    <w:pPr>
      <w:pStyle w:val="37"/>
      <w:tabs>
        <w:tab w:val="clear" w:pos="4153"/>
      </w:tabs>
      <w:jc w:val="cente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9C27037">
                          <w:pPr>
                            <w:pStyle w:val="3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69C27037">
                    <w:pPr>
                      <w:pStyle w:val="37"/>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9F6ACA">
    <w:pPr>
      <w:pStyle w:val="37"/>
      <w:jc w:val="right"/>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38DE8FE">
                          <w:pPr>
                            <w:pStyle w:val="37"/>
                            <w:jc w:val="right"/>
                          </w:pPr>
                          <w:r>
                            <w:fldChar w:fldCharType="begin"/>
                          </w:r>
                          <w:r>
                            <w:instrText xml:space="preserve">PAGE   \* MERGEFORMAT</w:instrText>
                          </w:r>
                          <w:r>
                            <w:fldChar w:fldCharType="separate"/>
                          </w:r>
                          <w:r>
                            <w:rPr>
                              <w:lang w:val="zh-CN"/>
                            </w:rP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138DE8FE">
                    <w:pPr>
                      <w:pStyle w:val="37"/>
                      <w:jc w:val="right"/>
                    </w:pPr>
                    <w:r>
                      <w:fldChar w:fldCharType="begin"/>
                    </w:r>
                    <w:r>
                      <w:instrText xml:space="preserve">PAGE   \* MERGEFORMAT</w:instrText>
                    </w:r>
                    <w:r>
                      <w:fldChar w:fldCharType="separate"/>
                    </w:r>
                    <w:r>
                      <w:rPr>
                        <w:lang w:val="zh-CN"/>
                      </w:rPr>
                      <w:t>2</w:t>
                    </w:r>
                    <w:r>
                      <w:fldChar w:fldCharType="end"/>
                    </w:r>
                  </w:p>
                </w:txbxContent>
              </v:textbox>
            </v:shape>
          </w:pict>
        </mc:Fallback>
      </mc:AlternateContent>
    </w:r>
  </w:p>
  <w:p w14:paraId="1037AA27">
    <w:pPr>
      <w:pStyle w:val="3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3D2E1D">
    <w:pPr>
      <w:pStyle w:val="37"/>
      <w:framePr w:wrap="around" w:vAnchor="text" w:hAnchor="margin" w:xAlign="right" w:y="1"/>
      <w:rPr>
        <w:rStyle w:val="56"/>
      </w:rPr>
    </w:pPr>
    <w:r>
      <w:fldChar w:fldCharType="begin"/>
    </w:r>
    <w:r>
      <w:rPr>
        <w:rStyle w:val="56"/>
      </w:rPr>
      <w:instrText xml:space="preserve">PAGE  </w:instrText>
    </w:r>
    <w:r>
      <w:fldChar w:fldCharType="end"/>
    </w:r>
  </w:p>
  <w:p w14:paraId="1237C40C">
    <w:pPr>
      <w:pStyle w:val="37"/>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3CCAE0">
    <w:pPr>
      <w:pStyle w:val="37"/>
      <w:ind w:right="36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245A618D">
                          <w:pPr>
                            <w:pStyle w:val="37"/>
                            <w:rPr>
                              <w:rFonts w:eastAsia="宋体"/>
                            </w:rPr>
                          </w:pPr>
                          <w:r>
                            <w:rPr>
                              <w:rFonts w:hint="eastAsia"/>
                            </w:rPr>
                            <w:fldChar w:fldCharType="begin"/>
                          </w:r>
                          <w:r>
                            <w:rPr>
                              <w:rFonts w:hint="eastAsia"/>
                            </w:rPr>
                            <w:instrText xml:space="preserve"> PAGE  \* MERGEFORMAT </w:instrText>
                          </w:r>
                          <w:r>
                            <w:rPr>
                              <w:rFonts w:hint="eastAsia"/>
                            </w:rPr>
                            <w:fldChar w:fldCharType="separate"/>
                          </w:r>
                          <w:r>
                            <w:t>9</w:t>
                          </w:r>
                          <w:r>
                            <w:rPr>
                              <w:rFonts w:hint="eastAsia"/>
                            </w:rPr>
                            <w:fldChar w:fldCharType="end"/>
                          </w:r>
                        </w:p>
                      </w:txbxContent>
                    </wps:txbx>
                    <wps:bodyPr wrap="none" lIns="0" tIns="0" rIns="0" bIns="0">
                      <a:spAutoFit/>
                    </wps:bodyPr>
                  </wps:wsp>
                </a:graphicData>
              </a:graphic>
            </wp:anchor>
          </w:drawing>
        </mc:Choice>
        <mc:Fallback>
          <w:pict>
            <v:shape id="文本框 1025"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A98eWAyQEAAJ4DAAAOAAAAAAAAAAEAIAAAAB4BAABkcnMvZTJvRG9j&#10;LnhtbFBLBQYAAAAABgAGAFkBAABZBQAAAAA=&#10;">
              <v:fill on="f" focussize="0,0"/>
              <v:stroke on="f"/>
              <v:imagedata o:title=""/>
              <o:lock v:ext="edit" aspectratio="f"/>
              <v:textbox inset="0mm,0mm,0mm,0mm" style="mso-fit-shape-to-text:t;">
                <w:txbxContent>
                  <w:p w14:paraId="245A618D">
                    <w:pPr>
                      <w:pStyle w:val="37"/>
                      <w:rPr>
                        <w:rFonts w:eastAsia="宋体"/>
                      </w:rPr>
                    </w:pPr>
                    <w:r>
                      <w:rPr>
                        <w:rFonts w:hint="eastAsia"/>
                      </w:rPr>
                      <w:fldChar w:fldCharType="begin"/>
                    </w:r>
                    <w:r>
                      <w:rPr>
                        <w:rFonts w:hint="eastAsia"/>
                      </w:rPr>
                      <w:instrText xml:space="preserve"> PAGE  \* MERGEFORMAT </w:instrText>
                    </w:r>
                    <w:r>
                      <w:rPr>
                        <w:rFonts w:hint="eastAsia"/>
                      </w:rPr>
                      <w:fldChar w:fldCharType="separate"/>
                    </w:r>
                    <w:r>
                      <w:t>9</w:t>
                    </w:r>
                    <w:r>
                      <w:rPr>
                        <w:rFonts w:hint="eastAsia"/>
                      </w:rP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FDC95A">
    <w:pPr>
      <w:pStyle w:val="37"/>
      <w:jc w:val="right"/>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300ABC2E">
                          <w:pPr>
                            <w:pStyle w:val="37"/>
                          </w:pPr>
                          <w:r>
                            <w:fldChar w:fldCharType="begin"/>
                          </w:r>
                          <w:r>
                            <w:instrText xml:space="preserve"> PAGE  \* MERGEFORMAT </w:instrText>
                          </w:r>
                          <w:r>
                            <w:fldChar w:fldCharType="separate"/>
                          </w:r>
                          <w:r>
                            <w:t>4</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DOqXm5zwAAAAUBAAAPAAAAAAAAAAEAIAAAACIAAABkcnMvZG93bnJl&#10;di54bWxQSwECFAAUAAAACACHTuJA9iC+ss0BAACnAwAADgAAAAAAAAABACAAAAAeAQAAZHJzL2Uy&#10;b0RvYy54bWxQSwUGAAAAAAYABgBZAQAAXQUAAAAA&#10;">
              <v:fill on="f" focussize="0,0"/>
              <v:stroke on="f"/>
              <v:imagedata o:title=""/>
              <o:lock v:ext="edit" aspectratio="f"/>
              <v:textbox inset="0mm,0mm,0mm,0mm" style="mso-fit-shape-to-text:t;">
                <w:txbxContent>
                  <w:p w14:paraId="300ABC2E">
                    <w:pPr>
                      <w:pStyle w:val="37"/>
                    </w:pPr>
                    <w:r>
                      <w:fldChar w:fldCharType="begin"/>
                    </w:r>
                    <w:r>
                      <w:instrText xml:space="preserve"> PAGE  \* MERGEFORMAT </w:instrText>
                    </w:r>
                    <w:r>
                      <w:fldChar w:fldCharType="separate"/>
                    </w:r>
                    <w:r>
                      <w:t>4</w:t>
                    </w:r>
                    <w:r>
                      <w:fldChar w:fldCharType="end"/>
                    </w:r>
                  </w:p>
                </w:txbxContent>
              </v:textbox>
            </v:shape>
          </w:pict>
        </mc:Fallback>
      </mc:AlternateContent>
    </w:r>
  </w:p>
  <w:p w14:paraId="0475CBDB">
    <w:pPr>
      <w:pStyle w:val="37"/>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96BB4B">
    <w:pPr>
      <w:spacing w:line="176" w:lineRule="auto"/>
      <w:ind w:left="4654"/>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B50318A">
                          <w:pPr>
                            <w:pStyle w:val="37"/>
                          </w:pPr>
                          <w:r>
                            <w:fldChar w:fldCharType="begin"/>
                          </w:r>
                          <w:r>
                            <w:instrText xml:space="preserve"> PAGE  \* MERGEFORMAT </w:instrText>
                          </w:r>
                          <w:r>
                            <w:fldChar w:fldCharType="separate"/>
                          </w:r>
                          <w:r>
                            <w:t>30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6B50318A">
                    <w:pPr>
                      <w:pStyle w:val="37"/>
                    </w:pPr>
                    <w:r>
                      <w:fldChar w:fldCharType="begin"/>
                    </w:r>
                    <w:r>
                      <w:instrText xml:space="preserve"> PAGE  \* MERGEFORMAT </w:instrText>
                    </w:r>
                    <w:r>
                      <w:fldChar w:fldCharType="separate"/>
                    </w:r>
                    <w:r>
                      <w:t>30</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D5390F">
    <w:pPr>
      <w:spacing w:line="176" w:lineRule="auto"/>
      <w:ind w:left="4683"/>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EE55D27">
                          <w:pPr>
                            <w:pStyle w:val="37"/>
                          </w:pPr>
                          <w:r>
                            <w:fldChar w:fldCharType="begin"/>
                          </w:r>
                          <w:r>
                            <w:instrText xml:space="preserve"> PAGE  \* MERGEFORMAT </w:instrText>
                          </w:r>
                          <w:r>
                            <w:fldChar w:fldCharType="separate"/>
                          </w:r>
                          <w:r>
                            <w:t>20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1EE55D27">
                    <w:pPr>
                      <w:pStyle w:val="37"/>
                    </w:pPr>
                    <w:r>
                      <w:fldChar w:fldCharType="begin"/>
                    </w:r>
                    <w:r>
                      <w:instrText xml:space="preserve"> PAGE  \* MERGEFORMAT </w:instrText>
                    </w:r>
                    <w:r>
                      <w:fldChar w:fldCharType="separate"/>
                    </w:r>
                    <w:r>
                      <w:t>20</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DE9492">
    <w:pPr>
      <w:pStyle w:val="37"/>
      <w:ind w:right="360"/>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CCA14D7">
                          <w:pPr>
                            <w:pStyle w:val="37"/>
                            <w:rPr>
                              <w:rStyle w:val="56"/>
                            </w:rPr>
                          </w:pPr>
                          <w:r>
                            <w:fldChar w:fldCharType="begin"/>
                          </w:r>
                          <w:r>
                            <w:rPr>
                              <w:rStyle w:val="56"/>
                            </w:rPr>
                            <w:instrText xml:space="preserve">PAGE  </w:instrText>
                          </w:r>
                          <w:r>
                            <w:fldChar w:fldCharType="separate"/>
                          </w:r>
                          <w:r>
                            <w:rPr>
                              <w:rStyle w:val="56"/>
                            </w:rPr>
                            <w:t>37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6CCA14D7">
                    <w:pPr>
                      <w:pStyle w:val="37"/>
                      <w:rPr>
                        <w:rStyle w:val="56"/>
                      </w:rPr>
                    </w:pPr>
                    <w:r>
                      <w:fldChar w:fldCharType="begin"/>
                    </w:r>
                    <w:r>
                      <w:rPr>
                        <w:rStyle w:val="56"/>
                      </w:rPr>
                      <w:instrText xml:space="preserve">PAGE  </w:instrText>
                    </w:r>
                    <w:r>
                      <w:fldChar w:fldCharType="separate"/>
                    </w:r>
                    <w:r>
                      <w:rPr>
                        <w:rStyle w:val="56"/>
                      </w:rPr>
                      <w:t>37</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A96A2C">
    <w:pPr>
      <w:pStyle w:val="38"/>
      <w:pBdr>
        <w:bottom w:val="none" w:color="auto" w:sz="0" w:space="0"/>
      </w:pBdr>
      <w:ind w:right="90"/>
      <w:jc w:val="right"/>
      <w:rPr>
        <w:rFonts w:ascii="宋体" w:hAnsi="宋体" w:eastAsia="宋体"/>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3D0E57">
    <w:pPr>
      <w:pStyle w:val="38"/>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3"/>
    <w:multiLevelType w:val="multilevel"/>
    <w:tmpl w:val="00000003"/>
    <w:lvl w:ilvl="0" w:tentative="0">
      <w:start w:val="1"/>
      <w:numFmt w:val="bullet"/>
      <w:pStyle w:val="369"/>
      <w:lvlText w:val=""/>
      <w:lvlJc w:val="left"/>
      <w:pPr>
        <w:tabs>
          <w:tab w:val="left" w:pos="420"/>
        </w:tabs>
        <w:ind w:left="420" w:hanging="420"/>
      </w:pPr>
      <w:rPr>
        <w:rFonts w:hint="default" w:ascii="Wingdings" w:hAnsi="Wingdings"/>
        <w:color w:val="000080"/>
        <w:sz w:val="15"/>
        <w:szCs w:val="15"/>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1">
    <w:nsid w:val="01D92129"/>
    <w:multiLevelType w:val="multilevel"/>
    <w:tmpl w:val="01D92129"/>
    <w:lvl w:ilvl="0" w:tentative="0">
      <w:start w:val="1"/>
      <w:numFmt w:val="bullet"/>
      <w:pStyle w:val="248"/>
      <w:lvlText w:val=""/>
      <w:lvlJc w:val="left"/>
      <w:pPr>
        <w:ind w:left="840" w:hanging="420"/>
      </w:pPr>
      <w:rPr>
        <w:rFonts w:hint="default" w:ascii="Wingdings" w:hAnsi="Wingdings"/>
      </w:rPr>
    </w:lvl>
    <w:lvl w:ilvl="1" w:tentative="0">
      <w:start w:val="1"/>
      <w:numFmt w:val="bullet"/>
      <w:lvlText w:val=""/>
      <w:lvlJc w:val="left"/>
      <w:pPr>
        <w:ind w:left="1260" w:hanging="420"/>
      </w:pPr>
      <w:rPr>
        <w:rFonts w:hint="default" w:ascii="Wingdings" w:hAnsi="Wingdings"/>
      </w:rPr>
    </w:lvl>
    <w:lvl w:ilvl="2" w:tentative="0">
      <w:start w:val="1"/>
      <w:numFmt w:val="bullet"/>
      <w:lvlText w:val=""/>
      <w:lvlJc w:val="left"/>
      <w:pPr>
        <w:ind w:left="1680" w:hanging="420"/>
      </w:pPr>
      <w:rPr>
        <w:rFonts w:hint="default" w:ascii="Wingdings" w:hAnsi="Wingdings"/>
      </w:rPr>
    </w:lvl>
    <w:lvl w:ilvl="3" w:tentative="0">
      <w:start w:val="1"/>
      <w:numFmt w:val="bullet"/>
      <w:lvlText w:val=""/>
      <w:lvlJc w:val="left"/>
      <w:pPr>
        <w:ind w:left="2100" w:hanging="420"/>
      </w:pPr>
      <w:rPr>
        <w:rFonts w:hint="default" w:ascii="Wingdings" w:hAnsi="Wingdings"/>
      </w:rPr>
    </w:lvl>
    <w:lvl w:ilvl="4" w:tentative="0">
      <w:start w:val="1"/>
      <w:numFmt w:val="bullet"/>
      <w:lvlText w:val=""/>
      <w:lvlJc w:val="left"/>
      <w:pPr>
        <w:ind w:left="2520" w:hanging="420"/>
      </w:pPr>
      <w:rPr>
        <w:rFonts w:hint="default" w:ascii="Wingdings" w:hAnsi="Wingdings"/>
      </w:rPr>
    </w:lvl>
    <w:lvl w:ilvl="5" w:tentative="0">
      <w:start w:val="1"/>
      <w:numFmt w:val="bullet"/>
      <w:lvlText w:val=""/>
      <w:lvlJc w:val="left"/>
      <w:pPr>
        <w:ind w:left="2940" w:hanging="420"/>
      </w:pPr>
      <w:rPr>
        <w:rFonts w:hint="default" w:ascii="Wingdings" w:hAnsi="Wingdings"/>
      </w:rPr>
    </w:lvl>
    <w:lvl w:ilvl="6" w:tentative="0">
      <w:start w:val="1"/>
      <w:numFmt w:val="bullet"/>
      <w:lvlText w:val=""/>
      <w:lvlJc w:val="left"/>
      <w:pPr>
        <w:ind w:left="3360" w:hanging="420"/>
      </w:pPr>
      <w:rPr>
        <w:rFonts w:hint="default" w:ascii="Wingdings" w:hAnsi="Wingdings"/>
      </w:rPr>
    </w:lvl>
    <w:lvl w:ilvl="7" w:tentative="0">
      <w:start w:val="1"/>
      <w:numFmt w:val="bullet"/>
      <w:lvlText w:val=""/>
      <w:lvlJc w:val="left"/>
      <w:pPr>
        <w:ind w:left="3780" w:hanging="420"/>
      </w:pPr>
      <w:rPr>
        <w:rFonts w:hint="default" w:ascii="Wingdings" w:hAnsi="Wingdings"/>
      </w:rPr>
    </w:lvl>
    <w:lvl w:ilvl="8" w:tentative="0">
      <w:start w:val="1"/>
      <w:numFmt w:val="bullet"/>
      <w:lvlText w:val=""/>
      <w:lvlJc w:val="left"/>
      <w:pPr>
        <w:ind w:left="4200" w:hanging="420"/>
      </w:pPr>
      <w:rPr>
        <w:rFonts w:hint="default" w:ascii="Wingdings" w:hAnsi="Wingdings"/>
      </w:rPr>
    </w:lvl>
  </w:abstractNum>
  <w:abstractNum w:abstractNumId="2">
    <w:nsid w:val="08DC24F3"/>
    <w:multiLevelType w:val="singleLevel"/>
    <w:tmpl w:val="08DC24F3"/>
    <w:lvl w:ilvl="0" w:tentative="0">
      <w:start w:val="1"/>
      <w:numFmt w:val="chineseCounting"/>
      <w:suff w:val="nothing"/>
      <w:lvlText w:val="（%1）"/>
      <w:lvlJc w:val="left"/>
      <w:rPr>
        <w:rFonts w:hint="eastAsia"/>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hdrShapeDefaults>
    <o:shapelayout v:ext="edit">
      <o:idmap v:ext="edit" data="1"/>
    </o:shapelayout>
  </w:hdrShapeDefaults>
  <w:compat>
    <w:spaceForUL/>
    <w:balanceSingleByteDoubleByteWidth/>
    <w:doNotLeaveBackslashAlon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ZmNmU3Y2Q0YzgwYThlZjg2Y2JlNGE5M2QyMmM1ZWEifQ=="/>
  </w:docVars>
  <w:rsids>
    <w:rsidRoot w:val="000008D7"/>
    <w:rsid w:val="000000D7"/>
    <w:rsid w:val="000008D7"/>
    <w:rsid w:val="00000982"/>
    <w:rsid w:val="00001012"/>
    <w:rsid w:val="00002483"/>
    <w:rsid w:val="00002CF8"/>
    <w:rsid w:val="000033E8"/>
    <w:rsid w:val="00003E16"/>
    <w:rsid w:val="00004E71"/>
    <w:rsid w:val="00005739"/>
    <w:rsid w:val="00005CFF"/>
    <w:rsid w:val="00005DEE"/>
    <w:rsid w:val="00005F91"/>
    <w:rsid w:val="00006B0F"/>
    <w:rsid w:val="00007873"/>
    <w:rsid w:val="00010149"/>
    <w:rsid w:val="0001070D"/>
    <w:rsid w:val="0001174B"/>
    <w:rsid w:val="00011CD2"/>
    <w:rsid w:val="00012736"/>
    <w:rsid w:val="00012854"/>
    <w:rsid w:val="00013773"/>
    <w:rsid w:val="00014C16"/>
    <w:rsid w:val="00014DDC"/>
    <w:rsid w:val="0001630F"/>
    <w:rsid w:val="00017AB6"/>
    <w:rsid w:val="00017E53"/>
    <w:rsid w:val="00020F7C"/>
    <w:rsid w:val="000211DA"/>
    <w:rsid w:val="00021F9D"/>
    <w:rsid w:val="00022148"/>
    <w:rsid w:val="000232A6"/>
    <w:rsid w:val="000238C1"/>
    <w:rsid w:val="000247A9"/>
    <w:rsid w:val="0002495D"/>
    <w:rsid w:val="00024BBF"/>
    <w:rsid w:val="00025397"/>
    <w:rsid w:val="000254C4"/>
    <w:rsid w:val="000260AE"/>
    <w:rsid w:val="00026611"/>
    <w:rsid w:val="000267D1"/>
    <w:rsid w:val="00030C50"/>
    <w:rsid w:val="00030C77"/>
    <w:rsid w:val="00030FFB"/>
    <w:rsid w:val="00031237"/>
    <w:rsid w:val="00031A8C"/>
    <w:rsid w:val="0003234E"/>
    <w:rsid w:val="00032882"/>
    <w:rsid w:val="00033366"/>
    <w:rsid w:val="000349CC"/>
    <w:rsid w:val="00035249"/>
    <w:rsid w:val="00035268"/>
    <w:rsid w:val="00035D5A"/>
    <w:rsid w:val="00035E6B"/>
    <w:rsid w:val="00036CCF"/>
    <w:rsid w:val="00036E4C"/>
    <w:rsid w:val="000376F8"/>
    <w:rsid w:val="000405F2"/>
    <w:rsid w:val="000408BF"/>
    <w:rsid w:val="0004133E"/>
    <w:rsid w:val="00041400"/>
    <w:rsid w:val="00042906"/>
    <w:rsid w:val="00042B0A"/>
    <w:rsid w:val="00042D09"/>
    <w:rsid w:val="0004358C"/>
    <w:rsid w:val="000443E9"/>
    <w:rsid w:val="00046410"/>
    <w:rsid w:val="000506AD"/>
    <w:rsid w:val="00050BC4"/>
    <w:rsid w:val="000564F0"/>
    <w:rsid w:val="000613FD"/>
    <w:rsid w:val="000619E3"/>
    <w:rsid w:val="00062B2D"/>
    <w:rsid w:val="000640C5"/>
    <w:rsid w:val="00064A5C"/>
    <w:rsid w:val="000668FF"/>
    <w:rsid w:val="00066AE1"/>
    <w:rsid w:val="00067CD6"/>
    <w:rsid w:val="00071FDA"/>
    <w:rsid w:val="00072A89"/>
    <w:rsid w:val="00073448"/>
    <w:rsid w:val="0007482A"/>
    <w:rsid w:val="000750CE"/>
    <w:rsid w:val="0007562E"/>
    <w:rsid w:val="0007575E"/>
    <w:rsid w:val="00076D82"/>
    <w:rsid w:val="00077016"/>
    <w:rsid w:val="000772F2"/>
    <w:rsid w:val="00080054"/>
    <w:rsid w:val="000807C6"/>
    <w:rsid w:val="00080FC2"/>
    <w:rsid w:val="00082E88"/>
    <w:rsid w:val="000833F6"/>
    <w:rsid w:val="000854AC"/>
    <w:rsid w:val="00085C05"/>
    <w:rsid w:val="000862C5"/>
    <w:rsid w:val="0008697B"/>
    <w:rsid w:val="00087E16"/>
    <w:rsid w:val="0009006F"/>
    <w:rsid w:val="0009034A"/>
    <w:rsid w:val="0009060C"/>
    <w:rsid w:val="00090750"/>
    <w:rsid w:val="00090AB3"/>
    <w:rsid w:val="00090CF8"/>
    <w:rsid w:val="00090EBE"/>
    <w:rsid w:val="0009159F"/>
    <w:rsid w:val="00091CF5"/>
    <w:rsid w:val="0009253B"/>
    <w:rsid w:val="000926D9"/>
    <w:rsid w:val="000930D4"/>
    <w:rsid w:val="000933E2"/>
    <w:rsid w:val="0009341D"/>
    <w:rsid w:val="00094A6B"/>
    <w:rsid w:val="0009696A"/>
    <w:rsid w:val="00097A26"/>
    <w:rsid w:val="000A0580"/>
    <w:rsid w:val="000A0F94"/>
    <w:rsid w:val="000A4448"/>
    <w:rsid w:val="000A47A9"/>
    <w:rsid w:val="000A6163"/>
    <w:rsid w:val="000A75AC"/>
    <w:rsid w:val="000A7940"/>
    <w:rsid w:val="000B036D"/>
    <w:rsid w:val="000B0C94"/>
    <w:rsid w:val="000B14E8"/>
    <w:rsid w:val="000B24FD"/>
    <w:rsid w:val="000B41B1"/>
    <w:rsid w:val="000B490E"/>
    <w:rsid w:val="000B4C85"/>
    <w:rsid w:val="000B4EAE"/>
    <w:rsid w:val="000B515B"/>
    <w:rsid w:val="000B6D7C"/>
    <w:rsid w:val="000C0C00"/>
    <w:rsid w:val="000C0D42"/>
    <w:rsid w:val="000C2016"/>
    <w:rsid w:val="000C3CA7"/>
    <w:rsid w:val="000C467E"/>
    <w:rsid w:val="000C66EB"/>
    <w:rsid w:val="000C7836"/>
    <w:rsid w:val="000C7ED0"/>
    <w:rsid w:val="000D0AB1"/>
    <w:rsid w:val="000D13FC"/>
    <w:rsid w:val="000D189B"/>
    <w:rsid w:val="000D3740"/>
    <w:rsid w:val="000D39B4"/>
    <w:rsid w:val="000D4749"/>
    <w:rsid w:val="000D4913"/>
    <w:rsid w:val="000D4F44"/>
    <w:rsid w:val="000D5B51"/>
    <w:rsid w:val="000D6143"/>
    <w:rsid w:val="000D6F06"/>
    <w:rsid w:val="000D7912"/>
    <w:rsid w:val="000D7B12"/>
    <w:rsid w:val="000E054C"/>
    <w:rsid w:val="000E3096"/>
    <w:rsid w:val="000E5DA4"/>
    <w:rsid w:val="000E7566"/>
    <w:rsid w:val="000F0E9C"/>
    <w:rsid w:val="000F1697"/>
    <w:rsid w:val="000F1A7E"/>
    <w:rsid w:val="000F1AAD"/>
    <w:rsid w:val="000F27C0"/>
    <w:rsid w:val="000F3CF8"/>
    <w:rsid w:val="000F49E3"/>
    <w:rsid w:val="0010004F"/>
    <w:rsid w:val="00101ECD"/>
    <w:rsid w:val="00103337"/>
    <w:rsid w:val="00104CD7"/>
    <w:rsid w:val="00105F07"/>
    <w:rsid w:val="001061BD"/>
    <w:rsid w:val="001075D4"/>
    <w:rsid w:val="00107922"/>
    <w:rsid w:val="0011436D"/>
    <w:rsid w:val="0011500F"/>
    <w:rsid w:val="00115111"/>
    <w:rsid w:val="00115AB1"/>
    <w:rsid w:val="00115C8D"/>
    <w:rsid w:val="0011633C"/>
    <w:rsid w:val="0011699B"/>
    <w:rsid w:val="00117359"/>
    <w:rsid w:val="0012002A"/>
    <w:rsid w:val="001203B4"/>
    <w:rsid w:val="00120E48"/>
    <w:rsid w:val="00120E93"/>
    <w:rsid w:val="001211AF"/>
    <w:rsid w:val="001211C4"/>
    <w:rsid w:val="00122650"/>
    <w:rsid w:val="00123304"/>
    <w:rsid w:val="00123553"/>
    <w:rsid w:val="00123691"/>
    <w:rsid w:val="00123D79"/>
    <w:rsid w:val="001247D7"/>
    <w:rsid w:val="00124E16"/>
    <w:rsid w:val="00125469"/>
    <w:rsid w:val="001272E8"/>
    <w:rsid w:val="001306A3"/>
    <w:rsid w:val="00130729"/>
    <w:rsid w:val="0013093E"/>
    <w:rsid w:val="00130F26"/>
    <w:rsid w:val="001313B7"/>
    <w:rsid w:val="001323AE"/>
    <w:rsid w:val="00134473"/>
    <w:rsid w:val="0013482F"/>
    <w:rsid w:val="00135014"/>
    <w:rsid w:val="0013571D"/>
    <w:rsid w:val="0013579A"/>
    <w:rsid w:val="00135814"/>
    <w:rsid w:val="00135B82"/>
    <w:rsid w:val="00136381"/>
    <w:rsid w:val="0013719D"/>
    <w:rsid w:val="001376BB"/>
    <w:rsid w:val="001402E8"/>
    <w:rsid w:val="00141CF1"/>
    <w:rsid w:val="00143217"/>
    <w:rsid w:val="00143DD9"/>
    <w:rsid w:val="001442E6"/>
    <w:rsid w:val="00144BC0"/>
    <w:rsid w:val="001450FA"/>
    <w:rsid w:val="001463CF"/>
    <w:rsid w:val="00147343"/>
    <w:rsid w:val="00150565"/>
    <w:rsid w:val="00150B67"/>
    <w:rsid w:val="001540FF"/>
    <w:rsid w:val="00154BD2"/>
    <w:rsid w:val="00154E8A"/>
    <w:rsid w:val="001557F9"/>
    <w:rsid w:val="00155E87"/>
    <w:rsid w:val="001569D5"/>
    <w:rsid w:val="00157756"/>
    <w:rsid w:val="0016005C"/>
    <w:rsid w:val="0016040E"/>
    <w:rsid w:val="00160693"/>
    <w:rsid w:val="00160960"/>
    <w:rsid w:val="00160F67"/>
    <w:rsid w:val="001612A1"/>
    <w:rsid w:val="00161FC4"/>
    <w:rsid w:val="00162534"/>
    <w:rsid w:val="001628F1"/>
    <w:rsid w:val="00162D1F"/>
    <w:rsid w:val="00163000"/>
    <w:rsid w:val="00163DD5"/>
    <w:rsid w:val="00164FE2"/>
    <w:rsid w:val="001655AB"/>
    <w:rsid w:val="00165817"/>
    <w:rsid w:val="00165FBB"/>
    <w:rsid w:val="001662FC"/>
    <w:rsid w:val="001668AF"/>
    <w:rsid w:val="001707C2"/>
    <w:rsid w:val="0017080C"/>
    <w:rsid w:val="001709B8"/>
    <w:rsid w:val="00170A1A"/>
    <w:rsid w:val="00170AF8"/>
    <w:rsid w:val="00171E5A"/>
    <w:rsid w:val="00172A4C"/>
    <w:rsid w:val="00174A28"/>
    <w:rsid w:val="0017669A"/>
    <w:rsid w:val="001770B2"/>
    <w:rsid w:val="0017794D"/>
    <w:rsid w:val="00177E86"/>
    <w:rsid w:val="001803B9"/>
    <w:rsid w:val="00180825"/>
    <w:rsid w:val="00180B2B"/>
    <w:rsid w:val="00180C98"/>
    <w:rsid w:val="00181048"/>
    <w:rsid w:val="00181673"/>
    <w:rsid w:val="001818DD"/>
    <w:rsid w:val="00181E8E"/>
    <w:rsid w:val="00183647"/>
    <w:rsid w:val="0018376B"/>
    <w:rsid w:val="00183D71"/>
    <w:rsid w:val="00183E62"/>
    <w:rsid w:val="001850AE"/>
    <w:rsid w:val="00185E47"/>
    <w:rsid w:val="00186597"/>
    <w:rsid w:val="00186C66"/>
    <w:rsid w:val="001902C2"/>
    <w:rsid w:val="0019157E"/>
    <w:rsid w:val="00191B2D"/>
    <w:rsid w:val="00192082"/>
    <w:rsid w:val="0019257C"/>
    <w:rsid w:val="001927A8"/>
    <w:rsid w:val="00192E47"/>
    <w:rsid w:val="00193193"/>
    <w:rsid w:val="001933CE"/>
    <w:rsid w:val="0019594D"/>
    <w:rsid w:val="00195D15"/>
    <w:rsid w:val="0019772B"/>
    <w:rsid w:val="001A040C"/>
    <w:rsid w:val="001A0CA1"/>
    <w:rsid w:val="001A11A5"/>
    <w:rsid w:val="001A1504"/>
    <w:rsid w:val="001A1FD5"/>
    <w:rsid w:val="001A2169"/>
    <w:rsid w:val="001A2AA0"/>
    <w:rsid w:val="001A2C2D"/>
    <w:rsid w:val="001A3DAC"/>
    <w:rsid w:val="001A5BBC"/>
    <w:rsid w:val="001A6EC5"/>
    <w:rsid w:val="001A6F81"/>
    <w:rsid w:val="001B06CA"/>
    <w:rsid w:val="001B0E28"/>
    <w:rsid w:val="001B161F"/>
    <w:rsid w:val="001B191E"/>
    <w:rsid w:val="001B27CC"/>
    <w:rsid w:val="001B2813"/>
    <w:rsid w:val="001B2AB2"/>
    <w:rsid w:val="001B33A4"/>
    <w:rsid w:val="001B3E84"/>
    <w:rsid w:val="001B4D87"/>
    <w:rsid w:val="001B5416"/>
    <w:rsid w:val="001B5485"/>
    <w:rsid w:val="001B5C48"/>
    <w:rsid w:val="001B6656"/>
    <w:rsid w:val="001B6E16"/>
    <w:rsid w:val="001B723B"/>
    <w:rsid w:val="001B7641"/>
    <w:rsid w:val="001C06E9"/>
    <w:rsid w:val="001C28BA"/>
    <w:rsid w:val="001C2997"/>
    <w:rsid w:val="001C2A56"/>
    <w:rsid w:val="001C3298"/>
    <w:rsid w:val="001C5E5D"/>
    <w:rsid w:val="001C5F4F"/>
    <w:rsid w:val="001C710B"/>
    <w:rsid w:val="001D14D8"/>
    <w:rsid w:val="001D1795"/>
    <w:rsid w:val="001D25F4"/>
    <w:rsid w:val="001D27ED"/>
    <w:rsid w:val="001D3780"/>
    <w:rsid w:val="001D4771"/>
    <w:rsid w:val="001D49BC"/>
    <w:rsid w:val="001D4C93"/>
    <w:rsid w:val="001D5237"/>
    <w:rsid w:val="001D5EEC"/>
    <w:rsid w:val="001D5F4B"/>
    <w:rsid w:val="001D79CF"/>
    <w:rsid w:val="001D7C46"/>
    <w:rsid w:val="001E127E"/>
    <w:rsid w:val="001E1758"/>
    <w:rsid w:val="001E1E24"/>
    <w:rsid w:val="001E2D20"/>
    <w:rsid w:val="001E31D0"/>
    <w:rsid w:val="001E5205"/>
    <w:rsid w:val="001E5BEF"/>
    <w:rsid w:val="001E5E95"/>
    <w:rsid w:val="001E5F02"/>
    <w:rsid w:val="001E6332"/>
    <w:rsid w:val="001E69CC"/>
    <w:rsid w:val="001E75D7"/>
    <w:rsid w:val="001E7F3C"/>
    <w:rsid w:val="001F2640"/>
    <w:rsid w:val="001F392B"/>
    <w:rsid w:val="001F3E92"/>
    <w:rsid w:val="001F6544"/>
    <w:rsid w:val="001F666D"/>
    <w:rsid w:val="00200040"/>
    <w:rsid w:val="00200D14"/>
    <w:rsid w:val="0020128B"/>
    <w:rsid w:val="00201789"/>
    <w:rsid w:val="00201F09"/>
    <w:rsid w:val="00202F5D"/>
    <w:rsid w:val="00203374"/>
    <w:rsid w:val="00203987"/>
    <w:rsid w:val="002048B3"/>
    <w:rsid w:val="0020547F"/>
    <w:rsid w:val="002056ED"/>
    <w:rsid w:val="00205E8B"/>
    <w:rsid w:val="00206BD1"/>
    <w:rsid w:val="002073FD"/>
    <w:rsid w:val="0021041B"/>
    <w:rsid w:val="00210F5C"/>
    <w:rsid w:val="002115C9"/>
    <w:rsid w:val="00211E99"/>
    <w:rsid w:val="00212D31"/>
    <w:rsid w:val="00213376"/>
    <w:rsid w:val="002140DF"/>
    <w:rsid w:val="002150EF"/>
    <w:rsid w:val="002158A3"/>
    <w:rsid w:val="0021593D"/>
    <w:rsid w:val="00216145"/>
    <w:rsid w:val="00216B81"/>
    <w:rsid w:val="002201D6"/>
    <w:rsid w:val="00222CC7"/>
    <w:rsid w:val="00224AC6"/>
    <w:rsid w:val="00224F0F"/>
    <w:rsid w:val="00225F3C"/>
    <w:rsid w:val="00226696"/>
    <w:rsid w:val="0022719D"/>
    <w:rsid w:val="00230118"/>
    <w:rsid w:val="00230405"/>
    <w:rsid w:val="00231102"/>
    <w:rsid w:val="00231955"/>
    <w:rsid w:val="00231BE9"/>
    <w:rsid w:val="00232BC3"/>
    <w:rsid w:val="00232D58"/>
    <w:rsid w:val="0023377F"/>
    <w:rsid w:val="00234C51"/>
    <w:rsid w:val="00234CFA"/>
    <w:rsid w:val="00234DBC"/>
    <w:rsid w:val="0023522F"/>
    <w:rsid w:val="00236025"/>
    <w:rsid w:val="00237195"/>
    <w:rsid w:val="00237311"/>
    <w:rsid w:val="002376EA"/>
    <w:rsid w:val="00237F85"/>
    <w:rsid w:val="00240FD9"/>
    <w:rsid w:val="002416B3"/>
    <w:rsid w:val="00241B26"/>
    <w:rsid w:val="002423EE"/>
    <w:rsid w:val="00243F54"/>
    <w:rsid w:val="0024470F"/>
    <w:rsid w:val="002447DE"/>
    <w:rsid w:val="00244A69"/>
    <w:rsid w:val="00245FD3"/>
    <w:rsid w:val="0024795F"/>
    <w:rsid w:val="002502E5"/>
    <w:rsid w:val="00250F86"/>
    <w:rsid w:val="00251532"/>
    <w:rsid w:val="00251E02"/>
    <w:rsid w:val="002523A0"/>
    <w:rsid w:val="00252FA6"/>
    <w:rsid w:val="002540FE"/>
    <w:rsid w:val="0025580C"/>
    <w:rsid w:val="00257DAF"/>
    <w:rsid w:val="00260B8A"/>
    <w:rsid w:val="002610A4"/>
    <w:rsid w:val="002610B7"/>
    <w:rsid w:val="00262746"/>
    <w:rsid w:val="0026279E"/>
    <w:rsid w:val="002629B8"/>
    <w:rsid w:val="002637B7"/>
    <w:rsid w:val="00263953"/>
    <w:rsid w:val="00265BBF"/>
    <w:rsid w:val="00267D56"/>
    <w:rsid w:val="00267E1E"/>
    <w:rsid w:val="00267E9D"/>
    <w:rsid w:val="002703F5"/>
    <w:rsid w:val="002704A0"/>
    <w:rsid w:val="00270AF3"/>
    <w:rsid w:val="00271033"/>
    <w:rsid w:val="00271842"/>
    <w:rsid w:val="0027225B"/>
    <w:rsid w:val="002732F3"/>
    <w:rsid w:val="00273551"/>
    <w:rsid w:val="0027564C"/>
    <w:rsid w:val="00275BEC"/>
    <w:rsid w:val="0027713A"/>
    <w:rsid w:val="00281C26"/>
    <w:rsid w:val="00281D6C"/>
    <w:rsid w:val="0028211A"/>
    <w:rsid w:val="0028245B"/>
    <w:rsid w:val="0028256C"/>
    <w:rsid w:val="00283EEB"/>
    <w:rsid w:val="00283F53"/>
    <w:rsid w:val="00284846"/>
    <w:rsid w:val="0028709A"/>
    <w:rsid w:val="00287A4C"/>
    <w:rsid w:val="00287CB6"/>
    <w:rsid w:val="00290279"/>
    <w:rsid w:val="002904A8"/>
    <w:rsid w:val="00291639"/>
    <w:rsid w:val="002917A2"/>
    <w:rsid w:val="002919BB"/>
    <w:rsid w:val="00292075"/>
    <w:rsid w:val="002931D7"/>
    <w:rsid w:val="00293D18"/>
    <w:rsid w:val="00293E83"/>
    <w:rsid w:val="00294734"/>
    <w:rsid w:val="00294AA6"/>
    <w:rsid w:val="0029727E"/>
    <w:rsid w:val="002974EF"/>
    <w:rsid w:val="002A058A"/>
    <w:rsid w:val="002A0CB4"/>
    <w:rsid w:val="002A13A2"/>
    <w:rsid w:val="002A17B3"/>
    <w:rsid w:val="002A20AE"/>
    <w:rsid w:val="002A3510"/>
    <w:rsid w:val="002A42AF"/>
    <w:rsid w:val="002A49B2"/>
    <w:rsid w:val="002A6BEB"/>
    <w:rsid w:val="002A6CA8"/>
    <w:rsid w:val="002A7012"/>
    <w:rsid w:val="002A73EB"/>
    <w:rsid w:val="002B1021"/>
    <w:rsid w:val="002B1CC8"/>
    <w:rsid w:val="002B28C1"/>
    <w:rsid w:val="002B2A04"/>
    <w:rsid w:val="002B372A"/>
    <w:rsid w:val="002B3C74"/>
    <w:rsid w:val="002B3DEC"/>
    <w:rsid w:val="002B4C13"/>
    <w:rsid w:val="002B4F74"/>
    <w:rsid w:val="002B519C"/>
    <w:rsid w:val="002B51A0"/>
    <w:rsid w:val="002B5512"/>
    <w:rsid w:val="002B5D48"/>
    <w:rsid w:val="002B6A29"/>
    <w:rsid w:val="002B6B73"/>
    <w:rsid w:val="002B771D"/>
    <w:rsid w:val="002B7E49"/>
    <w:rsid w:val="002B7E99"/>
    <w:rsid w:val="002C13D2"/>
    <w:rsid w:val="002C1617"/>
    <w:rsid w:val="002C225E"/>
    <w:rsid w:val="002C22ED"/>
    <w:rsid w:val="002C2458"/>
    <w:rsid w:val="002C3A42"/>
    <w:rsid w:val="002C4831"/>
    <w:rsid w:val="002C60DA"/>
    <w:rsid w:val="002C75C7"/>
    <w:rsid w:val="002C7C32"/>
    <w:rsid w:val="002C7CEB"/>
    <w:rsid w:val="002D00B5"/>
    <w:rsid w:val="002D0460"/>
    <w:rsid w:val="002D0E9E"/>
    <w:rsid w:val="002D0EF1"/>
    <w:rsid w:val="002D30A1"/>
    <w:rsid w:val="002D3B6A"/>
    <w:rsid w:val="002D3E53"/>
    <w:rsid w:val="002D3F3F"/>
    <w:rsid w:val="002D4984"/>
    <w:rsid w:val="002D4FD4"/>
    <w:rsid w:val="002D55E7"/>
    <w:rsid w:val="002D5618"/>
    <w:rsid w:val="002D5C8A"/>
    <w:rsid w:val="002D64F0"/>
    <w:rsid w:val="002D7319"/>
    <w:rsid w:val="002D7868"/>
    <w:rsid w:val="002D7A6C"/>
    <w:rsid w:val="002E0457"/>
    <w:rsid w:val="002E248E"/>
    <w:rsid w:val="002E2720"/>
    <w:rsid w:val="002E41B1"/>
    <w:rsid w:val="002E693C"/>
    <w:rsid w:val="002E7726"/>
    <w:rsid w:val="002E778F"/>
    <w:rsid w:val="002E7FB0"/>
    <w:rsid w:val="002F0145"/>
    <w:rsid w:val="002F12EA"/>
    <w:rsid w:val="002F1A1A"/>
    <w:rsid w:val="002F1B2E"/>
    <w:rsid w:val="002F2196"/>
    <w:rsid w:val="002F27FB"/>
    <w:rsid w:val="002F40FD"/>
    <w:rsid w:val="002F4853"/>
    <w:rsid w:val="002F4F9A"/>
    <w:rsid w:val="002F5B07"/>
    <w:rsid w:val="002F6102"/>
    <w:rsid w:val="002F6312"/>
    <w:rsid w:val="002F634E"/>
    <w:rsid w:val="002F675E"/>
    <w:rsid w:val="002F76A9"/>
    <w:rsid w:val="002F7C39"/>
    <w:rsid w:val="00300A2B"/>
    <w:rsid w:val="00301A8E"/>
    <w:rsid w:val="00303917"/>
    <w:rsid w:val="0030519A"/>
    <w:rsid w:val="003053BE"/>
    <w:rsid w:val="00306069"/>
    <w:rsid w:val="003067E9"/>
    <w:rsid w:val="00306B17"/>
    <w:rsid w:val="00306E05"/>
    <w:rsid w:val="00312195"/>
    <w:rsid w:val="0031241C"/>
    <w:rsid w:val="00312670"/>
    <w:rsid w:val="00312D66"/>
    <w:rsid w:val="003133DD"/>
    <w:rsid w:val="00313F64"/>
    <w:rsid w:val="00315F21"/>
    <w:rsid w:val="00316299"/>
    <w:rsid w:val="00316E19"/>
    <w:rsid w:val="00316FEF"/>
    <w:rsid w:val="0031742A"/>
    <w:rsid w:val="00317517"/>
    <w:rsid w:val="00321869"/>
    <w:rsid w:val="003233B1"/>
    <w:rsid w:val="00324DA4"/>
    <w:rsid w:val="00325AE7"/>
    <w:rsid w:val="00327650"/>
    <w:rsid w:val="0032793D"/>
    <w:rsid w:val="0033143D"/>
    <w:rsid w:val="003316EC"/>
    <w:rsid w:val="00331D49"/>
    <w:rsid w:val="00333787"/>
    <w:rsid w:val="00333E4D"/>
    <w:rsid w:val="00333FF2"/>
    <w:rsid w:val="00334654"/>
    <w:rsid w:val="003351C3"/>
    <w:rsid w:val="00336434"/>
    <w:rsid w:val="00337759"/>
    <w:rsid w:val="00341C72"/>
    <w:rsid w:val="0034332B"/>
    <w:rsid w:val="0034357F"/>
    <w:rsid w:val="00346144"/>
    <w:rsid w:val="0034621F"/>
    <w:rsid w:val="00346C75"/>
    <w:rsid w:val="00346CD0"/>
    <w:rsid w:val="003478BD"/>
    <w:rsid w:val="00347F44"/>
    <w:rsid w:val="00350821"/>
    <w:rsid w:val="003508EA"/>
    <w:rsid w:val="00351193"/>
    <w:rsid w:val="00351E50"/>
    <w:rsid w:val="00351F10"/>
    <w:rsid w:val="0035289E"/>
    <w:rsid w:val="00352E16"/>
    <w:rsid w:val="00352EF4"/>
    <w:rsid w:val="003530A6"/>
    <w:rsid w:val="0035438E"/>
    <w:rsid w:val="00354704"/>
    <w:rsid w:val="00357199"/>
    <w:rsid w:val="0036004B"/>
    <w:rsid w:val="00361EE0"/>
    <w:rsid w:val="003625F1"/>
    <w:rsid w:val="00362A23"/>
    <w:rsid w:val="00362BDE"/>
    <w:rsid w:val="0036342C"/>
    <w:rsid w:val="00363A6F"/>
    <w:rsid w:val="0036408B"/>
    <w:rsid w:val="00364BD6"/>
    <w:rsid w:val="00365026"/>
    <w:rsid w:val="00365F00"/>
    <w:rsid w:val="00366E5F"/>
    <w:rsid w:val="00367823"/>
    <w:rsid w:val="003679A6"/>
    <w:rsid w:val="00371097"/>
    <w:rsid w:val="003720F9"/>
    <w:rsid w:val="0037222D"/>
    <w:rsid w:val="0037269D"/>
    <w:rsid w:val="00372AE9"/>
    <w:rsid w:val="003731AB"/>
    <w:rsid w:val="00373C42"/>
    <w:rsid w:val="00374107"/>
    <w:rsid w:val="0037471B"/>
    <w:rsid w:val="00374E81"/>
    <w:rsid w:val="00375C73"/>
    <w:rsid w:val="00375C9C"/>
    <w:rsid w:val="00375E4B"/>
    <w:rsid w:val="0037610E"/>
    <w:rsid w:val="00376A08"/>
    <w:rsid w:val="00377872"/>
    <w:rsid w:val="00377B86"/>
    <w:rsid w:val="00380248"/>
    <w:rsid w:val="00381AEA"/>
    <w:rsid w:val="00382054"/>
    <w:rsid w:val="00382960"/>
    <w:rsid w:val="00382CFD"/>
    <w:rsid w:val="00382E31"/>
    <w:rsid w:val="00383812"/>
    <w:rsid w:val="003844F9"/>
    <w:rsid w:val="00385203"/>
    <w:rsid w:val="00385D19"/>
    <w:rsid w:val="00385E5E"/>
    <w:rsid w:val="00387FE6"/>
    <w:rsid w:val="003907BF"/>
    <w:rsid w:val="00390C00"/>
    <w:rsid w:val="00390F53"/>
    <w:rsid w:val="003A07AE"/>
    <w:rsid w:val="003A0C5F"/>
    <w:rsid w:val="003A0E0F"/>
    <w:rsid w:val="003A16DC"/>
    <w:rsid w:val="003A1DF6"/>
    <w:rsid w:val="003A36F5"/>
    <w:rsid w:val="003A4078"/>
    <w:rsid w:val="003A5A64"/>
    <w:rsid w:val="003A6107"/>
    <w:rsid w:val="003A6363"/>
    <w:rsid w:val="003A6A60"/>
    <w:rsid w:val="003A7FDF"/>
    <w:rsid w:val="003B00AB"/>
    <w:rsid w:val="003B0824"/>
    <w:rsid w:val="003B1627"/>
    <w:rsid w:val="003B5048"/>
    <w:rsid w:val="003B7350"/>
    <w:rsid w:val="003C03BE"/>
    <w:rsid w:val="003C1A76"/>
    <w:rsid w:val="003C2B8C"/>
    <w:rsid w:val="003C3186"/>
    <w:rsid w:val="003C3233"/>
    <w:rsid w:val="003C35DD"/>
    <w:rsid w:val="003C4BD9"/>
    <w:rsid w:val="003C4EF1"/>
    <w:rsid w:val="003D0187"/>
    <w:rsid w:val="003D0193"/>
    <w:rsid w:val="003D03F0"/>
    <w:rsid w:val="003D0640"/>
    <w:rsid w:val="003D0874"/>
    <w:rsid w:val="003D09B1"/>
    <w:rsid w:val="003D0A44"/>
    <w:rsid w:val="003D0C77"/>
    <w:rsid w:val="003D0F62"/>
    <w:rsid w:val="003D3178"/>
    <w:rsid w:val="003D337E"/>
    <w:rsid w:val="003D46BC"/>
    <w:rsid w:val="003D5315"/>
    <w:rsid w:val="003D5AD6"/>
    <w:rsid w:val="003D5F19"/>
    <w:rsid w:val="003D6A6D"/>
    <w:rsid w:val="003D6D48"/>
    <w:rsid w:val="003D7A34"/>
    <w:rsid w:val="003E20B2"/>
    <w:rsid w:val="003E24A2"/>
    <w:rsid w:val="003E32E6"/>
    <w:rsid w:val="003E3D48"/>
    <w:rsid w:val="003E5158"/>
    <w:rsid w:val="003E588C"/>
    <w:rsid w:val="003E5F5C"/>
    <w:rsid w:val="003E787F"/>
    <w:rsid w:val="003F007C"/>
    <w:rsid w:val="003F0C1B"/>
    <w:rsid w:val="003F1D9D"/>
    <w:rsid w:val="003F27B4"/>
    <w:rsid w:val="003F2DD4"/>
    <w:rsid w:val="003F3313"/>
    <w:rsid w:val="003F369B"/>
    <w:rsid w:val="003F6F79"/>
    <w:rsid w:val="003F7193"/>
    <w:rsid w:val="003F78B3"/>
    <w:rsid w:val="004001FA"/>
    <w:rsid w:val="00400376"/>
    <w:rsid w:val="00400842"/>
    <w:rsid w:val="0040165C"/>
    <w:rsid w:val="004017A8"/>
    <w:rsid w:val="00402599"/>
    <w:rsid w:val="00403482"/>
    <w:rsid w:val="00403761"/>
    <w:rsid w:val="0040384F"/>
    <w:rsid w:val="00403AEF"/>
    <w:rsid w:val="00404DAC"/>
    <w:rsid w:val="00406A0F"/>
    <w:rsid w:val="00406AB4"/>
    <w:rsid w:val="00406D8B"/>
    <w:rsid w:val="00407644"/>
    <w:rsid w:val="00407C87"/>
    <w:rsid w:val="00411C92"/>
    <w:rsid w:val="004120B5"/>
    <w:rsid w:val="00412585"/>
    <w:rsid w:val="0041440F"/>
    <w:rsid w:val="00415196"/>
    <w:rsid w:val="004151FB"/>
    <w:rsid w:val="00415670"/>
    <w:rsid w:val="0041683B"/>
    <w:rsid w:val="00417561"/>
    <w:rsid w:val="00420999"/>
    <w:rsid w:val="00420CEE"/>
    <w:rsid w:val="00421C68"/>
    <w:rsid w:val="00421D9C"/>
    <w:rsid w:val="00422546"/>
    <w:rsid w:val="004225FB"/>
    <w:rsid w:val="00422F36"/>
    <w:rsid w:val="004235FB"/>
    <w:rsid w:val="00423C9E"/>
    <w:rsid w:val="00424188"/>
    <w:rsid w:val="0042526A"/>
    <w:rsid w:val="0042569C"/>
    <w:rsid w:val="00425726"/>
    <w:rsid w:val="004258F5"/>
    <w:rsid w:val="00425EFE"/>
    <w:rsid w:val="0042653F"/>
    <w:rsid w:val="00426BAF"/>
    <w:rsid w:val="00426CD5"/>
    <w:rsid w:val="00427253"/>
    <w:rsid w:val="00427DCB"/>
    <w:rsid w:val="00433C0C"/>
    <w:rsid w:val="00433C4B"/>
    <w:rsid w:val="00434468"/>
    <w:rsid w:val="004347A9"/>
    <w:rsid w:val="00434A1C"/>
    <w:rsid w:val="00435140"/>
    <w:rsid w:val="00435234"/>
    <w:rsid w:val="0043590F"/>
    <w:rsid w:val="00436794"/>
    <w:rsid w:val="00436FAE"/>
    <w:rsid w:val="00437DC0"/>
    <w:rsid w:val="00442284"/>
    <w:rsid w:val="00443C56"/>
    <w:rsid w:val="00443EC0"/>
    <w:rsid w:val="004444DD"/>
    <w:rsid w:val="00444F8D"/>
    <w:rsid w:val="00445682"/>
    <w:rsid w:val="004458FB"/>
    <w:rsid w:val="00447856"/>
    <w:rsid w:val="00450403"/>
    <w:rsid w:val="004506DD"/>
    <w:rsid w:val="0045107F"/>
    <w:rsid w:val="004520E8"/>
    <w:rsid w:val="00454065"/>
    <w:rsid w:val="004540C3"/>
    <w:rsid w:val="0045413A"/>
    <w:rsid w:val="00454A07"/>
    <w:rsid w:val="00455AC8"/>
    <w:rsid w:val="00456565"/>
    <w:rsid w:val="00456D92"/>
    <w:rsid w:val="0046082A"/>
    <w:rsid w:val="00461E0C"/>
    <w:rsid w:val="00462163"/>
    <w:rsid w:val="00462530"/>
    <w:rsid w:val="00462AB2"/>
    <w:rsid w:val="00463AF0"/>
    <w:rsid w:val="004644B7"/>
    <w:rsid w:val="00464715"/>
    <w:rsid w:val="00470C7B"/>
    <w:rsid w:val="004710C1"/>
    <w:rsid w:val="0047123A"/>
    <w:rsid w:val="00471EB1"/>
    <w:rsid w:val="00473D2C"/>
    <w:rsid w:val="00473FF5"/>
    <w:rsid w:val="00474A3A"/>
    <w:rsid w:val="00475589"/>
    <w:rsid w:val="00475EB4"/>
    <w:rsid w:val="004762A6"/>
    <w:rsid w:val="00477D1D"/>
    <w:rsid w:val="004805AF"/>
    <w:rsid w:val="004806CA"/>
    <w:rsid w:val="004827BA"/>
    <w:rsid w:val="0048396F"/>
    <w:rsid w:val="00483C67"/>
    <w:rsid w:val="004855F0"/>
    <w:rsid w:val="00486498"/>
    <w:rsid w:val="004864AB"/>
    <w:rsid w:val="004869F7"/>
    <w:rsid w:val="0048709E"/>
    <w:rsid w:val="00490266"/>
    <w:rsid w:val="00490D34"/>
    <w:rsid w:val="00490F0C"/>
    <w:rsid w:val="00490FEB"/>
    <w:rsid w:val="00492EE9"/>
    <w:rsid w:val="004935BD"/>
    <w:rsid w:val="00494067"/>
    <w:rsid w:val="004948B7"/>
    <w:rsid w:val="00495094"/>
    <w:rsid w:val="00495399"/>
    <w:rsid w:val="004968F5"/>
    <w:rsid w:val="00496DB9"/>
    <w:rsid w:val="00497111"/>
    <w:rsid w:val="0049728A"/>
    <w:rsid w:val="00497453"/>
    <w:rsid w:val="00497B0B"/>
    <w:rsid w:val="00497BFB"/>
    <w:rsid w:val="00497EDD"/>
    <w:rsid w:val="004A0B6F"/>
    <w:rsid w:val="004A1D4F"/>
    <w:rsid w:val="004A2107"/>
    <w:rsid w:val="004A276F"/>
    <w:rsid w:val="004A2E19"/>
    <w:rsid w:val="004A496A"/>
    <w:rsid w:val="004A4991"/>
    <w:rsid w:val="004A5A82"/>
    <w:rsid w:val="004A6149"/>
    <w:rsid w:val="004A6419"/>
    <w:rsid w:val="004A7021"/>
    <w:rsid w:val="004A77AC"/>
    <w:rsid w:val="004A77E7"/>
    <w:rsid w:val="004B01BD"/>
    <w:rsid w:val="004B0FAB"/>
    <w:rsid w:val="004B2F9A"/>
    <w:rsid w:val="004B4A62"/>
    <w:rsid w:val="004B5311"/>
    <w:rsid w:val="004B531D"/>
    <w:rsid w:val="004B5671"/>
    <w:rsid w:val="004B5B77"/>
    <w:rsid w:val="004B6D98"/>
    <w:rsid w:val="004B70FF"/>
    <w:rsid w:val="004B724F"/>
    <w:rsid w:val="004B785E"/>
    <w:rsid w:val="004C2271"/>
    <w:rsid w:val="004C30B4"/>
    <w:rsid w:val="004C3515"/>
    <w:rsid w:val="004C4467"/>
    <w:rsid w:val="004C4AD0"/>
    <w:rsid w:val="004C58A2"/>
    <w:rsid w:val="004C71AD"/>
    <w:rsid w:val="004D0667"/>
    <w:rsid w:val="004D0FED"/>
    <w:rsid w:val="004D1268"/>
    <w:rsid w:val="004D12A0"/>
    <w:rsid w:val="004D196B"/>
    <w:rsid w:val="004D24E9"/>
    <w:rsid w:val="004D260F"/>
    <w:rsid w:val="004D2A7E"/>
    <w:rsid w:val="004D3359"/>
    <w:rsid w:val="004D36C9"/>
    <w:rsid w:val="004D4305"/>
    <w:rsid w:val="004D5406"/>
    <w:rsid w:val="004D5425"/>
    <w:rsid w:val="004D6017"/>
    <w:rsid w:val="004D75DE"/>
    <w:rsid w:val="004D78B1"/>
    <w:rsid w:val="004D7B50"/>
    <w:rsid w:val="004D7D94"/>
    <w:rsid w:val="004E0989"/>
    <w:rsid w:val="004E0B76"/>
    <w:rsid w:val="004E13C2"/>
    <w:rsid w:val="004E2595"/>
    <w:rsid w:val="004E269A"/>
    <w:rsid w:val="004E372B"/>
    <w:rsid w:val="004E3A76"/>
    <w:rsid w:val="004E3B99"/>
    <w:rsid w:val="004E421B"/>
    <w:rsid w:val="004E5C31"/>
    <w:rsid w:val="004E64F8"/>
    <w:rsid w:val="004E6F43"/>
    <w:rsid w:val="004F1E85"/>
    <w:rsid w:val="004F3681"/>
    <w:rsid w:val="004F3858"/>
    <w:rsid w:val="004F5653"/>
    <w:rsid w:val="004F5F8A"/>
    <w:rsid w:val="00500364"/>
    <w:rsid w:val="0050047C"/>
    <w:rsid w:val="005004E5"/>
    <w:rsid w:val="00500906"/>
    <w:rsid w:val="005012EC"/>
    <w:rsid w:val="005012F3"/>
    <w:rsid w:val="005013BF"/>
    <w:rsid w:val="0050194A"/>
    <w:rsid w:val="00502075"/>
    <w:rsid w:val="005032B7"/>
    <w:rsid w:val="00503A6E"/>
    <w:rsid w:val="005042E3"/>
    <w:rsid w:val="00504E50"/>
    <w:rsid w:val="00506A4D"/>
    <w:rsid w:val="0051056C"/>
    <w:rsid w:val="005112FE"/>
    <w:rsid w:val="005139EC"/>
    <w:rsid w:val="00513F7B"/>
    <w:rsid w:val="00515A94"/>
    <w:rsid w:val="0051671C"/>
    <w:rsid w:val="00517BEE"/>
    <w:rsid w:val="00521D0E"/>
    <w:rsid w:val="005224B8"/>
    <w:rsid w:val="00522816"/>
    <w:rsid w:val="00522C61"/>
    <w:rsid w:val="005243E7"/>
    <w:rsid w:val="00524AEE"/>
    <w:rsid w:val="00524F8C"/>
    <w:rsid w:val="00526124"/>
    <w:rsid w:val="0052782B"/>
    <w:rsid w:val="005279F2"/>
    <w:rsid w:val="005317F5"/>
    <w:rsid w:val="00531BA8"/>
    <w:rsid w:val="00531C72"/>
    <w:rsid w:val="00532162"/>
    <w:rsid w:val="00532CDA"/>
    <w:rsid w:val="00532F3D"/>
    <w:rsid w:val="00533367"/>
    <w:rsid w:val="00533DE1"/>
    <w:rsid w:val="00536F15"/>
    <w:rsid w:val="00537418"/>
    <w:rsid w:val="005378CE"/>
    <w:rsid w:val="00537C87"/>
    <w:rsid w:val="005408A6"/>
    <w:rsid w:val="00540916"/>
    <w:rsid w:val="00540F44"/>
    <w:rsid w:val="005416BB"/>
    <w:rsid w:val="00541ED5"/>
    <w:rsid w:val="00542554"/>
    <w:rsid w:val="005426D0"/>
    <w:rsid w:val="005432DB"/>
    <w:rsid w:val="0054347C"/>
    <w:rsid w:val="00544489"/>
    <w:rsid w:val="0055223C"/>
    <w:rsid w:val="005524C8"/>
    <w:rsid w:val="0055278D"/>
    <w:rsid w:val="005533F9"/>
    <w:rsid w:val="00553435"/>
    <w:rsid w:val="005544AB"/>
    <w:rsid w:val="0055479C"/>
    <w:rsid w:val="005559C3"/>
    <w:rsid w:val="00556BA3"/>
    <w:rsid w:val="00561489"/>
    <w:rsid w:val="0056240C"/>
    <w:rsid w:val="00563086"/>
    <w:rsid w:val="0056335F"/>
    <w:rsid w:val="005636CB"/>
    <w:rsid w:val="005649AD"/>
    <w:rsid w:val="00567536"/>
    <w:rsid w:val="00567F26"/>
    <w:rsid w:val="005701E5"/>
    <w:rsid w:val="0057032B"/>
    <w:rsid w:val="0057062B"/>
    <w:rsid w:val="0057161D"/>
    <w:rsid w:val="00572753"/>
    <w:rsid w:val="00572F07"/>
    <w:rsid w:val="00574C13"/>
    <w:rsid w:val="0057507C"/>
    <w:rsid w:val="00576152"/>
    <w:rsid w:val="00576C1A"/>
    <w:rsid w:val="005774B7"/>
    <w:rsid w:val="0057797D"/>
    <w:rsid w:val="0058038B"/>
    <w:rsid w:val="00580418"/>
    <w:rsid w:val="00580545"/>
    <w:rsid w:val="00581B81"/>
    <w:rsid w:val="00581F83"/>
    <w:rsid w:val="00582007"/>
    <w:rsid w:val="00582424"/>
    <w:rsid w:val="0058350E"/>
    <w:rsid w:val="00584029"/>
    <w:rsid w:val="005844B0"/>
    <w:rsid w:val="00584E81"/>
    <w:rsid w:val="0058513A"/>
    <w:rsid w:val="005867DA"/>
    <w:rsid w:val="00587090"/>
    <w:rsid w:val="00587E98"/>
    <w:rsid w:val="00590DC6"/>
    <w:rsid w:val="005935DB"/>
    <w:rsid w:val="0059448D"/>
    <w:rsid w:val="00595922"/>
    <w:rsid w:val="00596E6D"/>
    <w:rsid w:val="005A0057"/>
    <w:rsid w:val="005A0344"/>
    <w:rsid w:val="005A0AB9"/>
    <w:rsid w:val="005A1A5E"/>
    <w:rsid w:val="005A237B"/>
    <w:rsid w:val="005A27D8"/>
    <w:rsid w:val="005A2BA2"/>
    <w:rsid w:val="005A3E34"/>
    <w:rsid w:val="005A464E"/>
    <w:rsid w:val="005A4AAF"/>
    <w:rsid w:val="005A540F"/>
    <w:rsid w:val="005A5662"/>
    <w:rsid w:val="005A6BD3"/>
    <w:rsid w:val="005A6D1C"/>
    <w:rsid w:val="005B1032"/>
    <w:rsid w:val="005B117A"/>
    <w:rsid w:val="005B1435"/>
    <w:rsid w:val="005B48BE"/>
    <w:rsid w:val="005B510C"/>
    <w:rsid w:val="005B51A6"/>
    <w:rsid w:val="005B52AE"/>
    <w:rsid w:val="005B53B9"/>
    <w:rsid w:val="005B56B3"/>
    <w:rsid w:val="005B5CF7"/>
    <w:rsid w:val="005B6924"/>
    <w:rsid w:val="005B6B41"/>
    <w:rsid w:val="005B6C02"/>
    <w:rsid w:val="005B6C3A"/>
    <w:rsid w:val="005B710C"/>
    <w:rsid w:val="005B732E"/>
    <w:rsid w:val="005B751D"/>
    <w:rsid w:val="005C0A65"/>
    <w:rsid w:val="005C0A94"/>
    <w:rsid w:val="005C0E1C"/>
    <w:rsid w:val="005C1F88"/>
    <w:rsid w:val="005C2087"/>
    <w:rsid w:val="005C3304"/>
    <w:rsid w:val="005C36BE"/>
    <w:rsid w:val="005C43A7"/>
    <w:rsid w:val="005C4C88"/>
    <w:rsid w:val="005C4F44"/>
    <w:rsid w:val="005C5A7D"/>
    <w:rsid w:val="005C5B0C"/>
    <w:rsid w:val="005C6998"/>
    <w:rsid w:val="005C7347"/>
    <w:rsid w:val="005C73A4"/>
    <w:rsid w:val="005D19D6"/>
    <w:rsid w:val="005D2495"/>
    <w:rsid w:val="005D4E36"/>
    <w:rsid w:val="005D61DB"/>
    <w:rsid w:val="005D70FB"/>
    <w:rsid w:val="005D7C55"/>
    <w:rsid w:val="005E0DE8"/>
    <w:rsid w:val="005E1487"/>
    <w:rsid w:val="005E1852"/>
    <w:rsid w:val="005E1C7F"/>
    <w:rsid w:val="005E21FB"/>
    <w:rsid w:val="005E6403"/>
    <w:rsid w:val="005E720C"/>
    <w:rsid w:val="005E7354"/>
    <w:rsid w:val="005F01EF"/>
    <w:rsid w:val="005F0421"/>
    <w:rsid w:val="005F0D31"/>
    <w:rsid w:val="005F0D3C"/>
    <w:rsid w:val="005F167D"/>
    <w:rsid w:val="005F2B05"/>
    <w:rsid w:val="005F2DB5"/>
    <w:rsid w:val="005F464E"/>
    <w:rsid w:val="005F48A9"/>
    <w:rsid w:val="005F6106"/>
    <w:rsid w:val="006001EE"/>
    <w:rsid w:val="00600200"/>
    <w:rsid w:val="00601D90"/>
    <w:rsid w:val="00602898"/>
    <w:rsid w:val="00602EFE"/>
    <w:rsid w:val="006041D0"/>
    <w:rsid w:val="00604364"/>
    <w:rsid w:val="0060471A"/>
    <w:rsid w:val="00606F0F"/>
    <w:rsid w:val="0060721F"/>
    <w:rsid w:val="00607615"/>
    <w:rsid w:val="006121F0"/>
    <w:rsid w:val="00614220"/>
    <w:rsid w:val="00615758"/>
    <w:rsid w:val="006158A0"/>
    <w:rsid w:val="00615F69"/>
    <w:rsid w:val="00616129"/>
    <w:rsid w:val="00617319"/>
    <w:rsid w:val="00620782"/>
    <w:rsid w:val="00620A01"/>
    <w:rsid w:val="006210FB"/>
    <w:rsid w:val="0062210A"/>
    <w:rsid w:val="006226E7"/>
    <w:rsid w:val="006235AB"/>
    <w:rsid w:val="00624D44"/>
    <w:rsid w:val="0062578B"/>
    <w:rsid w:val="00626806"/>
    <w:rsid w:val="0062692C"/>
    <w:rsid w:val="00626F6B"/>
    <w:rsid w:val="00627CE5"/>
    <w:rsid w:val="00627F93"/>
    <w:rsid w:val="00630666"/>
    <w:rsid w:val="00630711"/>
    <w:rsid w:val="00630D39"/>
    <w:rsid w:val="00631751"/>
    <w:rsid w:val="0063287B"/>
    <w:rsid w:val="00632901"/>
    <w:rsid w:val="00632944"/>
    <w:rsid w:val="00633341"/>
    <w:rsid w:val="006342C2"/>
    <w:rsid w:val="00635113"/>
    <w:rsid w:val="006354F7"/>
    <w:rsid w:val="00636C8F"/>
    <w:rsid w:val="006371D0"/>
    <w:rsid w:val="006375BA"/>
    <w:rsid w:val="00641D07"/>
    <w:rsid w:val="00643660"/>
    <w:rsid w:val="0064443E"/>
    <w:rsid w:val="00644991"/>
    <w:rsid w:val="00645148"/>
    <w:rsid w:val="006452B0"/>
    <w:rsid w:val="00646C90"/>
    <w:rsid w:val="006473A5"/>
    <w:rsid w:val="00647FCD"/>
    <w:rsid w:val="006514C9"/>
    <w:rsid w:val="00652B8D"/>
    <w:rsid w:val="00653F3F"/>
    <w:rsid w:val="0065473B"/>
    <w:rsid w:val="006549EF"/>
    <w:rsid w:val="00654A8A"/>
    <w:rsid w:val="00656071"/>
    <w:rsid w:val="006561AA"/>
    <w:rsid w:val="0065671E"/>
    <w:rsid w:val="00657814"/>
    <w:rsid w:val="0066038A"/>
    <w:rsid w:val="00660D0C"/>
    <w:rsid w:val="00661232"/>
    <w:rsid w:val="00661575"/>
    <w:rsid w:val="0066160E"/>
    <w:rsid w:val="006623D3"/>
    <w:rsid w:val="0066343A"/>
    <w:rsid w:val="00663904"/>
    <w:rsid w:val="0066429D"/>
    <w:rsid w:val="00664962"/>
    <w:rsid w:val="00664B50"/>
    <w:rsid w:val="006658E7"/>
    <w:rsid w:val="00665F27"/>
    <w:rsid w:val="006665BD"/>
    <w:rsid w:val="00667963"/>
    <w:rsid w:val="00670A43"/>
    <w:rsid w:val="00670F40"/>
    <w:rsid w:val="00672E9E"/>
    <w:rsid w:val="00672FCC"/>
    <w:rsid w:val="006744D7"/>
    <w:rsid w:val="006751FC"/>
    <w:rsid w:val="0067544D"/>
    <w:rsid w:val="00675881"/>
    <w:rsid w:val="00675F26"/>
    <w:rsid w:val="00677B41"/>
    <w:rsid w:val="006812EB"/>
    <w:rsid w:val="00682274"/>
    <w:rsid w:val="006823A7"/>
    <w:rsid w:val="00684866"/>
    <w:rsid w:val="00684979"/>
    <w:rsid w:val="00685BA9"/>
    <w:rsid w:val="00685BAB"/>
    <w:rsid w:val="00687381"/>
    <w:rsid w:val="0068759E"/>
    <w:rsid w:val="00687F87"/>
    <w:rsid w:val="00690168"/>
    <w:rsid w:val="0069049A"/>
    <w:rsid w:val="00690CF0"/>
    <w:rsid w:val="00690EA2"/>
    <w:rsid w:val="00690FAD"/>
    <w:rsid w:val="00692C5D"/>
    <w:rsid w:val="00692FEA"/>
    <w:rsid w:val="00693415"/>
    <w:rsid w:val="006947AC"/>
    <w:rsid w:val="00694E4B"/>
    <w:rsid w:val="00695383"/>
    <w:rsid w:val="00696216"/>
    <w:rsid w:val="00696638"/>
    <w:rsid w:val="006967BC"/>
    <w:rsid w:val="00697919"/>
    <w:rsid w:val="00697EBE"/>
    <w:rsid w:val="006A126F"/>
    <w:rsid w:val="006A13B5"/>
    <w:rsid w:val="006A15F4"/>
    <w:rsid w:val="006A1831"/>
    <w:rsid w:val="006A3559"/>
    <w:rsid w:val="006A3AC1"/>
    <w:rsid w:val="006A4382"/>
    <w:rsid w:val="006A49ED"/>
    <w:rsid w:val="006A5996"/>
    <w:rsid w:val="006A61C9"/>
    <w:rsid w:val="006A6694"/>
    <w:rsid w:val="006A719A"/>
    <w:rsid w:val="006A7967"/>
    <w:rsid w:val="006A7B8A"/>
    <w:rsid w:val="006B1323"/>
    <w:rsid w:val="006B177F"/>
    <w:rsid w:val="006B483B"/>
    <w:rsid w:val="006B4F08"/>
    <w:rsid w:val="006B57F6"/>
    <w:rsid w:val="006B59C3"/>
    <w:rsid w:val="006B6600"/>
    <w:rsid w:val="006C0C20"/>
    <w:rsid w:val="006C4690"/>
    <w:rsid w:val="006C46A0"/>
    <w:rsid w:val="006C50FA"/>
    <w:rsid w:val="006C610F"/>
    <w:rsid w:val="006C68A0"/>
    <w:rsid w:val="006C6A67"/>
    <w:rsid w:val="006D07CC"/>
    <w:rsid w:val="006D0F4A"/>
    <w:rsid w:val="006D1443"/>
    <w:rsid w:val="006D1734"/>
    <w:rsid w:val="006D198F"/>
    <w:rsid w:val="006D3BB9"/>
    <w:rsid w:val="006D3CD2"/>
    <w:rsid w:val="006D41B1"/>
    <w:rsid w:val="006D4F11"/>
    <w:rsid w:val="006D59F3"/>
    <w:rsid w:val="006D5E60"/>
    <w:rsid w:val="006D7637"/>
    <w:rsid w:val="006E0469"/>
    <w:rsid w:val="006E0C48"/>
    <w:rsid w:val="006E0D69"/>
    <w:rsid w:val="006E193B"/>
    <w:rsid w:val="006E1A0A"/>
    <w:rsid w:val="006E22C7"/>
    <w:rsid w:val="006E3E26"/>
    <w:rsid w:val="006E40D0"/>
    <w:rsid w:val="006E48C8"/>
    <w:rsid w:val="006E77FD"/>
    <w:rsid w:val="006E7B9B"/>
    <w:rsid w:val="006F2A3F"/>
    <w:rsid w:val="006F2C39"/>
    <w:rsid w:val="006F3A07"/>
    <w:rsid w:val="006F3BEF"/>
    <w:rsid w:val="006F456A"/>
    <w:rsid w:val="006F46A2"/>
    <w:rsid w:val="006F472E"/>
    <w:rsid w:val="006F4EAE"/>
    <w:rsid w:val="006F621C"/>
    <w:rsid w:val="006F6602"/>
    <w:rsid w:val="00701CCF"/>
    <w:rsid w:val="00701F11"/>
    <w:rsid w:val="00703865"/>
    <w:rsid w:val="007045B0"/>
    <w:rsid w:val="0070579E"/>
    <w:rsid w:val="007070AE"/>
    <w:rsid w:val="00707799"/>
    <w:rsid w:val="00707CD1"/>
    <w:rsid w:val="0071017B"/>
    <w:rsid w:val="00711528"/>
    <w:rsid w:val="0071300A"/>
    <w:rsid w:val="00713D60"/>
    <w:rsid w:val="00713E80"/>
    <w:rsid w:val="0071412E"/>
    <w:rsid w:val="00714313"/>
    <w:rsid w:val="0071439B"/>
    <w:rsid w:val="00714493"/>
    <w:rsid w:val="0071511B"/>
    <w:rsid w:val="00716CDB"/>
    <w:rsid w:val="0071790B"/>
    <w:rsid w:val="007210E0"/>
    <w:rsid w:val="007227BE"/>
    <w:rsid w:val="0072315A"/>
    <w:rsid w:val="007231B9"/>
    <w:rsid w:val="00723EB9"/>
    <w:rsid w:val="00725572"/>
    <w:rsid w:val="00725F58"/>
    <w:rsid w:val="00727199"/>
    <w:rsid w:val="007271B2"/>
    <w:rsid w:val="0072796F"/>
    <w:rsid w:val="0073127C"/>
    <w:rsid w:val="007328F9"/>
    <w:rsid w:val="007340BD"/>
    <w:rsid w:val="007342DE"/>
    <w:rsid w:val="00735363"/>
    <w:rsid w:val="007361C3"/>
    <w:rsid w:val="00737B27"/>
    <w:rsid w:val="00740FC4"/>
    <w:rsid w:val="00741813"/>
    <w:rsid w:val="00743045"/>
    <w:rsid w:val="007436D9"/>
    <w:rsid w:val="00744767"/>
    <w:rsid w:val="00745231"/>
    <w:rsid w:val="00745B75"/>
    <w:rsid w:val="00747A4A"/>
    <w:rsid w:val="00747E60"/>
    <w:rsid w:val="00750121"/>
    <w:rsid w:val="00751A44"/>
    <w:rsid w:val="00753DD0"/>
    <w:rsid w:val="007546D3"/>
    <w:rsid w:val="007551C4"/>
    <w:rsid w:val="00755FA9"/>
    <w:rsid w:val="0075692C"/>
    <w:rsid w:val="00756FF8"/>
    <w:rsid w:val="00757AE5"/>
    <w:rsid w:val="00757B9F"/>
    <w:rsid w:val="007601CB"/>
    <w:rsid w:val="00760400"/>
    <w:rsid w:val="00761E4C"/>
    <w:rsid w:val="007623B9"/>
    <w:rsid w:val="00762D9E"/>
    <w:rsid w:val="007657C5"/>
    <w:rsid w:val="00766C34"/>
    <w:rsid w:val="007670D7"/>
    <w:rsid w:val="007724B7"/>
    <w:rsid w:val="00773673"/>
    <w:rsid w:val="007743EF"/>
    <w:rsid w:val="007748FD"/>
    <w:rsid w:val="00775DE8"/>
    <w:rsid w:val="0077644A"/>
    <w:rsid w:val="00780A8F"/>
    <w:rsid w:val="00781A77"/>
    <w:rsid w:val="007820B1"/>
    <w:rsid w:val="00782B2E"/>
    <w:rsid w:val="00782B6C"/>
    <w:rsid w:val="007838C2"/>
    <w:rsid w:val="00784AA8"/>
    <w:rsid w:val="007854D4"/>
    <w:rsid w:val="00785689"/>
    <w:rsid w:val="00785AC9"/>
    <w:rsid w:val="0078631F"/>
    <w:rsid w:val="007870B0"/>
    <w:rsid w:val="0078720E"/>
    <w:rsid w:val="007878D5"/>
    <w:rsid w:val="007908AF"/>
    <w:rsid w:val="00791483"/>
    <w:rsid w:val="007915BE"/>
    <w:rsid w:val="00791DF1"/>
    <w:rsid w:val="007926AC"/>
    <w:rsid w:val="007926B9"/>
    <w:rsid w:val="00793744"/>
    <w:rsid w:val="00793D83"/>
    <w:rsid w:val="00794569"/>
    <w:rsid w:val="00794A59"/>
    <w:rsid w:val="00794A79"/>
    <w:rsid w:val="0079506E"/>
    <w:rsid w:val="007954D1"/>
    <w:rsid w:val="00796C11"/>
    <w:rsid w:val="007A0F80"/>
    <w:rsid w:val="007A1608"/>
    <w:rsid w:val="007A207A"/>
    <w:rsid w:val="007A23EF"/>
    <w:rsid w:val="007A3633"/>
    <w:rsid w:val="007A367C"/>
    <w:rsid w:val="007A39C8"/>
    <w:rsid w:val="007A3A4C"/>
    <w:rsid w:val="007A5825"/>
    <w:rsid w:val="007A60F7"/>
    <w:rsid w:val="007A6B44"/>
    <w:rsid w:val="007A715E"/>
    <w:rsid w:val="007B0B97"/>
    <w:rsid w:val="007B0C07"/>
    <w:rsid w:val="007B199B"/>
    <w:rsid w:val="007B1E68"/>
    <w:rsid w:val="007B2989"/>
    <w:rsid w:val="007B2E5E"/>
    <w:rsid w:val="007B3071"/>
    <w:rsid w:val="007B331B"/>
    <w:rsid w:val="007B4400"/>
    <w:rsid w:val="007B4B7A"/>
    <w:rsid w:val="007B51E5"/>
    <w:rsid w:val="007B5287"/>
    <w:rsid w:val="007B5408"/>
    <w:rsid w:val="007B5BBE"/>
    <w:rsid w:val="007B7083"/>
    <w:rsid w:val="007B7ED0"/>
    <w:rsid w:val="007C2509"/>
    <w:rsid w:val="007C2943"/>
    <w:rsid w:val="007C43A1"/>
    <w:rsid w:val="007C4AC6"/>
    <w:rsid w:val="007C5229"/>
    <w:rsid w:val="007C58FB"/>
    <w:rsid w:val="007C6175"/>
    <w:rsid w:val="007C697B"/>
    <w:rsid w:val="007D12F8"/>
    <w:rsid w:val="007D19D1"/>
    <w:rsid w:val="007D1EA4"/>
    <w:rsid w:val="007D2473"/>
    <w:rsid w:val="007D4D4F"/>
    <w:rsid w:val="007D503B"/>
    <w:rsid w:val="007D542C"/>
    <w:rsid w:val="007D71ED"/>
    <w:rsid w:val="007D7CAE"/>
    <w:rsid w:val="007D7E2C"/>
    <w:rsid w:val="007D7F6C"/>
    <w:rsid w:val="007E0810"/>
    <w:rsid w:val="007E144F"/>
    <w:rsid w:val="007E194D"/>
    <w:rsid w:val="007E1B03"/>
    <w:rsid w:val="007E1E71"/>
    <w:rsid w:val="007E2296"/>
    <w:rsid w:val="007E2E5C"/>
    <w:rsid w:val="007E344D"/>
    <w:rsid w:val="007E38EF"/>
    <w:rsid w:val="007E43BF"/>
    <w:rsid w:val="007E5AC0"/>
    <w:rsid w:val="007F0439"/>
    <w:rsid w:val="007F1B98"/>
    <w:rsid w:val="007F29F7"/>
    <w:rsid w:val="007F2A93"/>
    <w:rsid w:val="007F3045"/>
    <w:rsid w:val="007F37A9"/>
    <w:rsid w:val="007F59E0"/>
    <w:rsid w:val="007F68EE"/>
    <w:rsid w:val="007F7320"/>
    <w:rsid w:val="00802FFC"/>
    <w:rsid w:val="00803231"/>
    <w:rsid w:val="008046D0"/>
    <w:rsid w:val="008049BF"/>
    <w:rsid w:val="0080521F"/>
    <w:rsid w:val="008059B7"/>
    <w:rsid w:val="00805A9E"/>
    <w:rsid w:val="00806541"/>
    <w:rsid w:val="00810171"/>
    <w:rsid w:val="0081067F"/>
    <w:rsid w:val="00810F36"/>
    <w:rsid w:val="00812170"/>
    <w:rsid w:val="00812515"/>
    <w:rsid w:val="00812862"/>
    <w:rsid w:val="00813CB0"/>
    <w:rsid w:val="00814050"/>
    <w:rsid w:val="00814667"/>
    <w:rsid w:val="00814866"/>
    <w:rsid w:val="00814F9E"/>
    <w:rsid w:val="00816D5D"/>
    <w:rsid w:val="008173AC"/>
    <w:rsid w:val="00817809"/>
    <w:rsid w:val="00817F91"/>
    <w:rsid w:val="00821846"/>
    <w:rsid w:val="00821D47"/>
    <w:rsid w:val="00821E23"/>
    <w:rsid w:val="0082213E"/>
    <w:rsid w:val="00824066"/>
    <w:rsid w:val="00824570"/>
    <w:rsid w:val="008246B8"/>
    <w:rsid w:val="008260AE"/>
    <w:rsid w:val="008275C3"/>
    <w:rsid w:val="00827FBC"/>
    <w:rsid w:val="008312D5"/>
    <w:rsid w:val="00832789"/>
    <w:rsid w:val="00833191"/>
    <w:rsid w:val="00834373"/>
    <w:rsid w:val="00834BF2"/>
    <w:rsid w:val="00840E23"/>
    <w:rsid w:val="00841512"/>
    <w:rsid w:val="0084329B"/>
    <w:rsid w:val="008435F2"/>
    <w:rsid w:val="008439CA"/>
    <w:rsid w:val="00843C6C"/>
    <w:rsid w:val="00844647"/>
    <w:rsid w:val="00845A54"/>
    <w:rsid w:val="00845F11"/>
    <w:rsid w:val="0084670F"/>
    <w:rsid w:val="00846EB2"/>
    <w:rsid w:val="00847501"/>
    <w:rsid w:val="008503F9"/>
    <w:rsid w:val="008504A8"/>
    <w:rsid w:val="008519D7"/>
    <w:rsid w:val="00852252"/>
    <w:rsid w:val="00852850"/>
    <w:rsid w:val="00854EC9"/>
    <w:rsid w:val="00855720"/>
    <w:rsid w:val="00855E25"/>
    <w:rsid w:val="00855F46"/>
    <w:rsid w:val="00856092"/>
    <w:rsid w:val="00856548"/>
    <w:rsid w:val="00856673"/>
    <w:rsid w:val="00857617"/>
    <w:rsid w:val="00860135"/>
    <w:rsid w:val="008601A7"/>
    <w:rsid w:val="008605B3"/>
    <w:rsid w:val="008610CE"/>
    <w:rsid w:val="00861461"/>
    <w:rsid w:val="00861B68"/>
    <w:rsid w:val="00861D30"/>
    <w:rsid w:val="00862432"/>
    <w:rsid w:val="00862F66"/>
    <w:rsid w:val="008630D7"/>
    <w:rsid w:val="008646C4"/>
    <w:rsid w:val="00864CC0"/>
    <w:rsid w:val="00865EA0"/>
    <w:rsid w:val="0087021D"/>
    <w:rsid w:val="008702BD"/>
    <w:rsid w:val="00870792"/>
    <w:rsid w:val="00870E39"/>
    <w:rsid w:val="00873C2C"/>
    <w:rsid w:val="00874874"/>
    <w:rsid w:val="00875877"/>
    <w:rsid w:val="0087713D"/>
    <w:rsid w:val="00877580"/>
    <w:rsid w:val="008777ED"/>
    <w:rsid w:val="008778D0"/>
    <w:rsid w:val="00877ADF"/>
    <w:rsid w:val="00877BB9"/>
    <w:rsid w:val="00880CEC"/>
    <w:rsid w:val="00880DA4"/>
    <w:rsid w:val="00880DE5"/>
    <w:rsid w:val="00880FFA"/>
    <w:rsid w:val="00882DC2"/>
    <w:rsid w:val="00882F09"/>
    <w:rsid w:val="00883742"/>
    <w:rsid w:val="00884B37"/>
    <w:rsid w:val="00884F3B"/>
    <w:rsid w:val="00884F96"/>
    <w:rsid w:val="008852C8"/>
    <w:rsid w:val="00885471"/>
    <w:rsid w:val="00885738"/>
    <w:rsid w:val="00886C0F"/>
    <w:rsid w:val="00886D59"/>
    <w:rsid w:val="00887FA2"/>
    <w:rsid w:val="008925C1"/>
    <w:rsid w:val="008931C4"/>
    <w:rsid w:val="008947ED"/>
    <w:rsid w:val="00894AE4"/>
    <w:rsid w:val="00895313"/>
    <w:rsid w:val="00895755"/>
    <w:rsid w:val="008959E2"/>
    <w:rsid w:val="00896D1E"/>
    <w:rsid w:val="008971A4"/>
    <w:rsid w:val="00897C1C"/>
    <w:rsid w:val="00897DFF"/>
    <w:rsid w:val="008A00E1"/>
    <w:rsid w:val="008A1EA0"/>
    <w:rsid w:val="008A40D8"/>
    <w:rsid w:val="008A49B1"/>
    <w:rsid w:val="008A6E6A"/>
    <w:rsid w:val="008A704C"/>
    <w:rsid w:val="008A7E18"/>
    <w:rsid w:val="008B127F"/>
    <w:rsid w:val="008B21E2"/>
    <w:rsid w:val="008B40EA"/>
    <w:rsid w:val="008B41E3"/>
    <w:rsid w:val="008B4684"/>
    <w:rsid w:val="008B4939"/>
    <w:rsid w:val="008B5CBC"/>
    <w:rsid w:val="008B6461"/>
    <w:rsid w:val="008B74A1"/>
    <w:rsid w:val="008B7E22"/>
    <w:rsid w:val="008C0FDA"/>
    <w:rsid w:val="008C1987"/>
    <w:rsid w:val="008C251B"/>
    <w:rsid w:val="008C2D9F"/>
    <w:rsid w:val="008C3109"/>
    <w:rsid w:val="008C39C1"/>
    <w:rsid w:val="008C3A00"/>
    <w:rsid w:val="008C46EC"/>
    <w:rsid w:val="008C6B14"/>
    <w:rsid w:val="008C6E46"/>
    <w:rsid w:val="008C7762"/>
    <w:rsid w:val="008C7B22"/>
    <w:rsid w:val="008C7FDE"/>
    <w:rsid w:val="008D0443"/>
    <w:rsid w:val="008D11F2"/>
    <w:rsid w:val="008D1960"/>
    <w:rsid w:val="008D27C3"/>
    <w:rsid w:val="008D2925"/>
    <w:rsid w:val="008D2C51"/>
    <w:rsid w:val="008D2F7B"/>
    <w:rsid w:val="008D3142"/>
    <w:rsid w:val="008D459D"/>
    <w:rsid w:val="008D5686"/>
    <w:rsid w:val="008E0497"/>
    <w:rsid w:val="008E0866"/>
    <w:rsid w:val="008E1C7A"/>
    <w:rsid w:val="008E27D5"/>
    <w:rsid w:val="008E2CE5"/>
    <w:rsid w:val="008E4231"/>
    <w:rsid w:val="008E5006"/>
    <w:rsid w:val="008E593E"/>
    <w:rsid w:val="008E647A"/>
    <w:rsid w:val="008E6C72"/>
    <w:rsid w:val="008E70DC"/>
    <w:rsid w:val="008F0063"/>
    <w:rsid w:val="008F017C"/>
    <w:rsid w:val="008F03E1"/>
    <w:rsid w:val="008F0855"/>
    <w:rsid w:val="008F1670"/>
    <w:rsid w:val="008F16F8"/>
    <w:rsid w:val="008F18E9"/>
    <w:rsid w:val="008F22DC"/>
    <w:rsid w:val="008F28CC"/>
    <w:rsid w:val="008F3E1D"/>
    <w:rsid w:val="008F4366"/>
    <w:rsid w:val="008F4A1C"/>
    <w:rsid w:val="008F62A5"/>
    <w:rsid w:val="008F6501"/>
    <w:rsid w:val="008F7302"/>
    <w:rsid w:val="008F783E"/>
    <w:rsid w:val="008F7BC8"/>
    <w:rsid w:val="00900256"/>
    <w:rsid w:val="00900273"/>
    <w:rsid w:val="00900DF9"/>
    <w:rsid w:val="009018F4"/>
    <w:rsid w:val="00902A0E"/>
    <w:rsid w:val="009032CD"/>
    <w:rsid w:val="00903390"/>
    <w:rsid w:val="00905BDA"/>
    <w:rsid w:val="00906893"/>
    <w:rsid w:val="0090701B"/>
    <w:rsid w:val="00907215"/>
    <w:rsid w:val="00907547"/>
    <w:rsid w:val="009077FE"/>
    <w:rsid w:val="00910496"/>
    <w:rsid w:val="009118DD"/>
    <w:rsid w:val="00913C06"/>
    <w:rsid w:val="00915712"/>
    <w:rsid w:val="009162CA"/>
    <w:rsid w:val="00916387"/>
    <w:rsid w:val="00916F76"/>
    <w:rsid w:val="00916FF6"/>
    <w:rsid w:val="009171B2"/>
    <w:rsid w:val="00917F23"/>
    <w:rsid w:val="0092019C"/>
    <w:rsid w:val="00921E59"/>
    <w:rsid w:val="00922605"/>
    <w:rsid w:val="009228EF"/>
    <w:rsid w:val="00923B05"/>
    <w:rsid w:val="00923E4B"/>
    <w:rsid w:val="00925DE9"/>
    <w:rsid w:val="00927270"/>
    <w:rsid w:val="0093007F"/>
    <w:rsid w:val="009304C7"/>
    <w:rsid w:val="00930B3F"/>
    <w:rsid w:val="00930EDB"/>
    <w:rsid w:val="009326C7"/>
    <w:rsid w:val="0093317A"/>
    <w:rsid w:val="009332E3"/>
    <w:rsid w:val="009344EC"/>
    <w:rsid w:val="00935FBF"/>
    <w:rsid w:val="0093756C"/>
    <w:rsid w:val="009375A7"/>
    <w:rsid w:val="0093794B"/>
    <w:rsid w:val="00942695"/>
    <w:rsid w:val="00942EAE"/>
    <w:rsid w:val="00943482"/>
    <w:rsid w:val="00943F43"/>
    <w:rsid w:val="00944B76"/>
    <w:rsid w:val="00944F82"/>
    <w:rsid w:val="00946334"/>
    <w:rsid w:val="00946850"/>
    <w:rsid w:val="00946EE7"/>
    <w:rsid w:val="0094738E"/>
    <w:rsid w:val="00950D3C"/>
    <w:rsid w:val="00950EA3"/>
    <w:rsid w:val="00951AFA"/>
    <w:rsid w:val="00952822"/>
    <w:rsid w:val="0095350E"/>
    <w:rsid w:val="009538B5"/>
    <w:rsid w:val="00953A33"/>
    <w:rsid w:val="00954128"/>
    <w:rsid w:val="00954827"/>
    <w:rsid w:val="00955819"/>
    <w:rsid w:val="0095635E"/>
    <w:rsid w:val="009573F5"/>
    <w:rsid w:val="00957F39"/>
    <w:rsid w:val="00960993"/>
    <w:rsid w:val="0096127B"/>
    <w:rsid w:val="00962264"/>
    <w:rsid w:val="00962555"/>
    <w:rsid w:val="00962AE7"/>
    <w:rsid w:val="00962B4A"/>
    <w:rsid w:val="00964260"/>
    <w:rsid w:val="00964891"/>
    <w:rsid w:val="00964BD2"/>
    <w:rsid w:val="00964E0D"/>
    <w:rsid w:val="00964E95"/>
    <w:rsid w:val="00966543"/>
    <w:rsid w:val="0096665F"/>
    <w:rsid w:val="00966AB7"/>
    <w:rsid w:val="00967024"/>
    <w:rsid w:val="00967561"/>
    <w:rsid w:val="009679BD"/>
    <w:rsid w:val="00967F47"/>
    <w:rsid w:val="00970C87"/>
    <w:rsid w:val="009711AC"/>
    <w:rsid w:val="009713C7"/>
    <w:rsid w:val="009717DF"/>
    <w:rsid w:val="0097218E"/>
    <w:rsid w:val="00972BC6"/>
    <w:rsid w:val="00973A0E"/>
    <w:rsid w:val="00973F54"/>
    <w:rsid w:val="0097692E"/>
    <w:rsid w:val="00977C10"/>
    <w:rsid w:val="00980A45"/>
    <w:rsid w:val="009816E0"/>
    <w:rsid w:val="00981FDA"/>
    <w:rsid w:val="00982289"/>
    <w:rsid w:val="009824C4"/>
    <w:rsid w:val="009827D9"/>
    <w:rsid w:val="00982A7A"/>
    <w:rsid w:val="009833CE"/>
    <w:rsid w:val="00983759"/>
    <w:rsid w:val="009841E5"/>
    <w:rsid w:val="009846B3"/>
    <w:rsid w:val="00984EF9"/>
    <w:rsid w:val="0098573D"/>
    <w:rsid w:val="00985D38"/>
    <w:rsid w:val="00985DA0"/>
    <w:rsid w:val="00986F96"/>
    <w:rsid w:val="009907D6"/>
    <w:rsid w:val="009909D1"/>
    <w:rsid w:val="00991E77"/>
    <w:rsid w:val="00992441"/>
    <w:rsid w:val="00993BCB"/>
    <w:rsid w:val="009943A5"/>
    <w:rsid w:val="00994B29"/>
    <w:rsid w:val="009950E4"/>
    <w:rsid w:val="00995DE8"/>
    <w:rsid w:val="00996A7C"/>
    <w:rsid w:val="00996CD0"/>
    <w:rsid w:val="00997A38"/>
    <w:rsid w:val="00997B54"/>
    <w:rsid w:val="009A01D6"/>
    <w:rsid w:val="009A0C0D"/>
    <w:rsid w:val="009A1997"/>
    <w:rsid w:val="009A1E61"/>
    <w:rsid w:val="009A25BB"/>
    <w:rsid w:val="009A2B42"/>
    <w:rsid w:val="009A47F8"/>
    <w:rsid w:val="009A4AAD"/>
    <w:rsid w:val="009A754A"/>
    <w:rsid w:val="009A7ABF"/>
    <w:rsid w:val="009B11D1"/>
    <w:rsid w:val="009B1619"/>
    <w:rsid w:val="009B1981"/>
    <w:rsid w:val="009B2BDE"/>
    <w:rsid w:val="009B3035"/>
    <w:rsid w:val="009B478C"/>
    <w:rsid w:val="009B47A3"/>
    <w:rsid w:val="009B7BE6"/>
    <w:rsid w:val="009C0C6B"/>
    <w:rsid w:val="009C1156"/>
    <w:rsid w:val="009C13CA"/>
    <w:rsid w:val="009C187C"/>
    <w:rsid w:val="009C22EC"/>
    <w:rsid w:val="009C26FB"/>
    <w:rsid w:val="009C4760"/>
    <w:rsid w:val="009C4AD7"/>
    <w:rsid w:val="009C6681"/>
    <w:rsid w:val="009C6B07"/>
    <w:rsid w:val="009C6D60"/>
    <w:rsid w:val="009C7001"/>
    <w:rsid w:val="009C726D"/>
    <w:rsid w:val="009C7B86"/>
    <w:rsid w:val="009C7F85"/>
    <w:rsid w:val="009D0AE8"/>
    <w:rsid w:val="009D1011"/>
    <w:rsid w:val="009D198E"/>
    <w:rsid w:val="009D4743"/>
    <w:rsid w:val="009D584D"/>
    <w:rsid w:val="009D60B5"/>
    <w:rsid w:val="009D764A"/>
    <w:rsid w:val="009E07C3"/>
    <w:rsid w:val="009E13FA"/>
    <w:rsid w:val="009E2141"/>
    <w:rsid w:val="009E2D19"/>
    <w:rsid w:val="009E35F9"/>
    <w:rsid w:val="009E36D8"/>
    <w:rsid w:val="009E3A4F"/>
    <w:rsid w:val="009E3F0D"/>
    <w:rsid w:val="009E408B"/>
    <w:rsid w:val="009E5402"/>
    <w:rsid w:val="009E639C"/>
    <w:rsid w:val="009F0AEB"/>
    <w:rsid w:val="009F0CC2"/>
    <w:rsid w:val="009F129D"/>
    <w:rsid w:val="009F12A2"/>
    <w:rsid w:val="009F19E1"/>
    <w:rsid w:val="009F1B81"/>
    <w:rsid w:val="009F21DE"/>
    <w:rsid w:val="009F2453"/>
    <w:rsid w:val="009F3983"/>
    <w:rsid w:val="009F3A4D"/>
    <w:rsid w:val="009F4178"/>
    <w:rsid w:val="009F5C64"/>
    <w:rsid w:val="009F725E"/>
    <w:rsid w:val="009F7582"/>
    <w:rsid w:val="00A009D6"/>
    <w:rsid w:val="00A00A97"/>
    <w:rsid w:val="00A00DF6"/>
    <w:rsid w:val="00A01DB4"/>
    <w:rsid w:val="00A01DE9"/>
    <w:rsid w:val="00A03F5B"/>
    <w:rsid w:val="00A0472B"/>
    <w:rsid w:val="00A04BCC"/>
    <w:rsid w:val="00A050A4"/>
    <w:rsid w:val="00A05BF7"/>
    <w:rsid w:val="00A0671B"/>
    <w:rsid w:val="00A06738"/>
    <w:rsid w:val="00A0713D"/>
    <w:rsid w:val="00A10DC6"/>
    <w:rsid w:val="00A11404"/>
    <w:rsid w:val="00A115D9"/>
    <w:rsid w:val="00A12A0C"/>
    <w:rsid w:val="00A13EA9"/>
    <w:rsid w:val="00A143F7"/>
    <w:rsid w:val="00A146EE"/>
    <w:rsid w:val="00A14DC6"/>
    <w:rsid w:val="00A14F96"/>
    <w:rsid w:val="00A152C8"/>
    <w:rsid w:val="00A15503"/>
    <w:rsid w:val="00A157AF"/>
    <w:rsid w:val="00A169C6"/>
    <w:rsid w:val="00A1778D"/>
    <w:rsid w:val="00A17CA6"/>
    <w:rsid w:val="00A2038D"/>
    <w:rsid w:val="00A20EAC"/>
    <w:rsid w:val="00A21F92"/>
    <w:rsid w:val="00A23B90"/>
    <w:rsid w:val="00A24E90"/>
    <w:rsid w:val="00A24F1F"/>
    <w:rsid w:val="00A25013"/>
    <w:rsid w:val="00A26195"/>
    <w:rsid w:val="00A2676E"/>
    <w:rsid w:val="00A26BE8"/>
    <w:rsid w:val="00A27081"/>
    <w:rsid w:val="00A279E0"/>
    <w:rsid w:val="00A27EB6"/>
    <w:rsid w:val="00A27FC6"/>
    <w:rsid w:val="00A32A74"/>
    <w:rsid w:val="00A33226"/>
    <w:rsid w:val="00A33B35"/>
    <w:rsid w:val="00A3624D"/>
    <w:rsid w:val="00A362B4"/>
    <w:rsid w:val="00A367BE"/>
    <w:rsid w:val="00A4029A"/>
    <w:rsid w:val="00A40D39"/>
    <w:rsid w:val="00A442A0"/>
    <w:rsid w:val="00A44926"/>
    <w:rsid w:val="00A44B96"/>
    <w:rsid w:val="00A457B6"/>
    <w:rsid w:val="00A45AAB"/>
    <w:rsid w:val="00A46433"/>
    <w:rsid w:val="00A51199"/>
    <w:rsid w:val="00A5198D"/>
    <w:rsid w:val="00A521C9"/>
    <w:rsid w:val="00A53D56"/>
    <w:rsid w:val="00A541A1"/>
    <w:rsid w:val="00A54AF3"/>
    <w:rsid w:val="00A54FDF"/>
    <w:rsid w:val="00A55CAC"/>
    <w:rsid w:val="00A55FB3"/>
    <w:rsid w:val="00A561B0"/>
    <w:rsid w:val="00A5630D"/>
    <w:rsid w:val="00A56463"/>
    <w:rsid w:val="00A567FC"/>
    <w:rsid w:val="00A56B41"/>
    <w:rsid w:val="00A56D78"/>
    <w:rsid w:val="00A577BE"/>
    <w:rsid w:val="00A57831"/>
    <w:rsid w:val="00A579EB"/>
    <w:rsid w:val="00A57A27"/>
    <w:rsid w:val="00A6166F"/>
    <w:rsid w:val="00A61CA4"/>
    <w:rsid w:val="00A61E2B"/>
    <w:rsid w:val="00A6303B"/>
    <w:rsid w:val="00A63EB6"/>
    <w:rsid w:val="00A640A1"/>
    <w:rsid w:val="00A64565"/>
    <w:rsid w:val="00A64CFC"/>
    <w:rsid w:val="00A65007"/>
    <w:rsid w:val="00A660CC"/>
    <w:rsid w:val="00A6738F"/>
    <w:rsid w:val="00A674CB"/>
    <w:rsid w:val="00A679BB"/>
    <w:rsid w:val="00A703E2"/>
    <w:rsid w:val="00A70D24"/>
    <w:rsid w:val="00A711AE"/>
    <w:rsid w:val="00A71F4D"/>
    <w:rsid w:val="00A73A59"/>
    <w:rsid w:val="00A74EB2"/>
    <w:rsid w:val="00A74F0C"/>
    <w:rsid w:val="00A757CD"/>
    <w:rsid w:val="00A75CCA"/>
    <w:rsid w:val="00A7606B"/>
    <w:rsid w:val="00A7645E"/>
    <w:rsid w:val="00A767BF"/>
    <w:rsid w:val="00A77A50"/>
    <w:rsid w:val="00A818AC"/>
    <w:rsid w:val="00A81CFD"/>
    <w:rsid w:val="00A826E5"/>
    <w:rsid w:val="00A8272E"/>
    <w:rsid w:val="00A838FF"/>
    <w:rsid w:val="00A83BE0"/>
    <w:rsid w:val="00A84361"/>
    <w:rsid w:val="00A84DFC"/>
    <w:rsid w:val="00A862FA"/>
    <w:rsid w:val="00A87A07"/>
    <w:rsid w:val="00A9085C"/>
    <w:rsid w:val="00A91762"/>
    <w:rsid w:val="00A918FA"/>
    <w:rsid w:val="00A9227A"/>
    <w:rsid w:val="00A9277C"/>
    <w:rsid w:val="00A9281D"/>
    <w:rsid w:val="00A94028"/>
    <w:rsid w:val="00A9477F"/>
    <w:rsid w:val="00A94B20"/>
    <w:rsid w:val="00A94E89"/>
    <w:rsid w:val="00A95425"/>
    <w:rsid w:val="00A976D4"/>
    <w:rsid w:val="00A979A7"/>
    <w:rsid w:val="00AA03BB"/>
    <w:rsid w:val="00AA0420"/>
    <w:rsid w:val="00AA0679"/>
    <w:rsid w:val="00AA0C41"/>
    <w:rsid w:val="00AA0DC5"/>
    <w:rsid w:val="00AA239C"/>
    <w:rsid w:val="00AA2B04"/>
    <w:rsid w:val="00AA38C8"/>
    <w:rsid w:val="00AA3B1F"/>
    <w:rsid w:val="00AA406A"/>
    <w:rsid w:val="00AA4BFF"/>
    <w:rsid w:val="00AA53A7"/>
    <w:rsid w:val="00AA589B"/>
    <w:rsid w:val="00AA7118"/>
    <w:rsid w:val="00AA75C3"/>
    <w:rsid w:val="00AB0855"/>
    <w:rsid w:val="00AB0CE1"/>
    <w:rsid w:val="00AB34F8"/>
    <w:rsid w:val="00AB44E7"/>
    <w:rsid w:val="00AB49E8"/>
    <w:rsid w:val="00AB4BB8"/>
    <w:rsid w:val="00AB4F22"/>
    <w:rsid w:val="00AB51D1"/>
    <w:rsid w:val="00AB5AB3"/>
    <w:rsid w:val="00AB6396"/>
    <w:rsid w:val="00AB643F"/>
    <w:rsid w:val="00AB6559"/>
    <w:rsid w:val="00AB6E0B"/>
    <w:rsid w:val="00AB7244"/>
    <w:rsid w:val="00AB7309"/>
    <w:rsid w:val="00AB7328"/>
    <w:rsid w:val="00AC0ACB"/>
    <w:rsid w:val="00AC2264"/>
    <w:rsid w:val="00AC3432"/>
    <w:rsid w:val="00AC47FB"/>
    <w:rsid w:val="00AC4A07"/>
    <w:rsid w:val="00AC6706"/>
    <w:rsid w:val="00AC6CAE"/>
    <w:rsid w:val="00AC7D30"/>
    <w:rsid w:val="00AD0CAF"/>
    <w:rsid w:val="00AD19E7"/>
    <w:rsid w:val="00AD1F1F"/>
    <w:rsid w:val="00AD308A"/>
    <w:rsid w:val="00AD3394"/>
    <w:rsid w:val="00AD38B4"/>
    <w:rsid w:val="00AD41C8"/>
    <w:rsid w:val="00AD446D"/>
    <w:rsid w:val="00AD455A"/>
    <w:rsid w:val="00AD46FD"/>
    <w:rsid w:val="00AD577C"/>
    <w:rsid w:val="00AD591C"/>
    <w:rsid w:val="00AD5F24"/>
    <w:rsid w:val="00AD61E2"/>
    <w:rsid w:val="00AD6F21"/>
    <w:rsid w:val="00AE0321"/>
    <w:rsid w:val="00AE0F75"/>
    <w:rsid w:val="00AE203C"/>
    <w:rsid w:val="00AE2B91"/>
    <w:rsid w:val="00AE2E7A"/>
    <w:rsid w:val="00AE4294"/>
    <w:rsid w:val="00AE4CCE"/>
    <w:rsid w:val="00AE4DA4"/>
    <w:rsid w:val="00AE5290"/>
    <w:rsid w:val="00AE5864"/>
    <w:rsid w:val="00AE6D1B"/>
    <w:rsid w:val="00AE6E0B"/>
    <w:rsid w:val="00AF09D9"/>
    <w:rsid w:val="00AF0DD2"/>
    <w:rsid w:val="00AF1679"/>
    <w:rsid w:val="00AF2BC0"/>
    <w:rsid w:val="00AF3579"/>
    <w:rsid w:val="00AF3A7C"/>
    <w:rsid w:val="00AF3B8D"/>
    <w:rsid w:val="00AF3BDD"/>
    <w:rsid w:val="00AF478C"/>
    <w:rsid w:val="00AF5511"/>
    <w:rsid w:val="00AF6198"/>
    <w:rsid w:val="00AF6246"/>
    <w:rsid w:val="00B00353"/>
    <w:rsid w:val="00B011E8"/>
    <w:rsid w:val="00B029AC"/>
    <w:rsid w:val="00B03C52"/>
    <w:rsid w:val="00B050DE"/>
    <w:rsid w:val="00B0522C"/>
    <w:rsid w:val="00B0552C"/>
    <w:rsid w:val="00B056EF"/>
    <w:rsid w:val="00B0653E"/>
    <w:rsid w:val="00B069BF"/>
    <w:rsid w:val="00B07748"/>
    <w:rsid w:val="00B07BEF"/>
    <w:rsid w:val="00B10139"/>
    <w:rsid w:val="00B101C2"/>
    <w:rsid w:val="00B11671"/>
    <w:rsid w:val="00B11E6F"/>
    <w:rsid w:val="00B13235"/>
    <w:rsid w:val="00B134BA"/>
    <w:rsid w:val="00B136F5"/>
    <w:rsid w:val="00B1370E"/>
    <w:rsid w:val="00B1457E"/>
    <w:rsid w:val="00B14F1D"/>
    <w:rsid w:val="00B15954"/>
    <w:rsid w:val="00B15B1A"/>
    <w:rsid w:val="00B16DB1"/>
    <w:rsid w:val="00B20719"/>
    <w:rsid w:val="00B21273"/>
    <w:rsid w:val="00B21D75"/>
    <w:rsid w:val="00B22951"/>
    <w:rsid w:val="00B233B6"/>
    <w:rsid w:val="00B23AF6"/>
    <w:rsid w:val="00B2468D"/>
    <w:rsid w:val="00B25961"/>
    <w:rsid w:val="00B259CE"/>
    <w:rsid w:val="00B30946"/>
    <w:rsid w:val="00B30E6F"/>
    <w:rsid w:val="00B3244D"/>
    <w:rsid w:val="00B3285E"/>
    <w:rsid w:val="00B331A7"/>
    <w:rsid w:val="00B338D0"/>
    <w:rsid w:val="00B35628"/>
    <w:rsid w:val="00B361B8"/>
    <w:rsid w:val="00B361D3"/>
    <w:rsid w:val="00B3678D"/>
    <w:rsid w:val="00B36964"/>
    <w:rsid w:val="00B36D9C"/>
    <w:rsid w:val="00B37B3D"/>
    <w:rsid w:val="00B402E7"/>
    <w:rsid w:val="00B4063D"/>
    <w:rsid w:val="00B41749"/>
    <w:rsid w:val="00B41A87"/>
    <w:rsid w:val="00B41D1B"/>
    <w:rsid w:val="00B41E3A"/>
    <w:rsid w:val="00B42386"/>
    <w:rsid w:val="00B43793"/>
    <w:rsid w:val="00B43FF0"/>
    <w:rsid w:val="00B44771"/>
    <w:rsid w:val="00B44BF5"/>
    <w:rsid w:val="00B45D84"/>
    <w:rsid w:val="00B465A5"/>
    <w:rsid w:val="00B46BF6"/>
    <w:rsid w:val="00B46C3D"/>
    <w:rsid w:val="00B474C2"/>
    <w:rsid w:val="00B476D6"/>
    <w:rsid w:val="00B5039A"/>
    <w:rsid w:val="00B51186"/>
    <w:rsid w:val="00B523A1"/>
    <w:rsid w:val="00B5307A"/>
    <w:rsid w:val="00B550F5"/>
    <w:rsid w:val="00B5568C"/>
    <w:rsid w:val="00B56D9F"/>
    <w:rsid w:val="00B570DB"/>
    <w:rsid w:val="00B57274"/>
    <w:rsid w:val="00B57704"/>
    <w:rsid w:val="00B60E6A"/>
    <w:rsid w:val="00B61C47"/>
    <w:rsid w:val="00B61EB5"/>
    <w:rsid w:val="00B61FD3"/>
    <w:rsid w:val="00B635F8"/>
    <w:rsid w:val="00B63AB7"/>
    <w:rsid w:val="00B63C33"/>
    <w:rsid w:val="00B63D48"/>
    <w:rsid w:val="00B64A39"/>
    <w:rsid w:val="00B64AED"/>
    <w:rsid w:val="00B658BD"/>
    <w:rsid w:val="00B65B95"/>
    <w:rsid w:val="00B664BB"/>
    <w:rsid w:val="00B66786"/>
    <w:rsid w:val="00B706D9"/>
    <w:rsid w:val="00B70F05"/>
    <w:rsid w:val="00B71215"/>
    <w:rsid w:val="00B72117"/>
    <w:rsid w:val="00B72308"/>
    <w:rsid w:val="00B72580"/>
    <w:rsid w:val="00B72659"/>
    <w:rsid w:val="00B726A9"/>
    <w:rsid w:val="00B72F74"/>
    <w:rsid w:val="00B72FDC"/>
    <w:rsid w:val="00B742B7"/>
    <w:rsid w:val="00B75C14"/>
    <w:rsid w:val="00B775C6"/>
    <w:rsid w:val="00B77608"/>
    <w:rsid w:val="00B77CAA"/>
    <w:rsid w:val="00B80A17"/>
    <w:rsid w:val="00B80A62"/>
    <w:rsid w:val="00B811E6"/>
    <w:rsid w:val="00B8344E"/>
    <w:rsid w:val="00B8423A"/>
    <w:rsid w:val="00B850D6"/>
    <w:rsid w:val="00B85BC4"/>
    <w:rsid w:val="00B85F69"/>
    <w:rsid w:val="00B864B4"/>
    <w:rsid w:val="00B90521"/>
    <w:rsid w:val="00B907C2"/>
    <w:rsid w:val="00B92497"/>
    <w:rsid w:val="00B92CE1"/>
    <w:rsid w:val="00B9311E"/>
    <w:rsid w:val="00B942DA"/>
    <w:rsid w:val="00BA0203"/>
    <w:rsid w:val="00BA02E0"/>
    <w:rsid w:val="00BA062E"/>
    <w:rsid w:val="00BA0B26"/>
    <w:rsid w:val="00BA1350"/>
    <w:rsid w:val="00BA142F"/>
    <w:rsid w:val="00BA2A4E"/>
    <w:rsid w:val="00BA2EA7"/>
    <w:rsid w:val="00BA301A"/>
    <w:rsid w:val="00BA3385"/>
    <w:rsid w:val="00BA5096"/>
    <w:rsid w:val="00BA564A"/>
    <w:rsid w:val="00BA5CE6"/>
    <w:rsid w:val="00BA6098"/>
    <w:rsid w:val="00BA63DA"/>
    <w:rsid w:val="00BA7123"/>
    <w:rsid w:val="00BA7145"/>
    <w:rsid w:val="00BA7C15"/>
    <w:rsid w:val="00BB11F8"/>
    <w:rsid w:val="00BB1959"/>
    <w:rsid w:val="00BB1F53"/>
    <w:rsid w:val="00BB3284"/>
    <w:rsid w:val="00BB33D6"/>
    <w:rsid w:val="00BB40BB"/>
    <w:rsid w:val="00BB4C45"/>
    <w:rsid w:val="00BB5D6E"/>
    <w:rsid w:val="00BB5D88"/>
    <w:rsid w:val="00BB5DAB"/>
    <w:rsid w:val="00BB7C9C"/>
    <w:rsid w:val="00BB7D68"/>
    <w:rsid w:val="00BC13D7"/>
    <w:rsid w:val="00BC14B5"/>
    <w:rsid w:val="00BC17D8"/>
    <w:rsid w:val="00BC4A1F"/>
    <w:rsid w:val="00BC4C4E"/>
    <w:rsid w:val="00BC4F80"/>
    <w:rsid w:val="00BC66B6"/>
    <w:rsid w:val="00BC69F1"/>
    <w:rsid w:val="00BC6F66"/>
    <w:rsid w:val="00BD0956"/>
    <w:rsid w:val="00BD162E"/>
    <w:rsid w:val="00BD23A2"/>
    <w:rsid w:val="00BD2620"/>
    <w:rsid w:val="00BD29CE"/>
    <w:rsid w:val="00BD59A2"/>
    <w:rsid w:val="00BD63F9"/>
    <w:rsid w:val="00BD6503"/>
    <w:rsid w:val="00BD7989"/>
    <w:rsid w:val="00BD7FB4"/>
    <w:rsid w:val="00BE1276"/>
    <w:rsid w:val="00BE1638"/>
    <w:rsid w:val="00BE1EE3"/>
    <w:rsid w:val="00BE2BCC"/>
    <w:rsid w:val="00BE3AB9"/>
    <w:rsid w:val="00BE4600"/>
    <w:rsid w:val="00BE479C"/>
    <w:rsid w:val="00BE538E"/>
    <w:rsid w:val="00BE59E5"/>
    <w:rsid w:val="00BE616A"/>
    <w:rsid w:val="00BE738B"/>
    <w:rsid w:val="00BE74B9"/>
    <w:rsid w:val="00BE7B8C"/>
    <w:rsid w:val="00BF054B"/>
    <w:rsid w:val="00BF08E1"/>
    <w:rsid w:val="00BF0B01"/>
    <w:rsid w:val="00BF2369"/>
    <w:rsid w:val="00BF3F5C"/>
    <w:rsid w:val="00BF3FC9"/>
    <w:rsid w:val="00BF4803"/>
    <w:rsid w:val="00BF70D9"/>
    <w:rsid w:val="00C01B42"/>
    <w:rsid w:val="00C01DA4"/>
    <w:rsid w:val="00C023B7"/>
    <w:rsid w:val="00C03C15"/>
    <w:rsid w:val="00C03FD9"/>
    <w:rsid w:val="00C066DE"/>
    <w:rsid w:val="00C06E4F"/>
    <w:rsid w:val="00C07E4D"/>
    <w:rsid w:val="00C10C84"/>
    <w:rsid w:val="00C11A42"/>
    <w:rsid w:val="00C125EC"/>
    <w:rsid w:val="00C13BB6"/>
    <w:rsid w:val="00C13E33"/>
    <w:rsid w:val="00C1509D"/>
    <w:rsid w:val="00C150C0"/>
    <w:rsid w:val="00C16464"/>
    <w:rsid w:val="00C16B0C"/>
    <w:rsid w:val="00C175ED"/>
    <w:rsid w:val="00C219A6"/>
    <w:rsid w:val="00C220D7"/>
    <w:rsid w:val="00C22527"/>
    <w:rsid w:val="00C22B15"/>
    <w:rsid w:val="00C23A2B"/>
    <w:rsid w:val="00C24A54"/>
    <w:rsid w:val="00C25183"/>
    <w:rsid w:val="00C25440"/>
    <w:rsid w:val="00C25445"/>
    <w:rsid w:val="00C25FF4"/>
    <w:rsid w:val="00C268A8"/>
    <w:rsid w:val="00C26DEE"/>
    <w:rsid w:val="00C278D1"/>
    <w:rsid w:val="00C30383"/>
    <w:rsid w:val="00C30832"/>
    <w:rsid w:val="00C30A3D"/>
    <w:rsid w:val="00C30E1C"/>
    <w:rsid w:val="00C330CA"/>
    <w:rsid w:val="00C33984"/>
    <w:rsid w:val="00C33E93"/>
    <w:rsid w:val="00C34455"/>
    <w:rsid w:val="00C34679"/>
    <w:rsid w:val="00C35259"/>
    <w:rsid w:val="00C3539C"/>
    <w:rsid w:val="00C3557F"/>
    <w:rsid w:val="00C360D3"/>
    <w:rsid w:val="00C3764D"/>
    <w:rsid w:val="00C37910"/>
    <w:rsid w:val="00C37B43"/>
    <w:rsid w:val="00C37D46"/>
    <w:rsid w:val="00C40B32"/>
    <w:rsid w:val="00C413E8"/>
    <w:rsid w:val="00C4157D"/>
    <w:rsid w:val="00C43005"/>
    <w:rsid w:val="00C4482E"/>
    <w:rsid w:val="00C44AB5"/>
    <w:rsid w:val="00C44E1A"/>
    <w:rsid w:val="00C45453"/>
    <w:rsid w:val="00C45806"/>
    <w:rsid w:val="00C45B12"/>
    <w:rsid w:val="00C46E61"/>
    <w:rsid w:val="00C4701D"/>
    <w:rsid w:val="00C4726D"/>
    <w:rsid w:val="00C4753C"/>
    <w:rsid w:val="00C47F05"/>
    <w:rsid w:val="00C50F78"/>
    <w:rsid w:val="00C51641"/>
    <w:rsid w:val="00C51994"/>
    <w:rsid w:val="00C524A5"/>
    <w:rsid w:val="00C52B6C"/>
    <w:rsid w:val="00C52EA5"/>
    <w:rsid w:val="00C52EF6"/>
    <w:rsid w:val="00C53192"/>
    <w:rsid w:val="00C54555"/>
    <w:rsid w:val="00C5500C"/>
    <w:rsid w:val="00C55D1C"/>
    <w:rsid w:val="00C56D87"/>
    <w:rsid w:val="00C571D0"/>
    <w:rsid w:val="00C57AEF"/>
    <w:rsid w:val="00C57C63"/>
    <w:rsid w:val="00C57CD2"/>
    <w:rsid w:val="00C6061A"/>
    <w:rsid w:val="00C6122F"/>
    <w:rsid w:val="00C62105"/>
    <w:rsid w:val="00C6328D"/>
    <w:rsid w:val="00C633A9"/>
    <w:rsid w:val="00C637A1"/>
    <w:rsid w:val="00C63A8B"/>
    <w:rsid w:val="00C641B5"/>
    <w:rsid w:val="00C65322"/>
    <w:rsid w:val="00C6567A"/>
    <w:rsid w:val="00C65AD8"/>
    <w:rsid w:val="00C660ED"/>
    <w:rsid w:val="00C661EC"/>
    <w:rsid w:val="00C669A4"/>
    <w:rsid w:val="00C70316"/>
    <w:rsid w:val="00C71632"/>
    <w:rsid w:val="00C72A15"/>
    <w:rsid w:val="00C75C00"/>
    <w:rsid w:val="00C76451"/>
    <w:rsid w:val="00C76473"/>
    <w:rsid w:val="00C77B40"/>
    <w:rsid w:val="00C80E68"/>
    <w:rsid w:val="00C80F4B"/>
    <w:rsid w:val="00C817A1"/>
    <w:rsid w:val="00C830DB"/>
    <w:rsid w:val="00C8350D"/>
    <w:rsid w:val="00C8395D"/>
    <w:rsid w:val="00C83A12"/>
    <w:rsid w:val="00C84ABD"/>
    <w:rsid w:val="00C85D97"/>
    <w:rsid w:val="00C8674B"/>
    <w:rsid w:val="00C90443"/>
    <w:rsid w:val="00C916E2"/>
    <w:rsid w:val="00C91A72"/>
    <w:rsid w:val="00C91E51"/>
    <w:rsid w:val="00C94DA7"/>
    <w:rsid w:val="00C94EFC"/>
    <w:rsid w:val="00C96192"/>
    <w:rsid w:val="00C96196"/>
    <w:rsid w:val="00C96476"/>
    <w:rsid w:val="00C9648C"/>
    <w:rsid w:val="00C96AC1"/>
    <w:rsid w:val="00C978C2"/>
    <w:rsid w:val="00C97E63"/>
    <w:rsid w:val="00CA0E97"/>
    <w:rsid w:val="00CA1018"/>
    <w:rsid w:val="00CA1D02"/>
    <w:rsid w:val="00CA1E64"/>
    <w:rsid w:val="00CA204E"/>
    <w:rsid w:val="00CA2596"/>
    <w:rsid w:val="00CA27D2"/>
    <w:rsid w:val="00CA2D95"/>
    <w:rsid w:val="00CA3049"/>
    <w:rsid w:val="00CA5120"/>
    <w:rsid w:val="00CA5770"/>
    <w:rsid w:val="00CA584F"/>
    <w:rsid w:val="00CB03BA"/>
    <w:rsid w:val="00CB19F2"/>
    <w:rsid w:val="00CB2030"/>
    <w:rsid w:val="00CB2A48"/>
    <w:rsid w:val="00CB3FF2"/>
    <w:rsid w:val="00CB4630"/>
    <w:rsid w:val="00CB4EE5"/>
    <w:rsid w:val="00CB574F"/>
    <w:rsid w:val="00CB59D2"/>
    <w:rsid w:val="00CB7382"/>
    <w:rsid w:val="00CB7707"/>
    <w:rsid w:val="00CC2B3E"/>
    <w:rsid w:val="00CC4BA0"/>
    <w:rsid w:val="00CC5A6F"/>
    <w:rsid w:val="00CC639B"/>
    <w:rsid w:val="00CC6A74"/>
    <w:rsid w:val="00CC7295"/>
    <w:rsid w:val="00CC7808"/>
    <w:rsid w:val="00CC7991"/>
    <w:rsid w:val="00CD084C"/>
    <w:rsid w:val="00CD11EF"/>
    <w:rsid w:val="00CD13C6"/>
    <w:rsid w:val="00CD1C5F"/>
    <w:rsid w:val="00CD2543"/>
    <w:rsid w:val="00CD5829"/>
    <w:rsid w:val="00CD59B5"/>
    <w:rsid w:val="00CD7254"/>
    <w:rsid w:val="00CE129F"/>
    <w:rsid w:val="00CE197B"/>
    <w:rsid w:val="00CE2A4C"/>
    <w:rsid w:val="00CE3297"/>
    <w:rsid w:val="00CE33D2"/>
    <w:rsid w:val="00CE3493"/>
    <w:rsid w:val="00CE4358"/>
    <w:rsid w:val="00CE4D63"/>
    <w:rsid w:val="00CE61DD"/>
    <w:rsid w:val="00CE6234"/>
    <w:rsid w:val="00CE68AD"/>
    <w:rsid w:val="00CE69F3"/>
    <w:rsid w:val="00CE78F3"/>
    <w:rsid w:val="00CF07F9"/>
    <w:rsid w:val="00CF0BDE"/>
    <w:rsid w:val="00CF26E0"/>
    <w:rsid w:val="00CF27E9"/>
    <w:rsid w:val="00CF297F"/>
    <w:rsid w:val="00CF364C"/>
    <w:rsid w:val="00CF491E"/>
    <w:rsid w:val="00CF5B1A"/>
    <w:rsid w:val="00CF5EF9"/>
    <w:rsid w:val="00CF6441"/>
    <w:rsid w:val="00CF7073"/>
    <w:rsid w:val="00CF7FCF"/>
    <w:rsid w:val="00D00234"/>
    <w:rsid w:val="00D00A7E"/>
    <w:rsid w:val="00D01277"/>
    <w:rsid w:val="00D01FE5"/>
    <w:rsid w:val="00D03ECD"/>
    <w:rsid w:val="00D05828"/>
    <w:rsid w:val="00D05DAE"/>
    <w:rsid w:val="00D067D2"/>
    <w:rsid w:val="00D06BCF"/>
    <w:rsid w:val="00D125B0"/>
    <w:rsid w:val="00D12646"/>
    <w:rsid w:val="00D13011"/>
    <w:rsid w:val="00D139FD"/>
    <w:rsid w:val="00D13FB5"/>
    <w:rsid w:val="00D15850"/>
    <w:rsid w:val="00D15A5D"/>
    <w:rsid w:val="00D15B63"/>
    <w:rsid w:val="00D15EF9"/>
    <w:rsid w:val="00D16571"/>
    <w:rsid w:val="00D175DF"/>
    <w:rsid w:val="00D1760E"/>
    <w:rsid w:val="00D203D4"/>
    <w:rsid w:val="00D2313B"/>
    <w:rsid w:val="00D2424A"/>
    <w:rsid w:val="00D246DF"/>
    <w:rsid w:val="00D25158"/>
    <w:rsid w:val="00D25C84"/>
    <w:rsid w:val="00D26167"/>
    <w:rsid w:val="00D30848"/>
    <w:rsid w:val="00D3123A"/>
    <w:rsid w:val="00D3138A"/>
    <w:rsid w:val="00D31838"/>
    <w:rsid w:val="00D3253C"/>
    <w:rsid w:val="00D3279B"/>
    <w:rsid w:val="00D35870"/>
    <w:rsid w:val="00D35ABE"/>
    <w:rsid w:val="00D361D7"/>
    <w:rsid w:val="00D368B6"/>
    <w:rsid w:val="00D40319"/>
    <w:rsid w:val="00D413CD"/>
    <w:rsid w:val="00D414ED"/>
    <w:rsid w:val="00D417B2"/>
    <w:rsid w:val="00D42B23"/>
    <w:rsid w:val="00D42ECB"/>
    <w:rsid w:val="00D431ED"/>
    <w:rsid w:val="00D43292"/>
    <w:rsid w:val="00D45500"/>
    <w:rsid w:val="00D4665A"/>
    <w:rsid w:val="00D50F12"/>
    <w:rsid w:val="00D51526"/>
    <w:rsid w:val="00D51F7D"/>
    <w:rsid w:val="00D5240D"/>
    <w:rsid w:val="00D52788"/>
    <w:rsid w:val="00D52E51"/>
    <w:rsid w:val="00D537C1"/>
    <w:rsid w:val="00D55F7A"/>
    <w:rsid w:val="00D55FEB"/>
    <w:rsid w:val="00D5624F"/>
    <w:rsid w:val="00D562F3"/>
    <w:rsid w:val="00D56630"/>
    <w:rsid w:val="00D57F48"/>
    <w:rsid w:val="00D6059A"/>
    <w:rsid w:val="00D609BA"/>
    <w:rsid w:val="00D60E72"/>
    <w:rsid w:val="00D610FF"/>
    <w:rsid w:val="00D61311"/>
    <w:rsid w:val="00D61355"/>
    <w:rsid w:val="00D61FD6"/>
    <w:rsid w:val="00D620FD"/>
    <w:rsid w:val="00D62437"/>
    <w:rsid w:val="00D62C58"/>
    <w:rsid w:val="00D65042"/>
    <w:rsid w:val="00D6678E"/>
    <w:rsid w:val="00D670EC"/>
    <w:rsid w:val="00D71491"/>
    <w:rsid w:val="00D73B66"/>
    <w:rsid w:val="00D7463E"/>
    <w:rsid w:val="00D74746"/>
    <w:rsid w:val="00D75015"/>
    <w:rsid w:val="00D75DEE"/>
    <w:rsid w:val="00D7631C"/>
    <w:rsid w:val="00D76640"/>
    <w:rsid w:val="00D771C1"/>
    <w:rsid w:val="00D80264"/>
    <w:rsid w:val="00D80663"/>
    <w:rsid w:val="00D8070E"/>
    <w:rsid w:val="00D80AB5"/>
    <w:rsid w:val="00D82AE8"/>
    <w:rsid w:val="00D82B11"/>
    <w:rsid w:val="00D85BE9"/>
    <w:rsid w:val="00D85F6A"/>
    <w:rsid w:val="00D86652"/>
    <w:rsid w:val="00D86CFB"/>
    <w:rsid w:val="00D876A4"/>
    <w:rsid w:val="00D90262"/>
    <w:rsid w:val="00D90F59"/>
    <w:rsid w:val="00D914C3"/>
    <w:rsid w:val="00D91698"/>
    <w:rsid w:val="00D91DB4"/>
    <w:rsid w:val="00D9236D"/>
    <w:rsid w:val="00D94C12"/>
    <w:rsid w:val="00D9696C"/>
    <w:rsid w:val="00D97249"/>
    <w:rsid w:val="00D9775F"/>
    <w:rsid w:val="00DA09E5"/>
    <w:rsid w:val="00DA2625"/>
    <w:rsid w:val="00DA32F7"/>
    <w:rsid w:val="00DA44E7"/>
    <w:rsid w:val="00DA5246"/>
    <w:rsid w:val="00DA5904"/>
    <w:rsid w:val="00DA5911"/>
    <w:rsid w:val="00DA6462"/>
    <w:rsid w:val="00DA659F"/>
    <w:rsid w:val="00DA6D8D"/>
    <w:rsid w:val="00DA7E59"/>
    <w:rsid w:val="00DB07EB"/>
    <w:rsid w:val="00DB0AD8"/>
    <w:rsid w:val="00DB1161"/>
    <w:rsid w:val="00DB2062"/>
    <w:rsid w:val="00DB5321"/>
    <w:rsid w:val="00DB5AC0"/>
    <w:rsid w:val="00DB608F"/>
    <w:rsid w:val="00DB7183"/>
    <w:rsid w:val="00DB776B"/>
    <w:rsid w:val="00DC03CD"/>
    <w:rsid w:val="00DC1125"/>
    <w:rsid w:val="00DC1CDA"/>
    <w:rsid w:val="00DC2493"/>
    <w:rsid w:val="00DC2BE1"/>
    <w:rsid w:val="00DC2C88"/>
    <w:rsid w:val="00DC3D91"/>
    <w:rsid w:val="00DC400E"/>
    <w:rsid w:val="00DC4DF9"/>
    <w:rsid w:val="00DC553F"/>
    <w:rsid w:val="00DC65EE"/>
    <w:rsid w:val="00DC750E"/>
    <w:rsid w:val="00DD0D15"/>
    <w:rsid w:val="00DD18CE"/>
    <w:rsid w:val="00DD24EE"/>
    <w:rsid w:val="00DD3779"/>
    <w:rsid w:val="00DD40A0"/>
    <w:rsid w:val="00DD642F"/>
    <w:rsid w:val="00DD6BE7"/>
    <w:rsid w:val="00DD6F90"/>
    <w:rsid w:val="00DD7805"/>
    <w:rsid w:val="00DE0112"/>
    <w:rsid w:val="00DE149B"/>
    <w:rsid w:val="00DE2935"/>
    <w:rsid w:val="00DE2E28"/>
    <w:rsid w:val="00DE407F"/>
    <w:rsid w:val="00DE5238"/>
    <w:rsid w:val="00DE58E8"/>
    <w:rsid w:val="00DE6658"/>
    <w:rsid w:val="00DE6882"/>
    <w:rsid w:val="00DE6F54"/>
    <w:rsid w:val="00DF0D83"/>
    <w:rsid w:val="00DF1164"/>
    <w:rsid w:val="00DF1346"/>
    <w:rsid w:val="00DF1451"/>
    <w:rsid w:val="00DF15CD"/>
    <w:rsid w:val="00DF20F5"/>
    <w:rsid w:val="00DF42B1"/>
    <w:rsid w:val="00DF46AF"/>
    <w:rsid w:val="00DF4F98"/>
    <w:rsid w:val="00DF76D9"/>
    <w:rsid w:val="00E00AB6"/>
    <w:rsid w:val="00E00ADC"/>
    <w:rsid w:val="00E01F3B"/>
    <w:rsid w:val="00E025C6"/>
    <w:rsid w:val="00E03DF2"/>
    <w:rsid w:val="00E05C15"/>
    <w:rsid w:val="00E06ECF"/>
    <w:rsid w:val="00E1197D"/>
    <w:rsid w:val="00E12254"/>
    <w:rsid w:val="00E1241D"/>
    <w:rsid w:val="00E12669"/>
    <w:rsid w:val="00E127EB"/>
    <w:rsid w:val="00E133D4"/>
    <w:rsid w:val="00E13741"/>
    <w:rsid w:val="00E16278"/>
    <w:rsid w:val="00E202CE"/>
    <w:rsid w:val="00E20FFA"/>
    <w:rsid w:val="00E21BE4"/>
    <w:rsid w:val="00E22D89"/>
    <w:rsid w:val="00E22ED8"/>
    <w:rsid w:val="00E234C8"/>
    <w:rsid w:val="00E23C30"/>
    <w:rsid w:val="00E247E1"/>
    <w:rsid w:val="00E24882"/>
    <w:rsid w:val="00E250D5"/>
    <w:rsid w:val="00E254CB"/>
    <w:rsid w:val="00E26121"/>
    <w:rsid w:val="00E269C4"/>
    <w:rsid w:val="00E26BE9"/>
    <w:rsid w:val="00E302BF"/>
    <w:rsid w:val="00E30FAC"/>
    <w:rsid w:val="00E31D7E"/>
    <w:rsid w:val="00E33421"/>
    <w:rsid w:val="00E336BB"/>
    <w:rsid w:val="00E33727"/>
    <w:rsid w:val="00E34AC6"/>
    <w:rsid w:val="00E353AE"/>
    <w:rsid w:val="00E36BFB"/>
    <w:rsid w:val="00E373BD"/>
    <w:rsid w:val="00E40DDA"/>
    <w:rsid w:val="00E42879"/>
    <w:rsid w:val="00E42C5C"/>
    <w:rsid w:val="00E43B81"/>
    <w:rsid w:val="00E4517F"/>
    <w:rsid w:val="00E45C24"/>
    <w:rsid w:val="00E45FFF"/>
    <w:rsid w:val="00E46A0F"/>
    <w:rsid w:val="00E46B41"/>
    <w:rsid w:val="00E46C02"/>
    <w:rsid w:val="00E46DAB"/>
    <w:rsid w:val="00E477F4"/>
    <w:rsid w:val="00E47D4B"/>
    <w:rsid w:val="00E47D56"/>
    <w:rsid w:val="00E500C7"/>
    <w:rsid w:val="00E52B60"/>
    <w:rsid w:val="00E53045"/>
    <w:rsid w:val="00E53664"/>
    <w:rsid w:val="00E56B4F"/>
    <w:rsid w:val="00E56C44"/>
    <w:rsid w:val="00E60141"/>
    <w:rsid w:val="00E6083C"/>
    <w:rsid w:val="00E616E2"/>
    <w:rsid w:val="00E6433C"/>
    <w:rsid w:val="00E65DE8"/>
    <w:rsid w:val="00E67F88"/>
    <w:rsid w:val="00E70873"/>
    <w:rsid w:val="00E70A31"/>
    <w:rsid w:val="00E71214"/>
    <w:rsid w:val="00E71820"/>
    <w:rsid w:val="00E728AC"/>
    <w:rsid w:val="00E72E4B"/>
    <w:rsid w:val="00E73312"/>
    <w:rsid w:val="00E7345D"/>
    <w:rsid w:val="00E7383D"/>
    <w:rsid w:val="00E746EE"/>
    <w:rsid w:val="00E747D1"/>
    <w:rsid w:val="00E76CF9"/>
    <w:rsid w:val="00E77D9E"/>
    <w:rsid w:val="00E8161B"/>
    <w:rsid w:val="00E8179F"/>
    <w:rsid w:val="00E817AA"/>
    <w:rsid w:val="00E821C9"/>
    <w:rsid w:val="00E821F4"/>
    <w:rsid w:val="00E82A05"/>
    <w:rsid w:val="00E82C8C"/>
    <w:rsid w:val="00E8386D"/>
    <w:rsid w:val="00E83FBE"/>
    <w:rsid w:val="00E855F4"/>
    <w:rsid w:val="00E86F6E"/>
    <w:rsid w:val="00E90212"/>
    <w:rsid w:val="00E90699"/>
    <w:rsid w:val="00E906F6"/>
    <w:rsid w:val="00E90B73"/>
    <w:rsid w:val="00E90D95"/>
    <w:rsid w:val="00E90E72"/>
    <w:rsid w:val="00E92173"/>
    <w:rsid w:val="00E9316F"/>
    <w:rsid w:val="00E93724"/>
    <w:rsid w:val="00E94471"/>
    <w:rsid w:val="00E9492F"/>
    <w:rsid w:val="00E949BF"/>
    <w:rsid w:val="00E94FC6"/>
    <w:rsid w:val="00E9529F"/>
    <w:rsid w:val="00E95E4F"/>
    <w:rsid w:val="00E96856"/>
    <w:rsid w:val="00E973E1"/>
    <w:rsid w:val="00E977BA"/>
    <w:rsid w:val="00E97E83"/>
    <w:rsid w:val="00E97EDB"/>
    <w:rsid w:val="00EA0BEC"/>
    <w:rsid w:val="00EA13DA"/>
    <w:rsid w:val="00EA193F"/>
    <w:rsid w:val="00EA1AE9"/>
    <w:rsid w:val="00EA263A"/>
    <w:rsid w:val="00EA3F73"/>
    <w:rsid w:val="00EA3FF0"/>
    <w:rsid w:val="00EA4693"/>
    <w:rsid w:val="00EA46DC"/>
    <w:rsid w:val="00EA47F5"/>
    <w:rsid w:val="00EA484B"/>
    <w:rsid w:val="00EA5C2F"/>
    <w:rsid w:val="00EA7AA7"/>
    <w:rsid w:val="00EB0890"/>
    <w:rsid w:val="00EB0D20"/>
    <w:rsid w:val="00EB20C0"/>
    <w:rsid w:val="00EB2339"/>
    <w:rsid w:val="00EB248A"/>
    <w:rsid w:val="00EB2737"/>
    <w:rsid w:val="00EB2DD0"/>
    <w:rsid w:val="00EB568D"/>
    <w:rsid w:val="00EB5869"/>
    <w:rsid w:val="00EB5B0E"/>
    <w:rsid w:val="00EB67D4"/>
    <w:rsid w:val="00EB7953"/>
    <w:rsid w:val="00EB7B8D"/>
    <w:rsid w:val="00EC0280"/>
    <w:rsid w:val="00EC13EE"/>
    <w:rsid w:val="00EC1974"/>
    <w:rsid w:val="00EC2DAC"/>
    <w:rsid w:val="00EC2DE1"/>
    <w:rsid w:val="00EC3473"/>
    <w:rsid w:val="00EC3805"/>
    <w:rsid w:val="00EC52D2"/>
    <w:rsid w:val="00EC55CD"/>
    <w:rsid w:val="00EC626F"/>
    <w:rsid w:val="00EC6761"/>
    <w:rsid w:val="00EC6762"/>
    <w:rsid w:val="00EC6FF7"/>
    <w:rsid w:val="00EC7773"/>
    <w:rsid w:val="00ED0494"/>
    <w:rsid w:val="00ED04F8"/>
    <w:rsid w:val="00ED0544"/>
    <w:rsid w:val="00ED0957"/>
    <w:rsid w:val="00ED163C"/>
    <w:rsid w:val="00ED20A9"/>
    <w:rsid w:val="00ED22C2"/>
    <w:rsid w:val="00ED23F4"/>
    <w:rsid w:val="00ED2957"/>
    <w:rsid w:val="00ED4714"/>
    <w:rsid w:val="00ED4FC5"/>
    <w:rsid w:val="00ED56CB"/>
    <w:rsid w:val="00ED68D6"/>
    <w:rsid w:val="00ED6925"/>
    <w:rsid w:val="00ED6D26"/>
    <w:rsid w:val="00ED7A10"/>
    <w:rsid w:val="00EE0125"/>
    <w:rsid w:val="00EE051F"/>
    <w:rsid w:val="00EE10FD"/>
    <w:rsid w:val="00EE1524"/>
    <w:rsid w:val="00EE3187"/>
    <w:rsid w:val="00EE32ED"/>
    <w:rsid w:val="00EE360F"/>
    <w:rsid w:val="00EE397A"/>
    <w:rsid w:val="00EE65E3"/>
    <w:rsid w:val="00EE6660"/>
    <w:rsid w:val="00EE6DA8"/>
    <w:rsid w:val="00EE7056"/>
    <w:rsid w:val="00EE7690"/>
    <w:rsid w:val="00EE7E39"/>
    <w:rsid w:val="00EF01A6"/>
    <w:rsid w:val="00EF2B62"/>
    <w:rsid w:val="00EF35FC"/>
    <w:rsid w:val="00EF3A95"/>
    <w:rsid w:val="00EF4BC5"/>
    <w:rsid w:val="00EF5D7B"/>
    <w:rsid w:val="00EF6038"/>
    <w:rsid w:val="00EF68E9"/>
    <w:rsid w:val="00EF6A3B"/>
    <w:rsid w:val="00EF78A7"/>
    <w:rsid w:val="00EF7D2C"/>
    <w:rsid w:val="00F002E0"/>
    <w:rsid w:val="00F01865"/>
    <w:rsid w:val="00F02C8F"/>
    <w:rsid w:val="00F02F46"/>
    <w:rsid w:val="00F03C7D"/>
    <w:rsid w:val="00F03E24"/>
    <w:rsid w:val="00F04599"/>
    <w:rsid w:val="00F04A34"/>
    <w:rsid w:val="00F04C7E"/>
    <w:rsid w:val="00F05B35"/>
    <w:rsid w:val="00F0619F"/>
    <w:rsid w:val="00F065E1"/>
    <w:rsid w:val="00F06D3D"/>
    <w:rsid w:val="00F07C54"/>
    <w:rsid w:val="00F10718"/>
    <w:rsid w:val="00F107E5"/>
    <w:rsid w:val="00F109ED"/>
    <w:rsid w:val="00F10E4C"/>
    <w:rsid w:val="00F111FA"/>
    <w:rsid w:val="00F1132F"/>
    <w:rsid w:val="00F120D4"/>
    <w:rsid w:val="00F12C52"/>
    <w:rsid w:val="00F142C7"/>
    <w:rsid w:val="00F14608"/>
    <w:rsid w:val="00F14D35"/>
    <w:rsid w:val="00F1566B"/>
    <w:rsid w:val="00F16151"/>
    <w:rsid w:val="00F164A8"/>
    <w:rsid w:val="00F1699F"/>
    <w:rsid w:val="00F2154B"/>
    <w:rsid w:val="00F21954"/>
    <w:rsid w:val="00F241E6"/>
    <w:rsid w:val="00F257D7"/>
    <w:rsid w:val="00F266ED"/>
    <w:rsid w:val="00F26960"/>
    <w:rsid w:val="00F26AFA"/>
    <w:rsid w:val="00F27C36"/>
    <w:rsid w:val="00F30869"/>
    <w:rsid w:val="00F3298D"/>
    <w:rsid w:val="00F32FAA"/>
    <w:rsid w:val="00F34742"/>
    <w:rsid w:val="00F3512E"/>
    <w:rsid w:val="00F35B78"/>
    <w:rsid w:val="00F36029"/>
    <w:rsid w:val="00F36930"/>
    <w:rsid w:val="00F36D80"/>
    <w:rsid w:val="00F36E5C"/>
    <w:rsid w:val="00F37238"/>
    <w:rsid w:val="00F3731A"/>
    <w:rsid w:val="00F37F36"/>
    <w:rsid w:val="00F404D4"/>
    <w:rsid w:val="00F4141A"/>
    <w:rsid w:val="00F41B71"/>
    <w:rsid w:val="00F42601"/>
    <w:rsid w:val="00F44947"/>
    <w:rsid w:val="00F44ED5"/>
    <w:rsid w:val="00F4618A"/>
    <w:rsid w:val="00F46F96"/>
    <w:rsid w:val="00F50644"/>
    <w:rsid w:val="00F508A6"/>
    <w:rsid w:val="00F50945"/>
    <w:rsid w:val="00F50AC4"/>
    <w:rsid w:val="00F52125"/>
    <w:rsid w:val="00F53CF1"/>
    <w:rsid w:val="00F53E33"/>
    <w:rsid w:val="00F547EF"/>
    <w:rsid w:val="00F57071"/>
    <w:rsid w:val="00F573E6"/>
    <w:rsid w:val="00F60903"/>
    <w:rsid w:val="00F60F99"/>
    <w:rsid w:val="00F621B1"/>
    <w:rsid w:val="00F62400"/>
    <w:rsid w:val="00F62FFF"/>
    <w:rsid w:val="00F63218"/>
    <w:rsid w:val="00F63F39"/>
    <w:rsid w:val="00F642BF"/>
    <w:rsid w:val="00F64887"/>
    <w:rsid w:val="00F66E3B"/>
    <w:rsid w:val="00F67762"/>
    <w:rsid w:val="00F7156A"/>
    <w:rsid w:val="00F71AF7"/>
    <w:rsid w:val="00F7394A"/>
    <w:rsid w:val="00F73ED6"/>
    <w:rsid w:val="00F741FD"/>
    <w:rsid w:val="00F74EF8"/>
    <w:rsid w:val="00F756EF"/>
    <w:rsid w:val="00F75C9C"/>
    <w:rsid w:val="00F75D24"/>
    <w:rsid w:val="00F766DC"/>
    <w:rsid w:val="00F775DA"/>
    <w:rsid w:val="00F8162A"/>
    <w:rsid w:val="00F81D2D"/>
    <w:rsid w:val="00F8231E"/>
    <w:rsid w:val="00F82468"/>
    <w:rsid w:val="00F83779"/>
    <w:rsid w:val="00F83936"/>
    <w:rsid w:val="00F85950"/>
    <w:rsid w:val="00F862E9"/>
    <w:rsid w:val="00F8687D"/>
    <w:rsid w:val="00F87006"/>
    <w:rsid w:val="00F90370"/>
    <w:rsid w:val="00F94687"/>
    <w:rsid w:val="00F94818"/>
    <w:rsid w:val="00F94D8C"/>
    <w:rsid w:val="00F95507"/>
    <w:rsid w:val="00F95C35"/>
    <w:rsid w:val="00F95CFE"/>
    <w:rsid w:val="00F96D81"/>
    <w:rsid w:val="00F9735B"/>
    <w:rsid w:val="00F978C1"/>
    <w:rsid w:val="00FA02BD"/>
    <w:rsid w:val="00FA07A5"/>
    <w:rsid w:val="00FA1119"/>
    <w:rsid w:val="00FA15F5"/>
    <w:rsid w:val="00FA211D"/>
    <w:rsid w:val="00FA291D"/>
    <w:rsid w:val="00FA3217"/>
    <w:rsid w:val="00FA33DD"/>
    <w:rsid w:val="00FA3A1D"/>
    <w:rsid w:val="00FA3B8D"/>
    <w:rsid w:val="00FA4110"/>
    <w:rsid w:val="00FA6096"/>
    <w:rsid w:val="00FA7E56"/>
    <w:rsid w:val="00FB168B"/>
    <w:rsid w:val="00FB419E"/>
    <w:rsid w:val="00FB4AB6"/>
    <w:rsid w:val="00FB5891"/>
    <w:rsid w:val="00FB5D60"/>
    <w:rsid w:val="00FB5E0A"/>
    <w:rsid w:val="00FB611D"/>
    <w:rsid w:val="00FB7BEB"/>
    <w:rsid w:val="00FC00BE"/>
    <w:rsid w:val="00FC0A44"/>
    <w:rsid w:val="00FC13E5"/>
    <w:rsid w:val="00FC1C68"/>
    <w:rsid w:val="00FC1D60"/>
    <w:rsid w:val="00FC253B"/>
    <w:rsid w:val="00FC3048"/>
    <w:rsid w:val="00FC3243"/>
    <w:rsid w:val="00FC3425"/>
    <w:rsid w:val="00FC3B81"/>
    <w:rsid w:val="00FC4155"/>
    <w:rsid w:val="00FC4C23"/>
    <w:rsid w:val="00FC4E96"/>
    <w:rsid w:val="00FC6F4F"/>
    <w:rsid w:val="00FC796F"/>
    <w:rsid w:val="00FC7DF8"/>
    <w:rsid w:val="00FD058A"/>
    <w:rsid w:val="00FD0FC1"/>
    <w:rsid w:val="00FD1744"/>
    <w:rsid w:val="00FD202B"/>
    <w:rsid w:val="00FD2061"/>
    <w:rsid w:val="00FD2157"/>
    <w:rsid w:val="00FD557D"/>
    <w:rsid w:val="00FD5699"/>
    <w:rsid w:val="00FD580B"/>
    <w:rsid w:val="00FD60F7"/>
    <w:rsid w:val="00FD6542"/>
    <w:rsid w:val="00FD70CD"/>
    <w:rsid w:val="00FD751D"/>
    <w:rsid w:val="00FE1109"/>
    <w:rsid w:val="00FE256A"/>
    <w:rsid w:val="00FE3DA6"/>
    <w:rsid w:val="00FE4209"/>
    <w:rsid w:val="00FE4298"/>
    <w:rsid w:val="00FE5994"/>
    <w:rsid w:val="00FE5D6B"/>
    <w:rsid w:val="00FE61AD"/>
    <w:rsid w:val="00FE65F5"/>
    <w:rsid w:val="00FE7086"/>
    <w:rsid w:val="00FE74A7"/>
    <w:rsid w:val="00FF1458"/>
    <w:rsid w:val="00FF14B0"/>
    <w:rsid w:val="00FF251D"/>
    <w:rsid w:val="00FF39B0"/>
    <w:rsid w:val="00FF3ABA"/>
    <w:rsid w:val="00FF44EB"/>
    <w:rsid w:val="00FF46A9"/>
    <w:rsid w:val="00FF54FF"/>
    <w:rsid w:val="00FF6EF2"/>
    <w:rsid w:val="00FF76CF"/>
    <w:rsid w:val="00FF78FC"/>
    <w:rsid w:val="01935D09"/>
    <w:rsid w:val="01A819DB"/>
    <w:rsid w:val="03324729"/>
    <w:rsid w:val="033A0C2B"/>
    <w:rsid w:val="034628C5"/>
    <w:rsid w:val="03FF6272"/>
    <w:rsid w:val="048E3A0A"/>
    <w:rsid w:val="059953BF"/>
    <w:rsid w:val="05A94843"/>
    <w:rsid w:val="05F132AE"/>
    <w:rsid w:val="060342CD"/>
    <w:rsid w:val="07341146"/>
    <w:rsid w:val="081A0E00"/>
    <w:rsid w:val="09041F23"/>
    <w:rsid w:val="095E6885"/>
    <w:rsid w:val="0A6024B9"/>
    <w:rsid w:val="0A6F4936"/>
    <w:rsid w:val="0AF92FFD"/>
    <w:rsid w:val="0B2509F6"/>
    <w:rsid w:val="0C2C32DA"/>
    <w:rsid w:val="0C4E2658"/>
    <w:rsid w:val="0D243A32"/>
    <w:rsid w:val="0D815DD4"/>
    <w:rsid w:val="0EAB3CCD"/>
    <w:rsid w:val="0F1D3938"/>
    <w:rsid w:val="0F794DF1"/>
    <w:rsid w:val="0FB155D7"/>
    <w:rsid w:val="101E5B5C"/>
    <w:rsid w:val="105A7CF8"/>
    <w:rsid w:val="10AE73EC"/>
    <w:rsid w:val="11AD150E"/>
    <w:rsid w:val="11DB27DD"/>
    <w:rsid w:val="11E5626B"/>
    <w:rsid w:val="125735A8"/>
    <w:rsid w:val="13280584"/>
    <w:rsid w:val="138C102F"/>
    <w:rsid w:val="139E738B"/>
    <w:rsid w:val="13E16B2F"/>
    <w:rsid w:val="1444244B"/>
    <w:rsid w:val="14E135FC"/>
    <w:rsid w:val="152564B7"/>
    <w:rsid w:val="152B69EC"/>
    <w:rsid w:val="16257519"/>
    <w:rsid w:val="169638D8"/>
    <w:rsid w:val="17984D9C"/>
    <w:rsid w:val="17AE3C6A"/>
    <w:rsid w:val="17C10D87"/>
    <w:rsid w:val="17E51656"/>
    <w:rsid w:val="18037974"/>
    <w:rsid w:val="181D2B9D"/>
    <w:rsid w:val="188D1AD1"/>
    <w:rsid w:val="199F18D3"/>
    <w:rsid w:val="1A0670CF"/>
    <w:rsid w:val="1A0D25AF"/>
    <w:rsid w:val="1AA32570"/>
    <w:rsid w:val="1ABE0E22"/>
    <w:rsid w:val="1AEC6857"/>
    <w:rsid w:val="1B362BF4"/>
    <w:rsid w:val="1BB13D28"/>
    <w:rsid w:val="1C4A05F8"/>
    <w:rsid w:val="1C551074"/>
    <w:rsid w:val="1C752FA8"/>
    <w:rsid w:val="1C757C23"/>
    <w:rsid w:val="1D7F002D"/>
    <w:rsid w:val="1D935D50"/>
    <w:rsid w:val="1DDA2008"/>
    <w:rsid w:val="1DE26556"/>
    <w:rsid w:val="1E58492F"/>
    <w:rsid w:val="1E5F5CBE"/>
    <w:rsid w:val="1E5F6569"/>
    <w:rsid w:val="1EDF44F4"/>
    <w:rsid w:val="1EFE1A90"/>
    <w:rsid w:val="1F1C1D26"/>
    <w:rsid w:val="1F2E5690"/>
    <w:rsid w:val="1F5E479D"/>
    <w:rsid w:val="1F971317"/>
    <w:rsid w:val="1FEB076F"/>
    <w:rsid w:val="201176A9"/>
    <w:rsid w:val="20B224FC"/>
    <w:rsid w:val="20F54685"/>
    <w:rsid w:val="217C0A1F"/>
    <w:rsid w:val="21C20780"/>
    <w:rsid w:val="21C809C2"/>
    <w:rsid w:val="22904F3D"/>
    <w:rsid w:val="22AB790B"/>
    <w:rsid w:val="22E65BCC"/>
    <w:rsid w:val="232F7AC8"/>
    <w:rsid w:val="238C5C8C"/>
    <w:rsid w:val="23EC412E"/>
    <w:rsid w:val="24612AB0"/>
    <w:rsid w:val="254622A5"/>
    <w:rsid w:val="25485BB9"/>
    <w:rsid w:val="25627E42"/>
    <w:rsid w:val="25973F8F"/>
    <w:rsid w:val="266B4045"/>
    <w:rsid w:val="26970113"/>
    <w:rsid w:val="26F15921"/>
    <w:rsid w:val="27AA5AD0"/>
    <w:rsid w:val="27FA0D7D"/>
    <w:rsid w:val="28100029"/>
    <w:rsid w:val="282028E2"/>
    <w:rsid w:val="283F41D5"/>
    <w:rsid w:val="28933425"/>
    <w:rsid w:val="28D13639"/>
    <w:rsid w:val="28E76FDC"/>
    <w:rsid w:val="28F2772E"/>
    <w:rsid w:val="296A19BB"/>
    <w:rsid w:val="29880127"/>
    <w:rsid w:val="29A44C76"/>
    <w:rsid w:val="29DA08EE"/>
    <w:rsid w:val="29DB01C2"/>
    <w:rsid w:val="29E503DA"/>
    <w:rsid w:val="2A0140CD"/>
    <w:rsid w:val="2A033781"/>
    <w:rsid w:val="2A2B429D"/>
    <w:rsid w:val="2A777809"/>
    <w:rsid w:val="2A7D7F8A"/>
    <w:rsid w:val="2A81520E"/>
    <w:rsid w:val="2B376D5B"/>
    <w:rsid w:val="2B6E261E"/>
    <w:rsid w:val="2BD575BF"/>
    <w:rsid w:val="2C182496"/>
    <w:rsid w:val="2CE13D42"/>
    <w:rsid w:val="2CFB44A5"/>
    <w:rsid w:val="2D3E7249"/>
    <w:rsid w:val="2D7E5A35"/>
    <w:rsid w:val="2DA36015"/>
    <w:rsid w:val="2DA7239E"/>
    <w:rsid w:val="2DBE3B18"/>
    <w:rsid w:val="2E246914"/>
    <w:rsid w:val="2E2C36E3"/>
    <w:rsid w:val="2ECD1D43"/>
    <w:rsid w:val="2F33417F"/>
    <w:rsid w:val="2F3407C1"/>
    <w:rsid w:val="3069477A"/>
    <w:rsid w:val="30782CD4"/>
    <w:rsid w:val="30E27D44"/>
    <w:rsid w:val="311E1BDB"/>
    <w:rsid w:val="31633586"/>
    <w:rsid w:val="316D029A"/>
    <w:rsid w:val="31A62204"/>
    <w:rsid w:val="31AC410D"/>
    <w:rsid w:val="327F2033"/>
    <w:rsid w:val="32C50561"/>
    <w:rsid w:val="32CC2D9E"/>
    <w:rsid w:val="33291F9F"/>
    <w:rsid w:val="33A45AC9"/>
    <w:rsid w:val="33C521FE"/>
    <w:rsid w:val="33E317AE"/>
    <w:rsid w:val="33EB2DC4"/>
    <w:rsid w:val="34886950"/>
    <w:rsid w:val="34C401D1"/>
    <w:rsid w:val="35605EF6"/>
    <w:rsid w:val="35AD5109"/>
    <w:rsid w:val="35EB3E83"/>
    <w:rsid w:val="360C62D3"/>
    <w:rsid w:val="361A2073"/>
    <w:rsid w:val="36A93B22"/>
    <w:rsid w:val="36C67C09"/>
    <w:rsid w:val="36E80182"/>
    <w:rsid w:val="36EB1C0D"/>
    <w:rsid w:val="377A726D"/>
    <w:rsid w:val="37845F71"/>
    <w:rsid w:val="378D4986"/>
    <w:rsid w:val="37D2094E"/>
    <w:rsid w:val="38176E9C"/>
    <w:rsid w:val="38312021"/>
    <w:rsid w:val="386F1159"/>
    <w:rsid w:val="38AE3672"/>
    <w:rsid w:val="38DD5D05"/>
    <w:rsid w:val="390B1593"/>
    <w:rsid w:val="391B4A7F"/>
    <w:rsid w:val="39991390"/>
    <w:rsid w:val="39AC0688"/>
    <w:rsid w:val="39C1247D"/>
    <w:rsid w:val="3A67294A"/>
    <w:rsid w:val="3A7B57D6"/>
    <w:rsid w:val="3B3C5342"/>
    <w:rsid w:val="3B783AC3"/>
    <w:rsid w:val="3BA62369"/>
    <w:rsid w:val="3BFF5F92"/>
    <w:rsid w:val="3C1E0D2E"/>
    <w:rsid w:val="3C6D68AF"/>
    <w:rsid w:val="3CA36D89"/>
    <w:rsid w:val="3CB834AB"/>
    <w:rsid w:val="3D103A6D"/>
    <w:rsid w:val="3D8F3346"/>
    <w:rsid w:val="3D9421D3"/>
    <w:rsid w:val="3E513BE3"/>
    <w:rsid w:val="3F524FF7"/>
    <w:rsid w:val="3F562C44"/>
    <w:rsid w:val="3F9410E8"/>
    <w:rsid w:val="3F9603FC"/>
    <w:rsid w:val="3FE87A62"/>
    <w:rsid w:val="405215CC"/>
    <w:rsid w:val="405E2CDC"/>
    <w:rsid w:val="41A25D3E"/>
    <w:rsid w:val="41DD61A1"/>
    <w:rsid w:val="42367955"/>
    <w:rsid w:val="42894808"/>
    <w:rsid w:val="429F2F01"/>
    <w:rsid w:val="42CD3359"/>
    <w:rsid w:val="42F535F3"/>
    <w:rsid w:val="42FD6B7E"/>
    <w:rsid w:val="430E1911"/>
    <w:rsid w:val="433429C6"/>
    <w:rsid w:val="437454B8"/>
    <w:rsid w:val="43B361EC"/>
    <w:rsid w:val="44E73A68"/>
    <w:rsid w:val="451E392D"/>
    <w:rsid w:val="45752CFC"/>
    <w:rsid w:val="4605689B"/>
    <w:rsid w:val="467779B3"/>
    <w:rsid w:val="467F21AA"/>
    <w:rsid w:val="472676A2"/>
    <w:rsid w:val="473C009B"/>
    <w:rsid w:val="477C2455"/>
    <w:rsid w:val="4821425A"/>
    <w:rsid w:val="484C2772"/>
    <w:rsid w:val="491F2D2B"/>
    <w:rsid w:val="495C56B0"/>
    <w:rsid w:val="49A14B2D"/>
    <w:rsid w:val="49BE5D1B"/>
    <w:rsid w:val="4A015677"/>
    <w:rsid w:val="4A98367F"/>
    <w:rsid w:val="4AD00BDD"/>
    <w:rsid w:val="4BB5041C"/>
    <w:rsid w:val="4BC32B39"/>
    <w:rsid w:val="4CA23096"/>
    <w:rsid w:val="4D1A11DA"/>
    <w:rsid w:val="4D3161C8"/>
    <w:rsid w:val="4DE4148C"/>
    <w:rsid w:val="4EFD5288"/>
    <w:rsid w:val="4FEC768A"/>
    <w:rsid w:val="50726A1D"/>
    <w:rsid w:val="50DF0465"/>
    <w:rsid w:val="50FA2CEF"/>
    <w:rsid w:val="51496906"/>
    <w:rsid w:val="518A5306"/>
    <w:rsid w:val="52292F71"/>
    <w:rsid w:val="52974D1F"/>
    <w:rsid w:val="529C5901"/>
    <w:rsid w:val="5358625C"/>
    <w:rsid w:val="536F1AF1"/>
    <w:rsid w:val="53AF3E86"/>
    <w:rsid w:val="53C25DCC"/>
    <w:rsid w:val="5423620A"/>
    <w:rsid w:val="551854E9"/>
    <w:rsid w:val="55812D9D"/>
    <w:rsid w:val="55911F04"/>
    <w:rsid w:val="55CB327F"/>
    <w:rsid w:val="564A442F"/>
    <w:rsid w:val="56A27C78"/>
    <w:rsid w:val="56B04287"/>
    <w:rsid w:val="56E86247"/>
    <w:rsid w:val="57206B21"/>
    <w:rsid w:val="57C6377C"/>
    <w:rsid w:val="5807127B"/>
    <w:rsid w:val="581E3DE2"/>
    <w:rsid w:val="585D60C3"/>
    <w:rsid w:val="58E42340"/>
    <w:rsid w:val="59561AE4"/>
    <w:rsid w:val="59C12681"/>
    <w:rsid w:val="59D86349"/>
    <w:rsid w:val="59E17BDA"/>
    <w:rsid w:val="59F566A9"/>
    <w:rsid w:val="59FF3E39"/>
    <w:rsid w:val="5AAC3332"/>
    <w:rsid w:val="5AD42FAA"/>
    <w:rsid w:val="5BE01CD3"/>
    <w:rsid w:val="5C8D6B99"/>
    <w:rsid w:val="5C981DBF"/>
    <w:rsid w:val="5D9B1BA1"/>
    <w:rsid w:val="5DA9452E"/>
    <w:rsid w:val="5E46272C"/>
    <w:rsid w:val="5F131888"/>
    <w:rsid w:val="5F9F3570"/>
    <w:rsid w:val="60C874D3"/>
    <w:rsid w:val="618426E8"/>
    <w:rsid w:val="61F84B2E"/>
    <w:rsid w:val="625E4788"/>
    <w:rsid w:val="62AE4F84"/>
    <w:rsid w:val="632C6236"/>
    <w:rsid w:val="63F57AF7"/>
    <w:rsid w:val="63FD6D48"/>
    <w:rsid w:val="640D306A"/>
    <w:rsid w:val="64CF0348"/>
    <w:rsid w:val="64E536C8"/>
    <w:rsid w:val="64F7641F"/>
    <w:rsid w:val="651A633D"/>
    <w:rsid w:val="659E0EA9"/>
    <w:rsid w:val="65AC22EB"/>
    <w:rsid w:val="65B803C1"/>
    <w:rsid w:val="65BF6F8A"/>
    <w:rsid w:val="65F6283A"/>
    <w:rsid w:val="66662CAD"/>
    <w:rsid w:val="67452B44"/>
    <w:rsid w:val="67CE4190"/>
    <w:rsid w:val="682E44D1"/>
    <w:rsid w:val="685C7BC6"/>
    <w:rsid w:val="68701E42"/>
    <w:rsid w:val="689A2A1B"/>
    <w:rsid w:val="69B67D29"/>
    <w:rsid w:val="69C77840"/>
    <w:rsid w:val="69E44896"/>
    <w:rsid w:val="6A317CCE"/>
    <w:rsid w:val="6A421FE5"/>
    <w:rsid w:val="6A797C7E"/>
    <w:rsid w:val="6B2C79E4"/>
    <w:rsid w:val="6B3E3B32"/>
    <w:rsid w:val="6B6317EA"/>
    <w:rsid w:val="6BF47849"/>
    <w:rsid w:val="6C783074"/>
    <w:rsid w:val="6C833BE9"/>
    <w:rsid w:val="6CB44C32"/>
    <w:rsid w:val="6D7875A9"/>
    <w:rsid w:val="6D83764B"/>
    <w:rsid w:val="6D9745DB"/>
    <w:rsid w:val="6E4B1B00"/>
    <w:rsid w:val="6EE80984"/>
    <w:rsid w:val="6F391CF7"/>
    <w:rsid w:val="700111D1"/>
    <w:rsid w:val="70530BB4"/>
    <w:rsid w:val="709D085A"/>
    <w:rsid w:val="70A266F9"/>
    <w:rsid w:val="70C26FB3"/>
    <w:rsid w:val="712D267F"/>
    <w:rsid w:val="71827242"/>
    <w:rsid w:val="719C3171"/>
    <w:rsid w:val="7205731D"/>
    <w:rsid w:val="720A0C12"/>
    <w:rsid w:val="72685A78"/>
    <w:rsid w:val="72A51148"/>
    <w:rsid w:val="7320374B"/>
    <w:rsid w:val="73BF7973"/>
    <w:rsid w:val="74072FB8"/>
    <w:rsid w:val="74A964C0"/>
    <w:rsid w:val="75412D70"/>
    <w:rsid w:val="754E2671"/>
    <w:rsid w:val="754E350B"/>
    <w:rsid w:val="755060BC"/>
    <w:rsid w:val="75685547"/>
    <w:rsid w:val="75CA0DE4"/>
    <w:rsid w:val="75DF2C54"/>
    <w:rsid w:val="75F0310B"/>
    <w:rsid w:val="75F4035E"/>
    <w:rsid w:val="76015461"/>
    <w:rsid w:val="76897EF9"/>
    <w:rsid w:val="76B850E0"/>
    <w:rsid w:val="770C2D36"/>
    <w:rsid w:val="777059BB"/>
    <w:rsid w:val="77A33FA7"/>
    <w:rsid w:val="77AB0A92"/>
    <w:rsid w:val="78C07865"/>
    <w:rsid w:val="79807AE3"/>
    <w:rsid w:val="79B02EFD"/>
    <w:rsid w:val="79B95165"/>
    <w:rsid w:val="79F65524"/>
    <w:rsid w:val="7A067F11"/>
    <w:rsid w:val="7A20416A"/>
    <w:rsid w:val="7AD22127"/>
    <w:rsid w:val="7AD324E9"/>
    <w:rsid w:val="7C5C028F"/>
    <w:rsid w:val="7C8D32B5"/>
    <w:rsid w:val="7D3D3F06"/>
    <w:rsid w:val="7D44147C"/>
    <w:rsid w:val="7D935CBD"/>
    <w:rsid w:val="7DF60F6D"/>
    <w:rsid w:val="7E8E6727"/>
    <w:rsid w:val="7EFC0B65"/>
    <w:rsid w:val="7F047854"/>
    <w:rsid w:val="7F525C15"/>
    <w:rsid w:val="7F7C6B3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0" w:semiHidden="0" w:name="heading 3"/>
    <w:lsdException w:qFormat="1" w:unhideWhenUsed="0" w:uiPriority="0" w:semiHidden="0" w:name="heading 4"/>
    <w:lsdException w:qFormat="1" w:unhideWhenUsed="0" w:uiPriority="9"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qFormat="1" w:unhideWhenUsed="0" w:uiPriority="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nhideWhenUsed="0" w:uiPriority="39" w:semiHidden="0" w:name="toc 5"/>
    <w:lsdException w:qFormat="1" w:uiPriority="39" w:semiHidden="0" w:name="toc 6"/>
    <w:lsdException w:qFormat="1" w:unhideWhenUsed="0" w:uiPriority="39" w:semiHidden="0" w:name="toc 7"/>
    <w:lsdException w:qFormat="1" w:uiPriority="39" w:semiHidden="0" w:name="toc 8"/>
    <w:lsdException w:qFormat="1" w:uiPriority="39" w:semiHidden="0" w:name="toc 9"/>
    <w:lsdException w:qFormat="1" w:unhideWhenUsed="0" w:uiPriority="0" w:semiHidden="0" w:name="Normal Indent"/>
    <w:lsdException w:uiPriority="99"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iPriority="99" w:name="index heading"/>
    <w:lsdException w:qFormat="1" w:unhideWhenUsed="0" w:uiPriority="0" w:semiHidden="0" w:name="caption"/>
    <w:lsdException w:qFormat="1" w:uiPriority="0" w:semiHidden="0"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qFormat="1" w:unhideWhenUsed="0" w:uiPriority="0" w:semiHidden="0"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uiPriority="99" w:name="List 3"/>
    <w:lsdException w:uiPriority="99" w:name="List 4"/>
    <w:lsdException w:uiPriority="99" w:name="List 5"/>
    <w:lsdException w:qFormat="1" w:unhideWhenUsed="0" w:uiPriority="0" w:semiHidden="0" w:name="List Bullet 2"/>
    <w:lsdException w:uiPriority="99" w:name="List Bullet 3"/>
    <w:lsdException w:uiPriority="99" w:name="List Bullet 4"/>
    <w:lsdException w:uiPriority="99" w:name="List Bullet 5"/>
    <w:lsdException w:uiPriority="99" w:name="List Number 2"/>
    <w:lsdException w:qFormat="1" w:unhideWhenUsed="0" w:uiPriority="0" w:semiHidden="0"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99"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0" w:semiHidden="0" w:name="Emphasis"/>
    <w:lsdException w:qFormat="1" w:unhideWhenUsed="0" w:uiPriority="99"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qFormat="1" w:unhideWhenUsed="0" w:uiPriority="0" w:semiHidden="0"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125"/>
    <w:autoRedefine/>
    <w:qFormat/>
    <w:uiPriority w:val="9"/>
    <w:pPr>
      <w:keepNext/>
      <w:keepLines/>
      <w:spacing w:before="340" w:after="330" w:line="578" w:lineRule="auto"/>
      <w:outlineLvl w:val="0"/>
    </w:pPr>
    <w:rPr>
      <w:b/>
      <w:bCs/>
      <w:kern w:val="44"/>
      <w:sz w:val="44"/>
      <w:szCs w:val="44"/>
    </w:rPr>
  </w:style>
  <w:style w:type="paragraph" w:styleId="4">
    <w:name w:val="heading 2"/>
    <w:basedOn w:val="1"/>
    <w:next w:val="1"/>
    <w:link w:val="65"/>
    <w:autoRedefine/>
    <w:qFormat/>
    <w:uiPriority w:val="9"/>
    <w:pPr>
      <w:keepNext/>
      <w:keepLines/>
      <w:spacing w:before="260" w:after="260" w:line="415" w:lineRule="auto"/>
      <w:outlineLvl w:val="1"/>
    </w:pPr>
    <w:rPr>
      <w:rFonts w:ascii="Arial" w:hAnsi="Arial" w:eastAsia="黑体"/>
      <w:b/>
      <w:bCs/>
      <w:kern w:val="0"/>
      <w:sz w:val="32"/>
      <w:szCs w:val="32"/>
    </w:rPr>
  </w:style>
  <w:style w:type="paragraph" w:styleId="5">
    <w:name w:val="heading 3"/>
    <w:basedOn w:val="1"/>
    <w:next w:val="1"/>
    <w:link w:val="67"/>
    <w:autoRedefine/>
    <w:qFormat/>
    <w:uiPriority w:val="0"/>
    <w:pPr>
      <w:keepNext/>
      <w:keepLines/>
      <w:spacing w:before="260" w:after="260" w:line="416" w:lineRule="auto"/>
      <w:jc w:val="center"/>
      <w:outlineLvl w:val="2"/>
    </w:pPr>
    <w:rPr>
      <w:rFonts w:eastAsia="楷体_GB2312"/>
      <w:b/>
      <w:bCs/>
      <w:kern w:val="0"/>
      <w:sz w:val="32"/>
      <w:szCs w:val="32"/>
    </w:rPr>
  </w:style>
  <w:style w:type="paragraph" w:styleId="6">
    <w:name w:val="heading 4"/>
    <w:basedOn w:val="1"/>
    <w:next w:val="1"/>
    <w:link w:val="106"/>
    <w:autoRedefine/>
    <w:qFormat/>
    <w:uiPriority w:val="0"/>
    <w:pPr>
      <w:keepNext/>
      <w:keepLines/>
      <w:spacing w:before="280" w:after="290" w:line="376" w:lineRule="auto"/>
      <w:outlineLvl w:val="3"/>
    </w:pPr>
    <w:rPr>
      <w:rFonts w:ascii="Arial" w:hAnsi="Arial" w:eastAsia="黑体"/>
      <w:b/>
      <w:bCs/>
      <w:kern w:val="0"/>
      <w:sz w:val="28"/>
      <w:szCs w:val="28"/>
    </w:rPr>
  </w:style>
  <w:style w:type="paragraph" w:styleId="7">
    <w:name w:val="heading 5"/>
    <w:basedOn w:val="1"/>
    <w:next w:val="1"/>
    <w:link w:val="155"/>
    <w:autoRedefine/>
    <w:qFormat/>
    <w:uiPriority w:val="9"/>
    <w:pPr>
      <w:keepNext/>
      <w:keepLines/>
      <w:spacing w:before="280" w:after="290" w:line="376" w:lineRule="auto"/>
      <w:outlineLvl w:val="4"/>
    </w:pPr>
    <w:rPr>
      <w:b/>
      <w:bCs/>
      <w:kern w:val="0"/>
      <w:sz w:val="28"/>
      <w:szCs w:val="28"/>
    </w:rPr>
  </w:style>
  <w:style w:type="paragraph" w:styleId="8">
    <w:name w:val="heading 6"/>
    <w:basedOn w:val="1"/>
    <w:next w:val="1"/>
    <w:link w:val="215"/>
    <w:autoRedefine/>
    <w:qFormat/>
    <w:uiPriority w:val="0"/>
    <w:pPr>
      <w:keepNext/>
      <w:keepLines/>
      <w:spacing w:before="240" w:after="64" w:line="320" w:lineRule="auto"/>
      <w:outlineLvl w:val="5"/>
    </w:pPr>
    <w:rPr>
      <w:rFonts w:ascii="Arial" w:hAnsi="Arial" w:eastAsia="黑体"/>
      <w:b/>
      <w:bCs/>
      <w:kern w:val="0"/>
      <w:sz w:val="24"/>
    </w:rPr>
  </w:style>
  <w:style w:type="paragraph" w:styleId="9">
    <w:name w:val="heading 7"/>
    <w:basedOn w:val="1"/>
    <w:next w:val="1"/>
    <w:link w:val="121"/>
    <w:autoRedefine/>
    <w:qFormat/>
    <w:uiPriority w:val="0"/>
    <w:pPr>
      <w:keepNext/>
      <w:keepLines/>
      <w:spacing w:before="240" w:after="64" w:line="320" w:lineRule="auto"/>
      <w:outlineLvl w:val="6"/>
    </w:pPr>
    <w:rPr>
      <w:b/>
      <w:bCs/>
      <w:kern w:val="0"/>
      <w:sz w:val="24"/>
    </w:rPr>
  </w:style>
  <w:style w:type="paragraph" w:styleId="10">
    <w:name w:val="heading 8"/>
    <w:basedOn w:val="1"/>
    <w:next w:val="1"/>
    <w:link w:val="149"/>
    <w:autoRedefine/>
    <w:qFormat/>
    <w:uiPriority w:val="0"/>
    <w:pPr>
      <w:keepNext/>
      <w:keepLines/>
      <w:spacing w:before="240" w:after="64" w:line="320" w:lineRule="auto"/>
      <w:outlineLvl w:val="7"/>
    </w:pPr>
    <w:rPr>
      <w:rFonts w:ascii="Arial" w:hAnsi="Arial" w:eastAsia="黑体"/>
      <w:kern w:val="0"/>
      <w:sz w:val="24"/>
    </w:rPr>
  </w:style>
  <w:style w:type="paragraph" w:styleId="11">
    <w:name w:val="heading 9"/>
    <w:basedOn w:val="1"/>
    <w:next w:val="1"/>
    <w:link w:val="195"/>
    <w:autoRedefine/>
    <w:qFormat/>
    <w:uiPriority w:val="0"/>
    <w:pPr>
      <w:keepNext/>
      <w:keepLines/>
      <w:spacing w:before="240" w:after="64" w:line="320" w:lineRule="auto"/>
      <w:outlineLvl w:val="8"/>
    </w:pPr>
    <w:rPr>
      <w:rFonts w:ascii="Arial" w:hAnsi="Arial" w:eastAsia="黑体"/>
      <w:kern w:val="0"/>
      <w:sz w:val="20"/>
      <w:szCs w:val="21"/>
    </w:rPr>
  </w:style>
  <w:style w:type="character" w:default="1" w:styleId="54">
    <w:name w:val="Default Paragraph Font"/>
    <w:semiHidden/>
    <w:unhideWhenUsed/>
    <w:qFormat/>
    <w:uiPriority w:val="1"/>
  </w:style>
  <w:style w:type="table" w:default="1" w:styleId="52">
    <w:name w:val="Normal Table"/>
    <w:semiHidden/>
    <w:unhideWhenUsed/>
    <w:qFormat/>
    <w:uiPriority w:val="99"/>
    <w:tblPr>
      <w:tblCellMar>
        <w:top w:w="0" w:type="dxa"/>
        <w:left w:w="108" w:type="dxa"/>
        <w:bottom w:w="0" w:type="dxa"/>
        <w:right w:w="108" w:type="dxa"/>
      </w:tblCellMar>
    </w:tblPr>
  </w:style>
  <w:style w:type="paragraph" w:customStyle="1" w:styleId="2">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styleId="12">
    <w:name w:val="toc 7"/>
    <w:basedOn w:val="1"/>
    <w:next w:val="1"/>
    <w:autoRedefine/>
    <w:qFormat/>
    <w:uiPriority w:val="39"/>
    <w:pPr>
      <w:ind w:left="2520" w:leftChars="1200"/>
    </w:pPr>
  </w:style>
  <w:style w:type="paragraph" w:styleId="13">
    <w:name w:val="List Number"/>
    <w:basedOn w:val="1"/>
    <w:autoRedefine/>
    <w:qFormat/>
    <w:uiPriority w:val="0"/>
    <w:pPr>
      <w:widowControl/>
      <w:tabs>
        <w:tab w:val="left" w:pos="454"/>
        <w:tab w:val="left" w:pos="720"/>
        <w:tab w:val="left" w:pos="900"/>
      </w:tabs>
      <w:spacing w:afterLines="50"/>
      <w:ind w:left="908" w:hanging="284"/>
      <w:jc w:val="left"/>
    </w:pPr>
    <w:rPr>
      <w:kern w:val="0"/>
      <w:sz w:val="24"/>
      <w:szCs w:val="20"/>
    </w:rPr>
  </w:style>
  <w:style w:type="paragraph" w:styleId="14">
    <w:name w:val="Normal Indent"/>
    <w:basedOn w:val="1"/>
    <w:next w:val="1"/>
    <w:link w:val="120"/>
    <w:autoRedefine/>
    <w:qFormat/>
    <w:uiPriority w:val="0"/>
    <w:pPr>
      <w:ind w:firstLine="420"/>
    </w:pPr>
    <w:rPr>
      <w:kern w:val="0"/>
      <w:sz w:val="20"/>
      <w:szCs w:val="20"/>
    </w:rPr>
  </w:style>
  <w:style w:type="paragraph" w:styleId="15">
    <w:name w:val="caption"/>
    <w:basedOn w:val="1"/>
    <w:next w:val="1"/>
    <w:autoRedefine/>
    <w:qFormat/>
    <w:uiPriority w:val="0"/>
    <w:pPr>
      <w:spacing w:before="152" w:after="160"/>
    </w:pPr>
    <w:rPr>
      <w:rFonts w:ascii="Arial" w:hAnsi="Arial" w:eastAsia="黑体" w:cs="Arial"/>
      <w:sz w:val="20"/>
      <w:szCs w:val="20"/>
    </w:rPr>
  </w:style>
  <w:style w:type="paragraph" w:styleId="16">
    <w:name w:val="List Bullet"/>
    <w:basedOn w:val="1"/>
    <w:autoRedefine/>
    <w:qFormat/>
    <w:uiPriority w:val="0"/>
    <w:pPr>
      <w:spacing w:line="360" w:lineRule="auto"/>
      <w:jc w:val="left"/>
    </w:pPr>
    <w:rPr>
      <w:rFonts w:ascii="宋体"/>
      <w:b/>
      <w:sz w:val="24"/>
    </w:rPr>
  </w:style>
  <w:style w:type="paragraph" w:styleId="17">
    <w:name w:val="Document Map"/>
    <w:basedOn w:val="1"/>
    <w:link w:val="144"/>
    <w:autoRedefine/>
    <w:qFormat/>
    <w:uiPriority w:val="99"/>
    <w:pPr>
      <w:shd w:val="clear" w:color="auto" w:fill="000080"/>
    </w:pPr>
    <w:rPr>
      <w:kern w:val="0"/>
      <w:sz w:val="20"/>
    </w:rPr>
  </w:style>
  <w:style w:type="paragraph" w:styleId="18">
    <w:name w:val="toa heading"/>
    <w:basedOn w:val="1"/>
    <w:next w:val="1"/>
    <w:link w:val="174"/>
    <w:autoRedefine/>
    <w:qFormat/>
    <w:uiPriority w:val="0"/>
    <w:pPr>
      <w:tabs>
        <w:tab w:val="left" w:pos="0"/>
      </w:tabs>
      <w:spacing w:before="120" w:line="360" w:lineRule="auto"/>
    </w:pPr>
    <w:rPr>
      <w:rFonts w:ascii="Arial" w:hAnsi="Arial"/>
      <w:kern w:val="0"/>
      <w:sz w:val="24"/>
      <w:szCs w:val="20"/>
    </w:rPr>
  </w:style>
  <w:style w:type="paragraph" w:styleId="19">
    <w:name w:val="annotation text"/>
    <w:basedOn w:val="1"/>
    <w:link w:val="72"/>
    <w:autoRedefine/>
    <w:qFormat/>
    <w:uiPriority w:val="0"/>
    <w:pPr>
      <w:jc w:val="left"/>
    </w:pPr>
    <w:rPr>
      <w:kern w:val="0"/>
      <w:sz w:val="20"/>
    </w:rPr>
  </w:style>
  <w:style w:type="paragraph" w:styleId="20">
    <w:name w:val="Body Text 3"/>
    <w:basedOn w:val="1"/>
    <w:link w:val="115"/>
    <w:autoRedefine/>
    <w:qFormat/>
    <w:uiPriority w:val="0"/>
    <w:pPr>
      <w:snapToGrid w:val="0"/>
      <w:spacing w:before="50" w:after="50"/>
    </w:pPr>
    <w:rPr>
      <w:rFonts w:hAnsi="宋体" w:eastAsia="仿宋_GB2312"/>
      <w:b/>
      <w:bCs/>
      <w:kern w:val="0"/>
      <w:sz w:val="24"/>
      <w:szCs w:val="20"/>
    </w:rPr>
  </w:style>
  <w:style w:type="paragraph" w:styleId="21">
    <w:name w:val="Body Text"/>
    <w:basedOn w:val="1"/>
    <w:next w:val="22"/>
    <w:link w:val="123"/>
    <w:autoRedefine/>
    <w:qFormat/>
    <w:uiPriority w:val="0"/>
    <w:pPr>
      <w:spacing w:after="120"/>
    </w:pPr>
    <w:rPr>
      <w:kern w:val="0"/>
      <w:sz w:val="28"/>
    </w:rPr>
  </w:style>
  <w:style w:type="paragraph" w:styleId="22">
    <w:name w:val="Body Text First Indent"/>
    <w:basedOn w:val="21"/>
    <w:next w:val="23"/>
    <w:link w:val="166"/>
    <w:autoRedefine/>
    <w:qFormat/>
    <w:uiPriority w:val="0"/>
    <w:pPr>
      <w:spacing w:beforeLines="50" w:afterLines="50" w:line="360" w:lineRule="auto"/>
      <w:ind w:firstLine="480" w:firstLineChars="200"/>
    </w:pPr>
    <w:rPr>
      <w:sz w:val="24"/>
    </w:rPr>
  </w:style>
  <w:style w:type="paragraph" w:styleId="23">
    <w:name w:val="toc 6"/>
    <w:basedOn w:val="1"/>
    <w:next w:val="1"/>
    <w:autoRedefine/>
    <w:unhideWhenUsed/>
    <w:qFormat/>
    <w:uiPriority w:val="39"/>
    <w:pPr>
      <w:ind w:left="2100" w:leftChars="1000"/>
    </w:pPr>
    <w:rPr>
      <w:rFonts w:ascii="Calibri" w:hAnsi="Calibri"/>
      <w:szCs w:val="22"/>
    </w:rPr>
  </w:style>
  <w:style w:type="paragraph" w:styleId="24">
    <w:name w:val="Body Text Indent"/>
    <w:basedOn w:val="1"/>
    <w:link w:val="192"/>
    <w:autoRedefine/>
    <w:qFormat/>
    <w:uiPriority w:val="0"/>
    <w:pPr>
      <w:spacing w:line="200" w:lineRule="exact"/>
      <w:ind w:firstLine="301"/>
    </w:pPr>
    <w:rPr>
      <w:rFonts w:ascii="宋体" w:hAnsi="Courier New"/>
      <w:spacing w:val="-4"/>
      <w:kern w:val="0"/>
      <w:sz w:val="18"/>
      <w:szCs w:val="20"/>
    </w:rPr>
  </w:style>
  <w:style w:type="paragraph" w:styleId="25">
    <w:name w:val="List Number 3"/>
    <w:basedOn w:val="1"/>
    <w:autoRedefine/>
    <w:qFormat/>
    <w:uiPriority w:val="0"/>
    <w:pPr>
      <w:tabs>
        <w:tab w:val="left" w:pos="1200"/>
      </w:tabs>
      <w:ind w:left="1200" w:hanging="360"/>
    </w:pPr>
  </w:style>
  <w:style w:type="paragraph" w:styleId="26">
    <w:name w:val="List 2"/>
    <w:basedOn w:val="1"/>
    <w:autoRedefine/>
    <w:qFormat/>
    <w:uiPriority w:val="0"/>
    <w:pPr>
      <w:ind w:left="100" w:leftChars="200" w:hanging="200" w:hangingChars="200"/>
    </w:pPr>
    <w:rPr>
      <w:sz w:val="28"/>
    </w:rPr>
  </w:style>
  <w:style w:type="paragraph" w:styleId="27">
    <w:name w:val="List Bullet 2"/>
    <w:basedOn w:val="1"/>
    <w:autoRedefine/>
    <w:qFormat/>
    <w:uiPriority w:val="0"/>
    <w:pPr>
      <w:tabs>
        <w:tab w:val="left" w:pos="840"/>
      </w:tabs>
      <w:spacing w:line="360" w:lineRule="auto"/>
      <w:ind w:left="989" w:leftChars="471" w:firstLine="2" w:firstLineChars="1"/>
    </w:pPr>
    <w:rPr>
      <w:rFonts w:ascii="宋体"/>
      <w:sz w:val="24"/>
    </w:rPr>
  </w:style>
  <w:style w:type="paragraph" w:styleId="28">
    <w:name w:val="HTML Address"/>
    <w:basedOn w:val="1"/>
    <w:autoRedefine/>
    <w:qFormat/>
    <w:uiPriority w:val="0"/>
    <w:pPr>
      <w:widowControl/>
      <w:spacing w:before="100" w:beforeAutospacing="1" w:after="100" w:afterAutospacing="1"/>
      <w:jc w:val="left"/>
    </w:pPr>
    <w:rPr>
      <w:rFonts w:ascii="宋体" w:hAnsi="宋体" w:cs="宋体"/>
      <w:kern w:val="0"/>
      <w:sz w:val="24"/>
    </w:rPr>
  </w:style>
  <w:style w:type="paragraph" w:styleId="29">
    <w:name w:val="index 4"/>
    <w:basedOn w:val="1"/>
    <w:next w:val="1"/>
    <w:autoRedefine/>
    <w:semiHidden/>
    <w:qFormat/>
    <w:uiPriority w:val="0"/>
    <w:pPr>
      <w:ind w:left="600" w:leftChars="600"/>
    </w:pPr>
  </w:style>
  <w:style w:type="paragraph" w:styleId="30">
    <w:name w:val="toc 5"/>
    <w:basedOn w:val="1"/>
    <w:next w:val="1"/>
    <w:autoRedefine/>
    <w:qFormat/>
    <w:uiPriority w:val="39"/>
    <w:pPr>
      <w:ind w:left="1680" w:leftChars="800"/>
    </w:pPr>
  </w:style>
  <w:style w:type="paragraph" w:styleId="31">
    <w:name w:val="toc 3"/>
    <w:basedOn w:val="1"/>
    <w:next w:val="1"/>
    <w:autoRedefine/>
    <w:qFormat/>
    <w:uiPriority w:val="39"/>
    <w:pPr>
      <w:ind w:left="840" w:leftChars="400"/>
    </w:pPr>
  </w:style>
  <w:style w:type="paragraph" w:styleId="32">
    <w:name w:val="Plain Text"/>
    <w:basedOn w:val="1"/>
    <w:link w:val="180"/>
    <w:autoRedefine/>
    <w:qFormat/>
    <w:uiPriority w:val="0"/>
    <w:pPr>
      <w:spacing w:beforeLines="50" w:afterLines="50" w:line="400" w:lineRule="exact"/>
    </w:pPr>
    <w:rPr>
      <w:rFonts w:ascii="宋体" w:hAnsi="Courier New"/>
      <w:kern w:val="0"/>
      <w:sz w:val="24"/>
    </w:rPr>
  </w:style>
  <w:style w:type="paragraph" w:styleId="33">
    <w:name w:val="toc 8"/>
    <w:basedOn w:val="1"/>
    <w:next w:val="1"/>
    <w:autoRedefine/>
    <w:unhideWhenUsed/>
    <w:qFormat/>
    <w:uiPriority w:val="39"/>
    <w:pPr>
      <w:ind w:left="2940" w:leftChars="1400"/>
    </w:pPr>
    <w:rPr>
      <w:rFonts w:ascii="Calibri" w:hAnsi="Calibri"/>
      <w:szCs w:val="22"/>
    </w:rPr>
  </w:style>
  <w:style w:type="paragraph" w:styleId="34">
    <w:name w:val="Date"/>
    <w:basedOn w:val="1"/>
    <w:next w:val="1"/>
    <w:link w:val="177"/>
    <w:autoRedefine/>
    <w:qFormat/>
    <w:uiPriority w:val="0"/>
    <w:pPr>
      <w:ind w:left="2500" w:leftChars="2500"/>
    </w:pPr>
    <w:rPr>
      <w:rFonts w:eastAsia="楷体_GB2312"/>
      <w:kern w:val="0"/>
      <w:sz w:val="32"/>
      <w:szCs w:val="20"/>
    </w:rPr>
  </w:style>
  <w:style w:type="paragraph" w:styleId="35">
    <w:name w:val="Body Text Indent 2"/>
    <w:basedOn w:val="1"/>
    <w:link w:val="186"/>
    <w:autoRedefine/>
    <w:qFormat/>
    <w:uiPriority w:val="0"/>
    <w:pPr>
      <w:snapToGrid w:val="0"/>
      <w:ind w:firstLine="542" w:firstLineChars="225"/>
    </w:pPr>
    <w:rPr>
      <w:rFonts w:ascii="仿宋_GB2312" w:hAnsi="宋体"/>
      <w:b/>
      <w:bCs/>
      <w:color w:val="000000"/>
      <w:kern w:val="0"/>
      <w:sz w:val="24"/>
    </w:rPr>
  </w:style>
  <w:style w:type="paragraph" w:styleId="36">
    <w:name w:val="Balloon Text"/>
    <w:basedOn w:val="1"/>
    <w:link w:val="139"/>
    <w:autoRedefine/>
    <w:qFormat/>
    <w:uiPriority w:val="99"/>
    <w:rPr>
      <w:kern w:val="0"/>
      <w:sz w:val="18"/>
      <w:szCs w:val="18"/>
    </w:rPr>
  </w:style>
  <w:style w:type="paragraph" w:styleId="37">
    <w:name w:val="footer"/>
    <w:basedOn w:val="1"/>
    <w:link w:val="176"/>
    <w:autoRedefine/>
    <w:qFormat/>
    <w:uiPriority w:val="99"/>
    <w:pPr>
      <w:tabs>
        <w:tab w:val="center" w:pos="4153"/>
        <w:tab w:val="right" w:pos="8306"/>
      </w:tabs>
      <w:snapToGrid w:val="0"/>
      <w:jc w:val="left"/>
    </w:pPr>
    <w:rPr>
      <w:rFonts w:eastAsia="黑体"/>
      <w:kern w:val="0"/>
      <w:sz w:val="18"/>
      <w:szCs w:val="18"/>
    </w:rPr>
  </w:style>
  <w:style w:type="paragraph" w:styleId="38">
    <w:name w:val="header"/>
    <w:basedOn w:val="1"/>
    <w:link w:val="209"/>
    <w:autoRedefine/>
    <w:qFormat/>
    <w:uiPriority w:val="99"/>
    <w:pPr>
      <w:pBdr>
        <w:bottom w:val="single" w:color="auto" w:sz="6" w:space="1"/>
      </w:pBdr>
      <w:tabs>
        <w:tab w:val="center" w:pos="4153"/>
        <w:tab w:val="right" w:pos="8306"/>
      </w:tabs>
      <w:snapToGrid w:val="0"/>
      <w:jc w:val="center"/>
    </w:pPr>
    <w:rPr>
      <w:rFonts w:eastAsia="仿宋_GB2312"/>
      <w:kern w:val="0"/>
      <w:sz w:val="18"/>
      <w:szCs w:val="20"/>
    </w:rPr>
  </w:style>
  <w:style w:type="paragraph" w:styleId="39">
    <w:name w:val="toc 1"/>
    <w:basedOn w:val="1"/>
    <w:next w:val="1"/>
    <w:autoRedefine/>
    <w:qFormat/>
    <w:uiPriority w:val="39"/>
  </w:style>
  <w:style w:type="paragraph" w:styleId="40">
    <w:name w:val="toc 4"/>
    <w:basedOn w:val="1"/>
    <w:next w:val="1"/>
    <w:autoRedefine/>
    <w:unhideWhenUsed/>
    <w:qFormat/>
    <w:uiPriority w:val="39"/>
    <w:pPr>
      <w:ind w:left="1260" w:leftChars="600"/>
    </w:pPr>
    <w:rPr>
      <w:rFonts w:ascii="Calibri" w:hAnsi="Calibri"/>
      <w:szCs w:val="22"/>
    </w:rPr>
  </w:style>
  <w:style w:type="paragraph" w:styleId="41">
    <w:name w:val="List"/>
    <w:basedOn w:val="1"/>
    <w:autoRedefine/>
    <w:qFormat/>
    <w:uiPriority w:val="0"/>
    <w:pPr>
      <w:ind w:left="200" w:hanging="200" w:hangingChars="200"/>
    </w:pPr>
    <w:rPr>
      <w:sz w:val="28"/>
    </w:rPr>
  </w:style>
  <w:style w:type="paragraph" w:styleId="42">
    <w:name w:val="Body Text Indent 3"/>
    <w:basedOn w:val="1"/>
    <w:link w:val="97"/>
    <w:autoRedefine/>
    <w:qFormat/>
    <w:uiPriority w:val="0"/>
    <w:pPr>
      <w:snapToGrid w:val="0"/>
      <w:ind w:firstLine="480" w:firstLineChars="200"/>
      <w:jc w:val="left"/>
    </w:pPr>
    <w:rPr>
      <w:rFonts w:ascii="仿宋_GB2312" w:hAnsi="宋体" w:eastAsia="仿宋_GB2312"/>
      <w:color w:val="000000"/>
      <w:kern w:val="0"/>
      <w:sz w:val="24"/>
    </w:rPr>
  </w:style>
  <w:style w:type="paragraph" w:styleId="43">
    <w:name w:val="table of figures"/>
    <w:basedOn w:val="1"/>
    <w:next w:val="1"/>
    <w:autoRedefine/>
    <w:unhideWhenUsed/>
    <w:qFormat/>
    <w:uiPriority w:val="0"/>
    <w:pPr>
      <w:spacing w:line="360" w:lineRule="auto"/>
      <w:ind w:left="480" w:hanging="480"/>
      <w:jc w:val="left"/>
    </w:pPr>
    <w:rPr>
      <w:rFonts w:ascii="Calibri" w:hAnsi="Calibri" w:cs="Calibri"/>
      <w:smallCaps/>
      <w:sz w:val="20"/>
      <w:szCs w:val="20"/>
    </w:rPr>
  </w:style>
  <w:style w:type="paragraph" w:styleId="44">
    <w:name w:val="toc 2"/>
    <w:basedOn w:val="1"/>
    <w:next w:val="1"/>
    <w:autoRedefine/>
    <w:qFormat/>
    <w:uiPriority w:val="39"/>
    <w:pPr>
      <w:ind w:left="420" w:leftChars="200"/>
    </w:pPr>
  </w:style>
  <w:style w:type="paragraph" w:styleId="45">
    <w:name w:val="toc 9"/>
    <w:basedOn w:val="1"/>
    <w:next w:val="1"/>
    <w:autoRedefine/>
    <w:unhideWhenUsed/>
    <w:qFormat/>
    <w:uiPriority w:val="39"/>
    <w:pPr>
      <w:ind w:left="3360" w:leftChars="1600"/>
    </w:pPr>
    <w:rPr>
      <w:rFonts w:ascii="Calibri" w:hAnsi="Calibri"/>
      <w:szCs w:val="22"/>
    </w:rPr>
  </w:style>
  <w:style w:type="paragraph" w:styleId="46">
    <w:name w:val="Body Text 2"/>
    <w:basedOn w:val="1"/>
    <w:link w:val="218"/>
    <w:autoRedefine/>
    <w:qFormat/>
    <w:uiPriority w:val="99"/>
    <w:pPr>
      <w:widowControl/>
      <w:snapToGrid w:val="0"/>
      <w:spacing w:before="50" w:afterLines="50" w:line="400" w:lineRule="exact"/>
      <w:jc w:val="left"/>
    </w:pPr>
    <w:rPr>
      <w:rFonts w:ascii="宋体" w:hAnsi="宋体"/>
      <w:color w:val="000000"/>
      <w:kern w:val="0"/>
      <w:sz w:val="24"/>
    </w:rPr>
  </w:style>
  <w:style w:type="paragraph" w:styleId="47">
    <w:name w:val="Normal (Web)"/>
    <w:basedOn w:val="1"/>
    <w:link w:val="80"/>
    <w:autoRedefine/>
    <w:qFormat/>
    <w:uiPriority w:val="0"/>
    <w:pPr>
      <w:widowControl/>
      <w:spacing w:before="100" w:beforeAutospacing="1" w:after="100" w:afterAutospacing="1"/>
      <w:jc w:val="left"/>
    </w:pPr>
    <w:rPr>
      <w:rFonts w:ascii="宋体" w:hAnsi="宋体"/>
      <w:kern w:val="0"/>
      <w:sz w:val="24"/>
    </w:rPr>
  </w:style>
  <w:style w:type="paragraph" w:styleId="48">
    <w:name w:val="index 1"/>
    <w:basedOn w:val="1"/>
    <w:next w:val="1"/>
    <w:autoRedefine/>
    <w:qFormat/>
    <w:uiPriority w:val="0"/>
    <w:pPr>
      <w:spacing w:line="360" w:lineRule="auto"/>
      <w:jc w:val="center"/>
    </w:pPr>
    <w:rPr>
      <w:rFonts w:ascii="宋体" w:hAnsi="宋体"/>
      <w:bCs/>
    </w:rPr>
  </w:style>
  <w:style w:type="paragraph" w:styleId="49">
    <w:name w:val="Title"/>
    <w:basedOn w:val="1"/>
    <w:next w:val="1"/>
    <w:link w:val="138"/>
    <w:autoRedefine/>
    <w:qFormat/>
    <w:uiPriority w:val="0"/>
    <w:pPr>
      <w:spacing w:before="240" w:after="60"/>
      <w:jc w:val="center"/>
      <w:outlineLvl w:val="0"/>
    </w:pPr>
    <w:rPr>
      <w:rFonts w:ascii="Cambria" w:hAnsi="Cambria"/>
      <w:b/>
      <w:bCs/>
      <w:kern w:val="0"/>
      <w:sz w:val="32"/>
      <w:szCs w:val="32"/>
    </w:rPr>
  </w:style>
  <w:style w:type="paragraph" w:styleId="50">
    <w:name w:val="annotation subject"/>
    <w:basedOn w:val="19"/>
    <w:next w:val="19"/>
    <w:link w:val="238"/>
    <w:autoRedefine/>
    <w:qFormat/>
    <w:uiPriority w:val="99"/>
    <w:rPr>
      <w:b/>
      <w:bCs/>
    </w:rPr>
  </w:style>
  <w:style w:type="paragraph" w:styleId="51">
    <w:name w:val="Body Text First Indent 2"/>
    <w:basedOn w:val="24"/>
    <w:autoRedefine/>
    <w:qFormat/>
    <w:uiPriority w:val="0"/>
    <w:pPr>
      <w:spacing w:after="120" w:line="240" w:lineRule="auto"/>
      <w:ind w:left="420" w:leftChars="200"/>
    </w:pPr>
    <w:rPr>
      <w:rFonts w:ascii="Calibri" w:hAnsi="Calibri"/>
      <w:kern w:val="2"/>
      <w:sz w:val="21"/>
    </w:rPr>
  </w:style>
  <w:style w:type="table" w:styleId="53">
    <w:name w:val="Table Grid"/>
    <w:basedOn w:val="52"/>
    <w:autoRedefine/>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55">
    <w:name w:val="Strong"/>
    <w:autoRedefine/>
    <w:qFormat/>
    <w:uiPriority w:val="0"/>
    <w:rPr>
      <w:b/>
      <w:bCs/>
      <w:color w:val="000000"/>
    </w:rPr>
  </w:style>
  <w:style w:type="character" w:styleId="56">
    <w:name w:val="page number"/>
    <w:autoRedefine/>
    <w:qFormat/>
    <w:uiPriority w:val="0"/>
  </w:style>
  <w:style w:type="character" w:styleId="57">
    <w:name w:val="FollowedHyperlink"/>
    <w:autoRedefine/>
    <w:qFormat/>
    <w:uiPriority w:val="99"/>
    <w:rPr>
      <w:color w:val="800080"/>
      <w:u w:val="single"/>
    </w:rPr>
  </w:style>
  <w:style w:type="character" w:styleId="58">
    <w:name w:val="Emphasis"/>
    <w:autoRedefine/>
    <w:qFormat/>
    <w:uiPriority w:val="0"/>
  </w:style>
  <w:style w:type="character" w:styleId="59">
    <w:name w:val="Hyperlink"/>
    <w:autoRedefine/>
    <w:qFormat/>
    <w:uiPriority w:val="99"/>
    <w:rPr>
      <w:color w:val="0000FF"/>
      <w:u w:val="single"/>
    </w:rPr>
  </w:style>
  <w:style w:type="character" w:styleId="60">
    <w:name w:val="annotation reference"/>
    <w:autoRedefine/>
    <w:qFormat/>
    <w:uiPriority w:val="0"/>
    <w:rPr>
      <w:sz w:val="21"/>
      <w:szCs w:val="21"/>
    </w:rPr>
  </w:style>
  <w:style w:type="paragraph" w:customStyle="1" w:styleId="61">
    <w:name w:val="xl53"/>
    <w:basedOn w:val="1"/>
    <w:autoRedefine/>
    <w:qFormat/>
    <w:uiPriority w:val="0"/>
    <w:pPr>
      <w:widowControl/>
      <w:pBdr>
        <w:top w:val="single" w:color="auto" w:sz="4" w:space="0"/>
        <w:left w:val="single" w:color="auto" w:sz="8" w:space="0"/>
        <w:bottom w:val="single" w:color="auto" w:sz="8" w:space="0"/>
        <w:right w:val="single" w:color="auto" w:sz="4" w:space="0"/>
      </w:pBdr>
      <w:spacing w:before="100" w:beforeAutospacing="1" w:after="100" w:afterAutospacing="1" w:line="100" w:lineRule="exact"/>
      <w:jc w:val="center"/>
    </w:pPr>
    <w:rPr>
      <w:rFonts w:ascii="宋体" w:hAnsi="宋体"/>
      <w:b/>
      <w:bCs/>
      <w:kern w:val="0"/>
      <w:sz w:val="20"/>
      <w:szCs w:val="20"/>
    </w:rPr>
  </w:style>
  <w:style w:type="paragraph" w:customStyle="1" w:styleId="62">
    <w:name w:val="Default"/>
    <w:autoRedefine/>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63">
    <w:name w:val="文章正文"/>
    <w:basedOn w:val="1"/>
    <w:next w:val="64"/>
    <w:link w:val="220"/>
    <w:autoRedefine/>
    <w:qFormat/>
    <w:uiPriority w:val="0"/>
    <w:pPr>
      <w:spacing w:line="360" w:lineRule="auto"/>
      <w:ind w:firstLine="200" w:firstLineChars="200"/>
      <w:jc w:val="left"/>
    </w:pPr>
    <w:rPr>
      <w:rFonts w:ascii="宋体" w:hAnsi="宋体"/>
      <w:kern w:val="0"/>
      <w:sz w:val="24"/>
    </w:rPr>
  </w:style>
  <w:style w:type="paragraph" w:customStyle="1" w:styleId="64">
    <w:name w:val="公式样式 变量"/>
    <w:autoRedefine/>
    <w:unhideWhenUsed/>
    <w:qFormat/>
    <w:uiPriority w:val="0"/>
    <w:rPr>
      <w:rFonts w:ascii="Times New Roman" w:hAnsi="Times New Roman" w:eastAsia="宋体" w:cs="Times New Roman"/>
      <w:i/>
      <w:sz w:val="24"/>
      <w:szCs w:val="24"/>
      <w:lang w:val="en-US" w:eastAsia="zh-CN" w:bidi="ar-SA"/>
    </w:rPr>
  </w:style>
  <w:style w:type="character" w:customStyle="1" w:styleId="65">
    <w:name w:val="标题 2 Char"/>
    <w:link w:val="4"/>
    <w:autoRedefine/>
    <w:qFormat/>
    <w:uiPriority w:val="9"/>
    <w:rPr>
      <w:rFonts w:ascii="Arial" w:hAnsi="Arial" w:eastAsia="黑体" w:cs="Times New Roman"/>
      <w:b/>
      <w:bCs/>
      <w:kern w:val="0"/>
      <w:sz w:val="32"/>
      <w:szCs w:val="32"/>
    </w:rPr>
  </w:style>
  <w:style w:type="character" w:customStyle="1" w:styleId="66">
    <w:name w:val="标题 1 字符"/>
    <w:autoRedefine/>
    <w:qFormat/>
    <w:uiPriority w:val="9"/>
    <w:rPr>
      <w:b/>
      <w:bCs/>
      <w:kern w:val="44"/>
      <w:sz w:val="30"/>
      <w:szCs w:val="44"/>
    </w:rPr>
  </w:style>
  <w:style w:type="character" w:customStyle="1" w:styleId="67">
    <w:name w:val="标题 3 Char"/>
    <w:link w:val="5"/>
    <w:autoRedefine/>
    <w:qFormat/>
    <w:uiPriority w:val="0"/>
    <w:rPr>
      <w:rFonts w:ascii="Times New Roman" w:hAnsi="Times New Roman" w:eastAsia="楷体_GB2312" w:cs="Times New Roman"/>
      <w:b/>
      <w:bCs/>
      <w:kern w:val="0"/>
      <w:sz w:val="32"/>
      <w:szCs w:val="32"/>
    </w:rPr>
  </w:style>
  <w:style w:type="character" w:customStyle="1" w:styleId="68">
    <w:name w:val="页眉 Char1"/>
    <w:autoRedefine/>
    <w:semiHidden/>
    <w:qFormat/>
    <w:uiPriority w:val="99"/>
    <w:rPr>
      <w:rFonts w:ascii="Times New Roman" w:hAnsi="Times New Roman" w:eastAsia="宋体" w:cs="Times New Roman"/>
      <w:sz w:val="18"/>
      <w:szCs w:val="18"/>
    </w:rPr>
  </w:style>
  <w:style w:type="character" w:customStyle="1" w:styleId="69">
    <w:name w:val="H2 Char"/>
    <w:autoRedefine/>
    <w:qFormat/>
    <w:uiPriority w:val="0"/>
    <w:rPr>
      <w:rFonts w:ascii="Cambria" w:hAnsi="Cambria" w:eastAsia="宋体" w:cs="Times New Roman"/>
      <w:b/>
      <w:bCs/>
      <w:sz w:val="32"/>
      <w:szCs w:val="32"/>
    </w:rPr>
  </w:style>
  <w:style w:type="character" w:customStyle="1" w:styleId="70">
    <w:name w:val="* table text Char"/>
    <w:link w:val="71"/>
    <w:autoRedefine/>
    <w:qFormat/>
    <w:locked/>
    <w:uiPriority w:val="0"/>
    <w:rPr>
      <w:rFonts w:ascii="Arial" w:hAnsi="Arial" w:eastAsia="宋体"/>
      <w:color w:val="333333"/>
      <w:sz w:val="18"/>
      <w:szCs w:val="18"/>
      <w:lang w:bidi="ar-SA"/>
    </w:rPr>
  </w:style>
  <w:style w:type="paragraph" w:customStyle="1" w:styleId="71">
    <w:name w:val="* table text"/>
    <w:basedOn w:val="1"/>
    <w:link w:val="70"/>
    <w:autoRedefine/>
    <w:qFormat/>
    <w:uiPriority w:val="0"/>
    <w:pPr>
      <w:widowControl/>
    </w:pPr>
    <w:rPr>
      <w:rFonts w:ascii="Arial" w:hAnsi="Arial"/>
      <w:color w:val="333333"/>
      <w:kern w:val="0"/>
      <w:sz w:val="18"/>
      <w:szCs w:val="18"/>
    </w:rPr>
  </w:style>
  <w:style w:type="character" w:customStyle="1" w:styleId="72">
    <w:name w:val="批注文字 Char"/>
    <w:link w:val="19"/>
    <w:autoRedefine/>
    <w:qFormat/>
    <w:uiPriority w:val="0"/>
    <w:rPr>
      <w:szCs w:val="24"/>
    </w:rPr>
  </w:style>
  <w:style w:type="character" w:customStyle="1" w:styleId="73">
    <w:name w:val="Char Char12"/>
    <w:autoRedefine/>
    <w:qFormat/>
    <w:uiPriority w:val="0"/>
    <w:rPr>
      <w:rFonts w:ascii="仿宋_GB2312" w:hAnsi="宋体" w:eastAsia="仿宋_GB2312"/>
      <w:color w:val="000000"/>
      <w:kern w:val="2"/>
      <w:sz w:val="24"/>
      <w:szCs w:val="24"/>
    </w:rPr>
  </w:style>
  <w:style w:type="character" w:customStyle="1" w:styleId="74">
    <w:name w:val="Char Char23"/>
    <w:autoRedefine/>
    <w:qFormat/>
    <w:uiPriority w:val="0"/>
    <w:rPr>
      <w:b/>
      <w:bCs/>
      <w:kern w:val="2"/>
      <w:sz w:val="28"/>
      <w:szCs w:val="28"/>
    </w:rPr>
  </w:style>
  <w:style w:type="character" w:customStyle="1" w:styleId="75">
    <w:name w:val="Char Char27"/>
    <w:autoRedefine/>
    <w:qFormat/>
    <w:uiPriority w:val="0"/>
    <w:rPr>
      <w:b/>
      <w:bCs/>
      <w:kern w:val="44"/>
      <w:sz w:val="44"/>
      <w:szCs w:val="44"/>
    </w:rPr>
  </w:style>
  <w:style w:type="character" w:customStyle="1" w:styleId="76">
    <w:name w:val="Char Char1111"/>
    <w:autoRedefine/>
    <w:qFormat/>
    <w:uiPriority w:val="0"/>
    <w:rPr>
      <w:kern w:val="2"/>
      <w:sz w:val="28"/>
      <w:szCs w:val="24"/>
    </w:rPr>
  </w:style>
  <w:style w:type="character" w:customStyle="1" w:styleId="77">
    <w:name w:val="正文文本 字符"/>
    <w:autoRedefine/>
    <w:qFormat/>
    <w:uiPriority w:val="0"/>
    <w:rPr>
      <w:rFonts w:ascii="Times New Roman" w:hAnsi="Times New Roman" w:eastAsia="宋体" w:cs="Times New Roman"/>
      <w:kern w:val="0"/>
      <w:sz w:val="28"/>
      <w:szCs w:val="24"/>
    </w:rPr>
  </w:style>
  <w:style w:type="character" w:customStyle="1" w:styleId="78">
    <w:name w:val="无格式标题 Char"/>
    <w:link w:val="79"/>
    <w:autoRedefine/>
    <w:qFormat/>
    <w:uiPriority w:val="0"/>
    <w:rPr>
      <w:rFonts w:ascii="微软雅黑" w:hAnsi="微软雅黑" w:eastAsia="微软雅黑"/>
      <w:b/>
      <w:szCs w:val="24"/>
      <w:lang w:bidi="ar-SA"/>
    </w:rPr>
  </w:style>
  <w:style w:type="paragraph" w:customStyle="1" w:styleId="79">
    <w:name w:val="无格式标题"/>
    <w:basedOn w:val="1"/>
    <w:link w:val="78"/>
    <w:autoRedefine/>
    <w:qFormat/>
    <w:uiPriority w:val="0"/>
    <w:pPr>
      <w:spacing w:line="360" w:lineRule="auto"/>
    </w:pPr>
    <w:rPr>
      <w:rFonts w:ascii="微软雅黑" w:hAnsi="微软雅黑" w:eastAsia="微软雅黑"/>
      <w:b/>
      <w:kern w:val="0"/>
      <w:sz w:val="20"/>
    </w:rPr>
  </w:style>
  <w:style w:type="character" w:customStyle="1" w:styleId="80">
    <w:name w:val="普通(网站) Char"/>
    <w:link w:val="47"/>
    <w:autoRedefine/>
    <w:qFormat/>
    <w:uiPriority w:val="0"/>
    <w:rPr>
      <w:rFonts w:ascii="宋体" w:hAnsi="宋体"/>
      <w:sz w:val="24"/>
      <w:szCs w:val="24"/>
    </w:rPr>
  </w:style>
  <w:style w:type="character" w:customStyle="1" w:styleId="81">
    <w:name w:val="标题 3 Char1"/>
    <w:autoRedefine/>
    <w:qFormat/>
    <w:uiPriority w:val="0"/>
    <w:rPr>
      <w:rFonts w:ascii="Times New Roman" w:hAnsi="Times New Roman" w:eastAsia="宋体" w:cs="Times New Roman"/>
      <w:b/>
      <w:bCs/>
      <w:sz w:val="32"/>
      <w:szCs w:val="32"/>
    </w:rPr>
  </w:style>
  <w:style w:type="character" w:customStyle="1" w:styleId="82">
    <w:name w:val="Heading 9 Char"/>
    <w:autoRedefine/>
    <w:semiHidden/>
    <w:qFormat/>
    <w:locked/>
    <w:uiPriority w:val="0"/>
    <w:rPr>
      <w:rFonts w:ascii="Cambria" w:hAnsi="Cambria" w:eastAsia="宋体" w:cs="Times New Roman"/>
      <w:kern w:val="0"/>
      <w:sz w:val="21"/>
      <w:szCs w:val="21"/>
    </w:rPr>
  </w:style>
  <w:style w:type="character" w:customStyle="1" w:styleId="83">
    <w:name w:val="中等深浅网格 2 字符"/>
    <w:link w:val="84"/>
    <w:autoRedefine/>
    <w:qFormat/>
    <w:uiPriority w:val="1"/>
    <w:rPr>
      <w:kern w:val="2"/>
      <w:sz w:val="21"/>
      <w:szCs w:val="24"/>
      <w:lang w:val="en-US" w:eastAsia="zh-CN" w:bidi="ar-SA"/>
    </w:rPr>
  </w:style>
  <w:style w:type="paragraph" w:customStyle="1" w:styleId="84">
    <w:name w:val="中等深浅网格 21"/>
    <w:link w:val="83"/>
    <w:autoRedefine/>
    <w:qFormat/>
    <w:uiPriority w:val="1"/>
    <w:pPr>
      <w:widowControl w:val="0"/>
      <w:jc w:val="both"/>
    </w:pPr>
    <w:rPr>
      <w:rFonts w:ascii="Times New Roman" w:hAnsi="Times New Roman" w:eastAsia="宋体" w:cs="Times New Roman"/>
      <w:kern w:val="2"/>
      <w:sz w:val="21"/>
      <w:szCs w:val="24"/>
      <w:lang w:val="en-US" w:eastAsia="zh-CN" w:bidi="ar-SA"/>
    </w:rPr>
  </w:style>
  <w:style w:type="character" w:customStyle="1" w:styleId="85">
    <w:name w:val="段落文本 Char"/>
    <w:link w:val="86"/>
    <w:autoRedefine/>
    <w:qFormat/>
    <w:uiPriority w:val="0"/>
    <w:rPr>
      <w:rFonts w:eastAsia="宋体"/>
      <w:szCs w:val="21"/>
      <w:lang w:bidi="ar-SA"/>
    </w:rPr>
  </w:style>
  <w:style w:type="paragraph" w:customStyle="1" w:styleId="86">
    <w:name w:val="段落文本"/>
    <w:basedOn w:val="1"/>
    <w:link w:val="85"/>
    <w:autoRedefine/>
    <w:qFormat/>
    <w:uiPriority w:val="0"/>
    <w:pPr>
      <w:spacing w:line="360" w:lineRule="auto"/>
      <w:ind w:firstLine="420"/>
    </w:pPr>
    <w:rPr>
      <w:kern w:val="0"/>
      <w:sz w:val="20"/>
      <w:szCs w:val="21"/>
    </w:rPr>
  </w:style>
  <w:style w:type="character" w:customStyle="1" w:styleId="87">
    <w:name w:val="批注文字 Char1"/>
    <w:autoRedefine/>
    <w:semiHidden/>
    <w:qFormat/>
    <w:uiPriority w:val="99"/>
    <w:rPr>
      <w:rFonts w:ascii="Times New Roman" w:hAnsi="Times New Roman" w:eastAsia="宋体" w:cs="Times New Roman"/>
      <w:szCs w:val="24"/>
    </w:rPr>
  </w:style>
  <w:style w:type="character" w:customStyle="1" w:styleId="88">
    <w:name w:val="￥正文 Char Char"/>
    <w:autoRedefine/>
    <w:qFormat/>
    <w:uiPriority w:val="0"/>
    <w:rPr>
      <w:rFonts w:ascii="Calibri" w:hAnsi="Calibri"/>
      <w:sz w:val="24"/>
    </w:rPr>
  </w:style>
  <w:style w:type="character" w:customStyle="1" w:styleId="89">
    <w:name w:val="Char Char5"/>
    <w:autoRedefine/>
    <w:qFormat/>
    <w:uiPriority w:val="0"/>
    <w:rPr>
      <w:rFonts w:ascii="宋体" w:hAnsi="宋体"/>
      <w:sz w:val="24"/>
      <w:szCs w:val="24"/>
    </w:rPr>
  </w:style>
  <w:style w:type="character" w:customStyle="1" w:styleId="90">
    <w:name w:val="Heading 3 Char"/>
    <w:autoRedefine/>
    <w:semiHidden/>
    <w:qFormat/>
    <w:locked/>
    <w:uiPriority w:val="0"/>
    <w:rPr>
      <w:rFonts w:cs="Times New Roman"/>
      <w:b/>
      <w:bCs/>
      <w:kern w:val="0"/>
      <w:sz w:val="32"/>
      <w:szCs w:val="32"/>
    </w:rPr>
  </w:style>
  <w:style w:type="character" w:customStyle="1" w:styleId="91">
    <w:name w:val="Char Char21"/>
    <w:autoRedefine/>
    <w:qFormat/>
    <w:uiPriority w:val="0"/>
    <w:rPr>
      <w:b/>
      <w:bCs/>
      <w:kern w:val="2"/>
      <w:sz w:val="24"/>
      <w:szCs w:val="24"/>
    </w:rPr>
  </w:style>
  <w:style w:type="character" w:customStyle="1" w:styleId="92">
    <w:name w:val="正文样式 Char"/>
    <w:link w:val="93"/>
    <w:autoRedefine/>
    <w:qFormat/>
    <w:uiPriority w:val="0"/>
    <w:rPr>
      <w:rFonts w:ascii="宋体" w:hAnsi="Calibri" w:eastAsia="宋体" w:cs="宋体"/>
      <w:sz w:val="24"/>
      <w:szCs w:val="24"/>
      <w:lang w:val="zh-CN" w:eastAsia="en-US" w:bidi="he-IL"/>
    </w:rPr>
  </w:style>
  <w:style w:type="paragraph" w:customStyle="1" w:styleId="93">
    <w:name w:val="正文样式"/>
    <w:basedOn w:val="1"/>
    <w:link w:val="92"/>
    <w:autoRedefine/>
    <w:qFormat/>
    <w:uiPriority w:val="0"/>
    <w:pPr>
      <w:widowControl/>
      <w:autoSpaceDE w:val="0"/>
      <w:autoSpaceDN w:val="0"/>
      <w:adjustRightInd w:val="0"/>
      <w:ind w:firstLine="480"/>
      <w:jc w:val="left"/>
    </w:pPr>
    <w:rPr>
      <w:rFonts w:ascii="宋体" w:hAnsi="Calibri" w:cs="宋体"/>
      <w:kern w:val="0"/>
      <w:sz w:val="24"/>
      <w:lang w:val="zh-CN" w:eastAsia="en-US" w:bidi="he-IL"/>
    </w:rPr>
  </w:style>
  <w:style w:type="character" w:customStyle="1" w:styleId="94">
    <w:name w:val="Heading 8 Char"/>
    <w:autoRedefine/>
    <w:semiHidden/>
    <w:qFormat/>
    <w:locked/>
    <w:uiPriority w:val="0"/>
    <w:rPr>
      <w:rFonts w:ascii="Cambria" w:hAnsi="Cambria" w:eastAsia="宋体" w:cs="Times New Roman"/>
      <w:kern w:val="0"/>
      <w:sz w:val="24"/>
      <w:szCs w:val="24"/>
    </w:rPr>
  </w:style>
  <w:style w:type="character" w:customStyle="1" w:styleId="95">
    <w:name w:val="内容文本 Char"/>
    <w:link w:val="96"/>
    <w:autoRedefine/>
    <w:qFormat/>
    <w:uiPriority w:val="0"/>
    <w:rPr>
      <w:rFonts w:ascii="宋体" w:hAnsi="宋体" w:eastAsia="宋体"/>
      <w:kern w:val="2"/>
      <w:sz w:val="24"/>
      <w:szCs w:val="24"/>
      <w:lang w:bidi="ar-SA"/>
    </w:rPr>
  </w:style>
  <w:style w:type="paragraph" w:customStyle="1" w:styleId="96">
    <w:name w:val="内容文本"/>
    <w:basedOn w:val="1"/>
    <w:link w:val="95"/>
    <w:autoRedefine/>
    <w:qFormat/>
    <w:uiPriority w:val="0"/>
    <w:pPr>
      <w:spacing w:line="360" w:lineRule="auto"/>
      <w:ind w:firstLine="480" w:firstLineChars="200"/>
    </w:pPr>
    <w:rPr>
      <w:rFonts w:ascii="宋体" w:hAnsi="宋体"/>
      <w:sz w:val="24"/>
    </w:rPr>
  </w:style>
  <w:style w:type="character" w:customStyle="1" w:styleId="97">
    <w:name w:val="正文文本缩进 3 Char"/>
    <w:link w:val="42"/>
    <w:autoRedefine/>
    <w:qFormat/>
    <w:uiPriority w:val="0"/>
    <w:rPr>
      <w:rFonts w:ascii="仿宋_GB2312" w:hAnsi="宋体" w:eastAsia="仿宋_GB2312"/>
      <w:color w:val="000000"/>
      <w:sz w:val="24"/>
      <w:szCs w:val="24"/>
    </w:rPr>
  </w:style>
  <w:style w:type="character" w:customStyle="1" w:styleId="98">
    <w:name w:val="Char Char3"/>
    <w:autoRedefine/>
    <w:qFormat/>
    <w:uiPriority w:val="0"/>
    <w:rPr>
      <w:kern w:val="2"/>
      <w:sz w:val="24"/>
      <w:szCs w:val="24"/>
    </w:rPr>
  </w:style>
  <w:style w:type="character" w:customStyle="1" w:styleId="99">
    <w:name w:val="Char Char8"/>
    <w:autoRedefine/>
    <w:qFormat/>
    <w:uiPriority w:val="0"/>
    <w:rPr>
      <w:rFonts w:eastAsia="楷体_GB2312"/>
      <w:kern w:val="2"/>
      <w:sz w:val="32"/>
    </w:rPr>
  </w:style>
  <w:style w:type="character" w:customStyle="1" w:styleId="100">
    <w:name w:val="Char Char18"/>
    <w:autoRedefine/>
    <w:qFormat/>
    <w:uiPriority w:val="0"/>
    <w:rPr>
      <w:rFonts w:eastAsia="黑体"/>
      <w:sz w:val="18"/>
      <w:szCs w:val="18"/>
    </w:rPr>
  </w:style>
  <w:style w:type="character" w:customStyle="1" w:styleId="101">
    <w:name w:val="h Char"/>
    <w:autoRedefine/>
    <w:qFormat/>
    <w:uiPriority w:val="0"/>
    <w:rPr>
      <w:rFonts w:ascii="Times New Roman" w:hAnsi="Times New Roman" w:eastAsia="宋体" w:cs="Times New Roman"/>
      <w:sz w:val="18"/>
      <w:szCs w:val="18"/>
    </w:rPr>
  </w:style>
  <w:style w:type="character" w:customStyle="1" w:styleId="102">
    <w:name w:val="Heading 4 Char"/>
    <w:autoRedefine/>
    <w:qFormat/>
    <w:locked/>
    <w:uiPriority w:val="0"/>
    <w:rPr>
      <w:rFonts w:cs="Times New Roman"/>
      <w:b/>
      <w:sz w:val="21"/>
    </w:rPr>
  </w:style>
  <w:style w:type="character" w:customStyle="1" w:styleId="103">
    <w:name w:val="zhenwen14"/>
    <w:autoRedefine/>
    <w:qFormat/>
    <w:uiPriority w:val="0"/>
    <w:rPr>
      <w:color w:val="085994"/>
      <w:sz w:val="18"/>
      <w:szCs w:val="18"/>
    </w:rPr>
  </w:style>
  <w:style w:type="character" w:customStyle="1" w:styleId="104">
    <w:name w:val="中等深浅网格 1 - 强调文字颜色 2 Char"/>
    <w:link w:val="105"/>
    <w:autoRedefine/>
    <w:qFormat/>
    <w:uiPriority w:val="0"/>
    <w:rPr>
      <w:rFonts w:ascii="Calibri" w:hAnsi="Calibri" w:eastAsia="宋体"/>
      <w:sz w:val="24"/>
      <w:lang w:bidi="ar-SA"/>
    </w:rPr>
  </w:style>
  <w:style w:type="paragraph" w:customStyle="1" w:styleId="105">
    <w:name w:val="中等深浅网格 1 - 强调文字颜色 21"/>
    <w:basedOn w:val="1"/>
    <w:link w:val="104"/>
    <w:autoRedefine/>
    <w:qFormat/>
    <w:uiPriority w:val="0"/>
    <w:pPr>
      <w:spacing w:line="360" w:lineRule="auto"/>
      <w:ind w:firstLine="420" w:firstLineChars="200"/>
    </w:pPr>
    <w:rPr>
      <w:rFonts w:ascii="Calibri" w:hAnsi="Calibri"/>
      <w:kern w:val="0"/>
      <w:sz w:val="24"/>
      <w:szCs w:val="20"/>
    </w:rPr>
  </w:style>
  <w:style w:type="character" w:customStyle="1" w:styleId="106">
    <w:name w:val="标题 4 Char"/>
    <w:link w:val="6"/>
    <w:autoRedefine/>
    <w:qFormat/>
    <w:uiPriority w:val="0"/>
    <w:rPr>
      <w:rFonts w:ascii="Arial" w:hAnsi="Arial" w:eastAsia="黑体" w:cs="Times New Roman"/>
      <w:b/>
      <w:bCs/>
      <w:kern w:val="0"/>
      <w:sz w:val="28"/>
      <w:szCs w:val="28"/>
    </w:rPr>
  </w:style>
  <w:style w:type="character" w:customStyle="1" w:styleId="107">
    <w:name w:val="Char Char2"/>
    <w:autoRedefine/>
    <w:qFormat/>
    <w:uiPriority w:val="0"/>
    <w:rPr>
      <w:rFonts w:ascii="宋体" w:hAnsi="宋体"/>
      <w:color w:val="000000"/>
      <w:kern w:val="2"/>
      <w:sz w:val="24"/>
      <w:szCs w:val="24"/>
    </w:rPr>
  </w:style>
  <w:style w:type="character" w:customStyle="1" w:styleId="108">
    <w:name w:val="Char Char24"/>
    <w:autoRedefine/>
    <w:qFormat/>
    <w:uiPriority w:val="0"/>
    <w:rPr>
      <w:rFonts w:ascii="Arial" w:hAnsi="Arial" w:eastAsia="黑体"/>
      <w:b/>
      <w:bCs/>
      <w:kern w:val="2"/>
      <w:sz w:val="28"/>
      <w:szCs w:val="28"/>
    </w:rPr>
  </w:style>
  <w:style w:type="character" w:customStyle="1" w:styleId="109">
    <w:name w:val="样式 (中文) 放宋 小四号"/>
    <w:autoRedefine/>
    <w:qFormat/>
    <w:uiPriority w:val="0"/>
    <w:rPr>
      <w:rFonts w:eastAsia="仿宋_GB2312"/>
      <w:sz w:val="24"/>
    </w:rPr>
  </w:style>
  <w:style w:type="character" w:customStyle="1" w:styleId="110">
    <w:name w:val="日期 Char1"/>
    <w:autoRedefine/>
    <w:semiHidden/>
    <w:qFormat/>
    <w:uiPriority w:val="99"/>
    <w:rPr>
      <w:rFonts w:ascii="Times New Roman" w:hAnsi="Times New Roman" w:eastAsia="宋体" w:cs="Times New Roman"/>
      <w:szCs w:val="24"/>
    </w:rPr>
  </w:style>
  <w:style w:type="character" w:customStyle="1" w:styleId="111">
    <w:name w:val="font31"/>
    <w:autoRedefine/>
    <w:qFormat/>
    <w:uiPriority w:val="0"/>
    <w:rPr>
      <w:rFonts w:hint="default" w:ascii="Times New Roman" w:hAnsi="Times New Roman" w:cs="Times New Roman"/>
      <w:color w:val="000000"/>
      <w:sz w:val="20"/>
      <w:szCs w:val="20"/>
      <w:u w:val="none"/>
    </w:rPr>
  </w:style>
  <w:style w:type="character" w:customStyle="1" w:styleId="112">
    <w:name w:val="样式 加粗"/>
    <w:autoRedefine/>
    <w:qFormat/>
    <w:uiPriority w:val="0"/>
    <w:rPr>
      <w:rFonts w:eastAsia="仿宋_GB2312"/>
      <w:b/>
      <w:bCs/>
      <w:sz w:val="24"/>
    </w:rPr>
  </w:style>
  <w:style w:type="character" w:customStyle="1" w:styleId="113">
    <w:name w:val="常规 Char"/>
    <w:link w:val="114"/>
    <w:autoRedefine/>
    <w:qFormat/>
    <w:uiPriority w:val="0"/>
    <w:rPr>
      <w:rFonts w:eastAsia="宋体"/>
      <w:szCs w:val="21"/>
      <w:lang w:bidi="ar-SA"/>
    </w:rPr>
  </w:style>
  <w:style w:type="paragraph" w:customStyle="1" w:styleId="114">
    <w:name w:val="常规"/>
    <w:basedOn w:val="1"/>
    <w:link w:val="113"/>
    <w:autoRedefine/>
    <w:qFormat/>
    <w:uiPriority w:val="0"/>
    <w:pPr>
      <w:spacing w:beforeLines="100" w:afterLines="100"/>
      <w:ind w:left="1134"/>
    </w:pPr>
    <w:rPr>
      <w:kern w:val="0"/>
      <w:sz w:val="20"/>
      <w:szCs w:val="21"/>
    </w:rPr>
  </w:style>
  <w:style w:type="character" w:customStyle="1" w:styleId="115">
    <w:name w:val="正文文本 3 Char"/>
    <w:link w:val="20"/>
    <w:autoRedefine/>
    <w:qFormat/>
    <w:uiPriority w:val="0"/>
    <w:rPr>
      <w:rFonts w:hAnsi="宋体" w:eastAsia="仿宋_GB2312"/>
      <w:b/>
      <w:bCs/>
      <w:sz w:val="24"/>
    </w:rPr>
  </w:style>
  <w:style w:type="character" w:customStyle="1" w:styleId="116">
    <w:name w:val="普通 (Web) Char1"/>
    <w:autoRedefine/>
    <w:qFormat/>
    <w:locked/>
    <w:uiPriority w:val="0"/>
    <w:rPr>
      <w:rFonts w:ascii="宋体" w:hAnsi="宋体" w:eastAsia="宋体"/>
      <w:sz w:val="24"/>
      <w:szCs w:val="24"/>
      <w:lang w:val="en-US" w:eastAsia="zh-CN" w:bidi="ar-SA"/>
    </w:rPr>
  </w:style>
  <w:style w:type="character" w:customStyle="1" w:styleId="117">
    <w:name w:val="Heading 2 Char"/>
    <w:autoRedefine/>
    <w:semiHidden/>
    <w:qFormat/>
    <w:locked/>
    <w:uiPriority w:val="0"/>
    <w:rPr>
      <w:rFonts w:ascii="Cambria" w:hAnsi="Cambria" w:eastAsia="宋体" w:cs="Times New Roman"/>
      <w:b/>
      <w:bCs/>
      <w:kern w:val="0"/>
      <w:sz w:val="32"/>
      <w:szCs w:val="32"/>
    </w:rPr>
  </w:style>
  <w:style w:type="character" w:customStyle="1" w:styleId="118">
    <w:name w:val="Body Text Char"/>
    <w:autoRedefine/>
    <w:semiHidden/>
    <w:qFormat/>
    <w:locked/>
    <w:uiPriority w:val="0"/>
    <w:rPr>
      <w:rFonts w:cs="Times New Roman"/>
      <w:kern w:val="0"/>
      <w:sz w:val="21"/>
      <w:szCs w:val="21"/>
    </w:rPr>
  </w:style>
  <w:style w:type="character" w:customStyle="1" w:styleId="119">
    <w:name w:val="正文首行缩进1 Char"/>
    <w:autoRedefine/>
    <w:qFormat/>
    <w:uiPriority w:val="0"/>
    <w:rPr>
      <w:rFonts w:ascii="Arial" w:hAnsi="Arial" w:eastAsia="宋体"/>
      <w:sz w:val="24"/>
      <w:szCs w:val="21"/>
      <w:lang w:bidi="ar-SA"/>
    </w:rPr>
  </w:style>
  <w:style w:type="character" w:customStyle="1" w:styleId="120">
    <w:name w:val="正文缩进 Char"/>
    <w:link w:val="14"/>
    <w:autoRedefine/>
    <w:qFormat/>
    <w:uiPriority w:val="0"/>
    <w:rPr>
      <w:rFonts w:eastAsia="宋体"/>
    </w:rPr>
  </w:style>
  <w:style w:type="character" w:customStyle="1" w:styleId="121">
    <w:name w:val="标题 7 Char"/>
    <w:link w:val="9"/>
    <w:autoRedefine/>
    <w:qFormat/>
    <w:uiPriority w:val="0"/>
    <w:rPr>
      <w:rFonts w:ascii="Times New Roman" w:hAnsi="Times New Roman" w:eastAsia="宋体" w:cs="Times New Roman"/>
      <w:b/>
      <w:bCs/>
      <w:kern w:val="0"/>
      <w:sz w:val="24"/>
      <w:szCs w:val="24"/>
    </w:rPr>
  </w:style>
  <w:style w:type="character" w:customStyle="1" w:styleId="122">
    <w:name w:val="Char Char6"/>
    <w:autoRedefine/>
    <w:qFormat/>
    <w:uiPriority w:val="0"/>
    <w:rPr>
      <w:rFonts w:ascii="Cambria" w:hAnsi="Cambria"/>
      <w:b/>
      <w:bCs/>
      <w:kern w:val="2"/>
      <w:sz w:val="32"/>
      <w:szCs w:val="32"/>
    </w:rPr>
  </w:style>
  <w:style w:type="character" w:customStyle="1" w:styleId="123">
    <w:name w:val="正文文本 Char1"/>
    <w:link w:val="21"/>
    <w:autoRedefine/>
    <w:qFormat/>
    <w:uiPriority w:val="0"/>
    <w:rPr>
      <w:rFonts w:ascii="Times New Roman" w:hAnsi="Times New Roman" w:eastAsia="宋体" w:cs="Times New Roman"/>
      <w:kern w:val="0"/>
      <w:sz w:val="28"/>
      <w:szCs w:val="24"/>
    </w:rPr>
  </w:style>
  <w:style w:type="character" w:customStyle="1" w:styleId="124">
    <w:name w:val="style171"/>
    <w:autoRedefine/>
    <w:qFormat/>
    <w:uiPriority w:val="0"/>
    <w:rPr>
      <w:sz w:val="20"/>
      <w:szCs w:val="20"/>
    </w:rPr>
  </w:style>
  <w:style w:type="character" w:customStyle="1" w:styleId="125">
    <w:name w:val="标题 1 Char"/>
    <w:link w:val="3"/>
    <w:autoRedefine/>
    <w:qFormat/>
    <w:uiPriority w:val="9"/>
    <w:rPr>
      <w:rFonts w:ascii="Times New Roman" w:hAnsi="Times New Roman" w:eastAsia="宋体" w:cs="Times New Roman"/>
      <w:b/>
      <w:bCs/>
      <w:kern w:val="44"/>
      <w:sz w:val="44"/>
      <w:szCs w:val="44"/>
    </w:rPr>
  </w:style>
  <w:style w:type="character" w:customStyle="1" w:styleId="126">
    <w:name w:val="newscontent1"/>
    <w:autoRedefine/>
    <w:qFormat/>
    <w:uiPriority w:val="0"/>
    <w:rPr>
      <w:rFonts w:hint="default" w:ascii="Verdana" w:hAnsi="Verdana"/>
      <w:color w:val="333333"/>
      <w:sz w:val="18"/>
      <w:szCs w:val="18"/>
    </w:rPr>
  </w:style>
  <w:style w:type="character" w:customStyle="1" w:styleId="127">
    <w:name w:val="H1 Char"/>
    <w:autoRedefine/>
    <w:qFormat/>
    <w:uiPriority w:val="0"/>
    <w:rPr>
      <w:rFonts w:ascii="Times New Roman" w:hAnsi="Times New Roman" w:eastAsia="宋体" w:cs="Times New Roman"/>
      <w:b/>
      <w:bCs/>
      <w:kern w:val="44"/>
      <w:sz w:val="44"/>
      <w:szCs w:val="44"/>
    </w:rPr>
  </w:style>
  <w:style w:type="character" w:customStyle="1" w:styleId="128">
    <w:name w:val="style211"/>
    <w:autoRedefine/>
    <w:qFormat/>
    <w:uiPriority w:val="0"/>
    <w:rPr>
      <w:color w:val="0000FF"/>
    </w:rPr>
  </w:style>
  <w:style w:type="character" w:customStyle="1" w:styleId="129">
    <w:name w:val="con-all2"/>
    <w:autoRedefine/>
    <w:qFormat/>
    <w:uiPriority w:val="0"/>
  </w:style>
  <w:style w:type="character" w:customStyle="1" w:styleId="130">
    <w:name w:val="!标题3 Ctrl+3 Char"/>
    <w:link w:val="131"/>
    <w:autoRedefine/>
    <w:qFormat/>
    <w:locked/>
    <w:uiPriority w:val="0"/>
    <w:rPr>
      <w:rFonts w:ascii="Arial" w:hAnsi="Arial" w:eastAsia="黑体"/>
      <w:b/>
      <w:kern w:val="2"/>
      <w:sz w:val="32"/>
      <w:szCs w:val="32"/>
    </w:rPr>
  </w:style>
  <w:style w:type="paragraph" w:customStyle="1" w:styleId="131">
    <w:name w:val="!标题3 Ctrl+3"/>
    <w:basedOn w:val="5"/>
    <w:next w:val="1"/>
    <w:link w:val="130"/>
    <w:autoRedefine/>
    <w:qFormat/>
    <w:uiPriority w:val="0"/>
    <w:pPr>
      <w:keepNext w:val="0"/>
      <w:keepLines w:val="0"/>
      <w:tabs>
        <w:tab w:val="left" w:pos="709"/>
      </w:tabs>
      <w:adjustRightInd w:val="0"/>
      <w:snapToGrid w:val="0"/>
      <w:spacing w:beforeLines="75" w:afterLines="25" w:line="360" w:lineRule="auto"/>
      <w:ind w:left="709" w:hanging="709"/>
      <w:jc w:val="both"/>
    </w:pPr>
    <w:rPr>
      <w:rFonts w:ascii="Arial" w:hAnsi="Arial" w:eastAsia="黑体"/>
      <w:bCs w:val="0"/>
      <w:kern w:val="2"/>
    </w:rPr>
  </w:style>
  <w:style w:type="character" w:customStyle="1" w:styleId="132">
    <w:name w:val="font61"/>
    <w:autoRedefine/>
    <w:qFormat/>
    <w:uiPriority w:val="0"/>
    <w:rPr>
      <w:rFonts w:hint="eastAsia" w:ascii="宋体" w:hAnsi="宋体" w:eastAsia="宋体" w:cs="宋体"/>
      <w:color w:val="000000"/>
      <w:sz w:val="24"/>
      <w:szCs w:val="24"/>
      <w:u w:val="none"/>
    </w:rPr>
  </w:style>
  <w:style w:type="character" w:customStyle="1" w:styleId="133">
    <w:name w:val="正文文本缩进 Char1"/>
    <w:autoRedefine/>
    <w:semiHidden/>
    <w:qFormat/>
    <w:uiPriority w:val="99"/>
    <w:rPr>
      <w:rFonts w:ascii="Times New Roman" w:hAnsi="Times New Roman" w:eastAsia="宋体" w:cs="Times New Roman"/>
      <w:szCs w:val="24"/>
    </w:rPr>
  </w:style>
  <w:style w:type="character" w:customStyle="1" w:styleId="134">
    <w:name w:val="Char Char25"/>
    <w:autoRedefine/>
    <w:qFormat/>
    <w:uiPriority w:val="0"/>
    <w:rPr>
      <w:rFonts w:eastAsia="楷体_GB2312"/>
      <w:b/>
      <w:bCs/>
      <w:kern w:val="2"/>
      <w:sz w:val="32"/>
      <w:szCs w:val="32"/>
    </w:rPr>
  </w:style>
  <w:style w:type="character" w:customStyle="1" w:styleId="135">
    <w:name w:val="Char Char14"/>
    <w:autoRedefine/>
    <w:qFormat/>
    <w:uiPriority w:val="0"/>
    <w:rPr>
      <w:kern w:val="2"/>
      <w:sz w:val="18"/>
      <w:szCs w:val="18"/>
    </w:rPr>
  </w:style>
  <w:style w:type="character" w:customStyle="1" w:styleId="136">
    <w:name w:val="unnamed21"/>
    <w:autoRedefine/>
    <w:qFormat/>
    <w:uiPriority w:val="0"/>
    <w:rPr>
      <w:b/>
      <w:bCs/>
      <w:spacing w:val="330"/>
      <w:sz w:val="21"/>
      <w:szCs w:val="21"/>
    </w:rPr>
  </w:style>
  <w:style w:type="character" w:customStyle="1" w:styleId="137">
    <w:name w:val="body1"/>
    <w:autoRedefine/>
    <w:qFormat/>
    <w:uiPriority w:val="0"/>
    <w:rPr>
      <w:rFonts w:hint="default"/>
      <w:sz w:val="18"/>
    </w:rPr>
  </w:style>
  <w:style w:type="character" w:customStyle="1" w:styleId="138">
    <w:name w:val="标题 Char"/>
    <w:link w:val="49"/>
    <w:autoRedefine/>
    <w:qFormat/>
    <w:uiPriority w:val="0"/>
    <w:rPr>
      <w:rFonts w:ascii="Cambria" w:hAnsi="Cambria"/>
      <w:b/>
      <w:bCs/>
      <w:sz w:val="32"/>
      <w:szCs w:val="32"/>
    </w:rPr>
  </w:style>
  <w:style w:type="character" w:customStyle="1" w:styleId="139">
    <w:name w:val="批注框文本 Char"/>
    <w:link w:val="36"/>
    <w:autoRedefine/>
    <w:qFormat/>
    <w:uiPriority w:val="99"/>
    <w:rPr>
      <w:sz w:val="18"/>
      <w:szCs w:val="18"/>
    </w:rPr>
  </w:style>
  <w:style w:type="character" w:customStyle="1" w:styleId="140">
    <w:name w:val="表格文本 Char Char"/>
    <w:link w:val="141"/>
    <w:autoRedefine/>
    <w:qFormat/>
    <w:uiPriority w:val="0"/>
    <w:rPr>
      <w:rFonts w:ascii="Arial" w:hAnsi="Arial"/>
      <w:kern w:val="2"/>
      <w:sz w:val="21"/>
      <w:szCs w:val="21"/>
      <w:lang w:val="en-US" w:eastAsia="zh-CN" w:bidi="ar-SA"/>
    </w:rPr>
  </w:style>
  <w:style w:type="paragraph" w:customStyle="1" w:styleId="141">
    <w:name w:val="表格文本 Char"/>
    <w:link w:val="140"/>
    <w:autoRedefine/>
    <w:qFormat/>
    <w:uiPriority w:val="0"/>
    <w:pPr>
      <w:tabs>
        <w:tab w:val="decimal" w:pos="0"/>
      </w:tabs>
    </w:pPr>
    <w:rPr>
      <w:rFonts w:ascii="Arial" w:hAnsi="Arial" w:eastAsia="宋体" w:cs="Times New Roman"/>
      <w:kern w:val="2"/>
      <w:sz w:val="21"/>
      <w:szCs w:val="21"/>
      <w:lang w:val="en-US" w:eastAsia="zh-CN" w:bidi="ar-SA"/>
    </w:rPr>
  </w:style>
  <w:style w:type="character" w:customStyle="1" w:styleId="142">
    <w:name w:val="批注主题 Char1"/>
    <w:autoRedefine/>
    <w:semiHidden/>
    <w:qFormat/>
    <w:uiPriority w:val="99"/>
    <w:rPr>
      <w:rFonts w:ascii="Times New Roman" w:hAnsi="Times New Roman" w:eastAsia="宋体" w:cs="Times New Roman"/>
      <w:b/>
      <w:bCs/>
      <w:szCs w:val="24"/>
    </w:rPr>
  </w:style>
  <w:style w:type="character" w:customStyle="1" w:styleId="143">
    <w:name w:val="页脚 Char1"/>
    <w:autoRedefine/>
    <w:semiHidden/>
    <w:qFormat/>
    <w:uiPriority w:val="99"/>
    <w:rPr>
      <w:rFonts w:ascii="Times New Roman" w:hAnsi="Times New Roman" w:eastAsia="宋体" w:cs="Times New Roman"/>
      <w:sz w:val="18"/>
      <w:szCs w:val="18"/>
    </w:rPr>
  </w:style>
  <w:style w:type="character" w:customStyle="1" w:styleId="144">
    <w:name w:val="文档结构图 Char"/>
    <w:link w:val="17"/>
    <w:autoRedefine/>
    <w:qFormat/>
    <w:uiPriority w:val="99"/>
    <w:rPr>
      <w:szCs w:val="24"/>
      <w:shd w:val="clear" w:color="auto" w:fill="000080"/>
    </w:rPr>
  </w:style>
  <w:style w:type="character" w:customStyle="1" w:styleId="145">
    <w:name w:val="Heading 5 Char"/>
    <w:autoRedefine/>
    <w:semiHidden/>
    <w:qFormat/>
    <w:locked/>
    <w:uiPriority w:val="0"/>
    <w:rPr>
      <w:rFonts w:cs="Times New Roman"/>
      <w:b/>
      <w:bCs/>
      <w:kern w:val="0"/>
      <w:sz w:val="28"/>
      <w:szCs w:val="28"/>
    </w:rPr>
  </w:style>
  <w:style w:type="character" w:customStyle="1" w:styleId="146">
    <w:name w:val="Char Char26"/>
    <w:autoRedefine/>
    <w:qFormat/>
    <w:uiPriority w:val="0"/>
    <w:rPr>
      <w:rFonts w:ascii="Arial" w:hAnsi="Arial" w:eastAsia="黑体"/>
      <w:b/>
      <w:bCs/>
      <w:kern w:val="2"/>
      <w:sz w:val="32"/>
      <w:szCs w:val="32"/>
    </w:rPr>
  </w:style>
  <w:style w:type="character" w:customStyle="1" w:styleId="147">
    <w:name w:val="正文文本 2 Char1"/>
    <w:autoRedefine/>
    <w:semiHidden/>
    <w:qFormat/>
    <w:uiPriority w:val="99"/>
    <w:rPr>
      <w:rFonts w:ascii="Times New Roman" w:hAnsi="Times New Roman" w:eastAsia="宋体" w:cs="Times New Roman"/>
      <w:szCs w:val="24"/>
    </w:rPr>
  </w:style>
  <w:style w:type="character" w:customStyle="1" w:styleId="148">
    <w:name w:val="font41"/>
    <w:autoRedefine/>
    <w:qFormat/>
    <w:uiPriority w:val="0"/>
    <w:rPr>
      <w:rFonts w:hint="eastAsia" w:ascii="宋体" w:hAnsi="宋体" w:eastAsia="宋体" w:cs="宋体"/>
      <w:color w:val="000000"/>
      <w:sz w:val="20"/>
      <w:szCs w:val="20"/>
      <w:u w:val="none"/>
    </w:rPr>
  </w:style>
  <w:style w:type="character" w:customStyle="1" w:styleId="149">
    <w:name w:val="标题 8 Char"/>
    <w:link w:val="10"/>
    <w:autoRedefine/>
    <w:qFormat/>
    <w:uiPriority w:val="0"/>
    <w:rPr>
      <w:rFonts w:ascii="Arial" w:hAnsi="Arial" w:eastAsia="黑体" w:cs="Times New Roman"/>
      <w:kern w:val="0"/>
      <w:sz w:val="24"/>
      <w:szCs w:val="24"/>
    </w:rPr>
  </w:style>
  <w:style w:type="character" w:customStyle="1" w:styleId="150">
    <w:name w:val="BOD 4 Char Char"/>
    <w:autoRedefine/>
    <w:qFormat/>
    <w:uiPriority w:val="0"/>
    <w:rPr>
      <w:rFonts w:ascii="Arial" w:hAnsi="Arial" w:eastAsia="黑体" w:cs="Times New Roman"/>
      <w:b/>
      <w:bCs/>
      <w:sz w:val="24"/>
      <w:szCs w:val="24"/>
    </w:rPr>
  </w:style>
  <w:style w:type="character" w:customStyle="1" w:styleId="151">
    <w:name w:val="Heading 1 Char"/>
    <w:autoRedefine/>
    <w:qFormat/>
    <w:locked/>
    <w:uiPriority w:val="0"/>
    <w:rPr>
      <w:rFonts w:cs="Times New Roman"/>
      <w:b/>
      <w:bCs/>
      <w:kern w:val="44"/>
      <w:sz w:val="44"/>
      <w:szCs w:val="44"/>
    </w:rPr>
  </w:style>
  <w:style w:type="character" w:customStyle="1" w:styleId="152">
    <w:name w:val="txt1"/>
    <w:autoRedefine/>
    <w:qFormat/>
    <w:uiPriority w:val="0"/>
    <w:rPr>
      <w:rFonts w:hint="default" w:ascii="ˎ̥" w:hAnsi="ˎ̥"/>
      <w:sz w:val="18"/>
      <w:szCs w:val="18"/>
    </w:rPr>
  </w:style>
  <w:style w:type="character" w:customStyle="1" w:styleId="153">
    <w:name w:val="Plain Text Char"/>
    <w:autoRedefine/>
    <w:semiHidden/>
    <w:qFormat/>
    <w:locked/>
    <w:uiPriority w:val="0"/>
    <w:rPr>
      <w:rFonts w:ascii="宋体" w:hAnsi="Courier New" w:cs="Courier New"/>
      <w:kern w:val="0"/>
      <w:sz w:val="21"/>
      <w:szCs w:val="21"/>
    </w:rPr>
  </w:style>
  <w:style w:type="character" w:customStyle="1" w:styleId="154">
    <w:name w:val="Char Char1"/>
    <w:autoRedefine/>
    <w:qFormat/>
    <w:uiPriority w:val="0"/>
    <w:rPr>
      <w:kern w:val="2"/>
      <w:sz w:val="21"/>
      <w:szCs w:val="24"/>
    </w:rPr>
  </w:style>
  <w:style w:type="character" w:customStyle="1" w:styleId="155">
    <w:name w:val="标题 5 Char"/>
    <w:link w:val="7"/>
    <w:autoRedefine/>
    <w:qFormat/>
    <w:uiPriority w:val="9"/>
    <w:rPr>
      <w:rFonts w:ascii="Times New Roman" w:hAnsi="Times New Roman" w:eastAsia="宋体" w:cs="Times New Roman"/>
      <w:b/>
      <w:bCs/>
      <w:kern w:val="0"/>
      <w:sz w:val="28"/>
      <w:szCs w:val="28"/>
    </w:rPr>
  </w:style>
  <w:style w:type="character" w:customStyle="1" w:styleId="156">
    <w:name w:val="￥正文 Char"/>
    <w:link w:val="157"/>
    <w:autoRedefine/>
    <w:qFormat/>
    <w:uiPriority w:val="0"/>
    <w:rPr>
      <w:rFonts w:ascii="Calibri" w:hAnsi="Calibri" w:eastAsia="宋体"/>
      <w:sz w:val="24"/>
      <w:lang w:bidi="ar-SA"/>
    </w:rPr>
  </w:style>
  <w:style w:type="paragraph" w:customStyle="1" w:styleId="157">
    <w:name w:val="￥正文"/>
    <w:basedOn w:val="1"/>
    <w:link w:val="156"/>
    <w:autoRedefine/>
    <w:qFormat/>
    <w:uiPriority w:val="0"/>
    <w:pPr>
      <w:spacing w:line="360" w:lineRule="auto"/>
      <w:ind w:firstLine="200" w:firstLineChars="200"/>
    </w:pPr>
    <w:rPr>
      <w:rFonts w:ascii="Calibri" w:hAnsi="Calibri"/>
      <w:kern w:val="0"/>
      <w:sz w:val="24"/>
      <w:szCs w:val="20"/>
    </w:rPr>
  </w:style>
  <w:style w:type="character" w:customStyle="1" w:styleId="158">
    <w:name w:val="Char Char22"/>
    <w:autoRedefine/>
    <w:qFormat/>
    <w:uiPriority w:val="0"/>
    <w:rPr>
      <w:rFonts w:ascii="Arial" w:hAnsi="Arial" w:eastAsia="黑体"/>
      <w:b/>
      <w:bCs/>
      <w:kern w:val="2"/>
      <w:sz w:val="24"/>
      <w:szCs w:val="24"/>
    </w:rPr>
  </w:style>
  <w:style w:type="character" w:customStyle="1" w:styleId="159">
    <w:name w:val="标题 1 Char Char"/>
    <w:autoRedefine/>
    <w:qFormat/>
    <w:uiPriority w:val="0"/>
    <w:rPr>
      <w:rFonts w:eastAsia="宋体"/>
      <w:b/>
      <w:spacing w:val="-2"/>
      <w:sz w:val="24"/>
      <w:lang w:val="en-US" w:eastAsia="zh-CN" w:bidi="ar-SA"/>
    </w:rPr>
  </w:style>
  <w:style w:type="character" w:customStyle="1" w:styleId="160">
    <w:name w:val="Char Char20"/>
    <w:autoRedefine/>
    <w:qFormat/>
    <w:uiPriority w:val="0"/>
    <w:rPr>
      <w:rFonts w:ascii="Arial" w:hAnsi="Arial" w:eastAsia="黑体"/>
      <w:kern w:val="2"/>
      <w:sz w:val="24"/>
      <w:szCs w:val="24"/>
    </w:rPr>
  </w:style>
  <w:style w:type="character" w:customStyle="1" w:styleId="161">
    <w:name w:val="wj1"/>
    <w:autoRedefine/>
    <w:qFormat/>
    <w:uiPriority w:val="0"/>
    <w:rPr>
      <w:color w:val="000000"/>
      <w:sz w:val="18"/>
      <w:szCs w:val="18"/>
      <w:u w:val="none"/>
    </w:rPr>
  </w:style>
  <w:style w:type="character" w:customStyle="1" w:styleId="162">
    <w:name w:val="font91"/>
    <w:autoRedefine/>
    <w:qFormat/>
    <w:uiPriority w:val="0"/>
    <w:rPr>
      <w:rFonts w:hint="default" w:ascii="Arial" w:hAnsi="Arial" w:cs="Arial"/>
      <w:b/>
      <w:color w:val="auto"/>
      <w:sz w:val="20"/>
      <w:szCs w:val="20"/>
      <w:u w:val="none"/>
    </w:rPr>
  </w:style>
  <w:style w:type="character" w:customStyle="1" w:styleId="163">
    <w:name w:val="Char Char17"/>
    <w:autoRedefine/>
    <w:qFormat/>
    <w:uiPriority w:val="0"/>
    <w:rPr>
      <w:rFonts w:ascii="仿宋_GB2312" w:hAnsi="宋体" w:cs="Arial"/>
      <w:b/>
      <w:bCs/>
      <w:color w:val="000000"/>
      <w:kern w:val="2"/>
      <w:sz w:val="24"/>
      <w:szCs w:val="24"/>
    </w:rPr>
  </w:style>
  <w:style w:type="character" w:customStyle="1" w:styleId="164">
    <w:name w:val="font11"/>
    <w:autoRedefine/>
    <w:qFormat/>
    <w:uiPriority w:val="0"/>
    <w:rPr>
      <w:rFonts w:hint="default" w:ascii="Times New Roman" w:hAnsi="Times New Roman" w:cs="Times New Roman"/>
      <w:color w:val="000000"/>
      <w:sz w:val="20"/>
      <w:szCs w:val="20"/>
      <w:u w:val="none"/>
    </w:rPr>
  </w:style>
  <w:style w:type="character" w:customStyle="1" w:styleId="165">
    <w:name w:val="Normal Indent Char"/>
    <w:autoRedefine/>
    <w:qFormat/>
    <w:locked/>
    <w:uiPriority w:val="0"/>
    <w:rPr>
      <w:sz w:val="20"/>
    </w:rPr>
  </w:style>
  <w:style w:type="character" w:customStyle="1" w:styleId="166">
    <w:name w:val="正文首行缩进 Char"/>
    <w:link w:val="22"/>
    <w:autoRedefine/>
    <w:qFormat/>
    <w:uiPriority w:val="0"/>
    <w:rPr>
      <w:sz w:val="24"/>
      <w:szCs w:val="24"/>
    </w:rPr>
  </w:style>
  <w:style w:type="character" w:customStyle="1" w:styleId="167">
    <w:name w:val="正文文本 3 Char1"/>
    <w:autoRedefine/>
    <w:semiHidden/>
    <w:qFormat/>
    <w:uiPriority w:val="99"/>
    <w:rPr>
      <w:rFonts w:ascii="Times New Roman" w:hAnsi="Times New Roman" w:eastAsia="宋体" w:cs="Times New Roman"/>
      <w:sz w:val="16"/>
      <w:szCs w:val="16"/>
    </w:rPr>
  </w:style>
  <w:style w:type="character" w:customStyle="1" w:styleId="168">
    <w:name w:val="表正文 Char"/>
    <w:autoRedefine/>
    <w:qFormat/>
    <w:uiPriority w:val="0"/>
    <w:rPr>
      <w:rFonts w:ascii="Times New Roman" w:hAnsi="Times New Roman" w:eastAsia="宋体" w:cs="Times New Roman"/>
      <w:szCs w:val="24"/>
    </w:rPr>
  </w:style>
  <w:style w:type="character" w:customStyle="1" w:styleId="169">
    <w:name w:val="Header Char"/>
    <w:autoRedefine/>
    <w:qFormat/>
    <w:locked/>
    <w:uiPriority w:val="0"/>
    <w:rPr>
      <w:rFonts w:ascii="Calibri" w:hAnsi="Calibri" w:eastAsia="宋体" w:cs="Times New Roman"/>
      <w:sz w:val="18"/>
      <w:szCs w:val="18"/>
    </w:rPr>
  </w:style>
  <w:style w:type="character" w:customStyle="1" w:styleId="170">
    <w:name w:val="cn1"/>
    <w:autoRedefine/>
    <w:qFormat/>
    <w:uiPriority w:val="0"/>
  </w:style>
  <w:style w:type="character" w:customStyle="1" w:styleId="171">
    <w:name w:val="样式7 Char"/>
    <w:autoRedefine/>
    <w:qFormat/>
    <w:uiPriority w:val="0"/>
    <w:rPr>
      <w:rFonts w:eastAsia="宋体" w:cs="宋体"/>
      <w:kern w:val="2"/>
      <w:sz w:val="24"/>
      <w:szCs w:val="24"/>
      <w:lang w:val="en-US" w:eastAsia="zh-CN" w:bidi="ar-SA"/>
    </w:rPr>
  </w:style>
  <w:style w:type="character" w:customStyle="1" w:styleId="172">
    <w:name w:val="彩色列表 - 强调文字颜色 1 Char"/>
    <w:link w:val="173"/>
    <w:autoRedefine/>
    <w:qFormat/>
    <w:uiPriority w:val="0"/>
    <w:rPr>
      <w:rFonts w:ascii="微软雅黑" w:hAnsi="微软雅黑" w:eastAsia="微软雅黑" w:cs="宋体"/>
      <w:kern w:val="2"/>
      <w:sz w:val="24"/>
      <w:szCs w:val="21"/>
      <w:lang w:val="en-US" w:eastAsia="zh-CN" w:bidi="ar-SA"/>
    </w:rPr>
  </w:style>
  <w:style w:type="paragraph" w:customStyle="1" w:styleId="173">
    <w:name w:val="列出段落2"/>
    <w:basedOn w:val="1"/>
    <w:link w:val="172"/>
    <w:autoRedefine/>
    <w:qFormat/>
    <w:uiPriority w:val="0"/>
    <w:pPr>
      <w:widowControl/>
      <w:adjustRightInd w:val="0"/>
      <w:snapToGrid w:val="0"/>
      <w:spacing w:line="360" w:lineRule="auto"/>
      <w:ind w:firstLine="420" w:firstLineChars="200"/>
      <w:jc w:val="left"/>
    </w:pPr>
    <w:rPr>
      <w:rFonts w:ascii="微软雅黑" w:hAnsi="微软雅黑" w:eastAsia="微软雅黑" w:cs="宋体"/>
      <w:sz w:val="24"/>
      <w:szCs w:val="21"/>
    </w:rPr>
  </w:style>
  <w:style w:type="character" w:customStyle="1" w:styleId="174">
    <w:name w:val="引文目录标题 Char"/>
    <w:link w:val="18"/>
    <w:autoRedefine/>
    <w:qFormat/>
    <w:uiPriority w:val="0"/>
    <w:rPr>
      <w:rFonts w:ascii="Arial" w:hAnsi="Arial" w:eastAsia="宋体" w:cs="Times New Roman"/>
      <w:kern w:val="0"/>
      <w:sz w:val="24"/>
      <w:szCs w:val="20"/>
    </w:rPr>
  </w:style>
  <w:style w:type="character" w:customStyle="1" w:styleId="175">
    <w:name w:val="Char Char13"/>
    <w:autoRedefine/>
    <w:qFormat/>
    <w:uiPriority w:val="0"/>
    <w:rPr>
      <w:b/>
      <w:bCs/>
      <w:kern w:val="2"/>
      <w:sz w:val="21"/>
      <w:szCs w:val="24"/>
    </w:rPr>
  </w:style>
  <w:style w:type="character" w:customStyle="1" w:styleId="176">
    <w:name w:val="页脚 Char2"/>
    <w:link w:val="37"/>
    <w:autoRedefine/>
    <w:qFormat/>
    <w:uiPriority w:val="99"/>
    <w:rPr>
      <w:rFonts w:eastAsia="黑体"/>
      <w:sz w:val="18"/>
      <w:szCs w:val="18"/>
    </w:rPr>
  </w:style>
  <w:style w:type="character" w:customStyle="1" w:styleId="177">
    <w:name w:val="日期 Char"/>
    <w:link w:val="34"/>
    <w:autoRedefine/>
    <w:qFormat/>
    <w:uiPriority w:val="0"/>
    <w:rPr>
      <w:rFonts w:eastAsia="楷体_GB2312"/>
      <w:sz w:val="32"/>
    </w:rPr>
  </w:style>
  <w:style w:type="character" w:customStyle="1" w:styleId="178">
    <w:name w:val="纯文本 Char2"/>
    <w:autoRedefine/>
    <w:semiHidden/>
    <w:qFormat/>
    <w:uiPriority w:val="99"/>
    <w:rPr>
      <w:rFonts w:ascii="宋体" w:hAnsi="Courier New" w:eastAsia="宋体" w:cs="Courier New"/>
      <w:szCs w:val="21"/>
    </w:rPr>
  </w:style>
  <w:style w:type="character" w:customStyle="1" w:styleId="179">
    <w:name w:val="Char Char10"/>
    <w:autoRedefine/>
    <w:qFormat/>
    <w:uiPriority w:val="0"/>
    <w:rPr>
      <w:kern w:val="2"/>
      <w:sz w:val="21"/>
      <w:szCs w:val="24"/>
      <w:shd w:val="clear" w:color="auto" w:fill="000080"/>
    </w:rPr>
  </w:style>
  <w:style w:type="character" w:customStyle="1" w:styleId="180">
    <w:name w:val="纯文本 Char"/>
    <w:link w:val="32"/>
    <w:autoRedefine/>
    <w:qFormat/>
    <w:uiPriority w:val="0"/>
    <w:rPr>
      <w:rFonts w:ascii="宋体" w:hAnsi="Courier New" w:eastAsia="宋体"/>
      <w:sz w:val="24"/>
      <w:szCs w:val="24"/>
    </w:rPr>
  </w:style>
  <w:style w:type="character" w:customStyle="1" w:styleId="181">
    <w:name w:val="未处理的提及1"/>
    <w:autoRedefine/>
    <w:unhideWhenUsed/>
    <w:qFormat/>
    <w:uiPriority w:val="99"/>
    <w:rPr>
      <w:color w:val="605E5C"/>
      <w:shd w:val="clear" w:color="auto" w:fill="E1DFDD"/>
    </w:rPr>
  </w:style>
  <w:style w:type="character" w:customStyle="1" w:styleId="182">
    <w:name w:val="普通段落 Char"/>
    <w:link w:val="183"/>
    <w:autoRedefine/>
    <w:qFormat/>
    <w:uiPriority w:val="0"/>
    <w:rPr>
      <w:rFonts w:ascii="Arial" w:hAnsi="Arial" w:eastAsia="宋体"/>
      <w:lang w:bidi="ar-SA"/>
    </w:rPr>
  </w:style>
  <w:style w:type="paragraph" w:customStyle="1" w:styleId="183">
    <w:name w:val="普通段落"/>
    <w:basedOn w:val="1"/>
    <w:link w:val="182"/>
    <w:autoRedefine/>
    <w:qFormat/>
    <w:uiPriority w:val="0"/>
    <w:pPr>
      <w:spacing w:after="240" w:line="276" w:lineRule="auto"/>
    </w:pPr>
    <w:rPr>
      <w:rFonts w:ascii="Arial" w:hAnsi="Arial"/>
      <w:kern w:val="0"/>
      <w:sz w:val="20"/>
      <w:szCs w:val="20"/>
    </w:rPr>
  </w:style>
  <w:style w:type="character" w:customStyle="1" w:styleId="184">
    <w:name w:val="纯文本 Char1"/>
    <w:autoRedefine/>
    <w:qFormat/>
    <w:uiPriority w:val="0"/>
    <w:rPr>
      <w:rFonts w:ascii="宋体" w:hAnsi="Courier New" w:eastAsia="宋体"/>
      <w:kern w:val="2"/>
      <w:sz w:val="24"/>
      <w:szCs w:val="24"/>
      <w:lang w:val="en-US" w:eastAsia="zh-CN" w:bidi="ar-SA"/>
    </w:rPr>
  </w:style>
  <w:style w:type="character" w:customStyle="1" w:styleId="185">
    <w:name w:val="页脚 Char"/>
    <w:autoRedefine/>
    <w:qFormat/>
    <w:uiPriority w:val="99"/>
    <w:rPr>
      <w:rFonts w:eastAsia="Calibri"/>
      <w:sz w:val="21"/>
    </w:rPr>
  </w:style>
  <w:style w:type="character" w:customStyle="1" w:styleId="186">
    <w:name w:val="正文文本缩进 2 Char"/>
    <w:link w:val="35"/>
    <w:autoRedefine/>
    <w:qFormat/>
    <w:uiPriority w:val="0"/>
    <w:rPr>
      <w:rFonts w:ascii="仿宋_GB2312" w:hAnsi="宋体" w:cs="Arial"/>
      <w:b/>
      <w:bCs/>
      <w:color w:val="000000"/>
      <w:sz w:val="24"/>
      <w:szCs w:val="24"/>
    </w:rPr>
  </w:style>
  <w:style w:type="character" w:customStyle="1" w:styleId="187">
    <w:name w:val="正文文字缩进4字符 Char"/>
    <w:autoRedefine/>
    <w:qFormat/>
    <w:uiPriority w:val="0"/>
    <w:rPr>
      <w:rFonts w:ascii="Times New Roman" w:hAnsi="Times New Roman" w:eastAsia="宋体" w:cs="Times New Roman"/>
      <w:sz w:val="24"/>
      <w:szCs w:val="24"/>
    </w:rPr>
  </w:style>
  <w:style w:type="character" w:customStyle="1" w:styleId="188">
    <w:name w:val="正文文本缩进 字符"/>
    <w:autoRedefine/>
    <w:qFormat/>
    <w:uiPriority w:val="0"/>
    <w:rPr>
      <w:rFonts w:ascii="宋体" w:hAnsi="Courier New"/>
      <w:spacing w:val="-4"/>
      <w:sz w:val="18"/>
    </w:rPr>
  </w:style>
  <w:style w:type="character" w:customStyle="1" w:styleId="189">
    <w:name w:val="Heading 3 - old Char"/>
    <w:autoRedefine/>
    <w:qFormat/>
    <w:uiPriority w:val="0"/>
    <w:rPr>
      <w:rFonts w:ascii="Times New Roman" w:hAnsi="Times New Roman" w:eastAsia="宋体" w:cs="Times New Roman"/>
      <w:b/>
      <w:bCs/>
      <w:sz w:val="32"/>
      <w:szCs w:val="32"/>
    </w:rPr>
  </w:style>
  <w:style w:type="character" w:customStyle="1" w:styleId="190">
    <w:name w:val="H4 Char"/>
    <w:autoRedefine/>
    <w:qFormat/>
    <w:uiPriority w:val="0"/>
    <w:rPr>
      <w:rFonts w:ascii="Arial" w:hAnsi="Arial" w:eastAsia="黑体" w:cs="Times New Roman"/>
      <w:b/>
      <w:bCs/>
      <w:sz w:val="28"/>
      <w:szCs w:val="28"/>
    </w:rPr>
  </w:style>
  <w:style w:type="character" w:customStyle="1" w:styleId="191">
    <w:name w:val="纯文本 字符"/>
    <w:autoRedefine/>
    <w:qFormat/>
    <w:uiPriority w:val="0"/>
    <w:rPr>
      <w:rFonts w:ascii="宋体" w:hAnsi="Courier New"/>
      <w:sz w:val="24"/>
      <w:szCs w:val="24"/>
    </w:rPr>
  </w:style>
  <w:style w:type="character" w:customStyle="1" w:styleId="192">
    <w:name w:val="正文文本缩进 Char"/>
    <w:link w:val="24"/>
    <w:autoRedefine/>
    <w:qFormat/>
    <w:uiPriority w:val="0"/>
    <w:rPr>
      <w:rFonts w:ascii="宋体" w:hAnsi="Courier New"/>
      <w:spacing w:val="-4"/>
      <w:sz w:val="18"/>
    </w:rPr>
  </w:style>
  <w:style w:type="character" w:customStyle="1" w:styleId="193">
    <w:name w:val="Char Char15"/>
    <w:autoRedefine/>
    <w:qFormat/>
    <w:uiPriority w:val="0"/>
    <w:rPr>
      <w:rFonts w:hAnsi="宋体" w:eastAsia="仿宋_GB2312"/>
      <w:b/>
      <w:bCs/>
      <w:kern w:val="2"/>
      <w:sz w:val="24"/>
    </w:rPr>
  </w:style>
  <w:style w:type="character" w:customStyle="1" w:styleId="194">
    <w:name w:val="Footer Char"/>
    <w:autoRedefine/>
    <w:qFormat/>
    <w:locked/>
    <w:uiPriority w:val="0"/>
    <w:rPr>
      <w:rFonts w:ascii="Calibri" w:hAnsi="Calibri" w:eastAsia="宋体" w:cs="Times New Roman"/>
      <w:sz w:val="18"/>
      <w:szCs w:val="18"/>
    </w:rPr>
  </w:style>
  <w:style w:type="character" w:customStyle="1" w:styleId="195">
    <w:name w:val="标题 9 Char"/>
    <w:link w:val="11"/>
    <w:autoRedefine/>
    <w:qFormat/>
    <w:uiPriority w:val="0"/>
    <w:rPr>
      <w:rFonts w:ascii="Arial" w:hAnsi="Arial" w:eastAsia="黑体" w:cs="Times New Roman"/>
      <w:kern w:val="0"/>
      <w:sz w:val="20"/>
      <w:szCs w:val="21"/>
    </w:rPr>
  </w:style>
  <w:style w:type="character" w:customStyle="1" w:styleId="196">
    <w:name w:val="def正文 Char Char"/>
    <w:link w:val="197"/>
    <w:autoRedefine/>
    <w:qFormat/>
    <w:uiPriority w:val="0"/>
    <w:rPr>
      <w:sz w:val="24"/>
      <w:szCs w:val="24"/>
    </w:rPr>
  </w:style>
  <w:style w:type="paragraph" w:customStyle="1" w:styleId="197">
    <w:name w:val="def正文"/>
    <w:basedOn w:val="21"/>
    <w:link w:val="196"/>
    <w:autoRedefine/>
    <w:qFormat/>
    <w:uiPriority w:val="0"/>
    <w:pPr>
      <w:widowControl/>
      <w:spacing w:after="0" w:line="360" w:lineRule="auto"/>
      <w:ind w:firstLine="510"/>
      <w:jc w:val="left"/>
    </w:pPr>
    <w:rPr>
      <w:sz w:val="24"/>
    </w:rPr>
  </w:style>
  <w:style w:type="character" w:customStyle="1" w:styleId="198">
    <w:name w:val="font51"/>
    <w:autoRedefine/>
    <w:qFormat/>
    <w:uiPriority w:val="0"/>
    <w:rPr>
      <w:rFonts w:hint="eastAsia" w:ascii="宋体" w:hAnsi="宋体" w:eastAsia="宋体" w:cs="宋体"/>
      <w:color w:val="auto"/>
      <w:sz w:val="18"/>
      <w:szCs w:val="18"/>
      <w:u w:val="none"/>
    </w:rPr>
  </w:style>
  <w:style w:type="character" w:customStyle="1" w:styleId="199">
    <w:name w:val="普通文字 Char Char"/>
    <w:autoRedefine/>
    <w:qFormat/>
    <w:uiPriority w:val="0"/>
    <w:rPr>
      <w:rFonts w:ascii="宋体" w:hAnsi="Courier New" w:eastAsia="宋体" w:cs="Times New Roman"/>
      <w:szCs w:val="20"/>
    </w:rPr>
  </w:style>
  <w:style w:type="character" w:customStyle="1" w:styleId="200">
    <w:name w:val="正文文本 Char"/>
    <w:autoRedefine/>
    <w:qFormat/>
    <w:uiPriority w:val="0"/>
    <w:rPr>
      <w:rFonts w:ascii="Times New Roman" w:hAnsi="Times New Roman" w:eastAsia="宋体" w:cs="Times New Roman"/>
      <w:szCs w:val="24"/>
    </w:rPr>
  </w:style>
  <w:style w:type="character" w:customStyle="1" w:styleId="201">
    <w:name w:val="3zw"/>
    <w:autoRedefine/>
    <w:qFormat/>
    <w:uiPriority w:val="0"/>
  </w:style>
  <w:style w:type="character" w:customStyle="1" w:styleId="202">
    <w:name w:val="font71"/>
    <w:autoRedefine/>
    <w:qFormat/>
    <w:uiPriority w:val="0"/>
    <w:rPr>
      <w:rFonts w:hint="default" w:ascii="Arial" w:hAnsi="Arial" w:cs="Arial"/>
      <w:color w:val="auto"/>
      <w:sz w:val="20"/>
      <w:szCs w:val="20"/>
      <w:u w:val="none"/>
    </w:rPr>
  </w:style>
  <w:style w:type="character" w:customStyle="1" w:styleId="203">
    <w:name w:val="标题 Char1"/>
    <w:autoRedefine/>
    <w:qFormat/>
    <w:uiPriority w:val="10"/>
    <w:rPr>
      <w:rFonts w:ascii="Cambria" w:hAnsi="Cambria" w:eastAsia="宋体" w:cs="Times New Roman"/>
      <w:b/>
      <w:bCs/>
      <w:sz w:val="32"/>
      <w:szCs w:val="32"/>
    </w:rPr>
  </w:style>
  <w:style w:type="character" w:customStyle="1" w:styleId="204">
    <w:name w:val="标书正文格式 Char"/>
    <w:link w:val="205"/>
    <w:autoRedefine/>
    <w:qFormat/>
    <w:uiPriority w:val="0"/>
    <w:rPr>
      <w:rFonts w:eastAsia="楷体_GB2312"/>
      <w:kern w:val="2"/>
      <w:sz w:val="24"/>
      <w:szCs w:val="24"/>
      <w:lang w:val="en-US" w:eastAsia="zh-CN" w:bidi="ar-SA"/>
    </w:rPr>
  </w:style>
  <w:style w:type="paragraph" w:customStyle="1" w:styleId="205">
    <w:name w:val="标书正文格式"/>
    <w:link w:val="204"/>
    <w:autoRedefine/>
    <w:qFormat/>
    <w:uiPriority w:val="0"/>
    <w:pPr>
      <w:spacing w:line="360" w:lineRule="auto"/>
      <w:ind w:firstLine="200" w:firstLineChars="200"/>
      <w:jc w:val="both"/>
    </w:pPr>
    <w:rPr>
      <w:rFonts w:ascii="Times New Roman" w:hAnsi="Times New Roman" w:eastAsia="楷体_GB2312" w:cs="Times New Roman"/>
      <w:kern w:val="2"/>
      <w:sz w:val="24"/>
      <w:szCs w:val="24"/>
      <w:lang w:val="en-US" w:eastAsia="zh-CN" w:bidi="ar-SA"/>
    </w:rPr>
  </w:style>
  <w:style w:type="character" w:customStyle="1" w:styleId="206">
    <w:name w:val="正文缩进 字符"/>
    <w:autoRedefine/>
    <w:qFormat/>
    <w:uiPriority w:val="0"/>
    <w:rPr>
      <w:rFonts w:eastAsia="宋体"/>
    </w:rPr>
  </w:style>
  <w:style w:type="character" w:customStyle="1" w:styleId="207">
    <w:name w:val="A7"/>
    <w:autoRedefine/>
    <w:qFormat/>
    <w:uiPriority w:val="0"/>
    <w:rPr>
      <w:rFonts w:ascii="HelveticaNeueLT Std Lt" w:eastAsia="HelveticaNeueLT Std Lt" w:cs="HelveticaNeueLT Std Lt"/>
      <w:color w:val="000000"/>
      <w:sz w:val="20"/>
      <w:szCs w:val="20"/>
    </w:rPr>
  </w:style>
  <w:style w:type="character" w:customStyle="1" w:styleId="208">
    <w:name w:val="Balloon Text Char"/>
    <w:autoRedefine/>
    <w:qFormat/>
    <w:locked/>
    <w:uiPriority w:val="0"/>
    <w:rPr>
      <w:rFonts w:cs="Times New Roman"/>
      <w:sz w:val="18"/>
      <w:szCs w:val="18"/>
    </w:rPr>
  </w:style>
  <w:style w:type="character" w:customStyle="1" w:styleId="209">
    <w:name w:val="页眉 Char"/>
    <w:link w:val="38"/>
    <w:autoRedefine/>
    <w:qFormat/>
    <w:uiPriority w:val="99"/>
    <w:rPr>
      <w:rFonts w:eastAsia="仿宋_GB2312"/>
      <w:sz w:val="18"/>
    </w:rPr>
  </w:style>
  <w:style w:type="character" w:customStyle="1" w:styleId="210">
    <w:name w:val="批注框文本 Char1"/>
    <w:autoRedefine/>
    <w:semiHidden/>
    <w:qFormat/>
    <w:uiPriority w:val="99"/>
    <w:rPr>
      <w:rFonts w:ascii="Times New Roman" w:hAnsi="Times New Roman" w:eastAsia="宋体" w:cs="Times New Roman"/>
      <w:sz w:val="18"/>
      <w:szCs w:val="18"/>
    </w:rPr>
  </w:style>
  <w:style w:type="character" w:customStyle="1" w:styleId="211">
    <w:name w:val="彩色列表 - 着色 1 字符"/>
    <w:link w:val="212"/>
    <w:autoRedefine/>
    <w:qFormat/>
    <w:locked/>
    <w:uiPriority w:val="34"/>
    <w:rPr>
      <w:rFonts w:ascii="Times New Roman" w:hAnsi="Times New Roman"/>
      <w:kern w:val="2"/>
      <w:sz w:val="21"/>
      <w:szCs w:val="24"/>
    </w:rPr>
  </w:style>
  <w:style w:type="paragraph" w:customStyle="1" w:styleId="212">
    <w:name w:val="彩色列表 - 着色 11"/>
    <w:basedOn w:val="1"/>
    <w:link w:val="211"/>
    <w:autoRedefine/>
    <w:qFormat/>
    <w:uiPriority w:val="34"/>
    <w:pPr>
      <w:ind w:firstLine="420" w:firstLineChars="200"/>
    </w:pPr>
  </w:style>
  <w:style w:type="character" w:customStyle="1" w:styleId="213">
    <w:name w:val="正文文本缩进 2 Char1"/>
    <w:autoRedefine/>
    <w:semiHidden/>
    <w:qFormat/>
    <w:uiPriority w:val="99"/>
    <w:rPr>
      <w:rFonts w:ascii="Times New Roman" w:hAnsi="Times New Roman" w:eastAsia="宋体" w:cs="Times New Roman"/>
      <w:szCs w:val="24"/>
    </w:rPr>
  </w:style>
  <w:style w:type="character" w:customStyle="1" w:styleId="214">
    <w:name w:val="普通 (Web) Char"/>
    <w:autoRedefine/>
    <w:qFormat/>
    <w:uiPriority w:val="0"/>
    <w:rPr>
      <w:rFonts w:ascii="宋体" w:hAnsi="宋体" w:eastAsia="宋体" w:cs="Times New Roman"/>
      <w:kern w:val="0"/>
      <w:sz w:val="24"/>
      <w:szCs w:val="24"/>
    </w:rPr>
  </w:style>
  <w:style w:type="character" w:customStyle="1" w:styleId="215">
    <w:name w:val="标题 6 Char"/>
    <w:link w:val="8"/>
    <w:autoRedefine/>
    <w:qFormat/>
    <w:uiPriority w:val="0"/>
    <w:rPr>
      <w:rFonts w:ascii="Arial" w:hAnsi="Arial" w:eastAsia="黑体" w:cs="Times New Roman"/>
      <w:b/>
      <w:bCs/>
      <w:kern w:val="0"/>
      <w:sz w:val="24"/>
      <w:szCs w:val="24"/>
    </w:rPr>
  </w:style>
  <w:style w:type="character" w:customStyle="1" w:styleId="216">
    <w:name w:val="纯文本 Char3"/>
    <w:autoRedefine/>
    <w:qFormat/>
    <w:uiPriority w:val="0"/>
    <w:rPr>
      <w:rFonts w:ascii="宋体" w:hAnsi="Courier New" w:eastAsia="宋体"/>
      <w:sz w:val="24"/>
      <w:szCs w:val="24"/>
    </w:rPr>
  </w:style>
  <w:style w:type="character" w:customStyle="1" w:styleId="217">
    <w:name w:val="正文首行缩进 Char1"/>
    <w:autoRedefine/>
    <w:semiHidden/>
    <w:qFormat/>
    <w:uiPriority w:val="99"/>
    <w:rPr>
      <w:rFonts w:ascii="Times New Roman" w:hAnsi="Times New Roman" w:eastAsia="宋体" w:cs="Times New Roman"/>
      <w:szCs w:val="24"/>
    </w:rPr>
  </w:style>
  <w:style w:type="character" w:customStyle="1" w:styleId="218">
    <w:name w:val="正文文本 2 Char"/>
    <w:link w:val="46"/>
    <w:autoRedefine/>
    <w:qFormat/>
    <w:uiPriority w:val="99"/>
    <w:rPr>
      <w:rFonts w:ascii="宋体" w:hAnsi="宋体"/>
      <w:color w:val="000000"/>
      <w:sz w:val="24"/>
      <w:szCs w:val="24"/>
    </w:rPr>
  </w:style>
  <w:style w:type="character" w:customStyle="1" w:styleId="219">
    <w:name w:val="style551"/>
    <w:autoRedefine/>
    <w:qFormat/>
    <w:uiPriority w:val="0"/>
    <w:rPr>
      <w:rFonts w:hint="default" w:ascii="Arial" w:hAnsi="Arial" w:cs="Arial"/>
      <w:color w:val="333333"/>
      <w:sz w:val="18"/>
      <w:szCs w:val="18"/>
    </w:rPr>
  </w:style>
  <w:style w:type="character" w:customStyle="1" w:styleId="220">
    <w:name w:val="文章正文 Char Char"/>
    <w:link w:val="63"/>
    <w:autoRedefine/>
    <w:qFormat/>
    <w:uiPriority w:val="0"/>
    <w:rPr>
      <w:rFonts w:ascii="宋体" w:hAnsi="宋体"/>
      <w:sz w:val="24"/>
      <w:szCs w:val="24"/>
    </w:rPr>
  </w:style>
  <w:style w:type="character" w:customStyle="1" w:styleId="221">
    <w:name w:val="font81"/>
    <w:autoRedefine/>
    <w:qFormat/>
    <w:uiPriority w:val="0"/>
    <w:rPr>
      <w:rFonts w:hint="eastAsia" w:ascii="宋体" w:hAnsi="宋体" w:eastAsia="宋体" w:cs="宋体"/>
      <w:color w:val="000000"/>
      <w:sz w:val="20"/>
      <w:szCs w:val="20"/>
      <w:u w:val="none"/>
      <w:vertAlign w:val="superscript"/>
    </w:rPr>
  </w:style>
  <w:style w:type="character" w:customStyle="1" w:styleId="222">
    <w:name w:val="Body Text Indent 3 Char"/>
    <w:autoRedefine/>
    <w:qFormat/>
    <w:locked/>
    <w:uiPriority w:val="0"/>
    <w:rPr>
      <w:rFonts w:cs="Times New Roman"/>
      <w:kern w:val="2"/>
      <w:sz w:val="16"/>
      <w:szCs w:val="16"/>
    </w:rPr>
  </w:style>
  <w:style w:type="character" w:customStyle="1" w:styleId="223">
    <w:name w:val="Char Char16"/>
    <w:autoRedefine/>
    <w:qFormat/>
    <w:uiPriority w:val="0"/>
    <w:rPr>
      <w:rFonts w:ascii="宋体" w:hAnsi="Courier New"/>
      <w:spacing w:val="-4"/>
      <w:kern w:val="2"/>
      <w:sz w:val="18"/>
    </w:rPr>
  </w:style>
  <w:style w:type="character" w:customStyle="1" w:styleId="224">
    <w:name w:val="Char Char4"/>
    <w:autoRedefine/>
    <w:qFormat/>
    <w:uiPriority w:val="0"/>
    <w:rPr>
      <w:rFonts w:ascii="宋体" w:hAnsi="Courier New" w:eastAsia="宋体"/>
      <w:kern w:val="2"/>
      <w:sz w:val="24"/>
      <w:szCs w:val="24"/>
      <w:lang w:val="en-US" w:eastAsia="zh-CN" w:bidi="ar-SA"/>
    </w:rPr>
  </w:style>
  <w:style w:type="character" w:customStyle="1" w:styleId="225">
    <w:name w:val="正文文本缩进 3 Char1"/>
    <w:autoRedefine/>
    <w:semiHidden/>
    <w:qFormat/>
    <w:uiPriority w:val="99"/>
    <w:rPr>
      <w:rFonts w:ascii="Times New Roman" w:hAnsi="Times New Roman" w:eastAsia="宋体" w:cs="Times New Roman"/>
      <w:sz w:val="16"/>
      <w:szCs w:val="16"/>
    </w:rPr>
  </w:style>
  <w:style w:type="character" w:customStyle="1" w:styleId="226">
    <w:name w:val="Char Char7"/>
    <w:autoRedefine/>
    <w:qFormat/>
    <w:uiPriority w:val="0"/>
    <w:rPr>
      <w:rFonts w:eastAsia="宋体"/>
      <w:kern w:val="2"/>
      <w:sz w:val="21"/>
      <w:lang w:val="en-US" w:eastAsia="zh-CN" w:bidi="ar-SA"/>
    </w:rPr>
  </w:style>
  <w:style w:type="character" w:customStyle="1" w:styleId="227">
    <w:name w:val="A正文 Char"/>
    <w:link w:val="228"/>
    <w:autoRedefine/>
    <w:qFormat/>
    <w:uiPriority w:val="0"/>
    <w:rPr>
      <w:szCs w:val="24"/>
    </w:rPr>
  </w:style>
  <w:style w:type="paragraph" w:customStyle="1" w:styleId="228">
    <w:name w:val="A正文"/>
    <w:basedOn w:val="1"/>
    <w:link w:val="227"/>
    <w:autoRedefine/>
    <w:qFormat/>
    <w:uiPriority w:val="0"/>
    <w:pPr>
      <w:spacing w:line="360" w:lineRule="auto"/>
      <w:ind w:firstLine="200" w:firstLineChars="200"/>
    </w:pPr>
    <w:rPr>
      <w:kern w:val="0"/>
      <w:sz w:val="20"/>
    </w:rPr>
  </w:style>
  <w:style w:type="character" w:customStyle="1" w:styleId="229">
    <w:name w:val="正文1 Char Char"/>
    <w:link w:val="230"/>
    <w:autoRedefine/>
    <w:qFormat/>
    <w:uiPriority w:val="0"/>
    <w:rPr>
      <w:rFonts w:ascii="宋体" w:hAnsi="宋体" w:eastAsia="宋体"/>
      <w:color w:val="000000"/>
      <w:sz w:val="24"/>
    </w:rPr>
  </w:style>
  <w:style w:type="paragraph" w:customStyle="1" w:styleId="230">
    <w:name w:val="正文1"/>
    <w:basedOn w:val="1"/>
    <w:link w:val="229"/>
    <w:autoRedefine/>
    <w:qFormat/>
    <w:uiPriority w:val="0"/>
    <w:pPr>
      <w:spacing w:line="360" w:lineRule="auto"/>
      <w:ind w:firstLine="200" w:firstLineChars="200"/>
      <w:jc w:val="left"/>
    </w:pPr>
    <w:rPr>
      <w:rFonts w:ascii="宋体" w:hAnsi="宋体"/>
      <w:color w:val="000000"/>
      <w:kern w:val="0"/>
      <w:sz w:val="24"/>
      <w:szCs w:val="20"/>
    </w:rPr>
  </w:style>
  <w:style w:type="character" w:customStyle="1" w:styleId="231">
    <w:name w:val="Char Char111"/>
    <w:autoRedefine/>
    <w:qFormat/>
    <w:uiPriority w:val="0"/>
    <w:rPr>
      <w:kern w:val="2"/>
      <w:sz w:val="28"/>
      <w:szCs w:val="24"/>
    </w:rPr>
  </w:style>
  <w:style w:type="character" w:customStyle="1" w:styleId="232">
    <w:name w:val="粘贴正文 Char"/>
    <w:link w:val="233"/>
    <w:autoRedefine/>
    <w:qFormat/>
    <w:uiPriority w:val="0"/>
    <w:rPr>
      <w:kern w:val="2"/>
      <w:sz w:val="24"/>
      <w:szCs w:val="21"/>
      <w:lang w:val="en-US" w:eastAsia="zh-CN" w:bidi="ar-SA"/>
    </w:rPr>
  </w:style>
  <w:style w:type="paragraph" w:customStyle="1" w:styleId="233">
    <w:name w:val="粘贴正文"/>
    <w:link w:val="232"/>
    <w:autoRedefine/>
    <w:qFormat/>
    <w:uiPriority w:val="0"/>
    <w:pPr>
      <w:spacing w:before="260" w:after="260" w:line="360" w:lineRule="auto"/>
      <w:ind w:left="578" w:right="210" w:firstLine="480"/>
      <w:jc w:val="both"/>
    </w:pPr>
    <w:rPr>
      <w:rFonts w:ascii="Times New Roman" w:hAnsi="Times New Roman" w:eastAsia="宋体" w:cs="Times New Roman"/>
      <w:kern w:val="2"/>
      <w:sz w:val="24"/>
      <w:szCs w:val="21"/>
      <w:lang w:val="en-US" w:eastAsia="zh-CN" w:bidi="ar-SA"/>
    </w:rPr>
  </w:style>
  <w:style w:type="character" w:customStyle="1" w:styleId="234">
    <w:name w:val="缺省文本 Char"/>
    <w:link w:val="235"/>
    <w:autoRedefine/>
    <w:qFormat/>
    <w:uiPriority w:val="0"/>
    <w:rPr>
      <w:rFonts w:ascii="Arial" w:hAnsi="Arial"/>
      <w:szCs w:val="21"/>
    </w:rPr>
  </w:style>
  <w:style w:type="paragraph" w:customStyle="1" w:styleId="235">
    <w:name w:val="缺省文本"/>
    <w:basedOn w:val="1"/>
    <w:link w:val="234"/>
    <w:autoRedefine/>
    <w:qFormat/>
    <w:uiPriority w:val="0"/>
    <w:pPr>
      <w:autoSpaceDE w:val="0"/>
      <w:autoSpaceDN w:val="0"/>
      <w:adjustRightInd w:val="0"/>
      <w:spacing w:line="360" w:lineRule="auto"/>
      <w:jc w:val="left"/>
    </w:pPr>
    <w:rPr>
      <w:rFonts w:ascii="Arial" w:hAnsi="Arial"/>
      <w:kern w:val="0"/>
      <w:sz w:val="20"/>
      <w:szCs w:val="21"/>
    </w:rPr>
  </w:style>
  <w:style w:type="character" w:customStyle="1" w:styleId="236">
    <w:name w:val="Heading 7 Char"/>
    <w:autoRedefine/>
    <w:semiHidden/>
    <w:qFormat/>
    <w:locked/>
    <w:uiPriority w:val="0"/>
    <w:rPr>
      <w:rFonts w:cs="Times New Roman"/>
      <w:b/>
      <w:bCs/>
      <w:kern w:val="0"/>
      <w:sz w:val="24"/>
      <w:szCs w:val="24"/>
    </w:rPr>
  </w:style>
  <w:style w:type="character" w:customStyle="1" w:styleId="237">
    <w:name w:val="font21"/>
    <w:autoRedefine/>
    <w:qFormat/>
    <w:uiPriority w:val="0"/>
    <w:rPr>
      <w:rFonts w:hint="eastAsia" w:ascii="宋体" w:hAnsi="宋体" w:eastAsia="宋体" w:cs="宋体"/>
      <w:color w:val="000000"/>
      <w:sz w:val="20"/>
      <w:szCs w:val="20"/>
      <w:u w:val="none"/>
    </w:rPr>
  </w:style>
  <w:style w:type="character" w:customStyle="1" w:styleId="238">
    <w:name w:val="批注主题 Char"/>
    <w:link w:val="50"/>
    <w:autoRedefine/>
    <w:qFormat/>
    <w:uiPriority w:val="99"/>
    <w:rPr>
      <w:b/>
      <w:bCs/>
      <w:szCs w:val="24"/>
    </w:rPr>
  </w:style>
  <w:style w:type="character" w:customStyle="1" w:styleId="239">
    <w:name w:val="文档结构图 Char1"/>
    <w:autoRedefine/>
    <w:semiHidden/>
    <w:qFormat/>
    <w:uiPriority w:val="99"/>
    <w:rPr>
      <w:rFonts w:ascii="宋体" w:hAnsi="Times New Roman" w:eastAsia="宋体" w:cs="Times New Roman"/>
      <w:sz w:val="18"/>
      <w:szCs w:val="18"/>
    </w:rPr>
  </w:style>
  <w:style w:type="character" w:customStyle="1" w:styleId="240">
    <w:name w:val="纯文本 字符1"/>
    <w:autoRedefine/>
    <w:semiHidden/>
    <w:qFormat/>
    <w:locked/>
    <w:uiPriority w:val="0"/>
    <w:rPr>
      <w:rFonts w:ascii="宋体" w:hAnsi="Courier New"/>
      <w:sz w:val="24"/>
      <w:szCs w:val="24"/>
    </w:rPr>
  </w:style>
  <w:style w:type="character" w:customStyle="1" w:styleId="241">
    <w:name w:val="Char Char19"/>
    <w:autoRedefine/>
    <w:qFormat/>
    <w:uiPriority w:val="0"/>
    <w:rPr>
      <w:rFonts w:ascii="Arial" w:hAnsi="Arial" w:eastAsia="黑体"/>
      <w:kern w:val="2"/>
      <w:sz w:val="21"/>
      <w:szCs w:val="21"/>
    </w:rPr>
  </w:style>
  <w:style w:type="character" w:customStyle="1" w:styleId="242">
    <w:name w:val="Item List Char"/>
    <w:link w:val="243"/>
    <w:autoRedefine/>
    <w:qFormat/>
    <w:uiPriority w:val="0"/>
    <w:rPr>
      <w:rFonts w:cs="Arial"/>
      <w:kern w:val="2"/>
      <w:sz w:val="21"/>
      <w:szCs w:val="21"/>
      <w:lang w:val="en-US" w:eastAsia="zh-CN" w:bidi="ar-SA"/>
    </w:rPr>
  </w:style>
  <w:style w:type="paragraph" w:customStyle="1" w:styleId="243">
    <w:name w:val="Item List"/>
    <w:link w:val="242"/>
    <w:autoRedefine/>
    <w:qFormat/>
    <w:uiPriority w:val="0"/>
    <w:pPr>
      <w:tabs>
        <w:tab w:val="left" w:pos="0"/>
        <w:tab w:val="left" w:pos="2126"/>
      </w:tabs>
      <w:adjustRightInd w:val="0"/>
      <w:snapToGrid w:val="0"/>
      <w:spacing w:before="80" w:after="80" w:line="240" w:lineRule="atLeast"/>
      <w:ind w:left="1134" w:hanging="1134"/>
    </w:pPr>
    <w:rPr>
      <w:rFonts w:ascii="Times New Roman" w:hAnsi="Times New Roman" w:eastAsia="宋体" w:cs="Arial"/>
      <w:kern w:val="2"/>
      <w:sz w:val="21"/>
      <w:szCs w:val="21"/>
      <w:lang w:val="en-US" w:eastAsia="zh-CN" w:bidi="ar-SA"/>
    </w:rPr>
  </w:style>
  <w:style w:type="character" w:customStyle="1" w:styleId="244">
    <w:name w:val="Char Char9"/>
    <w:autoRedefine/>
    <w:qFormat/>
    <w:uiPriority w:val="0"/>
    <w:rPr>
      <w:rFonts w:eastAsia="仿宋_GB2312"/>
      <w:kern w:val="2"/>
      <w:sz w:val="18"/>
    </w:rPr>
  </w:style>
  <w:style w:type="character" w:customStyle="1" w:styleId="245">
    <w:name w:val="Heading 6 Char"/>
    <w:autoRedefine/>
    <w:semiHidden/>
    <w:qFormat/>
    <w:locked/>
    <w:uiPriority w:val="0"/>
    <w:rPr>
      <w:rFonts w:ascii="Cambria" w:hAnsi="Cambria" w:eastAsia="宋体" w:cs="Times New Roman"/>
      <w:b/>
      <w:bCs/>
      <w:kern w:val="0"/>
      <w:sz w:val="24"/>
      <w:szCs w:val="24"/>
    </w:rPr>
  </w:style>
  <w:style w:type="paragraph" w:customStyle="1" w:styleId="246">
    <w:name w:val="xl100"/>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47">
    <w:name w:val="xl90"/>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248">
    <w:name w:val="Item Step"/>
    <w:basedOn w:val="1"/>
    <w:autoRedefine/>
    <w:qFormat/>
    <w:uiPriority w:val="0"/>
    <w:pPr>
      <w:widowControl/>
      <w:numPr>
        <w:ilvl w:val="0"/>
        <w:numId w:val="1"/>
      </w:numPr>
      <w:spacing w:afterLines="50"/>
      <w:jc w:val="left"/>
    </w:pPr>
  </w:style>
  <w:style w:type="paragraph" w:customStyle="1" w:styleId="249">
    <w:name w:val="Char11"/>
    <w:basedOn w:val="1"/>
    <w:autoRedefine/>
    <w:qFormat/>
    <w:uiPriority w:val="0"/>
    <w:rPr>
      <w:rFonts w:ascii="仿宋_GB2312" w:hAnsi="宋体" w:eastAsia="仿宋_GB2312" w:cs="宋体"/>
      <w:b/>
      <w:sz w:val="32"/>
      <w:szCs w:val="32"/>
    </w:rPr>
  </w:style>
  <w:style w:type="paragraph" w:customStyle="1" w:styleId="250">
    <w:name w:val="f1"/>
    <w:basedOn w:val="1"/>
    <w:autoRedefine/>
    <w:qFormat/>
    <w:uiPriority w:val="0"/>
    <w:pPr>
      <w:widowControl/>
      <w:spacing w:before="100" w:beforeAutospacing="1" w:after="100" w:afterAutospacing="1"/>
      <w:jc w:val="center"/>
    </w:pPr>
    <w:rPr>
      <w:rFonts w:ascii="Helvetica" w:hAnsi="Helvetica" w:cs="Helvetica"/>
      <w:b/>
      <w:bCs/>
      <w:color w:val="FF8080"/>
      <w:spacing w:val="160"/>
      <w:kern w:val="0"/>
      <w:sz w:val="80"/>
      <w:szCs w:val="80"/>
    </w:rPr>
  </w:style>
  <w:style w:type="paragraph" w:customStyle="1" w:styleId="251">
    <w:name w:val="样式1"/>
    <w:basedOn w:val="1"/>
    <w:autoRedefine/>
    <w:qFormat/>
    <w:uiPriority w:val="0"/>
    <w:pPr>
      <w:adjustRightInd w:val="0"/>
      <w:snapToGrid w:val="0"/>
      <w:spacing w:line="360" w:lineRule="auto"/>
      <w:ind w:left="315" w:leftChars="150" w:firstLine="480" w:firstLineChars="200"/>
      <w:textAlignment w:val="baseline"/>
    </w:pPr>
    <w:rPr>
      <w:sz w:val="24"/>
      <w:szCs w:val="20"/>
    </w:rPr>
  </w:style>
  <w:style w:type="paragraph" w:customStyle="1" w:styleId="252">
    <w:name w:val="正文文本1"/>
    <w:basedOn w:val="1"/>
    <w:autoRedefine/>
    <w:qFormat/>
    <w:uiPriority w:val="0"/>
    <w:pPr>
      <w:snapToGrid w:val="0"/>
      <w:spacing w:before="120" w:line="440" w:lineRule="atLeast"/>
      <w:ind w:firstLine="1680" w:firstLineChars="200"/>
      <w:textAlignment w:val="baseline"/>
    </w:pPr>
    <w:rPr>
      <w:rFonts w:hint="eastAsia" w:ascii="宋体" w:hAnsi="宋体"/>
      <w:spacing w:val="2"/>
      <w:sz w:val="28"/>
      <w:szCs w:val="20"/>
    </w:rPr>
  </w:style>
  <w:style w:type="paragraph" w:customStyle="1" w:styleId="253">
    <w:name w:val="正文文本缩进 21"/>
    <w:basedOn w:val="1"/>
    <w:autoRedefine/>
    <w:qFormat/>
    <w:uiPriority w:val="0"/>
    <w:pPr>
      <w:autoSpaceDE w:val="0"/>
      <w:autoSpaceDN w:val="0"/>
      <w:adjustRightInd w:val="0"/>
      <w:spacing w:line="360" w:lineRule="auto"/>
      <w:ind w:firstLine="540" w:firstLineChars="200"/>
      <w:textAlignment w:val="baseline"/>
    </w:pPr>
    <w:rPr>
      <w:sz w:val="24"/>
      <w:szCs w:val="20"/>
    </w:rPr>
  </w:style>
  <w:style w:type="paragraph" w:customStyle="1" w:styleId="254">
    <w:name w:val="Block"/>
    <w:basedOn w:val="1"/>
    <w:next w:val="114"/>
    <w:autoRedefine/>
    <w:qFormat/>
    <w:uiPriority w:val="0"/>
    <w:pPr>
      <w:tabs>
        <w:tab w:val="left" w:pos="0"/>
      </w:tabs>
    </w:pPr>
    <w:rPr>
      <w:rFonts w:ascii="Arial" w:hAnsi="Arial" w:eastAsia="楷体_GB2312"/>
      <w:color w:val="000080"/>
      <w:sz w:val="28"/>
      <w:szCs w:val="28"/>
    </w:rPr>
  </w:style>
  <w:style w:type="paragraph" w:customStyle="1" w:styleId="255">
    <w:name w:val="Char Char1 Char11"/>
    <w:basedOn w:val="1"/>
    <w:autoRedefine/>
    <w:qFormat/>
    <w:uiPriority w:val="0"/>
    <w:pPr>
      <w:widowControl/>
      <w:spacing w:after="160" w:line="240" w:lineRule="exact"/>
      <w:jc w:val="left"/>
    </w:pPr>
    <w:rPr>
      <w:rFonts w:ascii="Verdana" w:hAnsi="Verdana" w:eastAsia="Times New Roman"/>
      <w:kern w:val="0"/>
      <w:sz w:val="24"/>
      <w:szCs w:val="20"/>
      <w:lang w:eastAsia="en-US"/>
    </w:rPr>
  </w:style>
  <w:style w:type="paragraph" w:customStyle="1" w:styleId="256">
    <w:name w:val="xl2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257">
    <w:name w:val="a"/>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258">
    <w:name w:val="xl116"/>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4"/>
    </w:rPr>
  </w:style>
  <w:style w:type="paragraph" w:customStyle="1" w:styleId="259">
    <w:name w:val="xl79"/>
    <w:basedOn w:val="1"/>
    <w:autoRedefine/>
    <w:qFormat/>
    <w:uiPriority w:val="0"/>
    <w:pPr>
      <w:widowControl/>
      <w:shd w:val="clear" w:color="000000" w:fill="FFFFFF"/>
      <w:spacing w:before="100" w:beforeAutospacing="1" w:after="100" w:afterAutospacing="1"/>
      <w:jc w:val="center"/>
    </w:pPr>
    <w:rPr>
      <w:rFonts w:ascii="宋体" w:hAnsi="宋体" w:cs="宋体"/>
      <w:kern w:val="0"/>
      <w:sz w:val="24"/>
    </w:rPr>
  </w:style>
  <w:style w:type="paragraph" w:customStyle="1" w:styleId="260">
    <w:name w:val="样式 标题 2H2子系统子系统1子系统2子系统3子系统4子系统11子系统21子系统31子系统5子系统12...1"/>
    <w:basedOn w:val="4"/>
    <w:autoRedefine/>
    <w:qFormat/>
    <w:uiPriority w:val="0"/>
    <w:pPr>
      <w:keepLines w:val="0"/>
      <w:widowControl/>
      <w:tabs>
        <w:tab w:val="left" w:pos="151"/>
        <w:tab w:val="left" w:pos="432"/>
        <w:tab w:val="left" w:pos="576"/>
      </w:tabs>
      <w:autoSpaceDE w:val="0"/>
      <w:autoSpaceDN w:val="0"/>
      <w:spacing w:before="120" w:after="120" w:line="240" w:lineRule="auto"/>
      <w:ind w:left="576" w:hanging="576"/>
      <w:jc w:val="left"/>
    </w:pPr>
    <w:rPr>
      <w:rFonts w:ascii="黑体" w:hAnsi="黑体"/>
      <w:sz w:val="28"/>
      <w:szCs w:val="28"/>
    </w:rPr>
  </w:style>
  <w:style w:type="paragraph" w:customStyle="1" w:styleId="261">
    <w:name w:val="样式 Swis721 Lt BT 左 行距: 固定值 12.5 磅"/>
    <w:basedOn w:val="1"/>
    <w:autoRedefine/>
    <w:qFormat/>
    <w:uiPriority w:val="0"/>
    <w:pPr>
      <w:kinsoku w:val="0"/>
      <w:overflowPunct w:val="0"/>
      <w:snapToGrid w:val="0"/>
      <w:spacing w:line="250" w:lineRule="exact"/>
      <w:ind w:firstLine="420" w:firstLineChars="200"/>
      <w:jc w:val="left"/>
    </w:pPr>
    <w:rPr>
      <w:rFonts w:ascii="Swis721 Lt BT" w:hAnsi="Swis721 Lt BT" w:cs="宋体"/>
      <w:kern w:val="0"/>
      <w:szCs w:val="21"/>
    </w:rPr>
  </w:style>
  <w:style w:type="paragraph" w:customStyle="1" w:styleId="262">
    <w:name w:val="Char1"/>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63">
    <w:name w:val="样式 宋体 小四 段前: 7.8 磅 段后: 7.8 磅 行距: 1.5 倍行距"/>
    <w:basedOn w:val="1"/>
    <w:autoRedefine/>
    <w:qFormat/>
    <w:uiPriority w:val="0"/>
    <w:pPr>
      <w:kinsoku w:val="0"/>
      <w:overflowPunct w:val="0"/>
      <w:snapToGrid w:val="0"/>
      <w:spacing w:beforeLines="50" w:afterLines="50" w:line="360" w:lineRule="auto"/>
      <w:ind w:firstLine="200" w:firstLineChars="200"/>
      <w:jc w:val="left"/>
    </w:pPr>
    <w:rPr>
      <w:rFonts w:ascii="宋体"/>
      <w:kern w:val="0"/>
      <w:sz w:val="24"/>
      <w:szCs w:val="20"/>
      <w:lang w:val="zh-CN"/>
    </w:rPr>
  </w:style>
  <w:style w:type="paragraph" w:customStyle="1" w:styleId="264">
    <w:name w:val="xl88"/>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265">
    <w:name w:val="正文首行缩进2字"/>
    <w:basedOn w:val="1"/>
    <w:autoRedefine/>
    <w:qFormat/>
    <w:uiPriority w:val="0"/>
    <w:pPr>
      <w:spacing w:line="360" w:lineRule="auto"/>
      <w:ind w:firstLine="412" w:firstLineChars="196"/>
    </w:pPr>
    <w:rPr>
      <w:rFonts w:ascii="宋体" w:hAnsi="宋体"/>
      <w:kern w:val="0"/>
      <w:szCs w:val="21"/>
    </w:rPr>
  </w:style>
  <w:style w:type="paragraph" w:customStyle="1" w:styleId="266">
    <w:name w:val="列出段落1"/>
    <w:basedOn w:val="1"/>
    <w:autoRedefine/>
    <w:qFormat/>
    <w:uiPriority w:val="34"/>
    <w:pPr>
      <w:ind w:firstLine="420" w:firstLineChars="200"/>
    </w:pPr>
  </w:style>
  <w:style w:type="paragraph" w:customStyle="1" w:styleId="267">
    <w:name w:val="列出段落11"/>
    <w:basedOn w:val="1"/>
    <w:autoRedefine/>
    <w:qFormat/>
    <w:uiPriority w:val="0"/>
    <w:pPr>
      <w:spacing w:line="360" w:lineRule="auto"/>
      <w:ind w:firstLine="420" w:firstLineChars="200"/>
    </w:pPr>
    <w:rPr>
      <w:rFonts w:ascii="宋体" w:hAnsi="宋体"/>
      <w:sz w:val="24"/>
    </w:rPr>
  </w:style>
  <w:style w:type="paragraph" w:customStyle="1" w:styleId="268">
    <w:name w:val="xl92"/>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69">
    <w:name w:val="Ê×ÐÐËõ½ø"/>
    <w:basedOn w:val="1"/>
    <w:autoRedefine/>
    <w:qFormat/>
    <w:uiPriority w:val="0"/>
    <w:pPr>
      <w:widowControl/>
      <w:overflowPunct w:val="0"/>
      <w:autoSpaceDE w:val="0"/>
      <w:autoSpaceDN w:val="0"/>
      <w:adjustRightInd w:val="0"/>
      <w:textAlignment w:val="baseline"/>
    </w:pPr>
    <w:rPr>
      <w:kern w:val="0"/>
      <w:sz w:val="28"/>
      <w:szCs w:val="20"/>
    </w:rPr>
  </w:style>
  <w:style w:type="paragraph" w:customStyle="1" w:styleId="270">
    <w:name w:val="font6"/>
    <w:basedOn w:val="1"/>
    <w:autoRedefine/>
    <w:qFormat/>
    <w:uiPriority w:val="0"/>
    <w:pPr>
      <w:widowControl/>
      <w:spacing w:before="100" w:beforeAutospacing="1" w:after="100" w:afterAutospacing="1"/>
      <w:jc w:val="left"/>
    </w:pPr>
    <w:rPr>
      <w:rFonts w:ascii="宋体" w:hAnsi="宋体" w:cs="宋体"/>
      <w:kern w:val="0"/>
      <w:sz w:val="18"/>
      <w:szCs w:val="18"/>
    </w:rPr>
  </w:style>
  <w:style w:type="paragraph" w:customStyle="1" w:styleId="271">
    <w:name w:val="简单回函地址"/>
    <w:basedOn w:val="1"/>
    <w:autoRedefine/>
    <w:qFormat/>
    <w:uiPriority w:val="0"/>
    <w:rPr>
      <w:szCs w:val="20"/>
    </w:rPr>
  </w:style>
  <w:style w:type="paragraph" w:customStyle="1" w:styleId="272">
    <w:name w:val="样式23"/>
    <w:basedOn w:val="273"/>
    <w:autoRedefine/>
    <w:qFormat/>
    <w:uiPriority w:val="0"/>
    <w:pPr>
      <w:tabs>
        <w:tab w:val="left" w:pos="420"/>
      </w:tabs>
      <w:adjustRightInd w:val="0"/>
      <w:snapToGrid w:val="0"/>
      <w:spacing w:after="0" w:line="240" w:lineRule="auto"/>
    </w:pPr>
    <w:rPr>
      <w:szCs w:val="20"/>
    </w:rPr>
  </w:style>
  <w:style w:type="paragraph" w:customStyle="1" w:styleId="273">
    <w:name w:val="小点说明"/>
    <w:basedOn w:val="1"/>
    <w:autoRedefine/>
    <w:qFormat/>
    <w:uiPriority w:val="0"/>
    <w:pPr>
      <w:tabs>
        <w:tab w:val="left" w:pos="420"/>
      </w:tabs>
      <w:spacing w:after="80" w:line="360" w:lineRule="auto"/>
      <w:ind w:left="420" w:hanging="420"/>
    </w:pPr>
    <w:rPr>
      <w:sz w:val="24"/>
    </w:rPr>
  </w:style>
  <w:style w:type="paragraph" w:customStyle="1" w:styleId="274">
    <w:name w:val="样式 正文文本正文文字 + 首行缩进:  2 字符"/>
    <w:basedOn w:val="21"/>
    <w:autoRedefine/>
    <w:qFormat/>
    <w:uiPriority w:val="0"/>
    <w:pPr>
      <w:widowControl/>
      <w:autoSpaceDE w:val="0"/>
      <w:autoSpaceDN w:val="0"/>
      <w:adjustRightInd w:val="0"/>
      <w:spacing w:before="60" w:after="60" w:line="460" w:lineRule="exact"/>
      <w:ind w:firstLine="200" w:firstLineChars="200"/>
      <w:jc w:val="left"/>
      <w:textAlignment w:val="baseline"/>
    </w:pPr>
    <w:rPr>
      <w:rFonts w:ascii="宋体" w:hAnsi="Garamond"/>
      <w:sz w:val="24"/>
      <w:szCs w:val="20"/>
      <w:lang w:val="en-GB" w:bidi="he-IL"/>
    </w:rPr>
  </w:style>
  <w:style w:type="paragraph" w:customStyle="1" w:styleId="275">
    <w:name w:val="xl113"/>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76">
    <w:name w:val="font9"/>
    <w:basedOn w:val="1"/>
    <w:autoRedefine/>
    <w:qFormat/>
    <w:uiPriority w:val="0"/>
    <w:pPr>
      <w:widowControl/>
      <w:spacing w:before="100" w:beforeAutospacing="1" w:after="100" w:afterAutospacing="1"/>
      <w:jc w:val="left"/>
    </w:pPr>
    <w:rPr>
      <w:color w:val="000000"/>
      <w:kern w:val="0"/>
      <w:sz w:val="20"/>
      <w:szCs w:val="20"/>
    </w:rPr>
  </w:style>
  <w:style w:type="paragraph" w:customStyle="1" w:styleId="277">
    <w:name w:val="xl75"/>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993366"/>
      <w:spacing w:before="100" w:beforeAutospacing="1" w:after="100" w:afterAutospacing="1"/>
      <w:jc w:val="center"/>
      <w:textAlignment w:val="center"/>
    </w:pPr>
    <w:rPr>
      <w:rFonts w:ascii="宋体" w:hAnsi="宋体"/>
      <w:b/>
      <w:bCs/>
      <w:kern w:val="0"/>
      <w:sz w:val="18"/>
      <w:szCs w:val="18"/>
    </w:rPr>
  </w:style>
  <w:style w:type="paragraph" w:customStyle="1" w:styleId="278">
    <w:name w:val="Pa5"/>
    <w:basedOn w:val="1"/>
    <w:next w:val="1"/>
    <w:autoRedefine/>
    <w:qFormat/>
    <w:uiPriority w:val="0"/>
    <w:pPr>
      <w:spacing w:line="241" w:lineRule="auto"/>
      <w:ind w:firstLine="1680" w:firstLineChars="200"/>
    </w:pPr>
    <w:rPr>
      <w:rFonts w:ascii="EtGsHeiBold" w:eastAsia="EtGsHeiBold"/>
      <w:sz w:val="24"/>
    </w:rPr>
  </w:style>
  <w:style w:type="paragraph" w:customStyle="1" w:styleId="279">
    <w:name w:val="首行缩进"/>
    <w:basedOn w:val="1"/>
    <w:autoRedefine/>
    <w:qFormat/>
    <w:uiPriority w:val="0"/>
    <w:pPr>
      <w:spacing w:line="360" w:lineRule="auto"/>
      <w:ind w:firstLine="720"/>
    </w:pPr>
    <w:rPr>
      <w:szCs w:val="21"/>
    </w:rPr>
  </w:style>
  <w:style w:type="paragraph" w:customStyle="1" w:styleId="280">
    <w:name w:val="正文段"/>
    <w:basedOn w:val="1"/>
    <w:autoRedefine/>
    <w:qFormat/>
    <w:uiPriority w:val="0"/>
    <w:pPr>
      <w:widowControl/>
      <w:snapToGrid w:val="0"/>
      <w:spacing w:afterLines="50"/>
      <w:ind w:firstLine="200" w:firstLineChars="200"/>
    </w:pPr>
    <w:rPr>
      <w:kern w:val="0"/>
      <w:sz w:val="24"/>
      <w:szCs w:val="20"/>
    </w:rPr>
  </w:style>
  <w:style w:type="paragraph" w:customStyle="1" w:styleId="281">
    <w:name w:val="样式 A正文 + 首行缩进:  0 字符"/>
    <w:basedOn w:val="228"/>
    <w:autoRedefine/>
    <w:qFormat/>
    <w:uiPriority w:val="0"/>
    <w:pPr>
      <w:spacing w:line="240" w:lineRule="auto"/>
      <w:ind w:firstLine="0" w:firstLineChars="0"/>
    </w:pPr>
    <w:rPr>
      <w:rFonts w:cs="宋体"/>
      <w:szCs w:val="20"/>
    </w:rPr>
  </w:style>
  <w:style w:type="paragraph" w:customStyle="1" w:styleId="282">
    <w:name w:val="TOC 标题1"/>
    <w:basedOn w:val="3"/>
    <w:next w:val="1"/>
    <w:autoRedefine/>
    <w:qFormat/>
    <w:uiPriority w:val="0"/>
    <w:pPr>
      <w:widowControl/>
      <w:spacing w:before="0" w:after="0" w:line="276" w:lineRule="auto"/>
      <w:jc w:val="left"/>
      <w:outlineLvl w:val="9"/>
    </w:pPr>
    <w:rPr>
      <w:rFonts w:ascii="Calibri Light" w:hAnsi="Calibri Light"/>
      <w:color w:val="2E74B5"/>
      <w:kern w:val="0"/>
      <w:sz w:val="28"/>
      <w:szCs w:val="28"/>
    </w:rPr>
  </w:style>
  <w:style w:type="paragraph" w:customStyle="1" w:styleId="283">
    <w:name w:val="xl78"/>
    <w:basedOn w:val="1"/>
    <w:autoRedefine/>
    <w:qFormat/>
    <w:uiPriority w:val="0"/>
    <w:pPr>
      <w:widowControl/>
      <w:shd w:val="clear" w:color="000000" w:fill="FFFFFF"/>
      <w:spacing w:before="100" w:beforeAutospacing="1" w:after="100" w:afterAutospacing="1"/>
      <w:jc w:val="left"/>
    </w:pPr>
    <w:rPr>
      <w:rFonts w:ascii="宋体" w:hAnsi="宋体" w:cs="宋体"/>
      <w:kern w:val="0"/>
      <w:sz w:val="24"/>
    </w:rPr>
  </w:style>
  <w:style w:type="paragraph" w:customStyle="1" w:styleId="284">
    <w:name w:val="首行缩进:  2 字符"/>
    <w:basedOn w:val="1"/>
    <w:autoRedefine/>
    <w:qFormat/>
    <w:uiPriority w:val="0"/>
    <w:pPr>
      <w:kinsoku w:val="0"/>
      <w:overflowPunct w:val="0"/>
      <w:snapToGrid w:val="0"/>
      <w:spacing w:line="360" w:lineRule="auto"/>
      <w:ind w:firstLine="200" w:firstLineChars="200"/>
      <w:jc w:val="left"/>
    </w:pPr>
    <w:rPr>
      <w:rFonts w:cs="宋体"/>
      <w:kern w:val="0"/>
      <w:szCs w:val="21"/>
    </w:rPr>
  </w:style>
  <w:style w:type="paragraph" w:customStyle="1" w:styleId="285">
    <w:name w:val="xl74"/>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993366"/>
      <w:spacing w:before="100" w:beforeAutospacing="1" w:after="100" w:afterAutospacing="1"/>
      <w:jc w:val="center"/>
      <w:textAlignment w:val="center"/>
    </w:pPr>
    <w:rPr>
      <w:rFonts w:ascii="宋体" w:hAnsi="宋体"/>
      <w:b/>
      <w:bCs/>
      <w:kern w:val="0"/>
      <w:sz w:val="18"/>
      <w:szCs w:val="18"/>
    </w:rPr>
  </w:style>
  <w:style w:type="paragraph" w:customStyle="1" w:styleId="286">
    <w:name w:val="Char Char1 Char1"/>
    <w:basedOn w:val="1"/>
    <w:autoRedefine/>
    <w:qFormat/>
    <w:uiPriority w:val="0"/>
    <w:pPr>
      <w:widowControl/>
      <w:spacing w:after="160" w:line="240" w:lineRule="exact"/>
      <w:jc w:val="left"/>
    </w:pPr>
    <w:rPr>
      <w:rFonts w:ascii="Verdana" w:hAnsi="Verdana" w:eastAsia="Times New Roman"/>
      <w:kern w:val="0"/>
      <w:sz w:val="24"/>
      <w:szCs w:val="20"/>
      <w:lang w:eastAsia="en-US"/>
    </w:rPr>
  </w:style>
  <w:style w:type="paragraph" w:customStyle="1" w:styleId="287">
    <w:name w:val="È±Ê¡ÎÄ±¾:1"/>
    <w:basedOn w:val="1"/>
    <w:autoRedefine/>
    <w:qFormat/>
    <w:uiPriority w:val="0"/>
    <w:pPr>
      <w:widowControl/>
      <w:overflowPunct w:val="0"/>
      <w:autoSpaceDE w:val="0"/>
      <w:autoSpaceDN w:val="0"/>
      <w:adjustRightInd w:val="0"/>
      <w:spacing w:line="400" w:lineRule="exact"/>
      <w:ind w:firstLine="539"/>
      <w:textAlignment w:val="baseline"/>
    </w:pPr>
    <w:rPr>
      <w:kern w:val="0"/>
      <w:sz w:val="24"/>
      <w:szCs w:val="20"/>
    </w:rPr>
  </w:style>
  <w:style w:type="paragraph" w:customStyle="1" w:styleId="288">
    <w:name w:val="网格表 31"/>
    <w:basedOn w:val="3"/>
    <w:next w:val="1"/>
    <w:autoRedefine/>
    <w:qFormat/>
    <w:uiPriority w:val="39"/>
    <w:pPr>
      <w:widowControl/>
      <w:spacing w:before="480" w:after="0" w:line="276" w:lineRule="auto"/>
      <w:jc w:val="left"/>
      <w:outlineLvl w:val="9"/>
    </w:pPr>
    <w:rPr>
      <w:rFonts w:ascii="Cambria" w:hAnsi="Cambria"/>
      <w:color w:val="365F91"/>
      <w:kern w:val="0"/>
      <w:sz w:val="28"/>
      <w:szCs w:val="28"/>
    </w:rPr>
  </w:style>
  <w:style w:type="paragraph" w:customStyle="1" w:styleId="289">
    <w:name w:val="二级编号"/>
    <w:basedOn w:val="1"/>
    <w:autoRedefine/>
    <w:qFormat/>
    <w:uiPriority w:val="0"/>
    <w:pPr>
      <w:tabs>
        <w:tab w:val="left" w:pos="851"/>
      </w:tabs>
      <w:spacing w:line="360" w:lineRule="auto"/>
      <w:jc w:val="left"/>
    </w:pPr>
    <w:rPr>
      <w:rFonts w:cs="宋体"/>
      <w:sz w:val="24"/>
      <w:szCs w:val="20"/>
    </w:rPr>
  </w:style>
  <w:style w:type="paragraph" w:customStyle="1" w:styleId="290">
    <w:name w:val="xl91"/>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91">
    <w:name w:val="彩色底纹 - 着色 11"/>
    <w:autoRedefine/>
    <w:semiHidden/>
    <w:qFormat/>
    <w:uiPriority w:val="99"/>
    <w:rPr>
      <w:rFonts w:ascii="Times New Roman" w:hAnsi="Times New Roman" w:eastAsia="宋体" w:cs="Times New Roman"/>
      <w:kern w:val="2"/>
      <w:sz w:val="21"/>
      <w:szCs w:val="24"/>
      <w:lang w:val="en-US" w:eastAsia="zh-CN" w:bidi="ar-SA"/>
    </w:rPr>
  </w:style>
  <w:style w:type="paragraph" w:customStyle="1" w:styleId="292">
    <w:name w:val="font5"/>
    <w:basedOn w:val="1"/>
    <w:autoRedefine/>
    <w:qFormat/>
    <w:uiPriority w:val="0"/>
    <w:pPr>
      <w:widowControl/>
      <w:spacing w:before="100" w:beforeAutospacing="1" w:after="100" w:afterAutospacing="1"/>
      <w:jc w:val="left"/>
    </w:pPr>
    <w:rPr>
      <w:rFonts w:hint="eastAsia" w:ascii="宋体" w:hAnsi="宋体" w:cs="Arial Unicode MS"/>
      <w:kern w:val="0"/>
      <w:sz w:val="18"/>
      <w:szCs w:val="18"/>
    </w:rPr>
  </w:style>
  <w:style w:type="paragraph" w:customStyle="1" w:styleId="293">
    <w:name w:val="xl109"/>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94">
    <w:name w:val="p0"/>
    <w:basedOn w:val="1"/>
    <w:autoRedefine/>
    <w:qFormat/>
    <w:uiPriority w:val="0"/>
    <w:pPr>
      <w:widowControl/>
      <w:jc w:val="left"/>
    </w:pPr>
    <w:rPr>
      <w:rFonts w:ascii="宋体" w:hAnsi="宋体"/>
      <w:kern w:val="0"/>
      <w:sz w:val="20"/>
      <w:szCs w:val="20"/>
    </w:rPr>
  </w:style>
  <w:style w:type="paragraph" w:customStyle="1" w:styleId="295">
    <w:name w:val="Char Char"/>
    <w:basedOn w:val="1"/>
    <w:autoRedefine/>
    <w:qFormat/>
    <w:uiPriority w:val="0"/>
    <w:pPr>
      <w:jc w:val="center"/>
    </w:pPr>
    <w:rPr>
      <w:rFonts w:ascii="仿宋_GB2312" w:eastAsia="仿宋_GB2312"/>
      <w:b/>
      <w:kern w:val="0"/>
      <w:sz w:val="32"/>
      <w:szCs w:val="32"/>
      <w:lang w:val="en-GB"/>
    </w:rPr>
  </w:style>
  <w:style w:type="paragraph" w:customStyle="1" w:styleId="296">
    <w:name w:val="contentnoteheader"/>
    <w:basedOn w:val="1"/>
    <w:autoRedefine/>
    <w:qFormat/>
    <w:uiPriority w:val="0"/>
    <w:pPr>
      <w:widowControl/>
      <w:spacing w:before="30" w:after="100" w:afterAutospacing="1"/>
      <w:ind w:left="90"/>
      <w:jc w:val="left"/>
    </w:pPr>
    <w:rPr>
      <w:rFonts w:ascii="宋体" w:hAnsi="宋体"/>
      <w:b/>
      <w:bCs/>
      <w:color w:val="990000"/>
      <w:kern w:val="0"/>
      <w:sz w:val="18"/>
      <w:szCs w:val="18"/>
    </w:rPr>
  </w:style>
  <w:style w:type="paragraph" w:customStyle="1" w:styleId="297">
    <w:name w:val="font7"/>
    <w:basedOn w:val="1"/>
    <w:autoRedefine/>
    <w:qFormat/>
    <w:uiPriority w:val="0"/>
    <w:pPr>
      <w:widowControl/>
      <w:spacing w:before="100" w:beforeAutospacing="1" w:after="100" w:afterAutospacing="1"/>
      <w:jc w:val="left"/>
    </w:pPr>
    <w:rPr>
      <w:rFonts w:ascii="宋体" w:hAnsi="宋体" w:cs="宋体"/>
      <w:kern w:val="0"/>
      <w:sz w:val="18"/>
      <w:szCs w:val="18"/>
    </w:rPr>
  </w:style>
  <w:style w:type="paragraph" w:customStyle="1" w:styleId="298">
    <w:name w:val="正文首行缩进11"/>
    <w:basedOn w:val="21"/>
    <w:autoRedefine/>
    <w:qFormat/>
    <w:uiPriority w:val="0"/>
    <w:pPr>
      <w:spacing w:line="360" w:lineRule="auto"/>
      <w:ind w:firstLine="420" w:firstLineChars="100"/>
    </w:pPr>
    <w:rPr>
      <w:rFonts w:ascii="Courier New" w:hAnsi="Courier New" w:eastAsia="仿宋_GB2312"/>
      <w:szCs w:val="22"/>
    </w:rPr>
  </w:style>
  <w:style w:type="paragraph" w:customStyle="1" w:styleId="299">
    <w:name w:val="xl107"/>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00">
    <w:name w:val="p16"/>
    <w:basedOn w:val="1"/>
    <w:autoRedefine/>
    <w:qFormat/>
    <w:uiPriority w:val="0"/>
    <w:pPr>
      <w:widowControl/>
    </w:pPr>
    <w:rPr>
      <w:rFonts w:ascii="Arial" w:hAnsi="Arial" w:cs="Arial"/>
      <w:color w:val="333333"/>
      <w:kern w:val="0"/>
      <w:sz w:val="18"/>
      <w:szCs w:val="18"/>
    </w:rPr>
  </w:style>
  <w:style w:type="paragraph" w:customStyle="1" w:styleId="301">
    <w:name w:val="xl108"/>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02">
    <w:name w:val="xl2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303">
    <w:name w:val="默认段落字体 Para Char Char Char Char Char Char Char Char Char1 Char Char Char Char"/>
    <w:basedOn w:val="1"/>
    <w:autoRedefine/>
    <w:qFormat/>
    <w:uiPriority w:val="0"/>
    <w:rPr>
      <w:rFonts w:ascii="Tahoma" w:hAnsi="Tahoma"/>
      <w:sz w:val="24"/>
      <w:szCs w:val="20"/>
    </w:rPr>
  </w:style>
  <w:style w:type="paragraph" w:customStyle="1" w:styleId="304">
    <w:name w:val="样式26"/>
    <w:basedOn w:val="305"/>
    <w:autoRedefine/>
    <w:qFormat/>
    <w:uiPriority w:val="0"/>
    <w:pPr>
      <w:tabs>
        <w:tab w:val="left" w:pos="180"/>
        <w:tab w:val="left" w:pos="1580"/>
      </w:tabs>
      <w:ind w:left="1603" w:hanging="363"/>
    </w:pPr>
  </w:style>
  <w:style w:type="paragraph" w:customStyle="1" w:styleId="305">
    <w:name w:val="样式25"/>
    <w:basedOn w:val="1"/>
    <w:autoRedefine/>
    <w:qFormat/>
    <w:uiPriority w:val="0"/>
    <w:pPr>
      <w:tabs>
        <w:tab w:val="left" w:pos="180"/>
      </w:tabs>
      <w:ind w:left="1260" w:hanging="720"/>
    </w:pPr>
    <w:rPr>
      <w:sz w:val="24"/>
      <w:szCs w:val="20"/>
    </w:rPr>
  </w:style>
  <w:style w:type="paragraph" w:customStyle="1" w:styleId="306">
    <w:name w:val="Char Char Char Char Char Char11"/>
    <w:basedOn w:val="1"/>
    <w:autoRedefine/>
    <w:qFormat/>
    <w:uiPriority w:val="0"/>
    <w:pPr>
      <w:spacing w:line="360" w:lineRule="auto"/>
      <w:ind w:firstLine="200" w:firstLineChars="200"/>
    </w:pPr>
    <w:rPr>
      <w:rFonts w:ascii="Tahoma" w:hAnsi="Tahoma" w:cs="Tahoma"/>
      <w:sz w:val="24"/>
    </w:rPr>
  </w:style>
  <w:style w:type="paragraph" w:customStyle="1" w:styleId="307">
    <w:name w:val="列出段落21"/>
    <w:basedOn w:val="1"/>
    <w:autoRedefine/>
    <w:qFormat/>
    <w:uiPriority w:val="0"/>
    <w:pPr>
      <w:kinsoku w:val="0"/>
      <w:overflowPunct w:val="0"/>
      <w:snapToGrid w:val="0"/>
      <w:spacing w:line="360" w:lineRule="auto"/>
      <w:ind w:firstLine="420" w:firstLineChars="200"/>
      <w:jc w:val="left"/>
    </w:pPr>
    <w:rPr>
      <w:kern w:val="0"/>
      <w:szCs w:val="21"/>
    </w:rPr>
  </w:style>
  <w:style w:type="paragraph" w:customStyle="1" w:styleId="308">
    <w:name w:val="style1"/>
    <w:basedOn w:val="1"/>
    <w:autoRedefine/>
    <w:qFormat/>
    <w:uiPriority w:val="0"/>
    <w:pPr>
      <w:widowControl/>
      <w:spacing w:before="100" w:beforeAutospacing="1" w:after="100" w:afterAutospacing="1" w:line="255" w:lineRule="atLeast"/>
      <w:jc w:val="left"/>
    </w:pPr>
    <w:rPr>
      <w:rFonts w:ascii="宋体" w:hAnsi="宋体" w:cs="宋体"/>
      <w:kern w:val="0"/>
      <w:sz w:val="18"/>
      <w:szCs w:val="18"/>
    </w:rPr>
  </w:style>
  <w:style w:type="paragraph" w:customStyle="1" w:styleId="309">
    <w:name w:val="xl83"/>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10">
    <w:name w:val="Char Char Char Char Char Char"/>
    <w:basedOn w:val="1"/>
    <w:autoRedefine/>
    <w:qFormat/>
    <w:uiPriority w:val="0"/>
    <w:pPr>
      <w:ind w:firstLine="200" w:firstLineChars="200"/>
    </w:pPr>
    <w:rPr>
      <w:szCs w:val="20"/>
    </w:rPr>
  </w:style>
  <w:style w:type="paragraph" w:customStyle="1" w:styleId="311">
    <w:name w:val="样式 标题 3列表编号3h33rd level + 段前: 1 行"/>
    <w:basedOn w:val="5"/>
    <w:autoRedefine/>
    <w:qFormat/>
    <w:uiPriority w:val="0"/>
    <w:pPr>
      <w:keepNext w:val="0"/>
      <w:keepLines w:val="0"/>
      <w:adjustRightInd w:val="0"/>
      <w:spacing w:before="312" w:afterLines="50" w:line="360" w:lineRule="auto"/>
      <w:jc w:val="both"/>
    </w:pPr>
    <w:rPr>
      <w:rFonts w:ascii="宋体" w:eastAsia="宋体"/>
      <w:bCs w:val="0"/>
      <w:sz w:val="21"/>
      <w:szCs w:val="20"/>
    </w:rPr>
  </w:style>
  <w:style w:type="paragraph" w:customStyle="1" w:styleId="312">
    <w:name w:val="表内文字"/>
    <w:basedOn w:val="1"/>
    <w:autoRedefine/>
    <w:qFormat/>
    <w:uiPriority w:val="0"/>
    <w:pPr>
      <w:tabs>
        <w:tab w:val="left" w:pos="1418"/>
      </w:tabs>
      <w:spacing w:line="360" w:lineRule="auto"/>
      <w:jc w:val="center"/>
    </w:pPr>
    <w:rPr>
      <w:rFonts w:ascii="仿宋_GB2312" w:eastAsia="仿宋_GB2312"/>
      <w:spacing w:val="-20"/>
      <w:kern w:val="0"/>
      <w:sz w:val="24"/>
    </w:rPr>
  </w:style>
  <w:style w:type="paragraph" w:customStyle="1" w:styleId="313">
    <w:name w:val="正文首行缩进1"/>
    <w:autoRedefine/>
    <w:qFormat/>
    <w:uiPriority w:val="0"/>
    <w:pPr>
      <w:spacing w:after="120"/>
      <w:ind w:firstLine="420" w:firstLineChars="100"/>
    </w:pPr>
    <w:rPr>
      <w:rFonts w:ascii="Times New Roman" w:hAnsi="Times New Roman" w:eastAsia="宋体" w:cs="Times New Roman"/>
      <w:lang w:val="en-US" w:eastAsia="zh-CN" w:bidi="ar-SA"/>
    </w:rPr>
  </w:style>
  <w:style w:type="paragraph" w:customStyle="1" w:styleId="314">
    <w:name w:val="xl105"/>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15">
    <w:name w:val="Char Char1 Char"/>
    <w:basedOn w:val="1"/>
    <w:autoRedefine/>
    <w:qFormat/>
    <w:uiPriority w:val="0"/>
    <w:pPr>
      <w:widowControl/>
      <w:spacing w:after="160" w:line="240" w:lineRule="exact"/>
      <w:jc w:val="left"/>
    </w:pPr>
    <w:rPr>
      <w:rFonts w:ascii="Verdana" w:hAnsi="Verdana" w:eastAsia="Times New Roman"/>
      <w:kern w:val="0"/>
      <w:sz w:val="24"/>
      <w:szCs w:val="20"/>
      <w:lang w:eastAsia="en-US"/>
    </w:rPr>
  </w:style>
  <w:style w:type="paragraph" w:customStyle="1" w:styleId="316">
    <w:name w:val="样式 正文缩进 + 首行缩进:  2 字符"/>
    <w:basedOn w:val="14"/>
    <w:autoRedefine/>
    <w:qFormat/>
    <w:uiPriority w:val="0"/>
    <w:pPr>
      <w:spacing w:after="80" w:line="360" w:lineRule="auto"/>
      <w:ind w:firstLine="480" w:firstLineChars="200"/>
    </w:pPr>
    <w:rPr>
      <w:sz w:val="24"/>
    </w:rPr>
  </w:style>
  <w:style w:type="paragraph" w:customStyle="1" w:styleId="317">
    <w:name w:val="标题4"/>
    <w:basedOn w:val="1"/>
    <w:autoRedefine/>
    <w:qFormat/>
    <w:uiPriority w:val="0"/>
    <w:pPr>
      <w:autoSpaceDE w:val="0"/>
      <w:autoSpaceDN w:val="0"/>
      <w:adjustRightInd w:val="0"/>
      <w:snapToGrid w:val="0"/>
      <w:spacing w:line="300" w:lineRule="auto"/>
      <w:jc w:val="left"/>
      <w:textAlignment w:val="baseline"/>
      <w:outlineLvl w:val="0"/>
    </w:pPr>
    <w:rPr>
      <w:rFonts w:ascii="黑体" w:hAnsi="Arial" w:eastAsia="黑体"/>
      <w:spacing w:val="30"/>
      <w:kern w:val="0"/>
      <w:sz w:val="28"/>
    </w:rPr>
  </w:style>
  <w:style w:type="paragraph" w:customStyle="1" w:styleId="318">
    <w:name w:val="样式22"/>
    <w:basedOn w:val="5"/>
    <w:autoRedefine/>
    <w:qFormat/>
    <w:uiPriority w:val="0"/>
    <w:pPr>
      <w:tabs>
        <w:tab w:val="left" w:pos="1080"/>
      </w:tabs>
      <w:spacing w:before="0" w:after="0" w:line="240" w:lineRule="auto"/>
      <w:ind w:left="1260" w:hanging="420"/>
      <w:jc w:val="both"/>
    </w:pPr>
    <w:rPr>
      <w:rFonts w:eastAsia="宋体"/>
      <w:sz w:val="28"/>
    </w:rPr>
  </w:style>
  <w:style w:type="paragraph" w:customStyle="1" w:styleId="319">
    <w:name w:val="xl99"/>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20">
    <w:name w:val="xl103"/>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21">
    <w:name w:val="xl84"/>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22">
    <w:name w:val="样式7"/>
    <w:basedOn w:val="1"/>
    <w:autoRedefine/>
    <w:qFormat/>
    <w:uiPriority w:val="0"/>
    <w:pPr>
      <w:spacing w:beforeLines="30" w:afterLines="30" w:line="480" w:lineRule="exact"/>
      <w:ind w:left="840" w:leftChars="400" w:firstLine="480" w:firstLineChars="200"/>
    </w:pPr>
    <w:rPr>
      <w:rFonts w:cs="宋体"/>
      <w:sz w:val="24"/>
    </w:rPr>
  </w:style>
  <w:style w:type="paragraph" w:customStyle="1" w:styleId="323">
    <w:name w:val="xl87"/>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24">
    <w:name w:val="xl85"/>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25">
    <w:name w:val="xl93"/>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26">
    <w:name w:val="xl89"/>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27">
    <w:name w:val="xl26"/>
    <w:basedOn w:val="1"/>
    <w:autoRedefine/>
    <w:qFormat/>
    <w:uiPriority w:val="0"/>
    <w:pPr>
      <w:widowControl/>
      <w:spacing w:before="100" w:beforeAutospacing="1" w:after="100" w:afterAutospacing="1"/>
      <w:jc w:val="center"/>
    </w:pPr>
    <w:rPr>
      <w:rFonts w:ascii="仿宋_GB2312" w:hAnsi="宋体" w:eastAsia="仿宋_GB2312"/>
      <w:b/>
      <w:bCs/>
      <w:kern w:val="0"/>
      <w:sz w:val="24"/>
    </w:rPr>
  </w:style>
  <w:style w:type="paragraph" w:customStyle="1" w:styleId="328">
    <w:name w:val="列出段落211"/>
    <w:basedOn w:val="1"/>
    <w:autoRedefine/>
    <w:qFormat/>
    <w:uiPriority w:val="0"/>
    <w:pPr>
      <w:kinsoku w:val="0"/>
      <w:overflowPunct w:val="0"/>
      <w:snapToGrid w:val="0"/>
      <w:spacing w:line="360" w:lineRule="auto"/>
      <w:ind w:firstLine="420" w:firstLineChars="200"/>
      <w:jc w:val="left"/>
    </w:pPr>
    <w:rPr>
      <w:kern w:val="0"/>
      <w:szCs w:val="21"/>
    </w:rPr>
  </w:style>
  <w:style w:type="paragraph" w:customStyle="1" w:styleId="329">
    <w:name w:val="xl77"/>
    <w:basedOn w:val="1"/>
    <w:autoRedefine/>
    <w:qFormat/>
    <w:uiPriority w:val="0"/>
    <w:pPr>
      <w:widowControl/>
      <w:shd w:val="clear" w:color="000000" w:fill="FFFFFF"/>
      <w:spacing w:before="100" w:beforeAutospacing="1" w:after="100" w:afterAutospacing="1"/>
      <w:jc w:val="left"/>
    </w:pPr>
    <w:rPr>
      <w:rFonts w:ascii="宋体" w:hAnsi="宋体" w:cs="宋体"/>
      <w:kern w:val="0"/>
      <w:sz w:val="20"/>
      <w:szCs w:val="20"/>
    </w:rPr>
  </w:style>
  <w:style w:type="paragraph" w:customStyle="1" w:styleId="330">
    <w:name w:val="Char"/>
    <w:basedOn w:val="1"/>
    <w:autoRedefine/>
    <w:qFormat/>
    <w:uiPriority w:val="0"/>
    <w:rPr>
      <w:rFonts w:ascii="仿宋_GB2312" w:eastAsia="仿宋_GB2312"/>
      <w:b/>
      <w:sz w:val="32"/>
      <w:szCs w:val="32"/>
    </w:rPr>
  </w:style>
  <w:style w:type="paragraph" w:customStyle="1" w:styleId="331">
    <w:name w:val="xl2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332">
    <w:name w:val="小标题 1"/>
    <w:basedOn w:val="1"/>
    <w:autoRedefine/>
    <w:qFormat/>
    <w:uiPriority w:val="0"/>
    <w:pPr>
      <w:autoSpaceDE w:val="0"/>
      <w:autoSpaceDN w:val="0"/>
      <w:adjustRightInd w:val="0"/>
      <w:spacing w:line="360" w:lineRule="atLeast"/>
    </w:pPr>
    <w:rPr>
      <w:rFonts w:ascii="文鼎粗黑" w:eastAsia="文鼎粗黑"/>
      <w:kern w:val="0"/>
      <w:sz w:val="22"/>
      <w:szCs w:val="20"/>
    </w:rPr>
  </w:style>
  <w:style w:type="paragraph" w:customStyle="1" w:styleId="333">
    <w:name w:val="标题1"/>
    <w:basedOn w:val="3"/>
    <w:next w:val="1"/>
    <w:autoRedefine/>
    <w:qFormat/>
    <w:uiPriority w:val="0"/>
    <w:pPr>
      <w:spacing w:before="0" w:after="0" w:line="360" w:lineRule="auto"/>
      <w:jc w:val="left"/>
    </w:pPr>
    <w:rPr>
      <w:rFonts w:ascii="华文中宋" w:hAnsi="华文中宋" w:eastAsia="华文中宋"/>
      <w:szCs w:val="36"/>
    </w:rPr>
  </w:style>
  <w:style w:type="paragraph" w:customStyle="1" w:styleId="334">
    <w:name w:val="Char Char Char Char Char Char1"/>
    <w:basedOn w:val="1"/>
    <w:autoRedefine/>
    <w:qFormat/>
    <w:uiPriority w:val="0"/>
    <w:pPr>
      <w:spacing w:line="360" w:lineRule="auto"/>
      <w:ind w:firstLine="200" w:firstLineChars="200"/>
    </w:pPr>
    <w:rPr>
      <w:rFonts w:ascii="Tahoma" w:hAnsi="Tahoma" w:cs="Tahoma"/>
      <w:sz w:val="24"/>
    </w:rPr>
  </w:style>
  <w:style w:type="paragraph" w:customStyle="1" w:styleId="335">
    <w:name w:val="ÕýÎÄ 1"/>
    <w:basedOn w:val="1"/>
    <w:autoRedefine/>
    <w:qFormat/>
    <w:uiPriority w:val="0"/>
    <w:pPr>
      <w:widowControl/>
      <w:overflowPunct w:val="0"/>
      <w:autoSpaceDE w:val="0"/>
      <w:autoSpaceDN w:val="0"/>
      <w:adjustRightInd w:val="0"/>
      <w:snapToGrid w:val="0"/>
      <w:spacing w:before="80" w:after="80" w:line="360" w:lineRule="auto"/>
      <w:ind w:left="1417"/>
      <w:textAlignment w:val="baseline"/>
    </w:pPr>
    <w:rPr>
      <w:kern w:val="0"/>
      <w:szCs w:val="20"/>
    </w:rPr>
  </w:style>
  <w:style w:type="paragraph" w:customStyle="1" w:styleId="336">
    <w:name w:val="Figure"/>
    <w:basedOn w:val="1"/>
    <w:next w:val="337"/>
    <w:autoRedefine/>
    <w:qFormat/>
    <w:uiPriority w:val="0"/>
    <w:pPr>
      <w:keepNext/>
      <w:keepLines/>
      <w:ind w:left="1134"/>
      <w:jc w:val="center"/>
    </w:pPr>
  </w:style>
  <w:style w:type="paragraph" w:customStyle="1" w:styleId="337">
    <w:name w:val="Figure Description"/>
    <w:basedOn w:val="336"/>
    <w:next w:val="114"/>
    <w:autoRedefine/>
    <w:qFormat/>
    <w:uiPriority w:val="0"/>
    <w:pPr>
      <w:tabs>
        <w:tab w:val="left" w:pos="680"/>
      </w:tabs>
      <w:spacing w:afterLines="100"/>
    </w:pPr>
    <w:rPr>
      <w:sz w:val="18"/>
    </w:rPr>
  </w:style>
  <w:style w:type="paragraph" w:customStyle="1" w:styleId="338">
    <w:name w:val="±íÉí"/>
    <w:basedOn w:val="1"/>
    <w:autoRedefine/>
    <w:qFormat/>
    <w:uiPriority w:val="0"/>
    <w:pPr>
      <w:widowControl/>
      <w:overflowPunct w:val="0"/>
      <w:autoSpaceDE w:val="0"/>
      <w:autoSpaceDN w:val="0"/>
      <w:adjustRightInd w:val="0"/>
      <w:spacing w:line="300" w:lineRule="auto"/>
      <w:jc w:val="left"/>
      <w:textAlignment w:val="baseline"/>
    </w:pPr>
    <w:rPr>
      <w:kern w:val="0"/>
      <w:sz w:val="18"/>
      <w:szCs w:val="20"/>
    </w:rPr>
  </w:style>
  <w:style w:type="paragraph" w:customStyle="1" w:styleId="339">
    <w:name w:val="xl97"/>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40">
    <w:name w:val="样式 楷体_GB2312 小四 Char Char Char Char Char Char Char Char Char Char Char Char"/>
    <w:basedOn w:val="1"/>
    <w:next w:val="1"/>
    <w:autoRedefine/>
    <w:qFormat/>
    <w:uiPriority w:val="0"/>
    <w:pPr>
      <w:spacing w:line="360" w:lineRule="auto"/>
    </w:pPr>
    <w:rPr>
      <w:rFonts w:ascii="楷体_GB2312" w:eastAsia="楷体_GB2312"/>
      <w:sz w:val="24"/>
    </w:rPr>
  </w:style>
  <w:style w:type="paragraph" w:customStyle="1" w:styleId="341">
    <w:name w:val="p19"/>
    <w:basedOn w:val="1"/>
    <w:autoRedefine/>
    <w:qFormat/>
    <w:uiPriority w:val="0"/>
    <w:pPr>
      <w:widowControl/>
      <w:spacing w:beforeLines="100" w:afterLines="100"/>
      <w:ind w:left="1134"/>
    </w:pPr>
    <w:rPr>
      <w:kern w:val="0"/>
      <w:szCs w:val="21"/>
    </w:rPr>
  </w:style>
  <w:style w:type="paragraph" w:customStyle="1" w:styleId="342">
    <w:name w:val="正文文本2"/>
    <w:basedOn w:val="1"/>
    <w:autoRedefine/>
    <w:qFormat/>
    <w:uiPriority w:val="0"/>
    <w:pPr>
      <w:autoSpaceDE w:val="0"/>
      <w:autoSpaceDN w:val="0"/>
      <w:adjustRightInd w:val="0"/>
      <w:spacing w:before="60" w:after="60" w:line="360" w:lineRule="auto"/>
      <w:ind w:firstLine="425" w:firstLineChars="200"/>
      <w:textAlignment w:val="baseline"/>
    </w:pPr>
    <w:rPr>
      <w:rFonts w:ascii="宋体" w:hAnsi="Tms Rmn"/>
      <w:kern w:val="0"/>
      <w:sz w:val="24"/>
      <w:szCs w:val="20"/>
    </w:rPr>
  </w:style>
  <w:style w:type="paragraph" w:customStyle="1" w:styleId="343">
    <w:name w:val="xl81"/>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44">
    <w:name w:val="xl111"/>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45">
    <w:name w:val="±íÏî"/>
    <w:basedOn w:val="1"/>
    <w:autoRedefine/>
    <w:qFormat/>
    <w:uiPriority w:val="0"/>
    <w:pPr>
      <w:widowControl/>
      <w:overflowPunct w:val="0"/>
      <w:autoSpaceDE w:val="0"/>
      <w:autoSpaceDN w:val="0"/>
      <w:adjustRightInd w:val="0"/>
      <w:snapToGrid w:val="0"/>
      <w:spacing w:line="300" w:lineRule="auto"/>
      <w:jc w:val="center"/>
      <w:textAlignment w:val="baseline"/>
    </w:pPr>
    <w:rPr>
      <w:kern w:val="0"/>
      <w:sz w:val="18"/>
      <w:szCs w:val="20"/>
    </w:rPr>
  </w:style>
  <w:style w:type="paragraph" w:customStyle="1" w:styleId="346">
    <w:name w:val="xl114"/>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47">
    <w:name w:val="Char Char11"/>
    <w:basedOn w:val="1"/>
    <w:autoRedefine/>
    <w:qFormat/>
    <w:uiPriority w:val="0"/>
    <w:pPr>
      <w:widowControl/>
      <w:jc w:val="left"/>
    </w:pPr>
    <w:rPr>
      <w:sz w:val="36"/>
    </w:rPr>
  </w:style>
  <w:style w:type="paragraph" w:customStyle="1" w:styleId="348">
    <w:name w:val="xl80"/>
    <w:basedOn w:val="1"/>
    <w:autoRedefine/>
    <w:qFormat/>
    <w:uiPriority w:val="0"/>
    <w:pPr>
      <w:widowControl/>
      <w:shd w:val="clear" w:color="000000" w:fill="FFFFFF"/>
      <w:spacing w:before="100" w:beforeAutospacing="1" w:after="100" w:afterAutospacing="1"/>
      <w:jc w:val="center"/>
    </w:pPr>
    <w:rPr>
      <w:rFonts w:ascii="宋体" w:hAnsi="宋体" w:cs="宋体"/>
      <w:kern w:val="0"/>
      <w:sz w:val="20"/>
      <w:szCs w:val="20"/>
    </w:rPr>
  </w:style>
  <w:style w:type="paragraph" w:customStyle="1" w:styleId="349">
    <w:name w:val="xl94"/>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50">
    <w:name w:val="正文符号1"/>
    <w:basedOn w:val="265"/>
    <w:autoRedefine/>
    <w:qFormat/>
    <w:uiPriority w:val="0"/>
    <w:pPr>
      <w:tabs>
        <w:tab w:val="left" w:pos="1080"/>
      </w:tabs>
      <w:ind w:left="1134" w:firstLine="0" w:firstLineChars="0"/>
    </w:pPr>
  </w:style>
  <w:style w:type="paragraph" w:customStyle="1" w:styleId="351">
    <w:name w:val="列项——"/>
    <w:autoRedefine/>
    <w:qFormat/>
    <w:uiPriority w:val="0"/>
    <w:pPr>
      <w:widowControl w:val="0"/>
      <w:tabs>
        <w:tab w:val="left" w:pos="854"/>
      </w:tabs>
      <w:ind w:left="200" w:leftChars="200" w:hanging="200" w:hangingChars="200"/>
      <w:jc w:val="both"/>
    </w:pPr>
    <w:rPr>
      <w:rFonts w:ascii="宋体" w:hAnsi="Times New Roman" w:eastAsia="宋体" w:cs="Times New Roman"/>
      <w:sz w:val="21"/>
      <w:lang w:val="en-US" w:eastAsia="zh-CN" w:bidi="ar-SA"/>
    </w:rPr>
  </w:style>
  <w:style w:type="paragraph" w:customStyle="1" w:styleId="352">
    <w:name w:val="itemlistintable"/>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353">
    <w:name w:val="xl82"/>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54">
    <w:name w:val="段"/>
    <w:autoRedefine/>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355">
    <w:name w:val="xl112"/>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56">
    <w:name w:val="xl95"/>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4"/>
    </w:rPr>
  </w:style>
  <w:style w:type="paragraph" w:customStyle="1" w:styleId="357">
    <w:name w:val="Char Char Char Char"/>
    <w:basedOn w:val="1"/>
    <w:autoRedefine/>
    <w:qFormat/>
    <w:uiPriority w:val="0"/>
    <w:pPr>
      <w:widowControl/>
      <w:spacing w:line="400" w:lineRule="exact"/>
      <w:jc w:val="center"/>
    </w:pPr>
    <w:rPr>
      <w:rFonts w:ascii="Verdana" w:hAnsi="Verdana"/>
      <w:kern w:val="0"/>
      <w:szCs w:val="20"/>
      <w:lang w:eastAsia="en-US"/>
    </w:rPr>
  </w:style>
  <w:style w:type="paragraph" w:customStyle="1" w:styleId="358">
    <w:name w:val="È±Ê¡ÎÄ±¾"/>
    <w:basedOn w:val="1"/>
    <w:autoRedefine/>
    <w:qFormat/>
    <w:uiPriority w:val="0"/>
    <w:pPr>
      <w:widowControl/>
      <w:overflowPunct w:val="0"/>
      <w:autoSpaceDE w:val="0"/>
      <w:autoSpaceDN w:val="0"/>
      <w:adjustRightInd w:val="0"/>
      <w:snapToGrid w:val="0"/>
      <w:spacing w:line="360" w:lineRule="auto"/>
      <w:textAlignment w:val="baseline"/>
    </w:pPr>
    <w:rPr>
      <w:kern w:val="0"/>
      <w:szCs w:val="20"/>
    </w:rPr>
  </w:style>
  <w:style w:type="paragraph" w:customStyle="1" w:styleId="359">
    <w:name w:val="图片"/>
    <w:basedOn w:val="1"/>
    <w:next w:val="1"/>
    <w:autoRedefine/>
    <w:qFormat/>
    <w:uiPriority w:val="0"/>
    <w:pPr>
      <w:jc w:val="center"/>
    </w:pPr>
  </w:style>
  <w:style w:type="paragraph" w:customStyle="1" w:styleId="360">
    <w:name w:val="Item Step in Table"/>
    <w:basedOn w:val="1"/>
    <w:autoRedefine/>
    <w:qFormat/>
    <w:uiPriority w:val="0"/>
    <w:pPr>
      <w:tabs>
        <w:tab w:val="left" w:pos="420"/>
      </w:tabs>
      <w:ind w:left="420" w:hanging="420"/>
      <w:jc w:val="left"/>
    </w:pPr>
  </w:style>
  <w:style w:type="paragraph" w:customStyle="1" w:styleId="361">
    <w:name w:val="默认段落字体 Para Char"/>
    <w:basedOn w:val="1"/>
    <w:autoRedefine/>
    <w:qFormat/>
    <w:uiPriority w:val="0"/>
    <w:rPr>
      <w:szCs w:val="20"/>
    </w:rPr>
  </w:style>
  <w:style w:type="paragraph" w:customStyle="1" w:styleId="362">
    <w:name w:val="文档正文"/>
    <w:basedOn w:val="1"/>
    <w:autoRedefine/>
    <w:qFormat/>
    <w:uiPriority w:val="0"/>
    <w:pPr>
      <w:adjustRightInd w:val="0"/>
      <w:spacing w:line="312" w:lineRule="atLeast"/>
      <w:ind w:firstLine="567"/>
      <w:textAlignment w:val="baseline"/>
    </w:pPr>
    <w:rPr>
      <w:rFonts w:ascii="长城仿宋" w:eastAsia="长城仿宋"/>
      <w:kern w:val="0"/>
      <w:sz w:val="28"/>
    </w:rPr>
  </w:style>
  <w:style w:type="paragraph" w:customStyle="1" w:styleId="363">
    <w:name w:val="xl115"/>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64">
    <w:name w:val="5"/>
    <w:autoRedefine/>
    <w:qFormat/>
    <w:uiPriority w:val="0"/>
    <w:rPr>
      <w:rFonts w:ascii="Times New Roman" w:hAnsi="Times New Roman" w:eastAsia="宋体" w:cs="Times New Roman"/>
      <w:kern w:val="2"/>
      <w:sz w:val="21"/>
      <w:szCs w:val="22"/>
      <w:lang w:val="en-US" w:eastAsia="zh-CN" w:bidi="ar-SA"/>
    </w:rPr>
  </w:style>
  <w:style w:type="paragraph" w:customStyle="1" w:styleId="365">
    <w:name w:val="xl104"/>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66">
    <w:name w:val="方案正文"/>
    <w:basedOn w:val="1"/>
    <w:autoRedefine/>
    <w:qFormat/>
    <w:uiPriority w:val="0"/>
    <w:pPr>
      <w:adjustRightInd w:val="0"/>
      <w:snapToGrid w:val="0"/>
      <w:spacing w:beforeLines="30" w:line="420" w:lineRule="exact"/>
      <w:ind w:firstLine="567"/>
      <w:textAlignment w:val="baseline"/>
    </w:pPr>
    <w:rPr>
      <w:rFonts w:ascii="Arial" w:hAnsi="Arial" w:eastAsia="仿宋_GB2312"/>
      <w:bCs/>
      <w:snapToGrid w:val="0"/>
      <w:spacing w:val="14"/>
      <w:kern w:val="0"/>
      <w:sz w:val="24"/>
      <w:szCs w:val="20"/>
      <w:lang w:eastAsia="zh-TW"/>
    </w:rPr>
  </w:style>
  <w:style w:type="paragraph" w:customStyle="1" w:styleId="367">
    <w:name w:val="Char111"/>
    <w:basedOn w:val="1"/>
    <w:autoRedefine/>
    <w:qFormat/>
    <w:uiPriority w:val="0"/>
    <w:rPr>
      <w:rFonts w:ascii="仿宋_GB2312" w:hAnsi="宋体" w:eastAsia="仿宋_GB2312" w:cs="宋体"/>
      <w:b/>
      <w:sz w:val="32"/>
      <w:szCs w:val="32"/>
    </w:rPr>
  </w:style>
  <w:style w:type="paragraph" w:customStyle="1" w:styleId="368">
    <w:name w:val="正文缩进2"/>
    <w:basedOn w:val="1"/>
    <w:autoRedefine/>
    <w:qFormat/>
    <w:uiPriority w:val="0"/>
    <w:pPr>
      <w:widowControl/>
      <w:overflowPunct w:val="0"/>
      <w:autoSpaceDE w:val="0"/>
      <w:autoSpaceDN w:val="0"/>
      <w:adjustRightInd w:val="0"/>
      <w:spacing w:line="400" w:lineRule="exact"/>
      <w:ind w:firstLine="420"/>
      <w:textAlignment w:val="baseline"/>
    </w:pPr>
    <w:rPr>
      <w:kern w:val="0"/>
      <w:sz w:val="24"/>
      <w:szCs w:val="20"/>
    </w:rPr>
  </w:style>
  <w:style w:type="paragraph" w:customStyle="1" w:styleId="369">
    <w:name w:val="Item List in Table"/>
    <w:basedOn w:val="1"/>
    <w:autoRedefine/>
    <w:qFormat/>
    <w:uiPriority w:val="0"/>
    <w:pPr>
      <w:numPr>
        <w:ilvl w:val="0"/>
        <w:numId w:val="2"/>
      </w:numPr>
      <w:jc w:val="left"/>
    </w:pPr>
  </w:style>
  <w:style w:type="paragraph" w:customStyle="1" w:styleId="370">
    <w:name w:val="Table Heading"/>
    <w:basedOn w:val="1"/>
    <w:autoRedefine/>
    <w:qFormat/>
    <w:uiPriority w:val="0"/>
    <w:pPr>
      <w:jc w:val="center"/>
    </w:pPr>
    <w:rPr>
      <w:rFonts w:ascii="Arial" w:hAnsi="Arial" w:eastAsia="黑体"/>
      <w:b/>
    </w:rPr>
  </w:style>
  <w:style w:type="paragraph" w:customStyle="1" w:styleId="371">
    <w:name w:val="默认段落字体 Para Char Char Char Char"/>
    <w:basedOn w:val="1"/>
    <w:autoRedefine/>
    <w:qFormat/>
    <w:uiPriority w:val="0"/>
    <w:pPr>
      <w:adjustRightInd w:val="0"/>
      <w:spacing w:line="360" w:lineRule="auto"/>
      <w:ind w:firstLine="1680" w:firstLineChars="200"/>
    </w:pPr>
    <w:rPr>
      <w:kern w:val="0"/>
      <w:sz w:val="24"/>
      <w:szCs w:val="20"/>
    </w:rPr>
  </w:style>
  <w:style w:type="paragraph" w:customStyle="1" w:styleId="372">
    <w:name w:val="font8"/>
    <w:basedOn w:val="1"/>
    <w:autoRedefine/>
    <w:qFormat/>
    <w:uiPriority w:val="0"/>
    <w:pPr>
      <w:widowControl/>
      <w:spacing w:before="100" w:beforeAutospacing="1" w:after="100" w:afterAutospacing="1"/>
      <w:jc w:val="left"/>
    </w:pPr>
    <w:rPr>
      <w:rFonts w:ascii="宋体" w:hAnsi="宋体" w:cs="宋体"/>
      <w:b/>
      <w:bCs/>
      <w:color w:val="000000"/>
      <w:kern w:val="0"/>
      <w:sz w:val="20"/>
      <w:szCs w:val="20"/>
    </w:rPr>
  </w:style>
  <w:style w:type="paragraph" w:customStyle="1" w:styleId="373">
    <w:name w:val="_Style 3"/>
    <w:basedOn w:val="1"/>
    <w:autoRedefine/>
    <w:qFormat/>
    <w:uiPriority w:val="34"/>
    <w:pPr>
      <w:spacing w:line="360" w:lineRule="auto"/>
      <w:ind w:firstLine="420" w:firstLineChars="200"/>
    </w:pPr>
    <w:rPr>
      <w:rFonts w:ascii="Calibri" w:hAnsi="Calibri"/>
      <w:szCs w:val="22"/>
    </w:rPr>
  </w:style>
  <w:style w:type="paragraph" w:customStyle="1" w:styleId="374">
    <w:name w:val="xl7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0"/>
      <w:szCs w:val="20"/>
    </w:rPr>
  </w:style>
  <w:style w:type="paragraph" w:customStyle="1" w:styleId="375">
    <w:name w:val="xl106"/>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76">
    <w:name w:val="Table Text"/>
    <w:basedOn w:val="1"/>
    <w:autoRedefine/>
    <w:qFormat/>
    <w:uiPriority w:val="0"/>
    <w:rPr>
      <w:sz w:val="18"/>
    </w:rPr>
  </w:style>
  <w:style w:type="paragraph" w:customStyle="1" w:styleId="377">
    <w:name w:val="次小点说明"/>
    <w:basedOn w:val="14"/>
    <w:autoRedefine/>
    <w:qFormat/>
    <w:uiPriority w:val="0"/>
    <w:pPr>
      <w:tabs>
        <w:tab w:val="left" w:pos="720"/>
      </w:tabs>
      <w:spacing w:line="360" w:lineRule="auto"/>
      <w:ind w:left="777" w:hanging="417"/>
    </w:pPr>
    <w:rPr>
      <w:sz w:val="24"/>
    </w:rPr>
  </w:style>
  <w:style w:type="paragraph" w:customStyle="1" w:styleId="378">
    <w:name w:val="xl101"/>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79">
    <w:name w:val="此正文"/>
    <w:basedOn w:val="1"/>
    <w:autoRedefine/>
    <w:qFormat/>
    <w:uiPriority w:val="0"/>
    <w:pPr>
      <w:spacing w:line="360" w:lineRule="auto"/>
      <w:ind w:firstLine="200" w:firstLineChars="200"/>
    </w:pPr>
    <w:rPr>
      <w:sz w:val="24"/>
    </w:rPr>
  </w:style>
  <w:style w:type="paragraph" w:customStyle="1" w:styleId="380">
    <w:name w:val="方案标题4"/>
    <w:basedOn w:val="6"/>
    <w:autoRedefine/>
    <w:qFormat/>
    <w:uiPriority w:val="0"/>
    <w:pPr>
      <w:keepNext w:val="0"/>
      <w:keepLines w:val="0"/>
      <w:adjustRightInd w:val="0"/>
      <w:snapToGrid w:val="0"/>
      <w:spacing w:before="60" w:after="0" w:line="360" w:lineRule="auto"/>
      <w:jc w:val="left"/>
      <w:outlineLvl w:val="4"/>
    </w:pPr>
    <w:rPr>
      <w:rFonts w:eastAsia="宋体"/>
      <w:b w:val="0"/>
      <w:spacing w:val="10"/>
      <w:sz w:val="24"/>
      <w:szCs w:val="20"/>
    </w:rPr>
  </w:style>
  <w:style w:type="paragraph" w:customStyle="1" w:styleId="381">
    <w:name w:val="xl102"/>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82">
    <w:name w:val="xl110"/>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83">
    <w:name w:val="列表1"/>
    <w:basedOn w:val="1"/>
    <w:autoRedefine/>
    <w:qFormat/>
    <w:uiPriority w:val="0"/>
    <w:pPr>
      <w:adjustRightInd w:val="0"/>
      <w:spacing w:line="360" w:lineRule="auto"/>
      <w:ind w:left="902" w:hanging="482"/>
      <w:textAlignment w:val="baseline"/>
    </w:pPr>
    <w:rPr>
      <w:rFonts w:ascii="昆仑仿宋" w:eastAsia="昆仑仿宋"/>
      <w:kern w:val="0"/>
      <w:szCs w:val="20"/>
    </w:rPr>
  </w:style>
  <w:style w:type="paragraph" w:customStyle="1" w:styleId="384">
    <w:name w:val="项目正文"/>
    <w:basedOn w:val="1"/>
    <w:autoRedefine/>
    <w:qFormat/>
    <w:uiPriority w:val="0"/>
    <w:pPr>
      <w:ind w:left="420" w:hanging="420"/>
    </w:pPr>
    <w:rPr>
      <w:sz w:val="28"/>
      <w:szCs w:val="20"/>
    </w:rPr>
  </w:style>
  <w:style w:type="paragraph" w:customStyle="1" w:styleId="385">
    <w:name w:val="xl98"/>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86">
    <w:name w:val="xl86"/>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87">
    <w:name w:val="正文2 Char Char Char Char Char Char Char Char Char Char Char Char1 Char Char Char Char Char Char Char Char1 Char Char Char Char Char Char Char Char Char"/>
    <w:basedOn w:val="1"/>
    <w:autoRedefine/>
    <w:qFormat/>
    <w:uiPriority w:val="0"/>
    <w:pPr>
      <w:widowControl/>
      <w:spacing w:line="400" w:lineRule="exact"/>
      <w:jc w:val="center"/>
    </w:pPr>
    <w:rPr>
      <w:rFonts w:ascii="Verdana" w:hAnsi="Verdana"/>
      <w:kern w:val="0"/>
      <w:szCs w:val="20"/>
      <w:lang w:eastAsia="en-US"/>
    </w:rPr>
  </w:style>
  <w:style w:type="paragraph" w:customStyle="1" w:styleId="388">
    <w:name w:val="段落正文 Char Char"/>
    <w:basedOn w:val="1"/>
    <w:autoRedefine/>
    <w:qFormat/>
    <w:uiPriority w:val="0"/>
    <w:pPr>
      <w:spacing w:line="360" w:lineRule="auto"/>
      <w:ind w:firstLine="461" w:firstLineChars="192"/>
    </w:pPr>
    <w:rPr>
      <w:rFonts w:ascii="宋体" w:hAnsi="宋体"/>
      <w:sz w:val="24"/>
    </w:rPr>
  </w:style>
  <w:style w:type="paragraph" w:customStyle="1" w:styleId="389">
    <w:name w:val="xl73"/>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宋体" w:hAnsi="宋体"/>
      <w:kern w:val="0"/>
      <w:sz w:val="20"/>
      <w:szCs w:val="20"/>
    </w:rPr>
  </w:style>
  <w:style w:type="paragraph" w:customStyle="1" w:styleId="390">
    <w:name w:val="p18"/>
    <w:basedOn w:val="1"/>
    <w:autoRedefine/>
    <w:qFormat/>
    <w:uiPriority w:val="0"/>
    <w:pPr>
      <w:widowControl/>
      <w:spacing w:afterLines="100"/>
      <w:ind w:left="1134"/>
      <w:jc w:val="center"/>
    </w:pPr>
    <w:rPr>
      <w:kern w:val="0"/>
      <w:sz w:val="18"/>
      <w:szCs w:val="18"/>
    </w:rPr>
  </w:style>
  <w:style w:type="paragraph" w:customStyle="1" w:styleId="391">
    <w:name w:val="xl7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392">
    <w:name w:val="xl76"/>
    <w:basedOn w:val="1"/>
    <w:autoRedefine/>
    <w:qFormat/>
    <w:uiPriority w:val="0"/>
    <w:pPr>
      <w:widowControl/>
      <w:shd w:val="clear" w:color="000000" w:fill="FFFFFF"/>
      <w:spacing w:before="100" w:beforeAutospacing="1" w:after="100" w:afterAutospacing="1"/>
      <w:jc w:val="left"/>
    </w:pPr>
    <w:rPr>
      <w:rFonts w:ascii="宋体" w:hAnsi="宋体" w:cs="宋体"/>
      <w:kern w:val="0"/>
      <w:sz w:val="24"/>
    </w:rPr>
  </w:style>
  <w:style w:type="paragraph" w:customStyle="1" w:styleId="393">
    <w:name w:val="±íÌâ"/>
    <w:basedOn w:val="1"/>
    <w:autoRedefine/>
    <w:qFormat/>
    <w:uiPriority w:val="0"/>
    <w:pPr>
      <w:keepNext/>
      <w:widowControl/>
      <w:overflowPunct w:val="0"/>
      <w:autoSpaceDE w:val="0"/>
      <w:autoSpaceDN w:val="0"/>
      <w:adjustRightInd w:val="0"/>
      <w:snapToGrid w:val="0"/>
      <w:spacing w:before="80" w:after="80" w:line="360" w:lineRule="auto"/>
      <w:ind w:left="1417"/>
      <w:jc w:val="center"/>
      <w:textAlignment w:val="baseline"/>
    </w:pPr>
    <w:rPr>
      <w:rFonts w:ascii="Arial" w:hAnsi="Arial"/>
      <w:kern w:val="0"/>
      <w:sz w:val="18"/>
      <w:szCs w:val="20"/>
    </w:rPr>
  </w:style>
  <w:style w:type="paragraph" w:customStyle="1" w:styleId="394">
    <w:name w:val="Char2"/>
    <w:basedOn w:val="1"/>
    <w:autoRedefine/>
    <w:qFormat/>
    <w:uiPriority w:val="0"/>
    <w:pPr>
      <w:spacing w:line="240" w:lineRule="atLeast"/>
      <w:ind w:left="420" w:firstLine="420"/>
    </w:pPr>
  </w:style>
  <w:style w:type="paragraph" w:customStyle="1" w:styleId="395">
    <w:name w:val="xl96"/>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table" w:customStyle="1" w:styleId="396">
    <w:name w:val="网格型1"/>
    <w:basedOn w:val="52"/>
    <w:autoRedefine/>
    <w:unhideWhenUsed/>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397">
    <w:name w:val="NormalCharacter"/>
    <w:autoRedefine/>
    <w:semiHidden/>
    <w:qFormat/>
    <w:uiPriority w:val="0"/>
    <w:rPr>
      <w:kern w:val="2"/>
      <w:sz w:val="21"/>
      <w:szCs w:val="24"/>
      <w:lang w:val="en-US" w:eastAsia="zh-CN" w:bidi="ar-SA"/>
    </w:rPr>
  </w:style>
  <w:style w:type="table" w:customStyle="1" w:styleId="398">
    <w:name w:val="Table Normal"/>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8.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65</Pages>
  <Words>25819</Words>
  <Characters>26936</Characters>
  <Lines>280</Lines>
  <Paragraphs>78</Paragraphs>
  <TotalTime>46</TotalTime>
  <ScaleCrop>false</ScaleCrop>
  <LinksUpToDate>false</LinksUpToDate>
  <CharactersWithSpaces>27343</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2023-10-08T03:46:00Z</dcterms:created>
  <dc:creator>Sky123.Org</dc:creator>
  <cp:lastModifiedBy>O</cp:lastModifiedBy>
  <cp:lastPrinted>2026-06-16T23:31:00Z</cp:lastPrinted>
  <dcterms:modified xsi:type="dcterms:W3CDTF">2026-07-15T01:07:19Z</dcterms:modified>
  <dc:title>临海市政府采购</dc:title>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257286C754DE44B1B5E992F62C701896_13</vt:lpwstr>
  </property>
  <property fmtid="{D5CDD505-2E9C-101B-9397-08002B2CF9AE}" pid="4" name="KSOTemplateDocerSaveRecord">
    <vt:lpwstr>eyJoZGlkIjoiNmY3YWQwNmM5OWYyYmNiZmY3NTJkYTdlZmQyOTc4ODYiLCJ1c2VySWQiOiI0MjcyNDk0NzEifQ==</vt:lpwstr>
  </property>
</Properties>
</file>