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4C1D9">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774D82DC">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73A23ABD">
      <w:pPr>
        <w:adjustRightInd w:val="0"/>
        <w:snapToGrid w:val="0"/>
        <w:rPr>
          <w:rFonts w:ascii="宋体" w:hAnsi="宋体"/>
          <w:b/>
          <w:bCs/>
          <w:color w:val="auto"/>
          <w:sz w:val="32"/>
          <w:szCs w:val="32"/>
          <w:highlight w:val="none"/>
        </w:rPr>
      </w:pPr>
    </w:p>
    <w:p w14:paraId="31B45893">
      <w:pPr>
        <w:spacing w:line="480" w:lineRule="auto"/>
        <w:jc w:val="center"/>
        <w:rPr>
          <w:rFonts w:ascii="宋体" w:hAnsi="宋体" w:cs="宋体"/>
          <w:b/>
          <w:color w:val="auto"/>
          <w:sz w:val="44"/>
          <w:szCs w:val="40"/>
          <w:highlight w:val="none"/>
        </w:rPr>
      </w:pPr>
      <w:r>
        <w:rPr>
          <w:rFonts w:hint="eastAsia" w:ascii="宋体" w:hAnsi="宋体"/>
          <w:b/>
          <w:bCs/>
          <w:color w:val="auto"/>
          <w:sz w:val="36"/>
          <w:szCs w:val="36"/>
          <w:highlight w:val="none"/>
        </w:rPr>
        <w:t>（电子投标、不见面开标方式）</w:t>
      </w:r>
    </w:p>
    <w:p w14:paraId="6EB6D93D">
      <w:pPr>
        <w:rPr>
          <w:color w:val="auto"/>
          <w:highlight w:val="none"/>
        </w:rPr>
      </w:pPr>
    </w:p>
    <w:p w14:paraId="77B8F131">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color w:val="auto"/>
          <w:kern w:val="0"/>
          <w:sz w:val="52"/>
          <w:szCs w:val="52"/>
          <w:highlight w:val="none"/>
        </w:rPr>
      </w:pPr>
      <w:r>
        <w:rPr>
          <w:rFonts w:hint="eastAsia" w:ascii="宋体" w:hAnsi="宋体" w:cs="宋体"/>
          <w:b/>
          <w:color w:val="auto"/>
          <w:kern w:val="0"/>
          <w:sz w:val="52"/>
          <w:szCs w:val="52"/>
          <w:highlight w:val="none"/>
        </w:rPr>
        <w:t>招标文件</w:t>
      </w:r>
    </w:p>
    <w:p w14:paraId="51FA31EA">
      <w:pPr>
        <w:pStyle w:val="21"/>
        <w:rPr>
          <w:rFonts w:hint="eastAsia" w:ascii="宋体" w:hAnsi="宋体" w:cs="宋体"/>
          <w:b/>
          <w:color w:val="auto"/>
          <w:kern w:val="0"/>
          <w:sz w:val="52"/>
          <w:szCs w:val="52"/>
          <w:highlight w:val="none"/>
        </w:rPr>
      </w:pPr>
    </w:p>
    <w:p w14:paraId="401C7638">
      <w:pPr>
        <w:pStyle w:val="42"/>
      </w:pPr>
    </w:p>
    <w:p w14:paraId="0D09E4B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auto"/>
          <w:kern w:val="0"/>
          <w:sz w:val="30"/>
          <w:szCs w:val="30"/>
          <w:highlight w:val="none"/>
        </w:rPr>
      </w:pPr>
    </w:p>
    <w:p w14:paraId="4F97A9A0">
      <w:pPr>
        <w:adjustRightInd w:val="0"/>
        <w:snapToGrid w:val="0"/>
        <w:spacing w:line="360" w:lineRule="auto"/>
        <w:ind w:left="1520" w:leftChars="135" w:hanging="1237" w:hangingChars="440"/>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eastAsia="zh-CN"/>
        </w:rPr>
        <w:t>哲商小学扩建二期工程(老台师操场、报告厅及校前广场等改造工程)（塑胶材料采购）</w:t>
      </w:r>
    </w:p>
    <w:p w14:paraId="08534FF9">
      <w:pPr>
        <w:adjustRightInd w:val="0"/>
        <w:snapToGrid w:val="0"/>
        <w:spacing w:line="360" w:lineRule="auto"/>
        <w:ind w:left="1520" w:leftChars="135" w:hanging="1237" w:hangingChars="440"/>
        <w:rPr>
          <w:rFonts w:hint="default" w:ascii="仿宋" w:hAnsi="仿宋" w:eastAsia="宋体" w:cs="仿宋"/>
          <w:color w:val="auto"/>
          <w:kern w:val="0"/>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val="en-US" w:eastAsia="zh-CN"/>
        </w:rPr>
        <w:t>/</w:t>
      </w:r>
    </w:p>
    <w:p w14:paraId="7F2FA5B2">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auto"/>
          <w:kern w:val="0"/>
          <w:sz w:val="28"/>
          <w:szCs w:val="28"/>
          <w:highlight w:val="none"/>
        </w:rPr>
      </w:pPr>
    </w:p>
    <w:p w14:paraId="61F49E3D">
      <w:pPr>
        <w:pStyle w:val="52"/>
        <w:ind w:left="420" w:firstLine="404"/>
        <w:rPr>
          <w:color w:val="auto"/>
          <w:highlight w:val="none"/>
        </w:rPr>
      </w:pPr>
    </w:p>
    <w:p w14:paraId="00677EA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ascii="仿宋" w:hAnsi="仿宋" w:eastAsia="仿宋" w:cs="仿宋"/>
          <w:color w:val="auto"/>
          <w:kern w:val="0"/>
          <w:sz w:val="28"/>
          <w:szCs w:val="28"/>
          <w:highlight w:val="none"/>
        </w:rPr>
      </w:pPr>
    </w:p>
    <w:p w14:paraId="19B5F038">
      <w:pPr>
        <w:spacing w:line="480" w:lineRule="auto"/>
        <w:ind w:firstLine="281" w:firstLineChars="100"/>
        <w:rPr>
          <w:rFonts w:hint="eastAsia" w:ascii="宋体" w:hAnsi="宋体"/>
          <w:b/>
          <w:bCs/>
          <w:color w:val="auto"/>
          <w:sz w:val="28"/>
          <w:szCs w:val="28"/>
          <w:highlight w:val="none"/>
        </w:rPr>
      </w:pPr>
    </w:p>
    <w:p w14:paraId="3951C590">
      <w:pPr>
        <w:spacing w:line="480" w:lineRule="auto"/>
        <w:ind w:firstLine="281" w:firstLineChars="100"/>
        <w:rPr>
          <w:rFonts w:hint="eastAsia" w:ascii="宋体" w:hAnsi="宋体" w:cs="宋体"/>
          <w:b/>
          <w:color w:val="auto"/>
          <w:sz w:val="28"/>
          <w:highlight w:val="none"/>
          <w:lang w:eastAsia="zh-CN"/>
        </w:rPr>
      </w:pPr>
      <w:r>
        <w:rPr>
          <w:rFonts w:hint="eastAsia" w:ascii="宋体" w:hAnsi="宋体"/>
          <w:b/>
          <w:bCs/>
          <w:color w:val="auto"/>
          <w:sz w:val="28"/>
          <w:szCs w:val="28"/>
          <w:highlight w:val="none"/>
        </w:rPr>
        <w:t>采购单位</w:t>
      </w:r>
      <w:r>
        <w:rPr>
          <w:rFonts w:hint="eastAsia" w:ascii="宋体" w:hAnsi="宋体" w:cs="宋体"/>
          <w:b/>
          <w:color w:val="auto"/>
          <w:sz w:val="28"/>
          <w:highlight w:val="none"/>
        </w:rPr>
        <w:t>：</w:t>
      </w:r>
      <w:r>
        <w:rPr>
          <w:rFonts w:hint="eastAsia" w:ascii="宋体" w:hAnsi="宋体" w:cs="宋体"/>
          <w:b/>
          <w:color w:val="auto"/>
          <w:sz w:val="28"/>
          <w:highlight w:val="none"/>
          <w:lang w:eastAsia="zh-CN"/>
        </w:rPr>
        <w:t>临海市哲商小学</w:t>
      </w:r>
    </w:p>
    <w:p w14:paraId="47CC593B">
      <w:pPr>
        <w:spacing w:line="480" w:lineRule="auto"/>
        <w:ind w:firstLine="281" w:firstLineChars="100"/>
        <w:rPr>
          <w:color w:val="auto"/>
          <w:highlight w:val="none"/>
        </w:rPr>
      </w:pPr>
      <w:r>
        <w:rPr>
          <w:rFonts w:hint="eastAsia" w:ascii="宋体" w:hAnsi="宋体"/>
          <w:b/>
          <w:bCs/>
          <w:color w:val="auto"/>
          <w:sz w:val="28"/>
          <w:szCs w:val="28"/>
          <w:highlight w:val="none"/>
        </w:rPr>
        <w:t>采购单</w:t>
      </w:r>
      <w:r>
        <w:rPr>
          <w:rFonts w:hint="eastAsia" w:ascii="宋体" w:hAnsi="宋体" w:cs="宋体"/>
          <w:b/>
          <w:color w:val="auto"/>
          <w:sz w:val="28"/>
          <w:highlight w:val="none"/>
          <w:lang w:eastAsia="zh-CN"/>
        </w:rPr>
        <w:t>位：浙江喻鼎建设有限公司</w:t>
      </w:r>
    </w:p>
    <w:p w14:paraId="0587FEB5">
      <w:pPr>
        <w:pStyle w:val="73"/>
        <w:rPr>
          <w:color w:val="auto"/>
          <w:highlight w:val="none"/>
        </w:rPr>
      </w:pPr>
    </w:p>
    <w:p w14:paraId="4D432A2A">
      <w:pPr>
        <w:pStyle w:val="73"/>
        <w:rPr>
          <w:color w:val="auto"/>
          <w:highlight w:val="none"/>
        </w:rPr>
      </w:pPr>
    </w:p>
    <w:p w14:paraId="24B560E1">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台州云聚工程咨询有限公司</w:t>
      </w:r>
    </w:p>
    <w:p w14:paraId="5A20C642">
      <w:pPr>
        <w:spacing w:line="500" w:lineRule="atLeast"/>
        <w:rPr>
          <w:rFonts w:ascii="宋体" w:hAnsi="宋体"/>
          <w:b/>
          <w:bCs/>
          <w:color w:val="auto"/>
          <w:sz w:val="30"/>
          <w:highlight w:val="none"/>
        </w:rPr>
      </w:pPr>
    </w:p>
    <w:p w14:paraId="39A74870">
      <w:pPr>
        <w:spacing w:line="500" w:lineRule="atLeast"/>
        <w:rPr>
          <w:rFonts w:ascii="宋体" w:hAnsi="宋体"/>
          <w:b/>
          <w:bCs/>
          <w:color w:val="auto"/>
          <w:sz w:val="30"/>
          <w:highlight w:val="none"/>
        </w:rPr>
      </w:pPr>
    </w:p>
    <w:p w14:paraId="3662B57B">
      <w:pPr>
        <w:spacing w:line="500" w:lineRule="atLeast"/>
        <w:ind w:firstLine="3204" w:firstLineChars="1140"/>
        <w:rPr>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七</w:t>
      </w:r>
      <w:r>
        <w:rPr>
          <w:rFonts w:hint="eastAsia" w:ascii="宋体" w:hAnsi="宋体"/>
          <w:b/>
          <w:bCs/>
          <w:color w:val="auto"/>
          <w:sz w:val="28"/>
          <w:szCs w:val="28"/>
          <w:highlight w:val="none"/>
        </w:rPr>
        <w:t xml:space="preserve">月 </w:t>
      </w:r>
    </w:p>
    <w:p w14:paraId="03D911EB">
      <w:pPr>
        <w:pStyle w:val="32"/>
        <w:pageBreakBefore/>
        <w:spacing w:beforeLines="0" w:afterLines="0" w:line="360" w:lineRule="auto"/>
        <w:jc w:val="center"/>
        <w:rPr>
          <w:rFonts w:hAnsi="宋体" w:cs="宋体"/>
          <w:color w:val="auto"/>
          <w:sz w:val="44"/>
          <w:szCs w:val="44"/>
          <w:highlight w:val="none"/>
        </w:rPr>
      </w:pPr>
      <w:r>
        <w:rPr>
          <w:rFonts w:hint="eastAsia" w:hAnsi="宋体" w:cs="宋体"/>
          <w:color w:val="auto"/>
          <w:sz w:val="44"/>
          <w:szCs w:val="44"/>
          <w:highlight w:val="none"/>
        </w:rPr>
        <w:t>目    录</w:t>
      </w:r>
    </w:p>
    <w:p w14:paraId="39911CDE">
      <w:pPr>
        <w:pStyle w:val="40"/>
        <w:tabs>
          <w:tab w:val="left" w:pos="6120"/>
        </w:tabs>
        <w:spacing w:line="480" w:lineRule="auto"/>
        <w:rPr>
          <w:rFonts w:cs="宋体"/>
          <w:b/>
          <w:color w:val="auto"/>
          <w:sz w:val="28"/>
          <w:szCs w:val="28"/>
          <w:highlight w:val="none"/>
        </w:rPr>
      </w:pPr>
    </w:p>
    <w:p w14:paraId="0F0D48D8">
      <w:pPr>
        <w:pStyle w:val="40"/>
        <w:tabs>
          <w:tab w:val="left" w:pos="6120"/>
        </w:tabs>
        <w:spacing w:line="480" w:lineRule="auto"/>
        <w:rPr>
          <w:rFonts w:cs="宋体"/>
          <w:b/>
          <w:color w:val="auto"/>
          <w:sz w:val="28"/>
          <w:szCs w:val="28"/>
          <w:highlight w:val="none"/>
        </w:rPr>
      </w:pPr>
      <w:r>
        <w:rPr>
          <w:rFonts w:hint="eastAsia" w:cs="宋体"/>
          <w:b/>
          <w:color w:val="auto"/>
          <w:sz w:val="28"/>
          <w:szCs w:val="28"/>
          <w:highlight w:val="none"/>
        </w:rPr>
        <w:tab/>
      </w:r>
    </w:p>
    <w:p w14:paraId="0BB031EE">
      <w:pPr>
        <w:pStyle w:val="40"/>
        <w:tabs>
          <w:tab w:val="right" w:leader="dot" w:pos="8730"/>
        </w:tabs>
        <w:spacing w:line="480" w:lineRule="auto"/>
        <w:rPr>
          <w:rFonts w:cs="宋体"/>
          <w:color w:val="auto"/>
          <w:sz w:val="24"/>
          <w:highlight w:val="none"/>
        </w:rPr>
      </w:pPr>
      <w:r>
        <w:rPr>
          <w:rFonts w:hint="eastAsia" w:cs="宋体"/>
          <w:color w:val="auto"/>
          <w:sz w:val="24"/>
          <w:highlight w:val="none"/>
        </w:rPr>
        <w:fldChar w:fldCharType="begin"/>
      </w:r>
      <w:r>
        <w:rPr>
          <w:rFonts w:hint="eastAsia" w:cs="宋体"/>
          <w:color w:val="auto"/>
          <w:sz w:val="24"/>
          <w:highlight w:val="none"/>
        </w:rPr>
        <w:instrText xml:space="preserve"> TOC \o "1-3" \h \z \u </w:instrText>
      </w:r>
      <w:r>
        <w:rPr>
          <w:rFonts w:hint="eastAsia" w:cs="宋体"/>
          <w:color w:val="auto"/>
          <w:sz w:val="24"/>
          <w:highlight w:val="none"/>
        </w:rPr>
        <w:fldChar w:fldCharType="separate"/>
      </w:r>
      <w:r>
        <w:rPr>
          <w:color w:val="auto"/>
          <w:highlight w:val="none"/>
        </w:rPr>
        <w:fldChar w:fldCharType="begin"/>
      </w:r>
      <w:r>
        <w:rPr>
          <w:color w:val="auto"/>
          <w:highlight w:val="none"/>
        </w:rPr>
        <w:instrText xml:space="preserve"> HYPERLINK \l "_Toc14571" </w:instrText>
      </w:r>
      <w:r>
        <w:rPr>
          <w:color w:val="auto"/>
          <w:highlight w:val="none"/>
        </w:rPr>
        <w:fldChar w:fldCharType="separate"/>
      </w:r>
      <w:r>
        <w:rPr>
          <w:rFonts w:hint="eastAsia" w:cs="宋体"/>
          <w:color w:val="auto"/>
          <w:sz w:val="24"/>
          <w:highlight w:val="none"/>
        </w:rPr>
        <w:t>第一章  投标邀请</w:t>
      </w:r>
      <w:r>
        <w:rPr>
          <w:rFonts w:hint="eastAsia" w:cs="宋体"/>
          <w:color w:val="auto"/>
          <w:sz w:val="24"/>
          <w:highlight w:val="none"/>
        </w:rPr>
        <w:tab/>
      </w:r>
      <w:r>
        <w:rPr>
          <w:rFonts w:hint="eastAsia" w:cs="宋体"/>
          <w:color w:val="auto"/>
          <w:sz w:val="24"/>
          <w:highlight w:val="none"/>
        </w:rPr>
        <w:fldChar w:fldCharType="begin"/>
      </w:r>
      <w:r>
        <w:rPr>
          <w:rFonts w:hint="eastAsia" w:cs="宋体"/>
          <w:color w:val="auto"/>
          <w:sz w:val="24"/>
          <w:highlight w:val="none"/>
        </w:rPr>
        <w:instrText xml:space="preserve"> PAGEREF _Toc14571 \h </w:instrText>
      </w:r>
      <w:r>
        <w:rPr>
          <w:rFonts w:hint="eastAsia" w:cs="宋体"/>
          <w:color w:val="auto"/>
          <w:sz w:val="24"/>
          <w:highlight w:val="none"/>
        </w:rPr>
        <w:fldChar w:fldCharType="separate"/>
      </w:r>
      <w:r>
        <w:rPr>
          <w:rFonts w:hint="eastAsia" w:cs="宋体"/>
          <w:color w:val="auto"/>
          <w:sz w:val="24"/>
          <w:highlight w:val="none"/>
        </w:rPr>
        <w:t>3</w:t>
      </w:r>
      <w:r>
        <w:rPr>
          <w:rFonts w:hint="eastAsia" w:cs="宋体"/>
          <w:color w:val="auto"/>
          <w:sz w:val="24"/>
          <w:highlight w:val="none"/>
        </w:rPr>
        <w:fldChar w:fldCharType="end"/>
      </w:r>
      <w:r>
        <w:rPr>
          <w:rFonts w:hint="eastAsia" w:cs="宋体"/>
          <w:color w:val="auto"/>
          <w:sz w:val="24"/>
          <w:highlight w:val="none"/>
        </w:rPr>
        <w:fldChar w:fldCharType="end"/>
      </w:r>
    </w:p>
    <w:p w14:paraId="0178386E">
      <w:pPr>
        <w:pStyle w:val="40"/>
        <w:tabs>
          <w:tab w:val="right" w:leader="dot" w:pos="8730"/>
        </w:tabs>
        <w:spacing w:line="480" w:lineRule="auto"/>
        <w:rPr>
          <w:rFonts w:cs="宋体"/>
          <w:color w:val="auto"/>
          <w:sz w:val="24"/>
          <w:highlight w:val="none"/>
        </w:rPr>
      </w:pPr>
      <w:r>
        <w:rPr>
          <w:color w:val="auto"/>
          <w:highlight w:val="none"/>
        </w:rPr>
        <w:fldChar w:fldCharType="begin"/>
      </w:r>
      <w:r>
        <w:rPr>
          <w:color w:val="auto"/>
          <w:highlight w:val="none"/>
        </w:rPr>
        <w:instrText xml:space="preserve"> HYPERLINK \l "_Toc2467" </w:instrText>
      </w:r>
      <w:r>
        <w:rPr>
          <w:color w:val="auto"/>
          <w:highlight w:val="none"/>
        </w:rPr>
        <w:fldChar w:fldCharType="separate"/>
      </w:r>
      <w:r>
        <w:rPr>
          <w:rFonts w:hint="eastAsia" w:cs="宋体"/>
          <w:color w:val="auto"/>
          <w:sz w:val="24"/>
          <w:highlight w:val="none"/>
        </w:rPr>
        <w:t>第二章  招标需求</w:t>
      </w:r>
      <w:r>
        <w:rPr>
          <w:rFonts w:hint="eastAsia" w:cs="宋体"/>
          <w:color w:val="auto"/>
          <w:sz w:val="24"/>
          <w:highlight w:val="none"/>
        </w:rPr>
        <w:tab/>
      </w:r>
      <w:r>
        <w:rPr>
          <w:rFonts w:hint="eastAsia" w:cs="宋体"/>
          <w:color w:val="auto"/>
          <w:sz w:val="24"/>
          <w:highlight w:val="none"/>
        </w:rPr>
        <w:fldChar w:fldCharType="begin"/>
      </w:r>
      <w:r>
        <w:rPr>
          <w:rFonts w:hint="eastAsia" w:cs="宋体"/>
          <w:color w:val="auto"/>
          <w:sz w:val="24"/>
          <w:highlight w:val="none"/>
        </w:rPr>
        <w:instrText xml:space="preserve"> PAGEREF _Toc2467 \h </w:instrText>
      </w:r>
      <w:r>
        <w:rPr>
          <w:rFonts w:hint="eastAsia" w:cs="宋体"/>
          <w:color w:val="auto"/>
          <w:sz w:val="24"/>
          <w:highlight w:val="none"/>
        </w:rPr>
        <w:fldChar w:fldCharType="separate"/>
      </w:r>
      <w:r>
        <w:rPr>
          <w:rFonts w:hint="eastAsia" w:cs="宋体"/>
          <w:color w:val="auto"/>
          <w:sz w:val="24"/>
          <w:highlight w:val="none"/>
        </w:rPr>
        <w:t>6</w:t>
      </w:r>
      <w:r>
        <w:rPr>
          <w:rFonts w:hint="eastAsia" w:cs="宋体"/>
          <w:color w:val="auto"/>
          <w:sz w:val="24"/>
          <w:highlight w:val="none"/>
        </w:rPr>
        <w:fldChar w:fldCharType="end"/>
      </w:r>
      <w:r>
        <w:rPr>
          <w:rFonts w:hint="eastAsia" w:cs="宋体"/>
          <w:color w:val="auto"/>
          <w:sz w:val="24"/>
          <w:highlight w:val="none"/>
        </w:rPr>
        <w:fldChar w:fldCharType="end"/>
      </w:r>
    </w:p>
    <w:p w14:paraId="7C197394">
      <w:pPr>
        <w:pStyle w:val="40"/>
        <w:tabs>
          <w:tab w:val="right" w:leader="dot" w:pos="8730"/>
        </w:tabs>
        <w:spacing w:line="480" w:lineRule="auto"/>
        <w:rPr>
          <w:rFonts w:hint="eastAsia" w:eastAsia="宋体" w:cs="宋体"/>
          <w:color w:val="auto"/>
          <w:sz w:val="24"/>
          <w:highlight w:val="none"/>
          <w:lang w:val="en-US" w:eastAsia="zh-CN"/>
        </w:rPr>
      </w:pPr>
      <w:r>
        <w:rPr>
          <w:color w:val="auto"/>
          <w:highlight w:val="none"/>
        </w:rPr>
        <w:fldChar w:fldCharType="begin"/>
      </w:r>
      <w:r>
        <w:rPr>
          <w:color w:val="auto"/>
          <w:highlight w:val="none"/>
        </w:rPr>
        <w:instrText xml:space="preserve"> HYPERLINK \l "_Toc21811" </w:instrText>
      </w:r>
      <w:r>
        <w:rPr>
          <w:color w:val="auto"/>
          <w:highlight w:val="none"/>
        </w:rPr>
        <w:fldChar w:fldCharType="separate"/>
      </w:r>
      <w:r>
        <w:rPr>
          <w:rFonts w:hint="eastAsia" w:cs="宋体"/>
          <w:color w:val="auto"/>
          <w:sz w:val="24"/>
          <w:highlight w:val="none"/>
        </w:rPr>
        <w:t>第三章  投标人须知</w:t>
      </w:r>
      <w:r>
        <w:rPr>
          <w:rFonts w:hint="eastAsia" w:cs="宋体"/>
          <w:color w:val="auto"/>
          <w:sz w:val="24"/>
          <w:highlight w:val="none"/>
        </w:rPr>
        <w:tab/>
      </w:r>
      <w:r>
        <w:rPr>
          <w:rFonts w:hint="eastAsia" w:cs="宋体"/>
          <w:color w:val="auto"/>
          <w:sz w:val="24"/>
          <w:highlight w:val="none"/>
          <w:lang w:val="en-US" w:eastAsia="zh-CN"/>
        </w:rPr>
        <w:t>1</w:t>
      </w:r>
      <w:r>
        <w:rPr>
          <w:rFonts w:hint="eastAsia" w:cs="宋体"/>
          <w:color w:val="auto"/>
          <w:sz w:val="24"/>
          <w:highlight w:val="none"/>
        </w:rPr>
        <w:fldChar w:fldCharType="end"/>
      </w:r>
      <w:r>
        <w:rPr>
          <w:rFonts w:hint="eastAsia" w:cs="宋体"/>
          <w:color w:val="auto"/>
          <w:sz w:val="24"/>
          <w:highlight w:val="none"/>
          <w:lang w:val="en-US" w:eastAsia="zh-CN"/>
        </w:rPr>
        <w:t>3</w:t>
      </w:r>
    </w:p>
    <w:p w14:paraId="7773E7A1">
      <w:pPr>
        <w:pStyle w:val="40"/>
        <w:tabs>
          <w:tab w:val="right" w:leader="dot" w:pos="8730"/>
        </w:tabs>
        <w:spacing w:line="480" w:lineRule="auto"/>
        <w:rPr>
          <w:rFonts w:cs="宋体"/>
          <w:color w:val="auto"/>
          <w:sz w:val="24"/>
          <w:highlight w:val="none"/>
        </w:rPr>
      </w:pPr>
      <w:r>
        <w:rPr>
          <w:color w:val="auto"/>
          <w:highlight w:val="none"/>
        </w:rPr>
        <w:fldChar w:fldCharType="begin"/>
      </w:r>
      <w:r>
        <w:rPr>
          <w:color w:val="auto"/>
          <w:highlight w:val="none"/>
        </w:rPr>
        <w:instrText xml:space="preserve"> HYPERLINK \l "_Toc25225" </w:instrText>
      </w:r>
      <w:r>
        <w:rPr>
          <w:color w:val="auto"/>
          <w:highlight w:val="none"/>
        </w:rPr>
        <w:fldChar w:fldCharType="separate"/>
      </w:r>
      <w:r>
        <w:rPr>
          <w:rFonts w:hint="eastAsia" w:cs="宋体"/>
          <w:color w:val="auto"/>
          <w:sz w:val="24"/>
          <w:highlight w:val="none"/>
        </w:rPr>
        <w:t>第四章  评标办法及评分标准</w:t>
      </w:r>
      <w:r>
        <w:rPr>
          <w:rFonts w:hint="eastAsia" w:cs="宋体"/>
          <w:color w:val="auto"/>
          <w:sz w:val="24"/>
          <w:highlight w:val="none"/>
        </w:rPr>
        <w:tab/>
      </w:r>
      <w:r>
        <w:rPr>
          <w:rFonts w:hint="eastAsia" w:cs="宋体"/>
          <w:color w:val="auto"/>
          <w:sz w:val="24"/>
          <w:highlight w:val="none"/>
        </w:rPr>
        <w:fldChar w:fldCharType="begin"/>
      </w:r>
      <w:r>
        <w:rPr>
          <w:rFonts w:hint="eastAsia" w:cs="宋体"/>
          <w:color w:val="auto"/>
          <w:sz w:val="24"/>
          <w:highlight w:val="none"/>
        </w:rPr>
        <w:instrText xml:space="preserve"> PAGEREF _Toc25225 \h </w:instrText>
      </w:r>
      <w:r>
        <w:rPr>
          <w:rFonts w:hint="eastAsia" w:cs="宋体"/>
          <w:color w:val="auto"/>
          <w:sz w:val="24"/>
          <w:highlight w:val="none"/>
        </w:rPr>
        <w:fldChar w:fldCharType="separate"/>
      </w:r>
      <w:r>
        <w:rPr>
          <w:rFonts w:hint="eastAsia" w:cs="宋体"/>
          <w:color w:val="auto"/>
          <w:sz w:val="24"/>
          <w:highlight w:val="none"/>
        </w:rPr>
        <w:t>24</w:t>
      </w:r>
      <w:r>
        <w:rPr>
          <w:rFonts w:hint="eastAsia" w:cs="宋体"/>
          <w:color w:val="auto"/>
          <w:sz w:val="24"/>
          <w:highlight w:val="none"/>
        </w:rPr>
        <w:fldChar w:fldCharType="end"/>
      </w:r>
      <w:r>
        <w:rPr>
          <w:rFonts w:hint="eastAsia" w:cs="宋体"/>
          <w:color w:val="auto"/>
          <w:sz w:val="24"/>
          <w:highlight w:val="none"/>
        </w:rPr>
        <w:fldChar w:fldCharType="end"/>
      </w:r>
    </w:p>
    <w:p w14:paraId="348A0267">
      <w:pPr>
        <w:pStyle w:val="40"/>
        <w:tabs>
          <w:tab w:val="right" w:leader="dot" w:pos="8730"/>
        </w:tabs>
        <w:spacing w:line="480" w:lineRule="auto"/>
        <w:rPr>
          <w:rFonts w:cs="宋体"/>
          <w:color w:val="auto"/>
          <w:sz w:val="24"/>
          <w:highlight w:val="none"/>
        </w:rPr>
      </w:pPr>
      <w:r>
        <w:rPr>
          <w:color w:val="auto"/>
          <w:highlight w:val="none"/>
        </w:rPr>
        <w:fldChar w:fldCharType="begin"/>
      </w:r>
      <w:r>
        <w:rPr>
          <w:color w:val="auto"/>
          <w:highlight w:val="none"/>
        </w:rPr>
        <w:instrText xml:space="preserve"> HYPERLINK \l "_Toc12005" </w:instrText>
      </w:r>
      <w:r>
        <w:rPr>
          <w:color w:val="auto"/>
          <w:highlight w:val="none"/>
        </w:rPr>
        <w:fldChar w:fldCharType="separate"/>
      </w:r>
      <w:r>
        <w:rPr>
          <w:rFonts w:hint="eastAsia" w:cs="宋体"/>
          <w:color w:val="auto"/>
          <w:sz w:val="24"/>
          <w:highlight w:val="none"/>
        </w:rPr>
        <w:t>第五章  合同主要条款</w:t>
      </w:r>
      <w:r>
        <w:rPr>
          <w:rFonts w:hint="eastAsia" w:cs="宋体"/>
          <w:color w:val="auto"/>
          <w:sz w:val="24"/>
          <w:highlight w:val="none"/>
        </w:rPr>
        <w:tab/>
      </w:r>
      <w:r>
        <w:rPr>
          <w:rFonts w:hint="eastAsia" w:cs="宋体"/>
          <w:color w:val="auto"/>
          <w:sz w:val="24"/>
          <w:highlight w:val="none"/>
        </w:rPr>
        <w:fldChar w:fldCharType="begin"/>
      </w:r>
      <w:r>
        <w:rPr>
          <w:rFonts w:hint="eastAsia" w:cs="宋体"/>
          <w:color w:val="auto"/>
          <w:sz w:val="24"/>
          <w:highlight w:val="none"/>
        </w:rPr>
        <w:instrText xml:space="preserve"> PAGEREF _Toc12005 \h </w:instrText>
      </w:r>
      <w:r>
        <w:rPr>
          <w:rFonts w:hint="eastAsia" w:cs="宋体"/>
          <w:color w:val="auto"/>
          <w:sz w:val="24"/>
          <w:highlight w:val="none"/>
        </w:rPr>
        <w:fldChar w:fldCharType="separate"/>
      </w:r>
      <w:r>
        <w:rPr>
          <w:rFonts w:hint="eastAsia" w:cs="宋体"/>
          <w:color w:val="auto"/>
          <w:sz w:val="24"/>
          <w:highlight w:val="none"/>
        </w:rPr>
        <w:t>29</w:t>
      </w:r>
      <w:r>
        <w:rPr>
          <w:rFonts w:hint="eastAsia" w:cs="宋体"/>
          <w:color w:val="auto"/>
          <w:sz w:val="24"/>
          <w:highlight w:val="none"/>
        </w:rPr>
        <w:fldChar w:fldCharType="end"/>
      </w:r>
      <w:r>
        <w:rPr>
          <w:rFonts w:hint="eastAsia" w:cs="宋体"/>
          <w:color w:val="auto"/>
          <w:sz w:val="24"/>
          <w:highlight w:val="none"/>
        </w:rPr>
        <w:fldChar w:fldCharType="end"/>
      </w:r>
    </w:p>
    <w:p w14:paraId="2D8AE716">
      <w:pPr>
        <w:pStyle w:val="40"/>
        <w:tabs>
          <w:tab w:val="right" w:leader="dot" w:pos="8730"/>
        </w:tabs>
        <w:spacing w:line="480" w:lineRule="auto"/>
        <w:rPr>
          <w:rFonts w:cs="宋体"/>
          <w:color w:val="auto"/>
          <w:sz w:val="24"/>
          <w:highlight w:val="none"/>
        </w:rPr>
      </w:pPr>
      <w:r>
        <w:rPr>
          <w:color w:val="auto"/>
          <w:highlight w:val="none"/>
        </w:rPr>
        <w:fldChar w:fldCharType="begin"/>
      </w:r>
      <w:r>
        <w:rPr>
          <w:color w:val="auto"/>
          <w:highlight w:val="none"/>
        </w:rPr>
        <w:instrText xml:space="preserve"> HYPERLINK \l "_Toc24427" </w:instrText>
      </w:r>
      <w:r>
        <w:rPr>
          <w:color w:val="auto"/>
          <w:highlight w:val="none"/>
        </w:rPr>
        <w:fldChar w:fldCharType="separate"/>
      </w:r>
      <w:r>
        <w:rPr>
          <w:rFonts w:hint="eastAsia" w:cs="宋体"/>
          <w:color w:val="auto"/>
          <w:sz w:val="24"/>
          <w:highlight w:val="none"/>
        </w:rPr>
        <w:t>第六章　投标文件格式</w:t>
      </w:r>
      <w:r>
        <w:rPr>
          <w:rFonts w:hint="eastAsia" w:cs="宋体"/>
          <w:color w:val="auto"/>
          <w:sz w:val="24"/>
          <w:highlight w:val="none"/>
        </w:rPr>
        <w:tab/>
      </w:r>
      <w:r>
        <w:rPr>
          <w:rFonts w:hint="eastAsia" w:cs="宋体"/>
          <w:color w:val="auto"/>
          <w:sz w:val="24"/>
          <w:highlight w:val="none"/>
        </w:rPr>
        <w:fldChar w:fldCharType="begin"/>
      </w:r>
      <w:r>
        <w:rPr>
          <w:rFonts w:hint="eastAsia" w:cs="宋体"/>
          <w:color w:val="auto"/>
          <w:sz w:val="24"/>
          <w:highlight w:val="none"/>
        </w:rPr>
        <w:instrText xml:space="preserve"> PAGEREF _Toc24427 \h </w:instrText>
      </w:r>
      <w:r>
        <w:rPr>
          <w:rFonts w:hint="eastAsia" w:cs="宋体"/>
          <w:color w:val="auto"/>
          <w:sz w:val="24"/>
          <w:highlight w:val="none"/>
        </w:rPr>
        <w:fldChar w:fldCharType="separate"/>
      </w:r>
      <w:r>
        <w:rPr>
          <w:rFonts w:hint="eastAsia" w:cs="宋体"/>
          <w:color w:val="auto"/>
          <w:sz w:val="24"/>
          <w:highlight w:val="none"/>
        </w:rPr>
        <w:t>34</w:t>
      </w:r>
      <w:r>
        <w:rPr>
          <w:rFonts w:hint="eastAsia" w:cs="宋体"/>
          <w:color w:val="auto"/>
          <w:sz w:val="24"/>
          <w:highlight w:val="none"/>
        </w:rPr>
        <w:fldChar w:fldCharType="end"/>
      </w:r>
      <w:r>
        <w:rPr>
          <w:rFonts w:hint="eastAsia" w:cs="宋体"/>
          <w:color w:val="auto"/>
          <w:sz w:val="24"/>
          <w:highlight w:val="none"/>
        </w:rPr>
        <w:fldChar w:fldCharType="end"/>
      </w:r>
    </w:p>
    <w:p w14:paraId="44CFFD46">
      <w:pPr>
        <w:pStyle w:val="46"/>
        <w:tabs>
          <w:tab w:val="right" w:leader="dot" w:pos="8730"/>
        </w:tabs>
        <w:spacing w:line="480" w:lineRule="auto"/>
        <w:ind w:left="420"/>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"_Toc29949" </w:instrText>
      </w:r>
      <w:r>
        <w:rPr>
          <w:color w:val="auto"/>
          <w:highlight w:val="none"/>
        </w:rPr>
        <w:fldChar w:fldCharType="separate"/>
      </w:r>
      <w:r>
        <w:rPr>
          <w:rFonts w:hint="eastAsia" w:ascii="宋体" w:hAnsi="宋体" w:cs="宋体"/>
          <w:bCs/>
          <w:color w:val="auto"/>
          <w:sz w:val="24"/>
          <w:highlight w:val="none"/>
        </w:rPr>
        <w:t>一、资格响应文件格式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_Toc29949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7A344ECD">
      <w:pPr>
        <w:pStyle w:val="46"/>
        <w:tabs>
          <w:tab w:val="right" w:leader="dot" w:pos="8730"/>
        </w:tabs>
        <w:spacing w:line="480" w:lineRule="auto"/>
        <w:ind w:left="420"/>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"_Toc18185" </w:instrText>
      </w:r>
      <w:r>
        <w:rPr>
          <w:color w:val="auto"/>
          <w:highlight w:val="none"/>
        </w:rPr>
        <w:fldChar w:fldCharType="separate"/>
      </w:r>
      <w:r>
        <w:rPr>
          <w:rFonts w:hint="eastAsia" w:ascii="宋体" w:hAnsi="宋体" w:cs="宋体"/>
          <w:bCs/>
          <w:color w:val="auto"/>
          <w:sz w:val="24"/>
          <w:highlight w:val="none"/>
        </w:rPr>
        <w:t>二、商务技术文件格式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_Toc18185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43C00FA6">
      <w:pPr>
        <w:pStyle w:val="46"/>
        <w:tabs>
          <w:tab w:val="right" w:leader="dot" w:pos="8730"/>
        </w:tabs>
        <w:spacing w:line="480" w:lineRule="auto"/>
        <w:ind w:left="420"/>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"_Toc16395" </w:instrText>
      </w:r>
      <w:r>
        <w:rPr>
          <w:color w:val="auto"/>
          <w:highlight w:val="none"/>
        </w:rPr>
        <w:fldChar w:fldCharType="separate"/>
      </w:r>
      <w:r>
        <w:rPr>
          <w:rFonts w:hint="eastAsia" w:ascii="宋体" w:hAnsi="宋体" w:cs="宋体"/>
          <w:color w:val="auto"/>
          <w:sz w:val="24"/>
          <w:highlight w:val="none"/>
        </w:rPr>
        <w:t>三、报价文件格式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_Toc16395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3A2532D7">
      <w:pPr>
        <w:pStyle w:val="40"/>
        <w:spacing w:line="480" w:lineRule="auto"/>
        <w:rPr>
          <w:rFonts w:cs="宋体"/>
          <w:b/>
          <w:color w:val="auto"/>
          <w:sz w:val="28"/>
          <w:szCs w:val="28"/>
          <w:highlight w:val="none"/>
        </w:rPr>
      </w:pPr>
      <w:r>
        <w:rPr>
          <w:rFonts w:hint="eastAsia" w:cs="宋体"/>
          <w:color w:val="auto"/>
          <w:sz w:val="24"/>
          <w:highlight w:val="none"/>
        </w:rPr>
        <w:fldChar w:fldCharType="end"/>
      </w:r>
    </w:p>
    <w:p w14:paraId="401C2C49">
      <w:pPr>
        <w:pStyle w:val="32"/>
        <w:snapToGrid w:val="0"/>
        <w:spacing w:beforeLines="0" w:afterLines="0" w:line="240" w:lineRule="auto"/>
        <w:jc w:val="center"/>
        <w:outlineLvl w:val="0"/>
        <w:rPr>
          <w:rFonts w:hAnsi="宋体" w:cs="宋体"/>
          <w:b/>
          <w:color w:val="auto"/>
          <w:sz w:val="30"/>
          <w:szCs w:val="30"/>
          <w:highlight w:val="none"/>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25920"/>
      <w:bookmarkStart w:id="1" w:name="_Toc466534747"/>
    </w:p>
    <w:p w14:paraId="13DBBF9E">
      <w:pPr>
        <w:pStyle w:val="32"/>
        <w:snapToGrid w:val="0"/>
        <w:spacing w:beforeLines="0" w:afterLines="0" w:line="240" w:lineRule="auto"/>
        <w:jc w:val="center"/>
        <w:outlineLvl w:val="0"/>
        <w:rPr>
          <w:rFonts w:hAnsi="宋体" w:cs="宋体"/>
          <w:b/>
          <w:color w:val="auto"/>
          <w:sz w:val="30"/>
          <w:szCs w:val="30"/>
          <w:highlight w:val="none"/>
        </w:rPr>
      </w:pPr>
      <w:bookmarkStart w:id="2" w:name="_Toc14571"/>
      <w:r>
        <w:rPr>
          <w:rFonts w:hint="eastAsia" w:hAnsi="宋体" w:cs="宋体"/>
          <w:b/>
          <w:color w:val="auto"/>
          <w:sz w:val="30"/>
          <w:szCs w:val="30"/>
          <w:highlight w:val="none"/>
        </w:rPr>
        <w:t>第一章  投标邀请</w:t>
      </w:r>
      <w:bookmarkEnd w:id="0"/>
      <w:bookmarkEnd w:id="1"/>
      <w:bookmarkEnd w:id="2"/>
    </w:p>
    <w:p w14:paraId="7052D4BB">
      <w:pPr>
        <w:spacing w:line="400" w:lineRule="exact"/>
        <w:ind w:firstLine="496" w:firstLineChars="200"/>
        <w:rPr>
          <w:rFonts w:ascii="宋体" w:hAnsi="宋体" w:cs="宋体"/>
          <w:color w:val="auto"/>
          <w:sz w:val="24"/>
          <w:highlight w:val="none"/>
        </w:rPr>
      </w:pPr>
      <w:r>
        <w:rPr>
          <w:rFonts w:hint="eastAsia" w:ascii="宋体" w:hAnsi="宋体" w:cs="宋体"/>
          <w:color w:val="auto"/>
          <w:spacing w:val="4"/>
          <w:sz w:val="24"/>
          <w:highlight w:val="none"/>
        </w:rPr>
        <w:t>根据招标投标有关法律法规及招标人单位内控制度等规定</w:t>
      </w:r>
      <w:r>
        <w:rPr>
          <w:rFonts w:hint="eastAsia" w:ascii="宋体" w:hAnsi="宋体" w:cs="宋体"/>
          <w:color w:val="auto"/>
          <w:sz w:val="24"/>
          <w:highlight w:val="none"/>
        </w:rPr>
        <w:t>，受</w:t>
      </w:r>
      <w:r>
        <w:rPr>
          <w:rFonts w:hint="eastAsia" w:ascii="宋体" w:hAnsi="宋体" w:cs="宋体"/>
          <w:b/>
          <w:bCs/>
          <w:color w:val="auto"/>
          <w:sz w:val="24"/>
          <w:highlight w:val="none"/>
          <w:u w:val="single"/>
          <w:lang w:eastAsia="zh-CN"/>
        </w:rPr>
        <w:t>临海市哲商小学、浙江喻鼎建设有限公司</w:t>
      </w:r>
      <w:r>
        <w:rPr>
          <w:rFonts w:hint="eastAsia" w:ascii="宋体" w:hAnsi="宋体" w:cs="宋体"/>
          <w:color w:val="auto"/>
          <w:sz w:val="24"/>
          <w:highlight w:val="none"/>
        </w:rPr>
        <w:t>委托，参照招标有关流程，现就</w:t>
      </w:r>
      <w:r>
        <w:rPr>
          <w:rFonts w:hint="eastAsia" w:ascii="宋体" w:hAnsi="宋体" w:cs="宋体"/>
          <w:b/>
          <w:bCs/>
          <w:color w:val="auto"/>
          <w:sz w:val="24"/>
          <w:highlight w:val="none"/>
          <w:u w:val="single"/>
          <w:lang w:eastAsia="zh-CN"/>
        </w:rPr>
        <w:t>哲商小学扩建二期工程(老台师操场、报告厅及校前广场等改造工程)（塑胶材料采购）</w:t>
      </w:r>
      <w:r>
        <w:rPr>
          <w:rFonts w:hint="eastAsia" w:ascii="宋体" w:hAnsi="宋体" w:cs="宋体"/>
          <w:color w:val="auto"/>
          <w:sz w:val="24"/>
          <w:highlight w:val="none"/>
        </w:rPr>
        <w:t>进行公开招标，</w:t>
      </w:r>
      <w:r>
        <w:rPr>
          <w:rFonts w:hint="eastAsia" w:ascii="宋体" w:hAnsi="宋体" w:cs="宋体"/>
          <w:color w:val="auto"/>
          <w:kern w:val="0"/>
          <w:sz w:val="24"/>
          <w:highlight w:val="none"/>
        </w:rPr>
        <w:t>欢迎具备本项目投标人的资格要求且能够及时提供相关货物及服务的投标人前来投标。</w:t>
      </w:r>
    </w:p>
    <w:p w14:paraId="34B7FCF3">
      <w:pPr>
        <w:pStyle w:val="49"/>
        <w:spacing w:before="0" w:beforeAutospacing="0" w:after="0" w:afterAutospacing="0" w:line="400" w:lineRule="exact"/>
        <w:rPr>
          <w:rFonts w:cs="宋体"/>
          <w:color w:val="auto"/>
          <w:highlight w:val="none"/>
        </w:rPr>
      </w:pPr>
      <w:r>
        <w:rPr>
          <w:rFonts w:hint="eastAsia" w:cs="宋体"/>
          <w:b/>
          <w:bCs/>
          <w:color w:val="auto"/>
          <w:highlight w:val="none"/>
        </w:rPr>
        <w:t>1</w:t>
      </w:r>
      <w:r>
        <w:rPr>
          <w:rFonts w:hint="eastAsia" w:cs="宋体"/>
          <w:color w:val="auto"/>
          <w:highlight w:val="none"/>
        </w:rPr>
        <w:t>.</w:t>
      </w:r>
      <w:r>
        <w:rPr>
          <w:rFonts w:hint="eastAsia" w:cs="宋体"/>
          <w:b/>
          <w:bCs/>
          <w:color w:val="auto"/>
          <w:highlight w:val="none"/>
        </w:rPr>
        <w:t>项目概况</w:t>
      </w:r>
    </w:p>
    <w:p w14:paraId="116FC93A">
      <w:pPr>
        <w:pStyle w:val="49"/>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哲商小学扩建二期工程(老台师操场、报告厅及校前广场等改造工程)（塑胶材料采购）</w:t>
      </w:r>
    </w:p>
    <w:p w14:paraId="2AEF72C5">
      <w:pPr>
        <w:pStyle w:val="49"/>
        <w:spacing w:before="0" w:beforeAutospacing="0" w:after="0" w:afterAutospacing="0" w:line="400" w:lineRule="exact"/>
        <w:rPr>
          <w:rFonts w:hint="eastAsia"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临海市哲商小学、浙江喻鼎建设有限公司</w:t>
      </w:r>
    </w:p>
    <w:p w14:paraId="4E590C7D">
      <w:pPr>
        <w:pStyle w:val="49"/>
        <w:spacing w:before="0" w:beforeAutospacing="0" w:after="0" w:afterAutospacing="0" w:line="400" w:lineRule="exact"/>
        <w:rPr>
          <w:rFonts w:cs="宋体"/>
          <w:color w:val="auto"/>
          <w:highlight w:val="none"/>
        </w:rPr>
      </w:pPr>
      <w:r>
        <w:rPr>
          <w:rFonts w:hint="eastAsia" w:cs="宋体"/>
          <w:color w:val="auto"/>
          <w:highlight w:val="none"/>
        </w:rPr>
        <w:t>招标规模及内容概述：塑胶材料采购及安装。</w:t>
      </w:r>
      <w:r>
        <w:rPr>
          <w:rFonts w:hint="eastAsia"/>
          <w:color w:val="auto"/>
          <w:highlight w:val="none"/>
          <w:lang w:val="zh-CN"/>
        </w:rPr>
        <w:t>(具体内容详见招标文件第二章招标需求)。</w:t>
      </w:r>
    </w:p>
    <w:p w14:paraId="4940E988">
      <w:pPr>
        <w:spacing w:line="400" w:lineRule="exact"/>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招标预算：</w:t>
      </w:r>
      <w:r>
        <w:rPr>
          <w:rFonts w:hint="eastAsia" w:ascii="宋体" w:hAnsi="宋体" w:cs="宋体"/>
          <w:color w:val="auto"/>
          <w:kern w:val="0"/>
          <w:sz w:val="24"/>
          <w:highlight w:val="none"/>
          <w:lang w:val="en-US" w:eastAsia="zh-CN"/>
        </w:rPr>
        <w:t>141.6554万元</w:t>
      </w:r>
    </w:p>
    <w:p w14:paraId="5A4BE33E">
      <w:pPr>
        <w:pStyle w:val="49"/>
        <w:spacing w:before="0" w:beforeAutospacing="0" w:after="0" w:afterAutospacing="0" w:line="400" w:lineRule="exact"/>
        <w:rPr>
          <w:rFonts w:cs="宋体"/>
          <w:color w:val="auto"/>
          <w:highlight w:val="none"/>
        </w:rPr>
      </w:pPr>
      <w:r>
        <w:rPr>
          <w:rFonts w:hint="eastAsia" w:cs="宋体"/>
          <w:color w:val="auto"/>
          <w:highlight w:val="none"/>
        </w:rPr>
        <w:t>招标标段数：1</w:t>
      </w:r>
    </w:p>
    <w:p w14:paraId="2C599D63">
      <w:pPr>
        <w:pStyle w:val="49"/>
        <w:spacing w:before="0" w:beforeAutospacing="0" w:after="0" w:afterAutospacing="0" w:line="400" w:lineRule="exact"/>
        <w:rPr>
          <w:rFonts w:cs="宋体"/>
          <w:color w:val="auto"/>
          <w:highlight w:val="none"/>
        </w:rPr>
      </w:pPr>
      <w:r>
        <w:rPr>
          <w:rFonts w:hint="eastAsia" w:cs="宋体"/>
          <w:color w:val="auto"/>
          <w:highlight w:val="none"/>
        </w:rPr>
        <w:t>招标方式：公开招标</w:t>
      </w:r>
    </w:p>
    <w:p w14:paraId="04F7ACF8">
      <w:pPr>
        <w:pStyle w:val="49"/>
        <w:spacing w:before="0" w:beforeAutospacing="0" w:after="0" w:afterAutospacing="0" w:line="400" w:lineRule="exact"/>
        <w:rPr>
          <w:rFonts w:cs="宋体"/>
          <w:color w:val="auto"/>
          <w:highlight w:val="none"/>
        </w:rPr>
      </w:pPr>
      <w:r>
        <w:rPr>
          <w:rFonts w:hint="eastAsia" w:cs="宋体"/>
          <w:color w:val="auto"/>
          <w:highlight w:val="none"/>
        </w:rPr>
        <w:t>▲供货期：合同签订后接到招标人供货通知起</w:t>
      </w:r>
      <w:r>
        <w:rPr>
          <w:rFonts w:hint="eastAsia" w:cs="宋体"/>
          <w:color w:val="auto"/>
          <w:highlight w:val="none"/>
          <w:lang w:val="en-US" w:eastAsia="zh-CN"/>
        </w:rPr>
        <w:t>15</w:t>
      </w:r>
      <w:r>
        <w:rPr>
          <w:rFonts w:hint="eastAsia" w:cs="宋体"/>
          <w:color w:val="auto"/>
          <w:highlight w:val="none"/>
        </w:rPr>
        <w:t>日内运送至招标人指定地点</w:t>
      </w:r>
      <w:r>
        <w:rPr>
          <w:rFonts w:hint="eastAsia" w:cs="宋体"/>
          <w:color w:val="auto"/>
          <w:highlight w:val="none"/>
          <w:lang w:val="en-US" w:eastAsia="zh-CN"/>
        </w:rPr>
        <w:t>并完成铺设工作（含检测时间）。</w:t>
      </w:r>
    </w:p>
    <w:p w14:paraId="2CB35CF1">
      <w:pPr>
        <w:pStyle w:val="49"/>
        <w:spacing w:before="0" w:beforeAutospacing="0" w:after="0" w:afterAutospacing="0" w:line="400" w:lineRule="exact"/>
        <w:rPr>
          <w:rFonts w:cs="宋体"/>
          <w:b/>
          <w:color w:val="auto"/>
          <w:highlight w:val="none"/>
        </w:rPr>
      </w:pPr>
      <w:r>
        <w:rPr>
          <w:rFonts w:hint="eastAsia" w:cs="宋体"/>
          <w:b/>
          <w:color w:val="auto"/>
          <w:highlight w:val="none"/>
        </w:rPr>
        <w:t>招标文件公告期限：5个工作日</w:t>
      </w:r>
    </w:p>
    <w:p w14:paraId="780161E3">
      <w:pPr>
        <w:pStyle w:val="49"/>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68154796">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136824BB">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D55C83E">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（2）具有与本采购项目相适应服务能力的投标人；</w:t>
      </w:r>
    </w:p>
    <w:p w14:paraId="7EEFAFB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（3）本项目不接受联合体投标。</w:t>
      </w:r>
    </w:p>
    <w:p w14:paraId="4C35CEDC">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3.报名</w:t>
      </w:r>
    </w:p>
    <w:p w14:paraId="474DA8A9">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本项目无需报名，</w:t>
      </w:r>
      <w:bookmarkStart w:id="3" w:name="_Hlk59307647"/>
      <w:r>
        <w:rPr>
          <w:rFonts w:hint="eastAsia" w:ascii="宋体" w:hAnsi="宋体" w:cs="宋体"/>
          <w:b/>
          <w:bCs/>
          <w:color w:val="auto"/>
          <w:kern w:val="0"/>
          <w:sz w:val="24"/>
          <w:highlight w:val="none"/>
          <w:u w:val="single"/>
        </w:rPr>
        <w:t>投标人须到临海市限额以下公共资源交易区域平台</w:t>
      </w:r>
    </w:p>
    <w:p w14:paraId="094C33F7">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（https://www.lhcqjy.com.cn/home）注册</w:t>
      </w:r>
      <w:bookmarkEnd w:id="3"/>
      <w:r>
        <w:rPr>
          <w:rFonts w:hint="eastAsia" w:ascii="宋体" w:hAnsi="宋体" w:cs="宋体"/>
          <w:b/>
          <w:bCs/>
          <w:color w:val="auto"/>
          <w:kern w:val="0"/>
          <w:sz w:val="24"/>
          <w:highlight w:val="none"/>
          <w:u w:val="single"/>
        </w:rPr>
        <w:t>、提交审核通过后可参加投标，注册咨询联系人：梁工，联系电话：0576-85407095；</w:t>
      </w:r>
    </w:p>
    <w:p w14:paraId="4B7232AB">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4.招标文件的获取</w:t>
      </w:r>
    </w:p>
    <w:p w14:paraId="770E9CD7">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招标文件售价：免费</w:t>
      </w:r>
    </w:p>
    <w:p w14:paraId="06A3D254">
      <w:pPr>
        <w:spacing w:line="400" w:lineRule="exact"/>
        <w:rPr>
          <w:rFonts w:ascii="宋体" w:hAnsi="宋体" w:cs="宋体"/>
          <w:bCs/>
          <w:color w:val="auto"/>
          <w:sz w:val="24"/>
          <w:highlight w:val="none"/>
        </w:rPr>
      </w:pPr>
      <w:r>
        <w:rPr>
          <w:rFonts w:hint="eastAsia" w:ascii="宋体" w:hAnsi="宋体" w:cs="宋体"/>
          <w:bCs/>
          <w:color w:val="auto"/>
          <w:sz w:val="24"/>
          <w:highlight w:val="none"/>
        </w:rPr>
        <w:t>获取方式：凡有意参加投标者，在202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日</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30</w:t>
      </w:r>
      <w:r>
        <w:rPr>
          <w:rFonts w:hint="eastAsia" w:ascii="宋体" w:hAnsi="宋体" w:cs="宋体"/>
          <w:bCs/>
          <w:color w:val="auto"/>
          <w:sz w:val="24"/>
          <w:highlight w:val="none"/>
        </w:rPr>
        <w:t>分00秒前，到临海市限额以下公共资源交易区域平台可自行下载招标文件。</w:t>
      </w:r>
    </w:p>
    <w:p w14:paraId="55C89B7C">
      <w:pPr>
        <w:pStyle w:val="49"/>
        <w:spacing w:before="0" w:beforeAutospacing="0" w:after="0" w:afterAutospacing="0" w:line="400" w:lineRule="exact"/>
        <w:rPr>
          <w:rFonts w:cs="宋体"/>
          <w:b/>
          <w:color w:val="auto"/>
          <w:highlight w:val="none"/>
        </w:rPr>
      </w:pPr>
      <w:r>
        <w:rPr>
          <w:rFonts w:hint="eastAsia" w:cs="宋体"/>
          <w:color w:val="auto"/>
          <w:highlight w:val="none"/>
        </w:rPr>
        <w:t>招标文件答疑：</w:t>
      </w:r>
      <w:r>
        <w:rPr>
          <w:rFonts w:hint="eastAsia" w:cs="宋体"/>
          <w:b/>
          <w:color w:val="auto"/>
          <w:highlight w:val="none"/>
        </w:rPr>
        <w:t>投标人对采购文件提出质疑的，应当在获取采购文件或者采购文件公告期限届满之日起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p>
    <w:p w14:paraId="0C01BC04">
      <w:pPr>
        <w:pStyle w:val="49"/>
        <w:spacing w:before="0" w:beforeAutospacing="0" w:after="0" w:afterAutospacing="0" w:line="400" w:lineRule="exact"/>
        <w:rPr>
          <w:rFonts w:cs="宋体"/>
          <w:color w:val="auto"/>
          <w:highlight w:val="none"/>
          <w:shd w:val="clear" w:color="FFFFFF" w:fill="D9D9D9"/>
        </w:rPr>
      </w:pPr>
      <w:r>
        <w:rPr>
          <w:rFonts w:hint="eastAsia" w:cs="宋体"/>
          <w:b/>
          <w:bCs/>
          <w:color w:val="auto"/>
          <w:highlight w:val="none"/>
          <w:shd w:val="clear" w:color="FFFFFF" w:fill="D9D9D9"/>
        </w:rPr>
        <w:t>5.投标保证金</w:t>
      </w:r>
    </w:p>
    <w:p w14:paraId="3996A25F">
      <w:pPr>
        <w:spacing w:line="400" w:lineRule="exact"/>
        <w:rPr>
          <w:rFonts w:ascii="宋体" w:hAnsi="宋体" w:cs="宋体"/>
          <w:bCs/>
          <w:color w:val="auto"/>
          <w:sz w:val="24"/>
          <w:highlight w:val="none"/>
        </w:rPr>
      </w:pPr>
      <w:r>
        <w:rPr>
          <w:rFonts w:hint="eastAsia" w:ascii="宋体" w:hAnsi="宋体" w:cs="宋体"/>
          <w:bCs/>
          <w:color w:val="auto"/>
          <w:sz w:val="24"/>
          <w:highlight w:val="none"/>
          <w:shd w:val="clear" w:color="FFFFFF" w:fill="D9D9D9"/>
        </w:rPr>
        <w:t>无。</w:t>
      </w:r>
    </w:p>
    <w:p w14:paraId="62DFE3D6">
      <w:pPr>
        <w:spacing w:line="400" w:lineRule="exact"/>
        <w:rPr>
          <w:rFonts w:ascii="宋体" w:hAnsi="宋体" w:cs="宋体"/>
          <w:b/>
          <w:bCs/>
          <w:color w:val="auto"/>
          <w:kern w:val="0"/>
          <w:sz w:val="24"/>
          <w:highlight w:val="none"/>
        </w:rPr>
      </w:pPr>
      <w:r>
        <w:rPr>
          <w:rFonts w:hint="eastAsia" w:ascii="宋体" w:hAnsi="宋体" w:cs="宋体"/>
          <w:b/>
          <w:color w:val="auto"/>
          <w:sz w:val="24"/>
          <w:highlight w:val="none"/>
        </w:rPr>
        <w:t>6</w:t>
      </w:r>
      <w:r>
        <w:rPr>
          <w:rFonts w:hint="eastAsia" w:ascii="宋体" w:hAnsi="宋体" w:cs="宋体"/>
          <w:b/>
          <w:bCs/>
          <w:color w:val="auto"/>
          <w:kern w:val="0"/>
          <w:sz w:val="24"/>
          <w:highlight w:val="none"/>
        </w:rPr>
        <w:t>.投标说明</w:t>
      </w:r>
    </w:p>
    <w:p w14:paraId="423473F7">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7151A1CB">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3B8EB7E">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（3）投标人应在开标前完成CA数字证书办理。（办理流程详见临海市限额以下公共资源交易区域平台-办事指南的操作说明）。</w:t>
      </w:r>
    </w:p>
    <w:p w14:paraId="482F3FA0">
      <w:pPr>
        <w:spacing w:line="400" w:lineRule="exact"/>
        <w:rPr>
          <w:rFonts w:ascii="宋体" w:hAnsi="宋体" w:cs="宋体"/>
          <w:b/>
          <w:bCs/>
          <w:color w:val="auto"/>
          <w:kern w:val="0"/>
          <w:sz w:val="24"/>
          <w:highlight w:val="none"/>
        </w:rPr>
      </w:pPr>
      <w:r>
        <w:rPr>
          <w:rFonts w:hint="eastAsia" w:ascii="宋体" w:hAnsi="宋体" w:cs="宋体"/>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highlight w:val="none"/>
        </w:rPr>
        <w:t>投标截止时间后传输、递交的投标文件，将被拒收。</w:t>
      </w:r>
    </w:p>
    <w:p w14:paraId="57A8CAD2">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（5）本招标文件中关于电子招投标内容、流程如与</w:t>
      </w:r>
      <w:r>
        <w:rPr>
          <w:rFonts w:hint="eastAsia" w:ascii="宋体" w:hAnsi="宋体" w:cs="宋体"/>
          <w:color w:val="auto"/>
          <w:kern w:val="0"/>
          <w:sz w:val="24"/>
          <w:highlight w:val="none"/>
        </w:rPr>
        <w:t>临海市限额以下公共资源交易区域平台</w:t>
      </w:r>
      <w:r>
        <w:rPr>
          <w:rFonts w:hint="eastAsia" w:ascii="宋体" w:hAnsi="宋体" w:cs="宋体"/>
          <w:b/>
          <w:bCs/>
          <w:color w:val="auto"/>
          <w:kern w:val="0"/>
          <w:sz w:val="24"/>
          <w:highlight w:val="none"/>
        </w:rPr>
        <w:t>中最新的内容、操作不一致的，以平台中的要求为准。</w:t>
      </w:r>
    </w:p>
    <w:p w14:paraId="0179B123">
      <w:pPr>
        <w:spacing w:line="400" w:lineRule="exact"/>
        <w:rPr>
          <w:rFonts w:ascii="宋体" w:hAnsi="宋体" w:cs="宋体"/>
          <w:b/>
          <w:color w:val="auto"/>
          <w:sz w:val="24"/>
          <w:highlight w:val="none"/>
        </w:rPr>
      </w:pPr>
      <w:r>
        <w:rPr>
          <w:rFonts w:hint="eastAsia" w:ascii="宋体" w:hAnsi="宋体" w:cs="宋体"/>
          <w:b/>
          <w:color w:val="auto"/>
          <w:sz w:val="24"/>
          <w:highlight w:val="none"/>
        </w:rPr>
        <w:t>7</w:t>
      </w:r>
      <w:r>
        <w:rPr>
          <w:rFonts w:hint="eastAsia" w:ascii="宋体" w:hAnsi="宋体" w:cs="宋体"/>
          <w:b/>
          <w:color w:val="auto"/>
          <w:kern w:val="0"/>
          <w:sz w:val="24"/>
          <w:highlight w:val="none"/>
        </w:rPr>
        <w:t>.</w:t>
      </w:r>
      <w:r>
        <w:rPr>
          <w:rFonts w:hint="eastAsia" w:ascii="宋体" w:hAnsi="宋体" w:cs="宋体"/>
          <w:b/>
          <w:color w:val="auto"/>
          <w:sz w:val="24"/>
          <w:highlight w:val="none"/>
        </w:rPr>
        <w:t>投标文件的组成、效力</w:t>
      </w:r>
    </w:p>
    <w:p w14:paraId="348D2CD6">
      <w:pPr>
        <w:spacing w:line="400" w:lineRule="exact"/>
        <w:rPr>
          <w:rFonts w:ascii="宋体" w:hAnsi="宋体" w:cs="宋体"/>
          <w:color w:val="auto"/>
          <w:sz w:val="24"/>
          <w:highlight w:val="none"/>
        </w:rPr>
      </w:pPr>
      <w:r>
        <w:rPr>
          <w:rFonts w:hint="eastAsia" w:ascii="宋体" w:hAnsi="宋体" w:cs="宋体"/>
          <w:color w:val="auto"/>
          <w:sz w:val="24"/>
          <w:highlight w:val="none"/>
        </w:rPr>
        <w:t>（1）本项目实行电子投标，投标人应准备电子投标文件，本项目线下无需提供任何备份投标文件。电子投标文件应按本招标文件要求编制。</w:t>
      </w:r>
    </w:p>
    <w:p w14:paraId="26FDCC29">
      <w:pPr>
        <w:spacing w:line="400" w:lineRule="exact"/>
        <w:rPr>
          <w:rFonts w:ascii="宋体" w:hAnsi="宋体" w:cs="宋体"/>
          <w:color w:val="auto"/>
          <w:sz w:val="24"/>
          <w:highlight w:val="none"/>
        </w:rPr>
      </w:pPr>
      <w:r>
        <w:rPr>
          <w:rFonts w:hint="eastAsia" w:ascii="宋体" w:hAnsi="宋体" w:cs="宋体"/>
          <w:color w:val="auto"/>
          <w:sz w:val="24"/>
          <w:highlight w:val="none"/>
        </w:rPr>
        <w:t>（2）未在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传输递交电子投标文件的，投标无效。</w:t>
      </w:r>
    </w:p>
    <w:p w14:paraId="718E0BA2">
      <w:pPr>
        <w:spacing w:line="400" w:lineRule="exact"/>
        <w:rPr>
          <w:rFonts w:ascii="宋体" w:hAnsi="宋体" w:cs="宋体"/>
          <w:color w:val="auto"/>
          <w:sz w:val="24"/>
          <w:highlight w:val="none"/>
        </w:rPr>
      </w:pPr>
      <w:r>
        <w:rPr>
          <w:rFonts w:hint="eastAsia" w:ascii="宋体" w:hAnsi="宋体" w:cs="宋体"/>
          <w:b/>
          <w:color w:val="auto"/>
          <w:sz w:val="24"/>
          <w:highlight w:val="none"/>
        </w:rPr>
        <w:t>8.投标截止时间及电子投标文件的递交</w:t>
      </w:r>
    </w:p>
    <w:p w14:paraId="71613A06">
      <w:pPr>
        <w:spacing w:line="400" w:lineRule="exact"/>
        <w:rPr>
          <w:rFonts w:ascii="宋体" w:hAnsi="宋体" w:cs="宋体"/>
          <w:color w:val="auto"/>
          <w:kern w:val="0"/>
          <w:sz w:val="24"/>
          <w:highlight w:val="none"/>
        </w:rPr>
      </w:pPr>
      <w:r>
        <w:rPr>
          <w:rFonts w:hint="eastAsia" w:ascii="宋体" w:hAnsi="宋体" w:cs="宋体"/>
          <w:b/>
          <w:bCs/>
          <w:color w:val="auto"/>
          <w:kern w:val="0"/>
          <w:sz w:val="24"/>
          <w:highlight w:val="none"/>
        </w:rPr>
        <w:t>电子投标文件</w:t>
      </w:r>
      <w:r>
        <w:rPr>
          <w:rFonts w:hint="eastAsia" w:ascii="宋体" w:hAnsi="宋体" w:cs="宋体"/>
          <w:b/>
          <w:color w:val="auto"/>
          <w:sz w:val="24"/>
          <w:highlight w:val="none"/>
        </w:rPr>
        <w:t>投标截止时间：202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年</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分00秒，</w:t>
      </w:r>
      <w:r>
        <w:rPr>
          <w:rFonts w:hint="eastAsia" w:ascii="宋体" w:hAnsi="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highlight w:val="none"/>
        </w:rPr>
        <w:t>，投标无效。</w:t>
      </w:r>
    </w:p>
    <w:p w14:paraId="39FBFDA1">
      <w:pPr>
        <w:spacing w:line="400" w:lineRule="exact"/>
        <w:rPr>
          <w:rFonts w:ascii="宋体" w:hAnsi="宋体" w:cs="宋体"/>
          <w:b/>
          <w:color w:val="auto"/>
          <w:sz w:val="24"/>
          <w:highlight w:val="none"/>
        </w:rPr>
      </w:pPr>
      <w:r>
        <w:rPr>
          <w:rFonts w:hint="eastAsia" w:ascii="宋体" w:hAnsi="宋体" w:cs="宋体"/>
          <w:b/>
          <w:color w:val="auto"/>
          <w:sz w:val="24"/>
          <w:highlight w:val="none"/>
        </w:rPr>
        <w:t>9.</w:t>
      </w:r>
      <w:r>
        <w:rPr>
          <w:rFonts w:hint="eastAsia" w:ascii="宋体" w:hAnsi="宋体" w:cs="宋体"/>
          <w:color w:val="auto"/>
          <w:kern w:val="0"/>
          <w:sz w:val="24"/>
          <w:highlight w:val="none"/>
        </w:rPr>
        <w:t>临海市限额以下公共资源交易区域平台</w:t>
      </w:r>
      <w:r>
        <w:rPr>
          <w:rFonts w:hint="eastAsia" w:ascii="宋体" w:hAnsi="宋体" w:cs="宋体"/>
          <w:b/>
          <w:color w:val="auto"/>
          <w:sz w:val="24"/>
          <w:highlight w:val="none"/>
        </w:rPr>
        <w:t xml:space="preserve">及开评标期间出现网络故障或停电时的应急处理措施：      </w:t>
      </w:r>
    </w:p>
    <w:p w14:paraId="133DD04C">
      <w:pPr>
        <w:spacing w:line="400" w:lineRule="exact"/>
        <w:rPr>
          <w:rFonts w:ascii="宋体" w:hAnsi="宋体" w:cs="宋体"/>
          <w:bCs/>
          <w:color w:val="auto"/>
          <w:sz w:val="24"/>
          <w:highlight w:val="none"/>
        </w:rPr>
      </w:pPr>
      <w:r>
        <w:rPr>
          <w:rFonts w:hint="eastAsia" w:ascii="宋体" w:hAnsi="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456CC009">
      <w:pPr>
        <w:spacing w:line="400" w:lineRule="exact"/>
        <w:rPr>
          <w:rFonts w:ascii="宋体" w:hAnsi="宋体" w:cs="宋体"/>
          <w:bCs/>
          <w:color w:val="auto"/>
          <w:sz w:val="24"/>
          <w:highlight w:val="none"/>
        </w:rPr>
      </w:pPr>
      <w:r>
        <w:rPr>
          <w:rFonts w:hint="eastAsia" w:ascii="宋体" w:hAnsi="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780FFD98">
      <w:pPr>
        <w:spacing w:line="400" w:lineRule="exact"/>
        <w:rPr>
          <w:rFonts w:ascii="宋体" w:hAnsi="宋体" w:cs="宋体"/>
          <w:color w:val="auto"/>
          <w:sz w:val="24"/>
          <w:highlight w:val="none"/>
        </w:rPr>
      </w:pPr>
      <w:r>
        <w:rPr>
          <w:rFonts w:hint="eastAsia" w:ascii="宋体" w:hAnsi="宋体" w:cs="宋体"/>
          <w:b/>
          <w:color w:val="auto"/>
          <w:sz w:val="24"/>
          <w:highlight w:val="none"/>
        </w:rPr>
        <w:t>10.开标</w:t>
      </w:r>
    </w:p>
    <w:p w14:paraId="1880B8BE">
      <w:pPr>
        <w:spacing w:line="400" w:lineRule="exact"/>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
          <w:color w:val="auto"/>
          <w:sz w:val="24"/>
          <w:highlight w:val="none"/>
        </w:rPr>
        <w:t>202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年</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日</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 xml:space="preserve">分00秒 </w:t>
      </w:r>
      <w:r>
        <w:rPr>
          <w:rFonts w:hint="eastAsia" w:ascii="宋体" w:hAnsi="宋体" w:cs="宋体"/>
          <w:color w:val="auto"/>
          <w:sz w:val="24"/>
          <w:highlight w:val="none"/>
        </w:rPr>
        <w:t>。</w:t>
      </w:r>
    </w:p>
    <w:p w14:paraId="1D3C02B4">
      <w:pPr>
        <w:spacing w:line="400" w:lineRule="exact"/>
        <w:rPr>
          <w:rFonts w:ascii="宋体" w:hAnsi="宋体" w:cs="宋体"/>
          <w:color w:val="auto"/>
          <w:sz w:val="24"/>
          <w:highlight w:val="none"/>
        </w:rPr>
      </w:pPr>
      <w:r>
        <w:rPr>
          <w:rFonts w:hint="eastAsia" w:ascii="宋体" w:hAnsi="宋体" w:cs="宋体"/>
          <w:color w:val="auto"/>
          <w:sz w:val="24"/>
          <w:highlight w:val="none"/>
        </w:rPr>
        <w:t>开标地点：</w:t>
      </w:r>
      <w:r>
        <w:rPr>
          <w:rFonts w:hint="eastAsia" w:ascii="宋体" w:hAnsi="宋体" w:cs="宋体"/>
          <w:color w:val="auto"/>
          <w:sz w:val="24"/>
          <w:highlight w:val="none"/>
          <w:u w:val="single"/>
        </w:rPr>
        <w:t>临海市限额以下公共资源交易区域平台</w:t>
      </w:r>
      <w:r>
        <w:rPr>
          <w:rFonts w:hint="eastAsia" w:ascii="宋体" w:hAnsi="宋体" w:cs="宋体"/>
          <w:color w:val="auto"/>
          <w:sz w:val="24"/>
          <w:highlight w:val="none"/>
          <w:u w:val="single"/>
          <w:lang w:val="en-US" w:eastAsia="zh-CN"/>
        </w:rPr>
        <w:t>南</w:t>
      </w:r>
      <w:r>
        <w:rPr>
          <w:rFonts w:hint="eastAsia" w:ascii="宋体" w:hAnsi="宋体" w:cs="宋体"/>
          <w:color w:val="auto"/>
          <w:sz w:val="24"/>
          <w:highlight w:val="none"/>
          <w:u w:val="single"/>
        </w:rPr>
        <w:t>部</w:t>
      </w:r>
      <w:r>
        <w:rPr>
          <w:rFonts w:hint="eastAsia" w:ascii="宋体" w:hAnsi="宋体" w:cs="宋体"/>
          <w:color w:val="auto"/>
          <w:sz w:val="24"/>
          <w:highlight w:val="none"/>
          <w:u w:val="single"/>
          <w:lang w:val="en-US" w:eastAsia="zh-CN"/>
        </w:rPr>
        <w:t>2号评标室</w:t>
      </w:r>
      <w:r>
        <w:rPr>
          <w:rFonts w:hint="eastAsia" w:ascii="宋体" w:hAnsi="宋体" w:cs="宋体"/>
          <w:color w:val="auto"/>
          <w:sz w:val="24"/>
          <w:highlight w:val="none"/>
          <w:u w:val="single"/>
        </w:rPr>
        <w:t>（临海市江南街道春和路下岙余村新办公楼二楼）（不见面开标大厅）</w:t>
      </w:r>
    </w:p>
    <w:p w14:paraId="22407747">
      <w:pPr>
        <w:spacing w:line="400" w:lineRule="exact"/>
        <w:rPr>
          <w:rFonts w:ascii="宋体" w:hAnsi="宋体" w:cs="宋体"/>
          <w:b/>
          <w:color w:val="auto"/>
          <w:sz w:val="24"/>
          <w:highlight w:val="none"/>
        </w:rPr>
      </w:pPr>
      <w:r>
        <w:rPr>
          <w:rFonts w:hint="eastAsia" w:ascii="宋体" w:hAnsi="宋体" w:cs="宋体"/>
          <w:b/>
          <w:color w:val="auto"/>
          <w:sz w:val="24"/>
          <w:highlight w:val="none"/>
        </w:rPr>
        <w:t>11.发布公告的媒介</w:t>
      </w:r>
    </w:p>
    <w:p w14:paraId="1E2CA800">
      <w:pPr>
        <w:spacing w:line="400" w:lineRule="exact"/>
        <w:rPr>
          <w:rFonts w:ascii="宋体" w:hAnsi="宋体" w:cs="宋体"/>
          <w:color w:val="auto"/>
          <w:sz w:val="24"/>
          <w:highlight w:val="none"/>
        </w:rPr>
      </w:pPr>
      <w:r>
        <w:rPr>
          <w:rFonts w:hint="eastAsia" w:ascii="宋体" w:hAnsi="宋体" w:cs="宋体"/>
          <w:color w:val="auto"/>
          <w:sz w:val="24"/>
          <w:highlight w:val="none"/>
        </w:rPr>
        <w:t>本次招标公告在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上发布。</w:t>
      </w:r>
    </w:p>
    <w:p w14:paraId="3235CD3C">
      <w:pPr>
        <w:spacing w:line="400" w:lineRule="exact"/>
        <w:rPr>
          <w:rFonts w:ascii="宋体" w:hAnsi="宋体" w:cs="宋体"/>
          <w:b/>
          <w:color w:val="auto"/>
          <w:sz w:val="24"/>
          <w:highlight w:val="none"/>
        </w:rPr>
      </w:pPr>
      <w:r>
        <w:rPr>
          <w:rFonts w:hint="eastAsia" w:ascii="宋体" w:hAnsi="宋体" w:cs="宋体"/>
          <w:b/>
          <w:color w:val="auto"/>
          <w:sz w:val="24"/>
          <w:highlight w:val="none"/>
        </w:rPr>
        <w:t>12、其他事项</w:t>
      </w:r>
    </w:p>
    <w:p w14:paraId="550F4A57">
      <w:pPr>
        <w:spacing w:line="400" w:lineRule="exact"/>
        <w:rPr>
          <w:rFonts w:ascii="宋体" w:hAnsi="宋体" w:cs="宋体"/>
          <w:color w:val="auto"/>
          <w:sz w:val="24"/>
          <w:highlight w:val="none"/>
        </w:rPr>
      </w:pPr>
      <w:r>
        <w:rPr>
          <w:rFonts w:hint="eastAsia" w:ascii="宋体" w:hAnsi="宋体" w:cs="宋体"/>
          <w:color w:val="auto"/>
          <w:sz w:val="24"/>
          <w:highlight w:val="none"/>
        </w:rPr>
        <w:t>（1）接标截止时间以平台服务器时间为准，请准时提交投标文件。</w:t>
      </w:r>
    </w:p>
    <w:p w14:paraId="46A3D9C0">
      <w:pPr>
        <w:spacing w:line="400" w:lineRule="exact"/>
        <w:rPr>
          <w:rFonts w:ascii="宋体" w:hAnsi="宋体" w:cs="宋体"/>
          <w:color w:val="auto"/>
          <w:sz w:val="24"/>
          <w:highlight w:val="none"/>
        </w:rPr>
      </w:pPr>
      <w:r>
        <w:rPr>
          <w:rFonts w:hint="eastAsia" w:ascii="宋体" w:hAnsi="宋体" w:cs="宋体"/>
          <w:color w:val="auto"/>
          <w:sz w:val="24"/>
          <w:highlight w:val="none"/>
        </w:rPr>
        <w:t>（2）除注明要求进口产品外,投标时进口产品比例不得超过50%；</w:t>
      </w:r>
    </w:p>
    <w:p w14:paraId="16E5750B">
      <w:pPr>
        <w:spacing w:line="400" w:lineRule="exact"/>
        <w:rPr>
          <w:rFonts w:ascii="宋体" w:hAnsi="宋体" w:cs="宋体"/>
          <w:color w:val="auto"/>
          <w:sz w:val="24"/>
          <w:highlight w:val="none"/>
        </w:rPr>
      </w:pPr>
      <w:r>
        <w:rPr>
          <w:rFonts w:hint="eastAsia" w:ascii="宋体" w:hAnsi="宋体" w:cs="宋体"/>
          <w:b/>
          <w:color w:val="auto"/>
          <w:sz w:val="24"/>
          <w:highlight w:val="none"/>
        </w:rPr>
        <w:t>13、联系方式</w:t>
      </w:r>
    </w:p>
    <w:p w14:paraId="574C8CE0">
      <w:pPr>
        <w:spacing w:line="400" w:lineRule="exact"/>
        <w:rPr>
          <w:rFonts w:hint="eastAsia" w:ascii="宋体" w:hAnsi="宋体" w:cs="宋体"/>
          <w:b/>
          <w:bCs/>
          <w:color w:val="auto"/>
          <w:sz w:val="24"/>
          <w:highlight w:val="none"/>
        </w:rPr>
      </w:pPr>
    </w:p>
    <w:p w14:paraId="7BC7D5BF">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（1）招标人信息</w:t>
      </w:r>
    </w:p>
    <w:p w14:paraId="3C600DC7">
      <w:pPr>
        <w:spacing w:line="400" w:lineRule="exact"/>
        <w:rPr>
          <w:rFonts w:ascii="宋体" w:hAnsi="宋体" w:cs="宋体"/>
          <w:bCs/>
          <w:color w:val="auto"/>
          <w:sz w:val="24"/>
          <w:highlight w:val="none"/>
        </w:rPr>
      </w:pPr>
      <w:r>
        <w:rPr>
          <w:rFonts w:hint="eastAsia" w:ascii="宋体" w:hAnsi="宋体" w:cs="宋体"/>
          <w:bCs/>
          <w:color w:val="auto"/>
          <w:sz w:val="24"/>
          <w:highlight w:val="none"/>
        </w:rPr>
        <w:t>名称：</w:t>
      </w:r>
      <w:r>
        <w:rPr>
          <w:rFonts w:hint="eastAsia" w:ascii="宋体" w:hAnsi="宋体" w:cs="宋体"/>
          <w:bCs/>
          <w:color w:val="auto"/>
          <w:sz w:val="24"/>
          <w:highlight w:val="none"/>
          <w:lang w:eastAsia="zh-CN"/>
        </w:rPr>
        <w:t>临海市哲商小学、浙江喻鼎建设有限公司</w:t>
      </w:r>
    </w:p>
    <w:p w14:paraId="4BFD5BD7">
      <w:pPr>
        <w:spacing w:line="400" w:lineRule="exact"/>
        <w:rPr>
          <w:rFonts w:hint="default" w:ascii="宋体" w:hAnsi="宋体" w:cs="宋体"/>
          <w:bCs/>
          <w:color w:val="auto"/>
          <w:sz w:val="24"/>
          <w:highlight w:val="none"/>
          <w:lang w:val="en-US"/>
        </w:rPr>
      </w:pPr>
      <w:r>
        <w:rPr>
          <w:rFonts w:hint="eastAsia" w:ascii="宋体" w:hAnsi="宋体" w:cs="宋体"/>
          <w:bCs/>
          <w:color w:val="auto"/>
          <w:sz w:val="24"/>
          <w:highlight w:val="none"/>
        </w:rPr>
        <w:t>项目联系人（询问）</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胡先生</w:t>
      </w:r>
    </w:p>
    <w:p w14:paraId="51B92B0F">
      <w:pPr>
        <w:spacing w:line="400" w:lineRule="exact"/>
        <w:rPr>
          <w:rFonts w:ascii="宋体" w:hAnsi="宋体" w:cs="宋体"/>
          <w:bCs/>
          <w:color w:val="auto"/>
          <w:sz w:val="24"/>
          <w:highlight w:val="none"/>
        </w:rPr>
      </w:pPr>
      <w:r>
        <w:rPr>
          <w:rFonts w:hint="eastAsia" w:ascii="宋体" w:hAnsi="宋体" w:cs="宋体"/>
          <w:bCs/>
          <w:color w:val="auto"/>
          <w:sz w:val="24"/>
          <w:highlight w:val="none"/>
        </w:rPr>
        <w:t>项目联系方式：13655861555</w:t>
      </w:r>
    </w:p>
    <w:p w14:paraId="47B5C420">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（2）代理机构信息</w:t>
      </w:r>
    </w:p>
    <w:p w14:paraId="2331EC20">
      <w:pPr>
        <w:spacing w:line="400" w:lineRule="exact"/>
        <w:rPr>
          <w:rFonts w:ascii="宋体" w:hAnsi="宋体" w:cs="宋体"/>
          <w:bCs/>
          <w:color w:val="auto"/>
          <w:sz w:val="24"/>
          <w:highlight w:val="none"/>
        </w:rPr>
      </w:pPr>
      <w:r>
        <w:rPr>
          <w:rFonts w:hint="eastAsia" w:ascii="宋体" w:hAnsi="宋体" w:cs="宋体"/>
          <w:bCs/>
          <w:color w:val="auto"/>
          <w:sz w:val="24"/>
          <w:highlight w:val="none"/>
        </w:rPr>
        <w:t>名 称：</w:t>
      </w:r>
      <w:r>
        <w:rPr>
          <w:rFonts w:hint="eastAsia" w:ascii="宋体" w:hAnsi="宋体" w:cs="宋体"/>
          <w:bCs/>
          <w:color w:val="auto"/>
          <w:sz w:val="24"/>
          <w:highlight w:val="none"/>
          <w:lang w:eastAsia="zh-CN"/>
        </w:rPr>
        <w:t>台州云聚工程咨询有限公司</w:t>
      </w:r>
      <w:r>
        <w:rPr>
          <w:rFonts w:hint="eastAsia" w:ascii="宋体" w:hAnsi="宋体" w:cs="宋体"/>
          <w:bCs/>
          <w:color w:val="auto"/>
          <w:sz w:val="24"/>
          <w:highlight w:val="none"/>
        </w:rPr>
        <w:t xml:space="preserve"> </w:t>
      </w:r>
    </w:p>
    <w:p w14:paraId="4D3C3BB3">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地址:</w:t>
      </w:r>
      <w:r>
        <w:rPr>
          <w:rFonts w:hint="eastAsia" w:ascii="宋体" w:hAnsi="宋体" w:cs="宋体"/>
          <w:bCs/>
          <w:color w:val="auto"/>
          <w:sz w:val="24"/>
          <w:highlight w:val="none"/>
          <w:lang w:eastAsia="zh-CN"/>
        </w:rPr>
        <w:t>临海市水云北路178号</w:t>
      </w:r>
    </w:p>
    <w:p w14:paraId="1ACB2516">
      <w:pPr>
        <w:spacing w:line="400" w:lineRule="exact"/>
        <w:rPr>
          <w:rFonts w:ascii="宋体" w:hAnsi="宋体" w:cs="宋体"/>
          <w:bCs/>
          <w:color w:val="auto"/>
          <w:sz w:val="24"/>
          <w:highlight w:val="none"/>
        </w:rPr>
      </w:pPr>
      <w:r>
        <w:rPr>
          <w:rFonts w:hint="eastAsia" w:ascii="宋体" w:hAnsi="宋体" w:cs="宋体"/>
          <w:bCs/>
          <w:color w:val="auto"/>
          <w:sz w:val="24"/>
          <w:highlight w:val="none"/>
        </w:rPr>
        <w:t>项目联系人（询问）：</w:t>
      </w:r>
      <w:r>
        <w:rPr>
          <w:rFonts w:hint="eastAsia" w:ascii="宋体" w:hAnsi="宋体" w:cs="宋体"/>
          <w:bCs/>
          <w:color w:val="auto"/>
          <w:sz w:val="24"/>
          <w:highlight w:val="none"/>
          <w:lang w:val="en-US" w:eastAsia="zh-CN"/>
        </w:rPr>
        <w:t>赖女士</w:t>
      </w:r>
      <w:r>
        <w:rPr>
          <w:rFonts w:hint="eastAsia" w:ascii="宋体" w:hAnsi="宋体" w:cs="宋体"/>
          <w:bCs/>
          <w:color w:val="auto"/>
          <w:sz w:val="24"/>
          <w:highlight w:val="none"/>
        </w:rPr>
        <w:t xml:space="preserve"> </w:t>
      </w:r>
    </w:p>
    <w:p w14:paraId="7E5A7569">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项目联系方式：</w:t>
      </w:r>
      <w:r>
        <w:rPr>
          <w:rFonts w:hint="eastAsia" w:ascii="宋体" w:hAnsi="宋体" w:cs="宋体"/>
          <w:bCs/>
          <w:color w:val="auto"/>
          <w:sz w:val="24"/>
          <w:highlight w:val="none"/>
          <w:lang w:eastAsia="zh-CN"/>
        </w:rPr>
        <w:t>15858633732</w:t>
      </w:r>
    </w:p>
    <w:p w14:paraId="6F5734BA">
      <w:pPr>
        <w:spacing w:line="400" w:lineRule="exact"/>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rPr>
        <w:t>质疑联系人：</w:t>
      </w:r>
      <w:r>
        <w:rPr>
          <w:rFonts w:hint="eastAsia" w:ascii="宋体" w:hAnsi="宋体" w:cs="宋体"/>
          <w:bCs/>
          <w:color w:val="auto"/>
          <w:sz w:val="24"/>
          <w:highlight w:val="none"/>
          <w:lang w:val="en-US" w:eastAsia="zh-CN"/>
        </w:rPr>
        <w:t>周先生</w:t>
      </w:r>
    </w:p>
    <w:p w14:paraId="7F8EBFDF">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质疑联系方式：</w:t>
      </w:r>
      <w:r>
        <w:rPr>
          <w:rFonts w:hint="eastAsia" w:ascii="宋体" w:hAnsi="宋体" w:cs="宋体"/>
          <w:bCs/>
          <w:color w:val="auto"/>
          <w:sz w:val="24"/>
          <w:highlight w:val="none"/>
          <w:lang w:val="en-US" w:eastAsia="zh-CN"/>
        </w:rPr>
        <w:t>13777672692</w:t>
      </w:r>
    </w:p>
    <w:p w14:paraId="2263DB67">
      <w:pPr>
        <w:spacing w:line="400" w:lineRule="exact"/>
        <w:rPr>
          <w:rFonts w:ascii="宋体" w:hAnsi="宋体" w:cs="宋体"/>
          <w:color w:val="auto"/>
          <w:spacing w:val="-4"/>
          <w:sz w:val="24"/>
          <w:highlight w:val="none"/>
        </w:rPr>
      </w:pPr>
      <w:r>
        <w:rPr>
          <w:rFonts w:hint="eastAsia" w:ascii="宋体" w:hAnsi="宋体" w:cs="宋体"/>
          <w:color w:val="auto"/>
          <w:spacing w:val="-4"/>
          <w:sz w:val="24"/>
          <w:highlight w:val="none"/>
        </w:rPr>
        <w:t>电子邮箱: tzyjgczx_2024@163.com</w:t>
      </w:r>
    </w:p>
    <w:p w14:paraId="6BE4CEF7">
      <w:pPr>
        <w:pStyle w:val="21"/>
        <w:rPr>
          <w:rFonts w:ascii="宋体" w:hAnsi="宋体" w:cs="宋体"/>
          <w:b/>
          <w:bCs/>
          <w:color w:val="auto"/>
          <w:kern w:val="2"/>
          <w:sz w:val="24"/>
          <w:highlight w:val="none"/>
        </w:rPr>
      </w:pPr>
      <w:r>
        <w:rPr>
          <w:rFonts w:hint="eastAsia" w:ascii="宋体" w:hAnsi="宋体" w:cs="宋体"/>
          <w:b/>
          <w:bCs/>
          <w:color w:val="auto"/>
          <w:kern w:val="2"/>
          <w:sz w:val="24"/>
          <w:highlight w:val="none"/>
        </w:rPr>
        <w:t>（3）</w:t>
      </w:r>
      <w:r>
        <w:rPr>
          <w:rFonts w:ascii="宋体" w:hAnsi="宋体" w:cs="宋体"/>
          <w:b/>
          <w:bCs/>
          <w:color w:val="auto"/>
          <w:kern w:val="2"/>
          <w:sz w:val="24"/>
          <w:highlight w:val="none"/>
        </w:rPr>
        <w:t>招标监管机构</w:t>
      </w:r>
    </w:p>
    <w:p w14:paraId="43E4BDAF">
      <w:pPr>
        <w:pStyle w:val="21"/>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名 称：</w:t>
      </w:r>
      <w:r>
        <w:rPr>
          <w:rFonts w:hint="eastAsia" w:ascii="宋体" w:hAnsi="宋体" w:cs="宋体"/>
          <w:bCs/>
          <w:color w:val="auto"/>
          <w:sz w:val="24"/>
          <w:highlight w:val="none"/>
          <w:lang w:val="en-US" w:eastAsia="zh-CN"/>
        </w:rPr>
        <w:t>临海市哲商小学</w:t>
      </w:r>
    </w:p>
    <w:p w14:paraId="394DC867">
      <w:pPr>
        <w:pStyle w:val="21"/>
        <w:rPr>
          <w:rFonts w:ascii="宋体" w:hAnsi="宋体" w:cs="宋体"/>
          <w:bCs/>
          <w:color w:val="auto"/>
          <w:sz w:val="24"/>
          <w:highlight w:val="none"/>
        </w:rPr>
      </w:pPr>
      <w:r>
        <w:rPr>
          <w:rFonts w:ascii="宋体" w:hAnsi="宋体" w:cs="宋体"/>
          <w:bCs/>
          <w:color w:val="auto"/>
          <w:sz w:val="24"/>
          <w:highlight w:val="none"/>
        </w:rPr>
        <w:t>联系电话：</w:t>
      </w:r>
      <w:r>
        <w:rPr>
          <w:rFonts w:hint="eastAsia" w:ascii="宋体" w:hAnsi="宋体" w:cs="宋体"/>
          <w:bCs/>
          <w:color w:val="auto"/>
          <w:sz w:val="24"/>
          <w:highlight w:val="none"/>
        </w:rPr>
        <w:t>0576-85165005</w:t>
      </w:r>
    </w:p>
    <w:p w14:paraId="780DEB7C">
      <w:pPr>
        <w:numPr>
          <w:ilvl w:val="0"/>
          <w:numId w:val="4"/>
        </w:numPr>
        <w:spacing w:line="400" w:lineRule="exact"/>
        <w:jc w:val="center"/>
        <w:outlineLvl w:val="0"/>
        <w:rPr>
          <w:rFonts w:ascii="宋体" w:hAnsi="宋体" w:cs="宋体"/>
          <w:b/>
          <w:color w:val="auto"/>
          <w:sz w:val="36"/>
          <w:szCs w:val="36"/>
          <w:highlight w:val="none"/>
        </w:rPr>
      </w:pPr>
      <w:r>
        <w:rPr>
          <w:rFonts w:hint="eastAsia" w:ascii="宋体" w:hAnsi="宋体" w:cs="宋体"/>
          <w:b/>
          <w:color w:val="auto"/>
          <w:sz w:val="24"/>
          <w:highlight w:val="none"/>
        </w:rPr>
        <w:br w:type="page"/>
      </w:r>
      <w:bookmarkStart w:id="4" w:name="_Toc2467"/>
      <w:bookmarkStart w:id="5" w:name="_Toc467749357"/>
      <w:bookmarkStart w:id="6" w:name="_Toc466534748"/>
      <w:r>
        <w:rPr>
          <w:rFonts w:hint="eastAsia" w:ascii="宋体" w:hAnsi="宋体" w:cs="宋体"/>
          <w:b/>
          <w:color w:val="auto"/>
          <w:sz w:val="36"/>
          <w:szCs w:val="36"/>
          <w:highlight w:val="none"/>
        </w:rPr>
        <w:t xml:space="preserve">  招标需求</w:t>
      </w:r>
      <w:bookmarkEnd w:id="4"/>
    </w:p>
    <w:bookmarkEnd w:id="5"/>
    <w:bookmarkEnd w:id="6"/>
    <w:p w14:paraId="490FEC9B">
      <w:pPr>
        <w:pStyle w:val="32"/>
        <w:snapToGrid w:val="0"/>
        <w:spacing w:beforeLines="0" w:afterLines="0" w:line="240" w:lineRule="auto"/>
        <w:outlineLvl w:val="0"/>
        <w:rPr>
          <w:rFonts w:hAnsi="宋体"/>
          <w:color w:val="auto"/>
          <w:sz w:val="32"/>
          <w:szCs w:val="32"/>
          <w:highlight w:val="none"/>
        </w:rPr>
      </w:pPr>
      <w:bookmarkStart w:id="7" w:name="_Toc3486"/>
      <w:bookmarkStart w:id="8" w:name="_Toc11982"/>
      <w:bookmarkStart w:id="9" w:name="_Toc466534749"/>
      <w:bookmarkStart w:id="10" w:name="_Toc21811"/>
    </w:p>
    <w:p w14:paraId="02F4DA31">
      <w:pPr>
        <w:numPr>
          <w:ilvl w:val="0"/>
          <w:numId w:val="5"/>
        </w:numPr>
        <w:spacing w:line="440" w:lineRule="exact"/>
        <w:rPr>
          <w:rFonts w:ascii="宋体" w:hAnsi="宋体"/>
          <w:b/>
          <w:color w:val="auto"/>
          <w:sz w:val="24"/>
          <w:highlight w:val="none"/>
        </w:rPr>
      </w:pPr>
      <w:r>
        <w:rPr>
          <w:rFonts w:hint="eastAsia" w:ascii="宋体" w:hAnsi="宋体"/>
          <w:b/>
          <w:color w:val="auto"/>
          <w:sz w:val="24"/>
          <w:highlight w:val="none"/>
        </w:rPr>
        <w:t xml:space="preserve">具体技术规格及要求： </w:t>
      </w:r>
    </w:p>
    <w:tbl>
      <w:tblPr>
        <w:tblStyle w:val="54"/>
        <w:tblpPr w:leftFromText="180" w:rightFromText="180" w:vertAnchor="text" w:horzAnchor="page" w:tblpX="1179" w:tblpY="368"/>
        <w:tblOverlap w:val="never"/>
        <w:tblW w:w="9444" w:type="dxa"/>
        <w:tblInd w:w="0" w:type="dxa"/>
        <w:tblLayout w:type="fixed"/>
        <w:tblCellMar>
          <w:top w:w="15" w:type="dxa"/>
          <w:left w:w="15" w:type="dxa"/>
          <w:bottom w:w="15" w:type="dxa"/>
          <w:right w:w="15" w:type="dxa"/>
        </w:tblCellMar>
      </w:tblPr>
      <w:tblGrid>
        <w:gridCol w:w="656"/>
        <w:gridCol w:w="2459"/>
        <w:gridCol w:w="2681"/>
        <w:gridCol w:w="1319"/>
        <w:gridCol w:w="1284"/>
        <w:gridCol w:w="1045"/>
      </w:tblGrid>
      <w:tr w14:paraId="3110688D">
        <w:tblPrEx>
          <w:tblCellMar>
            <w:top w:w="15" w:type="dxa"/>
            <w:left w:w="15" w:type="dxa"/>
            <w:bottom w:w="15" w:type="dxa"/>
            <w:right w:w="15" w:type="dxa"/>
          </w:tblCellMar>
        </w:tblPrEx>
        <w:trPr>
          <w:trHeight w:val="767" w:hRule="atLeast"/>
        </w:trPr>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3422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序号</w:t>
            </w:r>
          </w:p>
        </w:tc>
        <w:tc>
          <w:tcPr>
            <w:tcW w:w="24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D7610">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名称</w:t>
            </w:r>
          </w:p>
        </w:tc>
        <w:tc>
          <w:tcPr>
            <w:tcW w:w="2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70E82">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型号</w:t>
            </w:r>
          </w:p>
        </w:tc>
        <w:tc>
          <w:tcPr>
            <w:tcW w:w="13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45F7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单位</w:t>
            </w:r>
          </w:p>
        </w:tc>
        <w:tc>
          <w:tcPr>
            <w:tcW w:w="12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020D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数量</w:t>
            </w:r>
          </w:p>
        </w:tc>
        <w:tc>
          <w:tcPr>
            <w:tcW w:w="1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9B20C">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备注</w:t>
            </w:r>
          </w:p>
        </w:tc>
      </w:tr>
      <w:tr w14:paraId="09A2F8CC">
        <w:tblPrEx>
          <w:tblCellMar>
            <w:top w:w="15" w:type="dxa"/>
            <w:left w:w="15" w:type="dxa"/>
            <w:bottom w:w="15" w:type="dxa"/>
            <w:right w:w="15" w:type="dxa"/>
          </w:tblCellMar>
        </w:tblPrEx>
        <w:trPr>
          <w:trHeight w:val="801" w:hRule="atLeast"/>
        </w:trPr>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7BC2B">
            <w:pPr>
              <w:widowControl/>
              <w:jc w:val="center"/>
              <w:textAlignment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24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A9A62">
            <w:pPr>
              <w:widowControl/>
              <w:jc w:val="center"/>
              <w:textAlignment w:val="center"/>
              <w:rPr>
                <w:rFonts w:hint="eastAsia" w:ascii="宋体" w:hAnsi="宋体" w:cs="宋体"/>
                <w:color w:val="auto"/>
                <w:kern w:val="28"/>
                <w:sz w:val="24"/>
                <w:highlight w:val="none"/>
              </w:rPr>
            </w:pPr>
            <w:r>
              <w:rPr>
                <w:rFonts w:hint="eastAsia" w:ascii="宋体" w:hAnsi="宋体" w:cs="宋体"/>
                <w:color w:val="auto"/>
                <w:kern w:val="28"/>
                <w:sz w:val="24"/>
                <w:highlight w:val="none"/>
              </w:rPr>
              <w:t>EPDM混合型胶粒塑胶面层</w:t>
            </w:r>
          </w:p>
        </w:tc>
        <w:tc>
          <w:tcPr>
            <w:tcW w:w="2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1767F">
            <w:pPr>
              <w:widowControl/>
              <w:jc w:val="center"/>
              <w:textAlignment w:val="center"/>
              <w:rPr>
                <w:rFonts w:hint="eastAsia" w:ascii="宋体" w:hAnsi="宋体" w:cs="宋体"/>
                <w:color w:val="auto"/>
                <w:kern w:val="28"/>
                <w:sz w:val="24"/>
                <w:highlight w:val="none"/>
              </w:rPr>
            </w:pPr>
            <w:r>
              <w:rPr>
                <w:rFonts w:hint="eastAsia" w:ascii="宋体" w:hAnsi="宋体" w:cs="宋体"/>
                <w:color w:val="auto"/>
                <w:kern w:val="28"/>
                <w:sz w:val="24"/>
                <w:highlight w:val="none"/>
              </w:rPr>
              <w:t>13mm厚</w:t>
            </w:r>
          </w:p>
        </w:tc>
        <w:tc>
          <w:tcPr>
            <w:tcW w:w="13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BB843">
            <w:pPr>
              <w:widowControl/>
              <w:jc w:val="center"/>
              <w:textAlignment w:val="center"/>
              <w:rPr>
                <w:rFonts w:hint="eastAsia" w:ascii="宋体" w:hAnsi="宋体" w:cs="宋体"/>
                <w:color w:val="auto"/>
                <w:kern w:val="28"/>
                <w:sz w:val="24"/>
                <w:highlight w:val="none"/>
              </w:rPr>
            </w:pPr>
            <w:r>
              <w:rPr>
                <w:rFonts w:hint="eastAsia" w:ascii="宋体" w:hAnsi="宋体" w:cs="宋体"/>
                <w:color w:val="auto"/>
                <w:kern w:val="28"/>
                <w:sz w:val="24"/>
                <w:highlight w:val="none"/>
              </w:rPr>
              <w:t>㎡</w:t>
            </w:r>
          </w:p>
        </w:tc>
        <w:tc>
          <w:tcPr>
            <w:tcW w:w="12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88605">
            <w:pPr>
              <w:widowControl/>
              <w:jc w:val="center"/>
              <w:textAlignment w:val="center"/>
              <w:rPr>
                <w:rFonts w:hint="default" w:ascii="宋体" w:hAnsi="宋体" w:eastAsia="宋体" w:cs="宋体"/>
                <w:color w:val="auto"/>
                <w:kern w:val="28"/>
                <w:sz w:val="24"/>
                <w:highlight w:val="none"/>
                <w:lang w:val="en-US" w:eastAsia="zh-CN"/>
              </w:rPr>
            </w:pPr>
            <w:r>
              <w:rPr>
                <w:rFonts w:hint="eastAsia" w:ascii="宋体" w:hAnsi="宋体" w:cs="宋体"/>
                <w:color w:val="auto"/>
                <w:kern w:val="28"/>
                <w:sz w:val="24"/>
                <w:highlight w:val="none"/>
                <w:lang w:val="en-US" w:eastAsia="zh-CN"/>
              </w:rPr>
              <w:t>5911.14</w:t>
            </w:r>
          </w:p>
        </w:tc>
        <w:tc>
          <w:tcPr>
            <w:tcW w:w="1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D0698">
            <w:pPr>
              <w:widowControl/>
              <w:jc w:val="center"/>
              <w:textAlignment w:val="center"/>
              <w:rPr>
                <w:rFonts w:ascii="宋体" w:hAnsi="宋体" w:cs="宋体"/>
                <w:color w:val="auto"/>
                <w:kern w:val="0"/>
                <w:sz w:val="24"/>
                <w:highlight w:val="none"/>
              </w:rPr>
            </w:pPr>
          </w:p>
        </w:tc>
      </w:tr>
      <w:tr w14:paraId="3B29E5BD">
        <w:tblPrEx>
          <w:tblCellMar>
            <w:top w:w="15" w:type="dxa"/>
            <w:left w:w="15" w:type="dxa"/>
            <w:bottom w:w="15" w:type="dxa"/>
            <w:right w:w="15" w:type="dxa"/>
          </w:tblCellMar>
        </w:tblPrEx>
        <w:trPr>
          <w:trHeight w:val="757" w:hRule="atLeast"/>
        </w:trPr>
        <w:tc>
          <w:tcPr>
            <w:tcW w:w="6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C6A65">
            <w:pPr>
              <w:widowControl/>
              <w:jc w:val="center"/>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24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26D8C">
            <w:pPr>
              <w:widowControl/>
              <w:jc w:val="center"/>
              <w:textAlignment w:val="center"/>
              <w:rPr>
                <w:rFonts w:hint="eastAsia" w:ascii="宋体" w:hAnsi="宋体" w:cs="宋体"/>
                <w:color w:val="auto"/>
                <w:kern w:val="28"/>
                <w:sz w:val="24"/>
                <w:highlight w:val="none"/>
              </w:rPr>
            </w:pPr>
            <w:r>
              <w:rPr>
                <w:rFonts w:hint="eastAsia" w:ascii="宋体" w:hAnsi="宋体" w:cs="宋体"/>
                <w:color w:val="auto"/>
                <w:kern w:val="28"/>
                <w:sz w:val="24"/>
                <w:highlight w:val="none"/>
                <w:lang w:val="en-US" w:eastAsia="zh-CN"/>
              </w:rPr>
              <w:t>硅PU面层</w:t>
            </w:r>
          </w:p>
        </w:tc>
        <w:tc>
          <w:tcPr>
            <w:tcW w:w="2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EE0976">
            <w:pPr>
              <w:widowControl/>
              <w:jc w:val="center"/>
              <w:textAlignment w:val="center"/>
              <w:rPr>
                <w:rFonts w:hint="eastAsia" w:ascii="宋体" w:hAnsi="宋体" w:cs="宋体"/>
                <w:color w:val="auto"/>
                <w:kern w:val="28"/>
                <w:sz w:val="24"/>
                <w:highlight w:val="none"/>
              </w:rPr>
            </w:pPr>
            <w:r>
              <w:rPr>
                <w:rFonts w:hint="eastAsia" w:ascii="宋体" w:hAnsi="宋体" w:cs="宋体"/>
                <w:color w:val="auto"/>
                <w:kern w:val="28"/>
                <w:sz w:val="24"/>
                <w:highlight w:val="none"/>
              </w:rPr>
              <w:t>8mm厚</w:t>
            </w:r>
          </w:p>
        </w:tc>
        <w:tc>
          <w:tcPr>
            <w:tcW w:w="13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2076D">
            <w:pPr>
              <w:widowControl/>
              <w:jc w:val="center"/>
              <w:textAlignment w:val="center"/>
              <w:rPr>
                <w:rFonts w:hint="eastAsia" w:ascii="宋体" w:hAnsi="宋体" w:cs="宋体"/>
                <w:color w:val="auto"/>
                <w:kern w:val="28"/>
                <w:sz w:val="24"/>
                <w:highlight w:val="none"/>
              </w:rPr>
            </w:pPr>
            <w:r>
              <w:rPr>
                <w:rFonts w:hint="eastAsia" w:ascii="宋体" w:hAnsi="宋体" w:cs="宋体"/>
                <w:color w:val="auto"/>
                <w:kern w:val="28"/>
                <w:sz w:val="24"/>
                <w:highlight w:val="none"/>
              </w:rPr>
              <w:t>㎡</w:t>
            </w:r>
          </w:p>
        </w:tc>
        <w:tc>
          <w:tcPr>
            <w:tcW w:w="12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80729">
            <w:pPr>
              <w:jc w:val="center"/>
              <w:rPr>
                <w:rFonts w:hint="default" w:ascii="宋体" w:hAnsi="宋体" w:eastAsia="宋体" w:cs="宋体"/>
                <w:color w:val="auto"/>
                <w:kern w:val="28"/>
                <w:sz w:val="24"/>
                <w:highlight w:val="none"/>
                <w:lang w:val="en-US" w:eastAsia="zh-CN"/>
              </w:rPr>
            </w:pPr>
            <w:r>
              <w:rPr>
                <w:rFonts w:hint="eastAsia" w:ascii="宋体" w:hAnsi="宋体" w:cs="宋体"/>
                <w:color w:val="auto"/>
                <w:kern w:val="28"/>
                <w:sz w:val="24"/>
                <w:highlight w:val="none"/>
                <w:lang w:val="en-US" w:eastAsia="zh-CN"/>
              </w:rPr>
              <w:t>1215</w:t>
            </w:r>
          </w:p>
        </w:tc>
        <w:tc>
          <w:tcPr>
            <w:tcW w:w="1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AB09A">
            <w:pPr>
              <w:widowControl/>
              <w:jc w:val="center"/>
              <w:textAlignment w:val="center"/>
              <w:rPr>
                <w:rFonts w:ascii="宋体" w:hAnsi="宋体" w:cs="宋体"/>
                <w:color w:val="auto"/>
                <w:kern w:val="0"/>
                <w:sz w:val="24"/>
                <w:highlight w:val="none"/>
              </w:rPr>
            </w:pPr>
          </w:p>
        </w:tc>
      </w:tr>
    </w:tbl>
    <w:p w14:paraId="2B8061FE">
      <w:pPr>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lang w:val="en-US" w:eastAsia="zh-CN"/>
        </w:rPr>
        <w:t>1</w:t>
      </w:r>
      <w:r>
        <w:rPr>
          <w:rFonts w:hint="eastAsia" w:ascii="宋体" w:hAnsi="宋体"/>
          <w:bCs/>
          <w:color w:val="auto"/>
          <w:sz w:val="24"/>
          <w:highlight w:val="none"/>
        </w:rPr>
        <w:t>、▲工程量清单数量按照招标文件提供的数量报价，投标时不得调整，结算时按</w:t>
      </w:r>
    </w:p>
    <w:p w14:paraId="773C0F95">
      <w:pPr>
        <w:spacing w:line="420" w:lineRule="exact"/>
        <w:rPr>
          <w:rFonts w:ascii="宋体" w:hAnsi="宋体"/>
          <w:bCs/>
          <w:color w:val="auto"/>
          <w:sz w:val="24"/>
          <w:highlight w:val="none"/>
        </w:rPr>
      </w:pPr>
      <w:r>
        <w:rPr>
          <w:rFonts w:hint="eastAsia" w:ascii="宋体" w:hAnsi="宋体"/>
          <w:bCs/>
          <w:color w:val="auto"/>
          <w:sz w:val="24"/>
          <w:highlight w:val="none"/>
        </w:rPr>
        <w:t>实结算。（此项符合性在报价文件中进行评审）。</w:t>
      </w:r>
    </w:p>
    <w:p w14:paraId="4E4C9663">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、推荐品牌：</w:t>
      </w:r>
    </w:p>
    <w:p w14:paraId="5A34C9F9">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EPDM混合型胶粒塑胶面层：广东柏胜、湖南优冠、</w:t>
      </w:r>
      <w:r>
        <w:rPr>
          <w:rFonts w:hint="eastAsia" w:ascii="宋体" w:hAnsi="宋体" w:cs="宋体"/>
          <w:color w:val="auto"/>
          <w:sz w:val="24"/>
          <w:highlight w:val="none"/>
          <w:lang w:val="en-US" w:eastAsia="zh-CN"/>
        </w:rPr>
        <w:t>南京飞能、浙江绿能</w:t>
      </w:r>
      <w:r>
        <w:rPr>
          <w:rFonts w:hint="eastAsia" w:ascii="宋体" w:hAnsi="宋体" w:cs="宋体"/>
          <w:color w:val="auto"/>
          <w:sz w:val="24"/>
          <w:highlight w:val="none"/>
        </w:rPr>
        <w:t>；</w:t>
      </w:r>
    </w:p>
    <w:p w14:paraId="36354780">
      <w:pPr>
        <w:spacing w:line="420" w:lineRule="exact"/>
        <w:ind w:firstLine="480" w:firstLineChars="200"/>
        <w:rPr>
          <w:rFonts w:ascii="宋体" w:hAnsi="宋体" w:cs="宋体"/>
          <w:color w:val="auto"/>
          <w:sz w:val="24"/>
          <w:highlight w:val="none"/>
        </w:rPr>
      </w:pPr>
      <w:r>
        <w:rPr>
          <w:rFonts w:hint="eastAsia" w:ascii="宋体" w:hAnsi="宋体" w:cs="宋体"/>
          <w:color w:val="auto"/>
          <w:kern w:val="0"/>
          <w:sz w:val="24"/>
          <w:highlight w:val="none"/>
          <w:lang w:val="en-US" w:eastAsia="zh-CN"/>
        </w:rPr>
        <w:t>硅PU面层</w:t>
      </w:r>
      <w:r>
        <w:rPr>
          <w:rFonts w:hint="eastAsia" w:ascii="宋体" w:hAnsi="宋体" w:cs="宋体"/>
          <w:color w:val="auto"/>
          <w:kern w:val="0"/>
          <w:sz w:val="24"/>
          <w:highlight w:val="none"/>
        </w:rPr>
        <w:t>：</w:t>
      </w:r>
      <w:r>
        <w:rPr>
          <w:rFonts w:hint="eastAsia" w:ascii="宋体" w:hAnsi="宋体" w:cs="宋体"/>
          <w:color w:val="auto"/>
          <w:sz w:val="24"/>
          <w:highlight w:val="none"/>
        </w:rPr>
        <w:t>湖南优冠</w:t>
      </w:r>
      <w:r>
        <w:rPr>
          <w:rFonts w:hint="eastAsia" w:ascii="宋体" w:hAnsi="宋体" w:cs="宋体"/>
          <w:color w:val="auto"/>
          <w:sz w:val="24"/>
          <w:highlight w:val="none"/>
          <w:lang w:eastAsia="zh-CN"/>
        </w:rPr>
        <w:t>、江门长河</w:t>
      </w:r>
      <w:r>
        <w:rPr>
          <w:rFonts w:hint="eastAsia" w:ascii="宋体" w:hAnsi="宋体" w:cs="宋体"/>
          <w:color w:val="auto"/>
          <w:sz w:val="24"/>
          <w:highlight w:val="none"/>
          <w:lang w:val="en-US" w:eastAsia="zh-CN"/>
        </w:rPr>
        <w:t>、广东爱上、浙江绿能</w:t>
      </w:r>
      <w:r>
        <w:rPr>
          <w:rFonts w:hint="eastAsia" w:ascii="宋体" w:hAnsi="宋体" w:cs="宋体"/>
          <w:color w:val="auto"/>
          <w:sz w:val="24"/>
          <w:highlight w:val="none"/>
        </w:rPr>
        <w:t>；</w:t>
      </w:r>
      <w:r>
        <w:rPr>
          <w:rFonts w:ascii="宋体" w:hAnsi="宋体" w:cs="宋体"/>
          <w:color w:val="auto"/>
          <w:sz w:val="24"/>
          <w:highlight w:val="none"/>
        </w:rPr>
        <w:t xml:space="preserve"> </w:t>
      </w:r>
    </w:p>
    <w:p w14:paraId="3504BE83">
      <w:pPr>
        <w:spacing w:line="420" w:lineRule="exact"/>
        <w:ind w:firstLine="480" w:firstLineChars="200"/>
        <w:rPr>
          <w:rFonts w:hint="eastAsia" w:ascii="宋体" w:hAnsi="宋体" w:eastAsia="宋体" w:cs="宋体"/>
          <w:color w:val="auto"/>
          <w:sz w:val="24"/>
          <w:highlight w:val="none"/>
        </w:rPr>
      </w:pP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w:t>
      </w:r>
      <w:r>
        <w:rPr>
          <w:rFonts w:hint="eastAsia" w:ascii="宋体" w:hAnsi="宋体" w:cs="宋体"/>
          <w:color w:val="auto"/>
          <w:sz w:val="24"/>
          <w:highlight w:val="none"/>
        </w:rPr>
        <w:t>投标人所投设备货物的技术参数不应低于本项目的技术要求和档次。除招标文件推荐的品牌外，欢迎其他能满足本项目技术需求且性能与所推荐品牌相当或更优的产品参加投标。上述技术需求如出现某类品牌型号特有的技术指标或性能，则供投标人参考,不作为实质性响应条款</w:t>
      </w:r>
      <w:r>
        <w:rPr>
          <w:rFonts w:hint="eastAsia" w:ascii="宋体" w:hAnsi="宋体" w:eastAsia="宋体" w:cs="宋体"/>
          <w:color w:val="auto"/>
          <w:sz w:val="24"/>
          <w:highlight w:val="none"/>
        </w:rPr>
        <w:t>。</w:t>
      </w:r>
    </w:p>
    <w:p w14:paraId="03E95B61">
      <w:pPr>
        <w:spacing w:line="42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、在本项目施工期间如出现采购人提供的品牌表中某品牌已停止生产或其他何种原因无法采购到时,由业主在原有品牌或同档次中任选其他某一品牌，成交单位不得有异议，费用不作调整；</w:t>
      </w:r>
    </w:p>
    <w:p w14:paraId="120D663C">
      <w:pPr>
        <w:spacing w:line="42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、参与投标的产品必须满足图纸设计要求并符合相关的国家法律法规规定的质量标准及行业规范；</w:t>
      </w:r>
    </w:p>
    <w:p w14:paraId="2717B994">
      <w:pPr>
        <w:spacing w:line="42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、材质要求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规格详见施工图纸</w:t>
      </w:r>
      <w:r>
        <w:rPr>
          <w:rFonts w:hint="eastAsia" w:ascii="宋体" w:hAnsi="宋体" w:eastAsia="宋体" w:cs="宋体"/>
          <w:color w:val="auto"/>
          <w:sz w:val="24"/>
          <w:highlight w:val="none"/>
          <w:lang w:val="en-US" w:eastAsia="zh-CN"/>
        </w:rPr>
        <w:t>和 GB 36246-2018《中小学合成材料面层运动场地》</w:t>
      </w:r>
      <w:r>
        <w:rPr>
          <w:rFonts w:hint="eastAsia" w:ascii="宋体" w:hAnsi="宋体" w:eastAsia="宋体" w:cs="宋体"/>
          <w:color w:val="auto"/>
          <w:sz w:val="24"/>
          <w:highlight w:val="none"/>
        </w:rPr>
        <w:t>。</w:t>
      </w:r>
    </w:p>
    <w:p w14:paraId="22A3983F">
      <w:pPr>
        <w:spacing w:line="42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成交供应商供货时应向采购人提供</w:t>
      </w:r>
      <w:r>
        <w:rPr>
          <w:rFonts w:hint="eastAsia" w:ascii="宋体" w:hAnsi="宋体" w:cs="宋体"/>
          <w:color w:val="auto"/>
          <w:sz w:val="24"/>
          <w:highlight w:val="none"/>
          <w:lang w:val="en-US" w:eastAsia="zh-CN"/>
        </w:rPr>
        <w:t>货物可溯源的出货单</w:t>
      </w:r>
      <w:r>
        <w:rPr>
          <w:rFonts w:hint="eastAsia" w:ascii="宋体" w:hAnsi="宋体" w:eastAsia="宋体" w:cs="宋体"/>
          <w:color w:val="auto"/>
          <w:sz w:val="24"/>
          <w:highlight w:val="none"/>
          <w:lang w:val="en-US" w:eastAsia="zh-CN"/>
        </w:rPr>
        <w:t>、第三方机构出具的检测报告等必要的有关资料。</w:t>
      </w:r>
    </w:p>
    <w:p w14:paraId="1B1CD88F">
      <w:pPr>
        <w:spacing w:line="420" w:lineRule="exact"/>
        <w:ind w:firstLine="480" w:firstLineChars="200"/>
        <w:rPr>
          <w:rFonts w:hint="eastAsia" w:ascii="宋体" w:hAnsi="宋体"/>
          <w:bCs/>
          <w:color w:val="auto"/>
          <w:sz w:val="24"/>
          <w:highlight w:val="yellow"/>
          <w:lang w:val="en-US" w:eastAsia="zh-CN"/>
        </w:rPr>
      </w:pPr>
      <w:r>
        <w:rPr>
          <w:rFonts w:hint="eastAsia" w:ascii="宋体" w:hAnsi="宋体" w:cs="宋体"/>
          <w:color w:val="auto"/>
          <w:sz w:val="24"/>
          <w:highlight w:val="yellow"/>
          <w:lang w:val="en-US" w:eastAsia="zh-CN"/>
        </w:rPr>
        <w:t>8</w:t>
      </w:r>
      <w:r>
        <w:rPr>
          <w:rFonts w:hint="eastAsia" w:ascii="宋体" w:hAnsi="宋体" w:eastAsia="宋体" w:cs="宋体"/>
          <w:color w:val="auto"/>
          <w:sz w:val="24"/>
          <w:highlight w:val="yellow"/>
          <w:lang w:val="en-US" w:eastAsia="zh-CN"/>
        </w:rPr>
        <w:t>、所有原材料一次性进场，并在建设单位、总包单位、监理单位、施工单位四方同时在场的情况下，对所有原材料的有害物质含量和面层颗粒的高聚物含量进行现场取样送检，检测合格后方可施工，不合格的材料直接退场处理。检测单位由业主单位决定，相关费用由中标单位负责。关键材料一式二份取样封存，一份送检，一份留档。竣工验收时，成品现场公开取样，由建设单位负责送检，第三方专业检测机构进行检测并提供检测报告，全面验收合格后才能投入使用，检测费用由</w:t>
      </w:r>
      <w:r>
        <w:rPr>
          <w:rFonts w:hint="eastAsia" w:ascii="宋体" w:hAnsi="宋体" w:cs="宋体"/>
          <w:color w:val="auto"/>
          <w:sz w:val="24"/>
          <w:highlight w:val="yellow"/>
          <w:lang w:val="en-US" w:eastAsia="zh-CN"/>
        </w:rPr>
        <w:t>中标单位</w:t>
      </w:r>
      <w:r>
        <w:rPr>
          <w:rFonts w:hint="eastAsia" w:ascii="宋体" w:hAnsi="宋体" w:eastAsia="宋体" w:cs="宋体"/>
          <w:color w:val="auto"/>
          <w:sz w:val="24"/>
          <w:highlight w:val="yellow"/>
          <w:lang w:val="en-US" w:eastAsia="zh-CN"/>
        </w:rPr>
        <w:t>负责。</w:t>
      </w:r>
    </w:p>
    <w:p w14:paraId="24A72D5F">
      <w:pPr>
        <w:numPr>
          <w:ilvl w:val="0"/>
          <w:numId w:val="0"/>
        </w:numPr>
        <w:spacing w:line="600" w:lineRule="exact"/>
        <w:rPr>
          <w:rFonts w:hint="eastAsia"/>
          <w:color w:val="auto"/>
          <w:lang w:val="en-US" w:eastAsia="zh-CN"/>
        </w:rPr>
      </w:pPr>
      <w:r>
        <w:rPr>
          <w:rFonts w:hint="eastAsia" w:ascii="宋体" w:hAnsi="宋体" w:cs="宋体"/>
          <w:b/>
          <w:bCs/>
          <w:color w:val="auto"/>
          <w:kern w:val="0"/>
          <w:sz w:val="24"/>
          <w:szCs w:val="24"/>
          <w:highlight w:val="none"/>
          <w:lang w:val="en-US" w:eastAsia="zh-CN" w:bidi="ar-SA"/>
        </w:rPr>
        <w:t>二、</w:t>
      </w:r>
      <w:r>
        <w:rPr>
          <w:rFonts w:hint="eastAsia" w:ascii="宋体" w:hAnsi="宋体" w:eastAsia="宋体" w:cs="宋体"/>
          <w:b/>
          <w:bCs/>
          <w:color w:val="auto"/>
          <w:kern w:val="0"/>
          <w:sz w:val="24"/>
          <w:szCs w:val="24"/>
          <w:highlight w:val="none"/>
          <w:lang w:val="en-US" w:eastAsia="zh-CN" w:bidi="ar-SA"/>
        </w:rPr>
        <w:t>主要技术标准和规范：</w:t>
      </w:r>
    </w:p>
    <w:p w14:paraId="7A927D13">
      <w:pPr>
        <w:spacing w:line="600" w:lineRule="exact"/>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1、GB36246-2018《中小学合成材料面层运动场地》；</w:t>
      </w:r>
    </w:p>
    <w:p w14:paraId="03303C8E">
      <w:pPr>
        <w:spacing w:line="600" w:lineRule="exact"/>
        <w:ind w:firstLine="480" w:firstLineChars="200"/>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2、</w:t>
      </w:r>
      <w:r>
        <w:rPr>
          <w:rFonts w:hint="eastAsia" w:ascii="宋体" w:hAnsi="宋体" w:cs="宋体"/>
          <w:color w:val="auto"/>
          <w:sz w:val="24"/>
          <w:szCs w:val="24"/>
          <w:highlight w:val="none"/>
          <w:lang w:val="en-US" w:eastAsia="zh-CN"/>
        </w:rPr>
        <w:t>GB/T43564-2023《中小学合成材料面层田径场地》、GB/T43565-2023《中小学合成材料面层篮球场地》</w:t>
      </w:r>
      <w:r>
        <w:rPr>
          <w:rFonts w:hint="eastAsia" w:ascii="宋体" w:hAnsi="宋体" w:eastAsia="宋体" w:cs="宋体"/>
          <w:b w:val="0"/>
          <w:bCs w:val="0"/>
          <w:color w:val="auto"/>
          <w:kern w:val="0"/>
          <w:sz w:val="24"/>
          <w:szCs w:val="24"/>
          <w:highlight w:val="none"/>
          <w:lang w:val="en-US" w:eastAsia="zh-CN" w:bidi="ar-SA"/>
        </w:rPr>
        <w:t>；</w:t>
      </w:r>
    </w:p>
    <w:p w14:paraId="2748AD6C">
      <w:pPr>
        <w:spacing w:line="600" w:lineRule="exact"/>
        <w:ind w:firstLine="480" w:firstLineChars="200"/>
        <w:rPr>
          <w:rFonts w:hint="default" w:ascii="宋体" w:hAnsi="宋体" w:eastAsia="宋体" w:cs="宋体"/>
          <w:bCs/>
          <w:color w:val="auto"/>
          <w:kern w:val="0"/>
          <w:sz w:val="24"/>
          <w:highlight w:val="none"/>
          <w:lang w:val="en-US" w:eastAsia="zh-CN"/>
        </w:rPr>
      </w:pPr>
      <w:r>
        <w:rPr>
          <w:rFonts w:hint="eastAsia" w:ascii="宋体" w:hAnsi="宋体" w:cs="宋体"/>
          <w:b w:val="0"/>
          <w:bCs w:val="0"/>
          <w:color w:val="auto"/>
          <w:kern w:val="0"/>
          <w:sz w:val="24"/>
          <w:szCs w:val="24"/>
          <w:highlight w:val="none"/>
          <w:lang w:val="en-US" w:eastAsia="zh-CN" w:bidi="ar-SA"/>
        </w:rPr>
        <w:t>3</w:t>
      </w:r>
      <w:r>
        <w:rPr>
          <w:rFonts w:hint="eastAsia" w:ascii="宋体" w:hAnsi="宋体" w:eastAsia="宋体" w:cs="宋体"/>
          <w:b w:val="0"/>
          <w:bCs w:val="0"/>
          <w:color w:val="auto"/>
          <w:kern w:val="0"/>
          <w:sz w:val="24"/>
          <w:szCs w:val="24"/>
          <w:highlight w:val="none"/>
          <w:lang w:val="en-US" w:eastAsia="zh-CN" w:bidi="ar-SA"/>
        </w:rPr>
        <w:t>、</w:t>
      </w:r>
      <w:r>
        <w:rPr>
          <w:rFonts w:hint="eastAsia" w:ascii="宋体" w:hAnsi="宋体" w:cs="宋体"/>
          <w:b w:val="0"/>
          <w:bCs w:val="0"/>
          <w:color w:val="auto"/>
          <w:kern w:val="0"/>
          <w:sz w:val="24"/>
          <w:szCs w:val="24"/>
          <w:highlight w:val="none"/>
          <w:lang w:val="en-US" w:eastAsia="zh-CN" w:bidi="ar-SA"/>
        </w:rPr>
        <w:t>“EPDM混合型胶粒塑胶面层”物理机械性能</w:t>
      </w:r>
      <w:r>
        <w:rPr>
          <w:rFonts w:hint="eastAsia" w:ascii="宋体" w:hAnsi="宋体" w:cs="宋体"/>
          <w:bCs/>
          <w:color w:val="auto"/>
          <w:kern w:val="0"/>
          <w:sz w:val="24"/>
          <w:highlight w:val="none"/>
        </w:rPr>
        <w:t>：</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125"/>
        <w:gridCol w:w="1485"/>
      </w:tblGrid>
      <w:tr w14:paraId="5D89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35282EE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125" w:type="dxa"/>
            <w:noWrap w:val="0"/>
            <w:vAlign w:val="center"/>
          </w:tcPr>
          <w:p w14:paraId="262B85A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检验项目</w:t>
            </w:r>
          </w:p>
        </w:tc>
        <w:tc>
          <w:tcPr>
            <w:tcW w:w="1485" w:type="dxa"/>
            <w:noWrap w:val="0"/>
            <w:vAlign w:val="center"/>
          </w:tcPr>
          <w:p w14:paraId="00AF09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标准要求</w:t>
            </w:r>
          </w:p>
        </w:tc>
      </w:tr>
      <w:tr w14:paraId="63FD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45" w:type="dxa"/>
            <w:gridSpan w:val="3"/>
            <w:noWrap w:val="0"/>
            <w:vAlign w:val="center"/>
          </w:tcPr>
          <w:p w14:paraId="7DB7BE8B">
            <w:pPr>
              <w:ind w:firstLine="3360" w:firstLineChars="1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物理机械性能</w:t>
            </w:r>
          </w:p>
        </w:tc>
      </w:tr>
      <w:tr w14:paraId="2184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E9B4A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25" w:type="dxa"/>
            <w:noWrap w:val="0"/>
            <w:vAlign w:val="center"/>
          </w:tcPr>
          <w:p w14:paraId="5D44A0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冲击吸收/%</w:t>
            </w:r>
          </w:p>
        </w:tc>
        <w:tc>
          <w:tcPr>
            <w:tcW w:w="1485" w:type="dxa"/>
            <w:noWrap w:val="0"/>
            <w:vAlign w:val="center"/>
          </w:tcPr>
          <w:p w14:paraId="2B7FFAA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35-50</w:t>
            </w:r>
          </w:p>
        </w:tc>
      </w:tr>
      <w:tr w14:paraId="5CAD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5BD76BA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125" w:type="dxa"/>
            <w:noWrap w:val="0"/>
            <w:vAlign w:val="center"/>
          </w:tcPr>
          <w:p w14:paraId="2B3C5F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垂直变形/mm</w:t>
            </w:r>
          </w:p>
        </w:tc>
        <w:tc>
          <w:tcPr>
            <w:tcW w:w="1485" w:type="dxa"/>
            <w:noWrap w:val="0"/>
            <w:vAlign w:val="center"/>
          </w:tcPr>
          <w:p w14:paraId="6BD68D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0.6-3.0</w:t>
            </w:r>
          </w:p>
        </w:tc>
      </w:tr>
      <w:tr w14:paraId="2238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48CB6CA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125" w:type="dxa"/>
            <w:noWrap w:val="0"/>
            <w:vAlign w:val="center"/>
          </w:tcPr>
          <w:p w14:paraId="32BF8C5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拉伸强度/MPa</w:t>
            </w:r>
          </w:p>
        </w:tc>
        <w:tc>
          <w:tcPr>
            <w:tcW w:w="1485" w:type="dxa"/>
            <w:noWrap w:val="0"/>
            <w:vAlign w:val="center"/>
          </w:tcPr>
          <w:p w14:paraId="674EA64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≥0.</w:t>
            </w:r>
            <w:r>
              <w:rPr>
                <w:rFonts w:hint="eastAsia" w:ascii="宋体" w:hAnsi="宋体" w:eastAsia="宋体" w:cs="宋体"/>
                <w:color w:val="auto"/>
                <w:sz w:val="24"/>
                <w:szCs w:val="24"/>
                <w:lang w:val="en-US" w:eastAsia="zh-CN"/>
              </w:rPr>
              <w:t>50</w:t>
            </w:r>
          </w:p>
        </w:tc>
      </w:tr>
      <w:tr w14:paraId="22E9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7F16F62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7125" w:type="dxa"/>
            <w:noWrap w:val="0"/>
            <w:vAlign w:val="center"/>
          </w:tcPr>
          <w:p w14:paraId="3D9FD0D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拉断伸长率/%</w:t>
            </w:r>
          </w:p>
        </w:tc>
        <w:tc>
          <w:tcPr>
            <w:tcW w:w="1485" w:type="dxa"/>
            <w:noWrap w:val="0"/>
            <w:vAlign w:val="center"/>
          </w:tcPr>
          <w:p w14:paraId="0CA9807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≥40</w:t>
            </w:r>
          </w:p>
        </w:tc>
      </w:tr>
      <w:tr w14:paraId="4F175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1AC9DD5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7125" w:type="dxa"/>
            <w:noWrap w:val="0"/>
            <w:vAlign w:val="center"/>
          </w:tcPr>
          <w:p w14:paraId="7CDD6D1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抗滑值（20℃）/BPN</w:t>
            </w:r>
          </w:p>
        </w:tc>
        <w:tc>
          <w:tcPr>
            <w:tcW w:w="1485" w:type="dxa"/>
            <w:noWrap w:val="0"/>
            <w:vAlign w:val="center"/>
          </w:tcPr>
          <w:p w14:paraId="4EBF360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≥47（湿测）</w:t>
            </w:r>
          </w:p>
        </w:tc>
      </w:tr>
      <w:tr w14:paraId="06F6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6150D8B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7125" w:type="dxa"/>
            <w:noWrap w:val="0"/>
            <w:vAlign w:val="center"/>
          </w:tcPr>
          <w:p w14:paraId="484464A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耐磨性/g</w:t>
            </w:r>
          </w:p>
        </w:tc>
        <w:tc>
          <w:tcPr>
            <w:tcW w:w="1485" w:type="dxa"/>
            <w:noWrap w:val="0"/>
            <w:vAlign w:val="center"/>
          </w:tcPr>
          <w:p w14:paraId="6C6CA71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w:t>
            </w:r>
          </w:p>
        </w:tc>
      </w:tr>
      <w:tr w14:paraId="198C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957D7AA">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7125" w:type="dxa"/>
            <w:noWrap w:val="0"/>
            <w:vAlign w:val="center"/>
          </w:tcPr>
          <w:p w14:paraId="5A955E8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阻燃性能/级</w:t>
            </w:r>
          </w:p>
        </w:tc>
        <w:tc>
          <w:tcPr>
            <w:tcW w:w="1485" w:type="dxa"/>
            <w:noWrap w:val="0"/>
            <w:vAlign w:val="center"/>
          </w:tcPr>
          <w:p w14:paraId="6139D35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I</w:t>
            </w:r>
          </w:p>
        </w:tc>
      </w:tr>
      <w:tr w14:paraId="76002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59BF9438">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7125" w:type="dxa"/>
            <w:noWrap w:val="0"/>
            <w:vAlign w:val="center"/>
          </w:tcPr>
          <w:p w14:paraId="17C116B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色牢度</w:t>
            </w:r>
          </w:p>
        </w:tc>
        <w:tc>
          <w:tcPr>
            <w:tcW w:w="1485" w:type="dxa"/>
            <w:noWrap w:val="0"/>
            <w:vAlign w:val="center"/>
          </w:tcPr>
          <w:p w14:paraId="23CF517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干、</w:t>
            </w:r>
            <w:r>
              <w:rPr>
                <w:rFonts w:hint="eastAsia" w:ascii="宋体" w:hAnsi="宋体" w:eastAsia="宋体" w:cs="宋体"/>
                <w:color w:val="auto"/>
                <w:sz w:val="24"/>
                <w:szCs w:val="24"/>
              </w:rPr>
              <w:t>湿</w:t>
            </w:r>
            <w:r>
              <w:rPr>
                <w:rFonts w:hint="eastAsia" w:ascii="宋体" w:hAnsi="宋体" w:eastAsia="宋体" w:cs="宋体"/>
                <w:color w:val="auto"/>
                <w:sz w:val="24"/>
                <w:szCs w:val="24"/>
                <w:lang w:val="en-US" w:eastAsia="zh-CN"/>
              </w:rPr>
              <w:t>两种条件下均无脱色</w:t>
            </w:r>
          </w:p>
        </w:tc>
      </w:tr>
      <w:tr w14:paraId="578EC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45" w:type="dxa"/>
            <w:gridSpan w:val="3"/>
            <w:noWrap w:val="0"/>
            <w:vAlign w:val="center"/>
          </w:tcPr>
          <w:p w14:paraId="52DBA5E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耐老化性能</w:t>
            </w:r>
          </w:p>
        </w:tc>
      </w:tr>
      <w:tr w14:paraId="4120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1A7360D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8610" w:type="dxa"/>
            <w:gridSpan w:val="2"/>
            <w:noWrap w:val="0"/>
            <w:vAlign w:val="center"/>
          </w:tcPr>
          <w:p w14:paraId="50BF43A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合成材料面层人工气候加速老化1500h后，拉伸强度和拉断伸长率应符合上表要求。</w:t>
            </w:r>
          </w:p>
        </w:tc>
      </w:tr>
      <w:tr w14:paraId="04E3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26E594B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8610" w:type="dxa"/>
            <w:gridSpan w:val="2"/>
            <w:noWrap w:val="0"/>
            <w:vAlign w:val="center"/>
          </w:tcPr>
          <w:p w14:paraId="2B1A658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合成材料面层湿热老化336h后，拉伸强度和拉断伸长率应符合上表要求，且老化后测定值应不低于老化前测定值的80%。</w:t>
            </w:r>
          </w:p>
        </w:tc>
      </w:tr>
    </w:tbl>
    <w:p w14:paraId="5389240E">
      <w:pPr>
        <w:keepNext w:val="0"/>
        <w:keepLines w:val="0"/>
        <w:pageBreakBefore w:val="0"/>
        <w:widowControl w:val="0"/>
        <w:kinsoku/>
        <w:wordWrap/>
        <w:overflowPunct/>
        <w:topLinePunct w:val="0"/>
        <w:bidi w:val="0"/>
        <w:adjustRightInd w:val="0"/>
        <w:snapToGrid/>
        <w:spacing w:line="6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4、“混合型跑道塑胶面层”化学性能</w:t>
      </w:r>
      <w:r>
        <w:rPr>
          <w:rFonts w:hint="eastAsia" w:ascii="宋体" w:hAnsi="宋体" w:eastAsia="宋体" w:cs="宋体"/>
          <w:bCs/>
          <w:color w:val="auto"/>
          <w:kern w:val="0"/>
          <w:sz w:val="24"/>
          <w:szCs w:val="24"/>
          <w:highlight w:val="none"/>
        </w:rPr>
        <w:t>：</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97"/>
        <w:gridCol w:w="3428"/>
        <w:gridCol w:w="1485"/>
      </w:tblGrid>
      <w:tr w14:paraId="7EC0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3CB31293">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序号</w:t>
            </w:r>
          </w:p>
        </w:tc>
        <w:tc>
          <w:tcPr>
            <w:tcW w:w="7125" w:type="dxa"/>
            <w:gridSpan w:val="2"/>
            <w:noWrap w:val="0"/>
            <w:vAlign w:val="center"/>
          </w:tcPr>
          <w:p w14:paraId="3CC7ED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检验项目</w:t>
            </w:r>
          </w:p>
        </w:tc>
        <w:tc>
          <w:tcPr>
            <w:tcW w:w="1485" w:type="dxa"/>
            <w:noWrap w:val="0"/>
            <w:vAlign w:val="center"/>
          </w:tcPr>
          <w:p w14:paraId="04A0B3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标准要求</w:t>
            </w:r>
          </w:p>
        </w:tc>
      </w:tr>
      <w:tr w14:paraId="498E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18B4D16D">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7125" w:type="dxa"/>
            <w:gridSpan w:val="2"/>
            <w:noWrap w:val="0"/>
            <w:vAlign w:val="center"/>
          </w:tcPr>
          <w:p w14:paraId="04868FC0">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3种邻苯二甲酸酯类化合物（DBP、BBP、DEHP）总和/（g/kg）</w:t>
            </w:r>
          </w:p>
        </w:tc>
        <w:tc>
          <w:tcPr>
            <w:tcW w:w="1485" w:type="dxa"/>
            <w:noWrap w:val="0"/>
            <w:vAlign w:val="center"/>
          </w:tcPr>
          <w:p w14:paraId="3ACF2E4A">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≤1.0</w:t>
            </w:r>
          </w:p>
        </w:tc>
      </w:tr>
      <w:tr w14:paraId="3D80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9D215C5">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7125" w:type="dxa"/>
            <w:gridSpan w:val="2"/>
            <w:noWrap w:val="0"/>
            <w:vAlign w:val="center"/>
          </w:tcPr>
          <w:p w14:paraId="66A09F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3种邻苯二甲酸酯类化合物（DNOP、DINP、DIDP）总和/（g/kg）</w:t>
            </w:r>
          </w:p>
        </w:tc>
        <w:tc>
          <w:tcPr>
            <w:tcW w:w="1485" w:type="dxa"/>
            <w:noWrap w:val="0"/>
            <w:vAlign w:val="center"/>
          </w:tcPr>
          <w:p w14:paraId="76B695F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6C8F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restart"/>
            <w:noWrap w:val="0"/>
            <w:vAlign w:val="center"/>
          </w:tcPr>
          <w:p w14:paraId="5CEFB4D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7125" w:type="dxa"/>
            <w:gridSpan w:val="2"/>
            <w:vMerge w:val="restart"/>
            <w:noWrap w:val="0"/>
            <w:vAlign w:val="center"/>
          </w:tcPr>
          <w:p w14:paraId="345365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18种多环芳烃总和/（mg/kg）</w:t>
            </w:r>
          </w:p>
        </w:tc>
        <w:tc>
          <w:tcPr>
            <w:tcW w:w="1485" w:type="dxa"/>
            <w:noWrap w:val="0"/>
            <w:vAlign w:val="center"/>
          </w:tcPr>
          <w:p w14:paraId="2B63B0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r>
      <w:tr w14:paraId="383D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5298CEA8">
            <w:pPr>
              <w:jc w:val="center"/>
              <w:rPr>
                <w:rFonts w:hint="eastAsia" w:ascii="宋体" w:hAnsi="宋体" w:eastAsia="宋体" w:cs="宋体"/>
                <w:color w:val="auto"/>
                <w:sz w:val="24"/>
                <w:szCs w:val="24"/>
              </w:rPr>
            </w:pPr>
          </w:p>
        </w:tc>
        <w:tc>
          <w:tcPr>
            <w:tcW w:w="7125" w:type="dxa"/>
            <w:gridSpan w:val="2"/>
            <w:vMerge w:val="continue"/>
            <w:noWrap w:val="0"/>
            <w:vAlign w:val="center"/>
          </w:tcPr>
          <w:p w14:paraId="70558C4B">
            <w:pPr>
              <w:jc w:val="center"/>
              <w:rPr>
                <w:rFonts w:hint="eastAsia" w:ascii="宋体" w:hAnsi="宋体" w:eastAsia="宋体" w:cs="宋体"/>
                <w:color w:val="auto"/>
                <w:sz w:val="24"/>
                <w:szCs w:val="24"/>
              </w:rPr>
            </w:pPr>
          </w:p>
        </w:tc>
        <w:tc>
          <w:tcPr>
            <w:tcW w:w="1485" w:type="dxa"/>
            <w:noWrap w:val="0"/>
            <w:vAlign w:val="center"/>
          </w:tcPr>
          <w:p w14:paraId="1A29EC5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r>
      <w:tr w14:paraId="59E6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760B7CB1">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7125" w:type="dxa"/>
            <w:gridSpan w:val="2"/>
            <w:noWrap w:val="0"/>
            <w:vAlign w:val="center"/>
          </w:tcPr>
          <w:p w14:paraId="5E5FC3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苯并【a】芘/（mg/kg）</w:t>
            </w:r>
          </w:p>
        </w:tc>
        <w:tc>
          <w:tcPr>
            <w:tcW w:w="1485" w:type="dxa"/>
            <w:noWrap w:val="0"/>
            <w:vAlign w:val="center"/>
          </w:tcPr>
          <w:p w14:paraId="091D6A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5E29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5DFD7251">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7125" w:type="dxa"/>
            <w:gridSpan w:val="2"/>
            <w:noWrap w:val="0"/>
            <w:vAlign w:val="center"/>
          </w:tcPr>
          <w:p w14:paraId="04795E5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短链氯化石蜡（C</w:t>
            </w:r>
            <w:r>
              <w:rPr>
                <w:rFonts w:hint="eastAsia" w:ascii="宋体" w:hAnsi="宋体" w:eastAsia="宋体" w:cs="宋体"/>
                <w:color w:val="auto"/>
                <w:sz w:val="24"/>
                <w:szCs w:val="24"/>
                <w:vertAlign w:val="subscript"/>
              </w:rPr>
              <w:t>10</w:t>
            </w:r>
            <w:r>
              <w:rPr>
                <w:rFonts w:hint="eastAsia" w:ascii="宋体" w:hAnsi="宋体" w:eastAsia="宋体" w:cs="宋体"/>
                <w:color w:val="auto"/>
                <w:sz w:val="24"/>
                <w:szCs w:val="24"/>
              </w:rPr>
              <w:t>-C</w:t>
            </w:r>
            <w:r>
              <w:rPr>
                <w:rFonts w:hint="eastAsia" w:ascii="宋体" w:hAnsi="宋体" w:eastAsia="宋体" w:cs="宋体"/>
                <w:color w:val="auto"/>
                <w:sz w:val="24"/>
                <w:szCs w:val="24"/>
                <w:vertAlign w:val="subscript"/>
              </w:rPr>
              <w:t>13</w:t>
            </w:r>
            <w:r>
              <w:rPr>
                <w:rFonts w:hint="eastAsia" w:ascii="宋体" w:hAnsi="宋体" w:eastAsia="宋体" w:cs="宋体"/>
                <w:color w:val="auto"/>
                <w:sz w:val="24"/>
                <w:szCs w:val="24"/>
              </w:rPr>
              <w:t>）/（g/kg）</w:t>
            </w:r>
          </w:p>
        </w:tc>
        <w:tc>
          <w:tcPr>
            <w:tcW w:w="1485" w:type="dxa"/>
            <w:noWrap w:val="0"/>
            <w:vAlign w:val="center"/>
          </w:tcPr>
          <w:p w14:paraId="534FE5A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0.1</w:t>
            </w:r>
          </w:p>
        </w:tc>
      </w:tr>
      <w:tr w14:paraId="701ED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9F4650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7125" w:type="dxa"/>
            <w:gridSpan w:val="2"/>
            <w:noWrap w:val="0"/>
            <w:vAlign w:val="center"/>
          </w:tcPr>
          <w:p w14:paraId="69AC820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4，4'-二氨基-3，3'-二氯二苯甲烷（MOCA）/（g/kg）</w:t>
            </w:r>
          </w:p>
        </w:tc>
        <w:tc>
          <w:tcPr>
            <w:tcW w:w="1485" w:type="dxa"/>
            <w:noWrap w:val="0"/>
            <w:vAlign w:val="center"/>
          </w:tcPr>
          <w:p w14:paraId="68290B9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0.5</w:t>
            </w:r>
          </w:p>
        </w:tc>
      </w:tr>
      <w:tr w14:paraId="17FC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44F4C08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7125" w:type="dxa"/>
            <w:gridSpan w:val="2"/>
            <w:noWrap w:val="0"/>
            <w:vAlign w:val="center"/>
          </w:tcPr>
          <w:p w14:paraId="5DBB08F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游离甲苯二异氰酸酯（TDI）和游离六亚甲基二异氰酸酯（HDI）总和/（g/kg）</w:t>
            </w:r>
          </w:p>
        </w:tc>
        <w:tc>
          <w:tcPr>
            <w:tcW w:w="1485" w:type="dxa"/>
            <w:noWrap w:val="0"/>
            <w:vAlign w:val="center"/>
          </w:tcPr>
          <w:p w14:paraId="3815A8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≤0.2</w:t>
            </w:r>
          </w:p>
        </w:tc>
      </w:tr>
      <w:tr w14:paraId="16377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21E387E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7125" w:type="dxa"/>
            <w:gridSpan w:val="2"/>
            <w:noWrap w:val="0"/>
            <w:vAlign w:val="center"/>
          </w:tcPr>
          <w:p w14:paraId="5433323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游离二苯基甲烷二异氰酸酯（MDI）/（g/kg）</w:t>
            </w:r>
          </w:p>
        </w:tc>
        <w:tc>
          <w:tcPr>
            <w:tcW w:w="1485" w:type="dxa"/>
            <w:noWrap w:val="0"/>
            <w:vAlign w:val="center"/>
          </w:tcPr>
          <w:p w14:paraId="423158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3ED5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restart"/>
            <w:noWrap w:val="0"/>
            <w:vAlign w:val="center"/>
          </w:tcPr>
          <w:p w14:paraId="3759257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3697" w:type="dxa"/>
            <w:vMerge w:val="restart"/>
            <w:noWrap w:val="0"/>
            <w:vAlign w:val="center"/>
          </w:tcPr>
          <w:p w14:paraId="4EF439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有害物质释放量</w:t>
            </w:r>
          </w:p>
        </w:tc>
        <w:tc>
          <w:tcPr>
            <w:tcW w:w="3428" w:type="dxa"/>
            <w:noWrap w:val="0"/>
            <w:vAlign w:val="center"/>
          </w:tcPr>
          <w:p w14:paraId="7C959AA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挥发性有机化合物（TVOC）/【mg/（㎡.h）】</w:t>
            </w:r>
          </w:p>
        </w:tc>
        <w:tc>
          <w:tcPr>
            <w:tcW w:w="1485" w:type="dxa"/>
            <w:noWrap w:val="0"/>
            <w:vAlign w:val="center"/>
          </w:tcPr>
          <w:p w14:paraId="00A1CD3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r>
      <w:tr w14:paraId="3B57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4ED9BC8F">
            <w:pPr>
              <w:jc w:val="center"/>
              <w:rPr>
                <w:rFonts w:hint="eastAsia" w:ascii="宋体" w:hAnsi="宋体" w:eastAsia="宋体" w:cs="宋体"/>
                <w:color w:val="auto"/>
                <w:sz w:val="24"/>
                <w:szCs w:val="24"/>
              </w:rPr>
            </w:pPr>
          </w:p>
        </w:tc>
        <w:tc>
          <w:tcPr>
            <w:tcW w:w="3697" w:type="dxa"/>
            <w:vMerge w:val="continue"/>
            <w:noWrap w:val="0"/>
            <w:vAlign w:val="center"/>
          </w:tcPr>
          <w:p w14:paraId="55BA3A6E">
            <w:pPr>
              <w:jc w:val="center"/>
              <w:rPr>
                <w:rFonts w:hint="eastAsia" w:ascii="宋体" w:hAnsi="宋体" w:eastAsia="宋体" w:cs="宋体"/>
                <w:color w:val="auto"/>
                <w:sz w:val="24"/>
                <w:szCs w:val="24"/>
              </w:rPr>
            </w:pPr>
          </w:p>
        </w:tc>
        <w:tc>
          <w:tcPr>
            <w:tcW w:w="3428" w:type="dxa"/>
            <w:noWrap w:val="0"/>
            <w:vAlign w:val="center"/>
          </w:tcPr>
          <w:p w14:paraId="2AB9407F">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苯</w:t>
            </w:r>
            <w:r>
              <w:rPr>
                <w:rFonts w:hint="eastAsia" w:ascii="宋体" w:hAnsi="宋体" w:eastAsia="宋体" w:cs="宋体"/>
                <w:color w:val="auto"/>
                <w:sz w:val="24"/>
                <w:szCs w:val="24"/>
              </w:rPr>
              <w:t>/【mg/（㎡.h）】</w:t>
            </w:r>
          </w:p>
        </w:tc>
        <w:tc>
          <w:tcPr>
            <w:tcW w:w="1485" w:type="dxa"/>
            <w:noWrap w:val="0"/>
            <w:vAlign w:val="center"/>
          </w:tcPr>
          <w:p w14:paraId="0ED6860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≤0.1</w:t>
            </w:r>
          </w:p>
        </w:tc>
      </w:tr>
      <w:tr w14:paraId="185F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54FAF188">
            <w:pPr>
              <w:jc w:val="center"/>
              <w:rPr>
                <w:rFonts w:hint="eastAsia" w:ascii="宋体" w:hAnsi="宋体" w:eastAsia="宋体" w:cs="宋体"/>
                <w:color w:val="auto"/>
                <w:sz w:val="24"/>
                <w:szCs w:val="24"/>
              </w:rPr>
            </w:pPr>
          </w:p>
        </w:tc>
        <w:tc>
          <w:tcPr>
            <w:tcW w:w="3697" w:type="dxa"/>
            <w:vMerge w:val="continue"/>
            <w:noWrap w:val="0"/>
            <w:vAlign w:val="center"/>
          </w:tcPr>
          <w:p w14:paraId="36D19C99">
            <w:pPr>
              <w:jc w:val="center"/>
              <w:rPr>
                <w:rFonts w:hint="eastAsia" w:ascii="宋体" w:hAnsi="宋体" w:eastAsia="宋体" w:cs="宋体"/>
                <w:color w:val="auto"/>
                <w:sz w:val="24"/>
                <w:szCs w:val="24"/>
              </w:rPr>
            </w:pPr>
          </w:p>
        </w:tc>
        <w:tc>
          <w:tcPr>
            <w:tcW w:w="3428" w:type="dxa"/>
            <w:noWrap w:val="0"/>
            <w:vAlign w:val="center"/>
          </w:tcPr>
          <w:p w14:paraId="6301395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甲苯、二甲苯和乙苯总和/【mg/（㎡.h）】</w:t>
            </w:r>
          </w:p>
        </w:tc>
        <w:tc>
          <w:tcPr>
            <w:tcW w:w="1485" w:type="dxa"/>
            <w:noWrap w:val="0"/>
            <w:vAlign w:val="center"/>
          </w:tcPr>
          <w:p w14:paraId="251233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4842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7BC7E526">
            <w:pPr>
              <w:jc w:val="center"/>
              <w:rPr>
                <w:rFonts w:hint="eastAsia" w:ascii="宋体" w:hAnsi="宋体" w:eastAsia="宋体" w:cs="宋体"/>
                <w:color w:val="auto"/>
                <w:sz w:val="24"/>
                <w:szCs w:val="24"/>
              </w:rPr>
            </w:pPr>
          </w:p>
        </w:tc>
        <w:tc>
          <w:tcPr>
            <w:tcW w:w="3697" w:type="dxa"/>
            <w:vMerge w:val="continue"/>
            <w:noWrap w:val="0"/>
            <w:vAlign w:val="center"/>
          </w:tcPr>
          <w:p w14:paraId="48F6F83F">
            <w:pPr>
              <w:jc w:val="center"/>
              <w:rPr>
                <w:rFonts w:hint="eastAsia" w:ascii="宋体" w:hAnsi="宋体" w:eastAsia="宋体" w:cs="宋体"/>
                <w:color w:val="auto"/>
                <w:sz w:val="24"/>
                <w:szCs w:val="24"/>
              </w:rPr>
            </w:pPr>
          </w:p>
        </w:tc>
        <w:tc>
          <w:tcPr>
            <w:tcW w:w="3428" w:type="dxa"/>
            <w:noWrap w:val="0"/>
            <w:vAlign w:val="center"/>
          </w:tcPr>
          <w:p w14:paraId="15D0038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甲醛/【mg/（㎡.h）】</w:t>
            </w:r>
          </w:p>
        </w:tc>
        <w:tc>
          <w:tcPr>
            <w:tcW w:w="1485" w:type="dxa"/>
            <w:noWrap w:val="0"/>
            <w:vAlign w:val="center"/>
          </w:tcPr>
          <w:p w14:paraId="3BDFD4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≤0.4</w:t>
            </w:r>
          </w:p>
        </w:tc>
      </w:tr>
      <w:tr w14:paraId="5424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104B881C">
            <w:pPr>
              <w:jc w:val="center"/>
              <w:rPr>
                <w:rFonts w:hint="eastAsia" w:ascii="宋体" w:hAnsi="宋体" w:eastAsia="宋体" w:cs="宋体"/>
                <w:color w:val="auto"/>
                <w:sz w:val="24"/>
                <w:szCs w:val="24"/>
              </w:rPr>
            </w:pPr>
          </w:p>
        </w:tc>
        <w:tc>
          <w:tcPr>
            <w:tcW w:w="3697" w:type="dxa"/>
            <w:vMerge w:val="continue"/>
            <w:noWrap w:val="0"/>
            <w:vAlign w:val="center"/>
          </w:tcPr>
          <w:p w14:paraId="1AB4DFB7">
            <w:pPr>
              <w:jc w:val="center"/>
              <w:rPr>
                <w:rFonts w:hint="eastAsia" w:ascii="宋体" w:hAnsi="宋体" w:eastAsia="宋体" w:cs="宋体"/>
                <w:color w:val="auto"/>
                <w:sz w:val="24"/>
                <w:szCs w:val="24"/>
              </w:rPr>
            </w:pPr>
          </w:p>
        </w:tc>
        <w:tc>
          <w:tcPr>
            <w:tcW w:w="3428" w:type="dxa"/>
            <w:noWrap w:val="0"/>
            <w:vAlign w:val="center"/>
          </w:tcPr>
          <w:p w14:paraId="63EDAE7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二硫化碳/【mg/（㎡.h）】</w:t>
            </w:r>
          </w:p>
        </w:tc>
        <w:tc>
          <w:tcPr>
            <w:tcW w:w="1485" w:type="dxa"/>
            <w:noWrap w:val="0"/>
            <w:vAlign w:val="center"/>
          </w:tcPr>
          <w:p w14:paraId="4B7D101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≤7.0</w:t>
            </w:r>
          </w:p>
        </w:tc>
      </w:tr>
      <w:tr w14:paraId="32E8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restart"/>
            <w:noWrap w:val="0"/>
            <w:vAlign w:val="center"/>
          </w:tcPr>
          <w:p w14:paraId="5D28FA1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p>
        </w:tc>
        <w:tc>
          <w:tcPr>
            <w:tcW w:w="3697" w:type="dxa"/>
            <w:vMerge w:val="restart"/>
            <w:noWrap w:val="0"/>
            <w:vAlign w:val="center"/>
          </w:tcPr>
          <w:p w14:paraId="6CEF248D">
            <w:pPr>
              <w:jc w:val="center"/>
              <w:rPr>
                <w:rFonts w:hint="eastAsia" w:ascii="宋体" w:hAnsi="宋体" w:eastAsia="宋体" w:cs="宋体"/>
                <w:color w:val="auto"/>
                <w:sz w:val="24"/>
                <w:szCs w:val="24"/>
              </w:rPr>
            </w:pPr>
          </w:p>
          <w:p w14:paraId="1943902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有害物质含量</w:t>
            </w:r>
          </w:p>
        </w:tc>
        <w:tc>
          <w:tcPr>
            <w:tcW w:w="3428" w:type="dxa"/>
            <w:noWrap w:val="0"/>
            <w:vAlign w:val="center"/>
          </w:tcPr>
          <w:p w14:paraId="3DDFF5E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可溶性铅/（mg/kg）</w:t>
            </w:r>
          </w:p>
        </w:tc>
        <w:tc>
          <w:tcPr>
            <w:tcW w:w="1485" w:type="dxa"/>
            <w:noWrap w:val="0"/>
            <w:vAlign w:val="center"/>
          </w:tcPr>
          <w:p w14:paraId="66CDE4D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r>
      <w:tr w14:paraId="1F8F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6D9BAB22">
            <w:pPr>
              <w:jc w:val="center"/>
              <w:rPr>
                <w:rFonts w:hint="eastAsia" w:ascii="宋体" w:hAnsi="宋体" w:eastAsia="宋体" w:cs="宋体"/>
                <w:color w:val="auto"/>
                <w:sz w:val="24"/>
                <w:szCs w:val="24"/>
              </w:rPr>
            </w:pPr>
          </w:p>
        </w:tc>
        <w:tc>
          <w:tcPr>
            <w:tcW w:w="3697" w:type="dxa"/>
            <w:vMerge w:val="continue"/>
            <w:noWrap w:val="0"/>
            <w:vAlign w:val="center"/>
          </w:tcPr>
          <w:p w14:paraId="1CB76267">
            <w:pPr>
              <w:jc w:val="center"/>
              <w:rPr>
                <w:rFonts w:hint="eastAsia" w:ascii="宋体" w:hAnsi="宋体" w:eastAsia="宋体" w:cs="宋体"/>
                <w:color w:val="auto"/>
                <w:sz w:val="24"/>
                <w:szCs w:val="24"/>
              </w:rPr>
            </w:pPr>
          </w:p>
        </w:tc>
        <w:tc>
          <w:tcPr>
            <w:tcW w:w="3428" w:type="dxa"/>
            <w:noWrap w:val="0"/>
            <w:vAlign w:val="center"/>
          </w:tcPr>
          <w:p w14:paraId="3466AF7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可溶性镉/（mg/kg）</w:t>
            </w:r>
          </w:p>
        </w:tc>
        <w:tc>
          <w:tcPr>
            <w:tcW w:w="1485" w:type="dxa"/>
            <w:noWrap w:val="0"/>
            <w:vAlign w:val="center"/>
          </w:tcPr>
          <w:p w14:paraId="1B2694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22D2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045977DE">
            <w:pPr>
              <w:jc w:val="center"/>
              <w:rPr>
                <w:rFonts w:hint="eastAsia" w:ascii="宋体" w:hAnsi="宋体" w:eastAsia="宋体" w:cs="宋体"/>
                <w:color w:val="auto"/>
                <w:sz w:val="24"/>
                <w:szCs w:val="24"/>
              </w:rPr>
            </w:pPr>
          </w:p>
        </w:tc>
        <w:tc>
          <w:tcPr>
            <w:tcW w:w="3697" w:type="dxa"/>
            <w:vMerge w:val="continue"/>
            <w:noWrap w:val="0"/>
            <w:vAlign w:val="center"/>
          </w:tcPr>
          <w:p w14:paraId="2C24B1B4">
            <w:pPr>
              <w:jc w:val="center"/>
              <w:rPr>
                <w:rFonts w:hint="eastAsia" w:ascii="宋体" w:hAnsi="宋体" w:eastAsia="宋体" w:cs="宋体"/>
                <w:color w:val="auto"/>
                <w:sz w:val="24"/>
                <w:szCs w:val="24"/>
              </w:rPr>
            </w:pPr>
          </w:p>
        </w:tc>
        <w:tc>
          <w:tcPr>
            <w:tcW w:w="3428" w:type="dxa"/>
            <w:noWrap w:val="0"/>
            <w:vAlign w:val="center"/>
          </w:tcPr>
          <w:p w14:paraId="3B8A43C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可溶性铬/（mg/kg）</w:t>
            </w:r>
          </w:p>
        </w:tc>
        <w:tc>
          <w:tcPr>
            <w:tcW w:w="1485" w:type="dxa"/>
            <w:noWrap w:val="0"/>
            <w:vAlign w:val="center"/>
          </w:tcPr>
          <w:p w14:paraId="2FED162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4857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2091EE8C">
            <w:pPr>
              <w:jc w:val="center"/>
              <w:rPr>
                <w:rFonts w:hint="eastAsia" w:ascii="宋体" w:hAnsi="宋体" w:eastAsia="宋体" w:cs="宋体"/>
                <w:color w:val="auto"/>
                <w:sz w:val="24"/>
                <w:szCs w:val="24"/>
              </w:rPr>
            </w:pPr>
          </w:p>
        </w:tc>
        <w:tc>
          <w:tcPr>
            <w:tcW w:w="3697" w:type="dxa"/>
            <w:vMerge w:val="continue"/>
            <w:noWrap w:val="0"/>
            <w:vAlign w:val="center"/>
          </w:tcPr>
          <w:p w14:paraId="7E40075E">
            <w:pPr>
              <w:jc w:val="center"/>
              <w:rPr>
                <w:rFonts w:hint="eastAsia" w:ascii="宋体" w:hAnsi="宋体" w:eastAsia="宋体" w:cs="宋体"/>
                <w:color w:val="auto"/>
                <w:sz w:val="24"/>
                <w:szCs w:val="24"/>
              </w:rPr>
            </w:pPr>
          </w:p>
        </w:tc>
        <w:tc>
          <w:tcPr>
            <w:tcW w:w="3428" w:type="dxa"/>
            <w:noWrap w:val="0"/>
            <w:vAlign w:val="center"/>
          </w:tcPr>
          <w:p w14:paraId="16E8058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可溶性汞/（mg/kg）</w:t>
            </w:r>
          </w:p>
        </w:tc>
        <w:tc>
          <w:tcPr>
            <w:tcW w:w="1485" w:type="dxa"/>
            <w:noWrap w:val="0"/>
            <w:vAlign w:val="center"/>
          </w:tcPr>
          <w:p w14:paraId="2FE33B0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r>
      <w:tr w14:paraId="37EF7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3FC872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3697" w:type="dxa"/>
            <w:noWrap w:val="0"/>
            <w:vAlign w:val="center"/>
          </w:tcPr>
          <w:p w14:paraId="7B4D035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气味</w:t>
            </w:r>
          </w:p>
        </w:tc>
        <w:tc>
          <w:tcPr>
            <w:tcW w:w="3428" w:type="dxa"/>
            <w:noWrap w:val="0"/>
            <w:vAlign w:val="center"/>
          </w:tcPr>
          <w:p w14:paraId="78F065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气味等级/级</w:t>
            </w:r>
          </w:p>
        </w:tc>
        <w:tc>
          <w:tcPr>
            <w:tcW w:w="1485" w:type="dxa"/>
            <w:noWrap w:val="0"/>
            <w:vAlign w:val="center"/>
          </w:tcPr>
          <w:p w14:paraId="2FBBD4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r>
      <w:tr w14:paraId="254F7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35" w:type="dxa"/>
            <w:noWrap w:val="0"/>
            <w:vAlign w:val="center"/>
          </w:tcPr>
          <w:p w14:paraId="2BFB88C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7125" w:type="dxa"/>
            <w:gridSpan w:val="2"/>
            <w:noWrap w:val="0"/>
            <w:vAlign w:val="center"/>
          </w:tcPr>
          <w:p w14:paraId="4E3E467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无机填料含量/%</w:t>
            </w:r>
          </w:p>
        </w:tc>
        <w:tc>
          <w:tcPr>
            <w:tcW w:w="1485" w:type="dxa"/>
            <w:noWrap w:val="0"/>
            <w:vAlign w:val="center"/>
          </w:tcPr>
          <w:p w14:paraId="1E067B85">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0</w:t>
            </w:r>
          </w:p>
        </w:tc>
      </w:tr>
    </w:tbl>
    <w:p w14:paraId="2CA9CD8D">
      <w:pPr>
        <w:numPr>
          <w:ilvl w:val="0"/>
          <w:numId w:val="6"/>
        </w:numPr>
        <w:spacing w:line="60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“硅PU面层”物理机械性能</w:t>
      </w:r>
      <w:r>
        <w:rPr>
          <w:rFonts w:hint="eastAsia" w:ascii="宋体" w:hAnsi="宋体" w:eastAsia="宋体" w:cs="宋体"/>
          <w:bCs/>
          <w:color w:val="auto"/>
          <w:kern w:val="0"/>
          <w:sz w:val="24"/>
          <w:szCs w:val="24"/>
          <w:highlight w:val="none"/>
        </w:rPr>
        <w:t>：</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125"/>
        <w:gridCol w:w="1485"/>
      </w:tblGrid>
      <w:tr w14:paraId="5527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609E31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125" w:type="dxa"/>
            <w:noWrap w:val="0"/>
            <w:vAlign w:val="center"/>
          </w:tcPr>
          <w:p w14:paraId="2522A5C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检验项目</w:t>
            </w:r>
          </w:p>
        </w:tc>
        <w:tc>
          <w:tcPr>
            <w:tcW w:w="1485" w:type="dxa"/>
            <w:noWrap w:val="0"/>
            <w:vAlign w:val="center"/>
          </w:tcPr>
          <w:p w14:paraId="1619A4D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标准要求</w:t>
            </w:r>
          </w:p>
        </w:tc>
      </w:tr>
      <w:tr w14:paraId="2883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45" w:type="dxa"/>
            <w:gridSpan w:val="3"/>
            <w:noWrap w:val="0"/>
            <w:vAlign w:val="center"/>
          </w:tcPr>
          <w:p w14:paraId="7645813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物理机械性能</w:t>
            </w:r>
          </w:p>
        </w:tc>
      </w:tr>
      <w:tr w14:paraId="1A53E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3528DB9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125" w:type="dxa"/>
            <w:noWrap w:val="0"/>
            <w:vAlign w:val="center"/>
          </w:tcPr>
          <w:p w14:paraId="648018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冲击吸收/%</w:t>
            </w:r>
          </w:p>
        </w:tc>
        <w:tc>
          <w:tcPr>
            <w:tcW w:w="1485" w:type="dxa"/>
            <w:noWrap w:val="0"/>
            <w:vAlign w:val="center"/>
          </w:tcPr>
          <w:p w14:paraId="414E96E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-50</w:t>
            </w:r>
          </w:p>
        </w:tc>
      </w:tr>
      <w:tr w14:paraId="2F71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2E0FADA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125" w:type="dxa"/>
            <w:noWrap w:val="0"/>
            <w:vAlign w:val="center"/>
          </w:tcPr>
          <w:p w14:paraId="24FF57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垂直变形/mm</w:t>
            </w:r>
          </w:p>
        </w:tc>
        <w:tc>
          <w:tcPr>
            <w:tcW w:w="1485" w:type="dxa"/>
            <w:noWrap w:val="0"/>
            <w:vAlign w:val="center"/>
          </w:tcPr>
          <w:p w14:paraId="23FC48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0.6-3.0</w:t>
            </w:r>
          </w:p>
        </w:tc>
      </w:tr>
      <w:tr w14:paraId="7148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A3D765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125" w:type="dxa"/>
            <w:noWrap w:val="0"/>
            <w:vAlign w:val="center"/>
          </w:tcPr>
          <w:p w14:paraId="3C0A282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球反弹率/%</w:t>
            </w:r>
          </w:p>
        </w:tc>
        <w:tc>
          <w:tcPr>
            <w:tcW w:w="1485" w:type="dxa"/>
            <w:noWrap w:val="0"/>
            <w:vAlign w:val="center"/>
          </w:tcPr>
          <w:p w14:paraId="3642282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75</w:t>
            </w:r>
          </w:p>
        </w:tc>
      </w:tr>
      <w:tr w14:paraId="2A7E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69A01FD2">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7125" w:type="dxa"/>
            <w:noWrap w:val="0"/>
            <w:vAlign w:val="center"/>
          </w:tcPr>
          <w:p w14:paraId="5FC32A1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拉伸强度/MPa</w:t>
            </w:r>
          </w:p>
        </w:tc>
        <w:tc>
          <w:tcPr>
            <w:tcW w:w="1485" w:type="dxa"/>
            <w:noWrap w:val="0"/>
            <w:vAlign w:val="center"/>
          </w:tcPr>
          <w:p w14:paraId="35E0ED0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≥0.</w:t>
            </w:r>
            <w:r>
              <w:rPr>
                <w:rFonts w:hint="eastAsia" w:ascii="宋体" w:hAnsi="宋体" w:eastAsia="宋体" w:cs="宋体"/>
                <w:color w:val="auto"/>
                <w:sz w:val="24"/>
                <w:szCs w:val="24"/>
                <w:lang w:val="en-US" w:eastAsia="zh-CN"/>
              </w:rPr>
              <w:t>50</w:t>
            </w:r>
          </w:p>
        </w:tc>
      </w:tr>
      <w:tr w14:paraId="006D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22AF9EF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7125" w:type="dxa"/>
            <w:noWrap w:val="0"/>
            <w:vAlign w:val="center"/>
          </w:tcPr>
          <w:p w14:paraId="2190135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拉断伸长率/%</w:t>
            </w:r>
          </w:p>
        </w:tc>
        <w:tc>
          <w:tcPr>
            <w:tcW w:w="1485" w:type="dxa"/>
            <w:noWrap w:val="0"/>
            <w:vAlign w:val="center"/>
          </w:tcPr>
          <w:p w14:paraId="71C7DD2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w:t>
            </w:r>
          </w:p>
        </w:tc>
      </w:tr>
      <w:tr w14:paraId="264D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3883485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7125" w:type="dxa"/>
            <w:noWrap w:val="0"/>
            <w:vAlign w:val="center"/>
          </w:tcPr>
          <w:p w14:paraId="6339C47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抗滑值（20℃）/BPN</w:t>
            </w:r>
          </w:p>
        </w:tc>
        <w:tc>
          <w:tcPr>
            <w:tcW w:w="1485" w:type="dxa"/>
            <w:noWrap w:val="0"/>
            <w:vAlign w:val="center"/>
          </w:tcPr>
          <w:p w14:paraId="4FC1803C">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80-110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干</w:t>
            </w:r>
            <w:r>
              <w:rPr>
                <w:rFonts w:hint="eastAsia" w:ascii="宋体" w:hAnsi="宋体" w:eastAsia="宋体" w:cs="宋体"/>
                <w:color w:val="auto"/>
                <w:sz w:val="24"/>
                <w:szCs w:val="24"/>
              </w:rPr>
              <w:t>测）</w:t>
            </w:r>
          </w:p>
        </w:tc>
      </w:tr>
      <w:tr w14:paraId="258D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1C882EA">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7125" w:type="dxa"/>
            <w:noWrap w:val="0"/>
            <w:vAlign w:val="center"/>
          </w:tcPr>
          <w:p w14:paraId="0B37E912">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阻燃性能/级</w:t>
            </w:r>
          </w:p>
        </w:tc>
        <w:tc>
          <w:tcPr>
            <w:tcW w:w="1485" w:type="dxa"/>
            <w:noWrap w:val="0"/>
            <w:vAlign w:val="center"/>
          </w:tcPr>
          <w:p w14:paraId="0BC6FAF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I</w:t>
            </w:r>
          </w:p>
        </w:tc>
      </w:tr>
      <w:tr w14:paraId="60D0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4849152F">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7125" w:type="dxa"/>
            <w:noWrap w:val="0"/>
            <w:vAlign w:val="center"/>
          </w:tcPr>
          <w:p w14:paraId="0491AD7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色牢度</w:t>
            </w:r>
          </w:p>
        </w:tc>
        <w:tc>
          <w:tcPr>
            <w:tcW w:w="1485" w:type="dxa"/>
            <w:noWrap w:val="0"/>
            <w:vAlign w:val="center"/>
          </w:tcPr>
          <w:p w14:paraId="731E244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干、</w:t>
            </w:r>
            <w:r>
              <w:rPr>
                <w:rFonts w:hint="eastAsia" w:ascii="宋体" w:hAnsi="宋体" w:eastAsia="宋体" w:cs="宋体"/>
                <w:color w:val="auto"/>
                <w:sz w:val="24"/>
                <w:szCs w:val="24"/>
                <w:highlight w:val="none"/>
              </w:rPr>
              <w:t>湿</w:t>
            </w:r>
            <w:r>
              <w:rPr>
                <w:rFonts w:hint="eastAsia" w:ascii="宋体" w:hAnsi="宋体" w:eastAsia="宋体" w:cs="宋体"/>
                <w:color w:val="auto"/>
                <w:sz w:val="24"/>
                <w:szCs w:val="24"/>
                <w:highlight w:val="none"/>
                <w:lang w:val="en-US" w:eastAsia="zh-CN"/>
              </w:rPr>
              <w:t>两种条件下均无脱色</w:t>
            </w:r>
          </w:p>
        </w:tc>
      </w:tr>
      <w:tr w14:paraId="647FA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45" w:type="dxa"/>
            <w:gridSpan w:val="3"/>
            <w:noWrap w:val="0"/>
            <w:vAlign w:val="center"/>
          </w:tcPr>
          <w:p w14:paraId="165BAD3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耐老化性能</w:t>
            </w:r>
          </w:p>
        </w:tc>
      </w:tr>
      <w:tr w14:paraId="2D64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5628EC5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610" w:type="dxa"/>
            <w:gridSpan w:val="2"/>
            <w:noWrap w:val="0"/>
            <w:vAlign w:val="center"/>
          </w:tcPr>
          <w:p w14:paraId="5684993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合成材料面层人工气候加速老化1500h后，拉伸强度和拉断伸长率应符合上表要求。</w:t>
            </w:r>
          </w:p>
        </w:tc>
      </w:tr>
      <w:tr w14:paraId="25E9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76F3D4F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610" w:type="dxa"/>
            <w:gridSpan w:val="2"/>
            <w:noWrap w:val="0"/>
            <w:vAlign w:val="center"/>
          </w:tcPr>
          <w:p w14:paraId="1579093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合成材料面层湿热老化336h后，拉伸强度和拉断伸长率应符合上表要求，且老化后测定值应不低于老化前测定值的80%。</w:t>
            </w:r>
          </w:p>
        </w:tc>
      </w:tr>
    </w:tbl>
    <w:p w14:paraId="0D760AE2">
      <w:pPr>
        <w:keepNext w:val="0"/>
        <w:keepLines w:val="0"/>
        <w:pageBreakBefore w:val="0"/>
        <w:widowControl w:val="0"/>
        <w:kinsoku/>
        <w:wordWrap/>
        <w:overflowPunct/>
        <w:topLinePunct w:val="0"/>
        <w:bidi w:val="0"/>
        <w:adjustRightInd w:val="0"/>
        <w:snapToGrid/>
        <w:spacing w:line="6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6、“硅PU面层”化学性能</w:t>
      </w:r>
      <w:r>
        <w:rPr>
          <w:rFonts w:hint="eastAsia" w:ascii="宋体" w:hAnsi="宋体" w:eastAsia="宋体" w:cs="宋体"/>
          <w:bCs/>
          <w:color w:val="auto"/>
          <w:kern w:val="0"/>
          <w:sz w:val="24"/>
          <w:szCs w:val="24"/>
          <w:highlight w:val="none"/>
        </w:rPr>
        <w:t>：</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97"/>
        <w:gridCol w:w="3428"/>
        <w:gridCol w:w="1485"/>
      </w:tblGrid>
      <w:tr w14:paraId="34FDD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53CA0CC4">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序号</w:t>
            </w:r>
          </w:p>
        </w:tc>
        <w:tc>
          <w:tcPr>
            <w:tcW w:w="7125" w:type="dxa"/>
            <w:gridSpan w:val="2"/>
            <w:noWrap w:val="0"/>
            <w:vAlign w:val="center"/>
          </w:tcPr>
          <w:p w14:paraId="080F9AC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检验项目</w:t>
            </w:r>
          </w:p>
        </w:tc>
        <w:tc>
          <w:tcPr>
            <w:tcW w:w="1485" w:type="dxa"/>
            <w:noWrap w:val="0"/>
            <w:vAlign w:val="center"/>
          </w:tcPr>
          <w:p w14:paraId="1B062B9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标准要求</w:t>
            </w:r>
          </w:p>
        </w:tc>
      </w:tr>
      <w:tr w14:paraId="197F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35" w:type="dxa"/>
            <w:noWrap w:val="0"/>
            <w:vAlign w:val="center"/>
          </w:tcPr>
          <w:p w14:paraId="420BC01E">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p>
        </w:tc>
        <w:tc>
          <w:tcPr>
            <w:tcW w:w="7125" w:type="dxa"/>
            <w:gridSpan w:val="2"/>
            <w:noWrap w:val="0"/>
            <w:vAlign w:val="center"/>
          </w:tcPr>
          <w:p w14:paraId="23DF7A97">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3种邻苯二甲酸酯类化合物（DBP、BBP、DEHP）总和/（g/kg）</w:t>
            </w:r>
          </w:p>
        </w:tc>
        <w:tc>
          <w:tcPr>
            <w:tcW w:w="1485" w:type="dxa"/>
            <w:noWrap w:val="0"/>
            <w:vAlign w:val="center"/>
          </w:tcPr>
          <w:p w14:paraId="51A89CB8">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≤1.0</w:t>
            </w:r>
          </w:p>
        </w:tc>
      </w:tr>
      <w:tr w14:paraId="75EEA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522DB72E">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7125" w:type="dxa"/>
            <w:gridSpan w:val="2"/>
            <w:noWrap w:val="0"/>
            <w:vAlign w:val="center"/>
          </w:tcPr>
          <w:p w14:paraId="5EF6EE9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3种邻苯二甲酸酯类化合物（DNOP、DINP、DIDP）总和/（g/kg）</w:t>
            </w:r>
          </w:p>
        </w:tc>
        <w:tc>
          <w:tcPr>
            <w:tcW w:w="1485" w:type="dxa"/>
            <w:noWrap w:val="0"/>
            <w:vAlign w:val="center"/>
          </w:tcPr>
          <w:p w14:paraId="38C9E3C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1DBF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restart"/>
            <w:noWrap w:val="0"/>
            <w:vAlign w:val="center"/>
          </w:tcPr>
          <w:p w14:paraId="660E7640">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7125" w:type="dxa"/>
            <w:gridSpan w:val="2"/>
            <w:vMerge w:val="restart"/>
            <w:noWrap w:val="0"/>
            <w:vAlign w:val="center"/>
          </w:tcPr>
          <w:p w14:paraId="0FAF6D3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18种多环芳烃总和/（mg/kg）</w:t>
            </w:r>
          </w:p>
        </w:tc>
        <w:tc>
          <w:tcPr>
            <w:tcW w:w="1485" w:type="dxa"/>
            <w:noWrap w:val="0"/>
            <w:vAlign w:val="center"/>
          </w:tcPr>
          <w:p w14:paraId="40AC02C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r>
      <w:tr w14:paraId="61320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088C080D">
            <w:pPr>
              <w:spacing w:line="240" w:lineRule="auto"/>
              <w:jc w:val="center"/>
              <w:rPr>
                <w:rFonts w:hint="eastAsia" w:ascii="宋体" w:hAnsi="宋体" w:eastAsia="宋体" w:cs="宋体"/>
                <w:color w:val="auto"/>
                <w:sz w:val="24"/>
                <w:szCs w:val="24"/>
              </w:rPr>
            </w:pPr>
          </w:p>
        </w:tc>
        <w:tc>
          <w:tcPr>
            <w:tcW w:w="7125" w:type="dxa"/>
            <w:gridSpan w:val="2"/>
            <w:vMerge w:val="continue"/>
            <w:noWrap w:val="0"/>
            <w:vAlign w:val="center"/>
          </w:tcPr>
          <w:p w14:paraId="3270F2DC">
            <w:pPr>
              <w:spacing w:line="240" w:lineRule="auto"/>
              <w:jc w:val="center"/>
              <w:rPr>
                <w:rFonts w:hint="eastAsia" w:ascii="宋体" w:hAnsi="宋体" w:eastAsia="宋体" w:cs="宋体"/>
                <w:color w:val="auto"/>
                <w:sz w:val="24"/>
                <w:szCs w:val="24"/>
              </w:rPr>
            </w:pPr>
          </w:p>
        </w:tc>
        <w:tc>
          <w:tcPr>
            <w:tcW w:w="1485" w:type="dxa"/>
            <w:noWrap w:val="0"/>
            <w:vAlign w:val="center"/>
          </w:tcPr>
          <w:p w14:paraId="4A6459A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r>
      <w:tr w14:paraId="71FA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75497A8C">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7125" w:type="dxa"/>
            <w:gridSpan w:val="2"/>
            <w:noWrap w:val="0"/>
            <w:vAlign w:val="center"/>
          </w:tcPr>
          <w:p w14:paraId="6B89B64E">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苯并【a】芘/（mg/kg）</w:t>
            </w:r>
          </w:p>
        </w:tc>
        <w:tc>
          <w:tcPr>
            <w:tcW w:w="1485" w:type="dxa"/>
            <w:noWrap w:val="0"/>
            <w:vAlign w:val="center"/>
          </w:tcPr>
          <w:p w14:paraId="1D2ABDA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49C3D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01279581">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7125" w:type="dxa"/>
            <w:gridSpan w:val="2"/>
            <w:noWrap w:val="0"/>
            <w:vAlign w:val="center"/>
          </w:tcPr>
          <w:p w14:paraId="31F0967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短链氯化石蜡（C</w:t>
            </w:r>
            <w:r>
              <w:rPr>
                <w:rFonts w:hint="eastAsia" w:ascii="宋体" w:hAnsi="宋体" w:eastAsia="宋体" w:cs="宋体"/>
                <w:color w:val="auto"/>
                <w:sz w:val="24"/>
                <w:szCs w:val="24"/>
                <w:vertAlign w:val="subscript"/>
              </w:rPr>
              <w:t>10</w:t>
            </w:r>
            <w:r>
              <w:rPr>
                <w:rFonts w:hint="eastAsia" w:ascii="宋体" w:hAnsi="宋体" w:eastAsia="宋体" w:cs="宋体"/>
                <w:color w:val="auto"/>
                <w:sz w:val="24"/>
                <w:szCs w:val="24"/>
              </w:rPr>
              <w:t>-C</w:t>
            </w:r>
            <w:r>
              <w:rPr>
                <w:rFonts w:hint="eastAsia" w:ascii="宋体" w:hAnsi="宋体" w:eastAsia="宋体" w:cs="宋体"/>
                <w:color w:val="auto"/>
                <w:sz w:val="24"/>
                <w:szCs w:val="24"/>
                <w:vertAlign w:val="subscript"/>
              </w:rPr>
              <w:t>13</w:t>
            </w:r>
            <w:r>
              <w:rPr>
                <w:rFonts w:hint="eastAsia" w:ascii="宋体" w:hAnsi="宋体" w:eastAsia="宋体" w:cs="宋体"/>
                <w:color w:val="auto"/>
                <w:sz w:val="24"/>
                <w:szCs w:val="24"/>
              </w:rPr>
              <w:t>）/（g/kg）</w:t>
            </w:r>
          </w:p>
        </w:tc>
        <w:tc>
          <w:tcPr>
            <w:tcW w:w="1485" w:type="dxa"/>
            <w:noWrap w:val="0"/>
            <w:vAlign w:val="center"/>
          </w:tcPr>
          <w:p w14:paraId="7EABF79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0.1</w:t>
            </w:r>
          </w:p>
        </w:tc>
      </w:tr>
      <w:tr w14:paraId="08C8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6FD5FBAB">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7125" w:type="dxa"/>
            <w:gridSpan w:val="2"/>
            <w:noWrap w:val="0"/>
            <w:vAlign w:val="center"/>
          </w:tcPr>
          <w:p w14:paraId="40C46FD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4，4'-二氨基-3，3'-二氯二苯甲烷（MOCA）/（g/kg）</w:t>
            </w:r>
          </w:p>
        </w:tc>
        <w:tc>
          <w:tcPr>
            <w:tcW w:w="1485" w:type="dxa"/>
            <w:noWrap w:val="0"/>
            <w:vAlign w:val="center"/>
          </w:tcPr>
          <w:p w14:paraId="651D6B2C">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0.5</w:t>
            </w:r>
          </w:p>
        </w:tc>
      </w:tr>
      <w:tr w14:paraId="10B7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6E666A93">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7125" w:type="dxa"/>
            <w:gridSpan w:val="2"/>
            <w:noWrap w:val="0"/>
            <w:vAlign w:val="center"/>
          </w:tcPr>
          <w:p w14:paraId="09118446">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游离甲苯二异氰酸酯（TDI）和游离六亚甲基二异氰酸酯（HDI）总和/（g/kg）</w:t>
            </w:r>
          </w:p>
        </w:tc>
        <w:tc>
          <w:tcPr>
            <w:tcW w:w="1485" w:type="dxa"/>
            <w:noWrap w:val="0"/>
            <w:vAlign w:val="center"/>
          </w:tcPr>
          <w:p w14:paraId="15A8A7A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≤0.2</w:t>
            </w:r>
          </w:p>
        </w:tc>
      </w:tr>
      <w:tr w14:paraId="520D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3401577E">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7125" w:type="dxa"/>
            <w:gridSpan w:val="2"/>
            <w:noWrap w:val="0"/>
            <w:vAlign w:val="center"/>
          </w:tcPr>
          <w:p w14:paraId="4B74E9E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游离二苯基甲烷二异氰酸酯（MDI）/（g/kg）</w:t>
            </w:r>
          </w:p>
        </w:tc>
        <w:tc>
          <w:tcPr>
            <w:tcW w:w="1485" w:type="dxa"/>
            <w:noWrap w:val="0"/>
            <w:vAlign w:val="center"/>
          </w:tcPr>
          <w:p w14:paraId="6DDB092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2910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restart"/>
            <w:noWrap w:val="0"/>
            <w:vAlign w:val="center"/>
          </w:tcPr>
          <w:p w14:paraId="3F8C13B7">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3697" w:type="dxa"/>
            <w:vMerge w:val="restart"/>
            <w:noWrap w:val="0"/>
            <w:vAlign w:val="center"/>
          </w:tcPr>
          <w:p w14:paraId="7DA7A36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有害物质释放量</w:t>
            </w:r>
          </w:p>
        </w:tc>
        <w:tc>
          <w:tcPr>
            <w:tcW w:w="3428" w:type="dxa"/>
            <w:noWrap w:val="0"/>
            <w:vAlign w:val="center"/>
          </w:tcPr>
          <w:p w14:paraId="34D01F7B">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挥发性有机化合物（TVOC）/【mg/（㎡.h）】</w:t>
            </w:r>
          </w:p>
        </w:tc>
        <w:tc>
          <w:tcPr>
            <w:tcW w:w="1485" w:type="dxa"/>
            <w:noWrap w:val="0"/>
            <w:vAlign w:val="center"/>
          </w:tcPr>
          <w:p w14:paraId="29B3F8C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r>
      <w:tr w14:paraId="44F2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37510450">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5762E4F2">
            <w:pPr>
              <w:spacing w:line="240" w:lineRule="auto"/>
              <w:jc w:val="center"/>
              <w:rPr>
                <w:rFonts w:hint="eastAsia" w:ascii="宋体" w:hAnsi="宋体" w:eastAsia="宋体" w:cs="宋体"/>
                <w:color w:val="auto"/>
                <w:sz w:val="24"/>
                <w:szCs w:val="24"/>
              </w:rPr>
            </w:pPr>
          </w:p>
        </w:tc>
        <w:tc>
          <w:tcPr>
            <w:tcW w:w="3428" w:type="dxa"/>
            <w:noWrap w:val="0"/>
            <w:vAlign w:val="center"/>
          </w:tcPr>
          <w:p w14:paraId="6D254DA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苯</w:t>
            </w:r>
            <w:r>
              <w:rPr>
                <w:rFonts w:hint="eastAsia" w:ascii="宋体" w:hAnsi="宋体" w:eastAsia="宋体" w:cs="宋体"/>
                <w:color w:val="auto"/>
                <w:sz w:val="24"/>
                <w:szCs w:val="24"/>
              </w:rPr>
              <w:t>/【mg/（㎡.h）】</w:t>
            </w:r>
          </w:p>
        </w:tc>
        <w:tc>
          <w:tcPr>
            <w:tcW w:w="1485" w:type="dxa"/>
            <w:noWrap w:val="0"/>
            <w:vAlign w:val="center"/>
          </w:tcPr>
          <w:p w14:paraId="784B2A9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≤0.1</w:t>
            </w:r>
          </w:p>
        </w:tc>
      </w:tr>
      <w:tr w14:paraId="5527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5A8A6B9E">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29E9A99C">
            <w:pPr>
              <w:spacing w:line="240" w:lineRule="auto"/>
              <w:jc w:val="center"/>
              <w:rPr>
                <w:rFonts w:hint="eastAsia" w:ascii="宋体" w:hAnsi="宋体" w:eastAsia="宋体" w:cs="宋体"/>
                <w:color w:val="auto"/>
                <w:sz w:val="24"/>
                <w:szCs w:val="24"/>
              </w:rPr>
            </w:pPr>
          </w:p>
        </w:tc>
        <w:tc>
          <w:tcPr>
            <w:tcW w:w="3428" w:type="dxa"/>
            <w:noWrap w:val="0"/>
            <w:vAlign w:val="center"/>
          </w:tcPr>
          <w:p w14:paraId="006CCC5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甲苯、二甲苯和乙苯总和/【mg/（㎡.h）】</w:t>
            </w:r>
          </w:p>
        </w:tc>
        <w:tc>
          <w:tcPr>
            <w:tcW w:w="1485" w:type="dxa"/>
            <w:noWrap w:val="0"/>
            <w:vAlign w:val="center"/>
          </w:tcPr>
          <w:p w14:paraId="416AEB57">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1282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2B8F2D8D">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699C58D6">
            <w:pPr>
              <w:spacing w:line="240" w:lineRule="auto"/>
              <w:jc w:val="center"/>
              <w:rPr>
                <w:rFonts w:hint="eastAsia" w:ascii="宋体" w:hAnsi="宋体" w:eastAsia="宋体" w:cs="宋体"/>
                <w:color w:val="auto"/>
                <w:sz w:val="24"/>
                <w:szCs w:val="24"/>
              </w:rPr>
            </w:pPr>
          </w:p>
        </w:tc>
        <w:tc>
          <w:tcPr>
            <w:tcW w:w="3428" w:type="dxa"/>
            <w:noWrap w:val="0"/>
            <w:vAlign w:val="center"/>
          </w:tcPr>
          <w:p w14:paraId="580DF887">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甲醛/【mg/（㎡.h）】</w:t>
            </w:r>
          </w:p>
        </w:tc>
        <w:tc>
          <w:tcPr>
            <w:tcW w:w="1485" w:type="dxa"/>
            <w:noWrap w:val="0"/>
            <w:vAlign w:val="center"/>
          </w:tcPr>
          <w:p w14:paraId="2A80417F">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≤0.4</w:t>
            </w:r>
          </w:p>
        </w:tc>
      </w:tr>
      <w:tr w14:paraId="5FC0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719A71F7">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63DD20E1">
            <w:pPr>
              <w:spacing w:line="240" w:lineRule="auto"/>
              <w:jc w:val="center"/>
              <w:rPr>
                <w:rFonts w:hint="eastAsia" w:ascii="宋体" w:hAnsi="宋体" w:eastAsia="宋体" w:cs="宋体"/>
                <w:color w:val="auto"/>
                <w:sz w:val="24"/>
                <w:szCs w:val="24"/>
              </w:rPr>
            </w:pPr>
          </w:p>
        </w:tc>
        <w:tc>
          <w:tcPr>
            <w:tcW w:w="3428" w:type="dxa"/>
            <w:noWrap w:val="0"/>
            <w:vAlign w:val="center"/>
          </w:tcPr>
          <w:p w14:paraId="538FB9D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二硫化碳/【mg/（㎡.h）】</w:t>
            </w:r>
          </w:p>
        </w:tc>
        <w:tc>
          <w:tcPr>
            <w:tcW w:w="1485" w:type="dxa"/>
            <w:noWrap w:val="0"/>
            <w:vAlign w:val="center"/>
          </w:tcPr>
          <w:p w14:paraId="24C3C7E6">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≤7.0</w:t>
            </w:r>
          </w:p>
        </w:tc>
      </w:tr>
      <w:tr w14:paraId="685D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restart"/>
            <w:noWrap w:val="0"/>
            <w:vAlign w:val="center"/>
          </w:tcPr>
          <w:p w14:paraId="43A8684D">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p>
        </w:tc>
        <w:tc>
          <w:tcPr>
            <w:tcW w:w="3697" w:type="dxa"/>
            <w:vMerge w:val="restart"/>
            <w:noWrap w:val="0"/>
            <w:vAlign w:val="center"/>
          </w:tcPr>
          <w:p w14:paraId="276A7234">
            <w:pPr>
              <w:spacing w:line="240" w:lineRule="auto"/>
              <w:jc w:val="center"/>
              <w:rPr>
                <w:rFonts w:hint="eastAsia" w:ascii="宋体" w:hAnsi="宋体" w:eastAsia="宋体" w:cs="宋体"/>
                <w:color w:val="auto"/>
                <w:sz w:val="24"/>
                <w:szCs w:val="24"/>
              </w:rPr>
            </w:pPr>
          </w:p>
          <w:p w14:paraId="79B6891E">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有害物质含量</w:t>
            </w:r>
          </w:p>
        </w:tc>
        <w:tc>
          <w:tcPr>
            <w:tcW w:w="3428" w:type="dxa"/>
            <w:noWrap w:val="0"/>
            <w:vAlign w:val="center"/>
          </w:tcPr>
          <w:p w14:paraId="78EDF2E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可溶性铅/（mg/kg）</w:t>
            </w:r>
          </w:p>
        </w:tc>
        <w:tc>
          <w:tcPr>
            <w:tcW w:w="1485" w:type="dxa"/>
            <w:noWrap w:val="0"/>
            <w:vAlign w:val="center"/>
          </w:tcPr>
          <w:p w14:paraId="538F9C0E">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r>
      <w:tr w14:paraId="27D41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7E946504">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59F98594">
            <w:pPr>
              <w:spacing w:line="240" w:lineRule="auto"/>
              <w:jc w:val="center"/>
              <w:rPr>
                <w:rFonts w:hint="eastAsia" w:ascii="宋体" w:hAnsi="宋体" w:eastAsia="宋体" w:cs="宋体"/>
                <w:color w:val="auto"/>
                <w:sz w:val="24"/>
                <w:szCs w:val="24"/>
              </w:rPr>
            </w:pPr>
          </w:p>
        </w:tc>
        <w:tc>
          <w:tcPr>
            <w:tcW w:w="3428" w:type="dxa"/>
            <w:noWrap w:val="0"/>
            <w:vAlign w:val="center"/>
          </w:tcPr>
          <w:p w14:paraId="548745BE">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可溶性镉/（mg/kg）</w:t>
            </w:r>
          </w:p>
        </w:tc>
        <w:tc>
          <w:tcPr>
            <w:tcW w:w="1485" w:type="dxa"/>
            <w:noWrap w:val="0"/>
            <w:vAlign w:val="center"/>
          </w:tcPr>
          <w:p w14:paraId="48DDC7D4">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3894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072FF8AA">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59F0BC39">
            <w:pPr>
              <w:spacing w:line="240" w:lineRule="auto"/>
              <w:jc w:val="center"/>
              <w:rPr>
                <w:rFonts w:hint="eastAsia" w:ascii="宋体" w:hAnsi="宋体" w:eastAsia="宋体" w:cs="宋体"/>
                <w:color w:val="auto"/>
                <w:sz w:val="24"/>
                <w:szCs w:val="24"/>
              </w:rPr>
            </w:pPr>
          </w:p>
        </w:tc>
        <w:tc>
          <w:tcPr>
            <w:tcW w:w="3428" w:type="dxa"/>
            <w:noWrap w:val="0"/>
            <w:vAlign w:val="center"/>
          </w:tcPr>
          <w:p w14:paraId="5322F15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可溶性铬/（mg/kg）</w:t>
            </w:r>
          </w:p>
        </w:tc>
        <w:tc>
          <w:tcPr>
            <w:tcW w:w="1485" w:type="dxa"/>
            <w:noWrap w:val="0"/>
            <w:vAlign w:val="center"/>
          </w:tcPr>
          <w:p w14:paraId="30280908">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7B9F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vMerge w:val="continue"/>
            <w:noWrap w:val="0"/>
            <w:vAlign w:val="center"/>
          </w:tcPr>
          <w:p w14:paraId="3F4F3BDE">
            <w:pPr>
              <w:spacing w:line="240" w:lineRule="auto"/>
              <w:jc w:val="center"/>
              <w:rPr>
                <w:rFonts w:hint="eastAsia" w:ascii="宋体" w:hAnsi="宋体" w:eastAsia="宋体" w:cs="宋体"/>
                <w:color w:val="auto"/>
                <w:sz w:val="24"/>
                <w:szCs w:val="24"/>
              </w:rPr>
            </w:pPr>
          </w:p>
        </w:tc>
        <w:tc>
          <w:tcPr>
            <w:tcW w:w="3697" w:type="dxa"/>
            <w:vMerge w:val="continue"/>
            <w:noWrap w:val="0"/>
            <w:vAlign w:val="center"/>
          </w:tcPr>
          <w:p w14:paraId="595FFA8F">
            <w:pPr>
              <w:spacing w:line="240" w:lineRule="auto"/>
              <w:jc w:val="center"/>
              <w:rPr>
                <w:rFonts w:hint="eastAsia" w:ascii="宋体" w:hAnsi="宋体" w:eastAsia="宋体" w:cs="宋体"/>
                <w:color w:val="auto"/>
                <w:sz w:val="24"/>
                <w:szCs w:val="24"/>
              </w:rPr>
            </w:pPr>
          </w:p>
        </w:tc>
        <w:tc>
          <w:tcPr>
            <w:tcW w:w="3428" w:type="dxa"/>
            <w:noWrap w:val="0"/>
            <w:vAlign w:val="center"/>
          </w:tcPr>
          <w:p w14:paraId="6F13EFC3">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可溶性汞/（mg/kg）</w:t>
            </w:r>
          </w:p>
        </w:tc>
        <w:tc>
          <w:tcPr>
            <w:tcW w:w="1485" w:type="dxa"/>
            <w:noWrap w:val="0"/>
            <w:vAlign w:val="center"/>
          </w:tcPr>
          <w:p w14:paraId="7B13000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r>
      <w:tr w14:paraId="4D56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35" w:type="dxa"/>
            <w:noWrap w:val="0"/>
            <w:vAlign w:val="center"/>
          </w:tcPr>
          <w:p w14:paraId="76D0954E">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p>
        </w:tc>
        <w:tc>
          <w:tcPr>
            <w:tcW w:w="3697" w:type="dxa"/>
            <w:noWrap w:val="0"/>
            <w:vAlign w:val="center"/>
          </w:tcPr>
          <w:p w14:paraId="3E27C43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气味</w:t>
            </w:r>
          </w:p>
        </w:tc>
        <w:tc>
          <w:tcPr>
            <w:tcW w:w="3428" w:type="dxa"/>
            <w:noWrap w:val="0"/>
            <w:vAlign w:val="center"/>
          </w:tcPr>
          <w:p w14:paraId="6E0D108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气味等级/级</w:t>
            </w:r>
          </w:p>
        </w:tc>
        <w:tc>
          <w:tcPr>
            <w:tcW w:w="1485" w:type="dxa"/>
            <w:noWrap w:val="0"/>
            <w:vAlign w:val="center"/>
          </w:tcPr>
          <w:p w14:paraId="28FC7F33">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r>
      <w:tr w14:paraId="7700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35" w:type="dxa"/>
            <w:noWrap w:val="0"/>
            <w:vAlign w:val="center"/>
          </w:tcPr>
          <w:p w14:paraId="0AD1822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7125" w:type="dxa"/>
            <w:gridSpan w:val="2"/>
            <w:noWrap w:val="0"/>
            <w:vAlign w:val="center"/>
          </w:tcPr>
          <w:p w14:paraId="440FF798">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无机填料含量/%</w:t>
            </w:r>
          </w:p>
        </w:tc>
        <w:tc>
          <w:tcPr>
            <w:tcW w:w="1485" w:type="dxa"/>
            <w:noWrap w:val="0"/>
            <w:vAlign w:val="center"/>
          </w:tcPr>
          <w:p w14:paraId="5485D9F3">
            <w:pPr>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0</w:t>
            </w:r>
          </w:p>
        </w:tc>
      </w:tr>
    </w:tbl>
    <w:p w14:paraId="3CACB0CE">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lang w:val="en-US" w:eastAsia="zh-CN"/>
        </w:rPr>
        <w:t>三</w:t>
      </w:r>
      <w:r>
        <w:rPr>
          <w:rFonts w:hint="eastAsia" w:ascii="宋体" w:hAnsi="宋体"/>
          <w:b/>
          <w:color w:val="auto"/>
          <w:sz w:val="24"/>
          <w:highlight w:val="none"/>
        </w:rPr>
        <w:t>、工作范围</w:t>
      </w:r>
    </w:p>
    <w:p w14:paraId="480793EB">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根据招标文件，投标人须按国家有关标准及规范完成下列工作：</w:t>
      </w:r>
    </w:p>
    <w:p w14:paraId="19D1C3F2">
      <w:pPr>
        <w:spacing w:line="4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（1）本工程属交钥匙工程</w:t>
      </w:r>
    </w:p>
    <w:p w14:paraId="65C28A57">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）材料及相关附件的提供运输、装卸、检验、产品保护、</w:t>
      </w:r>
      <w:r>
        <w:rPr>
          <w:rFonts w:hint="eastAsia" w:ascii="宋体" w:hAnsi="宋体"/>
          <w:color w:val="auto"/>
          <w:sz w:val="24"/>
          <w:highlight w:val="none"/>
          <w:lang w:val="en-US" w:eastAsia="zh-CN"/>
        </w:rPr>
        <w:t>安装、</w:t>
      </w:r>
      <w:r>
        <w:rPr>
          <w:rFonts w:hint="eastAsia" w:ascii="宋体" w:hAnsi="宋体"/>
          <w:color w:val="auto"/>
          <w:sz w:val="24"/>
          <w:highlight w:val="none"/>
        </w:rPr>
        <w:t>技术指导、通过验收；</w:t>
      </w:r>
    </w:p>
    <w:p w14:paraId="734221FD">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）中标单位在供货前须出具原厂商合格证及售后服务措施及承诺。</w:t>
      </w:r>
    </w:p>
    <w:p w14:paraId="4B1EE6D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lang w:val="en-US" w:eastAsia="zh-CN"/>
        </w:rPr>
        <w:t>四</w:t>
      </w:r>
      <w:r>
        <w:rPr>
          <w:rFonts w:hint="eastAsia" w:ascii="宋体" w:hAnsi="宋体"/>
          <w:b/>
          <w:color w:val="auto"/>
          <w:sz w:val="24"/>
          <w:highlight w:val="none"/>
        </w:rPr>
        <w:t>、中标人的工作内容</w:t>
      </w:r>
    </w:p>
    <w:p w14:paraId="7B8995CC">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中标人的工作内容需包含但不局限于以下内容：</w:t>
      </w:r>
    </w:p>
    <w:p w14:paraId="6844A3F3">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产品的制造与供货及提供相关资料；</w:t>
      </w:r>
    </w:p>
    <w:p w14:paraId="2C529066">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产品及部件的检查、检验及测试（该费用计入总价）；</w:t>
      </w:r>
    </w:p>
    <w:p w14:paraId="767A5AD7">
      <w:pPr>
        <w:pStyle w:val="21"/>
        <w:spacing w:after="0" w:line="420" w:lineRule="exact"/>
        <w:ind w:firstLine="480" w:firstLineChars="200"/>
        <w:rPr>
          <w:color w:val="auto"/>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 xml:space="preserve"> </w:t>
      </w:r>
      <w:r>
        <w:rPr>
          <w:rFonts w:hint="eastAsia" w:ascii="宋体" w:hAnsi="宋体"/>
          <w:color w:val="auto"/>
          <w:sz w:val="24"/>
          <w:highlight w:val="none"/>
        </w:rPr>
        <w:t>产品</w:t>
      </w:r>
      <w:r>
        <w:rPr>
          <w:rFonts w:hint="eastAsia" w:ascii="宋体" w:hAnsi="宋体"/>
          <w:color w:val="auto"/>
          <w:sz w:val="24"/>
          <w:highlight w:val="none"/>
          <w:lang w:val="en-US" w:eastAsia="zh-CN"/>
        </w:rPr>
        <w:t>的安装及调试</w:t>
      </w:r>
      <w:r>
        <w:rPr>
          <w:rFonts w:hint="eastAsia" w:ascii="宋体" w:hAnsi="宋体"/>
          <w:color w:val="auto"/>
          <w:sz w:val="24"/>
          <w:highlight w:val="none"/>
        </w:rPr>
        <w:t>；</w:t>
      </w:r>
    </w:p>
    <w:p w14:paraId="4EFBD660">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rPr>
        <w:tab/>
      </w:r>
      <w:r>
        <w:rPr>
          <w:rFonts w:hint="eastAsia" w:ascii="宋体" w:hAnsi="宋体"/>
          <w:color w:val="auto"/>
          <w:sz w:val="24"/>
          <w:highlight w:val="none"/>
        </w:rPr>
        <w:t>产品的维护、维修措施及急修接报后的响应措施；</w:t>
      </w:r>
    </w:p>
    <w:p w14:paraId="2E5C0CD9">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rPr>
        <w:tab/>
      </w:r>
      <w:r>
        <w:rPr>
          <w:rFonts w:hint="eastAsia" w:ascii="宋体" w:hAnsi="宋体"/>
          <w:color w:val="auto"/>
          <w:sz w:val="24"/>
          <w:highlight w:val="none"/>
        </w:rPr>
        <w:t>验收（包括负责通过相关部门的整体验收，资料整理交接）；</w:t>
      </w:r>
    </w:p>
    <w:p w14:paraId="1C65B0DC">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rPr>
        <w:tab/>
      </w:r>
      <w:r>
        <w:rPr>
          <w:rFonts w:hint="eastAsia" w:ascii="宋体" w:hAnsi="宋体"/>
          <w:color w:val="auto"/>
          <w:sz w:val="24"/>
          <w:highlight w:val="none"/>
        </w:rPr>
        <w:t>售后服务。</w:t>
      </w:r>
    </w:p>
    <w:p w14:paraId="043E9B1A">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lang w:val="en-US" w:eastAsia="zh-CN"/>
        </w:rPr>
        <w:t>五</w:t>
      </w:r>
      <w:r>
        <w:rPr>
          <w:rFonts w:hint="eastAsia" w:ascii="宋体" w:hAnsi="宋体"/>
          <w:b/>
          <w:color w:val="auto"/>
          <w:sz w:val="24"/>
          <w:highlight w:val="none"/>
        </w:rPr>
        <w:t>、质量保证</w:t>
      </w:r>
    </w:p>
    <w:p w14:paraId="70D0EA3E">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1、质量要求</w:t>
      </w:r>
    </w:p>
    <w:p w14:paraId="19B73666">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（1）合格及以上，符合国家规定的质量要求。</w:t>
      </w:r>
    </w:p>
    <w:p w14:paraId="24AEB3DC">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（2）货物验收过程中，由于质量不合格或运输等原因所造成的一切费用均由供应商负责。</w:t>
      </w:r>
    </w:p>
    <w:p w14:paraId="5D36B95D">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（3）中标供应商须对因投标货物使用期内本身的固有缺陷和瑕疵承担责任。</w:t>
      </w:r>
    </w:p>
    <w:p w14:paraId="0F2A64CB">
      <w:pPr>
        <w:spacing w:line="420" w:lineRule="exact"/>
        <w:ind w:firstLine="482" w:firstLineChars="200"/>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2、▲质保期</w:t>
      </w:r>
      <w:r>
        <w:rPr>
          <w:rFonts w:hint="eastAsia" w:ascii="宋体" w:hAnsi="宋体" w:eastAsia="宋体"/>
          <w:b/>
          <w:color w:val="auto"/>
          <w:sz w:val="24"/>
          <w:highlight w:val="none"/>
          <w:u w:val="single"/>
          <w:shd w:val="pct10" w:color="auto" w:fill="FFFFFF"/>
        </w:rPr>
        <w:t>：从项目整体验收合格之日起不少于</w:t>
      </w:r>
      <w:r>
        <w:rPr>
          <w:rFonts w:hint="eastAsia" w:ascii="宋体" w:hAnsi="宋体"/>
          <w:b/>
          <w:color w:val="auto"/>
          <w:sz w:val="24"/>
          <w:highlight w:val="none"/>
          <w:u w:val="single"/>
          <w:shd w:val="pct10" w:color="auto" w:fill="FFFFFF"/>
          <w:lang w:val="en-US" w:eastAsia="zh-CN"/>
        </w:rPr>
        <w:t>3</w:t>
      </w:r>
      <w:r>
        <w:rPr>
          <w:rFonts w:hint="eastAsia" w:ascii="宋体" w:hAnsi="宋体" w:eastAsia="宋体"/>
          <w:b/>
          <w:color w:val="auto"/>
          <w:sz w:val="24"/>
          <w:highlight w:val="none"/>
          <w:u w:val="single"/>
          <w:shd w:val="pct10" w:color="auto" w:fill="FFFFFF"/>
        </w:rPr>
        <w:t>年免费质保期（供应商可提供更优惠的质保期）。</w:t>
      </w:r>
    </w:p>
    <w:p w14:paraId="68698A73">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（1）质保期内，如因修理货物或更换部件，而非人为因素出现故障而造成短期停用时，则质保期相应顺延。如停用时间累计超过20天，则货物质保期重新计算。</w:t>
      </w:r>
    </w:p>
    <w:p w14:paraId="33F13B4A">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（2）质保期内，招标人无须自行付费，中标供应商负责修理和替换任何由于货物自身的质量问题造成的损坏及故障。</w:t>
      </w:r>
    </w:p>
    <w:p w14:paraId="487C53BC">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（3）质保期内，须指定一名技术工程师专门负责本项目的售后服务工作；如有更换，须招标人同意。</w:t>
      </w:r>
      <w:bookmarkStart w:id="72" w:name="_GoBack"/>
      <w:bookmarkEnd w:id="72"/>
    </w:p>
    <w:p w14:paraId="64A52292">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（4）中标供应商在质保期内（更换）的任何零配件</w:t>
      </w:r>
      <w:r>
        <w:rPr>
          <w:rFonts w:hint="eastAsia" w:ascii="宋体" w:hAnsi="宋体"/>
          <w:color w:val="auto"/>
          <w:sz w:val="24"/>
          <w:highlight w:val="none"/>
          <w:lang w:eastAsia="zh-CN"/>
        </w:rPr>
        <w:t>（材料）</w:t>
      </w:r>
      <w:r>
        <w:rPr>
          <w:rFonts w:hint="eastAsia" w:ascii="宋体" w:hAnsi="宋体"/>
          <w:color w:val="auto"/>
          <w:sz w:val="24"/>
          <w:highlight w:val="none"/>
        </w:rPr>
        <w:t>，必须是货物制造商原产的或是经招标人认可的。</w:t>
      </w:r>
    </w:p>
    <w:p w14:paraId="2E2C1B9F">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（5）所有的替代零配件必须是新的未使用和未经修复的,除非最终用户提供书面许可，否则不可使用此范围外的其他（非新的）配件。</w:t>
      </w:r>
    </w:p>
    <w:p w14:paraId="6D2C81C5">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6）质保期结束前，须由中标供应商和招标人进行一次全面检查，任何缺陷必须由中标供应商负责修理，在修理之后，中标供应商应将缺陷原因、修理内容、完成修理及恢复正常的时间和日期等报告给招标人，报告一式两份。</w:t>
      </w:r>
    </w:p>
    <w:p w14:paraId="5F7B48B1">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（7）中标供应商或原厂家的承诺的质保期不符的，以最高标准为准，除非供应商事前正式声明，否则均视为认同，并将在合同中载明。</w:t>
      </w:r>
    </w:p>
    <w:p w14:paraId="17A09E52">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lang w:val="en-US" w:eastAsia="zh-CN"/>
        </w:rPr>
        <w:t>六</w:t>
      </w:r>
      <w:r>
        <w:rPr>
          <w:rFonts w:hint="eastAsia" w:ascii="宋体" w:hAnsi="宋体"/>
          <w:b/>
          <w:color w:val="auto"/>
          <w:sz w:val="24"/>
          <w:highlight w:val="none"/>
        </w:rPr>
        <w:t>、售后服务要求</w:t>
      </w:r>
    </w:p>
    <w:p w14:paraId="07E67879">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1、中标人必须有可靠的售后服务保障，包括但不限于在台州附近有固定的维修服务点，能提供正常的技术、备品备件服务。当发生故障时，中标人在接到招标单位通知后，临海及附近地区4小时内，外地6小时内派人赴现场处理设备质量问题。24小时内不能修复的，则无偿提供备机或备用零件供招标单位使用。</w:t>
      </w:r>
    </w:p>
    <w:p w14:paraId="2FA874C7">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2、中标人服务维修人员均经过良好的系统技术培训，并有丰富的现场维修经验。</w:t>
      </w:r>
    </w:p>
    <w:p w14:paraId="6C94C052">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3、若中标人未能满足上述售后服务要求中的任何一条，招标单位有权委托第三方单位提供售后服务，由此产生的一切费用由中标人承担。</w:t>
      </w:r>
    </w:p>
    <w:p w14:paraId="21A2F550">
      <w:pPr>
        <w:tabs>
          <w:tab w:val="left" w:pos="540"/>
        </w:tabs>
        <w:autoSpaceDE w:val="0"/>
        <w:autoSpaceDN w:val="0"/>
        <w:adjustRightInd w:val="0"/>
        <w:spacing w:line="420" w:lineRule="exact"/>
        <w:ind w:firstLine="482" w:firstLineChars="200"/>
        <w:jc w:val="left"/>
        <w:rPr>
          <w:rFonts w:ascii="宋体" w:hAnsi="宋体"/>
          <w:b/>
          <w:color w:val="auto"/>
          <w:sz w:val="24"/>
          <w:highlight w:val="none"/>
          <w:shd w:val="clear" w:color="FFFFFF" w:fill="D9D9D9"/>
        </w:rPr>
      </w:pPr>
      <w:r>
        <w:rPr>
          <w:rFonts w:hint="eastAsia" w:ascii="宋体" w:hAnsi="宋体"/>
          <w:b/>
          <w:color w:val="auto"/>
          <w:sz w:val="24"/>
          <w:highlight w:val="none"/>
          <w:lang w:val="en-US" w:eastAsia="zh-CN"/>
        </w:rPr>
        <w:t>七</w:t>
      </w:r>
      <w:r>
        <w:rPr>
          <w:rFonts w:hint="eastAsia" w:ascii="宋体" w:hAnsi="宋体"/>
          <w:b/>
          <w:color w:val="auto"/>
          <w:sz w:val="24"/>
          <w:highlight w:val="none"/>
        </w:rPr>
        <w:t>、供货期</w:t>
      </w:r>
      <w:r>
        <w:rPr>
          <w:rFonts w:hint="eastAsia" w:ascii="宋体" w:hAnsi="宋体" w:eastAsia="宋体"/>
          <w:color w:val="auto"/>
          <w:sz w:val="24"/>
          <w:highlight w:val="none"/>
        </w:rPr>
        <w:t>：合同签订后接到招标人供货通知起</w:t>
      </w:r>
      <w:r>
        <w:rPr>
          <w:rFonts w:hint="eastAsia" w:ascii="宋体" w:hAnsi="宋体"/>
          <w:color w:val="auto"/>
          <w:sz w:val="24"/>
          <w:highlight w:val="none"/>
          <w:lang w:val="en-US" w:eastAsia="zh-CN"/>
        </w:rPr>
        <w:t>15</w:t>
      </w:r>
      <w:r>
        <w:rPr>
          <w:rFonts w:hint="eastAsia" w:ascii="宋体" w:hAnsi="宋体" w:eastAsia="宋体"/>
          <w:color w:val="auto"/>
          <w:sz w:val="24"/>
          <w:highlight w:val="none"/>
        </w:rPr>
        <w:t>日内运送至招标人指定地点</w:t>
      </w:r>
      <w:r>
        <w:rPr>
          <w:rFonts w:hint="eastAsia" w:ascii="宋体" w:hAnsi="宋体" w:eastAsia="宋体"/>
          <w:color w:val="auto"/>
          <w:sz w:val="24"/>
          <w:highlight w:val="none"/>
          <w:lang w:val="en-US" w:eastAsia="zh-CN"/>
        </w:rPr>
        <w:t>并完成铺设工作（含检测时间）。</w:t>
      </w:r>
    </w:p>
    <w:p w14:paraId="03A9CAB8">
      <w:pPr>
        <w:tabs>
          <w:tab w:val="left" w:pos="540"/>
        </w:tabs>
        <w:autoSpaceDE w:val="0"/>
        <w:autoSpaceDN w:val="0"/>
        <w:adjustRightInd w:val="0"/>
        <w:spacing w:line="420" w:lineRule="exact"/>
        <w:ind w:firstLine="482" w:firstLineChars="200"/>
        <w:jc w:val="left"/>
        <w:rPr>
          <w:rFonts w:ascii="宋体" w:hAnsi="宋体"/>
          <w:b/>
          <w:color w:val="auto"/>
          <w:sz w:val="24"/>
          <w:highlight w:val="none"/>
        </w:rPr>
      </w:pPr>
      <w:r>
        <w:rPr>
          <w:rFonts w:hint="eastAsia" w:ascii="宋体" w:hAnsi="宋体"/>
          <w:b/>
          <w:color w:val="auto"/>
          <w:sz w:val="24"/>
          <w:highlight w:val="none"/>
          <w:lang w:val="en-US" w:eastAsia="zh-CN"/>
        </w:rPr>
        <w:t>八</w:t>
      </w:r>
      <w:r>
        <w:rPr>
          <w:rFonts w:hint="eastAsia" w:ascii="宋体" w:hAnsi="宋体"/>
          <w:b/>
          <w:color w:val="auto"/>
          <w:sz w:val="24"/>
          <w:highlight w:val="none"/>
        </w:rPr>
        <w:t>、付款方式：</w:t>
      </w:r>
    </w:p>
    <w:p w14:paraId="23D2A15A">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1、合同生效以及具备实施条件后7个工作日内支付合同金额40%的预付款，</w:t>
      </w:r>
      <w:r>
        <w:rPr>
          <w:rFonts w:hint="eastAsia" w:ascii="宋体" w:hAnsi="宋体" w:cs="宋体"/>
          <w:color w:val="auto"/>
          <w:sz w:val="24"/>
          <w:highlight w:val="none"/>
          <w:lang w:val="zh-CN" w:eastAsia="zh-CN"/>
        </w:rPr>
        <w:t>项目整体竣工验收合格后付至</w:t>
      </w:r>
      <w:r>
        <w:rPr>
          <w:rFonts w:hint="eastAsia" w:ascii="宋体" w:hAnsi="宋体" w:eastAsia="宋体" w:cs="宋体"/>
          <w:color w:val="auto"/>
          <w:sz w:val="24"/>
          <w:highlight w:val="none"/>
          <w:lang w:val="zh-CN" w:eastAsia="zh-CN"/>
        </w:rPr>
        <w:t>结算价的</w:t>
      </w:r>
      <w:r>
        <w:rPr>
          <w:rFonts w:hint="eastAsia" w:ascii="宋体" w:hAnsi="宋体" w:eastAsia="宋体" w:cs="宋体"/>
          <w:color w:val="auto"/>
          <w:sz w:val="24"/>
          <w:highlight w:val="none"/>
          <w:lang w:val="en-US" w:eastAsia="zh-CN"/>
        </w:rPr>
        <w:t>100</w:t>
      </w:r>
      <w:r>
        <w:rPr>
          <w:rFonts w:hint="eastAsia" w:ascii="宋体" w:hAnsi="宋体" w:eastAsia="宋体" w:cs="宋体"/>
          <w:color w:val="auto"/>
          <w:sz w:val="24"/>
          <w:highlight w:val="none"/>
          <w:lang w:val="zh-CN" w:eastAsia="zh-CN"/>
        </w:rPr>
        <w:t>%，</w:t>
      </w:r>
      <w:r>
        <w:rPr>
          <w:rFonts w:hint="eastAsia" w:ascii="宋体" w:hAnsi="宋体" w:cs="宋体"/>
          <w:color w:val="auto"/>
          <w:sz w:val="24"/>
          <w:highlight w:val="none"/>
        </w:rPr>
        <w:t>工程款由浙江喻鼎建设有限公司支付给中标人。发票应随付款进度及时提供给采购人。采购单位根据项目特点、供应商诚信等因素，可以要求供应商提交银行、保险公司等金融机构出具的预付款保函或其他担保措施。</w:t>
      </w:r>
    </w:p>
    <w:p w14:paraId="6284CF7D">
      <w:pPr>
        <w:adjustRightInd w:val="0"/>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2、招标人可根据实际情况增加或减少工程量，中标人须无条件服从，并按实际工程量核算。工程量不论增减多少，单价不变，中标人不得拒绝。最终结算金额按实际数量乘以成交单价进行计算。</w:t>
      </w:r>
    </w:p>
    <w:p w14:paraId="1C18C76D">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lang w:val="en-US" w:eastAsia="zh-CN"/>
        </w:rPr>
        <w:t>九</w:t>
      </w:r>
      <w:r>
        <w:rPr>
          <w:rFonts w:hint="eastAsia" w:ascii="宋体" w:hAnsi="宋体"/>
          <w:b/>
          <w:color w:val="auto"/>
          <w:sz w:val="24"/>
          <w:highlight w:val="none"/>
        </w:rPr>
        <w:t>、样品（现场评审）</w:t>
      </w:r>
    </w:p>
    <w:p w14:paraId="5B6EE4F9">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rPr>
        <w:t>1、投标截止时间前各投标人须提供投标样品：</w:t>
      </w:r>
    </w:p>
    <w:p w14:paraId="152E47B4">
      <w:pPr>
        <w:spacing w:line="420" w:lineRule="exact"/>
        <w:ind w:firstLine="480" w:firstLineChars="200"/>
        <w:rPr>
          <w:rFonts w:hint="eastAsia" w:ascii="宋体" w:hAnsi="宋体"/>
          <w:color w:val="auto"/>
          <w:sz w:val="24"/>
          <w:highlight w:val="none"/>
        </w:rPr>
      </w:pPr>
      <w:r>
        <w:rPr>
          <w:rFonts w:hint="default" w:ascii="Calibri" w:hAnsi="Calibri" w:cs="Calibri"/>
          <w:color w:val="auto"/>
          <w:sz w:val="24"/>
          <w:highlight w:val="none"/>
        </w:rPr>
        <w:t>①</w:t>
      </w:r>
      <w:r>
        <w:rPr>
          <w:rFonts w:hint="eastAsia" w:ascii="宋体" w:hAnsi="宋体"/>
          <w:color w:val="auto"/>
          <w:sz w:val="24"/>
          <w:highlight w:val="none"/>
        </w:rPr>
        <w:t>EPDM混合型胶粒塑胶面层13mm厚，尺寸300*500mm 红色；</w:t>
      </w:r>
    </w:p>
    <w:p w14:paraId="7DA77257">
      <w:pPr>
        <w:spacing w:line="420" w:lineRule="exact"/>
        <w:ind w:firstLine="480" w:firstLineChars="200"/>
        <w:rPr>
          <w:rFonts w:ascii="宋体" w:hAnsi="宋体"/>
          <w:color w:val="auto"/>
          <w:sz w:val="24"/>
          <w:highlight w:val="none"/>
        </w:rPr>
      </w:pPr>
      <w:r>
        <w:rPr>
          <w:rFonts w:hint="default" w:ascii="Calibri" w:hAnsi="Calibri" w:cs="Calibri"/>
          <w:color w:val="auto"/>
          <w:sz w:val="24"/>
          <w:highlight w:val="none"/>
        </w:rPr>
        <w:t>②</w:t>
      </w:r>
      <w:r>
        <w:rPr>
          <w:rFonts w:hint="eastAsia" w:ascii="宋体" w:hAnsi="宋体"/>
          <w:color w:val="auto"/>
          <w:sz w:val="24"/>
          <w:highlight w:val="none"/>
        </w:rPr>
        <w:t>硅PU</w:t>
      </w:r>
      <w:r>
        <w:rPr>
          <w:rFonts w:hint="eastAsia" w:ascii="宋体" w:hAnsi="宋体"/>
          <w:color w:val="auto"/>
          <w:sz w:val="24"/>
          <w:highlight w:val="none"/>
          <w:lang w:val="en-US" w:eastAsia="zh-CN"/>
        </w:rPr>
        <w:t>面层</w:t>
      </w:r>
      <w:r>
        <w:rPr>
          <w:rFonts w:hint="eastAsia" w:ascii="宋体" w:hAnsi="宋体"/>
          <w:color w:val="auto"/>
          <w:sz w:val="24"/>
          <w:highlight w:val="none"/>
        </w:rPr>
        <w:t>8mm厚</w:t>
      </w:r>
      <w:r>
        <w:rPr>
          <w:rFonts w:hint="eastAsia" w:ascii="宋体" w:hAnsi="宋体"/>
          <w:color w:val="auto"/>
          <w:sz w:val="24"/>
          <w:highlight w:val="none"/>
          <w:lang w:eastAsia="zh-CN"/>
        </w:rPr>
        <w:t>，</w:t>
      </w:r>
      <w:r>
        <w:rPr>
          <w:rFonts w:hint="eastAsia" w:ascii="宋体" w:hAnsi="宋体"/>
          <w:color w:val="auto"/>
          <w:sz w:val="24"/>
          <w:highlight w:val="none"/>
        </w:rPr>
        <w:t>尺寸300*500mm 绿色。</w:t>
      </w:r>
    </w:p>
    <w:p w14:paraId="1BDA7A54">
      <w:pPr>
        <w:spacing w:line="420" w:lineRule="exact"/>
        <w:ind w:firstLine="480" w:firstLineChars="200"/>
        <w:rPr>
          <w:rFonts w:ascii="宋体" w:hAnsi="宋体"/>
          <w:color w:val="auto"/>
          <w:sz w:val="24"/>
          <w:highlight w:val="none"/>
        </w:rPr>
      </w:pPr>
      <w:r>
        <w:rPr>
          <w:rFonts w:hint="eastAsia" w:ascii="宋体" w:hAnsi="宋体"/>
          <w:color w:val="auto"/>
          <w:sz w:val="24"/>
          <w:highlight w:val="none"/>
        </w:rPr>
        <w:t>2、投标人请于投标截止时间前（</w:t>
      </w:r>
      <w:r>
        <w:rPr>
          <w:rFonts w:hint="eastAsia" w:ascii="宋体" w:hAnsi="宋体"/>
          <w:b/>
          <w:bCs/>
          <w:color w:val="auto"/>
          <w:sz w:val="24"/>
          <w:highlight w:val="none"/>
        </w:rPr>
        <w:t>202</w:t>
      </w:r>
      <w:r>
        <w:rPr>
          <w:rFonts w:hint="eastAsia" w:ascii="宋体" w:hAnsi="宋体"/>
          <w:b/>
          <w:bCs/>
          <w:color w:val="auto"/>
          <w:sz w:val="24"/>
          <w:highlight w:val="none"/>
          <w:lang w:val="en-US" w:eastAsia="zh-CN"/>
        </w:rPr>
        <w:t>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8</w:t>
      </w:r>
      <w:r>
        <w:rPr>
          <w:rFonts w:hint="eastAsia" w:ascii="宋体" w:hAnsi="宋体"/>
          <w:b/>
          <w:bCs/>
          <w:color w:val="auto"/>
          <w:sz w:val="24"/>
          <w:highlight w:val="none"/>
        </w:rPr>
        <w:t>月</w:t>
      </w:r>
      <w:r>
        <w:rPr>
          <w:rFonts w:hint="eastAsia" w:ascii="宋体" w:hAnsi="宋体"/>
          <w:b/>
          <w:bCs/>
          <w:color w:val="auto"/>
          <w:sz w:val="24"/>
          <w:highlight w:val="none"/>
          <w:u w:val="none"/>
          <w:lang w:val="en-US" w:eastAsia="zh-CN"/>
        </w:rPr>
        <w:t>5</w:t>
      </w:r>
      <w:r>
        <w:rPr>
          <w:rFonts w:hint="eastAsia" w:ascii="宋体" w:hAnsi="宋体"/>
          <w:b/>
          <w:bCs/>
          <w:color w:val="auto"/>
          <w:sz w:val="24"/>
          <w:highlight w:val="none"/>
          <w:u w:val="none"/>
        </w:rPr>
        <w:t>日</w:t>
      </w:r>
      <w:r>
        <w:rPr>
          <w:rFonts w:hint="eastAsia" w:ascii="宋体" w:hAnsi="宋体"/>
          <w:b/>
          <w:bCs/>
          <w:color w:val="auto"/>
          <w:sz w:val="24"/>
          <w:highlight w:val="none"/>
          <w:u w:val="none"/>
          <w:lang w:val="en-US" w:eastAsia="zh-CN"/>
        </w:rPr>
        <w:t xml:space="preserve">8:00 </w:t>
      </w:r>
      <w:r>
        <w:rPr>
          <w:rFonts w:hint="eastAsia" w:ascii="宋体" w:hAnsi="宋体"/>
          <w:b/>
          <w:bCs/>
          <w:color w:val="auto"/>
          <w:sz w:val="24"/>
          <w:highlight w:val="none"/>
          <w:u w:val="none"/>
        </w:rPr>
        <w:t>-202</w:t>
      </w:r>
      <w:r>
        <w:rPr>
          <w:rFonts w:hint="eastAsia" w:ascii="宋体" w:hAnsi="宋体"/>
          <w:b/>
          <w:bCs/>
          <w:color w:val="auto"/>
          <w:sz w:val="24"/>
          <w:highlight w:val="none"/>
          <w:u w:val="none"/>
          <w:lang w:val="en-US" w:eastAsia="zh-CN"/>
        </w:rPr>
        <w:t>6</w:t>
      </w:r>
      <w:r>
        <w:rPr>
          <w:rFonts w:hint="eastAsia" w:ascii="宋体" w:hAnsi="宋体"/>
          <w:b/>
          <w:bCs/>
          <w:color w:val="auto"/>
          <w:sz w:val="24"/>
          <w:highlight w:val="none"/>
          <w:u w:val="none"/>
        </w:rPr>
        <w:t>年</w:t>
      </w:r>
      <w:r>
        <w:rPr>
          <w:rFonts w:hint="eastAsia" w:ascii="宋体" w:hAnsi="宋体"/>
          <w:b/>
          <w:bCs/>
          <w:color w:val="auto"/>
          <w:sz w:val="24"/>
          <w:highlight w:val="none"/>
          <w:u w:val="none"/>
          <w:lang w:val="en-US" w:eastAsia="zh-CN"/>
        </w:rPr>
        <w:t>8</w:t>
      </w:r>
      <w:r>
        <w:rPr>
          <w:rFonts w:hint="eastAsia" w:ascii="宋体" w:hAnsi="宋体"/>
          <w:b/>
          <w:bCs/>
          <w:color w:val="auto"/>
          <w:sz w:val="24"/>
          <w:highlight w:val="none"/>
          <w:u w:val="none"/>
        </w:rPr>
        <w:t>月</w:t>
      </w:r>
      <w:r>
        <w:rPr>
          <w:rFonts w:hint="eastAsia" w:ascii="宋体" w:hAnsi="宋体"/>
          <w:b/>
          <w:bCs/>
          <w:color w:val="auto"/>
          <w:sz w:val="24"/>
          <w:highlight w:val="none"/>
          <w:u w:val="none"/>
          <w:lang w:val="en-US" w:eastAsia="zh-CN"/>
        </w:rPr>
        <w:t>5</w:t>
      </w:r>
      <w:r>
        <w:rPr>
          <w:rFonts w:hint="eastAsia" w:ascii="宋体" w:hAnsi="宋体"/>
          <w:b/>
          <w:bCs/>
          <w:color w:val="auto"/>
          <w:sz w:val="24"/>
          <w:highlight w:val="none"/>
          <w:u w:val="none"/>
        </w:rPr>
        <w:t>日</w:t>
      </w:r>
      <w:r>
        <w:rPr>
          <w:rFonts w:hint="eastAsia" w:ascii="宋体" w:hAnsi="宋体"/>
          <w:b/>
          <w:bCs/>
          <w:color w:val="auto"/>
          <w:sz w:val="24"/>
          <w:highlight w:val="none"/>
          <w:u w:val="none"/>
          <w:lang w:val="en-US" w:eastAsia="zh-CN"/>
        </w:rPr>
        <w:t xml:space="preserve">8:30 </w:t>
      </w:r>
      <w:r>
        <w:rPr>
          <w:rFonts w:hint="eastAsia" w:ascii="宋体" w:hAnsi="宋体"/>
          <w:color w:val="auto"/>
          <w:sz w:val="24"/>
          <w:highlight w:val="none"/>
          <w:u w:val="none"/>
        </w:rPr>
        <w:t>）将样品交至</w:t>
      </w:r>
      <w:r>
        <w:rPr>
          <w:rFonts w:hint="eastAsia" w:ascii="宋体" w:hAnsi="宋体" w:cs="宋体"/>
          <w:color w:val="auto"/>
          <w:sz w:val="24"/>
          <w:highlight w:val="none"/>
          <w:u w:val="none"/>
        </w:rPr>
        <w:t>临海市限额以下公共资源交易区域平台</w:t>
      </w:r>
      <w:r>
        <w:rPr>
          <w:rFonts w:hint="eastAsia" w:ascii="宋体" w:hAnsi="宋体" w:cs="宋体"/>
          <w:color w:val="auto"/>
          <w:sz w:val="24"/>
          <w:highlight w:val="none"/>
          <w:u w:val="none"/>
          <w:lang w:val="en-US" w:eastAsia="zh-CN"/>
        </w:rPr>
        <w:t>南</w:t>
      </w:r>
      <w:r>
        <w:rPr>
          <w:rFonts w:hint="eastAsia" w:ascii="宋体" w:hAnsi="宋体" w:cs="宋体"/>
          <w:color w:val="auto"/>
          <w:sz w:val="24"/>
          <w:highlight w:val="none"/>
          <w:u w:val="none"/>
        </w:rPr>
        <w:t>部</w:t>
      </w:r>
      <w:r>
        <w:rPr>
          <w:rFonts w:hint="eastAsia" w:ascii="宋体" w:hAnsi="宋体" w:cs="宋体"/>
          <w:color w:val="auto"/>
          <w:sz w:val="24"/>
          <w:highlight w:val="none"/>
          <w:u w:val="none"/>
          <w:lang w:val="en-US" w:eastAsia="zh-CN"/>
        </w:rPr>
        <w:t>2号开标室</w:t>
      </w:r>
      <w:r>
        <w:rPr>
          <w:rFonts w:hint="eastAsia" w:ascii="宋体" w:hAnsi="宋体" w:cs="宋体"/>
          <w:color w:val="auto"/>
          <w:sz w:val="24"/>
          <w:highlight w:val="none"/>
          <w:u w:val="none"/>
        </w:rPr>
        <w:t>（临海市江南街道春和路下岙余村新办公楼二楼）</w:t>
      </w:r>
    </w:p>
    <w:p w14:paraId="078CEB29">
      <w:pPr>
        <w:adjustRightInd w:val="0"/>
        <w:snapToGrid w:val="0"/>
        <w:spacing w:line="420" w:lineRule="exact"/>
        <w:ind w:firstLine="480" w:firstLineChars="200"/>
        <w:rPr>
          <w:rFonts w:hint="eastAsia" w:ascii="宋体" w:hAnsi="宋体" w:cs="宋体"/>
          <w:b/>
          <w:color w:val="auto"/>
          <w:sz w:val="30"/>
          <w:szCs w:val="30"/>
          <w:highlight w:val="none"/>
          <w:lang w:val="en-US" w:eastAsia="zh-CN"/>
        </w:rPr>
      </w:pPr>
      <w:r>
        <w:rPr>
          <w:rFonts w:hint="eastAsia" w:ascii="宋体" w:hAnsi="宋体"/>
          <w:color w:val="auto"/>
          <w:sz w:val="24"/>
          <w:highlight w:val="none"/>
        </w:rPr>
        <w:t>3、中标人的样品直接送至采购人处封存，作为供货验收时参照，未中标人的样品开标后退还。</w:t>
      </w:r>
      <w:bookmarkEnd w:id="7"/>
      <w:bookmarkEnd w:id="8"/>
    </w:p>
    <w:p w14:paraId="65A55AB6">
      <w:pPr>
        <w:spacing w:line="420" w:lineRule="exact"/>
        <w:ind w:firstLine="482" w:firstLineChars="200"/>
        <w:rPr>
          <w:rFonts w:hint="eastAsia" w:ascii="宋体" w:hAnsi="宋体" w:eastAsia="宋体" w:cs="Times New Roman"/>
          <w:b/>
          <w:color w:val="auto"/>
          <w:sz w:val="24"/>
          <w:highlight w:val="yellow"/>
          <w:lang w:val="en-US" w:eastAsia="zh-CN"/>
        </w:rPr>
      </w:pPr>
      <w:r>
        <w:rPr>
          <w:rFonts w:hint="eastAsia" w:ascii="宋体" w:hAnsi="宋体" w:eastAsia="宋体" w:cs="Times New Roman"/>
          <w:b/>
          <w:color w:val="auto"/>
          <w:sz w:val="24"/>
          <w:highlight w:val="yellow"/>
          <w:lang w:val="en-US" w:eastAsia="zh-CN"/>
        </w:rPr>
        <w:t>十、其他</w:t>
      </w:r>
    </w:p>
    <w:p w14:paraId="6C976870">
      <w:pPr>
        <w:spacing w:line="420" w:lineRule="exact"/>
        <w:ind w:firstLine="482" w:firstLineChars="200"/>
        <w:rPr>
          <w:rFonts w:hint="eastAsia" w:ascii="宋体" w:hAnsi="宋体" w:eastAsia="宋体" w:cs="Times New Roman"/>
          <w:b/>
          <w:color w:val="auto"/>
          <w:sz w:val="24"/>
          <w:highlight w:val="yellow"/>
        </w:rPr>
      </w:pPr>
      <w:r>
        <w:rPr>
          <w:rFonts w:hint="eastAsia" w:ascii="宋体" w:hAnsi="宋体" w:eastAsia="宋体" w:cs="Times New Roman"/>
          <w:b/>
          <w:color w:val="auto"/>
          <w:sz w:val="24"/>
          <w:highlight w:val="yellow"/>
        </w:rPr>
        <w:t>因本项目</w:t>
      </w:r>
      <w:r>
        <w:rPr>
          <w:rFonts w:hint="eastAsia" w:ascii="宋体" w:hAnsi="宋体" w:eastAsia="宋体" w:cs="Times New Roman"/>
          <w:b/>
          <w:color w:val="auto"/>
          <w:sz w:val="24"/>
          <w:highlight w:val="yellow"/>
          <w:lang w:val="en-US" w:eastAsia="zh-CN"/>
        </w:rPr>
        <w:t>采购内容及</w:t>
      </w:r>
      <w:r>
        <w:rPr>
          <w:rFonts w:hint="eastAsia" w:ascii="宋体" w:hAnsi="宋体" w:eastAsia="宋体" w:cs="Times New Roman"/>
          <w:b/>
          <w:color w:val="auto"/>
          <w:sz w:val="24"/>
          <w:highlight w:val="yellow"/>
        </w:rPr>
        <w:t>工程款</w:t>
      </w:r>
      <w:r>
        <w:rPr>
          <w:rFonts w:hint="eastAsia" w:ascii="宋体" w:hAnsi="宋体" w:eastAsia="宋体" w:cs="Times New Roman"/>
          <w:b/>
          <w:color w:val="auto"/>
          <w:sz w:val="24"/>
          <w:highlight w:val="yellow"/>
          <w:lang w:val="en-US" w:eastAsia="zh-CN"/>
        </w:rPr>
        <w:t>属于</w:t>
      </w:r>
      <w:r>
        <w:rPr>
          <w:rFonts w:hint="eastAsia" w:ascii="宋体" w:hAnsi="宋体" w:eastAsia="宋体" w:cs="Times New Roman"/>
          <w:b/>
          <w:color w:val="auto"/>
          <w:sz w:val="24"/>
          <w:highlight w:val="yellow"/>
        </w:rPr>
        <w:t>施工总承包合同款</w:t>
      </w:r>
      <w:r>
        <w:rPr>
          <w:rFonts w:hint="eastAsia" w:ascii="宋体" w:hAnsi="宋体" w:eastAsia="宋体" w:cs="Times New Roman"/>
          <w:b/>
          <w:color w:val="auto"/>
          <w:sz w:val="24"/>
          <w:highlight w:val="yellow"/>
          <w:lang w:val="en-US" w:eastAsia="zh-CN"/>
        </w:rPr>
        <w:t>范畴</w:t>
      </w:r>
      <w:r>
        <w:rPr>
          <w:rFonts w:hint="eastAsia" w:ascii="宋体" w:hAnsi="宋体" w:eastAsia="宋体" w:cs="Times New Roman"/>
          <w:b/>
          <w:color w:val="auto"/>
          <w:sz w:val="24"/>
          <w:highlight w:val="yellow"/>
        </w:rPr>
        <w:t>内，中标人</w:t>
      </w:r>
      <w:r>
        <w:rPr>
          <w:rFonts w:hint="eastAsia" w:ascii="宋体" w:hAnsi="宋体" w:eastAsia="宋体" w:cs="Times New Roman"/>
          <w:b/>
          <w:color w:val="auto"/>
          <w:sz w:val="24"/>
          <w:highlight w:val="yellow"/>
          <w:lang w:val="en-US" w:eastAsia="zh-CN"/>
        </w:rPr>
        <w:t>应</w:t>
      </w:r>
      <w:r>
        <w:rPr>
          <w:rFonts w:hint="eastAsia" w:ascii="宋体" w:hAnsi="宋体" w:eastAsia="宋体" w:cs="Times New Roman"/>
          <w:b/>
          <w:color w:val="auto"/>
          <w:sz w:val="24"/>
          <w:highlight w:val="yellow"/>
        </w:rPr>
        <w:t>开具发票给施工总承包单位(浙江喻鼎建设有限公司)</w:t>
      </w:r>
      <w:r>
        <w:rPr>
          <w:rFonts w:hint="eastAsia" w:ascii="宋体" w:hAnsi="宋体" w:eastAsia="宋体" w:cs="Times New Roman"/>
          <w:b/>
          <w:color w:val="auto"/>
          <w:sz w:val="24"/>
          <w:highlight w:val="yellow"/>
          <w:lang w:eastAsia="zh-CN"/>
        </w:rPr>
        <w:t>。</w:t>
      </w:r>
      <w:r>
        <w:rPr>
          <w:rFonts w:hint="eastAsia" w:ascii="宋体" w:hAnsi="宋体" w:eastAsia="宋体" w:cs="Times New Roman"/>
          <w:b/>
          <w:color w:val="auto"/>
          <w:sz w:val="24"/>
          <w:highlight w:val="yellow"/>
        </w:rPr>
        <w:t>同时，中标人应按约定向总承包单位支付合同金额</w:t>
      </w:r>
      <w:r>
        <w:rPr>
          <w:rFonts w:hint="eastAsia" w:ascii="宋体" w:hAnsi="宋体" w:cs="Times New Roman"/>
          <w:b/>
          <w:color w:val="auto"/>
          <w:sz w:val="24"/>
          <w:highlight w:val="yellow"/>
          <w:lang w:val="en-US" w:eastAsia="zh-CN"/>
        </w:rPr>
        <w:t>3</w:t>
      </w:r>
      <w:r>
        <w:rPr>
          <w:rFonts w:hint="eastAsia" w:ascii="宋体" w:hAnsi="宋体" w:eastAsia="宋体" w:cs="Times New Roman"/>
          <w:b/>
          <w:color w:val="auto"/>
          <w:sz w:val="24"/>
          <w:highlight w:val="yellow"/>
        </w:rPr>
        <w:t>%的总承包服务费。投标人应充分考量上述因素，并在投标报价中统筹综合计入相关费用。</w:t>
      </w:r>
    </w:p>
    <w:p w14:paraId="517C25A5">
      <w:pPr>
        <w:ind w:firstLine="301" w:firstLineChars="100"/>
        <w:rPr>
          <w:rFonts w:hint="default" w:ascii="宋体" w:hAnsi="宋体" w:cs="宋体"/>
          <w:b/>
          <w:color w:val="auto"/>
          <w:sz w:val="30"/>
          <w:szCs w:val="30"/>
          <w:highlight w:val="none"/>
          <w:lang w:val="en-US" w:eastAsia="zh-CN"/>
        </w:rPr>
      </w:pPr>
    </w:p>
    <w:p w14:paraId="33FA4209">
      <w:pPr>
        <w:rPr>
          <w:rFonts w:ascii="宋体" w:hAnsi="宋体" w:cs="宋体"/>
          <w:b/>
          <w:color w:val="auto"/>
          <w:sz w:val="30"/>
          <w:szCs w:val="30"/>
          <w:highlight w:val="none"/>
        </w:rPr>
      </w:pPr>
    </w:p>
    <w:p w14:paraId="5D9E40C6">
      <w:pPr>
        <w:spacing w:line="360" w:lineRule="auto"/>
        <w:ind w:firstLine="2849" w:firstLineChars="946"/>
        <w:outlineLvl w:val="0"/>
        <w:rPr>
          <w:rFonts w:hint="eastAsia" w:ascii="宋体" w:hAnsi="宋体" w:cs="宋体"/>
          <w:b/>
          <w:color w:val="auto"/>
          <w:sz w:val="30"/>
          <w:szCs w:val="30"/>
          <w:highlight w:val="none"/>
        </w:rPr>
      </w:pPr>
    </w:p>
    <w:p w14:paraId="67FC015E">
      <w:pPr>
        <w:spacing w:line="360" w:lineRule="auto"/>
        <w:ind w:firstLine="2849" w:firstLineChars="946"/>
        <w:outlineLvl w:val="0"/>
        <w:rPr>
          <w:rFonts w:hint="eastAsia" w:ascii="宋体" w:hAnsi="宋体" w:cs="宋体"/>
          <w:b/>
          <w:color w:val="auto"/>
          <w:sz w:val="30"/>
          <w:szCs w:val="30"/>
          <w:highlight w:val="none"/>
        </w:rPr>
      </w:pPr>
    </w:p>
    <w:p w14:paraId="70534C04">
      <w:pPr>
        <w:spacing w:line="360" w:lineRule="auto"/>
        <w:ind w:firstLine="2849" w:firstLineChars="946"/>
        <w:outlineLvl w:val="0"/>
        <w:rPr>
          <w:rFonts w:hint="eastAsia" w:ascii="宋体" w:hAnsi="宋体" w:cs="宋体"/>
          <w:b/>
          <w:color w:val="auto"/>
          <w:sz w:val="30"/>
          <w:szCs w:val="30"/>
          <w:highlight w:val="none"/>
        </w:rPr>
      </w:pPr>
    </w:p>
    <w:p w14:paraId="49EEC814">
      <w:pPr>
        <w:spacing w:line="360" w:lineRule="auto"/>
        <w:ind w:firstLine="2849" w:firstLineChars="946"/>
        <w:outlineLvl w:val="0"/>
        <w:rPr>
          <w:rFonts w:hint="eastAsia" w:ascii="宋体" w:hAnsi="宋体" w:cs="宋体"/>
          <w:b/>
          <w:color w:val="auto"/>
          <w:sz w:val="30"/>
          <w:szCs w:val="30"/>
          <w:highlight w:val="none"/>
        </w:rPr>
      </w:pPr>
    </w:p>
    <w:p w14:paraId="682221CA">
      <w:pPr>
        <w:spacing w:line="360" w:lineRule="auto"/>
        <w:ind w:firstLine="2849" w:firstLineChars="946"/>
        <w:outlineLvl w:val="0"/>
        <w:rPr>
          <w:rFonts w:hint="eastAsia" w:ascii="宋体" w:hAnsi="宋体" w:cs="宋体"/>
          <w:b/>
          <w:color w:val="auto"/>
          <w:sz w:val="30"/>
          <w:szCs w:val="30"/>
          <w:highlight w:val="none"/>
        </w:rPr>
      </w:pPr>
    </w:p>
    <w:p w14:paraId="3C0FF43A">
      <w:pPr>
        <w:spacing w:line="360" w:lineRule="auto"/>
        <w:ind w:firstLine="2849" w:firstLineChars="946"/>
        <w:outlineLvl w:val="0"/>
        <w:rPr>
          <w:rFonts w:hint="eastAsia" w:ascii="宋体" w:hAnsi="宋体" w:cs="宋体"/>
          <w:b/>
          <w:color w:val="auto"/>
          <w:sz w:val="30"/>
          <w:szCs w:val="30"/>
          <w:highlight w:val="none"/>
        </w:rPr>
      </w:pPr>
    </w:p>
    <w:p w14:paraId="0D4A6AB0">
      <w:pPr>
        <w:spacing w:line="360" w:lineRule="auto"/>
        <w:ind w:firstLine="2849" w:firstLineChars="946"/>
        <w:outlineLvl w:val="0"/>
        <w:rPr>
          <w:rFonts w:hint="eastAsia" w:ascii="宋体" w:hAnsi="宋体" w:cs="宋体"/>
          <w:b/>
          <w:color w:val="auto"/>
          <w:sz w:val="30"/>
          <w:szCs w:val="30"/>
          <w:highlight w:val="none"/>
        </w:rPr>
      </w:pPr>
    </w:p>
    <w:p w14:paraId="0B92F858">
      <w:pPr>
        <w:spacing w:line="360" w:lineRule="auto"/>
        <w:ind w:firstLine="2849" w:firstLineChars="946"/>
        <w:outlineLvl w:val="0"/>
        <w:rPr>
          <w:rFonts w:hint="eastAsia" w:ascii="宋体" w:hAnsi="宋体" w:cs="宋体"/>
          <w:b/>
          <w:color w:val="auto"/>
          <w:sz w:val="30"/>
          <w:szCs w:val="30"/>
          <w:highlight w:val="none"/>
        </w:rPr>
      </w:pPr>
    </w:p>
    <w:p w14:paraId="3FDD10F0">
      <w:pPr>
        <w:spacing w:line="360" w:lineRule="auto"/>
        <w:ind w:firstLine="2849" w:firstLineChars="946"/>
        <w:outlineLvl w:val="0"/>
        <w:rPr>
          <w:rFonts w:hint="eastAsia" w:ascii="宋体" w:hAnsi="宋体" w:cs="宋体"/>
          <w:b/>
          <w:color w:val="auto"/>
          <w:sz w:val="30"/>
          <w:szCs w:val="30"/>
          <w:highlight w:val="none"/>
        </w:rPr>
      </w:pPr>
    </w:p>
    <w:p w14:paraId="0020A4FA">
      <w:pPr>
        <w:spacing w:line="360" w:lineRule="auto"/>
        <w:ind w:firstLine="2849" w:firstLineChars="946"/>
        <w:outlineLvl w:val="0"/>
        <w:rPr>
          <w:rFonts w:hint="eastAsia" w:ascii="宋体" w:hAnsi="宋体" w:cs="宋体"/>
          <w:b/>
          <w:color w:val="auto"/>
          <w:sz w:val="30"/>
          <w:szCs w:val="30"/>
          <w:highlight w:val="none"/>
        </w:rPr>
      </w:pPr>
    </w:p>
    <w:p w14:paraId="5D996151">
      <w:pPr>
        <w:spacing w:line="360" w:lineRule="auto"/>
        <w:ind w:firstLine="2849" w:firstLineChars="946"/>
        <w:outlineLvl w:val="0"/>
        <w:rPr>
          <w:rFonts w:hint="eastAsia" w:ascii="宋体" w:hAnsi="宋体" w:cs="宋体"/>
          <w:b/>
          <w:color w:val="auto"/>
          <w:sz w:val="30"/>
          <w:szCs w:val="30"/>
          <w:highlight w:val="none"/>
        </w:rPr>
      </w:pPr>
    </w:p>
    <w:p w14:paraId="08C6A6BE">
      <w:pPr>
        <w:spacing w:line="360" w:lineRule="auto"/>
        <w:ind w:firstLine="2849" w:firstLineChars="946"/>
        <w:outlineLvl w:val="0"/>
        <w:rPr>
          <w:rFonts w:hint="eastAsia" w:ascii="宋体" w:hAnsi="宋体" w:cs="宋体"/>
          <w:b/>
          <w:color w:val="auto"/>
          <w:sz w:val="30"/>
          <w:szCs w:val="30"/>
          <w:highlight w:val="none"/>
        </w:rPr>
      </w:pPr>
    </w:p>
    <w:p w14:paraId="5F54AC87">
      <w:pPr>
        <w:spacing w:line="360" w:lineRule="auto"/>
        <w:ind w:firstLine="2849" w:firstLineChars="946"/>
        <w:outlineLvl w:val="0"/>
        <w:rPr>
          <w:rFonts w:hint="eastAsia" w:ascii="宋体" w:hAnsi="宋体" w:cs="宋体"/>
          <w:b/>
          <w:color w:val="auto"/>
          <w:sz w:val="30"/>
          <w:szCs w:val="30"/>
          <w:highlight w:val="none"/>
        </w:rPr>
      </w:pPr>
    </w:p>
    <w:p w14:paraId="473A34AD">
      <w:pPr>
        <w:spacing w:line="360" w:lineRule="auto"/>
        <w:ind w:firstLine="2849" w:firstLineChars="946"/>
        <w:outlineLvl w:val="0"/>
        <w:rPr>
          <w:rFonts w:hint="eastAsia" w:ascii="宋体" w:hAnsi="宋体" w:cs="宋体"/>
          <w:b/>
          <w:color w:val="auto"/>
          <w:sz w:val="30"/>
          <w:szCs w:val="30"/>
          <w:highlight w:val="none"/>
        </w:rPr>
      </w:pPr>
    </w:p>
    <w:p w14:paraId="5BBDD696">
      <w:pPr>
        <w:spacing w:line="360" w:lineRule="auto"/>
        <w:ind w:firstLine="2849" w:firstLineChars="946"/>
        <w:outlineLvl w:val="0"/>
        <w:rPr>
          <w:rFonts w:hint="eastAsia" w:ascii="宋体" w:hAnsi="宋体" w:cs="宋体"/>
          <w:b/>
          <w:color w:val="auto"/>
          <w:sz w:val="30"/>
          <w:szCs w:val="30"/>
          <w:highlight w:val="none"/>
        </w:rPr>
      </w:pPr>
    </w:p>
    <w:p w14:paraId="2ABA9E0E">
      <w:pPr>
        <w:spacing w:line="360" w:lineRule="auto"/>
        <w:ind w:firstLine="2849" w:firstLineChars="946"/>
        <w:outlineLvl w:val="0"/>
        <w:rPr>
          <w:rFonts w:hint="eastAsia" w:ascii="宋体" w:hAnsi="宋体" w:cs="宋体"/>
          <w:b/>
          <w:color w:val="auto"/>
          <w:sz w:val="30"/>
          <w:szCs w:val="30"/>
          <w:highlight w:val="none"/>
        </w:rPr>
      </w:pPr>
    </w:p>
    <w:p w14:paraId="4CFA9976">
      <w:pPr>
        <w:spacing w:line="360" w:lineRule="auto"/>
        <w:ind w:firstLine="2849" w:firstLineChars="946"/>
        <w:outlineLvl w:val="0"/>
        <w:rPr>
          <w:rFonts w:hint="eastAsia" w:ascii="宋体" w:hAnsi="宋体" w:cs="宋体"/>
          <w:b/>
          <w:color w:val="auto"/>
          <w:sz w:val="30"/>
          <w:szCs w:val="30"/>
          <w:highlight w:val="none"/>
        </w:rPr>
      </w:pPr>
    </w:p>
    <w:p w14:paraId="38AF4E0C">
      <w:pPr>
        <w:spacing w:line="360" w:lineRule="auto"/>
        <w:ind w:firstLine="2849" w:firstLineChars="946"/>
        <w:outlineLvl w:val="0"/>
        <w:rPr>
          <w:rFonts w:hint="eastAsia" w:ascii="宋体" w:hAnsi="宋体" w:cs="宋体"/>
          <w:b/>
          <w:color w:val="auto"/>
          <w:sz w:val="30"/>
          <w:szCs w:val="30"/>
          <w:highlight w:val="none"/>
        </w:rPr>
      </w:pPr>
    </w:p>
    <w:p w14:paraId="79E35D0B">
      <w:pPr>
        <w:spacing w:line="360" w:lineRule="auto"/>
        <w:ind w:firstLine="2849" w:firstLineChars="946"/>
        <w:outlineLvl w:val="0"/>
        <w:rPr>
          <w:rFonts w:hint="eastAsia" w:ascii="宋体" w:hAnsi="宋体" w:cs="宋体"/>
          <w:b/>
          <w:color w:val="auto"/>
          <w:sz w:val="30"/>
          <w:szCs w:val="30"/>
          <w:highlight w:val="none"/>
        </w:rPr>
      </w:pPr>
    </w:p>
    <w:p w14:paraId="1BAAE3F3">
      <w:pPr>
        <w:spacing w:line="360" w:lineRule="auto"/>
        <w:ind w:firstLine="2849" w:firstLineChars="946"/>
        <w:outlineLvl w:val="0"/>
        <w:rPr>
          <w:rFonts w:hint="eastAsia" w:ascii="宋体" w:hAnsi="宋体" w:cs="宋体"/>
          <w:b/>
          <w:color w:val="auto"/>
          <w:sz w:val="30"/>
          <w:szCs w:val="30"/>
          <w:highlight w:val="none"/>
        </w:rPr>
      </w:pPr>
    </w:p>
    <w:p w14:paraId="480E3254">
      <w:pPr>
        <w:spacing w:line="360" w:lineRule="auto"/>
        <w:outlineLvl w:val="0"/>
        <w:rPr>
          <w:rFonts w:hint="eastAsia" w:ascii="宋体" w:hAnsi="宋体" w:cs="宋体"/>
          <w:b/>
          <w:color w:val="auto"/>
          <w:sz w:val="30"/>
          <w:szCs w:val="30"/>
          <w:highlight w:val="none"/>
        </w:rPr>
      </w:pPr>
    </w:p>
    <w:p w14:paraId="1395D302">
      <w:pPr>
        <w:spacing w:line="360" w:lineRule="auto"/>
        <w:jc w:val="center"/>
        <w:outlineLvl w:val="0"/>
        <w:rPr>
          <w:rFonts w:ascii="宋体" w:hAnsi="宋体" w:cs="宋体"/>
          <w:b/>
          <w:color w:val="auto"/>
          <w:sz w:val="30"/>
          <w:szCs w:val="30"/>
          <w:highlight w:val="none"/>
        </w:rPr>
      </w:pPr>
      <w:r>
        <w:rPr>
          <w:rFonts w:hint="eastAsia" w:ascii="宋体" w:hAnsi="宋体" w:cs="宋体"/>
          <w:b/>
          <w:color w:val="auto"/>
          <w:sz w:val="30"/>
          <w:szCs w:val="30"/>
          <w:highlight w:val="none"/>
        </w:rPr>
        <w:t>第三章  投标人须知</w:t>
      </w:r>
      <w:bookmarkEnd w:id="9"/>
      <w:bookmarkEnd w:id="10"/>
    </w:p>
    <w:p w14:paraId="75CCBF54">
      <w:pPr>
        <w:snapToGrid w:val="0"/>
        <w:spacing w:before="120" w:beforeLines="50" w:after="120" w:afterLines="50" w:line="280" w:lineRule="exact"/>
        <w:ind w:left="476"/>
        <w:jc w:val="center"/>
        <w:rPr>
          <w:rFonts w:ascii="宋体" w:hAnsi="宋体" w:cs="宋体"/>
          <w:b/>
          <w:color w:val="auto"/>
          <w:szCs w:val="21"/>
          <w:highlight w:val="none"/>
        </w:rPr>
      </w:pPr>
      <w:r>
        <w:rPr>
          <w:rFonts w:hint="eastAsia" w:ascii="宋体" w:hAnsi="宋体" w:cs="宋体"/>
          <w:b/>
          <w:color w:val="auto"/>
          <w:szCs w:val="21"/>
          <w:highlight w:val="none"/>
        </w:rPr>
        <w:t>前附表</w:t>
      </w:r>
    </w:p>
    <w:tbl>
      <w:tblPr>
        <w:tblStyle w:val="54"/>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6BA60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4AD4DDEB">
            <w:pPr>
              <w:snapToGrid w:val="0"/>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6352697E">
            <w:pPr>
              <w:snapToGrid w:val="0"/>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内容、要求</w:t>
            </w:r>
          </w:p>
        </w:tc>
      </w:tr>
      <w:tr w14:paraId="12CA2D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5A7DA0F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9684" w:type="dxa"/>
            <w:tcBorders>
              <w:top w:val="single" w:color="auto" w:sz="4" w:space="0"/>
              <w:left w:val="single" w:color="auto" w:sz="4" w:space="0"/>
              <w:bottom w:val="single" w:color="auto" w:sz="4" w:space="0"/>
              <w:right w:val="single" w:color="auto" w:sz="4" w:space="0"/>
            </w:tcBorders>
            <w:vAlign w:val="center"/>
          </w:tcPr>
          <w:p w14:paraId="20951819">
            <w:pPr>
              <w:pStyle w:val="49"/>
              <w:spacing w:before="0" w:beforeAutospacing="0" w:after="0" w:afterAutospacing="0" w:line="400" w:lineRule="exact"/>
              <w:rPr>
                <w:rFonts w:hint="eastAsia" w:eastAsia="宋体" w:cs="宋体"/>
                <w:color w:val="auto"/>
                <w:kern w:val="2"/>
                <w:highlight w:val="none"/>
                <w:lang w:eastAsia="zh-CN"/>
              </w:rPr>
            </w:pPr>
            <w:r>
              <w:rPr>
                <w:rFonts w:hint="eastAsia" w:cs="宋体"/>
                <w:color w:val="auto"/>
                <w:kern w:val="2"/>
                <w:highlight w:val="none"/>
              </w:rPr>
              <w:t>项目名称：</w:t>
            </w:r>
            <w:r>
              <w:rPr>
                <w:rFonts w:hint="eastAsia" w:cs="宋体"/>
                <w:color w:val="auto"/>
                <w:kern w:val="2"/>
                <w:highlight w:val="none"/>
                <w:lang w:eastAsia="zh-CN"/>
              </w:rPr>
              <w:t>哲商小学扩建二期工程(老台师操场、报告厅及校前广场等改造工程)（塑胶材料采购）</w:t>
            </w:r>
          </w:p>
        </w:tc>
      </w:tr>
      <w:tr w14:paraId="01A6E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7150DBCC">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9684" w:type="dxa"/>
            <w:tcBorders>
              <w:top w:val="single" w:color="auto" w:sz="4" w:space="0"/>
              <w:left w:val="single" w:color="auto" w:sz="4" w:space="0"/>
              <w:bottom w:val="single" w:color="auto" w:sz="4" w:space="0"/>
              <w:right w:val="single" w:color="auto" w:sz="4" w:space="0"/>
            </w:tcBorders>
            <w:vAlign w:val="center"/>
          </w:tcPr>
          <w:p w14:paraId="460D273B">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招标内容及数量：详见“第二章 招标需求”</w:t>
            </w:r>
          </w:p>
        </w:tc>
      </w:tr>
      <w:tr w14:paraId="7DAED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787" w:type="dxa"/>
            <w:tcBorders>
              <w:top w:val="single" w:color="auto" w:sz="4" w:space="0"/>
              <w:left w:val="single" w:color="auto" w:sz="4" w:space="0"/>
              <w:bottom w:val="single" w:color="auto" w:sz="4" w:space="0"/>
              <w:right w:val="single" w:color="auto" w:sz="4" w:space="0"/>
            </w:tcBorders>
            <w:vAlign w:val="center"/>
          </w:tcPr>
          <w:p w14:paraId="7A2C31C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9684" w:type="dxa"/>
            <w:tcBorders>
              <w:top w:val="single" w:color="auto" w:sz="4" w:space="0"/>
              <w:left w:val="single" w:color="auto" w:sz="4" w:space="0"/>
              <w:bottom w:val="single" w:color="auto" w:sz="4" w:space="0"/>
              <w:right w:val="single" w:color="auto" w:sz="4" w:space="0"/>
            </w:tcBorders>
            <w:vAlign w:val="center"/>
          </w:tcPr>
          <w:p w14:paraId="0C7EF5F8">
            <w:pPr>
              <w:snapToGrid w:val="0"/>
              <w:spacing w:line="400" w:lineRule="exact"/>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投标报价及费用：1、本项目投标应以人民币报价；2、不论投标结果如何，投标人均应自行承担所有与投标有关的全部费用；3、本项目招标代理服务费由中标人支付给招标代理机构，在招标代理机构发出成交通知书前一次性付清招标代理服务费用，收费采用中标价按照下列差额定率累进计费方式计取，具体标准如下：100万*1.5%+（500万-100万）*1.1%</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不足15000元按15000元计取。</w:t>
            </w:r>
          </w:p>
        </w:tc>
      </w:tr>
      <w:tr w14:paraId="3D85C5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6E86C5F">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9684" w:type="dxa"/>
            <w:tcBorders>
              <w:top w:val="single" w:color="auto" w:sz="4" w:space="0"/>
              <w:left w:val="single" w:color="auto" w:sz="4" w:space="0"/>
              <w:bottom w:val="single" w:color="auto" w:sz="4" w:space="0"/>
              <w:right w:val="single" w:color="auto" w:sz="4" w:space="0"/>
            </w:tcBorders>
            <w:vAlign w:val="center"/>
          </w:tcPr>
          <w:p w14:paraId="0D923847">
            <w:pPr>
              <w:snapToGrid w:val="0"/>
              <w:spacing w:line="400" w:lineRule="exact"/>
              <w:rPr>
                <w:rFonts w:ascii="宋体" w:hAnsi="宋体" w:cs="宋体"/>
                <w:color w:val="auto"/>
                <w:sz w:val="24"/>
                <w:highlight w:val="none"/>
              </w:rPr>
            </w:pPr>
            <w:r>
              <w:rPr>
                <w:rFonts w:hint="eastAsia" w:ascii="宋体" w:hAnsi="宋体" w:cs="宋体"/>
                <w:b/>
                <w:bCs/>
                <w:color w:val="auto"/>
                <w:sz w:val="24"/>
                <w:highlight w:val="none"/>
              </w:rPr>
              <w:t>现场踏勘</w:t>
            </w:r>
            <w:r>
              <w:rPr>
                <w:rFonts w:hint="eastAsia" w:ascii="宋体" w:hAnsi="宋体" w:cs="宋体"/>
                <w:color w:val="auto"/>
                <w:sz w:val="24"/>
                <w:highlight w:val="none"/>
              </w:rPr>
              <w:t>：投标人可对项目现场和周围环境进行踏勘，现场踏勘时投标人按照图纸（如有）、招标文件等技术性资料比对现场实际参数，如有问题，由投标人发起书面质疑，如无质疑，即认为满足招标条件，由投标人承担相应风险。踏勘现场所发生的费用由投标人自己承担。</w:t>
            </w:r>
          </w:p>
        </w:tc>
      </w:tr>
      <w:tr w14:paraId="7986F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FF1B596">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9684" w:type="dxa"/>
            <w:tcBorders>
              <w:top w:val="single" w:color="auto" w:sz="4" w:space="0"/>
              <w:left w:val="single" w:color="auto" w:sz="4" w:space="0"/>
              <w:bottom w:val="single" w:color="auto" w:sz="4" w:space="0"/>
              <w:right w:val="single" w:color="auto" w:sz="4" w:space="0"/>
            </w:tcBorders>
            <w:vAlign w:val="center"/>
          </w:tcPr>
          <w:p w14:paraId="06D020CD">
            <w:pPr>
              <w:snapToGrid w:val="0"/>
              <w:spacing w:line="400" w:lineRule="exact"/>
              <w:rPr>
                <w:rFonts w:ascii="宋体" w:hAnsi="宋体" w:cs="宋体"/>
                <w:b/>
                <w:color w:val="auto"/>
                <w:sz w:val="24"/>
                <w:highlight w:val="none"/>
              </w:rPr>
            </w:pPr>
            <w:r>
              <w:rPr>
                <w:rFonts w:hint="eastAsia" w:ascii="宋体" w:hAnsi="宋体" w:cs="宋体"/>
                <w:b/>
                <w:color w:val="auto"/>
                <w:sz w:val="24"/>
                <w:highlight w:val="none"/>
              </w:rPr>
              <w:t>质疑与澄清</w:t>
            </w:r>
            <w:r>
              <w:rPr>
                <w:rFonts w:hint="eastAsia" w:ascii="宋体" w:hAnsi="宋体" w:cs="宋体"/>
                <w:color w:val="auto"/>
                <w:sz w:val="24"/>
                <w:highlight w:val="none"/>
              </w:rPr>
              <w:t>：</w:t>
            </w:r>
            <w:r>
              <w:rPr>
                <w:rFonts w:hint="eastAsia" w:ascii="宋体" w:hAnsi="宋体" w:cs="宋体"/>
                <w:b/>
                <w:color w:val="auto"/>
                <w:sz w:val="24"/>
                <w:highlight w:val="none"/>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auto"/>
                <w:sz w:val="24"/>
                <w:highlight w:val="none"/>
              </w:rPr>
              <w:t>招标人对已发出的招标文件进行必要的澄清、答复、修改和补充将以更正公告的形式，通过采购公告发布的网站予以发布。</w:t>
            </w:r>
          </w:p>
        </w:tc>
      </w:tr>
      <w:tr w14:paraId="2C116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A7556E2">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9684" w:type="dxa"/>
            <w:tcBorders>
              <w:top w:val="single" w:color="auto" w:sz="4" w:space="0"/>
              <w:left w:val="single" w:color="auto" w:sz="4" w:space="0"/>
              <w:bottom w:val="single" w:color="auto" w:sz="4" w:space="0"/>
              <w:right w:val="single" w:color="auto" w:sz="4" w:space="0"/>
            </w:tcBorders>
            <w:vAlign w:val="center"/>
          </w:tcPr>
          <w:p w14:paraId="1292FD70">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投标截止时间、开标时间及地点：详见“第一章  投标邀请”</w:t>
            </w:r>
          </w:p>
        </w:tc>
      </w:tr>
      <w:tr w14:paraId="50B730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321AF12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9684" w:type="dxa"/>
            <w:tcBorders>
              <w:top w:val="single" w:color="auto" w:sz="4" w:space="0"/>
              <w:left w:val="single" w:color="auto" w:sz="4" w:space="0"/>
              <w:bottom w:val="single" w:color="auto" w:sz="4" w:space="0"/>
              <w:right w:val="single" w:color="auto" w:sz="4" w:space="0"/>
            </w:tcBorders>
            <w:vAlign w:val="center"/>
          </w:tcPr>
          <w:p w14:paraId="4EA2A595">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评标办法</w:t>
            </w:r>
            <w:r>
              <w:rPr>
                <w:rFonts w:hint="eastAsia" w:ascii="宋体" w:hAnsi="宋体" w:cs="宋体"/>
                <w:b/>
                <w:color w:val="auto"/>
                <w:sz w:val="24"/>
                <w:highlight w:val="none"/>
              </w:rPr>
              <w:t>：</w:t>
            </w:r>
            <w:r>
              <w:rPr>
                <w:rFonts w:hint="eastAsia" w:ascii="宋体" w:hAnsi="宋体" w:cs="宋体"/>
                <w:color w:val="auto"/>
                <w:sz w:val="24"/>
                <w:highlight w:val="none"/>
              </w:rPr>
              <w:t>综合评分法</w:t>
            </w:r>
          </w:p>
        </w:tc>
      </w:tr>
      <w:tr w14:paraId="1D834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1EC6C3C4">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9684" w:type="dxa"/>
            <w:tcBorders>
              <w:top w:val="single" w:color="auto" w:sz="4" w:space="0"/>
              <w:left w:val="single" w:color="auto" w:sz="4" w:space="0"/>
              <w:bottom w:val="single" w:color="auto" w:sz="4" w:space="0"/>
              <w:right w:val="single" w:color="auto" w:sz="4" w:space="0"/>
            </w:tcBorders>
            <w:vAlign w:val="center"/>
          </w:tcPr>
          <w:p w14:paraId="4A50EC3A">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投标有效期：自投标截止日起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天投标文件应保持有效</w:t>
            </w:r>
          </w:p>
        </w:tc>
      </w:tr>
      <w:tr w14:paraId="1884B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500D8CC6">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9684" w:type="dxa"/>
            <w:tcBorders>
              <w:top w:val="single" w:color="auto" w:sz="4" w:space="0"/>
              <w:left w:val="single" w:color="auto" w:sz="4" w:space="0"/>
              <w:bottom w:val="single" w:color="auto" w:sz="4" w:space="0"/>
              <w:right w:val="single" w:color="auto" w:sz="4" w:space="0"/>
            </w:tcBorders>
            <w:vAlign w:val="center"/>
          </w:tcPr>
          <w:p w14:paraId="32DE62E5">
            <w:pPr>
              <w:autoSpaceDE w:val="0"/>
              <w:autoSpaceDN w:val="0"/>
              <w:snapToGrid w:val="0"/>
              <w:spacing w:line="400" w:lineRule="exact"/>
              <w:textAlignment w:val="bottom"/>
              <w:rPr>
                <w:rFonts w:ascii="宋体" w:hAnsi="宋体" w:cs="宋体"/>
                <w:b/>
                <w:color w:val="auto"/>
                <w:sz w:val="24"/>
                <w:highlight w:val="none"/>
                <w:u w:val="single"/>
              </w:rPr>
            </w:pPr>
            <w:r>
              <w:rPr>
                <w:rFonts w:hint="eastAsia" w:ascii="宋体" w:hAnsi="宋体" w:cs="宋体"/>
                <w:b/>
                <w:color w:val="auto"/>
                <w:sz w:val="24"/>
                <w:highlight w:val="none"/>
                <w:u w:val="single"/>
              </w:rPr>
              <w:t>实质性条款：带▲是实质性条款，投标人不得负偏离或内容缺失，否则为无效标。</w:t>
            </w:r>
          </w:p>
        </w:tc>
      </w:tr>
      <w:tr w14:paraId="17C50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5B8F5E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9684" w:type="dxa"/>
            <w:tcBorders>
              <w:top w:val="single" w:color="auto" w:sz="4" w:space="0"/>
              <w:left w:val="single" w:color="auto" w:sz="4" w:space="0"/>
              <w:bottom w:val="single" w:color="auto" w:sz="4" w:space="0"/>
              <w:right w:val="single" w:color="auto" w:sz="4" w:space="0"/>
            </w:tcBorders>
            <w:vAlign w:val="center"/>
          </w:tcPr>
          <w:p w14:paraId="13BEBF7E">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中标公告及中标通知书：评标结束后7个工作日内，中标公告发布于招标公告发布的网站（临海市限额以下公共资源交易区域平台）</w:t>
            </w:r>
          </w:p>
        </w:tc>
      </w:tr>
      <w:tr w14:paraId="7BC51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7BED0FFA">
            <w:pPr>
              <w:snapToGrid w:val="0"/>
              <w:spacing w:line="400" w:lineRule="exact"/>
              <w:jc w:val="center"/>
              <w:rPr>
                <w:rFonts w:ascii="宋体" w:hAnsi="宋体" w:cs="宋体"/>
                <w:color w:val="auto"/>
                <w:sz w:val="24"/>
                <w:highlight w:val="none"/>
              </w:rPr>
            </w:pPr>
            <w:r>
              <w:rPr>
                <w:rFonts w:hint="eastAsia" w:ascii="宋体" w:hAnsi="宋体"/>
                <w:color w:val="auto"/>
                <w:sz w:val="24"/>
                <w:highlight w:val="none"/>
              </w:rPr>
              <w:t>11</w:t>
            </w:r>
          </w:p>
        </w:tc>
        <w:tc>
          <w:tcPr>
            <w:tcW w:w="9684" w:type="dxa"/>
            <w:tcBorders>
              <w:top w:val="single" w:color="auto" w:sz="4" w:space="0"/>
              <w:left w:val="single" w:color="auto" w:sz="4" w:space="0"/>
              <w:bottom w:val="single" w:color="auto" w:sz="4" w:space="0"/>
              <w:right w:val="single" w:color="auto" w:sz="4" w:space="0"/>
            </w:tcBorders>
            <w:vAlign w:val="center"/>
          </w:tcPr>
          <w:p w14:paraId="508AE6CD">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olor w:val="auto"/>
                <w:sz w:val="24"/>
                <w:highlight w:val="none"/>
              </w:rPr>
              <w:t>签订合同时间：中标通知书发出后30日内。</w:t>
            </w:r>
          </w:p>
        </w:tc>
      </w:tr>
      <w:tr w14:paraId="7CA75A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787" w:type="dxa"/>
            <w:tcBorders>
              <w:top w:val="single" w:color="auto" w:sz="4" w:space="0"/>
              <w:left w:val="single" w:color="auto" w:sz="4" w:space="0"/>
              <w:bottom w:val="single" w:color="auto" w:sz="4" w:space="0"/>
              <w:right w:val="single" w:color="auto" w:sz="4" w:space="0"/>
            </w:tcBorders>
            <w:vAlign w:val="center"/>
          </w:tcPr>
          <w:p w14:paraId="5452F04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684" w:type="dxa"/>
            <w:tcBorders>
              <w:top w:val="single" w:color="auto" w:sz="4" w:space="0"/>
              <w:left w:val="single" w:color="auto" w:sz="4" w:space="0"/>
              <w:bottom w:val="single" w:color="auto" w:sz="4" w:space="0"/>
              <w:right w:val="single" w:color="auto" w:sz="4" w:space="0"/>
            </w:tcBorders>
            <w:vAlign w:val="center"/>
          </w:tcPr>
          <w:p w14:paraId="0CD90527">
            <w:pPr>
              <w:pStyle w:val="21"/>
              <w:spacing w:after="80" w:line="400" w:lineRule="exact"/>
              <w:jc w:val="left"/>
              <w:rPr>
                <w:rFonts w:ascii="宋体" w:hAnsi="宋体" w:cs="宋体"/>
                <w:color w:val="auto"/>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r>
              <w:rPr>
                <w:rFonts w:hint="eastAsia" w:ascii="宋体" w:hAnsi="宋体" w:cs="宋体"/>
                <w:color w:val="auto"/>
                <w:kern w:val="2"/>
                <w:sz w:val="24"/>
                <w:highlight w:val="none"/>
              </w:rPr>
              <w:t>详见第二章</w:t>
            </w:r>
          </w:p>
        </w:tc>
      </w:tr>
      <w:tr w14:paraId="3E2FBC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87" w:type="dxa"/>
            <w:tcBorders>
              <w:top w:val="single" w:color="auto" w:sz="4" w:space="0"/>
              <w:left w:val="single" w:color="auto" w:sz="4" w:space="0"/>
              <w:bottom w:val="single" w:color="auto" w:sz="4" w:space="0"/>
              <w:right w:val="single" w:color="auto" w:sz="4" w:space="0"/>
            </w:tcBorders>
            <w:vAlign w:val="center"/>
          </w:tcPr>
          <w:p w14:paraId="3B469B5D">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9684" w:type="dxa"/>
            <w:tcBorders>
              <w:top w:val="single" w:color="auto" w:sz="4" w:space="0"/>
              <w:left w:val="single" w:color="auto" w:sz="4" w:space="0"/>
              <w:bottom w:val="single" w:color="auto" w:sz="4" w:space="0"/>
              <w:right w:val="single" w:color="auto" w:sz="4" w:space="0"/>
            </w:tcBorders>
            <w:vAlign w:val="center"/>
          </w:tcPr>
          <w:p w14:paraId="1EC31CAC">
            <w:pPr>
              <w:rPr>
                <w:rFonts w:ascii="宋体" w:hAnsi="宋体" w:cs="宋体"/>
                <w:color w:val="auto"/>
                <w:highlight w:val="none"/>
              </w:rPr>
            </w:pPr>
            <w:r>
              <w:rPr>
                <w:rFonts w:hint="eastAsia" w:ascii="宋体" w:hAnsi="宋体"/>
                <w:b/>
                <w:color w:val="auto"/>
                <w:sz w:val="24"/>
                <w:highlight w:val="none"/>
              </w:rPr>
              <w:t>投标保证金：无</w:t>
            </w:r>
          </w:p>
        </w:tc>
      </w:tr>
      <w:tr w14:paraId="022456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486B589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9684" w:type="dxa"/>
            <w:tcBorders>
              <w:top w:val="single" w:color="auto" w:sz="4" w:space="0"/>
              <w:left w:val="single" w:color="auto" w:sz="4" w:space="0"/>
              <w:bottom w:val="single" w:color="auto" w:sz="4" w:space="0"/>
              <w:right w:val="single" w:color="auto" w:sz="4" w:space="0"/>
            </w:tcBorders>
            <w:vAlign w:val="center"/>
          </w:tcPr>
          <w:p w14:paraId="5932A1AC">
            <w:pPr>
              <w:pStyle w:val="21"/>
              <w:spacing w:after="0"/>
              <w:jc w:val="left"/>
              <w:rPr>
                <w:rFonts w:ascii="宋体" w:hAnsi="宋体" w:cs="宋体"/>
                <w:color w:val="auto"/>
                <w:sz w:val="24"/>
                <w:highlight w:val="none"/>
              </w:rPr>
            </w:pPr>
            <w:r>
              <w:rPr>
                <w:rFonts w:hint="eastAsia" w:ascii="宋体" w:hAnsi="宋体" w:cs="宋体"/>
                <w:color w:val="auto"/>
                <w:sz w:val="24"/>
                <w:highlight w:val="none"/>
              </w:rPr>
              <w:t>履约保证金的收取及退还: 中标价的1%。</w:t>
            </w:r>
          </w:p>
          <w:p w14:paraId="06713741">
            <w:pPr>
              <w:pStyle w:val="21"/>
              <w:spacing w:after="0"/>
              <w:jc w:val="left"/>
              <w:rPr>
                <w:rFonts w:ascii="宋体" w:hAnsi="宋体" w:cs="宋体"/>
                <w:color w:val="auto"/>
                <w:sz w:val="24"/>
                <w:highlight w:val="none"/>
              </w:rPr>
            </w:pPr>
            <w:r>
              <w:rPr>
                <w:rFonts w:hint="eastAsia" w:ascii="宋体" w:hAnsi="宋体" w:cs="宋体"/>
                <w:color w:val="auto"/>
                <w:sz w:val="24"/>
                <w:highlight w:val="none"/>
              </w:rPr>
              <w:t>履约保证金形式：现金（电汇或银行汇票形式）或银行保函或保险机构保证保险保单或融资担保公司保函。</w:t>
            </w:r>
          </w:p>
          <w:p w14:paraId="40615E14">
            <w:pPr>
              <w:pStyle w:val="21"/>
              <w:spacing w:after="0"/>
              <w:jc w:val="left"/>
              <w:rPr>
                <w:rFonts w:ascii="宋体" w:hAnsi="宋体" w:cs="宋体"/>
                <w:color w:val="auto"/>
                <w:sz w:val="24"/>
                <w:highlight w:val="none"/>
              </w:rPr>
            </w:pPr>
            <w:r>
              <w:rPr>
                <w:rFonts w:hint="eastAsia" w:ascii="宋体" w:hAnsi="宋体" w:cs="宋体"/>
                <w:color w:val="auto"/>
                <w:sz w:val="24"/>
                <w:highlight w:val="none"/>
              </w:rPr>
              <w:t>若采用银行保函，出具保函的银行级别：国有或股份制商业银行县（区、市）级及以上银行。</w:t>
            </w:r>
          </w:p>
          <w:p w14:paraId="7262F835">
            <w:pPr>
              <w:pStyle w:val="21"/>
              <w:spacing w:after="0"/>
              <w:jc w:val="left"/>
              <w:rPr>
                <w:rFonts w:ascii="宋体" w:hAnsi="宋体" w:cs="宋体"/>
                <w:color w:val="auto"/>
                <w:sz w:val="24"/>
                <w:highlight w:val="none"/>
              </w:rPr>
            </w:pPr>
            <w:r>
              <w:rPr>
                <w:rFonts w:hint="eastAsia" w:ascii="宋体" w:hAnsi="宋体" w:cs="宋体"/>
                <w:color w:val="auto"/>
                <w:sz w:val="24"/>
                <w:highlight w:val="none"/>
              </w:rPr>
              <w:t>若采用保险机构保证保险保单，出具保单的保险公司级别：县（区、市）级及以上国有或股份制保险公司。</w:t>
            </w:r>
          </w:p>
          <w:p w14:paraId="59D90C61">
            <w:pPr>
              <w:pStyle w:val="21"/>
              <w:spacing w:after="0"/>
              <w:jc w:val="left"/>
              <w:rPr>
                <w:rFonts w:ascii="宋体" w:hAnsi="宋体" w:cs="宋体"/>
                <w:color w:val="auto"/>
                <w:sz w:val="24"/>
                <w:highlight w:val="none"/>
              </w:rPr>
            </w:pPr>
            <w:r>
              <w:rPr>
                <w:rFonts w:hint="eastAsia" w:ascii="宋体" w:hAnsi="宋体" w:cs="宋体"/>
                <w:color w:val="auto"/>
                <w:sz w:val="24"/>
                <w:highlight w:val="none"/>
              </w:rPr>
              <w:t>若采用融资担保公司保函，出具保函的融资担保公司级别：县（区、市）级及以上国有或股份制融资担保公司。</w:t>
            </w:r>
          </w:p>
          <w:p w14:paraId="76BCBA47">
            <w:pPr>
              <w:pStyle w:val="21"/>
              <w:spacing w:after="0"/>
              <w:jc w:val="left"/>
              <w:rPr>
                <w:rFonts w:ascii="宋体" w:hAnsi="宋体" w:cs="宋体"/>
                <w:color w:val="auto"/>
                <w:sz w:val="24"/>
                <w:highlight w:val="none"/>
              </w:rPr>
            </w:pPr>
            <w:r>
              <w:rPr>
                <w:rFonts w:hint="eastAsia" w:ascii="宋体" w:hAnsi="宋体" w:cs="宋体"/>
                <w:color w:val="auto"/>
                <w:sz w:val="24"/>
                <w:highlight w:val="none"/>
              </w:rPr>
              <w:t>开户名：临海市产权交易所有限公司</w:t>
            </w:r>
          </w:p>
          <w:p w14:paraId="41433C37">
            <w:pPr>
              <w:pStyle w:val="21"/>
              <w:spacing w:after="0"/>
              <w:jc w:val="left"/>
              <w:rPr>
                <w:rFonts w:ascii="宋体" w:hAnsi="宋体" w:cs="宋体"/>
                <w:color w:val="auto"/>
                <w:sz w:val="24"/>
                <w:highlight w:val="none"/>
              </w:rPr>
            </w:pPr>
            <w:r>
              <w:rPr>
                <w:rFonts w:hint="eastAsia" w:ascii="宋体" w:hAnsi="宋体" w:cs="宋体"/>
                <w:color w:val="auto"/>
                <w:sz w:val="24"/>
                <w:highlight w:val="none"/>
              </w:rPr>
              <w:t>开户行：浙江临海农村商业银行股份有限公司科技支行；</w:t>
            </w:r>
          </w:p>
          <w:p w14:paraId="4B69DEB9">
            <w:pPr>
              <w:pStyle w:val="21"/>
              <w:spacing w:after="0"/>
              <w:jc w:val="left"/>
              <w:rPr>
                <w:rFonts w:ascii="宋体" w:hAnsi="宋体" w:cs="宋体"/>
                <w:color w:val="auto"/>
                <w:sz w:val="24"/>
                <w:highlight w:val="none"/>
              </w:rPr>
            </w:pPr>
            <w:r>
              <w:rPr>
                <w:rFonts w:hint="eastAsia" w:ascii="宋体" w:hAnsi="宋体" w:cs="宋体"/>
                <w:color w:val="auto"/>
                <w:sz w:val="24"/>
                <w:highlight w:val="none"/>
              </w:rPr>
              <w:t>履约保证金账号：201000105503123000002</w:t>
            </w:r>
          </w:p>
          <w:p w14:paraId="379249C2">
            <w:pPr>
              <w:pStyle w:val="21"/>
              <w:spacing w:after="0"/>
              <w:jc w:val="left"/>
              <w:rPr>
                <w:rFonts w:ascii="宋体" w:hAnsi="宋体" w:cs="宋体"/>
                <w:color w:val="auto"/>
                <w:sz w:val="24"/>
                <w:highlight w:val="none"/>
              </w:rPr>
            </w:pPr>
            <w:r>
              <w:rPr>
                <w:rFonts w:hint="eastAsia" w:ascii="宋体" w:hAnsi="宋体" w:cs="宋体"/>
                <w:color w:val="auto"/>
                <w:sz w:val="24"/>
                <w:highlight w:val="none"/>
              </w:rPr>
              <w:t>临海市产权交易所有限公司财务咨询电话：0576-85407100。</w:t>
            </w:r>
          </w:p>
        </w:tc>
      </w:tr>
      <w:tr w14:paraId="361D38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470B70E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9684" w:type="dxa"/>
            <w:tcBorders>
              <w:top w:val="single" w:color="auto" w:sz="4" w:space="0"/>
              <w:left w:val="single" w:color="auto" w:sz="4" w:space="0"/>
              <w:bottom w:val="single" w:color="auto" w:sz="4" w:space="0"/>
              <w:right w:val="single" w:color="auto" w:sz="4" w:space="0"/>
            </w:tcBorders>
            <w:vAlign w:val="center"/>
          </w:tcPr>
          <w:p w14:paraId="1CF7960E">
            <w:pPr>
              <w:pStyle w:val="21"/>
              <w:spacing w:after="0"/>
              <w:jc w:val="left"/>
              <w:rPr>
                <w:rFonts w:ascii="宋体" w:hAnsi="宋体" w:cs="宋体"/>
                <w:color w:val="auto"/>
                <w:sz w:val="24"/>
                <w:highlight w:val="none"/>
              </w:rPr>
            </w:pPr>
            <w:r>
              <w:rPr>
                <w:rFonts w:hint="eastAsia" w:ascii="宋体" w:hAnsi="宋体" w:cs="宋体"/>
                <w:color w:val="auto"/>
                <w:sz w:val="24"/>
                <w:highlight w:val="none"/>
              </w:rPr>
              <w:t>电子投标文件的上传：</w:t>
            </w:r>
          </w:p>
          <w:p w14:paraId="614467C8">
            <w:pPr>
              <w:pStyle w:val="21"/>
              <w:spacing w:after="0"/>
              <w:jc w:val="left"/>
              <w:rPr>
                <w:rFonts w:ascii="宋体" w:hAnsi="宋体" w:cs="宋体"/>
                <w:color w:val="auto"/>
                <w:sz w:val="24"/>
                <w:highlight w:val="none"/>
              </w:rPr>
            </w:pPr>
            <w:r>
              <w:rPr>
                <w:rFonts w:hint="eastAsia" w:ascii="宋体" w:hAnsi="宋体" w:cs="宋体"/>
                <w:color w:val="auto"/>
                <w:sz w:val="24"/>
                <w:highlight w:val="none"/>
              </w:rPr>
              <w:t>（1）电子投标文件可在投标截止时间前上传，未在投标截止时间前上传的投标文件视为无效标。</w:t>
            </w:r>
          </w:p>
          <w:p w14:paraId="184E558D">
            <w:pPr>
              <w:pStyle w:val="21"/>
              <w:spacing w:after="0"/>
              <w:jc w:val="left"/>
              <w:rPr>
                <w:rFonts w:ascii="宋体" w:hAnsi="宋体" w:cs="宋体"/>
                <w:color w:val="auto"/>
                <w:sz w:val="24"/>
                <w:highlight w:val="none"/>
              </w:rPr>
            </w:pPr>
            <w:r>
              <w:rPr>
                <w:rFonts w:hint="eastAsia" w:ascii="宋体" w:hAnsi="宋体" w:cs="宋体"/>
                <w:color w:val="auto"/>
                <w:sz w:val="24"/>
                <w:highlight w:val="none"/>
              </w:rPr>
              <w:t>（2）上传加密的电子投标文件，后缀名为（.投标文件）（本项目无需提供纸质投标文件，只要求上传电子投标文件正本一份）</w:t>
            </w:r>
          </w:p>
          <w:p w14:paraId="1034B94C">
            <w:pPr>
              <w:pStyle w:val="21"/>
              <w:spacing w:after="0"/>
              <w:jc w:val="left"/>
              <w:rPr>
                <w:rFonts w:ascii="宋体" w:hAnsi="宋体" w:cs="宋体"/>
                <w:color w:val="auto"/>
                <w:sz w:val="24"/>
                <w:highlight w:val="none"/>
              </w:rPr>
            </w:pPr>
            <w:r>
              <w:rPr>
                <w:rFonts w:hint="eastAsia" w:ascii="宋体" w:hAnsi="宋体" w:cs="宋体"/>
                <w:color w:val="auto"/>
                <w:sz w:val="24"/>
                <w:highlight w:val="none"/>
              </w:rPr>
              <w:t>CA咨询电话：400-0571-337，投标工具咨询电话：15267291759</w:t>
            </w:r>
          </w:p>
          <w:p w14:paraId="51B55F7E">
            <w:pPr>
              <w:rPr>
                <w:rFonts w:ascii="宋体" w:hAnsi="宋体" w:cs="宋体"/>
                <w:color w:val="auto"/>
                <w:sz w:val="22"/>
                <w:szCs w:val="22"/>
                <w:highlight w:val="none"/>
              </w:rPr>
            </w:pPr>
            <w:r>
              <w:rPr>
                <w:rFonts w:hint="eastAsia" w:ascii="宋体" w:hAnsi="宋体" w:cs="宋体"/>
                <w:color w:val="auto"/>
                <w:sz w:val="24"/>
                <w:highlight w:val="none"/>
              </w:rPr>
              <w:t>说明：</w:t>
            </w:r>
            <w:r>
              <w:rPr>
                <w:rFonts w:hint="eastAsia" w:ascii="宋体" w:hAnsi="宋体" w:cs="宋体"/>
                <w:color w:val="auto"/>
                <w:kern w:val="0"/>
                <w:sz w:val="24"/>
                <w:highlight w:val="none"/>
              </w:rPr>
              <w:t>开标时间到达后，在开启解密时间60分钟内（具体时间以不见面开标大厅</w:t>
            </w:r>
            <w:bookmarkStart w:id="11" w:name="_Hlk59625364"/>
            <w:r>
              <w:rPr>
                <w:rFonts w:hint="eastAsia" w:ascii="宋体" w:hAnsi="宋体" w:cs="宋体"/>
                <w:color w:val="auto"/>
                <w:kern w:val="0"/>
                <w:sz w:val="24"/>
                <w:highlight w:val="none"/>
              </w:rPr>
              <w:t>中显示的</w:t>
            </w:r>
            <w:bookmarkEnd w:id="11"/>
            <w:r>
              <w:rPr>
                <w:rFonts w:hint="eastAsia" w:ascii="宋体" w:hAnsi="宋体" w:cs="宋体"/>
                <w:color w:val="auto"/>
                <w:kern w:val="0"/>
                <w:sz w:val="24"/>
                <w:highlight w:val="none"/>
              </w:rPr>
              <w:t>解密截止时间为准），投标人须登录临海市限额以下公共资源交易区域平台-不见面开标大厅，找到所参与的项目进行解密投标文件，</w:t>
            </w:r>
            <w:bookmarkStart w:id="12" w:name="_Hlk59625972"/>
            <w:r>
              <w:rPr>
                <w:rFonts w:hint="eastAsia" w:ascii="宋体" w:hAnsi="宋体" w:cs="宋体"/>
                <w:color w:val="auto"/>
                <w:kern w:val="0"/>
                <w:sz w:val="24"/>
                <w:highlight w:val="none"/>
              </w:rPr>
              <w:t xml:space="preserve">投标人未按时解密或解密失败的，其投标文件为无效标。 </w:t>
            </w:r>
            <w:bookmarkEnd w:id="12"/>
          </w:p>
        </w:tc>
      </w:tr>
      <w:tr w14:paraId="073B85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A00A9D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9684" w:type="dxa"/>
            <w:tcBorders>
              <w:top w:val="single" w:color="auto" w:sz="4" w:space="0"/>
              <w:left w:val="single" w:color="auto" w:sz="4" w:space="0"/>
              <w:bottom w:val="single" w:color="auto" w:sz="4" w:space="0"/>
              <w:right w:val="single" w:color="auto" w:sz="4" w:space="0"/>
            </w:tcBorders>
            <w:vAlign w:val="center"/>
          </w:tcPr>
          <w:p w14:paraId="26800C8C">
            <w:pPr>
              <w:pStyle w:val="21"/>
              <w:spacing w:after="0"/>
              <w:jc w:val="left"/>
              <w:rPr>
                <w:rFonts w:ascii="宋体" w:hAnsi="宋体" w:cs="宋体"/>
                <w:color w:val="auto"/>
                <w:sz w:val="24"/>
                <w:highlight w:val="none"/>
              </w:rPr>
            </w:pPr>
            <w:r>
              <w:rPr>
                <w:rFonts w:hint="eastAsia" w:ascii="宋体" w:hAnsi="宋体" w:cs="宋体"/>
                <w:color w:val="auto"/>
                <w:sz w:val="24"/>
                <w:highlight w:val="none"/>
              </w:rPr>
              <w:t>投标人平台使用费：</w:t>
            </w:r>
          </w:p>
          <w:p w14:paraId="196E2B3B">
            <w:pPr>
              <w:pStyle w:val="21"/>
              <w:spacing w:after="0"/>
              <w:jc w:val="left"/>
              <w:rPr>
                <w:rFonts w:ascii="宋体" w:hAnsi="宋体" w:cs="宋体"/>
                <w:color w:val="auto"/>
                <w:sz w:val="24"/>
                <w:highlight w:val="none"/>
              </w:rPr>
            </w:pPr>
            <w:r>
              <w:rPr>
                <w:rFonts w:hint="eastAsia" w:ascii="宋体" w:hAnsi="宋体" w:cs="宋体"/>
                <w:color w:val="auto"/>
                <w:sz w:val="24"/>
                <w:highlight w:val="none"/>
              </w:rPr>
              <w:t>项目金额50万元以下收费100元，50万元以上收费150元。</w:t>
            </w:r>
          </w:p>
          <w:p w14:paraId="327D3E24">
            <w:pPr>
              <w:pStyle w:val="21"/>
              <w:spacing w:after="0"/>
              <w:jc w:val="left"/>
              <w:rPr>
                <w:rFonts w:ascii="宋体" w:hAnsi="宋体" w:cs="宋体"/>
                <w:color w:val="auto"/>
                <w:sz w:val="24"/>
                <w:highlight w:val="none"/>
              </w:rPr>
            </w:pPr>
            <w:r>
              <w:rPr>
                <w:rFonts w:hint="eastAsia" w:ascii="宋体" w:hAnsi="宋体" w:cs="宋体"/>
                <w:color w:val="auto"/>
                <w:sz w:val="24"/>
                <w:highlight w:val="none"/>
              </w:rPr>
              <w:t>开户名：临海市产权交易所有限公司</w:t>
            </w:r>
          </w:p>
          <w:p w14:paraId="09C5BE67">
            <w:pPr>
              <w:pStyle w:val="21"/>
              <w:spacing w:after="0"/>
              <w:jc w:val="left"/>
              <w:rPr>
                <w:rFonts w:ascii="宋体" w:hAnsi="宋体" w:cs="宋体"/>
                <w:color w:val="auto"/>
                <w:sz w:val="24"/>
                <w:highlight w:val="none"/>
              </w:rPr>
            </w:pPr>
            <w:r>
              <w:rPr>
                <w:rFonts w:hint="eastAsia" w:ascii="宋体" w:hAnsi="宋体" w:cs="宋体"/>
                <w:color w:val="auto"/>
                <w:sz w:val="24"/>
                <w:highlight w:val="none"/>
              </w:rPr>
              <w:t>开户行：浙江临海农村商业银行股份有限公司科技支行；</w:t>
            </w:r>
          </w:p>
          <w:p w14:paraId="0226284C">
            <w:pPr>
              <w:pStyle w:val="21"/>
              <w:spacing w:after="0"/>
              <w:jc w:val="left"/>
              <w:rPr>
                <w:rFonts w:ascii="宋体" w:hAnsi="宋体" w:cs="宋体"/>
                <w:color w:val="auto"/>
                <w:sz w:val="24"/>
                <w:highlight w:val="none"/>
              </w:rPr>
            </w:pPr>
            <w:r>
              <w:rPr>
                <w:rFonts w:hint="eastAsia" w:ascii="宋体" w:hAnsi="宋体" w:cs="宋体"/>
                <w:color w:val="auto"/>
                <w:sz w:val="24"/>
                <w:highlight w:val="none"/>
              </w:rPr>
              <w:t>平台使用费账号：201000105503123000003</w:t>
            </w:r>
          </w:p>
          <w:p w14:paraId="0CE4ABE7">
            <w:pPr>
              <w:pStyle w:val="21"/>
              <w:spacing w:after="0"/>
              <w:jc w:val="left"/>
              <w:rPr>
                <w:rFonts w:ascii="宋体" w:hAnsi="宋体" w:cs="宋体"/>
                <w:color w:val="auto"/>
                <w:sz w:val="24"/>
                <w:highlight w:val="none"/>
              </w:rPr>
            </w:pPr>
            <w:r>
              <w:rPr>
                <w:rFonts w:hint="eastAsia" w:ascii="宋体" w:hAnsi="宋体" w:cs="宋体"/>
                <w:color w:val="auto"/>
                <w:sz w:val="24"/>
                <w:highlight w:val="none"/>
              </w:rPr>
              <w:t>临海市产权交易所有限公司财务咨询电话：0576-85407100。</w:t>
            </w:r>
          </w:p>
          <w:p w14:paraId="5254C6DA">
            <w:pPr>
              <w:rPr>
                <w:color w:val="auto"/>
              </w:rPr>
            </w:pPr>
            <w:r>
              <w:rPr>
                <w:rFonts w:hint="eastAsia" w:ascii="宋体" w:hAnsi="宋体" w:eastAsia="宋体" w:cs="宋体"/>
                <w:b/>
                <w:bCs/>
                <w:color w:val="auto"/>
                <w:sz w:val="24"/>
                <w:szCs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358459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117B35F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9684" w:type="dxa"/>
            <w:tcBorders>
              <w:top w:val="single" w:color="auto" w:sz="4" w:space="0"/>
              <w:left w:val="single" w:color="auto" w:sz="4" w:space="0"/>
              <w:bottom w:val="single" w:color="auto" w:sz="4" w:space="0"/>
              <w:right w:val="single" w:color="auto" w:sz="4" w:space="0"/>
            </w:tcBorders>
            <w:vAlign w:val="center"/>
          </w:tcPr>
          <w:p w14:paraId="3ED30101">
            <w:pPr>
              <w:pStyle w:val="21"/>
              <w:spacing w:after="0"/>
              <w:jc w:val="left"/>
              <w:rPr>
                <w:rFonts w:ascii="宋体" w:hAnsi="宋体" w:cs="宋体"/>
                <w:color w:val="auto"/>
                <w:sz w:val="24"/>
                <w:highlight w:val="none"/>
              </w:rPr>
            </w:pPr>
            <w:r>
              <w:rPr>
                <w:rFonts w:hint="eastAsia" w:ascii="宋体" w:hAnsi="宋体" w:cs="宋体"/>
                <w:color w:val="auto"/>
                <w:sz w:val="24"/>
                <w:highlight w:val="none"/>
              </w:rPr>
              <w:t>电子发票申请方式：</w:t>
            </w:r>
          </w:p>
          <w:p w14:paraId="3FDA51E3">
            <w:pPr>
              <w:pStyle w:val="21"/>
              <w:spacing w:after="0"/>
              <w:jc w:val="left"/>
              <w:rPr>
                <w:rFonts w:ascii="宋体" w:hAnsi="宋体" w:cs="宋体"/>
                <w:color w:val="auto"/>
                <w:sz w:val="24"/>
                <w:highlight w:val="none"/>
              </w:rPr>
            </w:pPr>
            <w:r>
              <w:rPr>
                <w:rFonts w:hint="eastAsia" w:ascii="宋体" w:hAnsi="宋体" w:cs="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94BB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315AA9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18</w:t>
            </w:r>
          </w:p>
        </w:tc>
        <w:tc>
          <w:tcPr>
            <w:tcW w:w="9684" w:type="dxa"/>
            <w:tcBorders>
              <w:top w:val="single" w:color="auto" w:sz="4" w:space="0"/>
              <w:left w:val="single" w:color="auto" w:sz="4" w:space="0"/>
              <w:bottom w:val="single" w:color="auto" w:sz="4" w:space="0"/>
              <w:right w:val="single" w:color="auto" w:sz="4" w:space="0"/>
            </w:tcBorders>
            <w:vAlign w:val="center"/>
          </w:tcPr>
          <w:p w14:paraId="7E1A5EFF">
            <w:pPr>
              <w:pStyle w:val="21"/>
              <w:spacing w:after="0"/>
              <w:jc w:val="left"/>
              <w:rPr>
                <w:rFonts w:ascii="宋体" w:hAnsi="宋体" w:cs="宋体"/>
                <w:color w:val="auto"/>
                <w:sz w:val="24"/>
                <w:highlight w:val="none"/>
              </w:rPr>
            </w:pPr>
            <w:r>
              <w:rPr>
                <w:rFonts w:hint="eastAsia" w:ascii="宋体" w:hAnsi="宋体" w:cs="宋体"/>
                <w:color w:val="auto"/>
                <w:sz w:val="24"/>
                <w:highlight w:val="none"/>
              </w:rPr>
              <w:t>特别事项：</w:t>
            </w:r>
          </w:p>
          <w:p w14:paraId="54BB496F">
            <w:pPr>
              <w:pStyle w:val="21"/>
              <w:spacing w:after="0"/>
              <w:jc w:val="left"/>
              <w:rPr>
                <w:rFonts w:ascii="宋体" w:hAnsi="宋体" w:cs="宋体"/>
                <w:color w:val="auto"/>
                <w:sz w:val="24"/>
                <w:highlight w:val="none"/>
              </w:rPr>
            </w:pPr>
            <w:r>
              <w:rPr>
                <w:rFonts w:hint="eastAsia" w:ascii="宋体" w:hAnsi="宋体" w:cs="宋体"/>
                <w:color w:val="auto"/>
                <w:sz w:val="24"/>
                <w:highlight w:val="none"/>
              </w:rPr>
              <w:t>潜在投标人未在临海市限额以下公共资源交易区域平台办理注册入驻的，应先申办注册入驻手续，具体办理要求请登录临海市限额以下公共资源交易区域平台（https://www.lhcqjy.com.cn/）的“注册入口”栏目进行注册入驻。</w:t>
            </w:r>
          </w:p>
          <w:p w14:paraId="2FFCF746">
            <w:pPr>
              <w:pStyle w:val="21"/>
              <w:spacing w:after="0"/>
              <w:jc w:val="left"/>
              <w:rPr>
                <w:rFonts w:ascii="宋体" w:hAnsi="宋体" w:cs="宋体"/>
                <w:color w:val="auto"/>
                <w:sz w:val="24"/>
                <w:highlight w:val="none"/>
              </w:rPr>
            </w:pPr>
            <w:r>
              <w:rPr>
                <w:rFonts w:hint="eastAsia" w:ascii="宋体" w:hAnsi="宋体" w:cs="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6A70B01">
            <w:pPr>
              <w:pStyle w:val="21"/>
              <w:spacing w:after="0"/>
              <w:jc w:val="left"/>
              <w:rPr>
                <w:rFonts w:ascii="宋体" w:hAnsi="宋体" w:cs="宋体"/>
                <w:color w:val="auto"/>
                <w:sz w:val="24"/>
                <w:highlight w:val="none"/>
              </w:rPr>
            </w:pPr>
            <w:r>
              <w:rPr>
                <w:rFonts w:hint="eastAsia" w:ascii="宋体" w:hAnsi="宋体" w:cs="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15DDF49">
            <w:pPr>
              <w:pStyle w:val="21"/>
              <w:spacing w:after="0"/>
              <w:jc w:val="left"/>
              <w:rPr>
                <w:rFonts w:ascii="宋体" w:hAnsi="宋体" w:cs="宋体"/>
                <w:color w:val="auto"/>
                <w:sz w:val="24"/>
                <w:highlight w:val="none"/>
              </w:rPr>
            </w:pPr>
            <w:r>
              <w:rPr>
                <w:rFonts w:hint="eastAsia" w:ascii="宋体" w:hAnsi="宋体" w:cs="宋体"/>
                <w:color w:val="auto"/>
                <w:sz w:val="24"/>
                <w:highlight w:val="none"/>
              </w:rPr>
              <w:t>软件技术支持电话：15267291759（同微信）。</w:t>
            </w:r>
          </w:p>
        </w:tc>
      </w:tr>
      <w:tr w14:paraId="089930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58AB1B4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19</w:t>
            </w:r>
          </w:p>
        </w:tc>
        <w:tc>
          <w:tcPr>
            <w:tcW w:w="9684" w:type="dxa"/>
            <w:tcBorders>
              <w:top w:val="single" w:color="auto" w:sz="4" w:space="0"/>
              <w:left w:val="single" w:color="auto" w:sz="4" w:space="0"/>
              <w:bottom w:val="single" w:color="auto" w:sz="4" w:space="0"/>
              <w:right w:val="single" w:color="auto" w:sz="4" w:space="0"/>
            </w:tcBorders>
            <w:vAlign w:val="center"/>
          </w:tcPr>
          <w:p w14:paraId="3742613D">
            <w:pPr>
              <w:autoSpaceDE w:val="0"/>
              <w:autoSpaceDN w:val="0"/>
              <w:snapToGrid w:val="0"/>
              <w:textAlignment w:val="bottom"/>
              <w:rPr>
                <w:rFonts w:ascii="宋体" w:hAnsi="宋体" w:cs="宋体"/>
                <w:color w:val="auto"/>
                <w:sz w:val="24"/>
                <w:highlight w:val="none"/>
              </w:rPr>
            </w:pPr>
            <w:r>
              <w:rPr>
                <w:rFonts w:hint="eastAsia" w:ascii="宋体" w:hAnsi="宋体" w:cs="宋体"/>
                <w:color w:val="auto"/>
                <w:sz w:val="24"/>
                <w:highlight w:val="none"/>
              </w:rPr>
              <w:t>解释：本招标文件的解释权属于招标人。</w:t>
            </w:r>
          </w:p>
        </w:tc>
      </w:tr>
    </w:tbl>
    <w:p w14:paraId="21A85777">
      <w:pPr>
        <w:pStyle w:val="32"/>
        <w:snapToGrid w:val="0"/>
        <w:spacing w:beforeLines="0" w:afterLines="0" w:line="420" w:lineRule="exact"/>
        <w:ind w:firstLine="482" w:firstLineChars="200"/>
        <w:rPr>
          <w:rFonts w:hint="eastAsia" w:hAnsi="宋体" w:cs="宋体"/>
          <w:b/>
          <w:color w:val="auto"/>
          <w:highlight w:val="none"/>
        </w:rPr>
      </w:pPr>
    </w:p>
    <w:p w14:paraId="7DC1C985">
      <w:pPr>
        <w:pStyle w:val="32"/>
        <w:snapToGrid w:val="0"/>
        <w:spacing w:beforeLines="0" w:afterLines="0" w:line="420" w:lineRule="exact"/>
        <w:ind w:firstLine="482" w:firstLineChars="200"/>
        <w:rPr>
          <w:rFonts w:hint="eastAsia" w:hAnsi="宋体" w:cs="宋体"/>
          <w:b/>
          <w:color w:val="auto"/>
          <w:highlight w:val="none"/>
        </w:rPr>
      </w:pPr>
    </w:p>
    <w:p w14:paraId="27F258B2">
      <w:pPr>
        <w:pStyle w:val="32"/>
        <w:snapToGrid w:val="0"/>
        <w:spacing w:beforeLines="0" w:afterLines="0" w:line="420" w:lineRule="exact"/>
        <w:ind w:firstLine="482" w:firstLineChars="200"/>
        <w:rPr>
          <w:rFonts w:hint="eastAsia" w:hAnsi="宋体" w:cs="宋体"/>
          <w:b/>
          <w:color w:val="auto"/>
          <w:highlight w:val="none"/>
        </w:rPr>
      </w:pPr>
    </w:p>
    <w:p w14:paraId="02D77287">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一 、总  则</w:t>
      </w:r>
    </w:p>
    <w:p w14:paraId="1E516782">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（一）适用范围</w:t>
      </w:r>
    </w:p>
    <w:p w14:paraId="33FC9E2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本招标文件适用于本项目的招标、投标、评标、定标、验收、合同履约、付款等行为。</w:t>
      </w:r>
    </w:p>
    <w:p w14:paraId="7D4B0F6F">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（二）定义</w:t>
      </w:r>
    </w:p>
    <w:p w14:paraId="439BFF0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1.“招标人”系指组织本次招标的</w:t>
      </w:r>
      <w:r>
        <w:rPr>
          <w:rFonts w:hint="eastAsia" w:ascii="宋体" w:hAnsi="宋体" w:cs="宋体"/>
          <w:color w:val="auto"/>
          <w:sz w:val="24"/>
          <w:highlight w:val="none"/>
          <w:u w:val="single"/>
        </w:rPr>
        <w:t>代理机构</w:t>
      </w:r>
      <w:r>
        <w:rPr>
          <w:rFonts w:hint="eastAsia" w:ascii="宋体" w:hAnsi="宋体" w:cs="宋体"/>
          <w:color w:val="auto"/>
          <w:sz w:val="24"/>
          <w:highlight w:val="none"/>
        </w:rPr>
        <w:t>和招标人。</w:t>
      </w:r>
    </w:p>
    <w:p w14:paraId="5294549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2.“投标人”系指向招标人提交投标文件的单位。</w:t>
      </w:r>
    </w:p>
    <w:p w14:paraId="1F7DE78B">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3.“产品”系指供方按招标文件规定，须向招标人提供的一切设备、保险、税金、备品备件、工具、手册及其它有关技术资料和材料。</w:t>
      </w:r>
    </w:p>
    <w:p w14:paraId="3C288C4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4.“服务”系指招标文件规定投标人须承担的</w:t>
      </w:r>
      <w:r>
        <w:rPr>
          <w:rFonts w:hint="eastAsia" w:ascii="宋体" w:hAnsi="宋体" w:cs="宋体"/>
          <w:color w:val="auto"/>
          <w:sz w:val="24"/>
          <w:highlight w:val="none"/>
          <w:lang w:val="en-US" w:eastAsia="zh-CN"/>
        </w:rPr>
        <w:t>安装、</w:t>
      </w:r>
      <w:r>
        <w:rPr>
          <w:rFonts w:hint="eastAsia" w:ascii="宋体" w:hAnsi="宋体" w:cs="宋体"/>
          <w:color w:val="auto"/>
          <w:sz w:val="24"/>
          <w:highlight w:val="none"/>
        </w:rPr>
        <w:t>技术协助、校准、培训、技术指导以及其他类似的义务。</w:t>
      </w:r>
    </w:p>
    <w:p w14:paraId="7A9B206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5.“项目”系指投标人按招标文件规定向招标人提供的产品和服务。</w:t>
      </w:r>
    </w:p>
    <w:p w14:paraId="2C37766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6.“书面形式”包括信函、传真、电报等。</w:t>
      </w:r>
    </w:p>
    <w:p w14:paraId="66C6E71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7.“▲”系指实质性要求条款。</w:t>
      </w:r>
    </w:p>
    <w:p w14:paraId="779B9592">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（三）招标方式</w:t>
      </w:r>
    </w:p>
    <w:p w14:paraId="26C601CB">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本次招标采用公开招标方式进行。</w:t>
      </w:r>
    </w:p>
    <w:p w14:paraId="153F970D">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（四）投标委托</w:t>
      </w:r>
    </w:p>
    <w:p w14:paraId="43927A15">
      <w:pPr>
        <w:pStyle w:val="14"/>
        <w:snapToGrid w:val="0"/>
        <w:spacing w:line="420" w:lineRule="exact"/>
        <w:ind w:firstLine="464" w:firstLineChars="200"/>
        <w:jc w:val="left"/>
        <w:rPr>
          <w:rFonts w:hAnsi="宋体" w:cs="宋体"/>
          <w:color w:val="auto"/>
          <w:sz w:val="24"/>
          <w:szCs w:val="24"/>
          <w:highlight w:val="none"/>
        </w:rPr>
      </w:pPr>
      <w:r>
        <w:rPr>
          <w:rFonts w:hint="eastAsia" w:hAnsi="宋体" w:cs="宋体"/>
          <w:color w:val="auto"/>
          <w:sz w:val="24"/>
          <w:szCs w:val="24"/>
          <w:highlight w:val="none"/>
        </w:rPr>
        <w:t>投标人代表须携带有效身份证件。如投标人代表不是法定代表人，须有法定代表人出具的授权委托书，格式见第六章。</w:t>
      </w:r>
    </w:p>
    <w:p w14:paraId="65623F7C">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（五）投标费用及结算</w:t>
      </w:r>
    </w:p>
    <w:p w14:paraId="052A594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44B0D655">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4F1B6248">
      <w:pPr>
        <w:snapToGrid w:val="0"/>
        <w:spacing w:line="420" w:lineRule="exact"/>
        <w:ind w:firstLine="482" w:firstLineChars="200"/>
        <w:rPr>
          <w:rFonts w:ascii="宋体" w:hAnsi="宋体" w:cs="宋体"/>
          <w:b/>
          <w:color w:val="auto"/>
          <w:kern w:val="0"/>
          <w:sz w:val="24"/>
          <w:highlight w:val="none"/>
        </w:rPr>
      </w:pPr>
      <w:r>
        <w:rPr>
          <w:rFonts w:hint="eastAsia" w:ascii="宋体" w:hAnsi="宋体" w:cs="宋体"/>
          <w:b/>
          <w:color w:val="auto"/>
          <w:sz w:val="24"/>
          <w:highlight w:val="none"/>
        </w:rPr>
        <w:t>（六）</w:t>
      </w:r>
      <w:r>
        <w:rPr>
          <w:rFonts w:hint="eastAsia" w:ascii="宋体" w:hAnsi="宋体" w:cs="宋体"/>
          <w:b/>
          <w:color w:val="auto"/>
          <w:kern w:val="0"/>
          <w:sz w:val="24"/>
          <w:highlight w:val="none"/>
        </w:rPr>
        <w:t>转包与分包</w:t>
      </w:r>
    </w:p>
    <w:p w14:paraId="6896311B">
      <w:pPr>
        <w:snapToGrid w:val="0"/>
        <w:spacing w:line="42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64E6C78D">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（七）特别说明</w:t>
      </w:r>
    </w:p>
    <w:p w14:paraId="048257E6">
      <w:pPr>
        <w:widowControl/>
        <w:spacing w:line="420" w:lineRule="exact"/>
        <w:ind w:firstLine="482" w:firstLineChars="200"/>
        <w:jc w:val="left"/>
        <w:rPr>
          <w:rFonts w:ascii="宋体" w:hAnsi="宋体" w:cs="宋体"/>
          <w:color w:val="auto"/>
          <w:kern w:val="0"/>
          <w:sz w:val="24"/>
          <w:highlight w:val="none"/>
        </w:rPr>
      </w:pPr>
      <w:r>
        <w:rPr>
          <w:rFonts w:hint="eastAsia" w:ascii="宋体" w:hAnsi="宋体" w:cs="宋体"/>
          <w:b/>
          <w:color w:val="auto"/>
          <w:sz w:val="24"/>
          <w:highlight w:val="none"/>
        </w:rPr>
        <w:t>1.单位负责人为同一人或者存在直接控股、管理关系的不同投标人，不得参加同一合同项下的招标活动。如有上述行为的，相关投标均无效。</w:t>
      </w:r>
      <w:r>
        <w:rPr>
          <w:rFonts w:hint="eastAsia" w:ascii="宋体" w:hAnsi="宋体" w:cs="宋体"/>
          <w:color w:val="auto"/>
          <w:kern w:val="0"/>
          <w:sz w:val="24"/>
          <w:highlight w:val="none"/>
        </w:rPr>
        <w:t xml:space="preserve">  </w:t>
      </w:r>
    </w:p>
    <w:p w14:paraId="1772C6B5">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招标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293DD16A">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2.投标人投标所使用的资格、信誉、荣誉、业绩必须为本法人所拥有。投标人投标所使用的招标项目实施人员须为本法人员工。</w:t>
      </w:r>
    </w:p>
    <w:p w14:paraId="4397AA2C">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3.投标人应仔细阅读招标文件的所有内容，按照招标文件的要求提交投标文件，并对所提供的全部资料的真实性承担法律责任。</w:t>
      </w:r>
    </w:p>
    <w:p w14:paraId="2C682B95">
      <w:pPr>
        <w:pStyle w:val="32"/>
        <w:snapToGrid w:val="0"/>
        <w:spacing w:beforeLines="0" w:afterLines="0" w:line="420" w:lineRule="exact"/>
        <w:ind w:firstLine="480" w:firstLineChars="200"/>
        <w:rPr>
          <w:rFonts w:hAnsi="宋体" w:cs="宋体"/>
          <w:b/>
          <w:color w:val="auto"/>
          <w:highlight w:val="none"/>
        </w:rPr>
      </w:pPr>
      <w:r>
        <w:rPr>
          <w:rFonts w:hint="eastAsia" w:hAnsi="宋体" w:cs="宋体"/>
          <w:color w:val="auto"/>
          <w:highlight w:val="none"/>
        </w:rPr>
        <w:t>4.投标人在投标活动中提供任何虚假材料,其投标无效，并报监管部门查处。中标后发现的,中标人须依照《中华人民共和国消费者权益保护法》第49条之规定双倍赔偿招标人，且民事赔偿并不免除违法投标人的行政与刑事责任。</w:t>
      </w:r>
    </w:p>
    <w:p w14:paraId="335CC58D">
      <w:pPr>
        <w:pStyle w:val="32"/>
        <w:snapToGrid w:val="0"/>
        <w:spacing w:beforeLines="0" w:afterLines="0" w:line="420" w:lineRule="exact"/>
        <w:ind w:firstLine="482" w:firstLineChars="200"/>
        <w:rPr>
          <w:rFonts w:hAnsi="宋体" w:cs="宋体"/>
          <w:b/>
          <w:bCs/>
          <w:color w:val="auto"/>
          <w:highlight w:val="none"/>
        </w:rPr>
      </w:pPr>
      <w:r>
        <w:rPr>
          <w:rFonts w:hint="eastAsia" w:hAnsi="宋体" w:cs="宋体"/>
          <w:b/>
          <w:bCs/>
          <w:color w:val="auto"/>
          <w:highlight w:val="none"/>
        </w:rPr>
        <w:t>（八）质疑</w:t>
      </w:r>
    </w:p>
    <w:p w14:paraId="09138493">
      <w:pPr>
        <w:widowControl/>
        <w:adjustRightInd w:val="0"/>
        <w:snapToGrid w:val="0"/>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4CD1A06B">
      <w:pPr>
        <w:widowControl/>
        <w:adjustRightInd w:val="0"/>
        <w:snapToGrid w:val="0"/>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（1）投标人认为招标文件的内容损害其权益的，应当在获取采购文件或者采购文件公告期限届满之日起</w:t>
      </w:r>
      <w:r>
        <w:rPr>
          <w:rFonts w:hint="eastAsia" w:ascii="宋体" w:hAnsi="宋体" w:cs="宋体"/>
          <w:b/>
          <w:bCs/>
          <w:color w:val="auto"/>
          <w:kern w:val="0"/>
          <w:sz w:val="24"/>
          <w:highlight w:val="none"/>
          <w:u w:val="single"/>
        </w:rPr>
        <w:t>7</w:t>
      </w:r>
      <w:r>
        <w:rPr>
          <w:rFonts w:hint="eastAsia" w:ascii="宋体" w:hAnsi="宋体" w:cs="宋体"/>
          <w:b/>
          <w:bCs/>
          <w:color w:val="auto"/>
          <w:kern w:val="0"/>
          <w:sz w:val="24"/>
          <w:highlight w:val="none"/>
        </w:rPr>
        <w:t>个</w:t>
      </w:r>
      <w:r>
        <w:rPr>
          <w:rFonts w:hint="eastAsia" w:ascii="宋体" w:hAnsi="宋体" w:cs="宋体"/>
          <w:color w:val="auto"/>
          <w:kern w:val="0"/>
          <w:sz w:val="24"/>
          <w:highlight w:val="none"/>
        </w:rPr>
        <w:t>工作日内以书面形式提出质疑；</w:t>
      </w:r>
    </w:p>
    <w:p w14:paraId="2103F85F">
      <w:pPr>
        <w:widowControl/>
        <w:adjustRightInd w:val="0"/>
        <w:snapToGrid w:val="0"/>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305C23A3">
      <w:pPr>
        <w:widowControl/>
        <w:adjustRightInd w:val="0"/>
        <w:snapToGrid w:val="0"/>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59CFF6DC">
      <w:pPr>
        <w:widowControl/>
        <w:adjustRightInd w:val="0"/>
        <w:snapToGrid w:val="0"/>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1A3E3D2D">
      <w:pPr>
        <w:widowControl/>
        <w:adjustRightInd w:val="0"/>
        <w:snapToGrid w:val="0"/>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0BDA65C">
      <w:pPr>
        <w:widowControl/>
        <w:adjustRightInd w:val="0"/>
        <w:snapToGrid w:val="0"/>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66A40E68">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color w:val="auto"/>
          <w:sz w:val="24"/>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3EC996B4">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二、招标文件</w:t>
      </w:r>
    </w:p>
    <w:p w14:paraId="56A758F2">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（一）招标文件的构成</w:t>
      </w:r>
    </w:p>
    <w:p w14:paraId="6D0C28C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1.投标邀请</w:t>
      </w:r>
    </w:p>
    <w:p w14:paraId="06857DF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2.招标需求</w:t>
      </w:r>
    </w:p>
    <w:p w14:paraId="4A3D2EA3">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3.投标人须知</w:t>
      </w:r>
    </w:p>
    <w:p w14:paraId="283303E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4.评标办法及标准</w:t>
      </w:r>
    </w:p>
    <w:p w14:paraId="482867F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5.合同主要条款</w:t>
      </w:r>
    </w:p>
    <w:p w14:paraId="512A36E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5B899F53">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7.本项目招标文件的澄清、答复、修改、补充的内容（如有）</w:t>
      </w:r>
    </w:p>
    <w:p w14:paraId="49B217B5">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（二）投标人的风险</w:t>
      </w:r>
    </w:p>
    <w:p w14:paraId="50444B73">
      <w:pPr>
        <w:pStyle w:val="44"/>
        <w:spacing w:line="420" w:lineRule="exact"/>
        <w:ind w:firstLine="480"/>
        <w:rPr>
          <w:rFonts w:ascii="宋体" w:eastAsia="宋体" w:cs="宋体"/>
          <w:color w:val="auto"/>
          <w:highlight w:val="none"/>
        </w:rPr>
      </w:pPr>
      <w:r>
        <w:rPr>
          <w:rFonts w:hint="eastAsia" w:ascii="宋体" w:eastAsia="宋体" w:cs="宋体"/>
          <w:color w:val="auto"/>
          <w:highlight w:val="none"/>
        </w:rPr>
        <w:t>投标人没有按照招标文件要求提供全部资料，或者投标人没有对招标文件在各方面作出实质性响应是投标人的风险，并可能导致其投标被拒绝。</w:t>
      </w:r>
    </w:p>
    <w:p w14:paraId="670F6CAB">
      <w:pPr>
        <w:pStyle w:val="12"/>
        <w:widowControl w:val="0"/>
        <w:tabs>
          <w:tab w:val="left" w:pos="420"/>
        </w:tabs>
        <w:snapToGrid w:val="0"/>
        <w:spacing w:afterLines="0" w:line="420" w:lineRule="exact"/>
        <w:ind w:left="0" w:firstLine="482" w:firstLineChars="200"/>
        <w:rPr>
          <w:rFonts w:ascii="宋体" w:hAnsi="宋体" w:cs="宋体"/>
          <w:b/>
          <w:color w:val="auto"/>
          <w:szCs w:val="24"/>
          <w:highlight w:val="none"/>
        </w:rPr>
      </w:pPr>
      <w:r>
        <w:rPr>
          <w:rFonts w:hint="eastAsia" w:ascii="宋体" w:hAnsi="宋体" w:cs="宋体"/>
          <w:b/>
          <w:color w:val="auto"/>
          <w:szCs w:val="24"/>
          <w:highlight w:val="none"/>
        </w:rPr>
        <w:t xml:space="preserve">（三）招标文件的澄清与修改 </w:t>
      </w:r>
    </w:p>
    <w:p w14:paraId="55C8B98E">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w:t>
      </w:r>
      <w:r>
        <w:rPr>
          <w:rFonts w:hint="eastAsia" w:hAnsi="宋体" w:cs="宋体"/>
          <w:bCs/>
          <w:color w:val="auto"/>
          <w:highlight w:val="none"/>
        </w:rPr>
        <w:t>投标人应认真阅读本招标文件，发现其中有误或有不合理要求的，投标人必须在前附表规定的时间前以书面形式要求招标人澄清</w:t>
      </w:r>
      <w:r>
        <w:rPr>
          <w:rFonts w:hint="eastAsia" w:hAnsi="宋体" w:cs="宋体"/>
          <w:color w:val="auto"/>
          <w:highlight w:val="none"/>
        </w:rPr>
        <w:t>。招标人对已发出的招标文件进行必要澄清、答复、修改或补充的，应当在招标文件要求提交投标文件截止时间前，以招标公告发布的网站予以发布。</w:t>
      </w:r>
    </w:p>
    <w:p w14:paraId="108369D6">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2.招标文件澄清、答复、修改、补充的内容为招标文件的组成部分。当招标文件与招标文件的答复、澄清、修改、补充通知就同一内容的表述不一致时，以最后发出的公告为准。</w:t>
      </w:r>
    </w:p>
    <w:p w14:paraId="1C7FE3C7">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3.招标文件的澄清、答复、修改或补充都应该通过招标人以法定形式发布，招标人没有通过招标人，不得擅自澄清、答复、修改或补充招标文件。</w:t>
      </w:r>
    </w:p>
    <w:p w14:paraId="71520323">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三、投标文件的编制</w:t>
      </w:r>
    </w:p>
    <w:p w14:paraId="724F383E">
      <w:pPr>
        <w:snapToGrid w:val="0"/>
        <w:spacing w:line="420" w:lineRule="exact"/>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本项目实行电子投标，投标人应准备电子投标文件，本项目线下无需提供任何备份投标文件。电子投标文件，按及本招标文件要求编制。</w:t>
      </w:r>
    </w:p>
    <w:p w14:paraId="642D9D54">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（一）投标文件的组成</w:t>
      </w:r>
    </w:p>
    <w:p w14:paraId="44F994A1">
      <w:pPr>
        <w:snapToGrid w:val="0"/>
        <w:spacing w:line="420" w:lineRule="exact"/>
        <w:ind w:firstLine="482" w:firstLineChars="200"/>
        <w:jc w:val="left"/>
        <w:rPr>
          <w:rFonts w:ascii="宋体" w:hAnsi="宋体" w:cs="宋体"/>
          <w:color w:val="auto"/>
          <w:sz w:val="24"/>
          <w:highlight w:val="none"/>
        </w:rPr>
      </w:pPr>
      <w:r>
        <w:rPr>
          <w:rFonts w:hint="eastAsia" w:ascii="宋体" w:hAnsi="宋体" w:cs="宋体"/>
          <w:b/>
          <w:color w:val="auto"/>
          <w:sz w:val="24"/>
          <w:highlight w:val="none"/>
        </w:rPr>
        <w:t>投标文件由资格响应文件、商务技术文件、报价文件三部份组成。</w:t>
      </w:r>
      <w:r>
        <w:rPr>
          <w:rFonts w:hint="eastAsia" w:ascii="宋体" w:hAnsi="宋体" w:cs="宋体"/>
          <w:color w:val="auto"/>
          <w:sz w:val="24"/>
          <w:highlight w:val="none"/>
        </w:rPr>
        <w:t>相关格式见附件，其余格式自拟。</w:t>
      </w:r>
    </w:p>
    <w:p w14:paraId="35C7BAA8">
      <w:pPr>
        <w:snapToGrid w:val="0"/>
        <w:spacing w:line="420" w:lineRule="exact"/>
        <w:ind w:firstLine="482" w:firstLineChars="200"/>
        <w:jc w:val="left"/>
        <w:rPr>
          <w:rFonts w:ascii="宋体" w:hAnsi="宋体" w:cs="宋体"/>
          <w:b/>
          <w:color w:val="auto"/>
          <w:sz w:val="24"/>
          <w:highlight w:val="none"/>
        </w:rPr>
      </w:pPr>
      <w:bookmarkStart w:id="13" w:name="_Hlk72672250"/>
      <w:r>
        <w:rPr>
          <w:rFonts w:hint="eastAsia" w:ascii="宋体" w:hAnsi="宋体" w:cs="宋体"/>
          <w:b/>
          <w:color w:val="auto"/>
          <w:sz w:val="24"/>
          <w:highlight w:val="none"/>
        </w:rPr>
        <w:t>1.资格响应文件</w:t>
      </w:r>
    </w:p>
    <w:bookmarkEnd w:id="13"/>
    <w:p w14:paraId="4A509486">
      <w:pPr>
        <w:snapToGrid w:val="0"/>
        <w:spacing w:line="420" w:lineRule="exact"/>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（1）营业执照</w:t>
      </w:r>
      <w:r>
        <w:rPr>
          <w:rFonts w:hint="eastAsia" w:ascii="宋体" w:hAnsi="宋体" w:cs="宋体"/>
          <w:b/>
          <w:color w:val="auto"/>
          <w:sz w:val="24"/>
          <w:highlight w:val="none"/>
        </w:rPr>
        <w:t>（推荐使用电子营业执照）</w:t>
      </w:r>
      <w:r>
        <w:rPr>
          <w:rFonts w:hint="eastAsia" w:ascii="宋体" w:hAnsi="宋体" w:cs="宋体"/>
          <w:bCs/>
          <w:color w:val="auto"/>
          <w:sz w:val="24"/>
          <w:highlight w:val="none"/>
        </w:rPr>
        <w:t>或事业法人登记证或其他工商等登记证明材料原件扫描件或复印件；</w:t>
      </w:r>
    </w:p>
    <w:p w14:paraId="105EBC30">
      <w:pPr>
        <w:snapToGrid w:val="0"/>
        <w:spacing w:line="420" w:lineRule="exact"/>
        <w:ind w:firstLine="480" w:firstLineChars="200"/>
        <w:jc w:val="left"/>
        <w:rPr>
          <w:rFonts w:ascii="宋体" w:hAnsi="宋体"/>
          <w:color w:val="auto"/>
          <w:sz w:val="24"/>
          <w:highlight w:val="none"/>
        </w:rPr>
      </w:pPr>
      <w:bookmarkStart w:id="14" w:name="_Hlk68075338"/>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1D66394F">
      <w:pPr>
        <w:snapToGrid w:val="0"/>
        <w:spacing w:line="420" w:lineRule="exact"/>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（3）</w:t>
      </w:r>
      <w:bookmarkEnd w:id="14"/>
      <w:r>
        <w:rPr>
          <w:rFonts w:hint="eastAsia" w:ascii="宋体" w:hAnsi="宋体" w:cs="宋体"/>
          <w:bCs/>
          <w:color w:val="auto"/>
          <w:sz w:val="24"/>
          <w:highlight w:val="none"/>
        </w:rPr>
        <w:t>没有重大违法记录的承诺函</w:t>
      </w:r>
      <w:bookmarkStart w:id="15" w:name="_Hlk69365455"/>
      <w:r>
        <w:rPr>
          <w:rFonts w:hint="eastAsia" w:ascii="宋体" w:hAnsi="宋体" w:cs="宋体"/>
          <w:b/>
          <w:color w:val="auto"/>
          <w:sz w:val="24"/>
          <w:highlight w:val="none"/>
          <w:u w:val="single"/>
        </w:rPr>
        <w:t>（请投标人在资格响应文件中勿遗漏该表格）</w:t>
      </w:r>
      <w:r>
        <w:rPr>
          <w:rFonts w:hint="eastAsia" w:ascii="宋体" w:hAnsi="宋体" w:cs="宋体"/>
          <w:bCs/>
          <w:color w:val="auto"/>
          <w:sz w:val="24"/>
          <w:highlight w:val="none"/>
        </w:rPr>
        <w:t>；</w:t>
      </w:r>
    </w:p>
    <w:bookmarkEnd w:id="15"/>
    <w:p w14:paraId="75B14431">
      <w:pPr>
        <w:snapToGrid w:val="0"/>
        <w:spacing w:line="420" w:lineRule="exact"/>
        <w:ind w:firstLine="482" w:firstLineChars="200"/>
        <w:jc w:val="left"/>
        <w:rPr>
          <w:rFonts w:ascii="宋体" w:hAnsi="宋体" w:cs="宋体"/>
          <w:color w:val="auto"/>
          <w:sz w:val="24"/>
          <w:highlight w:val="none"/>
        </w:rPr>
      </w:pPr>
      <w:bookmarkStart w:id="16" w:name="_Hlk72672204"/>
      <w:r>
        <w:rPr>
          <w:rFonts w:hint="eastAsia" w:ascii="宋体" w:hAnsi="宋体" w:cs="宋体"/>
          <w:b/>
          <w:color w:val="auto"/>
          <w:sz w:val="24"/>
          <w:highlight w:val="none"/>
        </w:rPr>
        <w:t>2.</w:t>
      </w:r>
      <w:bookmarkEnd w:id="16"/>
      <w:bookmarkStart w:id="17" w:name="_Hlk534200662"/>
      <w:r>
        <w:rPr>
          <w:rFonts w:hint="eastAsia" w:ascii="宋体" w:hAnsi="宋体" w:cs="宋体"/>
          <w:b/>
          <w:color w:val="auto"/>
          <w:sz w:val="24"/>
          <w:highlight w:val="none"/>
        </w:rPr>
        <w:t>商务</w:t>
      </w:r>
      <w:r>
        <w:rPr>
          <w:rFonts w:hint="eastAsia" w:ascii="宋体" w:hAnsi="宋体" w:cs="宋体"/>
          <w:b/>
          <w:bCs/>
          <w:color w:val="auto"/>
          <w:sz w:val="24"/>
          <w:highlight w:val="none"/>
        </w:rPr>
        <w:t>技术</w:t>
      </w:r>
      <w:r>
        <w:rPr>
          <w:rFonts w:hint="eastAsia" w:ascii="宋体" w:hAnsi="宋体" w:cs="宋体"/>
          <w:b/>
          <w:color w:val="auto"/>
          <w:sz w:val="24"/>
          <w:highlight w:val="none"/>
        </w:rPr>
        <w:t>文件</w:t>
      </w:r>
      <w:bookmarkEnd w:id="17"/>
    </w:p>
    <w:p w14:paraId="2C920A5B">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（1）投标函；</w:t>
      </w:r>
    </w:p>
    <w:p w14:paraId="79A416F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w:t>
      </w:r>
      <w:bookmarkStart w:id="18" w:name="_Hlk534200539"/>
      <w:r>
        <w:rPr>
          <w:rFonts w:hint="eastAsia" w:ascii="宋体" w:hAnsi="宋体" w:cs="宋体"/>
          <w:color w:val="auto"/>
          <w:sz w:val="24"/>
          <w:highlight w:val="none"/>
        </w:rPr>
        <w:t>法定代表人授权委托书</w:t>
      </w:r>
      <w:bookmarkEnd w:id="18"/>
      <w:r>
        <w:rPr>
          <w:rFonts w:hint="eastAsia" w:ascii="宋体" w:hAnsi="宋体" w:cs="宋体"/>
          <w:color w:val="auto"/>
          <w:sz w:val="24"/>
          <w:highlight w:val="none"/>
        </w:rPr>
        <w:t>（或法定代表人身份证明）；</w:t>
      </w:r>
    </w:p>
    <w:p w14:paraId="27117CF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（3）投标人按照评分标准要求提供的相应资料；</w:t>
      </w:r>
    </w:p>
    <w:p w14:paraId="64F2C50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（4）货物</w:t>
      </w:r>
      <w:r>
        <w:rPr>
          <w:rFonts w:hint="eastAsia" w:ascii="宋体" w:hAnsi="宋体"/>
          <w:color w:val="auto"/>
          <w:sz w:val="24"/>
          <w:highlight w:val="none"/>
        </w:rPr>
        <w:t>说明表（均不含报价）；</w:t>
      </w:r>
    </w:p>
    <w:p w14:paraId="507E509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（5）项目负责人简历表；</w:t>
      </w:r>
    </w:p>
    <w:p w14:paraId="18E6E55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（6）项目实施人员一览表； </w:t>
      </w:r>
    </w:p>
    <w:p w14:paraId="6CF9C3D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（7）投标人类似成功案例一览表；</w:t>
      </w:r>
    </w:p>
    <w:p w14:paraId="44DB5C5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（8）售后服务网点情况表；</w:t>
      </w:r>
    </w:p>
    <w:p w14:paraId="2E72168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（9）商务技术响应表；</w:t>
      </w:r>
    </w:p>
    <w:p w14:paraId="69D5FC5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（10）投标人认为需要提供的其他资料。</w:t>
      </w:r>
    </w:p>
    <w:p w14:paraId="513FBA7A">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3.报价文件</w:t>
      </w:r>
    </w:p>
    <w:p w14:paraId="14E1BEB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（1）开标一览表；</w:t>
      </w:r>
    </w:p>
    <w:p w14:paraId="335EA855">
      <w:pPr>
        <w:pStyle w:val="34"/>
        <w:snapToGrid w:val="0"/>
        <w:spacing w:line="420" w:lineRule="exact"/>
        <w:ind w:left="0" w:leftChars="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516C98A6">
      <w:pPr>
        <w:snapToGrid w:val="0"/>
        <w:spacing w:line="420" w:lineRule="exact"/>
        <w:ind w:firstLine="482" w:firstLineChars="200"/>
        <w:jc w:val="left"/>
        <w:rPr>
          <w:rFonts w:ascii="宋体" w:hAnsi="宋体" w:cs="宋体"/>
          <w:b/>
          <w:color w:val="auto"/>
          <w:spacing w:val="-4"/>
          <w:sz w:val="24"/>
          <w:highlight w:val="none"/>
        </w:rPr>
      </w:pPr>
      <w:r>
        <w:rPr>
          <w:rFonts w:hint="eastAsia" w:ascii="宋体" w:hAnsi="宋体" w:cs="宋体"/>
          <w:b/>
          <w:color w:val="auto"/>
          <w:sz w:val="24"/>
          <w:highlight w:val="none"/>
        </w:rPr>
        <w:t>（二）</w:t>
      </w:r>
      <w:r>
        <w:rPr>
          <w:rFonts w:hint="eastAsia" w:ascii="宋体" w:hAnsi="宋体" w:cs="宋体"/>
          <w:b/>
          <w:color w:val="auto"/>
          <w:spacing w:val="-4"/>
          <w:sz w:val="24"/>
          <w:highlight w:val="none"/>
        </w:rPr>
        <w:t>招标项目评分索引表(该表格仅为方便评标之用，不涉及无效标条款，表格放置在商务技术文件目录的前页，以方便评委进行评审，格式见第四章)</w:t>
      </w:r>
    </w:p>
    <w:p w14:paraId="4E28F4FE">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（三）投标文件的语言及计量</w:t>
      </w:r>
    </w:p>
    <w:p w14:paraId="144B823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2FCEB4C5">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27F9C608">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（四）投标报价</w:t>
      </w:r>
    </w:p>
    <w:p w14:paraId="342ED9ED">
      <w:pPr>
        <w:pStyle w:val="32"/>
        <w:snapToGrid w:val="0"/>
        <w:spacing w:beforeLines="0" w:afterLines="0" w:line="420" w:lineRule="exact"/>
        <w:ind w:firstLine="480" w:firstLineChars="200"/>
        <w:jc w:val="left"/>
        <w:rPr>
          <w:rFonts w:hAnsi="宋体" w:cs="宋体"/>
          <w:color w:val="auto"/>
          <w:highlight w:val="none"/>
        </w:rPr>
      </w:pPr>
      <w:r>
        <w:rPr>
          <w:rFonts w:hint="eastAsia" w:hAnsi="宋体" w:cs="宋体"/>
          <w:color w:val="auto"/>
          <w:highlight w:val="none"/>
        </w:rPr>
        <w:t>1.投标报价应按招标文件中相关附表格式填写。</w:t>
      </w:r>
    </w:p>
    <w:p w14:paraId="046B3BB5">
      <w:pPr>
        <w:pStyle w:val="32"/>
        <w:snapToGrid w:val="0"/>
        <w:spacing w:beforeLines="0" w:afterLines="0" w:line="420" w:lineRule="exact"/>
        <w:ind w:firstLine="480" w:firstLineChars="200"/>
        <w:jc w:val="left"/>
        <w:rPr>
          <w:rFonts w:hAnsi="宋体"/>
          <w:color w:val="auto"/>
          <w:highlight w:val="none"/>
        </w:rPr>
      </w:pPr>
      <w:r>
        <w:rPr>
          <w:rFonts w:hint="eastAsia" w:hAnsi="宋体" w:cs="宋体"/>
          <w:color w:val="auto"/>
          <w:highlight w:val="none"/>
        </w:rPr>
        <w:t>2.投标报价是履行合同的最终价格，应包括但不限于人工、制造、材料、设备、运输、装卸、安装、交货之前产品保护、保管费、材料检测费、总承包服务费</w:t>
      </w:r>
      <w:r>
        <w:rPr>
          <w:rFonts w:hint="eastAsia" w:hAnsi="宋体" w:cs="宋体"/>
          <w:color w:val="auto"/>
          <w:highlight w:val="none"/>
          <w:lang w:eastAsia="zh-CN"/>
        </w:rPr>
        <w:t>、</w:t>
      </w:r>
      <w:r>
        <w:rPr>
          <w:rFonts w:hint="eastAsia" w:hAnsi="宋体" w:cs="宋体"/>
          <w:color w:val="auto"/>
          <w:highlight w:val="none"/>
        </w:rPr>
        <w:t>调试、措施费、售后服务、保险、规费、利润、税金、风险费及其他等一切费用。</w:t>
      </w:r>
    </w:p>
    <w:p w14:paraId="20DE43BB">
      <w:pPr>
        <w:tabs>
          <w:tab w:val="left" w:pos="525"/>
        </w:tabs>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▲3.投标文件只允许有一个报价，有选择的或有条件的报价将不予接受。</w:t>
      </w:r>
      <w:r>
        <w:rPr>
          <w:rFonts w:hint="eastAsia" w:ascii="宋体" w:hAnsi="宋体" w:cs="宋体"/>
          <w:color w:val="auto"/>
          <w:sz w:val="24"/>
          <w:highlight w:val="none"/>
          <w:lang w:val="en-US" w:eastAsia="zh-CN"/>
        </w:rPr>
        <w:t>（此项符合性在报价文件中进行评审）。</w:t>
      </w:r>
    </w:p>
    <w:p w14:paraId="09D92086">
      <w:pPr>
        <w:pStyle w:val="12"/>
        <w:widowControl w:val="0"/>
        <w:tabs>
          <w:tab w:val="left" w:pos="420"/>
        </w:tabs>
        <w:snapToGrid w:val="0"/>
        <w:spacing w:afterLines="0" w:line="420" w:lineRule="exact"/>
        <w:ind w:left="0" w:firstLine="482" w:firstLineChars="200"/>
        <w:rPr>
          <w:rFonts w:ascii="宋体" w:hAnsi="宋体" w:cs="宋体"/>
          <w:b/>
          <w:color w:val="auto"/>
          <w:szCs w:val="24"/>
          <w:highlight w:val="none"/>
        </w:rPr>
      </w:pPr>
      <w:r>
        <w:rPr>
          <w:rFonts w:hint="eastAsia" w:ascii="宋体" w:hAnsi="宋体" w:cs="宋体"/>
          <w:b/>
          <w:color w:val="auto"/>
          <w:szCs w:val="24"/>
          <w:highlight w:val="none"/>
        </w:rPr>
        <w:t>（五）投标有效期</w:t>
      </w:r>
    </w:p>
    <w:p w14:paraId="69C16202">
      <w:pPr>
        <w:pStyle w:val="12"/>
        <w:widowControl w:val="0"/>
        <w:tabs>
          <w:tab w:val="left" w:pos="420"/>
        </w:tabs>
        <w:snapToGrid w:val="0"/>
        <w:spacing w:afterLines="0" w:line="420" w:lineRule="exact"/>
        <w:ind w:left="0" w:firstLine="480" w:firstLineChars="200"/>
        <w:rPr>
          <w:rFonts w:ascii="宋体" w:hAnsi="宋体" w:cs="宋体"/>
          <w:color w:val="auto"/>
          <w:szCs w:val="24"/>
          <w:highlight w:val="none"/>
        </w:rPr>
      </w:pPr>
      <w:r>
        <w:rPr>
          <w:rFonts w:hint="eastAsia" w:ascii="宋体" w:hAnsi="宋体" w:cs="宋体"/>
          <w:color w:val="auto"/>
          <w:szCs w:val="24"/>
          <w:highlight w:val="none"/>
        </w:rPr>
        <w:t>▲1.自投标截止日起</w:t>
      </w:r>
      <w:r>
        <w:rPr>
          <w:rFonts w:hint="eastAsia" w:ascii="宋体" w:hAnsi="宋体" w:cs="宋体"/>
          <w:color w:val="auto"/>
          <w:szCs w:val="24"/>
          <w:highlight w:val="none"/>
          <w:u w:val="single"/>
        </w:rPr>
        <w:t xml:space="preserve">  90  </w:t>
      </w:r>
      <w:r>
        <w:rPr>
          <w:rFonts w:hint="eastAsia" w:ascii="宋体" w:hAnsi="宋体" w:cs="宋体"/>
          <w:color w:val="auto"/>
          <w:szCs w:val="24"/>
          <w:highlight w:val="none"/>
        </w:rPr>
        <w:t>天投标文件应保持有效。</w:t>
      </w:r>
    </w:p>
    <w:p w14:paraId="3AD9E2CF">
      <w:pPr>
        <w:pStyle w:val="12"/>
        <w:widowControl w:val="0"/>
        <w:tabs>
          <w:tab w:val="left" w:pos="420"/>
        </w:tabs>
        <w:snapToGrid w:val="0"/>
        <w:spacing w:afterLines="0" w:line="420" w:lineRule="exact"/>
        <w:ind w:left="0" w:firstLine="480" w:firstLineChars="200"/>
        <w:rPr>
          <w:rFonts w:ascii="宋体" w:hAnsi="宋体" w:cs="宋体"/>
          <w:color w:val="auto"/>
          <w:szCs w:val="24"/>
          <w:highlight w:val="none"/>
        </w:rPr>
      </w:pPr>
      <w:r>
        <w:rPr>
          <w:rFonts w:hint="eastAsia" w:ascii="宋体" w:hAnsi="宋体" w:cs="宋体"/>
          <w:color w:val="auto"/>
          <w:szCs w:val="24"/>
          <w:highlight w:val="none"/>
        </w:rPr>
        <w:t>2.在特殊情况下，招标人可与投标人协商延长投标文件的有效期，这种要求和答复均以书面形式进行。</w:t>
      </w:r>
    </w:p>
    <w:p w14:paraId="53DEF13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3.投标人可拒绝接受延期要求，同意延长有效期的投标人不能修改投标文件内容。 </w:t>
      </w:r>
    </w:p>
    <w:p w14:paraId="2AD9D3C2">
      <w:pPr>
        <w:snapToGrid w:val="0"/>
        <w:spacing w:line="420" w:lineRule="exact"/>
        <w:ind w:firstLine="480" w:firstLineChars="200"/>
        <w:jc w:val="left"/>
        <w:rPr>
          <w:rFonts w:ascii="宋体" w:hAnsi="宋体" w:cs="宋体"/>
          <w:b/>
          <w:color w:val="auto"/>
          <w:sz w:val="24"/>
          <w:highlight w:val="none"/>
        </w:rPr>
      </w:pPr>
      <w:r>
        <w:rPr>
          <w:rFonts w:hint="eastAsia" w:ascii="宋体" w:hAnsi="宋体" w:cs="宋体"/>
          <w:color w:val="auto"/>
          <w:sz w:val="24"/>
          <w:highlight w:val="none"/>
        </w:rPr>
        <w:t>4.中标人的投标文件自开标之日起至合同履行完毕止均应保持有效。</w:t>
      </w:r>
    </w:p>
    <w:p w14:paraId="019D731A">
      <w:pPr>
        <w:snapToGrid w:val="0"/>
        <w:spacing w:line="42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5.投标人有下列情形之一的，按有关规定进行处罚：</w:t>
      </w:r>
    </w:p>
    <w:p w14:paraId="105553B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（1）投标人在投标有效期内撤回投标文件的；</w:t>
      </w:r>
    </w:p>
    <w:p w14:paraId="3479277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（2）未按规定提交履约保证金的；</w:t>
      </w:r>
    </w:p>
    <w:p w14:paraId="26ECB87F">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（3）投标人在投标过程中弄虚作假，提供虚假材料的；</w:t>
      </w:r>
    </w:p>
    <w:p w14:paraId="626EA64E">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（4）中标人无正当理由不与招标人签订合同的；</w:t>
      </w:r>
    </w:p>
    <w:p w14:paraId="49EEEF71">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将中标项目转让给他人或者在投标文件中未说明且未经招标人同意，将中标项目分包给他人的；</w:t>
      </w:r>
    </w:p>
    <w:p w14:paraId="6E648FD3">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（6）拒绝履行合同义务的；</w:t>
      </w:r>
    </w:p>
    <w:p w14:paraId="22EE8053">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（7）其他严重扰乱招投标程序的。</w:t>
      </w:r>
    </w:p>
    <w:p w14:paraId="32BDAE92">
      <w:pPr>
        <w:snapToGrid w:val="0"/>
        <w:spacing w:line="42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（六）投标文件的签署</w:t>
      </w:r>
    </w:p>
    <w:p w14:paraId="31DED64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4CCF475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
          <w:color w:val="auto"/>
          <w:sz w:val="24"/>
          <w:highlight w:val="none"/>
        </w:rPr>
        <w:t>电子投标文件中公章采用CA签章</w:t>
      </w:r>
      <w:r>
        <w:rPr>
          <w:rFonts w:hint="eastAsia" w:ascii="宋体" w:hAnsi="宋体" w:cs="宋体"/>
          <w:bCs/>
          <w:color w:val="auto"/>
          <w:sz w:val="24"/>
          <w:highlight w:val="none"/>
        </w:rPr>
        <w:t>，</w:t>
      </w:r>
      <w:r>
        <w:rPr>
          <w:rFonts w:hint="eastAsia" w:ascii="宋体" w:hAnsi="宋体" w:cs="宋体"/>
          <w:b/>
          <w:color w:val="auto"/>
          <w:sz w:val="24"/>
          <w:highlight w:val="none"/>
        </w:rPr>
        <w:t>并根据本招标文件规定的格式和顺序编制电子投标文件，</w:t>
      </w:r>
      <w:r>
        <w:rPr>
          <w:rFonts w:hint="eastAsia" w:ascii="宋体" w:hAnsi="宋体" w:cs="宋体"/>
          <w:bCs/>
          <w:color w:val="auto"/>
          <w:sz w:val="24"/>
          <w:highlight w:val="none"/>
        </w:rPr>
        <w:t>电子投标文件如内容不完整、编排混乱导致投标文件被误读、漏读，或者在按招标文件规定的部位查找不到相关内容的，由投标人自行承担。</w:t>
      </w:r>
    </w:p>
    <w:p w14:paraId="46EFF35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3.投标文件不得涂改，若有修改错漏处，须加盖单位公章或者法定代表人或授权委托人签字或盖章。投标文件因字迹潦草或表达不清所引起的后果由投标人负责。</w:t>
      </w:r>
    </w:p>
    <w:p w14:paraId="7E578002">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（七）投标无效的情形</w:t>
      </w:r>
    </w:p>
    <w:p w14:paraId="7DD6D564">
      <w:pPr>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5C56985">
      <w:pPr>
        <w:snapToGrid w:val="0"/>
        <w:spacing w:line="420" w:lineRule="exact"/>
        <w:ind w:firstLine="466" w:firstLineChars="200"/>
        <w:rPr>
          <w:rFonts w:ascii="宋体" w:hAnsi="宋体" w:cs="宋体"/>
          <w:b/>
          <w:bCs/>
          <w:color w:val="auto"/>
          <w:spacing w:val="-4"/>
          <w:sz w:val="24"/>
          <w:highlight w:val="none"/>
        </w:rPr>
      </w:pPr>
      <w:bookmarkStart w:id="19" w:name="_Hlk59462445"/>
      <w:r>
        <w:rPr>
          <w:rFonts w:hint="eastAsia" w:ascii="宋体" w:hAnsi="宋体" w:cs="宋体"/>
          <w:b/>
          <w:bCs/>
          <w:color w:val="auto"/>
          <w:spacing w:val="-4"/>
          <w:sz w:val="24"/>
          <w:highlight w:val="none"/>
        </w:rPr>
        <w:t>1.</w:t>
      </w:r>
      <w:bookmarkStart w:id="20" w:name="_Hlk534294335"/>
      <w:r>
        <w:rPr>
          <w:rFonts w:hint="eastAsia" w:ascii="宋体" w:hAnsi="宋体" w:cs="宋体"/>
          <w:b/>
          <w:bCs/>
          <w:color w:val="auto"/>
          <w:spacing w:val="-4"/>
          <w:sz w:val="24"/>
          <w:highlight w:val="none"/>
        </w:rPr>
        <w:t>在符合性审查和商务技术评审时，如发现下列情形之一的，投标文件将被视为无效：</w:t>
      </w:r>
    </w:p>
    <w:bookmarkEnd w:id="20"/>
    <w:p w14:paraId="716DE77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（1）资格响应文件未提供齐全的或者资格响应文件存在过期的或者不符合招标文件标明的资格要求的；</w:t>
      </w:r>
    </w:p>
    <w:p w14:paraId="20557309">
      <w:pPr>
        <w:snapToGrid w:val="0"/>
        <w:spacing w:line="420" w:lineRule="exact"/>
        <w:ind w:firstLine="480" w:firstLineChars="200"/>
        <w:rPr>
          <w:rFonts w:ascii="宋体" w:hAnsi="宋体" w:cs="宋体"/>
          <w:bCs/>
          <w:color w:val="auto"/>
          <w:kern w:val="0"/>
          <w:sz w:val="24"/>
          <w:highlight w:val="none"/>
        </w:rPr>
      </w:pPr>
      <w:r>
        <w:rPr>
          <w:rFonts w:hint="eastAsia" w:ascii="宋体" w:hAnsi="宋体" w:cs="宋体"/>
          <w:color w:val="auto"/>
          <w:sz w:val="24"/>
          <w:highlight w:val="none"/>
        </w:rPr>
        <w:t>（2）电子投标文件在指定页面无法定代表人盖章或签字、未在指定页面盖公章、在指定页面无被授权人签字（打字无效，如提供法定代表人身份证明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p>
    <w:p w14:paraId="092AD9BE">
      <w:pPr>
        <w:pStyle w:val="14"/>
        <w:snapToGrid w:val="0"/>
        <w:spacing w:line="420" w:lineRule="exact"/>
        <w:ind w:firstLine="464" w:firstLineChars="200"/>
        <w:rPr>
          <w:rFonts w:hAnsi="宋体" w:cs="宋体"/>
          <w:b/>
          <w:bCs/>
          <w:color w:val="auto"/>
          <w:sz w:val="24"/>
          <w:szCs w:val="24"/>
          <w:highlight w:val="none"/>
        </w:rPr>
      </w:pPr>
      <w:r>
        <w:rPr>
          <w:rFonts w:hint="eastAsia" w:hAnsi="宋体" w:cs="宋体"/>
          <w:color w:val="auto"/>
          <w:sz w:val="24"/>
          <w:szCs w:val="24"/>
          <w:highlight w:val="none"/>
        </w:rPr>
        <w:t>（3）多项主要服务响应或者主要设备功能响应不满足招标文件要求或</w:t>
      </w:r>
      <w:r>
        <w:rPr>
          <w:rFonts w:hint="eastAsia" w:hAnsi="宋体" w:cs="宋体"/>
          <w:color w:val="auto"/>
          <w:sz w:val="24"/>
          <w:highlight w:val="none"/>
        </w:rPr>
        <w:t>缺项的，</w:t>
      </w:r>
      <w:r>
        <w:rPr>
          <w:rFonts w:hint="eastAsia" w:hAnsi="宋体" w:cs="宋体"/>
          <w:b/>
          <w:bCs/>
          <w:color w:val="auto"/>
          <w:sz w:val="24"/>
          <w:szCs w:val="24"/>
          <w:highlight w:val="none"/>
        </w:rPr>
        <w:t>主要设备尺寸严重不满足招标文件要求的。</w:t>
      </w:r>
    </w:p>
    <w:p w14:paraId="4BF00DB6">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（4）</w:t>
      </w:r>
      <w:r>
        <w:rPr>
          <w:rFonts w:hint="eastAsia" w:hAnsi="宋体" w:cs="宋体"/>
          <w:snapToGrid w:val="0"/>
          <w:color w:val="auto"/>
          <w:sz w:val="24"/>
          <w:szCs w:val="24"/>
          <w:highlight w:val="none"/>
        </w:rPr>
        <w:t>与</w:t>
      </w:r>
      <w:r>
        <w:rPr>
          <w:rFonts w:hint="eastAsia" w:hAnsi="宋体" w:cs="宋体"/>
          <w:color w:val="auto"/>
          <w:sz w:val="24"/>
          <w:szCs w:val="24"/>
          <w:highlight w:val="none"/>
        </w:rPr>
        <w:t>招标文件中标“▲”的技术指标、主要功能参数、服务响应发生实质性负偏离</w:t>
      </w:r>
      <w:r>
        <w:rPr>
          <w:rFonts w:hint="eastAsia" w:hAnsi="宋体" w:cs="宋体"/>
          <w:snapToGrid w:val="0"/>
          <w:color w:val="auto"/>
          <w:sz w:val="24"/>
          <w:szCs w:val="24"/>
          <w:highlight w:val="none"/>
        </w:rPr>
        <w:t>或内容缺失</w:t>
      </w:r>
      <w:r>
        <w:rPr>
          <w:rFonts w:hint="eastAsia" w:hAnsi="宋体" w:cs="宋体"/>
          <w:color w:val="auto"/>
          <w:sz w:val="24"/>
          <w:szCs w:val="24"/>
          <w:highlight w:val="none"/>
        </w:rPr>
        <w:t>的；</w:t>
      </w:r>
    </w:p>
    <w:p w14:paraId="534AE817">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（5）未如实提供投标货物的技术参数，或者投标文件标明的响应或偏离存在虚假的；</w:t>
      </w:r>
    </w:p>
    <w:p w14:paraId="7BB6A68C">
      <w:pPr>
        <w:pStyle w:val="14"/>
        <w:snapToGrid w:val="0"/>
        <w:spacing w:line="420" w:lineRule="exact"/>
        <w:ind w:firstLine="464" w:firstLineChars="200"/>
        <w:rPr>
          <w:rFonts w:hAnsi="宋体" w:cs="宋体"/>
          <w:snapToGrid w:val="0"/>
          <w:color w:val="auto"/>
          <w:sz w:val="24"/>
          <w:szCs w:val="24"/>
          <w:highlight w:val="none"/>
        </w:rPr>
      </w:pPr>
      <w:r>
        <w:rPr>
          <w:rFonts w:hint="eastAsia" w:hAnsi="宋体" w:cs="宋体"/>
          <w:color w:val="auto"/>
          <w:sz w:val="24"/>
          <w:szCs w:val="24"/>
          <w:highlight w:val="none"/>
        </w:rPr>
        <w:t>（6）投标有效期、工期（供货期、交货时间、服务期）、保修期（质保期）、付款方式等商务条款不能满足招标文件要求或缺失的</w:t>
      </w:r>
      <w:r>
        <w:rPr>
          <w:rFonts w:hint="eastAsia" w:hAnsi="宋体" w:cs="宋体"/>
          <w:snapToGrid w:val="0"/>
          <w:color w:val="auto"/>
          <w:sz w:val="24"/>
          <w:szCs w:val="24"/>
          <w:highlight w:val="none"/>
        </w:rPr>
        <w:t>；</w:t>
      </w:r>
    </w:p>
    <w:bookmarkEnd w:id="19"/>
    <w:p w14:paraId="29205427">
      <w:pPr>
        <w:pStyle w:val="14"/>
        <w:snapToGrid w:val="0"/>
        <w:spacing w:line="420" w:lineRule="exact"/>
        <w:ind w:firstLine="464" w:firstLineChars="200"/>
        <w:rPr>
          <w:rFonts w:hAnsi="宋体" w:cs="宋体"/>
          <w:snapToGrid w:val="0"/>
          <w:color w:val="auto"/>
          <w:sz w:val="24"/>
          <w:szCs w:val="24"/>
          <w:highlight w:val="none"/>
        </w:rPr>
      </w:pPr>
      <w:r>
        <w:rPr>
          <w:rFonts w:hint="eastAsia" w:hAnsi="宋体" w:cs="宋体"/>
          <w:color w:val="auto"/>
          <w:sz w:val="24"/>
          <w:szCs w:val="24"/>
          <w:highlight w:val="none"/>
        </w:rPr>
        <w:t>（7）</w:t>
      </w:r>
      <w:r>
        <w:rPr>
          <w:rFonts w:hint="eastAsia" w:hAnsi="宋体" w:cs="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5849296B">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（8）投标文件有招标方不能接受的附加条件的；</w:t>
      </w:r>
    </w:p>
    <w:p w14:paraId="09C6D221">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（9）商务技术文件中出现投标总报价的；</w:t>
      </w:r>
    </w:p>
    <w:p w14:paraId="2B77F0D0">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（10）不同投标人的投标文件,由同一台电脑编制。</w:t>
      </w:r>
    </w:p>
    <w:p w14:paraId="335E3793">
      <w:pPr>
        <w:pStyle w:val="14"/>
        <w:snapToGrid w:val="0"/>
        <w:spacing w:line="420" w:lineRule="exact"/>
        <w:ind w:firstLine="466" w:firstLineChars="200"/>
        <w:rPr>
          <w:rFonts w:hAnsi="宋体" w:cs="宋体"/>
          <w:b/>
          <w:bCs/>
          <w:color w:val="auto"/>
          <w:sz w:val="24"/>
          <w:szCs w:val="24"/>
          <w:highlight w:val="none"/>
        </w:rPr>
      </w:pPr>
      <w:r>
        <w:rPr>
          <w:rFonts w:hint="eastAsia" w:hAnsi="宋体" w:cs="宋体"/>
          <w:b/>
          <w:bCs/>
          <w:color w:val="auto"/>
          <w:sz w:val="24"/>
          <w:szCs w:val="24"/>
          <w:highlight w:val="none"/>
        </w:rPr>
        <w:t>2.在报价评审时，如发现下列情形之一的，投标文件将被视为无效：</w:t>
      </w:r>
    </w:p>
    <w:p w14:paraId="4086DE57">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（1）未采用人民币报价或者未按照招标文件标明的币种报价的；</w:t>
      </w:r>
    </w:p>
    <w:p w14:paraId="110C8494">
      <w:pPr>
        <w:pStyle w:val="14"/>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（2）投标报价具有选择性，或者开标价格与投标文件承诺的优惠（折扣）价格不一致的；</w:t>
      </w:r>
    </w:p>
    <w:p w14:paraId="2846D47E">
      <w:pPr>
        <w:pStyle w:val="14"/>
        <w:snapToGrid w:val="0"/>
        <w:spacing w:line="420" w:lineRule="exact"/>
        <w:ind w:firstLine="466" w:firstLineChars="200"/>
        <w:rPr>
          <w:rFonts w:hAnsi="宋体" w:cs="宋体"/>
          <w:b/>
          <w:bCs/>
          <w:color w:val="auto"/>
          <w:sz w:val="24"/>
          <w:szCs w:val="24"/>
          <w:highlight w:val="none"/>
        </w:rPr>
      </w:pPr>
      <w:r>
        <w:rPr>
          <w:rFonts w:hint="eastAsia" w:hAnsi="宋体" w:cs="宋体"/>
          <w:b/>
          <w:bCs/>
          <w:color w:val="auto"/>
          <w:sz w:val="24"/>
          <w:szCs w:val="24"/>
          <w:highlight w:val="none"/>
        </w:rPr>
        <w:t>（3）报价超过招标文件中规定的预算金额或者最高限价的；</w:t>
      </w:r>
    </w:p>
    <w:p w14:paraId="4052BE7D">
      <w:pPr>
        <w:pStyle w:val="14"/>
        <w:snapToGrid w:val="0"/>
        <w:spacing w:line="420" w:lineRule="exact"/>
        <w:ind w:firstLine="466" w:firstLineChars="200"/>
        <w:rPr>
          <w:rFonts w:hAnsi="宋体" w:cs="宋体"/>
          <w:b/>
          <w:bCs/>
          <w:color w:val="auto"/>
          <w:sz w:val="24"/>
          <w:szCs w:val="24"/>
          <w:highlight w:val="none"/>
        </w:rPr>
      </w:pPr>
      <w:r>
        <w:rPr>
          <w:rFonts w:hint="eastAsia" w:hAnsi="宋体" w:cs="宋体"/>
          <w:b/>
          <w:bCs/>
          <w:color w:val="auto"/>
          <w:sz w:val="24"/>
          <w:szCs w:val="24"/>
          <w:highlight w:val="none"/>
        </w:rPr>
        <w:t>（4）未填写投标报价的。</w:t>
      </w:r>
    </w:p>
    <w:p w14:paraId="41629DA6">
      <w:pPr>
        <w:pStyle w:val="14"/>
        <w:snapToGrid w:val="0"/>
        <w:spacing w:line="420" w:lineRule="exact"/>
        <w:ind w:firstLine="466" w:firstLineChars="200"/>
        <w:rPr>
          <w:rFonts w:hAnsi="宋体" w:cs="宋体"/>
          <w:b/>
          <w:color w:val="auto"/>
          <w:sz w:val="24"/>
          <w:szCs w:val="24"/>
          <w:highlight w:val="none"/>
        </w:rPr>
      </w:pPr>
      <w:r>
        <w:rPr>
          <w:rFonts w:hint="eastAsia" w:hAnsi="宋体" w:cs="宋体"/>
          <w:b/>
          <w:color w:val="auto"/>
          <w:sz w:val="24"/>
          <w:szCs w:val="24"/>
          <w:highlight w:val="none"/>
        </w:rPr>
        <w:t>3.被拒绝的投标文件为无效。</w:t>
      </w:r>
    </w:p>
    <w:p w14:paraId="7F46B3C8">
      <w:pPr>
        <w:spacing w:line="420" w:lineRule="exact"/>
        <w:ind w:firstLine="482" w:firstLineChars="200"/>
        <w:rPr>
          <w:rFonts w:ascii="宋体" w:hAnsi="宋体" w:cs="宋体"/>
          <w:b/>
          <w:color w:val="auto"/>
          <w:sz w:val="24"/>
          <w:highlight w:val="none"/>
          <w:u w:val="single"/>
        </w:rPr>
      </w:pPr>
      <w:r>
        <w:rPr>
          <w:rFonts w:hint="eastAsia" w:ascii="宋体" w:hAnsi="宋体" w:cs="宋体"/>
          <w:b/>
          <w:color w:val="auto"/>
          <w:sz w:val="24"/>
          <w:highlight w:val="none"/>
        </w:rPr>
        <w:t>（八）在招标过程中，出现下列情形之一的，应予废标</w:t>
      </w:r>
    </w:p>
    <w:p w14:paraId="566BEEA0">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1、出现影响招标公正的违法、违规行为的；</w:t>
      </w:r>
    </w:p>
    <w:p w14:paraId="05AE4A6B">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2、因重大变故，招标任务取消的；</w:t>
      </w:r>
    </w:p>
    <w:p w14:paraId="0A6999A1">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3、投标人的报价均超过了招标预算价，招标人不能支付的。</w:t>
      </w:r>
    </w:p>
    <w:p w14:paraId="10377628">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4.其他法律法规规定应予以废标的情形。</w:t>
      </w:r>
    </w:p>
    <w:p w14:paraId="3ABC86A4">
      <w:pPr>
        <w:pStyle w:val="14"/>
        <w:snapToGrid w:val="0"/>
        <w:spacing w:line="420" w:lineRule="exact"/>
        <w:ind w:firstLine="466" w:firstLineChars="200"/>
        <w:rPr>
          <w:rFonts w:hAnsi="宋体" w:cs="宋体"/>
          <w:b/>
          <w:snapToGrid w:val="0"/>
          <w:color w:val="auto"/>
          <w:sz w:val="24"/>
          <w:szCs w:val="24"/>
          <w:highlight w:val="none"/>
        </w:rPr>
      </w:pPr>
      <w:r>
        <w:rPr>
          <w:rFonts w:hint="eastAsia" w:hAnsi="宋体" w:cs="宋体"/>
          <w:b/>
          <w:color w:val="auto"/>
          <w:sz w:val="24"/>
          <w:szCs w:val="24"/>
          <w:highlight w:val="none"/>
        </w:rPr>
        <w:t>四、开标</w:t>
      </w:r>
    </w:p>
    <w:p w14:paraId="6D861E90">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（一）开标准备</w:t>
      </w:r>
    </w:p>
    <w:p w14:paraId="4D4F641C">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招标相关人员、开标过程和开标结果提出异议，同时投标投标人因未在线参加开标而导致投标文件无法按时解密等一切后果由投标人自己承担。</w:t>
      </w:r>
    </w:p>
    <w:p w14:paraId="79C0724A">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招标过程中出现以下情形，导致电子交易平台无法正常运行，或者无法保证电子交易的公平、公正和安全时，代理机构可中止电子交易活动：</w:t>
      </w:r>
    </w:p>
    <w:p w14:paraId="66ED8534">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 xml:space="preserve">（1）电子交易平台发生故障、停电而无法登录访问的； </w:t>
      </w:r>
    </w:p>
    <w:p w14:paraId="411C13B4">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（2）电子交易平台应用或数据库出现错误，不能进行正常操作的；</w:t>
      </w:r>
    </w:p>
    <w:p w14:paraId="6D2CA4DF">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（3）电子交易平台发现严重安全漏洞，有潜在泄密危险的；</w:t>
      </w:r>
    </w:p>
    <w:p w14:paraId="64BDFFF6">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 xml:space="preserve">（4）病毒发作导致不能进行正常操作的； </w:t>
      </w:r>
    </w:p>
    <w:p w14:paraId="6811716F">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（5）其他无法保证电子交易的公平、公正和安全的情况。</w:t>
      </w:r>
    </w:p>
    <w:p w14:paraId="00398CD7">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出现前款规定情形，不影响招标公平、公正性的，代理机构可以待上述情形消除后继续组织电子交易活动，影响或可能影响招标公平、公正性的，应当重新招标。</w:t>
      </w:r>
    </w:p>
    <w:p w14:paraId="3ADCBB98">
      <w:pPr>
        <w:pStyle w:val="32"/>
        <w:snapToGrid w:val="0"/>
        <w:spacing w:beforeLines="0" w:afterLines="0" w:line="420" w:lineRule="exact"/>
        <w:ind w:firstLine="482" w:firstLineChars="200"/>
        <w:rPr>
          <w:rFonts w:hAnsi="宋体" w:cs="宋体"/>
          <w:bCs/>
          <w:color w:val="auto"/>
          <w:highlight w:val="none"/>
        </w:rPr>
      </w:pPr>
      <w:r>
        <w:rPr>
          <w:rFonts w:hint="eastAsia" w:hAnsi="宋体" w:cs="宋体"/>
          <w:b/>
          <w:color w:val="auto"/>
          <w:highlight w:val="none"/>
        </w:rPr>
        <w:t xml:space="preserve">（二）开标程序    </w:t>
      </w:r>
    </w:p>
    <w:p w14:paraId="4115857F">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1.开标会由招标人主持，</w:t>
      </w:r>
      <w:bookmarkStart w:id="21" w:name="_Hlk59694585"/>
      <w:r>
        <w:rPr>
          <w:rFonts w:hint="eastAsia" w:hAnsi="宋体" w:cs="宋体"/>
          <w:b/>
          <w:bCs/>
          <w:color w:val="auto"/>
          <w:highlight w:val="none"/>
          <w:u w:val="single"/>
        </w:rPr>
        <w:t>并通过临海市限额以下公共资源交易区域平台--每日直播平台进行现场直播，各投标人请准时在线参加。</w:t>
      </w:r>
      <w:bookmarkStart w:id="22" w:name="_Hlk59690176"/>
      <w:r>
        <w:rPr>
          <w:rFonts w:hint="eastAsia" w:hAnsi="宋体" w:cs="宋体"/>
          <w:b/>
          <w:bCs/>
          <w:color w:val="auto"/>
          <w:highlight w:val="none"/>
          <w:u w:val="single"/>
        </w:rPr>
        <w:t>各投标人如对开、评标过程有异议的，应该登录临海市限额以下公共资源交易区域平台—-每日直播平台---点击该项目—登录，进入答疑进行提问，招标人（代理机构）应当及时作出答复，并制作记录</w:t>
      </w:r>
      <w:bookmarkEnd w:id="21"/>
      <w:r>
        <w:rPr>
          <w:rFonts w:hint="eastAsia" w:hAnsi="宋体" w:cs="宋体"/>
          <w:b/>
          <w:bCs/>
          <w:color w:val="auto"/>
          <w:highlight w:val="none"/>
          <w:u w:val="single"/>
        </w:rPr>
        <w:t>；</w:t>
      </w:r>
    </w:p>
    <w:bookmarkEnd w:id="22"/>
    <w:p w14:paraId="71AF21BD">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 招标人点击临海市限额以下公共资源交易区域平台-不见面开标大厅--【开始解密】按钮，</w:t>
      </w:r>
      <w:bookmarkStart w:id="23" w:name="_Hlk59625783"/>
      <w:r>
        <w:rPr>
          <w:rFonts w:hint="eastAsia" w:hAnsi="宋体" w:cs="宋体"/>
          <w:color w:val="auto"/>
          <w:highlight w:val="none"/>
        </w:rPr>
        <w:t>由投标人按招标文件规定的时间及</w:t>
      </w:r>
      <w:bookmarkStart w:id="24" w:name="_Hlk59626264"/>
      <w:r>
        <w:rPr>
          <w:rFonts w:hint="eastAsia" w:hAnsi="宋体" w:cs="宋体"/>
          <w:color w:val="auto"/>
          <w:highlight w:val="none"/>
        </w:rPr>
        <w:t>平台</w:t>
      </w:r>
      <w:bookmarkEnd w:id="24"/>
      <w:r>
        <w:rPr>
          <w:rFonts w:hint="eastAsia" w:hAnsi="宋体" w:cs="宋体"/>
          <w:color w:val="auto"/>
          <w:highlight w:val="none"/>
        </w:rPr>
        <w:t>显示的时间内自行进行投标文件解密。</w:t>
      </w:r>
      <w:bookmarkEnd w:id="23"/>
      <w:r>
        <w:rPr>
          <w:rFonts w:hint="eastAsia" w:hAnsi="宋体" w:cs="宋体"/>
          <w:color w:val="auto"/>
          <w:highlight w:val="none"/>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s="宋体"/>
          <w:color w:val="auto"/>
          <w:highlight w:val="none"/>
        </w:rPr>
        <w:t>投标人未按时解密或解密失败的，其投标文件为无效标。</w:t>
      </w:r>
      <w:bookmarkEnd w:id="25"/>
    </w:p>
    <w:p w14:paraId="66AE503C">
      <w:pPr>
        <w:pStyle w:val="32"/>
        <w:snapToGrid w:val="0"/>
        <w:spacing w:beforeLines="0" w:afterLines="0" w:line="420" w:lineRule="exact"/>
        <w:ind w:firstLine="482" w:firstLineChars="200"/>
        <w:rPr>
          <w:rFonts w:hAnsi="宋体" w:cs="宋体"/>
          <w:b/>
          <w:bCs/>
          <w:color w:val="auto"/>
          <w:highlight w:val="none"/>
          <w:u w:val="single"/>
        </w:rPr>
      </w:pPr>
      <w:r>
        <w:rPr>
          <w:rFonts w:hint="eastAsia" w:hAnsi="宋体" w:cs="宋体"/>
          <w:b/>
          <w:bCs/>
          <w:color w:val="auto"/>
          <w:highlight w:val="none"/>
          <w:u w:val="single"/>
        </w:rPr>
        <w:t>该项目投标人数量及各投标人投标文件是否完成解密以平台显示内容为准。</w:t>
      </w:r>
    </w:p>
    <w:p w14:paraId="4849024F">
      <w:pPr>
        <w:pStyle w:val="32"/>
        <w:snapToGrid w:val="0"/>
        <w:spacing w:beforeLines="0" w:afterLines="0" w:line="420" w:lineRule="exact"/>
        <w:ind w:firstLine="480" w:firstLineChars="200"/>
        <w:rPr>
          <w:rFonts w:hAnsi="宋体" w:cs="宋体"/>
          <w:color w:val="auto"/>
          <w:highlight w:val="none"/>
          <w:u w:val="single"/>
        </w:rPr>
      </w:pPr>
      <w:r>
        <w:rPr>
          <w:rFonts w:hint="eastAsia" w:hAnsi="宋体" w:cs="宋体"/>
          <w:color w:val="auto"/>
          <w:highlight w:val="none"/>
        </w:rPr>
        <w:t>3.解密结束后，主持人介绍参加开标会的人员名单，告知应当回避的情形,提请有关人员回避；</w:t>
      </w:r>
    </w:p>
    <w:p w14:paraId="33EA7BD9">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4.代理机构点击【</w:t>
      </w:r>
      <w:bookmarkStart w:id="26" w:name="_Hlk59371589"/>
      <w:r>
        <w:rPr>
          <w:rFonts w:hint="eastAsia" w:hAnsi="宋体" w:cs="宋体"/>
          <w:color w:val="auto"/>
          <w:highlight w:val="none"/>
        </w:rPr>
        <w:t>开启标书信息</w:t>
      </w:r>
      <w:bookmarkEnd w:id="26"/>
      <w:r>
        <w:rPr>
          <w:rFonts w:hint="eastAsia" w:hAnsi="宋体" w:cs="宋体"/>
          <w:color w:val="auto"/>
          <w:highlight w:val="none"/>
        </w:rPr>
        <w:t>】，开启标书成功后进入评标流程；</w:t>
      </w:r>
    </w:p>
    <w:p w14:paraId="459E03EE">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5.</w:t>
      </w:r>
      <w:bookmarkStart w:id="27" w:name="_Hlk59392570"/>
      <w:r>
        <w:rPr>
          <w:rFonts w:hint="eastAsia" w:hAnsi="宋体" w:cs="宋体"/>
          <w:color w:val="auto"/>
          <w:highlight w:val="none"/>
        </w:rPr>
        <w:t>资格及商务技术文件</w:t>
      </w:r>
      <w:bookmarkEnd w:id="27"/>
      <w:r>
        <w:rPr>
          <w:rFonts w:hint="eastAsia" w:hAnsi="宋体" w:cs="宋体"/>
          <w:color w:val="auto"/>
          <w:highlight w:val="none"/>
        </w:rPr>
        <w:t>评审；</w:t>
      </w:r>
    </w:p>
    <w:p w14:paraId="5A09A1F8">
      <w:pPr>
        <w:pStyle w:val="32"/>
        <w:snapToGrid w:val="0"/>
        <w:spacing w:beforeLines="0" w:afterLines="0" w:line="420" w:lineRule="exact"/>
        <w:ind w:firstLine="480" w:firstLineChars="200"/>
        <w:rPr>
          <w:rFonts w:hAnsi="宋体" w:cs="宋体"/>
          <w:b/>
          <w:bCs/>
          <w:color w:val="auto"/>
          <w:highlight w:val="none"/>
        </w:rPr>
      </w:pPr>
      <w:r>
        <w:rPr>
          <w:rFonts w:hint="eastAsia" w:hAnsi="宋体" w:cs="宋体"/>
          <w:color w:val="auto"/>
          <w:highlight w:val="none"/>
        </w:rPr>
        <w:t>6.由主持人公布资格及商务技术文件无效的投标人名单、投标无效的原因及其他有效投标的评分汇总分</w:t>
      </w:r>
      <w:r>
        <w:rPr>
          <w:rFonts w:hint="eastAsia" w:hAnsi="宋体" w:cs="宋体"/>
          <w:b/>
          <w:bCs/>
          <w:color w:val="auto"/>
          <w:highlight w:val="none"/>
        </w:rPr>
        <w:t>；</w:t>
      </w:r>
    </w:p>
    <w:p w14:paraId="3E977F23">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7.开启报价响应文件：代理机构成功开启报价响应文件后，方可查看各投标人报价情况。</w:t>
      </w:r>
      <w:r>
        <w:rPr>
          <w:rFonts w:hint="eastAsia" w:hAnsi="宋体" w:cs="宋体"/>
          <w:b/>
          <w:bCs/>
          <w:color w:val="auto"/>
          <w:highlight w:val="none"/>
          <w:u w:val="single"/>
        </w:rPr>
        <w:t>代理机构在线公布开标一览表有关内容，投标人应在5分钟内在线签字确认（不予确认或超时确认的应说明原因，否则视为无异议）；</w:t>
      </w:r>
    </w:p>
    <w:p w14:paraId="54F52599">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8.报价文件评审；</w:t>
      </w:r>
    </w:p>
    <w:p w14:paraId="5BB04E26">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9.由主持人公布报价文件无效的投标人名单、投标无效的原因，宣布综合</w:t>
      </w:r>
      <w:bookmarkStart w:id="28" w:name="_Hlk59371720"/>
      <w:r>
        <w:rPr>
          <w:rFonts w:hint="eastAsia" w:hAnsi="宋体" w:cs="宋体"/>
          <w:color w:val="auto"/>
          <w:highlight w:val="none"/>
        </w:rPr>
        <w:t>得分结果</w:t>
      </w:r>
      <w:bookmarkEnd w:id="28"/>
      <w:r>
        <w:rPr>
          <w:rFonts w:hint="eastAsia" w:hAnsi="宋体" w:cs="宋体"/>
          <w:color w:val="auto"/>
          <w:highlight w:val="none"/>
        </w:rPr>
        <w:t>及中标候选人名单。</w:t>
      </w:r>
      <w:r>
        <w:rPr>
          <w:rFonts w:hint="eastAsia" w:hAnsi="宋体" w:cs="宋体"/>
          <w:b/>
          <w:bCs/>
          <w:color w:val="auto"/>
          <w:highlight w:val="none"/>
          <w:u w:val="single"/>
        </w:rPr>
        <w:t>投标人可通过</w:t>
      </w:r>
      <w:bookmarkStart w:id="29" w:name="_Hlk59626287"/>
      <w:r>
        <w:rPr>
          <w:rFonts w:hint="eastAsia" w:hAnsi="宋体" w:cs="宋体"/>
          <w:b/>
          <w:bCs/>
          <w:color w:val="auto"/>
          <w:highlight w:val="none"/>
          <w:u w:val="single"/>
        </w:rPr>
        <w:t>临海市限额以下公共资源交易区域平台</w:t>
      </w:r>
      <w:bookmarkEnd w:id="29"/>
      <w:r>
        <w:rPr>
          <w:rFonts w:hint="eastAsia" w:hAnsi="宋体" w:cs="宋体"/>
          <w:b/>
          <w:bCs/>
          <w:color w:val="auto"/>
          <w:highlight w:val="none"/>
          <w:u w:val="single"/>
        </w:rPr>
        <w:t>-每日直播平台查看评审结果，请各投标人注意收看；</w:t>
      </w:r>
    </w:p>
    <w:p w14:paraId="15B2F368">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10．开标会议结束。</w:t>
      </w:r>
    </w:p>
    <w:p w14:paraId="0D3089F7">
      <w:pPr>
        <w:pStyle w:val="32"/>
        <w:snapToGrid w:val="0"/>
        <w:spacing w:beforeLines="0" w:afterLines="0" w:line="420" w:lineRule="exact"/>
        <w:ind w:firstLine="482" w:firstLineChars="200"/>
        <w:rPr>
          <w:rFonts w:hAnsi="宋体" w:cs="宋体"/>
          <w:color w:val="auto"/>
          <w:highlight w:val="none"/>
        </w:rPr>
      </w:pPr>
      <w:r>
        <w:rPr>
          <w:rFonts w:hint="eastAsia" w:hAnsi="宋体" w:cs="宋体"/>
          <w:b/>
          <w:color w:val="auto"/>
          <w:highlight w:val="none"/>
        </w:rPr>
        <w:t>五、评标</w:t>
      </w:r>
    </w:p>
    <w:p w14:paraId="1A299084">
      <w:pPr>
        <w:pStyle w:val="32"/>
        <w:snapToGrid w:val="0"/>
        <w:spacing w:beforeLines="0" w:afterLines="0" w:line="420" w:lineRule="exact"/>
        <w:ind w:firstLine="482" w:firstLineChars="200"/>
        <w:rPr>
          <w:rFonts w:hAnsi="宋体" w:cs="宋体"/>
          <w:color w:val="auto"/>
          <w:highlight w:val="none"/>
        </w:rPr>
      </w:pPr>
      <w:r>
        <w:rPr>
          <w:rFonts w:hint="eastAsia" w:hAnsi="宋体" w:cs="宋体"/>
          <w:b/>
          <w:color w:val="auto"/>
          <w:highlight w:val="none"/>
        </w:rPr>
        <w:t>（一）组建评标委员会</w:t>
      </w:r>
    </w:p>
    <w:p w14:paraId="4799CBE1">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（1）本项目评标委员会由招标人依法组建。</w:t>
      </w:r>
    </w:p>
    <w:p w14:paraId="722F4BDB">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（2）评标委员会成员与参与投标的投标人有下列情形之一的，应当回避：</w:t>
      </w:r>
    </w:p>
    <w:p w14:paraId="1B7DF796">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①参加招标活动前3年内与投标人存在劳动关系；</w:t>
      </w:r>
    </w:p>
    <w:p w14:paraId="4A90060A">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②参加招标活动前3年内担任投标人的董事、监事；</w:t>
      </w:r>
    </w:p>
    <w:p w14:paraId="12449197">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③参加招标活动前3年内是投标人的控股股东或者实际控制人；</w:t>
      </w:r>
    </w:p>
    <w:p w14:paraId="6B920D2B">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④与投标人的法定代表人或者负责人有夫妻、直系血亲、三代以内旁系血亲或者近姻亲关系；</w:t>
      </w:r>
    </w:p>
    <w:p w14:paraId="5D10171E">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⑤与投标人有其他可能影响招标活动公平、公正进行的关系。</w:t>
      </w:r>
    </w:p>
    <w:p w14:paraId="4D53B456">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（3）评标委员会负责具体评标事务，并独立履行下列职责：</w:t>
      </w:r>
    </w:p>
    <w:p w14:paraId="1F3A2A4D">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1.审查、评价投标文件是否符合招标文件的商务、技术等实质性要求；</w:t>
      </w:r>
    </w:p>
    <w:p w14:paraId="15758466">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2.要求投标人对投标文件有关事项作出澄清或者说明；</w:t>
      </w:r>
    </w:p>
    <w:p w14:paraId="5864E7EA">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3.对投标文件进行比较和评价；</w:t>
      </w:r>
    </w:p>
    <w:p w14:paraId="3221D1F4">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4.确定中标候选人名单，以及根据招标人委托直接确定中标人；</w:t>
      </w:r>
    </w:p>
    <w:p w14:paraId="56803E3A">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5.向招标人、代理机构或者有关部门报告评标中发现的违法行为；</w:t>
      </w:r>
    </w:p>
    <w:p w14:paraId="10E026F1">
      <w:pPr>
        <w:pStyle w:val="32"/>
        <w:snapToGrid w:val="0"/>
        <w:spacing w:beforeLines="0" w:afterLines="0" w:line="420" w:lineRule="exact"/>
        <w:ind w:firstLine="480" w:firstLineChars="200"/>
        <w:rPr>
          <w:rFonts w:hAnsi="宋体" w:cs="宋体"/>
          <w:bCs/>
          <w:color w:val="auto"/>
          <w:highlight w:val="none"/>
        </w:rPr>
      </w:pPr>
      <w:r>
        <w:rPr>
          <w:rFonts w:hint="eastAsia" w:hAnsi="宋体" w:cs="宋体"/>
          <w:bCs/>
          <w:color w:val="auto"/>
          <w:highlight w:val="none"/>
        </w:rPr>
        <w:t>6.法律法规规定的其他职责。</w:t>
      </w:r>
    </w:p>
    <w:p w14:paraId="0242A64C">
      <w:pPr>
        <w:pStyle w:val="32"/>
        <w:snapToGrid w:val="0"/>
        <w:spacing w:beforeLines="0" w:afterLines="0" w:line="420" w:lineRule="exact"/>
        <w:ind w:firstLine="482" w:firstLineChars="200"/>
        <w:rPr>
          <w:rFonts w:hAnsi="宋体" w:cs="宋体"/>
          <w:color w:val="auto"/>
          <w:highlight w:val="none"/>
        </w:rPr>
      </w:pPr>
      <w:r>
        <w:rPr>
          <w:rFonts w:hint="eastAsia" w:hAnsi="宋体" w:cs="宋体"/>
          <w:b/>
          <w:color w:val="auto"/>
          <w:highlight w:val="none"/>
        </w:rPr>
        <w:t>（二）评标的方式</w:t>
      </w:r>
    </w:p>
    <w:p w14:paraId="51F274AB">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本项目采用不公开方式评标，评标的依据为招标文件和投标文件，本项目采用电子评审方法。</w:t>
      </w:r>
    </w:p>
    <w:p w14:paraId="5D72B3C4">
      <w:pPr>
        <w:pStyle w:val="3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（三）</w:t>
      </w:r>
      <w:r>
        <w:rPr>
          <w:rFonts w:hint="eastAsia" w:hAnsi="宋体" w:cs="宋体"/>
          <w:b/>
          <w:bCs/>
          <w:color w:val="auto"/>
          <w:highlight w:val="none"/>
        </w:rPr>
        <w:t>评标程序</w:t>
      </w:r>
    </w:p>
    <w:p w14:paraId="14674969">
      <w:pPr>
        <w:snapToGrid w:val="0"/>
        <w:spacing w:line="42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1.资格审查</w:t>
      </w:r>
    </w:p>
    <w:p w14:paraId="59780780">
      <w:pPr>
        <w:snapToGrid w:val="0"/>
        <w:spacing w:line="420" w:lineRule="exact"/>
        <w:ind w:firstLine="480" w:firstLineChars="200"/>
        <w:rPr>
          <w:rFonts w:ascii="宋体" w:hAnsi="宋体" w:cs="宋体"/>
          <w:b/>
          <w:bCs/>
          <w:color w:val="auto"/>
          <w:sz w:val="24"/>
          <w:highlight w:val="none"/>
        </w:rPr>
      </w:pPr>
      <w:r>
        <w:rPr>
          <w:rFonts w:hint="eastAsia" w:ascii="宋体" w:hAnsi="宋体" w:cs="宋体"/>
          <w:color w:val="auto"/>
          <w:sz w:val="24"/>
          <w:highlight w:val="none"/>
        </w:rPr>
        <w:t>招标项目开标结束后，招标人或者代理机构应当依法对投标人的资格进行审查，对审查发现无效的进行必要的询标，结束后公布无效投标的投标人名单、投标无效的原因。</w:t>
      </w:r>
    </w:p>
    <w:p w14:paraId="6CC4A8D7">
      <w:pPr>
        <w:snapToGrid w:val="0"/>
        <w:spacing w:line="42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2.符合性审查</w:t>
      </w:r>
    </w:p>
    <w:p w14:paraId="4F8E3D29">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ECD2DE1">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（四）澄清问题的形式</w:t>
      </w:r>
    </w:p>
    <w:p w14:paraId="4065DE5D">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对投标文件中含义不明确、同类问题表述不一致或者有明显文字和计算错误的内容，评标委员会可要求投标人作出必要的</w:t>
      </w:r>
      <w:bookmarkStart w:id="30" w:name="_Hlk59372079"/>
      <w:r>
        <w:rPr>
          <w:rFonts w:hint="eastAsia" w:hAnsi="宋体" w:cs="宋体"/>
          <w:color w:val="auto"/>
          <w:highlight w:val="none"/>
        </w:rPr>
        <w:t>澄清、说明</w:t>
      </w:r>
      <w:bookmarkEnd w:id="30"/>
      <w:r>
        <w:rPr>
          <w:rFonts w:hint="eastAsia" w:hAnsi="宋体" w:cs="宋体"/>
          <w:color w:val="auto"/>
          <w:highlight w:val="none"/>
        </w:rPr>
        <w:t>或者补正。评标委员会的澄清内容及投标人的澄清、说明或者补正均通过</w:t>
      </w:r>
      <w:bookmarkStart w:id="31" w:name="_Hlk59371846"/>
      <w:r>
        <w:rPr>
          <w:rFonts w:hint="eastAsia" w:hAnsi="宋体" w:cs="宋体"/>
          <w:color w:val="auto"/>
          <w:highlight w:val="none"/>
        </w:rPr>
        <w:t>电子交易平台交换数据电文。</w:t>
      </w:r>
      <w:bookmarkEnd w:id="31"/>
      <w:bookmarkStart w:id="32" w:name="_Hlk59700505"/>
      <w:r>
        <w:rPr>
          <w:rFonts w:hint="eastAsia" w:hAnsi="宋体" w:cs="宋体"/>
          <w:color w:val="auto"/>
          <w:highlight w:val="none"/>
        </w:rPr>
        <w:t>同时代理机构也将通过临海市限额以下公共资源交易区域平台--每日直播平台</w:t>
      </w:r>
      <w:bookmarkStart w:id="33" w:name="_Hlk59371920"/>
      <w:r>
        <w:rPr>
          <w:rFonts w:hint="eastAsia" w:hAnsi="宋体" w:cs="宋体"/>
          <w:color w:val="auto"/>
          <w:highlight w:val="none"/>
        </w:rPr>
        <w:t>进行问题澄清。</w:t>
      </w:r>
      <w:bookmarkEnd w:id="32"/>
    </w:p>
    <w:bookmarkEnd w:id="33"/>
    <w:p w14:paraId="1F10768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评标委员会发出澄清内容后，投标人应当在代理机构及平台上</w:t>
      </w:r>
      <w:r>
        <w:rPr>
          <w:rFonts w:hint="eastAsia" w:ascii="宋体" w:hAnsi="宋体" w:cs="宋体"/>
          <w:b/>
          <w:bCs/>
          <w:color w:val="auto"/>
          <w:sz w:val="24"/>
          <w:highlight w:val="none"/>
          <w:u w:val="single"/>
        </w:rPr>
        <w:t>规定的时间内（30分钟，具体时间以临海市限额以下公共资源交易区域平台系统上显示的时间为准）</w:t>
      </w:r>
      <w:r>
        <w:rPr>
          <w:rFonts w:hint="eastAsia" w:ascii="宋体" w:hAnsi="宋体" w:cs="宋体"/>
          <w:b/>
          <w:bCs/>
          <w:color w:val="auto"/>
          <w:sz w:val="24"/>
          <w:highlight w:val="none"/>
        </w:rPr>
        <w:t>，</w:t>
      </w:r>
      <w:r>
        <w:rPr>
          <w:rFonts w:hint="eastAsia" w:ascii="宋体" w:hAnsi="宋体" w:cs="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559F92E6">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（五）错误修正</w:t>
      </w:r>
    </w:p>
    <w:p w14:paraId="65D35F7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79013C6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（一）投标文件中开标一览表（报价表）内容与投标文件中相应内容不一致的，以开标一览表（报价表）为准；</w:t>
      </w:r>
    </w:p>
    <w:p w14:paraId="3F76364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（二）大写金额和小写金额不一致的，以大写金额为准；</w:t>
      </w:r>
    </w:p>
    <w:p w14:paraId="350CD799">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（三）单价金额小数点或者百分比有明显错位的，以开标一览表的总价为准，并修改单价；</w:t>
      </w:r>
    </w:p>
    <w:p w14:paraId="48B7DCF3">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50A44459">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（五）对不同文字文本投标文件的解释发生异议的，以中文文本为准。</w:t>
      </w:r>
    </w:p>
    <w:p w14:paraId="48DEDDA7">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8EA28E9">
      <w:pPr>
        <w:pStyle w:val="32"/>
        <w:tabs>
          <w:tab w:val="left" w:pos="630"/>
        </w:tabs>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（六）评标原则和评标办法</w:t>
      </w:r>
    </w:p>
    <w:p w14:paraId="3A3032EF">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61ECED1">
      <w:pPr>
        <w:pStyle w:val="3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2.评标办法。本项目评标办法是</w:t>
      </w:r>
      <w:r>
        <w:rPr>
          <w:rFonts w:hint="eastAsia" w:hAnsi="宋体" w:cs="宋体"/>
          <w:b/>
          <w:color w:val="auto"/>
          <w:highlight w:val="none"/>
          <w:u w:val="single"/>
        </w:rPr>
        <w:t>综合评分法</w:t>
      </w:r>
      <w:r>
        <w:rPr>
          <w:rFonts w:hint="eastAsia" w:hAnsi="宋体" w:cs="宋体"/>
          <w:color w:val="auto"/>
          <w:highlight w:val="none"/>
        </w:rPr>
        <w:t>，具体评标内容及评分标准等详见《第四章：评标办法及评分标准》。</w:t>
      </w:r>
    </w:p>
    <w:p w14:paraId="46F11984">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六、定标</w:t>
      </w:r>
    </w:p>
    <w:p w14:paraId="2A6CC4E1">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（一）确定中标人</w:t>
      </w:r>
    </w:p>
    <w:p w14:paraId="29C9C31B">
      <w:pPr>
        <w:spacing w:line="420" w:lineRule="exact"/>
        <w:ind w:firstLine="480" w:firstLineChars="200"/>
        <w:rPr>
          <w:rFonts w:ascii="宋体" w:hAnsi="宋体" w:cs="宋体"/>
          <w:color w:val="auto"/>
          <w:sz w:val="24"/>
          <w:highlight w:val="none"/>
        </w:rPr>
      </w:pPr>
      <w:r>
        <w:rPr>
          <w:rFonts w:hint="eastAsia" w:ascii="宋体" w:hAnsi="宋体" w:cs="宋体"/>
          <w:bCs/>
          <w:color w:val="auto"/>
          <w:sz w:val="24"/>
          <w:highlight w:val="none"/>
        </w:rPr>
        <w:t>1.招标人在评标结束后2</w:t>
      </w:r>
      <w:r>
        <w:rPr>
          <w:rFonts w:hint="eastAsia" w:ascii="宋体" w:hAnsi="宋体" w:cs="宋体"/>
          <w:color w:val="auto"/>
          <w:sz w:val="24"/>
          <w:highlight w:val="none"/>
        </w:rPr>
        <w:t>个工作日内将评标报告交招标人确认</w:t>
      </w:r>
      <w:r>
        <w:rPr>
          <w:rFonts w:hint="eastAsia" w:ascii="宋体" w:hAnsi="宋体" w:cs="宋体"/>
          <w:b/>
          <w:bCs/>
          <w:color w:val="auto"/>
          <w:sz w:val="24"/>
          <w:highlight w:val="none"/>
        </w:rPr>
        <w:t>，</w:t>
      </w:r>
      <w:r>
        <w:rPr>
          <w:rFonts w:hint="eastAsia" w:ascii="宋体" w:hAnsi="宋体" w:cs="宋体"/>
          <w:color w:val="auto"/>
          <w:sz w:val="24"/>
          <w:highlight w:val="none"/>
        </w:rPr>
        <w:t>招标人应在收到评标报告后5个工作日内对评标结果进行确认。如有投标人对评标结果提出质疑的，招标人可在质疑处理完毕后确定中标人。</w:t>
      </w:r>
    </w:p>
    <w:p w14:paraId="3C4EB4B5">
      <w:pPr>
        <w:snapToGrid w:val="0"/>
        <w:spacing w:line="420" w:lineRule="exact"/>
        <w:ind w:firstLine="480" w:firstLineChars="200"/>
        <w:rPr>
          <w:rFonts w:ascii="宋体" w:hAnsi="宋体" w:cs="宋体"/>
          <w:b/>
          <w:bCs/>
          <w:color w:val="auto"/>
          <w:sz w:val="24"/>
          <w:highlight w:val="none"/>
          <w:u w:val="single"/>
        </w:rPr>
      </w:pPr>
      <w:r>
        <w:rPr>
          <w:rFonts w:hint="eastAsia" w:ascii="宋体" w:hAnsi="宋体" w:cs="宋体"/>
          <w:color w:val="auto"/>
          <w:sz w:val="24"/>
          <w:highlight w:val="none"/>
        </w:rPr>
        <w:t>2.招标人依法确定中标人后2个工作日内，招标人以书面形式发出《中标通知书》,并同时在招标公告发布的网站上发布成交结果公告。</w:t>
      </w:r>
      <w:r>
        <w:rPr>
          <w:rFonts w:hint="eastAsia" w:ascii="宋体" w:hAnsi="宋体" w:cs="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监督管理机构提出异议、质疑、投诉或法院起诉的依据，均属于非法获取的依据。</w:t>
      </w:r>
    </w:p>
    <w:p w14:paraId="32774BB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3.定标中，应坚持第一中标候选人为首选中标人，但出现其它原因的，招标人可以确定排名第二的候选人为中标人，</w:t>
      </w:r>
      <w:r>
        <w:rPr>
          <w:rFonts w:hint="eastAsia" w:ascii="宋体" w:hAnsi="宋体" w:cs="宋体"/>
          <w:b/>
          <w:color w:val="auto"/>
          <w:sz w:val="24"/>
          <w:highlight w:val="none"/>
        </w:rPr>
        <w:t>或重新组织招标。</w:t>
      </w:r>
      <w:bookmarkStart w:id="34" w:name="_Hlk59369379"/>
      <w:r>
        <w:rPr>
          <w:rFonts w:hint="eastAsia" w:ascii="宋体" w:hAnsi="宋体" w:cs="宋体"/>
          <w:color w:val="auto"/>
          <w:sz w:val="24"/>
          <w:highlight w:val="none"/>
        </w:rPr>
        <w:t xml:space="preserve"> </w:t>
      </w:r>
    </w:p>
    <w:p w14:paraId="259F60CD">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color w:val="auto"/>
          <w:highlight w:val="none"/>
        </w:rPr>
        <w:t xml:space="preserve"> </w:t>
      </w:r>
      <w:r>
        <w:rPr>
          <w:rFonts w:hint="eastAsia" w:ascii="宋体" w:hAnsi="宋体" w:cs="宋体"/>
          <w:b/>
          <w:color w:val="auto"/>
          <w:sz w:val="24"/>
          <w:highlight w:val="none"/>
        </w:rPr>
        <w:t>如中标通知书发出后，中标人放弃中标项目的，应当依法承担法律责任。</w:t>
      </w:r>
    </w:p>
    <w:p w14:paraId="6E516559">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如给招标人造成损失的，弃标供应商依法应当承担赔偿责任，包括重新招标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3A9EF1C">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
          <w:bCs/>
          <w:color w:val="auto"/>
          <w:sz w:val="24"/>
          <w:highlight w:val="none"/>
          <w:u w:val="single"/>
        </w:rPr>
        <w:t>为营造更优质的营商环境，</w:t>
      </w:r>
      <w:bookmarkStart w:id="35" w:name="_Hlk59708763"/>
      <w:r>
        <w:rPr>
          <w:rFonts w:hint="eastAsia" w:ascii="宋体" w:hAnsi="宋体" w:cs="宋体"/>
          <w:b/>
          <w:bCs/>
          <w:color w:val="auto"/>
          <w:sz w:val="24"/>
          <w:highlight w:val="none"/>
          <w:u w:val="single"/>
        </w:rPr>
        <w:t>中标人可选择代理机构以邮寄方式向其寄达《中标通知书》（邮寄地址、收件人等信息请在“投标函”中详细写明，邮费可到付）。</w:t>
      </w:r>
      <w:bookmarkEnd w:id="35"/>
      <w:bookmarkStart w:id="36" w:name="_Hlk59708451"/>
      <w:r>
        <w:rPr>
          <w:rFonts w:hint="eastAsia" w:ascii="宋体" w:hAnsi="宋体" w:cs="宋体"/>
          <w:b/>
          <w:bCs/>
          <w:color w:val="auto"/>
          <w:sz w:val="24"/>
          <w:highlight w:val="none"/>
          <w:u w:val="single"/>
        </w:rPr>
        <w:t>同时中标人应在中标后</w:t>
      </w:r>
      <w:bookmarkStart w:id="37" w:name="_Hlk59521069"/>
      <w:r>
        <w:rPr>
          <w:rFonts w:hint="eastAsia" w:ascii="宋体" w:hAnsi="宋体" w:cs="宋体"/>
          <w:b/>
          <w:bCs/>
          <w:color w:val="auto"/>
          <w:sz w:val="24"/>
          <w:highlight w:val="none"/>
          <w:u w:val="single"/>
        </w:rPr>
        <w:t>以邮寄</w:t>
      </w:r>
      <w:bookmarkEnd w:id="37"/>
      <w:r>
        <w:rPr>
          <w:rFonts w:hint="eastAsia" w:ascii="宋体" w:hAnsi="宋体" w:cs="宋体"/>
          <w:b/>
          <w:bCs/>
          <w:color w:val="auto"/>
          <w:sz w:val="24"/>
          <w:highlight w:val="none"/>
          <w:u w:val="single"/>
        </w:rPr>
        <w:t>或其他方式向代理机构提供3套与电子版投标文件相同的胶装版本投标文件。</w:t>
      </w:r>
      <w:bookmarkEnd w:id="34"/>
      <w:bookmarkEnd w:id="36"/>
    </w:p>
    <w:p w14:paraId="6946CEAD">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七、合同授予</w:t>
      </w:r>
    </w:p>
    <w:p w14:paraId="5C73A3F4">
      <w:pPr>
        <w:snapToGrid w:val="0"/>
        <w:spacing w:line="42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（一）签订合同</w:t>
      </w:r>
    </w:p>
    <w:p w14:paraId="5B65B11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1.招标人与中标</w:t>
      </w:r>
      <w:r>
        <w:rPr>
          <w:rFonts w:hint="eastAsia" w:ascii="宋体" w:hAnsi="宋体" w:cs="宋体"/>
          <w:b/>
          <w:color w:val="auto"/>
          <w:sz w:val="24"/>
          <w:highlight w:val="none"/>
        </w:rPr>
        <w:t>人应当在《中标通知书》发出之日起30日内签订招标合同，</w:t>
      </w:r>
      <w:r>
        <w:rPr>
          <w:rFonts w:hint="eastAsia" w:ascii="宋体" w:hAnsi="宋体" w:cs="宋体"/>
          <w:color w:val="auto"/>
          <w:sz w:val="24"/>
          <w:highlight w:val="none"/>
        </w:rPr>
        <w:t>并且在同一时间送至代理机构见证盖章（合同一式不少于四份，招标人与中标人各执一份，</w:t>
      </w:r>
      <w:bookmarkStart w:id="38" w:name="_Hlk59626706"/>
      <w:r>
        <w:rPr>
          <w:rFonts w:hint="eastAsia" w:ascii="宋体" w:hAnsi="宋体" w:cs="宋体"/>
          <w:color w:val="auto"/>
          <w:sz w:val="24"/>
          <w:highlight w:val="none"/>
        </w:rPr>
        <w:t>代理机构</w:t>
      </w:r>
      <w:bookmarkEnd w:id="38"/>
      <w:r>
        <w:rPr>
          <w:rFonts w:hint="eastAsia" w:ascii="宋体" w:hAnsi="宋体" w:cs="宋体"/>
          <w:color w:val="auto"/>
          <w:sz w:val="24"/>
          <w:highlight w:val="none"/>
        </w:rPr>
        <w:t>留存二份），招标人对合同内容进行审查，如发现与招标结果和投标承诺内容不一致的，予以纠正。</w:t>
      </w:r>
      <w:r>
        <w:rPr>
          <w:rFonts w:hint="eastAsia" w:ascii="宋体" w:hAnsi="宋体" w:cs="宋体"/>
          <w:b/>
          <w:bCs/>
          <w:color w:val="auto"/>
          <w:sz w:val="24"/>
          <w:highlight w:val="none"/>
          <w:u w:val="single"/>
        </w:rPr>
        <w:t>为营造更优质的营商环境，</w:t>
      </w:r>
      <w:bookmarkStart w:id="39" w:name="_Hlk59627623"/>
      <w:r>
        <w:rPr>
          <w:rFonts w:hint="eastAsia" w:ascii="宋体" w:hAnsi="宋体" w:cs="宋体"/>
          <w:b/>
          <w:bCs/>
          <w:color w:val="auto"/>
          <w:sz w:val="24"/>
          <w:highlight w:val="none"/>
          <w:u w:val="single"/>
        </w:rPr>
        <w:t>中标人可选择代理机构以邮寄方式向其寄达</w:t>
      </w:r>
      <w:bookmarkStart w:id="40" w:name="_Hlk59708805"/>
      <w:r>
        <w:rPr>
          <w:rFonts w:hint="eastAsia" w:ascii="宋体" w:hAnsi="宋体" w:cs="宋体"/>
          <w:b/>
          <w:bCs/>
          <w:color w:val="auto"/>
          <w:sz w:val="24"/>
          <w:highlight w:val="none"/>
          <w:u w:val="single"/>
        </w:rPr>
        <w:t>《招标合同》</w:t>
      </w:r>
      <w:bookmarkEnd w:id="40"/>
      <w:r>
        <w:rPr>
          <w:rFonts w:hint="eastAsia" w:ascii="宋体" w:hAnsi="宋体" w:cs="宋体"/>
          <w:b/>
          <w:bCs/>
          <w:color w:val="auto"/>
          <w:sz w:val="24"/>
          <w:highlight w:val="none"/>
          <w:u w:val="single"/>
        </w:rPr>
        <w:t>。</w:t>
      </w:r>
    </w:p>
    <w:bookmarkEnd w:id="39"/>
    <w:p w14:paraId="6746A274">
      <w:pPr>
        <w:spacing w:line="42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auto"/>
          <w:sz w:val="24"/>
          <w:highlight w:val="none"/>
        </w:rPr>
        <w:t>以重新开展招标活动。拒绝签订招标合同的成交人不得参加对该项目重新开展的招标活动。</w:t>
      </w:r>
    </w:p>
    <w:p w14:paraId="1BD32EB5">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（二）履约保证金</w:t>
      </w:r>
    </w:p>
    <w:p w14:paraId="0FB3A52E">
      <w:pPr>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1.签订合同后，如中标人不按双方合同约定履约，则其履约保证金将予以扣罚，履约保证金不足以赔偿损失的，按实际损失赔偿。</w:t>
      </w:r>
      <w:bookmarkStart w:id="41" w:name="_Toc466534750"/>
    </w:p>
    <w:p w14:paraId="6CB9246A">
      <w:pPr>
        <w:spacing w:before="120" w:beforeLines="50" w:after="120" w:afterLines="50" w:line="420" w:lineRule="exact"/>
        <w:jc w:val="both"/>
        <w:outlineLvl w:val="0"/>
        <w:rPr>
          <w:rFonts w:ascii="宋体" w:hAnsi="宋体" w:cs="宋体"/>
          <w:b/>
          <w:color w:val="auto"/>
          <w:sz w:val="24"/>
          <w:highlight w:val="none"/>
        </w:rPr>
      </w:pPr>
      <w:r>
        <w:rPr>
          <w:rFonts w:hint="eastAsia" w:ascii="宋体" w:hAnsi="宋体" w:cs="宋体"/>
          <w:b/>
          <w:color w:val="auto"/>
          <w:sz w:val="24"/>
          <w:highlight w:val="none"/>
        </w:rPr>
        <w:br w:type="page"/>
      </w:r>
    </w:p>
    <w:p w14:paraId="15B6DD8A">
      <w:pPr>
        <w:spacing w:before="120" w:beforeLines="50" w:after="120" w:afterLines="50" w:line="400" w:lineRule="exact"/>
        <w:jc w:val="center"/>
        <w:outlineLvl w:val="0"/>
        <w:rPr>
          <w:rFonts w:ascii="宋体" w:hAnsi="宋体" w:cs="宋体"/>
          <w:b/>
          <w:color w:val="auto"/>
          <w:sz w:val="30"/>
          <w:szCs w:val="30"/>
          <w:highlight w:val="none"/>
        </w:rPr>
      </w:pPr>
      <w:bookmarkStart w:id="42" w:name="_Toc10393"/>
      <w:bookmarkStart w:id="43" w:name="_Toc25225"/>
      <w:r>
        <w:rPr>
          <w:rFonts w:hint="eastAsia" w:ascii="宋体" w:hAnsi="宋体" w:cs="宋体"/>
          <w:b/>
          <w:color w:val="auto"/>
          <w:sz w:val="30"/>
          <w:szCs w:val="30"/>
          <w:highlight w:val="none"/>
        </w:rPr>
        <w:t>第四章  评标办法及评分标准</w:t>
      </w:r>
      <w:bookmarkEnd w:id="41"/>
      <w:bookmarkEnd w:id="42"/>
      <w:bookmarkEnd w:id="43"/>
    </w:p>
    <w:p w14:paraId="235DA152">
      <w:pPr>
        <w:adjustRightInd w:val="0"/>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5A028461">
      <w:pPr>
        <w:adjustRightInd w:val="0"/>
        <w:snapToGrid w:val="0"/>
        <w:spacing w:line="42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2D9D62EB">
      <w:pPr>
        <w:adjustRightInd w:val="0"/>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一、总则</w:t>
      </w:r>
    </w:p>
    <w:p w14:paraId="09E89782">
      <w:pPr>
        <w:adjustRightInd w:val="0"/>
        <w:snapToGrid w:val="0"/>
        <w:spacing w:line="42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价格分30分、商务技术分70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3B090A4D">
      <w:pPr>
        <w:adjustRightInd w:val="0"/>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64DD0F07">
      <w:pPr>
        <w:adjustRightInd w:val="0"/>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二、评标内容及标准</w:t>
      </w:r>
    </w:p>
    <w:p w14:paraId="0F965E55">
      <w:pPr>
        <w:pStyle w:val="14"/>
        <w:adjustRightInd w:val="0"/>
        <w:snapToGrid w:val="0"/>
        <w:spacing w:line="420" w:lineRule="exact"/>
        <w:ind w:firstLine="466" w:firstLineChars="200"/>
        <w:rPr>
          <w:rFonts w:hAnsi="宋体" w:cs="宋体"/>
          <w:b/>
          <w:bCs/>
          <w:color w:val="auto"/>
          <w:sz w:val="24"/>
          <w:szCs w:val="24"/>
          <w:highlight w:val="none"/>
        </w:rPr>
      </w:pPr>
      <w:r>
        <w:rPr>
          <w:rFonts w:hint="eastAsia" w:hAnsi="宋体" w:cs="宋体"/>
          <w:b/>
          <w:color w:val="auto"/>
          <w:sz w:val="24"/>
          <w:szCs w:val="24"/>
          <w:highlight w:val="none"/>
        </w:rPr>
        <w:t>（一）</w:t>
      </w:r>
      <w:r>
        <w:rPr>
          <w:rFonts w:hint="eastAsia" w:hAnsi="宋体" w:cs="宋体"/>
          <w:b/>
          <w:bCs/>
          <w:color w:val="auto"/>
          <w:sz w:val="24"/>
          <w:szCs w:val="24"/>
          <w:highlight w:val="none"/>
        </w:rPr>
        <w:t>价格分（30</w:t>
      </w:r>
      <w:r>
        <w:rPr>
          <w:rFonts w:hint="eastAsia" w:hAnsi="宋体" w:cs="宋体"/>
          <w:b/>
          <w:color w:val="auto"/>
          <w:spacing w:val="0"/>
          <w:sz w:val="24"/>
          <w:szCs w:val="24"/>
          <w:highlight w:val="none"/>
        </w:rPr>
        <w:t>分</w:t>
      </w:r>
      <w:r>
        <w:rPr>
          <w:rFonts w:hint="eastAsia" w:hAnsi="宋体" w:cs="宋体"/>
          <w:b/>
          <w:bCs/>
          <w:color w:val="auto"/>
          <w:sz w:val="24"/>
          <w:szCs w:val="24"/>
          <w:highlight w:val="none"/>
        </w:rPr>
        <w:t>）</w:t>
      </w:r>
    </w:p>
    <w:p w14:paraId="16AD8DBE">
      <w:pPr>
        <w:pStyle w:val="14"/>
        <w:adjustRightInd w:val="0"/>
        <w:snapToGrid w:val="0"/>
        <w:spacing w:line="420" w:lineRule="exact"/>
        <w:ind w:firstLine="464" w:firstLineChars="200"/>
        <w:rPr>
          <w:rFonts w:hAnsi="宋体" w:cs="宋体"/>
          <w:bCs/>
          <w:color w:val="auto"/>
          <w:sz w:val="24"/>
          <w:szCs w:val="24"/>
          <w:highlight w:val="none"/>
        </w:rPr>
      </w:pPr>
      <w:r>
        <w:rPr>
          <w:rFonts w:hint="eastAsia" w:hAnsi="宋体" w:cs="宋体"/>
          <w:bCs/>
          <w:color w:val="auto"/>
          <w:sz w:val="24"/>
          <w:szCs w:val="24"/>
          <w:highlight w:val="none"/>
        </w:rPr>
        <w:t>1.价格分采用低价优先法计算，即满足招标文件要求且投标价格最低的投标报价为评标基准价，其他投标人的价格分按照下列公式计算：</w:t>
      </w:r>
    </w:p>
    <w:p w14:paraId="1B23619B">
      <w:pPr>
        <w:adjustRightInd w:val="0"/>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价格分=（评标基准价/投标报价）×30%×100</w:t>
      </w:r>
    </w:p>
    <w:p w14:paraId="376437E6">
      <w:pPr>
        <w:pStyle w:val="14"/>
        <w:adjustRightInd w:val="0"/>
        <w:snapToGrid w:val="0"/>
        <w:spacing w:line="420" w:lineRule="exact"/>
        <w:ind w:firstLine="466" w:firstLineChars="200"/>
        <w:rPr>
          <w:rFonts w:hAnsi="宋体" w:cs="宋体"/>
          <w:b/>
          <w:bCs/>
          <w:color w:val="auto"/>
          <w:sz w:val="24"/>
          <w:szCs w:val="24"/>
          <w:highlight w:val="none"/>
          <w:u w:val="single"/>
        </w:rPr>
      </w:pPr>
      <w:r>
        <w:rPr>
          <w:rFonts w:hint="eastAsia" w:hAnsi="宋体" w:cs="宋体"/>
          <w:b/>
          <w:bCs/>
          <w:color w:val="auto"/>
          <w:sz w:val="24"/>
          <w:szCs w:val="24"/>
          <w:highlight w:val="none"/>
          <w:u w:val="singl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AC13C10">
      <w:pPr>
        <w:adjustRightInd w:val="0"/>
        <w:snapToGrid w:val="0"/>
        <w:spacing w:line="420" w:lineRule="exact"/>
        <w:ind w:firstLine="466" w:firstLineChars="200"/>
        <w:rPr>
          <w:rFonts w:ascii="宋体" w:hAnsi="宋体" w:cs="宋体"/>
          <w:b/>
          <w:bCs/>
          <w:color w:val="auto"/>
          <w:spacing w:val="-4"/>
          <w:kern w:val="0"/>
          <w:sz w:val="24"/>
          <w:highlight w:val="none"/>
          <w:u w:val="single"/>
        </w:rPr>
      </w:pPr>
      <w:r>
        <w:rPr>
          <w:rFonts w:hint="eastAsia" w:ascii="宋体" w:hAnsi="宋体" w:cs="宋体"/>
          <w:b/>
          <w:bCs/>
          <w:color w:val="auto"/>
          <w:spacing w:val="-4"/>
          <w:kern w:val="0"/>
          <w:sz w:val="24"/>
          <w:highlight w:val="none"/>
          <w:u w:val="single"/>
        </w:rPr>
        <w:t>如有投标人的报价明显低于其他通过符合性审查投标人的报价，有可能影响产品质量或者不能诚信履约的，评标委员会应当要求该投标人在评标现场合理的时间内提供书面说明，必要时提交相关证明材料（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auto"/>
          <w:sz w:val="24"/>
          <w:highlight w:val="none"/>
          <w:u w:val="single"/>
          <w:shd w:val="pct10" w:color="auto" w:fill="FFFFFF"/>
        </w:rPr>
        <w:t>货物类：</w:t>
      </w:r>
      <w:bookmarkStart w:id="44" w:name="_Hlk80007663"/>
      <w:r>
        <w:rPr>
          <w:rFonts w:hint="eastAsia" w:hAnsi="宋体"/>
          <w:b/>
          <w:bCs/>
          <w:color w:val="auto"/>
          <w:sz w:val="24"/>
          <w:highlight w:val="none"/>
          <w:u w:val="single"/>
          <w:shd w:val="pct10" w:color="auto" w:fill="FFFFFF"/>
        </w:rPr>
        <w:t>包括但不限于：提供包含本次采购设备报价清单的合同、提供包含本次采购设备的购买发票、购销合同等资料；</w:t>
      </w:r>
      <w:bookmarkEnd w:id="44"/>
      <w:r>
        <w:rPr>
          <w:rFonts w:hint="eastAsia" w:ascii="宋体" w:hAnsi="宋体" w:cs="宋体"/>
          <w:b/>
          <w:bCs/>
          <w:color w:val="auto"/>
          <w:spacing w:val="-4"/>
          <w:kern w:val="0"/>
          <w:sz w:val="24"/>
          <w:highlight w:val="none"/>
          <w:u w:val="single"/>
        </w:rPr>
        <w:t>）。投标人如不能提供相关证明材料证明其报价合理性的，或未在评标现场合理的时间内提供相关证明材料的，评标委员会应当将其作为无效投标处理。</w:t>
      </w:r>
    </w:p>
    <w:p w14:paraId="0229EC8F">
      <w:pPr>
        <w:adjustRightInd w:val="0"/>
        <w:snapToGrid w:val="0"/>
        <w:spacing w:line="420" w:lineRule="exact"/>
        <w:ind w:firstLine="482" w:firstLineChars="200"/>
        <w:rPr>
          <w:rFonts w:ascii="宋体" w:hAnsi="宋体" w:cs="宋体"/>
          <w:b/>
          <w:color w:val="auto"/>
          <w:sz w:val="24"/>
          <w:highlight w:val="none"/>
        </w:rPr>
      </w:pPr>
      <w:r>
        <w:rPr>
          <w:rFonts w:hint="eastAsia" w:ascii="宋体" w:hAnsi="宋体" w:cs="宋体"/>
          <w:b/>
          <w:bCs/>
          <w:color w:val="auto"/>
          <w:sz w:val="24"/>
          <w:highlight w:val="none"/>
        </w:rPr>
        <w:t>（二）商务</w:t>
      </w:r>
      <w:r>
        <w:rPr>
          <w:rFonts w:hint="eastAsia" w:ascii="宋体" w:hAnsi="宋体" w:cs="宋体"/>
          <w:b/>
          <w:color w:val="auto"/>
          <w:sz w:val="24"/>
          <w:highlight w:val="none"/>
        </w:rPr>
        <w:t>技术分（70分）</w:t>
      </w:r>
    </w:p>
    <w:p w14:paraId="1D64ED03">
      <w:pPr>
        <w:adjustRightInd w:val="0"/>
        <w:snapToGrid w:val="0"/>
        <w:spacing w:line="420" w:lineRule="exact"/>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评标委员会对通过符合性审查的投标人的投标技术参数或方案充分审核后，进行综合评定独立打分。</w:t>
      </w:r>
    </w:p>
    <w:tbl>
      <w:tblPr>
        <w:tblStyle w:val="54"/>
        <w:tblW w:w="9051" w:type="dxa"/>
        <w:tblInd w:w="91" w:type="dxa"/>
        <w:tblLayout w:type="fixed"/>
        <w:tblCellMar>
          <w:top w:w="0" w:type="dxa"/>
          <w:left w:w="108" w:type="dxa"/>
          <w:bottom w:w="0" w:type="dxa"/>
          <w:right w:w="108" w:type="dxa"/>
        </w:tblCellMar>
      </w:tblPr>
      <w:tblGrid>
        <w:gridCol w:w="724"/>
        <w:gridCol w:w="1301"/>
        <w:gridCol w:w="6246"/>
        <w:gridCol w:w="780"/>
      </w:tblGrid>
      <w:tr w14:paraId="1B0989B5">
        <w:tblPrEx>
          <w:tblCellMar>
            <w:top w:w="0" w:type="dxa"/>
            <w:left w:w="108" w:type="dxa"/>
            <w:bottom w:w="0" w:type="dxa"/>
            <w:right w:w="108" w:type="dxa"/>
          </w:tblCellMar>
        </w:tblPrEx>
        <w:trPr>
          <w:trHeight w:val="531"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43E5555F">
            <w:pPr>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301" w:type="dxa"/>
            <w:tcBorders>
              <w:top w:val="single" w:color="auto" w:sz="4" w:space="0"/>
              <w:left w:val="single" w:color="auto" w:sz="4" w:space="0"/>
              <w:bottom w:val="single" w:color="auto" w:sz="4" w:space="0"/>
              <w:right w:val="single" w:color="auto" w:sz="4" w:space="0"/>
            </w:tcBorders>
            <w:shd w:val="clear" w:color="000000" w:fill="FFFFFF"/>
            <w:vAlign w:val="center"/>
          </w:tcPr>
          <w:p w14:paraId="500900B7">
            <w:pPr>
              <w:jc w:val="center"/>
              <w:rPr>
                <w:rFonts w:ascii="宋体" w:hAnsi="宋体" w:cs="宋体"/>
                <w:b/>
                <w:color w:val="auto"/>
                <w:sz w:val="24"/>
                <w:highlight w:val="none"/>
              </w:rPr>
            </w:pPr>
            <w:r>
              <w:rPr>
                <w:rFonts w:hint="eastAsia" w:ascii="宋体" w:hAnsi="宋体" w:cs="宋体"/>
                <w:b/>
                <w:color w:val="auto"/>
                <w:sz w:val="24"/>
                <w:highlight w:val="none"/>
              </w:rPr>
              <w:t>评分内容</w:t>
            </w:r>
          </w:p>
        </w:tc>
        <w:tc>
          <w:tcPr>
            <w:tcW w:w="6246" w:type="dxa"/>
            <w:tcBorders>
              <w:top w:val="single" w:color="auto" w:sz="4" w:space="0"/>
              <w:left w:val="nil"/>
              <w:bottom w:val="single" w:color="auto" w:sz="4" w:space="0"/>
              <w:right w:val="single" w:color="auto" w:sz="4" w:space="0"/>
            </w:tcBorders>
            <w:shd w:val="clear" w:color="000000" w:fill="FFFFFF"/>
            <w:vAlign w:val="center"/>
          </w:tcPr>
          <w:p w14:paraId="046D5935">
            <w:pPr>
              <w:jc w:val="center"/>
              <w:rPr>
                <w:rFonts w:ascii="宋体" w:hAnsi="宋体" w:cs="宋体"/>
                <w:b/>
                <w:color w:val="auto"/>
                <w:sz w:val="24"/>
                <w:highlight w:val="none"/>
              </w:rPr>
            </w:pPr>
            <w:r>
              <w:rPr>
                <w:rFonts w:hint="eastAsia" w:ascii="宋体" w:hAnsi="宋体" w:cs="宋体"/>
                <w:b/>
                <w:color w:val="auto"/>
                <w:sz w:val="24"/>
                <w:highlight w:val="none"/>
              </w:rPr>
              <w:t>评分细则</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7203E8DE">
            <w:pPr>
              <w:jc w:val="center"/>
              <w:rPr>
                <w:rFonts w:ascii="宋体" w:hAnsi="宋体" w:cs="宋体"/>
                <w:b/>
                <w:color w:val="auto"/>
                <w:sz w:val="24"/>
                <w:highlight w:val="none"/>
              </w:rPr>
            </w:pPr>
            <w:r>
              <w:rPr>
                <w:rFonts w:hint="eastAsia" w:ascii="宋体" w:hAnsi="宋体" w:cs="宋体"/>
                <w:b/>
                <w:color w:val="auto"/>
                <w:sz w:val="24"/>
                <w:highlight w:val="none"/>
              </w:rPr>
              <w:t>分值</w:t>
            </w:r>
          </w:p>
        </w:tc>
      </w:tr>
      <w:tr w14:paraId="24A95020">
        <w:tblPrEx>
          <w:tblCellMar>
            <w:top w:w="0" w:type="dxa"/>
            <w:left w:w="108" w:type="dxa"/>
            <w:bottom w:w="0" w:type="dxa"/>
            <w:right w:w="108" w:type="dxa"/>
          </w:tblCellMar>
        </w:tblPrEx>
        <w:trPr>
          <w:trHeight w:val="2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57F49E5F">
            <w:pPr>
              <w:jc w:val="center"/>
              <w:rPr>
                <w:rFonts w:ascii="宋体" w:hAnsi="宋体" w:cs="宋体"/>
                <w:color w:val="auto"/>
                <w:sz w:val="24"/>
                <w:highlight w:val="none"/>
              </w:rPr>
            </w:pPr>
            <w:r>
              <w:rPr>
                <w:rFonts w:hint="eastAsia" w:ascii="宋体" w:hAnsi="宋体" w:cs="宋体"/>
                <w:color w:val="auto"/>
                <w:sz w:val="24"/>
                <w:highlight w:val="none"/>
              </w:rPr>
              <w:t>1</w:t>
            </w:r>
          </w:p>
        </w:tc>
        <w:tc>
          <w:tcPr>
            <w:tcW w:w="1301" w:type="dxa"/>
            <w:tcBorders>
              <w:top w:val="single" w:color="auto" w:sz="4" w:space="0"/>
              <w:left w:val="single" w:color="auto" w:sz="4" w:space="0"/>
              <w:bottom w:val="single" w:color="auto" w:sz="4" w:space="0"/>
              <w:right w:val="single" w:color="auto" w:sz="4" w:space="0"/>
            </w:tcBorders>
            <w:shd w:val="clear" w:color="000000" w:fill="FFFFFF"/>
            <w:vAlign w:val="center"/>
          </w:tcPr>
          <w:p w14:paraId="5E6C9680">
            <w:pPr>
              <w:jc w:val="left"/>
              <w:rPr>
                <w:rFonts w:ascii="宋体" w:hAnsi="宋体" w:cs="宋体"/>
                <w:bCs/>
                <w:color w:val="auto"/>
                <w:sz w:val="24"/>
                <w:highlight w:val="none"/>
              </w:rPr>
            </w:pPr>
            <w:r>
              <w:rPr>
                <w:rFonts w:hint="eastAsia" w:ascii="宋体" w:hAnsi="宋体" w:cs="宋体"/>
                <w:color w:val="auto"/>
                <w:sz w:val="24"/>
                <w:highlight w:val="none"/>
              </w:rPr>
              <w:t>投标人综合实力</w:t>
            </w:r>
          </w:p>
        </w:tc>
        <w:tc>
          <w:tcPr>
            <w:tcW w:w="6246" w:type="dxa"/>
            <w:tcBorders>
              <w:top w:val="single" w:color="auto" w:sz="4" w:space="0"/>
              <w:left w:val="single" w:color="auto" w:sz="4" w:space="0"/>
              <w:bottom w:val="single" w:color="auto" w:sz="4" w:space="0"/>
              <w:right w:val="single" w:color="auto" w:sz="4" w:space="0"/>
            </w:tcBorders>
            <w:shd w:val="clear" w:color="000000" w:fill="FFFFFF"/>
            <w:vAlign w:val="center"/>
          </w:tcPr>
          <w:p w14:paraId="2E113890">
            <w:pPr>
              <w:pageBreakBefore w:val="0"/>
              <w:widowControl w:val="0"/>
              <w:kinsoku/>
              <w:wordWrap/>
              <w:overflowPunct/>
              <w:topLinePunct w:val="0"/>
              <w:autoSpaceDE/>
              <w:autoSpaceDN/>
              <w:bidi w:val="0"/>
              <w:spacing w:line="240" w:lineRule="auto"/>
              <w:jc w:val="left"/>
              <w:textAlignment w:val="auto"/>
              <w:rPr>
                <w:rFonts w:hint="eastAsia" w:ascii="宋体" w:hAnsi="宋体" w:cs="宋体"/>
                <w:b w:val="0"/>
                <w:bCs w:val="0"/>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企业认证</w:t>
            </w:r>
            <w:r>
              <w:rPr>
                <w:rFonts w:hint="eastAsia" w:ascii="宋体" w:hAnsi="宋体" w:cs="宋体"/>
                <w:b/>
                <w:bCs/>
                <w:color w:val="auto"/>
                <w:kern w:val="0"/>
                <w:sz w:val="24"/>
                <w:highlight w:val="none"/>
                <w:lang w:bidi="ar"/>
              </w:rPr>
              <w:t>：</w:t>
            </w:r>
            <w:r>
              <w:rPr>
                <w:rFonts w:hint="eastAsia" w:ascii="宋体" w:hAnsi="宋体" w:cs="宋体"/>
                <w:b w:val="0"/>
                <w:bCs w:val="0"/>
                <w:color w:val="auto"/>
                <w:kern w:val="0"/>
                <w:sz w:val="24"/>
                <w:highlight w:val="none"/>
                <w:lang w:val="en-US" w:eastAsia="zh-CN" w:bidi="ar"/>
              </w:rPr>
              <w:t>投标产品制造商具有质量管理体系认证证书、环境管理体系认证证书、职业健康安全管理体系认证证书等情况进行打分，每具备1个得1分，最高得3分。</w:t>
            </w:r>
          </w:p>
          <w:p w14:paraId="0DF481C9">
            <w:pPr>
              <w:pageBreakBefore w:val="0"/>
              <w:widowControl w:val="0"/>
              <w:kinsoku/>
              <w:wordWrap/>
              <w:overflowPunct/>
              <w:topLinePunct w:val="0"/>
              <w:autoSpaceDE/>
              <w:autoSpaceDN/>
              <w:bidi w:val="0"/>
              <w:spacing w:line="240" w:lineRule="auto"/>
              <w:jc w:val="left"/>
              <w:textAlignment w:val="auto"/>
              <w:rPr>
                <w:rFonts w:hint="eastAsia" w:ascii="宋体" w:hAnsi="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注：</w:t>
            </w:r>
          </w:p>
          <w:p w14:paraId="45F5C8BC">
            <w:pPr>
              <w:pageBreakBefore w:val="0"/>
              <w:widowControl w:val="0"/>
              <w:kinsoku/>
              <w:wordWrap/>
              <w:overflowPunct/>
              <w:topLinePunct w:val="0"/>
              <w:autoSpaceDE/>
              <w:autoSpaceDN/>
              <w:bidi w:val="0"/>
              <w:spacing w:line="240" w:lineRule="auto"/>
              <w:jc w:val="left"/>
              <w:textAlignment w:val="auto"/>
              <w:rPr>
                <w:rFonts w:hint="eastAsia" w:ascii="宋体" w:hAnsi="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1、所有证书必须真实、合规，在有效期内。</w:t>
            </w:r>
          </w:p>
          <w:p w14:paraId="50369653">
            <w:pPr>
              <w:pageBreakBefore w:val="0"/>
              <w:widowControl w:val="0"/>
              <w:kinsoku/>
              <w:wordWrap/>
              <w:overflowPunct/>
              <w:topLinePunct w:val="0"/>
              <w:autoSpaceDE/>
              <w:autoSpaceDN/>
              <w:bidi w:val="0"/>
              <w:spacing w:line="240" w:lineRule="auto"/>
              <w:jc w:val="left"/>
              <w:textAlignment w:val="auto"/>
              <w:rPr>
                <w:rFonts w:hint="eastAsia" w:ascii="宋体" w:hAnsi="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2、响应文件中须提供清晰可辨的证书彩色扫描件，同时提供全国认证认可信息公共服务平台证书查询截图，否则不得分。</w:t>
            </w:r>
          </w:p>
          <w:p w14:paraId="0D61E018">
            <w:pPr>
              <w:pageBreakBefore w:val="0"/>
              <w:widowControl w:val="0"/>
              <w:kinsoku/>
              <w:wordWrap/>
              <w:overflowPunct/>
              <w:topLinePunct w:val="0"/>
              <w:autoSpaceDE/>
              <w:autoSpaceDN/>
              <w:bidi w:val="0"/>
              <w:spacing w:line="240" w:lineRule="auto"/>
              <w:jc w:val="left"/>
              <w:textAlignment w:val="auto"/>
              <w:rPr>
                <w:rFonts w:ascii="宋体" w:hAnsi="宋体" w:cs="宋体"/>
                <w:color w:val="auto"/>
                <w:sz w:val="24"/>
                <w:highlight w:val="none"/>
              </w:rPr>
            </w:pPr>
            <w:r>
              <w:rPr>
                <w:rFonts w:hint="eastAsia" w:ascii="宋体" w:hAnsi="宋体" w:cs="宋体"/>
                <w:b/>
                <w:bCs/>
                <w:color w:val="auto"/>
                <w:kern w:val="0"/>
                <w:sz w:val="24"/>
                <w:highlight w:val="none"/>
                <w:lang w:val="en-US" w:eastAsia="zh-CN" w:bidi="ar"/>
              </w:rPr>
              <w:t>3、如供应商提供的证书扫描件因模糊不清或一些影响评分的重要内容缺失或不够明确而造成</w:t>
            </w:r>
            <w:r>
              <w:rPr>
                <w:rFonts w:hint="eastAsia" w:ascii="宋体" w:hAnsi="宋体" w:cs="宋体"/>
                <w:b/>
                <w:bCs/>
                <w:color w:val="auto"/>
                <w:sz w:val="24"/>
                <w:highlight w:val="none"/>
                <w:lang w:val="en-US" w:eastAsia="zh-CN"/>
              </w:rPr>
              <w:t>评标委员会</w:t>
            </w:r>
            <w:r>
              <w:rPr>
                <w:rFonts w:hint="eastAsia" w:ascii="宋体" w:hAnsi="宋体" w:cs="宋体"/>
                <w:b/>
                <w:bCs/>
                <w:color w:val="auto"/>
                <w:kern w:val="0"/>
                <w:sz w:val="24"/>
                <w:highlight w:val="none"/>
                <w:lang w:val="en-US" w:eastAsia="zh-CN" w:bidi="ar"/>
              </w:rPr>
              <w:t>在评审时做出对供应商不利的评审由供应商自行承担。</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6FF4FD60">
            <w:pPr>
              <w:pageBreakBefore w:val="0"/>
              <w:widowControl w:val="0"/>
              <w:kinsoku/>
              <w:wordWrap/>
              <w:overflowPunct/>
              <w:topLinePunct w:val="0"/>
              <w:autoSpaceDE/>
              <w:autoSpaceDN/>
              <w:bidi w:val="0"/>
              <w:spacing w:line="240" w:lineRule="auto"/>
              <w:jc w:val="center"/>
              <w:textAlignment w:val="auto"/>
              <w:rPr>
                <w:rFonts w:ascii="宋体" w:hAnsi="宋体" w:cs="宋体"/>
                <w:color w:val="auto"/>
                <w:kern w:val="0"/>
                <w:sz w:val="24"/>
                <w:highlight w:val="none"/>
                <w:lang w:bidi="ar"/>
              </w:rPr>
            </w:pPr>
            <w:r>
              <w:rPr>
                <w:rFonts w:hint="eastAsia" w:ascii="宋体" w:hAnsi="宋体" w:cs="宋体"/>
                <w:color w:val="auto"/>
                <w:kern w:val="0"/>
                <w:sz w:val="24"/>
                <w:highlight w:val="none"/>
                <w:lang w:bidi="ar"/>
              </w:rPr>
              <w:t>0-</w:t>
            </w:r>
            <w:r>
              <w:rPr>
                <w:rFonts w:hint="eastAsia" w:ascii="宋体" w:hAnsi="宋体" w:cs="宋体"/>
                <w:color w:val="auto"/>
                <w:kern w:val="0"/>
                <w:sz w:val="24"/>
                <w:highlight w:val="none"/>
                <w:lang w:val="en-US" w:eastAsia="zh-CN" w:bidi="ar"/>
              </w:rPr>
              <w:t>3</w:t>
            </w:r>
          </w:p>
        </w:tc>
      </w:tr>
      <w:tr w14:paraId="7B0EAB87">
        <w:tblPrEx>
          <w:tblCellMar>
            <w:top w:w="0" w:type="dxa"/>
            <w:left w:w="108" w:type="dxa"/>
            <w:bottom w:w="0" w:type="dxa"/>
            <w:right w:w="108" w:type="dxa"/>
          </w:tblCellMar>
        </w:tblPrEx>
        <w:trPr>
          <w:trHeight w:val="2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569154A9">
            <w:pPr>
              <w:jc w:val="center"/>
              <w:rPr>
                <w:rFonts w:ascii="宋体" w:hAnsi="宋体" w:cs="宋体"/>
                <w:color w:val="auto"/>
                <w:sz w:val="24"/>
                <w:highlight w:val="none"/>
              </w:rPr>
            </w:pPr>
            <w:r>
              <w:rPr>
                <w:rFonts w:hint="eastAsia" w:ascii="宋体" w:hAnsi="宋体" w:cs="宋体"/>
                <w:color w:val="auto"/>
                <w:sz w:val="24"/>
                <w:highlight w:val="none"/>
                <w:lang w:val="en-US" w:eastAsia="zh-CN"/>
              </w:rPr>
              <w:t>2</w:t>
            </w:r>
          </w:p>
        </w:tc>
        <w:tc>
          <w:tcPr>
            <w:tcW w:w="1301" w:type="dxa"/>
            <w:tcBorders>
              <w:top w:val="single" w:color="auto" w:sz="4" w:space="0"/>
              <w:left w:val="single" w:color="auto" w:sz="4" w:space="0"/>
              <w:bottom w:val="single" w:color="auto" w:sz="4" w:space="0"/>
              <w:right w:val="single" w:color="auto" w:sz="4" w:space="0"/>
            </w:tcBorders>
            <w:shd w:val="clear" w:color="000000" w:fill="FFFFFF"/>
            <w:vAlign w:val="center"/>
          </w:tcPr>
          <w:p w14:paraId="2069BF9F">
            <w:pPr>
              <w:jc w:val="center"/>
              <w:rPr>
                <w:rFonts w:ascii="宋体" w:hAnsi="宋体" w:cs="宋体"/>
                <w:color w:val="auto"/>
                <w:sz w:val="24"/>
                <w:highlight w:val="none"/>
              </w:rPr>
            </w:pPr>
            <w:r>
              <w:rPr>
                <w:rFonts w:hint="eastAsia" w:ascii="宋体" w:hAnsi="宋体" w:cs="宋体"/>
                <w:color w:val="auto"/>
                <w:sz w:val="24"/>
                <w:highlight w:val="none"/>
              </w:rPr>
              <w:t>投标人业绩</w:t>
            </w:r>
          </w:p>
        </w:tc>
        <w:tc>
          <w:tcPr>
            <w:tcW w:w="6246" w:type="dxa"/>
            <w:tcBorders>
              <w:top w:val="single" w:color="auto" w:sz="4" w:space="0"/>
              <w:left w:val="single" w:color="auto" w:sz="4" w:space="0"/>
              <w:bottom w:val="single" w:color="auto" w:sz="4" w:space="0"/>
              <w:right w:val="single" w:color="auto" w:sz="4" w:space="0"/>
            </w:tcBorders>
            <w:shd w:val="clear" w:color="000000" w:fill="FFFFFF"/>
            <w:vAlign w:val="center"/>
          </w:tcPr>
          <w:p w14:paraId="2F3BAD08">
            <w:pPr>
              <w:pageBreakBefore w:val="0"/>
              <w:widowControl w:val="0"/>
              <w:kinsoku/>
              <w:wordWrap/>
              <w:overflowPunct/>
              <w:topLinePunct w:val="0"/>
              <w:autoSpaceDE/>
              <w:autoSpaceDN/>
              <w:bidi w:val="0"/>
              <w:spacing w:line="240" w:lineRule="auto"/>
              <w:jc w:val="left"/>
              <w:textAlignment w:val="auto"/>
              <w:rPr>
                <w:rFonts w:ascii="宋体" w:hAnsi="宋体" w:cs="宋体"/>
                <w:color w:val="auto"/>
                <w:sz w:val="24"/>
                <w:highlight w:val="none"/>
              </w:rPr>
            </w:pPr>
            <w:r>
              <w:rPr>
                <w:rFonts w:hint="eastAsia" w:ascii="宋体" w:hAnsi="宋体" w:cs="宋体"/>
                <w:color w:val="auto"/>
                <w:sz w:val="24"/>
                <w:highlight w:val="none"/>
              </w:rPr>
              <w:t>提供202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年1月1日以来(以合同签订时间为准)</w:t>
            </w:r>
            <w:r>
              <w:rPr>
                <w:rFonts w:hint="eastAsia" w:ascii="宋体" w:hAnsi="宋体" w:cs="宋体"/>
                <w:color w:val="auto"/>
                <w:sz w:val="24"/>
                <w:highlight w:val="none"/>
                <w:lang w:val="en-US" w:eastAsia="zh-CN"/>
              </w:rPr>
              <w:t>承担过学校塑胶跑道新建或改造</w:t>
            </w:r>
            <w:r>
              <w:rPr>
                <w:rFonts w:hint="eastAsia" w:ascii="宋体" w:hAnsi="宋体" w:cs="宋体"/>
                <w:color w:val="auto"/>
                <w:sz w:val="24"/>
                <w:highlight w:val="none"/>
              </w:rPr>
              <w:t>项目</w:t>
            </w:r>
            <w:r>
              <w:rPr>
                <w:rFonts w:hint="eastAsia" w:ascii="宋体" w:hAnsi="宋体" w:cs="宋体"/>
                <w:color w:val="auto"/>
                <w:sz w:val="24"/>
                <w:highlight w:val="none"/>
                <w:lang w:val="en-US" w:eastAsia="zh-CN"/>
              </w:rPr>
              <w:t>等类似的</w:t>
            </w:r>
            <w:r>
              <w:rPr>
                <w:rFonts w:hint="eastAsia" w:ascii="宋体" w:hAnsi="宋体" w:cs="宋体"/>
                <w:color w:val="auto"/>
                <w:sz w:val="24"/>
                <w:highlight w:val="none"/>
              </w:rPr>
              <w:t>合同业绩，每个得1分，最高得3分。</w:t>
            </w:r>
          </w:p>
          <w:p w14:paraId="78C95AE8">
            <w:pPr>
              <w:pageBreakBefore w:val="0"/>
              <w:widowControl w:val="0"/>
              <w:kinsoku/>
              <w:wordWrap/>
              <w:overflowPunct/>
              <w:topLinePunct w:val="0"/>
              <w:autoSpaceDE/>
              <w:autoSpaceDN/>
              <w:bidi w:val="0"/>
              <w:spacing w:line="240" w:lineRule="auto"/>
              <w:jc w:val="left"/>
              <w:textAlignment w:val="auto"/>
              <w:rPr>
                <w:rFonts w:hint="eastAsia" w:ascii="宋体" w:hAnsi="宋体" w:cs="宋体"/>
                <w:color w:val="auto"/>
                <w:sz w:val="24"/>
                <w:highlight w:val="none"/>
              </w:rPr>
            </w:pPr>
            <w:r>
              <w:rPr>
                <w:rFonts w:hint="eastAsia" w:ascii="宋体" w:hAnsi="宋体" w:cs="宋体"/>
                <w:color w:val="auto"/>
                <w:sz w:val="24"/>
                <w:highlight w:val="none"/>
              </w:rPr>
              <w:t>备注：</w:t>
            </w:r>
          </w:p>
          <w:p w14:paraId="2520748E">
            <w:pPr>
              <w:pageBreakBefore w:val="0"/>
              <w:widowControl w:val="0"/>
              <w:kinsoku/>
              <w:wordWrap/>
              <w:overflowPunct/>
              <w:topLinePunct w:val="0"/>
              <w:autoSpaceDE/>
              <w:autoSpaceDN/>
              <w:bidi w:val="0"/>
              <w:spacing w:line="24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p>
          <w:p w14:paraId="5D742227">
            <w:pPr>
              <w:pageBreakBefore w:val="0"/>
              <w:widowControl w:val="0"/>
              <w:kinsoku/>
              <w:wordWrap/>
              <w:overflowPunct/>
              <w:topLinePunct w:val="0"/>
              <w:autoSpaceDE/>
              <w:autoSpaceDN/>
              <w:bidi w:val="0"/>
              <w:spacing w:line="24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1、合同业绩须为本次投标人的业绩，投标人的独立法人子公司、参股公司的业绩均不予认可。</w:t>
            </w:r>
          </w:p>
          <w:p w14:paraId="7B075B98">
            <w:pPr>
              <w:pageBreakBefore w:val="0"/>
              <w:widowControl w:val="0"/>
              <w:kinsoku/>
              <w:wordWrap/>
              <w:overflowPunct/>
              <w:topLinePunct w:val="0"/>
              <w:autoSpaceDE/>
              <w:autoSpaceDN/>
              <w:bidi w:val="0"/>
              <w:spacing w:line="24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2、投标文件中须提供清晰可辨的合同扫描件及每个合同业绩1张发票扫描件，未提供齐全上述资料不得分。</w:t>
            </w:r>
          </w:p>
          <w:p w14:paraId="1FA47686">
            <w:pPr>
              <w:pageBreakBefore w:val="0"/>
              <w:widowControl w:val="0"/>
              <w:kinsoku/>
              <w:wordWrap/>
              <w:overflowPunct/>
              <w:topLinePunct w:val="0"/>
              <w:autoSpaceDE/>
              <w:autoSpaceDN/>
              <w:bidi w:val="0"/>
              <w:spacing w:line="24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3、如投标人提供的合同扫描件或发票扫描件因模糊不清或一些影响评分的重要内容缺失或不够明确而造成评标委员会在评审时做出对投标人不利的评审由投标人自行承担。</w:t>
            </w:r>
          </w:p>
          <w:p w14:paraId="0DE76E03">
            <w:pPr>
              <w:pageBreakBefore w:val="0"/>
              <w:widowControl w:val="0"/>
              <w:kinsoku/>
              <w:wordWrap/>
              <w:overflowPunct/>
              <w:topLinePunct w:val="0"/>
              <w:autoSpaceDE/>
              <w:autoSpaceDN/>
              <w:bidi w:val="0"/>
              <w:spacing w:line="240" w:lineRule="auto"/>
              <w:textAlignment w:val="auto"/>
              <w:rPr>
                <w:rFonts w:ascii="宋体" w:hAnsi="宋体" w:cs="宋体"/>
                <w:b/>
                <w:color w:val="auto"/>
                <w:sz w:val="24"/>
                <w:highlight w:val="none"/>
              </w:rPr>
            </w:pPr>
            <w:r>
              <w:rPr>
                <w:rFonts w:hint="eastAsia" w:ascii="宋体" w:hAnsi="宋体" w:eastAsia="宋体" w:cs="宋体"/>
                <w:b/>
                <w:bCs/>
                <w:color w:val="auto"/>
                <w:sz w:val="24"/>
                <w:highlight w:val="none"/>
              </w:rPr>
              <w:t>4、评标过程中如须核实发票网上信息的，投标人需提供配合。</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6864B8B3">
            <w:pPr>
              <w:pageBreakBefore w:val="0"/>
              <w:widowControl w:val="0"/>
              <w:kinsoku/>
              <w:wordWrap/>
              <w:overflowPunct/>
              <w:topLinePunct w:val="0"/>
              <w:autoSpaceDE/>
              <w:autoSpaceDN/>
              <w:bidi w:val="0"/>
              <w:spacing w:line="24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0-</w:t>
            </w:r>
            <w:r>
              <w:rPr>
                <w:rFonts w:hint="eastAsia" w:ascii="宋体" w:hAnsi="宋体" w:cs="宋体"/>
                <w:color w:val="auto"/>
                <w:sz w:val="24"/>
                <w:highlight w:val="none"/>
                <w:lang w:val="en-US" w:eastAsia="zh-CN"/>
              </w:rPr>
              <w:t>3</w:t>
            </w:r>
          </w:p>
        </w:tc>
      </w:tr>
      <w:tr w14:paraId="3CEC082D">
        <w:tblPrEx>
          <w:tblCellMar>
            <w:top w:w="0" w:type="dxa"/>
            <w:left w:w="108" w:type="dxa"/>
            <w:bottom w:w="0" w:type="dxa"/>
            <w:right w:w="108" w:type="dxa"/>
          </w:tblCellMar>
        </w:tblPrEx>
        <w:trPr>
          <w:trHeight w:val="2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7CD74796">
            <w:pPr>
              <w:jc w:val="center"/>
              <w:rPr>
                <w:rFonts w:ascii="宋体" w:hAnsi="宋体" w:cs="宋体"/>
                <w:color w:val="auto"/>
                <w:sz w:val="24"/>
                <w:highlight w:val="none"/>
              </w:rPr>
            </w:pPr>
            <w:r>
              <w:rPr>
                <w:rFonts w:hint="eastAsia" w:ascii="宋体" w:hAnsi="宋体" w:cs="宋体"/>
                <w:color w:val="auto"/>
                <w:sz w:val="24"/>
                <w:highlight w:val="none"/>
                <w:lang w:val="en-US" w:eastAsia="zh-CN"/>
              </w:rPr>
              <w:t>3</w:t>
            </w:r>
          </w:p>
        </w:tc>
        <w:tc>
          <w:tcPr>
            <w:tcW w:w="1301" w:type="dxa"/>
            <w:tcBorders>
              <w:top w:val="single" w:color="auto" w:sz="4" w:space="0"/>
              <w:left w:val="single" w:color="auto" w:sz="4" w:space="0"/>
              <w:bottom w:val="single" w:color="auto" w:sz="4" w:space="0"/>
              <w:right w:val="single" w:color="auto" w:sz="4" w:space="0"/>
            </w:tcBorders>
            <w:shd w:val="clear" w:color="000000" w:fill="FFFFFF"/>
            <w:vAlign w:val="center"/>
          </w:tcPr>
          <w:p w14:paraId="69E234E9">
            <w:pPr>
              <w:jc w:val="center"/>
              <w:rPr>
                <w:rFonts w:ascii="宋体" w:hAnsi="宋体" w:cs="宋体"/>
                <w:color w:val="auto"/>
                <w:sz w:val="24"/>
                <w:highlight w:val="none"/>
              </w:rPr>
            </w:pPr>
            <w:r>
              <w:rPr>
                <w:rFonts w:hint="eastAsia" w:ascii="宋体" w:hAnsi="宋体" w:cs="宋体"/>
                <w:color w:val="auto"/>
                <w:sz w:val="24"/>
                <w:highlight w:val="none"/>
                <w:lang w:val="en-US" w:eastAsia="zh-CN"/>
              </w:rPr>
              <w:t>投标产品环保认证</w:t>
            </w:r>
          </w:p>
        </w:tc>
        <w:tc>
          <w:tcPr>
            <w:tcW w:w="6246" w:type="dxa"/>
            <w:tcBorders>
              <w:top w:val="single" w:color="auto" w:sz="4" w:space="0"/>
              <w:left w:val="nil"/>
              <w:bottom w:val="single" w:color="auto" w:sz="4" w:space="0"/>
              <w:right w:val="single" w:color="auto" w:sz="4" w:space="0"/>
            </w:tcBorders>
            <w:shd w:val="clear" w:color="000000" w:fill="FFFFFF"/>
            <w:vAlign w:val="center"/>
          </w:tcPr>
          <w:p w14:paraId="632447D2">
            <w:pPr>
              <w:pageBreakBefore w:val="0"/>
              <w:widowControl w:val="0"/>
              <w:kinsoku/>
              <w:wordWrap/>
              <w:overflowPunct/>
              <w:topLinePunct w:val="0"/>
              <w:autoSpaceDE/>
              <w:autoSpaceDN/>
              <w:bidi w:val="0"/>
              <w:spacing w:line="240" w:lineRule="auto"/>
              <w:textAlignment w:val="auto"/>
              <w:rPr>
                <w:rFonts w:hint="eastAsia" w:ascii="宋体" w:hAnsi="宋体" w:cs="宋体"/>
                <w:b w:val="0"/>
                <w:bCs/>
                <w:color w:val="auto"/>
                <w:sz w:val="24"/>
                <w:highlight w:val="none"/>
                <w:lang w:val="en-US" w:eastAsia="zh-CN"/>
              </w:rPr>
            </w:pPr>
            <w:r>
              <w:rPr>
                <w:rFonts w:hint="eastAsia" w:ascii="宋体" w:hAnsi="宋体" w:cs="宋体"/>
                <w:color w:val="auto"/>
                <w:sz w:val="24"/>
                <w:highlight w:val="none"/>
                <w:lang w:val="en-US" w:eastAsia="zh-CN"/>
              </w:rPr>
              <w:t>具有</w:t>
            </w:r>
            <w:r>
              <w:rPr>
                <w:rFonts w:hint="eastAsia" w:ascii="宋体" w:hAnsi="宋体" w:cs="宋体"/>
                <w:b w:val="0"/>
                <w:bCs/>
                <w:color w:val="auto"/>
                <w:sz w:val="24"/>
                <w:highlight w:val="none"/>
                <w:lang w:val="en-US" w:eastAsia="zh-CN"/>
              </w:rPr>
              <w:t>中国环境标志产品认证证书的，要求认证产品包含本次招标清单中的内容（EPDM混合型胶粒塑胶面层和硅PU面层的）每个内容得2分，最高得4分。</w:t>
            </w:r>
          </w:p>
          <w:p w14:paraId="34AFDEAD">
            <w:pPr>
              <w:pageBreakBefore w:val="0"/>
              <w:widowControl w:val="0"/>
              <w:kinsoku/>
              <w:wordWrap/>
              <w:overflowPunct/>
              <w:topLinePunct w:val="0"/>
              <w:autoSpaceDE/>
              <w:autoSpaceDN/>
              <w:bidi w:val="0"/>
              <w:spacing w:line="240" w:lineRule="auto"/>
              <w:textAlignment w:val="auto"/>
              <w:rPr>
                <w:rFonts w:ascii="宋体" w:hAnsi="宋体" w:cs="宋体"/>
                <w:bCs/>
                <w:color w:val="auto"/>
                <w:sz w:val="24"/>
                <w:highlight w:val="none"/>
              </w:rPr>
            </w:pPr>
            <w:r>
              <w:rPr>
                <w:rFonts w:hint="eastAsia" w:ascii="宋体" w:hAnsi="宋体" w:cs="宋体"/>
                <w:b w:val="0"/>
                <w:bCs w:val="0"/>
                <w:color w:val="auto"/>
                <w:sz w:val="24"/>
                <w:highlight w:val="none"/>
                <w:lang w:val="en-US" w:eastAsia="zh-CN"/>
              </w:rPr>
              <w:t>（认证证书上的名称与上述评分标准中名称不一致但内容实质相同的视作等同）。</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02B6E140">
            <w:pPr>
              <w:pageBreakBefore w:val="0"/>
              <w:widowControl w:val="0"/>
              <w:kinsoku/>
              <w:wordWrap/>
              <w:overflowPunct/>
              <w:topLinePunct w:val="0"/>
              <w:autoSpaceDE/>
              <w:autoSpaceDN/>
              <w:bidi w:val="0"/>
              <w:spacing w:line="240" w:lineRule="auto"/>
              <w:jc w:val="center"/>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0-4</w:t>
            </w:r>
          </w:p>
        </w:tc>
      </w:tr>
      <w:tr w14:paraId="4CF71101">
        <w:tblPrEx>
          <w:tblCellMar>
            <w:top w:w="0" w:type="dxa"/>
            <w:left w:w="108" w:type="dxa"/>
            <w:bottom w:w="0" w:type="dxa"/>
            <w:right w:w="108" w:type="dxa"/>
          </w:tblCellMar>
        </w:tblPrEx>
        <w:trPr>
          <w:trHeight w:val="2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18FEB380">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4</w:t>
            </w:r>
          </w:p>
        </w:tc>
        <w:tc>
          <w:tcPr>
            <w:tcW w:w="1301" w:type="dxa"/>
            <w:tcBorders>
              <w:top w:val="single" w:color="auto" w:sz="4" w:space="0"/>
              <w:left w:val="single" w:color="auto" w:sz="4" w:space="0"/>
              <w:bottom w:val="single" w:color="auto" w:sz="4" w:space="0"/>
              <w:right w:val="single" w:color="auto" w:sz="4" w:space="0"/>
            </w:tcBorders>
            <w:shd w:val="clear" w:color="000000" w:fill="FFFFFF"/>
            <w:vAlign w:val="center"/>
          </w:tcPr>
          <w:p w14:paraId="58FB0FE4">
            <w:pPr>
              <w:jc w:val="center"/>
              <w:rPr>
                <w:rFonts w:hint="eastAsia" w:ascii="宋体" w:hAnsi="宋体" w:cs="宋体"/>
                <w:color w:val="auto"/>
                <w:sz w:val="24"/>
                <w:highlight w:val="none"/>
              </w:rPr>
            </w:pPr>
            <w:r>
              <w:rPr>
                <w:rFonts w:hint="eastAsia" w:ascii="宋体" w:hAnsi="宋体" w:cs="宋体"/>
                <w:color w:val="auto"/>
                <w:sz w:val="24"/>
                <w:highlight w:val="none"/>
              </w:rPr>
              <w:t>生产工艺</w:t>
            </w:r>
          </w:p>
        </w:tc>
        <w:tc>
          <w:tcPr>
            <w:tcW w:w="6246" w:type="dxa"/>
            <w:tcBorders>
              <w:top w:val="single" w:color="auto" w:sz="4" w:space="0"/>
              <w:left w:val="nil"/>
              <w:bottom w:val="single" w:color="auto" w:sz="4" w:space="0"/>
              <w:right w:val="single" w:color="auto" w:sz="4" w:space="0"/>
            </w:tcBorders>
            <w:shd w:val="clear" w:color="000000" w:fill="FFFFFF"/>
            <w:vAlign w:val="center"/>
          </w:tcPr>
          <w:p w14:paraId="717B49AB">
            <w:pPr>
              <w:pageBreakBefore w:val="0"/>
              <w:widowControl w:val="0"/>
              <w:kinsoku/>
              <w:wordWrap/>
              <w:overflowPunct/>
              <w:topLinePunct w:val="0"/>
              <w:autoSpaceDE/>
              <w:autoSpaceDN/>
              <w:bidi w:val="0"/>
              <w:spacing w:line="240" w:lineRule="auto"/>
              <w:textAlignment w:val="auto"/>
              <w:rPr>
                <w:rFonts w:ascii="宋体" w:hAnsi="宋体" w:cs="宋体"/>
                <w:color w:val="auto"/>
                <w:sz w:val="24"/>
                <w:highlight w:val="none"/>
              </w:rPr>
            </w:pPr>
            <w:r>
              <w:rPr>
                <w:rFonts w:hint="eastAsia" w:ascii="宋体" w:hAnsi="宋体" w:cs="宋体"/>
                <w:color w:val="auto"/>
                <w:sz w:val="24"/>
                <w:highlight w:val="none"/>
              </w:rPr>
              <w:t>投标人所投产品生产工艺的先进性、系统性、智能性、现代化水平等进行评分。（0-</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31BBE330">
            <w:pPr>
              <w:pageBreakBefore w:val="0"/>
              <w:widowControl w:val="0"/>
              <w:kinsoku/>
              <w:wordWrap/>
              <w:overflowPunct/>
              <w:topLinePunct w:val="0"/>
              <w:autoSpaceDE/>
              <w:autoSpaceDN/>
              <w:bidi w:val="0"/>
              <w:spacing w:line="240" w:lineRule="auto"/>
              <w:textAlignment w:val="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注：投标文件中须附生产线及设备清单、照片等相关证明材料扫描件并加盖投标人公章。</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33001907">
            <w:pPr>
              <w:pageBreakBefore w:val="0"/>
              <w:widowControl w:val="0"/>
              <w:kinsoku/>
              <w:wordWrap/>
              <w:overflowPunct/>
              <w:topLinePunct w:val="0"/>
              <w:autoSpaceDE/>
              <w:autoSpaceDN/>
              <w:bidi w:val="0"/>
              <w:spacing w:line="24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0-</w:t>
            </w:r>
            <w:r>
              <w:rPr>
                <w:rFonts w:hint="eastAsia" w:ascii="宋体" w:hAnsi="宋体" w:cs="宋体"/>
                <w:color w:val="auto"/>
                <w:sz w:val="24"/>
                <w:highlight w:val="none"/>
                <w:lang w:val="en-US" w:eastAsia="zh-CN"/>
              </w:rPr>
              <w:t>3</w:t>
            </w:r>
          </w:p>
        </w:tc>
      </w:tr>
      <w:tr w14:paraId="7AB7C4C2">
        <w:tblPrEx>
          <w:tblCellMar>
            <w:top w:w="0" w:type="dxa"/>
            <w:left w:w="108" w:type="dxa"/>
            <w:bottom w:w="0" w:type="dxa"/>
            <w:right w:w="108" w:type="dxa"/>
          </w:tblCellMar>
        </w:tblPrEx>
        <w:trPr>
          <w:trHeight w:val="23"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46027B78">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1301" w:type="dxa"/>
            <w:tcBorders>
              <w:top w:val="single" w:color="auto" w:sz="4" w:space="0"/>
              <w:left w:val="single" w:color="auto" w:sz="4" w:space="0"/>
              <w:bottom w:val="single" w:color="auto" w:sz="4" w:space="0"/>
              <w:right w:val="single" w:color="auto" w:sz="4" w:space="0"/>
            </w:tcBorders>
            <w:shd w:val="clear" w:color="000000" w:fill="FFFFFF"/>
            <w:vAlign w:val="center"/>
          </w:tcPr>
          <w:p w14:paraId="68478242">
            <w:pPr>
              <w:jc w:val="center"/>
              <w:rPr>
                <w:rFonts w:ascii="宋体" w:hAnsi="宋体" w:cs="宋体"/>
                <w:color w:val="auto"/>
                <w:sz w:val="24"/>
                <w:highlight w:val="none"/>
              </w:rPr>
            </w:pPr>
            <w:r>
              <w:rPr>
                <w:rFonts w:hint="eastAsia" w:ascii="宋体" w:hAnsi="宋体" w:cs="宋体"/>
                <w:color w:val="auto"/>
                <w:sz w:val="24"/>
                <w:highlight w:val="none"/>
                <w:lang w:val="en-US" w:eastAsia="zh-CN"/>
              </w:rPr>
              <w:t>原</w:t>
            </w:r>
            <w:r>
              <w:rPr>
                <w:rFonts w:hint="eastAsia" w:ascii="宋体" w:hAnsi="宋体" w:cs="宋体"/>
                <w:color w:val="auto"/>
                <w:sz w:val="24"/>
                <w:highlight w:val="none"/>
              </w:rPr>
              <w:t>材料及</w:t>
            </w:r>
            <w:r>
              <w:rPr>
                <w:rFonts w:hint="eastAsia" w:ascii="宋体" w:hAnsi="宋体" w:cs="宋体"/>
                <w:color w:val="auto"/>
                <w:sz w:val="24"/>
                <w:highlight w:val="none"/>
                <w:lang w:val="en-US" w:eastAsia="zh-CN"/>
              </w:rPr>
              <w:t>成品</w:t>
            </w:r>
            <w:r>
              <w:rPr>
                <w:rFonts w:hint="eastAsia" w:ascii="宋体" w:hAnsi="宋体" w:cs="宋体"/>
                <w:color w:val="auto"/>
                <w:sz w:val="24"/>
                <w:highlight w:val="none"/>
              </w:rPr>
              <w:t>检测</w:t>
            </w:r>
          </w:p>
        </w:tc>
        <w:tc>
          <w:tcPr>
            <w:tcW w:w="6246" w:type="dxa"/>
            <w:tcBorders>
              <w:top w:val="single" w:color="auto" w:sz="4" w:space="0"/>
              <w:left w:val="nil"/>
              <w:bottom w:val="single" w:color="auto" w:sz="4" w:space="0"/>
              <w:right w:val="single" w:color="auto" w:sz="4" w:space="0"/>
            </w:tcBorders>
            <w:shd w:val="clear" w:color="000000" w:fill="FFFFFF"/>
            <w:vAlign w:val="top"/>
          </w:tcPr>
          <w:p w14:paraId="1651E5ED">
            <w:pPr>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val="en-US" w:eastAsia="zh-CN"/>
              </w:rPr>
              <w:t>成品</w:t>
            </w:r>
            <w:r>
              <w:rPr>
                <w:rFonts w:hint="eastAsia" w:ascii="宋体" w:hAnsi="宋体" w:eastAsia="宋体" w:cs="宋体"/>
                <w:b/>
                <w:bCs/>
                <w:color w:val="auto"/>
                <w:sz w:val="24"/>
                <w:szCs w:val="24"/>
              </w:rPr>
              <w:t>检测报告：</w:t>
            </w:r>
            <w:r>
              <w:rPr>
                <w:rFonts w:hint="eastAsia" w:ascii="宋体" w:hAnsi="宋体" w:eastAsia="宋体" w:cs="宋体"/>
                <w:color w:val="auto"/>
                <w:sz w:val="24"/>
                <w:szCs w:val="24"/>
              </w:rPr>
              <w:t>提供由</w:t>
            </w: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rPr>
              <w:t>送检的EPDM混合型胶粒塑胶面层</w:t>
            </w:r>
            <w:r>
              <w:rPr>
                <w:rFonts w:hint="eastAsia" w:ascii="宋体" w:hAnsi="宋体" w:eastAsia="宋体" w:cs="宋体"/>
                <w:color w:val="auto"/>
                <w:sz w:val="24"/>
                <w:szCs w:val="24"/>
                <w:lang w:val="en-US" w:eastAsia="zh-CN"/>
              </w:rPr>
              <w:t>及</w:t>
            </w:r>
            <w:r>
              <w:rPr>
                <w:rFonts w:hint="eastAsia" w:ascii="宋体" w:hAnsi="宋体" w:eastAsia="宋体" w:cs="宋体"/>
                <w:color w:val="auto"/>
                <w:sz w:val="24"/>
                <w:szCs w:val="24"/>
              </w:rPr>
              <w:t>硅PU面层经第三方检测机构（具备CMA国家计量认证）出</w:t>
            </w:r>
            <w:r>
              <w:rPr>
                <w:rFonts w:hint="eastAsia" w:ascii="宋体" w:hAnsi="宋体" w:eastAsia="宋体" w:cs="宋体"/>
                <w:b w:val="0"/>
                <w:bCs/>
                <w:color w:val="auto"/>
                <w:sz w:val="24"/>
                <w:highlight w:val="none"/>
                <w:lang w:val="en-US" w:eastAsia="zh-CN"/>
              </w:rPr>
              <w:t>具的检测报告，其检测内容须根据GB36246-2018《中小学合成材料面层运动场地》结合GB/T43564-2023《中小学合成材料面层田径场地》标准、GB/T43565-2023《中小学合成材料面层篮球场地》标准，指标（详见第二章招标需求第二项主要技术标准和规范）进行检测；检测结果判定结</w:t>
            </w:r>
            <w:r>
              <w:rPr>
                <w:rFonts w:hint="eastAsia" w:ascii="宋体" w:hAnsi="宋体" w:eastAsia="宋体" w:cs="宋体"/>
                <w:color w:val="auto"/>
                <w:sz w:val="24"/>
                <w:szCs w:val="24"/>
              </w:rPr>
              <w:t>论必须为合格</w:t>
            </w:r>
            <w:r>
              <w:rPr>
                <w:rFonts w:hint="eastAsia" w:ascii="宋体" w:hAnsi="宋体" w:eastAsia="宋体" w:cs="宋体"/>
                <w:color w:val="auto"/>
                <w:sz w:val="24"/>
                <w:szCs w:val="24"/>
                <w:lang w:eastAsia="zh-CN"/>
              </w:rPr>
              <w:t>；</w:t>
            </w:r>
          </w:p>
          <w:p w14:paraId="1E3C8D4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1）“EPDM混合型胶粒塑胶面层”的化学</w:t>
            </w:r>
            <w:r>
              <w:rPr>
                <w:rFonts w:hint="eastAsia" w:ascii="宋体" w:hAnsi="宋体" w:eastAsia="宋体" w:cs="宋体"/>
                <w:color w:val="auto"/>
                <w:sz w:val="24"/>
                <w:szCs w:val="24"/>
                <w:lang w:val="en-US" w:eastAsia="zh-CN"/>
              </w:rPr>
              <w:t>性能</w:t>
            </w:r>
            <w:r>
              <w:rPr>
                <w:rFonts w:hint="eastAsia" w:ascii="宋体" w:hAnsi="宋体" w:eastAsia="宋体" w:cs="宋体"/>
                <w:color w:val="auto"/>
                <w:sz w:val="24"/>
                <w:szCs w:val="24"/>
              </w:rPr>
              <w:t>检测报告</w:t>
            </w:r>
            <w:r>
              <w:rPr>
                <w:rFonts w:hint="eastAsia" w:ascii="宋体" w:hAnsi="宋体" w:eastAsia="宋体" w:cs="宋体"/>
                <w:color w:val="auto"/>
                <w:sz w:val="24"/>
                <w:szCs w:val="24"/>
                <w:lang w:eastAsia="zh-CN"/>
              </w:rPr>
              <w:t>全项</w:t>
            </w:r>
            <w:r>
              <w:rPr>
                <w:rFonts w:hint="eastAsia" w:ascii="宋体" w:hAnsi="宋体" w:eastAsia="宋体" w:cs="宋体"/>
                <w:color w:val="auto"/>
                <w:sz w:val="24"/>
                <w:szCs w:val="24"/>
              </w:rPr>
              <w:t>（2分）；</w:t>
            </w:r>
          </w:p>
          <w:p w14:paraId="15FD0E19">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2）“EPDM混合型胶粒塑胶面层”的</w:t>
            </w:r>
            <w:r>
              <w:rPr>
                <w:rFonts w:hint="eastAsia" w:ascii="宋体" w:hAnsi="宋体" w:eastAsia="宋体" w:cs="宋体"/>
                <w:b w:val="0"/>
                <w:bCs w:val="0"/>
                <w:color w:val="auto"/>
                <w:kern w:val="0"/>
                <w:sz w:val="24"/>
                <w:szCs w:val="24"/>
                <w:highlight w:val="none"/>
                <w:lang w:val="en-US" w:eastAsia="zh-CN" w:bidi="ar-SA"/>
              </w:rPr>
              <w:t>物理机械性能检测报告</w:t>
            </w:r>
            <w:r>
              <w:rPr>
                <w:rFonts w:hint="eastAsia" w:ascii="宋体" w:hAnsi="宋体" w:eastAsia="宋体" w:cs="宋体"/>
                <w:color w:val="auto"/>
                <w:sz w:val="24"/>
                <w:szCs w:val="24"/>
                <w:lang w:eastAsia="zh-CN"/>
              </w:rPr>
              <w:t>全项</w:t>
            </w:r>
            <w:r>
              <w:rPr>
                <w:rFonts w:hint="eastAsia" w:ascii="宋体" w:hAnsi="宋体" w:eastAsia="宋体" w:cs="宋体"/>
                <w:color w:val="auto"/>
                <w:sz w:val="24"/>
                <w:szCs w:val="24"/>
              </w:rPr>
              <w:t>（2分）</w:t>
            </w:r>
            <w:r>
              <w:rPr>
                <w:rFonts w:hint="eastAsia" w:ascii="宋体" w:hAnsi="宋体" w:eastAsia="宋体" w:cs="宋体"/>
                <w:color w:val="auto"/>
                <w:sz w:val="24"/>
                <w:szCs w:val="24"/>
                <w:lang w:eastAsia="zh-CN"/>
              </w:rPr>
              <w:t>；</w:t>
            </w:r>
          </w:p>
          <w:p w14:paraId="187C73B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3）“硅PU面层”</w:t>
            </w:r>
            <w:r>
              <w:rPr>
                <w:rFonts w:hint="eastAsia" w:ascii="宋体" w:hAnsi="宋体" w:eastAsia="宋体" w:cs="宋体"/>
                <w:color w:val="auto"/>
                <w:sz w:val="24"/>
                <w:szCs w:val="24"/>
                <w:lang w:eastAsia="zh-CN"/>
              </w:rPr>
              <w:t>的</w:t>
            </w:r>
            <w:r>
              <w:rPr>
                <w:rFonts w:hint="eastAsia" w:ascii="宋体" w:hAnsi="宋体" w:eastAsia="宋体" w:cs="宋体"/>
                <w:color w:val="auto"/>
                <w:sz w:val="24"/>
                <w:szCs w:val="24"/>
              </w:rPr>
              <w:t>化学</w:t>
            </w:r>
            <w:r>
              <w:rPr>
                <w:rFonts w:hint="eastAsia" w:ascii="宋体" w:hAnsi="宋体" w:eastAsia="宋体" w:cs="宋体"/>
                <w:color w:val="auto"/>
                <w:sz w:val="24"/>
                <w:szCs w:val="24"/>
                <w:lang w:val="en-US" w:eastAsia="zh-CN"/>
              </w:rPr>
              <w:t>性能</w:t>
            </w:r>
            <w:r>
              <w:rPr>
                <w:rFonts w:hint="eastAsia" w:ascii="宋体" w:hAnsi="宋体" w:eastAsia="宋体" w:cs="宋体"/>
                <w:color w:val="auto"/>
                <w:sz w:val="24"/>
                <w:szCs w:val="24"/>
              </w:rPr>
              <w:t>检测报告</w:t>
            </w:r>
            <w:r>
              <w:rPr>
                <w:rFonts w:hint="eastAsia" w:ascii="宋体" w:hAnsi="宋体" w:eastAsia="宋体" w:cs="宋体"/>
                <w:color w:val="auto"/>
                <w:sz w:val="24"/>
                <w:szCs w:val="24"/>
                <w:lang w:eastAsia="zh-CN"/>
              </w:rPr>
              <w:t>全项</w:t>
            </w:r>
            <w:r>
              <w:rPr>
                <w:rFonts w:hint="eastAsia" w:ascii="宋体" w:hAnsi="宋体" w:eastAsia="宋体" w:cs="宋体"/>
                <w:color w:val="auto"/>
                <w:sz w:val="24"/>
                <w:szCs w:val="24"/>
              </w:rPr>
              <w:t>（2分）；</w:t>
            </w:r>
          </w:p>
          <w:p w14:paraId="351A0E0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4）“硅PU面层”</w:t>
            </w:r>
            <w:r>
              <w:rPr>
                <w:rFonts w:hint="eastAsia" w:ascii="宋体" w:hAnsi="宋体" w:eastAsia="宋体" w:cs="宋体"/>
                <w:color w:val="auto"/>
                <w:sz w:val="24"/>
                <w:szCs w:val="24"/>
                <w:lang w:eastAsia="zh-CN"/>
              </w:rPr>
              <w:t>的</w:t>
            </w:r>
            <w:r>
              <w:rPr>
                <w:rFonts w:hint="eastAsia" w:ascii="宋体" w:hAnsi="宋体" w:eastAsia="宋体" w:cs="宋体"/>
                <w:b w:val="0"/>
                <w:bCs w:val="0"/>
                <w:color w:val="auto"/>
                <w:kern w:val="0"/>
                <w:sz w:val="24"/>
                <w:szCs w:val="24"/>
                <w:highlight w:val="none"/>
                <w:lang w:val="en-US" w:eastAsia="zh-CN" w:bidi="ar-SA"/>
              </w:rPr>
              <w:t>物理机械性能检测报告</w:t>
            </w:r>
            <w:r>
              <w:rPr>
                <w:rFonts w:hint="eastAsia" w:ascii="宋体" w:hAnsi="宋体" w:eastAsia="宋体" w:cs="宋体"/>
                <w:color w:val="auto"/>
                <w:sz w:val="24"/>
                <w:szCs w:val="24"/>
                <w:lang w:eastAsia="zh-CN"/>
              </w:rPr>
              <w:t>全项</w:t>
            </w:r>
            <w:r>
              <w:rPr>
                <w:rFonts w:hint="eastAsia" w:ascii="宋体" w:hAnsi="宋体" w:eastAsia="宋体" w:cs="宋体"/>
                <w:color w:val="auto"/>
                <w:sz w:val="24"/>
                <w:szCs w:val="24"/>
              </w:rPr>
              <w:t>（2分）</w:t>
            </w:r>
            <w:r>
              <w:rPr>
                <w:rFonts w:hint="eastAsia" w:ascii="宋体" w:hAnsi="宋体" w:eastAsia="宋体" w:cs="宋体"/>
                <w:color w:val="auto"/>
                <w:sz w:val="24"/>
                <w:szCs w:val="24"/>
                <w:lang w:eastAsia="zh-CN"/>
              </w:rPr>
              <w:t>。</w:t>
            </w:r>
          </w:p>
          <w:p w14:paraId="29E0C8EC">
            <w:pPr>
              <w:pageBreakBefore w:val="0"/>
              <w:widowControl w:val="0"/>
              <w:kinsoku/>
              <w:wordWrap/>
              <w:overflowPunct/>
              <w:topLinePunct w:val="0"/>
              <w:autoSpaceDE/>
              <w:autoSpaceDN/>
              <w:bidi w:val="0"/>
              <w:spacing w:line="240" w:lineRule="auto"/>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w:t>
            </w:r>
          </w:p>
          <w:p w14:paraId="1AB279FE">
            <w:pPr>
              <w:pageBreakBefore w:val="0"/>
              <w:widowControl w:val="0"/>
              <w:kinsoku/>
              <w:wordWrap/>
              <w:overflowPunct/>
              <w:topLinePunct w:val="0"/>
              <w:autoSpaceDE/>
              <w:autoSpaceDN/>
              <w:bidi w:val="0"/>
              <w:spacing w:line="240" w:lineRule="auto"/>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 1、投标文件中须提供清晰可辨的检测报告扫描件，上述所有资料必须真实、合规，在有效期内，资料提供不齐全不得分。</w:t>
            </w:r>
          </w:p>
          <w:p w14:paraId="5B24012D">
            <w:pPr>
              <w:pageBreakBefore w:val="0"/>
              <w:widowControl w:val="0"/>
              <w:kinsoku/>
              <w:wordWrap/>
              <w:overflowPunct/>
              <w:topLinePunct w:val="0"/>
              <w:autoSpaceDE/>
              <w:autoSpaceDN/>
              <w:bidi w:val="0"/>
              <w:spacing w:line="240" w:lineRule="auto"/>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请投标人在检测报告扫描件中用红色线条标注出涉及到上述评分内容的检测内容，以方便评委进行更加优质、高效的评审。</w:t>
            </w:r>
          </w:p>
          <w:p w14:paraId="0B7064D9">
            <w:pPr>
              <w:pageBreakBefore w:val="0"/>
              <w:widowControl w:val="0"/>
              <w:kinsoku/>
              <w:wordWrap/>
              <w:overflowPunct/>
              <w:topLinePunct w:val="0"/>
              <w:autoSpaceDE/>
              <w:autoSpaceDN/>
              <w:bidi w:val="0"/>
              <w:spacing w:line="240" w:lineRule="auto"/>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2、检测报告中如产品名称与上述评分标准中名称不一致的，由评标委员会根据检测报告中相关实质性内容判定后给分（检测报告上的名称与上述评分标准中名称不一致但内容实质相同的视作等同）。</w:t>
            </w:r>
          </w:p>
          <w:p w14:paraId="0C1AD967">
            <w:pPr>
              <w:pageBreakBefore w:val="0"/>
              <w:widowControl w:val="0"/>
              <w:kinsoku/>
              <w:wordWrap/>
              <w:overflowPunct/>
              <w:topLinePunct w:val="0"/>
              <w:autoSpaceDE/>
              <w:autoSpaceDN/>
              <w:bidi w:val="0"/>
              <w:spacing w:line="240" w:lineRule="auto"/>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3、如投标人提供的报告扫描件因模糊不清或一些影响评分的重要内容缺失或不够明确而造成评标委员会在评审时做出对投标人不利的评审由投标人自行承担。</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3500CCA6">
            <w:pPr>
              <w:pageBreakBefore w:val="0"/>
              <w:widowControl w:val="0"/>
              <w:kinsoku/>
              <w:wordWrap/>
              <w:overflowPunct/>
              <w:topLinePunct w:val="0"/>
              <w:autoSpaceDE/>
              <w:autoSpaceDN/>
              <w:bidi w:val="0"/>
              <w:spacing w:line="240" w:lineRule="auto"/>
              <w:jc w:val="center"/>
              <w:textAlignment w:val="auto"/>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val="en-US" w:eastAsia="zh-CN"/>
              </w:rPr>
              <w:t>0-8</w:t>
            </w:r>
          </w:p>
        </w:tc>
      </w:tr>
      <w:tr w14:paraId="37044702">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704391D">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130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8100A70">
            <w:pPr>
              <w:jc w:val="center"/>
              <w:rPr>
                <w:rFonts w:hint="default" w:ascii="宋体" w:hAnsi="宋体" w:cs="宋体"/>
                <w:color w:val="auto"/>
                <w:sz w:val="24"/>
                <w:highlight w:val="none"/>
                <w:lang w:val="en-US" w:eastAsia="zh-CN"/>
              </w:rPr>
            </w:pPr>
            <w:r>
              <w:rPr>
                <w:rFonts w:hint="eastAsia" w:ascii="宋体" w:hAnsi="宋体" w:cs="宋体"/>
                <w:color w:val="auto"/>
                <w:sz w:val="24"/>
                <w:highlight w:val="none"/>
              </w:rPr>
              <w:t>样品</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56385BB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color w:val="auto"/>
                <w:sz w:val="24"/>
                <w:highlight w:val="none"/>
              </w:rPr>
            </w:pPr>
            <w:r>
              <w:rPr>
                <w:rFonts w:hint="eastAsia" w:ascii="宋体" w:hAnsi="宋体" w:cs="宋体"/>
                <w:color w:val="auto"/>
                <w:sz w:val="24"/>
                <w:highlight w:val="none"/>
              </w:rPr>
              <w:t>根据投标人提供的EPDM混合型胶粒塑胶面层样品，对颜色、颗粒均匀度、气味、质感等情况评标委员会进行独立打分（0-1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p>
          <w:p w14:paraId="525008B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1、颜色（0-</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7694B11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颗粒均匀度</w:t>
            </w:r>
            <w:r>
              <w:rPr>
                <w:rFonts w:hint="eastAsia" w:ascii="宋体" w:hAnsi="宋体" w:cs="宋体"/>
                <w:bCs/>
                <w:color w:val="auto"/>
                <w:sz w:val="24"/>
                <w:highlight w:val="none"/>
              </w:rPr>
              <w:t>（0-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1FD8577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color w:val="auto"/>
                <w:sz w:val="24"/>
                <w:highlight w:val="none"/>
              </w:rPr>
              <w:t>气味</w:t>
            </w:r>
            <w:r>
              <w:rPr>
                <w:rFonts w:hint="eastAsia" w:ascii="宋体" w:hAnsi="宋体" w:cs="宋体"/>
                <w:bCs/>
                <w:color w:val="auto"/>
                <w:sz w:val="24"/>
                <w:highlight w:val="none"/>
              </w:rPr>
              <w:t>（0-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624BB907">
            <w:pPr>
              <w:pStyle w:val="21"/>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cs="宋体"/>
                <w:color w:val="auto"/>
                <w:sz w:val="24"/>
                <w:highlight w:val="none"/>
                <w:lang w:val="en-US" w:eastAsia="zh-CN"/>
              </w:rPr>
            </w:pPr>
            <w:r>
              <w:rPr>
                <w:rFonts w:hint="eastAsia" w:ascii="宋体" w:hAnsi="宋体" w:cs="宋体"/>
                <w:bCs/>
                <w:color w:val="auto"/>
                <w:sz w:val="24"/>
                <w:highlight w:val="none"/>
              </w:rPr>
              <w:t>4、</w:t>
            </w:r>
            <w:r>
              <w:rPr>
                <w:rFonts w:hint="eastAsia" w:ascii="宋体" w:hAnsi="宋体" w:cs="宋体"/>
                <w:color w:val="auto"/>
                <w:sz w:val="24"/>
                <w:highlight w:val="none"/>
              </w:rPr>
              <w:t>质感</w:t>
            </w:r>
            <w:r>
              <w:rPr>
                <w:rFonts w:hint="eastAsia" w:ascii="宋体" w:hAnsi="宋体" w:cs="宋体"/>
                <w:bCs/>
                <w:color w:val="auto"/>
                <w:sz w:val="24"/>
                <w:highlight w:val="none"/>
              </w:rPr>
              <w:t>（0-</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452BA922">
            <w:pPr>
              <w:pageBreakBefore w:val="0"/>
              <w:widowControl w:val="0"/>
              <w:kinsoku/>
              <w:wordWrap/>
              <w:overflowPunct/>
              <w:topLinePunct w:val="0"/>
              <w:autoSpaceDE/>
              <w:autoSpaceDN/>
              <w:bidi w:val="0"/>
              <w:spacing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0-1</w:t>
            </w:r>
            <w:r>
              <w:rPr>
                <w:rFonts w:hint="eastAsia" w:ascii="宋体" w:hAnsi="宋体" w:cs="宋体"/>
                <w:color w:val="auto"/>
                <w:sz w:val="24"/>
                <w:highlight w:val="none"/>
                <w:lang w:val="en-US" w:eastAsia="zh-CN"/>
              </w:rPr>
              <w:t>0</w:t>
            </w:r>
          </w:p>
        </w:tc>
      </w:tr>
      <w:tr w14:paraId="6A6878E9">
        <w:tblPrEx>
          <w:tblCellMar>
            <w:top w:w="0" w:type="dxa"/>
            <w:left w:w="108" w:type="dxa"/>
            <w:bottom w:w="0" w:type="dxa"/>
            <w:right w:w="108" w:type="dxa"/>
          </w:tblCellMar>
        </w:tblPrEx>
        <w:trPr>
          <w:trHeight w:val="23"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A24E068">
            <w:pPr>
              <w:jc w:val="center"/>
              <w:rPr>
                <w:rFonts w:hint="eastAsia" w:ascii="宋体" w:hAnsi="宋体" w:eastAsia="宋体" w:cs="宋体"/>
                <w:color w:val="auto"/>
                <w:sz w:val="24"/>
                <w:highlight w:val="none"/>
                <w:lang w:eastAsia="zh-CN"/>
              </w:rPr>
            </w:pPr>
          </w:p>
        </w:tc>
        <w:tc>
          <w:tcPr>
            <w:tcW w:w="1301"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3C1D6F7">
            <w:pPr>
              <w:jc w:val="center"/>
              <w:rPr>
                <w:rFonts w:ascii="宋体" w:hAnsi="宋体" w:cs="宋体"/>
                <w:color w:val="auto"/>
                <w:sz w:val="24"/>
                <w:highlight w:val="none"/>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08439DD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color w:val="auto"/>
                <w:sz w:val="24"/>
                <w:highlight w:val="none"/>
              </w:rPr>
            </w:pPr>
            <w:r>
              <w:rPr>
                <w:rFonts w:hint="eastAsia" w:ascii="宋体" w:hAnsi="宋体" w:cs="宋体"/>
                <w:color w:val="auto"/>
                <w:sz w:val="24"/>
                <w:highlight w:val="none"/>
              </w:rPr>
              <w:t>根据投标人提供的</w:t>
            </w:r>
            <w:r>
              <w:rPr>
                <w:rFonts w:hint="eastAsia" w:ascii="宋体" w:hAnsi="宋体" w:cs="宋体"/>
                <w:color w:val="auto"/>
                <w:sz w:val="24"/>
                <w:highlight w:val="none"/>
                <w:lang w:eastAsia="zh-CN"/>
              </w:rPr>
              <w:t>硅</w:t>
            </w:r>
            <w:r>
              <w:rPr>
                <w:rFonts w:hint="eastAsia" w:ascii="宋体" w:hAnsi="宋体" w:cs="宋体"/>
                <w:color w:val="auto"/>
                <w:sz w:val="24"/>
                <w:highlight w:val="none"/>
                <w:lang w:val="en-US" w:eastAsia="zh-CN"/>
              </w:rPr>
              <w:t>PU面层</w:t>
            </w:r>
            <w:r>
              <w:rPr>
                <w:rFonts w:hint="eastAsia" w:ascii="宋体" w:hAnsi="宋体" w:cs="宋体"/>
                <w:color w:val="auto"/>
                <w:sz w:val="24"/>
                <w:highlight w:val="none"/>
              </w:rPr>
              <w:t>样品，对颜色、颗粒均匀度、气味、质感等情况评标委员会进行独立打分（0-1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p>
          <w:p w14:paraId="652248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1、颜色（0-</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65ECF87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颗粒均匀度</w:t>
            </w:r>
            <w:r>
              <w:rPr>
                <w:rFonts w:hint="eastAsia" w:ascii="宋体" w:hAnsi="宋体" w:cs="宋体"/>
                <w:bCs/>
                <w:color w:val="auto"/>
                <w:sz w:val="24"/>
                <w:highlight w:val="none"/>
              </w:rPr>
              <w:t>（0-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5F79E2C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color w:val="auto"/>
                <w:sz w:val="24"/>
                <w:highlight w:val="none"/>
              </w:rPr>
              <w:t>气味</w:t>
            </w:r>
            <w:r>
              <w:rPr>
                <w:rFonts w:hint="eastAsia" w:ascii="宋体" w:hAnsi="宋体" w:cs="宋体"/>
                <w:bCs/>
                <w:color w:val="auto"/>
                <w:sz w:val="24"/>
                <w:highlight w:val="none"/>
              </w:rPr>
              <w:t>（0-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p w14:paraId="1BB00DAC">
            <w:pPr>
              <w:pStyle w:val="21"/>
              <w:keepNext w:val="0"/>
              <w:keepLines w:val="0"/>
              <w:pageBreakBefore w:val="0"/>
              <w:widowControl w:val="0"/>
              <w:kinsoku/>
              <w:wordWrap/>
              <w:overflowPunct/>
              <w:topLinePunct w:val="0"/>
              <w:autoSpaceDE/>
              <w:autoSpaceDN/>
              <w:bidi w:val="0"/>
              <w:adjustRightInd/>
              <w:snapToGrid/>
              <w:spacing w:after="0" w:line="240" w:lineRule="auto"/>
              <w:textAlignment w:val="auto"/>
              <w:rPr>
                <w:color w:val="auto"/>
                <w:highlight w:val="none"/>
              </w:rPr>
            </w:pPr>
            <w:r>
              <w:rPr>
                <w:rFonts w:hint="eastAsia" w:ascii="宋体" w:hAnsi="宋体" w:cs="宋体"/>
                <w:bCs/>
                <w:color w:val="auto"/>
                <w:sz w:val="24"/>
                <w:highlight w:val="none"/>
              </w:rPr>
              <w:t>4、</w:t>
            </w:r>
            <w:r>
              <w:rPr>
                <w:rFonts w:hint="eastAsia" w:ascii="宋体" w:hAnsi="宋体" w:cs="宋体"/>
                <w:color w:val="auto"/>
                <w:sz w:val="24"/>
                <w:highlight w:val="none"/>
              </w:rPr>
              <w:t>质感</w:t>
            </w:r>
            <w:r>
              <w:rPr>
                <w:rFonts w:hint="eastAsia" w:ascii="宋体" w:hAnsi="宋体" w:cs="宋体"/>
                <w:bCs/>
                <w:color w:val="auto"/>
                <w:sz w:val="24"/>
                <w:highlight w:val="none"/>
              </w:rPr>
              <w:t>（0-</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61FE0DE8">
            <w:pPr>
              <w:pageBreakBefore w:val="0"/>
              <w:widowControl w:val="0"/>
              <w:kinsoku/>
              <w:wordWrap/>
              <w:overflowPunct/>
              <w:topLinePunct w:val="0"/>
              <w:autoSpaceDE/>
              <w:autoSpaceDN/>
              <w:bidi w:val="0"/>
              <w:spacing w:line="240"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0-1</w:t>
            </w:r>
            <w:r>
              <w:rPr>
                <w:rFonts w:hint="eastAsia" w:ascii="宋体" w:hAnsi="宋体" w:cs="宋体"/>
                <w:color w:val="auto"/>
                <w:sz w:val="24"/>
                <w:highlight w:val="none"/>
                <w:lang w:val="en-US" w:eastAsia="zh-CN"/>
              </w:rPr>
              <w:t>0</w:t>
            </w:r>
          </w:p>
        </w:tc>
      </w:tr>
      <w:tr w14:paraId="2DA28977">
        <w:tblPrEx>
          <w:tblCellMar>
            <w:top w:w="0" w:type="dxa"/>
            <w:left w:w="108" w:type="dxa"/>
            <w:bottom w:w="0" w:type="dxa"/>
            <w:right w:w="108" w:type="dxa"/>
          </w:tblCellMar>
        </w:tblPrEx>
        <w:trPr>
          <w:trHeight w:val="23"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5848709">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130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A802888">
            <w:pPr>
              <w:pStyle w:val="2"/>
              <w:adjustRightInd w:val="0"/>
              <w:snapToGrid w:val="0"/>
              <w:spacing w:before="0" w:after="0" w:line="360" w:lineRule="exact"/>
              <w:jc w:val="center"/>
              <w:rPr>
                <w:rFonts w:hint="eastAsia" w:ascii="宋体" w:hAnsi="宋体" w:cs="宋体"/>
                <w:color w:val="auto"/>
                <w:sz w:val="24"/>
                <w:highlight w:val="none"/>
              </w:rPr>
            </w:pPr>
            <w:r>
              <w:rPr>
                <w:rFonts w:hint="eastAsia" w:ascii="宋体" w:hAnsi="宋体" w:cs="宋体"/>
                <w:b w:val="0"/>
                <w:bCs w:val="0"/>
                <w:color w:val="auto"/>
                <w:sz w:val="24"/>
                <w:szCs w:val="24"/>
                <w:highlight w:val="none"/>
                <w:lang w:val="zh-CN"/>
              </w:rPr>
              <w:t>实施方案</w:t>
            </w:r>
          </w:p>
        </w:tc>
        <w:tc>
          <w:tcPr>
            <w:tcW w:w="6246" w:type="dxa"/>
            <w:tcBorders>
              <w:top w:val="single" w:color="auto" w:sz="4" w:space="0"/>
              <w:left w:val="nil"/>
              <w:bottom w:val="single" w:color="auto" w:sz="4" w:space="0"/>
              <w:right w:val="single" w:color="auto" w:sz="4" w:space="0"/>
            </w:tcBorders>
            <w:shd w:val="clear" w:color="000000" w:fill="FFFFFF"/>
            <w:vAlign w:val="center"/>
          </w:tcPr>
          <w:p w14:paraId="0BF5B413">
            <w:pPr>
              <w:pageBreakBefore w:val="0"/>
              <w:widowControl w:val="0"/>
              <w:kinsoku/>
              <w:wordWrap/>
              <w:overflowPunct/>
              <w:topLinePunct w:val="0"/>
              <w:autoSpaceDE/>
              <w:autoSpaceDN/>
              <w:bidi w:val="0"/>
              <w:spacing w:line="240" w:lineRule="auto"/>
              <w:jc w:val="both"/>
              <w:textAlignment w:val="auto"/>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项目总体实施方案：根据项目实施方案是否科学合理、内容齐全、功能实用、经济适度，具有一定的前瞻性、对项目实施效果的分析等进行打分（0-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207444C4">
            <w:pPr>
              <w:pageBreakBefore w:val="0"/>
              <w:widowControl w:val="0"/>
              <w:kinsoku/>
              <w:wordWrap/>
              <w:overflowPunct/>
              <w:topLinePunct w:val="0"/>
              <w:autoSpaceDE/>
              <w:autoSpaceDN/>
              <w:bidi w:val="0"/>
              <w:spacing w:line="240" w:lineRule="auto"/>
              <w:jc w:val="center"/>
              <w:textAlignment w:val="auto"/>
              <w:rPr>
                <w:color w:val="auto"/>
                <w:highlight w:val="none"/>
              </w:rPr>
            </w:pPr>
          </w:p>
          <w:p w14:paraId="2EF71B9A">
            <w:pPr>
              <w:pStyle w:val="21"/>
              <w:pageBreakBefore w:val="0"/>
              <w:widowControl w:val="0"/>
              <w:kinsoku/>
              <w:wordWrap/>
              <w:overflowPunct/>
              <w:topLinePunct w:val="0"/>
              <w:autoSpaceDE/>
              <w:autoSpaceDN/>
              <w:bidi w:val="0"/>
              <w:spacing w:after="0" w:line="24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0-</w:t>
            </w:r>
            <w:r>
              <w:rPr>
                <w:rFonts w:hint="eastAsia" w:ascii="宋体" w:hAnsi="宋体" w:cs="宋体"/>
                <w:color w:val="auto"/>
                <w:sz w:val="24"/>
                <w:highlight w:val="none"/>
                <w:lang w:val="en-US" w:eastAsia="zh-CN"/>
              </w:rPr>
              <w:t>3</w:t>
            </w:r>
          </w:p>
        </w:tc>
      </w:tr>
      <w:tr w14:paraId="23764E4F">
        <w:tblPrEx>
          <w:tblCellMar>
            <w:top w:w="0" w:type="dxa"/>
            <w:left w:w="108" w:type="dxa"/>
            <w:bottom w:w="0" w:type="dxa"/>
            <w:right w:w="108" w:type="dxa"/>
          </w:tblCellMar>
        </w:tblPrEx>
        <w:trPr>
          <w:trHeight w:val="23" w:hRule="atLeast"/>
        </w:trPr>
        <w:tc>
          <w:tcPr>
            <w:tcW w:w="724" w:type="dxa"/>
            <w:vMerge w:val="continue"/>
            <w:tcBorders>
              <w:top w:val="single" w:color="auto" w:sz="4" w:space="0"/>
              <w:left w:val="single" w:color="auto" w:sz="4" w:space="0"/>
              <w:right w:val="single" w:color="auto" w:sz="4" w:space="0"/>
            </w:tcBorders>
            <w:shd w:val="clear" w:color="000000" w:fill="FFFFFF"/>
            <w:vAlign w:val="center"/>
          </w:tcPr>
          <w:p w14:paraId="44F3779C">
            <w:pPr>
              <w:jc w:val="center"/>
              <w:rPr>
                <w:rFonts w:hint="eastAsia" w:ascii="宋体" w:hAnsi="宋体" w:eastAsia="宋体" w:cs="宋体"/>
                <w:color w:val="auto"/>
                <w:sz w:val="24"/>
                <w:highlight w:val="none"/>
                <w:lang w:eastAsia="zh-CN"/>
              </w:rPr>
            </w:pPr>
          </w:p>
        </w:tc>
        <w:tc>
          <w:tcPr>
            <w:tcW w:w="1301" w:type="dxa"/>
            <w:vMerge w:val="continue"/>
            <w:tcBorders>
              <w:top w:val="single" w:color="auto" w:sz="4" w:space="0"/>
              <w:left w:val="single" w:color="auto" w:sz="4" w:space="0"/>
              <w:right w:val="single" w:color="auto" w:sz="4" w:space="0"/>
            </w:tcBorders>
            <w:shd w:val="clear" w:color="000000" w:fill="FFFFFF"/>
            <w:vAlign w:val="center"/>
          </w:tcPr>
          <w:p w14:paraId="4B4063E7">
            <w:pPr>
              <w:pStyle w:val="2"/>
              <w:adjustRightInd w:val="0"/>
              <w:snapToGrid w:val="0"/>
              <w:spacing w:before="0" w:after="0" w:line="360" w:lineRule="exact"/>
              <w:jc w:val="center"/>
              <w:rPr>
                <w:rFonts w:ascii="宋体" w:hAnsi="宋体" w:cs="宋体"/>
                <w:color w:val="auto"/>
                <w:sz w:val="24"/>
                <w:szCs w:val="24"/>
                <w:highlight w:val="none"/>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004572A8">
            <w:pPr>
              <w:pageBreakBefore w:val="0"/>
              <w:widowControl w:val="0"/>
              <w:kinsoku/>
              <w:wordWrap/>
              <w:overflowPunct/>
              <w:topLinePunct w:val="0"/>
              <w:autoSpaceDE/>
              <w:autoSpaceDN/>
              <w:bidi w:val="0"/>
              <w:spacing w:line="240" w:lineRule="auto"/>
              <w:jc w:val="both"/>
              <w:textAlignment w:val="auto"/>
              <w:rPr>
                <w:rFonts w:ascii="宋体" w:hAnsi="宋体" w:cs="宋体"/>
                <w:b/>
                <w:bCs/>
                <w:color w:val="auto"/>
                <w:kern w:val="44"/>
                <w:sz w:val="24"/>
                <w:highlight w:val="none"/>
              </w:rPr>
            </w:pPr>
            <w:r>
              <w:rPr>
                <w:rFonts w:hint="eastAsia" w:ascii="宋体" w:hAnsi="宋体" w:cs="宋体"/>
                <w:bCs/>
                <w:color w:val="auto"/>
                <w:sz w:val="24"/>
                <w:highlight w:val="none"/>
                <w:lang w:val="en-US" w:eastAsia="zh-CN"/>
              </w:rPr>
              <w:t>（2）安装工艺方案：</w:t>
            </w: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投标人提供</w:t>
            </w:r>
            <w:r>
              <w:rPr>
                <w:rFonts w:hint="eastAsia" w:ascii="宋体" w:hAnsi="宋体" w:cs="宋体"/>
                <w:color w:val="auto"/>
                <w:sz w:val="24"/>
                <w:szCs w:val="24"/>
                <w:lang w:val="en-US" w:eastAsia="zh-CN"/>
              </w:rPr>
              <w:t>安装</w:t>
            </w:r>
            <w:r>
              <w:rPr>
                <w:rFonts w:hint="eastAsia" w:ascii="宋体" w:hAnsi="宋体" w:eastAsia="宋体" w:cs="宋体"/>
                <w:color w:val="auto"/>
                <w:sz w:val="24"/>
                <w:szCs w:val="24"/>
              </w:rPr>
              <w:t>工艺</w:t>
            </w:r>
            <w:r>
              <w:rPr>
                <w:rFonts w:hint="eastAsia" w:ascii="宋体" w:hAnsi="宋体" w:cs="宋体"/>
                <w:color w:val="auto"/>
                <w:sz w:val="24"/>
                <w:szCs w:val="24"/>
                <w:lang w:val="en-US" w:eastAsia="zh-CN"/>
              </w:rPr>
              <w:t>方案</w:t>
            </w:r>
            <w:r>
              <w:rPr>
                <w:rFonts w:hint="eastAsia" w:ascii="宋体" w:hAnsi="宋体" w:eastAsia="宋体" w:cs="宋体"/>
                <w:color w:val="auto"/>
                <w:sz w:val="24"/>
                <w:szCs w:val="24"/>
                <w:lang w:val="en-US" w:eastAsia="zh-CN"/>
              </w:rPr>
              <w:t>的先进性、安全性、合理性进行评分。</w:t>
            </w:r>
            <w:r>
              <w:rPr>
                <w:rFonts w:hint="eastAsia" w:ascii="宋体" w:hAnsi="宋体" w:cs="宋体"/>
                <w:color w:val="auto"/>
                <w:sz w:val="24"/>
                <w:szCs w:val="24"/>
                <w:lang w:val="en-US" w:eastAsia="zh-CN"/>
              </w:rPr>
              <w:t>（0-3分）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5AE3B7B3">
            <w:pPr>
              <w:pStyle w:val="21"/>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eastAsia="宋体"/>
                <w:color w:val="auto"/>
                <w:highlight w:val="none"/>
                <w:lang w:eastAsia="zh-CN"/>
              </w:rPr>
            </w:pPr>
            <w:r>
              <w:rPr>
                <w:rFonts w:hint="eastAsia" w:ascii="宋体" w:hAnsi="宋体" w:cs="宋体"/>
                <w:color w:val="auto"/>
                <w:sz w:val="24"/>
                <w:highlight w:val="none"/>
                <w:lang w:val="en-US" w:eastAsia="zh-CN"/>
              </w:rPr>
              <w:t>0-3</w:t>
            </w:r>
          </w:p>
        </w:tc>
      </w:tr>
      <w:tr w14:paraId="66551307">
        <w:tblPrEx>
          <w:tblCellMar>
            <w:top w:w="0" w:type="dxa"/>
            <w:left w:w="108" w:type="dxa"/>
            <w:bottom w:w="0" w:type="dxa"/>
            <w:right w:w="108" w:type="dxa"/>
          </w:tblCellMar>
        </w:tblPrEx>
        <w:trPr>
          <w:trHeight w:val="23" w:hRule="atLeast"/>
        </w:trPr>
        <w:tc>
          <w:tcPr>
            <w:tcW w:w="724" w:type="dxa"/>
            <w:vMerge w:val="continue"/>
            <w:tcBorders>
              <w:left w:val="single" w:color="auto" w:sz="4" w:space="0"/>
              <w:right w:val="single" w:color="auto" w:sz="4" w:space="0"/>
            </w:tcBorders>
            <w:shd w:val="clear" w:color="000000" w:fill="FFFFFF"/>
            <w:vAlign w:val="center"/>
          </w:tcPr>
          <w:p w14:paraId="0CA6FC77">
            <w:pPr>
              <w:jc w:val="center"/>
              <w:rPr>
                <w:rFonts w:ascii="宋体" w:hAnsi="宋体" w:cs="宋体"/>
                <w:color w:val="auto"/>
                <w:sz w:val="24"/>
                <w:highlight w:val="none"/>
              </w:rPr>
            </w:pPr>
          </w:p>
        </w:tc>
        <w:tc>
          <w:tcPr>
            <w:tcW w:w="1301" w:type="dxa"/>
            <w:vMerge w:val="continue"/>
            <w:tcBorders>
              <w:left w:val="single" w:color="auto" w:sz="4" w:space="0"/>
              <w:right w:val="single" w:color="auto" w:sz="4" w:space="0"/>
            </w:tcBorders>
            <w:shd w:val="clear" w:color="000000" w:fill="FFFFFF"/>
            <w:vAlign w:val="center"/>
          </w:tcPr>
          <w:p w14:paraId="1A403E3D">
            <w:pPr>
              <w:pStyle w:val="2"/>
              <w:adjustRightInd w:val="0"/>
              <w:snapToGrid w:val="0"/>
              <w:spacing w:before="0" w:after="0" w:line="360" w:lineRule="exact"/>
              <w:jc w:val="center"/>
              <w:rPr>
                <w:rFonts w:ascii="宋体" w:hAnsi="宋体" w:cs="宋体"/>
                <w:b w:val="0"/>
                <w:bCs w:val="0"/>
                <w:color w:val="auto"/>
                <w:sz w:val="24"/>
                <w:szCs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059A4241">
            <w:pPr>
              <w:pageBreakBefore w:val="0"/>
              <w:widowControl w:val="0"/>
              <w:kinsoku/>
              <w:wordWrap/>
              <w:overflowPunct/>
              <w:topLinePunct w:val="0"/>
              <w:autoSpaceDE/>
              <w:autoSpaceDN/>
              <w:bidi w:val="0"/>
              <w:spacing w:line="240" w:lineRule="auto"/>
              <w:jc w:val="both"/>
              <w:textAlignment w:val="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供货运输及保管措施：根据投标人的供货运输保证措施、材料、设备保管措施等内容进行打分（0-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51EE13B3">
            <w:pPr>
              <w:pStyle w:val="21"/>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rPr>
              <w:t>0-</w:t>
            </w:r>
            <w:r>
              <w:rPr>
                <w:rFonts w:hint="eastAsia" w:ascii="宋体" w:hAnsi="宋体" w:cs="宋体"/>
                <w:color w:val="auto"/>
                <w:sz w:val="24"/>
                <w:highlight w:val="none"/>
                <w:lang w:val="en-US" w:eastAsia="zh-CN"/>
              </w:rPr>
              <w:t>3</w:t>
            </w:r>
          </w:p>
        </w:tc>
      </w:tr>
      <w:tr w14:paraId="3315540A">
        <w:tblPrEx>
          <w:tblCellMar>
            <w:top w:w="0" w:type="dxa"/>
            <w:left w:w="108" w:type="dxa"/>
            <w:bottom w:w="0" w:type="dxa"/>
            <w:right w:w="108" w:type="dxa"/>
          </w:tblCellMar>
        </w:tblPrEx>
        <w:trPr>
          <w:trHeight w:val="23" w:hRule="atLeast"/>
        </w:trPr>
        <w:tc>
          <w:tcPr>
            <w:tcW w:w="724" w:type="dxa"/>
            <w:vMerge w:val="continue"/>
            <w:tcBorders>
              <w:left w:val="single" w:color="auto" w:sz="4" w:space="0"/>
              <w:right w:val="single" w:color="auto" w:sz="4" w:space="0"/>
            </w:tcBorders>
            <w:shd w:val="clear" w:color="000000" w:fill="FFFFFF"/>
            <w:vAlign w:val="center"/>
          </w:tcPr>
          <w:p w14:paraId="79C9F84E">
            <w:pPr>
              <w:jc w:val="center"/>
              <w:rPr>
                <w:rFonts w:ascii="宋体" w:hAnsi="宋体" w:cs="宋体"/>
                <w:color w:val="auto"/>
                <w:sz w:val="24"/>
                <w:highlight w:val="none"/>
              </w:rPr>
            </w:pPr>
          </w:p>
        </w:tc>
        <w:tc>
          <w:tcPr>
            <w:tcW w:w="1301" w:type="dxa"/>
            <w:vMerge w:val="continue"/>
            <w:tcBorders>
              <w:left w:val="single" w:color="auto" w:sz="4" w:space="0"/>
              <w:right w:val="single" w:color="auto" w:sz="4" w:space="0"/>
            </w:tcBorders>
            <w:shd w:val="clear" w:color="000000" w:fill="FFFFFF"/>
            <w:vAlign w:val="center"/>
          </w:tcPr>
          <w:p w14:paraId="7D300F32">
            <w:pPr>
              <w:pStyle w:val="2"/>
              <w:adjustRightInd w:val="0"/>
              <w:snapToGrid w:val="0"/>
              <w:spacing w:before="0" w:after="0" w:line="360" w:lineRule="exact"/>
              <w:jc w:val="center"/>
              <w:rPr>
                <w:rFonts w:ascii="宋体" w:hAnsi="宋体" w:cs="宋体"/>
                <w:b w:val="0"/>
                <w:bCs w:val="0"/>
                <w:color w:val="auto"/>
                <w:sz w:val="24"/>
                <w:szCs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37C3EEEF">
            <w:pPr>
              <w:pageBreakBefore w:val="0"/>
              <w:widowControl w:val="0"/>
              <w:kinsoku/>
              <w:wordWrap/>
              <w:overflowPunct/>
              <w:topLinePunct w:val="0"/>
              <w:autoSpaceDE/>
              <w:autoSpaceDN/>
              <w:bidi w:val="0"/>
              <w:spacing w:line="240" w:lineRule="auto"/>
              <w:jc w:val="both"/>
              <w:textAlignment w:val="auto"/>
              <w:rPr>
                <w:rFonts w:ascii="宋体" w:hAnsi="宋体" w:cs="宋体"/>
                <w:bCs/>
                <w:color w:val="auto"/>
                <w:sz w:val="24"/>
                <w:highlight w:val="none"/>
                <w:lang w:val="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）施工方案</w:t>
            </w:r>
            <w:r>
              <w:rPr>
                <w:rFonts w:hint="eastAsia" w:ascii="宋体" w:hAnsi="宋体" w:cs="宋体"/>
                <w:bCs/>
                <w:color w:val="auto"/>
                <w:sz w:val="24"/>
                <w:highlight w:val="none"/>
              </w:rPr>
              <w:t>：根据项目</w:t>
            </w:r>
            <w:r>
              <w:rPr>
                <w:rFonts w:hint="eastAsia" w:ascii="宋体" w:hAnsi="宋体" w:cs="宋体"/>
                <w:bCs/>
                <w:color w:val="auto"/>
                <w:sz w:val="24"/>
                <w:highlight w:val="none"/>
                <w:lang w:eastAsia="zh-CN"/>
              </w:rPr>
              <w:t>施工方案（</w:t>
            </w:r>
            <w:r>
              <w:rPr>
                <w:rFonts w:hint="eastAsia" w:ascii="宋体" w:hAnsi="宋体" w:cs="宋体"/>
                <w:bCs/>
                <w:color w:val="auto"/>
                <w:sz w:val="24"/>
                <w:highlight w:val="none"/>
                <w:lang w:val="en-US" w:eastAsia="zh-CN"/>
              </w:rPr>
              <w:t>含进度保证措施、质量保证措施、施工安全文明方案）</w:t>
            </w:r>
            <w:r>
              <w:rPr>
                <w:rFonts w:hint="eastAsia" w:ascii="宋体" w:hAnsi="宋体" w:cs="宋体"/>
                <w:bCs/>
                <w:color w:val="auto"/>
                <w:sz w:val="24"/>
                <w:highlight w:val="none"/>
              </w:rPr>
              <w:t>等内容的针对性、科学性、合理性、完整性等进行打分（0-</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72B20922">
            <w:pPr>
              <w:pageBreakBefore w:val="0"/>
              <w:widowControl w:val="0"/>
              <w:kinsoku/>
              <w:wordWrap/>
              <w:overflowPunct/>
              <w:topLinePunct w:val="0"/>
              <w:autoSpaceDE/>
              <w:autoSpaceDN/>
              <w:bidi w:val="0"/>
              <w:spacing w:line="240" w:lineRule="auto"/>
              <w:jc w:val="center"/>
              <w:textAlignment w:val="auto"/>
              <w:rPr>
                <w:rFonts w:hint="eastAsia" w:eastAsia="宋体"/>
                <w:color w:val="auto"/>
                <w:kern w:val="2"/>
                <w:sz w:val="21"/>
                <w:highlight w:val="none"/>
                <w:lang w:eastAsia="zh-CN"/>
              </w:rPr>
            </w:pPr>
            <w:r>
              <w:rPr>
                <w:rFonts w:hint="eastAsia" w:ascii="宋体" w:hAnsi="宋体" w:cs="宋体"/>
                <w:color w:val="auto"/>
                <w:sz w:val="24"/>
                <w:highlight w:val="none"/>
              </w:rPr>
              <w:t>0-</w:t>
            </w:r>
            <w:r>
              <w:rPr>
                <w:rFonts w:hint="eastAsia" w:ascii="宋体" w:hAnsi="宋体" w:cs="宋体"/>
                <w:color w:val="auto"/>
                <w:sz w:val="24"/>
                <w:highlight w:val="none"/>
                <w:lang w:val="en-US" w:eastAsia="zh-CN"/>
              </w:rPr>
              <w:t>3</w:t>
            </w:r>
          </w:p>
        </w:tc>
      </w:tr>
      <w:tr w14:paraId="12A0A85A">
        <w:tblPrEx>
          <w:tblCellMar>
            <w:top w:w="0" w:type="dxa"/>
            <w:left w:w="108" w:type="dxa"/>
            <w:bottom w:w="0" w:type="dxa"/>
            <w:right w:w="108" w:type="dxa"/>
          </w:tblCellMar>
        </w:tblPrEx>
        <w:trPr>
          <w:trHeight w:val="23" w:hRule="atLeast"/>
        </w:trPr>
        <w:tc>
          <w:tcPr>
            <w:tcW w:w="724" w:type="dxa"/>
            <w:vMerge w:val="continue"/>
            <w:tcBorders>
              <w:left w:val="single" w:color="auto" w:sz="4" w:space="0"/>
              <w:right w:val="single" w:color="auto" w:sz="4" w:space="0"/>
            </w:tcBorders>
            <w:shd w:val="clear" w:color="000000" w:fill="FFFFFF"/>
            <w:vAlign w:val="center"/>
          </w:tcPr>
          <w:p w14:paraId="5445D2AE">
            <w:pPr>
              <w:jc w:val="center"/>
              <w:rPr>
                <w:rFonts w:ascii="宋体" w:hAnsi="宋体" w:cs="宋体"/>
                <w:color w:val="auto"/>
                <w:sz w:val="24"/>
                <w:highlight w:val="none"/>
              </w:rPr>
            </w:pPr>
          </w:p>
        </w:tc>
        <w:tc>
          <w:tcPr>
            <w:tcW w:w="1301" w:type="dxa"/>
            <w:vMerge w:val="continue"/>
            <w:tcBorders>
              <w:left w:val="single" w:color="auto" w:sz="4" w:space="0"/>
              <w:right w:val="single" w:color="auto" w:sz="4" w:space="0"/>
            </w:tcBorders>
            <w:shd w:val="clear" w:color="000000" w:fill="FFFFFF"/>
            <w:vAlign w:val="center"/>
          </w:tcPr>
          <w:p w14:paraId="15B04F41">
            <w:pPr>
              <w:pStyle w:val="2"/>
              <w:adjustRightInd w:val="0"/>
              <w:snapToGrid w:val="0"/>
              <w:spacing w:before="0" w:after="0" w:line="360" w:lineRule="exact"/>
              <w:jc w:val="center"/>
              <w:rPr>
                <w:rFonts w:ascii="宋体" w:hAnsi="宋体" w:cs="宋体"/>
                <w:b w:val="0"/>
                <w:bCs w:val="0"/>
                <w:color w:val="auto"/>
                <w:sz w:val="24"/>
                <w:szCs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27DD35A0">
            <w:pPr>
              <w:pageBreakBefore w:val="0"/>
              <w:widowControl w:val="0"/>
              <w:kinsoku/>
              <w:wordWrap/>
              <w:overflowPunct/>
              <w:topLinePunct w:val="0"/>
              <w:autoSpaceDE/>
              <w:autoSpaceDN/>
              <w:bidi w:val="0"/>
              <w:spacing w:line="240" w:lineRule="auto"/>
              <w:jc w:val="both"/>
              <w:textAlignment w:val="auto"/>
              <w:rPr>
                <w:rFonts w:ascii="宋体" w:hAnsi="宋体" w:cs="宋体"/>
                <w:bCs/>
                <w:color w:val="auto"/>
                <w:sz w:val="24"/>
                <w:highlight w:val="none"/>
                <w:lang w:val="zh-CN"/>
              </w:rPr>
            </w:pPr>
            <w:r>
              <w:rPr>
                <w:rFonts w:hint="eastAsia" w:ascii="宋体" w:hAnsi="宋体" w:cs="宋体"/>
                <w:color w:val="auto"/>
                <w:sz w:val="24"/>
                <w:szCs w:val="24"/>
                <w:lang w:val="en-US" w:eastAsia="zh-CN"/>
              </w:rPr>
              <w:t>（5）注意事项分析情况：根据投标人对安装场地</w:t>
            </w:r>
            <w:r>
              <w:rPr>
                <w:rFonts w:hint="eastAsia" w:ascii="宋体" w:hAnsi="宋体" w:eastAsia="宋体" w:cs="宋体"/>
                <w:color w:val="auto"/>
                <w:sz w:val="24"/>
                <w:szCs w:val="24"/>
                <w:lang w:val="en-US" w:eastAsia="zh-CN"/>
              </w:rPr>
              <w:t>现状</w:t>
            </w:r>
            <w:r>
              <w:rPr>
                <w:rFonts w:hint="eastAsia" w:ascii="宋体" w:hAnsi="宋体" w:cs="宋体"/>
                <w:color w:val="auto"/>
                <w:sz w:val="24"/>
                <w:szCs w:val="24"/>
                <w:lang w:val="en-US" w:eastAsia="zh-CN"/>
              </w:rPr>
              <w:t>的</w:t>
            </w:r>
            <w:r>
              <w:rPr>
                <w:rFonts w:hint="eastAsia" w:ascii="宋体" w:hAnsi="宋体" w:eastAsia="宋体" w:cs="宋体"/>
                <w:color w:val="auto"/>
                <w:sz w:val="24"/>
                <w:szCs w:val="24"/>
                <w:lang w:val="en-US" w:eastAsia="zh-CN"/>
              </w:rPr>
              <w:t>了解</w:t>
            </w:r>
            <w:r>
              <w:rPr>
                <w:rFonts w:hint="eastAsia" w:ascii="宋体" w:hAnsi="宋体" w:cs="宋体"/>
                <w:color w:val="auto"/>
                <w:sz w:val="24"/>
                <w:szCs w:val="24"/>
                <w:lang w:val="en-US" w:eastAsia="zh-CN"/>
              </w:rPr>
              <w:t>，提供针对本项目开展需要注意事项的分析情况进行评分。（0-3）</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6C5EF9C3">
            <w:pPr>
              <w:pageBreakBefore w:val="0"/>
              <w:widowControl w:val="0"/>
              <w:kinsoku/>
              <w:wordWrap/>
              <w:overflowPunct/>
              <w:topLinePunct w:val="0"/>
              <w:autoSpaceDE/>
              <w:autoSpaceDN/>
              <w:bidi w:val="0"/>
              <w:spacing w:line="240" w:lineRule="auto"/>
              <w:jc w:val="center"/>
              <w:textAlignment w:val="auto"/>
              <w:rPr>
                <w:rFonts w:hint="eastAsia" w:eastAsia="宋体"/>
                <w:color w:val="auto"/>
                <w:highlight w:val="none"/>
                <w:lang w:eastAsia="zh-CN"/>
              </w:rPr>
            </w:pPr>
            <w:r>
              <w:rPr>
                <w:rFonts w:hint="eastAsia" w:ascii="宋体" w:hAnsi="宋体" w:cs="宋体"/>
                <w:color w:val="auto"/>
                <w:sz w:val="24"/>
                <w:highlight w:val="none"/>
                <w:lang w:val="en-US" w:eastAsia="zh-CN"/>
              </w:rPr>
              <w:t>0-3</w:t>
            </w:r>
          </w:p>
        </w:tc>
      </w:tr>
      <w:tr w14:paraId="4B00175A">
        <w:tblPrEx>
          <w:tblCellMar>
            <w:top w:w="0" w:type="dxa"/>
            <w:left w:w="108" w:type="dxa"/>
            <w:bottom w:w="0" w:type="dxa"/>
            <w:right w:w="108" w:type="dxa"/>
          </w:tblCellMar>
        </w:tblPrEx>
        <w:trPr>
          <w:trHeight w:val="23" w:hRule="atLeast"/>
        </w:trPr>
        <w:tc>
          <w:tcPr>
            <w:tcW w:w="724" w:type="dxa"/>
            <w:vMerge w:val="continue"/>
            <w:tcBorders>
              <w:left w:val="single" w:color="auto" w:sz="4" w:space="0"/>
              <w:right w:val="single" w:color="auto" w:sz="4" w:space="0"/>
            </w:tcBorders>
            <w:shd w:val="clear" w:color="000000" w:fill="FFFFFF"/>
            <w:vAlign w:val="center"/>
          </w:tcPr>
          <w:p w14:paraId="7950ECAC">
            <w:pPr>
              <w:jc w:val="center"/>
              <w:rPr>
                <w:rFonts w:ascii="宋体" w:hAnsi="宋体" w:cs="宋体"/>
                <w:color w:val="auto"/>
                <w:sz w:val="24"/>
                <w:highlight w:val="none"/>
              </w:rPr>
            </w:pPr>
          </w:p>
        </w:tc>
        <w:tc>
          <w:tcPr>
            <w:tcW w:w="1301" w:type="dxa"/>
            <w:vMerge w:val="continue"/>
            <w:tcBorders>
              <w:left w:val="single" w:color="auto" w:sz="4" w:space="0"/>
              <w:right w:val="single" w:color="auto" w:sz="4" w:space="0"/>
            </w:tcBorders>
            <w:shd w:val="clear" w:color="000000" w:fill="FFFFFF"/>
            <w:vAlign w:val="center"/>
          </w:tcPr>
          <w:p w14:paraId="30A621DB">
            <w:pPr>
              <w:pStyle w:val="2"/>
              <w:adjustRightInd w:val="0"/>
              <w:snapToGrid w:val="0"/>
              <w:spacing w:before="0" w:after="0" w:line="360" w:lineRule="exact"/>
              <w:jc w:val="center"/>
              <w:rPr>
                <w:rFonts w:ascii="宋体" w:hAnsi="宋体" w:cs="宋体"/>
                <w:b w:val="0"/>
                <w:bCs w:val="0"/>
                <w:color w:val="auto"/>
                <w:sz w:val="24"/>
                <w:szCs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4564470F">
            <w:pPr>
              <w:pageBreakBefore w:val="0"/>
              <w:widowControl w:val="0"/>
              <w:kinsoku/>
              <w:wordWrap/>
              <w:overflowPunct/>
              <w:topLinePunct w:val="0"/>
              <w:autoSpaceDE/>
              <w:autoSpaceDN/>
              <w:bidi w:val="0"/>
              <w:spacing w:line="240" w:lineRule="auto"/>
              <w:jc w:val="both"/>
              <w:textAlignment w:val="auto"/>
              <w:rPr>
                <w:rFonts w:hint="default" w:ascii="宋体" w:hAnsi="宋体" w:cs="宋体"/>
                <w:bCs/>
                <w:color w:val="auto"/>
                <w:sz w:val="24"/>
                <w:highlight w:val="none"/>
                <w:lang w:val="en-US" w:eastAsia="zh-CN"/>
              </w:rPr>
            </w:pPr>
            <w:r>
              <w:rPr>
                <w:rFonts w:hint="eastAsia" w:ascii="宋体" w:hAnsi="宋体" w:cs="宋体"/>
                <w:color w:val="auto"/>
                <w:sz w:val="24"/>
                <w:szCs w:val="24"/>
                <w:lang w:val="en-US" w:eastAsia="zh-CN"/>
              </w:rPr>
              <w:t>（6）合理化建议和改进措施：根据投标人针对本项目提供的合理化建议和改进措施进行评分。（0-3）</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42E0794B">
            <w:pPr>
              <w:pageBreakBefore w:val="0"/>
              <w:widowControl w:val="0"/>
              <w:kinsoku/>
              <w:wordWrap/>
              <w:overflowPunct/>
              <w:topLinePunct w:val="0"/>
              <w:autoSpaceDE/>
              <w:autoSpaceDN/>
              <w:bidi w:val="0"/>
              <w:spacing w:line="240" w:lineRule="auto"/>
              <w:jc w:val="center"/>
              <w:textAlignment w:val="auto"/>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lang w:val="en-US" w:eastAsia="zh-CN"/>
              </w:rPr>
              <w:t>0-3</w:t>
            </w:r>
          </w:p>
        </w:tc>
      </w:tr>
      <w:tr w14:paraId="2F2FDBD1">
        <w:tblPrEx>
          <w:tblCellMar>
            <w:top w:w="0" w:type="dxa"/>
            <w:left w:w="108" w:type="dxa"/>
            <w:bottom w:w="0" w:type="dxa"/>
            <w:right w:w="108" w:type="dxa"/>
          </w:tblCellMar>
        </w:tblPrEx>
        <w:trPr>
          <w:trHeight w:val="23" w:hRule="atLeast"/>
        </w:trPr>
        <w:tc>
          <w:tcPr>
            <w:tcW w:w="724" w:type="dxa"/>
            <w:vMerge w:val="continue"/>
            <w:tcBorders>
              <w:left w:val="single" w:color="auto" w:sz="4" w:space="0"/>
              <w:bottom w:val="single" w:color="auto" w:sz="4" w:space="0"/>
              <w:right w:val="single" w:color="auto" w:sz="4" w:space="0"/>
            </w:tcBorders>
            <w:shd w:val="clear" w:color="000000" w:fill="FFFFFF"/>
            <w:vAlign w:val="center"/>
          </w:tcPr>
          <w:p w14:paraId="76B2B75A">
            <w:pPr>
              <w:jc w:val="center"/>
              <w:rPr>
                <w:rFonts w:ascii="宋体" w:hAnsi="宋体" w:cs="宋体"/>
                <w:color w:val="auto"/>
                <w:sz w:val="24"/>
                <w:highlight w:val="none"/>
              </w:rPr>
            </w:pPr>
          </w:p>
        </w:tc>
        <w:tc>
          <w:tcPr>
            <w:tcW w:w="1301" w:type="dxa"/>
            <w:vMerge w:val="continue"/>
            <w:tcBorders>
              <w:left w:val="single" w:color="auto" w:sz="4" w:space="0"/>
              <w:bottom w:val="single" w:color="auto" w:sz="4" w:space="0"/>
              <w:right w:val="single" w:color="auto" w:sz="4" w:space="0"/>
            </w:tcBorders>
            <w:shd w:val="clear" w:color="000000" w:fill="FFFFFF"/>
            <w:vAlign w:val="center"/>
          </w:tcPr>
          <w:p w14:paraId="03694179">
            <w:pPr>
              <w:pStyle w:val="2"/>
              <w:adjustRightInd w:val="0"/>
              <w:snapToGrid w:val="0"/>
              <w:spacing w:before="0" w:after="0" w:line="360" w:lineRule="exact"/>
              <w:jc w:val="center"/>
              <w:rPr>
                <w:rFonts w:ascii="宋体" w:hAnsi="宋体" w:cs="宋体"/>
                <w:b w:val="0"/>
                <w:bCs w:val="0"/>
                <w:color w:val="auto"/>
                <w:sz w:val="24"/>
                <w:szCs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0C46DBE1">
            <w:pPr>
              <w:pageBreakBefore w:val="0"/>
              <w:widowControl w:val="0"/>
              <w:kinsoku/>
              <w:wordWrap/>
              <w:overflowPunct/>
              <w:topLinePunct w:val="0"/>
              <w:autoSpaceDE/>
              <w:autoSpaceDN/>
              <w:bidi w:val="0"/>
              <w:spacing w:line="240" w:lineRule="auto"/>
              <w:jc w:val="both"/>
              <w:textAlignment w:val="auto"/>
              <w:rPr>
                <w:rFonts w:hint="eastAsia" w:ascii="宋体" w:hAnsi="宋体" w:cs="宋体"/>
                <w:bCs/>
                <w:color w:val="auto"/>
                <w:sz w:val="24"/>
                <w:highlight w:val="none"/>
                <w:lang w:eastAsia="zh-CN"/>
              </w:rPr>
            </w:pPr>
            <w:r>
              <w:rPr>
                <w:rFonts w:hint="eastAsia" w:ascii="宋体" w:hAnsi="宋体" w:cs="宋体"/>
                <w:color w:val="auto"/>
                <w:sz w:val="24"/>
                <w:szCs w:val="24"/>
                <w:lang w:val="en-US" w:eastAsia="zh-CN"/>
              </w:rPr>
              <w:t>（7）应急方案：根据投标人针对本项目突发情况的相关应急预案的全面性、可行性、合理性、与采购人的配合程度等情况进行综合打分。（0-3分）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233DC33A">
            <w:pPr>
              <w:pageBreakBefore w:val="0"/>
              <w:widowControl w:val="0"/>
              <w:kinsoku/>
              <w:wordWrap/>
              <w:overflowPunct/>
              <w:topLinePunct w:val="0"/>
              <w:autoSpaceDE/>
              <w:autoSpaceDN/>
              <w:bidi w:val="0"/>
              <w:spacing w:line="240" w:lineRule="auto"/>
              <w:jc w:val="center"/>
              <w:textAlignment w:val="auto"/>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lang w:val="en-US" w:eastAsia="zh-CN"/>
              </w:rPr>
              <w:t>0-3</w:t>
            </w:r>
          </w:p>
        </w:tc>
      </w:tr>
      <w:tr w14:paraId="3AD44294">
        <w:tblPrEx>
          <w:tblCellMar>
            <w:top w:w="0" w:type="dxa"/>
            <w:left w:w="108" w:type="dxa"/>
            <w:bottom w:w="0" w:type="dxa"/>
            <w:right w:w="108" w:type="dxa"/>
          </w:tblCellMar>
        </w:tblPrEx>
        <w:trPr>
          <w:trHeight w:val="23" w:hRule="atLeast"/>
        </w:trPr>
        <w:tc>
          <w:tcPr>
            <w:tcW w:w="724" w:type="dxa"/>
            <w:vMerge w:val="restart"/>
            <w:tcBorders>
              <w:top w:val="single" w:color="auto" w:sz="4" w:space="0"/>
              <w:left w:val="single" w:color="auto" w:sz="4" w:space="0"/>
              <w:right w:val="single" w:color="auto" w:sz="4" w:space="0"/>
            </w:tcBorders>
            <w:shd w:val="clear" w:color="000000" w:fill="FFFFFF"/>
            <w:vAlign w:val="center"/>
          </w:tcPr>
          <w:p w14:paraId="472667A6">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1301" w:type="dxa"/>
            <w:vMerge w:val="restart"/>
            <w:tcBorders>
              <w:top w:val="single" w:color="auto" w:sz="4" w:space="0"/>
              <w:left w:val="single" w:color="auto" w:sz="4" w:space="0"/>
              <w:right w:val="single" w:color="auto" w:sz="4" w:space="0"/>
            </w:tcBorders>
            <w:shd w:val="clear" w:color="000000" w:fill="FFFFFF"/>
            <w:vAlign w:val="center"/>
          </w:tcPr>
          <w:p w14:paraId="2763212D">
            <w:pPr>
              <w:jc w:val="center"/>
              <w:rPr>
                <w:rFonts w:ascii="宋体" w:hAnsi="宋体" w:cs="宋体"/>
                <w:color w:val="auto"/>
                <w:sz w:val="24"/>
                <w:highlight w:val="none"/>
              </w:rPr>
            </w:pPr>
            <w:r>
              <w:rPr>
                <w:rFonts w:hint="eastAsia" w:ascii="宋体" w:hAnsi="宋体" w:cs="宋体"/>
                <w:color w:val="auto"/>
                <w:kern w:val="0"/>
                <w:sz w:val="24"/>
                <w:highlight w:val="none"/>
                <w:lang w:val="zh-CN"/>
              </w:rPr>
              <w:t>售后服务</w:t>
            </w:r>
          </w:p>
        </w:tc>
        <w:tc>
          <w:tcPr>
            <w:tcW w:w="6246" w:type="dxa"/>
            <w:tcBorders>
              <w:top w:val="single" w:color="auto" w:sz="4" w:space="0"/>
              <w:left w:val="nil"/>
              <w:bottom w:val="single" w:color="auto" w:sz="4" w:space="0"/>
              <w:right w:val="single" w:color="auto" w:sz="4" w:space="0"/>
            </w:tcBorders>
            <w:shd w:val="clear" w:color="000000" w:fill="FFFFFF"/>
            <w:vAlign w:val="center"/>
          </w:tcPr>
          <w:p w14:paraId="20FC74F8">
            <w:pPr>
              <w:pageBreakBefore w:val="0"/>
              <w:widowControl w:val="0"/>
              <w:kinsoku/>
              <w:wordWrap/>
              <w:overflowPunct/>
              <w:topLinePunct w:val="0"/>
              <w:autoSpaceDE/>
              <w:autoSpaceDN/>
              <w:bidi w:val="0"/>
              <w:spacing w:line="240" w:lineRule="auto"/>
              <w:jc w:val="both"/>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服务方案：</w:t>
            </w:r>
            <w:r>
              <w:rPr>
                <w:rFonts w:hint="eastAsia" w:ascii="宋体" w:hAnsi="宋体" w:cs="宋体"/>
                <w:bCs/>
                <w:color w:val="auto"/>
                <w:sz w:val="24"/>
                <w:highlight w:val="none"/>
              </w:rPr>
              <w:t>根据投标人本地化服务能力、人员配备、日常运维、售后服务响应时间（售后服务网点及人员等需提供相关网点营业执照、工作人员工作履历、岗位证书等），</w:t>
            </w:r>
            <w:r>
              <w:rPr>
                <w:rFonts w:hint="eastAsia" w:ascii="宋体" w:hAnsi="宋体" w:cs="宋体"/>
                <w:color w:val="auto"/>
                <w:sz w:val="24"/>
                <w:highlight w:val="none"/>
              </w:rPr>
              <w:t>进行打分（0-</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10201BB9">
            <w:pPr>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0-</w:t>
            </w:r>
            <w:r>
              <w:rPr>
                <w:rFonts w:hint="eastAsia" w:ascii="宋体" w:hAnsi="宋体" w:cs="宋体"/>
                <w:color w:val="auto"/>
                <w:sz w:val="24"/>
                <w:highlight w:val="none"/>
                <w:lang w:val="en-US" w:eastAsia="zh-CN"/>
              </w:rPr>
              <w:t>3</w:t>
            </w:r>
          </w:p>
        </w:tc>
      </w:tr>
      <w:tr w14:paraId="3DAD0883">
        <w:tblPrEx>
          <w:tblCellMar>
            <w:top w:w="0" w:type="dxa"/>
            <w:left w:w="108" w:type="dxa"/>
            <w:bottom w:w="0" w:type="dxa"/>
            <w:right w:w="108" w:type="dxa"/>
          </w:tblCellMar>
        </w:tblPrEx>
        <w:trPr>
          <w:trHeight w:val="23" w:hRule="atLeast"/>
        </w:trPr>
        <w:tc>
          <w:tcPr>
            <w:tcW w:w="724" w:type="dxa"/>
            <w:vMerge w:val="continue"/>
            <w:tcBorders>
              <w:left w:val="single" w:color="auto" w:sz="4" w:space="0"/>
              <w:right w:val="single" w:color="auto" w:sz="4" w:space="0"/>
            </w:tcBorders>
            <w:shd w:val="clear" w:color="000000" w:fill="FFFFFF"/>
            <w:vAlign w:val="center"/>
          </w:tcPr>
          <w:p w14:paraId="4F2E319F">
            <w:pPr>
              <w:jc w:val="center"/>
              <w:rPr>
                <w:rFonts w:hint="eastAsia" w:ascii="宋体" w:hAnsi="宋体" w:cs="宋体"/>
                <w:color w:val="auto"/>
                <w:sz w:val="24"/>
                <w:highlight w:val="none"/>
                <w:lang w:val="en-US" w:eastAsia="zh-CN"/>
              </w:rPr>
            </w:pPr>
          </w:p>
        </w:tc>
        <w:tc>
          <w:tcPr>
            <w:tcW w:w="1301" w:type="dxa"/>
            <w:vMerge w:val="continue"/>
            <w:tcBorders>
              <w:left w:val="single" w:color="auto" w:sz="4" w:space="0"/>
              <w:right w:val="single" w:color="auto" w:sz="4" w:space="0"/>
            </w:tcBorders>
            <w:shd w:val="clear" w:color="000000" w:fill="FFFFFF"/>
            <w:vAlign w:val="center"/>
          </w:tcPr>
          <w:p w14:paraId="6B49785B">
            <w:pPr>
              <w:jc w:val="center"/>
              <w:rPr>
                <w:rFonts w:hint="eastAsia" w:ascii="宋体" w:hAnsi="宋体" w:cs="宋体"/>
                <w:color w:val="auto"/>
                <w:kern w:val="0"/>
                <w:sz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1245AC43">
            <w:pPr>
              <w:pageBreakBefore w:val="0"/>
              <w:widowControl w:val="0"/>
              <w:kinsoku/>
              <w:wordWrap/>
              <w:overflowPunct/>
              <w:topLinePunct w:val="0"/>
              <w:autoSpaceDE/>
              <w:autoSpaceDN/>
              <w:bidi w:val="0"/>
              <w:spacing w:line="240" w:lineRule="auto"/>
              <w:jc w:val="both"/>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产品免费质保期：按招标文件要求提供质保的该项不得分，</w:t>
            </w:r>
            <w:r>
              <w:rPr>
                <w:rFonts w:hint="eastAsia" w:ascii="宋体" w:hAnsi="宋体" w:cs="宋体"/>
                <w:bCs/>
                <w:color w:val="auto"/>
                <w:sz w:val="24"/>
                <w:highlight w:val="none"/>
                <w:lang w:val="en-US"/>
              </w:rPr>
              <w:t>均每</w:t>
            </w:r>
            <w:r>
              <w:rPr>
                <w:rFonts w:hint="eastAsia" w:ascii="宋体" w:hAnsi="宋体" w:cs="宋体"/>
                <w:bCs/>
                <w:color w:val="auto"/>
                <w:sz w:val="24"/>
                <w:highlight w:val="none"/>
              </w:rPr>
              <w:t>增加</w:t>
            </w:r>
            <w:r>
              <w:rPr>
                <w:rFonts w:hint="eastAsia" w:ascii="宋体" w:hAnsi="宋体" w:cs="宋体"/>
                <w:bCs/>
                <w:color w:val="auto"/>
                <w:sz w:val="24"/>
                <w:highlight w:val="none"/>
                <w:lang w:val="en-US"/>
              </w:rPr>
              <w:t>1</w:t>
            </w:r>
            <w:r>
              <w:rPr>
                <w:rFonts w:hint="eastAsia" w:ascii="宋体" w:hAnsi="宋体" w:cs="宋体"/>
                <w:bCs/>
                <w:color w:val="auto"/>
                <w:sz w:val="24"/>
                <w:highlight w:val="none"/>
              </w:rPr>
              <w:t>年得1分，最多得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3DDB9434">
            <w:pPr>
              <w:pageBreakBefore w:val="0"/>
              <w:widowControl w:val="0"/>
              <w:kinsoku/>
              <w:wordWrap/>
              <w:overflowPunct/>
              <w:topLinePunct w:val="0"/>
              <w:autoSpaceDE/>
              <w:autoSpaceDN/>
              <w:bidi w:val="0"/>
              <w:spacing w:line="24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0-2</w:t>
            </w:r>
          </w:p>
        </w:tc>
      </w:tr>
      <w:tr w14:paraId="5E88D3D7">
        <w:tblPrEx>
          <w:tblCellMar>
            <w:top w:w="0" w:type="dxa"/>
            <w:left w:w="108" w:type="dxa"/>
            <w:bottom w:w="0" w:type="dxa"/>
            <w:right w:w="108" w:type="dxa"/>
          </w:tblCellMar>
        </w:tblPrEx>
        <w:trPr>
          <w:trHeight w:val="23" w:hRule="atLeast"/>
        </w:trPr>
        <w:tc>
          <w:tcPr>
            <w:tcW w:w="724" w:type="dxa"/>
            <w:vMerge w:val="continue"/>
            <w:tcBorders>
              <w:left w:val="single" w:color="auto" w:sz="4" w:space="0"/>
              <w:bottom w:val="single" w:color="auto" w:sz="4" w:space="0"/>
              <w:right w:val="single" w:color="auto" w:sz="4" w:space="0"/>
            </w:tcBorders>
            <w:shd w:val="clear" w:color="000000" w:fill="FFFFFF"/>
            <w:vAlign w:val="center"/>
          </w:tcPr>
          <w:p w14:paraId="4D1F7054">
            <w:pPr>
              <w:jc w:val="center"/>
              <w:rPr>
                <w:rFonts w:hint="eastAsia" w:ascii="宋体" w:hAnsi="宋体" w:cs="宋体"/>
                <w:color w:val="auto"/>
                <w:sz w:val="24"/>
                <w:highlight w:val="none"/>
                <w:lang w:val="en-US" w:eastAsia="zh-CN"/>
              </w:rPr>
            </w:pPr>
          </w:p>
        </w:tc>
        <w:tc>
          <w:tcPr>
            <w:tcW w:w="1301" w:type="dxa"/>
            <w:vMerge w:val="continue"/>
            <w:tcBorders>
              <w:left w:val="single" w:color="auto" w:sz="4" w:space="0"/>
              <w:bottom w:val="single" w:color="auto" w:sz="4" w:space="0"/>
              <w:right w:val="single" w:color="auto" w:sz="4" w:space="0"/>
            </w:tcBorders>
            <w:shd w:val="clear" w:color="000000" w:fill="FFFFFF"/>
            <w:vAlign w:val="center"/>
          </w:tcPr>
          <w:p w14:paraId="0902FED1">
            <w:pPr>
              <w:jc w:val="center"/>
              <w:rPr>
                <w:rFonts w:hint="eastAsia" w:ascii="宋体" w:hAnsi="宋体" w:cs="宋体"/>
                <w:color w:val="auto"/>
                <w:kern w:val="0"/>
                <w:sz w:val="24"/>
                <w:highlight w:val="none"/>
                <w:lang w:val="zh-CN"/>
              </w:rPr>
            </w:pPr>
          </w:p>
        </w:tc>
        <w:tc>
          <w:tcPr>
            <w:tcW w:w="6246" w:type="dxa"/>
            <w:tcBorders>
              <w:top w:val="single" w:color="auto" w:sz="4" w:space="0"/>
              <w:left w:val="nil"/>
              <w:bottom w:val="single" w:color="auto" w:sz="4" w:space="0"/>
              <w:right w:val="single" w:color="auto" w:sz="4" w:space="0"/>
            </w:tcBorders>
            <w:shd w:val="clear" w:color="000000" w:fill="FFFFFF"/>
            <w:vAlign w:val="center"/>
          </w:tcPr>
          <w:p w14:paraId="07C4861F">
            <w:pPr>
              <w:pageBreakBefore w:val="0"/>
              <w:widowControl w:val="0"/>
              <w:kinsoku/>
              <w:wordWrap/>
              <w:overflowPunct/>
              <w:topLinePunct w:val="0"/>
              <w:autoSpaceDE/>
              <w:autoSpaceDN/>
              <w:bidi w:val="0"/>
              <w:spacing w:line="240" w:lineRule="auto"/>
              <w:jc w:val="both"/>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培训方案：根据提供的培训人员技术、执业能力、培训内容及培训方式、培训效果预期等情况，进行打分。（0-3分）</w:t>
            </w:r>
          </w:p>
        </w:tc>
        <w:tc>
          <w:tcPr>
            <w:tcW w:w="780" w:type="dxa"/>
            <w:tcBorders>
              <w:top w:val="single" w:color="auto" w:sz="4" w:space="0"/>
              <w:left w:val="nil"/>
              <w:bottom w:val="single" w:color="auto" w:sz="4" w:space="0"/>
              <w:right w:val="single" w:color="auto" w:sz="4" w:space="0"/>
            </w:tcBorders>
            <w:shd w:val="clear" w:color="000000" w:fill="FFFFFF"/>
            <w:vAlign w:val="center"/>
          </w:tcPr>
          <w:p w14:paraId="583018C4">
            <w:pPr>
              <w:pageBreakBefore w:val="0"/>
              <w:widowControl w:val="0"/>
              <w:kinsoku/>
              <w:wordWrap/>
              <w:overflowPunct/>
              <w:topLinePunct w:val="0"/>
              <w:autoSpaceDE/>
              <w:autoSpaceDN/>
              <w:bidi w:val="0"/>
              <w:spacing w:line="24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0-3</w:t>
            </w:r>
          </w:p>
        </w:tc>
      </w:tr>
    </w:tbl>
    <w:p w14:paraId="69412D70">
      <w:pPr>
        <w:adjustRightInd w:val="0"/>
        <w:snapToGrid w:val="0"/>
        <w:spacing w:line="420" w:lineRule="exact"/>
        <w:ind w:firstLine="482" w:firstLineChars="200"/>
        <w:rPr>
          <w:rFonts w:hint="eastAsia" w:ascii="宋体" w:hAnsi="宋体" w:cs="宋体"/>
          <w:b/>
          <w:bCs/>
          <w:color w:val="auto"/>
          <w:sz w:val="24"/>
          <w:highlight w:val="none"/>
        </w:rPr>
      </w:pPr>
    </w:p>
    <w:p w14:paraId="7C0AEE58">
      <w:pPr>
        <w:adjustRightInd w:val="0"/>
        <w:snapToGrid w:val="0"/>
        <w:spacing w:line="42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提示：</w:t>
      </w:r>
    </w:p>
    <w:p w14:paraId="4A66AA38">
      <w:pPr>
        <w:adjustRightInd w:val="0"/>
        <w:snapToGrid w:val="0"/>
        <w:spacing w:line="420" w:lineRule="exact"/>
        <w:ind w:firstLine="482" w:firstLineChars="200"/>
        <w:rPr>
          <w:rFonts w:ascii="宋体" w:hAnsi="宋体" w:cs="宋体"/>
          <w:b/>
          <w:bCs/>
          <w:color w:val="auto"/>
          <w:sz w:val="24"/>
          <w:highlight w:val="none"/>
          <w:u w:val="single"/>
        </w:rPr>
      </w:pPr>
      <w:r>
        <w:rPr>
          <w:rFonts w:hint="eastAsia" w:ascii="宋体" w:hAnsi="宋体" w:cs="宋体"/>
          <w:b/>
          <w:bCs/>
          <w:color w:val="auto"/>
          <w:sz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5F9CF0BF">
      <w:pPr>
        <w:adjustRightInd w:val="0"/>
        <w:snapToGrid w:val="0"/>
        <w:spacing w:line="420" w:lineRule="exact"/>
        <w:ind w:firstLine="482" w:firstLineChars="200"/>
        <w:rPr>
          <w:rFonts w:ascii="宋体" w:hAnsi="宋体" w:cs="宋体"/>
          <w:b/>
          <w:bCs/>
          <w:color w:val="auto"/>
          <w:sz w:val="24"/>
          <w:highlight w:val="none"/>
          <w:u w:val="single"/>
        </w:rPr>
      </w:pPr>
      <w:r>
        <w:rPr>
          <w:rFonts w:hint="eastAsia" w:ascii="宋体" w:hAnsi="宋体" w:cs="宋体"/>
          <w:b/>
          <w:bCs/>
          <w:color w:val="auto"/>
          <w:sz w:val="24"/>
          <w:highlight w:val="none"/>
          <w:u w:val="single"/>
        </w:rPr>
        <w:t>2、投标人提交的所有投标文件、资料（包括所有证书、合同、报告等）都是准确、真实、合规的，如提供虚假资料，投标人需承担一切后果。</w:t>
      </w:r>
    </w:p>
    <w:p w14:paraId="22CCB764">
      <w:pPr>
        <w:adjustRightInd w:val="0"/>
        <w:snapToGrid w:val="0"/>
        <w:spacing w:line="420" w:lineRule="exact"/>
        <w:ind w:firstLine="482" w:firstLineChars="200"/>
        <w:rPr>
          <w:rFonts w:ascii="宋体" w:hAnsi="宋体" w:cs="宋体"/>
          <w:color w:val="auto"/>
          <w:sz w:val="24"/>
          <w:highlight w:val="none"/>
          <w:lang w:val="zh-CN"/>
        </w:rPr>
      </w:pPr>
      <w:r>
        <w:rPr>
          <w:rFonts w:hint="eastAsia" w:ascii="宋体" w:hAnsi="宋体" w:cs="宋体"/>
          <w:b/>
          <w:bCs/>
          <w:color w:val="auto"/>
          <w:sz w:val="24"/>
          <w:highlight w:val="none"/>
          <w:u w:val="single"/>
        </w:rPr>
        <w:t>3、各投标人请将本招标项目评分索引表放在商务技术文件目录的前页，投标人自评分值（客观分部分）请投标人将应得分值准确自评（请勿不填写也请勿错误填写），以方便评委进行更加优质、高效的评审。</w:t>
      </w:r>
    </w:p>
    <w:p w14:paraId="22A42F4D">
      <w:pPr>
        <w:adjustRightInd w:val="0"/>
        <w:snapToGrid w:val="0"/>
        <w:spacing w:line="42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（三）商务技术分的计算方式</w:t>
      </w:r>
    </w:p>
    <w:p w14:paraId="0FB76AC0">
      <w:pPr>
        <w:adjustRightInd w:val="0"/>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商务技术分按照评标委员会成员的独立评分结果汇总后，取全部评标委员会成员评分值的算术平均分，计算公式为：</w:t>
      </w:r>
    </w:p>
    <w:p w14:paraId="0A87100F">
      <w:pPr>
        <w:adjustRightInd w:val="0"/>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商务技术分=（评标委员会所有成员评分合计数）/（评标委员会组成人员数）</w:t>
      </w:r>
    </w:p>
    <w:p w14:paraId="7A7FCDC9">
      <w:pPr>
        <w:pStyle w:val="14"/>
        <w:adjustRightInd w:val="0"/>
        <w:snapToGrid w:val="0"/>
        <w:spacing w:line="420" w:lineRule="exact"/>
        <w:ind w:firstLine="466" w:firstLineChars="200"/>
        <w:rPr>
          <w:rFonts w:hAnsi="宋体" w:cs="宋体"/>
          <w:b/>
          <w:color w:val="auto"/>
          <w:sz w:val="24"/>
          <w:szCs w:val="24"/>
          <w:highlight w:val="none"/>
        </w:rPr>
      </w:pPr>
      <w:r>
        <w:rPr>
          <w:rFonts w:hint="eastAsia" w:hAnsi="宋体" w:cs="宋体"/>
          <w:b/>
          <w:color w:val="auto"/>
          <w:sz w:val="24"/>
          <w:szCs w:val="24"/>
          <w:highlight w:val="none"/>
        </w:rPr>
        <w:t>三、投标人义务</w:t>
      </w:r>
    </w:p>
    <w:p w14:paraId="14069D05">
      <w:pPr>
        <w:pStyle w:val="14"/>
        <w:adjustRightInd w:val="0"/>
        <w:snapToGrid w:val="0"/>
        <w:spacing w:line="420" w:lineRule="exact"/>
        <w:ind w:firstLine="464" w:firstLineChars="200"/>
        <w:rPr>
          <w:rFonts w:hAnsi="宋体" w:cs="宋体"/>
          <w:b/>
          <w:color w:val="auto"/>
          <w:sz w:val="24"/>
          <w:highlight w:val="none"/>
          <w:lang w:val="zh-CN"/>
        </w:rPr>
      </w:pPr>
      <w:r>
        <w:rPr>
          <w:rFonts w:hint="eastAsia" w:hAnsi="宋体" w:cs="宋体"/>
          <w:bCs/>
          <w:color w:val="auto"/>
          <w:sz w:val="24"/>
          <w:szCs w:val="24"/>
          <w:highlight w:val="none"/>
        </w:rPr>
        <w:t>评标期间，投标人应随时随地答复评标委员会的询标，解答包括有关的商务、技术问题等。</w:t>
      </w:r>
    </w:p>
    <w:p w14:paraId="4817AC0D">
      <w:pPr>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14:paraId="4F304F28">
      <w:pPr>
        <w:jc w:val="center"/>
        <w:rPr>
          <w:rFonts w:ascii="宋体" w:hAnsi="宋体" w:cs="宋体"/>
          <w:b/>
          <w:color w:val="auto"/>
          <w:sz w:val="30"/>
          <w:szCs w:val="30"/>
          <w:highlight w:val="none"/>
        </w:rPr>
      </w:pPr>
      <w:r>
        <w:rPr>
          <w:rFonts w:hint="eastAsia" w:ascii="宋体" w:hAnsi="宋体" w:cs="宋体"/>
          <w:b/>
          <w:color w:val="auto"/>
          <w:sz w:val="30"/>
          <w:szCs w:val="30"/>
          <w:highlight w:val="none"/>
        </w:rPr>
        <w:t>招标项目评分索引表</w:t>
      </w:r>
    </w:p>
    <w:p w14:paraId="0B59829B">
      <w:pPr>
        <w:pStyle w:val="360"/>
        <w:ind w:firstLine="420"/>
        <w:rPr>
          <w:color w:val="auto"/>
          <w:highlight w:val="none"/>
        </w:rPr>
      </w:pPr>
    </w:p>
    <w:p w14:paraId="03F43C52">
      <w:pPr>
        <w:rPr>
          <w:rFonts w:ascii="宋体" w:hAnsi="宋体" w:cs="宋体"/>
          <w:b/>
          <w:color w:val="auto"/>
          <w:sz w:val="24"/>
          <w:highlight w:val="none"/>
        </w:rPr>
      </w:pPr>
      <w:r>
        <w:rPr>
          <w:rFonts w:hint="eastAsia" w:ascii="宋体" w:hAnsi="宋体" w:cs="宋体"/>
          <w:b/>
          <w:color w:val="auto"/>
          <w:sz w:val="24"/>
          <w:highlight w:val="none"/>
        </w:rPr>
        <w:t>项目名称：                                   投标人名称：</w:t>
      </w:r>
    </w:p>
    <w:p w14:paraId="4BBAB841">
      <w:pPr>
        <w:rPr>
          <w:rFonts w:ascii="宋体" w:hAnsi="宋体" w:cs="宋体"/>
          <w:b/>
          <w:color w:val="auto"/>
          <w:sz w:val="24"/>
          <w:highlight w:val="none"/>
        </w:rPr>
      </w:pPr>
      <w:r>
        <w:rPr>
          <w:rFonts w:hint="eastAsia" w:ascii="宋体" w:hAnsi="宋体" w:cs="宋体"/>
          <w:b/>
          <w:color w:val="auto"/>
          <w:sz w:val="24"/>
          <w:highlight w:val="none"/>
        </w:rPr>
        <w:t xml:space="preserve"> </w:t>
      </w:r>
    </w:p>
    <w:tbl>
      <w:tblPr>
        <w:tblStyle w:val="54"/>
        <w:tblW w:w="938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341"/>
        <w:gridCol w:w="1041"/>
        <w:gridCol w:w="1117"/>
        <w:gridCol w:w="2925"/>
        <w:gridCol w:w="1450"/>
      </w:tblGrid>
      <w:tr w14:paraId="4299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2854" w:type="dxa"/>
            <w:gridSpan w:val="2"/>
            <w:vAlign w:val="center"/>
          </w:tcPr>
          <w:p w14:paraId="553B84BB">
            <w:pPr>
              <w:widowControl/>
              <w:jc w:val="center"/>
              <w:rPr>
                <w:rFonts w:ascii="宋体" w:hAnsi="宋体" w:cs="宋体"/>
                <w:color w:val="auto"/>
                <w:szCs w:val="21"/>
                <w:highlight w:val="none"/>
              </w:rPr>
            </w:pPr>
            <w:r>
              <w:rPr>
                <w:rFonts w:hint="eastAsia" w:ascii="宋体" w:hAnsi="宋体" w:cs="宋体"/>
                <w:color w:val="auto"/>
                <w:szCs w:val="21"/>
                <w:highlight w:val="none"/>
              </w:rPr>
              <w:t>评标内容</w:t>
            </w:r>
          </w:p>
        </w:tc>
        <w:tc>
          <w:tcPr>
            <w:tcW w:w="1041" w:type="dxa"/>
            <w:vAlign w:val="center"/>
          </w:tcPr>
          <w:p w14:paraId="675FE215">
            <w:pPr>
              <w:widowControl/>
              <w:jc w:val="center"/>
              <w:rPr>
                <w:rFonts w:ascii="宋体" w:hAnsi="宋体" w:cs="宋体"/>
                <w:color w:val="auto"/>
                <w:szCs w:val="21"/>
                <w:highlight w:val="none"/>
              </w:rPr>
            </w:pPr>
            <w:r>
              <w:rPr>
                <w:rFonts w:hint="eastAsia" w:ascii="宋体" w:hAnsi="宋体" w:cs="宋体"/>
                <w:color w:val="auto"/>
                <w:szCs w:val="21"/>
                <w:highlight w:val="none"/>
              </w:rPr>
              <w:t>分值</w:t>
            </w:r>
          </w:p>
        </w:tc>
        <w:tc>
          <w:tcPr>
            <w:tcW w:w="1117" w:type="dxa"/>
            <w:vAlign w:val="center"/>
          </w:tcPr>
          <w:p w14:paraId="64712BE6">
            <w:pPr>
              <w:widowControl/>
              <w:jc w:val="center"/>
              <w:rPr>
                <w:rFonts w:ascii="宋体" w:hAnsi="宋体"/>
                <w:b/>
                <w:bCs/>
                <w:color w:val="auto"/>
                <w:szCs w:val="21"/>
                <w:highlight w:val="none"/>
              </w:rPr>
            </w:pPr>
            <w:r>
              <w:rPr>
                <w:rFonts w:hint="eastAsia" w:ascii="宋体" w:hAnsi="宋体"/>
                <w:b/>
                <w:bCs/>
                <w:color w:val="auto"/>
                <w:szCs w:val="21"/>
                <w:highlight w:val="none"/>
              </w:rPr>
              <w:t>投标文件</w:t>
            </w:r>
          </w:p>
          <w:p w14:paraId="64AE0273">
            <w:pPr>
              <w:widowControl/>
              <w:jc w:val="center"/>
              <w:rPr>
                <w:rFonts w:ascii="宋体" w:hAnsi="宋体" w:cs="宋体"/>
                <w:color w:val="auto"/>
                <w:szCs w:val="21"/>
                <w:highlight w:val="none"/>
              </w:rPr>
            </w:pPr>
            <w:r>
              <w:rPr>
                <w:rFonts w:hint="eastAsia" w:ascii="宋体" w:hAnsi="宋体"/>
                <w:b/>
                <w:bCs/>
                <w:color w:val="auto"/>
                <w:szCs w:val="21"/>
                <w:highlight w:val="none"/>
              </w:rPr>
              <w:t>响应页码</w:t>
            </w:r>
          </w:p>
        </w:tc>
        <w:tc>
          <w:tcPr>
            <w:tcW w:w="2925" w:type="dxa"/>
            <w:vAlign w:val="center"/>
          </w:tcPr>
          <w:p w14:paraId="02A0E533">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投标人</w:t>
            </w:r>
          </w:p>
          <w:p w14:paraId="71858CD2">
            <w:pPr>
              <w:widowControl/>
              <w:jc w:val="center"/>
              <w:rPr>
                <w:rFonts w:ascii="宋体" w:hAnsi="宋体" w:cs="宋体"/>
                <w:color w:val="auto"/>
                <w:szCs w:val="21"/>
                <w:highlight w:val="none"/>
              </w:rPr>
            </w:pPr>
            <w:r>
              <w:rPr>
                <w:rFonts w:hint="eastAsia" w:ascii="宋体" w:hAnsi="宋体" w:cs="宋体"/>
                <w:b/>
                <w:bCs/>
                <w:color w:val="auto"/>
                <w:kern w:val="0"/>
                <w:sz w:val="24"/>
                <w:highlight w:val="none"/>
              </w:rPr>
              <w:t>应标情况</w:t>
            </w:r>
          </w:p>
        </w:tc>
        <w:tc>
          <w:tcPr>
            <w:tcW w:w="1450" w:type="dxa"/>
            <w:vAlign w:val="center"/>
          </w:tcPr>
          <w:p w14:paraId="2B785672">
            <w:pPr>
              <w:widowControl/>
              <w:jc w:val="center"/>
              <w:rPr>
                <w:rFonts w:ascii="宋体" w:hAnsi="宋体" w:cs="宋体"/>
                <w:color w:val="auto"/>
                <w:szCs w:val="21"/>
                <w:highlight w:val="none"/>
              </w:rPr>
            </w:pPr>
            <w:r>
              <w:rPr>
                <w:rFonts w:hint="eastAsia" w:ascii="宋体" w:hAnsi="宋体" w:cs="宋体"/>
                <w:b/>
                <w:bCs/>
                <w:color w:val="auto"/>
                <w:kern w:val="0"/>
                <w:sz w:val="24"/>
                <w:highlight w:val="none"/>
              </w:rPr>
              <w:t>投标人自评分值</w:t>
            </w:r>
          </w:p>
        </w:tc>
      </w:tr>
      <w:tr w14:paraId="6B0BE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13" w:type="dxa"/>
            <w:vAlign w:val="center"/>
          </w:tcPr>
          <w:p w14:paraId="044B2343">
            <w:pPr>
              <w:jc w:val="center"/>
              <w:rPr>
                <w:rFonts w:ascii="宋体" w:hAnsi="宋体" w:cs="宋体"/>
                <w:bCs/>
                <w:color w:val="auto"/>
                <w:szCs w:val="21"/>
                <w:highlight w:val="none"/>
              </w:rPr>
            </w:pPr>
            <w:r>
              <w:rPr>
                <w:rFonts w:hint="eastAsia"/>
                <w:color w:val="auto"/>
                <w:sz w:val="24"/>
                <w:highlight w:val="none"/>
              </w:rPr>
              <w:t>1</w:t>
            </w:r>
          </w:p>
        </w:tc>
        <w:tc>
          <w:tcPr>
            <w:tcW w:w="2341" w:type="dxa"/>
            <w:tcBorders>
              <w:left w:val="single" w:color="auto" w:sz="4" w:space="0"/>
            </w:tcBorders>
            <w:vAlign w:val="center"/>
          </w:tcPr>
          <w:p w14:paraId="519473C4">
            <w:pPr>
              <w:jc w:val="center"/>
              <w:rPr>
                <w:rFonts w:ascii="宋体" w:hAnsi="宋体" w:cs="宋体"/>
                <w:color w:val="auto"/>
                <w:sz w:val="24"/>
                <w:highlight w:val="none"/>
                <w:lang w:val="zh-CN"/>
              </w:rPr>
            </w:pPr>
          </w:p>
        </w:tc>
        <w:tc>
          <w:tcPr>
            <w:tcW w:w="1041" w:type="dxa"/>
            <w:tcBorders>
              <w:left w:val="single" w:color="auto" w:sz="4" w:space="0"/>
            </w:tcBorders>
            <w:vAlign w:val="center"/>
          </w:tcPr>
          <w:p w14:paraId="472A0968">
            <w:pPr>
              <w:jc w:val="center"/>
              <w:rPr>
                <w:rFonts w:ascii="宋体" w:hAnsi="宋体" w:cs="宋体"/>
                <w:color w:val="auto"/>
                <w:kern w:val="0"/>
                <w:sz w:val="24"/>
                <w:highlight w:val="none"/>
              </w:rPr>
            </w:pPr>
          </w:p>
        </w:tc>
        <w:tc>
          <w:tcPr>
            <w:tcW w:w="1117" w:type="dxa"/>
            <w:tcBorders>
              <w:left w:val="single" w:color="auto" w:sz="4" w:space="0"/>
            </w:tcBorders>
            <w:vAlign w:val="center"/>
          </w:tcPr>
          <w:p w14:paraId="32B7C781">
            <w:pPr>
              <w:jc w:val="left"/>
              <w:rPr>
                <w:rFonts w:ascii="宋体" w:hAnsi="宋体" w:cs="宋体"/>
                <w:bCs/>
                <w:color w:val="auto"/>
                <w:szCs w:val="21"/>
                <w:highlight w:val="none"/>
              </w:rPr>
            </w:pPr>
          </w:p>
        </w:tc>
        <w:tc>
          <w:tcPr>
            <w:tcW w:w="2925" w:type="dxa"/>
            <w:tcBorders>
              <w:left w:val="single" w:color="auto" w:sz="4" w:space="0"/>
            </w:tcBorders>
            <w:vAlign w:val="center"/>
          </w:tcPr>
          <w:p w14:paraId="4F6D68D8">
            <w:pPr>
              <w:pStyle w:val="13"/>
              <w:ind w:firstLine="0"/>
              <w:jc w:val="center"/>
              <w:rPr>
                <w:rFonts w:ascii="宋体" w:hAnsi="宋体" w:cs="宋体"/>
                <w:bCs/>
                <w:color w:val="auto"/>
                <w:szCs w:val="21"/>
                <w:highlight w:val="none"/>
              </w:rPr>
            </w:pPr>
            <w:r>
              <w:rPr>
                <w:rFonts w:hint="eastAsia" w:ascii="宋体" w:hAnsi="宋体" w:cs="宋体"/>
                <w:b/>
                <w:bCs/>
                <w:color w:val="auto"/>
                <w:sz w:val="24"/>
                <w:highlight w:val="none"/>
                <w:shd w:val="pct10" w:color="auto" w:fill="FFFFFF"/>
              </w:rPr>
              <w:t>投标人务必将应标内容逐项详细填写齐全，以方便评委进行更加优质、高效的评审</w:t>
            </w:r>
          </w:p>
        </w:tc>
        <w:tc>
          <w:tcPr>
            <w:tcW w:w="1450" w:type="dxa"/>
            <w:tcBorders>
              <w:left w:val="single" w:color="auto" w:sz="4" w:space="0"/>
            </w:tcBorders>
            <w:vAlign w:val="center"/>
          </w:tcPr>
          <w:p w14:paraId="335BFD29">
            <w:pPr>
              <w:pStyle w:val="13"/>
              <w:ind w:firstLine="0"/>
              <w:jc w:val="center"/>
              <w:rPr>
                <w:rFonts w:ascii="宋体" w:hAnsi="宋体" w:cs="宋体"/>
                <w:bCs/>
                <w:color w:val="auto"/>
                <w:szCs w:val="21"/>
                <w:highlight w:val="none"/>
              </w:rPr>
            </w:pPr>
            <w:r>
              <w:rPr>
                <w:rFonts w:hint="eastAsia" w:ascii="宋体" w:hAnsi="宋体" w:cs="宋体"/>
                <w:b/>
                <w:bCs/>
                <w:color w:val="auto"/>
                <w:sz w:val="24"/>
                <w:highlight w:val="none"/>
                <w:shd w:val="pct10" w:color="auto" w:fill="FFFFFF"/>
              </w:rPr>
              <w:t>投标人将应得分值填写准确</w:t>
            </w:r>
          </w:p>
        </w:tc>
      </w:tr>
      <w:tr w14:paraId="50C9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3" w:type="dxa"/>
            <w:vAlign w:val="center"/>
          </w:tcPr>
          <w:p w14:paraId="43AEBE7E">
            <w:pPr>
              <w:jc w:val="center"/>
              <w:rPr>
                <w:rFonts w:ascii="宋体" w:hAnsi="宋体" w:cs="宋体"/>
                <w:bCs/>
                <w:color w:val="auto"/>
                <w:szCs w:val="21"/>
                <w:highlight w:val="none"/>
              </w:rPr>
            </w:pPr>
            <w:r>
              <w:rPr>
                <w:rFonts w:hint="eastAsia"/>
                <w:color w:val="auto"/>
                <w:sz w:val="24"/>
                <w:highlight w:val="none"/>
              </w:rPr>
              <w:t>2</w:t>
            </w:r>
          </w:p>
        </w:tc>
        <w:tc>
          <w:tcPr>
            <w:tcW w:w="2341" w:type="dxa"/>
            <w:tcBorders>
              <w:left w:val="single" w:color="auto" w:sz="4" w:space="0"/>
            </w:tcBorders>
            <w:vAlign w:val="center"/>
          </w:tcPr>
          <w:p w14:paraId="21CECCB4">
            <w:pPr>
              <w:jc w:val="center"/>
              <w:rPr>
                <w:rFonts w:ascii="宋体" w:hAnsi="宋体" w:cs="宋体"/>
                <w:color w:val="auto"/>
                <w:sz w:val="24"/>
                <w:highlight w:val="none"/>
              </w:rPr>
            </w:pPr>
          </w:p>
        </w:tc>
        <w:tc>
          <w:tcPr>
            <w:tcW w:w="1041" w:type="dxa"/>
            <w:tcBorders>
              <w:left w:val="single" w:color="auto" w:sz="4" w:space="0"/>
            </w:tcBorders>
            <w:vAlign w:val="center"/>
          </w:tcPr>
          <w:p w14:paraId="158FE292">
            <w:pPr>
              <w:jc w:val="center"/>
              <w:rPr>
                <w:rFonts w:ascii="宋体" w:hAnsi="宋体" w:cs="宋体"/>
                <w:color w:val="auto"/>
                <w:kern w:val="0"/>
                <w:sz w:val="24"/>
                <w:highlight w:val="none"/>
              </w:rPr>
            </w:pPr>
          </w:p>
        </w:tc>
        <w:tc>
          <w:tcPr>
            <w:tcW w:w="1117" w:type="dxa"/>
            <w:tcBorders>
              <w:left w:val="single" w:color="auto" w:sz="4" w:space="0"/>
            </w:tcBorders>
            <w:vAlign w:val="center"/>
          </w:tcPr>
          <w:p w14:paraId="4BF3B1F6">
            <w:pPr>
              <w:jc w:val="left"/>
              <w:rPr>
                <w:rFonts w:ascii="宋体" w:hAnsi="宋体" w:cs="宋体"/>
                <w:bCs/>
                <w:color w:val="auto"/>
                <w:szCs w:val="21"/>
                <w:highlight w:val="none"/>
              </w:rPr>
            </w:pPr>
          </w:p>
        </w:tc>
        <w:tc>
          <w:tcPr>
            <w:tcW w:w="2925" w:type="dxa"/>
            <w:tcBorders>
              <w:left w:val="single" w:color="auto" w:sz="4" w:space="0"/>
            </w:tcBorders>
            <w:vAlign w:val="center"/>
          </w:tcPr>
          <w:p w14:paraId="5EFF09AD">
            <w:pPr>
              <w:pStyle w:val="13"/>
              <w:ind w:firstLine="0"/>
              <w:jc w:val="center"/>
              <w:rPr>
                <w:rFonts w:ascii="宋体" w:hAnsi="宋体" w:cs="宋体"/>
                <w:bCs/>
                <w:color w:val="auto"/>
                <w:szCs w:val="21"/>
                <w:highlight w:val="none"/>
              </w:rPr>
            </w:pPr>
            <w:r>
              <w:rPr>
                <w:rFonts w:hint="eastAsia" w:ascii="宋体" w:hAnsi="宋体" w:cs="宋体"/>
                <w:b/>
                <w:bCs/>
                <w:color w:val="auto"/>
                <w:sz w:val="24"/>
                <w:highlight w:val="none"/>
                <w:shd w:val="pct10" w:color="auto" w:fill="FFFFFF"/>
              </w:rPr>
              <w:t>/</w:t>
            </w:r>
          </w:p>
        </w:tc>
        <w:tc>
          <w:tcPr>
            <w:tcW w:w="1450" w:type="dxa"/>
            <w:tcBorders>
              <w:left w:val="single" w:color="auto" w:sz="4" w:space="0"/>
            </w:tcBorders>
            <w:vAlign w:val="center"/>
          </w:tcPr>
          <w:p w14:paraId="79230D7B">
            <w:pPr>
              <w:pStyle w:val="13"/>
              <w:ind w:firstLine="0"/>
              <w:jc w:val="center"/>
              <w:rPr>
                <w:rFonts w:ascii="宋体" w:hAnsi="宋体" w:cs="宋体"/>
                <w:bCs/>
                <w:color w:val="auto"/>
                <w:szCs w:val="21"/>
                <w:highlight w:val="none"/>
              </w:rPr>
            </w:pPr>
            <w:r>
              <w:rPr>
                <w:rFonts w:hint="eastAsia" w:ascii="宋体" w:hAnsi="宋体" w:cs="宋体"/>
                <w:b/>
                <w:bCs/>
                <w:color w:val="auto"/>
                <w:sz w:val="24"/>
                <w:highlight w:val="none"/>
                <w:shd w:val="pct10" w:color="auto" w:fill="FFFFFF"/>
              </w:rPr>
              <w:t>/</w:t>
            </w:r>
          </w:p>
        </w:tc>
      </w:tr>
      <w:tr w14:paraId="4E00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513" w:type="dxa"/>
            <w:vAlign w:val="center"/>
          </w:tcPr>
          <w:p w14:paraId="50E39796">
            <w:pPr>
              <w:jc w:val="center"/>
              <w:rPr>
                <w:rFonts w:ascii="宋体" w:hAnsi="宋体" w:cs="宋体"/>
                <w:bCs/>
                <w:color w:val="auto"/>
                <w:szCs w:val="21"/>
                <w:highlight w:val="none"/>
              </w:rPr>
            </w:pPr>
            <w:r>
              <w:rPr>
                <w:rFonts w:hint="eastAsia"/>
                <w:color w:val="auto"/>
                <w:sz w:val="24"/>
                <w:highlight w:val="none"/>
              </w:rPr>
              <w:t>3</w:t>
            </w:r>
          </w:p>
        </w:tc>
        <w:tc>
          <w:tcPr>
            <w:tcW w:w="2341" w:type="dxa"/>
            <w:tcBorders>
              <w:left w:val="single" w:color="auto" w:sz="4" w:space="0"/>
            </w:tcBorders>
            <w:vAlign w:val="center"/>
          </w:tcPr>
          <w:p w14:paraId="463B3AA5">
            <w:pPr>
              <w:jc w:val="center"/>
              <w:rPr>
                <w:rFonts w:ascii="宋体" w:hAnsi="宋体" w:cs="宋体"/>
                <w:color w:val="auto"/>
                <w:sz w:val="24"/>
                <w:highlight w:val="none"/>
                <w:lang w:val="zh-CN"/>
              </w:rPr>
            </w:pPr>
          </w:p>
        </w:tc>
        <w:tc>
          <w:tcPr>
            <w:tcW w:w="1041" w:type="dxa"/>
            <w:tcBorders>
              <w:left w:val="single" w:color="auto" w:sz="4" w:space="0"/>
            </w:tcBorders>
            <w:vAlign w:val="center"/>
          </w:tcPr>
          <w:p w14:paraId="6945AE05">
            <w:pPr>
              <w:jc w:val="center"/>
              <w:rPr>
                <w:rFonts w:ascii="宋体" w:hAnsi="宋体" w:cs="宋体"/>
                <w:color w:val="auto"/>
                <w:kern w:val="0"/>
                <w:sz w:val="24"/>
                <w:highlight w:val="none"/>
              </w:rPr>
            </w:pPr>
          </w:p>
        </w:tc>
        <w:tc>
          <w:tcPr>
            <w:tcW w:w="1117" w:type="dxa"/>
            <w:tcBorders>
              <w:left w:val="single" w:color="auto" w:sz="4" w:space="0"/>
            </w:tcBorders>
            <w:vAlign w:val="center"/>
          </w:tcPr>
          <w:p w14:paraId="3131ED1A">
            <w:pPr>
              <w:jc w:val="left"/>
              <w:rPr>
                <w:rFonts w:ascii="宋体" w:hAnsi="宋体" w:cs="宋体"/>
                <w:bCs/>
                <w:color w:val="auto"/>
                <w:szCs w:val="21"/>
                <w:highlight w:val="none"/>
              </w:rPr>
            </w:pPr>
          </w:p>
        </w:tc>
        <w:tc>
          <w:tcPr>
            <w:tcW w:w="2925" w:type="dxa"/>
            <w:tcBorders>
              <w:left w:val="single" w:color="auto" w:sz="4" w:space="0"/>
            </w:tcBorders>
            <w:vAlign w:val="center"/>
          </w:tcPr>
          <w:p w14:paraId="6361DEE0">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c>
          <w:tcPr>
            <w:tcW w:w="1450" w:type="dxa"/>
            <w:tcBorders>
              <w:left w:val="single" w:color="auto" w:sz="4" w:space="0"/>
            </w:tcBorders>
            <w:vAlign w:val="center"/>
          </w:tcPr>
          <w:p w14:paraId="3CB02ED0">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r>
      <w:tr w14:paraId="6A5A3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513" w:type="dxa"/>
            <w:vAlign w:val="center"/>
          </w:tcPr>
          <w:p w14:paraId="0A760EDF">
            <w:pPr>
              <w:jc w:val="center"/>
              <w:rPr>
                <w:rFonts w:ascii="宋体" w:hAnsi="宋体" w:cs="宋体"/>
                <w:bCs/>
                <w:color w:val="auto"/>
                <w:szCs w:val="21"/>
                <w:highlight w:val="none"/>
              </w:rPr>
            </w:pPr>
            <w:r>
              <w:rPr>
                <w:rFonts w:hint="eastAsia"/>
                <w:color w:val="auto"/>
                <w:sz w:val="24"/>
                <w:highlight w:val="none"/>
              </w:rPr>
              <w:t>4</w:t>
            </w:r>
          </w:p>
        </w:tc>
        <w:tc>
          <w:tcPr>
            <w:tcW w:w="2341" w:type="dxa"/>
            <w:tcBorders>
              <w:left w:val="single" w:color="auto" w:sz="4" w:space="0"/>
            </w:tcBorders>
            <w:vAlign w:val="center"/>
          </w:tcPr>
          <w:p w14:paraId="6E2549C4">
            <w:pPr>
              <w:jc w:val="center"/>
              <w:rPr>
                <w:rFonts w:ascii="宋体" w:hAnsi="宋体" w:cs="宋体"/>
                <w:color w:val="auto"/>
                <w:sz w:val="24"/>
                <w:highlight w:val="none"/>
                <w:lang w:val="zh-CN"/>
              </w:rPr>
            </w:pPr>
          </w:p>
        </w:tc>
        <w:tc>
          <w:tcPr>
            <w:tcW w:w="1041" w:type="dxa"/>
            <w:tcBorders>
              <w:left w:val="single" w:color="auto" w:sz="4" w:space="0"/>
            </w:tcBorders>
            <w:vAlign w:val="center"/>
          </w:tcPr>
          <w:p w14:paraId="278BCC5B">
            <w:pPr>
              <w:jc w:val="center"/>
              <w:rPr>
                <w:rFonts w:ascii="宋体" w:hAnsi="宋体" w:cs="宋体"/>
                <w:color w:val="auto"/>
                <w:kern w:val="0"/>
                <w:sz w:val="24"/>
                <w:highlight w:val="none"/>
              </w:rPr>
            </w:pPr>
          </w:p>
        </w:tc>
        <w:tc>
          <w:tcPr>
            <w:tcW w:w="1117" w:type="dxa"/>
            <w:tcBorders>
              <w:left w:val="single" w:color="auto" w:sz="4" w:space="0"/>
            </w:tcBorders>
            <w:vAlign w:val="center"/>
          </w:tcPr>
          <w:p w14:paraId="392B851E">
            <w:pPr>
              <w:jc w:val="left"/>
              <w:rPr>
                <w:rFonts w:ascii="宋体" w:hAnsi="宋体" w:cs="宋体"/>
                <w:bCs/>
                <w:color w:val="auto"/>
                <w:szCs w:val="21"/>
                <w:highlight w:val="none"/>
              </w:rPr>
            </w:pPr>
          </w:p>
        </w:tc>
        <w:tc>
          <w:tcPr>
            <w:tcW w:w="2925" w:type="dxa"/>
            <w:tcBorders>
              <w:left w:val="single" w:color="auto" w:sz="4" w:space="0"/>
            </w:tcBorders>
            <w:vAlign w:val="center"/>
          </w:tcPr>
          <w:p w14:paraId="559EA35E">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c>
          <w:tcPr>
            <w:tcW w:w="1450" w:type="dxa"/>
            <w:tcBorders>
              <w:left w:val="single" w:color="auto" w:sz="4" w:space="0"/>
            </w:tcBorders>
            <w:vAlign w:val="center"/>
          </w:tcPr>
          <w:p w14:paraId="41EE3453">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r>
      <w:tr w14:paraId="68D6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13" w:type="dxa"/>
            <w:vAlign w:val="center"/>
          </w:tcPr>
          <w:p w14:paraId="2152930F">
            <w:pPr>
              <w:jc w:val="center"/>
              <w:rPr>
                <w:rFonts w:ascii="宋体" w:hAnsi="宋体" w:cs="宋体"/>
                <w:bCs/>
                <w:color w:val="auto"/>
                <w:szCs w:val="21"/>
                <w:highlight w:val="none"/>
              </w:rPr>
            </w:pPr>
            <w:r>
              <w:rPr>
                <w:rFonts w:hint="eastAsia"/>
                <w:color w:val="auto"/>
                <w:sz w:val="24"/>
                <w:highlight w:val="none"/>
              </w:rPr>
              <w:t>5</w:t>
            </w:r>
          </w:p>
        </w:tc>
        <w:tc>
          <w:tcPr>
            <w:tcW w:w="2341" w:type="dxa"/>
            <w:tcBorders>
              <w:left w:val="single" w:color="auto" w:sz="4" w:space="0"/>
            </w:tcBorders>
            <w:vAlign w:val="center"/>
          </w:tcPr>
          <w:p w14:paraId="77E06AA2">
            <w:pPr>
              <w:jc w:val="center"/>
              <w:rPr>
                <w:rFonts w:ascii="宋体" w:hAnsi="宋体" w:cs="宋体"/>
                <w:color w:val="auto"/>
                <w:sz w:val="24"/>
                <w:highlight w:val="none"/>
                <w:lang w:val="zh-CN"/>
              </w:rPr>
            </w:pPr>
          </w:p>
        </w:tc>
        <w:tc>
          <w:tcPr>
            <w:tcW w:w="1041" w:type="dxa"/>
            <w:tcBorders>
              <w:left w:val="single" w:color="auto" w:sz="4" w:space="0"/>
            </w:tcBorders>
            <w:vAlign w:val="center"/>
          </w:tcPr>
          <w:p w14:paraId="7767ADED">
            <w:pPr>
              <w:jc w:val="center"/>
              <w:rPr>
                <w:rFonts w:ascii="宋体" w:hAnsi="宋体" w:cs="宋体"/>
                <w:color w:val="auto"/>
                <w:kern w:val="0"/>
                <w:sz w:val="24"/>
                <w:highlight w:val="none"/>
              </w:rPr>
            </w:pPr>
          </w:p>
        </w:tc>
        <w:tc>
          <w:tcPr>
            <w:tcW w:w="1117" w:type="dxa"/>
            <w:tcBorders>
              <w:left w:val="single" w:color="auto" w:sz="4" w:space="0"/>
            </w:tcBorders>
            <w:vAlign w:val="center"/>
          </w:tcPr>
          <w:p w14:paraId="5F885EA6">
            <w:pPr>
              <w:jc w:val="left"/>
              <w:rPr>
                <w:rFonts w:ascii="宋体" w:hAnsi="宋体" w:cs="宋体"/>
                <w:bCs/>
                <w:color w:val="auto"/>
                <w:szCs w:val="21"/>
                <w:highlight w:val="none"/>
              </w:rPr>
            </w:pPr>
          </w:p>
        </w:tc>
        <w:tc>
          <w:tcPr>
            <w:tcW w:w="2925" w:type="dxa"/>
            <w:tcBorders>
              <w:left w:val="single" w:color="auto" w:sz="4" w:space="0"/>
            </w:tcBorders>
            <w:vAlign w:val="center"/>
          </w:tcPr>
          <w:p w14:paraId="0DA3E265">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c>
          <w:tcPr>
            <w:tcW w:w="1450" w:type="dxa"/>
            <w:tcBorders>
              <w:left w:val="single" w:color="auto" w:sz="4" w:space="0"/>
            </w:tcBorders>
            <w:vAlign w:val="center"/>
          </w:tcPr>
          <w:p w14:paraId="6330F93B">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r>
      <w:tr w14:paraId="58F2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513" w:type="dxa"/>
            <w:vAlign w:val="center"/>
          </w:tcPr>
          <w:p w14:paraId="7EEDEA67">
            <w:pPr>
              <w:jc w:val="center"/>
              <w:rPr>
                <w:rFonts w:ascii="宋体" w:hAnsi="宋体" w:cs="宋体"/>
                <w:bCs/>
                <w:color w:val="auto"/>
                <w:szCs w:val="21"/>
                <w:highlight w:val="none"/>
              </w:rPr>
            </w:pPr>
            <w:r>
              <w:rPr>
                <w:rFonts w:hint="eastAsia"/>
                <w:color w:val="auto"/>
                <w:sz w:val="24"/>
                <w:highlight w:val="none"/>
              </w:rPr>
              <w:t>6</w:t>
            </w:r>
          </w:p>
        </w:tc>
        <w:tc>
          <w:tcPr>
            <w:tcW w:w="2341" w:type="dxa"/>
            <w:tcBorders>
              <w:left w:val="single" w:color="auto" w:sz="4" w:space="0"/>
            </w:tcBorders>
            <w:vAlign w:val="center"/>
          </w:tcPr>
          <w:p w14:paraId="08466CFA">
            <w:pPr>
              <w:jc w:val="center"/>
              <w:rPr>
                <w:rFonts w:ascii="宋体" w:hAnsi="宋体" w:cs="宋体"/>
                <w:color w:val="auto"/>
                <w:sz w:val="24"/>
                <w:highlight w:val="none"/>
                <w:lang w:val="zh-CN"/>
              </w:rPr>
            </w:pPr>
          </w:p>
        </w:tc>
        <w:tc>
          <w:tcPr>
            <w:tcW w:w="1041" w:type="dxa"/>
            <w:tcBorders>
              <w:left w:val="single" w:color="auto" w:sz="4" w:space="0"/>
            </w:tcBorders>
            <w:vAlign w:val="center"/>
          </w:tcPr>
          <w:p w14:paraId="10CF7A88">
            <w:pPr>
              <w:jc w:val="center"/>
              <w:rPr>
                <w:rFonts w:ascii="宋体" w:hAnsi="宋体" w:cs="宋体"/>
                <w:color w:val="auto"/>
                <w:kern w:val="0"/>
                <w:sz w:val="24"/>
                <w:highlight w:val="none"/>
              </w:rPr>
            </w:pPr>
          </w:p>
        </w:tc>
        <w:tc>
          <w:tcPr>
            <w:tcW w:w="1117" w:type="dxa"/>
            <w:tcBorders>
              <w:left w:val="single" w:color="auto" w:sz="4" w:space="0"/>
            </w:tcBorders>
            <w:vAlign w:val="center"/>
          </w:tcPr>
          <w:p w14:paraId="029C605E">
            <w:pPr>
              <w:jc w:val="left"/>
              <w:rPr>
                <w:rFonts w:ascii="宋体" w:hAnsi="宋体" w:cs="宋体"/>
                <w:bCs/>
                <w:color w:val="auto"/>
                <w:szCs w:val="21"/>
                <w:highlight w:val="none"/>
              </w:rPr>
            </w:pPr>
          </w:p>
        </w:tc>
        <w:tc>
          <w:tcPr>
            <w:tcW w:w="2925" w:type="dxa"/>
            <w:tcBorders>
              <w:left w:val="single" w:color="auto" w:sz="4" w:space="0"/>
            </w:tcBorders>
            <w:vAlign w:val="center"/>
          </w:tcPr>
          <w:p w14:paraId="4429A906">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c>
          <w:tcPr>
            <w:tcW w:w="1450" w:type="dxa"/>
            <w:tcBorders>
              <w:left w:val="single" w:color="auto" w:sz="4" w:space="0"/>
            </w:tcBorders>
            <w:vAlign w:val="center"/>
          </w:tcPr>
          <w:p w14:paraId="0D4631D6">
            <w:pPr>
              <w:pStyle w:val="13"/>
              <w:ind w:firstLine="0"/>
              <w:jc w:val="center"/>
              <w:rPr>
                <w:rFonts w:ascii="宋体" w:hAnsi="宋体" w:cs="宋体"/>
                <w:bCs/>
                <w:color w:val="auto"/>
                <w:szCs w:val="21"/>
                <w:highlight w:val="none"/>
              </w:rPr>
            </w:pPr>
            <w:r>
              <w:rPr>
                <w:rFonts w:hint="eastAsia" w:ascii="宋体"/>
                <w:b/>
                <w:color w:val="auto"/>
                <w:szCs w:val="21"/>
                <w:highlight w:val="none"/>
              </w:rPr>
              <w:t>/</w:t>
            </w:r>
          </w:p>
        </w:tc>
      </w:tr>
      <w:tr w14:paraId="473CD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513" w:type="dxa"/>
            <w:vAlign w:val="center"/>
          </w:tcPr>
          <w:p w14:paraId="6F728266">
            <w:pPr>
              <w:jc w:val="center"/>
              <w:rPr>
                <w:color w:val="auto"/>
                <w:sz w:val="24"/>
                <w:highlight w:val="none"/>
              </w:rPr>
            </w:pPr>
            <w:r>
              <w:rPr>
                <w:rFonts w:hint="eastAsia"/>
                <w:color w:val="auto"/>
                <w:sz w:val="24"/>
                <w:highlight w:val="none"/>
              </w:rPr>
              <w:t>7</w:t>
            </w:r>
          </w:p>
        </w:tc>
        <w:tc>
          <w:tcPr>
            <w:tcW w:w="2341" w:type="dxa"/>
            <w:tcBorders>
              <w:left w:val="single" w:color="auto" w:sz="4" w:space="0"/>
            </w:tcBorders>
            <w:vAlign w:val="center"/>
          </w:tcPr>
          <w:p w14:paraId="17016BCF">
            <w:pPr>
              <w:jc w:val="center"/>
              <w:rPr>
                <w:rFonts w:ascii="宋体" w:hAnsi="宋体" w:cs="宋体"/>
                <w:color w:val="auto"/>
                <w:sz w:val="24"/>
                <w:highlight w:val="none"/>
                <w:lang w:val="zh-CN"/>
              </w:rPr>
            </w:pPr>
          </w:p>
        </w:tc>
        <w:tc>
          <w:tcPr>
            <w:tcW w:w="1041" w:type="dxa"/>
            <w:tcBorders>
              <w:left w:val="single" w:color="auto" w:sz="4" w:space="0"/>
            </w:tcBorders>
            <w:vAlign w:val="center"/>
          </w:tcPr>
          <w:p w14:paraId="2C919547">
            <w:pPr>
              <w:jc w:val="center"/>
              <w:rPr>
                <w:rFonts w:ascii="宋体" w:hAnsi="宋体" w:cs="宋体"/>
                <w:color w:val="auto"/>
                <w:kern w:val="0"/>
                <w:sz w:val="24"/>
                <w:highlight w:val="none"/>
              </w:rPr>
            </w:pPr>
          </w:p>
        </w:tc>
        <w:tc>
          <w:tcPr>
            <w:tcW w:w="1117" w:type="dxa"/>
            <w:tcBorders>
              <w:left w:val="single" w:color="auto" w:sz="4" w:space="0"/>
            </w:tcBorders>
            <w:vAlign w:val="center"/>
          </w:tcPr>
          <w:p w14:paraId="68189DA8">
            <w:pPr>
              <w:jc w:val="left"/>
              <w:rPr>
                <w:rFonts w:ascii="宋体" w:hAnsi="宋体" w:cs="宋体"/>
                <w:bCs/>
                <w:color w:val="auto"/>
                <w:szCs w:val="21"/>
                <w:highlight w:val="none"/>
              </w:rPr>
            </w:pPr>
          </w:p>
        </w:tc>
        <w:tc>
          <w:tcPr>
            <w:tcW w:w="2925" w:type="dxa"/>
            <w:tcBorders>
              <w:left w:val="single" w:color="auto" w:sz="4" w:space="0"/>
            </w:tcBorders>
            <w:vAlign w:val="center"/>
          </w:tcPr>
          <w:p w14:paraId="13652035">
            <w:pPr>
              <w:pStyle w:val="13"/>
              <w:ind w:firstLine="0"/>
              <w:jc w:val="center"/>
              <w:rPr>
                <w:rFonts w:ascii="宋体"/>
                <w:b/>
                <w:color w:val="auto"/>
                <w:szCs w:val="21"/>
                <w:highlight w:val="none"/>
              </w:rPr>
            </w:pPr>
          </w:p>
        </w:tc>
        <w:tc>
          <w:tcPr>
            <w:tcW w:w="1450" w:type="dxa"/>
            <w:tcBorders>
              <w:left w:val="single" w:color="auto" w:sz="4" w:space="0"/>
            </w:tcBorders>
            <w:vAlign w:val="center"/>
          </w:tcPr>
          <w:p w14:paraId="2991537E">
            <w:pPr>
              <w:pStyle w:val="13"/>
              <w:ind w:firstLine="0"/>
              <w:jc w:val="center"/>
              <w:rPr>
                <w:rFonts w:ascii="宋体"/>
                <w:b/>
                <w:color w:val="auto"/>
                <w:szCs w:val="21"/>
                <w:highlight w:val="none"/>
              </w:rPr>
            </w:pPr>
          </w:p>
        </w:tc>
      </w:tr>
      <w:tr w14:paraId="2AA0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2854" w:type="dxa"/>
            <w:gridSpan w:val="2"/>
            <w:vAlign w:val="center"/>
          </w:tcPr>
          <w:p w14:paraId="03560F2A">
            <w:pPr>
              <w:jc w:val="center"/>
              <w:rPr>
                <w:rFonts w:ascii="宋体" w:hAnsi="宋体" w:cs="宋体"/>
                <w:color w:val="auto"/>
                <w:sz w:val="24"/>
                <w:highlight w:val="none"/>
              </w:rPr>
            </w:pPr>
            <w:r>
              <w:rPr>
                <w:rFonts w:hint="eastAsia" w:ascii="宋体" w:hAnsi="宋体" w:cs="宋体"/>
                <w:color w:val="auto"/>
                <w:sz w:val="24"/>
                <w:highlight w:val="none"/>
              </w:rPr>
              <w:t>合计</w:t>
            </w:r>
          </w:p>
        </w:tc>
        <w:tc>
          <w:tcPr>
            <w:tcW w:w="1041" w:type="dxa"/>
            <w:tcBorders>
              <w:left w:val="single" w:color="auto" w:sz="4" w:space="0"/>
            </w:tcBorders>
            <w:vAlign w:val="center"/>
          </w:tcPr>
          <w:p w14:paraId="17906333">
            <w:pPr>
              <w:jc w:val="center"/>
              <w:rPr>
                <w:rFonts w:ascii="宋体" w:hAnsi="宋体" w:cs="宋体"/>
                <w:color w:val="auto"/>
                <w:sz w:val="24"/>
                <w:highlight w:val="none"/>
              </w:rPr>
            </w:pPr>
            <w:r>
              <w:rPr>
                <w:rFonts w:hint="eastAsia" w:ascii="宋体" w:hAnsi="宋体" w:cs="宋体"/>
                <w:color w:val="auto"/>
                <w:sz w:val="24"/>
                <w:highlight w:val="none"/>
              </w:rPr>
              <w:t>70分</w:t>
            </w:r>
          </w:p>
        </w:tc>
        <w:tc>
          <w:tcPr>
            <w:tcW w:w="1117" w:type="dxa"/>
            <w:tcBorders>
              <w:left w:val="single" w:color="auto" w:sz="4" w:space="0"/>
            </w:tcBorders>
            <w:vAlign w:val="center"/>
          </w:tcPr>
          <w:p w14:paraId="193A6410">
            <w:pPr>
              <w:jc w:val="left"/>
              <w:rPr>
                <w:rFonts w:ascii="宋体" w:hAnsi="宋体" w:cs="宋体"/>
                <w:bCs/>
                <w:color w:val="auto"/>
                <w:szCs w:val="21"/>
                <w:highlight w:val="none"/>
                <w:lang w:val="zh-CN"/>
              </w:rPr>
            </w:pPr>
          </w:p>
        </w:tc>
        <w:tc>
          <w:tcPr>
            <w:tcW w:w="2925" w:type="dxa"/>
            <w:tcBorders>
              <w:left w:val="single" w:color="auto" w:sz="4" w:space="0"/>
            </w:tcBorders>
            <w:vAlign w:val="center"/>
          </w:tcPr>
          <w:p w14:paraId="701D66B1">
            <w:pPr>
              <w:pStyle w:val="13"/>
              <w:ind w:firstLine="0"/>
              <w:jc w:val="center"/>
              <w:rPr>
                <w:rFonts w:ascii="宋体" w:hAnsi="宋体" w:cs="宋体"/>
                <w:bCs/>
                <w:color w:val="auto"/>
                <w:szCs w:val="21"/>
                <w:highlight w:val="none"/>
                <w:lang w:val="zh-CN"/>
              </w:rPr>
            </w:pPr>
            <w:r>
              <w:rPr>
                <w:rFonts w:hint="eastAsia" w:ascii="宋体"/>
                <w:b/>
                <w:color w:val="auto"/>
                <w:szCs w:val="21"/>
                <w:highlight w:val="none"/>
              </w:rPr>
              <w:t>/</w:t>
            </w:r>
          </w:p>
        </w:tc>
        <w:tc>
          <w:tcPr>
            <w:tcW w:w="1450" w:type="dxa"/>
            <w:tcBorders>
              <w:left w:val="single" w:color="auto" w:sz="4" w:space="0"/>
            </w:tcBorders>
            <w:vAlign w:val="center"/>
          </w:tcPr>
          <w:p w14:paraId="32F98CF0">
            <w:pPr>
              <w:pStyle w:val="13"/>
              <w:ind w:firstLine="0"/>
              <w:jc w:val="center"/>
              <w:rPr>
                <w:rFonts w:ascii="宋体" w:hAnsi="宋体" w:cs="宋体"/>
                <w:bCs/>
                <w:color w:val="auto"/>
                <w:szCs w:val="21"/>
                <w:highlight w:val="none"/>
                <w:lang w:val="zh-CN"/>
              </w:rPr>
            </w:pPr>
            <w:r>
              <w:rPr>
                <w:rFonts w:hint="eastAsia" w:ascii="宋体"/>
                <w:b/>
                <w:color w:val="auto"/>
                <w:szCs w:val="21"/>
                <w:highlight w:val="none"/>
              </w:rPr>
              <w:t>/</w:t>
            </w:r>
          </w:p>
        </w:tc>
      </w:tr>
    </w:tbl>
    <w:p w14:paraId="6DEA5BF1">
      <w:pPr>
        <w:rPr>
          <w:rFonts w:ascii="宋体" w:hAnsi="宋体" w:cs="宋体"/>
          <w:b/>
          <w:color w:val="auto"/>
          <w:sz w:val="24"/>
          <w:highlight w:val="none"/>
        </w:rPr>
      </w:pPr>
    </w:p>
    <w:p w14:paraId="52D6196C">
      <w:pPr>
        <w:jc w:val="left"/>
        <w:rPr>
          <w:rFonts w:ascii="宋体" w:hAnsi="宋体" w:cs="宋体"/>
          <w:color w:val="auto"/>
          <w:sz w:val="30"/>
          <w:szCs w:val="30"/>
          <w:highlight w:val="none"/>
        </w:rPr>
      </w:pPr>
      <w:r>
        <w:rPr>
          <w:rFonts w:hint="eastAsia" w:ascii="宋体" w:hAnsi="宋体" w:cs="宋体"/>
          <w:b/>
          <w:color w:val="auto"/>
          <w:spacing w:val="-4"/>
          <w:sz w:val="24"/>
          <w:highlight w:val="none"/>
        </w:rPr>
        <w:t>重要提示：本招标项目评分索引表放在商务技术文件目录的前页，</w:t>
      </w:r>
      <w:r>
        <w:rPr>
          <w:rFonts w:hint="eastAsia" w:ascii="宋体" w:hAnsi="宋体" w:cs="宋体"/>
          <w:b/>
          <w:color w:val="auto"/>
          <w:spacing w:val="-4"/>
          <w:sz w:val="24"/>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A9A1B39">
      <w:pPr>
        <w:jc w:val="center"/>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14:paraId="0513557E">
      <w:pPr>
        <w:numPr>
          <w:ilvl w:val="0"/>
          <w:numId w:val="7"/>
        </w:numPr>
        <w:adjustRightInd w:val="0"/>
        <w:spacing w:line="240" w:lineRule="atLeast"/>
        <w:jc w:val="center"/>
        <w:outlineLvl w:val="0"/>
        <w:rPr>
          <w:rFonts w:hint="eastAsia" w:ascii="宋体" w:hAnsi="宋体" w:cs="宋体"/>
          <w:b/>
          <w:color w:val="auto"/>
          <w:sz w:val="30"/>
          <w:szCs w:val="30"/>
          <w:highlight w:val="none"/>
        </w:rPr>
      </w:pPr>
      <w:bookmarkStart w:id="45" w:name="_Toc12005"/>
      <w:r>
        <w:rPr>
          <w:rFonts w:hint="eastAsia" w:ascii="宋体" w:hAnsi="宋体" w:cs="宋体"/>
          <w:b/>
          <w:color w:val="auto"/>
          <w:sz w:val="30"/>
          <w:szCs w:val="30"/>
          <w:highlight w:val="none"/>
        </w:rPr>
        <w:t xml:space="preserve"> 合同主要条款</w:t>
      </w:r>
      <w:bookmarkEnd w:id="45"/>
    </w:p>
    <w:p w14:paraId="42E4F042">
      <w:pPr>
        <w:pStyle w:val="360"/>
        <w:numPr>
          <w:ilvl w:val="0"/>
          <w:numId w:val="0"/>
        </w:numPr>
        <w:rPr>
          <w:color w:val="auto"/>
        </w:rPr>
      </w:pPr>
    </w:p>
    <w:p w14:paraId="51C378F2">
      <w:pPr>
        <w:spacing w:line="360" w:lineRule="auto"/>
        <w:ind w:firstLine="480" w:firstLineChars="200"/>
        <w:rPr>
          <w:rFonts w:ascii="宋体" w:hAnsi="宋体" w:cs="宋体"/>
          <w:color w:val="auto"/>
          <w:sz w:val="24"/>
          <w:highlight w:val="none"/>
        </w:rPr>
      </w:pPr>
      <w:bookmarkStart w:id="46" w:name="_Toc251160747"/>
      <w:bookmarkStart w:id="47" w:name="_Toc466534751"/>
      <w:r>
        <w:rPr>
          <w:rFonts w:hint="eastAsia" w:ascii="宋体" w:hAnsi="宋体" w:cs="宋体"/>
          <w:color w:val="auto"/>
          <w:sz w:val="24"/>
          <w:highlight w:val="none"/>
        </w:rPr>
        <w:t>项目名称：                           　  　项目编号：</w:t>
      </w:r>
    </w:p>
    <w:p w14:paraId="5303C244">
      <w:pPr>
        <w:pStyle w:val="32"/>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甲方（建设单位）：</w:t>
      </w:r>
      <w:r>
        <w:rPr>
          <w:rFonts w:hint="eastAsia" w:hAnsi="宋体" w:cs="宋体"/>
          <w:color w:val="auto"/>
          <w:highlight w:val="none"/>
          <w:lang w:eastAsia="zh-CN"/>
        </w:rPr>
        <w:t>临海市哲商小学</w:t>
      </w:r>
      <w:r>
        <w:rPr>
          <w:rFonts w:hint="eastAsia" w:hAnsi="宋体" w:cs="宋体"/>
          <w:color w:val="auto"/>
          <w:highlight w:val="none"/>
        </w:rPr>
        <w:t>　　　　　　　　　　　　</w:t>
      </w:r>
    </w:p>
    <w:p w14:paraId="52408930">
      <w:pPr>
        <w:pStyle w:val="32"/>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甲方（总承包单位）：浙江喻鼎建设有限公司</w:t>
      </w:r>
    </w:p>
    <w:p w14:paraId="10DBD227">
      <w:pPr>
        <w:pStyle w:val="32"/>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乙方：</w:t>
      </w:r>
    </w:p>
    <w:p w14:paraId="5C19E23B">
      <w:pPr>
        <w:pStyle w:val="32"/>
        <w:snapToGrid w:val="0"/>
        <w:spacing w:beforeLines="0" w:afterLines="0" w:line="360" w:lineRule="auto"/>
        <w:jc w:val="left"/>
        <w:rPr>
          <w:rFonts w:hAnsi="宋体" w:cs="宋体"/>
          <w:b/>
          <w:color w:val="auto"/>
          <w:highlight w:val="none"/>
        </w:rPr>
      </w:pPr>
      <w:r>
        <w:rPr>
          <w:rFonts w:hint="eastAsia" w:hAnsi="宋体" w:cs="宋体"/>
          <w:b/>
          <w:color w:val="auto"/>
          <w:highlight w:val="none"/>
        </w:rPr>
        <w:t xml:space="preserve">    </w:t>
      </w:r>
      <w:r>
        <w:rPr>
          <w:rFonts w:hint="eastAsia" w:hAnsi="宋体" w:cs="宋体"/>
          <w:color w:val="auto"/>
          <w:highlight w:val="none"/>
        </w:rPr>
        <w:t>甲、乙双方根据《中华人民共和国民法典》和</w:t>
      </w:r>
      <w:r>
        <w:rPr>
          <w:rFonts w:hint="eastAsia" w:hAnsi="宋体" w:cs="宋体"/>
          <w:color w:val="auto"/>
          <w:highlight w:val="none"/>
          <w:u w:val="single"/>
        </w:rPr>
        <w:t xml:space="preserve">             </w:t>
      </w:r>
      <w:r>
        <w:rPr>
          <w:rFonts w:hint="eastAsia" w:hAnsi="宋体" w:cs="宋体"/>
          <w:color w:val="auto"/>
          <w:highlight w:val="none"/>
        </w:rPr>
        <w:t>（本项目名称）招标文件的相关规定，双方达成一致签署本合同。</w:t>
      </w:r>
    </w:p>
    <w:p w14:paraId="6808D6E2">
      <w:pPr>
        <w:pStyle w:val="32"/>
        <w:snapToGrid w:val="0"/>
        <w:spacing w:beforeLines="0" w:afterLines="0" w:line="360" w:lineRule="auto"/>
        <w:rPr>
          <w:rFonts w:hAnsi="宋体"/>
          <w:b/>
          <w:color w:val="auto"/>
          <w:highlight w:val="none"/>
        </w:rPr>
      </w:pPr>
      <w:r>
        <w:rPr>
          <w:rFonts w:hint="eastAsia" w:hAnsi="宋体"/>
          <w:b/>
          <w:color w:val="auto"/>
          <w:highlight w:val="none"/>
        </w:rPr>
        <w:t>一、货物内容</w:t>
      </w:r>
    </w:p>
    <w:p w14:paraId="36289A0F">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 货物名称：</w:t>
      </w:r>
    </w:p>
    <w:p w14:paraId="4EAAF1E3">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 型号规格：</w:t>
      </w:r>
    </w:p>
    <w:p w14:paraId="0F0E7366">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3. 技术参数：</w:t>
      </w:r>
    </w:p>
    <w:p w14:paraId="386DD30B">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4. 数量（单位）：</w:t>
      </w:r>
    </w:p>
    <w:p w14:paraId="68460F4E">
      <w:pPr>
        <w:pStyle w:val="32"/>
        <w:snapToGrid w:val="0"/>
        <w:spacing w:beforeLines="0" w:afterLines="0" w:line="360" w:lineRule="auto"/>
        <w:rPr>
          <w:rFonts w:hAnsi="宋体"/>
          <w:b/>
          <w:color w:val="auto"/>
          <w:highlight w:val="none"/>
        </w:rPr>
      </w:pPr>
      <w:r>
        <w:rPr>
          <w:rFonts w:hint="eastAsia" w:hAnsi="宋体"/>
          <w:b/>
          <w:color w:val="auto"/>
          <w:highlight w:val="none"/>
        </w:rPr>
        <w:t>二、合同金额</w:t>
      </w:r>
    </w:p>
    <w:p w14:paraId="102C0C8E">
      <w:pPr>
        <w:pStyle w:val="32"/>
        <w:snapToGrid w:val="0"/>
        <w:spacing w:beforeLines="0" w:afterLines="0" w:line="420" w:lineRule="exact"/>
        <w:ind w:left="239" w:leftChars="114" w:firstLine="240" w:firstLineChars="100"/>
        <w:jc w:val="left"/>
        <w:rPr>
          <w:rFonts w:hint="eastAsia" w:hAnsi="宋体" w:eastAsia="宋体" w:cs="宋体"/>
          <w:color w:val="auto"/>
          <w:kern w:val="2"/>
          <w:highlight w:val="none"/>
          <w:lang w:eastAsia="zh-CN"/>
        </w:rPr>
      </w:pPr>
      <w:r>
        <w:rPr>
          <w:rFonts w:hint="eastAsia" w:hAnsi="宋体" w:cs="宋体"/>
          <w:color w:val="auto"/>
          <w:kern w:val="2"/>
          <w:highlight w:val="none"/>
        </w:rPr>
        <w:t>本合同金额为（大写）：____________________元（￥_____________元）人民币。</w:t>
      </w:r>
      <w:r>
        <w:rPr>
          <w:rFonts w:hint="eastAsia" w:hAnsi="宋体" w:cs="宋体"/>
          <w:color w:val="auto"/>
          <w:kern w:val="2"/>
          <w:highlight w:val="none"/>
          <w:lang w:val="en-US" w:eastAsia="zh-CN"/>
        </w:rPr>
        <w:t>（合同金额</w:t>
      </w:r>
      <w:r>
        <w:rPr>
          <w:rFonts w:hint="eastAsia" w:hAnsi="宋体" w:cs="宋体"/>
          <w:color w:val="auto"/>
          <w:kern w:val="2"/>
          <w:highlight w:val="none"/>
        </w:rPr>
        <w:t>包括</w:t>
      </w:r>
      <w:r>
        <w:rPr>
          <w:rFonts w:hint="eastAsia" w:hAnsi="宋体" w:cs="宋体"/>
          <w:color w:val="auto"/>
          <w:highlight w:val="none"/>
        </w:rPr>
        <w:t>应包括但不限于人工、制造、材料、设备、运输、装卸、安装、交货之前产品保护、保管费、材料检测费、总承包服务费</w:t>
      </w:r>
      <w:r>
        <w:rPr>
          <w:rFonts w:hint="eastAsia" w:hAnsi="宋体" w:cs="宋体"/>
          <w:color w:val="auto"/>
          <w:highlight w:val="none"/>
          <w:lang w:eastAsia="zh-CN"/>
        </w:rPr>
        <w:t>、</w:t>
      </w:r>
      <w:r>
        <w:rPr>
          <w:rFonts w:hint="eastAsia" w:hAnsi="宋体" w:cs="宋体"/>
          <w:color w:val="auto"/>
          <w:highlight w:val="none"/>
        </w:rPr>
        <w:t>调试、措施费、售后服务、保险、规费、利润、税金、风险费及其他等一切费用。</w:t>
      </w:r>
      <w:r>
        <w:rPr>
          <w:rFonts w:hint="eastAsia" w:hAnsi="宋体" w:cs="宋体"/>
          <w:color w:val="auto"/>
          <w:highlight w:val="none"/>
          <w:lang w:eastAsia="zh-CN"/>
        </w:rPr>
        <w:t>）</w:t>
      </w:r>
    </w:p>
    <w:p w14:paraId="771FFFE0">
      <w:pPr>
        <w:pStyle w:val="32"/>
        <w:snapToGrid w:val="0"/>
        <w:spacing w:beforeLines="0" w:afterLines="0" w:line="360" w:lineRule="auto"/>
        <w:ind w:firstLine="480" w:firstLineChars="200"/>
        <w:rPr>
          <w:rFonts w:hAnsi="宋体"/>
          <w:b/>
          <w:color w:val="auto"/>
          <w:highlight w:val="none"/>
        </w:rPr>
      </w:pPr>
      <w:r>
        <w:rPr>
          <w:rFonts w:hint="eastAsia" w:hAnsi="宋体" w:cs="宋体"/>
          <w:color w:val="auto"/>
          <w:kern w:val="2"/>
          <w:highlight w:val="none"/>
        </w:rPr>
        <w:t>甲方可根据实际情况增加或减少工程量，乙方须无条件服从，并按实际工程量结算。工程量不论增减多少，单价不变，乙方不得拒绝。</w:t>
      </w:r>
    </w:p>
    <w:p w14:paraId="64E1273A">
      <w:pPr>
        <w:pStyle w:val="32"/>
        <w:snapToGrid w:val="0"/>
        <w:spacing w:beforeLines="0" w:afterLines="0" w:line="360" w:lineRule="auto"/>
        <w:rPr>
          <w:rFonts w:hAnsi="宋体"/>
          <w:b/>
          <w:color w:val="auto"/>
          <w:highlight w:val="none"/>
        </w:rPr>
      </w:pPr>
      <w:r>
        <w:rPr>
          <w:rFonts w:hint="eastAsia" w:hAnsi="宋体"/>
          <w:b/>
          <w:color w:val="auto"/>
          <w:highlight w:val="none"/>
        </w:rPr>
        <w:t>三、技术资料</w:t>
      </w:r>
    </w:p>
    <w:p w14:paraId="2CAACE1D">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1.乙方应按招标文件规定的时间向甲方提供使用货物的有关技术资料。</w:t>
      </w:r>
    </w:p>
    <w:p w14:paraId="2FB1F38C">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8D90080">
      <w:pPr>
        <w:pStyle w:val="32"/>
        <w:snapToGrid w:val="0"/>
        <w:spacing w:beforeLines="0" w:afterLines="0" w:line="360" w:lineRule="auto"/>
        <w:rPr>
          <w:rFonts w:hAnsi="宋体"/>
          <w:b/>
          <w:color w:val="auto"/>
          <w:highlight w:val="none"/>
        </w:rPr>
      </w:pPr>
      <w:r>
        <w:rPr>
          <w:rFonts w:hint="eastAsia" w:hAnsi="宋体"/>
          <w:b/>
          <w:color w:val="auto"/>
          <w:highlight w:val="none"/>
        </w:rPr>
        <w:t>四、知识产权</w:t>
      </w:r>
    </w:p>
    <w:p w14:paraId="17F502A6">
      <w:pPr>
        <w:pStyle w:val="32"/>
        <w:snapToGrid w:val="0"/>
        <w:spacing w:beforeLines="0" w:afterLines="0" w:line="360" w:lineRule="auto"/>
        <w:ind w:firstLine="480" w:firstLineChars="200"/>
        <w:rPr>
          <w:rFonts w:hAnsi="宋体"/>
          <w:bCs/>
          <w:color w:val="auto"/>
          <w:highlight w:val="none"/>
        </w:rPr>
      </w:pPr>
      <w:r>
        <w:rPr>
          <w:rFonts w:hint="eastAsia" w:hAnsi="宋体"/>
          <w:color w:val="auto"/>
          <w:highlight w:val="none"/>
        </w:rPr>
        <w:t>乙方应保证所提供的货物或其任何一部分均不会侵犯任何第三方的知识产权</w:t>
      </w:r>
      <w:r>
        <w:rPr>
          <w:rFonts w:hint="eastAsia" w:hAnsi="宋体"/>
          <w:bCs/>
          <w:color w:val="auto"/>
          <w:highlight w:val="none"/>
        </w:rPr>
        <w:t>。</w:t>
      </w:r>
    </w:p>
    <w:p w14:paraId="2D734D1C">
      <w:pPr>
        <w:pStyle w:val="32"/>
        <w:snapToGrid w:val="0"/>
        <w:spacing w:beforeLines="0" w:afterLines="0" w:line="360" w:lineRule="auto"/>
        <w:rPr>
          <w:rFonts w:hAnsi="宋体"/>
          <w:color w:val="auto"/>
          <w:highlight w:val="none"/>
          <w:u w:val="single"/>
        </w:rPr>
      </w:pPr>
      <w:r>
        <w:rPr>
          <w:rFonts w:hint="eastAsia" w:hAnsi="宋体"/>
          <w:b/>
          <w:color w:val="auto"/>
          <w:highlight w:val="none"/>
        </w:rPr>
        <w:t>五、产权担保</w:t>
      </w:r>
    </w:p>
    <w:p w14:paraId="3B61E47E">
      <w:pPr>
        <w:pStyle w:val="32"/>
        <w:snapToGrid w:val="0"/>
        <w:spacing w:beforeLines="0" w:afterLines="0" w:line="360" w:lineRule="auto"/>
        <w:ind w:firstLine="480" w:firstLineChars="200"/>
        <w:rPr>
          <w:rFonts w:hAnsi="宋体"/>
          <w:color w:val="auto"/>
          <w:highlight w:val="none"/>
          <w:u w:val="single"/>
        </w:rPr>
      </w:pPr>
      <w:r>
        <w:rPr>
          <w:rFonts w:hint="eastAsia" w:hAnsi="宋体"/>
          <w:color w:val="auto"/>
          <w:highlight w:val="none"/>
        </w:rPr>
        <w:t>乙方保证所交付的货物的所有权完全属于乙方且无任何抵押、查封等产权瑕疵。</w:t>
      </w:r>
    </w:p>
    <w:p w14:paraId="35878DE4">
      <w:pPr>
        <w:pStyle w:val="32"/>
        <w:snapToGrid w:val="0"/>
        <w:spacing w:beforeLines="0" w:afterLines="0" w:line="360" w:lineRule="auto"/>
        <w:rPr>
          <w:rFonts w:hAnsi="宋体"/>
          <w:b/>
          <w:color w:val="auto"/>
          <w:highlight w:val="none"/>
        </w:rPr>
      </w:pPr>
      <w:r>
        <w:rPr>
          <w:rFonts w:hint="eastAsia" w:hAnsi="宋体"/>
          <w:b/>
          <w:color w:val="auto"/>
          <w:highlight w:val="none"/>
        </w:rPr>
        <w:t>六、履约保证金</w:t>
      </w:r>
    </w:p>
    <w:p w14:paraId="2C5B2EAF">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乙方交纳</w:t>
      </w:r>
      <w:r>
        <w:rPr>
          <w:rFonts w:hint="eastAsia" w:hAnsi="宋体"/>
          <w:color w:val="auto"/>
          <w:highlight w:val="none"/>
          <w:u w:val="single"/>
        </w:rPr>
        <w:t xml:space="preserve">      </w:t>
      </w:r>
      <w:r>
        <w:rPr>
          <w:rFonts w:hint="eastAsia" w:hAnsi="宋体"/>
          <w:color w:val="auto"/>
          <w:highlight w:val="none"/>
        </w:rPr>
        <w:t>元作为本合同的履约保证金。</w:t>
      </w:r>
    </w:p>
    <w:p w14:paraId="411AB4A9">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乙方应当在合同签订前向临海市产权交易所有限公司缴纳（提供）中标价1%履约保证金（现金（电汇或银行汇票形式）或银行保函或保险机构保证保险保单或融资担保公司保函），履约保证金在项目整体竣工验收合格后无息退还。</w:t>
      </w:r>
    </w:p>
    <w:p w14:paraId="66CF99FF">
      <w:pPr>
        <w:numPr>
          <w:ilvl w:val="0"/>
          <w:numId w:val="8"/>
        </w:num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总承包服务费</w:t>
      </w:r>
    </w:p>
    <w:p w14:paraId="73B776DE">
      <w:pPr>
        <w:pStyle w:val="32"/>
        <w:snapToGrid w:val="0"/>
        <w:spacing w:beforeLines="0" w:afterLines="0" w:line="360" w:lineRule="auto"/>
        <w:ind w:firstLine="480" w:firstLineChars="200"/>
        <w:rPr>
          <w:rFonts w:hint="eastAsia" w:hAnsi="宋体" w:eastAsia="宋体"/>
          <w:color w:val="auto"/>
          <w:highlight w:val="none"/>
          <w:lang w:eastAsia="zh-CN"/>
        </w:rPr>
      </w:pPr>
      <w:r>
        <w:rPr>
          <w:rFonts w:hint="eastAsia" w:hAnsi="宋体"/>
          <w:color w:val="auto"/>
          <w:highlight w:val="none"/>
        </w:rPr>
        <w:t>乙方应按约定向总承包单位支付合同金额</w:t>
      </w:r>
      <w:r>
        <w:rPr>
          <w:rFonts w:hint="eastAsia" w:hAnsi="宋体"/>
          <w:color w:val="auto"/>
          <w:highlight w:val="none"/>
          <w:lang w:val="en-US" w:eastAsia="zh-CN"/>
        </w:rPr>
        <w:t>3</w:t>
      </w:r>
      <w:r>
        <w:rPr>
          <w:rFonts w:hint="eastAsia" w:hAnsi="宋体"/>
          <w:color w:val="auto"/>
          <w:highlight w:val="none"/>
        </w:rPr>
        <w:t>%</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r>
        <w:rPr>
          <w:rFonts w:hint="eastAsia" w:hAnsi="宋体"/>
          <w:color w:val="auto"/>
          <w:highlight w:val="none"/>
          <w:lang w:val="en-US" w:eastAsia="zh-CN"/>
        </w:rPr>
        <w:t>元）</w:t>
      </w:r>
      <w:r>
        <w:rPr>
          <w:rFonts w:hint="eastAsia" w:hAnsi="宋体"/>
          <w:color w:val="auto"/>
          <w:highlight w:val="none"/>
        </w:rPr>
        <w:t>的总承包服务费</w:t>
      </w:r>
      <w:r>
        <w:rPr>
          <w:rFonts w:hint="eastAsia" w:hAnsi="宋体"/>
          <w:color w:val="auto"/>
          <w:highlight w:val="none"/>
          <w:lang w:eastAsia="zh-CN"/>
        </w:rPr>
        <w:t>。</w:t>
      </w:r>
    </w:p>
    <w:p w14:paraId="38917D01">
      <w:pPr>
        <w:spacing w:line="360" w:lineRule="auto"/>
        <w:rPr>
          <w:rFonts w:ascii="宋体" w:hAnsi="宋体"/>
          <w:b/>
          <w:color w:val="auto"/>
          <w:sz w:val="24"/>
          <w:highlight w:val="none"/>
        </w:rPr>
      </w:pPr>
      <w:r>
        <w:rPr>
          <w:rFonts w:hint="eastAsia" w:ascii="宋体" w:hAnsi="宋体"/>
          <w:b/>
          <w:color w:val="auto"/>
          <w:sz w:val="24"/>
          <w:highlight w:val="none"/>
          <w:lang w:val="en-US" w:eastAsia="zh-CN"/>
        </w:rPr>
        <w:t>八</w:t>
      </w:r>
      <w:r>
        <w:rPr>
          <w:rFonts w:hint="eastAsia" w:ascii="宋体" w:hAnsi="宋体"/>
          <w:b/>
          <w:color w:val="auto"/>
          <w:sz w:val="24"/>
          <w:highlight w:val="none"/>
        </w:rPr>
        <w:t>、转包或分包</w:t>
      </w:r>
    </w:p>
    <w:p w14:paraId="40755F6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1.本合同范围的货物，应由乙方直接供应，不得转让他人供应；</w:t>
      </w:r>
    </w:p>
    <w:p w14:paraId="71D9328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2.除非得到甲方的书面同意，乙方不得将本合同范围的货物全部或部分分包给他人供应；</w:t>
      </w:r>
    </w:p>
    <w:p w14:paraId="34735B0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3.如有转让和未经甲方同意的分包行为，甲方有权解除合同，履约保证金不予退回并追究乙方的违约责任。</w:t>
      </w:r>
    </w:p>
    <w:p w14:paraId="4877DF34">
      <w:pPr>
        <w:pStyle w:val="32"/>
        <w:snapToGrid w:val="0"/>
        <w:spacing w:beforeLines="0" w:afterLines="0" w:line="360" w:lineRule="auto"/>
        <w:rPr>
          <w:rFonts w:hAnsi="宋体"/>
          <w:color w:val="auto"/>
          <w:highlight w:val="none"/>
        </w:rPr>
      </w:pPr>
      <w:r>
        <w:rPr>
          <w:rFonts w:hint="eastAsia" w:hAnsi="宋体"/>
          <w:b/>
          <w:color w:val="auto"/>
          <w:highlight w:val="none"/>
          <w:lang w:val="en-US" w:eastAsia="zh-CN"/>
        </w:rPr>
        <w:t>九</w:t>
      </w:r>
      <w:r>
        <w:rPr>
          <w:rFonts w:hint="eastAsia" w:hAnsi="宋体"/>
          <w:b/>
          <w:color w:val="auto"/>
          <w:highlight w:val="none"/>
        </w:rPr>
        <w:t>、质保期</w:t>
      </w:r>
    </w:p>
    <w:p w14:paraId="39BAA88E">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1.质保期</w:t>
      </w:r>
      <w:r>
        <w:rPr>
          <w:rFonts w:hint="eastAsia" w:hAnsi="宋体"/>
          <w:color w:val="auto"/>
          <w:highlight w:val="none"/>
          <w:u w:val="single"/>
        </w:rPr>
        <w:t xml:space="preserve">  </w:t>
      </w:r>
      <w:r>
        <w:rPr>
          <w:rFonts w:hAnsi="宋体"/>
          <w:color w:val="auto"/>
          <w:highlight w:val="none"/>
          <w:u w:val="single"/>
        </w:rPr>
        <w:t xml:space="preserve">  </w:t>
      </w:r>
      <w:r>
        <w:rPr>
          <w:rFonts w:hint="eastAsia" w:hAnsi="宋体"/>
          <w:color w:val="auto"/>
          <w:highlight w:val="none"/>
        </w:rPr>
        <w:t>年</w:t>
      </w:r>
      <w:r>
        <w:rPr>
          <w:rFonts w:hint="eastAsia" w:hAnsi="宋体"/>
          <w:color w:val="auto"/>
          <w:highlight w:val="none"/>
          <w:lang w:eastAsia="zh-CN"/>
        </w:rPr>
        <w:t>（</w:t>
      </w:r>
      <w:r>
        <w:rPr>
          <w:rFonts w:hint="eastAsia" w:hAnsi="宋体"/>
          <w:color w:val="auto"/>
          <w:highlight w:val="none"/>
          <w:lang w:val="en-US" w:eastAsia="zh-CN"/>
        </w:rPr>
        <w:t>自</w:t>
      </w:r>
      <w:r>
        <w:rPr>
          <w:rFonts w:hint="eastAsia" w:hAnsi="宋体"/>
          <w:color w:val="auto"/>
          <w:highlight w:val="none"/>
        </w:rPr>
        <w:t>项目整体验收合格之日起</w:t>
      </w:r>
      <w:r>
        <w:rPr>
          <w:rFonts w:hint="eastAsia" w:hAnsi="宋体"/>
          <w:color w:val="auto"/>
          <w:highlight w:val="none"/>
          <w:lang w:eastAsia="zh-CN"/>
        </w:rPr>
        <w:t>）</w:t>
      </w:r>
      <w:r>
        <w:rPr>
          <w:rFonts w:hint="eastAsia" w:hAnsi="宋体"/>
          <w:color w:val="auto"/>
          <w:highlight w:val="none"/>
        </w:rPr>
        <w:t>。</w:t>
      </w:r>
    </w:p>
    <w:p w14:paraId="48E1212F">
      <w:pPr>
        <w:pStyle w:val="32"/>
        <w:snapToGrid w:val="0"/>
        <w:spacing w:beforeLines="0" w:afterLines="0" w:line="360" w:lineRule="auto"/>
        <w:rPr>
          <w:rFonts w:hAnsi="宋体"/>
          <w:b/>
          <w:color w:val="auto"/>
          <w:highlight w:val="none"/>
        </w:rPr>
      </w:pPr>
      <w:r>
        <w:rPr>
          <w:rFonts w:hint="eastAsia" w:hAnsi="宋体"/>
          <w:b/>
          <w:color w:val="auto"/>
          <w:highlight w:val="none"/>
          <w:lang w:val="en-US" w:eastAsia="zh-CN"/>
        </w:rPr>
        <w:t>十</w:t>
      </w:r>
      <w:r>
        <w:rPr>
          <w:rFonts w:hint="eastAsia" w:hAnsi="宋体"/>
          <w:b/>
          <w:color w:val="auto"/>
          <w:highlight w:val="none"/>
        </w:rPr>
        <w:t>、交货期、交货方式及交货地点</w:t>
      </w:r>
    </w:p>
    <w:p w14:paraId="7FC2DA7E">
      <w:pPr>
        <w:pStyle w:val="32"/>
        <w:snapToGrid w:val="0"/>
        <w:spacing w:beforeLines="0" w:afterLines="0" w:line="360" w:lineRule="auto"/>
        <w:ind w:firstLine="480" w:firstLineChars="200"/>
        <w:rPr>
          <w:rFonts w:hint="eastAsia" w:hAnsi="宋体" w:eastAsia="宋体"/>
          <w:bCs/>
          <w:color w:val="auto"/>
          <w:highlight w:val="none"/>
          <w:lang w:eastAsia="zh-CN"/>
        </w:rPr>
      </w:pPr>
      <w:r>
        <w:rPr>
          <w:rFonts w:hint="eastAsia" w:hAnsi="宋体"/>
          <w:bCs/>
          <w:color w:val="auto"/>
          <w:highlight w:val="none"/>
        </w:rPr>
        <w:t>1. 交货期：合同签订后接到</w:t>
      </w:r>
      <w:r>
        <w:rPr>
          <w:rFonts w:hint="eastAsia" w:hAnsi="宋体"/>
          <w:bCs/>
          <w:color w:val="auto"/>
          <w:highlight w:val="none"/>
          <w:lang w:val="en-US" w:eastAsia="zh-CN"/>
        </w:rPr>
        <w:t>甲方</w:t>
      </w:r>
      <w:r>
        <w:rPr>
          <w:rFonts w:hint="eastAsia" w:hAnsi="宋体"/>
          <w:bCs/>
          <w:color w:val="auto"/>
          <w:highlight w:val="none"/>
        </w:rPr>
        <w:t>供货通知起60日内运送至</w:t>
      </w:r>
      <w:r>
        <w:rPr>
          <w:rFonts w:hint="eastAsia" w:hAnsi="宋体"/>
          <w:bCs/>
          <w:color w:val="auto"/>
          <w:highlight w:val="none"/>
          <w:lang w:val="en-US" w:eastAsia="zh-CN"/>
        </w:rPr>
        <w:t>甲方</w:t>
      </w:r>
      <w:r>
        <w:rPr>
          <w:rFonts w:hint="eastAsia" w:hAnsi="宋体"/>
          <w:bCs/>
          <w:color w:val="auto"/>
          <w:highlight w:val="none"/>
        </w:rPr>
        <w:t>指定地点并完成安装（含检测时间）</w:t>
      </w:r>
      <w:r>
        <w:rPr>
          <w:rFonts w:hint="eastAsia" w:hAnsi="宋体"/>
          <w:bCs/>
          <w:color w:val="auto"/>
          <w:highlight w:val="none"/>
          <w:lang w:eastAsia="zh-CN"/>
        </w:rPr>
        <w:t>。</w:t>
      </w:r>
    </w:p>
    <w:p w14:paraId="71450C7B">
      <w:pPr>
        <w:pStyle w:val="32"/>
        <w:snapToGrid w:val="0"/>
        <w:spacing w:beforeLines="0" w:afterLines="0" w:line="360" w:lineRule="auto"/>
        <w:ind w:firstLine="480" w:firstLineChars="200"/>
        <w:rPr>
          <w:rFonts w:hAnsi="宋体"/>
          <w:bCs/>
          <w:color w:val="auto"/>
          <w:highlight w:val="none"/>
        </w:rPr>
      </w:pPr>
      <w:r>
        <w:rPr>
          <w:rFonts w:hint="eastAsia" w:hAnsi="宋体"/>
          <w:bCs/>
          <w:color w:val="auto"/>
          <w:highlight w:val="none"/>
        </w:rPr>
        <w:t>2. 交货方式：</w:t>
      </w:r>
    </w:p>
    <w:p w14:paraId="00FCBC81">
      <w:pPr>
        <w:pStyle w:val="32"/>
        <w:snapToGrid w:val="0"/>
        <w:spacing w:beforeLines="0" w:afterLines="0" w:line="360" w:lineRule="auto"/>
        <w:ind w:firstLine="480" w:firstLineChars="200"/>
        <w:rPr>
          <w:rFonts w:hAnsi="宋体"/>
          <w:b/>
          <w:color w:val="auto"/>
          <w:highlight w:val="none"/>
        </w:rPr>
      </w:pPr>
      <w:r>
        <w:rPr>
          <w:rFonts w:hint="eastAsia" w:hAnsi="宋体"/>
          <w:bCs/>
          <w:color w:val="auto"/>
          <w:highlight w:val="none"/>
        </w:rPr>
        <w:t>3. 交货地点：</w:t>
      </w:r>
    </w:p>
    <w:p w14:paraId="7AD8510A">
      <w:pPr>
        <w:pStyle w:val="32"/>
        <w:snapToGrid w:val="0"/>
        <w:spacing w:beforeLines="0" w:afterLines="0" w:line="360" w:lineRule="auto"/>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一</w:t>
      </w:r>
      <w:r>
        <w:rPr>
          <w:rFonts w:hint="eastAsia" w:hAnsi="宋体"/>
          <w:b/>
          <w:color w:val="auto"/>
          <w:highlight w:val="none"/>
        </w:rPr>
        <w:t>、货款支付</w:t>
      </w:r>
    </w:p>
    <w:p w14:paraId="51557A78">
      <w:pPr>
        <w:spacing w:line="4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1、合同生效以及具备实施条件后7个工作日内支付合同金额40%的预付款，</w:t>
      </w:r>
      <w:r>
        <w:rPr>
          <w:rFonts w:hint="eastAsia" w:ascii="宋体" w:hAnsi="宋体" w:cs="宋体"/>
          <w:color w:val="auto"/>
          <w:sz w:val="24"/>
          <w:highlight w:val="none"/>
          <w:lang w:val="zh-CN" w:eastAsia="zh-CN"/>
        </w:rPr>
        <w:t>项目整体竣工验收合格后付至</w:t>
      </w:r>
      <w:r>
        <w:rPr>
          <w:rFonts w:hint="eastAsia" w:ascii="宋体" w:hAnsi="宋体" w:eastAsia="宋体" w:cs="宋体"/>
          <w:color w:val="auto"/>
          <w:sz w:val="24"/>
          <w:highlight w:val="none"/>
          <w:lang w:val="zh-CN" w:eastAsia="zh-CN"/>
        </w:rPr>
        <w:t>结算价的</w:t>
      </w:r>
      <w:r>
        <w:rPr>
          <w:rFonts w:hint="eastAsia" w:ascii="宋体" w:hAnsi="宋体" w:eastAsia="宋体" w:cs="宋体"/>
          <w:color w:val="auto"/>
          <w:sz w:val="24"/>
          <w:highlight w:val="none"/>
          <w:lang w:val="en-US" w:eastAsia="zh-CN"/>
        </w:rPr>
        <w:t>100</w:t>
      </w:r>
      <w:r>
        <w:rPr>
          <w:rFonts w:hint="eastAsia" w:ascii="宋体" w:hAnsi="宋体" w:eastAsia="宋体" w:cs="宋体"/>
          <w:color w:val="auto"/>
          <w:sz w:val="24"/>
          <w:highlight w:val="none"/>
          <w:lang w:val="zh-CN" w:eastAsia="zh-CN"/>
        </w:rPr>
        <w:t>%，</w:t>
      </w:r>
      <w:r>
        <w:rPr>
          <w:rFonts w:hint="eastAsia" w:ascii="宋体" w:hAnsi="宋体" w:cs="宋体"/>
          <w:color w:val="auto"/>
          <w:sz w:val="24"/>
          <w:highlight w:val="none"/>
        </w:rPr>
        <w:t>工程款由浙江喻鼎建设有限公司支付给中标人。发票应随付款进度及时提供给采购人。采购单位根据项目特点、供应商诚信等因素，可以要求供应商提交银行、保险公司等金融机构出具的预付款保函或其他担保措施。</w:t>
      </w:r>
    </w:p>
    <w:p w14:paraId="2BC1D889">
      <w:pPr>
        <w:spacing w:line="420" w:lineRule="exact"/>
        <w:ind w:firstLine="480" w:firstLineChars="200"/>
        <w:rPr>
          <w:rFonts w:ascii="宋体" w:hAnsi="宋体" w:cs="宋体"/>
          <w:color w:val="auto"/>
          <w:szCs w:val="21"/>
          <w:highlight w:val="none"/>
        </w:rPr>
      </w:pPr>
      <w:r>
        <w:rPr>
          <w:rFonts w:hint="eastAsia" w:ascii="宋体" w:hAnsi="宋体" w:cs="宋体"/>
          <w:color w:val="auto"/>
          <w:sz w:val="24"/>
          <w:highlight w:val="none"/>
        </w:rPr>
        <w:t>2、甲方可根据实际情况增加或减少工程量，乙方须无条件服从，并按实际工程量核算。工程量不论增减多少，单价不变，</w:t>
      </w:r>
      <w:r>
        <w:rPr>
          <w:rFonts w:hint="eastAsia" w:hAnsi="宋体" w:cs="宋体"/>
          <w:color w:val="auto"/>
          <w:sz w:val="24"/>
          <w:highlight w:val="none"/>
        </w:rPr>
        <w:t>乙方</w:t>
      </w:r>
      <w:r>
        <w:rPr>
          <w:rFonts w:hint="eastAsia" w:ascii="宋体" w:hAnsi="宋体" w:cs="宋体"/>
          <w:color w:val="auto"/>
          <w:sz w:val="24"/>
          <w:highlight w:val="none"/>
        </w:rPr>
        <w:t>不得拒绝。最终结算金额按实际数量乘以成交单价进行计算。</w:t>
      </w:r>
    </w:p>
    <w:p w14:paraId="469CBC76">
      <w:pPr>
        <w:pStyle w:val="32"/>
        <w:snapToGrid w:val="0"/>
        <w:spacing w:beforeLines="0" w:afterLines="0" w:line="360" w:lineRule="auto"/>
        <w:rPr>
          <w:b/>
          <w:color w:val="auto"/>
          <w:highlight w:val="none"/>
        </w:rPr>
      </w:pPr>
      <w:r>
        <w:rPr>
          <w:rFonts w:hint="eastAsia"/>
          <w:b/>
          <w:color w:val="auto"/>
          <w:highlight w:val="none"/>
        </w:rPr>
        <w:t>十</w:t>
      </w:r>
      <w:r>
        <w:rPr>
          <w:rFonts w:hint="eastAsia"/>
          <w:b/>
          <w:color w:val="auto"/>
          <w:highlight w:val="none"/>
          <w:lang w:val="en-US" w:eastAsia="zh-CN"/>
        </w:rPr>
        <w:t>二</w:t>
      </w:r>
      <w:r>
        <w:rPr>
          <w:rFonts w:hint="eastAsia"/>
          <w:b/>
          <w:color w:val="auto"/>
          <w:highlight w:val="none"/>
        </w:rPr>
        <w:t>、税费</w:t>
      </w:r>
    </w:p>
    <w:p w14:paraId="05F6D9A8">
      <w:pPr>
        <w:spacing w:line="360" w:lineRule="auto"/>
        <w:ind w:firstLine="480" w:firstLineChars="200"/>
        <w:rPr>
          <w:color w:val="auto"/>
          <w:sz w:val="24"/>
          <w:highlight w:val="none"/>
        </w:rPr>
      </w:pPr>
      <w:r>
        <w:rPr>
          <w:rFonts w:hint="eastAsia"/>
          <w:color w:val="auto"/>
          <w:sz w:val="24"/>
          <w:highlight w:val="none"/>
        </w:rPr>
        <w:t>本合同执行中相关的一切税费均由乙方负担。</w:t>
      </w:r>
    </w:p>
    <w:p w14:paraId="6A08ACE3">
      <w:pPr>
        <w:pStyle w:val="32"/>
        <w:snapToGrid w:val="0"/>
        <w:spacing w:beforeLines="0" w:afterLines="0" w:line="360" w:lineRule="auto"/>
        <w:rPr>
          <w:rFonts w:hAnsi="宋体"/>
          <w:color w:val="auto"/>
          <w:highlight w:val="none"/>
        </w:rPr>
      </w:pPr>
      <w:r>
        <w:rPr>
          <w:rFonts w:hint="eastAsia" w:hAnsi="宋体"/>
          <w:b/>
          <w:color w:val="auto"/>
          <w:highlight w:val="none"/>
        </w:rPr>
        <w:t>十</w:t>
      </w:r>
      <w:r>
        <w:rPr>
          <w:rFonts w:hint="eastAsia" w:hAnsi="宋体"/>
          <w:b/>
          <w:color w:val="auto"/>
          <w:highlight w:val="none"/>
          <w:lang w:val="en-US" w:eastAsia="zh-CN"/>
        </w:rPr>
        <w:t>三</w:t>
      </w:r>
      <w:r>
        <w:rPr>
          <w:rFonts w:hint="eastAsia" w:hAnsi="宋体"/>
          <w:b/>
          <w:color w:val="auto"/>
          <w:highlight w:val="none"/>
        </w:rPr>
        <w:t>、质量保证及售后服务</w:t>
      </w:r>
    </w:p>
    <w:p w14:paraId="69DD7CC5">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 乙方应按招标文件规定的货物性能、技术要求、质量标准向甲方提供未经使用的全新产品。</w:t>
      </w:r>
    </w:p>
    <w:p w14:paraId="71087884">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2.乙方提供的货物在质保期内因货物本身的质量问题发生故障，乙方应负责免费更换。</w:t>
      </w:r>
    </w:p>
    <w:p w14:paraId="6D044FD2">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对达不到技术要求者，根据实际情况，经双方协商，甲方有权选择按以下办法处理：</w:t>
      </w:r>
    </w:p>
    <w:p w14:paraId="59770C78">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⑴更换：由乙方承担所发生的全部费用。</w:t>
      </w:r>
    </w:p>
    <w:p w14:paraId="47264810">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⑵贬值处理：由甲乙双方合议定价。</w:t>
      </w:r>
    </w:p>
    <w:p w14:paraId="22A759F1">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⑶退货处理：乙方应退还甲方支付的合同款，同时应承担该货物的直接费用（运输、保险、检验、货款利息及银行手续费等）。</w:t>
      </w:r>
    </w:p>
    <w:p w14:paraId="09323B03">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3.质保期内，如因修理货物或更换部件，而非人为因素出现故障而造成短期停用时，则质保期相应顺延。如停用时间累计超过20天，则货物质保期重新计算。</w:t>
      </w:r>
    </w:p>
    <w:p w14:paraId="670E8800">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4.质保期内，甲方无须自行付费，乙方负责修理和替换任何由于货物自身的质量问题造成的损坏及故障。</w:t>
      </w:r>
    </w:p>
    <w:p w14:paraId="338464C2">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5.质保期内，乙方须指定一名技术工程师专门负责本项目的售后服务工作；如有更换，须甲方同意。</w:t>
      </w:r>
    </w:p>
    <w:p w14:paraId="791A2A82">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6.乙方在质保期内安装（更换）的任何零配件</w:t>
      </w:r>
      <w:r>
        <w:rPr>
          <w:rFonts w:hint="eastAsia" w:hAnsi="宋体"/>
          <w:color w:val="auto"/>
          <w:highlight w:val="none"/>
          <w:lang w:eastAsia="zh-CN"/>
        </w:rPr>
        <w:t>（材料）</w:t>
      </w:r>
      <w:r>
        <w:rPr>
          <w:rFonts w:hint="eastAsia" w:hAnsi="宋体"/>
          <w:color w:val="auto"/>
          <w:highlight w:val="none"/>
        </w:rPr>
        <w:t>，必须是货物制造商原产的或是经甲方认可的。</w:t>
      </w:r>
    </w:p>
    <w:p w14:paraId="7BDDBABA">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7.所有的替代零配件必须是新的未使用和未经修复的,除非最终用户提供书面许可，否则不可使用此范围外的其他（非新的）配件。</w:t>
      </w:r>
    </w:p>
    <w:p w14:paraId="1CE0DA4D">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8.质保期结束前，须由乙方和甲方进行一次全面检查，任何缺陷必须由乙方负责修理，在修理之后，乙方应将缺陷原因、修理内容、完成修理及恢复正常的时间和日期等报告给甲方，报告一式两份。</w:t>
      </w:r>
    </w:p>
    <w:p w14:paraId="04517B5E">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lang w:val="en-US" w:eastAsia="zh-CN"/>
        </w:rPr>
        <w:t>9.</w:t>
      </w:r>
      <w:r>
        <w:rPr>
          <w:rFonts w:hint="eastAsia" w:hAnsi="宋体"/>
          <w:color w:val="auto"/>
          <w:highlight w:val="none"/>
        </w:rPr>
        <w:t>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机或备用零件供采购单位使用。</w:t>
      </w:r>
    </w:p>
    <w:p w14:paraId="3EB7E136">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10.乙方服务维修人员均经过良好的系统技术培训，并有丰富的现场维修经验。</w:t>
      </w:r>
    </w:p>
    <w:p w14:paraId="7F21E5A9">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11.若乙方未能满足上述售后服务要求中的任何一条，甲方有权委托第三方单位提供售后服务，由此产生的一切费用由乙方承担。</w:t>
      </w:r>
    </w:p>
    <w:p w14:paraId="2554FEC0">
      <w:pPr>
        <w:pStyle w:val="32"/>
        <w:snapToGrid w:val="0"/>
        <w:spacing w:beforeLines="0" w:afterLines="0" w:line="360" w:lineRule="auto"/>
        <w:rPr>
          <w:rFonts w:hint="eastAsia" w:ascii="宋体" w:hAnsi="宋体" w:eastAsia="宋体" w:cs="Times New Roman"/>
          <w:b/>
          <w:color w:val="auto"/>
          <w:highlight w:val="none"/>
          <w:lang w:val="en-US" w:eastAsia="zh-CN"/>
        </w:rPr>
      </w:pPr>
      <w:r>
        <w:rPr>
          <w:rFonts w:hint="eastAsia" w:ascii="宋体" w:hAnsi="宋体" w:eastAsia="宋体" w:cs="Times New Roman"/>
          <w:b/>
          <w:color w:val="auto"/>
          <w:highlight w:val="none"/>
          <w:lang w:val="en-US" w:eastAsia="zh-CN"/>
        </w:rPr>
        <w:t>十</w:t>
      </w:r>
      <w:r>
        <w:rPr>
          <w:rFonts w:hint="eastAsia" w:hAnsi="宋体" w:cs="Times New Roman"/>
          <w:b/>
          <w:color w:val="auto"/>
          <w:highlight w:val="none"/>
          <w:lang w:val="en-US" w:eastAsia="zh-CN"/>
        </w:rPr>
        <w:t>四</w:t>
      </w:r>
      <w:r>
        <w:rPr>
          <w:rFonts w:hint="eastAsia" w:ascii="宋体" w:hAnsi="宋体" w:eastAsia="宋体" w:cs="Times New Roman"/>
          <w:b/>
          <w:color w:val="auto"/>
          <w:highlight w:val="none"/>
          <w:lang w:val="en-US" w:eastAsia="zh-CN"/>
        </w:rPr>
        <w:t>、安装</w:t>
      </w:r>
    </w:p>
    <w:p w14:paraId="0A797EA1">
      <w:pPr>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1、乙方须提供与工程建设总进度相适应的安装计划，并须由甲方书面认可。</w:t>
      </w:r>
    </w:p>
    <w:p w14:paraId="1DDA9F6F">
      <w:pPr>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2、土建结构建造已完成，任何在结构内的挖掘，都须在具体施工图中标明，并提交甲方书面认可。</w:t>
      </w:r>
    </w:p>
    <w:p w14:paraId="36B037DB">
      <w:pPr>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3、现场安装须符合国家的相关条例，服从监理单位和总承包单位的管理和检查。</w:t>
      </w:r>
    </w:p>
    <w:p w14:paraId="5BAE906A">
      <w:pPr>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4、在安装期间，乙方负责安装中需要的起重、运输、装卸、动力等所需辅助设备及材料，所有这些设备都须符合安全作业要求，安装现场的安全防范工作及设施由乙方负责。</w:t>
      </w:r>
    </w:p>
    <w:p w14:paraId="726D1DEE">
      <w:pPr>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5、对合同内分期完成的成品和半成品，在工程接收证书颁发前，由乙方承担保护责任。因乙方原因造成成品或半成品损坏的，由乙方负责修复或更换，并承担由此增加的费用和（或）延误的工期。</w:t>
      </w:r>
    </w:p>
    <w:p w14:paraId="207554C8">
      <w:pPr>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6、本项目施工安全由乙方负责。投保安全生产责任险的费用由乙方在投标时自行综合考虑，结算时不再额外计取。</w:t>
      </w:r>
    </w:p>
    <w:p w14:paraId="00A5FCB5">
      <w:pPr>
        <w:pStyle w:val="32"/>
        <w:snapToGrid w:val="0"/>
        <w:spacing w:beforeLines="0" w:afterLines="0" w:line="360" w:lineRule="auto"/>
        <w:rPr>
          <w:color w:val="auto"/>
          <w:highlight w:val="none"/>
        </w:rPr>
      </w:pPr>
      <w:r>
        <w:rPr>
          <w:rFonts w:hint="eastAsia" w:hAnsi="宋体"/>
          <w:b/>
          <w:color w:val="auto"/>
          <w:highlight w:val="none"/>
        </w:rPr>
        <w:t>十</w:t>
      </w:r>
      <w:r>
        <w:rPr>
          <w:rFonts w:hint="eastAsia" w:hAnsi="宋体"/>
          <w:b/>
          <w:color w:val="auto"/>
          <w:highlight w:val="none"/>
          <w:lang w:val="en-US" w:eastAsia="zh-CN"/>
        </w:rPr>
        <w:t>五</w:t>
      </w:r>
      <w:r>
        <w:rPr>
          <w:rFonts w:hint="eastAsia" w:hAnsi="宋体"/>
          <w:b/>
          <w:color w:val="auto"/>
          <w:highlight w:val="none"/>
        </w:rPr>
        <w:t>、调试和验收</w:t>
      </w:r>
    </w:p>
    <w:p w14:paraId="63585C0D">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lang w:val="en-US" w:eastAsia="zh-CN"/>
        </w:rPr>
        <w:t>1、所有原材料一次性进场，并在建设单位、总包单位、监理单位、施工单位四方同时在场的情况下，对所有原材料的有害物质含量和面层颗粒的高聚物含量进行现场取样送检，检测合格后方可施工，不合格的材料直接退场处理。检测单位由业主单位决定，相关费用由中标单位负责。关键材料一式二份取样封存，一份送检，一份留档。竣工验收时，成品现场公开取样，由建设单位负责送检，第三方专业检测机构进行检测并提供检测报告，全面验收合格后才能投入使用，检测费用由中标单位负责。</w:t>
      </w:r>
    </w:p>
    <w:p w14:paraId="0DB6342A">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lang w:val="en-US" w:eastAsia="zh-CN"/>
        </w:rPr>
        <w:t>2、乙方</w:t>
      </w:r>
      <w:r>
        <w:rPr>
          <w:rFonts w:hint="eastAsia" w:hAnsi="宋体"/>
          <w:color w:val="auto"/>
          <w:highlight w:val="none"/>
        </w:rPr>
        <w:t>须按国家有关标准及规范完成下列工作：</w:t>
      </w:r>
    </w:p>
    <w:p w14:paraId="0D3C3840">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⑴材料及相关附件的提供运输、装卸、检验、产品保护、安装、技术指导、通过验收；</w:t>
      </w:r>
    </w:p>
    <w:p w14:paraId="04497EE4">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⑵</w:t>
      </w:r>
      <w:r>
        <w:rPr>
          <w:rFonts w:hint="eastAsia" w:hAnsi="宋体"/>
          <w:color w:val="auto"/>
          <w:highlight w:val="none"/>
          <w:lang w:val="en-US" w:eastAsia="zh-CN"/>
        </w:rPr>
        <w:t>乙方</w:t>
      </w:r>
      <w:r>
        <w:rPr>
          <w:rFonts w:hint="eastAsia" w:hAnsi="宋体"/>
          <w:color w:val="auto"/>
          <w:highlight w:val="none"/>
        </w:rPr>
        <w:t>在供货前须出具原厂商合格证及售后服务措施及承诺。</w:t>
      </w:r>
    </w:p>
    <w:p w14:paraId="277CA548">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lang w:val="en-US" w:eastAsia="zh-CN"/>
        </w:rPr>
        <w:t>3、乙方</w:t>
      </w:r>
      <w:r>
        <w:rPr>
          <w:rFonts w:hint="eastAsia" w:hAnsi="宋体"/>
          <w:color w:val="auto"/>
          <w:highlight w:val="none"/>
        </w:rPr>
        <w:t>的工作内容需包含但不局限于以下内容：</w:t>
      </w:r>
    </w:p>
    <w:p w14:paraId="623D262C">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⑴产品的制造与供货及提供相关资料；</w:t>
      </w:r>
    </w:p>
    <w:p w14:paraId="3CC196BD">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⑵</w:t>
      </w:r>
      <w:r>
        <w:rPr>
          <w:rFonts w:hint="eastAsia" w:hAnsi="宋体"/>
          <w:color w:val="auto"/>
          <w:highlight w:val="none"/>
        </w:rPr>
        <w:tab/>
      </w:r>
      <w:r>
        <w:rPr>
          <w:rFonts w:hint="eastAsia" w:hAnsi="宋体"/>
          <w:color w:val="auto"/>
          <w:highlight w:val="none"/>
        </w:rPr>
        <w:t>产品及部件的检查、检验及测试（该费用计入总价）；</w:t>
      </w:r>
    </w:p>
    <w:p w14:paraId="2304289E">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⑶ 产品的安装及调试；</w:t>
      </w:r>
    </w:p>
    <w:p w14:paraId="46BA0D2B">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⑷</w:t>
      </w:r>
      <w:r>
        <w:rPr>
          <w:rFonts w:hint="eastAsia" w:hAnsi="宋体"/>
          <w:color w:val="auto"/>
          <w:highlight w:val="none"/>
        </w:rPr>
        <w:tab/>
      </w:r>
      <w:r>
        <w:rPr>
          <w:rFonts w:hint="eastAsia" w:hAnsi="宋体"/>
          <w:color w:val="auto"/>
          <w:highlight w:val="none"/>
        </w:rPr>
        <w:t>产品的维护、维修措施及急修接报后的响应措施；</w:t>
      </w:r>
    </w:p>
    <w:p w14:paraId="06421E08">
      <w:pPr>
        <w:pStyle w:val="32"/>
        <w:snapToGrid w:val="0"/>
        <w:spacing w:beforeLines="0" w:afterLines="0" w:line="360" w:lineRule="auto"/>
        <w:ind w:firstLine="480" w:firstLineChars="200"/>
        <w:rPr>
          <w:rFonts w:hint="eastAsia" w:hAnsi="宋体"/>
          <w:color w:val="auto"/>
          <w:highlight w:val="none"/>
        </w:rPr>
      </w:pPr>
      <w:r>
        <w:rPr>
          <w:rFonts w:hint="eastAsia" w:hAnsi="宋体"/>
          <w:color w:val="auto"/>
          <w:highlight w:val="none"/>
        </w:rPr>
        <w:t>⑸</w:t>
      </w:r>
      <w:r>
        <w:rPr>
          <w:rFonts w:hint="eastAsia" w:hAnsi="宋体"/>
          <w:color w:val="auto"/>
          <w:highlight w:val="none"/>
        </w:rPr>
        <w:tab/>
      </w:r>
      <w:r>
        <w:rPr>
          <w:rFonts w:hint="eastAsia" w:hAnsi="宋体"/>
          <w:color w:val="auto"/>
          <w:highlight w:val="none"/>
        </w:rPr>
        <w:t>验收（包括负责通过相关部门的整体验收，资料整理交接）；</w:t>
      </w:r>
    </w:p>
    <w:p w14:paraId="5EC43739">
      <w:pPr>
        <w:pStyle w:val="32"/>
        <w:snapToGrid w:val="0"/>
        <w:spacing w:beforeLines="0" w:afterLines="0" w:line="360" w:lineRule="auto"/>
        <w:ind w:firstLine="480" w:firstLineChars="200"/>
        <w:rPr>
          <w:rFonts w:hint="eastAsia" w:hAnsi="宋体" w:eastAsia="宋体"/>
          <w:color w:val="auto"/>
          <w:highlight w:val="none"/>
          <w:lang w:val="en-US" w:eastAsia="zh-CN"/>
        </w:rPr>
      </w:pPr>
      <w:r>
        <w:rPr>
          <w:rFonts w:hint="eastAsia" w:hAnsi="宋体"/>
          <w:color w:val="auto"/>
          <w:highlight w:val="none"/>
        </w:rPr>
        <w:t>⑹</w:t>
      </w:r>
      <w:r>
        <w:rPr>
          <w:rFonts w:hint="eastAsia" w:hAnsi="宋体"/>
          <w:color w:val="auto"/>
          <w:highlight w:val="none"/>
        </w:rPr>
        <w:tab/>
      </w:r>
      <w:r>
        <w:rPr>
          <w:rFonts w:hint="eastAsia" w:hAnsi="宋体"/>
          <w:color w:val="auto"/>
          <w:highlight w:val="none"/>
        </w:rPr>
        <w:t>售后服务。</w:t>
      </w:r>
    </w:p>
    <w:p w14:paraId="5BD284C2">
      <w:pPr>
        <w:pStyle w:val="32"/>
        <w:snapToGrid w:val="0"/>
        <w:spacing w:beforeLines="0" w:afterLines="0" w:line="360" w:lineRule="auto"/>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六</w:t>
      </w:r>
      <w:r>
        <w:rPr>
          <w:rFonts w:hint="eastAsia" w:hAnsi="宋体"/>
          <w:b/>
          <w:color w:val="auto"/>
          <w:highlight w:val="none"/>
        </w:rPr>
        <w:t>、货物包装、发运及运输</w:t>
      </w:r>
    </w:p>
    <w:p w14:paraId="363BDBBF">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1.乙方应在货物发运前对其进行满足运输距离、防潮、防震、防锈和防破损装卸等要求包装，以保证货物安全运达甲方指定地点。</w:t>
      </w:r>
    </w:p>
    <w:p w14:paraId="3169FCFD">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2.使用说明书、质量检验证明书、随配附件和工具以及清单一并附于货物内。</w:t>
      </w:r>
    </w:p>
    <w:p w14:paraId="4A1B3E24">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3.乙方在货物发运手续办理完毕后24小时内或货到甲方48小时前通知甲方，以准备接货。</w:t>
      </w:r>
    </w:p>
    <w:p w14:paraId="122BC8D1">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4.货物在交付甲方前发生的风险均由乙方负责。</w:t>
      </w:r>
    </w:p>
    <w:p w14:paraId="34C3B652">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5.货物在规定的交付期限内由乙方送达甲方指定的地点（仓库）</w:t>
      </w:r>
      <w:r>
        <w:rPr>
          <w:rFonts w:hint="eastAsia" w:hAnsi="宋体"/>
          <w:color w:val="auto"/>
          <w:highlight w:val="none"/>
          <w:lang w:eastAsia="zh-CN"/>
        </w:rPr>
        <w:t>、</w:t>
      </w:r>
      <w:r>
        <w:rPr>
          <w:rFonts w:hint="eastAsia" w:hAnsi="宋体"/>
          <w:color w:val="auto"/>
          <w:highlight w:val="none"/>
          <w:lang w:val="en-US" w:eastAsia="zh-CN"/>
        </w:rPr>
        <w:t>安装完毕并竣工验收后</w:t>
      </w:r>
      <w:r>
        <w:rPr>
          <w:rFonts w:hint="eastAsia" w:hAnsi="宋体"/>
          <w:color w:val="auto"/>
          <w:highlight w:val="none"/>
        </w:rPr>
        <w:t>视为交付。</w:t>
      </w:r>
    </w:p>
    <w:p w14:paraId="53362AB3">
      <w:pPr>
        <w:pStyle w:val="32"/>
        <w:snapToGrid w:val="0"/>
        <w:spacing w:beforeLines="0" w:afterLines="0" w:line="360" w:lineRule="auto"/>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七</w:t>
      </w:r>
      <w:r>
        <w:rPr>
          <w:rFonts w:hint="eastAsia" w:hAnsi="宋体"/>
          <w:b/>
          <w:color w:val="auto"/>
          <w:highlight w:val="none"/>
        </w:rPr>
        <w:t>、违约责任</w:t>
      </w:r>
    </w:p>
    <w:p w14:paraId="6010F6BB">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 xml:space="preserve">1.乙方逾期交货的，乙方应按合同总额每日千分之六向甲方支付违约金，由甲方从待付货款中扣除。逾期交货超过约定日期10天的，甲方可解除本合同。乙方因逾期或因其他违约行为导致甲方解除合同的，履约保证金不予退回。 </w:t>
      </w:r>
    </w:p>
    <w:p w14:paraId="05D65EBF">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0BFD6DB4">
      <w:pPr>
        <w:pStyle w:val="32"/>
        <w:snapToGrid w:val="0"/>
        <w:spacing w:beforeLines="0" w:afterLines="0" w:line="360" w:lineRule="auto"/>
        <w:rPr>
          <w:rFonts w:hAnsi="宋体"/>
          <w:b/>
          <w:color w:val="auto"/>
          <w:highlight w:val="none"/>
        </w:rPr>
      </w:pPr>
      <w:r>
        <w:rPr>
          <w:rFonts w:hint="eastAsia" w:hAnsi="宋体"/>
          <w:b/>
          <w:color w:val="auto"/>
          <w:highlight w:val="none"/>
        </w:rPr>
        <w:t>十</w:t>
      </w:r>
      <w:r>
        <w:rPr>
          <w:rFonts w:hint="eastAsia" w:hAnsi="宋体"/>
          <w:b/>
          <w:color w:val="auto"/>
          <w:highlight w:val="none"/>
          <w:lang w:val="en-US" w:eastAsia="zh-CN"/>
        </w:rPr>
        <w:t>八</w:t>
      </w:r>
      <w:r>
        <w:rPr>
          <w:rFonts w:hint="eastAsia" w:hAnsi="宋体"/>
          <w:b/>
          <w:color w:val="auto"/>
          <w:highlight w:val="none"/>
        </w:rPr>
        <w:t>、不可抗力事件处理</w:t>
      </w:r>
    </w:p>
    <w:p w14:paraId="14663B3B">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1.在合同有效期内，任何一方因不可抗力事件导致不能履行合同，则合同履行期可延长，其延长期与不可抗力影响期相同。</w:t>
      </w:r>
    </w:p>
    <w:p w14:paraId="30FAF9B0">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2.不可抗力事件发生后，应立即通知对方，并寄送有关权威机构出具的证明。</w:t>
      </w:r>
    </w:p>
    <w:p w14:paraId="274991B5">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3.不可抗力事件延续120天以上，双方应通过友好协商，确定是否继续履行合同。</w:t>
      </w:r>
    </w:p>
    <w:p w14:paraId="4C678C25">
      <w:pPr>
        <w:pStyle w:val="32"/>
        <w:snapToGrid w:val="0"/>
        <w:spacing w:beforeLines="0" w:afterLines="0" w:line="360" w:lineRule="auto"/>
        <w:rPr>
          <w:rFonts w:hAnsi="宋体"/>
          <w:b/>
          <w:color w:val="auto"/>
          <w:highlight w:val="none"/>
        </w:rPr>
      </w:pPr>
      <w:r>
        <w:rPr>
          <w:rFonts w:hint="eastAsia" w:hAnsi="宋体"/>
          <w:b/>
          <w:color w:val="auto"/>
          <w:highlight w:val="none"/>
          <w:lang w:val="en-US" w:eastAsia="zh-CN"/>
        </w:rPr>
        <w:t>十九</w:t>
      </w:r>
      <w:r>
        <w:rPr>
          <w:rFonts w:hint="eastAsia" w:hAnsi="宋体"/>
          <w:b/>
          <w:color w:val="auto"/>
          <w:highlight w:val="none"/>
        </w:rPr>
        <w:t>、诉讼</w:t>
      </w:r>
    </w:p>
    <w:p w14:paraId="3B78348B">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双方在执行合同中所发生的一切争议，应通过协商解决。如协商不成，可向甲方所在地人民法院起诉。</w:t>
      </w:r>
    </w:p>
    <w:p w14:paraId="0D848ED1">
      <w:pPr>
        <w:pStyle w:val="32"/>
        <w:snapToGrid w:val="0"/>
        <w:spacing w:beforeLines="0" w:afterLines="0" w:line="360" w:lineRule="auto"/>
        <w:rPr>
          <w:rFonts w:hAnsi="宋体"/>
          <w:b/>
          <w:color w:val="auto"/>
          <w:highlight w:val="none"/>
        </w:rPr>
      </w:pPr>
      <w:r>
        <w:rPr>
          <w:rFonts w:hint="eastAsia" w:hAnsi="宋体"/>
          <w:b/>
          <w:color w:val="auto"/>
          <w:highlight w:val="none"/>
          <w:lang w:val="en-US" w:eastAsia="zh-CN"/>
        </w:rPr>
        <w:t>二十</w:t>
      </w:r>
      <w:r>
        <w:rPr>
          <w:rFonts w:hint="eastAsia" w:hAnsi="宋体"/>
          <w:b/>
          <w:color w:val="auto"/>
          <w:highlight w:val="none"/>
        </w:rPr>
        <w:t>、合同生效及其它</w:t>
      </w:r>
    </w:p>
    <w:p w14:paraId="3167A4FE">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1.合同经双方法定代表人或授权代表签字并加盖单位公章后生效。</w:t>
      </w:r>
    </w:p>
    <w:p w14:paraId="70317F89">
      <w:pPr>
        <w:pStyle w:val="32"/>
        <w:snapToGrid w:val="0"/>
        <w:spacing w:beforeLines="0" w:afterLines="0" w:line="360" w:lineRule="auto"/>
        <w:ind w:firstLine="480" w:firstLineChars="200"/>
        <w:rPr>
          <w:rFonts w:hAnsi="宋体"/>
          <w:color w:val="auto"/>
          <w:highlight w:val="none"/>
        </w:rPr>
      </w:pPr>
      <w:r>
        <w:rPr>
          <w:rFonts w:hint="eastAsia" w:hAnsi="宋体"/>
          <w:color w:val="auto"/>
          <w:highlight w:val="none"/>
        </w:rPr>
        <w:t>2.本合同未尽事宜，遵照《民法典》有关条文执行。</w:t>
      </w:r>
    </w:p>
    <w:p w14:paraId="35F68DC0">
      <w:pPr>
        <w:pStyle w:val="32"/>
        <w:snapToGrid w:val="0"/>
        <w:spacing w:beforeLines="0" w:afterLines="0"/>
        <w:ind w:firstLine="480" w:firstLineChars="200"/>
        <w:rPr>
          <w:color w:val="auto"/>
          <w:szCs w:val="24"/>
          <w:highlight w:val="none"/>
        </w:rPr>
      </w:pPr>
      <w:r>
        <w:rPr>
          <w:rFonts w:hint="eastAsia" w:hAnsi="宋体"/>
          <w:color w:val="auto"/>
          <w:highlight w:val="none"/>
        </w:rPr>
        <w:t>3.本合同正本一式</w:t>
      </w:r>
      <w:r>
        <w:rPr>
          <w:rFonts w:hint="eastAsia" w:hAnsi="宋体"/>
          <w:color w:val="auto"/>
          <w:highlight w:val="none"/>
          <w:lang w:val="en-US" w:eastAsia="zh-CN"/>
        </w:rPr>
        <w:t>8</w:t>
      </w:r>
      <w:r>
        <w:rPr>
          <w:rFonts w:hint="eastAsia" w:hAnsi="宋体"/>
          <w:color w:val="auto"/>
          <w:highlight w:val="none"/>
        </w:rPr>
        <w:t>份。三方各执</w:t>
      </w:r>
      <w:r>
        <w:rPr>
          <w:rFonts w:hint="eastAsia" w:hAnsi="宋体"/>
          <w:color w:val="auto"/>
          <w:highlight w:val="none"/>
          <w:lang w:val="en-US" w:eastAsia="zh-CN"/>
        </w:rPr>
        <w:t>2</w:t>
      </w:r>
      <w:r>
        <w:rPr>
          <w:rFonts w:hint="eastAsia" w:hAnsi="宋体"/>
          <w:color w:val="auto"/>
          <w:highlight w:val="none"/>
        </w:rPr>
        <w:t>份,另外2份存放在招标代理处</w:t>
      </w:r>
      <w:r>
        <w:rPr>
          <w:rFonts w:hAnsi="宋体"/>
          <w:color w:val="auto"/>
          <w:highlight w:val="none"/>
        </w:rPr>
        <w:t>，各份均具有同等法律效力</w:t>
      </w:r>
      <w:r>
        <w:rPr>
          <w:rFonts w:hint="eastAsia" w:hAnsi="宋体"/>
          <w:color w:val="auto"/>
          <w:highlight w:val="none"/>
        </w:rPr>
        <w:t>。</w:t>
      </w:r>
    </w:p>
    <w:p w14:paraId="26E92692">
      <w:pPr>
        <w:pStyle w:val="139"/>
        <w:ind w:firstLine="480"/>
        <w:rPr>
          <w:rFonts w:hint="eastAsia"/>
          <w:color w:val="auto"/>
          <w:szCs w:val="24"/>
          <w:highlight w:val="none"/>
        </w:rPr>
      </w:pPr>
    </w:p>
    <w:p w14:paraId="3E3F2DE4">
      <w:pPr>
        <w:pStyle w:val="139"/>
        <w:ind w:firstLine="480"/>
        <w:rPr>
          <w:color w:val="auto"/>
          <w:szCs w:val="24"/>
          <w:highlight w:val="none"/>
        </w:rPr>
      </w:pPr>
      <w:r>
        <w:rPr>
          <w:rFonts w:hint="eastAsia"/>
          <w:color w:val="auto"/>
          <w:szCs w:val="24"/>
          <w:highlight w:val="none"/>
        </w:rPr>
        <w:t xml:space="preserve">甲方（建设单位）：                      甲方（总承包单位）： </w:t>
      </w:r>
    </w:p>
    <w:p w14:paraId="18D05547">
      <w:pPr>
        <w:pStyle w:val="139"/>
        <w:ind w:firstLine="480"/>
        <w:rPr>
          <w:color w:val="auto"/>
          <w:szCs w:val="24"/>
          <w:highlight w:val="none"/>
        </w:rPr>
      </w:pPr>
      <w:r>
        <w:rPr>
          <w:rFonts w:hint="eastAsia"/>
          <w:color w:val="auto"/>
          <w:szCs w:val="24"/>
          <w:highlight w:val="none"/>
        </w:rPr>
        <w:t>法定（授权）代表人：                    法定（授权）代表人：</w:t>
      </w:r>
    </w:p>
    <w:p w14:paraId="0B644948">
      <w:pPr>
        <w:pStyle w:val="139"/>
        <w:ind w:firstLine="480"/>
        <w:rPr>
          <w:color w:val="auto"/>
          <w:szCs w:val="24"/>
          <w:highlight w:val="none"/>
        </w:rPr>
      </w:pPr>
      <w:r>
        <w:rPr>
          <w:rFonts w:hint="eastAsia"/>
          <w:color w:val="auto"/>
          <w:szCs w:val="24"/>
          <w:highlight w:val="none"/>
        </w:rPr>
        <w:t>地址：                                  地址：</w:t>
      </w:r>
    </w:p>
    <w:p w14:paraId="215C0362">
      <w:pPr>
        <w:pStyle w:val="139"/>
        <w:ind w:firstLine="480"/>
        <w:rPr>
          <w:color w:val="auto"/>
          <w:szCs w:val="24"/>
          <w:highlight w:val="none"/>
        </w:rPr>
      </w:pPr>
      <w:r>
        <w:rPr>
          <w:rFonts w:hint="eastAsia"/>
          <w:color w:val="auto"/>
          <w:szCs w:val="24"/>
          <w:highlight w:val="none"/>
        </w:rPr>
        <w:t>签字日期：    年 　月    日             签字日期：    年 　月    日</w:t>
      </w:r>
    </w:p>
    <w:p w14:paraId="64A25AF9">
      <w:pPr>
        <w:pStyle w:val="139"/>
        <w:ind w:firstLine="0" w:firstLineChars="0"/>
        <w:rPr>
          <w:color w:val="auto"/>
          <w:szCs w:val="24"/>
          <w:highlight w:val="none"/>
        </w:rPr>
      </w:pPr>
    </w:p>
    <w:p w14:paraId="4388FACB">
      <w:pPr>
        <w:pStyle w:val="139"/>
        <w:ind w:firstLine="480"/>
        <w:rPr>
          <w:color w:val="auto"/>
          <w:szCs w:val="24"/>
          <w:highlight w:val="none"/>
        </w:rPr>
      </w:pPr>
      <w:r>
        <w:rPr>
          <w:rFonts w:hint="eastAsia"/>
          <w:color w:val="auto"/>
          <w:szCs w:val="24"/>
          <w:highlight w:val="none"/>
        </w:rPr>
        <w:t>乙方：</w:t>
      </w:r>
    </w:p>
    <w:p w14:paraId="790A0CA4">
      <w:pPr>
        <w:pStyle w:val="139"/>
        <w:ind w:firstLine="480"/>
        <w:rPr>
          <w:color w:val="auto"/>
          <w:szCs w:val="24"/>
          <w:highlight w:val="none"/>
        </w:rPr>
      </w:pPr>
      <w:r>
        <w:rPr>
          <w:rFonts w:hint="eastAsia"/>
          <w:color w:val="auto"/>
          <w:szCs w:val="24"/>
          <w:highlight w:val="none"/>
        </w:rPr>
        <w:t>法定（授权）代表人：</w:t>
      </w:r>
    </w:p>
    <w:p w14:paraId="1193FA0C">
      <w:pPr>
        <w:pStyle w:val="139"/>
        <w:ind w:firstLine="480"/>
        <w:rPr>
          <w:color w:val="auto"/>
          <w:szCs w:val="24"/>
          <w:highlight w:val="none"/>
        </w:rPr>
      </w:pPr>
      <w:r>
        <w:rPr>
          <w:rFonts w:hint="eastAsia"/>
          <w:color w:val="auto"/>
          <w:szCs w:val="24"/>
          <w:highlight w:val="none"/>
        </w:rPr>
        <w:t>地址：</w:t>
      </w:r>
    </w:p>
    <w:bookmarkEnd w:id="46"/>
    <w:p w14:paraId="74EC6B9C">
      <w:pPr>
        <w:pStyle w:val="139"/>
        <w:ind w:firstLine="480"/>
        <w:rPr>
          <w:b/>
          <w:color w:val="auto"/>
          <w:sz w:val="30"/>
          <w:szCs w:val="30"/>
          <w:highlight w:val="none"/>
        </w:rPr>
      </w:pPr>
      <w:r>
        <w:rPr>
          <w:rFonts w:hint="eastAsia"/>
          <w:color w:val="auto"/>
          <w:szCs w:val="24"/>
          <w:highlight w:val="none"/>
        </w:rPr>
        <w:t>签字日期：    年 　月    日</w:t>
      </w:r>
    </w:p>
    <w:p w14:paraId="249E7320">
      <w:pPr>
        <w:pStyle w:val="32"/>
        <w:snapToGrid w:val="0"/>
        <w:spacing w:before="120" w:beforeLines="0" w:after="120" w:afterLines="0" w:line="420" w:lineRule="exact"/>
        <w:ind w:firstLine="632" w:firstLineChars="300"/>
        <w:jc w:val="left"/>
        <w:outlineLvl w:val="0"/>
        <w:rPr>
          <w:rFonts w:hAnsi="宋体" w:cs="宋体"/>
          <w:color w:val="auto"/>
          <w:sz w:val="30"/>
          <w:szCs w:val="30"/>
          <w:highlight w:val="none"/>
        </w:rPr>
      </w:pPr>
      <w:r>
        <w:rPr>
          <w:rFonts w:hint="eastAsia" w:hAnsi="宋体" w:cs="宋体"/>
          <w:b/>
          <w:bCs/>
          <w:color w:val="auto"/>
          <w:sz w:val="21"/>
          <w:szCs w:val="21"/>
          <w:highlight w:val="none"/>
          <w:u w:val="single"/>
          <w:shd w:val="pct10" w:color="auto" w:fill="FFFFFF"/>
        </w:rPr>
        <w:t xml:space="preserve">附件：附上报价明细表 </w:t>
      </w:r>
    </w:p>
    <w:p w14:paraId="135000AA">
      <w:pPr>
        <w:jc w:val="center"/>
        <w:rPr>
          <w:rFonts w:hint="eastAsia" w:hAnsi="宋体" w:cs="宋体"/>
          <w:b/>
          <w:color w:val="auto"/>
          <w:sz w:val="30"/>
          <w:szCs w:val="30"/>
          <w:highlight w:val="none"/>
        </w:rPr>
      </w:pPr>
      <w:bookmarkStart w:id="48" w:name="_Toc14350"/>
      <w:bookmarkStart w:id="49" w:name="_Toc24427"/>
    </w:p>
    <w:p w14:paraId="20EBDB3A">
      <w:pPr>
        <w:jc w:val="center"/>
        <w:rPr>
          <w:rFonts w:hint="eastAsia" w:hAnsi="宋体" w:cs="宋体"/>
          <w:b/>
          <w:color w:val="auto"/>
          <w:sz w:val="30"/>
          <w:szCs w:val="30"/>
          <w:highlight w:val="none"/>
        </w:rPr>
      </w:pPr>
    </w:p>
    <w:p w14:paraId="07B8E35E">
      <w:pPr>
        <w:jc w:val="center"/>
        <w:rPr>
          <w:rFonts w:hint="eastAsia" w:hAnsi="宋体" w:cs="宋体"/>
          <w:b/>
          <w:color w:val="auto"/>
          <w:sz w:val="30"/>
          <w:szCs w:val="30"/>
          <w:highlight w:val="none"/>
        </w:rPr>
      </w:pPr>
    </w:p>
    <w:p w14:paraId="4C21C47E">
      <w:pPr>
        <w:jc w:val="center"/>
        <w:rPr>
          <w:rFonts w:hint="eastAsia" w:hAnsi="宋体" w:cs="宋体"/>
          <w:b/>
          <w:color w:val="auto"/>
          <w:sz w:val="30"/>
          <w:szCs w:val="30"/>
          <w:highlight w:val="none"/>
        </w:rPr>
      </w:pPr>
    </w:p>
    <w:p w14:paraId="13DA6089">
      <w:pPr>
        <w:jc w:val="center"/>
        <w:rPr>
          <w:rFonts w:hint="eastAsia" w:hAnsi="宋体" w:cs="宋体"/>
          <w:b/>
          <w:color w:val="auto"/>
          <w:sz w:val="30"/>
          <w:szCs w:val="30"/>
          <w:highlight w:val="none"/>
        </w:rPr>
      </w:pPr>
    </w:p>
    <w:p w14:paraId="79C93ED1">
      <w:pPr>
        <w:jc w:val="both"/>
        <w:rPr>
          <w:rFonts w:hint="eastAsia" w:hAnsi="宋体" w:cs="宋体"/>
          <w:b/>
          <w:color w:val="auto"/>
          <w:sz w:val="30"/>
          <w:szCs w:val="30"/>
          <w:highlight w:val="none"/>
        </w:rPr>
      </w:pPr>
    </w:p>
    <w:p w14:paraId="408C0B89">
      <w:pPr>
        <w:jc w:val="center"/>
        <w:rPr>
          <w:rFonts w:hint="eastAsia" w:hAnsi="宋体" w:cs="宋体"/>
          <w:b/>
          <w:color w:val="auto"/>
          <w:sz w:val="30"/>
          <w:szCs w:val="30"/>
          <w:highlight w:val="none"/>
        </w:rPr>
      </w:pPr>
    </w:p>
    <w:p w14:paraId="51A94E9B">
      <w:pPr>
        <w:jc w:val="center"/>
        <w:rPr>
          <w:rFonts w:hint="eastAsia" w:hAnsi="宋体" w:cs="宋体"/>
          <w:b/>
          <w:color w:val="auto"/>
          <w:sz w:val="30"/>
          <w:szCs w:val="30"/>
          <w:highlight w:val="none"/>
        </w:rPr>
      </w:pPr>
    </w:p>
    <w:p w14:paraId="6C1DF6A4">
      <w:pPr>
        <w:jc w:val="center"/>
        <w:rPr>
          <w:rFonts w:hAnsi="宋体" w:cs="宋体"/>
          <w:b/>
          <w:color w:val="auto"/>
          <w:sz w:val="30"/>
          <w:szCs w:val="30"/>
          <w:highlight w:val="none"/>
        </w:rPr>
      </w:pPr>
      <w:r>
        <w:rPr>
          <w:rFonts w:hint="eastAsia" w:hAnsi="宋体" w:cs="宋体"/>
          <w:b/>
          <w:color w:val="auto"/>
          <w:sz w:val="30"/>
          <w:szCs w:val="30"/>
          <w:highlight w:val="none"/>
        </w:rPr>
        <w:t>第六章　投标文件格式</w:t>
      </w:r>
      <w:bookmarkEnd w:id="47"/>
      <w:bookmarkEnd w:id="48"/>
      <w:bookmarkEnd w:id="49"/>
    </w:p>
    <w:p w14:paraId="155A7357">
      <w:pPr>
        <w:pStyle w:val="32"/>
        <w:snapToGrid w:val="0"/>
        <w:spacing w:beforeLines="0" w:afterLines="0" w:line="420" w:lineRule="exact"/>
        <w:jc w:val="center"/>
        <w:rPr>
          <w:rFonts w:hAnsi="宋体" w:cs="宋体"/>
          <w:color w:val="auto"/>
          <w:sz w:val="30"/>
          <w:szCs w:val="30"/>
          <w:highlight w:val="none"/>
        </w:rPr>
      </w:pPr>
    </w:p>
    <w:p w14:paraId="4A079264">
      <w:pPr>
        <w:snapToGrid w:val="0"/>
        <w:spacing w:before="120" w:beforeLines="50" w:after="50"/>
        <w:jc w:val="center"/>
        <w:outlineLvl w:val="1"/>
        <w:rPr>
          <w:rFonts w:ascii="宋体" w:hAnsi="宋体" w:cs="宋体"/>
          <w:b/>
          <w:bCs/>
          <w:color w:val="auto"/>
          <w:sz w:val="28"/>
          <w:szCs w:val="28"/>
          <w:highlight w:val="none"/>
        </w:rPr>
      </w:pPr>
      <w:bookmarkStart w:id="50" w:name="_Toc29949"/>
      <w:bookmarkStart w:id="51" w:name="_Toc30690"/>
      <w:bookmarkStart w:id="52" w:name="_Toc265669850"/>
      <w:r>
        <w:rPr>
          <w:rFonts w:hint="eastAsia" w:ascii="宋体" w:hAnsi="宋体" w:cs="宋体"/>
          <w:b/>
          <w:bCs/>
          <w:color w:val="auto"/>
          <w:sz w:val="28"/>
          <w:szCs w:val="28"/>
          <w:highlight w:val="none"/>
        </w:rPr>
        <w:t>一、资格响应文件格式</w:t>
      </w:r>
      <w:bookmarkEnd w:id="50"/>
      <w:bookmarkEnd w:id="51"/>
    </w:p>
    <w:p w14:paraId="1F87F29A">
      <w:pPr>
        <w:snapToGrid w:val="0"/>
        <w:spacing w:before="120" w:beforeLines="50" w:after="50"/>
        <w:jc w:val="center"/>
        <w:rPr>
          <w:rFonts w:ascii="宋体" w:hAnsi="宋体" w:cs="宋体"/>
          <w:color w:val="auto"/>
          <w:sz w:val="28"/>
          <w:szCs w:val="28"/>
          <w:highlight w:val="none"/>
        </w:rPr>
      </w:pPr>
    </w:p>
    <w:p w14:paraId="3D72C37B">
      <w:pPr>
        <w:snapToGrid w:val="0"/>
        <w:spacing w:before="120" w:beforeLines="50" w:after="50"/>
        <w:jc w:val="center"/>
        <w:rPr>
          <w:rFonts w:ascii="宋体" w:hAnsi="宋体" w:cs="宋体"/>
          <w:color w:val="auto"/>
          <w:sz w:val="28"/>
          <w:szCs w:val="28"/>
          <w:highlight w:val="none"/>
        </w:rPr>
      </w:pPr>
    </w:p>
    <w:p w14:paraId="76C20EBC">
      <w:pPr>
        <w:snapToGrid w:val="0"/>
        <w:spacing w:before="120"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1.资格响应文件封面格式： </w:t>
      </w:r>
    </w:p>
    <w:p w14:paraId="0DBC4653">
      <w:pPr>
        <w:snapToGrid w:val="0"/>
        <w:spacing w:before="120" w:beforeLines="50" w:after="5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0AE293BB">
      <w:pPr>
        <w:snapToGrid w:val="0"/>
        <w:spacing w:before="120" w:beforeLines="50" w:after="50"/>
        <w:rPr>
          <w:rFonts w:ascii="宋体" w:hAnsi="宋体" w:cs="宋体"/>
          <w:color w:val="auto"/>
          <w:sz w:val="28"/>
          <w:szCs w:val="28"/>
          <w:highlight w:val="none"/>
        </w:rPr>
      </w:pPr>
    </w:p>
    <w:p w14:paraId="314A1B8A">
      <w:pPr>
        <w:snapToGrid w:val="0"/>
        <w:spacing w:before="120" w:beforeLines="50" w:after="50"/>
        <w:jc w:val="center"/>
        <w:rPr>
          <w:rFonts w:ascii="宋体" w:hAnsi="宋体" w:cs="宋体"/>
          <w:bCs/>
          <w:color w:val="auto"/>
          <w:sz w:val="28"/>
          <w:szCs w:val="28"/>
          <w:highlight w:val="none"/>
        </w:rPr>
      </w:pPr>
    </w:p>
    <w:p w14:paraId="030F563A">
      <w:pPr>
        <w:snapToGrid w:val="0"/>
        <w:spacing w:before="120"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资格响应文件</w:t>
      </w:r>
    </w:p>
    <w:p w14:paraId="7E6BA16B">
      <w:pPr>
        <w:snapToGrid w:val="0"/>
        <w:spacing w:before="120" w:beforeLines="50" w:after="50" w:line="360" w:lineRule="auto"/>
        <w:jc w:val="center"/>
        <w:rPr>
          <w:rFonts w:ascii="宋体" w:hAnsi="宋体" w:cs="宋体"/>
          <w:bCs/>
          <w:color w:val="auto"/>
          <w:sz w:val="28"/>
          <w:szCs w:val="28"/>
          <w:highlight w:val="none"/>
        </w:rPr>
      </w:pPr>
    </w:p>
    <w:p w14:paraId="021C887A">
      <w:pPr>
        <w:snapToGrid w:val="0"/>
        <w:spacing w:before="120" w:beforeLines="50" w:after="50" w:line="360" w:lineRule="auto"/>
        <w:jc w:val="center"/>
        <w:rPr>
          <w:rFonts w:ascii="宋体" w:hAnsi="宋体" w:cs="宋体"/>
          <w:bCs/>
          <w:color w:val="auto"/>
          <w:sz w:val="28"/>
          <w:szCs w:val="28"/>
          <w:highlight w:val="none"/>
        </w:rPr>
      </w:pPr>
    </w:p>
    <w:p w14:paraId="1BAC6B71">
      <w:pPr>
        <w:snapToGrid w:val="0"/>
        <w:spacing w:before="120" w:beforeLines="50" w:after="50" w:line="360" w:lineRule="auto"/>
        <w:ind w:firstLine="1243" w:firstLineChars="444"/>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40A28D98">
      <w:pPr>
        <w:snapToGrid w:val="0"/>
        <w:spacing w:before="120"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    </w:t>
      </w:r>
    </w:p>
    <w:p w14:paraId="371ECBE6">
      <w:pPr>
        <w:pStyle w:val="13"/>
        <w:snapToGrid w:val="0"/>
        <w:spacing w:before="50" w:after="50" w:line="360" w:lineRule="auto"/>
        <w:ind w:firstLine="1164" w:firstLineChars="416"/>
        <w:rPr>
          <w:rFonts w:ascii="宋体" w:hAnsi="宋体" w:cs="宋体"/>
          <w:bCs/>
          <w:color w:val="auto"/>
          <w:sz w:val="28"/>
          <w:szCs w:val="28"/>
          <w:highlight w:val="none"/>
        </w:rPr>
      </w:pPr>
    </w:p>
    <w:p w14:paraId="3380FB91">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763FA850">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0328FF93">
      <w:pPr>
        <w:pStyle w:val="13"/>
        <w:snapToGrid w:val="0"/>
        <w:spacing w:before="50" w:after="50"/>
        <w:ind w:firstLine="1120" w:firstLineChars="400"/>
        <w:rPr>
          <w:rFonts w:ascii="宋体" w:hAnsi="宋体" w:cs="宋体"/>
          <w:bCs/>
          <w:color w:val="auto"/>
          <w:sz w:val="28"/>
          <w:szCs w:val="28"/>
          <w:highlight w:val="none"/>
        </w:rPr>
      </w:pPr>
    </w:p>
    <w:p w14:paraId="56E15D47">
      <w:pPr>
        <w:snapToGrid w:val="0"/>
        <w:spacing w:line="360" w:lineRule="auto"/>
        <w:ind w:firstLine="3360" w:firstLineChars="1200"/>
        <w:jc w:val="left"/>
        <w:rPr>
          <w:rFonts w:ascii="宋体" w:hAnsi="宋体" w:cs="宋体"/>
          <w:color w:val="auto"/>
          <w:sz w:val="28"/>
          <w:szCs w:val="28"/>
          <w:highlight w:val="none"/>
        </w:rPr>
      </w:pPr>
    </w:p>
    <w:p w14:paraId="1EC45373">
      <w:pPr>
        <w:snapToGrid w:val="0"/>
        <w:spacing w:line="360" w:lineRule="auto"/>
        <w:ind w:firstLine="3640" w:firstLineChars="1300"/>
        <w:jc w:val="left"/>
        <w:rPr>
          <w:rFonts w:ascii="宋体" w:hAnsi="宋体" w:cs="宋体"/>
          <w:color w:val="auto"/>
          <w:sz w:val="24"/>
          <w:highlight w:val="none"/>
        </w:rPr>
      </w:pPr>
      <w:r>
        <w:rPr>
          <w:rFonts w:hint="eastAsia" w:ascii="宋体" w:hAnsi="宋体" w:cs="宋体"/>
          <w:color w:val="auto"/>
          <w:sz w:val="28"/>
          <w:szCs w:val="28"/>
          <w:highlight w:val="none"/>
        </w:rPr>
        <w:t>年  月  日</w:t>
      </w:r>
      <w:r>
        <w:rPr>
          <w:rFonts w:hint="eastAsia" w:ascii="宋体" w:hAnsi="宋体" w:cs="宋体"/>
          <w:color w:val="auto"/>
          <w:sz w:val="28"/>
          <w:szCs w:val="28"/>
          <w:highlight w:val="none"/>
        </w:rPr>
        <w:br w:type="page"/>
      </w:r>
      <w:bookmarkStart w:id="53" w:name="_Hlk60757343"/>
      <w:r>
        <w:rPr>
          <w:rFonts w:hint="eastAsia" w:ascii="宋体" w:hAnsi="宋体" w:cs="宋体"/>
          <w:color w:val="auto"/>
          <w:sz w:val="24"/>
          <w:highlight w:val="none"/>
        </w:rPr>
        <w:t>2.营业执照等：</w:t>
      </w:r>
      <w:bookmarkEnd w:id="53"/>
    </w:p>
    <w:p w14:paraId="6CC22769">
      <w:pPr>
        <w:snapToGrid w:val="0"/>
        <w:spacing w:line="360" w:lineRule="auto"/>
        <w:jc w:val="center"/>
        <w:rPr>
          <w:rFonts w:ascii="宋体" w:hAnsi="宋体" w:cs="宋体"/>
          <w:b/>
          <w:color w:val="auto"/>
          <w:kern w:val="0"/>
          <w:sz w:val="32"/>
          <w:szCs w:val="32"/>
          <w:highlight w:val="none"/>
          <w:lang w:val="zh-CN"/>
        </w:rPr>
      </w:pPr>
    </w:p>
    <w:p w14:paraId="6F6ECFAB">
      <w:pPr>
        <w:snapToGrid w:val="0"/>
        <w:spacing w:line="360" w:lineRule="auto"/>
        <w:jc w:val="center"/>
        <w:rPr>
          <w:rFonts w:ascii="宋体" w:hAnsi="宋体" w:cs="宋体"/>
          <w:b/>
          <w:color w:val="auto"/>
          <w:kern w:val="0"/>
          <w:sz w:val="32"/>
          <w:szCs w:val="32"/>
          <w:highlight w:val="none"/>
          <w:lang w:val="zh-CN"/>
        </w:rPr>
      </w:pPr>
    </w:p>
    <w:p w14:paraId="0921BBF3">
      <w:pPr>
        <w:snapToGrid w:val="0"/>
        <w:spacing w:line="360" w:lineRule="auto"/>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营业执照（推荐使用电子营业执照）</w:t>
      </w:r>
    </w:p>
    <w:p w14:paraId="6E34113F">
      <w:pPr>
        <w:snapToGrid w:val="0"/>
        <w:spacing w:line="360" w:lineRule="auto"/>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或事业法人登记证或其他工商等登记证明材料原件扫描件或复印件</w:t>
      </w:r>
    </w:p>
    <w:p w14:paraId="5E869206">
      <w:pPr>
        <w:snapToGrid w:val="0"/>
        <w:spacing w:line="360" w:lineRule="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B9CDEFF">
      <w:pPr>
        <w:snapToGrid w:val="0"/>
        <w:spacing w:line="360" w:lineRule="auto"/>
        <w:jc w:val="center"/>
        <w:rPr>
          <w:rFonts w:ascii="宋体" w:hAnsi="宋体" w:cs="宋体"/>
          <w:b/>
          <w:color w:val="auto"/>
          <w:sz w:val="30"/>
          <w:szCs w:val="30"/>
          <w:highlight w:val="none"/>
        </w:rPr>
      </w:pPr>
    </w:p>
    <w:p w14:paraId="7C23CF46">
      <w:pPr>
        <w:spacing w:line="360" w:lineRule="auto"/>
        <w:jc w:val="center"/>
        <w:rPr>
          <w:rFonts w:ascii="宋体" w:hAnsi="宋体" w:cs="宋体"/>
          <w:b/>
          <w:color w:val="auto"/>
          <w:sz w:val="32"/>
          <w:szCs w:val="32"/>
          <w:highlight w:val="none"/>
        </w:rPr>
      </w:pPr>
    </w:p>
    <w:p w14:paraId="04D3AD57">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特定资格条件要求的资质文件复印件（如有）</w:t>
      </w:r>
    </w:p>
    <w:p w14:paraId="47AD8E4A">
      <w:pPr>
        <w:snapToGrid w:val="0"/>
        <w:spacing w:line="360" w:lineRule="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zh-CN"/>
        </w:rPr>
        <w:t>（由投标人根据招标公告合格的投标人应具备的特定资格要求编制，如果本项目没有设置特定资格条件，则不需要提供）</w:t>
      </w:r>
    </w:p>
    <w:p w14:paraId="683882C0">
      <w:pPr>
        <w:spacing w:line="360" w:lineRule="auto"/>
        <w:jc w:val="center"/>
        <w:rPr>
          <w:rFonts w:ascii="宋体" w:hAnsi="宋体" w:cs="宋体"/>
          <w:b/>
          <w:bCs/>
          <w:color w:val="auto"/>
          <w:sz w:val="32"/>
          <w:szCs w:val="32"/>
          <w:highlight w:val="none"/>
        </w:rPr>
      </w:pPr>
    </w:p>
    <w:p w14:paraId="5AFCDFBB">
      <w:pPr>
        <w:spacing w:line="360" w:lineRule="auto"/>
        <w:jc w:val="left"/>
        <w:rPr>
          <w:rFonts w:ascii="宋体" w:hAnsi="宋体" w:cs="宋体"/>
          <w:color w:val="auto"/>
          <w:sz w:val="24"/>
          <w:highlight w:val="none"/>
        </w:rPr>
      </w:pPr>
      <w:r>
        <w:rPr>
          <w:rFonts w:hint="eastAsia" w:ascii="宋体" w:hAnsi="宋体" w:cs="宋体"/>
          <w:b/>
          <w:bCs/>
          <w:color w:val="auto"/>
          <w:sz w:val="28"/>
          <w:szCs w:val="28"/>
          <w:highlight w:val="none"/>
        </w:rPr>
        <w:br w:type="page"/>
      </w:r>
      <w:r>
        <w:rPr>
          <w:rFonts w:hint="eastAsia" w:ascii="宋体" w:hAnsi="宋体" w:cs="宋体"/>
          <w:color w:val="auto"/>
          <w:sz w:val="24"/>
          <w:highlight w:val="none"/>
        </w:rPr>
        <w:t>3.</w:t>
      </w:r>
      <w:r>
        <w:rPr>
          <w:rFonts w:hint="eastAsia" w:ascii="宋体" w:hAnsi="宋体" w:cs="宋体"/>
          <w:color w:val="auto"/>
          <w:highlight w:val="none"/>
        </w:rPr>
        <w:t xml:space="preserve"> </w:t>
      </w:r>
      <w:r>
        <w:rPr>
          <w:rFonts w:hint="eastAsia" w:ascii="宋体" w:hAnsi="宋体" w:cs="宋体"/>
          <w:color w:val="auto"/>
          <w:sz w:val="24"/>
          <w:highlight w:val="none"/>
        </w:rPr>
        <w:t>没有重大违法记录的承诺函格式：</w:t>
      </w:r>
    </w:p>
    <w:p w14:paraId="321FFCEC">
      <w:pPr>
        <w:spacing w:line="360" w:lineRule="auto"/>
        <w:jc w:val="center"/>
        <w:rPr>
          <w:rFonts w:ascii="宋体" w:hAnsi="宋体" w:cs="宋体"/>
          <w:b/>
          <w:color w:val="auto"/>
          <w:kern w:val="0"/>
          <w:sz w:val="32"/>
          <w:szCs w:val="32"/>
          <w:highlight w:val="none"/>
        </w:rPr>
      </w:pPr>
    </w:p>
    <w:p w14:paraId="1036CA78">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参加本次招标项目前三年内在经营活动中</w:t>
      </w:r>
    </w:p>
    <w:p w14:paraId="2102242E">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6A32B03B">
      <w:pPr>
        <w:spacing w:line="520" w:lineRule="exact"/>
        <w:jc w:val="center"/>
        <w:rPr>
          <w:rFonts w:ascii="宋体" w:hAnsi="宋体" w:cs="宋体"/>
          <w:bCs/>
          <w:color w:val="auto"/>
          <w:sz w:val="24"/>
          <w:highlight w:val="none"/>
        </w:rPr>
      </w:pPr>
    </w:p>
    <w:p w14:paraId="359FB820">
      <w:pPr>
        <w:ind w:firstLine="420"/>
        <w:rPr>
          <w:rFonts w:ascii="宋体" w:hAnsi="宋体" w:cs="宋体"/>
          <w:color w:val="auto"/>
          <w:sz w:val="24"/>
          <w:highlight w:val="none"/>
        </w:rPr>
      </w:pPr>
    </w:p>
    <w:p w14:paraId="4B6784A8">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5D59037C">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AE79FD0">
      <w:pPr>
        <w:ind w:firstLine="420"/>
        <w:rPr>
          <w:rFonts w:ascii="宋体" w:hAnsi="宋体" w:cs="宋体"/>
          <w:color w:val="auto"/>
          <w:sz w:val="24"/>
          <w:highlight w:val="none"/>
        </w:rPr>
      </w:pPr>
    </w:p>
    <w:p w14:paraId="62EABA63">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61FD6146">
      <w:pPr>
        <w:snapToGrid w:val="0"/>
        <w:spacing w:before="50" w:after="120" w:afterLines="50"/>
        <w:jc w:val="left"/>
        <w:rPr>
          <w:rFonts w:ascii="宋体" w:hAnsi="宋体" w:cs="宋体"/>
          <w:color w:val="auto"/>
          <w:kern w:val="0"/>
          <w:sz w:val="24"/>
          <w:highlight w:val="none"/>
          <w:lang w:val="zh-CN"/>
        </w:rPr>
      </w:pPr>
    </w:p>
    <w:p w14:paraId="50899731">
      <w:pPr>
        <w:snapToGrid w:val="0"/>
        <w:spacing w:before="50" w:after="120" w:afterLines="50"/>
        <w:jc w:val="left"/>
        <w:rPr>
          <w:rFonts w:ascii="宋体" w:hAnsi="宋体" w:cs="宋体"/>
          <w:color w:val="auto"/>
          <w:kern w:val="0"/>
          <w:sz w:val="24"/>
          <w:highlight w:val="none"/>
          <w:lang w:val="zh-CN"/>
        </w:rPr>
      </w:pPr>
    </w:p>
    <w:p w14:paraId="497A07B2">
      <w:pPr>
        <w:snapToGrid w:val="0"/>
        <w:spacing w:before="50" w:after="120" w:afterLines="50"/>
        <w:jc w:val="left"/>
        <w:rPr>
          <w:rFonts w:ascii="宋体" w:hAnsi="宋体" w:cs="宋体"/>
          <w:color w:val="auto"/>
          <w:kern w:val="0"/>
          <w:sz w:val="24"/>
          <w:highlight w:val="none"/>
          <w:lang w:val="zh-CN"/>
        </w:rPr>
      </w:pPr>
    </w:p>
    <w:p w14:paraId="698609C9">
      <w:pPr>
        <w:snapToGrid w:val="0"/>
        <w:spacing w:before="50" w:after="120" w:afterLines="50"/>
        <w:jc w:val="left"/>
        <w:rPr>
          <w:rFonts w:ascii="宋体" w:hAnsi="宋体" w:cs="宋体"/>
          <w:b/>
          <w:color w:val="auto"/>
          <w:spacing w:val="20"/>
          <w:sz w:val="24"/>
          <w:highlight w:val="none"/>
        </w:rPr>
      </w:pPr>
      <w:r>
        <w:rPr>
          <w:rFonts w:hint="eastAsia" w:ascii="宋体" w:hAnsi="宋体" w:cs="宋体"/>
          <w:b/>
          <w:color w:val="auto"/>
          <w:spacing w:val="20"/>
          <w:sz w:val="24"/>
          <w:highlight w:val="none"/>
        </w:rPr>
        <w:t>法定代表人签字（或盖章）：         投标人（盖章）：</w:t>
      </w:r>
    </w:p>
    <w:p w14:paraId="563240DB">
      <w:pPr>
        <w:snapToGrid w:val="0"/>
        <w:spacing w:before="50" w:after="120" w:afterLines="50"/>
        <w:jc w:val="left"/>
        <w:rPr>
          <w:rFonts w:ascii="宋体" w:hAnsi="宋体" w:cs="宋体"/>
          <w:b/>
          <w:color w:val="auto"/>
          <w:sz w:val="24"/>
          <w:highlight w:val="none"/>
        </w:rPr>
      </w:pPr>
    </w:p>
    <w:p w14:paraId="60EEED6B">
      <w:pPr>
        <w:snapToGrid w:val="0"/>
        <w:spacing w:before="50" w:after="120" w:afterLines="50"/>
        <w:jc w:val="left"/>
        <w:rPr>
          <w:rFonts w:ascii="宋体" w:hAnsi="宋体" w:cs="宋体"/>
          <w:b/>
          <w:color w:val="auto"/>
          <w:sz w:val="24"/>
          <w:highlight w:val="none"/>
        </w:rPr>
      </w:pPr>
    </w:p>
    <w:p w14:paraId="4917163C">
      <w:pPr>
        <w:snapToGrid w:val="0"/>
        <w:spacing w:before="50" w:after="120" w:afterLines="50"/>
        <w:jc w:val="left"/>
        <w:rPr>
          <w:rFonts w:ascii="宋体" w:hAnsi="宋体" w:cs="宋体"/>
          <w:b/>
          <w:color w:val="auto"/>
          <w:sz w:val="24"/>
          <w:highlight w:val="none"/>
        </w:rPr>
      </w:pPr>
      <w:r>
        <w:rPr>
          <w:rFonts w:hint="eastAsia" w:ascii="宋体" w:hAnsi="宋体" w:cs="宋体"/>
          <w:b/>
          <w:color w:val="auto"/>
          <w:sz w:val="24"/>
          <w:highlight w:val="none"/>
        </w:rPr>
        <w:t>日期：  _____年___月___日</w:t>
      </w:r>
    </w:p>
    <w:p w14:paraId="15BCD903">
      <w:pPr>
        <w:snapToGrid w:val="0"/>
        <w:spacing w:before="50" w:after="120" w:afterLines="50"/>
        <w:jc w:val="left"/>
        <w:rPr>
          <w:rFonts w:ascii="宋体" w:hAnsi="宋体" w:cs="宋体"/>
          <w:color w:val="auto"/>
          <w:sz w:val="28"/>
          <w:szCs w:val="28"/>
          <w:highlight w:val="none"/>
        </w:rPr>
      </w:pPr>
    </w:p>
    <w:p w14:paraId="08DDFA1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br w:type="page"/>
      </w:r>
    </w:p>
    <w:p w14:paraId="46CF3DEF">
      <w:pPr>
        <w:snapToGrid w:val="0"/>
        <w:spacing w:before="120" w:beforeLines="50" w:after="50"/>
        <w:jc w:val="center"/>
        <w:outlineLvl w:val="1"/>
        <w:rPr>
          <w:rFonts w:ascii="宋体" w:hAnsi="宋体" w:cs="宋体"/>
          <w:b/>
          <w:bCs/>
          <w:color w:val="auto"/>
          <w:sz w:val="24"/>
          <w:highlight w:val="none"/>
        </w:rPr>
      </w:pPr>
    </w:p>
    <w:p w14:paraId="1787D8E9">
      <w:pPr>
        <w:snapToGrid w:val="0"/>
        <w:spacing w:before="120" w:beforeLines="50" w:after="50"/>
        <w:jc w:val="center"/>
        <w:outlineLvl w:val="1"/>
        <w:rPr>
          <w:rFonts w:ascii="宋体" w:hAnsi="宋体" w:cs="宋体"/>
          <w:b/>
          <w:bCs/>
          <w:color w:val="auto"/>
          <w:sz w:val="28"/>
          <w:szCs w:val="28"/>
          <w:highlight w:val="none"/>
        </w:rPr>
      </w:pPr>
      <w:bookmarkStart w:id="54" w:name="_Toc15805"/>
      <w:bookmarkStart w:id="55" w:name="_Toc466534753"/>
      <w:bookmarkStart w:id="56" w:name="_Toc18185"/>
      <w:r>
        <w:rPr>
          <w:rFonts w:hint="eastAsia" w:ascii="宋体" w:hAnsi="宋体" w:cs="宋体"/>
          <w:b/>
          <w:bCs/>
          <w:color w:val="auto"/>
          <w:sz w:val="28"/>
          <w:szCs w:val="28"/>
          <w:highlight w:val="none"/>
        </w:rPr>
        <w:t>二、商务技术文件格式</w:t>
      </w:r>
      <w:bookmarkEnd w:id="52"/>
      <w:bookmarkEnd w:id="54"/>
      <w:bookmarkEnd w:id="55"/>
      <w:bookmarkEnd w:id="56"/>
    </w:p>
    <w:p w14:paraId="51992960">
      <w:pPr>
        <w:snapToGrid w:val="0"/>
        <w:spacing w:before="120" w:beforeLines="50" w:after="50"/>
        <w:jc w:val="center"/>
        <w:rPr>
          <w:rFonts w:ascii="宋体" w:hAnsi="宋体" w:cs="宋体"/>
          <w:color w:val="auto"/>
          <w:sz w:val="28"/>
          <w:szCs w:val="28"/>
          <w:highlight w:val="none"/>
        </w:rPr>
      </w:pPr>
    </w:p>
    <w:p w14:paraId="7BD533B2">
      <w:pPr>
        <w:snapToGrid w:val="0"/>
        <w:spacing w:before="120" w:beforeLines="50" w:after="50"/>
        <w:jc w:val="center"/>
        <w:rPr>
          <w:rFonts w:ascii="宋体" w:hAnsi="宋体" w:cs="宋体"/>
          <w:color w:val="auto"/>
          <w:sz w:val="28"/>
          <w:szCs w:val="28"/>
          <w:highlight w:val="none"/>
        </w:rPr>
      </w:pPr>
    </w:p>
    <w:p w14:paraId="3D2D1C1D">
      <w:pPr>
        <w:snapToGrid w:val="0"/>
        <w:spacing w:before="120"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4.商务技术文件封面格式： </w:t>
      </w:r>
    </w:p>
    <w:p w14:paraId="069C6678">
      <w:pPr>
        <w:snapToGrid w:val="0"/>
        <w:spacing w:before="120" w:beforeLines="50" w:after="5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3913CC95">
      <w:pPr>
        <w:snapToGrid w:val="0"/>
        <w:spacing w:before="120" w:beforeLines="50" w:after="50"/>
        <w:rPr>
          <w:rFonts w:ascii="宋体" w:hAnsi="宋体" w:cs="宋体"/>
          <w:color w:val="auto"/>
          <w:sz w:val="28"/>
          <w:szCs w:val="28"/>
          <w:highlight w:val="none"/>
        </w:rPr>
      </w:pPr>
    </w:p>
    <w:p w14:paraId="479C3271">
      <w:pPr>
        <w:snapToGrid w:val="0"/>
        <w:spacing w:before="120" w:beforeLines="50" w:after="50"/>
        <w:jc w:val="center"/>
        <w:rPr>
          <w:rFonts w:ascii="宋体" w:hAnsi="宋体" w:cs="宋体"/>
          <w:bCs/>
          <w:color w:val="auto"/>
          <w:sz w:val="28"/>
          <w:szCs w:val="28"/>
          <w:highlight w:val="none"/>
        </w:rPr>
      </w:pPr>
    </w:p>
    <w:p w14:paraId="4E47E960">
      <w:pPr>
        <w:snapToGrid w:val="0"/>
        <w:spacing w:before="120"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商务技术文件</w:t>
      </w:r>
    </w:p>
    <w:p w14:paraId="37D0D6ED">
      <w:pPr>
        <w:snapToGrid w:val="0"/>
        <w:spacing w:before="120" w:beforeLines="50" w:after="50" w:line="360" w:lineRule="auto"/>
        <w:jc w:val="center"/>
        <w:rPr>
          <w:rFonts w:ascii="宋体" w:hAnsi="宋体" w:cs="宋体"/>
          <w:bCs/>
          <w:color w:val="auto"/>
          <w:sz w:val="28"/>
          <w:szCs w:val="28"/>
          <w:highlight w:val="none"/>
        </w:rPr>
      </w:pPr>
    </w:p>
    <w:p w14:paraId="61D20DC6">
      <w:pPr>
        <w:snapToGrid w:val="0"/>
        <w:spacing w:before="120" w:beforeLines="50" w:after="50" w:line="360" w:lineRule="auto"/>
        <w:jc w:val="center"/>
        <w:rPr>
          <w:rFonts w:ascii="宋体" w:hAnsi="宋体" w:cs="宋体"/>
          <w:bCs/>
          <w:color w:val="auto"/>
          <w:sz w:val="28"/>
          <w:szCs w:val="28"/>
          <w:highlight w:val="none"/>
        </w:rPr>
      </w:pPr>
    </w:p>
    <w:p w14:paraId="5267504D">
      <w:pPr>
        <w:snapToGrid w:val="0"/>
        <w:spacing w:before="120" w:beforeLines="50" w:after="50" w:line="360" w:lineRule="auto"/>
        <w:ind w:firstLine="1243" w:firstLineChars="444"/>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60807EF9">
      <w:pPr>
        <w:snapToGrid w:val="0"/>
        <w:spacing w:before="120"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    </w:t>
      </w:r>
    </w:p>
    <w:p w14:paraId="3C9410F7">
      <w:pPr>
        <w:pStyle w:val="13"/>
        <w:snapToGrid w:val="0"/>
        <w:spacing w:before="50" w:after="50" w:line="360" w:lineRule="auto"/>
        <w:ind w:firstLine="1164" w:firstLineChars="416"/>
        <w:rPr>
          <w:rFonts w:ascii="宋体" w:hAnsi="宋体" w:cs="宋体"/>
          <w:bCs/>
          <w:color w:val="auto"/>
          <w:sz w:val="28"/>
          <w:szCs w:val="28"/>
          <w:highlight w:val="none"/>
        </w:rPr>
      </w:pPr>
    </w:p>
    <w:p w14:paraId="175BACE6">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3304ACE0">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5568E57D">
      <w:pPr>
        <w:pStyle w:val="13"/>
        <w:snapToGrid w:val="0"/>
        <w:spacing w:before="50" w:after="50"/>
        <w:ind w:firstLine="1120" w:firstLineChars="400"/>
        <w:rPr>
          <w:rFonts w:ascii="宋体" w:hAnsi="宋体" w:cs="宋体"/>
          <w:bCs/>
          <w:color w:val="auto"/>
          <w:sz w:val="28"/>
          <w:szCs w:val="28"/>
          <w:highlight w:val="none"/>
        </w:rPr>
      </w:pPr>
    </w:p>
    <w:p w14:paraId="3438DDA1">
      <w:pPr>
        <w:snapToGrid w:val="0"/>
        <w:spacing w:before="120" w:beforeLines="50" w:after="50"/>
        <w:ind w:firstLine="645"/>
        <w:jc w:val="left"/>
        <w:rPr>
          <w:rFonts w:ascii="宋体" w:hAnsi="宋体" w:cs="宋体"/>
          <w:color w:val="auto"/>
          <w:sz w:val="24"/>
          <w:highlight w:val="none"/>
        </w:rPr>
      </w:pPr>
      <w:r>
        <w:rPr>
          <w:rFonts w:hint="eastAsia" w:ascii="宋体" w:hAnsi="宋体" w:cs="宋体"/>
          <w:color w:val="auto"/>
          <w:sz w:val="28"/>
          <w:szCs w:val="28"/>
          <w:highlight w:val="none"/>
        </w:rPr>
        <w:t xml:space="preserve">                        年  月  日</w:t>
      </w:r>
      <w:r>
        <w:rPr>
          <w:rFonts w:hint="eastAsia" w:ascii="宋体" w:hAnsi="宋体" w:cs="宋体"/>
          <w:color w:val="auto"/>
          <w:sz w:val="24"/>
          <w:highlight w:val="none"/>
        </w:rPr>
        <w:br w:type="page"/>
      </w:r>
      <w:bookmarkStart w:id="57" w:name="_Hlk60757098"/>
      <w:r>
        <w:rPr>
          <w:rFonts w:hint="eastAsia" w:ascii="宋体" w:hAnsi="宋体" w:cs="宋体"/>
          <w:color w:val="auto"/>
          <w:sz w:val="24"/>
          <w:highlight w:val="none"/>
        </w:rPr>
        <w:t>5.投标函格式：</w:t>
      </w:r>
      <w:bookmarkEnd w:id="57"/>
    </w:p>
    <w:p w14:paraId="049B2E93">
      <w:pPr>
        <w:snapToGrid w:val="0"/>
        <w:spacing w:before="120" w:beforeLines="50" w:after="50"/>
        <w:jc w:val="center"/>
        <w:rPr>
          <w:rFonts w:ascii="宋体" w:hAnsi="宋体" w:cs="宋体"/>
          <w:b/>
          <w:color w:val="auto"/>
          <w:sz w:val="36"/>
          <w:szCs w:val="36"/>
          <w:highlight w:val="none"/>
        </w:rPr>
      </w:pPr>
      <w:r>
        <w:rPr>
          <w:rFonts w:hint="eastAsia" w:ascii="宋体" w:hAnsi="宋体" w:cs="宋体"/>
          <w:b/>
          <w:color w:val="auto"/>
          <w:sz w:val="36"/>
          <w:szCs w:val="36"/>
          <w:highlight w:val="none"/>
        </w:rPr>
        <w:t>投 标 函</w:t>
      </w:r>
    </w:p>
    <w:p w14:paraId="50568303">
      <w:pPr>
        <w:snapToGrid w:val="0"/>
        <w:spacing w:before="120" w:beforeLines="50" w:after="50" w:line="380" w:lineRule="exact"/>
        <w:rPr>
          <w:rFonts w:ascii="宋体" w:hAnsi="宋体" w:cs="宋体"/>
          <w:color w:val="auto"/>
          <w:sz w:val="24"/>
          <w:szCs w:val="20"/>
          <w:highlight w:val="none"/>
        </w:rPr>
      </w:pPr>
      <w:r>
        <w:rPr>
          <w:rFonts w:hint="eastAsia" w:ascii="宋体" w:hAnsi="宋体" w:cs="宋体"/>
          <w:color w:val="auto"/>
          <w:sz w:val="24"/>
          <w:highlight w:val="none"/>
        </w:rPr>
        <w:t>致：______</w:t>
      </w:r>
      <w:r>
        <w:rPr>
          <w:rFonts w:hint="eastAsia" w:ascii="宋体" w:hAnsi="宋体" w:cs="宋体"/>
          <w:color w:val="auto"/>
          <w:sz w:val="24"/>
          <w:highlight w:val="none"/>
          <w:u w:val="single"/>
        </w:rPr>
        <w:t>_     _</w:t>
      </w:r>
      <w:r>
        <w:rPr>
          <w:rFonts w:hint="eastAsia" w:ascii="宋体" w:hAnsi="宋体" w:cs="宋体"/>
          <w:color w:val="auto"/>
          <w:sz w:val="24"/>
          <w:highlight w:val="none"/>
        </w:rPr>
        <w:t>_（招标人名称）：</w:t>
      </w:r>
    </w:p>
    <w:p w14:paraId="21ECDA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1、我方自愿参加贵方组织的_____</w:t>
      </w:r>
      <w:r>
        <w:rPr>
          <w:rFonts w:hint="eastAsia" w:ascii="宋体" w:hAnsi="宋体" w:cs="宋体"/>
          <w:color w:val="auto"/>
          <w:sz w:val="24"/>
          <w:highlight w:val="none"/>
          <w:u w:val="single"/>
        </w:rPr>
        <w:t>_              _</w:t>
      </w:r>
      <w:r>
        <w:rPr>
          <w:rFonts w:hint="eastAsia" w:ascii="宋体" w:hAnsi="宋体" w:cs="宋体"/>
          <w:color w:val="auto"/>
          <w:sz w:val="24"/>
          <w:highlight w:val="none"/>
        </w:rPr>
        <w:t>_项目（项目编号：____</w:t>
      </w:r>
      <w:r>
        <w:rPr>
          <w:rFonts w:hint="eastAsia" w:ascii="宋体" w:hAnsi="宋体" w:cs="宋体"/>
          <w:color w:val="auto"/>
          <w:sz w:val="24"/>
          <w:highlight w:val="none"/>
          <w:u w:val="single"/>
        </w:rPr>
        <w:t>_     _</w:t>
      </w:r>
      <w:r>
        <w:rPr>
          <w:rFonts w:hint="eastAsia" w:ascii="宋体" w:hAnsi="宋体" w:cs="宋体"/>
          <w:color w:val="auto"/>
          <w:sz w:val="24"/>
          <w:highlight w:val="none"/>
        </w:rPr>
        <w:t>_）的投标，并按招标文件的要求提交商务技术文件、报价文件。</w:t>
      </w:r>
    </w:p>
    <w:p w14:paraId="1678641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2、我方完全理解并接受招标文件（包括修改补充文件）的各项规定和要求，不再对招标文件的合理性、合法性等相关内容提出质疑或投诉。</w:t>
      </w:r>
    </w:p>
    <w:p w14:paraId="23A40911">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3、我方不是招标人的附属机构以及其它法律法规所规定的限制投标单位。</w:t>
      </w:r>
    </w:p>
    <w:p w14:paraId="66FC94AF">
      <w:pPr>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4、我方向贵方提交的所有投标文件、资料（包括所有</w:t>
      </w:r>
      <w:bookmarkStart w:id="58" w:name="_Hlk59707887"/>
      <w:r>
        <w:rPr>
          <w:rFonts w:hint="eastAsia" w:ascii="宋体" w:hAnsi="宋体" w:cs="宋体"/>
          <w:b/>
          <w:bCs/>
          <w:color w:val="auto"/>
          <w:sz w:val="24"/>
          <w:highlight w:val="none"/>
        </w:rPr>
        <w:t>证书、合同、报告等</w:t>
      </w:r>
      <w:bookmarkEnd w:id="58"/>
      <w:r>
        <w:rPr>
          <w:rFonts w:hint="eastAsia" w:ascii="宋体" w:hAnsi="宋体" w:cs="宋体"/>
          <w:b/>
          <w:bCs/>
          <w:color w:val="auto"/>
          <w:sz w:val="24"/>
          <w:highlight w:val="none"/>
        </w:rPr>
        <w:t>）都是准确、真实、合规的，如有虚假或隐瞒，我方愿意承担一切后果。</w:t>
      </w:r>
    </w:p>
    <w:p w14:paraId="02E0F0A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5、自投标截止日起 90天内有效。</w:t>
      </w:r>
    </w:p>
    <w:p w14:paraId="0A7D839A">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6、如中标，本投标文件至本项目合同履行完毕均保持有效，同意按照贵方要求提供与投标有关的一切数据或资料，并按“招标文件”及相关法律、法规的规定履行合同责任和义务。</w:t>
      </w:r>
    </w:p>
    <w:p w14:paraId="0C2E5642">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7、以上事项如有虚假或隐瞒，我方愿意承担一切后果，并不再寻求任何旨在减轻或免除法律责任的辩解，同意我方的履约保证金不予退回，并对招标人因此引起的损失予以赔偿。</w:t>
      </w:r>
    </w:p>
    <w:p w14:paraId="68AFEBFF">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3FFD71E7">
      <w:pPr>
        <w:snapToGrid w:val="0"/>
        <w:spacing w:line="360" w:lineRule="auto"/>
        <w:ind w:firstLine="361" w:firstLineChars="150"/>
        <w:rPr>
          <w:rFonts w:ascii="宋体" w:hAnsi="宋体" w:cs="宋体"/>
          <w:b/>
          <w:bCs/>
          <w:color w:val="auto"/>
          <w:sz w:val="24"/>
          <w:highlight w:val="none"/>
          <w:u w:val="single"/>
        </w:rPr>
      </w:pPr>
      <w:bookmarkStart w:id="59" w:name="_Hlk36048718"/>
      <w:r>
        <w:rPr>
          <w:rFonts w:hint="eastAsia" w:ascii="宋体" w:hAnsi="宋体" w:cs="宋体"/>
          <w:b/>
          <w:bCs/>
          <w:color w:val="auto"/>
          <w:sz w:val="24"/>
          <w:highlight w:val="none"/>
        </w:rPr>
        <w:t>与本投标有关的一切正式往来信函、传真或邮件</w:t>
      </w:r>
      <w:r>
        <w:rPr>
          <w:rFonts w:hint="eastAsia" w:ascii="宋体" w:hAnsi="宋体" w:cs="宋体"/>
          <w:b/>
          <w:bCs/>
          <w:color w:val="auto"/>
          <w:sz w:val="24"/>
          <w:highlight w:val="none"/>
          <w:u w:val="single"/>
        </w:rPr>
        <w:t>（例如质疑回复函、中标通知书、招标合同等）请采用如下联系方式送达，我方确保能够及时、准确收悉。</w:t>
      </w:r>
    </w:p>
    <w:p w14:paraId="79077CD0">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邮寄详细地址：__________</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邮编：__________</w:t>
      </w:r>
    </w:p>
    <w:p w14:paraId="2F4C25DC">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收件人姓名：_______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联系手机：</w:t>
      </w:r>
      <w:bookmarkStart w:id="60" w:name="_Hlk59370410"/>
      <w:r>
        <w:rPr>
          <w:rFonts w:hint="eastAsia" w:ascii="宋体" w:hAnsi="宋体" w:cs="宋体"/>
          <w:color w:val="auto"/>
          <w:sz w:val="24"/>
          <w:highlight w:val="none"/>
        </w:rPr>
        <w:t>_______</w:t>
      </w:r>
      <w:r>
        <w:rPr>
          <w:rFonts w:hint="eastAsia" w:ascii="宋体" w:hAnsi="宋体" w:cs="宋体"/>
          <w:color w:val="auto"/>
          <w:sz w:val="24"/>
          <w:highlight w:val="none"/>
          <w:u w:val="single"/>
        </w:rPr>
        <w:t xml:space="preserve">_       </w:t>
      </w:r>
      <w:bookmarkEnd w:id="60"/>
      <w:r>
        <w:rPr>
          <w:rFonts w:hint="eastAsia" w:ascii="宋体" w:hAnsi="宋体" w:cs="宋体"/>
          <w:color w:val="auto"/>
          <w:sz w:val="24"/>
          <w:highlight w:val="none"/>
        </w:rPr>
        <w:t>公司电子邮箱</w:t>
      </w:r>
      <w:r>
        <w:rPr>
          <w:rFonts w:hint="eastAsia" w:ascii="宋体" w:hAnsi="宋体" w:cs="宋体"/>
          <w:b/>
          <w:bCs/>
          <w:color w:val="auto"/>
          <w:sz w:val="24"/>
          <w:highlight w:val="none"/>
        </w:rPr>
        <w:t>：</w:t>
      </w:r>
      <w:r>
        <w:rPr>
          <w:rFonts w:hint="eastAsia" w:ascii="宋体" w:hAnsi="宋体" w:cs="宋体"/>
          <w:color w:val="auto"/>
          <w:sz w:val="24"/>
          <w:highlight w:val="none"/>
          <w:u w:val="single"/>
        </w:rPr>
        <w:t xml:space="preserve"> _     __ </w:t>
      </w:r>
      <w:r>
        <w:rPr>
          <w:rFonts w:hint="eastAsia" w:ascii="宋体" w:hAnsi="宋体" w:cs="宋体"/>
          <w:color w:val="auto"/>
          <w:sz w:val="24"/>
          <w:highlight w:val="none"/>
        </w:rPr>
        <w:t xml:space="preserve"> </w:t>
      </w:r>
    </w:p>
    <w:p w14:paraId="17552AC9">
      <w:pPr>
        <w:snapToGrid w:val="0"/>
        <w:spacing w:line="360" w:lineRule="auto"/>
        <w:ind w:firstLine="361" w:firstLineChars="150"/>
        <w:jc w:val="left"/>
        <w:rPr>
          <w:rFonts w:ascii="宋体" w:hAnsi="宋体" w:cs="宋体"/>
          <w:b/>
          <w:bCs/>
          <w:color w:val="auto"/>
          <w:sz w:val="24"/>
          <w:highlight w:val="none"/>
        </w:rPr>
      </w:pPr>
      <w:bookmarkStart w:id="61" w:name="_Hlk59370586"/>
      <w:r>
        <w:rPr>
          <w:rFonts w:hint="eastAsia" w:ascii="宋体" w:hAnsi="宋体" w:cs="宋体"/>
          <w:b/>
          <w:bCs/>
          <w:color w:val="auto"/>
          <w:sz w:val="24"/>
          <w:highlight w:val="none"/>
        </w:rPr>
        <w:t>为了方便评标委员会在必要时对投标人进行询标，请投标人填写以下投标文件编制人信息，以便及时、准确进行询标，投标文件编制人信息可不限于1人。</w:t>
      </w:r>
    </w:p>
    <w:p w14:paraId="39572DE6">
      <w:pPr>
        <w:snapToGrid w:val="0"/>
        <w:spacing w:line="360" w:lineRule="auto"/>
        <w:ind w:firstLine="361" w:firstLineChars="150"/>
        <w:jc w:val="left"/>
        <w:rPr>
          <w:rFonts w:ascii="宋体" w:hAnsi="宋体" w:cs="宋体"/>
          <w:b/>
          <w:bCs/>
          <w:color w:val="auto"/>
          <w:sz w:val="24"/>
          <w:highlight w:val="none"/>
          <w:u w:val="single"/>
        </w:rPr>
      </w:pPr>
      <w:r>
        <w:rPr>
          <w:rFonts w:hint="eastAsia" w:ascii="宋体" w:hAnsi="宋体" w:cs="宋体"/>
          <w:b/>
          <w:bCs/>
          <w:color w:val="auto"/>
          <w:sz w:val="24"/>
          <w:highlight w:val="none"/>
        </w:rPr>
        <w:t>投标文件编制人</w:t>
      </w:r>
      <w:bookmarkEnd w:id="61"/>
      <w:r>
        <w:rPr>
          <w:rFonts w:hint="eastAsia" w:ascii="宋体" w:hAnsi="宋体" w:cs="宋体"/>
          <w:b/>
          <w:bCs/>
          <w:color w:val="auto"/>
          <w:sz w:val="24"/>
          <w:highlight w:val="none"/>
        </w:rPr>
        <w:t>姓名：_</w:t>
      </w:r>
      <w:r>
        <w:rPr>
          <w:rFonts w:hint="eastAsia" w:ascii="宋体" w:hAnsi="宋体" w:cs="宋体"/>
          <w:b/>
          <w:bCs/>
          <w:color w:val="auto"/>
          <w:sz w:val="24"/>
          <w:highlight w:val="none"/>
          <w:u w:val="single"/>
        </w:rPr>
        <w:t>_</w:t>
      </w:r>
      <w:r>
        <w:rPr>
          <w:rFonts w:hint="eastAsia" w:ascii="宋体" w:hAnsi="宋体" w:cs="宋体"/>
          <w:b/>
          <w:bCs/>
          <w:color w:val="auto"/>
          <w:sz w:val="24"/>
          <w:highlight w:val="none"/>
        </w:rPr>
        <w:t>________    手机号码：__</w:t>
      </w:r>
      <w:r>
        <w:rPr>
          <w:rFonts w:hint="eastAsia" w:ascii="宋体" w:hAnsi="宋体" w:cs="宋体"/>
          <w:b/>
          <w:bCs/>
          <w:color w:val="auto"/>
          <w:sz w:val="24"/>
          <w:highlight w:val="none"/>
          <w:u w:val="single"/>
        </w:rPr>
        <w:t>____    _    __</w:t>
      </w:r>
    </w:p>
    <w:p w14:paraId="608891F7">
      <w:pPr>
        <w:snapToGrid w:val="0"/>
        <w:spacing w:line="360" w:lineRule="auto"/>
        <w:ind w:firstLine="361" w:firstLineChars="150"/>
        <w:jc w:val="left"/>
        <w:rPr>
          <w:rFonts w:ascii="宋体" w:hAnsi="宋体" w:cs="宋体"/>
          <w:b/>
          <w:color w:val="auto"/>
          <w:sz w:val="24"/>
          <w:highlight w:val="none"/>
          <w:u w:val="single"/>
        </w:rPr>
      </w:pPr>
      <w:r>
        <w:rPr>
          <w:rFonts w:hint="eastAsia" w:ascii="宋体" w:hAnsi="宋体" w:cs="宋体"/>
          <w:b/>
          <w:color w:val="auto"/>
          <w:sz w:val="24"/>
          <w:highlight w:val="none"/>
        </w:rPr>
        <w:t>法定代表人（签字或盖章）：</w:t>
      </w:r>
    </w:p>
    <w:p w14:paraId="7254A085">
      <w:pPr>
        <w:snapToGrid w:val="0"/>
        <w:spacing w:line="360" w:lineRule="auto"/>
        <w:ind w:firstLine="360" w:firstLineChars="150"/>
        <w:jc w:val="left"/>
        <w:rPr>
          <w:rFonts w:ascii="宋体" w:hAnsi="宋体" w:cs="宋体"/>
          <w:b/>
          <w:bCs/>
          <w:color w:val="auto"/>
          <w:sz w:val="24"/>
          <w:highlight w:val="none"/>
        </w:rPr>
      </w:pPr>
      <w:r>
        <w:rPr>
          <w:rFonts w:hint="eastAsia" w:ascii="宋体" w:hAnsi="宋体" w:cs="宋体"/>
          <w:color w:val="auto"/>
          <w:sz w:val="24"/>
          <w:highlight w:val="none"/>
          <w:u w:val="single"/>
        </w:rPr>
        <w:t xml:space="preserve">  </w:t>
      </w:r>
    </w:p>
    <w:bookmarkEnd w:id="59"/>
    <w:p w14:paraId="7808558B">
      <w:pPr>
        <w:snapToGrid w:val="0"/>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 xml:space="preserve">投标人:(公章) </w:t>
      </w:r>
      <w:r>
        <w:rPr>
          <w:rFonts w:hint="eastAsia" w:ascii="宋体" w:hAnsi="宋体" w:cs="宋体"/>
          <w:color w:val="auto"/>
          <w:sz w:val="24"/>
          <w:highlight w:val="none"/>
        </w:rPr>
        <w:t xml:space="preserve">                           </w:t>
      </w:r>
      <w:r>
        <w:rPr>
          <w:rFonts w:hint="eastAsia" w:ascii="宋体" w:hAnsi="宋体" w:cs="宋体"/>
          <w:b/>
          <w:color w:val="auto"/>
          <w:sz w:val="24"/>
          <w:highlight w:val="none"/>
        </w:rPr>
        <w:t>日期:_____年___月___日</w:t>
      </w:r>
    </w:p>
    <w:p w14:paraId="72C6ABBB">
      <w:pPr>
        <w:snapToGrid w:val="0"/>
        <w:spacing w:before="120" w:beforeLines="50" w:after="50"/>
        <w:rPr>
          <w:rFonts w:ascii="宋体" w:hAnsi="宋体" w:cs="宋体"/>
          <w:color w:val="auto"/>
          <w:sz w:val="24"/>
          <w:szCs w:val="20"/>
          <w:highlight w:val="none"/>
        </w:rPr>
      </w:pPr>
      <w:r>
        <w:rPr>
          <w:rFonts w:hint="eastAsia" w:ascii="宋体" w:hAnsi="宋体" w:cs="宋体"/>
          <w:color w:val="auto"/>
          <w:highlight w:val="none"/>
        </w:rPr>
        <w:br w:type="page"/>
      </w:r>
      <w:r>
        <w:rPr>
          <w:rFonts w:hint="eastAsia" w:ascii="宋体" w:hAnsi="宋体" w:cs="宋体"/>
          <w:color w:val="auto"/>
          <w:sz w:val="24"/>
          <w:highlight w:val="none"/>
        </w:rPr>
        <w:t>6-1.法定代表人授权委托书格式：</w:t>
      </w:r>
    </w:p>
    <w:p w14:paraId="4AB7170D">
      <w:pPr>
        <w:snapToGrid w:val="0"/>
        <w:spacing w:before="120" w:beforeLines="50" w:after="50"/>
        <w:jc w:val="center"/>
        <w:rPr>
          <w:rFonts w:ascii="宋体" w:hAnsi="宋体" w:cs="宋体"/>
          <w:b/>
          <w:color w:val="auto"/>
          <w:sz w:val="24"/>
          <w:highlight w:val="none"/>
        </w:rPr>
      </w:pPr>
      <w:r>
        <w:rPr>
          <w:rFonts w:hint="eastAsia" w:ascii="宋体" w:hAnsi="宋体" w:cs="宋体"/>
          <w:b/>
          <w:color w:val="auto"/>
          <w:sz w:val="24"/>
          <w:highlight w:val="none"/>
        </w:rPr>
        <w:t>法定代表人授权委托书</w:t>
      </w:r>
    </w:p>
    <w:p w14:paraId="6CFC19C6">
      <w:pPr>
        <w:snapToGrid w:val="0"/>
        <w:spacing w:before="120" w:beforeLines="50" w:after="50" w:line="460" w:lineRule="exact"/>
        <w:rPr>
          <w:rFonts w:ascii="宋体" w:hAnsi="宋体" w:cs="宋体"/>
          <w:b/>
          <w:bCs/>
          <w:color w:val="auto"/>
          <w:sz w:val="24"/>
          <w:szCs w:val="20"/>
          <w:highlight w:val="none"/>
        </w:rPr>
      </w:pPr>
      <w:r>
        <w:rPr>
          <w:rFonts w:hint="eastAsia" w:ascii="宋体" w:hAnsi="宋体" w:cs="宋体"/>
          <w:bCs/>
          <w:color w:val="auto"/>
          <w:sz w:val="24"/>
          <w:highlight w:val="none"/>
        </w:rPr>
        <w:t>致：</w:t>
      </w:r>
      <w:r>
        <w:rPr>
          <w:rFonts w:hint="eastAsia" w:ascii="宋体" w:hAnsi="宋体" w:cs="宋体"/>
          <w:color w:val="auto"/>
          <w:sz w:val="24"/>
          <w:highlight w:val="none"/>
        </w:rPr>
        <w:t>______</w:t>
      </w:r>
      <w:r>
        <w:rPr>
          <w:rFonts w:hint="eastAsia" w:ascii="宋体" w:hAnsi="宋体" w:cs="宋体"/>
          <w:color w:val="auto"/>
          <w:sz w:val="24"/>
          <w:highlight w:val="none"/>
          <w:u w:val="single"/>
        </w:rPr>
        <w:t>_     _</w:t>
      </w:r>
      <w:r>
        <w:rPr>
          <w:rFonts w:hint="eastAsia" w:ascii="宋体" w:hAnsi="宋体" w:cs="宋体"/>
          <w:color w:val="auto"/>
          <w:sz w:val="24"/>
          <w:highlight w:val="none"/>
        </w:rPr>
        <w:t>_（招标人名称）：</w:t>
      </w:r>
    </w:p>
    <w:p w14:paraId="1E75A8C8">
      <w:pPr>
        <w:snapToGrid w:val="0"/>
        <w:spacing w:before="120" w:beforeLines="50" w:after="50" w:line="460" w:lineRule="exact"/>
        <w:ind w:firstLine="480" w:firstLineChars="200"/>
        <w:rPr>
          <w:rFonts w:ascii="宋体" w:hAnsi="宋体" w:cs="宋体"/>
          <w:color w:val="auto"/>
          <w:sz w:val="24"/>
          <w:szCs w:val="20"/>
          <w:highlight w:val="none"/>
        </w:rPr>
      </w:pPr>
      <w:r>
        <w:rPr>
          <w:rFonts w:hint="eastAsia" w:ascii="宋体" w:hAnsi="宋体" w:cs="宋体"/>
          <w:color w:val="auto"/>
          <w:sz w:val="24"/>
          <w:highlight w:val="none"/>
        </w:rPr>
        <w:t>我</w:t>
      </w:r>
      <w:bookmarkStart w:id="62" w:name="_Hlk12177807"/>
      <w:r>
        <w:rPr>
          <w:rFonts w:hint="eastAsia" w:ascii="宋体" w:hAnsi="宋体" w:cs="宋体"/>
          <w:color w:val="auto"/>
          <w:sz w:val="24"/>
          <w:highlight w:val="none"/>
        </w:rPr>
        <w:t>______</w:t>
      </w:r>
      <w:r>
        <w:rPr>
          <w:rFonts w:hint="eastAsia" w:ascii="宋体" w:hAnsi="宋体" w:cs="宋体"/>
          <w:color w:val="auto"/>
          <w:sz w:val="24"/>
          <w:highlight w:val="none"/>
          <w:u w:val="single"/>
        </w:rPr>
        <w:t>_</w:t>
      </w:r>
      <w:r>
        <w:rPr>
          <w:rFonts w:hint="eastAsia" w:ascii="宋体" w:hAnsi="宋体" w:cs="宋体"/>
          <w:color w:val="auto"/>
          <w:sz w:val="24"/>
          <w:highlight w:val="none"/>
        </w:rPr>
        <w:t>_</w:t>
      </w:r>
      <w:bookmarkEnd w:id="62"/>
      <w:r>
        <w:rPr>
          <w:rFonts w:hint="eastAsia" w:ascii="宋体" w:hAnsi="宋体" w:cs="宋体"/>
          <w:color w:val="auto"/>
          <w:sz w:val="24"/>
          <w:highlight w:val="none"/>
        </w:rPr>
        <w:t>（姓名）系______</w:t>
      </w:r>
      <w:r>
        <w:rPr>
          <w:rFonts w:hint="eastAsia" w:ascii="宋体" w:hAnsi="宋体" w:cs="宋体"/>
          <w:color w:val="auto"/>
          <w:sz w:val="24"/>
          <w:highlight w:val="none"/>
          <w:u w:val="single"/>
        </w:rPr>
        <w:t>_     _</w:t>
      </w:r>
      <w:r>
        <w:rPr>
          <w:rFonts w:hint="eastAsia" w:ascii="宋体" w:hAnsi="宋体" w:cs="宋体"/>
          <w:color w:val="auto"/>
          <w:sz w:val="24"/>
          <w:highlight w:val="none"/>
        </w:rPr>
        <w:t xml:space="preserve">_（投标单位名称）的法定代表人，现授权委托本单位职工 </w:t>
      </w:r>
      <w:bookmarkStart w:id="63" w:name="_Hlk12177819"/>
      <w:r>
        <w:rPr>
          <w:rFonts w:hint="eastAsia" w:ascii="宋体" w:hAnsi="宋体" w:cs="宋体"/>
          <w:color w:val="auto"/>
          <w:sz w:val="24"/>
          <w:highlight w:val="none"/>
        </w:rPr>
        <w:t>______</w:t>
      </w:r>
      <w:r>
        <w:rPr>
          <w:rFonts w:hint="eastAsia" w:ascii="宋体" w:hAnsi="宋体" w:cs="宋体"/>
          <w:color w:val="auto"/>
          <w:sz w:val="24"/>
          <w:highlight w:val="none"/>
          <w:u w:val="single"/>
        </w:rPr>
        <w:t xml:space="preserve">_ </w:t>
      </w:r>
      <w:bookmarkEnd w:id="63"/>
      <w:r>
        <w:rPr>
          <w:rFonts w:hint="eastAsia" w:ascii="宋体" w:hAnsi="宋体" w:cs="宋体"/>
          <w:color w:val="auto"/>
          <w:sz w:val="24"/>
          <w:highlight w:val="none"/>
        </w:rPr>
        <w:t>（姓名）以我方的名义参加______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项目的投标活动，并代表我方全权办理针对上述项目的投标、开标、评标、签约等具体事务和签署相关文件。</w:t>
      </w:r>
    </w:p>
    <w:p w14:paraId="22D8D135">
      <w:pPr>
        <w:snapToGrid w:val="0"/>
        <w:spacing w:before="120" w:beforeLines="50" w:after="50" w:line="460" w:lineRule="exact"/>
        <w:rPr>
          <w:rFonts w:ascii="宋体" w:hAnsi="宋体" w:cs="宋体"/>
          <w:color w:val="auto"/>
          <w:sz w:val="24"/>
          <w:szCs w:val="20"/>
          <w:highlight w:val="none"/>
        </w:rPr>
      </w:pPr>
      <w:r>
        <w:rPr>
          <w:rFonts w:hint="eastAsia" w:ascii="宋体" w:hAnsi="宋体" w:cs="宋体"/>
          <w:color w:val="auto"/>
          <w:sz w:val="24"/>
          <w:highlight w:val="none"/>
        </w:rPr>
        <w:t xml:space="preserve">    我方对被授权人的签名事项负全部责任。</w:t>
      </w:r>
    </w:p>
    <w:p w14:paraId="72DE9BD8">
      <w:pPr>
        <w:snapToGrid w:val="0"/>
        <w:spacing w:before="120" w:beforeLines="50" w:after="50" w:line="460" w:lineRule="exact"/>
        <w:ind w:firstLine="480"/>
        <w:rPr>
          <w:rFonts w:ascii="宋体" w:hAnsi="宋体" w:cs="宋体"/>
          <w:color w:val="auto"/>
          <w:sz w:val="24"/>
          <w:szCs w:val="20"/>
          <w:highlight w:val="none"/>
        </w:rPr>
      </w:pPr>
      <w:r>
        <w:rPr>
          <w:rFonts w:hint="eastAsia" w:ascii="宋体" w:hAnsi="宋体" w:cs="宋体"/>
          <w:color w:val="auto"/>
          <w:sz w:val="24"/>
          <w:highlight w:val="none"/>
          <w:u w:val="single"/>
        </w:rPr>
        <w:t>在撤销授权的书面通知以前，本授权书一直有效。</w:t>
      </w:r>
      <w:r>
        <w:rPr>
          <w:rFonts w:hint="eastAsia" w:ascii="宋体" w:hAnsi="宋体" w:cs="宋体"/>
          <w:color w:val="auto"/>
          <w:sz w:val="24"/>
          <w:highlight w:val="none"/>
        </w:rPr>
        <w:t>被授权人在授权书有效期内签署的所有文件不因授权的撤销而失效。</w:t>
      </w:r>
    </w:p>
    <w:p w14:paraId="610D9325">
      <w:pPr>
        <w:snapToGrid w:val="0"/>
        <w:spacing w:before="120" w:beforeLines="50" w:after="50" w:line="460" w:lineRule="exact"/>
        <w:ind w:firstLine="480"/>
        <w:rPr>
          <w:rFonts w:ascii="宋体" w:hAnsi="宋体" w:cs="宋体"/>
          <w:color w:val="auto"/>
          <w:sz w:val="24"/>
          <w:szCs w:val="20"/>
          <w:highlight w:val="none"/>
        </w:rPr>
      </w:pPr>
      <w:r>
        <w:rPr>
          <w:rFonts w:hint="eastAsia" w:ascii="宋体" w:hAnsi="宋体" w:cs="宋体"/>
          <w:color w:val="auto"/>
          <w:sz w:val="24"/>
          <w:highlight w:val="none"/>
        </w:rPr>
        <w:t>被授权人无转委托权，特此委托。</w:t>
      </w:r>
    </w:p>
    <w:p w14:paraId="60D2DF03">
      <w:pPr>
        <w:snapToGrid w:val="0"/>
        <w:spacing w:before="120" w:beforeLines="50" w:after="50" w:line="460" w:lineRule="exact"/>
        <w:rPr>
          <w:rFonts w:ascii="宋体" w:hAnsi="宋体" w:cs="宋体"/>
          <w:color w:val="auto"/>
          <w:sz w:val="28"/>
          <w:szCs w:val="28"/>
          <w:highlight w:val="none"/>
        </w:rPr>
      </w:pPr>
      <w:r>
        <w:rPr>
          <w:rFonts w:hint="eastAsia" w:ascii="宋体" w:hAnsi="宋体" w:cs="宋体"/>
          <w:b/>
          <w:bCs/>
          <w:color w:val="auto"/>
          <w:sz w:val="28"/>
          <w:szCs w:val="28"/>
          <w:highlight w:val="none"/>
          <w:u w:val="single"/>
        </w:rPr>
        <w:t>法定代表人签名或盖章：</w:t>
      </w:r>
      <w:r>
        <w:rPr>
          <w:rFonts w:hint="eastAsia" w:ascii="宋体" w:hAnsi="宋体" w:cs="宋体"/>
          <w:b/>
          <w:bCs/>
          <w:color w:val="auto"/>
          <w:sz w:val="28"/>
          <w:szCs w:val="28"/>
          <w:highlight w:val="none"/>
        </w:rPr>
        <w:t xml:space="preserve">             </w:t>
      </w:r>
      <w:r>
        <w:rPr>
          <w:rFonts w:hint="eastAsia" w:ascii="宋体" w:hAnsi="宋体" w:cs="宋体"/>
          <w:color w:val="auto"/>
          <w:sz w:val="28"/>
          <w:szCs w:val="28"/>
          <w:highlight w:val="none"/>
        </w:rPr>
        <w:t xml:space="preserve">               </w:t>
      </w:r>
    </w:p>
    <w:p w14:paraId="14C25780">
      <w:pPr>
        <w:snapToGrid w:val="0"/>
        <w:spacing w:before="120" w:beforeLines="50" w:after="50" w:line="460" w:lineRule="exact"/>
        <w:rPr>
          <w:rFonts w:ascii="宋体" w:hAnsi="宋体" w:cs="宋体"/>
          <w:color w:val="auto"/>
          <w:sz w:val="24"/>
          <w:szCs w:val="20"/>
          <w:highlight w:val="none"/>
          <w:u w:val="single"/>
        </w:rPr>
      </w:pPr>
    </w:p>
    <w:p w14:paraId="7EA38211">
      <w:pPr>
        <w:snapToGrid w:val="0"/>
        <w:spacing w:before="120" w:beforeLines="50" w:after="50"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235B0A0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87" w:hRule="atLeast"/>
        </w:trPr>
        <w:tc>
          <w:tcPr>
            <w:tcW w:w="4962" w:type="dxa"/>
          </w:tcPr>
          <w:p w14:paraId="61C1CBB2">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身份证复印件粘贴处，正反两面均复印，复印件清晰可认。</w:t>
            </w:r>
          </w:p>
        </w:tc>
        <w:tc>
          <w:tcPr>
            <w:tcW w:w="4961" w:type="dxa"/>
          </w:tcPr>
          <w:p w14:paraId="62B05FE0">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身份证复印件粘贴处，正反两面均复印，复印件清晰可认。</w:t>
            </w:r>
          </w:p>
        </w:tc>
      </w:tr>
      <w:tr w14:paraId="43FC15E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12" w:hRule="atLeast"/>
        </w:trPr>
        <w:tc>
          <w:tcPr>
            <w:tcW w:w="4962" w:type="dxa"/>
          </w:tcPr>
          <w:p w14:paraId="769BF5AB">
            <w:pPr>
              <w:spacing w:line="360" w:lineRule="auto"/>
              <w:rPr>
                <w:rFonts w:ascii="宋体" w:hAnsi="宋体" w:cs="宋体"/>
                <w:color w:val="auto"/>
                <w:sz w:val="30"/>
                <w:szCs w:val="30"/>
                <w:highlight w:val="none"/>
              </w:rPr>
            </w:pPr>
          </w:p>
        </w:tc>
        <w:tc>
          <w:tcPr>
            <w:tcW w:w="4961" w:type="dxa"/>
            <w:tcBorders>
              <w:left w:val="dotDash" w:color="auto" w:sz="8" w:space="0"/>
            </w:tcBorders>
          </w:tcPr>
          <w:p w14:paraId="582CA67E">
            <w:pPr>
              <w:spacing w:line="360" w:lineRule="auto"/>
              <w:rPr>
                <w:rFonts w:ascii="宋体" w:hAnsi="宋体" w:cs="宋体"/>
                <w:color w:val="auto"/>
                <w:sz w:val="30"/>
                <w:szCs w:val="30"/>
                <w:highlight w:val="none"/>
              </w:rPr>
            </w:pPr>
          </w:p>
        </w:tc>
      </w:tr>
    </w:tbl>
    <w:p w14:paraId="38E10880">
      <w:pPr>
        <w:snapToGrid w:val="0"/>
        <w:spacing w:before="120" w:beforeLines="50" w:after="50" w:line="460" w:lineRule="exact"/>
        <w:rPr>
          <w:rFonts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投标人:(公章)</w:t>
      </w:r>
    </w:p>
    <w:p w14:paraId="2C0FD837">
      <w:pPr>
        <w:snapToGrid w:val="0"/>
        <w:spacing w:before="120" w:beforeLines="50" w:after="50"/>
        <w:jc w:val="center"/>
        <w:rPr>
          <w:rFonts w:ascii="宋体" w:hAnsi="宋体" w:cs="宋体"/>
          <w:color w:val="auto"/>
          <w:sz w:val="24"/>
          <w:highlight w:val="none"/>
        </w:rPr>
      </w:pPr>
      <w:r>
        <w:rPr>
          <w:rFonts w:hint="eastAsia" w:ascii="宋体" w:hAnsi="宋体" w:cs="宋体"/>
          <w:b/>
          <w:color w:val="auto"/>
          <w:sz w:val="24"/>
          <w:highlight w:val="none"/>
        </w:rPr>
        <w:t xml:space="preserve">                                        日期：  _____年___月___日</w:t>
      </w:r>
    </w:p>
    <w:p w14:paraId="76E674EB">
      <w:pPr>
        <w:pStyle w:val="29"/>
        <w:ind w:left="0" w:leftChars="0"/>
        <w:rPr>
          <w:color w:val="auto"/>
          <w:highlight w:val="none"/>
        </w:rPr>
        <w:sectPr>
          <w:footerReference r:id="rId6" w:type="default"/>
          <w:pgSz w:w="11906" w:h="16838"/>
          <w:pgMar w:top="0" w:right="1134" w:bottom="0" w:left="1134" w:header="567" w:footer="454" w:gutter="0"/>
          <w:cols w:space="0" w:num="1"/>
          <w:rtlGutter w:val="0"/>
          <w:docGrid w:linePitch="286" w:charSpace="0"/>
        </w:sectPr>
      </w:pPr>
    </w:p>
    <w:p w14:paraId="02204B65">
      <w:pPr>
        <w:rPr>
          <w:rFonts w:ascii="宋体" w:hAnsi="宋体" w:cs="宋体"/>
          <w:color w:val="auto"/>
          <w:sz w:val="24"/>
          <w:highlight w:val="none"/>
        </w:rPr>
      </w:pPr>
      <w:r>
        <w:rPr>
          <w:rFonts w:hint="eastAsia" w:ascii="宋体" w:hAnsi="宋体" w:cs="宋体"/>
          <w:color w:val="auto"/>
          <w:sz w:val="24"/>
          <w:highlight w:val="none"/>
        </w:rPr>
        <w:t>6-2.法定代表人授权委托书格式</w:t>
      </w:r>
    </w:p>
    <w:p w14:paraId="2BF90416">
      <w:pPr>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0B1E81C9">
      <w:pPr>
        <w:spacing w:line="360" w:lineRule="auto"/>
        <w:jc w:val="center"/>
        <w:rPr>
          <w:color w:val="auto"/>
          <w:highlight w:val="none"/>
        </w:rPr>
      </w:pPr>
      <w:r>
        <w:rPr>
          <w:rFonts w:hint="eastAsia" w:ascii="黑体" w:hAnsi="黑体" w:eastAsia="黑体"/>
          <w:b/>
          <w:color w:val="auto"/>
          <w:sz w:val="28"/>
          <w:szCs w:val="28"/>
          <w:highlight w:val="none"/>
        </w:rPr>
        <w:t>（适用于法定代表人、单位负责人本人代表投标人参加投标）</w:t>
      </w:r>
    </w:p>
    <w:p w14:paraId="2C65B292">
      <w:pPr>
        <w:wordWrap w:val="0"/>
        <w:jc w:val="center"/>
        <w:outlineLvl w:val="3"/>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54804781">
      <w:pPr>
        <w:snapToGrid w:val="0"/>
        <w:rPr>
          <w:rFonts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5844101B">
      <w:pPr>
        <w:snapToGrid w:val="0"/>
        <w:rPr>
          <w:rFonts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462AB965">
      <w:pPr>
        <w:pStyle w:val="363"/>
        <w:spacing w:line="360" w:lineRule="auto"/>
        <w:rPr>
          <w:rFonts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70172C82">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558165</wp:posOffset>
                </wp:positionH>
                <wp:positionV relativeFrom="paragraph">
                  <wp:posOffset>330200</wp:posOffset>
                </wp:positionV>
                <wp:extent cx="4787900" cy="4762500"/>
                <wp:effectExtent l="4445" t="4445" r="8254"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cap="flat" cmpd="sng">
                          <a:solidFill>
                            <a:srgbClr val="FFFFFF"/>
                          </a:solidFill>
                          <a:prstDash val="solid"/>
                          <a:round/>
                        </a:ln>
                      </wps:spPr>
                      <wps:bodyPr vert="horz" wrap="square" lIns="0" tIns="0" rIns="0" bIns="0" anchor="t" anchorCtr="0">
                        <a:noAutofit/>
                      </wps:bodyPr>
                    </wps:wsp>
                  </a:graphicData>
                </a:graphic>
              </wp:anchor>
            </w:drawing>
          </mc:Choice>
          <mc:Fallback>
            <w:pict>
              <v:rect id="_x0000_s1026" o:spid="_x0000_s1026" o:spt="1" style="position:absolute;left:0pt;margin-left:43.95pt;margin-top:26pt;height:375pt;width:377pt;z-index:251661312;mso-width-relative:page;mso-height-relative:page;" filled="f" stroked="t" coordsize="21600,21600" o:gfxdata="UEsDBAoAAAAAAIdO4kAAAAAAAAAAAAAAAAAEAAAAZHJzL1BLAwQUAAAACACHTuJAjaOP5NYAAAAJ&#10;AQAADwAAAGRycy9kb3ducmV2LnhtbE1Py07DMBC8I/EP1iJxo3aiAGmIUyEEnBCFUpWrG5s4aryO&#10;bDcNf89ygtvOQ7Mz9Wp2A5tMiL1HCdlCADPYet1jJ2H78XRVAotJoVaDRyPh20RYNedntaq0P+G7&#10;mTapYxSCsVISbEpjxXlsrXEqLvxokLQvH5xKBEPHdVAnCncDz4W44U71SB+sGs2DNe1hc3QS3gqd&#10;33/OPb4cXsNu+/y4trqYpLy8yMQdsGTm9GeG3/pUHRrqtPdH1JENEsrbJTklXOc0ifSyyIjY0yGI&#10;4U3N/y9ofgBQSwMEFAAAAAgAh07iQM9L5doAAgAA/gMAAA4AAABkcnMvZTJvRG9jLnhtbK1TzY7T&#10;MBC+I/EOlu80abVsl6jpCm1VhIRgpYUHcB2nseQ/Ztym5WWQuPEQPA7iNRg7aQvLZQ/k4IztzzPf&#10;93m8uD1Yw/YKUHtX8+mk5Ew56RvttjX/9HH94oYzjMI1wninan5UyG+Xz58t+lCpme+8aRQwSuKw&#10;6kPNuxhDVRQoO2UFTnxQjjZbD1ZEmsK2aED0lN2aYlaW10XvoQngpUKk1dWwyceM8JSEvm21VCsv&#10;d1a5OGQFZUQkSdjpgHyZ2batkvFD26KKzNSclMY8UhGKN2kslgtRbUGETsuRgngKhUearNCOip5T&#10;rUQUbAf6n1RWS/Do2ziR3haDkOwIqZiWj7x56ERQWQtZjeFsOv6/tPL9/h6YbqgTOHPC0oX/+vr9&#10;549vbJq86QNWBHkI9zDOkMIk9NCCTX+SwA7Zz+PZT3WITNLi1fxm/qokqyXtXc2vZy9pQnmKy/EA&#10;GN8ob1kKag50YdlHsX+HcYCeIKma82ttDK2LyjgmBfVfS/dOFWwgDei2+TR6o5uETECE7ebOANsL&#10;6oF1/kYSf8FSmZXAbsDlrQQTFfidawYqxhH55MngQoo2vjmSg/SgiH7n4QtnPbUTcfm8E6A4M28d&#10;3VfqvVMAp2BzCoSTdLTmJGQI72Lu0UHy6130rc5uXCqORKgtsp9jC6e++3OeUZdnu/w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jaOP5NYAAAAJAQAADwAAAAAAAAABACAAAAAiAAAAZHJzL2Rvd25y&#10;ZXYueG1sUEsBAhQAFAAAAAgAh07iQM9L5doAAgAA/gMAAA4AAAAAAAAAAQAgAAAAJQEAAGRycy9l&#10;Mm9Eb2MueG1sUEsFBgAAAAAGAAYAWQEAAJcFA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rPr>
        <w:t xml:space="preserve">  手机号码：</w:t>
      </w:r>
      <w:r>
        <w:rPr>
          <w:rFonts w:hint="eastAsia" w:ascii="宋体" w:hAnsi="宋体"/>
          <w:color w:val="auto"/>
          <w:sz w:val="28"/>
          <w:szCs w:val="28"/>
          <w:highlight w:val="none"/>
          <w:u w:val="single"/>
        </w:rPr>
        <w:t xml:space="preserve">                 </w:t>
      </w:r>
    </w:p>
    <w:p w14:paraId="441368BE">
      <w:pPr>
        <w:snapToGrid w:val="0"/>
        <w:spacing w:line="360" w:lineRule="auto"/>
        <w:rPr>
          <w:rFonts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的法定代表人                        </w:t>
      </w:r>
    </w:p>
    <w:p w14:paraId="37A6220E">
      <w:pPr>
        <w:snapToGrid w:val="0"/>
        <w:spacing w:before="158" w:beforeLines="50" w:after="50" w:line="4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附法定代表人身份证复印件</w:t>
      </w:r>
    </w:p>
    <w:p w14:paraId="7B75558A">
      <w:pPr>
        <w:pStyle w:val="364"/>
        <w:ind w:firstLine="440"/>
        <w:rPr>
          <w:color w:val="auto"/>
          <w:highlight w:val="none"/>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4CC496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F5F82E5">
            <w:pPr>
              <w:jc w:val="center"/>
              <w:rPr>
                <w:rFonts w:ascii="宋体" w:hAnsi="宋体"/>
                <w:color w:val="auto"/>
                <w:sz w:val="24"/>
                <w:highlight w:val="none"/>
              </w:rPr>
            </w:pPr>
          </w:p>
          <w:p w14:paraId="6E2D7D74">
            <w:pPr>
              <w:rPr>
                <w:rFonts w:ascii="宋体" w:hAnsi="宋体"/>
                <w:color w:val="auto"/>
                <w:sz w:val="24"/>
                <w:highlight w:val="none"/>
              </w:rPr>
            </w:pPr>
          </w:p>
          <w:p w14:paraId="6232CB6B">
            <w:pPr>
              <w:rPr>
                <w:rFonts w:ascii="宋体" w:hAnsi="宋体"/>
                <w:color w:val="auto"/>
                <w:sz w:val="24"/>
                <w:highlight w:val="none"/>
              </w:rPr>
            </w:pPr>
            <w:r>
              <w:rPr>
                <w:rFonts w:hint="eastAsia" w:ascii="宋体" w:hAnsi="宋体"/>
                <w:color w:val="auto"/>
                <w:sz w:val="24"/>
                <w:highlight w:val="none"/>
              </w:rPr>
              <w:t>法定代表人身份证正面复印件粘贴处，</w:t>
            </w:r>
            <w:r>
              <w:rPr>
                <w:rFonts w:hint="eastAsia"/>
                <w:color w:val="auto"/>
                <w:sz w:val="24"/>
                <w:highlight w:val="none"/>
              </w:rPr>
              <w:t>复印件清晰可认</w:t>
            </w:r>
          </w:p>
          <w:p w14:paraId="51B2A083">
            <w:pPr>
              <w:spacing w:line="360" w:lineRule="auto"/>
              <w:rPr>
                <w:color w:val="auto"/>
                <w:sz w:val="30"/>
                <w:szCs w:val="30"/>
                <w:highlight w:val="none"/>
              </w:rPr>
            </w:pPr>
          </w:p>
        </w:tc>
      </w:tr>
      <w:tr w14:paraId="7D83CC9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CDC4486">
            <w:pPr>
              <w:rPr>
                <w:rFonts w:ascii="宋体" w:hAnsi="宋体"/>
                <w:color w:val="auto"/>
                <w:sz w:val="24"/>
                <w:highlight w:val="none"/>
              </w:rPr>
            </w:pPr>
          </w:p>
          <w:p w14:paraId="193D90EA">
            <w:pPr>
              <w:rPr>
                <w:rFonts w:ascii="宋体" w:hAnsi="宋体"/>
                <w:color w:val="auto"/>
                <w:sz w:val="24"/>
                <w:highlight w:val="none"/>
              </w:rPr>
            </w:pPr>
          </w:p>
          <w:p w14:paraId="69ED1861">
            <w:pPr>
              <w:rPr>
                <w:rFonts w:ascii="宋体" w:hAnsi="宋体"/>
                <w:color w:val="auto"/>
                <w:sz w:val="24"/>
                <w:highlight w:val="none"/>
              </w:rPr>
            </w:pPr>
            <w:r>
              <w:rPr>
                <w:rFonts w:hint="eastAsia" w:ascii="宋体" w:hAnsi="宋体"/>
                <w:color w:val="auto"/>
                <w:sz w:val="24"/>
                <w:highlight w:val="none"/>
              </w:rPr>
              <w:t>法定代表人身份证反面复印件粘贴处，复印件清晰可认</w:t>
            </w:r>
          </w:p>
          <w:p w14:paraId="47CD23FE">
            <w:pPr>
              <w:jc w:val="center"/>
              <w:rPr>
                <w:rFonts w:ascii="宋体" w:hAnsi="宋体"/>
                <w:color w:val="auto"/>
                <w:szCs w:val="21"/>
                <w:highlight w:val="none"/>
              </w:rPr>
            </w:pPr>
          </w:p>
          <w:p w14:paraId="23EAB08D">
            <w:pPr>
              <w:spacing w:line="360" w:lineRule="auto"/>
              <w:rPr>
                <w:color w:val="auto"/>
                <w:sz w:val="30"/>
                <w:szCs w:val="30"/>
                <w:highlight w:val="none"/>
              </w:rPr>
            </w:pPr>
          </w:p>
        </w:tc>
      </w:tr>
    </w:tbl>
    <w:p w14:paraId="444BAB1F">
      <w:pPr>
        <w:snapToGrid w:val="0"/>
        <w:spacing w:before="158"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25F09303">
      <w:pPr>
        <w:snapToGrid w:val="0"/>
        <w:spacing w:before="158" w:beforeLines="50" w:after="50" w:line="460" w:lineRule="exact"/>
        <w:rPr>
          <w:rFonts w:ascii="宋体" w:hAnsi="宋体"/>
          <w:b/>
          <w:color w:val="auto"/>
          <w:sz w:val="24"/>
          <w:highlight w:val="none"/>
        </w:rPr>
      </w:pPr>
    </w:p>
    <w:p w14:paraId="1944B043">
      <w:pPr>
        <w:snapToGrid w:val="0"/>
        <w:spacing w:before="158" w:beforeLines="50" w:after="50" w:line="460" w:lineRule="exact"/>
        <w:rPr>
          <w:rFonts w:ascii="宋体" w:hAnsi="宋体"/>
          <w:b/>
          <w:color w:val="auto"/>
          <w:sz w:val="24"/>
          <w:highlight w:val="none"/>
        </w:rPr>
      </w:pPr>
    </w:p>
    <w:p w14:paraId="7B2AA977">
      <w:pPr>
        <w:snapToGrid w:val="0"/>
        <w:spacing w:before="158" w:beforeLines="50" w:after="50" w:line="460" w:lineRule="exact"/>
        <w:rPr>
          <w:rFonts w:ascii="宋体" w:hAnsi="宋体"/>
          <w:b/>
          <w:color w:val="auto"/>
          <w:sz w:val="24"/>
          <w:highlight w:val="none"/>
        </w:rPr>
      </w:pPr>
    </w:p>
    <w:p w14:paraId="2EB4441A">
      <w:pPr>
        <w:snapToGrid w:val="0"/>
        <w:spacing w:before="158" w:beforeLines="50" w:after="50" w:line="460" w:lineRule="exact"/>
        <w:rPr>
          <w:rFonts w:ascii="宋体" w:hAnsi="宋体"/>
          <w:b/>
          <w:color w:val="auto"/>
          <w:sz w:val="24"/>
          <w:highlight w:val="none"/>
        </w:rPr>
      </w:pPr>
    </w:p>
    <w:p w14:paraId="54A55550">
      <w:pPr>
        <w:snapToGrid w:val="0"/>
        <w:spacing w:before="158" w:beforeLines="50" w:after="50" w:line="460" w:lineRule="exact"/>
        <w:rPr>
          <w:rFonts w:ascii="宋体" w:hAnsi="宋体"/>
          <w:b/>
          <w:color w:val="auto"/>
          <w:sz w:val="24"/>
          <w:highlight w:val="none"/>
        </w:rPr>
      </w:pPr>
    </w:p>
    <w:p w14:paraId="65C6BCEB">
      <w:pPr>
        <w:snapToGrid w:val="0"/>
        <w:spacing w:before="158" w:beforeLines="50" w:after="50" w:line="460" w:lineRule="exact"/>
        <w:rPr>
          <w:rFonts w:ascii="宋体" w:hAnsi="宋体"/>
          <w:b/>
          <w:color w:val="auto"/>
          <w:sz w:val="24"/>
          <w:highlight w:val="none"/>
        </w:rPr>
      </w:pPr>
    </w:p>
    <w:p w14:paraId="144A81EE">
      <w:pPr>
        <w:snapToGrid w:val="0"/>
        <w:spacing w:before="158" w:beforeLines="50" w:after="50" w:line="460" w:lineRule="exact"/>
        <w:rPr>
          <w:rFonts w:ascii="宋体" w:hAnsi="宋体"/>
          <w:b/>
          <w:color w:val="auto"/>
          <w:sz w:val="24"/>
          <w:highlight w:val="none"/>
        </w:rPr>
      </w:pPr>
    </w:p>
    <w:p w14:paraId="096732EC">
      <w:pPr>
        <w:snapToGrid w:val="0"/>
        <w:spacing w:before="158" w:beforeLines="50" w:after="50" w:line="460" w:lineRule="exact"/>
        <w:rPr>
          <w:rFonts w:ascii="宋体" w:hAnsi="宋体"/>
          <w:b/>
          <w:color w:val="auto"/>
          <w:sz w:val="24"/>
          <w:highlight w:val="none"/>
        </w:rPr>
      </w:pPr>
    </w:p>
    <w:p w14:paraId="571948B2">
      <w:pPr>
        <w:snapToGrid w:val="0"/>
        <w:spacing w:before="158" w:beforeLines="50" w:after="50" w:line="460" w:lineRule="exact"/>
        <w:rPr>
          <w:rFonts w:ascii="宋体" w:hAnsi="宋体"/>
          <w:b/>
          <w:color w:val="auto"/>
          <w:sz w:val="24"/>
          <w:highlight w:val="none"/>
        </w:rPr>
      </w:pPr>
    </w:p>
    <w:p w14:paraId="0006C104">
      <w:pPr>
        <w:snapToGrid w:val="0"/>
        <w:spacing w:before="158" w:beforeLines="50" w:after="50" w:line="460" w:lineRule="exact"/>
        <w:rPr>
          <w:rFonts w:ascii="宋体" w:hAnsi="宋体"/>
          <w:b/>
          <w:color w:val="auto"/>
          <w:sz w:val="24"/>
          <w:highlight w:val="none"/>
        </w:rPr>
      </w:pPr>
    </w:p>
    <w:p w14:paraId="1E275C98">
      <w:pPr>
        <w:pStyle w:val="364"/>
        <w:ind w:firstLine="480"/>
        <w:rPr>
          <w:color w:val="auto"/>
          <w:highlight w:val="none"/>
        </w:rPr>
        <w:sectPr>
          <w:pgSz w:w="11906" w:h="16838"/>
          <w:pgMar w:top="1020" w:right="1587" w:bottom="850" w:left="1587" w:header="850" w:footer="992" w:gutter="0"/>
          <w:cols w:space="0" w:num="1"/>
          <w:rtlGutter w:val="1"/>
          <w:docGrid w:type="lines" w:linePitch="316" w:charSpace="0"/>
        </w:sect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6717F827">
      <w:pPr>
        <w:snapToGrid w:val="0"/>
        <w:spacing w:before="50" w:after="120" w:afterLines="50"/>
        <w:jc w:val="left"/>
        <w:rPr>
          <w:rFonts w:ascii="宋体" w:hAnsi="宋体"/>
          <w:color w:val="auto"/>
          <w:sz w:val="24"/>
          <w:highlight w:val="none"/>
        </w:rPr>
      </w:pPr>
      <w:r>
        <w:rPr>
          <w:rFonts w:hint="eastAsia" w:ascii="宋体" w:hAnsi="宋体" w:cs="宋体"/>
          <w:color w:val="auto"/>
          <w:sz w:val="24"/>
          <w:highlight w:val="none"/>
        </w:rPr>
        <w:t>7.货物</w:t>
      </w:r>
      <w:r>
        <w:rPr>
          <w:rFonts w:hint="eastAsia" w:ascii="宋体" w:hAnsi="宋体"/>
          <w:color w:val="auto"/>
          <w:sz w:val="24"/>
          <w:highlight w:val="none"/>
        </w:rPr>
        <w:t>说明表格式：</w:t>
      </w:r>
    </w:p>
    <w:p w14:paraId="1D97DBD8">
      <w:pPr>
        <w:snapToGrid w:val="0"/>
        <w:spacing w:before="120" w:beforeLines="50" w:after="50" w:line="360" w:lineRule="auto"/>
        <w:jc w:val="center"/>
        <w:rPr>
          <w:color w:val="auto"/>
          <w:highlight w:val="none"/>
        </w:rPr>
      </w:pPr>
      <w:r>
        <w:rPr>
          <w:rFonts w:hint="eastAsia" w:ascii="宋体" w:hAnsi="宋体"/>
          <w:b/>
          <w:color w:val="auto"/>
          <w:sz w:val="24"/>
          <w:highlight w:val="none"/>
        </w:rPr>
        <w:t>货物说明表</w:t>
      </w:r>
    </w:p>
    <w:p w14:paraId="65D9A19E">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项目名称：</w:t>
      </w:r>
    </w:p>
    <w:p w14:paraId="691A146B">
      <w:pPr>
        <w:snapToGrid w:val="0"/>
        <w:spacing w:before="120" w:beforeLines="50" w:after="50" w:line="480" w:lineRule="auto"/>
        <w:rPr>
          <w:rFonts w:ascii="宋体" w:hAnsi="宋体" w:cs="宋体"/>
          <w:bCs/>
          <w:color w:val="auto"/>
          <w:sz w:val="24"/>
          <w:szCs w:val="20"/>
          <w:highlight w:val="none"/>
        </w:rPr>
      </w:pPr>
      <w:r>
        <w:rPr>
          <w:rFonts w:hint="eastAsia" w:ascii="宋体" w:hAnsi="宋体" w:cs="宋体"/>
          <w:bCs/>
          <w:color w:val="auto"/>
          <w:sz w:val="24"/>
          <w:highlight w:val="none"/>
        </w:rPr>
        <w:t>项目编号：</w:t>
      </w:r>
    </w:p>
    <w:tbl>
      <w:tblPr>
        <w:tblStyle w:val="54"/>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3C022391">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8E4DE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4F422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9A9A49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1C0733">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3A4D2145">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2DAE6E97">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391B40CD">
            <w:pPr>
              <w:rPr>
                <w:color w:val="auto"/>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6591CB1E">
            <w:pPr>
              <w:rPr>
                <w:color w:val="auto"/>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52A2527">
            <w:pPr>
              <w:rPr>
                <w:color w:val="auto"/>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5CE0082E">
            <w:pPr>
              <w:rPr>
                <w:color w:val="auto"/>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19A6C3B3">
            <w:pPr>
              <w:rPr>
                <w:color w:val="auto"/>
                <w:highlight w:val="none"/>
              </w:rPr>
            </w:pPr>
          </w:p>
        </w:tc>
      </w:tr>
      <w:tr w14:paraId="4C53288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7D5520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122" w:type="dxa"/>
            <w:tcBorders>
              <w:top w:val="nil"/>
              <w:left w:val="nil"/>
              <w:bottom w:val="single" w:color="000000" w:sz="4" w:space="0"/>
              <w:right w:val="single" w:color="000000" w:sz="4" w:space="0"/>
            </w:tcBorders>
            <w:shd w:val="clear" w:color="auto" w:fill="FFFFFF"/>
            <w:vAlign w:val="center"/>
          </w:tcPr>
          <w:p w14:paraId="6DB9833A">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00EC455B">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032D5C26">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E34D819">
            <w:pPr>
              <w:widowControl/>
              <w:jc w:val="center"/>
              <w:rPr>
                <w:rFonts w:ascii="宋体" w:hAnsi="宋体" w:cs="宋体"/>
                <w:color w:val="auto"/>
                <w:kern w:val="0"/>
                <w:sz w:val="24"/>
                <w:highlight w:val="none"/>
              </w:rPr>
            </w:pPr>
          </w:p>
        </w:tc>
      </w:tr>
      <w:tr w14:paraId="79EF253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D47CFA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122" w:type="dxa"/>
            <w:tcBorders>
              <w:top w:val="nil"/>
              <w:left w:val="nil"/>
              <w:bottom w:val="single" w:color="000000" w:sz="4" w:space="0"/>
              <w:right w:val="single" w:color="000000" w:sz="4" w:space="0"/>
            </w:tcBorders>
            <w:shd w:val="clear" w:color="auto" w:fill="FFFFFF"/>
            <w:vAlign w:val="center"/>
          </w:tcPr>
          <w:p w14:paraId="36F58A50">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04C800B3">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07CF7A25">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D8D89E0">
            <w:pPr>
              <w:widowControl/>
              <w:jc w:val="center"/>
              <w:rPr>
                <w:rFonts w:ascii="宋体" w:hAnsi="宋体" w:cs="宋体"/>
                <w:color w:val="auto"/>
                <w:kern w:val="0"/>
                <w:sz w:val="24"/>
                <w:highlight w:val="none"/>
              </w:rPr>
            </w:pPr>
          </w:p>
        </w:tc>
      </w:tr>
      <w:tr w14:paraId="25A5054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672F2A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122" w:type="dxa"/>
            <w:tcBorders>
              <w:top w:val="nil"/>
              <w:left w:val="nil"/>
              <w:bottom w:val="single" w:color="000000" w:sz="4" w:space="0"/>
              <w:right w:val="single" w:color="000000" w:sz="4" w:space="0"/>
            </w:tcBorders>
            <w:shd w:val="clear" w:color="auto" w:fill="FFFFFF"/>
            <w:vAlign w:val="center"/>
          </w:tcPr>
          <w:p w14:paraId="62D43534">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0209F6BE">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34B8B3F">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429E0E2">
            <w:pPr>
              <w:widowControl/>
              <w:jc w:val="center"/>
              <w:rPr>
                <w:rFonts w:ascii="宋体" w:hAnsi="宋体" w:cs="宋体"/>
                <w:color w:val="auto"/>
                <w:kern w:val="0"/>
                <w:sz w:val="24"/>
                <w:highlight w:val="none"/>
              </w:rPr>
            </w:pPr>
          </w:p>
        </w:tc>
      </w:tr>
      <w:tr w14:paraId="416C485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6C88A6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122" w:type="dxa"/>
            <w:tcBorders>
              <w:top w:val="nil"/>
              <w:left w:val="nil"/>
              <w:bottom w:val="single" w:color="000000" w:sz="4" w:space="0"/>
              <w:right w:val="single" w:color="000000" w:sz="4" w:space="0"/>
            </w:tcBorders>
            <w:shd w:val="clear" w:color="auto" w:fill="FFFFFF"/>
            <w:vAlign w:val="center"/>
          </w:tcPr>
          <w:p w14:paraId="16734753">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5F83F8D1">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64ED5692">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01F076B">
            <w:pPr>
              <w:widowControl/>
              <w:jc w:val="center"/>
              <w:rPr>
                <w:rFonts w:ascii="宋体" w:hAnsi="宋体" w:cs="宋体"/>
                <w:color w:val="auto"/>
                <w:kern w:val="0"/>
                <w:sz w:val="24"/>
                <w:highlight w:val="none"/>
              </w:rPr>
            </w:pPr>
          </w:p>
        </w:tc>
      </w:tr>
      <w:tr w14:paraId="45E3393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21F515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122" w:type="dxa"/>
            <w:tcBorders>
              <w:top w:val="nil"/>
              <w:left w:val="nil"/>
              <w:bottom w:val="single" w:color="000000" w:sz="4" w:space="0"/>
              <w:right w:val="single" w:color="000000" w:sz="4" w:space="0"/>
            </w:tcBorders>
            <w:shd w:val="clear" w:color="auto" w:fill="FFFFFF"/>
            <w:vAlign w:val="center"/>
          </w:tcPr>
          <w:p w14:paraId="367FB5B8">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5C6B224B">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50F77E8">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D77BEE6">
            <w:pPr>
              <w:widowControl/>
              <w:jc w:val="center"/>
              <w:rPr>
                <w:rFonts w:ascii="宋体" w:hAnsi="宋体" w:cs="宋体"/>
                <w:color w:val="auto"/>
                <w:kern w:val="0"/>
                <w:sz w:val="24"/>
                <w:highlight w:val="none"/>
              </w:rPr>
            </w:pPr>
          </w:p>
        </w:tc>
      </w:tr>
      <w:tr w14:paraId="57D722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916237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122" w:type="dxa"/>
            <w:tcBorders>
              <w:top w:val="nil"/>
              <w:left w:val="nil"/>
              <w:bottom w:val="single" w:color="000000" w:sz="4" w:space="0"/>
              <w:right w:val="single" w:color="000000" w:sz="4" w:space="0"/>
            </w:tcBorders>
            <w:shd w:val="clear" w:color="auto" w:fill="FFFFFF"/>
            <w:vAlign w:val="center"/>
          </w:tcPr>
          <w:p w14:paraId="215C0A3D">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630196DB">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4F054173">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7ACB637">
            <w:pPr>
              <w:widowControl/>
              <w:jc w:val="center"/>
              <w:rPr>
                <w:rFonts w:ascii="宋体" w:hAnsi="宋体" w:cs="宋体"/>
                <w:color w:val="auto"/>
                <w:kern w:val="0"/>
                <w:sz w:val="24"/>
                <w:highlight w:val="none"/>
              </w:rPr>
            </w:pPr>
          </w:p>
        </w:tc>
      </w:tr>
      <w:tr w14:paraId="34706C9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3614BA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122" w:type="dxa"/>
            <w:tcBorders>
              <w:top w:val="nil"/>
              <w:left w:val="nil"/>
              <w:bottom w:val="single" w:color="000000" w:sz="4" w:space="0"/>
              <w:right w:val="single" w:color="000000" w:sz="4" w:space="0"/>
            </w:tcBorders>
            <w:shd w:val="clear" w:color="auto" w:fill="FFFFFF"/>
            <w:vAlign w:val="center"/>
          </w:tcPr>
          <w:p w14:paraId="76A1326A">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21181567">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33F9E4DD">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4CDC0F6">
            <w:pPr>
              <w:widowControl/>
              <w:jc w:val="center"/>
              <w:rPr>
                <w:rFonts w:ascii="宋体" w:hAnsi="宋体" w:cs="宋体"/>
                <w:color w:val="auto"/>
                <w:kern w:val="0"/>
                <w:sz w:val="24"/>
                <w:highlight w:val="none"/>
              </w:rPr>
            </w:pPr>
          </w:p>
        </w:tc>
      </w:tr>
      <w:tr w14:paraId="10B0267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801D04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122" w:type="dxa"/>
            <w:tcBorders>
              <w:top w:val="nil"/>
              <w:left w:val="nil"/>
              <w:bottom w:val="single" w:color="000000" w:sz="4" w:space="0"/>
              <w:right w:val="single" w:color="000000" w:sz="4" w:space="0"/>
            </w:tcBorders>
            <w:shd w:val="clear" w:color="auto" w:fill="FFFFFF"/>
            <w:vAlign w:val="center"/>
          </w:tcPr>
          <w:p w14:paraId="58A08A03">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21DB7AD8">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7C047D91">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352205B">
            <w:pPr>
              <w:widowControl/>
              <w:jc w:val="center"/>
              <w:rPr>
                <w:rFonts w:ascii="宋体" w:hAnsi="宋体" w:cs="宋体"/>
                <w:color w:val="auto"/>
                <w:kern w:val="0"/>
                <w:sz w:val="24"/>
                <w:highlight w:val="none"/>
              </w:rPr>
            </w:pPr>
          </w:p>
        </w:tc>
      </w:tr>
      <w:tr w14:paraId="3A61AE5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0C164A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122" w:type="dxa"/>
            <w:tcBorders>
              <w:top w:val="nil"/>
              <w:left w:val="nil"/>
              <w:bottom w:val="single" w:color="000000" w:sz="4" w:space="0"/>
              <w:right w:val="single" w:color="000000" w:sz="4" w:space="0"/>
            </w:tcBorders>
            <w:shd w:val="clear" w:color="auto" w:fill="FFFFFF"/>
            <w:vAlign w:val="center"/>
          </w:tcPr>
          <w:p w14:paraId="263FFD77">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7FEB960B">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0BE81FB5">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3151208">
            <w:pPr>
              <w:widowControl/>
              <w:jc w:val="center"/>
              <w:rPr>
                <w:rFonts w:ascii="宋体" w:hAnsi="宋体" w:cs="宋体"/>
                <w:color w:val="auto"/>
                <w:kern w:val="0"/>
                <w:sz w:val="24"/>
                <w:highlight w:val="none"/>
              </w:rPr>
            </w:pPr>
          </w:p>
        </w:tc>
      </w:tr>
      <w:tr w14:paraId="219F214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06A665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122" w:type="dxa"/>
            <w:tcBorders>
              <w:top w:val="nil"/>
              <w:left w:val="nil"/>
              <w:bottom w:val="single" w:color="000000" w:sz="4" w:space="0"/>
              <w:right w:val="single" w:color="000000" w:sz="4" w:space="0"/>
            </w:tcBorders>
            <w:shd w:val="clear" w:color="auto" w:fill="FFFFFF"/>
            <w:vAlign w:val="center"/>
          </w:tcPr>
          <w:p w14:paraId="1CE43766">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7A2E1533">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4F03ADD">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F0F1B83">
            <w:pPr>
              <w:widowControl/>
              <w:jc w:val="center"/>
              <w:rPr>
                <w:rFonts w:ascii="宋体" w:hAnsi="宋体" w:cs="宋体"/>
                <w:color w:val="auto"/>
                <w:kern w:val="0"/>
                <w:sz w:val="24"/>
                <w:highlight w:val="none"/>
              </w:rPr>
            </w:pPr>
          </w:p>
        </w:tc>
      </w:tr>
      <w:tr w14:paraId="4080983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0CD16A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122" w:type="dxa"/>
            <w:tcBorders>
              <w:top w:val="nil"/>
              <w:left w:val="nil"/>
              <w:bottom w:val="single" w:color="000000" w:sz="4" w:space="0"/>
              <w:right w:val="single" w:color="000000" w:sz="4" w:space="0"/>
            </w:tcBorders>
            <w:shd w:val="clear" w:color="auto" w:fill="FFFFFF"/>
            <w:vAlign w:val="center"/>
          </w:tcPr>
          <w:p w14:paraId="06EA1D45">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5E71A06E">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482476EC">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9F32935">
            <w:pPr>
              <w:widowControl/>
              <w:jc w:val="center"/>
              <w:rPr>
                <w:rFonts w:ascii="宋体" w:hAnsi="宋体" w:cs="宋体"/>
                <w:color w:val="auto"/>
                <w:kern w:val="0"/>
                <w:sz w:val="24"/>
                <w:highlight w:val="none"/>
              </w:rPr>
            </w:pPr>
          </w:p>
        </w:tc>
      </w:tr>
      <w:tr w14:paraId="335AB33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05B63A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122" w:type="dxa"/>
            <w:tcBorders>
              <w:top w:val="nil"/>
              <w:left w:val="nil"/>
              <w:bottom w:val="single" w:color="000000" w:sz="4" w:space="0"/>
              <w:right w:val="single" w:color="000000" w:sz="4" w:space="0"/>
            </w:tcBorders>
            <w:shd w:val="clear" w:color="auto" w:fill="FFFFFF"/>
            <w:vAlign w:val="center"/>
          </w:tcPr>
          <w:p w14:paraId="6D0A9498">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49F37B63">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CD15BA9">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6B61BF1">
            <w:pPr>
              <w:widowControl/>
              <w:jc w:val="center"/>
              <w:rPr>
                <w:rFonts w:ascii="宋体" w:hAnsi="宋体" w:cs="宋体"/>
                <w:color w:val="auto"/>
                <w:kern w:val="0"/>
                <w:sz w:val="24"/>
                <w:highlight w:val="none"/>
              </w:rPr>
            </w:pPr>
          </w:p>
        </w:tc>
      </w:tr>
      <w:tr w14:paraId="1E15807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999DD1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122" w:type="dxa"/>
            <w:tcBorders>
              <w:top w:val="nil"/>
              <w:left w:val="nil"/>
              <w:bottom w:val="single" w:color="000000" w:sz="4" w:space="0"/>
              <w:right w:val="single" w:color="000000" w:sz="4" w:space="0"/>
            </w:tcBorders>
            <w:shd w:val="clear" w:color="auto" w:fill="FFFFFF"/>
            <w:vAlign w:val="center"/>
          </w:tcPr>
          <w:p w14:paraId="5EC44161">
            <w:pPr>
              <w:widowControl/>
              <w:jc w:val="left"/>
              <w:rPr>
                <w:rFonts w:ascii="宋体" w:hAnsi="宋体" w:cs="宋体"/>
                <w:color w:val="auto"/>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2A0D07A6">
            <w:pPr>
              <w:widowControl/>
              <w:jc w:val="left"/>
              <w:rPr>
                <w:rFonts w:ascii="宋体" w:hAnsi="宋体" w:cs="宋体"/>
                <w:color w:val="auto"/>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0EB23E0">
            <w:pPr>
              <w:widowControl/>
              <w:jc w:val="center"/>
              <w:rPr>
                <w:rFonts w:ascii="宋体" w:hAnsi="宋体" w:cs="宋体"/>
                <w:color w:val="auto"/>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7CC2788">
            <w:pPr>
              <w:widowControl/>
              <w:jc w:val="center"/>
              <w:rPr>
                <w:rFonts w:ascii="宋体" w:hAnsi="宋体" w:cs="宋体"/>
                <w:color w:val="auto"/>
                <w:kern w:val="0"/>
                <w:sz w:val="24"/>
                <w:highlight w:val="none"/>
              </w:rPr>
            </w:pPr>
          </w:p>
        </w:tc>
      </w:tr>
    </w:tbl>
    <w:p w14:paraId="39EE634C">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注：投标人根据招标清单中的内容进行填写，货物说明表中勿填写价格信息。</w:t>
      </w:r>
    </w:p>
    <w:p w14:paraId="09641D13">
      <w:pPr>
        <w:snapToGrid w:val="0"/>
        <w:spacing w:before="50" w:after="120" w:afterLines="50"/>
        <w:jc w:val="left"/>
        <w:rPr>
          <w:rFonts w:ascii="宋体" w:hAnsi="宋体" w:cs="宋体"/>
          <w:color w:val="auto"/>
          <w:sz w:val="24"/>
          <w:highlight w:val="none"/>
        </w:rPr>
      </w:pPr>
    </w:p>
    <w:p w14:paraId="60BC19CC">
      <w:pPr>
        <w:snapToGrid w:val="0"/>
        <w:spacing w:before="50" w:after="120" w:afterLines="50"/>
        <w:jc w:val="left"/>
        <w:rPr>
          <w:rFonts w:ascii="宋体" w:hAnsi="宋体" w:cs="宋体"/>
          <w:color w:val="auto"/>
          <w:sz w:val="24"/>
          <w:highlight w:val="none"/>
        </w:rPr>
      </w:pPr>
    </w:p>
    <w:p w14:paraId="2B369448">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67E35A95">
      <w:pPr>
        <w:snapToGrid w:val="0"/>
        <w:spacing w:before="50" w:after="120" w:afterLines="50"/>
        <w:jc w:val="left"/>
        <w:rPr>
          <w:rFonts w:ascii="宋体" w:hAnsi="宋体"/>
          <w:color w:val="auto"/>
          <w:sz w:val="24"/>
          <w:highlight w:val="none"/>
        </w:rPr>
      </w:pPr>
      <w:r>
        <w:rPr>
          <w:rFonts w:hint="eastAsia" w:ascii="宋体" w:hAnsi="宋体"/>
          <w:color w:val="auto"/>
          <w:sz w:val="24"/>
          <w:szCs w:val="20"/>
          <w:highlight w:val="none"/>
        </w:rPr>
        <w:t>日期：</w:t>
      </w:r>
    </w:p>
    <w:p w14:paraId="1816EA76">
      <w:pPr>
        <w:snapToGrid w:val="0"/>
        <w:spacing w:before="50" w:after="120" w:afterLines="50"/>
        <w:jc w:val="left"/>
        <w:rPr>
          <w:rFonts w:ascii="宋体" w:hAnsi="宋体"/>
          <w:color w:val="auto"/>
          <w:sz w:val="24"/>
          <w:highlight w:val="none"/>
        </w:rPr>
      </w:pPr>
    </w:p>
    <w:p w14:paraId="422D6CA9">
      <w:pPr>
        <w:snapToGrid w:val="0"/>
        <w:spacing w:before="50" w:after="120" w:afterLines="50"/>
        <w:jc w:val="left"/>
        <w:rPr>
          <w:rFonts w:ascii="宋体" w:hAnsi="宋体" w:cs="宋体"/>
          <w:color w:val="auto"/>
          <w:sz w:val="24"/>
          <w:highlight w:val="none"/>
        </w:rPr>
      </w:pPr>
    </w:p>
    <w:p w14:paraId="63AE6749">
      <w:pPr>
        <w:snapToGrid w:val="0"/>
        <w:spacing w:before="50" w:after="120" w:afterLines="50"/>
        <w:jc w:val="left"/>
        <w:rPr>
          <w:rFonts w:ascii="宋体" w:hAnsi="宋体" w:cs="宋体"/>
          <w:color w:val="auto"/>
          <w:sz w:val="24"/>
          <w:highlight w:val="none"/>
        </w:rPr>
      </w:pPr>
    </w:p>
    <w:p w14:paraId="34BD37D5">
      <w:pPr>
        <w:snapToGrid w:val="0"/>
        <w:spacing w:before="50" w:after="120" w:afterLines="50"/>
        <w:jc w:val="left"/>
        <w:rPr>
          <w:rFonts w:ascii="宋体" w:hAnsi="宋体" w:cs="宋体"/>
          <w:color w:val="auto"/>
          <w:sz w:val="24"/>
          <w:highlight w:val="none"/>
        </w:rPr>
      </w:pPr>
      <w:r>
        <w:rPr>
          <w:rFonts w:hint="eastAsia" w:ascii="宋体" w:hAnsi="宋体" w:cs="宋体"/>
          <w:color w:val="auto"/>
          <w:sz w:val="24"/>
          <w:highlight w:val="none"/>
        </w:rPr>
        <w:t>8.项目负责人简历：</w:t>
      </w:r>
    </w:p>
    <w:p w14:paraId="5A13B7D3">
      <w:pPr>
        <w:snapToGrid w:val="0"/>
        <w:spacing w:before="50" w:after="120" w:afterLines="50"/>
        <w:jc w:val="left"/>
        <w:rPr>
          <w:rFonts w:ascii="宋体" w:hAnsi="宋体" w:cs="宋体"/>
          <w:color w:val="auto"/>
          <w:sz w:val="24"/>
          <w:szCs w:val="20"/>
          <w:highlight w:val="none"/>
        </w:rPr>
      </w:pPr>
    </w:p>
    <w:p w14:paraId="41800480">
      <w:pPr>
        <w:jc w:val="center"/>
        <w:rPr>
          <w:rFonts w:ascii="宋体" w:hAnsi="宋体" w:cs="宋体"/>
          <w:snapToGrid w:val="0"/>
          <w:color w:val="auto"/>
          <w:sz w:val="28"/>
          <w:highlight w:val="none"/>
        </w:rPr>
      </w:pPr>
      <w:r>
        <w:rPr>
          <w:rFonts w:hint="eastAsia" w:ascii="宋体" w:hAnsi="宋体" w:cs="宋体"/>
          <w:snapToGrid w:val="0"/>
          <w:color w:val="auto"/>
          <w:sz w:val="28"/>
          <w:highlight w:val="none"/>
        </w:rPr>
        <w:t>项目负责人简历表</w:t>
      </w:r>
    </w:p>
    <w:p w14:paraId="67397D16">
      <w:pPr>
        <w:snapToGrid w:val="0"/>
        <w:spacing w:before="120" w:beforeLines="50" w:after="50" w:line="360" w:lineRule="auto"/>
        <w:jc w:val="center"/>
        <w:rPr>
          <w:rFonts w:ascii="宋体" w:hAnsi="宋体" w:cs="宋体"/>
          <w:bCs/>
          <w:color w:val="auto"/>
          <w:sz w:val="24"/>
          <w:highlight w:val="none"/>
        </w:rPr>
      </w:pPr>
    </w:p>
    <w:p w14:paraId="2380A5FC">
      <w:pPr>
        <w:snapToGrid w:val="0"/>
        <w:spacing w:before="120" w:beforeLines="50" w:after="50" w:line="480" w:lineRule="auto"/>
        <w:rPr>
          <w:rFonts w:ascii="宋体" w:hAnsi="宋体" w:cs="宋体"/>
          <w:color w:val="auto"/>
          <w:sz w:val="24"/>
          <w:highlight w:val="none"/>
        </w:rPr>
      </w:pPr>
      <w:r>
        <w:rPr>
          <w:rFonts w:hint="eastAsia" w:ascii="宋体" w:hAnsi="宋体" w:cs="宋体"/>
          <w:bCs/>
          <w:color w:val="auto"/>
          <w:sz w:val="24"/>
          <w:highlight w:val="none"/>
        </w:rPr>
        <w:t>项目名称：</w:t>
      </w:r>
    </w:p>
    <w:p w14:paraId="196C8B17">
      <w:pPr>
        <w:snapToGrid w:val="0"/>
        <w:spacing w:line="480" w:lineRule="auto"/>
        <w:rPr>
          <w:rFonts w:ascii="宋体" w:hAnsi="宋体" w:cs="宋体"/>
          <w:bCs/>
          <w:color w:val="auto"/>
          <w:sz w:val="24"/>
          <w:szCs w:val="20"/>
          <w:highlight w:val="none"/>
        </w:rPr>
      </w:pPr>
      <w:r>
        <w:rPr>
          <w:rFonts w:hint="eastAsia" w:ascii="宋体" w:hAnsi="宋体" w:cs="宋体"/>
          <w:bCs/>
          <w:color w:val="auto"/>
          <w:sz w:val="24"/>
          <w:highlight w:val="none"/>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669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420C353">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27F23C6B">
            <w:pPr>
              <w:spacing w:line="351" w:lineRule="atLeast"/>
              <w:jc w:val="center"/>
              <w:rPr>
                <w:rFonts w:ascii="宋体" w:hAnsi="宋体" w:cs="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30492B1">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17C3E28">
            <w:pPr>
              <w:spacing w:line="351" w:lineRule="atLeast"/>
              <w:jc w:val="center"/>
              <w:rPr>
                <w:rFonts w:ascii="宋体" w:hAnsi="宋体" w:cs="宋体"/>
                <w:color w:val="auto"/>
                <w:sz w:val="28"/>
                <w:highlight w:val="none"/>
                <w:u w:color="000000"/>
              </w:rPr>
            </w:pPr>
          </w:p>
        </w:tc>
      </w:tr>
      <w:tr w14:paraId="3356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447A953">
            <w:pPr>
              <w:spacing w:line="351" w:lineRule="atLeast"/>
              <w:jc w:val="center"/>
              <w:rPr>
                <w:rFonts w:ascii="宋体" w:hAnsi="宋体" w:cs="宋体"/>
                <w:color w:val="auto"/>
                <w:sz w:val="28"/>
                <w:highlight w:val="none"/>
              </w:rPr>
            </w:pPr>
            <w:r>
              <w:rPr>
                <w:rFonts w:hint="eastAsia" w:ascii="宋体" w:hAnsi="宋体" w:cs="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C378748">
            <w:pPr>
              <w:spacing w:line="351" w:lineRule="atLeast"/>
              <w:jc w:val="center"/>
              <w:rPr>
                <w:rFonts w:ascii="宋体" w:hAnsi="宋体" w:cs="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94D9C7E">
            <w:pPr>
              <w:spacing w:line="351" w:lineRule="atLeast"/>
              <w:jc w:val="center"/>
              <w:rPr>
                <w:rFonts w:ascii="宋体" w:hAnsi="宋体" w:cs="宋体"/>
                <w:color w:val="auto"/>
                <w:sz w:val="28"/>
                <w:highlight w:val="none"/>
              </w:rPr>
            </w:pPr>
            <w:r>
              <w:rPr>
                <w:rFonts w:hint="eastAsia" w:ascii="宋体" w:hAnsi="宋体" w:cs="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51793E40">
            <w:pPr>
              <w:spacing w:line="351" w:lineRule="atLeast"/>
              <w:jc w:val="center"/>
              <w:rPr>
                <w:rFonts w:ascii="宋体" w:hAnsi="宋体" w:cs="宋体"/>
                <w:color w:val="auto"/>
                <w:sz w:val="28"/>
                <w:highlight w:val="none"/>
                <w:u w:color="000000"/>
              </w:rPr>
            </w:pPr>
          </w:p>
        </w:tc>
      </w:tr>
      <w:tr w14:paraId="50B3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6F47C80">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6C58F9BD">
            <w:pPr>
              <w:spacing w:line="351" w:lineRule="atLeast"/>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C71AD31">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200DE913">
            <w:pPr>
              <w:spacing w:line="351" w:lineRule="atLeast"/>
              <w:jc w:val="center"/>
              <w:rPr>
                <w:rFonts w:ascii="宋体" w:hAnsi="宋体" w:cs="宋体"/>
                <w:color w:val="auto"/>
                <w:sz w:val="28"/>
                <w:highlight w:val="none"/>
                <w:u w:color="000000"/>
              </w:rPr>
            </w:pPr>
          </w:p>
        </w:tc>
      </w:tr>
      <w:tr w14:paraId="08BB0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7D8ACA0">
            <w:pPr>
              <w:spacing w:line="351" w:lineRule="atLeast"/>
              <w:ind w:firstLine="557" w:firstLineChars="199"/>
              <w:rPr>
                <w:rFonts w:ascii="宋体" w:hAnsi="宋体" w:cs="宋体"/>
                <w:color w:val="auto"/>
                <w:sz w:val="28"/>
                <w:highlight w:val="none"/>
                <w:u w:color="000000"/>
              </w:rPr>
            </w:pPr>
            <w:r>
              <w:rPr>
                <w:rFonts w:hint="eastAsia" w:ascii="宋体" w:hAnsi="宋体" w:cs="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E6335F7">
            <w:pPr>
              <w:spacing w:line="351" w:lineRule="atLeast"/>
              <w:ind w:firstLine="419"/>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F1A1547">
            <w:pPr>
              <w:spacing w:line="351" w:lineRule="atLeast"/>
              <w:ind w:firstLine="554" w:firstLineChars="198"/>
              <w:rPr>
                <w:rFonts w:ascii="宋体" w:hAnsi="宋体" w:cs="宋体"/>
                <w:color w:val="auto"/>
                <w:sz w:val="28"/>
                <w:highlight w:val="none"/>
                <w:u w:color="000000"/>
              </w:rPr>
            </w:pPr>
            <w:r>
              <w:rPr>
                <w:rFonts w:hint="eastAsia" w:ascii="宋体" w:hAnsi="宋体" w:cs="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06AF28C0">
            <w:pPr>
              <w:spacing w:line="351" w:lineRule="atLeast"/>
              <w:jc w:val="center"/>
              <w:rPr>
                <w:rFonts w:ascii="宋体" w:hAnsi="宋体" w:cs="宋体"/>
                <w:color w:val="auto"/>
                <w:sz w:val="28"/>
                <w:highlight w:val="none"/>
                <w:u w:color="000000"/>
              </w:rPr>
            </w:pPr>
          </w:p>
        </w:tc>
      </w:tr>
      <w:tr w14:paraId="05EBF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AF10B50">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C4BB023">
            <w:pPr>
              <w:spacing w:line="351" w:lineRule="atLeast"/>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EB111C5">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4A03915A">
            <w:pPr>
              <w:spacing w:line="351" w:lineRule="atLeast"/>
              <w:jc w:val="center"/>
              <w:rPr>
                <w:rFonts w:ascii="宋体" w:hAnsi="宋体" w:cs="宋体"/>
                <w:color w:val="auto"/>
                <w:sz w:val="28"/>
                <w:highlight w:val="none"/>
                <w:u w:color="000000"/>
              </w:rPr>
            </w:pPr>
          </w:p>
        </w:tc>
      </w:tr>
      <w:tr w14:paraId="3C52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4905DF50">
            <w:pPr>
              <w:jc w:val="center"/>
              <w:rPr>
                <w:rFonts w:ascii="宋体" w:hAnsi="宋体" w:cs="宋体"/>
                <w:color w:val="auto"/>
                <w:sz w:val="28"/>
                <w:highlight w:val="none"/>
                <w:u w:color="000000"/>
              </w:rPr>
            </w:pPr>
            <w:r>
              <w:rPr>
                <w:rFonts w:hint="eastAsia" w:ascii="宋体" w:hAnsi="宋体" w:cs="宋体"/>
                <w:color w:val="auto"/>
                <w:sz w:val="28"/>
                <w:highlight w:val="none"/>
              </w:rPr>
              <w:t>简</w:t>
            </w:r>
          </w:p>
          <w:p w14:paraId="0154E705">
            <w:pPr>
              <w:jc w:val="center"/>
              <w:rPr>
                <w:rFonts w:ascii="宋体" w:hAnsi="宋体" w:cs="宋体"/>
                <w:color w:val="auto"/>
                <w:sz w:val="28"/>
                <w:highlight w:val="none"/>
              </w:rPr>
            </w:pPr>
          </w:p>
          <w:p w14:paraId="312F4DF6">
            <w:pPr>
              <w:jc w:val="center"/>
              <w:rPr>
                <w:rFonts w:ascii="宋体" w:hAnsi="宋体" w:cs="宋体"/>
                <w:color w:val="auto"/>
                <w:sz w:val="28"/>
                <w:highlight w:val="none"/>
              </w:rPr>
            </w:pPr>
          </w:p>
          <w:p w14:paraId="7ECE911C">
            <w:pPr>
              <w:spacing w:line="351" w:lineRule="atLeast"/>
              <w:jc w:val="center"/>
              <w:rPr>
                <w:rFonts w:ascii="宋体" w:hAnsi="宋体" w:cs="宋体"/>
                <w:color w:val="auto"/>
                <w:highlight w:val="none"/>
                <w:u w:color="000000"/>
              </w:rPr>
            </w:pPr>
            <w:r>
              <w:rPr>
                <w:rFonts w:hint="eastAsia" w:ascii="宋体" w:hAnsi="宋体" w:cs="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55A1D419">
            <w:pPr>
              <w:spacing w:line="351" w:lineRule="atLeast"/>
              <w:jc w:val="center"/>
              <w:rPr>
                <w:rFonts w:ascii="宋体" w:hAnsi="宋体" w:cs="宋体"/>
                <w:color w:val="auto"/>
                <w:highlight w:val="none"/>
                <w:u w:color="000000"/>
              </w:rPr>
            </w:pPr>
          </w:p>
        </w:tc>
      </w:tr>
    </w:tbl>
    <w:p w14:paraId="4815DE83">
      <w:pPr>
        <w:rPr>
          <w:rFonts w:ascii="宋体" w:hAnsi="宋体" w:cs="宋体"/>
          <w:bCs/>
          <w:snapToGrid w:val="0"/>
          <w:color w:val="auto"/>
          <w:highlight w:val="none"/>
        </w:rPr>
      </w:pPr>
    </w:p>
    <w:p w14:paraId="0A0610CC">
      <w:pPr>
        <w:snapToGrid w:val="0"/>
        <w:spacing w:before="50" w:after="120" w:afterLines="50"/>
        <w:jc w:val="left"/>
        <w:rPr>
          <w:rFonts w:ascii="宋体" w:hAnsi="宋体" w:cs="宋体"/>
          <w:b/>
          <w:color w:val="auto"/>
          <w:spacing w:val="20"/>
          <w:sz w:val="24"/>
          <w:highlight w:val="none"/>
        </w:rPr>
      </w:pPr>
      <w:bookmarkStart w:id="64" w:name="_Hlk60757472"/>
      <w:r>
        <w:rPr>
          <w:rFonts w:hint="eastAsia" w:ascii="宋体" w:hAnsi="宋体" w:cs="宋体"/>
          <w:b/>
          <w:color w:val="auto"/>
          <w:spacing w:val="20"/>
          <w:sz w:val="24"/>
          <w:highlight w:val="none"/>
        </w:rPr>
        <w:t>法定代表人签字（或盖章）：            投标人（盖章）：</w:t>
      </w:r>
    </w:p>
    <w:p w14:paraId="25BF2758">
      <w:pPr>
        <w:snapToGrid w:val="0"/>
        <w:spacing w:before="50" w:after="120" w:afterLines="50"/>
        <w:jc w:val="left"/>
        <w:rPr>
          <w:rFonts w:ascii="宋体" w:hAnsi="宋体" w:cs="宋体"/>
          <w:b/>
          <w:color w:val="auto"/>
          <w:sz w:val="24"/>
          <w:highlight w:val="none"/>
        </w:rPr>
      </w:pPr>
    </w:p>
    <w:p w14:paraId="31552E84">
      <w:pPr>
        <w:snapToGrid w:val="0"/>
        <w:spacing w:before="50" w:after="120" w:afterLines="50"/>
        <w:jc w:val="left"/>
        <w:rPr>
          <w:rFonts w:ascii="宋体" w:hAnsi="宋体" w:cs="宋体"/>
          <w:color w:val="auto"/>
          <w:sz w:val="24"/>
          <w:highlight w:val="none"/>
        </w:rPr>
      </w:pPr>
      <w:r>
        <w:rPr>
          <w:rFonts w:hint="eastAsia" w:ascii="宋体" w:hAnsi="宋体" w:cs="宋体"/>
          <w:b/>
          <w:color w:val="auto"/>
          <w:sz w:val="24"/>
          <w:highlight w:val="none"/>
        </w:rPr>
        <w:t>日期：  _____年___月___日</w:t>
      </w:r>
      <w:r>
        <w:rPr>
          <w:rFonts w:hint="eastAsia" w:ascii="宋体" w:hAnsi="宋体" w:cs="宋体"/>
          <w:b/>
          <w:color w:val="auto"/>
          <w:sz w:val="24"/>
          <w:highlight w:val="none"/>
        </w:rPr>
        <w:br w:type="page"/>
      </w:r>
      <w:bookmarkEnd w:id="64"/>
      <w:r>
        <w:rPr>
          <w:rFonts w:hint="eastAsia" w:ascii="宋体" w:hAnsi="宋体" w:cs="宋体"/>
          <w:color w:val="auto"/>
          <w:sz w:val="24"/>
          <w:highlight w:val="none"/>
        </w:rPr>
        <w:t>9、项目实施人员一览表格式</w:t>
      </w:r>
    </w:p>
    <w:p w14:paraId="2BE645BC">
      <w:pPr>
        <w:snapToGrid w:val="0"/>
        <w:spacing w:before="50" w:after="120" w:afterLines="50"/>
        <w:jc w:val="left"/>
        <w:rPr>
          <w:rFonts w:ascii="宋体" w:hAnsi="宋体" w:cs="宋体"/>
          <w:color w:val="auto"/>
          <w:sz w:val="24"/>
          <w:szCs w:val="20"/>
          <w:highlight w:val="none"/>
        </w:rPr>
      </w:pPr>
    </w:p>
    <w:p w14:paraId="3C0E1796">
      <w:pPr>
        <w:snapToGrid w:val="0"/>
        <w:spacing w:before="120" w:beforeLines="50" w:after="50"/>
        <w:jc w:val="center"/>
        <w:rPr>
          <w:rFonts w:ascii="宋体" w:hAnsi="宋体" w:cs="宋体"/>
          <w:b/>
          <w:color w:val="auto"/>
          <w:sz w:val="24"/>
          <w:highlight w:val="none"/>
        </w:rPr>
      </w:pPr>
      <w:r>
        <w:rPr>
          <w:rFonts w:hint="eastAsia" w:ascii="宋体" w:hAnsi="宋体" w:cs="宋体"/>
          <w:b/>
          <w:color w:val="auto"/>
          <w:sz w:val="24"/>
          <w:highlight w:val="none"/>
        </w:rPr>
        <w:t>项目实施人员（主要从业人员及其技术资格）一览表</w:t>
      </w:r>
    </w:p>
    <w:p w14:paraId="03ABAA9D">
      <w:pPr>
        <w:snapToGrid w:val="0"/>
        <w:spacing w:before="120" w:beforeLines="50" w:after="50" w:line="480" w:lineRule="auto"/>
        <w:rPr>
          <w:rFonts w:ascii="宋体" w:hAnsi="宋体" w:cs="宋体"/>
          <w:color w:val="auto"/>
          <w:sz w:val="24"/>
          <w:highlight w:val="none"/>
        </w:rPr>
      </w:pPr>
      <w:r>
        <w:rPr>
          <w:rFonts w:hint="eastAsia" w:ascii="宋体" w:hAnsi="宋体" w:cs="宋体"/>
          <w:bCs/>
          <w:color w:val="auto"/>
          <w:sz w:val="24"/>
          <w:highlight w:val="none"/>
        </w:rPr>
        <w:t>项目名称：</w:t>
      </w:r>
    </w:p>
    <w:p w14:paraId="6BBD09B2">
      <w:pPr>
        <w:snapToGrid w:val="0"/>
        <w:spacing w:before="120" w:beforeLines="50" w:after="50" w:line="480" w:lineRule="auto"/>
        <w:rPr>
          <w:rFonts w:ascii="宋体" w:hAnsi="宋体" w:cs="宋体"/>
          <w:bCs/>
          <w:color w:val="auto"/>
          <w:sz w:val="24"/>
          <w:highlight w:val="none"/>
        </w:rPr>
      </w:pPr>
      <w:r>
        <w:rPr>
          <w:rFonts w:hint="eastAsia" w:ascii="宋体" w:hAnsi="宋体" w:cs="宋体"/>
          <w:bCs/>
          <w:color w:val="auto"/>
          <w:sz w:val="24"/>
          <w:highlight w:val="none"/>
        </w:rPr>
        <w:t>项目编号：</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A70B9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E29E880">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38C953A3">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E9A6597">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4380F60">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5B28E39">
            <w:pPr>
              <w:snapToGrid w:val="0"/>
              <w:spacing w:before="120"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E06EAF5">
            <w:pPr>
              <w:snapToGrid w:val="0"/>
              <w:spacing w:before="120" w:beforeLines="50" w:after="50" w:line="360" w:lineRule="auto"/>
              <w:jc w:val="center"/>
              <w:rPr>
                <w:rFonts w:ascii="宋体" w:hAnsi="宋体" w:cs="宋体"/>
                <w:bCs/>
                <w:color w:val="auto"/>
                <w:sz w:val="24"/>
                <w:highlight w:val="none"/>
              </w:rPr>
            </w:pPr>
            <w:r>
              <w:rPr>
                <w:rFonts w:hint="eastAsia" w:ascii="宋体" w:hAnsi="宋体" w:cs="宋体"/>
                <w:bCs/>
                <w:color w:val="auto"/>
                <w:sz w:val="24"/>
                <w:highlight w:val="none"/>
              </w:rPr>
              <w:t>进入本单位工作开始时间</w:t>
            </w:r>
          </w:p>
        </w:tc>
      </w:tr>
      <w:tr w14:paraId="077157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8697B1">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7615E7">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4330608">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47B07FB">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EEE0AAD">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D1C72EA">
            <w:pPr>
              <w:snapToGrid w:val="0"/>
              <w:spacing w:before="120" w:beforeLines="50" w:after="50" w:line="360" w:lineRule="auto"/>
              <w:rPr>
                <w:rFonts w:ascii="宋体" w:hAnsi="宋体" w:cs="宋体"/>
                <w:color w:val="auto"/>
                <w:sz w:val="24"/>
                <w:highlight w:val="none"/>
              </w:rPr>
            </w:pPr>
          </w:p>
        </w:tc>
      </w:tr>
      <w:tr w14:paraId="741619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2499513">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BE8BFA8">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0D945B">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3013881">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0E197B7">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985FBB6">
            <w:pPr>
              <w:snapToGrid w:val="0"/>
              <w:spacing w:before="120" w:beforeLines="50" w:after="50" w:line="360" w:lineRule="auto"/>
              <w:rPr>
                <w:rFonts w:ascii="宋体" w:hAnsi="宋体" w:cs="宋体"/>
                <w:color w:val="auto"/>
                <w:sz w:val="24"/>
                <w:highlight w:val="none"/>
              </w:rPr>
            </w:pPr>
          </w:p>
        </w:tc>
      </w:tr>
      <w:tr w14:paraId="1D408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ED89B26">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6C4AC7D">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1A0D47">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C7C3CC7">
            <w:pPr>
              <w:pStyle w:val="34"/>
              <w:snapToGrid w:val="0"/>
              <w:spacing w:before="120" w:beforeLines="50" w:after="50" w:line="360" w:lineRule="auto"/>
              <w:ind w:left="5250"/>
              <w:rPr>
                <w:rFonts w:ascii="宋体" w:hAnsi="宋体" w:eastAsia="宋体" w:cs="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5346BEB">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71CF71B">
            <w:pPr>
              <w:snapToGrid w:val="0"/>
              <w:spacing w:before="120" w:beforeLines="50" w:after="50" w:line="360" w:lineRule="auto"/>
              <w:rPr>
                <w:rFonts w:ascii="宋体" w:hAnsi="宋体" w:cs="宋体"/>
                <w:color w:val="auto"/>
                <w:sz w:val="24"/>
                <w:highlight w:val="none"/>
              </w:rPr>
            </w:pPr>
          </w:p>
        </w:tc>
      </w:tr>
      <w:tr w14:paraId="4013FB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07D1336">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956EF4F">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7278ABB">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3020A63">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0556BBB">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12B0C3">
            <w:pPr>
              <w:snapToGrid w:val="0"/>
              <w:spacing w:before="120" w:beforeLines="50" w:after="50" w:line="360" w:lineRule="auto"/>
              <w:rPr>
                <w:rFonts w:ascii="宋体" w:hAnsi="宋体" w:cs="宋体"/>
                <w:color w:val="auto"/>
                <w:sz w:val="24"/>
                <w:highlight w:val="none"/>
              </w:rPr>
            </w:pPr>
          </w:p>
        </w:tc>
      </w:tr>
      <w:tr w14:paraId="03C5F2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9AF2AC8">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0090F8D">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6A66658">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8B11ACF">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D5E2CB2">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E59D08">
            <w:pPr>
              <w:snapToGrid w:val="0"/>
              <w:spacing w:before="120" w:beforeLines="50" w:after="50" w:line="360" w:lineRule="auto"/>
              <w:rPr>
                <w:rFonts w:ascii="宋体" w:hAnsi="宋体" w:cs="宋体"/>
                <w:color w:val="auto"/>
                <w:sz w:val="24"/>
                <w:highlight w:val="none"/>
              </w:rPr>
            </w:pPr>
          </w:p>
        </w:tc>
      </w:tr>
      <w:tr w14:paraId="59AA7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FEAE74">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4778365">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7F89FD3">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81804DE">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C7FA0B8">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745BE83">
            <w:pPr>
              <w:snapToGrid w:val="0"/>
              <w:spacing w:before="120" w:beforeLines="50" w:after="50" w:line="360" w:lineRule="auto"/>
              <w:rPr>
                <w:rFonts w:ascii="宋体" w:hAnsi="宋体" w:cs="宋体"/>
                <w:color w:val="auto"/>
                <w:sz w:val="24"/>
                <w:highlight w:val="none"/>
              </w:rPr>
            </w:pPr>
          </w:p>
        </w:tc>
      </w:tr>
      <w:tr w14:paraId="5944AD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AC74690">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9EB09DC">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8E60706">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BA863AC">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60485F0">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6933AD5">
            <w:pPr>
              <w:snapToGrid w:val="0"/>
              <w:spacing w:before="120" w:beforeLines="50" w:after="50" w:line="360" w:lineRule="auto"/>
              <w:rPr>
                <w:rFonts w:ascii="宋体" w:hAnsi="宋体" w:cs="宋体"/>
                <w:color w:val="auto"/>
                <w:sz w:val="24"/>
                <w:highlight w:val="none"/>
              </w:rPr>
            </w:pPr>
          </w:p>
        </w:tc>
      </w:tr>
      <w:tr w14:paraId="62D53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ABD592E">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D1310DB">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F7A5E8D">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48A1B85">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14E7E0E">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B46B686">
            <w:pPr>
              <w:snapToGrid w:val="0"/>
              <w:spacing w:before="120" w:beforeLines="50" w:after="50" w:line="360" w:lineRule="auto"/>
              <w:rPr>
                <w:rFonts w:ascii="宋体" w:hAnsi="宋体" w:cs="宋体"/>
                <w:color w:val="auto"/>
                <w:sz w:val="24"/>
                <w:highlight w:val="none"/>
              </w:rPr>
            </w:pPr>
          </w:p>
        </w:tc>
      </w:tr>
      <w:tr w14:paraId="097ED0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7E87B9B">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CDAB97C">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0A8B2A">
            <w:pPr>
              <w:snapToGrid w:val="0"/>
              <w:spacing w:before="120"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58977D0">
            <w:pPr>
              <w:snapToGrid w:val="0"/>
              <w:spacing w:before="120"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C6512F">
            <w:pPr>
              <w:snapToGrid w:val="0"/>
              <w:spacing w:before="120"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425641E">
            <w:pPr>
              <w:snapToGrid w:val="0"/>
              <w:spacing w:before="120" w:beforeLines="50" w:after="50" w:line="360" w:lineRule="auto"/>
              <w:rPr>
                <w:rFonts w:ascii="宋体" w:hAnsi="宋体" w:cs="宋体"/>
                <w:color w:val="auto"/>
                <w:sz w:val="24"/>
                <w:highlight w:val="none"/>
              </w:rPr>
            </w:pPr>
          </w:p>
        </w:tc>
      </w:tr>
    </w:tbl>
    <w:p w14:paraId="61082308">
      <w:pPr>
        <w:snapToGrid w:val="0"/>
        <w:spacing w:before="120" w:beforeLines="50" w:after="50" w:line="480" w:lineRule="auto"/>
        <w:rPr>
          <w:rFonts w:ascii="宋体" w:hAnsi="宋体" w:cs="宋体"/>
          <w:bCs/>
          <w:color w:val="auto"/>
          <w:sz w:val="24"/>
          <w:highlight w:val="none"/>
        </w:rPr>
      </w:pPr>
    </w:p>
    <w:p w14:paraId="1034C672">
      <w:pPr>
        <w:snapToGrid w:val="0"/>
        <w:spacing w:before="50" w:after="120" w:afterLines="50"/>
        <w:jc w:val="left"/>
        <w:rPr>
          <w:rFonts w:ascii="宋体" w:hAnsi="宋体" w:cs="宋体"/>
          <w:b/>
          <w:bCs/>
          <w:color w:val="auto"/>
          <w:sz w:val="24"/>
          <w:highlight w:val="none"/>
        </w:rPr>
      </w:pPr>
      <w:r>
        <w:rPr>
          <w:rFonts w:hint="eastAsia" w:ascii="宋体" w:hAnsi="宋体" w:cs="宋体"/>
          <w:b/>
          <w:bCs/>
          <w:color w:val="auto"/>
          <w:sz w:val="24"/>
          <w:highlight w:val="none"/>
        </w:rPr>
        <w:t>注：在填写时，如本表格不适合投标人的实际情况，可根据本表格式自行划表填写。</w:t>
      </w:r>
    </w:p>
    <w:p w14:paraId="53ADC367">
      <w:pPr>
        <w:snapToGrid w:val="0"/>
        <w:spacing w:before="50" w:after="120" w:afterLines="50" w:line="360" w:lineRule="auto"/>
        <w:jc w:val="left"/>
        <w:rPr>
          <w:rFonts w:ascii="宋体" w:hAnsi="宋体" w:cs="宋体"/>
          <w:color w:val="auto"/>
          <w:sz w:val="24"/>
          <w:szCs w:val="20"/>
          <w:highlight w:val="none"/>
        </w:rPr>
      </w:pPr>
    </w:p>
    <w:p w14:paraId="4C2E24E7">
      <w:pPr>
        <w:snapToGrid w:val="0"/>
        <w:spacing w:before="50" w:after="120" w:afterLines="50" w:line="360" w:lineRule="auto"/>
        <w:jc w:val="left"/>
        <w:rPr>
          <w:rFonts w:ascii="宋体" w:hAnsi="宋体" w:cs="宋体"/>
          <w:color w:val="auto"/>
          <w:sz w:val="24"/>
          <w:szCs w:val="20"/>
          <w:highlight w:val="none"/>
        </w:rPr>
      </w:pPr>
    </w:p>
    <w:p w14:paraId="214A8DA2">
      <w:pPr>
        <w:snapToGrid w:val="0"/>
        <w:spacing w:before="50" w:after="50" w:line="360" w:lineRule="auto"/>
        <w:rPr>
          <w:rFonts w:ascii="宋体" w:hAnsi="宋体" w:cs="宋体"/>
          <w:b/>
          <w:color w:val="auto"/>
          <w:sz w:val="24"/>
          <w:szCs w:val="20"/>
          <w:highlight w:val="none"/>
        </w:rPr>
      </w:pPr>
      <w:r>
        <w:rPr>
          <w:rFonts w:hint="eastAsia" w:ascii="宋体" w:hAnsi="宋体" w:cs="宋体"/>
          <w:b/>
          <w:color w:val="auto"/>
          <w:spacing w:val="20"/>
          <w:sz w:val="24"/>
          <w:highlight w:val="none"/>
        </w:rPr>
        <w:t xml:space="preserve">法定代表人签字（或盖章）：            投标人（盖章）：          </w:t>
      </w:r>
    </w:p>
    <w:p w14:paraId="44283FEA">
      <w:pPr>
        <w:pStyle w:val="32"/>
        <w:snapToGrid w:val="0"/>
        <w:spacing w:beforeLines="0" w:afterLines="0" w:line="240" w:lineRule="auto"/>
        <w:rPr>
          <w:rFonts w:hAnsi="宋体" w:cs="宋体"/>
          <w:b/>
          <w:color w:val="auto"/>
          <w:highlight w:val="none"/>
        </w:rPr>
      </w:pPr>
    </w:p>
    <w:p w14:paraId="5728D976">
      <w:pPr>
        <w:pStyle w:val="32"/>
        <w:snapToGrid w:val="0"/>
        <w:spacing w:beforeLines="0" w:afterLines="0" w:line="240" w:lineRule="auto"/>
        <w:rPr>
          <w:rFonts w:hAnsi="宋体" w:cs="宋体"/>
          <w:b/>
          <w:color w:val="auto"/>
          <w:highlight w:val="none"/>
        </w:rPr>
      </w:pPr>
      <w:r>
        <w:rPr>
          <w:rFonts w:hint="eastAsia" w:hAnsi="宋体" w:cs="宋体"/>
          <w:b/>
          <w:color w:val="auto"/>
          <w:highlight w:val="none"/>
        </w:rPr>
        <w:t>日期：  _____年___月___日</w:t>
      </w:r>
    </w:p>
    <w:p w14:paraId="552B5B75">
      <w:pPr>
        <w:pStyle w:val="32"/>
        <w:snapToGrid w:val="0"/>
        <w:spacing w:beforeLines="0" w:afterLines="0" w:line="240" w:lineRule="auto"/>
        <w:rPr>
          <w:rFonts w:hAnsi="宋体" w:cs="宋体"/>
          <w:color w:val="auto"/>
          <w:highlight w:val="none"/>
        </w:rPr>
      </w:pPr>
    </w:p>
    <w:p w14:paraId="7B607E4D">
      <w:pPr>
        <w:pStyle w:val="32"/>
        <w:snapToGrid w:val="0"/>
        <w:spacing w:beforeLines="0" w:afterLines="0" w:line="240" w:lineRule="auto"/>
        <w:rPr>
          <w:rFonts w:hAnsi="宋体" w:cs="宋体"/>
          <w:color w:val="auto"/>
          <w:highlight w:val="none"/>
        </w:rPr>
        <w:sectPr>
          <w:pgSz w:w="11906" w:h="16838"/>
          <w:pgMar w:top="1021" w:right="1588" w:bottom="851" w:left="1588" w:header="567" w:footer="454" w:gutter="0"/>
          <w:cols w:space="720" w:num="1"/>
          <w:docGrid w:linePitch="286" w:charSpace="0"/>
        </w:sectPr>
      </w:pPr>
    </w:p>
    <w:p w14:paraId="3FDA5844">
      <w:pPr>
        <w:snapToGrid w:val="0"/>
        <w:spacing w:before="50" w:after="120" w:afterLines="50"/>
        <w:ind w:firstLine="360" w:firstLineChars="150"/>
        <w:jc w:val="left"/>
        <w:rPr>
          <w:rFonts w:ascii="宋体" w:hAnsi="宋体" w:cs="宋体"/>
          <w:color w:val="auto"/>
          <w:sz w:val="24"/>
          <w:highlight w:val="none"/>
        </w:rPr>
      </w:pPr>
      <w:r>
        <w:rPr>
          <w:rFonts w:hint="eastAsia" w:ascii="宋体" w:hAnsi="宋体" w:cs="宋体"/>
          <w:color w:val="auto"/>
          <w:sz w:val="24"/>
          <w:highlight w:val="none"/>
        </w:rPr>
        <w:t>10.投标人类似合同案例一览表格式：</w:t>
      </w:r>
    </w:p>
    <w:p w14:paraId="36791221">
      <w:pPr>
        <w:snapToGrid w:val="0"/>
        <w:spacing w:before="50" w:after="120" w:afterLines="50"/>
        <w:jc w:val="center"/>
        <w:rPr>
          <w:rFonts w:ascii="宋体" w:hAnsi="宋体" w:cs="宋体"/>
          <w:b/>
          <w:color w:val="auto"/>
          <w:sz w:val="24"/>
          <w:highlight w:val="none"/>
        </w:rPr>
      </w:pPr>
      <w:r>
        <w:rPr>
          <w:rFonts w:hint="eastAsia" w:ascii="宋体" w:hAnsi="宋体" w:cs="宋体"/>
          <w:b/>
          <w:color w:val="auto"/>
          <w:sz w:val="24"/>
          <w:highlight w:val="none"/>
        </w:rPr>
        <w:t>投标人类似合同案例一览表</w:t>
      </w:r>
    </w:p>
    <w:p w14:paraId="5DB94544">
      <w:pPr>
        <w:snapToGrid w:val="0"/>
        <w:spacing w:before="120" w:beforeLines="50" w:after="50" w:line="480" w:lineRule="auto"/>
        <w:ind w:firstLine="1065" w:firstLineChars="444"/>
        <w:rPr>
          <w:rFonts w:ascii="宋体" w:hAnsi="宋体" w:cs="宋体"/>
          <w:bCs/>
          <w:color w:val="auto"/>
          <w:sz w:val="24"/>
          <w:highlight w:val="none"/>
        </w:rPr>
      </w:pPr>
    </w:p>
    <w:p w14:paraId="27A33445">
      <w:pPr>
        <w:snapToGrid w:val="0"/>
        <w:spacing w:before="120" w:beforeLines="50" w:after="50" w:line="480" w:lineRule="auto"/>
        <w:ind w:firstLine="1065" w:firstLineChars="444"/>
        <w:rPr>
          <w:rFonts w:ascii="宋体" w:hAnsi="宋体" w:cs="宋体"/>
          <w:bCs/>
          <w:color w:val="auto"/>
          <w:sz w:val="24"/>
          <w:szCs w:val="20"/>
          <w:highlight w:val="none"/>
        </w:rPr>
      </w:pPr>
      <w:r>
        <w:rPr>
          <w:rFonts w:hint="eastAsia" w:ascii="宋体" w:hAnsi="宋体" w:cs="宋体"/>
          <w:bCs/>
          <w:color w:val="auto"/>
          <w:sz w:val="24"/>
          <w:highlight w:val="none"/>
        </w:rPr>
        <w:t xml:space="preserve">项目名称：                                            </w:t>
      </w:r>
      <w:r>
        <w:rPr>
          <w:rFonts w:hint="eastAsia" w:ascii="宋体" w:hAnsi="宋体" w:cs="宋体"/>
          <w:color w:val="auto"/>
          <w:sz w:val="24"/>
          <w:highlight w:val="none"/>
        </w:rPr>
        <w:t>项目编号：</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9609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B190A7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4AB44BE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01D1C03B">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66C857F2">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2EE2C7D1">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D1872CB">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DF8B5BB">
            <w:pPr>
              <w:widowControl/>
              <w:spacing w:line="400" w:lineRule="exact"/>
              <w:jc w:val="left"/>
              <w:rPr>
                <w:rFonts w:ascii="宋体" w:hAnsi="宋体" w:cs="宋体"/>
                <w:color w:val="auto"/>
                <w:sz w:val="24"/>
                <w:highlight w:val="none"/>
              </w:rPr>
            </w:pPr>
            <w:r>
              <w:rPr>
                <w:rFonts w:hint="eastAsia" w:ascii="宋体" w:hAnsi="宋体" w:cs="宋体"/>
                <w:color w:val="auto"/>
                <w:sz w:val="24"/>
                <w:highlight w:val="none"/>
              </w:rPr>
              <w:t>联系电话</w:t>
            </w:r>
          </w:p>
        </w:tc>
      </w:tr>
      <w:tr w14:paraId="256FE9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593012AE">
            <w:pPr>
              <w:snapToGrid w:val="0"/>
              <w:spacing w:line="240" w:lineRule="exact"/>
              <w:jc w:val="left"/>
              <w:rPr>
                <w:rFonts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24498A29">
            <w:pPr>
              <w:snapToGrid w:val="0"/>
              <w:spacing w:line="240" w:lineRule="exact"/>
              <w:jc w:val="left"/>
              <w:rPr>
                <w:rFonts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445FE6B">
            <w:pPr>
              <w:snapToGrid w:val="0"/>
              <w:spacing w:line="240" w:lineRule="exact"/>
              <w:jc w:val="left"/>
              <w:rPr>
                <w:rFonts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C3E1932">
            <w:pPr>
              <w:snapToGrid w:val="0"/>
              <w:spacing w:line="240" w:lineRule="exact"/>
              <w:jc w:val="left"/>
              <w:rPr>
                <w:rFonts w:ascii="宋体" w:hAnsi="宋体" w:cs="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75599A8E">
            <w:pPr>
              <w:snapToGrid w:val="0"/>
              <w:spacing w:line="240" w:lineRule="exact"/>
              <w:jc w:val="left"/>
              <w:rPr>
                <w:rFonts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098B427C">
            <w:pPr>
              <w:snapToGrid w:val="0"/>
              <w:spacing w:line="240" w:lineRule="exact"/>
              <w:jc w:val="left"/>
              <w:rPr>
                <w:rFonts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3E823D21">
            <w:pPr>
              <w:snapToGrid w:val="0"/>
              <w:spacing w:line="240" w:lineRule="exact"/>
              <w:jc w:val="left"/>
              <w:rPr>
                <w:rFonts w:ascii="宋体" w:hAnsi="宋体" w:cs="宋体"/>
                <w:color w:val="auto"/>
                <w:sz w:val="24"/>
                <w:highlight w:val="none"/>
              </w:rPr>
            </w:pPr>
          </w:p>
        </w:tc>
      </w:tr>
      <w:tr w14:paraId="002D0C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163EDF5">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1ACA99F">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7F3F587">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51F21CC">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6607336">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4D30D23B">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4FE05B0">
            <w:pPr>
              <w:snapToGrid w:val="0"/>
              <w:spacing w:before="50" w:after="120" w:afterLines="50" w:line="400" w:lineRule="exact"/>
              <w:jc w:val="left"/>
              <w:rPr>
                <w:rFonts w:ascii="宋体" w:hAnsi="宋体" w:cs="宋体"/>
                <w:color w:val="auto"/>
                <w:sz w:val="24"/>
                <w:szCs w:val="20"/>
                <w:highlight w:val="none"/>
              </w:rPr>
            </w:pPr>
          </w:p>
        </w:tc>
      </w:tr>
      <w:tr w14:paraId="6A2C1A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B3703A3">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8936027">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8DC9B85">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24737F9">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13B32A2">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17124F44">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34779216">
            <w:pPr>
              <w:snapToGrid w:val="0"/>
              <w:spacing w:before="50" w:after="120" w:afterLines="50" w:line="400" w:lineRule="exact"/>
              <w:jc w:val="left"/>
              <w:rPr>
                <w:rFonts w:ascii="宋体" w:hAnsi="宋体" w:cs="宋体"/>
                <w:color w:val="auto"/>
                <w:sz w:val="24"/>
                <w:szCs w:val="20"/>
                <w:highlight w:val="none"/>
              </w:rPr>
            </w:pPr>
          </w:p>
        </w:tc>
      </w:tr>
      <w:tr w14:paraId="55A76F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8F5156D">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2D43D1B6">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1DD1082A">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732ECF3">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77B9213B">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143CD77C">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7D237E0B">
            <w:pPr>
              <w:snapToGrid w:val="0"/>
              <w:spacing w:before="50" w:after="120" w:afterLines="50" w:line="400" w:lineRule="exact"/>
              <w:jc w:val="left"/>
              <w:rPr>
                <w:rFonts w:ascii="宋体" w:hAnsi="宋体" w:cs="宋体"/>
                <w:color w:val="auto"/>
                <w:sz w:val="24"/>
                <w:szCs w:val="20"/>
                <w:highlight w:val="none"/>
              </w:rPr>
            </w:pPr>
          </w:p>
        </w:tc>
      </w:tr>
      <w:tr w14:paraId="10F6A7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3700C62">
            <w:pPr>
              <w:snapToGrid w:val="0"/>
              <w:spacing w:before="50" w:after="120" w:afterLines="50" w:line="400" w:lineRule="exact"/>
              <w:jc w:val="left"/>
              <w:rPr>
                <w:rFonts w:ascii="宋体" w:hAnsi="宋体" w:cs="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C97C4FF">
            <w:pPr>
              <w:snapToGrid w:val="0"/>
              <w:spacing w:before="50" w:after="120" w:afterLines="50" w:line="400" w:lineRule="exact"/>
              <w:jc w:val="left"/>
              <w:rPr>
                <w:rFonts w:ascii="宋体" w:hAnsi="宋体" w:cs="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56D49B8">
            <w:pPr>
              <w:snapToGrid w:val="0"/>
              <w:spacing w:before="50" w:after="120" w:afterLines="50" w:line="400" w:lineRule="exact"/>
              <w:jc w:val="left"/>
              <w:rPr>
                <w:rFonts w:ascii="宋体" w:hAnsi="宋体" w:cs="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CB204F0">
            <w:pPr>
              <w:snapToGrid w:val="0"/>
              <w:spacing w:before="50" w:after="120" w:afterLines="50" w:line="400" w:lineRule="exact"/>
              <w:jc w:val="left"/>
              <w:rPr>
                <w:rFonts w:ascii="宋体" w:hAnsi="宋体" w:cs="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4745702">
            <w:pPr>
              <w:snapToGrid w:val="0"/>
              <w:spacing w:before="50" w:after="120" w:afterLines="50" w:line="400" w:lineRule="exact"/>
              <w:jc w:val="left"/>
              <w:rPr>
                <w:rFonts w:ascii="宋体" w:hAnsi="宋体" w:cs="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E3AD041">
            <w:pPr>
              <w:snapToGrid w:val="0"/>
              <w:spacing w:before="50" w:after="120" w:afterLines="50" w:line="400" w:lineRule="exact"/>
              <w:jc w:val="left"/>
              <w:rPr>
                <w:rFonts w:ascii="宋体" w:hAnsi="宋体" w:cs="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01541001">
            <w:pPr>
              <w:snapToGrid w:val="0"/>
              <w:spacing w:before="50" w:after="120" w:afterLines="50" w:line="400" w:lineRule="exact"/>
              <w:jc w:val="left"/>
              <w:rPr>
                <w:rFonts w:ascii="宋体" w:hAnsi="宋体" w:cs="宋体"/>
                <w:color w:val="auto"/>
                <w:sz w:val="24"/>
                <w:szCs w:val="20"/>
                <w:highlight w:val="none"/>
              </w:rPr>
            </w:pPr>
          </w:p>
        </w:tc>
      </w:tr>
    </w:tbl>
    <w:p w14:paraId="617CB32D">
      <w:pPr>
        <w:pStyle w:val="15"/>
        <w:snapToGrid w:val="0"/>
        <w:ind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7F29CE8">
      <w:pPr>
        <w:pStyle w:val="15"/>
        <w:snapToGrid w:val="0"/>
        <w:ind w:firstLine="361" w:firstLineChars="150"/>
        <w:rPr>
          <w:rFonts w:ascii="宋体" w:hAnsi="宋体" w:eastAsia="宋体" w:cs="宋体"/>
          <w:b/>
          <w:color w:val="auto"/>
          <w:sz w:val="24"/>
          <w:szCs w:val="24"/>
          <w:highlight w:val="none"/>
        </w:rPr>
      </w:pPr>
    </w:p>
    <w:p w14:paraId="017A1A18">
      <w:pPr>
        <w:pStyle w:val="15"/>
        <w:snapToGrid w:val="0"/>
        <w:ind w:firstLine="482" w:firstLineChars="2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法定代表人签字（或盖章）：                            投标人（盖章）：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日期：  _____年___月___日</w:t>
      </w:r>
    </w:p>
    <w:p w14:paraId="4447CBD5">
      <w:pPr>
        <w:pStyle w:val="15"/>
        <w:snapToGrid w:val="0"/>
        <w:rPr>
          <w:rFonts w:ascii="宋体" w:hAnsi="宋体" w:eastAsia="宋体" w:cs="宋体"/>
          <w:color w:val="auto"/>
          <w:sz w:val="24"/>
          <w:szCs w:val="24"/>
          <w:highlight w:val="none"/>
        </w:rPr>
        <w:sectPr>
          <w:pgSz w:w="16838" w:h="11906" w:orient="landscape"/>
          <w:pgMar w:top="1588" w:right="1021" w:bottom="1588" w:left="851" w:header="851" w:footer="851" w:gutter="0"/>
          <w:cols w:space="720" w:num="1"/>
          <w:docGrid w:linePitch="312" w:charSpace="0"/>
        </w:sectPr>
      </w:pPr>
    </w:p>
    <w:p w14:paraId="11637E4E">
      <w:pPr>
        <w:snapToGrid w:val="0"/>
        <w:spacing w:before="50" w:after="120" w:afterLines="50"/>
        <w:jc w:val="left"/>
        <w:rPr>
          <w:rFonts w:ascii="宋体" w:hAnsi="宋体" w:cs="宋体"/>
          <w:color w:val="auto"/>
          <w:sz w:val="24"/>
          <w:szCs w:val="20"/>
          <w:highlight w:val="none"/>
        </w:rPr>
      </w:pPr>
      <w:r>
        <w:rPr>
          <w:rFonts w:hint="eastAsia" w:ascii="宋体" w:hAnsi="宋体" w:cs="宋体"/>
          <w:color w:val="auto"/>
          <w:sz w:val="24"/>
          <w:highlight w:val="none"/>
        </w:rPr>
        <w:t>11.售后服务网点情况表格式：</w:t>
      </w:r>
    </w:p>
    <w:p w14:paraId="30F11FB3">
      <w:pPr>
        <w:snapToGrid w:val="0"/>
        <w:spacing w:before="50" w:after="120" w:afterLines="5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w:t>
      </w:r>
    </w:p>
    <w:p w14:paraId="2D59D3B2">
      <w:pPr>
        <w:pStyle w:val="43"/>
        <w:snapToGrid w:val="0"/>
        <w:ind w:left="480" w:hanging="480"/>
        <w:rPr>
          <w:rFonts w:ascii="宋体" w:hAnsi="宋体" w:cs="宋体"/>
          <w:color w:val="auto"/>
          <w:sz w:val="24"/>
          <w:highlight w:val="none"/>
        </w:rPr>
      </w:pPr>
    </w:p>
    <w:p w14:paraId="6A1B19F2">
      <w:pPr>
        <w:pStyle w:val="43"/>
        <w:snapToGrid w:val="0"/>
        <w:ind w:left="482" w:hanging="482"/>
        <w:jc w:val="center"/>
        <w:rPr>
          <w:rFonts w:ascii="宋体" w:hAnsi="宋体" w:cs="宋体"/>
          <w:b/>
          <w:color w:val="auto"/>
          <w:sz w:val="24"/>
          <w:highlight w:val="none"/>
        </w:rPr>
      </w:pPr>
      <w:r>
        <w:rPr>
          <w:rFonts w:hint="eastAsia" w:ascii="宋体" w:hAnsi="宋体" w:cs="宋体"/>
          <w:b/>
          <w:color w:val="auto"/>
          <w:sz w:val="24"/>
          <w:highlight w:val="none"/>
        </w:rPr>
        <w:t>售后服务网点情况表</w:t>
      </w:r>
    </w:p>
    <w:p w14:paraId="2CBF414A">
      <w:pPr>
        <w:snapToGrid w:val="0"/>
        <w:spacing w:before="120" w:beforeLines="50" w:after="50" w:line="360" w:lineRule="auto"/>
        <w:jc w:val="center"/>
        <w:rPr>
          <w:rFonts w:ascii="宋体" w:hAnsi="宋体" w:cs="宋体"/>
          <w:bCs/>
          <w:color w:val="auto"/>
          <w:sz w:val="24"/>
          <w:highlight w:val="none"/>
        </w:rPr>
      </w:pPr>
    </w:p>
    <w:p w14:paraId="40388EB2">
      <w:pPr>
        <w:snapToGrid w:val="0"/>
        <w:spacing w:before="120" w:beforeLines="50" w:after="50" w:line="480" w:lineRule="auto"/>
        <w:rPr>
          <w:rFonts w:ascii="宋体" w:hAnsi="宋体" w:cs="宋体"/>
          <w:bCs/>
          <w:color w:val="auto"/>
          <w:sz w:val="24"/>
          <w:szCs w:val="20"/>
          <w:highlight w:val="none"/>
        </w:rPr>
      </w:pPr>
      <w:r>
        <w:rPr>
          <w:rFonts w:hint="eastAsia" w:ascii="宋体" w:hAnsi="宋体" w:cs="宋体"/>
          <w:bCs/>
          <w:color w:val="auto"/>
          <w:sz w:val="24"/>
          <w:highlight w:val="none"/>
        </w:rPr>
        <w:t>项目名称：</w:t>
      </w:r>
    </w:p>
    <w:p w14:paraId="54C72232">
      <w:pPr>
        <w:snapToGrid w:val="0"/>
        <w:spacing w:before="120" w:beforeLines="50" w:after="50" w:line="480" w:lineRule="auto"/>
        <w:rPr>
          <w:rFonts w:ascii="宋体" w:hAnsi="宋体" w:cs="宋体"/>
          <w:b/>
          <w:color w:val="auto"/>
          <w:sz w:val="24"/>
          <w:highlight w:val="none"/>
        </w:rPr>
      </w:pPr>
      <w:r>
        <w:rPr>
          <w:rFonts w:hint="eastAsia" w:ascii="宋体" w:hAnsi="宋体" w:cs="宋体"/>
          <w:color w:val="auto"/>
          <w:sz w:val="24"/>
          <w:highlight w:val="none"/>
        </w:rPr>
        <w:t>项目编号：</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3BD4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677C8B4">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C5B9AD9">
            <w:pPr>
              <w:snapToGrid w:val="0"/>
              <w:spacing w:before="50" w:after="120" w:afterLines="50" w:line="360" w:lineRule="auto"/>
              <w:jc w:val="left"/>
              <w:rPr>
                <w:rFonts w:ascii="宋体" w:hAnsi="宋体" w:cs="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150619C">
            <w:pPr>
              <w:snapToGrid w:val="0"/>
              <w:spacing w:before="50" w:after="12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投标文件页码</w:t>
            </w:r>
          </w:p>
        </w:tc>
      </w:tr>
      <w:tr w14:paraId="51C4D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FF33B15">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12E66AD">
            <w:pPr>
              <w:snapToGrid w:val="0"/>
              <w:spacing w:before="50" w:after="120" w:afterLines="50" w:line="360" w:lineRule="auto"/>
              <w:jc w:val="left"/>
              <w:rPr>
                <w:rFonts w:ascii="宋体" w:hAnsi="宋体" w:cs="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C25D0B6">
            <w:pPr>
              <w:rPr>
                <w:color w:val="auto"/>
                <w:highlight w:val="none"/>
              </w:rPr>
            </w:pPr>
          </w:p>
        </w:tc>
      </w:tr>
      <w:tr w14:paraId="7BD46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84A8EEF">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2F5A282A">
            <w:pPr>
              <w:snapToGrid w:val="0"/>
              <w:spacing w:before="50" w:after="120" w:afterLines="50" w:line="360" w:lineRule="auto"/>
              <w:jc w:val="left"/>
              <w:rPr>
                <w:rFonts w:ascii="宋体" w:hAnsi="宋体" w:cs="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30C395B8">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A53921A">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318DC9D">
            <w:pPr>
              <w:snapToGrid w:val="0"/>
              <w:spacing w:before="50" w:after="120" w:afterLines="50" w:line="360" w:lineRule="auto"/>
              <w:jc w:val="left"/>
              <w:rPr>
                <w:rFonts w:ascii="宋体" w:hAnsi="宋体" w:cs="宋体"/>
                <w:color w:val="auto"/>
                <w:sz w:val="24"/>
                <w:szCs w:val="20"/>
                <w:highlight w:val="none"/>
              </w:rPr>
            </w:pPr>
          </w:p>
        </w:tc>
      </w:tr>
      <w:tr w14:paraId="2F902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E5333FC">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78FE0669">
            <w:pPr>
              <w:snapToGrid w:val="0"/>
              <w:spacing w:before="50" w:after="120" w:afterLines="50" w:line="360" w:lineRule="auto"/>
              <w:jc w:val="left"/>
              <w:rPr>
                <w:rFonts w:ascii="宋体" w:hAnsi="宋体" w:cs="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4448EF5E">
            <w:pPr>
              <w:snapToGrid w:val="0"/>
              <w:spacing w:before="50" w:after="120" w:afterLines="50" w:line="360" w:lineRule="auto"/>
              <w:ind w:left="120"/>
              <w:jc w:val="left"/>
              <w:rPr>
                <w:rFonts w:ascii="宋体" w:hAnsi="宋体" w:cs="宋体"/>
                <w:color w:val="auto"/>
                <w:sz w:val="24"/>
                <w:szCs w:val="20"/>
                <w:highlight w:val="none"/>
              </w:rPr>
            </w:pPr>
            <w:r>
              <w:rPr>
                <w:rFonts w:hint="eastAsia" w:ascii="宋体" w:hAnsi="宋体" w:cs="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D13C17D">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9F2B82B">
            <w:pPr>
              <w:snapToGrid w:val="0"/>
              <w:spacing w:before="50" w:after="120" w:afterLines="50" w:line="360" w:lineRule="auto"/>
              <w:jc w:val="left"/>
              <w:rPr>
                <w:rFonts w:ascii="宋体" w:hAnsi="宋体" w:cs="宋体"/>
                <w:color w:val="auto"/>
                <w:sz w:val="24"/>
                <w:szCs w:val="20"/>
                <w:highlight w:val="none"/>
              </w:rPr>
            </w:pPr>
          </w:p>
        </w:tc>
      </w:tr>
      <w:tr w14:paraId="7D009F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8766E7C">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27976DF">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8D20B1A">
            <w:pPr>
              <w:snapToGrid w:val="0"/>
              <w:spacing w:before="50" w:after="120" w:afterLines="50" w:line="360" w:lineRule="auto"/>
              <w:jc w:val="left"/>
              <w:rPr>
                <w:rFonts w:ascii="宋体" w:hAnsi="宋体" w:cs="宋体"/>
                <w:color w:val="auto"/>
                <w:sz w:val="24"/>
                <w:szCs w:val="20"/>
                <w:highlight w:val="none"/>
              </w:rPr>
            </w:pPr>
          </w:p>
        </w:tc>
      </w:tr>
      <w:tr w14:paraId="26101D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01D3B2">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0D2305F2">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3A7C3D2">
            <w:pPr>
              <w:snapToGrid w:val="0"/>
              <w:spacing w:before="50" w:after="120" w:afterLines="50" w:line="360" w:lineRule="auto"/>
              <w:jc w:val="left"/>
              <w:rPr>
                <w:rFonts w:ascii="宋体" w:hAnsi="宋体" w:cs="宋体"/>
                <w:color w:val="auto"/>
                <w:sz w:val="24"/>
                <w:szCs w:val="20"/>
                <w:highlight w:val="none"/>
              </w:rPr>
            </w:pPr>
          </w:p>
        </w:tc>
      </w:tr>
      <w:tr w14:paraId="1E73F8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3577C0F">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E3F292F">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81BD2D5">
            <w:pPr>
              <w:snapToGrid w:val="0"/>
              <w:spacing w:before="50" w:after="120" w:afterLines="50" w:line="360" w:lineRule="auto"/>
              <w:jc w:val="left"/>
              <w:rPr>
                <w:rFonts w:ascii="宋体" w:hAnsi="宋体" w:cs="宋体"/>
                <w:color w:val="auto"/>
                <w:sz w:val="24"/>
                <w:szCs w:val="20"/>
                <w:highlight w:val="none"/>
              </w:rPr>
            </w:pPr>
          </w:p>
        </w:tc>
      </w:tr>
      <w:tr w14:paraId="5AD055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091096">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0CE454E">
            <w:pPr>
              <w:snapToGrid w:val="0"/>
              <w:spacing w:before="50" w:after="120" w:afterLines="50" w:line="360" w:lineRule="auto"/>
              <w:jc w:val="left"/>
              <w:rPr>
                <w:rFonts w:ascii="宋体" w:hAnsi="宋体" w:cs="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544569A5">
            <w:pPr>
              <w:snapToGrid w:val="0"/>
              <w:spacing w:before="50" w:after="12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5F2D482">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4FCF327A">
            <w:pPr>
              <w:snapToGrid w:val="0"/>
              <w:spacing w:before="50" w:after="120" w:afterLines="50" w:line="360" w:lineRule="auto"/>
              <w:jc w:val="left"/>
              <w:rPr>
                <w:rFonts w:ascii="宋体" w:hAnsi="宋体" w:cs="宋体"/>
                <w:color w:val="auto"/>
                <w:sz w:val="24"/>
                <w:szCs w:val="20"/>
                <w:highlight w:val="none"/>
              </w:rPr>
            </w:pPr>
          </w:p>
        </w:tc>
      </w:tr>
      <w:tr w14:paraId="2365DB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56B0289">
            <w:pPr>
              <w:snapToGrid w:val="0"/>
              <w:spacing w:before="50" w:after="12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54CE881">
            <w:pPr>
              <w:snapToGrid w:val="0"/>
              <w:spacing w:before="50" w:after="120" w:afterLines="50" w:line="360" w:lineRule="auto"/>
              <w:jc w:val="left"/>
              <w:rPr>
                <w:rFonts w:ascii="宋体" w:hAnsi="宋体" w:cs="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2280998C">
            <w:pPr>
              <w:snapToGrid w:val="0"/>
              <w:spacing w:before="50" w:after="12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A8F4CED">
            <w:pPr>
              <w:snapToGrid w:val="0"/>
              <w:spacing w:before="50" w:after="12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2686FB5D">
            <w:pPr>
              <w:snapToGrid w:val="0"/>
              <w:spacing w:before="50" w:after="120" w:afterLines="50" w:line="360" w:lineRule="auto"/>
              <w:jc w:val="left"/>
              <w:rPr>
                <w:rFonts w:ascii="宋体" w:hAnsi="宋体" w:cs="宋体"/>
                <w:color w:val="auto"/>
                <w:sz w:val="24"/>
                <w:szCs w:val="20"/>
                <w:highlight w:val="none"/>
              </w:rPr>
            </w:pPr>
          </w:p>
        </w:tc>
      </w:tr>
    </w:tbl>
    <w:p w14:paraId="159ED63D">
      <w:pPr>
        <w:pStyle w:val="43"/>
        <w:snapToGrid w:val="0"/>
        <w:ind w:left="199" w:hanging="199" w:hangingChars="83"/>
        <w:rPr>
          <w:rFonts w:ascii="宋体" w:hAnsi="宋体" w:cs="宋体"/>
          <w:color w:val="auto"/>
          <w:sz w:val="24"/>
          <w:highlight w:val="none"/>
        </w:rPr>
      </w:pPr>
    </w:p>
    <w:p w14:paraId="098D9125">
      <w:pPr>
        <w:pStyle w:val="15"/>
        <w:snapToGrid w:val="0"/>
        <w:rPr>
          <w:rFonts w:ascii="宋体" w:hAnsi="宋体" w:eastAsia="宋体" w:cs="宋体"/>
          <w:color w:val="auto"/>
          <w:sz w:val="24"/>
          <w:highlight w:val="none"/>
        </w:rPr>
      </w:pPr>
    </w:p>
    <w:p w14:paraId="1705E7A6">
      <w:pPr>
        <w:pStyle w:val="21"/>
        <w:snapToGrid w:val="0"/>
        <w:rPr>
          <w:rFonts w:ascii="宋体" w:hAnsi="宋体" w:cs="宋体"/>
          <w:b/>
          <w:color w:val="auto"/>
          <w:sz w:val="24"/>
          <w:highlight w:val="none"/>
        </w:rPr>
      </w:pPr>
      <w:r>
        <w:rPr>
          <w:rFonts w:hint="eastAsia" w:ascii="宋体" w:hAnsi="宋体" w:cs="宋体"/>
          <w:b/>
          <w:color w:val="auto"/>
          <w:spacing w:val="20"/>
          <w:sz w:val="24"/>
          <w:highlight w:val="none"/>
        </w:rPr>
        <w:t xml:space="preserve">法定代表人签字（或盖章）：            投标人（盖章）： </w:t>
      </w:r>
      <w:r>
        <w:rPr>
          <w:rFonts w:hint="eastAsia" w:ascii="宋体" w:hAnsi="宋体" w:cs="宋体"/>
          <w:b/>
          <w:color w:val="auto"/>
          <w:sz w:val="24"/>
          <w:highlight w:val="none"/>
        </w:rPr>
        <w:t xml:space="preserve">           　 </w:t>
      </w:r>
    </w:p>
    <w:p w14:paraId="58948F6A">
      <w:pPr>
        <w:pStyle w:val="21"/>
        <w:snapToGrid w:val="0"/>
        <w:rPr>
          <w:rFonts w:ascii="宋体" w:hAnsi="宋体" w:cs="宋体"/>
          <w:b/>
          <w:color w:val="auto"/>
          <w:sz w:val="24"/>
          <w:highlight w:val="none"/>
        </w:rPr>
      </w:pPr>
    </w:p>
    <w:p w14:paraId="564EB39E">
      <w:pPr>
        <w:snapToGrid w:val="0"/>
        <w:spacing w:before="50" w:after="12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244D93A2">
      <w:pPr>
        <w:snapToGrid w:val="0"/>
        <w:spacing w:before="50"/>
        <w:jc w:val="left"/>
        <w:rPr>
          <w:rFonts w:ascii="宋体" w:hAnsi="宋体" w:cs="宋体"/>
          <w:color w:val="auto"/>
          <w:sz w:val="24"/>
          <w:highlight w:val="none"/>
        </w:rPr>
      </w:pPr>
    </w:p>
    <w:p w14:paraId="4F258285">
      <w:pPr>
        <w:snapToGrid w:val="0"/>
        <w:spacing w:before="50"/>
        <w:jc w:val="left"/>
        <w:rPr>
          <w:rFonts w:ascii="宋体" w:hAnsi="宋体" w:cs="宋体"/>
          <w:color w:val="auto"/>
          <w:sz w:val="24"/>
          <w:highlight w:val="none"/>
        </w:rPr>
      </w:pPr>
    </w:p>
    <w:p w14:paraId="6D0D0BE5">
      <w:pPr>
        <w:snapToGrid w:val="0"/>
        <w:spacing w:before="50"/>
        <w:jc w:val="left"/>
        <w:rPr>
          <w:rFonts w:ascii="宋体" w:hAnsi="宋体" w:cs="宋体"/>
          <w:color w:val="auto"/>
          <w:sz w:val="24"/>
          <w:highlight w:val="none"/>
        </w:rPr>
      </w:pPr>
      <w:r>
        <w:rPr>
          <w:rFonts w:hint="eastAsia" w:ascii="宋体" w:hAnsi="宋体" w:cs="宋体"/>
          <w:color w:val="auto"/>
          <w:sz w:val="24"/>
          <w:highlight w:val="none"/>
        </w:rPr>
        <w:br w:type="page"/>
      </w:r>
      <w:bookmarkStart w:id="65" w:name="_Hlk77588362"/>
      <w:r>
        <w:rPr>
          <w:rFonts w:hint="eastAsia" w:ascii="宋体" w:hAnsi="宋体" w:cs="宋体"/>
          <w:color w:val="auto"/>
          <w:sz w:val="24"/>
          <w:highlight w:val="none"/>
        </w:rPr>
        <w:t>12.商务及技术响应表格式：</w:t>
      </w:r>
      <w:bookmarkEnd w:id="65"/>
    </w:p>
    <w:p w14:paraId="288E3964">
      <w:pPr>
        <w:snapToGrid w:val="0"/>
        <w:spacing w:before="50"/>
        <w:jc w:val="left"/>
        <w:rPr>
          <w:rFonts w:ascii="宋体" w:hAnsi="宋体" w:cs="宋体"/>
          <w:color w:val="auto"/>
          <w:sz w:val="24"/>
          <w:highlight w:val="none"/>
        </w:rPr>
      </w:pPr>
    </w:p>
    <w:p w14:paraId="733C8C10">
      <w:pPr>
        <w:snapToGrid w:val="0"/>
        <w:spacing w:before="50"/>
        <w:jc w:val="center"/>
        <w:rPr>
          <w:rFonts w:ascii="宋体" w:hAnsi="宋体" w:cs="宋体"/>
          <w:b/>
          <w:color w:val="auto"/>
          <w:sz w:val="24"/>
          <w:highlight w:val="none"/>
        </w:rPr>
      </w:pPr>
      <w:r>
        <w:rPr>
          <w:rFonts w:hint="eastAsia" w:ascii="宋体" w:hAnsi="宋体" w:cs="宋体"/>
          <w:b/>
          <w:color w:val="auto"/>
          <w:sz w:val="24"/>
          <w:highlight w:val="none"/>
        </w:rPr>
        <w:t>商务及技术响应表</w:t>
      </w:r>
    </w:p>
    <w:p w14:paraId="74D640BD">
      <w:pPr>
        <w:snapToGrid w:val="0"/>
        <w:spacing w:before="120" w:beforeLines="50" w:after="50" w:line="360" w:lineRule="auto"/>
        <w:jc w:val="center"/>
        <w:rPr>
          <w:rFonts w:ascii="宋体" w:hAnsi="宋体" w:cs="宋体"/>
          <w:bCs/>
          <w:color w:val="auto"/>
          <w:sz w:val="24"/>
          <w:highlight w:val="none"/>
        </w:rPr>
      </w:pPr>
    </w:p>
    <w:p w14:paraId="5A7E8779">
      <w:pPr>
        <w:snapToGrid w:val="0"/>
        <w:spacing w:before="120" w:beforeLines="50" w:after="50" w:line="480" w:lineRule="auto"/>
        <w:rPr>
          <w:rFonts w:ascii="宋体" w:hAnsi="宋体" w:cs="宋体"/>
          <w:color w:val="auto"/>
          <w:sz w:val="24"/>
          <w:highlight w:val="none"/>
        </w:rPr>
      </w:pPr>
      <w:r>
        <w:rPr>
          <w:rFonts w:hint="eastAsia" w:ascii="宋体" w:hAnsi="宋体" w:cs="宋体"/>
          <w:bCs/>
          <w:color w:val="auto"/>
          <w:sz w:val="24"/>
          <w:highlight w:val="none"/>
        </w:rPr>
        <w:t>项目名称：</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2"/>
        <w:gridCol w:w="3068"/>
        <w:gridCol w:w="705"/>
        <w:gridCol w:w="2000"/>
        <w:gridCol w:w="1701"/>
      </w:tblGrid>
      <w:tr w14:paraId="494BD5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200DB1">
            <w:pPr>
              <w:snapToGrid w:val="0"/>
              <w:spacing w:before="120" w:beforeLines="50" w:line="360" w:lineRule="exac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172" w:type="dxa"/>
            <w:tcBorders>
              <w:top w:val="single" w:color="auto" w:sz="4" w:space="0"/>
              <w:left w:val="single" w:color="auto" w:sz="4" w:space="0"/>
              <w:bottom w:val="single" w:color="auto" w:sz="4" w:space="0"/>
              <w:right w:val="single" w:color="auto" w:sz="4" w:space="0"/>
            </w:tcBorders>
            <w:vAlign w:val="center"/>
          </w:tcPr>
          <w:p w14:paraId="3FBA05E2">
            <w:pPr>
              <w:snapToGrid w:val="0"/>
              <w:spacing w:before="120" w:beforeLines="50" w:line="360" w:lineRule="exact"/>
              <w:jc w:val="center"/>
              <w:rPr>
                <w:rFonts w:ascii="宋体" w:hAnsi="宋体" w:cs="宋体"/>
                <w:b/>
                <w:color w:val="auto"/>
                <w:sz w:val="24"/>
                <w:szCs w:val="20"/>
                <w:highlight w:val="none"/>
              </w:rPr>
            </w:pPr>
            <w:r>
              <w:rPr>
                <w:rFonts w:hint="eastAsia" w:ascii="宋体" w:hAnsi="宋体" w:cs="宋体"/>
                <w:b/>
                <w:color w:val="auto"/>
                <w:sz w:val="24"/>
                <w:highlight w:val="none"/>
              </w:rPr>
              <w:t>名称</w:t>
            </w:r>
          </w:p>
        </w:tc>
        <w:tc>
          <w:tcPr>
            <w:tcW w:w="3068" w:type="dxa"/>
            <w:tcBorders>
              <w:top w:val="single" w:color="auto" w:sz="4" w:space="0"/>
              <w:left w:val="single" w:color="auto" w:sz="4" w:space="0"/>
              <w:bottom w:val="single" w:color="auto" w:sz="4" w:space="0"/>
              <w:right w:val="single" w:color="auto" w:sz="4" w:space="0"/>
            </w:tcBorders>
            <w:vAlign w:val="center"/>
          </w:tcPr>
          <w:p w14:paraId="5E808CFC">
            <w:pPr>
              <w:snapToGrid w:val="0"/>
              <w:spacing w:before="120" w:beforeLines="50" w:line="360" w:lineRule="exact"/>
              <w:jc w:val="center"/>
              <w:rPr>
                <w:rFonts w:ascii="宋体" w:hAnsi="宋体" w:cs="宋体"/>
                <w:b/>
                <w:color w:val="auto"/>
                <w:sz w:val="24"/>
                <w:szCs w:val="20"/>
                <w:highlight w:val="none"/>
              </w:rPr>
            </w:pPr>
            <w:r>
              <w:rPr>
                <w:rFonts w:hint="eastAsia" w:ascii="宋体" w:hAnsi="宋体" w:cs="宋体"/>
                <w:b/>
                <w:color w:val="auto"/>
                <w:sz w:val="24"/>
                <w:highlight w:val="none"/>
              </w:rPr>
              <w:t>招标文件要求</w:t>
            </w:r>
          </w:p>
        </w:tc>
        <w:tc>
          <w:tcPr>
            <w:tcW w:w="705" w:type="dxa"/>
            <w:tcBorders>
              <w:top w:val="single" w:color="auto" w:sz="4" w:space="0"/>
              <w:left w:val="single" w:color="auto" w:sz="4" w:space="0"/>
              <w:bottom w:val="single" w:color="auto" w:sz="4" w:space="0"/>
              <w:right w:val="single" w:color="auto" w:sz="4" w:space="0"/>
            </w:tcBorders>
            <w:vAlign w:val="center"/>
          </w:tcPr>
          <w:p w14:paraId="04AD903E">
            <w:pPr>
              <w:snapToGrid w:val="0"/>
              <w:spacing w:before="120" w:beforeLines="50" w:line="360" w:lineRule="exact"/>
              <w:jc w:val="center"/>
              <w:rPr>
                <w:rFonts w:ascii="宋体" w:hAnsi="宋体" w:cs="宋体"/>
                <w:b/>
                <w:color w:val="auto"/>
                <w:sz w:val="24"/>
                <w:highlight w:val="none"/>
              </w:rPr>
            </w:pPr>
            <w:r>
              <w:rPr>
                <w:rFonts w:hint="eastAsia" w:ascii="宋体" w:hAnsi="宋体" w:cs="宋体"/>
                <w:b/>
                <w:color w:val="auto"/>
                <w:sz w:val="24"/>
                <w:highlight w:val="none"/>
              </w:rPr>
              <w:t>是否</w:t>
            </w:r>
          </w:p>
          <w:p w14:paraId="11835532">
            <w:pPr>
              <w:snapToGrid w:val="0"/>
              <w:spacing w:before="120" w:beforeLines="50" w:line="360" w:lineRule="exact"/>
              <w:jc w:val="center"/>
              <w:rPr>
                <w:rFonts w:ascii="宋体" w:hAnsi="宋体" w:cs="宋体"/>
                <w:b/>
                <w:color w:val="auto"/>
                <w:sz w:val="24"/>
                <w:szCs w:val="20"/>
                <w:highlight w:val="none"/>
              </w:rPr>
            </w:pPr>
            <w:r>
              <w:rPr>
                <w:rFonts w:hint="eastAsia" w:ascii="宋体" w:hAnsi="宋体" w:cs="宋体"/>
                <w:b/>
                <w:color w:val="auto"/>
                <w:sz w:val="24"/>
                <w:highlight w:val="none"/>
              </w:rPr>
              <w:t>响应</w:t>
            </w:r>
          </w:p>
        </w:tc>
        <w:tc>
          <w:tcPr>
            <w:tcW w:w="2000" w:type="dxa"/>
            <w:tcBorders>
              <w:top w:val="single" w:color="auto" w:sz="4" w:space="0"/>
              <w:left w:val="single" w:color="auto" w:sz="4" w:space="0"/>
              <w:bottom w:val="single" w:color="auto" w:sz="4" w:space="0"/>
              <w:right w:val="single" w:color="auto" w:sz="4" w:space="0"/>
            </w:tcBorders>
            <w:vAlign w:val="center"/>
          </w:tcPr>
          <w:p w14:paraId="76681B41">
            <w:pPr>
              <w:snapToGrid w:val="0"/>
              <w:spacing w:before="120" w:beforeLines="50" w:line="360" w:lineRule="exact"/>
              <w:jc w:val="center"/>
              <w:rPr>
                <w:rFonts w:ascii="宋体" w:hAnsi="宋体" w:cs="宋体"/>
                <w:b/>
                <w:color w:val="auto"/>
                <w:sz w:val="24"/>
                <w:szCs w:val="20"/>
                <w:highlight w:val="none"/>
              </w:rPr>
            </w:pPr>
            <w:r>
              <w:rPr>
                <w:rFonts w:hint="eastAsia" w:ascii="宋体" w:hAnsi="宋体" w:cs="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12EA8061">
            <w:pPr>
              <w:snapToGrid w:val="0"/>
              <w:spacing w:before="120" w:beforeLines="50" w:line="360" w:lineRule="exact"/>
              <w:jc w:val="center"/>
              <w:rPr>
                <w:rFonts w:ascii="宋体" w:hAnsi="宋体" w:cs="宋体"/>
                <w:b/>
                <w:color w:val="auto"/>
                <w:sz w:val="24"/>
                <w:highlight w:val="none"/>
              </w:rPr>
            </w:pPr>
            <w:r>
              <w:rPr>
                <w:rFonts w:hint="eastAsia" w:ascii="宋体" w:hAnsi="宋体" w:cs="宋体"/>
                <w:b/>
                <w:color w:val="auto"/>
                <w:sz w:val="24"/>
                <w:highlight w:val="none"/>
              </w:rPr>
              <w:t>相应内容在投标文件中页码</w:t>
            </w:r>
          </w:p>
        </w:tc>
      </w:tr>
      <w:tr w14:paraId="037D0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vAlign w:val="center"/>
          </w:tcPr>
          <w:p w14:paraId="7D3C9FFD">
            <w:pPr>
              <w:snapToGrid w:val="0"/>
              <w:spacing w:before="120" w:beforeLines="50"/>
              <w:jc w:val="center"/>
              <w:rPr>
                <w:rFonts w:ascii="宋体" w:hAnsi="宋体"/>
                <w:bCs/>
                <w:color w:val="auto"/>
                <w:sz w:val="24"/>
                <w:highlight w:val="none"/>
              </w:rPr>
            </w:pPr>
            <w:r>
              <w:rPr>
                <w:rFonts w:hint="eastAsia" w:ascii="宋体" w:hAnsi="宋体"/>
                <w:bCs/>
                <w:color w:val="auto"/>
                <w:sz w:val="24"/>
                <w:highlight w:val="none"/>
              </w:rPr>
              <w:t>1</w:t>
            </w:r>
          </w:p>
        </w:tc>
        <w:tc>
          <w:tcPr>
            <w:tcW w:w="1172" w:type="dxa"/>
            <w:tcBorders>
              <w:top w:val="single" w:color="auto" w:sz="4" w:space="0"/>
              <w:left w:val="single" w:color="auto" w:sz="4" w:space="0"/>
              <w:bottom w:val="single" w:color="auto" w:sz="4" w:space="0"/>
              <w:right w:val="single" w:color="auto" w:sz="4" w:space="0"/>
            </w:tcBorders>
            <w:vAlign w:val="center"/>
          </w:tcPr>
          <w:p w14:paraId="19D2ABEB">
            <w:pPr>
              <w:snapToGrid w:val="0"/>
              <w:spacing w:before="120" w:beforeLines="50"/>
              <w:jc w:val="center"/>
              <w:rPr>
                <w:rFonts w:ascii="宋体" w:hAnsi="宋体"/>
                <w:bCs/>
                <w:color w:val="auto"/>
                <w:sz w:val="24"/>
                <w:highlight w:val="none"/>
              </w:rPr>
            </w:pPr>
          </w:p>
        </w:tc>
        <w:tc>
          <w:tcPr>
            <w:tcW w:w="3068" w:type="dxa"/>
            <w:tcBorders>
              <w:top w:val="single" w:color="auto" w:sz="4" w:space="0"/>
              <w:left w:val="single" w:color="auto" w:sz="4" w:space="0"/>
              <w:bottom w:val="single" w:color="auto" w:sz="4" w:space="0"/>
              <w:right w:val="single" w:color="auto" w:sz="4" w:space="0"/>
            </w:tcBorders>
          </w:tcPr>
          <w:p w14:paraId="421A055A">
            <w:pPr>
              <w:snapToGrid w:val="0"/>
              <w:spacing w:before="120" w:beforeLines="50"/>
              <w:rPr>
                <w:rFonts w:ascii="宋体" w:hAnsi="宋体"/>
                <w:bCs/>
                <w:color w:val="auto"/>
                <w:sz w:val="24"/>
                <w:highlight w:val="none"/>
              </w:rPr>
            </w:pPr>
          </w:p>
        </w:tc>
        <w:tc>
          <w:tcPr>
            <w:tcW w:w="705" w:type="dxa"/>
            <w:tcBorders>
              <w:top w:val="single" w:color="auto" w:sz="4" w:space="0"/>
              <w:left w:val="single" w:color="auto" w:sz="4" w:space="0"/>
              <w:bottom w:val="single" w:color="auto" w:sz="4" w:space="0"/>
              <w:right w:val="single" w:color="auto" w:sz="4" w:space="0"/>
            </w:tcBorders>
          </w:tcPr>
          <w:p w14:paraId="7B4C2343">
            <w:pPr>
              <w:snapToGrid w:val="0"/>
              <w:spacing w:before="120" w:beforeLines="50" w:line="360" w:lineRule="auto"/>
              <w:rPr>
                <w:rFonts w:ascii="宋体" w:hAnsi="宋体" w:cs="宋体"/>
                <w:color w:val="auto"/>
                <w:sz w:val="24"/>
                <w:szCs w:val="20"/>
                <w:highlight w:val="none"/>
              </w:rPr>
            </w:pPr>
          </w:p>
        </w:tc>
        <w:tc>
          <w:tcPr>
            <w:tcW w:w="2000" w:type="dxa"/>
            <w:tcBorders>
              <w:top w:val="single" w:color="auto" w:sz="4" w:space="0"/>
              <w:left w:val="single" w:color="auto" w:sz="4" w:space="0"/>
              <w:bottom w:val="single" w:color="auto" w:sz="4" w:space="0"/>
              <w:right w:val="single" w:color="auto" w:sz="4" w:space="0"/>
            </w:tcBorders>
          </w:tcPr>
          <w:p w14:paraId="32F1ABD0">
            <w:pPr>
              <w:snapToGrid w:val="0"/>
              <w:spacing w:before="120" w:beforeLines="50" w:line="360" w:lineRule="auto"/>
              <w:rPr>
                <w:rFonts w:ascii="宋体" w:hAnsi="宋体" w:cs="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C5928BE">
            <w:pPr>
              <w:snapToGrid w:val="0"/>
              <w:spacing w:before="120" w:beforeLines="50" w:line="360" w:lineRule="auto"/>
              <w:rPr>
                <w:rFonts w:ascii="宋体" w:hAnsi="宋体" w:cs="宋体"/>
                <w:color w:val="auto"/>
                <w:sz w:val="24"/>
                <w:szCs w:val="20"/>
                <w:highlight w:val="none"/>
              </w:rPr>
            </w:pPr>
          </w:p>
        </w:tc>
      </w:tr>
      <w:tr w14:paraId="7D810A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vAlign w:val="center"/>
          </w:tcPr>
          <w:p w14:paraId="6F7F2A67">
            <w:pPr>
              <w:snapToGrid w:val="0"/>
              <w:spacing w:before="120" w:beforeLines="50"/>
              <w:jc w:val="center"/>
              <w:rPr>
                <w:rFonts w:ascii="宋体" w:hAnsi="宋体" w:cs="宋体"/>
                <w:color w:val="auto"/>
                <w:sz w:val="24"/>
                <w:szCs w:val="20"/>
                <w:highlight w:val="none"/>
              </w:rPr>
            </w:pPr>
            <w:r>
              <w:rPr>
                <w:rFonts w:hint="eastAsia" w:ascii="宋体" w:hAnsi="宋体" w:cs="宋体"/>
                <w:color w:val="auto"/>
                <w:sz w:val="24"/>
                <w:szCs w:val="20"/>
                <w:highlight w:val="none"/>
              </w:rPr>
              <w:t>2</w:t>
            </w:r>
          </w:p>
        </w:tc>
        <w:tc>
          <w:tcPr>
            <w:tcW w:w="1172" w:type="dxa"/>
            <w:tcBorders>
              <w:top w:val="single" w:color="auto" w:sz="4" w:space="0"/>
              <w:left w:val="single" w:color="auto" w:sz="4" w:space="0"/>
              <w:bottom w:val="single" w:color="auto" w:sz="4" w:space="0"/>
              <w:right w:val="single" w:color="auto" w:sz="4" w:space="0"/>
            </w:tcBorders>
            <w:vAlign w:val="center"/>
          </w:tcPr>
          <w:p w14:paraId="7C8A955E">
            <w:pPr>
              <w:snapToGrid w:val="0"/>
              <w:spacing w:before="120" w:beforeLines="50"/>
              <w:jc w:val="center"/>
              <w:rPr>
                <w:rFonts w:ascii="宋体" w:hAnsi="宋体" w:cs="宋体"/>
                <w:color w:val="auto"/>
                <w:sz w:val="24"/>
                <w:szCs w:val="20"/>
                <w:highlight w:val="none"/>
              </w:rPr>
            </w:pPr>
          </w:p>
        </w:tc>
        <w:tc>
          <w:tcPr>
            <w:tcW w:w="3068" w:type="dxa"/>
            <w:tcBorders>
              <w:top w:val="single" w:color="auto" w:sz="4" w:space="0"/>
              <w:left w:val="single" w:color="auto" w:sz="4" w:space="0"/>
              <w:bottom w:val="single" w:color="auto" w:sz="4" w:space="0"/>
              <w:right w:val="single" w:color="auto" w:sz="4" w:space="0"/>
            </w:tcBorders>
          </w:tcPr>
          <w:p w14:paraId="6B914356">
            <w:pPr>
              <w:snapToGrid w:val="0"/>
              <w:spacing w:before="120" w:beforeLines="50"/>
              <w:rPr>
                <w:rFonts w:ascii="宋体" w:hAnsi="宋体" w:cs="宋体"/>
                <w:color w:val="auto"/>
                <w:sz w:val="24"/>
                <w:szCs w:val="20"/>
                <w:highlight w:val="none"/>
              </w:rPr>
            </w:pPr>
          </w:p>
        </w:tc>
        <w:tc>
          <w:tcPr>
            <w:tcW w:w="705" w:type="dxa"/>
            <w:tcBorders>
              <w:top w:val="single" w:color="auto" w:sz="4" w:space="0"/>
              <w:left w:val="single" w:color="auto" w:sz="4" w:space="0"/>
              <w:bottom w:val="single" w:color="auto" w:sz="4" w:space="0"/>
              <w:right w:val="single" w:color="auto" w:sz="4" w:space="0"/>
            </w:tcBorders>
          </w:tcPr>
          <w:p w14:paraId="3ED134C0">
            <w:pPr>
              <w:snapToGrid w:val="0"/>
              <w:spacing w:before="120" w:beforeLines="50" w:line="360" w:lineRule="auto"/>
              <w:rPr>
                <w:rFonts w:ascii="宋体" w:hAnsi="宋体" w:cs="宋体"/>
                <w:color w:val="auto"/>
                <w:sz w:val="24"/>
                <w:szCs w:val="20"/>
                <w:highlight w:val="none"/>
              </w:rPr>
            </w:pPr>
          </w:p>
        </w:tc>
        <w:tc>
          <w:tcPr>
            <w:tcW w:w="2000" w:type="dxa"/>
            <w:tcBorders>
              <w:top w:val="single" w:color="auto" w:sz="4" w:space="0"/>
              <w:left w:val="single" w:color="auto" w:sz="4" w:space="0"/>
              <w:bottom w:val="single" w:color="auto" w:sz="4" w:space="0"/>
              <w:right w:val="single" w:color="auto" w:sz="4" w:space="0"/>
            </w:tcBorders>
          </w:tcPr>
          <w:p w14:paraId="7AE182FC">
            <w:pPr>
              <w:snapToGrid w:val="0"/>
              <w:spacing w:before="120" w:beforeLines="50" w:line="360" w:lineRule="auto"/>
              <w:rPr>
                <w:rFonts w:ascii="宋体" w:hAnsi="宋体" w:cs="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86B0A90">
            <w:pPr>
              <w:snapToGrid w:val="0"/>
              <w:spacing w:before="120" w:beforeLines="50" w:line="360" w:lineRule="auto"/>
              <w:rPr>
                <w:rFonts w:ascii="宋体" w:hAnsi="宋体" w:cs="宋体"/>
                <w:color w:val="auto"/>
                <w:sz w:val="24"/>
                <w:szCs w:val="20"/>
                <w:highlight w:val="none"/>
              </w:rPr>
            </w:pPr>
          </w:p>
        </w:tc>
      </w:tr>
      <w:tr w14:paraId="1427B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2" w:hRule="atLeast"/>
        </w:trPr>
        <w:tc>
          <w:tcPr>
            <w:tcW w:w="852" w:type="dxa"/>
            <w:tcBorders>
              <w:top w:val="single" w:color="auto" w:sz="4" w:space="0"/>
              <w:left w:val="single" w:color="auto" w:sz="4" w:space="0"/>
              <w:bottom w:val="single" w:color="auto" w:sz="4" w:space="0"/>
              <w:right w:val="single" w:color="auto" w:sz="4" w:space="0"/>
            </w:tcBorders>
            <w:vAlign w:val="center"/>
          </w:tcPr>
          <w:p w14:paraId="5A7B03AB">
            <w:pPr>
              <w:snapToGrid w:val="0"/>
              <w:spacing w:before="120" w:beforeLines="50"/>
              <w:jc w:val="center"/>
              <w:rPr>
                <w:rFonts w:ascii="宋体" w:hAnsi="宋体" w:cs="宋体"/>
                <w:color w:val="auto"/>
                <w:sz w:val="24"/>
                <w:szCs w:val="20"/>
                <w:highlight w:val="none"/>
              </w:rPr>
            </w:pPr>
            <w:r>
              <w:rPr>
                <w:rFonts w:hint="eastAsia" w:ascii="宋体" w:hAnsi="宋体" w:cs="宋体"/>
                <w:color w:val="auto"/>
                <w:sz w:val="24"/>
                <w:szCs w:val="20"/>
                <w:highlight w:val="none"/>
              </w:rPr>
              <w:t>3</w:t>
            </w:r>
          </w:p>
        </w:tc>
        <w:tc>
          <w:tcPr>
            <w:tcW w:w="1172" w:type="dxa"/>
            <w:tcBorders>
              <w:top w:val="single" w:color="auto" w:sz="4" w:space="0"/>
              <w:left w:val="single" w:color="auto" w:sz="4" w:space="0"/>
              <w:bottom w:val="single" w:color="auto" w:sz="4" w:space="0"/>
              <w:right w:val="single" w:color="auto" w:sz="4" w:space="0"/>
            </w:tcBorders>
            <w:vAlign w:val="center"/>
          </w:tcPr>
          <w:p w14:paraId="3C4896F4">
            <w:pPr>
              <w:snapToGrid w:val="0"/>
              <w:spacing w:before="120" w:beforeLines="50"/>
              <w:jc w:val="center"/>
              <w:rPr>
                <w:rFonts w:ascii="宋体" w:hAnsi="宋体" w:cs="宋体"/>
                <w:color w:val="auto"/>
                <w:sz w:val="24"/>
                <w:szCs w:val="20"/>
                <w:highlight w:val="none"/>
              </w:rPr>
            </w:pPr>
          </w:p>
        </w:tc>
        <w:tc>
          <w:tcPr>
            <w:tcW w:w="3068" w:type="dxa"/>
            <w:tcBorders>
              <w:top w:val="single" w:color="auto" w:sz="4" w:space="0"/>
              <w:left w:val="single" w:color="auto" w:sz="4" w:space="0"/>
              <w:bottom w:val="single" w:color="auto" w:sz="4" w:space="0"/>
              <w:right w:val="single" w:color="auto" w:sz="4" w:space="0"/>
            </w:tcBorders>
          </w:tcPr>
          <w:p w14:paraId="47D3F4B1">
            <w:pPr>
              <w:rPr>
                <w:rFonts w:ascii="宋体" w:hAnsi="宋体" w:cs="宋体"/>
                <w:color w:val="auto"/>
                <w:sz w:val="24"/>
                <w:szCs w:val="20"/>
                <w:highlight w:val="none"/>
              </w:rPr>
            </w:pPr>
          </w:p>
        </w:tc>
        <w:tc>
          <w:tcPr>
            <w:tcW w:w="705" w:type="dxa"/>
            <w:tcBorders>
              <w:top w:val="single" w:color="auto" w:sz="4" w:space="0"/>
              <w:left w:val="single" w:color="auto" w:sz="4" w:space="0"/>
              <w:bottom w:val="single" w:color="auto" w:sz="4" w:space="0"/>
              <w:right w:val="single" w:color="auto" w:sz="4" w:space="0"/>
            </w:tcBorders>
          </w:tcPr>
          <w:p w14:paraId="295F1347">
            <w:pPr>
              <w:snapToGrid w:val="0"/>
              <w:spacing w:before="120" w:beforeLines="50" w:line="360" w:lineRule="auto"/>
              <w:ind w:left="86"/>
              <w:rPr>
                <w:rFonts w:ascii="宋体" w:hAnsi="宋体" w:cs="宋体"/>
                <w:color w:val="auto"/>
                <w:sz w:val="24"/>
                <w:szCs w:val="20"/>
                <w:highlight w:val="none"/>
              </w:rPr>
            </w:pPr>
          </w:p>
        </w:tc>
        <w:tc>
          <w:tcPr>
            <w:tcW w:w="2000" w:type="dxa"/>
            <w:tcBorders>
              <w:top w:val="single" w:color="auto" w:sz="4" w:space="0"/>
              <w:left w:val="single" w:color="auto" w:sz="4" w:space="0"/>
              <w:bottom w:val="single" w:color="auto" w:sz="4" w:space="0"/>
              <w:right w:val="single" w:color="auto" w:sz="4" w:space="0"/>
            </w:tcBorders>
          </w:tcPr>
          <w:p w14:paraId="3F7350A0">
            <w:pPr>
              <w:snapToGrid w:val="0"/>
              <w:spacing w:before="120" w:beforeLines="50" w:line="360" w:lineRule="auto"/>
              <w:ind w:left="86"/>
              <w:rPr>
                <w:rFonts w:ascii="宋体" w:hAnsi="宋体" w:cs="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5E8EF0E">
            <w:pPr>
              <w:snapToGrid w:val="0"/>
              <w:spacing w:before="120" w:beforeLines="50" w:line="360" w:lineRule="auto"/>
              <w:ind w:left="86"/>
              <w:rPr>
                <w:rFonts w:ascii="宋体" w:hAnsi="宋体" w:cs="宋体"/>
                <w:color w:val="auto"/>
                <w:sz w:val="24"/>
                <w:szCs w:val="20"/>
                <w:highlight w:val="none"/>
              </w:rPr>
            </w:pPr>
          </w:p>
        </w:tc>
      </w:tr>
      <w:tr w14:paraId="256E64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vAlign w:val="center"/>
          </w:tcPr>
          <w:p w14:paraId="52FB1CA0">
            <w:pPr>
              <w:snapToGrid w:val="0"/>
              <w:spacing w:before="120" w:beforeLines="50"/>
              <w:jc w:val="center"/>
              <w:rPr>
                <w:rFonts w:ascii="宋体" w:hAnsi="宋体" w:cs="宋体"/>
                <w:color w:val="auto"/>
                <w:sz w:val="24"/>
                <w:highlight w:val="none"/>
              </w:rPr>
            </w:pPr>
            <w:r>
              <w:rPr>
                <w:rFonts w:hint="eastAsia" w:ascii="宋体" w:hAnsi="宋体" w:cs="宋体"/>
                <w:color w:val="auto"/>
                <w:sz w:val="24"/>
                <w:highlight w:val="none"/>
              </w:rPr>
              <w:t>4</w:t>
            </w:r>
          </w:p>
        </w:tc>
        <w:tc>
          <w:tcPr>
            <w:tcW w:w="1172" w:type="dxa"/>
            <w:tcBorders>
              <w:top w:val="single" w:color="auto" w:sz="4" w:space="0"/>
              <w:left w:val="single" w:color="auto" w:sz="4" w:space="0"/>
              <w:bottom w:val="single" w:color="auto" w:sz="4" w:space="0"/>
              <w:right w:val="single" w:color="auto" w:sz="4" w:space="0"/>
            </w:tcBorders>
            <w:vAlign w:val="center"/>
          </w:tcPr>
          <w:p w14:paraId="06860570">
            <w:pPr>
              <w:snapToGrid w:val="0"/>
              <w:spacing w:before="120" w:beforeLines="50"/>
              <w:jc w:val="center"/>
              <w:rPr>
                <w:rFonts w:ascii="宋体" w:hAnsi="宋体" w:cs="宋体"/>
                <w:color w:val="auto"/>
                <w:sz w:val="24"/>
                <w:highlight w:val="none"/>
              </w:rPr>
            </w:pPr>
          </w:p>
        </w:tc>
        <w:tc>
          <w:tcPr>
            <w:tcW w:w="3068" w:type="dxa"/>
            <w:tcBorders>
              <w:top w:val="single" w:color="auto" w:sz="4" w:space="0"/>
              <w:left w:val="single" w:color="auto" w:sz="4" w:space="0"/>
              <w:bottom w:val="single" w:color="auto" w:sz="4" w:space="0"/>
              <w:right w:val="single" w:color="auto" w:sz="4" w:space="0"/>
            </w:tcBorders>
          </w:tcPr>
          <w:p w14:paraId="5E8B4EF6">
            <w:pPr>
              <w:snapToGrid w:val="0"/>
              <w:spacing w:before="120" w:beforeLines="50"/>
              <w:rPr>
                <w:rFonts w:ascii="宋体" w:hAnsi="宋体" w:cs="宋体"/>
                <w:color w:val="auto"/>
                <w:sz w:val="24"/>
                <w:szCs w:val="20"/>
                <w:highlight w:val="none"/>
              </w:rPr>
            </w:pPr>
          </w:p>
        </w:tc>
        <w:tc>
          <w:tcPr>
            <w:tcW w:w="705" w:type="dxa"/>
            <w:tcBorders>
              <w:top w:val="single" w:color="auto" w:sz="4" w:space="0"/>
              <w:left w:val="single" w:color="auto" w:sz="4" w:space="0"/>
              <w:bottom w:val="single" w:color="auto" w:sz="4" w:space="0"/>
              <w:right w:val="single" w:color="auto" w:sz="4" w:space="0"/>
            </w:tcBorders>
          </w:tcPr>
          <w:p w14:paraId="216112D4">
            <w:pPr>
              <w:snapToGrid w:val="0"/>
              <w:spacing w:before="120" w:beforeLines="50" w:line="360" w:lineRule="auto"/>
              <w:rPr>
                <w:rFonts w:ascii="宋体" w:hAnsi="宋体" w:cs="宋体"/>
                <w:color w:val="auto"/>
                <w:sz w:val="24"/>
                <w:szCs w:val="20"/>
                <w:highlight w:val="none"/>
              </w:rPr>
            </w:pPr>
          </w:p>
        </w:tc>
        <w:tc>
          <w:tcPr>
            <w:tcW w:w="2000" w:type="dxa"/>
            <w:tcBorders>
              <w:top w:val="single" w:color="auto" w:sz="4" w:space="0"/>
              <w:left w:val="single" w:color="auto" w:sz="4" w:space="0"/>
              <w:bottom w:val="single" w:color="auto" w:sz="4" w:space="0"/>
              <w:right w:val="single" w:color="auto" w:sz="4" w:space="0"/>
            </w:tcBorders>
          </w:tcPr>
          <w:p w14:paraId="241C123A">
            <w:pPr>
              <w:snapToGrid w:val="0"/>
              <w:spacing w:before="120" w:beforeLines="50" w:line="360" w:lineRule="auto"/>
              <w:rPr>
                <w:rFonts w:ascii="宋体" w:hAnsi="宋体" w:cs="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3F41249">
            <w:pPr>
              <w:snapToGrid w:val="0"/>
              <w:spacing w:before="120" w:beforeLines="50" w:line="360" w:lineRule="auto"/>
              <w:rPr>
                <w:rFonts w:ascii="宋体" w:hAnsi="宋体" w:cs="宋体"/>
                <w:color w:val="auto"/>
                <w:sz w:val="24"/>
                <w:szCs w:val="20"/>
                <w:highlight w:val="none"/>
              </w:rPr>
            </w:pPr>
          </w:p>
        </w:tc>
      </w:tr>
      <w:tr w14:paraId="51C482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171F82A5">
            <w:pPr>
              <w:snapToGrid w:val="0"/>
              <w:spacing w:before="120" w:beforeLines="50"/>
              <w:jc w:val="center"/>
              <w:rPr>
                <w:rFonts w:ascii="宋体" w:hAnsi="宋体" w:cs="宋体"/>
                <w:color w:val="auto"/>
                <w:sz w:val="24"/>
                <w:highlight w:val="none"/>
              </w:rPr>
            </w:pPr>
            <w:r>
              <w:rPr>
                <w:rFonts w:hint="eastAsia" w:ascii="宋体" w:hAnsi="宋体" w:cs="宋体"/>
                <w:color w:val="auto"/>
                <w:sz w:val="24"/>
                <w:highlight w:val="none"/>
              </w:rPr>
              <w:t>5</w:t>
            </w:r>
          </w:p>
        </w:tc>
        <w:tc>
          <w:tcPr>
            <w:tcW w:w="1172" w:type="dxa"/>
            <w:tcBorders>
              <w:top w:val="single" w:color="auto" w:sz="4" w:space="0"/>
              <w:left w:val="single" w:color="auto" w:sz="4" w:space="0"/>
              <w:bottom w:val="single" w:color="auto" w:sz="4" w:space="0"/>
              <w:right w:val="single" w:color="auto" w:sz="4" w:space="0"/>
            </w:tcBorders>
            <w:vAlign w:val="center"/>
          </w:tcPr>
          <w:p w14:paraId="2EE3B50E">
            <w:pPr>
              <w:snapToGrid w:val="0"/>
              <w:spacing w:before="120" w:beforeLines="50"/>
              <w:jc w:val="center"/>
              <w:rPr>
                <w:rFonts w:ascii="宋体" w:hAnsi="宋体" w:cs="宋体"/>
                <w:color w:val="auto"/>
                <w:sz w:val="24"/>
                <w:highlight w:val="none"/>
              </w:rPr>
            </w:pPr>
          </w:p>
        </w:tc>
        <w:tc>
          <w:tcPr>
            <w:tcW w:w="3068" w:type="dxa"/>
            <w:tcBorders>
              <w:top w:val="single" w:color="auto" w:sz="4" w:space="0"/>
              <w:left w:val="single" w:color="auto" w:sz="4" w:space="0"/>
              <w:bottom w:val="single" w:color="auto" w:sz="4" w:space="0"/>
              <w:right w:val="single" w:color="auto" w:sz="4" w:space="0"/>
            </w:tcBorders>
          </w:tcPr>
          <w:p w14:paraId="70A5AE01">
            <w:pPr>
              <w:snapToGrid w:val="0"/>
              <w:spacing w:before="120" w:beforeLines="50" w:line="360" w:lineRule="auto"/>
              <w:rPr>
                <w:rFonts w:hint="eastAsia" w:ascii="宋体" w:hAnsi="宋体" w:eastAsia="宋体" w:cs="宋体"/>
                <w:color w:val="auto"/>
                <w:sz w:val="24"/>
                <w:szCs w:val="20"/>
                <w:highlight w:val="none"/>
                <w:lang w:val="en-US" w:eastAsia="zh-CN"/>
              </w:rPr>
            </w:pPr>
            <w:r>
              <w:rPr>
                <w:rFonts w:hint="eastAsia" w:ascii="宋体" w:hAnsi="宋体" w:cs="宋体"/>
                <w:b/>
                <w:bCs/>
                <w:color w:val="auto"/>
                <w:sz w:val="24"/>
                <w:szCs w:val="20"/>
                <w:highlight w:val="none"/>
                <w:lang w:val="en-US" w:eastAsia="zh-CN"/>
              </w:rPr>
              <w:t>请勿遗漏招标文件中打▲的商务和技术要求</w:t>
            </w:r>
          </w:p>
        </w:tc>
        <w:tc>
          <w:tcPr>
            <w:tcW w:w="705" w:type="dxa"/>
            <w:tcBorders>
              <w:top w:val="single" w:color="auto" w:sz="4" w:space="0"/>
              <w:left w:val="single" w:color="auto" w:sz="4" w:space="0"/>
              <w:bottom w:val="single" w:color="auto" w:sz="4" w:space="0"/>
              <w:right w:val="single" w:color="auto" w:sz="4" w:space="0"/>
            </w:tcBorders>
          </w:tcPr>
          <w:p w14:paraId="1F1146FD">
            <w:pPr>
              <w:snapToGrid w:val="0"/>
              <w:spacing w:before="120" w:beforeLines="50" w:line="360" w:lineRule="auto"/>
              <w:rPr>
                <w:rFonts w:ascii="宋体" w:hAnsi="宋体" w:cs="宋体"/>
                <w:color w:val="auto"/>
                <w:sz w:val="24"/>
                <w:szCs w:val="20"/>
                <w:highlight w:val="none"/>
              </w:rPr>
            </w:pPr>
          </w:p>
        </w:tc>
        <w:tc>
          <w:tcPr>
            <w:tcW w:w="2000" w:type="dxa"/>
            <w:tcBorders>
              <w:top w:val="single" w:color="auto" w:sz="4" w:space="0"/>
              <w:left w:val="single" w:color="auto" w:sz="4" w:space="0"/>
              <w:bottom w:val="single" w:color="auto" w:sz="4" w:space="0"/>
              <w:right w:val="single" w:color="auto" w:sz="4" w:space="0"/>
            </w:tcBorders>
          </w:tcPr>
          <w:p w14:paraId="74DD1DAA">
            <w:pPr>
              <w:snapToGrid w:val="0"/>
              <w:spacing w:before="120" w:beforeLines="50" w:line="360" w:lineRule="auto"/>
              <w:rPr>
                <w:rFonts w:ascii="宋体" w:hAnsi="宋体" w:cs="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1C80714">
            <w:pPr>
              <w:snapToGrid w:val="0"/>
              <w:spacing w:before="120" w:beforeLines="50" w:line="360" w:lineRule="auto"/>
              <w:rPr>
                <w:rFonts w:ascii="宋体" w:hAnsi="宋体" w:cs="宋体"/>
                <w:color w:val="auto"/>
                <w:sz w:val="24"/>
                <w:szCs w:val="20"/>
                <w:highlight w:val="none"/>
              </w:rPr>
            </w:pPr>
          </w:p>
        </w:tc>
      </w:tr>
      <w:tr w14:paraId="598FC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852" w:type="dxa"/>
            <w:tcBorders>
              <w:top w:val="single" w:color="auto" w:sz="4" w:space="0"/>
              <w:left w:val="single" w:color="auto" w:sz="4" w:space="0"/>
              <w:bottom w:val="single" w:color="auto" w:sz="4" w:space="0"/>
              <w:right w:val="single" w:color="auto" w:sz="4" w:space="0"/>
            </w:tcBorders>
          </w:tcPr>
          <w:p w14:paraId="7ABEFDBF">
            <w:pPr>
              <w:snapToGrid w:val="0"/>
              <w:spacing w:before="120" w:beforeLines="50" w:line="360" w:lineRule="auto"/>
              <w:rPr>
                <w:rFonts w:ascii="宋体" w:hAnsi="宋体" w:cs="宋体"/>
                <w:color w:val="auto"/>
                <w:sz w:val="24"/>
                <w:szCs w:val="20"/>
                <w:highlight w:val="none"/>
              </w:rPr>
            </w:pPr>
          </w:p>
        </w:tc>
        <w:tc>
          <w:tcPr>
            <w:tcW w:w="1172" w:type="dxa"/>
            <w:tcBorders>
              <w:top w:val="single" w:color="auto" w:sz="4" w:space="0"/>
              <w:left w:val="single" w:color="auto" w:sz="4" w:space="0"/>
              <w:bottom w:val="single" w:color="auto" w:sz="4" w:space="0"/>
              <w:right w:val="single" w:color="auto" w:sz="4" w:space="0"/>
            </w:tcBorders>
          </w:tcPr>
          <w:p w14:paraId="0C198958">
            <w:pPr>
              <w:snapToGrid w:val="0"/>
              <w:spacing w:before="120" w:beforeLines="50" w:line="360" w:lineRule="auto"/>
              <w:rPr>
                <w:rFonts w:ascii="宋体" w:hAnsi="宋体" w:cs="宋体"/>
                <w:color w:val="auto"/>
                <w:sz w:val="24"/>
                <w:szCs w:val="20"/>
                <w:highlight w:val="none"/>
              </w:rPr>
            </w:pPr>
            <w:r>
              <w:rPr>
                <w:rFonts w:hint="eastAsia" w:ascii="宋体" w:hAnsi="宋体" w:cs="宋体"/>
                <w:color w:val="auto"/>
                <w:sz w:val="24"/>
                <w:szCs w:val="20"/>
                <w:highlight w:val="none"/>
              </w:rPr>
              <w:t>...</w:t>
            </w:r>
          </w:p>
        </w:tc>
        <w:tc>
          <w:tcPr>
            <w:tcW w:w="3068" w:type="dxa"/>
            <w:tcBorders>
              <w:top w:val="single" w:color="auto" w:sz="4" w:space="0"/>
              <w:left w:val="single" w:color="auto" w:sz="4" w:space="0"/>
              <w:bottom w:val="single" w:color="auto" w:sz="4" w:space="0"/>
              <w:right w:val="single" w:color="auto" w:sz="4" w:space="0"/>
            </w:tcBorders>
          </w:tcPr>
          <w:p w14:paraId="4AB6994F">
            <w:pPr>
              <w:snapToGrid w:val="0"/>
              <w:spacing w:before="120" w:beforeLines="50" w:line="360" w:lineRule="auto"/>
              <w:rPr>
                <w:rFonts w:ascii="宋体" w:hAnsi="宋体" w:cs="宋体"/>
                <w:color w:val="auto"/>
                <w:sz w:val="24"/>
                <w:szCs w:val="20"/>
                <w:highlight w:val="none"/>
              </w:rPr>
            </w:pPr>
          </w:p>
        </w:tc>
        <w:tc>
          <w:tcPr>
            <w:tcW w:w="705" w:type="dxa"/>
            <w:tcBorders>
              <w:top w:val="single" w:color="auto" w:sz="4" w:space="0"/>
              <w:left w:val="single" w:color="auto" w:sz="4" w:space="0"/>
              <w:bottom w:val="single" w:color="auto" w:sz="4" w:space="0"/>
              <w:right w:val="single" w:color="auto" w:sz="4" w:space="0"/>
            </w:tcBorders>
          </w:tcPr>
          <w:p w14:paraId="5A244935">
            <w:pPr>
              <w:snapToGrid w:val="0"/>
              <w:spacing w:before="120" w:beforeLines="50" w:line="360" w:lineRule="auto"/>
              <w:rPr>
                <w:rFonts w:ascii="宋体" w:hAnsi="宋体" w:cs="宋体"/>
                <w:color w:val="auto"/>
                <w:sz w:val="24"/>
                <w:szCs w:val="20"/>
                <w:highlight w:val="none"/>
              </w:rPr>
            </w:pPr>
          </w:p>
        </w:tc>
        <w:tc>
          <w:tcPr>
            <w:tcW w:w="2000" w:type="dxa"/>
            <w:tcBorders>
              <w:top w:val="single" w:color="auto" w:sz="4" w:space="0"/>
              <w:left w:val="single" w:color="auto" w:sz="4" w:space="0"/>
              <w:bottom w:val="single" w:color="auto" w:sz="4" w:space="0"/>
              <w:right w:val="single" w:color="auto" w:sz="4" w:space="0"/>
            </w:tcBorders>
          </w:tcPr>
          <w:p w14:paraId="3D196A78">
            <w:pPr>
              <w:snapToGrid w:val="0"/>
              <w:spacing w:before="120" w:beforeLines="50" w:line="360" w:lineRule="auto"/>
              <w:rPr>
                <w:rFonts w:ascii="宋体" w:hAnsi="宋体" w:cs="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3164CDF">
            <w:pPr>
              <w:snapToGrid w:val="0"/>
              <w:spacing w:before="120" w:beforeLines="50" w:line="360" w:lineRule="auto"/>
              <w:rPr>
                <w:rFonts w:ascii="宋体" w:hAnsi="宋体" w:cs="宋体"/>
                <w:color w:val="auto"/>
                <w:sz w:val="24"/>
                <w:szCs w:val="20"/>
                <w:highlight w:val="none"/>
              </w:rPr>
            </w:pPr>
          </w:p>
        </w:tc>
      </w:tr>
    </w:tbl>
    <w:p w14:paraId="7AF4D370">
      <w:pPr>
        <w:snapToGrid w:val="0"/>
        <w:spacing w:line="400" w:lineRule="exact"/>
        <w:rPr>
          <w:rFonts w:ascii="宋体" w:hAnsi="宋体" w:cs="宋体"/>
          <w:b/>
          <w:color w:val="auto"/>
          <w:sz w:val="24"/>
          <w:highlight w:val="none"/>
          <w:u w:val="single"/>
        </w:rPr>
      </w:pPr>
      <w:r>
        <w:rPr>
          <w:rFonts w:hint="eastAsia" w:ascii="宋体" w:hAnsi="宋体" w:cs="宋体"/>
          <w:b/>
          <w:color w:val="auto"/>
          <w:sz w:val="24"/>
          <w:highlight w:val="none"/>
          <w:u w:val="single"/>
        </w:rPr>
        <w:t>1、投标人应在此表中将招标文件中列明</w:t>
      </w:r>
      <w:bookmarkStart w:id="66" w:name="_Hlk535995896"/>
      <w:r>
        <w:rPr>
          <w:rFonts w:hint="eastAsia" w:ascii="宋体" w:hAnsi="宋体" w:cs="宋体"/>
          <w:b/>
          <w:color w:val="auto"/>
          <w:sz w:val="24"/>
          <w:highlight w:val="none"/>
          <w:u w:val="single"/>
        </w:rPr>
        <w:t>的商务要求和技术参数要求的正偏离或负偏离的应标内容详细写明，</w:t>
      </w:r>
      <w:bookmarkEnd w:id="66"/>
      <w:r>
        <w:rPr>
          <w:rFonts w:hint="eastAsia" w:ascii="宋体" w:hAnsi="宋体" w:cs="宋体"/>
          <w:b/>
          <w:color w:val="auto"/>
          <w:sz w:val="24"/>
          <w:highlight w:val="none"/>
          <w:u w:val="single"/>
        </w:rPr>
        <w:t>特别是勿遗漏招标文件中打▲的商务和技术要求的应标内容。如果投标人在本响应表中缺失部分招标文件中打▲的商务和技术要求的应标内容或未填写的，视为完全响应。</w:t>
      </w:r>
    </w:p>
    <w:p w14:paraId="1D607C2E">
      <w:pPr>
        <w:pStyle w:val="32"/>
        <w:snapToGrid w:val="0"/>
        <w:spacing w:beforeLines="0" w:afterLines="0" w:line="240" w:lineRule="auto"/>
        <w:rPr>
          <w:rFonts w:hAnsi="宋体" w:cs="宋体"/>
          <w:color w:val="auto"/>
          <w:spacing w:val="20"/>
          <w:highlight w:val="none"/>
        </w:rPr>
      </w:pPr>
    </w:p>
    <w:p w14:paraId="1988BA5E">
      <w:pPr>
        <w:pStyle w:val="32"/>
        <w:snapToGrid w:val="0"/>
        <w:spacing w:beforeLines="0" w:afterLines="0" w:line="240" w:lineRule="auto"/>
        <w:rPr>
          <w:rFonts w:hAnsi="宋体" w:cs="宋体"/>
          <w:b/>
          <w:color w:val="auto"/>
          <w:highlight w:val="none"/>
        </w:rPr>
      </w:pPr>
      <w:r>
        <w:rPr>
          <w:rFonts w:hint="eastAsia" w:hAnsi="宋体" w:cs="宋体"/>
          <w:b/>
          <w:color w:val="auto"/>
          <w:spacing w:val="20"/>
          <w:highlight w:val="none"/>
        </w:rPr>
        <w:t>法定代表人签字（或盖章）：            投标人（盖章）：</w:t>
      </w:r>
    </w:p>
    <w:p w14:paraId="2D6270D5">
      <w:pPr>
        <w:widowControl/>
        <w:jc w:val="left"/>
        <w:rPr>
          <w:rFonts w:ascii="宋体" w:hAnsi="宋体" w:cs="宋体"/>
          <w:b/>
          <w:color w:val="auto"/>
          <w:sz w:val="24"/>
          <w:highlight w:val="none"/>
        </w:rPr>
      </w:pPr>
    </w:p>
    <w:p w14:paraId="348F5633">
      <w:pPr>
        <w:snapToGrid w:val="0"/>
        <w:spacing w:before="50" w:after="12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79EAAC8E">
      <w:pPr>
        <w:snapToGrid w:val="0"/>
        <w:spacing w:line="400" w:lineRule="exact"/>
        <w:jc w:val="left"/>
        <w:rPr>
          <w:rFonts w:ascii="宋体" w:hAnsi="宋体" w:cs="宋体"/>
          <w:b/>
          <w:bCs/>
          <w:color w:val="auto"/>
          <w:sz w:val="24"/>
          <w:highlight w:val="none"/>
        </w:rPr>
      </w:pPr>
      <w:r>
        <w:rPr>
          <w:rFonts w:hint="eastAsia" w:ascii="宋体" w:hAnsi="宋体" w:cs="宋体"/>
          <w:color w:val="auto"/>
          <w:sz w:val="24"/>
          <w:highlight w:val="none"/>
        </w:rPr>
        <w:br w:type="page"/>
      </w:r>
      <w:bookmarkStart w:id="67" w:name="_Toc265669851"/>
    </w:p>
    <w:p w14:paraId="3AEAAF1C">
      <w:pPr>
        <w:snapToGrid w:val="0"/>
        <w:spacing w:line="400" w:lineRule="exact"/>
        <w:ind w:firstLine="472" w:firstLineChars="196"/>
        <w:jc w:val="left"/>
        <w:rPr>
          <w:rFonts w:ascii="宋体" w:hAnsi="宋体" w:cs="宋体"/>
          <w:b/>
          <w:bCs/>
          <w:color w:val="auto"/>
          <w:sz w:val="24"/>
          <w:highlight w:val="none"/>
        </w:rPr>
      </w:pPr>
    </w:p>
    <w:p w14:paraId="584C91D3">
      <w:pPr>
        <w:widowControl/>
        <w:jc w:val="left"/>
        <w:rPr>
          <w:rFonts w:ascii="宋体" w:hAnsi="宋体" w:cs="宋体"/>
          <w:b/>
          <w:color w:val="auto"/>
          <w:sz w:val="24"/>
          <w:highlight w:val="none"/>
        </w:rPr>
      </w:pPr>
    </w:p>
    <w:p w14:paraId="0C831E87">
      <w:pPr>
        <w:snapToGrid w:val="0"/>
        <w:spacing w:before="50" w:after="120" w:afterLines="50"/>
        <w:jc w:val="center"/>
        <w:outlineLvl w:val="1"/>
        <w:rPr>
          <w:rFonts w:ascii="宋体" w:hAnsi="宋体" w:cs="宋体"/>
          <w:b/>
          <w:color w:val="auto"/>
          <w:sz w:val="24"/>
          <w:highlight w:val="none"/>
        </w:rPr>
      </w:pPr>
    </w:p>
    <w:p w14:paraId="1D36D07A">
      <w:pPr>
        <w:snapToGrid w:val="0"/>
        <w:spacing w:before="50" w:after="120" w:afterLines="50"/>
        <w:jc w:val="center"/>
        <w:outlineLvl w:val="1"/>
        <w:rPr>
          <w:rFonts w:ascii="宋体" w:hAnsi="宋体" w:cs="宋体"/>
          <w:b/>
          <w:color w:val="auto"/>
          <w:sz w:val="30"/>
          <w:szCs w:val="30"/>
          <w:highlight w:val="none"/>
        </w:rPr>
      </w:pPr>
      <w:bookmarkStart w:id="68" w:name="_Toc466534754"/>
      <w:bookmarkStart w:id="69" w:name="_Toc16395"/>
      <w:bookmarkStart w:id="70" w:name="_Toc11354"/>
      <w:r>
        <w:rPr>
          <w:rFonts w:hint="eastAsia" w:ascii="宋体" w:hAnsi="宋体" w:cs="宋体"/>
          <w:b/>
          <w:color w:val="auto"/>
          <w:sz w:val="30"/>
          <w:szCs w:val="30"/>
          <w:highlight w:val="none"/>
        </w:rPr>
        <w:t>三、报价文件格式</w:t>
      </w:r>
      <w:bookmarkEnd w:id="67"/>
      <w:bookmarkEnd w:id="68"/>
      <w:bookmarkEnd w:id="69"/>
      <w:bookmarkEnd w:id="70"/>
    </w:p>
    <w:p w14:paraId="5AE88AF8">
      <w:pPr>
        <w:snapToGrid w:val="0"/>
        <w:spacing w:before="120" w:beforeLines="50" w:after="50"/>
        <w:ind w:firstLine="645"/>
        <w:jc w:val="center"/>
        <w:rPr>
          <w:rFonts w:ascii="宋体" w:hAnsi="宋体" w:cs="宋体"/>
          <w:color w:val="auto"/>
          <w:sz w:val="24"/>
          <w:szCs w:val="20"/>
          <w:highlight w:val="none"/>
        </w:rPr>
      </w:pPr>
      <w:r>
        <w:rPr>
          <w:rFonts w:hint="eastAsia" w:ascii="宋体" w:hAnsi="宋体" w:cs="宋体"/>
          <w:bCs/>
          <w:color w:val="auto"/>
          <w:sz w:val="24"/>
          <w:highlight w:val="none"/>
        </w:rPr>
        <w:t xml:space="preserve"> </w:t>
      </w:r>
    </w:p>
    <w:p w14:paraId="26284435">
      <w:pPr>
        <w:snapToGrid w:val="0"/>
        <w:spacing w:before="120" w:beforeLines="50" w:after="50"/>
        <w:rPr>
          <w:rFonts w:ascii="宋体" w:hAnsi="宋体" w:cs="宋体"/>
          <w:color w:val="auto"/>
          <w:sz w:val="24"/>
          <w:szCs w:val="20"/>
          <w:highlight w:val="none"/>
        </w:rPr>
      </w:pPr>
    </w:p>
    <w:p w14:paraId="71CD5F3F">
      <w:pPr>
        <w:snapToGrid w:val="0"/>
        <w:spacing w:before="120" w:beforeLines="50" w:after="50"/>
        <w:rPr>
          <w:rFonts w:ascii="宋体" w:hAnsi="宋体" w:cs="宋体"/>
          <w:color w:val="auto"/>
          <w:sz w:val="24"/>
          <w:szCs w:val="20"/>
          <w:highlight w:val="none"/>
        </w:rPr>
      </w:pPr>
    </w:p>
    <w:p w14:paraId="6ECBE45A">
      <w:pPr>
        <w:snapToGrid w:val="0"/>
        <w:spacing w:before="120"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13.报价文件封面格式： </w:t>
      </w:r>
    </w:p>
    <w:p w14:paraId="1F044343">
      <w:pPr>
        <w:snapToGrid w:val="0"/>
        <w:spacing w:before="120"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报 价 文 件</w:t>
      </w:r>
    </w:p>
    <w:p w14:paraId="019530D8">
      <w:pPr>
        <w:snapToGrid w:val="0"/>
        <w:spacing w:before="120" w:beforeLines="50" w:after="5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537F773B">
      <w:pPr>
        <w:snapToGrid w:val="0"/>
        <w:spacing w:before="120" w:beforeLines="50" w:after="50" w:line="360" w:lineRule="auto"/>
        <w:jc w:val="center"/>
        <w:rPr>
          <w:rFonts w:ascii="宋体" w:hAnsi="宋体" w:cs="宋体"/>
          <w:bCs/>
          <w:color w:val="auto"/>
          <w:sz w:val="28"/>
          <w:szCs w:val="28"/>
          <w:highlight w:val="none"/>
        </w:rPr>
      </w:pPr>
    </w:p>
    <w:p w14:paraId="5C0DE514">
      <w:pPr>
        <w:snapToGrid w:val="0"/>
        <w:spacing w:before="120" w:beforeLines="50" w:after="50" w:line="360" w:lineRule="auto"/>
        <w:ind w:firstLine="1243" w:firstLineChars="444"/>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1C1A22FC">
      <w:pPr>
        <w:snapToGrid w:val="0"/>
        <w:spacing w:before="120"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w:t>
      </w:r>
    </w:p>
    <w:p w14:paraId="31BCD48C">
      <w:pPr>
        <w:pStyle w:val="13"/>
        <w:snapToGrid w:val="0"/>
        <w:spacing w:before="50" w:after="50" w:line="360" w:lineRule="auto"/>
        <w:ind w:firstLine="1164" w:firstLineChars="416"/>
        <w:rPr>
          <w:rFonts w:ascii="宋体" w:hAnsi="宋体" w:cs="宋体"/>
          <w:bCs/>
          <w:color w:val="auto"/>
          <w:sz w:val="28"/>
          <w:szCs w:val="28"/>
          <w:highlight w:val="none"/>
        </w:rPr>
      </w:pPr>
    </w:p>
    <w:p w14:paraId="3432BEC6">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19CD8973">
      <w:pPr>
        <w:pStyle w:val="13"/>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7D1EBA3E">
      <w:pPr>
        <w:snapToGrid w:val="0"/>
        <w:spacing w:before="120" w:beforeLines="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EDBE8F1">
      <w:pPr>
        <w:snapToGrid w:val="0"/>
        <w:spacing w:before="120" w:beforeLines="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7584284F">
      <w:pPr>
        <w:pStyle w:val="32"/>
        <w:snapToGrid w:val="0"/>
        <w:spacing w:beforeLines="0" w:afterLines="0" w:line="240" w:lineRule="auto"/>
        <w:rPr>
          <w:rFonts w:hAnsi="宋体" w:cs="宋体"/>
          <w:color w:val="auto"/>
          <w:highlight w:val="none"/>
        </w:rPr>
      </w:pPr>
      <w:r>
        <w:rPr>
          <w:rFonts w:hint="eastAsia" w:hAnsi="宋体" w:cs="宋体"/>
          <w:color w:val="auto"/>
          <w:highlight w:val="none"/>
        </w:rPr>
        <w:br w:type="page"/>
      </w:r>
      <w:r>
        <w:rPr>
          <w:rFonts w:hint="eastAsia" w:hAnsi="宋体" w:cs="宋体"/>
          <w:color w:val="auto"/>
          <w:highlight w:val="none"/>
        </w:rPr>
        <w:t>14.开标一览表格式：</w:t>
      </w:r>
    </w:p>
    <w:p w14:paraId="6A0B58D5">
      <w:pPr>
        <w:pStyle w:val="32"/>
        <w:snapToGrid w:val="0"/>
        <w:spacing w:beforeLines="0" w:afterLines="0" w:line="240" w:lineRule="auto"/>
        <w:jc w:val="center"/>
        <w:rPr>
          <w:rFonts w:hAnsi="宋体" w:cs="宋体"/>
          <w:b/>
          <w:color w:val="auto"/>
          <w:highlight w:val="none"/>
        </w:rPr>
      </w:pPr>
      <w:r>
        <w:rPr>
          <w:rFonts w:hint="eastAsia" w:hAnsi="宋体" w:cs="宋体"/>
          <w:b/>
          <w:color w:val="auto"/>
          <w:highlight w:val="none"/>
        </w:rPr>
        <w:t>开标一览表</w:t>
      </w:r>
    </w:p>
    <w:p w14:paraId="505BC037">
      <w:pPr>
        <w:snapToGrid w:val="0"/>
        <w:spacing w:before="120" w:beforeLines="50" w:after="50" w:line="480" w:lineRule="auto"/>
        <w:rPr>
          <w:rFonts w:ascii="宋体" w:hAnsi="宋体" w:cs="宋体"/>
          <w:b/>
          <w:color w:val="auto"/>
          <w:sz w:val="24"/>
          <w:highlight w:val="none"/>
        </w:rPr>
      </w:pPr>
    </w:p>
    <w:p w14:paraId="6AE9D9D7">
      <w:pPr>
        <w:snapToGrid w:val="0"/>
        <w:spacing w:before="120" w:beforeLines="50" w:after="50" w:line="480" w:lineRule="auto"/>
        <w:ind w:firstLine="480" w:firstLineChars="200"/>
        <w:rPr>
          <w:rFonts w:ascii="宋体" w:hAnsi="宋体" w:cs="宋体"/>
          <w:bCs/>
          <w:color w:val="auto"/>
          <w:sz w:val="24"/>
          <w:szCs w:val="20"/>
          <w:highlight w:val="none"/>
        </w:rPr>
      </w:pPr>
      <w:r>
        <w:rPr>
          <w:rFonts w:hint="eastAsia" w:ascii="宋体" w:hAnsi="宋体" w:cs="宋体"/>
          <w:bCs/>
          <w:color w:val="auto"/>
          <w:sz w:val="24"/>
          <w:highlight w:val="none"/>
        </w:rPr>
        <w:t>项目名称：</w:t>
      </w:r>
    </w:p>
    <w:p w14:paraId="28570179">
      <w:pPr>
        <w:snapToGrid w:val="0"/>
        <w:spacing w:before="120" w:beforeLines="50" w:after="50" w:line="48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项目编号：</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3B285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CE035E2">
            <w:pPr>
              <w:pStyle w:val="32"/>
              <w:snapToGrid w:val="0"/>
              <w:spacing w:before="120" w:beforeLines="0" w:after="120" w:afterLines="0" w:line="240" w:lineRule="auto"/>
              <w:jc w:val="center"/>
              <w:rPr>
                <w:rFonts w:hAnsi="宋体" w:cs="宋体"/>
                <w:b/>
                <w:color w:val="auto"/>
                <w:highlight w:val="none"/>
              </w:rPr>
            </w:pPr>
            <w:r>
              <w:rPr>
                <w:rFonts w:hint="eastAsia" w:hAnsi="宋体" w:cs="宋体"/>
                <w:b/>
                <w:color w:val="auto"/>
                <w:highlight w:val="none"/>
              </w:rPr>
              <w:t>名称</w:t>
            </w:r>
          </w:p>
        </w:tc>
        <w:tc>
          <w:tcPr>
            <w:tcW w:w="5526" w:type="dxa"/>
          </w:tcPr>
          <w:p w14:paraId="307FD80C">
            <w:pPr>
              <w:pStyle w:val="32"/>
              <w:snapToGrid w:val="0"/>
              <w:spacing w:before="120" w:beforeLines="0" w:after="120" w:afterLines="0" w:line="240" w:lineRule="auto"/>
              <w:jc w:val="center"/>
              <w:rPr>
                <w:rFonts w:hAnsi="宋体" w:cs="宋体"/>
                <w:b/>
                <w:color w:val="auto"/>
                <w:highlight w:val="none"/>
              </w:rPr>
            </w:pPr>
            <w:r>
              <w:rPr>
                <w:rFonts w:hint="eastAsia" w:hAnsi="宋体" w:cs="宋体"/>
                <w:b/>
                <w:color w:val="auto"/>
                <w:highlight w:val="none"/>
              </w:rPr>
              <w:t>内容</w:t>
            </w:r>
          </w:p>
        </w:tc>
        <w:tc>
          <w:tcPr>
            <w:tcW w:w="1854" w:type="dxa"/>
          </w:tcPr>
          <w:p w14:paraId="33901FFF">
            <w:pPr>
              <w:pStyle w:val="32"/>
              <w:snapToGrid w:val="0"/>
              <w:spacing w:before="120" w:beforeLines="0" w:after="120" w:afterLines="0" w:line="240" w:lineRule="auto"/>
              <w:jc w:val="center"/>
              <w:rPr>
                <w:rFonts w:hAnsi="宋体" w:cs="宋体"/>
                <w:b/>
                <w:color w:val="auto"/>
                <w:highlight w:val="none"/>
              </w:rPr>
            </w:pPr>
            <w:r>
              <w:rPr>
                <w:rFonts w:hint="eastAsia" w:hAnsi="宋体" w:cs="宋体"/>
                <w:b/>
                <w:color w:val="auto"/>
                <w:highlight w:val="none"/>
              </w:rPr>
              <w:t>备注</w:t>
            </w:r>
          </w:p>
        </w:tc>
      </w:tr>
      <w:tr w14:paraId="76A8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15EED74C">
            <w:pPr>
              <w:pStyle w:val="32"/>
              <w:snapToGrid w:val="0"/>
              <w:spacing w:before="120" w:beforeLines="0" w:after="120" w:afterLines="0" w:line="240" w:lineRule="auto"/>
              <w:jc w:val="center"/>
              <w:rPr>
                <w:rFonts w:hAnsi="宋体" w:cs="宋体"/>
                <w:b/>
                <w:color w:val="auto"/>
                <w:highlight w:val="none"/>
              </w:rPr>
            </w:pPr>
          </w:p>
          <w:p w14:paraId="06C62F77">
            <w:pPr>
              <w:pStyle w:val="32"/>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7C17AC30">
            <w:pPr>
              <w:pStyle w:val="32"/>
              <w:snapToGrid w:val="0"/>
              <w:spacing w:before="120" w:beforeLines="0" w:after="120" w:afterLines="0" w:line="240" w:lineRule="auto"/>
              <w:jc w:val="center"/>
              <w:rPr>
                <w:rFonts w:hAnsi="宋体" w:cs="宋体"/>
                <w:b/>
                <w:color w:val="auto"/>
                <w:highlight w:val="none"/>
              </w:rPr>
            </w:pPr>
          </w:p>
          <w:p w14:paraId="3335A3FA">
            <w:pPr>
              <w:pStyle w:val="32"/>
              <w:snapToGrid w:val="0"/>
              <w:spacing w:before="120" w:beforeLines="0" w:after="120" w:afterLines="0" w:line="240" w:lineRule="auto"/>
              <w:jc w:val="center"/>
              <w:rPr>
                <w:rFonts w:hAnsi="宋体" w:cs="宋体"/>
                <w:b/>
                <w:color w:val="auto"/>
                <w:highlight w:val="none"/>
              </w:rPr>
            </w:pPr>
          </w:p>
        </w:tc>
        <w:tc>
          <w:tcPr>
            <w:tcW w:w="5526" w:type="dxa"/>
            <w:tcBorders>
              <w:left w:val="single" w:color="auto" w:sz="4" w:space="0"/>
            </w:tcBorders>
            <w:vAlign w:val="center"/>
          </w:tcPr>
          <w:p w14:paraId="2BE06F16">
            <w:pPr>
              <w:pStyle w:val="32"/>
              <w:snapToGrid w:val="0"/>
              <w:spacing w:before="120" w:beforeLines="0" w:after="120" w:afterLines="0" w:line="240" w:lineRule="auto"/>
              <w:rPr>
                <w:rFonts w:hAnsi="宋体" w:cs="宋体"/>
                <w:color w:val="auto"/>
                <w:highlight w:val="none"/>
              </w:rPr>
            </w:pPr>
          </w:p>
          <w:p w14:paraId="5C125A7C">
            <w:pPr>
              <w:pStyle w:val="32"/>
              <w:snapToGrid w:val="0"/>
              <w:spacing w:beforeLines="0" w:afterLines="0" w:line="240" w:lineRule="auto"/>
              <w:ind w:left="240" w:hanging="240" w:hangingChars="100"/>
              <w:rPr>
                <w:rFonts w:hint="eastAsia" w:hAnsi="宋体" w:eastAsia="宋体" w:cs="宋体"/>
                <w:color w:val="auto"/>
                <w:kern w:val="2"/>
                <w:highlight w:val="none"/>
                <w:lang w:val="en-US" w:eastAsia="zh-CN"/>
              </w:rPr>
            </w:pPr>
            <w:r>
              <w:rPr>
                <w:rFonts w:hint="eastAsia" w:hAnsi="宋体" w:cs="宋体"/>
                <w:color w:val="auto"/>
                <w:kern w:val="2"/>
                <w:highlight w:val="none"/>
              </w:rPr>
              <w:t>大写：人民币</w:t>
            </w:r>
            <w:r>
              <w:rPr>
                <w:rFonts w:hint="eastAsia" w:hAnsi="宋体" w:cs="宋体"/>
                <w:color w:val="auto"/>
                <w:kern w:val="2"/>
                <w:highlight w:val="none"/>
                <w:u w:val="single"/>
              </w:rPr>
              <w:t xml:space="preserve"> </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u w:val="single"/>
              </w:rPr>
              <w:t xml:space="preserve"> </w:t>
            </w:r>
            <w:r>
              <w:rPr>
                <w:rFonts w:hint="eastAsia" w:hAnsi="宋体" w:cs="宋体"/>
                <w:color w:val="auto"/>
                <w:kern w:val="2"/>
                <w:highlight w:val="none"/>
              </w:rPr>
              <w:t>佰</w:t>
            </w:r>
            <w:r>
              <w:rPr>
                <w:rFonts w:hint="eastAsia" w:hAnsi="宋体" w:cs="宋体"/>
                <w:color w:val="auto"/>
                <w:kern w:val="2"/>
                <w:highlight w:val="none"/>
                <w:u w:val="single"/>
              </w:rPr>
              <w:t xml:space="preserve"> </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u w:val="single"/>
              </w:rPr>
              <w:t xml:space="preserve"> </w:t>
            </w:r>
            <w:r>
              <w:rPr>
                <w:rFonts w:hint="eastAsia" w:hAnsi="宋体" w:cs="宋体"/>
                <w:color w:val="auto"/>
                <w:kern w:val="2"/>
                <w:highlight w:val="none"/>
              </w:rPr>
              <w:t>拾</w:t>
            </w:r>
            <w:r>
              <w:rPr>
                <w:rFonts w:hint="eastAsia" w:hAnsi="宋体" w:cs="宋体"/>
                <w:color w:val="auto"/>
                <w:kern w:val="2"/>
                <w:highlight w:val="none"/>
                <w:u w:val="single"/>
              </w:rPr>
              <w:t xml:space="preserve"> </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u w:val="single"/>
              </w:rPr>
              <w:t xml:space="preserve"> </w:t>
            </w:r>
            <w:r>
              <w:rPr>
                <w:rFonts w:hint="eastAsia" w:hAnsi="宋体" w:cs="宋体"/>
                <w:color w:val="auto"/>
                <w:kern w:val="2"/>
                <w:highlight w:val="none"/>
              </w:rPr>
              <w:t>万</w:t>
            </w:r>
            <w:r>
              <w:rPr>
                <w:rFonts w:hint="eastAsia" w:hAnsi="宋体" w:cs="宋体"/>
                <w:color w:val="auto"/>
                <w:kern w:val="2"/>
                <w:highlight w:val="none"/>
                <w:u w:val="single"/>
              </w:rPr>
              <w:t xml:space="preserve"> </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u w:val="single"/>
              </w:rPr>
              <w:t xml:space="preserve"> </w:t>
            </w:r>
            <w:r>
              <w:rPr>
                <w:rFonts w:hint="eastAsia" w:hAnsi="宋体" w:cs="宋体"/>
                <w:color w:val="auto"/>
                <w:kern w:val="2"/>
                <w:highlight w:val="none"/>
              </w:rPr>
              <w:t>仟</w:t>
            </w:r>
            <w:r>
              <w:rPr>
                <w:rFonts w:hint="eastAsia" w:hAnsi="宋体" w:cs="宋体"/>
                <w:color w:val="auto"/>
                <w:kern w:val="2"/>
                <w:highlight w:val="none"/>
                <w:u w:val="single"/>
              </w:rPr>
              <w:t xml:space="preserve"> </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rPr>
              <w:t>佰</w:t>
            </w:r>
            <w:r>
              <w:rPr>
                <w:rFonts w:hint="eastAsia" w:hAnsi="宋体" w:cs="宋体"/>
                <w:color w:val="auto"/>
                <w:kern w:val="2"/>
                <w:highlight w:val="none"/>
                <w:u w:val="single"/>
              </w:rPr>
              <w:t xml:space="preserve"> </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u w:val="single"/>
              </w:rPr>
              <w:t xml:space="preserve"> </w:t>
            </w:r>
            <w:r>
              <w:rPr>
                <w:rFonts w:hint="eastAsia" w:hAnsi="宋体" w:cs="宋体"/>
                <w:color w:val="auto"/>
                <w:kern w:val="2"/>
                <w:highlight w:val="none"/>
              </w:rPr>
              <w:t>拾</w:t>
            </w:r>
            <w:r>
              <w:rPr>
                <w:rFonts w:hint="eastAsia" w:hAnsi="宋体" w:cs="宋体"/>
                <w:color w:val="auto"/>
                <w:kern w:val="2"/>
                <w:highlight w:val="none"/>
                <w:u w:val="single"/>
                <w:lang w:val="en-US" w:eastAsia="zh-CN"/>
              </w:rPr>
              <w:t xml:space="preserve"> </w:t>
            </w:r>
            <w:r>
              <w:rPr>
                <w:rFonts w:hint="eastAsia" w:hAnsi="宋体" w:cs="宋体"/>
                <w:color w:val="auto"/>
                <w:kern w:val="2"/>
                <w:highlight w:val="none"/>
                <w:u w:val="single"/>
              </w:rPr>
              <w:t xml:space="preserve"> </w:t>
            </w:r>
            <w:r>
              <w:rPr>
                <w:rFonts w:hint="eastAsia" w:hAnsi="宋体" w:cs="宋体"/>
                <w:color w:val="auto"/>
                <w:kern w:val="2"/>
                <w:highlight w:val="none"/>
              </w:rPr>
              <w:t>元</w:t>
            </w:r>
            <w:r>
              <w:rPr>
                <w:rFonts w:hint="eastAsia" w:hAnsi="宋体" w:cs="宋体"/>
                <w:color w:val="auto"/>
                <w:kern w:val="2"/>
                <w:highlight w:val="none"/>
                <w:u w:val="single"/>
              </w:rPr>
              <w:t xml:space="preserve">  </w:t>
            </w:r>
            <w:r>
              <w:rPr>
                <w:rFonts w:hint="eastAsia" w:hAnsi="宋体" w:cs="宋体"/>
                <w:color w:val="auto"/>
                <w:kern w:val="2"/>
                <w:highlight w:val="none"/>
              </w:rPr>
              <w:t>角</w:t>
            </w:r>
            <w:r>
              <w:rPr>
                <w:rFonts w:hint="eastAsia" w:hAnsi="宋体" w:cs="宋体"/>
                <w:color w:val="auto"/>
                <w:kern w:val="2"/>
                <w:highlight w:val="none"/>
                <w:u w:val="single"/>
              </w:rPr>
              <w:t xml:space="preserve">  </w:t>
            </w:r>
            <w:r>
              <w:rPr>
                <w:rFonts w:hint="eastAsia" w:hAnsi="宋体" w:cs="宋体"/>
                <w:color w:val="auto"/>
                <w:kern w:val="2"/>
                <w:highlight w:val="none"/>
              </w:rPr>
              <w:t>分</w:t>
            </w:r>
          </w:p>
          <w:p w14:paraId="4726296D">
            <w:pPr>
              <w:pStyle w:val="32"/>
              <w:snapToGrid w:val="0"/>
              <w:spacing w:beforeLines="0" w:afterLines="0" w:line="240" w:lineRule="auto"/>
              <w:rPr>
                <w:rFonts w:hAnsi="宋体" w:cs="宋体"/>
                <w:color w:val="auto"/>
                <w:kern w:val="2"/>
                <w:highlight w:val="none"/>
              </w:rPr>
            </w:pPr>
            <w:r>
              <w:rPr>
                <w:rFonts w:hint="eastAsia" w:hAnsi="宋体" w:cs="宋体"/>
                <w:color w:val="auto"/>
                <w:kern w:val="2"/>
                <w:highlight w:val="none"/>
              </w:rPr>
              <w:t xml:space="preserve"> </w:t>
            </w:r>
          </w:p>
          <w:p w14:paraId="1E102765">
            <w:pPr>
              <w:pStyle w:val="32"/>
              <w:snapToGrid w:val="0"/>
              <w:spacing w:beforeLines="0" w:afterLines="0" w:line="240" w:lineRule="auto"/>
              <w:rPr>
                <w:rFonts w:hAnsi="宋体" w:cs="宋体"/>
                <w:color w:val="auto"/>
                <w:kern w:val="2"/>
                <w:highlight w:val="none"/>
              </w:rPr>
            </w:pPr>
            <w:r>
              <w:rPr>
                <w:rFonts w:hint="eastAsia" w:hAnsi="宋体" w:cs="宋体"/>
                <w:color w:val="auto"/>
                <w:kern w:val="2"/>
                <w:highlight w:val="none"/>
              </w:rPr>
              <w:t>小写：￥_________________元整</w:t>
            </w:r>
          </w:p>
          <w:p w14:paraId="6CC41DA3">
            <w:pPr>
              <w:rPr>
                <w:rFonts w:ascii="宋体" w:hAnsi="宋体" w:cs="宋体"/>
                <w:color w:val="auto"/>
                <w:highlight w:val="none"/>
              </w:rPr>
            </w:pPr>
          </w:p>
          <w:p w14:paraId="3AB1EF26">
            <w:pPr>
              <w:pStyle w:val="32"/>
              <w:snapToGrid w:val="0"/>
              <w:spacing w:before="120" w:beforeLines="0" w:after="120" w:afterLines="0" w:line="240" w:lineRule="auto"/>
              <w:rPr>
                <w:rFonts w:hAnsi="宋体" w:cs="宋体"/>
                <w:b/>
                <w:color w:val="auto"/>
                <w:highlight w:val="none"/>
              </w:rPr>
            </w:pPr>
          </w:p>
        </w:tc>
        <w:tc>
          <w:tcPr>
            <w:tcW w:w="1854" w:type="dxa"/>
            <w:tcBorders>
              <w:left w:val="single" w:color="auto" w:sz="4" w:space="0"/>
            </w:tcBorders>
          </w:tcPr>
          <w:p w14:paraId="5730653C">
            <w:pPr>
              <w:rPr>
                <w:rFonts w:ascii="宋体" w:hAnsi="宋体" w:cs="宋体"/>
                <w:color w:val="auto"/>
                <w:highlight w:val="none"/>
              </w:rPr>
            </w:pPr>
          </w:p>
        </w:tc>
      </w:tr>
    </w:tbl>
    <w:p w14:paraId="3EFE13CE">
      <w:pPr>
        <w:pStyle w:val="32"/>
        <w:spacing w:before="120" w:beforeLines="0" w:after="120" w:afterLines="0" w:line="240" w:lineRule="auto"/>
        <w:rPr>
          <w:rFonts w:hAnsi="宋体" w:cs="宋体"/>
          <w:b/>
          <w:color w:val="auto"/>
          <w:highlight w:val="none"/>
        </w:rPr>
      </w:pPr>
      <w:r>
        <w:rPr>
          <w:rFonts w:hint="eastAsia" w:hAnsi="宋体" w:cs="宋体"/>
          <w:b/>
          <w:color w:val="auto"/>
          <w:highlight w:val="none"/>
        </w:rPr>
        <w:t>注：1、报价一经涂改，应在涂改处加盖单位公章或者由法定代表人签字或盖章，否则其投标作无效标处理。</w:t>
      </w:r>
    </w:p>
    <w:p w14:paraId="344A8EBE">
      <w:pPr>
        <w:pStyle w:val="32"/>
        <w:spacing w:before="120" w:beforeLines="0" w:after="120" w:afterLines="0" w:line="240" w:lineRule="auto"/>
        <w:ind w:firstLine="482" w:firstLineChars="200"/>
        <w:rPr>
          <w:rFonts w:hAnsi="宋体" w:cs="宋体"/>
          <w:b/>
          <w:color w:val="auto"/>
          <w:highlight w:val="none"/>
        </w:rPr>
      </w:pPr>
    </w:p>
    <w:p w14:paraId="2B52DEC0">
      <w:pPr>
        <w:pStyle w:val="32"/>
        <w:snapToGrid w:val="0"/>
        <w:spacing w:before="120" w:beforeLines="0" w:after="120" w:afterLines="0" w:line="240" w:lineRule="auto"/>
        <w:rPr>
          <w:rFonts w:hAnsi="宋体" w:cs="宋体"/>
          <w:b/>
          <w:color w:val="auto"/>
          <w:highlight w:val="none"/>
        </w:rPr>
      </w:pPr>
    </w:p>
    <w:p w14:paraId="2538296B">
      <w:pPr>
        <w:pStyle w:val="32"/>
        <w:snapToGrid w:val="0"/>
        <w:spacing w:beforeLines="0" w:afterLines="0" w:line="240" w:lineRule="auto"/>
        <w:rPr>
          <w:rFonts w:hAnsi="宋体" w:cs="宋体"/>
          <w:color w:val="auto"/>
          <w:spacing w:val="20"/>
          <w:highlight w:val="none"/>
        </w:rPr>
      </w:pPr>
    </w:p>
    <w:p w14:paraId="7699B427">
      <w:pPr>
        <w:pStyle w:val="32"/>
        <w:snapToGrid w:val="0"/>
        <w:spacing w:beforeLines="0" w:afterLines="0" w:line="240" w:lineRule="auto"/>
        <w:rPr>
          <w:rFonts w:hAnsi="宋体" w:cs="宋体"/>
          <w:color w:val="auto"/>
          <w:spacing w:val="20"/>
          <w:highlight w:val="none"/>
        </w:rPr>
      </w:pPr>
    </w:p>
    <w:p w14:paraId="01A1248C">
      <w:pPr>
        <w:pStyle w:val="32"/>
        <w:snapToGrid w:val="0"/>
        <w:spacing w:beforeLines="0" w:afterLines="0" w:line="240" w:lineRule="auto"/>
        <w:rPr>
          <w:rFonts w:hAnsi="宋体" w:cs="宋体"/>
          <w:b/>
          <w:color w:val="auto"/>
          <w:spacing w:val="20"/>
          <w:highlight w:val="none"/>
        </w:rPr>
      </w:pPr>
      <w:r>
        <w:rPr>
          <w:rFonts w:hint="eastAsia" w:hAnsi="宋体" w:cs="宋体"/>
          <w:b/>
          <w:color w:val="auto"/>
          <w:spacing w:val="20"/>
          <w:highlight w:val="none"/>
        </w:rPr>
        <w:t xml:space="preserve">法定代表人签字（或盖章）：            投标人（盖章）：  </w:t>
      </w:r>
    </w:p>
    <w:p w14:paraId="1E03C363">
      <w:pPr>
        <w:pStyle w:val="32"/>
        <w:snapToGrid w:val="0"/>
        <w:spacing w:beforeLines="0" w:afterLines="0" w:line="240" w:lineRule="auto"/>
        <w:rPr>
          <w:rFonts w:hAnsi="宋体" w:cs="宋体"/>
          <w:b/>
          <w:color w:val="auto"/>
          <w:highlight w:val="none"/>
        </w:rPr>
      </w:pPr>
    </w:p>
    <w:p w14:paraId="116B6D1C">
      <w:pPr>
        <w:snapToGrid w:val="0"/>
        <w:spacing w:before="50" w:after="120" w:afterLines="50"/>
        <w:jc w:val="left"/>
        <w:rPr>
          <w:rFonts w:ascii="宋体" w:hAnsi="宋体" w:cs="宋体"/>
          <w:b/>
          <w:color w:val="auto"/>
          <w:kern w:val="0"/>
          <w:sz w:val="24"/>
          <w:highlight w:val="none"/>
        </w:rPr>
      </w:pPr>
    </w:p>
    <w:p w14:paraId="6145765E">
      <w:pPr>
        <w:snapToGrid w:val="0"/>
        <w:spacing w:before="50" w:after="12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40DAD644">
      <w:pPr>
        <w:pStyle w:val="32"/>
        <w:snapToGrid w:val="0"/>
        <w:spacing w:beforeLines="0" w:afterLines="0" w:line="240" w:lineRule="auto"/>
        <w:rPr>
          <w:rFonts w:hAnsi="宋体" w:cs="宋体"/>
          <w:color w:val="auto"/>
          <w:highlight w:val="none"/>
        </w:rPr>
      </w:pPr>
    </w:p>
    <w:p w14:paraId="265AD642">
      <w:pPr>
        <w:pStyle w:val="32"/>
        <w:snapToGrid w:val="0"/>
        <w:spacing w:beforeLines="0" w:afterLines="0" w:line="240" w:lineRule="auto"/>
        <w:rPr>
          <w:rFonts w:hAnsi="宋体" w:cs="宋体"/>
          <w:color w:val="auto"/>
          <w:highlight w:val="none"/>
        </w:rPr>
      </w:pPr>
    </w:p>
    <w:p w14:paraId="05DA5681">
      <w:pPr>
        <w:pStyle w:val="32"/>
        <w:snapToGrid w:val="0"/>
        <w:spacing w:beforeLines="0" w:afterLines="0" w:line="240" w:lineRule="auto"/>
        <w:rPr>
          <w:rFonts w:hAnsi="宋体" w:cs="宋体"/>
          <w:color w:val="auto"/>
          <w:highlight w:val="none"/>
        </w:rPr>
      </w:pPr>
    </w:p>
    <w:p w14:paraId="24355301">
      <w:pPr>
        <w:rPr>
          <w:rFonts w:ascii="宋体" w:hAnsi="宋体" w:cs="宋体"/>
          <w:color w:val="auto"/>
          <w:sz w:val="24"/>
          <w:highlight w:val="none"/>
        </w:rPr>
      </w:pPr>
      <w:r>
        <w:rPr>
          <w:rFonts w:hint="eastAsia" w:ascii="宋体" w:hAnsi="宋体" w:cs="宋体"/>
          <w:color w:val="auto"/>
          <w:highlight w:val="none"/>
        </w:rPr>
        <w:br w:type="page"/>
      </w:r>
    </w:p>
    <w:p w14:paraId="2CBE136C">
      <w:pPr>
        <w:pStyle w:val="32"/>
        <w:snapToGrid w:val="0"/>
        <w:spacing w:beforeLines="0" w:afterLines="0" w:line="240" w:lineRule="auto"/>
        <w:rPr>
          <w:rFonts w:hAnsi="宋体"/>
          <w:color w:val="auto"/>
          <w:highlight w:val="none"/>
        </w:rPr>
      </w:pPr>
      <w:r>
        <w:rPr>
          <w:rFonts w:hint="eastAsia" w:hAnsi="宋体"/>
          <w:color w:val="auto"/>
          <w:highlight w:val="none"/>
        </w:rPr>
        <w:t xml:space="preserve">15.报价明细表格式：       </w:t>
      </w:r>
    </w:p>
    <w:p w14:paraId="12FBE9B5">
      <w:pPr>
        <w:pStyle w:val="32"/>
        <w:snapToGrid w:val="0"/>
        <w:spacing w:beforeLines="0" w:afterLines="0" w:line="240" w:lineRule="auto"/>
        <w:jc w:val="center"/>
        <w:rPr>
          <w:rFonts w:hAnsi="宋体"/>
          <w:b/>
          <w:color w:val="auto"/>
          <w:highlight w:val="none"/>
        </w:rPr>
      </w:pPr>
      <w:r>
        <w:rPr>
          <w:rFonts w:hint="eastAsia" w:hAnsi="宋体"/>
          <w:b/>
          <w:color w:val="auto"/>
          <w:highlight w:val="none"/>
        </w:rPr>
        <w:t>报价明细表</w:t>
      </w:r>
    </w:p>
    <w:p w14:paraId="65418591">
      <w:pPr>
        <w:pStyle w:val="34"/>
        <w:ind w:left="5250"/>
        <w:rPr>
          <w:color w:val="auto"/>
          <w:highlight w:val="none"/>
        </w:rPr>
      </w:pPr>
    </w:p>
    <w:p w14:paraId="1DADEA16">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项目名称：</w:t>
      </w:r>
    </w:p>
    <w:p w14:paraId="33FA22BD">
      <w:pPr>
        <w:snapToGrid w:val="0"/>
        <w:spacing w:before="120" w:beforeLines="50" w:after="50" w:line="360" w:lineRule="auto"/>
        <w:rPr>
          <w:rFonts w:eastAsia="黑体"/>
          <w:color w:val="auto"/>
          <w:highlight w:val="none"/>
        </w:rPr>
      </w:pPr>
      <w:r>
        <w:rPr>
          <w:rFonts w:hint="eastAsia" w:ascii="宋体" w:hAnsi="宋体"/>
          <w:bCs/>
          <w:color w:val="auto"/>
          <w:sz w:val="24"/>
          <w:highlight w:val="none"/>
        </w:rPr>
        <w:t>项目编号：</w:t>
      </w:r>
    </w:p>
    <w:tbl>
      <w:tblPr>
        <w:tblStyle w:val="54"/>
        <w:tblW w:w="10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835"/>
        <w:gridCol w:w="1399"/>
        <w:gridCol w:w="1399"/>
        <w:gridCol w:w="1198"/>
        <w:gridCol w:w="1398"/>
        <w:gridCol w:w="1399"/>
        <w:gridCol w:w="1319"/>
      </w:tblGrid>
      <w:tr w14:paraId="21E1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center"/>
          </w:tcPr>
          <w:p w14:paraId="1E1370D9">
            <w:pPr>
              <w:jc w:val="center"/>
              <w:rPr>
                <w:b/>
                <w:color w:val="auto"/>
                <w:sz w:val="24"/>
                <w:highlight w:val="none"/>
              </w:rPr>
            </w:pPr>
            <w:bookmarkStart w:id="71" w:name="_Hlk78207666"/>
            <w:r>
              <w:rPr>
                <w:rFonts w:hint="eastAsia"/>
                <w:b/>
                <w:color w:val="auto"/>
                <w:sz w:val="24"/>
                <w:highlight w:val="none"/>
              </w:rPr>
              <w:t>序号</w:t>
            </w:r>
          </w:p>
        </w:tc>
        <w:tc>
          <w:tcPr>
            <w:tcW w:w="1835" w:type="dxa"/>
            <w:vAlign w:val="center"/>
          </w:tcPr>
          <w:p w14:paraId="6ADCF38B">
            <w:pPr>
              <w:jc w:val="center"/>
              <w:rPr>
                <w:b/>
                <w:color w:val="auto"/>
                <w:sz w:val="24"/>
                <w:highlight w:val="none"/>
              </w:rPr>
            </w:pPr>
            <w:r>
              <w:rPr>
                <w:rFonts w:hint="eastAsia"/>
                <w:b/>
                <w:color w:val="auto"/>
                <w:sz w:val="24"/>
                <w:highlight w:val="none"/>
              </w:rPr>
              <w:t>名称</w:t>
            </w:r>
          </w:p>
        </w:tc>
        <w:tc>
          <w:tcPr>
            <w:tcW w:w="1399" w:type="dxa"/>
            <w:vAlign w:val="center"/>
          </w:tcPr>
          <w:p w14:paraId="39781CF9">
            <w:pPr>
              <w:jc w:val="center"/>
              <w:rPr>
                <w:b/>
                <w:color w:val="auto"/>
                <w:sz w:val="24"/>
                <w:highlight w:val="none"/>
              </w:rPr>
            </w:pPr>
            <w:r>
              <w:rPr>
                <w:rFonts w:hint="eastAsia"/>
                <w:b/>
                <w:color w:val="auto"/>
                <w:sz w:val="24"/>
                <w:highlight w:val="none"/>
              </w:rPr>
              <w:t>参数</w:t>
            </w:r>
          </w:p>
        </w:tc>
        <w:tc>
          <w:tcPr>
            <w:tcW w:w="1399" w:type="dxa"/>
            <w:vAlign w:val="center"/>
          </w:tcPr>
          <w:p w14:paraId="4FFC5180">
            <w:pPr>
              <w:jc w:val="center"/>
              <w:rPr>
                <w:b/>
                <w:color w:val="auto"/>
                <w:sz w:val="24"/>
                <w:highlight w:val="none"/>
              </w:rPr>
            </w:pPr>
            <w:r>
              <w:rPr>
                <w:rFonts w:hint="eastAsia"/>
                <w:b/>
                <w:color w:val="auto"/>
                <w:sz w:val="24"/>
                <w:highlight w:val="none"/>
              </w:rPr>
              <w:t>品牌/</w:t>
            </w:r>
          </w:p>
          <w:p w14:paraId="1DCF7B8F">
            <w:pPr>
              <w:jc w:val="center"/>
              <w:rPr>
                <w:b/>
                <w:color w:val="auto"/>
                <w:sz w:val="24"/>
                <w:highlight w:val="none"/>
              </w:rPr>
            </w:pPr>
            <w:r>
              <w:rPr>
                <w:rFonts w:hint="eastAsia"/>
                <w:b/>
                <w:color w:val="auto"/>
                <w:sz w:val="24"/>
                <w:highlight w:val="none"/>
              </w:rPr>
              <w:t>型号</w:t>
            </w:r>
          </w:p>
        </w:tc>
        <w:tc>
          <w:tcPr>
            <w:tcW w:w="1198" w:type="dxa"/>
            <w:vAlign w:val="center"/>
          </w:tcPr>
          <w:p w14:paraId="3BC3F18B">
            <w:pPr>
              <w:jc w:val="center"/>
              <w:rPr>
                <w:b/>
                <w:color w:val="auto"/>
                <w:sz w:val="24"/>
                <w:highlight w:val="none"/>
              </w:rPr>
            </w:pPr>
            <w:r>
              <w:rPr>
                <w:rFonts w:hint="eastAsia"/>
                <w:b/>
                <w:color w:val="auto"/>
                <w:sz w:val="24"/>
                <w:highlight w:val="none"/>
              </w:rPr>
              <w:t>数量</w:t>
            </w:r>
          </w:p>
        </w:tc>
        <w:tc>
          <w:tcPr>
            <w:tcW w:w="1398" w:type="dxa"/>
            <w:vAlign w:val="center"/>
          </w:tcPr>
          <w:p w14:paraId="67163E1B">
            <w:pPr>
              <w:jc w:val="center"/>
              <w:rPr>
                <w:b/>
                <w:color w:val="auto"/>
                <w:sz w:val="24"/>
                <w:highlight w:val="none"/>
              </w:rPr>
            </w:pPr>
            <w:r>
              <w:rPr>
                <w:rFonts w:hint="eastAsia"/>
                <w:b/>
                <w:color w:val="auto"/>
                <w:sz w:val="24"/>
                <w:highlight w:val="none"/>
              </w:rPr>
              <w:t>单位</w:t>
            </w:r>
          </w:p>
        </w:tc>
        <w:tc>
          <w:tcPr>
            <w:tcW w:w="1399" w:type="dxa"/>
            <w:vAlign w:val="center"/>
          </w:tcPr>
          <w:p w14:paraId="5B597F21">
            <w:pPr>
              <w:jc w:val="center"/>
              <w:rPr>
                <w:b/>
                <w:color w:val="auto"/>
                <w:sz w:val="24"/>
                <w:highlight w:val="none"/>
              </w:rPr>
            </w:pPr>
            <w:r>
              <w:rPr>
                <w:rFonts w:hint="eastAsia"/>
                <w:b/>
                <w:color w:val="auto"/>
                <w:sz w:val="24"/>
                <w:highlight w:val="none"/>
              </w:rPr>
              <w:t>单价（元）</w:t>
            </w:r>
          </w:p>
        </w:tc>
        <w:tc>
          <w:tcPr>
            <w:tcW w:w="1319" w:type="dxa"/>
            <w:vAlign w:val="center"/>
          </w:tcPr>
          <w:p w14:paraId="136EEF5B">
            <w:pPr>
              <w:jc w:val="center"/>
              <w:rPr>
                <w:b/>
                <w:color w:val="auto"/>
                <w:sz w:val="24"/>
                <w:highlight w:val="none"/>
              </w:rPr>
            </w:pPr>
            <w:r>
              <w:rPr>
                <w:rFonts w:hint="eastAsia"/>
                <w:b/>
                <w:color w:val="auto"/>
                <w:sz w:val="24"/>
                <w:highlight w:val="none"/>
              </w:rPr>
              <w:t>总价（元）</w:t>
            </w:r>
          </w:p>
        </w:tc>
      </w:tr>
      <w:tr w14:paraId="180B1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bottom"/>
          </w:tcPr>
          <w:p w14:paraId="56597A90">
            <w:pPr>
              <w:spacing w:line="480" w:lineRule="auto"/>
              <w:jc w:val="center"/>
              <w:rPr>
                <w:rFonts w:ascii="宋体" w:hAnsi="宋体"/>
                <w:b/>
                <w:color w:val="auto"/>
                <w:sz w:val="24"/>
                <w:highlight w:val="none"/>
              </w:rPr>
            </w:pPr>
            <w:r>
              <w:rPr>
                <w:rFonts w:hint="eastAsia" w:ascii="宋体" w:hAnsi="宋体"/>
                <w:b/>
                <w:color w:val="auto"/>
                <w:sz w:val="24"/>
                <w:highlight w:val="none"/>
              </w:rPr>
              <w:t>1</w:t>
            </w:r>
          </w:p>
        </w:tc>
        <w:tc>
          <w:tcPr>
            <w:tcW w:w="1835" w:type="dxa"/>
            <w:tcBorders>
              <w:left w:val="single" w:color="auto" w:sz="4" w:space="0"/>
            </w:tcBorders>
            <w:vAlign w:val="center"/>
          </w:tcPr>
          <w:p w14:paraId="41BFB729">
            <w:pPr>
              <w:spacing w:line="360" w:lineRule="auto"/>
              <w:jc w:val="center"/>
              <w:rPr>
                <w:rFonts w:ascii="宋体" w:hAnsi="宋体"/>
                <w:color w:val="auto"/>
                <w:sz w:val="24"/>
                <w:highlight w:val="none"/>
              </w:rPr>
            </w:pPr>
          </w:p>
        </w:tc>
        <w:tc>
          <w:tcPr>
            <w:tcW w:w="1399" w:type="dxa"/>
            <w:tcBorders>
              <w:left w:val="single" w:color="auto" w:sz="4" w:space="0"/>
            </w:tcBorders>
            <w:vAlign w:val="center"/>
          </w:tcPr>
          <w:p w14:paraId="72E2795B">
            <w:pPr>
              <w:spacing w:line="360" w:lineRule="auto"/>
              <w:jc w:val="center"/>
              <w:rPr>
                <w:rFonts w:ascii="宋体" w:hAnsi="宋体"/>
                <w:color w:val="auto"/>
                <w:sz w:val="24"/>
                <w:highlight w:val="none"/>
              </w:rPr>
            </w:pPr>
          </w:p>
        </w:tc>
        <w:tc>
          <w:tcPr>
            <w:tcW w:w="1399" w:type="dxa"/>
            <w:tcBorders>
              <w:left w:val="single" w:color="auto" w:sz="4" w:space="0"/>
            </w:tcBorders>
            <w:vAlign w:val="center"/>
          </w:tcPr>
          <w:p w14:paraId="7556939D">
            <w:pPr>
              <w:spacing w:line="480" w:lineRule="auto"/>
              <w:jc w:val="center"/>
              <w:rPr>
                <w:rFonts w:ascii="宋体" w:hAnsi="宋体"/>
                <w:b/>
                <w:color w:val="auto"/>
                <w:sz w:val="24"/>
                <w:highlight w:val="none"/>
              </w:rPr>
            </w:pPr>
          </w:p>
        </w:tc>
        <w:tc>
          <w:tcPr>
            <w:tcW w:w="1198" w:type="dxa"/>
            <w:tcBorders>
              <w:left w:val="single" w:color="auto" w:sz="4" w:space="0"/>
            </w:tcBorders>
            <w:vAlign w:val="center"/>
          </w:tcPr>
          <w:p w14:paraId="1569DC1C">
            <w:pPr>
              <w:spacing w:line="480" w:lineRule="auto"/>
              <w:jc w:val="center"/>
              <w:rPr>
                <w:rFonts w:ascii="宋体" w:hAnsi="宋体"/>
                <w:b/>
                <w:color w:val="auto"/>
                <w:sz w:val="24"/>
                <w:highlight w:val="none"/>
              </w:rPr>
            </w:pPr>
          </w:p>
        </w:tc>
        <w:tc>
          <w:tcPr>
            <w:tcW w:w="1398" w:type="dxa"/>
            <w:tcBorders>
              <w:left w:val="single" w:color="auto" w:sz="4" w:space="0"/>
            </w:tcBorders>
            <w:vAlign w:val="center"/>
          </w:tcPr>
          <w:p w14:paraId="192DCB35">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0CD96A1A">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0BC8239E">
            <w:pPr>
              <w:spacing w:line="480" w:lineRule="auto"/>
              <w:jc w:val="center"/>
              <w:rPr>
                <w:rFonts w:ascii="宋体" w:hAnsi="宋体"/>
                <w:b/>
                <w:color w:val="auto"/>
                <w:sz w:val="24"/>
                <w:highlight w:val="none"/>
              </w:rPr>
            </w:pPr>
          </w:p>
        </w:tc>
      </w:tr>
      <w:tr w14:paraId="16A8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bottom"/>
          </w:tcPr>
          <w:p w14:paraId="7BCDE77C">
            <w:pPr>
              <w:spacing w:line="480" w:lineRule="auto"/>
              <w:jc w:val="center"/>
              <w:rPr>
                <w:rFonts w:ascii="宋体" w:hAnsi="宋体"/>
                <w:b/>
                <w:color w:val="auto"/>
                <w:sz w:val="24"/>
                <w:highlight w:val="none"/>
              </w:rPr>
            </w:pPr>
          </w:p>
        </w:tc>
        <w:tc>
          <w:tcPr>
            <w:tcW w:w="1835" w:type="dxa"/>
            <w:tcBorders>
              <w:left w:val="single" w:color="auto" w:sz="4" w:space="0"/>
            </w:tcBorders>
            <w:vAlign w:val="center"/>
          </w:tcPr>
          <w:p w14:paraId="253679BB">
            <w:pPr>
              <w:spacing w:line="360" w:lineRule="auto"/>
              <w:jc w:val="center"/>
              <w:rPr>
                <w:rFonts w:ascii="宋体" w:hAnsi="宋体"/>
                <w:color w:val="auto"/>
                <w:sz w:val="24"/>
                <w:highlight w:val="none"/>
              </w:rPr>
            </w:pPr>
          </w:p>
        </w:tc>
        <w:tc>
          <w:tcPr>
            <w:tcW w:w="1399" w:type="dxa"/>
            <w:tcBorders>
              <w:left w:val="single" w:color="auto" w:sz="4" w:space="0"/>
            </w:tcBorders>
            <w:vAlign w:val="center"/>
          </w:tcPr>
          <w:p w14:paraId="35E8D42D">
            <w:pPr>
              <w:spacing w:line="360" w:lineRule="auto"/>
              <w:jc w:val="center"/>
              <w:rPr>
                <w:rFonts w:ascii="宋体" w:hAnsi="宋体"/>
                <w:color w:val="auto"/>
                <w:sz w:val="24"/>
                <w:highlight w:val="none"/>
              </w:rPr>
            </w:pPr>
          </w:p>
        </w:tc>
        <w:tc>
          <w:tcPr>
            <w:tcW w:w="1399" w:type="dxa"/>
            <w:tcBorders>
              <w:left w:val="single" w:color="auto" w:sz="4" w:space="0"/>
            </w:tcBorders>
            <w:vAlign w:val="center"/>
          </w:tcPr>
          <w:p w14:paraId="402082A3">
            <w:pPr>
              <w:spacing w:line="480" w:lineRule="auto"/>
              <w:jc w:val="center"/>
              <w:rPr>
                <w:rFonts w:ascii="宋体" w:hAnsi="宋体"/>
                <w:b/>
                <w:color w:val="auto"/>
                <w:sz w:val="24"/>
                <w:highlight w:val="none"/>
              </w:rPr>
            </w:pPr>
          </w:p>
        </w:tc>
        <w:tc>
          <w:tcPr>
            <w:tcW w:w="1198" w:type="dxa"/>
            <w:tcBorders>
              <w:left w:val="single" w:color="auto" w:sz="4" w:space="0"/>
            </w:tcBorders>
          </w:tcPr>
          <w:p w14:paraId="3A407B36">
            <w:pPr>
              <w:spacing w:line="480" w:lineRule="auto"/>
              <w:jc w:val="center"/>
              <w:rPr>
                <w:rFonts w:ascii="宋体" w:hAnsi="宋体"/>
                <w:color w:val="auto"/>
                <w:highlight w:val="none"/>
              </w:rPr>
            </w:pPr>
          </w:p>
        </w:tc>
        <w:tc>
          <w:tcPr>
            <w:tcW w:w="1398" w:type="dxa"/>
            <w:tcBorders>
              <w:left w:val="single" w:color="auto" w:sz="4" w:space="0"/>
            </w:tcBorders>
            <w:vAlign w:val="center"/>
          </w:tcPr>
          <w:p w14:paraId="56C391D8">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27BEF365">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638C410E">
            <w:pPr>
              <w:spacing w:line="480" w:lineRule="auto"/>
              <w:jc w:val="center"/>
              <w:rPr>
                <w:rFonts w:ascii="宋体" w:hAnsi="宋体"/>
                <w:b/>
                <w:color w:val="auto"/>
                <w:sz w:val="24"/>
                <w:highlight w:val="none"/>
              </w:rPr>
            </w:pPr>
          </w:p>
        </w:tc>
      </w:tr>
      <w:tr w14:paraId="0C60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bottom"/>
          </w:tcPr>
          <w:p w14:paraId="60355443">
            <w:pPr>
              <w:spacing w:line="480" w:lineRule="auto"/>
              <w:jc w:val="center"/>
              <w:rPr>
                <w:rFonts w:ascii="宋体" w:hAnsi="宋体"/>
                <w:b/>
                <w:color w:val="auto"/>
                <w:sz w:val="24"/>
                <w:highlight w:val="none"/>
              </w:rPr>
            </w:pPr>
          </w:p>
        </w:tc>
        <w:tc>
          <w:tcPr>
            <w:tcW w:w="1835" w:type="dxa"/>
            <w:tcBorders>
              <w:left w:val="single" w:color="auto" w:sz="4" w:space="0"/>
            </w:tcBorders>
          </w:tcPr>
          <w:p w14:paraId="78EE7690">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6F47658D">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210FBA27">
            <w:pPr>
              <w:spacing w:line="480" w:lineRule="auto"/>
              <w:jc w:val="center"/>
              <w:rPr>
                <w:rFonts w:ascii="宋体" w:hAnsi="宋体"/>
                <w:b/>
                <w:color w:val="auto"/>
                <w:sz w:val="24"/>
                <w:highlight w:val="none"/>
              </w:rPr>
            </w:pPr>
          </w:p>
        </w:tc>
        <w:tc>
          <w:tcPr>
            <w:tcW w:w="1198" w:type="dxa"/>
            <w:tcBorders>
              <w:left w:val="single" w:color="auto" w:sz="4" w:space="0"/>
            </w:tcBorders>
          </w:tcPr>
          <w:p w14:paraId="73651B3E">
            <w:pPr>
              <w:spacing w:line="480" w:lineRule="auto"/>
              <w:jc w:val="center"/>
              <w:rPr>
                <w:rFonts w:ascii="宋体" w:hAnsi="宋体"/>
                <w:color w:val="auto"/>
                <w:highlight w:val="none"/>
              </w:rPr>
            </w:pPr>
          </w:p>
        </w:tc>
        <w:tc>
          <w:tcPr>
            <w:tcW w:w="1398" w:type="dxa"/>
            <w:tcBorders>
              <w:left w:val="single" w:color="auto" w:sz="4" w:space="0"/>
            </w:tcBorders>
            <w:vAlign w:val="center"/>
          </w:tcPr>
          <w:p w14:paraId="08D318C1">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25696813">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57CA7113">
            <w:pPr>
              <w:spacing w:line="480" w:lineRule="auto"/>
              <w:jc w:val="center"/>
              <w:rPr>
                <w:rFonts w:ascii="宋体" w:hAnsi="宋体"/>
                <w:b/>
                <w:color w:val="auto"/>
                <w:sz w:val="24"/>
                <w:highlight w:val="none"/>
              </w:rPr>
            </w:pPr>
          </w:p>
        </w:tc>
      </w:tr>
      <w:tr w14:paraId="0B78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bottom"/>
          </w:tcPr>
          <w:p w14:paraId="78B3D628">
            <w:pPr>
              <w:spacing w:line="480" w:lineRule="auto"/>
              <w:jc w:val="center"/>
              <w:rPr>
                <w:rFonts w:ascii="宋体" w:hAnsi="宋体"/>
                <w:b/>
                <w:color w:val="auto"/>
                <w:sz w:val="24"/>
                <w:highlight w:val="none"/>
              </w:rPr>
            </w:pPr>
          </w:p>
        </w:tc>
        <w:tc>
          <w:tcPr>
            <w:tcW w:w="1835" w:type="dxa"/>
            <w:tcBorders>
              <w:left w:val="single" w:color="auto" w:sz="4" w:space="0"/>
            </w:tcBorders>
          </w:tcPr>
          <w:p w14:paraId="262BA728">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73B86F49">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059247D9">
            <w:pPr>
              <w:spacing w:line="480" w:lineRule="auto"/>
              <w:jc w:val="center"/>
              <w:rPr>
                <w:rFonts w:ascii="宋体" w:hAnsi="宋体"/>
                <w:b/>
                <w:color w:val="auto"/>
                <w:sz w:val="24"/>
                <w:highlight w:val="none"/>
              </w:rPr>
            </w:pPr>
          </w:p>
        </w:tc>
        <w:tc>
          <w:tcPr>
            <w:tcW w:w="1198" w:type="dxa"/>
            <w:tcBorders>
              <w:left w:val="single" w:color="auto" w:sz="4" w:space="0"/>
            </w:tcBorders>
          </w:tcPr>
          <w:p w14:paraId="57DAFAEA">
            <w:pPr>
              <w:spacing w:line="480" w:lineRule="auto"/>
              <w:jc w:val="center"/>
              <w:rPr>
                <w:rFonts w:ascii="宋体" w:hAnsi="宋体"/>
                <w:color w:val="auto"/>
                <w:highlight w:val="none"/>
              </w:rPr>
            </w:pPr>
          </w:p>
        </w:tc>
        <w:tc>
          <w:tcPr>
            <w:tcW w:w="1398" w:type="dxa"/>
            <w:tcBorders>
              <w:left w:val="single" w:color="auto" w:sz="4" w:space="0"/>
            </w:tcBorders>
            <w:vAlign w:val="center"/>
          </w:tcPr>
          <w:p w14:paraId="06D8CDDC">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465E2526">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24C3ED6F">
            <w:pPr>
              <w:spacing w:line="480" w:lineRule="auto"/>
              <w:jc w:val="center"/>
              <w:rPr>
                <w:rFonts w:ascii="宋体" w:hAnsi="宋体"/>
                <w:b/>
                <w:color w:val="auto"/>
                <w:sz w:val="24"/>
                <w:highlight w:val="none"/>
              </w:rPr>
            </w:pPr>
          </w:p>
        </w:tc>
      </w:tr>
      <w:tr w14:paraId="5916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center"/>
          </w:tcPr>
          <w:p w14:paraId="2B80C39F">
            <w:pPr>
              <w:spacing w:line="480" w:lineRule="auto"/>
              <w:jc w:val="center"/>
              <w:rPr>
                <w:rFonts w:ascii="宋体" w:hAnsi="宋体"/>
                <w:b/>
                <w:color w:val="auto"/>
                <w:sz w:val="24"/>
                <w:highlight w:val="none"/>
              </w:rPr>
            </w:pPr>
          </w:p>
        </w:tc>
        <w:tc>
          <w:tcPr>
            <w:tcW w:w="1835" w:type="dxa"/>
            <w:tcBorders>
              <w:left w:val="single" w:color="auto" w:sz="4" w:space="0"/>
            </w:tcBorders>
          </w:tcPr>
          <w:p w14:paraId="05DD79AA">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1C912C80">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0864F7C1">
            <w:pPr>
              <w:spacing w:line="480" w:lineRule="auto"/>
              <w:jc w:val="center"/>
              <w:rPr>
                <w:rFonts w:ascii="宋体" w:hAnsi="宋体"/>
                <w:b/>
                <w:color w:val="auto"/>
                <w:sz w:val="24"/>
                <w:highlight w:val="none"/>
              </w:rPr>
            </w:pPr>
          </w:p>
        </w:tc>
        <w:tc>
          <w:tcPr>
            <w:tcW w:w="1198" w:type="dxa"/>
            <w:tcBorders>
              <w:left w:val="single" w:color="auto" w:sz="4" w:space="0"/>
            </w:tcBorders>
          </w:tcPr>
          <w:p w14:paraId="24816502">
            <w:pPr>
              <w:spacing w:line="480" w:lineRule="auto"/>
              <w:jc w:val="center"/>
              <w:rPr>
                <w:rFonts w:ascii="宋体" w:hAnsi="宋体"/>
                <w:color w:val="auto"/>
                <w:highlight w:val="none"/>
              </w:rPr>
            </w:pPr>
          </w:p>
        </w:tc>
        <w:tc>
          <w:tcPr>
            <w:tcW w:w="1398" w:type="dxa"/>
            <w:tcBorders>
              <w:left w:val="single" w:color="auto" w:sz="4" w:space="0"/>
            </w:tcBorders>
            <w:vAlign w:val="center"/>
          </w:tcPr>
          <w:p w14:paraId="130CB28E">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692AA73B">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245E84BC">
            <w:pPr>
              <w:spacing w:line="480" w:lineRule="auto"/>
              <w:jc w:val="center"/>
              <w:rPr>
                <w:rFonts w:ascii="宋体" w:hAnsi="宋体"/>
                <w:b/>
                <w:color w:val="auto"/>
                <w:sz w:val="24"/>
                <w:highlight w:val="none"/>
              </w:rPr>
            </w:pPr>
          </w:p>
        </w:tc>
      </w:tr>
      <w:tr w14:paraId="6A0F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center"/>
          </w:tcPr>
          <w:p w14:paraId="60CC0ACB">
            <w:pPr>
              <w:spacing w:line="480" w:lineRule="auto"/>
              <w:jc w:val="center"/>
              <w:rPr>
                <w:rFonts w:ascii="宋体" w:hAnsi="宋体"/>
                <w:b/>
                <w:color w:val="auto"/>
                <w:sz w:val="24"/>
                <w:highlight w:val="none"/>
              </w:rPr>
            </w:pPr>
          </w:p>
        </w:tc>
        <w:tc>
          <w:tcPr>
            <w:tcW w:w="1835" w:type="dxa"/>
            <w:tcBorders>
              <w:left w:val="single" w:color="auto" w:sz="4" w:space="0"/>
            </w:tcBorders>
          </w:tcPr>
          <w:p w14:paraId="0EC6E677">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7F84191A">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09C3EB4A">
            <w:pPr>
              <w:spacing w:line="480" w:lineRule="auto"/>
              <w:jc w:val="center"/>
              <w:rPr>
                <w:rFonts w:ascii="宋体" w:hAnsi="宋体"/>
                <w:b/>
                <w:color w:val="auto"/>
                <w:sz w:val="24"/>
                <w:highlight w:val="none"/>
              </w:rPr>
            </w:pPr>
          </w:p>
        </w:tc>
        <w:tc>
          <w:tcPr>
            <w:tcW w:w="1198" w:type="dxa"/>
            <w:tcBorders>
              <w:left w:val="single" w:color="auto" w:sz="4" w:space="0"/>
            </w:tcBorders>
          </w:tcPr>
          <w:p w14:paraId="3C263EA4">
            <w:pPr>
              <w:spacing w:line="480" w:lineRule="auto"/>
              <w:jc w:val="center"/>
              <w:rPr>
                <w:rFonts w:ascii="宋体" w:hAnsi="宋体"/>
                <w:color w:val="auto"/>
                <w:highlight w:val="none"/>
              </w:rPr>
            </w:pPr>
          </w:p>
        </w:tc>
        <w:tc>
          <w:tcPr>
            <w:tcW w:w="1398" w:type="dxa"/>
            <w:tcBorders>
              <w:left w:val="single" w:color="auto" w:sz="4" w:space="0"/>
            </w:tcBorders>
            <w:vAlign w:val="center"/>
          </w:tcPr>
          <w:p w14:paraId="223DDB5E">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3A156B0F">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62B8E3FB">
            <w:pPr>
              <w:spacing w:line="480" w:lineRule="auto"/>
              <w:jc w:val="center"/>
              <w:rPr>
                <w:rFonts w:ascii="宋体" w:hAnsi="宋体"/>
                <w:b/>
                <w:color w:val="auto"/>
                <w:sz w:val="24"/>
                <w:highlight w:val="none"/>
              </w:rPr>
            </w:pPr>
          </w:p>
        </w:tc>
      </w:tr>
      <w:tr w14:paraId="28D9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16" w:type="dxa"/>
            <w:vAlign w:val="center"/>
          </w:tcPr>
          <w:p w14:paraId="5D0A089B">
            <w:pPr>
              <w:spacing w:line="480" w:lineRule="auto"/>
              <w:jc w:val="center"/>
              <w:rPr>
                <w:rFonts w:ascii="宋体" w:hAnsi="宋体"/>
                <w:b/>
                <w:color w:val="auto"/>
                <w:sz w:val="24"/>
                <w:highlight w:val="none"/>
              </w:rPr>
            </w:pPr>
          </w:p>
        </w:tc>
        <w:tc>
          <w:tcPr>
            <w:tcW w:w="1835" w:type="dxa"/>
            <w:tcBorders>
              <w:left w:val="single" w:color="auto" w:sz="4" w:space="0"/>
            </w:tcBorders>
          </w:tcPr>
          <w:p w14:paraId="64F8FE18">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3F38CC1D">
            <w:pPr>
              <w:spacing w:line="480" w:lineRule="auto"/>
              <w:jc w:val="center"/>
              <w:rPr>
                <w:rFonts w:ascii="宋体" w:hAnsi="宋体"/>
                <w:color w:val="auto"/>
                <w:sz w:val="24"/>
                <w:highlight w:val="none"/>
              </w:rPr>
            </w:pPr>
          </w:p>
        </w:tc>
        <w:tc>
          <w:tcPr>
            <w:tcW w:w="1399" w:type="dxa"/>
            <w:tcBorders>
              <w:left w:val="single" w:color="auto" w:sz="4" w:space="0"/>
            </w:tcBorders>
            <w:vAlign w:val="center"/>
          </w:tcPr>
          <w:p w14:paraId="00FB55DF">
            <w:pPr>
              <w:spacing w:line="480" w:lineRule="auto"/>
              <w:jc w:val="center"/>
              <w:rPr>
                <w:rFonts w:ascii="宋体" w:hAnsi="宋体"/>
                <w:b/>
                <w:color w:val="auto"/>
                <w:sz w:val="24"/>
                <w:highlight w:val="none"/>
              </w:rPr>
            </w:pPr>
          </w:p>
        </w:tc>
        <w:tc>
          <w:tcPr>
            <w:tcW w:w="1198" w:type="dxa"/>
            <w:tcBorders>
              <w:left w:val="single" w:color="auto" w:sz="4" w:space="0"/>
            </w:tcBorders>
          </w:tcPr>
          <w:p w14:paraId="4519FD9D">
            <w:pPr>
              <w:spacing w:line="480" w:lineRule="auto"/>
              <w:jc w:val="center"/>
              <w:rPr>
                <w:rFonts w:ascii="宋体" w:hAnsi="宋体"/>
                <w:color w:val="auto"/>
                <w:highlight w:val="none"/>
              </w:rPr>
            </w:pPr>
          </w:p>
        </w:tc>
        <w:tc>
          <w:tcPr>
            <w:tcW w:w="1398" w:type="dxa"/>
            <w:tcBorders>
              <w:left w:val="single" w:color="auto" w:sz="4" w:space="0"/>
            </w:tcBorders>
            <w:vAlign w:val="center"/>
          </w:tcPr>
          <w:p w14:paraId="11235352">
            <w:pPr>
              <w:spacing w:line="480" w:lineRule="auto"/>
              <w:jc w:val="center"/>
              <w:rPr>
                <w:rFonts w:ascii="宋体" w:hAnsi="宋体"/>
                <w:b/>
                <w:color w:val="auto"/>
                <w:sz w:val="24"/>
                <w:highlight w:val="none"/>
              </w:rPr>
            </w:pPr>
          </w:p>
        </w:tc>
        <w:tc>
          <w:tcPr>
            <w:tcW w:w="1399" w:type="dxa"/>
            <w:tcBorders>
              <w:left w:val="single" w:color="auto" w:sz="4" w:space="0"/>
            </w:tcBorders>
            <w:vAlign w:val="center"/>
          </w:tcPr>
          <w:p w14:paraId="13402338">
            <w:pPr>
              <w:spacing w:line="480" w:lineRule="auto"/>
              <w:jc w:val="center"/>
              <w:rPr>
                <w:rFonts w:ascii="宋体" w:hAnsi="宋体"/>
                <w:b/>
                <w:color w:val="auto"/>
                <w:sz w:val="24"/>
                <w:highlight w:val="none"/>
              </w:rPr>
            </w:pPr>
          </w:p>
        </w:tc>
        <w:tc>
          <w:tcPr>
            <w:tcW w:w="1319" w:type="dxa"/>
            <w:tcBorders>
              <w:left w:val="single" w:color="auto" w:sz="4" w:space="0"/>
            </w:tcBorders>
            <w:vAlign w:val="center"/>
          </w:tcPr>
          <w:p w14:paraId="1E93D830">
            <w:pPr>
              <w:spacing w:line="480" w:lineRule="auto"/>
              <w:jc w:val="center"/>
              <w:rPr>
                <w:rFonts w:ascii="宋体" w:hAnsi="宋体"/>
                <w:b/>
                <w:color w:val="auto"/>
                <w:sz w:val="24"/>
                <w:highlight w:val="none"/>
              </w:rPr>
            </w:pPr>
          </w:p>
        </w:tc>
      </w:tr>
      <w:tr w14:paraId="3EFF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9444" w:type="dxa"/>
            <w:gridSpan w:val="7"/>
            <w:vAlign w:val="center"/>
          </w:tcPr>
          <w:p w14:paraId="38A2AE17">
            <w:pPr>
              <w:spacing w:line="480" w:lineRule="auto"/>
              <w:jc w:val="left"/>
              <w:rPr>
                <w:rFonts w:ascii="宋体" w:hAnsi="宋体"/>
                <w:b/>
                <w:color w:val="auto"/>
                <w:sz w:val="24"/>
                <w:highlight w:val="none"/>
              </w:rPr>
            </w:pPr>
            <w:r>
              <w:rPr>
                <w:rFonts w:hint="eastAsia" w:ascii="宋体" w:hAnsi="宋体"/>
                <w:b/>
                <w:color w:val="auto"/>
                <w:sz w:val="24"/>
                <w:highlight w:val="none"/>
              </w:rPr>
              <w:t xml:space="preserve">合计人民币：大写                             </w:t>
            </w:r>
            <w:r>
              <w:rPr>
                <w:rFonts w:ascii="宋体" w:hAnsi="宋体"/>
                <w:b/>
                <w:color w:val="auto"/>
                <w:sz w:val="24"/>
                <w:highlight w:val="none"/>
              </w:rPr>
              <w:t xml:space="preserve">      </w:t>
            </w:r>
            <w:r>
              <w:rPr>
                <w:rFonts w:hint="eastAsia" w:ascii="宋体" w:hAnsi="宋体"/>
                <w:b/>
                <w:color w:val="auto"/>
                <w:sz w:val="24"/>
                <w:highlight w:val="none"/>
              </w:rPr>
              <w:t>小写</w:t>
            </w:r>
          </w:p>
        </w:tc>
        <w:tc>
          <w:tcPr>
            <w:tcW w:w="1319" w:type="dxa"/>
            <w:tcBorders>
              <w:left w:val="single" w:color="auto" w:sz="4" w:space="0"/>
            </w:tcBorders>
            <w:vAlign w:val="center"/>
          </w:tcPr>
          <w:p w14:paraId="53FD7F0C">
            <w:pPr>
              <w:spacing w:line="480" w:lineRule="auto"/>
              <w:jc w:val="left"/>
              <w:rPr>
                <w:rFonts w:ascii="宋体" w:hAnsi="宋体"/>
                <w:b/>
                <w:color w:val="auto"/>
                <w:sz w:val="24"/>
                <w:highlight w:val="none"/>
              </w:rPr>
            </w:pPr>
          </w:p>
        </w:tc>
      </w:tr>
    </w:tbl>
    <w:p w14:paraId="76BF50B9">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p w14:paraId="2488AE10">
      <w:pPr>
        <w:snapToGrid w:val="0"/>
        <w:spacing w:before="50" w:after="50" w:line="420" w:lineRule="exact"/>
        <w:jc w:val="left"/>
        <w:rPr>
          <w:rFonts w:ascii="宋体" w:hAnsi="宋体"/>
          <w:color w:val="auto"/>
          <w:sz w:val="24"/>
          <w:highlight w:val="none"/>
        </w:rPr>
      </w:pPr>
      <w:r>
        <w:rPr>
          <w:rFonts w:hint="eastAsia" w:ascii="宋体" w:hAnsi="宋体"/>
          <w:b/>
          <w:color w:val="auto"/>
          <w:sz w:val="24"/>
          <w:highlight w:val="none"/>
        </w:rPr>
        <w:t>1、本报价明细表投标人请根据招标文件招标清单中的内容进行填写，不得漏项。</w:t>
      </w:r>
    </w:p>
    <w:p w14:paraId="2A8A622C">
      <w:pPr>
        <w:snapToGrid w:val="0"/>
        <w:spacing w:before="50" w:after="50" w:line="420" w:lineRule="exact"/>
        <w:jc w:val="left"/>
        <w:rPr>
          <w:rFonts w:ascii="宋体" w:hAnsi="宋体"/>
          <w:color w:val="auto"/>
          <w:sz w:val="24"/>
          <w:highlight w:val="none"/>
        </w:rPr>
      </w:pPr>
      <w:r>
        <w:rPr>
          <w:rFonts w:hint="eastAsia" w:ascii="宋体" w:hAnsi="宋体"/>
          <w:color w:val="auto"/>
          <w:sz w:val="24"/>
          <w:highlight w:val="none"/>
        </w:rPr>
        <w:t>2、报价一经涂改，应在涂改处加盖单位公章或者由法定代表人签字或盖章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bookmarkEnd w:id="71"/>
    </w:p>
    <w:p w14:paraId="19E4FAF8">
      <w:pPr>
        <w:snapToGrid w:val="0"/>
        <w:spacing w:before="50" w:after="120" w:afterLines="50" w:line="360" w:lineRule="auto"/>
        <w:jc w:val="left"/>
        <w:rPr>
          <w:rFonts w:ascii="宋体" w:hAnsi="宋体"/>
          <w:b/>
          <w:color w:val="auto"/>
          <w:sz w:val="24"/>
          <w:highlight w:val="none"/>
        </w:rPr>
      </w:pPr>
    </w:p>
    <w:p w14:paraId="007CAC6D">
      <w:pPr>
        <w:snapToGrid w:val="0"/>
        <w:spacing w:before="50" w:after="12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49EF8B24">
      <w:pPr>
        <w:tabs>
          <w:tab w:val="left" w:pos="606"/>
        </w:tabs>
        <w:rPr>
          <w:rFonts w:ascii="宋体" w:hAnsi="宋体"/>
          <w:b/>
          <w:color w:val="auto"/>
          <w:highlight w:val="none"/>
        </w:rPr>
      </w:pPr>
      <w:r>
        <w:rPr>
          <w:rFonts w:hint="eastAsia" w:ascii="宋体" w:hAnsi="宋体"/>
          <w:b/>
          <w:color w:val="auto"/>
          <w:spacing w:val="20"/>
          <w:sz w:val="24"/>
          <w:highlight w:val="none"/>
        </w:rPr>
        <w:t>日期：</w:t>
      </w:r>
    </w:p>
    <w:p w14:paraId="05B9D11B">
      <w:pPr>
        <w:snapToGrid w:val="0"/>
        <w:spacing w:line="360" w:lineRule="auto"/>
        <w:rPr>
          <w:rFonts w:hAnsi="宋体"/>
          <w:color w:val="auto"/>
          <w:sz w:val="24"/>
          <w:highlight w:val="none"/>
        </w:rPr>
      </w:pPr>
    </w:p>
    <w:p w14:paraId="44979C66">
      <w:pPr>
        <w:snapToGrid w:val="0"/>
        <w:spacing w:line="360" w:lineRule="auto"/>
        <w:rPr>
          <w:rFonts w:ascii="宋体" w:hAnsi="宋体" w:cs="宋体"/>
          <w:color w:val="auto"/>
          <w:sz w:val="24"/>
          <w:highlight w:val="none"/>
        </w:rPr>
      </w:pPr>
    </w:p>
    <w:p w14:paraId="71587882">
      <w:pPr>
        <w:pStyle w:val="362"/>
        <w:rPr>
          <w:color w:val="auto"/>
          <w:highlight w:val="none"/>
        </w:rPr>
      </w:pPr>
    </w:p>
    <w:sectPr>
      <w:footerReference r:id="rId7" w:type="default"/>
      <w:footerReference r:id="rId8" w:type="even"/>
      <w:pgSz w:w="11906" w:h="16838"/>
      <w:pgMar w:top="1021" w:right="1588" w:bottom="851" w:left="1588"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Melanie BT Std Roman">
    <w:altName w:val="宋体"/>
    <w:panose1 w:val="02010600010101010101"/>
    <w:charset w:val="86"/>
    <w:family w:val="auto"/>
    <w:pitch w:val="default"/>
    <w:sig w:usb0="00000000" w:usb1="00000000" w:usb2="0000000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Gabriola">
    <w:panose1 w:val="04040605051002020D02"/>
    <w:charset w:val="00"/>
    <w:family w:val="auto"/>
    <w:pitch w:val="default"/>
    <w:sig w:usb0="E00002EF" w:usb1="5000204B" w:usb2="00000000" w:usb3="00000000" w:csb0="2000009F"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仿宋_GBK">
    <w:altName w:val="微软雅黑"/>
    <w:panose1 w:val="02000000000000000000"/>
    <w:charset w:val="86"/>
    <w:family w:val="auto"/>
    <w:pitch w:val="default"/>
    <w:sig w:usb0="00000000" w:usb1="00000000" w:usb2="00082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E8859BCF">
    <w:panose1 w:val="020106090601010101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729E">
    <w:pPr>
      <w:pStyle w:val="37"/>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200" cy="131445"/>
              <wp:effectExtent l="0" t="0" r="0" b="0"/>
              <wp:wrapNone/>
              <wp:docPr id="4" name="文本框 4"/>
              <wp:cNvGraphicFramePr/>
              <a:graphic xmlns:a="http://schemas.openxmlformats.org/drawingml/2006/main">
                <a:graphicData uri="http://schemas.microsoft.com/office/word/2010/wordprocessingShape">
                  <wps:wsp>
                    <wps:cNvSpPr/>
                    <wps:spPr>
                      <a:xfrm>
                        <a:off x="0" y="0"/>
                        <a:ext cx="76200" cy="131433"/>
                      </a:xfrm>
                      <a:prstGeom prst="rect">
                        <a:avLst/>
                      </a:prstGeom>
                      <a:noFill/>
                      <a:ln w="6350" cap="flat" cmpd="sng">
                        <a:noFill/>
                        <a:prstDash val="solid"/>
                        <a:round/>
                      </a:ln>
                    </wps:spPr>
                    <wps:txbx>
                      <w:txbxContent>
                        <w:p w14:paraId="39DEF0DB">
                          <w:pPr>
                            <w:pStyle w:val="37"/>
                            <w:jc w:val="right"/>
                          </w:pP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a:spAutoFit/>
                    </wps:bodyPr>
                  </wps:wsp>
                </a:graphicData>
              </a:graphic>
            </wp:anchor>
          </w:drawing>
        </mc:Choice>
        <mc:Fallback>
          <w:pict>
            <v:rect id="文本框 4" o:spid="_x0000_s1026" o:spt="1" style="position:absolute;left:0pt;margin-top:0pt;height:10.35pt;width:6pt;mso-position-horizontal:center;mso-position-horizontal-relative:margin;mso-wrap-style:none;z-index:251659264;mso-width-relative:page;mso-height-relative:page;" filled="f" stroked="f" coordsize="21600,21600" o:gfxdata="UEsDBAoAAAAAAIdO4kAAAAAAAAAAAAAAAAAEAAAAZHJzL1BLAwQUAAAACACHTuJAxVfhx9UAAAAD&#10;AQAADwAAAGRycy9kb3ducmV2LnhtbE2PwU7DMBBE70j8g7VIXCpqNwdAIU4PIEBC9ECokLi58TaO&#10;Gq9D7CalX8+WC1xGGs1q5m2xPPhOjDjENpCGxVyBQKqDbanRsH5/vLoFEZMha7pAqOEbIyzL87PC&#10;5DZM9IZjlRrBJRRzo8Gl1OdSxtqhN3EeeiTOtmHwJrEdGmkHM3G572Sm1LX0piVecKbHe4f1rtp7&#10;Da8PT58fM/eistVxtg1TtR6/nndaX14s1B2IhIf0dwwnfEaHkpk2YU82ik4DP5J+9ZRl7DYaMnUD&#10;sizkf/byB1BLAwQUAAAACACHTuJAebn7XfoBAADnAwAADgAAAGRycy9lMm9Eb2MueG1srVNLjhMx&#10;EN0jcQfLe9LJJATUijMaEQ1CQjDSwAEct5225J9cTrrDAeAGrNiw51w5x5Td+YyGzSxm0/1sl1/V&#10;e1VeXPfWkJ2MoL1jdDIaUyKd8I12G0a/f7t9854SSNw13HgnGd1LoNfL168WXajllW+9aWQkSOKg&#10;7gKjbUqhrioQrbQcRj5Ih4fKR8sTLuOmaiLvkN2a6mo8nledj02IXkgA3F0Nh/TIGJ9D6JXSQq68&#10;2Frp0sAapeEJJUGrA9BlqVYpKdJXpUAmYhhFpal8MQnidf5WywWvN5GHVotjCfw5JTzRZLl2mPRM&#10;teKJk23U/1FZLaIHr9JIeFsNQoojqGIyfuLNfcuDLFrQaghn0+HlaMWX3V0kumF0RonjFht++P3r&#10;8Off4e9PMsv2dAFqjLoPd/G4AoRZa6+izX9UQfpi6f5sqewTEbj5bo49p0TgyWQ6mU2nmbK63A0R&#10;0kfpLcmA0YgNKz7y3WdIQ+gpJKdy/lYbg/u8No50jM6nbzM9x0FUOAAIbUAx4DaF5lF8pllxaMmO&#10;4yyAN7oZuh/91jVDKuOwuCx4kJhR6tc9Hma49s0ezcK3g5W2Pv6gpMPJYdThQ6HEfHLYmDxkJxBP&#10;YH0C3Am8yCgWOsAPqQxjFgThZptQX5F9yXesCPtfjDvOah6wx+sSdXmfy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FV+HH1QAAAAMBAAAPAAAAAAAAAAEAIAAAACIAAABkcnMvZG93bnJldi54bWxQ&#10;SwECFAAUAAAACACHTuJAebn7XfoBAADnAwAADgAAAAAAAAABACAAAAAkAQAAZHJzL2Uyb0RvYy54&#10;bWxQSwUGAAAAAAYABgBZAQAAkAUAAAAA&#10;">
              <v:fill on="f" focussize="0,0"/>
              <v:stroke on="f" weight="0.5pt" joinstyle="round"/>
              <v:imagedata o:title=""/>
              <o:lock v:ext="edit" aspectratio="f"/>
              <v:textbox inset="0mm,0mm,0mm,0mm" style="mso-fit-shape-to-text:t;">
                <w:txbxContent>
                  <w:p w14:paraId="39DEF0DB">
                    <w:pPr>
                      <w:pStyle w:val="37"/>
                      <w:jc w:val="right"/>
                    </w:pPr>
                    <w:r>
                      <w:fldChar w:fldCharType="begin"/>
                    </w:r>
                    <w:r>
                      <w:instrText xml:space="preserve">PAGE   \* MERGEFORMAT</w:instrText>
                    </w:r>
                    <w:r>
                      <w:fldChar w:fldCharType="separate"/>
                    </w:r>
                    <w:r>
                      <w:rPr>
                        <w:lang w:val="zh-CN"/>
                      </w:rPr>
                      <w:t>1</w:t>
                    </w:r>
                    <w:r>
                      <w:fldChar w:fldCharType="end"/>
                    </w:r>
                  </w:p>
                </w:txbxContent>
              </v:textbox>
            </v:rect>
          </w:pict>
        </mc:Fallback>
      </mc:AlternateContent>
    </w:r>
  </w:p>
  <w:p w14:paraId="2C11E600">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6FFD0">
    <w:pPr>
      <w:pStyle w:val="37"/>
      <w:framePr w:wrap="around" w:vAnchor="text" w:hAnchor="margin" w:xAlign="right" w:y="1"/>
      <w:rPr>
        <w:rStyle w:val="57"/>
      </w:rPr>
    </w:pPr>
    <w:r>
      <w:fldChar w:fldCharType="begin"/>
    </w:r>
    <w:r>
      <w:rPr>
        <w:rStyle w:val="57"/>
      </w:rPr>
      <w:instrText xml:space="preserve">PAGE  </w:instrText>
    </w:r>
    <w:r>
      <w:fldChar w:fldCharType="separate"/>
    </w:r>
    <w:r>
      <w:t xml:space="preserve"> </w:t>
    </w:r>
    <w:r>
      <w:fldChar w:fldCharType="end"/>
    </w:r>
  </w:p>
  <w:p w14:paraId="27C0821D">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5F32B">
    <w:pPr>
      <w:pStyle w:val="37"/>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33"/>
                      </a:xfrm>
                      <a:prstGeom prst="rect">
                        <a:avLst/>
                      </a:prstGeom>
                      <a:noFill/>
                      <a:ln cap="flat" cmpd="sng">
                        <a:noFill/>
                        <a:prstDash val="solid"/>
                        <a:round/>
                      </a:ln>
                    </wps:spPr>
                    <wps:txbx>
                      <w:txbxContent>
                        <w:p w14:paraId="57196334">
                          <w:pPr>
                            <w:pStyle w:val="37"/>
                            <w:rPr>
                              <w:rFonts w:eastAsia="宋体"/>
                            </w:rP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B7Av6j2AQAA4gMAAA4AAABkcnMvZTJvRG9jLnhtbK1TzY7TMBC+I/EO&#10;lu80SQsIRU1XiGoREoKVFh5g6jiNJf/J4zYpDwBvwIkLd56rz8HY6c9queyBS/LZHn8z3zfj5c1o&#10;NNvLgMrZhlezkjNphWuV3Tb865fbF284wwi2Be2sbPhBIr9ZPX+2HHwt5653upWBEYnFevAN72P0&#10;dVGg6KUBnDkvLR12LhiItAzbog0wELvRxbwsXxeDC60PTkhE2l1Ph/zEGJ5C6LpOCbl2YmekjRNr&#10;kBoiScJeeeSrXG3XSRE/dx3KyHTDSWnMX0pCeJO+xWoJ9TaA75U4lQBPKeGRJgPKUtIL1RoisF1Q&#10;/1AZJYJD18WZcKaYhGRHSEVVPvLmvgcvsxayGv3FdPx/tOLT/i4w1TZ8zpkFQw0//vxx/PXn+Ps7&#10;q8r5q+TQ4LGmwHt/F04rJJjkjl0w6U9C2JhdPVxclWNkgjar6uWiJL8FHVULWiwSZ3G97APG99IZ&#10;lkDDAzUtewn7jxin0HNIymXdrdKa9qHWlgmgGeyo95TAeNKBdptvPwhLt9eAPdsDjQE6rdqp8cHt&#10;bDtl0JZqSkInaQnFcTPSYYIb1x7IJ3o2VGDvwjfOBhqahlt6I5zpD5Z6kubrDMIZbM4ArKCLDadC&#10;J/gu5jlMOtC/3UWSldVe850qotZnv05jmmbr4TpHXZ/m6i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1pF6s0AAAAAMBAAAPAAAAAAAAAAEAIAAAACIAAABkcnMvZG93bnJldi54bWxQSwECFAAUAAAA&#10;CACHTuJAHsC/qPYBAADiAwAADgAAAAAAAAABACAAAAAfAQAAZHJzL2Uyb0RvYy54bWxQSwUGAAAA&#10;AAYABgBZAQAAhwUAAAAA&#10;">
              <v:fill on="f" focussize="0,0"/>
              <v:stroke on="f" joinstyle="round"/>
              <v:imagedata o:title=""/>
              <o:lock v:ext="edit" aspectratio="f"/>
              <v:textbox inset="0mm,0mm,0mm,0mm" style="mso-fit-shape-to-text:t;">
                <w:txbxContent>
                  <w:p w14:paraId="57196334">
                    <w:pPr>
                      <w:pStyle w:val="37"/>
                      <w:rPr>
                        <w:rFonts w:eastAsia="宋体"/>
                      </w:rP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4C1B4">
    <w:pPr>
      <w:pStyle w:val="37"/>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5" name="文本框 5"/>
              <wp:cNvGraphicFramePr/>
              <a:graphic xmlns:a="http://schemas.openxmlformats.org/drawingml/2006/main">
                <a:graphicData uri="http://schemas.microsoft.com/office/word/2010/wordprocessingShape">
                  <wps:wsp>
                    <wps:cNvSpPr/>
                    <wps:spPr>
                      <a:xfrm>
                        <a:off x="0" y="0"/>
                        <a:ext cx="114300" cy="131433"/>
                      </a:xfrm>
                      <a:prstGeom prst="rect">
                        <a:avLst/>
                      </a:prstGeom>
                      <a:noFill/>
                      <a:ln w="6350" cap="flat" cmpd="sng">
                        <a:noFill/>
                        <a:prstDash val="solid"/>
                        <a:round/>
                      </a:ln>
                    </wps:spPr>
                    <wps:txbx>
                      <w:txbxContent>
                        <w:p w14:paraId="00E37CA7">
                          <w:pPr>
                            <w:pStyle w:val="37"/>
                            <w:rPr>
                              <w:rStyle w:val="57"/>
                            </w:rPr>
                          </w:pPr>
                          <w:r>
                            <w:fldChar w:fldCharType="begin"/>
                          </w:r>
                          <w:r>
                            <w:rPr>
                              <w:rStyle w:val="57"/>
                            </w:rPr>
                            <w:instrText xml:space="preserve">PAGE  </w:instrText>
                          </w:r>
                          <w:r>
                            <w:fldChar w:fldCharType="separate"/>
                          </w:r>
                          <w:r>
                            <w:rPr>
                              <w:rStyle w:val="57"/>
                            </w:rPr>
                            <w:t>49</w:t>
                          </w:r>
                          <w:r>
                            <w:fldChar w:fldCharType="end"/>
                          </w:r>
                        </w:p>
                      </w:txbxContent>
                    </wps:txbx>
                    <wps:bodyPr vert="horz" wrap="none" lIns="0" tIns="0" rIns="0" bIns="0" anchor="t" anchorCtr="0">
                      <a:spAutoFit/>
                    </wps:bodyPr>
                  </wps:wsp>
                </a:graphicData>
              </a:graphic>
            </wp:anchor>
          </w:drawing>
        </mc:Choice>
        <mc:Fallback>
          <w:pict>
            <v:rect id="文本框 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F0UlydUAAAAD&#10;AQAADwAAAGRycy9kb3ducmV2LnhtbE2PwU7DMBBE70j8g7VIXCpqNweoQjY9gAAJwYFQIXFz420c&#10;NV6H2E0KX4/bC1xGGs1q5m2xOrhOjDSE1jPCYq5AENfetNwgrN8frpYgQtRsdOeZEL4pwKo8Pyt0&#10;bvzEbzRWsRGphEOuEWyMfS5lqC05Hea+J07Z1g9Ox2SHRppBT6ncdTJT6lo63XJasLqnO0v1rto7&#10;hJf7x8+PmX1W2evPbOunaj1+Pe0QLy8W6hZEpEP8O4YjfkKHMjFt/J5NEB1CeiSe9Jgtk9sgZOoG&#10;ZFnI/+zlL1BLAwQUAAAACACHTuJAylNPNvoBAADoAwAADgAAAGRycy9lMm9Eb2MueG1srVNLbtsw&#10;EN0X6B0I7mtJcR0UguUgqJGiQNEGSHsAmiItAvyBQ1tyD9DeoKtuuu+5fI4OKdkO0k0W2UhvyOGb&#10;eY/D5c1gNNmLAMrZhlazkhJhuWuV3Tb029e7N+8ogchsy7SzoqEHAfRm9frVsve1uHKd060IBEks&#10;1L1vaBejr4sCeCcMg5nzwuKmdMGwiGHYFm1gPbIbXVyV5XXRu9D64LgAwNX1uEknxvAcQiel4mLt&#10;+M4IG0fWIDSLKAk65YGucrdSCh6/SAkiEt1QVBrzF4sg3qRvsVqyehuY7xSfWmDPaeGJJsOUxaJn&#10;qjWLjOyC+o/KKB4cOBln3JliFJIdQRVV+cSbh455kbWg1eDPpsPL0fLP+/tAVNvQBSWWGbzw46+f&#10;x99/j39+kEWyp/dQY9aDvw9TBAiT1kEGk/6oggzZ0sPZUjFEwnGxqt7OSzSb41Y1x2CeOIvLYR8g&#10;fhDOkAQaGvDGspFs/wnimHpKSbWsu1Na4zqrtSV9Q6/ni0TPcBIlTgBC41EN2G2meZSfaNYMOrJn&#10;OAzgtGrH6w9uZ9uxlLbYXFI8akwoDpsBNxPcuPaAbuHjwU47F75T0uPoNNTiS6FEf7R4M2nKTiCc&#10;wOYEmOV4sKHY6AjfxzyNSRD4211EfVn2pd7UEQ5ANm4a1jRhj+OcdXmgq3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XRSXJ1QAAAAMBAAAPAAAAAAAAAAEAIAAAACIAAABkcnMvZG93bnJldi54bWxQ&#10;SwECFAAUAAAACACHTuJAylNPNvoBAADoAwAADgAAAAAAAAABACAAAAAkAQAAZHJzL2Uyb0RvYy54&#10;bWxQSwUGAAAAAAYABgBZAQAAkAUAAAAA&#10;">
              <v:fill on="f" focussize="0,0"/>
              <v:stroke on="f" weight="0.5pt" joinstyle="round"/>
              <v:imagedata o:title=""/>
              <o:lock v:ext="edit" aspectratio="f"/>
              <v:textbox inset="0mm,0mm,0mm,0mm" style="mso-fit-shape-to-text:t;">
                <w:txbxContent>
                  <w:p w14:paraId="00E37CA7">
                    <w:pPr>
                      <w:pStyle w:val="37"/>
                      <w:rPr>
                        <w:rStyle w:val="57"/>
                      </w:rPr>
                    </w:pPr>
                    <w:r>
                      <w:fldChar w:fldCharType="begin"/>
                    </w:r>
                    <w:r>
                      <w:rPr>
                        <w:rStyle w:val="57"/>
                      </w:rPr>
                      <w:instrText xml:space="preserve">PAGE  </w:instrText>
                    </w:r>
                    <w:r>
                      <w:fldChar w:fldCharType="separate"/>
                    </w:r>
                    <w:r>
                      <w:rPr>
                        <w:rStyle w:val="57"/>
                      </w:rPr>
                      <w:t>49</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B9B26">
    <w:pPr>
      <w:pStyle w:val="37"/>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5FABE296">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CDB04">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EB0CE4"/>
    <w:multiLevelType w:val="singleLevel"/>
    <w:tmpl w:val="80EB0CE4"/>
    <w:lvl w:ilvl="0" w:tentative="0">
      <w:start w:val="5"/>
      <w:numFmt w:val="chineseCounting"/>
      <w:suff w:val="space"/>
      <w:lvlText w:val="第%1章"/>
      <w:lvlJc w:val="left"/>
      <w:rPr>
        <w:rFonts w:hint="eastAsia"/>
      </w:rPr>
    </w:lvl>
  </w:abstractNum>
  <w:abstractNum w:abstractNumId="1">
    <w:nsid w:val="8433B837"/>
    <w:multiLevelType w:val="singleLevel"/>
    <w:tmpl w:val="8433B837"/>
    <w:lvl w:ilvl="0" w:tentative="0">
      <w:start w:val="1"/>
      <w:numFmt w:val="chineseCounting"/>
      <w:suff w:val="nothing"/>
      <w:lvlText w:val="%1、"/>
      <w:lvlJc w:val="left"/>
      <w:rPr>
        <w:rFonts w:hint="eastAsia"/>
      </w:rPr>
    </w:lvl>
  </w:abstractNum>
  <w:abstractNum w:abstractNumId="2">
    <w:nsid w:val="D8485776"/>
    <w:multiLevelType w:val="singleLevel"/>
    <w:tmpl w:val="D8485776"/>
    <w:lvl w:ilvl="0" w:tentative="0">
      <w:start w:val="7"/>
      <w:numFmt w:val="chineseCounting"/>
      <w:suff w:val="nothing"/>
      <w:lvlText w:val="%1、"/>
      <w:lvlJc w:val="left"/>
      <w:rPr>
        <w:rFonts w:hint="eastAsia"/>
      </w:rPr>
    </w:lvl>
  </w:abstractNum>
  <w:abstractNum w:abstractNumId="3">
    <w:nsid w:val="FFFFFFFE"/>
    <w:multiLevelType w:val="singleLevel"/>
    <w:tmpl w:val="FFFFFFFE"/>
    <w:lvl w:ilvl="0" w:tentative="0">
      <w:start w:val="0"/>
      <w:numFmt w:val="bullet"/>
      <w:lvlText w:val="*"/>
      <w:lvlJc w:val="left"/>
    </w:lvl>
  </w:abstractNum>
  <w:abstractNum w:abstractNumId="4">
    <w:nsid w:val="00000003"/>
    <w:multiLevelType w:val="multilevel"/>
    <w:tmpl w:val="00000003"/>
    <w:lvl w:ilvl="0" w:tentative="0">
      <w:start w:val="1"/>
      <w:numFmt w:val="bullet"/>
      <w:pStyle w:val="32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0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53A54088"/>
    <w:multiLevelType w:val="singleLevel"/>
    <w:tmpl w:val="53A54088"/>
    <w:lvl w:ilvl="0" w:tentative="0">
      <w:start w:val="2"/>
      <w:numFmt w:val="chineseCounting"/>
      <w:suff w:val="space"/>
      <w:lvlText w:val="第%1章"/>
      <w:lvlJc w:val="left"/>
      <w:rPr>
        <w:rFonts w:hint="eastAsia"/>
      </w:rPr>
    </w:lvl>
  </w:abstractNum>
  <w:abstractNum w:abstractNumId="7">
    <w:nsid w:val="6E58F6DA"/>
    <w:multiLevelType w:val="singleLevel"/>
    <w:tmpl w:val="6E58F6DA"/>
    <w:lvl w:ilvl="0" w:tentative="0">
      <w:start w:val="5"/>
      <w:numFmt w:val="decimal"/>
      <w:suff w:val="nothing"/>
      <w:lvlText w:val="%1、"/>
      <w:lvlJc w:val="left"/>
    </w:lvl>
  </w:abstractNum>
  <w:num w:numId="1">
    <w:abstractNumId w:val="5"/>
  </w:num>
  <w:num w:numId="2">
    <w:abstractNumId w:val="3"/>
    <w:lvlOverride w:ilvl="0">
      <w:lvl w:ilvl="0" w:tentative="1">
        <w:start w:val="0"/>
        <w:numFmt w:val="bullet"/>
        <w:pStyle w:val="293"/>
        <w:lvlText w:val=""/>
        <w:legacy w:legacy="1" w:legacySpace="0" w:legacyIndent="0"/>
        <w:lvlJc w:val="left"/>
        <w:rPr>
          <w:rFonts w:hint="default" w:ascii="Symbol" w:hAnsi="Symbol"/>
        </w:rPr>
      </w:lvl>
    </w:lvlOverride>
  </w:num>
  <w:num w:numId="3">
    <w:abstractNumId w:val="4"/>
  </w:num>
  <w:num w:numId="4">
    <w:abstractNumId w:val="6"/>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wZmE0NTJlZDgwYTI0MDBjZjNhNjc5NjU5ODM1ZmYifQ=="/>
  </w:docVars>
  <w:rsids>
    <w:rsidRoot w:val="00D13CA7"/>
    <w:rsid w:val="00013B54"/>
    <w:rsid w:val="00027879"/>
    <w:rsid w:val="0008706D"/>
    <w:rsid w:val="00590C8E"/>
    <w:rsid w:val="008B4A35"/>
    <w:rsid w:val="008E3EC3"/>
    <w:rsid w:val="00D13CA7"/>
    <w:rsid w:val="00EF4CF4"/>
    <w:rsid w:val="01A146BD"/>
    <w:rsid w:val="02D0211D"/>
    <w:rsid w:val="044B7594"/>
    <w:rsid w:val="048613E7"/>
    <w:rsid w:val="04DB1DCA"/>
    <w:rsid w:val="054602A3"/>
    <w:rsid w:val="06344711"/>
    <w:rsid w:val="06862B05"/>
    <w:rsid w:val="07020E72"/>
    <w:rsid w:val="093E76C7"/>
    <w:rsid w:val="15AC2A64"/>
    <w:rsid w:val="15F34244"/>
    <w:rsid w:val="16A87D4B"/>
    <w:rsid w:val="17D15BAA"/>
    <w:rsid w:val="18502F73"/>
    <w:rsid w:val="191A793C"/>
    <w:rsid w:val="19302A62"/>
    <w:rsid w:val="19BC7734"/>
    <w:rsid w:val="1D113E9A"/>
    <w:rsid w:val="1D94745E"/>
    <w:rsid w:val="1E34139E"/>
    <w:rsid w:val="1ED70C8C"/>
    <w:rsid w:val="1EE909F3"/>
    <w:rsid w:val="20523694"/>
    <w:rsid w:val="20685469"/>
    <w:rsid w:val="23294AEC"/>
    <w:rsid w:val="23C30E25"/>
    <w:rsid w:val="24BD55D9"/>
    <w:rsid w:val="254826A4"/>
    <w:rsid w:val="270F5DA7"/>
    <w:rsid w:val="272238FB"/>
    <w:rsid w:val="2893019F"/>
    <w:rsid w:val="28D14931"/>
    <w:rsid w:val="2A150231"/>
    <w:rsid w:val="2A49226B"/>
    <w:rsid w:val="2C4B0C15"/>
    <w:rsid w:val="2DCC26A7"/>
    <w:rsid w:val="2EB07FFF"/>
    <w:rsid w:val="2EE550BE"/>
    <w:rsid w:val="31704D75"/>
    <w:rsid w:val="31845860"/>
    <w:rsid w:val="31F21ADB"/>
    <w:rsid w:val="35CE298A"/>
    <w:rsid w:val="36086B86"/>
    <w:rsid w:val="37EE3F08"/>
    <w:rsid w:val="387A0F38"/>
    <w:rsid w:val="3DAE2C5D"/>
    <w:rsid w:val="3DF633C5"/>
    <w:rsid w:val="3E726671"/>
    <w:rsid w:val="4004063E"/>
    <w:rsid w:val="409749EB"/>
    <w:rsid w:val="40A47E0F"/>
    <w:rsid w:val="452C1D83"/>
    <w:rsid w:val="46612C66"/>
    <w:rsid w:val="49BE7B3D"/>
    <w:rsid w:val="4A7A4852"/>
    <w:rsid w:val="4B097410"/>
    <w:rsid w:val="4D2D08F9"/>
    <w:rsid w:val="50BE6E43"/>
    <w:rsid w:val="52707792"/>
    <w:rsid w:val="52FB2A76"/>
    <w:rsid w:val="53252C8E"/>
    <w:rsid w:val="53BC636D"/>
    <w:rsid w:val="55A77192"/>
    <w:rsid w:val="55C546CD"/>
    <w:rsid w:val="575E405D"/>
    <w:rsid w:val="580864F7"/>
    <w:rsid w:val="581C04E2"/>
    <w:rsid w:val="5BF9782A"/>
    <w:rsid w:val="5C2D1D2E"/>
    <w:rsid w:val="5D192F00"/>
    <w:rsid w:val="5D525CC5"/>
    <w:rsid w:val="5D931F3F"/>
    <w:rsid w:val="5F30089B"/>
    <w:rsid w:val="5F34638E"/>
    <w:rsid w:val="5FA56CCD"/>
    <w:rsid w:val="60627A2E"/>
    <w:rsid w:val="60797F90"/>
    <w:rsid w:val="64B82E6B"/>
    <w:rsid w:val="673621AF"/>
    <w:rsid w:val="697C492A"/>
    <w:rsid w:val="6A1A7F95"/>
    <w:rsid w:val="6F9817A2"/>
    <w:rsid w:val="6FB40C5F"/>
    <w:rsid w:val="70A9490C"/>
    <w:rsid w:val="71ED1E0E"/>
    <w:rsid w:val="72E64027"/>
    <w:rsid w:val="76FD0144"/>
    <w:rsid w:val="77A01429"/>
    <w:rsid w:val="784D0326"/>
    <w:rsid w:val="79290A32"/>
    <w:rsid w:val="79C57C82"/>
    <w:rsid w:val="7AD43F35"/>
    <w:rsid w:val="7ADD76EC"/>
    <w:rsid w:val="7B765FE9"/>
    <w:rsid w:val="7D9D7578"/>
    <w:rsid w:val="7E6416AA"/>
    <w:rsid w:val="7ED53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3"/>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64"/>
    <w:qFormat/>
    <w:uiPriority w:val="0"/>
    <w:pPr>
      <w:keepNext/>
      <w:keepLines/>
      <w:spacing w:before="260" w:after="260" w:line="415" w:lineRule="auto"/>
      <w:jc w:val="center"/>
      <w:outlineLvl w:val="2"/>
    </w:pPr>
    <w:rPr>
      <w:rFonts w:eastAsia="方正楷体_GB2312"/>
      <w:b/>
      <w:bCs/>
      <w:kern w:val="0"/>
      <w:sz w:val="32"/>
      <w:szCs w:val="32"/>
    </w:rPr>
  </w:style>
  <w:style w:type="paragraph" w:styleId="5">
    <w:name w:val="heading 4"/>
    <w:basedOn w:val="1"/>
    <w:next w:val="1"/>
    <w:link w:val="65"/>
    <w:qFormat/>
    <w:uiPriority w:val="0"/>
    <w:pPr>
      <w:keepNext/>
      <w:keepLines/>
      <w:spacing w:before="280" w:after="290" w:line="377" w:lineRule="auto"/>
      <w:outlineLvl w:val="3"/>
    </w:pPr>
    <w:rPr>
      <w:rFonts w:ascii="Arial" w:hAnsi="Arial" w:eastAsia="黑体"/>
      <w:b/>
      <w:bCs/>
      <w:kern w:val="0"/>
      <w:sz w:val="28"/>
      <w:szCs w:val="28"/>
    </w:rPr>
  </w:style>
  <w:style w:type="paragraph" w:styleId="6">
    <w:name w:val="heading 5"/>
    <w:basedOn w:val="1"/>
    <w:next w:val="1"/>
    <w:link w:val="66"/>
    <w:qFormat/>
    <w:uiPriority w:val="0"/>
    <w:pPr>
      <w:keepNext/>
      <w:keepLines/>
      <w:spacing w:before="280" w:after="290" w:line="377" w:lineRule="auto"/>
      <w:outlineLvl w:val="4"/>
    </w:pPr>
    <w:rPr>
      <w:b/>
      <w:bCs/>
      <w:kern w:val="0"/>
      <w:sz w:val="28"/>
      <w:szCs w:val="28"/>
    </w:rPr>
  </w:style>
  <w:style w:type="paragraph" w:styleId="7">
    <w:name w:val="heading 6"/>
    <w:basedOn w:val="1"/>
    <w:next w:val="1"/>
    <w:link w:val="67"/>
    <w:qFormat/>
    <w:uiPriority w:val="0"/>
    <w:pPr>
      <w:keepNext/>
      <w:keepLines/>
      <w:spacing w:before="240" w:after="64" w:line="319" w:lineRule="auto"/>
      <w:outlineLvl w:val="5"/>
    </w:pPr>
    <w:rPr>
      <w:rFonts w:ascii="Arial" w:hAnsi="Arial" w:eastAsia="黑体"/>
      <w:b/>
      <w:bCs/>
      <w:kern w:val="0"/>
      <w:sz w:val="24"/>
    </w:rPr>
  </w:style>
  <w:style w:type="paragraph" w:styleId="8">
    <w:name w:val="heading 7"/>
    <w:basedOn w:val="1"/>
    <w:next w:val="1"/>
    <w:link w:val="68"/>
    <w:qFormat/>
    <w:uiPriority w:val="0"/>
    <w:pPr>
      <w:keepNext/>
      <w:keepLines/>
      <w:spacing w:before="240" w:after="64" w:line="319" w:lineRule="auto"/>
      <w:outlineLvl w:val="6"/>
    </w:pPr>
    <w:rPr>
      <w:b/>
      <w:bCs/>
      <w:kern w:val="0"/>
      <w:sz w:val="24"/>
    </w:rPr>
  </w:style>
  <w:style w:type="paragraph" w:styleId="9">
    <w:name w:val="heading 8"/>
    <w:basedOn w:val="1"/>
    <w:next w:val="1"/>
    <w:link w:val="69"/>
    <w:qFormat/>
    <w:uiPriority w:val="0"/>
    <w:pPr>
      <w:keepNext/>
      <w:keepLines/>
      <w:spacing w:before="240" w:after="64" w:line="319" w:lineRule="auto"/>
      <w:outlineLvl w:val="7"/>
    </w:pPr>
    <w:rPr>
      <w:rFonts w:ascii="Arial" w:hAnsi="Arial" w:eastAsia="黑体"/>
      <w:kern w:val="0"/>
      <w:sz w:val="24"/>
    </w:rPr>
  </w:style>
  <w:style w:type="paragraph" w:styleId="10">
    <w:name w:val="heading 9"/>
    <w:basedOn w:val="1"/>
    <w:next w:val="1"/>
    <w:link w:val="70"/>
    <w:qFormat/>
    <w:uiPriority w:val="0"/>
    <w:pPr>
      <w:keepNext/>
      <w:keepLines/>
      <w:spacing w:before="240" w:after="64" w:line="319"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3">
    <w:name w:val="Normal Indent"/>
    <w:basedOn w:val="1"/>
    <w:next w:val="14"/>
    <w:qFormat/>
    <w:uiPriority w:val="0"/>
    <w:pPr>
      <w:ind w:firstLine="420"/>
    </w:pPr>
    <w:rPr>
      <w:kern w:val="0"/>
      <w:sz w:val="20"/>
      <w:szCs w:val="20"/>
    </w:rPr>
  </w:style>
  <w:style w:type="paragraph" w:styleId="14">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qFormat/>
    <w:uiPriority w:val="0"/>
    <w:pPr>
      <w:shd w:val="clear" w:color="auto" w:fill="000080"/>
    </w:pPr>
    <w:rPr>
      <w:kern w:val="0"/>
      <w:sz w:val="20"/>
    </w:rPr>
  </w:style>
  <w:style w:type="paragraph" w:styleId="18">
    <w:name w:val="toa heading"/>
    <w:basedOn w:val="1"/>
    <w:next w:val="1"/>
    <w:qFormat/>
    <w:uiPriority w:val="0"/>
    <w:pPr>
      <w:tabs>
        <w:tab w:val="left" w:pos="0"/>
      </w:tabs>
      <w:spacing w:before="120" w:line="360" w:lineRule="auto"/>
    </w:pPr>
    <w:rPr>
      <w:rFonts w:ascii="Arial" w:hAnsi="Arial"/>
      <w:kern w:val="0"/>
      <w:sz w:val="24"/>
      <w:szCs w:val="20"/>
    </w:rPr>
  </w:style>
  <w:style w:type="paragraph" w:styleId="19">
    <w:name w:val="annotation text"/>
    <w:basedOn w:val="1"/>
    <w:qFormat/>
    <w:uiPriority w:val="0"/>
    <w:pPr>
      <w:jc w:val="left"/>
    </w:pPr>
    <w:rPr>
      <w:kern w:val="0"/>
      <w:sz w:val="20"/>
    </w:rPr>
  </w:style>
  <w:style w:type="paragraph" w:styleId="20">
    <w:name w:val="Body Text 3"/>
    <w:basedOn w:val="1"/>
    <w:qFormat/>
    <w:uiPriority w:val="0"/>
    <w:pPr>
      <w:snapToGrid w:val="0"/>
      <w:spacing w:before="50" w:after="50"/>
    </w:pPr>
    <w:rPr>
      <w:rFonts w:hAnsi="宋体" w:eastAsia="方正仿宋_GB2312"/>
      <w:b/>
      <w:bCs/>
      <w:kern w:val="0"/>
      <w:sz w:val="24"/>
      <w:szCs w:val="20"/>
    </w:rPr>
  </w:style>
  <w:style w:type="paragraph" w:styleId="21">
    <w:name w:val="Body Text"/>
    <w:basedOn w:val="1"/>
    <w:next w:val="22"/>
    <w:qFormat/>
    <w:uiPriority w:val="0"/>
    <w:pPr>
      <w:spacing w:after="120"/>
    </w:pPr>
    <w:rPr>
      <w:kern w:val="0"/>
      <w:sz w:val="28"/>
    </w:rPr>
  </w:style>
  <w:style w:type="paragraph" w:styleId="22">
    <w:name w:val="Body Text First Indent"/>
    <w:basedOn w:val="21"/>
    <w:next w:val="23"/>
    <w:qFormat/>
    <w:uiPriority w:val="0"/>
    <w:pPr>
      <w:spacing w:before="50" w:beforeLines="50" w:after="50" w:afterLines="50" w:line="360" w:lineRule="auto"/>
      <w:ind w:firstLine="200" w:firstLineChars="200"/>
    </w:pPr>
    <w:rPr>
      <w:sz w:val="24"/>
    </w:rPr>
  </w:style>
  <w:style w:type="paragraph" w:styleId="23">
    <w:name w:val="toc 6"/>
    <w:basedOn w:val="1"/>
    <w:next w:val="24"/>
    <w:qFormat/>
    <w:uiPriority w:val="0"/>
    <w:pPr>
      <w:ind w:left="1000" w:leftChars="1000"/>
    </w:pPr>
    <w:rPr>
      <w:rFonts w:ascii="Calibri" w:hAnsi="Calibri"/>
      <w:szCs w:val="22"/>
    </w:rPr>
  </w:style>
  <w:style w:type="paragraph" w:customStyle="1" w:styleId="24">
    <w:name w:val="Normal_0"/>
    <w:qFormat/>
    <w:uiPriority w:val="1"/>
    <w:pPr>
      <w:widowControl w:val="0"/>
      <w:autoSpaceDE w:val="0"/>
      <w:autoSpaceDN w:val="0"/>
      <w:adjustRightInd w:val="0"/>
    </w:pPr>
    <w:rPr>
      <w:rFonts w:ascii="Calibri" w:hAnsi="Calibri" w:eastAsia="宋体" w:cs="Times New Roman"/>
      <w:sz w:val="24"/>
      <w:szCs w:val="24"/>
      <w:lang w:val="en-US" w:eastAsia="zh-CN" w:bidi="ar-SA"/>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400" w:leftChars="200" w:hanging="200" w:hangingChars="200"/>
    </w:pPr>
    <w:rPr>
      <w:sz w:val="28"/>
    </w:rPr>
  </w:style>
  <w:style w:type="paragraph" w:styleId="27">
    <w:name w:val="List Bullet 2"/>
    <w:basedOn w:val="1"/>
    <w:qFormat/>
    <w:uiPriority w:val="0"/>
    <w:pPr>
      <w:tabs>
        <w:tab w:val="left" w:pos="840"/>
      </w:tabs>
      <w:spacing w:line="360" w:lineRule="auto"/>
      <w:ind w:left="471" w:leftChars="471" w:firstLine="1" w:firstLineChars="1"/>
    </w:pPr>
    <w:rPr>
      <w:rFonts w:ascii="宋体"/>
      <w:sz w:val="24"/>
    </w:rPr>
  </w:style>
  <w:style w:type="paragraph" w:styleId="28">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9">
    <w:name w:val="index 4"/>
    <w:basedOn w:val="1"/>
    <w:next w:val="1"/>
    <w:qFormat/>
    <w:uiPriority w:val="0"/>
    <w:pPr>
      <w:ind w:left="600" w:leftChars="600"/>
    </w:pPr>
  </w:style>
  <w:style w:type="paragraph" w:styleId="30">
    <w:name w:val="toc 5"/>
    <w:basedOn w:val="1"/>
    <w:next w:val="1"/>
    <w:qFormat/>
    <w:uiPriority w:val="0"/>
    <w:pPr>
      <w:ind w:left="800" w:leftChars="800"/>
    </w:pPr>
  </w:style>
  <w:style w:type="paragraph" w:styleId="31">
    <w:name w:val="toc 3"/>
    <w:basedOn w:val="1"/>
    <w:next w:val="1"/>
    <w:qFormat/>
    <w:uiPriority w:val="0"/>
    <w:pPr>
      <w:ind w:left="400" w:leftChars="400"/>
    </w:pPr>
  </w:style>
  <w:style w:type="paragraph" w:styleId="32">
    <w:name w:val="Plain Text"/>
    <w:basedOn w:val="1"/>
    <w:next w:val="1"/>
    <w:qFormat/>
    <w:uiPriority w:val="0"/>
    <w:pPr>
      <w:spacing w:before="50" w:beforeLines="50" w:after="50" w:afterLines="50" w:line="400" w:lineRule="exact"/>
    </w:pPr>
    <w:rPr>
      <w:rFonts w:ascii="宋体" w:hAnsi="Courier New"/>
      <w:kern w:val="0"/>
      <w:sz w:val="24"/>
    </w:rPr>
  </w:style>
  <w:style w:type="paragraph" w:styleId="33">
    <w:name w:val="toc 8"/>
    <w:basedOn w:val="1"/>
    <w:next w:val="1"/>
    <w:qFormat/>
    <w:uiPriority w:val="0"/>
    <w:pPr>
      <w:ind w:left="1400" w:leftChars="1400"/>
    </w:pPr>
    <w:rPr>
      <w:rFonts w:ascii="Calibri" w:hAnsi="Calibri"/>
      <w:szCs w:val="22"/>
    </w:rPr>
  </w:style>
  <w:style w:type="paragraph" w:styleId="34">
    <w:name w:val="Date"/>
    <w:basedOn w:val="1"/>
    <w:next w:val="1"/>
    <w:qFormat/>
    <w:uiPriority w:val="0"/>
    <w:pPr>
      <w:ind w:left="2500" w:leftChars="2500"/>
    </w:pPr>
    <w:rPr>
      <w:rFonts w:eastAsia="方正楷体_GB2312"/>
      <w:kern w:val="0"/>
      <w:sz w:val="32"/>
      <w:szCs w:val="20"/>
    </w:rPr>
  </w:style>
  <w:style w:type="paragraph" w:styleId="35">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6">
    <w:name w:val="Balloon Text"/>
    <w:basedOn w:val="1"/>
    <w:qFormat/>
    <w:uiPriority w:val="0"/>
    <w:rPr>
      <w:kern w:val="0"/>
      <w:sz w:val="18"/>
      <w:szCs w:val="18"/>
    </w:rPr>
  </w:style>
  <w:style w:type="paragraph" w:styleId="37">
    <w:name w:val="footer"/>
    <w:basedOn w:val="1"/>
    <w:qFormat/>
    <w:uiPriority w:val="0"/>
    <w:pPr>
      <w:tabs>
        <w:tab w:val="center" w:pos="4153"/>
        <w:tab w:val="right" w:pos="8306"/>
      </w:tabs>
      <w:snapToGrid w:val="0"/>
      <w:jc w:val="left"/>
    </w:pPr>
    <w:rPr>
      <w:rFonts w:eastAsia="黑体"/>
      <w:kern w:val="0"/>
      <w:sz w:val="18"/>
      <w:szCs w:val="18"/>
    </w:rPr>
  </w:style>
  <w:style w:type="paragraph" w:styleId="38">
    <w:name w:val="envelope return"/>
    <w:basedOn w:val="1"/>
    <w:qFormat/>
    <w:uiPriority w:val="0"/>
    <w:pPr>
      <w:snapToGrid w:val="0"/>
    </w:pPr>
    <w:rPr>
      <w:rFonts w:ascii="Arial" w:hAnsi="Arial"/>
    </w:rPr>
  </w:style>
  <w:style w:type="paragraph" w:styleId="39">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40">
    <w:name w:val="toc 1"/>
    <w:basedOn w:val="41"/>
    <w:next w:val="1"/>
    <w:qFormat/>
    <w:uiPriority w:val="0"/>
  </w:style>
  <w:style w:type="paragraph" w:styleId="41">
    <w:name w:val="index 1"/>
    <w:basedOn w:val="1"/>
    <w:next w:val="1"/>
    <w:qFormat/>
    <w:uiPriority w:val="0"/>
    <w:pPr>
      <w:spacing w:line="360" w:lineRule="auto"/>
      <w:jc w:val="center"/>
    </w:pPr>
    <w:rPr>
      <w:rFonts w:ascii="宋体" w:hAnsi="宋体"/>
      <w:bCs/>
    </w:rPr>
  </w:style>
  <w:style w:type="paragraph" w:styleId="42">
    <w:name w:val="toc 4"/>
    <w:basedOn w:val="1"/>
    <w:next w:val="1"/>
    <w:qFormat/>
    <w:uiPriority w:val="0"/>
    <w:pPr>
      <w:ind w:left="600" w:leftChars="600"/>
    </w:pPr>
    <w:rPr>
      <w:rFonts w:ascii="Calibri" w:hAnsi="Calibri"/>
      <w:szCs w:val="22"/>
    </w:rPr>
  </w:style>
  <w:style w:type="paragraph" w:styleId="43">
    <w:name w:val="List"/>
    <w:basedOn w:val="1"/>
    <w:qFormat/>
    <w:uiPriority w:val="0"/>
    <w:pPr>
      <w:ind w:left="200" w:hanging="200" w:hangingChars="200"/>
    </w:pPr>
    <w:rPr>
      <w:sz w:val="28"/>
    </w:rPr>
  </w:style>
  <w:style w:type="paragraph" w:styleId="44">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5">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qFormat/>
    <w:uiPriority w:val="0"/>
    <w:pPr>
      <w:ind w:left="200" w:leftChars="200"/>
    </w:pPr>
  </w:style>
  <w:style w:type="paragraph" w:styleId="47">
    <w:name w:val="toc 9"/>
    <w:basedOn w:val="1"/>
    <w:next w:val="1"/>
    <w:qFormat/>
    <w:uiPriority w:val="0"/>
    <w:pPr>
      <w:ind w:left="1600" w:leftChars="1600"/>
    </w:pPr>
    <w:rPr>
      <w:rFonts w:ascii="Calibri" w:hAnsi="Calibri"/>
      <w:szCs w:val="22"/>
    </w:rPr>
  </w:style>
  <w:style w:type="paragraph" w:styleId="48">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9">
    <w:name w:val="Normal (Web)"/>
    <w:basedOn w:val="1"/>
    <w:qFormat/>
    <w:uiPriority w:val="0"/>
    <w:pPr>
      <w:widowControl/>
      <w:spacing w:before="100" w:beforeAutospacing="1" w:after="100" w:afterAutospacing="1"/>
      <w:jc w:val="left"/>
    </w:pPr>
    <w:rPr>
      <w:rFonts w:ascii="宋体" w:hAnsi="宋体"/>
      <w:kern w:val="0"/>
      <w:sz w:val="24"/>
    </w:rPr>
  </w:style>
  <w:style w:type="paragraph" w:styleId="50">
    <w:name w:val="Title"/>
    <w:basedOn w:val="1"/>
    <w:next w:val="1"/>
    <w:qFormat/>
    <w:uiPriority w:val="0"/>
    <w:pPr>
      <w:spacing w:before="240" w:after="60"/>
      <w:jc w:val="center"/>
      <w:outlineLvl w:val="0"/>
    </w:pPr>
    <w:rPr>
      <w:rFonts w:ascii="Cambria" w:hAnsi="Cambria"/>
      <w:b/>
      <w:bCs/>
      <w:kern w:val="0"/>
      <w:sz w:val="32"/>
      <w:szCs w:val="32"/>
    </w:rPr>
  </w:style>
  <w:style w:type="paragraph" w:styleId="51">
    <w:name w:val="annotation subject"/>
    <w:basedOn w:val="19"/>
    <w:next w:val="19"/>
    <w:qFormat/>
    <w:uiPriority w:val="0"/>
    <w:rPr>
      <w:b/>
      <w:bCs/>
    </w:rPr>
  </w:style>
  <w:style w:type="paragraph" w:styleId="52">
    <w:name w:val="Body Text First Indent 2"/>
    <w:basedOn w:val="14"/>
    <w:next w:val="53"/>
    <w:qFormat/>
    <w:uiPriority w:val="0"/>
    <w:pPr>
      <w:spacing w:after="120" w:line="240" w:lineRule="auto"/>
      <w:ind w:left="200" w:leftChars="200" w:firstLine="200" w:firstLineChars="200"/>
    </w:pPr>
    <w:rPr>
      <w:rFonts w:ascii="等线" w:hAnsi="等线" w:eastAsia="等线"/>
      <w:sz w:val="21"/>
    </w:rPr>
  </w:style>
  <w:style w:type="paragraph" w:customStyle="1" w:styleId="5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0"/>
    <w:rPr>
      <w:color w:val="800080"/>
      <w:u w:val="single"/>
    </w:rPr>
  </w:style>
  <w:style w:type="character" w:styleId="59">
    <w:name w:val="Emphasis"/>
    <w:qFormat/>
    <w:uiPriority w:val="0"/>
  </w:style>
  <w:style w:type="character" w:styleId="60">
    <w:name w:val="Hyperlink"/>
    <w:qFormat/>
    <w:uiPriority w:val="0"/>
    <w:rPr>
      <w:color w:val="0000FF"/>
      <w:u w:val="single"/>
    </w:rPr>
  </w:style>
  <w:style w:type="character" w:styleId="61">
    <w:name w:val="annotation reference"/>
    <w:qFormat/>
    <w:uiPriority w:val="0"/>
    <w:rPr>
      <w:sz w:val="21"/>
      <w:szCs w:val="21"/>
    </w:rPr>
  </w:style>
  <w:style w:type="character" w:customStyle="1" w:styleId="62">
    <w:name w:val="标题 1 Char"/>
    <w:basedOn w:val="55"/>
    <w:link w:val="2"/>
    <w:qFormat/>
    <w:uiPriority w:val="0"/>
    <w:rPr>
      <w:rFonts w:ascii="Times New Roman" w:hAnsi="Times New Roman" w:eastAsia="宋体" w:cs="Times New Roman"/>
      <w:b/>
      <w:bCs/>
      <w:kern w:val="44"/>
      <w:sz w:val="44"/>
      <w:szCs w:val="44"/>
      <w:lang w:val="en-US" w:eastAsia="zh-CN" w:bidi="ar-SA"/>
    </w:rPr>
  </w:style>
  <w:style w:type="character" w:customStyle="1" w:styleId="63">
    <w:name w:val="标题 2 Char"/>
    <w:basedOn w:val="55"/>
    <w:link w:val="3"/>
    <w:qFormat/>
    <w:uiPriority w:val="0"/>
    <w:rPr>
      <w:rFonts w:ascii="Arial" w:hAnsi="Arial" w:eastAsia="黑体" w:cs="Times New Roman"/>
      <w:b/>
      <w:bCs/>
      <w:kern w:val="0"/>
      <w:sz w:val="32"/>
      <w:szCs w:val="32"/>
      <w:lang w:val="en-US" w:eastAsia="zh-CN" w:bidi="ar-SA"/>
    </w:rPr>
  </w:style>
  <w:style w:type="character" w:customStyle="1" w:styleId="64">
    <w:name w:val="标题 3 Char"/>
    <w:basedOn w:val="55"/>
    <w:link w:val="4"/>
    <w:qFormat/>
    <w:uiPriority w:val="0"/>
    <w:rPr>
      <w:rFonts w:ascii="Times New Roman" w:hAnsi="Times New Roman" w:eastAsia="方正楷体_GB2312" w:cs="Times New Roman"/>
      <w:b/>
      <w:bCs/>
      <w:kern w:val="0"/>
      <w:sz w:val="32"/>
      <w:szCs w:val="32"/>
      <w:lang w:val="en-US" w:eastAsia="zh-CN" w:bidi="ar-SA"/>
    </w:rPr>
  </w:style>
  <w:style w:type="character" w:customStyle="1" w:styleId="65">
    <w:name w:val="标题 4 Char"/>
    <w:basedOn w:val="55"/>
    <w:link w:val="5"/>
    <w:qFormat/>
    <w:uiPriority w:val="0"/>
    <w:rPr>
      <w:rFonts w:ascii="Arial" w:hAnsi="Arial" w:eastAsia="黑体" w:cs="Times New Roman"/>
      <w:b/>
      <w:bCs/>
      <w:kern w:val="0"/>
      <w:sz w:val="28"/>
      <w:szCs w:val="28"/>
      <w:lang w:val="en-US" w:eastAsia="zh-CN" w:bidi="ar-SA"/>
    </w:rPr>
  </w:style>
  <w:style w:type="character" w:customStyle="1" w:styleId="66">
    <w:name w:val="标题 5 Char"/>
    <w:basedOn w:val="55"/>
    <w:link w:val="6"/>
    <w:qFormat/>
    <w:uiPriority w:val="0"/>
    <w:rPr>
      <w:rFonts w:ascii="Times New Roman" w:hAnsi="Times New Roman" w:eastAsia="宋体" w:cs="Times New Roman"/>
      <w:b/>
      <w:bCs/>
      <w:kern w:val="0"/>
      <w:sz w:val="28"/>
      <w:szCs w:val="28"/>
      <w:lang w:val="en-US" w:eastAsia="zh-CN" w:bidi="ar-SA"/>
    </w:rPr>
  </w:style>
  <w:style w:type="character" w:customStyle="1" w:styleId="67">
    <w:name w:val="标题 6 Char"/>
    <w:basedOn w:val="55"/>
    <w:link w:val="7"/>
    <w:qFormat/>
    <w:uiPriority w:val="0"/>
    <w:rPr>
      <w:rFonts w:ascii="Arial" w:hAnsi="Arial" w:eastAsia="黑体" w:cs="Times New Roman"/>
      <w:b/>
      <w:bCs/>
      <w:kern w:val="0"/>
      <w:sz w:val="24"/>
      <w:szCs w:val="24"/>
      <w:lang w:val="en-US" w:eastAsia="zh-CN" w:bidi="ar-SA"/>
    </w:rPr>
  </w:style>
  <w:style w:type="character" w:customStyle="1" w:styleId="68">
    <w:name w:val="标题 7 Char"/>
    <w:basedOn w:val="55"/>
    <w:link w:val="8"/>
    <w:qFormat/>
    <w:uiPriority w:val="0"/>
    <w:rPr>
      <w:rFonts w:ascii="Times New Roman" w:hAnsi="Times New Roman" w:eastAsia="宋体" w:cs="Times New Roman"/>
      <w:b/>
      <w:bCs/>
      <w:kern w:val="0"/>
      <w:sz w:val="24"/>
      <w:szCs w:val="24"/>
      <w:lang w:val="en-US" w:eastAsia="zh-CN" w:bidi="ar-SA"/>
    </w:rPr>
  </w:style>
  <w:style w:type="character" w:customStyle="1" w:styleId="69">
    <w:name w:val="标题 8 Char"/>
    <w:basedOn w:val="55"/>
    <w:link w:val="9"/>
    <w:qFormat/>
    <w:uiPriority w:val="0"/>
    <w:rPr>
      <w:rFonts w:ascii="Arial" w:hAnsi="Arial" w:eastAsia="黑体" w:cs="Times New Roman"/>
      <w:kern w:val="0"/>
      <w:sz w:val="24"/>
      <w:szCs w:val="24"/>
      <w:lang w:val="en-US" w:eastAsia="zh-CN" w:bidi="ar-SA"/>
    </w:rPr>
  </w:style>
  <w:style w:type="character" w:customStyle="1" w:styleId="70">
    <w:name w:val="标题 9 Char"/>
    <w:basedOn w:val="55"/>
    <w:link w:val="10"/>
    <w:qFormat/>
    <w:uiPriority w:val="0"/>
    <w:rPr>
      <w:rFonts w:ascii="Arial" w:hAnsi="Arial" w:eastAsia="黑体" w:cs="Times New Roman"/>
      <w:kern w:val="0"/>
      <w:sz w:val="20"/>
      <w:szCs w:val="21"/>
      <w:lang w:val="en-US" w:eastAsia="zh-CN" w:bidi="ar-SA"/>
    </w:rPr>
  </w:style>
  <w:style w:type="paragraph" w:customStyle="1" w:styleId="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2">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73">
    <w:name w:val="[Normal]"/>
    <w:qFormat/>
    <w:uiPriority w:val="0"/>
    <w:rPr>
      <w:rFonts w:ascii="宋体" w:hAnsi="宋体" w:eastAsia="宋体" w:cs="Times New Roman"/>
      <w:sz w:val="24"/>
      <w:szCs w:val="22"/>
      <w:lang w:val="zh-CN" w:eastAsia="zh-CN" w:bidi="ar-SA"/>
    </w:rPr>
  </w:style>
  <w:style w:type="character" w:customStyle="1" w:styleId="74">
    <w:name w:val="标题 1 字符"/>
    <w:qFormat/>
    <w:uiPriority w:val="0"/>
    <w:rPr>
      <w:b/>
      <w:bCs/>
      <w:kern w:val="44"/>
      <w:sz w:val="30"/>
      <w:szCs w:val="44"/>
    </w:rPr>
  </w:style>
  <w:style w:type="character" w:customStyle="1" w:styleId="75">
    <w:name w:val="页眉 Char1"/>
    <w:qFormat/>
    <w:uiPriority w:val="0"/>
    <w:rPr>
      <w:rFonts w:ascii="Times New Roman" w:hAnsi="Times New Roman" w:eastAsia="宋体" w:cs="Times New Roman"/>
      <w:sz w:val="18"/>
      <w:szCs w:val="18"/>
    </w:rPr>
  </w:style>
  <w:style w:type="character" w:customStyle="1" w:styleId="76">
    <w:name w:val="H2 Char"/>
    <w:qFormat/>
    <w:uiPriority w:val="0"/>
    <w:rPr>
      <w:rFonts w:ascii="Cambria" w:hAnsi="Cambria" w:eastAsia="宋体" w:cs="Times New Roman"/>
      <w:b/>
      <w:bCs/>
      <w:sz w:val="32"/>
      <w:szCs w:val="32"/>
    </w:rPr>
  </w:style>
  <w:style w:type="paragraph" w:customStyle="1" w:styleId="77">
    <w:name w:val="* table text"/>
    <w:basedOn w:val="1"/>
    <w:qFormat/>
    <w:uiPriority w:val="0"/>
    <w:pPr>
      <w:widowControl/>
    </w:pPr>
    <w:rPr>
      <w:rFonts w:ascii="Arial" w:hAnsi="Arial"/>
      <w:color w:val="333333"/>
      <w:kern w:val="0"/>
      <w:sz w:val="18"/>
      <w:szCs w:val="18"/>
    </w:rPr>
  </w:style>
  <w:style w:type="character" w:customStyle="1" w:styleId="78">
    <w:name w:val="Char Char12"/>
    <w:qFormat/>
    <w:uiPriority w:val="0"/>
    <w:rPr>
      <w:rFonts w:ascii="方正仿宋_GB2312" w:hAnsi="宋体" w:eastAsia="方正仿宋_GB2312"/>
      <w:color w:val="000000"/>
      <w:kern w:val="2"/>
      <w:sz w:val="24"/>
      <w:szCs w:val="24"/>
    </w:rPr>
  </w:style>
  <w:style w:type="character" w:customStyle="1" w:styleId="79">
    <w:name w:val="Char Char23"/>
    <w:qFormat/>
    <w:uiPriority w:val="0"/>
    <w:rPr>
      <w:b/>
      <w:bCs/>
      <w:kern w:val="2"/>
      <w:sz w:val="28"/>
      <w:szCs w:val="28"/>
    </w:rPr>
  </w:style>
  <w:style w:type="character" w:customStyle="1" w:styleId="80">
    <w:name w:val="Char Char27"/>
    <w:qFormat/>
    <w:uiPriority w:val="0"/>
    <w:rPr>
      <w:b/>
      <w:bCs/>
      <w:kern w:val="44"/>
      <w:sz w:val="44"/>
      <w:szCs w:val="44"/>
    </w:rPr>
  </w:style>
  <w:style w:type="character" w:customStyle="1" w:styleId="81">
    <w:name w:val="Char Char1111"/>
    <w:qFormat/>
    <w:uiPriority w:val="0"/>
    <w:rPr>
      <w:kern w:val="2"/>
      <w:sz w:val="28"/>
      <w:szCs w:val="24"/>
    </w:rPr>
  </w:style>
  <w:style w:type="character" w:customStyle="1" w:styleId="82">
    <w:name w:val="正文文本 字符"/>
    <w:qFormat/>
    <w:uiPriority w:val="0"/>
    <w:rPr>
      <w:rFonts w:ascii="Times New Roman" w:hAnsi="Times New Roman" w:eastAsia="宋体" w:cs="Times New Roman"/>
      <w:kern w:val="0"/>
      <w:sz w:val="28"/>
      <w:szCs w:val="24"/>
    </w:rPr>
  </w:style>
  <w:style w:type="paragraph" w:customStyle="1" w:styleId="83">
    <w:name w:val="无格式标题"/>
    <w:basedOn w:val="1"/>
    <w:qFormat/>
    <w:uiPriority w:val="0"/>
    <w:pPr>
      <w:spacing w:line="360" w:lineRule="auto"/>
    </w:pPr>
    <w:rPr>
      <w:rFonts w:ascii="微软雅黑" w:hAnsi="微软雅黑" w:eastAsia="微软雅黑"/>
      <w:b/>
      <w:kern w:val="0"/>
      <w:sz w:val="20"/>
    </w:rPr>
  </w:style>
  <w:style w:type="character" w:customStyle="1" w:styleId="84">
    <w:name w:val="标题 3 Char1"/>
    <w:qFormat/>
    <w:uiPriority w:val="0"/>
    <w:rPr>
      <w:rFonts w:ascii="Times New Roman" w:hAnsi="Times New Roman" w:eastAsia="宋体" w:cs="Times New Roman"/>
      <w:b/>
      <w:bCs/>
      <w:sz w:val="32"/>
      <w:szCs w:val="32"/>
    </w:rPr>
  </w:style>
  <w:style w:type="character" w:customStyle="1" w:styleId="85">
    <w:name w:val="Heading 9 Char"/>
    <w:qFormat/>
    <w:locked/>
    <w:uiPriority w:val="0"/>
    <w:rPr>
      <w:rFonts w:ascii="Cambria" w:hAnsi="Cambria" w:eastAsia="宋体" w:cs="Times New Roman"/>
      <w:kern w:val="0"/>
      <w:sz w:val="21"/>
      <w:szCs w:val="21"/>
    </w:rPr>
  </w:style>
  <w:style w:type="paragraph" w:customStyle="1" w:styleId="86">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7">
    <w:name w:val="段落文本"/>
    <w:basedOn w:val="1"/>
    <w:qFormat/>
    <w:uiPriority w:val="0"/>
    <w:pPr>
      <w:spacing w:line="360" w:lineRule="auto"/>
      <w:ind w:firstLine="420"/>
    </w:pPr>
    <w:rPr>
      <w:kern w:val="0"/>
      <w:sz w:val="20"/>
      <w:szCs w:val="21"/>
    </w:rPr>
  </w:style>
  <w:style w:type="character" w:customStyle="1" w:styleId="88">
    <w:name w:val="批注文字 Char1"/>
    <w:qFormat/>
    <w:uiPriority w:val="0"/>
    <w:rPr>
      <w:rFonts w:ascii="Times New Roman" w:hAnsi="Times New Roman" w:eastAsia="宋体" w:cs="Times New Roman"/>
      <w:szCs w:val="24"/>
    </w:rPr>
  </w:style>
  <w:style w:type="character" w:customStyle="1" w:styleId="89">
    <w:name w:val="￥正文 Char Char"/>
    <w:qFormat/>
    <w:uiPriority w:val="0"/>
    <w:rPr>
      <w:rFonts w:ascii="Calibri" w:hAnsi="Calibri"/>
      <w:sz w:val="24"/>
    </w:rPr>
  </w:style>
  <w:style w:type="character" w:customStyle="1" w:styleId="90">
    <w:name w:val="Char Char5"/>
    <w:qFormat/>
    <w:uiPriority w:val="0"/>
    <w:rPr>
      <w:rFonts w:ascii="宋体" w:hAnsi="宋体"/>
      <w:sz w:val="24"/>
      <w:szCs w:val="24"/>
    </w:rPr>
  </w:style>
  <w:style w:type="character" w:customStyle="1" w:styleId="91">
    <w:name w:val="Heading 3 Char"/>
    <w:qFormat/>
    <w:locked/>
    <w:uiPriority w:val="0"/>
    <w:rPr>
      <w:rFonts w:cs="Times New Roman"/>
      <w:b/>
      <w:bCs/>
      <w:kern w:val="0"/>
      <w:sz w:val="32"/>
      <w:szCs w:val="32"/>
    </w:rPr>
  </w:style>
  <w:style w:type="character" w:customStyle="1" w:styleId="92">
    <w:name w:val="Char Char21"/>
    <w:qFormat/>
    <w:uiPriority w:val="0"/>
    <w:rPr>
      <w:b/>
      <w:bCs/>
      <w:kern w:val="2"/>
      <w:sz w:val="24"/>
      <w:szCs w:val="24"/>
    </w:rPr>
  </w:style>
  <w:style w:type="paragraph" w:customStyle="1" w:styleId="93">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4">
    <w:name w:val="Heading 8 Char"/>
    <w:qFormat/>
    <w:locked/>
    <w:uiPriority w:val="0"/>
    <w:rPr>
      <w:rFonts w:ascii="Cambria" w:hAnsi="Cambria" w:eastAsia="宋体" w:cs="Times New Roman"/>
      <w:kern w:val="0"/>
      <w:sz w:val="24"/>
      <w:szCs w:val="24"/>
    </w:rPr>
  </w:style>
  <w:style w:type="paragraph" w:customStyle="1" w:styleId="95">
    <w:name w:val="内容文本"/>
    <w:basedOn w:val="1"/>
    <w:qFormat/>
    <w:uiPriority w:val="0"/>
    <w:pPr>
      <w:spacing w:line="360" w:lineRule="auto"/>
      <w:ind w:firstLine="200" w:firstLineChars="200"/>
    </w:pPr>
    <w:rPr>
      <w:rFonts w:ascii="宋体" w:hAnsi="宋体"/>
      <w:sz w:val="24"/>
    </w:rPr>
  </w:style>
  <w:style w:type="character" w:customStyle="1" w:styleId="96">
    <w:name w:val="Char Char3"/>
    <w:qFormat/>
    <w:uiPriority w:val="0"/>
    <w:rPr>
      <w:kern w:val="2"/>
      <w:sz w:val="24"/>
      <w:szCs w:val="24"/>
    </w:rPr>
  </w:style>
  <w:style w:type="character" w:customStyle="1" w:styleId="97">
    <w:name w:val="Char Char8"/>
    <w:qFormat/>
    <w:uiPriority w:val="0"/>
    <w:rPr>
      <w:rFonts w:eastAsia="方正楷体_GB2312"/>
      <w:kern w:val="2"/>
      <w:sz w:val="32"/>
    </w:rPr>
  </w:style>
  <w:style w:type="character" w:customStyle="1" w:styleId="98">
    <w:name w:val="Char Char18"/>
    <w:qFormat/>
    <w:uiPriority w:val="0"/>
    <w:rPr>
      <w:rFonts w:eastAsia="黑体"/>
      <w:sz w:val="18"/>
      <w:szCs w:val="18"/>
    </w:rPr>
  </w:style>
  <w:style w:type="character" w:customStyle="1" w:styleId="99">
    <w:name w:val="h Char"/>
    <w:qFormat/>
    <w:uiPriority w:val="0"/>
    <w:rPr>
      <w:rFonts w:ascii="Times New Roman" w:hAnsi="Times New Roman" w:eastAsia="宋体" w:cs="Times New Roman"/>
      <w:sz w:val="18"/>
      <w:szCs w:val="18"/>
    </w:rPr>
  </w:style>
  <w:style w:type="character" w:customStyle="1" w:styleId="100">
    <w:name w:val="Heading 4 Char"/>
    <w:qFormat/>
    <w:locked/>
    <w:uiPriority w:val="0"/>
    <w:rPr>
      <w:rFonts w:cs="Times New Roman"/>
      <w:b/>
      <w:sz w:val="21"/>
    </w:rPr>
  </w:style>
  <w:style w:type="character" w:customStyle="1" w:styleId="101">
    <w:name w:val="zhenwen14"/>
    <w:qFormat/>
    <w:uiPriority w:val="0"/>
    <w:rPr>
      <w:color w:val="085994"/>
      <w:sz w:val="18"/>
      <w:szCs w:val="18"/>
    </w:rPr>
  </w:style>
  <w:style w:type="paragraph" w:customStyle="1" w:styleId="102">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方正仿宋_GB2312"/>
      <w:sz w:val="24"/>
    </w:rPr>
  </w:style>
  <w:style w:type="character" w:customStyle="1" w:styleId="106">
    <w:name w:val="日期 Char1"/>
    <w:qFormat/>
    <w:uiPriority w:val="0"/>
    <w:rPr>
      <w:rFonts w:ascii="Times New Roman" w:hAnsi="Times New Roman" w:eastAsia="宋体" w:cs="Times New Roman"/>
      <w:szCs w:val="24"/>
    </w:rPr>
  </w:style>
  <w:style w:type="character" w:customStyle="1" w:styleId="107">
    <w:name w:val="font31"/>
    <w:qFormat/>
    <w:uiPriority w:val="0"/>
    <w:rPr>
      <w:rFonts w:ascii="Times New Roman" w:hAnsi="Times New Roman" w:cs="Times New Roman"/>
      <w:color w:val="000000"/>
      <w:sz w:val="20"/>
      <w:szCs w:val="20"/>
      <w:u w:val="none"/>
    </w:rPr>
  </w:style>
  <w:style w:type="character" w:customStyle="1" w:styleId="108">
    <w:name w:val="样式 加粗"/>
    <w:qFormat/>
    <w:uiPriority w:val="0"/>
    <w:rPr>
      <w:rFonts w:eastAsia="方正仿宋_GB2312"/>
      <w:b/>
      <w:bCs/>
      <w:sz w:val="24"/>
    </w:rPr>
  </w:style>
  <w:style w:type="paragraph" w:customStyle="1" w:styleId="109">
    <w:name w:val="常规"/>
    <w:basedOn w:val="1"/>
    <w:qFormat/>
    <w:uiPriority w:val="0"/>
    <w:pPr>
      <w:spacing w:before="100" w:beforeLines="100" w:after="100" w:afterLines="100"/>
      <w:ind w:left="1134"/>
    </w:pPr>
    <w:rPr>
      <w:kern w:val="0"/>
      <w:sz w:val="20"/>
      <w:szCs w:val="21"/>
    </w:rPr>
  </w:style>
  <w:style w:type="character" w:customStyle="1" w:styleId="110">
    <w:name w:val="普通 (Web) Char1"/>
    <w:qFormat/>
    <w:locked/>
    <w:uiPriority w:val="0"/>
    <w:rPr>
      <w:rFonts w:ascii="宋体" w:hAnsi="宋体" w:eastAsia="宋体"/>
      <w:sz w:val="24"/>
      <w:szCs w:val="24"/>
      <w:lang w:val="en-US" w:eastAsia="zh-CN" w:bidi="ar-SA"/>
    </w:rPr>
  </w:style>
  <w:style w:type="character" w:customStyle="1" w:styleId="111">
    <w:name w:val="Heading 2 Char"/>
    <w:qFormat/>
    <w:locked/>
    <w:uiPriority w:val="0"/>
    <w:rPr>
      <w:rFonts w:ascii="Cambria" w:hAnsi="Cambria" w:eastAsia="宋体" w:cs="Times New Roman"/>
      <w:b/>
      <w:bCs/>
      <w:kern w:val="0"/>
      <w:sz w:val="32"/>
      <w:szCs w:val="32"/>
    </w:rPr>
  </w:style>
  <w:style w:type="character" w:customStyle="1" w:styleId="112">
    <w:name w:val="Body Text Char"/>
    <w:qFormat/>
    <w:locked/>
    <w:uiPriority w:val="0"/>
    <w:rPr>
      <w:rFonts w:cs="Times New Roman"/>
      <w:kern w:val="0"/>
      <w:sz w:val="21"/>
      <w:szCs w:val="21"/>
    </w:rPr>
  </w:style>
  <w:style w:type="character" w:customStyle="1" w:styleId="113">
    <w:name w:val="正文首行缩进1 Char"/>
    <w:qFormat/>
    <w:uiPriority w:val="0"/>
    <w:rPr>
      <w:rFonts w:ascii="Arial" w:hAnsi="Arial" w:eastAsia="宋体"/>
      <w:sz w:val="24"/>
      <w:szCs w:val="21"/>
      <w:lang w:bidi="ar-SA"/>
    </w:rPr>
  </w:style>
  <w:style w:type="character" w:customStyle="1" w:styleId="114">
    <w:name w:val="Char Char6"/>
    <w:qFormat/>
    <w:uiPriority w:val="0"/>
    <w:rPr>
      <w:rFonts w:ascii="Cambria" w:hAnsi="Cambria"/>
      <w:b/>
      <w:bCs/>
      <w:kern w:val="2"/>
      <w:sz w:val="32"/>
      <w:szCs w:val="32"/>
    </w:rPr>
  </w:style>
  <w:style w:type="character" w:customStyle="1" w:styleId="115">
    <w:name w:val="style171"/>
    <w:qFormat/>
    <w:uiPriority w:val="0"/>
    <w:rPr>
      <w:sz w:val="20"/>
      <w:szCs w:val="20"/>
    </w:rPr>
  </w:style>
  <w:style w:type="character" w:customStyle="1" w:styleId="116">
    <w:name w:val="newscontent1"/>
    <w:qFormat/>
    <w:uiPriority w:val="0"/>
    <w:rPr>
      <w:rFonts w:ascii="Verdana" w:hAnsi="Verdana"/>
      <w:color w:val="333333"/>
      <w:sz w:val="18"/>
      <w:szCs w:val="18"/>
    </w:rPr>
  </w:style>
  <w:style w:type="character" w:customStyle="1" w:styleId="117">
    <w:name w:val="H1 Char"/>
    <w:qFormat/>
    <w:uiPriority w:val="0"/>
    <w:rPr>
      <w:rFonts w:ascii="Times New Roman" w:hAnsi="Times New Roman" w:eastAsia="宋体" w:cs="Times New Roman"/>
      <w:b/>
      <w:bCs/>
      <w:kern w:val="44"/>
      <w:sz w:val="44"/>
      <w:szCs w:val="44"/>
    </w:rPr>
  </w:style>
  <w:style w:type="character" w:customStyle="1" w:styleId="118">
    <w:name w:val="style211"/>
    <w:qFormat/>
    <w:uiPriority w:val="0"/>
    <w:rPr>
      <w:color w:val="0000FF"/>
    </w:rPr>
  </w:style>
  <w:style w:type="character" w:customStyle="1" w:styleId="119">
    <w:name w:val="con-all2"/>
    <w:qFormat/>
    <w:uiPriority w:val="0"/>
  </w:style>
  <w:style w:type="paragraph" w:customStyle="1" w:styleId="120">
    <w:name w:val="!标题3 Ctrl+3"/>
    <w:basedOn w:val="4"/>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21">
    <w:name w:val="font61"/>
    <w:qFormat/>
    <w:uiPriority w:val="0"/>
    <w:rPr>
      <w:rFonts w:ascii="宋体" w:hAnsi="宋体" w:eastAsia="宋体" w:cs="宋体"/>
      <w:color w:val="000000"/>
      <w:sz w:val="24"/>
      <w:szCs w:val="24"/>
      <w:u w:val="none"/>
    </w:rPr>
  </w:style>
  <w:style w:type="character" w:customStyle="1" w:styleId="122">
    <w:name w:val="正文文本缩进 Char1"/>
    <w:qFormat/>
    <w:uiPriority w:val="0"/>
    <w:rPr>
      <w:rFonts w:ascii="Times New Roman" w:hAnsi="Times New Roman" w:eastAsia="宋体" w:cs="Times New Roman"/>
      <w:szCs w:val="24"/>
    </w:rPr>
  </w:style>
  <w:style w:type="character" w:customStyle="1" w:styleId="123">
    <w:name w:val="Char Char25"/>
    <w:qFormat/>
    <w:uiPriority w:val="0"/>
    <w:rPr>
      <w:rFonts w:eastAsia="方正楷体_GB2312"/>
      <w:b/>
      <w:bCs/>
      <w:kern w:val="2"/>
      <w:sz w:val="32"/>
      <w:szCs w:val="32"/>
    </w:rPr>
  </w:style>
  <w:style w:type="character" w:customStyle="1" w:styleId="124">
    <w:name w:val="Char Char14"/>
    <w:qFormat/>
    <w:uiPriority w:val="0"/>
    <w:rPr>
      <w:kern w:val="2"/>
      <w:sz w:val="18"/>
      <w:szCs w:val="18"/>
    </w:rPr>
  </w:style>
  <w:style w:type="character" w:customStyle="1" w:styleId="125">
    <w:name w:val="unnamed21"/>
    <w:qFormat/>
    <w:uiPriority w:val="0"/>
    <w:rPr>
      <w:b/>
      <w:bCs/>
      <w:spacing w:val="330"/>
      <w:sz w:val="21"/>
      <w:szCs w:val="21"/>
    </w:rPr>
  </w:style>
  <w:style w:type="character" w:customStyle="1" w:styleId="126">
    <w:name w:val="body1"/>
    <w:qFormat/>
    <w:uiPriority w:val="0"/>
    <w:rPr>
      <w:sz w:val="18"/>
    </w:rPr>
  </w:style>
  <w:style w:type="paragraph" w:customStyle="1" w:styleId="127">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8">
    <w:name w:val="批注主题 Char1"/>
    <w:qFormat/>
    <w:uiPriority w:val="0"/>
    <w:rPr>
      <w:rFonts w:ascii="Times New Roman" w:hAnsi="Times New Roman" w:eastAsia="宋体" w:cs="Times New Roman"/>
      <w:b/>
      <w:bCs/>
      <w:szCs w:val="24"/>
    </w:rPr>
  </w:style>
  <w:style w:type="character" w:customStyle="1" w:styleId="129">
    <w:name w:val="页脚 Char1"/>
    <w:qFormat/>
    <w:uiPriority w:val="0"/>
    <w:rPr>
      <w:rFonts w:ascii="Times New Roman" w:hAnsi="Times New Roman" w:eastAsia="宋体" w:cs="Times New Roman"/>
      <w:sz w:val="18"/>
      <w:szCs w:val="18"/>
    </w:rPr>
  </w:style>
  <w:style w:type="character" w:customStyle="1" w:styleId="130">
    <w:name w:val="Heading 5 Char"/>
    <w:qFormat/>
    <w:locked/>
    <w:uiPriority w:val="0"/>
    <w:rPr>
      <w:rFonts w:cs="Times New Roman"/>
      <w:b/>
      <w:bCs/>
      <w:kern w:val="0"/>
      <w:sz w:val="28"/>
      <w:szCs w:val="28"/>
    </w:rPr>
  </w:style>
  <w:style w:type="character" w:customStyle="1" w:styleId="131">
    <w:name w:val="Char Char26"/>
    <w:qFormat/>
    <w:uiPriority w:val="0"/>
    <w:rPr>
      <w:rFonts w:ascii="Arial" w:hAnsi="Arial" w:eastAsia="黑体"/>
      <w:b/>
      <w:bCs/>
      <w:kern w:val="2"/>
      <w:sz w:val="32"/>
      <w:szCs w:val="32"/>
    </w:rPr>
  </w:style>
  <w:style w:type="character" w:customStyle="1" w:styleId="132">
    <w:name w:val="正文文本 2 Char1"/>
    <w:qFormat/>
    <w:uiPriority w:val="0"/>
    <w:rPr>
      <w:rFonts w:ascii="Times New Roman" w:hAnsi="Times New Roman" w:eastAsia="宋体" w:cs="Times New Roman"/>
      <w:szCs w:val="24"/>
    </w:rPr>
  </w:style>
  <w:style w:type="character" w:customStyle="1" w:styleId="133">
    <w:name w:val="font41"/>
    <w:qFormat/>
    <w:uiPriority w:val="0"/>
    <w:rPr>
      <w:rFonts w:ascii="宋体" w:hAnsi="宋体" w:eastAsia="宋体" w:cs="宋体"/>
      <w:color w:val="000000"/>
      <w:sz w:val="20"/>
      <w:szCs w:val="20"/>
      <w:u w:val="none"/>
    </w:rPr>
  </w:style>
  <w:style w:type="character" w:customStyle="1" w:styleId="134">
    <w:name w:val="BOD 4 Char Char"/>
    <w:qFormat/>
    <w:uiPriority w:val="0"/>
    <w:rPr>
      <w:rFonts w:ascii="Arial" w:hAnsi="Arial" w:eastAsia="黑体" w:cs="Times New Roman"/>
      <w:b/>
      <w:bCs/>
      <w:sz w:val="24"/>
      <w:szCs w:val="24"/>
    </w:rPr>
  </w:style>
  <w:style w:type="character" w:customStyle="1" w:styleId="135">
    <w:name w:val="Heading 1 Char"/>
    <w:qFormat/>
    <w:locked/>
    <w:uiPriority w:val="0"/>
    <w:rPr>
      <w:rFonts w:cs="Times New Roman"/>
      <w:b/>
      <w:bCs/>
      <w:kern w:val="44"/>
      <w:sz w:val="44"/>
      <w:szCs w:val="44"/>
    </w:rPr>
  </w:style>
  <w:style w:type="character" w:customStyle="1" w:styleId="136">
    <w:name w:val="txt1"/>
    <w:qFormat/>
    <w:uiPriority w:val="0"/>
    <w:rPr>
      <w:rFonts w:ascii="黑体" w:hAnsi="黑体"/>
      <w:sz w:val="18"/>
      <w:szCs w:val="18"/>
    </w:rPr>
  </w:style>
  <w:style w:type="character" w:customStyle="1" w:styleId="137">
    <w:name w:val="Plain Text Char"/>
    <w:qFormat/>
    <w:locked/>
    <w:uiPriority w:val="0"/>
    <w:rPr>
      <w:rFonts w:ascii="宋体" w:hAnsi="Courier New" w:cs="Courier New"/>
      <w:kern w:val="0"/>
      <w:sz w:val="21"/>
      <w:szCs w:val="21"/>
    </w:rPr>
  </w:style>
  <w:style w:type="character" w:customStyle="1" w:styleId="138">
    <w:name w:val="Char Char1"/>
    <w:qFormat/>
    <w:uiPriority w:val="0"/>
    <w:rPr>
      <w:kern w:val="2"/>
      <w:sz w:val="21"/>
      <w:szCs w:val="24"/>
    </w:rPr>
  </w:style>
  <w:style w:type="paragraph" w:customStyle="1" w:styleId="139">
    <w:name w:val="￥正文"/>
    <w:basedOn w:val="1"/>
    <w:qFormat/>
    <w:uiPriority w:val="0"/>
    <w:pPr>
      <w:spacing w:line="360" w:lineRule="auto"/>
      <w:ind w:firstLine="200" w:firstLineChars="200"/>
    </w:pPr>
    <w:rPr>
      <w:rFonts w:ascii="Calibri" w:hAnsi="Calibri"/>
      <w:kern w:val="0"/>
      <w:sz w:val="24"/>
      <w:szCs w:val="20"/>
    </w:rPr>
  </w:style>
  <w:style w:type="character" w:customStyle="1" w:styleId="140">
    <w:name w:val="Char Char22"/>
    <w:qFormat/>
    <w:uiPriority w:val="0"/>
    <w:rPr>
      <w:rFonts w:ascii="Arial" w:hAnsi="Arial" w:eastAsia="黑体"/>
      <w:b/>
      <w:bCs/>
      <w:kern w:val="2"/>
      <w:sz w:val="24"/>
      <w:szCs w:val="24"/>
    </w:rPr>
  </w:style>
  <w:style w:type="character" w:customStyle="1" w:styleId="141">
    <w:name w:val="标题 1 Char Char"/>
    <w:qFormat/>
    <w:uiPriority w:val="0"/>
    <w:rPr>
      <w:rFonts w:eastAsia="宋体"/>
      <w:b/>
      <w:spacing w:val="-2"/>
      <w:sz w:val="24"/>
      <w:lang w:val="en-US" w:eastAsia="zh-CN" w:bidi="ar-SA"/>
    </w:rPr>
  </w:style>
  <w:style w:type="character" w:customStyle="1" w:styleId="142">
    <w:name w:val="Char Char20"/>
    <w:qFormat/>
    <w:uiPriority w:val="0"/>
    <w:rPr>
      <w:rFonts w:ascii="Arial" w:hAnsi="Arial" w:eastAsia="黑体"/>
      <w:kern w:val="2"/>
      <w:sz w:val="24"/>
      <w:szCs w:val="24"/>
    </w:rPr>
  </w:style>
  <w:style w:type="character" w:customStyle="1" w:styleId="143">
    <w:name w:val="wj1"/>
    <w:qFormat/>
    <w:uiPriority w:val="0"/>
    <w:rPr>
      <w:color w:val="000000"/>
      <w:sz w:val="18"/>
      <w:szCs w:val="18"/>
      <w:u w:val="none"/>
    </w:rPr>
  </w:style>
  <w:style w:type="character" w:customStyle="1" w:styleId="144">
    <w:name w:val="font91"/>
    <w:qFormat/>
    <w:uiPriority w:val="0"/>
    <w:rPr>
      <w:rFonts w:ascii="Arial" w:hAnsi="Arial" w:cs="Arial"/>
      <w:b/>
      <w:color w:val="auto"/>
      <w:sz w:val="20"/>
      <w:szCs w:val="20"/>
      <w:u w:val="none"/>
    </w:rPr>
  </w:style>
  <w:style w:type="character" w:customStyle="1" w:styleId="145">
    <w:name w:val="Char Char17"/>
    <w:qFormat/>
    <w:uiPriority w:val="0"/>
    <w:rPr>
      <w:rFonts w:ascii="方正仿宋_GB2312" w:hAnsi="宋体" w:cs="Arial"/>
      <w:b/>
      <w:bCs/>
      <w:color w:val="000000"/>
      <w:kern w:val="2"/>
      <w:sz w:val="24"/>
      <w:szCs w:val="24"/>
    </w:rPr>
  </w:style>
  <w:style w:type="character" w:customStyle="1" w:styleId="146">
    <w:name w:val="font11"/>
    <w:qFormat/>
    <w:uiPriority w:val="0"/>
    <w:rPr>
      <w:rFonts w:ascii="Times New Roman" w:hAnsi="Times New Roman" w:cs="Times New Roman"/>
      <w:color w:val="000000"/>
      <w:sz w:val="20"/>
      <w:szCs w:val="20"/>
      <w:u w:val="none"/>
    </w:rPr>
  </w:style>
  <w:style w:type="character" w:customStyle="1" w:styleId="147">
    <w:name w:val="Normal Indent Char"/>
    <w:qFormat/>
    <w:locked/>
    <w:uiPriority w:val="0"/>
    <w:rPr>
      <w:sz w:val="20"/>
    </w:rPr>
  </w:style>
  <w:style w:type="character" w:customStyle="1" w:styleId="148">
    <w:name w:val="正文文本 3 Char1"/>
    <w:qFormat/>
    <w:uiPriority w:val="0"/>
    <w:rPr>
      <w:rFonts w:ascii="Times New Roman" w:hAnsi="Times New Roman" w:eastAsia="宋体" w:cs="Times New Roman"/>
      <w:sz w:val="16"/>
      <w:szCs w:val="16"/>
    </w:rPr>
  </w:style>
  <w:style w:type="character" w:customStyle="1" w:styleId="149">
    <w:name w:val="表正文 Char"/>
    <w:qFormat/>
    <w:uiPriority w:val="0"/>
    <w:rPr>
      <w:rFonts w:ascii="Times New Roman" w:hAnsi="Times New Roman" w:eastAsia="宋体" w:cs="Times New Roman"/>
      <w:szCs w:val="24"/>
    </w:rPr>
  </w:style>
  <w:style w:type="character" w:customStyle="1" w:styleId="150">
    <w:name w:val="Header Char"/>
    <w:qFormat/>
    <w:locked/>
    <w:uiPriority w:val="0"/>
    <w:rPr>
      <w:rFonts w:ascii="Calibri" w:hAnsi="Calibri" w:eastAsia="宋体" w:cs="Times New Roman"/>
      <w:sz w:val="18"/>
      <w:szCs w:val="18"/>
    </w:rPr>
  </w:style>
  <w:style w:type="character" w:customStyle="1" w:styleId="151">
    <w:name w:val="cn1"/>
    <w:qFormat/>
    <w:uiPriority w:val="0"/>
  </w:style>
  <w:style w:type="character" w:customStyle="1" w:styleId="152">
    <w:name w:val="样式7 Char"/>
    <w:qFormat/>
    <w:uiPriority w:val="0"/>
    <w:rPr>
      <w:rFonts w:eastAsia="宋体" w:cs="宋体"/>
      <w:kern w:val="2"/>
      <w:sz w:val="24"/>
      <w:szCs w:val="24"/>
      <w:lang w:val="en-US" w:eastAsia="zh-CN" w:bidi="ar-SA"/>
    </w:rPr>
  </w:style>
  <w:style w:type="paragraph" w:customStyle="1" w:styleId="153">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4">
    <w:name w:val="Char Char13"/>
    <w:qFormat/>
    <w:uiPriority w:val="0"/>
    <w:rPr>
      <w:b/>
      <w:bCs/>
      <w:kern w:val="2"/>
      <w:sz w:val="21"/>
      <w:szCs w:val="24"/>
    </w:rPr>
  </w:style>
  <w:style w:type="character" w:customStyle="1" w:styleId="155">
    <w:name w:val="纯文本 Char2"/>
    <w:qFormat/>
    <w:uiPriority w:val="0"/>
    <w:rPr>
      <w:rFonts w:ascii="宋体" w:hAnsi="Courier New" w:eastAsia="宋体" w:cs="Courier New"/>
      <w:szCs w:val="21"/>
    </w:rPr>
  </w:style>
  <w:style w:type="character" w:customStyle="1" w:styleId="156">
    <w:name w:val="Char Char10"/>
    <w:qFormat/>
    <w:uiPriority w:val="0"/>
    <w:rPr>
      <w:kern w:val="2"/>
      <w:sz w:val="21"/>
      <w:szCs w:val="24"/>
      <w:shd w:val="clear" w:color="auto" w:fill="000080"/>
    </w:rPr>
  </w:style>
  <w:style w:type="character" w:customStyle="1" w:styleId="157">
    <w:name w:val="未处理的提及"/>
    <w:qFormat/>
    <w:uiPriority w:val="0"/>
    <w:rPr>
      <w:color w:val="605E5C"/>
      <w:shd w:val="clear" w:color="auto" w:fill="E1DFDD"/>
    </w:rPr>
  </w:style>
  <w:style w:type="paragraph" w:customStyle="1" w:styleId="158">
    <w:name w:val="普通段落"/>
    <w:basedOn w:val="1"/>
    <w:qFormat/>
    <w:uiPriority w:val="0"/>
    <w:pPr>
      <w:spacing w:after="240" w:line="276" w:lineRule="auto"/>
    </w:pPr>
    <w:rPr>
      <w:rFonts w:ascii="Arial" w:hAnsi="Arial"/>
      <w:kern w:val="0"/>
      <w:sz w:val="20"/>
      <w:szCs w:val="20"/>
    </w:rPr>
  </w:style>
  <w:style w:type="character" w:customStyle="1" w:styleId="159">
    <w:name w:val="纯文本 Char1"/>
    <w:qFormat/>
    <w:uiPriority w:val="0"/>
    <w:rPr>
      <w:rFonts w:ascii="宋体" w:hAnsi="Courier New" w:eastAsia="宋体"/>
      <w:kern w:val="2"/>
      <w:sz w:val="24"/>
      <w:szCs w:val="24"/>
      <w:lang w:val="en-US" w:eastAsia="zh-CN" w:bidi="ar-SA"/>
    </w:rPr>
  </w:style>
  <w:style w:type="character" w:customStyle="1" w:styleId="160">
    <w:name w:val="页脚 Char"/>
    <w:qFormat/>
    <w:uiPriority w:val="0"/>
    <w:rPr>
      <w:rFonts w:eastAsia="Calibri"/>
      <w:sz w:val="21"/>
    </w:rPr>
  </w:style>
  <w:style w:type="character" w:customStyle="1" w:styleId="161">
    <w:name w:val="正文文字缩进4字符 Char"/>
    <w:qFormat/>
    <w:uiPriority w:val="0"/>
    <w:rPr>
      <w:rFonts w:ascii="Times New Roman" w:hAnsi="Times New Roman" w:eastAsia="宋体" w:cs="Times New Roman"/>
      <w:sz w:val="24"/>
      <w:szCs w:val="24"/>
    </w:rPr>
  </w:style>
  <w:style w:type="character" w:customStyle="1" w:styleId="162">
    <w:name w:val="正文文本缩进 字符"/>
    <w:qFormat/>
    <w:uiPriority w:val="0"/>
    <w:rPr>
      <w:rFonts w:ascii="宋体" w:hAnsi="Courier New"/>
      <w:spacing w:val="-4"/>
      <w:sz w:val="18"/>
    </w:rPr>
  </w:style>
  <w:style w:type="character" w:customStyle="1" w:styleId="163">
    <w:name w:val="Heading 3 - old Char"/>
    <w:qFormat/>
    <w:uiPriority w:val="0"/>
    <w:rPr>
      <w:rFonts w:ascii="Times New Roman" w:hAnsi="Times New Roman" w:eastAsia="宋体" w:cs="Times New Roman"/>
      <w:b/>
      <w:bCs/>
      <w:sz w:val="32"/>
      <w:szCs w:val="32"/>
    </w:rPr>
  </w:style>
  <w:style w:type="character" w:customStyle="1" w:styleId="164">
    <w:name w:val="H4 Char"/>
    <w:qFormat/>
    <w:uiPriority w:val="0"/>
    <w:rPr>
      <w:rFonts w:ascii="Arial" w:hAnsi="Arial" w:eastAsia="黑体" w:cs="Times New Roman"/>
      <w:b/>
      <w:bCs/>
      <w:sz w:val="28"/>
      <w:szCs w:val="28"/>
    </w:rPr>
  </w:style>
  <w:style w:type="character" w:customStyle="1" w:styleId="165">
    <w:name w:val="纯文本 字符"/>
    <w:qFormat/>
    <w:uiPriority w:val="0"/>
    <w:rPr>
      <w:rFonts w:ascii="宋体" w:hAnsi="Courier New"/>
      <w:sz w:val="24"/>
      <w:szCs w:val="24"/>
    </w:rPr>
  </w:style>
  <w:style w:type="character" w:customStyle="1" w:styleId="166">
    <w:name w:val="Char Char15"/>
    <w:qFormat/>
    <w:uiPriority w:val="0"/>
    <w:rPr>
      <w:rFonts w:hAnsi="宋体" w:eastAsia="方正仿宋_GB2312"/>
      <w:b/>
      <w:bCs/>
      <w:kern w:val="2"/>
      <w:sz w:val="24"/>
    </w:rPr>
  </w:style>
  <w:style w:type="character" w:customStyle="1" w:styleId="167">
    <w:name w:val="Footer Char"/>
    <w:qFormat/>
    <w:locked/>
    <w:uiPriority w:val="0"/>
    <w:rPr>
      <w:rFonts w:ascii="Calibri" w:hAnsi="Calibri" w:eastAsia="宋体" w:cs="Times New Roman"/>
      <w:sz w:val="18"/>
      <w:szCs w:val="18"/>
    </w:rPr>
  </w:style>
  <w:style w:type="paragraph" w:customStyle="1" w:styleId="168">
    <w:name w:val="def正文"/>
    <w:basedOn w:val="21"/>
    <w:qFormat/>
    <w:uiPriority w:val="0"/>
    <w:pPr>
      <w:widowControl/>
      <w:spacing w:after="0" w:line="360" w:lineRule="auto"/>
      <w:ind w:firstLine="510"/>
      <w:jc w:val="left"/>
    </w:pPr>
    <w:rPr>
      <w:sz w:val="24"/>
    </w:rPr>
  </w:style>
  <w:style w:type="character" w:customStyle="1" w:styleId="169">
    <w:name w:val="font51"/>
    <w:qFormat/>
    <w:uiPriority w:val="0"/>
    <w:rPr>
      <w:rFonts w:ascii="宋体" w:hAnsi="宋体" w:eastAsia="宋体" w:cs="宋体"/>
      <w:color w:val="auto"/>
      <w:sz w:val="18"/>
      <w:szCs w:val="18"/>
      <w:u w:val="none"/>
    </w:rPr>
  </w:style>
  <w:style w:type="character" w:customStyle="1" w:styleId="170">
    <w:name w:val="普通文字 Char Char"/>
    <w:qFormat/>
    <w:uiPriority w:val="0"/>
    <w:rPr>
      <w:rFonts w:ascii="宋体" w:hAnsi="Courier New" w:eastAsia="宋体" w:cs="Times New Roman"/>
      <w:szCs w:val="20"/>
    </w:rPr>
  </w:style>
  <w:style w:type="character" w:customStyle="1" w:styleId="171">
    <w:name w:val="正文文本 Char"/>
    <w:qFormat/>
    <w:uiPriority w:val="0"/>
    <w:rPr>
      <w:rFonts w:ascii="Times New Roman" w:hAnsi="Times New Roman" w:eastAsia="宋体" w:cs="Times New Roman"/>
      <w:szCs w:val="24"/>
    </w:rPr>
  </w:style>
  <w:style w:type="character" w:customStyle="1" w:styleId="172">
    <w:name w:val="3zw"/>
    <w:qFormat/>
    <w:uiPriority w:val="0"/>
  </w:style>
  <w:style w:type="character" w:customStyle="1" w:styleId="173">
    <w:name w:val="font71"/>
    <w:qFormat/>
    <w:uiPriority w:val="0"/>
    <w:rPr>
      <w:rFonts w:ascii="Arial" w:hAnsi="Arial" w:cs="Arial"/>
      <w:color w:val="auto"/>
      <w:sz w:val="20"/>
      <w:szCs w:val="20"/>
      <w:u w:val="none"/>
    </w:rPr>
  </w:style>
  <w:style w:type="character" w:customStyle="1" w:styleId="174">
    <w:name w:val="标题 Char1"/>
    <w:qFormat/>
    <w:uiPriority w:val="0"/>
    <w:rPr>
      <w:rFonts w:ascii="Cambria" w:hAnsi="Cambria" w:eastAsia="宋体" w:cs="Times New Roman"/>
      <w:b/>
      <w:bCs/>
      <w:sz w:val="32"/>
      <w:szCs w:val="32"/>
    </w:rPr>
  </w:style>
  <w:style w:type="paragraph" w:customStyle="1" w:styleId="175">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6">
    <w:name w:val="正文缩进 字符"/>
    <w:qFormat/>
    <w:uiPriority w:val="0"/>
    <w:rPr>
      <w:rFonts w:eastAsia="宋体"/>
    </w:rPr>
  </w:style>
  <w:style w:type="character" w:customStyle="1" w:styleId="177">
    <w:name w:val="A7"/>
    <w:qFormat/>
    <w:uiPriority w:val="0"/>
    <w:rPr>
      <w:rFonts w:ascii="Venetian 301 Std Roman" w:hAnsi="Venetian 301 Std Roman" w:eastAsia="Venetian 301 Std Roman" w:cs="Venetian 301 Std Roman"/>
      <w:color w:val="000000"/>
      <w:sz w:val="20"/>
      <w:szCs w:val="20"/>
    </w:rPr>
  </w:style>
  <w:style w:type="character" w:customStyle="1" w:styleId="178">
    <w:name w:val="Balloon Text Char"/>
    <w:qFormat/>
    <w:locked/>
    <w:uiPriority w:val="0"/>
    <w:rPr>
      <w:rFonts w:cs="Times New Roman"/>
      <w:sz w:val="18"/>
      <w:szCs w:val="18"/>
    </w:rPr>
  </w:style>
  <w:style w:type="character" w:customStyle="1" w:styleId="179">
    <w:name w:val="批注框文本 Char1"/>
    <w:qFormat/>
    <w:uiPriority w:val="0"/>
    <w:rPr>
      <w:rFonts w:ascii="Times New Roman" w:hAnsi="Times New Roman" w:eastAsia="宋体" w:cs="Times New Roman"/>
      <w:sz w:val="18"/>
      <w:szCs w:val="18"/>
    </w:rPr>
  </w:style>
  <w:style w:type="paragraph" w:customStyle="1" w:styleId="180">
    <w:name w:val="彩色列表 - 着色 11"/>
    <w:basedOn w:val="1"/>
    <w:qFormat/>
    <w:uiPriority w:val="0"/>
    <w:pPr>
      <w:ind w:firstLine="200" w:firstLineChars="200"/>
    </w:pPr>
  </w:style>
  <w:style w:type="character" w:customStyle="1" w:styleId="181">
    <w:name w:val="正文文本缩进 2 Char1"/>
    <w:qFormat/>
    <w:uiPriority w:val="0"/>
    <w:rPr>
      <w:rFonts w:ascii="Times New Roman" w:hAnsi="Times New Roman" w:eastAsia="宋体" w:cs="Times New Roman"/>
      <w:szCs w:val="24"/>
    </w:rPr>
  </w:style>
  <w:style w:type="character" w:customStyle="1" w:styleId="182">
    <w:name w:val="普通 (Web) Char"/>
    <w:qFormat/>
    <w:uiPriority w:val="0"/>
    <w:rPr>
      <w:rFonts w:ascii="宋体" w:hAnsi="宋体" w:eastAsia="宋体" w:cs="Times New Roman"/>
      <w:kern w:val="0"/>
      <w:sz w:val="24"/>
      <w:szCs w:val="24"/>
    </w:rPr>
  </w:style>
  <w:style w:type="character" w:customStyle="1" w:styleId="183">
    <w:name w:val="纯文本 Char3"/>
    <w:qFormat/>
    <w:uiPriority w:val="0"/>
    <w:rPr>
      <w:rFonts w:ascii="宋体" w:hAnsi="Courier New" w:eastAsia="宋体"/>
      <w:sz w:val="24"/>
      <w:szCs w:val="24"/>
    </w:rPr>
  </w:style>
  <w:style w:type="character" w:customStyle="1" w:styleId="184">
    <w:name w:val="正文首行缩进 Char1"/>
    <w:qFormat/>
    <w:uiPriority w:val="0"/>
    <w:rPr>
      <w:rFonts w:ascii="Times New Roman" w:hAnsi="Times New Roman" w:eastAsia="宋体" w:cs="Times New Roman"/>
      <w:szCs w:val="24"/>
    </w:rPr>
  </w:style>
  <w:style w:type="character" w:customStyle="1" w:styleId="185">
    <w:name w:val="style551"/>
    <w:qFormat/>
    <w:uiPriority w:val="0"/>
    <w:rPr>
      <w:rFonts w:ascii="Arial" w:hAnsi="Arial" w:cs="Arial"/>
      <w:color w:val="333333"/>
      <w:sz w:val="18"/>
      <w:szCs w:val="18"/>
    </w:rPr>
  </w:style>
  <w:style w:type="paragraph" w:customStyle="1" w:styleId="186">
    <w:name w:val="文章正文"/>
    <w:basedOn w:val="1"/>
    <w:qFormat/>
    <w:uiPriority w:val="0"/>
    <w:pPr>
      <w:spacing w:line="360" w:lineRule="auto"/>
      <w:ind w:firstLine="200" w:firstLineChars="200"/>
      <w:jc w:val="left"/>
    </w:pPr>
    <w:rPr>
      <w:rFonts w:ascii="宋体" w:hAnsi="宋体"/>
      <w:kern w:val="0"/>
      <w:sz w:val="24"/>
    </w:rPr>
  </w:style>
  <w:style w:type="character" w:customStyle="1" w:styleId="187">
    <w:name w:val="font81"/>
    <w:qFormat/>
    <w:uiPriority w:val="0"/>
    <w:rPr>
      <w:rFonts w:ascii="宋体" w:hAnsi="宋体" w:eastAsia="宋体" w:cs="宋体"/>
      <w:color w:val="000000"/>
      <w:sz w:val="20"/>
      <w:szCs w:val="20"/>
      <w:u w:val="none"/>
      <w:vertAlign w:val="superscript"/>
    </w:rPr>
  </w:style>
  <w:style w:type="character" w:customStyle="1" w:styleId="188">
    <w:name w:val="Body Text Indent 3 Char"/>
    <w:qFormat/>
    <w:locked/>
    <w:uiPriority w:val="0"/>
    <w:rPr>
      <w:rFonts w:cs="Times New Roman"/>
      <w:kern w:val="2"/>
      <w:sz w:val="16"/>
      <w:szCs w:val="16"/>
    </w:rPr>
  </w:style>
  <w:style w:type="character" w:customStyle="1" w:styleId="189">
    <w:name w:val="Char Char16"/>
    <w:qFormat/>
    <w:uiPriority w:val="0"/>
    <w:rPr>
      <w:rFonts w:ascii="宋体" w:hAnsi="Courier New"/>
      <w:spacing w:val="-4"/>
      <w:kern w:val="2"/>
      <w:sz w:val="18"/>
    </w:rPr>
  </w:style>
  <w:style w:type="character" w:customStyle="1" w:styleId="190">
    <w:name w:val="Char Char4"/>
    <w:qFormat/>
    <w:uiPriority w:val="0"/>
    <w:rPr>
      <w:rFonts w:ascii="宋体" w:hAnsi="Courier New" w:eastAsia="宋体"/>
      <w:kern w:val="2"/>
      <w:sz w:val="24"/>
      <w:szCs w:val="24"/>
      <w:lang w:val="en-US" w:eastAsia="zh-CN" w:bidi="ar-SA"/>
    </w:rPr>
  </w:style>
  <w:style w:type="character" w:customStyle="1" w:styleId="191">
    <w:name w:val="正文文本缩进 3 Char1"/>
    <w:qFormat/>
    <w:uiPriority w:val="0"/>
    <w:rPr>
      <w:rFonts w:ascii="Times New Roman" w:hAnsi="Times New Roman" w:eastAsia="宋体" w:cs="Times New Roman"/>
      <w:sz w:val="16"/>
      <w:szCs w:val="16"/>
    </w:rPr>
  </w:style>
  <w:style w:type="character" w:customStyle="1" w:styleId="192">
    <w:name w:val="Char Char7"/>
    <w:qFormat/>
    <w:uiPriority w:val="0"/>
    <w:rPr>
      <w:rFonts w:eastAsia="宋体"/>
      <w:kern w:val="2"/>
      <w:sz w:val="21"/>
      <w:lang w:val="en-US" w:eastAsia="zh-CN" w:bidi="ar-SA"/>
    </w:rPr>
  </w:style>
  <w:style w:type="paragraph" w:customStyle="1" w:styleId="193">
    <w:name w:val="A正文"/>
    <w:basedOn w:val="1"/>
    <w:qFormat/>
    <w:uiPriority w:val="0"/>
    <w:pPr>
      <w:spacing w:line="360" w:lineRule="auto"/>
      <w:ind w:firstLine="200" w:firstLineChars="200"/>
    </w:pPr>
    <w:rPr>
      <w:kern w:val="0"/>
      <w:sz w:val="20"/>
    </w:rPr>
  </w:style>
  <w:style w:type="paragraph" w:customStyle="1" w:styleId="194">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5">
    <w:name w:val="Char Char111"/>
    <w:qFormat/>
    <w:uiPriority w:val="0"/>
    <w:rPr>
      <w:kern w:val="2"/>
      <w:sz w:val="28"/>
      <w:szCs w:val="24"/>
    </w:rPr>
  </w:style>
  <w:style w:type="paragraph" w:customStyle="1" w:styleId="196">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7">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8">
    <w:name w:val="Heading 7 Char"/>
    <w:qFormat/>
    <w:locked/>
    <w:uiPriority w:val="0"/>
    <w:rPr>
      <w:rFonts w:cs="Times New Roman"/>
      <w:b/>
      <w:bCs/>
      <w:kern w:val="0"/>
      <w:sz w:val="24"/>
      <w:szCs w:val="24"/>
    </w:rPr>
  </w:style>
  <w:style w:type="character" w:customStyle="1" w:styleId="199">
    <w:name w:val="font21"/>
    <w:qFormat/>
    <w:uiPriority w:val="0"/>
    <w:rPr>
      <w:rFonts w:ascii="宋体" w:hAnsi="宋体" w:eastAsia="宋体" w:cs="宋体"/>
      <w:color w:val="000000"/>
      <w:sz w:val="20"/>
      <w:szCs w:val="20"/>
      <w:u w:val="none"/>
    </w:rPr>
  </w:style>
  <w:style w:type="character" w:customStyle="1" w:styleId="200">
    <w:name w:val="文档结构图 Char1"/>
    <w:qFormat/>
    <w:uiPriority w:val="0"/>
    <w:rPr>
      <w:rFonts w:ascii="宋体" w:hAnsi="Times New Roman" w:eastAsia="宋体" w:cs="Times New Roman"/>
      <w:sz w:val="18"/>
      <w:szCs w:val="18"/>
    </w:rPr>
  </w:style>
  <w:style w:type="character" w:customStyle="1" w:styleId="201">
    <w:name w:val="纯文本 字符1"/>
    <w:qFormat/>
    <w:locked/>
    <w:uiPriority w:val="0"/>
    <w:rPr>
      <w:rFonts w:ascii="宋体" w:hAnsi="Courier New"/>
      <w:sz w:val="24"/>
      <w:szCs w:val="24"/>
    </w:rPr>
  </w:style>
  <w:style w:type="character" w:customStyle="1" w:styleId="202">
    <w:name w:val="Char Char19"/>
    <w:qFormat/>
    <w:uiPriority w:val="0"/>
    <w:rPr>
      <w:rFonts w:ascii="Arial" w:hAnsi="Arial" w:eastAsia="黑体"/>
      <w:kern w:val="2"/>
      <w:sz w:val="21"/>
      <w:szCs w:val="21"/>
    </w:rPr>
  </w:style>
  <w:style w:type="paragraph" w:customStyle="1" w:styleId="203">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4">
    <w:name w:val="Char Char9"/>
    <w:qFormat/>
    <w:uiPriority w:val="0"/>
    <w:rPr>
      <w:rFonts w:eastAsia="方正仿宋_GB2312"/>
      <w:kern w:val="2"/>
      <w:sz w:val="18"/>
    </w:rPr>
  </w:style>
  <w:style w:type="character" w:customStyle="1" w:styleId="205">
    <w:name w:val="Heading 6 Char"/>
    <w:qFormat/>
    <w:locked/>
    <w:uiPriority w:val="0"/>
    <w:rPr>
      <w:rFonts w:ascii="Cambria" w:hAnsi="Cambria" w:eastAsia="宋体" w:cs="Times New Roman"/>
      <w:b/>
      <w:bCs/>
      <w:kern w:val="0"/>
      <w:sz w:val="24"/>
      <w:szCs w:val="24"/>
    </w:rPr>
  </w:style>
  <w:style w:type="paragraph" w:customStyle="1" w:styleId="20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8">
    <w:name w:val="Item Step"/>
    <w:basedOn w:val="1"/>
    <w:qFormat/>
    <w:uiPriority w:val="0"/>
    <w:pPr>
      <w:widowControl/>
      <w:numPr>
        <w:ilvl w:val="0"/>
        <w:numId w:val="1"/>
      </w:numPr>
      <w:spacing w:after="50" w:afterLines="50"/>
      <w:jc w:val="left"/>
    </w:pPr>
  </w:style>
  <w:style w:type="paragraph" w:customStyle="1" w:styleId="209">
    <w:name w:val="Char11"/>
    <w:basedOn w:val="1"/>
    <w:qFormat/>
    <w:uiPriority w:val="0"/>
    <w:rPr>
      <w:rFonts w:ascii="方正仿宋_GB2312" w:hAnsi="宋体" w:eastAsia="方正仿宋_GB2312" w:cs="宋体"/>
      <w:b/>
      <w:sz w:val="32"/>
      <w:szCs w:val="32"/>
    </w:rPr>
  </w:style>
  <w:style w:type="paragraph" w:customStyle="1" w:styleId="210">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11">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12">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13">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4">
    <w:name w:val="Block"/>
    <w:basedOn w:val="1"/>
    <w:next w:val="109"/>
    <w:qFormat/>
    <w:uiPriority w:val="0"/>
    <w:pPr>
      <w:tabs>
        <w:tab w:val="left" w:pos="0"/>
      </w:tabs>
    </w:pPr>
    <w:rPr>
      <w:rFonts w:ascii="Arial" w:hAnsi="Arial" w:eastAsia="方正楷体_GB2312"/>
      <w:color w:val="000080"/>
      <w:sz w:val="28"/>
      <w:szCs w:val="28"/>
    </w:rPr>
  </w:style>
  <w:style w:type="paragraph" w:customStyle="1" w:styleId="215">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20">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21">
    <w:name w:val="样式 Swis721 Lt BT 左 行距: 固定值 12.5 磅"/>
    <w:basedOn w:val="1"/>
    <w:qFormat/>
    <w:uiPriority w:val="0"/>
    <w:pPr>
      <w:kinsoku w:val="0"/>
      <w:overflowPunct w:val="0"/>
      <w:snapToGrid w:val="0"/>
      <w:spacing w:line="250" w:lineRule="exact"/>
      <w:ind w:firstLine="200" w:firstLineChars="200"/>
      <w:jc w:val="left"/>
    </w:pPr>
    <w:rPr>
      <w:rFonts w:ascii="Melanie BT Std Roman" w:hAnsi="Melanie BT Std Roman" w:cs="宋体"/>
      <w:kern w:val="0"/>
      <w:szCs w:val="21"/>
    </w:rPr>
  </w:style>
  <w:style w:type="paragraph" w:customStyle="1" w:styleId="222">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23">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5">
    <w:name w:val="正文首行缩进2字"/>
    <w:basedOn w:val="1"/>
    <w:qFormat/>
    <w:uiPriority w:val="0"/>
    <w:pPr>
      <w:spacing w:line="360" w:lineRule="auto"/>
      <w:ind w:firstLine="196" w:firstLineChars="196"/>
    </w:pPr>
    <w:rPr>
      <w:rFonts w:ascii="宋体" w:hAnsi="宋体"/>
      <w:kern w:val="0"/>
      <w:szCs w:val="21"/>
    </w:rPr>
  </w:style>
  <w:style w:type="paragraph" w:customStyle="1" w:styleId="226">
    <w:name w:val="列出段落1"/>
    <w:basedOn w:val="1"/>
    <w:qFormat/>
    <w:uiPriority w:val="0"/>
    <w:pPr>
      <w:ind w:firstLine="200" w:firstLineChars="200"/>
    </w:pPr>
  </w:style>
  <w:style w:type="paragraph" w:customStyle="1" w:styleId="227">
    <w:name w:val="列出段落11"/>
    <w:basedOn w:val="1"/>
    <w:qFormat/>
    <w:uiPriority w:val="0"/>
    <w:pPr>
      <w:spacing w:line="360" w:lineRule="auto"/>
      <w:ind w:firstLine="200" w:firstLineChars="200"/>
    </w:pPr>
    <w:rPr>
      <w:rFonts w:ascii="宋体" w:hAnsi="宋体"/>
      <w:sz w:val="24"/>
    </w:rPr>
  </w:style>
  <w:style w:type="paragraph" w:customStyle="1" w:styleId="22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3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1">
    <w:name w:val="简单回函地址"/>
    <w:basedOn w:val="1"/>
    <w:qFormat/>
    <w:uiPriority w:val="0"/>
    <w:rPr>
      <w:szCs w:val="20"/>
    </w:rPr>
  </w:style>
  <w:style w:type="paragraph" w:customStyle="1" w:styleId="232">
    <w:name w:val="小点说明"/>
    <w:basedOn w:val="1"/>
    <w:qFormat/>
    <w:uiPriority w:val="0"/>
    <w:pPr>
      <w:tabs>
        <w:tab w:val="left" w:pos="420"/>
      </w:tabs>
      <w:spacing w:after="80" w:line="360" w:lineRule="auto"/>
      <w:ind w:left="420" w:hanging="420"/>
    </w:pPr>
    <w:rPr>
      <w:sz w:val="24"/>
    </w:rPr>
  </w:style>
  <w:style w:type="paragraph" w:customStyle="1" w:styleId="233">
    <w:name w:val="样式23"/>
    <w:basedOn w:val="232"/>
    <w:qFormat/>
    <w:uiPriority w:val="0"/>
    <w:pPr>
      <w:adjustRightInd w:val="0"/>
      <w:snapToGrid w:val="0"/>
      <w:spacing w:after="0" w:line="240" w:lineRule="auto"/>
    </w:pPr>
    <w:rPr>
      <w:szCs w:val="20"/>
    </w:rPr>
  </w:style>
  <w:style w:type="paragraph" w:customStyle="1" w:styleId="234">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8">
    <w:name w:val="Pa5"/>
    <w:basedOn w:val="1"/>
    <w:next w:val="1"/>
    <w:qFormat/>
    <w:uiPriority w:val="0"/>
    <w:pPr>
      <w:ind w:firstLine="200" w:firstLineChars="200"/>
    </w:pPr>
    <w:rPr>
      <w:rFonts w:ascii="Gabriola" w:hAnsi="Gabriola" w:eastAsia="Gabriola"/>
      <w:sz w:val="24"/>
    </w:rPr>
  </w:style>
  <w:style w:type="paragraph" w:customStyle="1" w:styleId="239">
    <w:name w:val="首行缩进"/>
    <w:basedOn w:val="1"/>
    <w:qFormat/>
    <w:uiPriority w:val="0"/>
    <w:pPr>
      <w:spacing w:line="360" w:lineRule="auto"/>
      <w:ind w:firstLine="720"/>
    </w:pPr>
    <w:rPr>
      <w:szCs w:val="21"/>
    </w:rPr>
  </w:style>
  <w:style w:type="paragraph" w:customStyle="1" w:styleId="240">
    <w:name w:val="正文段"/>
    <w:basedOn w:val="1"/>
    <w:qFormat/>
    <w:uiPriority w:val="0"/>
    <w:pPr>
      <w:widowControl/>
      <w:snapToGrid w:val="0"/>
      <w:spacing w:after="50" w:afterLines="50"/>
      <w:ind w:firstLine="200" w:firstLineChars="200"/>
    </w:pPr>
    <w:rPr>
      <w:kern w:val="0"/>
      <w:sz w:val="24"/>
      <w:szCs w:val="20"/>
    </w:rPr>
  </w:style>
  <w:style w:type="paragraph" w:customStyle="1" w:styleId="241">
    <w:name w:val="样式 A正文 + 首行缩进:  0 字符"/>
    <w:basedOn w:val="193"/>
    <w:qFormat/>
    <w:uiPriority w:val="0"/>
    <w:pPr>
      <w:spacing w:line="240" w:lineRule="auto"/>
      <w:ind w:firstLine="0" w:firstLineChars="0"/>
    </w:pPr>
    <w:rPr>
      <w:rFonts w:cs="宋体"/>
      <w:szCs w:val="20"/>
    </w:rPr>
  </w:style>
  <w:style w:type="paragraph" w:customStyle="1" w:styleId="242">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4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6">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8">
    <w:name w:val="网格表 3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9">
    <w:name w:val="二级编号"/>
    <w:basedOn w:val="1"/>
    <w:qFormat/>
    <w:uiPriority w:val="0"/>
    <w:pPr>
      <w:tabs>
        <w:tab w:val="left" w:pos="851"/>
      </w:tabs>
      <w:spacing w:line="360" w:lineRule="auto"/>
      <w:jc w:val="left"/>
    </w:pPr>
    <w:rPr>
      <w:rFonts w:cs="宋体"/>
      <w:sz w:val="24"/>
      <w:szCs w:val="20"/>
    </w:rPr>
  </w:style>
  <w:style w:type="paragraph" w:customStyle="1" w:styleId="25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1">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52">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5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4">
    <w:name w:val="p0"/>
    <w:basedOn w:val="1"/>
    <w:qFormat/>
    <w:uiPriority w:val="0"/>
    <w:pPr>
      <w:widowControl/>
      <w:jc w:val="left"/>
    </w:pPr>
    <w:rPr>
      <w:rFonts w:ascii="宋体" w:hAnsi="宋体"/>
      <w:kern w:val="0"/>
      <w:sz w:val="20"/>
      <w:szCs w:val="20"/>
    </w:rPr>
  </w:style>
  <w:style w:type="paragraph" w:customStyle="1" w:styleId="255">
    <w:name w:val="Char Char"/>
    <w:basedOn w:val="1"/>
    <w:qFormat/>
    <w:uiPriority w:val="0"/>
    <w:pPr>
      <w:jc w:val="center"/>
    </w:pPr>
    <w:rPr>
      <w:rFonts w:ascii="方正仿宋_GB2312" w:eastAsia="方正仿宋_GB2312"/>
      <w:b/>
      <w:kern w:val="0"/>
      <w:sz w:val="32"/>
      <w:szCs w:val="32"/>
      <w:lang w:val="en-GB"/>
    </w:rPr>
  </w:style>
  <w:style w:type="paragraph" w:customStyle="1" w:styleId="25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8">
    <w:name w:val="正文首行缩进11"/>
    <w:basedOn w:val="21"/>
    <w:qFormat/>
    <w:uiPriority w:val="0"/>
    <w:pPr>
      <w:spacing w:line="360" w:lineRule="auto"/>
      <w:ind w:firstLine="100" w:firstLineChars="100"/>
    </w:pPr>
    <w:rPr>
      <w:rFonts w:ascii="Courier New" w:hAnsi="Courier New" w:eastAsia="方正仿宋_GB2312"/>
      <w:szCs w:val="22"/>
    </w:rPr>
  </w:style>
  <w:style w:type="paragraph" w:customStyle="1" w:styleId="25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0">
    <w:name w:val="p16"/>
    <w:basedOn w:val="1"/>
    <w:qFormat/>
    <w:uiPriority w:val="0"/>
    <w:pPr>
      <w:widowControl/>
    </w:pPr>
    <w:rPr>
      <w:rFonts w:ascii="Arial" w:hAnsi="Arial" w:cs="Arial"/>
      <w:color w:val="333333"/>
      <w:kern w:val="0"/>
      <w:sz w:val="18"/>
      <w:szCs w:val="18"/>
    </w:rPr>
  </w:style>
  <w:style w:type="paragraph" w:customStyle="1" w:styleId="26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3">
    <w:name w:val="默认段落字体 Para Char Char Char Char Char Char Char Char Char1 Char Char Char Char"/>
    <w:basedOn w:val="1"/>
    <w:qFormat/>
    <w:uiPriority w:val="0"/>
    <w:rPr>
      <w:rFonts w:ascii="Tahoma" w:hAnsi="Tahoma"/>
      <w:sz w:val="24"/>
      <w:szCs w:val="20"/>
    </w:rPr>
  </w:style>
  <w:style w:type="paragraph" w:customStyle="1" w:styleId="264">
    <w:name w:val="样式25"/>
    <w:basedOn w:val="1"/>
    <w:qFormat/>
    <w:uiPriority w:val="0"/>
    <w:pPr>
      <w:tabs>
        <w:tab w:val="left" w:pos="180"/>
      </w:tabs>
      <w:ind w:left="1260" w:hanging="720"/>
    </w:pPr>
    <w:rPr>
      <w:sz w:val="24"/>
      <w:szCs w:val="20"/>
    </w:rPr>
  </w:style>
  <w:style w:type="paragraph" w:customStyle="1" w:styleId="265">
    <w:name w:val="样式26"/>
    <w:basedOn w:val="264"/>
    <w:qFormat/>
    <w:uiPriority w:val="0"/>
    <w:pPr>
      <w:tabs>
        <w:tab w:val="left" w:pos="1580"/>
      </w:tabs>
      <w:ind w:left="1603" w:hanging="363"/>
    </w:pPr>
  </w:style>
  <w:style w:type="paragraph" w:customStyle="1" w:styleId="26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7">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0">
    <w:name w:val="Char Char Char Char Char Char"/>
    <w:basedOn w:val="1"/>
    <w:qFormat/>
    <w:uiPriority w:val="0"/>
    <w:pPr>
      <w:ind w:firstLine="200" w:firstLineChars="200"/>
    </w:pPr>
    <w:rPr>
      <w:szCs w:val="20"/>
    </w:rPr>
  </w:style>
  <w:style w:type="paragraph" w:customStyle="1" w:styleId="271">
    <w:name w:val="样式 标题 3列表编号3h33rd level + 段前: 1 行"/>
    <w:basedOn w:val="4"/>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72">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73">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6">
    <w:name w:val="样式 正文缩进 + 首行缩进:  2 字符"/>
    <w:basedOn w:val="13"/>
    <w:qFormat/>
    <w:uiPriority w:val="0"/>
    <w:pPr>
      <w:spacing w:after="80" w:line="360" w:lineRule="auto"/>
      <w:ind w:firstLine="200" w:firstLineChars="200"/>
    </w:pPr>
    <w:rPr>
      <w:sz w:val="24"/>
    </w:rPr>
  </w:style>
  <w:style w:type="paragraph" w:customStyle="1" w:styleId="27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8">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27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82">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8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7">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8">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90">
    <w:name w:val="Char"/>
    <w:basedOn w:val="1"/>
    <w:qFormat/>
    <w:uiPriority w:val="0"/>
    <w:rPr>
      <w:rFonts w:ascii="方正仿宋_GB2312" w:eastAsia="方正仿宋_GB2312"/>
      <w:b/>
      <w:sz w:val="32"/>
      <w:szCs w:val="32"/>
    </w:rPr>
  </w:style>
  <w:style w:type="paragraph" w:customStyle="1" w:styleId="29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92">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93">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29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6">
    <w:name w:val="Figure"/>
    <w:basedOn w:val="1"/>
    <w:next w:val="297"/>
    <w:qFormat/>
    <w:uiPriority w:val="0"/>
    <w:pPr>
      <w:keepNext/>
      <w:keepLines/>
      <w:ind w:left="1134"/>
      <w:jc w:val="center"/>
    </w:pPr>
  </w:style>
  <w:style w:type="paragraph" w:customStyle="1" w:styleId="297">
    <w:name w:val="Figure Description"/>
    <w:basedOn w:val="296"/>
    <w:next w:val="109"/>
    <w:qFormat/>
    <w:uiPriority w:val="0"/>
    <w:pPr>
      <w:tabs>
        <w:tab w:val="left" w:pos="680"/>
      </w:tabs>
      <w:spacing w:after="100" w:afterLines="100"/>
    </w:pPr>
    <w:rPr>
      <w:sz w:val="18"/>
    </w:rPr>
  </w:style>
  <w:style w:type="paragraph" w:customStyle="1" w:styleId="29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301">
    <w:name w:val="p19"/>
    <w:basedOn w:val="1"/>
    <w:qFormat/>
    <w:uiPriority w:val="0"/>
    <w:pPr>
      <w:widowControl/>
      <w:spacing w:before="100" w:beforeLines="100" w:after="100" w:afterLines="100"/>
      <w:ind w:left="1134"/>
    </w:pPr>
    <w:rPr>
      <w:kern w:val="0"/>
      <w:szCs w:val="21"/>
    </w:rPr>
  </w:style>
  <w:style w:type="paragraph" w:customStyle="1" w:styleId="302">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hAnsi="Times New Roman"/>
      <w:kern w:val="0"/>
      <w:sz w:val="24"/>
      <w:szCs w:val="20"/>
    </w:rPr>
  </w:style>
  <w:style w:type="paragraph" w:customStyle="1" w:styleId="30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7">
    <w:name w:val="Char Char11"/>
    <w:basedOn w:val="1"/>
    <w:qFormat/>
    <w:uiPriority w:val="0"/>
    <w:pPr>
      <w:widowControl/>
      <w:jc w:val="left"/>
    </w:pPr>
    <w:rPr>
      <w:sz w:val="36"/>
    </w:rPr>
  </w:style>
  <w:style w:type="paragraph" w:customStyle="1" w:styleId="30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0">
    <w:name w:val="正文符号1"/>
    <w:basedOn w:val="225"/>
    <w:qFormat/>
    <w:uiPriority w:val="0"/>
    <w:pPr>
      <w:tabs>
        <w:tab w:val="left" w:pos="1080"/>
      </w:tabs>
      <w:ind w:left="1134" w:firstLine="0" w:firstLineChars="0"/>
    </w:pPr>
  </w:style>
  <w:style w:type="paragraph" w:customStyle="1" w:styleId="311">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1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1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7">
    <w:name w:val="Char Char Char Char"/>
    <w:basedOn w:val="1"/>
    <w:qFormat/>
    <w:uiPriority w:val="0"/>
    <w:pPr>
      <w:widowControl/>
      <w:spacing w:line="400" w:lineRule="exact"/>
      <w:jc w:val="center"/>
    </w:pPr>
    <w:rPr>
      <w:rFonts w:ascii="Verdana" w:hAnsi="Verdana"/>
      <w:kern w:val="0"/>
      <w:szCs w:val="20"/>
    </w:rPr>
  </w:style>
  <w:style w:type="paragraph" w:customStyle="1" w:styleId="31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9">
    <w:name w:val="图片"/>
    <w:basedOn w:val="1"/>
    <w:next w:val="1"/>
    <w:qFormat/>
    <w:uiPriority w:val="0"/>
    <w:pPr>
      <w:jc w:val="center"/>
    </w:pPr>
  </w:style>
  <w:style w:type="paragraph" w:customStyle="1" w:styleId="320">
    <w:name w:val="Item Step in Table"/>
    <w:basedOn w:val="1"/>
    <w:qFormat/>
    <w:uiPriority w:val="0"/>
    <w:pPr>
      <w:tabs>
        <w:tab w:val="left" w:pos="420"/>
      </w:tabs>
      <w:ind w:left="420" w:hanging="420"/>
      <w:jc w:val="left"/>
    </w:pPr>
  </w:style>
  <w:style w:type="paragraph" w:customStyle="1" w:styleId="321">
    <w:name w:val="默认段落字体 Para Char"/>
    <w:basedOn w:val="1"/>
    <w:qFormat/>
    <w:uiPriority w:val="0"/>
    <w:rPr>
      <w:szCs w:val="20"/>
    </w:rPr>
  </w:style>
  <w:style w:type="paragraph" w:customStyle="1" w:styleId="322">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2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4">
    <w:name w:val="5"/>
    <w:qFormat/>
    <w:uiPriority w:val="0"/>
    <w:rPr>
      <w:rFonts w:ascii="Times New Roman" w:hAnsi="Times New Roman" w:eastAsia="宋体" w:cs="Times New Roman"/>
      <w:kern w:val="2"/>
      <w:sz w:val="21"/>
      <w:szCs w:val="22"/>
      <w:lang w:val="en-US" w:eastAsia="zh-CN" w:bidi="ar-SA"/>
    </w:rPr>
  </w:style>
  <w:style w:type="paragraph" w:customStyle="1" w:styleId="32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7">
    <w:name w:val="Char111"/>
    <w:basedOn w:val="1"/>
    <w:qFormat/>
    <w:uiPriority w:val="0"/>
    <w:rPr>
      <w:rFonts w:ascii="方正仿宋_GB2312" w:hAnsi="宋体" w:eastAsia="方正仿宋_GB2312" w:cs="宋体"/>
      <w:b/>
      <w:sz w:val="32"/>
      <w:szCs w:val="32"/>
    </w:rPr>
  </w:style>
  <w:style w:type="paragraph" w:customStyle="1" w:styleId="32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9">
    <w:name w:val="Item List in Table"/>
    <w:basedOn w:val="1"/>
    <w:qFormat/>
    <w:uiPriority w:val="0"/>
    <w:pPr>
      <w:numPr>
        <w:ilvl w:val="0"/>
        <w:numId w:val="3"/>
      </w:numPr>
      <w:jc w:val="left"/>
    </w:pPr>
  </w:style>
  <w:style w:type="paragraph" w:customStyle="1" w:styleId="330">
    <w:name w:val="Table Heading"/>
    <w:basedOn w:val="1"/>
    <w:qFormat/>
    <w:uiPriority w:val="0"/>
    <w:pPr>
      <w:jc w:val="center"/>
    </w:pPr>
    <w:rPr>
      <w:rFonts w:ascii="Arial" w:hAnsi="Arial" w:eastAsia="黑体"/>
      <w:b/>
    </w:rPr>
  </w:style>
  <w:style w:type="paragraph" w:customStyle="1" w:styleId="331">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3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33">
    <w:name w:val="_Style 3"/>
    <w:basedOn w:val="1"/>
    <w:qFormat/>
    <w:uiPriority w:val="0"/>
    <w:pPr>
      <w:spacing w:line="360" w:lineRule="auto"/>
      <w:ind w:firstLine="200" w:firstLineChars="200"/>
    </w:pPr>
    <w:rPr>
      <w:rFonts w:ascii="Calibri" w:hAnsi="Calibri"/>
      <w:szCs w:val="22"/>
    </w:rPr>
  </w:style>
  <w:style w:type="paragraph" w:customStyle="1" w:styleId="3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6">
    <w:name w:val="Table Text"/>
    <w:basedOn w:val="1"/>
    <w:qFormat/>
    <w:uiPriority w:val="0"/>
    <w:rPr>
      <w:sz w:val="18"/>
    </w:rPr>
  </w:style>
  <w:style w:type="paragraph" w:customStyle="1" w:styleId="337">
    <w:name w:val="次小点说明"/>
    <w:basedOn w:val="13"/>
    <w:qFormat/>
    <w:uiPriority w:val="0"/>
    <w:pPr>
      <w:tabs>
        <w:tab w:val="left" w:pos="720"/>
      </w:tabs>
      <w:spacing w:line="360" w:lineRule="auto"/>
      <w:ind w:left="776" w:hanging="417"/>
    </w:pPr>
    <w:rPr>
      <w:sz w:val="24"/>
    </w:rPr>
  </w:style>
  <w:style w:type="paragraph" w:customStyle="1" w:styleId="33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此正文"/>
    <w:basedOn w:val="1"/>
    <w:qFormat/>
    <w:uiPriority w:val="0"/>
    <w:pPr>
      <w:spacing w:line="360" w:lineRule="auto"/>
      <w:ind w:firstLine="200" w:firstLineChars="200"/>
    </w:pPr>
    <w:rPr>
      <w:sz w:val="24"/>
    </w:rPr>
  </w:style>
  <w:style w:type="paragraph" w:customStyle="1" w:styleId="340">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4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列表1"/>
    <w:basedOn w:val="1"/>
    <w:qFormat/>
    <w:uiPriority w:val="0"/>
    <w:pPr>
      <w:adjustRightInd w:val="0"/>
      <w:spacing w:line="360" w:lineRule="auto"/>
      <w:ind w:left="901" w:hanging="482"/>
      <w:textAlignment w:val="baseline"/>
    </w:pPr>
    <w:rPr>
      <w:rFonts w:ascii="方正仿宋_GBK" w:eastAsia="方正仿宋_GBK"/>
      <w:kern w:val="0"/>
      <w:szCs w:val="20"/>
    </w:rPr>
  </w:style>
  <w:style w:type="paragraph" w:customStyle="1" w:styleId="344">
    <w:name w:val="项目正文"/>
    <w:basedOn w:val="1"/>
    <w:qFormat/>
    <w:uiPriority w:val="0"/>
    <w:pPr>
      <w:ind w:left="420" w:hanging="420"/>
    </w:pPr>
    <w:rPr>
      <w:sz w:val="28"/>
      <w:szCs w:val="20"/>
    </w:rPr>
  </w:style>
  <w:style w:type="paragraph" w:customStyle="1" w:styleId="34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8">
    <w:name w:val="段落正文 Char Char"/>
    <w:basedOn w:val="1"/>
    <w:qFormat/>
    <w:uiPriority w:val="0"/>
    <w:pPr>
      <w:spacing w:line="360" w:lineRule="auto"/>
      <w:ind w:firstLine="192" w:firstLineChars="192"/>
    </w:pPr>
    <w:rPr>
      <w:rFonts w:ascii="宋体" w:hAnsi="宋体"/>
      <w:sz w:val="24"/>
    </w:rPr>
  </w:style>
  <w:style w:type="paragraph" w:customStyle="1" w:styleId="34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50">
    <w:name w:val="p18"/>
    <w:basedOn w:val="1"/>
    <w:qFormat/>
    <w:uiPriority w:val="0"/>
    <w:pPr>
      <w:widowControl/>
      <w:spacing w:after="100" w:afterLines="100"/>
      <w:ind w:left="1134"/>
      <w:jc w:val="center"/>
    </w:pPr>
    <w:rPr>
      <w:kern w:val="0"/>
      <w:sz w:val="18"/>
      <w:szCs w:val="18"/>
    </w:rPr>
  </w:style>
  <w:style w:type="paragraph" w:customStyle="1" w:styleId="35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5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5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4">
    <w:name w:val="Char2"/>
    <w:basedOn w:val="1"/>
    <w:qFormat/>
    <w:uiPriority w:val="0"/>
    <w:pPr>
      <w:spacing w:line="240" w:lineRule="atLeast"/>
      <w:ind w:left="420" w:firstLine="420"/>
    </w:pPr>
  </w:style>
  <w:style w:type="paragraph" w:customStyle="1" w:styleId="35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6">
    <w:name w:val="NormalCharacter"/>
    <w:qFormat/>
    <w:uiPriority w:val="0"/>
    <w:rPr>
      <w:kern w:val="2"/>
      <w:sz w:val="21"/>
      <w:szCs w:val="24"/>
      <w:lang w:val="en-US" w:eastAsia="zh-CN" w:bidi="ar-SA"/>
    </w:rPr>
  </w:style>
  <w:style w:type="character" w:customStyle="1" w:styleId="357">
    <w:name w:val="font121"/>
    <w:basedOn w:val="55"/>
    <w:qFormat/>
    <w:uiPriority w:val="0"/>
    <w:rPr>
      <w:rFonts w:ascii="微软雅黑" w:hAnsi="微软雅黑" w:eastAsia="微软雅黑" w:cs="微软雅黑"/>
      <w:color w:val="000000"/>
      <w:sz w:val="20"/>
      <w:szCs w:val="20"/>
      <w:u w:val="none"/>
    </w:rPr>
  </w:style>
  <w:style w:type="paragraph" w:customStyle="1" w:styleId="358">
    <w:name w:val="表格文字"/>
    <w:basedOn w:val="1"/>
    <w:next w:val="21"/>
    <w:qFormat/>
    <w:uiPriority w:val="0"/>
    <w:pPr>
      <w:autoSpaceDE w:val="0"/>
      <w:autoSpaceDN w:val="0"/>
      <w:adjustRightInd w:val="0"/>
      <w:spacing w:line="420" w:lineRule="atLeast"/>
      <w:textAlignment w:val="baseline"/>
    </w:pPr>
    <w:rPr>
      <w:color w:val="000000"/>
      <w:kern w:val="0"/>
    </w:rPr>
  </w:style>
  <w:style w:type="paragraph" w:customStyle="1" w:styleId="359">
    <w:name w:val="列出段落3"/>
    <w:basedOn w:val="1"/>
    <w:qFormat/>
    <w:uiPriority w:val="0"/>
    <w:pPr>
      <w:ind w:firstLine="200" w:firstLineChars="200"/>
    </w:pPr>
  </w:style>
  <w:style w:type="paragraph" w:customStyle="1" w:styleId="360">
    <w:name w:val="Normal Indent1"/>
    <w:basedOn w:val="1"/>
    <w:qFormat/>
    <w:uiPriority w:val="0"/>
    <w:pPr>
      <w:ind w:firstLine="200" w:firstLineChars="200"/>
    </w:pPr>
  </w:style>
  <w:style w:type="paragraph" w:customStyle="1" w:styleId="361">
    <w:name w:val="正文A"/>
    <w:qFormat/>
    <w:uiPriority w:val="0"/>
    <w:pPr>
      <w:tabs>
        <w:tab w:val="left" w:pos="0"/>
      </w:tabs>
      <w:adjustRightInd w:val="0"/>
      <w:spacing w:before="120" w:line="360" w:lineRule="auto"/>
      <w:ind w:firstLine="480"/>
      <w:jc w:val="both"/>
    </w:pPr>
    <w:rPr>
      <w:rFonts w:ascii="Times New Roman" w:hAnsi="Times New Roman" w:eastAsia="宋体" w:cs="Times New Roman"/>
      <w:snapToGrid w:val="0"/>
      <w:sz w:val="24"/>
      <w:lang w:val="en-US" w:eastAsia="zh-CN" w:bidi="ar-SA"/>
    </w:rPr>
  </w:style>
  <w:style w:type="paragraph" w:customStyle="1" w:styleId="362">
    <w:name w:val="BodyText"/>
    <w:basedOn w:val="1"/>
    <w:qFormat/>
    <w:uiPriority w:val="0"/>
    <w:pPr>
      <w:spacing w:after="120"/>
      <w:textAlignment w:val="baseline"/>
    </w:pPr>
    <w:rPr>
      <w:sz w:val="28"/>
    </w:rPr>
  </w:style>
  <w:style w:type="paragraph" w:customStyle="1" w:styleId="363">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4">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table" w:customStyle="1" w:styleId="36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majorFont>
      <a:minorFont>
        <a:latin typefac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100000" t="100000"/>
          </a:path>
          <a:tileRect r="-100000" b="-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revisions="3 0 5 0 0 0 1 0 0 0 3000 0 1 1 1 1"/>
    <sectPr/>
    <sectPr/>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F1CFA6-3D8B-4925-B928-9949B88AFAED}">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49</Pages>
  <Words>25884</Words>
  <Characters>27359</Characters>
  <Lines>195</Lines>
  <Paragraphs>54</Paragraphs>
  <TotalTime>4</TotalTime>
  <ScaleCrop>false</ScaleCrop>
  <LinksUpToDate>false</LinksUpToDate>
  <CharactersWithSpaces>28659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2025-12-30T05:10:00Z</dcterms:created>
  <dc:creator>Sky123.Org</dc:creator>
  <cp:lastModifiedBy>周祥</cp:lastModifiedBy>
  <cp:lastPrinted>2026-02-13T00:06:00Z</cp:lastPrinted>
  <dcterms:modified xsi:type="dcterms:W3CDTF">2026-07-14T09:21:11Z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E3F7B30233904E9F898B7AAB0F7FC63E_13</vt:lpwstr>
  </property>
  <property fmtid="{D5CDD505-2E9C-101B-9397-08002B2CF9AE}" pid="4" name="KSOTemplateDocerSaveRecord">
    <vt:lpwstr>eyJoZGlkIjoiOWNkZDQ4MmE4Y2MxMmQ4Njc4MDI0ZTYyYWFjM2QzZDMiLCJ1c2VySWQiOiI2NDg3NzM4NjgifQ==</vt:lpwstr>
  </property>
</Properties>
</file>