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E3C28">
      <w:pPr>
        <w:pStyle w:val="21"/>
        <w:rPr>
          <w:color w:val="auto"/>
          <w:highlight w:val="none"/>
        </w:rPr>
      </w:pPr>
      <w:r>
        <w:drawing>
          <wp:anchor distT="0" distB="0" distL="114300" distR="114300" simplePos="0" relativeHeight="251659264" behindDoc="0" locked="0" layoutInCell="1" allowOverlap="1">
            <wp:simplePos x="0" y="0"/>
            <wp:positionH relativeFrom="column">
              <wp:posOffset>-190500</wp:posOffset>
            </wp:positionH>
            <wp:positionV relativeFrom="paragraph">
              <wp:posOffset>173990</wp:posOffset>
            </wp:positionV>
            <wp:extent cx="6682740" cy="8400415"/>
            <wp:effectExtent l="0" t="0" r="3810" b="635"/>
            <wp:wrapNone/>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8"/>
                    <a:stretch>
                      <a:fillRect/>
                    </a:stretch>
                  </pic:blipFill>
                  <pic:spPr>
                    <a:xfrm>
                      <a:off x="0" y="0"/>
                      <a:ext cx="6682740" cy="8400415"/>
                    </a:xfrm>
                    <a:prstGeom prst="rect">
                      <a:avLst/>
                    </a:prstGeom>
                    <a:noFill/>
                    <a:ln>
                      <a:noFill/>
                    </a:ln>
                  </pic:spPr>
                </pic:pic>
              </a:graphicData>
            </a:graphic>
          </wp:anchor>
        </w:drawing>
      </w:r>
    </w:p>
    <w:p w14:paraId="5D7E3943">
      <w:pPr>
        <w:rPr>
          <w:color w:val="auto"/>
          <w:highlight w:val="none"/>
        </w:rPr>
      </w:pPr>
    </w:p>
    <w:p w14:paraId="1C8C55BD">
      <w:pPr>
        <w:rPr>
          <w:color w:val="auto"/>
          <w:highlight w:val="none"/>
        </w:rPr>
      </w:pPr>
    </w:p>
    <w:p w14:paraId="51C81848">
      <w:pPr>
        <w:rPr>
          <w:color w:val="auto"/>
          <w:highlight w:val="none"/>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4EC07096">
      <w:pPr>
        <w:spacing w:line="660" w:lineRule="exact"/>
        <w:rPr>
          <w:rFonts w:ascii="宋体" w:hAnsi="宋体" w:eastAsia="宋体"/>
          <w:bCs/>
          <w:color w:val="auto"/>
          <w:sz w:val="28"/>
          <w:highlight w:val="none"/>
        </w:rPr>
      </w:pPr>
    </w:p>
    <w:p w14:paraId="4CF60799">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19CB5653">
      <w:pPr>
        <w:spacing w:before="277" w:line="219" w:lineRule="auto"/>
        <w:ind w:firstLine="588" w:firstLineChars="200"/>
        <w:rPr>
          <w:rFonts w:hint="eastAsia" w:ascii="宋体" w:hAnsi="宋体" w:eastAsia="宋体" w:cs="宋体"/>
          <w:spacing w:val="7"/>
          <w:sz w:val="28"/>
          <w:szCs w:val="28"/>
          <w:lang w:eastAsia="zh-CN"/>
        </w:rPr>
      </w:pPr>
      <w:r>
        <w:rPr>
          <w:rFonts w:ascii="宋体" w:hAnsi="宋体" w:eastAsia="宋体" w:cs="宋体"/>
          <w:spacing w:val="7"/>
          <w:sz w:val="28"/>
          <w:szCs w:val="28"/>
        </w:rPr>
        <w:t>招标</w:t>
      </w:r>
      <w:r>
        <w:rPr>
          <w:rFonts w:hint="eastAsia" w:ascii="宋体" w:hAnsi="宋体" w:eastAsia="宋体" w:cs="宋体"/>
          <w:spacing w:val="7"/>
          <w:sz w:val="28"/>
          <w:szCs w:val="28"/>
          <w:lang w:val="en-US" w:eastAsia="zh-CN"/>
        </w:rPr>
        <w:t>项目</w:t>
      </w:r>
      <w:r>
        <w:rPr>
          <w:rFonts w:ascii="宋体" w:hAnsi="宋体" w:eastAsia="宋体" w:cs="宋体"/>
          <w:spacing w:val="7"/>
          <w:sz w:val="28"/>
          <w:szCs w:val="28"/>
        </w:rPr>
        <w:t>：</w:t>
      </w:r>
      <w:r>
        <w:rPr>
          <w:rFonts w:hint="eastAsia" w:ascii="宋体" w:hAnsi="宋体" w:eastAsia="宋体" w:cs="宋体"/>
          <w:spacing w:val="7"/>
          <w:sz w:val="28"/>
          <w:szCs w:val="28"/>
          <w:lang w:val="en-US" w:eastAsia="zh-CN"/>
        </w:rPr>
        <w:t>大洋中心校北校区篮球场、龙顾园及运动场东边排水沟改造</w:t>
      </w:r>
    </w:p>
    <w:p w14:paraId="01DEC7A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临海市大洋中心校</w:t>
      </w:r>
      <w:r>
        <w:rPr>
          <w:rFonts w:ascii="宋体" w:hAnsi="宋体" w:eastAsia="宋体" w:cs="宋体"/>
          <w:spacing w:val="7"/>
          <w:sz w:val="28"/>
          <w:szCs w:val="28"/>
        </w:rPr>
        <w:t>(盖章)</w:t>
      </w:r>
    </w:p>
    <w:p w14:paraId="080C5DA8">
      <w:pPr>
        <w:spacing w:before="277" w:line="219" w:lineRule="auto"/>
        <w:ind w:firstLine="588" w:firstLineChars="200"/>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val="en-US" w:eastAsia="zh-CN"/>
        </w:rPr>
        <w:t>周老师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 xml:space="preserve">0576-89111922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浙江通泰工程项目管理有限公司</w:t>
      </w:r>
      <w:r>
        <w:rPr>
          <w:rFonts w:ascii="宋体" w:hAnsi="宋体" w:eastAsia="宋体" w:cs="宋体"/>
          <w:spacing w:val="7"/>
          <w:sz w:val="28"/>
          <w:szCs w:val="28"/>
        </w:rPr>
        <w:t>(盖章)</w:t>
      </w:r>
    </w:p>
    <w:p w14:paraId="77585CB6">
      <w:pPr>
        <w:ind w:firstLine="882" w:firstLineChars="300"/>
        <w:rPr>
          <w:rFonts w:ascii="宋体" w:hAnsi="宋体" w:eastAsia="宋体" w:cs="宋体"/>
          <w:spacing w:val="7"/>
          <w:sz w:val="28"/>
          <w:szCs w:val="28"/>
        </w:rPr>
      </w:pPr>
    </w:p>
    <w:p w14:paraId="7E3CCF32">
      <w:pPr>
        <w:ind w:firstLine="588" w:firstLineChars="200"/>
        <w:rPr>
          <w:rFonts w:hint="default" w:ascii="宋体" w:hAnsi="宋体" w:eastAsia="宋体" w:cs="宋体"/>
          <w:spacing w:val="7"/>
          <w:sz w:val="28"/>
          <w:szCs w:val="28"/>
          <w:lang w:val="en-US" w:eastAsia="zh-CN"/>
        </w:rPr>
      </w:pPr>
      <w:r>
        <w:rPr>
          <w:rFonts w:ascii="宋体" w:hAnsi="宋体" w:eastAsia="宋体" w:cs="宋体"/>
          <w:spacing w:val="7"/>
          <w:sz w:val="28"/>
          <w:szCs w:val="28"/>
        </w:rPr>
        <w:t>联系人：</w:t>
      </w:r>
      <w:r>
        <w:rPr>
          <w:rFonts w:hint="eastAsia" w:ascii="宋体" w:hAnsi="宋体" w:eastAsia="宋体" w:cs="宋体"/>
          <w:spacing w:val="7"/>
          <w:sz w:val="28"/>
          <w:szCs w:val="28"/>
          <w:lang w:val="en-US" w:eastAsia="zh-CN"/>
        </w:rPr>
        <w:t>韩女士        联系电话：</w:t>
      </w:r>
      <w:r>
        <w:rPr>
          <w:rFonts w:hint="eastAsia" w:ascii="宋体" w:hAnsi="宋体" w:eastAsia="宋体" w:cs="宋体"/>
          <w:spacing w:val="-2"/>
          <w:sz w:val="28"/>
          <w:szCs w:val="28"/>
          <w:lang w:val="en-US" w:eastAsia="zh-CN"/>
        </w:rPr>
        <w:t>0576-89361164</w:t>
      </w:r>
    </w:p>
    <w:p w14:paraId="418EED00">
      <w:pPr>
        <w:spacing w:line="660" w:lineRule="exact"/>
        <w:ind w:firstLine="1705" w:firstLineChars="609"/>
        <w:rPr>
          <w:rFonts w:ascii="宋体" w:hAnsi="宋体" w:eastAsia="宋体"/>
          <w:color w:val="auto"/>
          <w:sz w:val="28"/>
          <w:highlight w:val="none"/>
        </w:rPr>
      </w:pPr>
    </w:p>
    <w:p w14:paraId="7CF1E641">
      <w:pPr>
        <w:spacing w:line="288" w:lineRule="auto"/>
        <w:rPr>
          <w:rFonts w:ascii="宋体" w:hAnsi="宋体" w:eastAsia="宋体"/>
          <w:color w:val="auto"/>
          <w:sz w:val="28"/>
          <w:highlight w:val="none"/>
        </w:rPr>
      </w:pPr>
    </w:p>
    <w:p w14:paraId="7F63E1C3">
      <w:pPr>
        <w:spacing w:line="288" w:lineRule="auto"/>
        <w:rPr>
          <w:rFonts w:ascii="宋体" w:hAnsi="宋体" w:eastAsia="宋体"/>
          <w:color w:val="auto"/>
          <w:sz w:val="28"/>
          <w:highlight w:val="none"/>
        </w:rPr>
      </w:pPr>
    </w:p>
    <w:p w14:paraId="4E290E5B">
      <w:pPr>
        <w:spacing w:line="288" w:lineRule="auto"/>
        <w:rPr>
          <w:rFonts w:ascii="宋体" w:hAnsi="宋体" w:eastAsia="宋体"/>
          <w:color w:val="auto"/>
          <w:sz w:val="28"/>
          <w:szCs w:val="22"/>
          <w:highlight w:val="none"/>
        </w:rPr>
      </w:pPr>
    </w:p>
    <w:p w14:paraId="1EFA073C">
      <w:pPr>
        <w:spacing w:line="288" w:lineRule="auto"/>
        <w:rPr>
          <w:rFonts w:ascii="宋体" w:hAnsi="宋体" w:eastAsia="宋体"/>
          <w:color w:val="auto"/>
          <w:sz w:val="28"/>
          <w:szCs w:val="22"/>
          <w:highlight w:val="none"/>
        </w:rPr>
      </w:pPr>
    </w:p>
    <w:p w14:paraId="1A4BE2EB">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637835FB">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7</w:t>
      </w:r>
    </w:p>
    <w:p w14:paraId="46480C75">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8</w:t>
      </w:r>
    </w:p>
    <w:p w14:paraId="6705D157">
      <w:pPr>
        <w:pStyle w:val="30"/>
        <w:tabs>
          <w:tab w:val="right" w:leader="dot" w:pos="9185"/>
        </w:tabs>
        <w:spacing w:line="360" w:lineRule="auto"/>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9</w:t>
      </w:r>
    </w:p>
    <w:p w14:paraId="1C7E4B34">
      <w:pPr>
        <w:pStyle w:val="30"/>
        <w:tabs>
          <w:tab w:val="right" w:leader="dot" w:pos="9185"/>
        </w:tabs>
        <w:spacing w:line="360" w:lineRule="auto"/>
        <w:rPr>
          <w:rFonts w:hint="default" w:ascii="宋体" w:hAnsi="宋体" w:eastAsia="宋体" w:cs="宋体"/>
          <w:color w:val="auto"/>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lang w:val="en-US" w:eastAsia="zh-CN"/>
        </w:rPr>
        <w:t>60</w:t>
      </w:r>
    </w:p>
    <w:p w14:paraId="075DD915">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22713"/>
      <w:bookmarkStart w:id="2" w:name="_Toc5497"/>
      <w:bookmarkStart w:id="3" w:name="_Toc386121562"/>
      <w:bookmarkStart w:id="4" w:name="_Toc500209421"/>
      <w:bookmarkStart w:id="5" w:name="_Toc500208499"/>
      <w:bookmarkStart w:id="6" w:name="_Toc38612175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大洋中心校北校区篮球场、龙顾园及运动场东边排水沟改造</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default" w:ascii="宋体" w:hAnsi="宋体" w:eastAsia="宋体"/>
                <w:bCs/>
                <w:color w:val="auto"/>
                <w:sz w:val="21"/>
                <w:highlight w:val="none"/>
                <w:lang w:val="en-US" w:eastAsia="zh-CN"/>
              </w:rPr>
              <w:t>临海市大洋小学北校区</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603814E2">
            <w:pPr>
              <w:adjustRightInd w:val="0"/>
              <w:snapToGrid w:val="0"/>
              <w:rPr>
                <w:rFonts w:hint="default" w:eastAsia="宋体"/>
                <w:color w:val="auto"/>
                <w:highlight w:val="none"/>
                <w:lang w:val="en-US" w:eastAsia="zh-CN"/>
              </w:rPr>
            </w:pPr>
            <w:r>
              <w:rPr>
                <w:rFonts w:hint="eastAsia" w:ascii="宋体" w:hAnsi="宋体" w:eastAsia="宋体" w:cs="Times New Roman"/>
                <w:bCs/>
                <w:color w:val="auto"/>
                <w:sz w:val="21"/>
                <w:highlight w:val="none"/>
                <w:lang w:val="en-US" w:eastAsia="zh-CN"/>
              </w:rPr>
              <w:t>篮球场地混凝土基础及硅PU面层拆除新建，龙顾园景观墙及宣传橱窗翻新及新建排水沟等，具体详见设计图纸</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599828</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25</w:t>
            </w:r>
            <w:r>
              <w:rPr>
                <w:rFonts w:hint="eastAsia" w:ascii="宋体" w:hAnsi="宋体" w:eastAsia="宋体"/>
                <w:color w:val="auto"/>
                <w:sz w:val="21"/>
                <w:highlight w:val="none"/>
              </w:rPr>
              <w:t>日历天</w:t>
            </w:r>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lang w:eastAsia="zh-CN"/>
              </w:rPr>
              <w:t>施工图纸及预算书范围内所包含的</w:t>
            </w:r>
            <w:r>
              <w:rPr>
                <w:rFonts w:hint="eastAsia" w:ascii="宋体" w:hAnsi="宋体" w:eastAsia="宋体"/>
                <w:color w:val="auto"/>
                <w:sz w:val="21"/>
                <w:highlight w:val="none"/>
                <w:lang w:val="en-US" w:eastAsia="zh-CN"/>
              </w:rPr>
              <w:t>大洋中心校北校区篮球场、龙顾园及运动场东边排水沟改造</w:t>
            </w:r>
            <w:r>
              <w:rPr>
                <w:rFonts w:hint="eastAsia" w:ascii="宋体" w:hAnsi="宋体" w:eastAsia="宋体"/>
                <w:color w:val="auto"/>
                <w:sz w:val="21"/>
                <w:highlight w:val="none"/>
                <w:lang w:eastAsia="zh-CN"/>
              </w:rPr>
              <w:t>等</w:t>
            </w:r>
            <w:r>
              <w:rPr>
                <w:rFonts w:hint="eastAsia" w:ascii="宋体" w:hAnsi="宋体" w:eastAsia="宋体"/>
                <w:color w:val="auto"/>
                <w:sz w:val="21"/>
                <w:highlight w:val="none"/>
              </w:rPr>
              <w:t>，具体内容以招标人提供的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财政</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color w:val="auto"/>
                <w:sz w:val="21"/>
                <w:highlight w:val="none"/>
              </w:rPr>
              <w:t>注册建造师（市政公用工程）二级及以上；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5"/>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5"/>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lang w:val="en-US" w:eastAsia="zh-CN"/>
              </w:rPr>
              <w:t>599828</w:t>
            </w:r>
            <w:r>
              <w:rPr>
                <w:rFonts w:hint="eastAsia" w:ascii="宋体" w:hAnsi="宋体" w:eastAsia="宋体" w:cs="宋体"/>
                <w:color w:val="auto"/>
                <w:sz w:val="21"/>
                <w:szCs w:val="21"/>
                <w:highlight w:val="none"/>
              </w:rPr>
              <w:t>元；</w:t>
            </w:r>
          </w:p>
          <w:p w14:paraId="20DEBAA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 xml:space="preserve"> 515852 </w:t>
            </w:r>
            <w:r>
              <w:rPr>
                <w:rFonts w:hint="eastAsia" w:ascii="宋体" w:hAnsi="宋体" w:eastAsia="宋体" w:cs="宋体"/>
                <w:color w:val="auto"/>
                <w:sz w:val="21"/>
                <w:szCs w:val="21"/>
                <w:highlight w:val="none"/>
              </w:rPr>
              <w:t xml:space="preserve">元   </w:t>
            </w:r>
          </w:p>
          <w:p w14:paraId="378D6718">
            <w:pPr>
              <w:pStyle w:val="9"/>
              <w:rPr>
                <w:b/>
                <w:color w:val="auto"/>
                <w:sz w:val="24"/>
                <w:szCs w:val="24"/>
                <w:highlight w:val="none"/>
              </w:rPr>
            </w:pPr>
            <w:r>
              <w:rPr>
                <w:rFonts w:hint="eastAsia" w:cs="宋体"/>
                <w:color w:val="auto"/>
                <w:szCs w:val="21"/>
                <w:highlight w:val="none"/>
              </w:rPr>
              <w:t>最高投标限价=招标控制价</w:t>
            </w:r>
            <w:r>
              <w:rPr>
                <w:rFonts w:hint="eastAsia" w:cs="宋体"/>
                <w:color w:val="auto"/>
                <w:szCs w:val="21"/>
                <w:highlight w:val="none"/>
                <w:lang w:val="en-US" w:eastAsia="zh-CN"/>
              </w:rPr>
              <w:t>*</w:t>
            </w:r>
            <w:r>
              <w:rPr>
                <w:rFonts w:hint="eastAsia" w:cs="宋体"/>
                <w:color w:val="auto"/>
                <w:szCs w:val="21"/>
                <w:highlight w:val="none"/>
                <w:u w:val="single"/>
                <w:lang w:val="en-US" w:eastAsia="zh-CN"/>
              </w:rPr>
              <w:t>86</w:t>
            </w:r>
            <w:r>
              <w:rPr>
                <w:rFonts w:hint="eastAsia" w:cs="宋体"/>
                <w:color w:val="auto"/>
                <w:szCs w:val="21"/>
                <w:highlight w:val="none"/>
                <w:u w:val="singl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 xml:space="preserve"> 11000</w:t>
            </w:r>
            <w:r>
              <w:rPr>
                <w:rFonts w:hint="eastAsia" w:ascii="宋体" w:hAnsi="宋体" w:eastAsia="宋体"/>
                <w:b/>
                <w:bCs/>
                <w:color w:val="auto"/>
                <w:sz w:val="21"/>
                <w:highlight w:val="none"/>
              </w:rPr>
              <w:t>元。</w:t>
            </w:r>
          </w:p>
          <w:p w14:paraId="4A024947">
            <w:pPr>
              <w:pStyle w:val="29"/>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8"/>
                <w:rFonts w:hint="eastAsia" w:ascii="宋体" w:hAnsi="宋体"/>
                <w:b/>
                <w:color w:val="auto"/>
                <w:sz w:val="24"/>
                <w:highlight w:val="none"/>
              </w:rPr>
              <w:t>(1)</w:t>
            </w:r>
            <w:r>
              <w:rPr>
                <w:rStyle w:val="38"/>
                <w:rFonts w:hint="eastAsia" w:ascii="宋体" w:hAnsi="宋体" w:eastAsia="宋体" w:cs="宋体"/>
                <w:b/>
                <w:color w:val="auto"/>
                <w:sz w:val="24"/>
                <w:highlight w:val="none"/>
              </w:rPr>
              <w:t xml:space="preserve"> 担保形式</w:t>
            </w:r>
            <w:r>
              <w:rPr>
                <w:rStyle w:val="38"/>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8"/>
                <w:rFonts w:hint="eastAsia" w:ascii="宋体" w:hAnsi="宋体"/>
                <w:b/>
                <w:color w:val="auto"/>
                <w:sz w:val="24"/>
                <w:highlight w:val="none"/>
              </w:rPr>
              <w:t>(2)</w:t>
            </w:r>
            <w:r>
              <w:rPr>
                <w:rStyle w:val="38"/>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临海市大洋中心校</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浙江通泰工程项目管理有限公司</w:t>
            </w:r>
            <w:r>
              <w:rPr>
                <w:rFonts w:hint="eastAsia" w:ascii="宋体" w:hAnsi="宋体" w:eastAsia="宋体" w:cs="宋体"/>
                <w:color w:val="auto"/>
                <w:spacing w:val="13"/>
                <w:kern w:val="0"/>
                <w:sz w:val="21"/>
                <w:szCs w:val="21"/>
                <w:highlight w:val="none"/>
              </w:rPr>
              <w:t xml:space="preserve">  （代理机构）；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0576-89361164</w:t>
            </w:r>
            <w:r>
              <w:rPr>
                <w:rFonts w:hint="eastAsia" w:ascii="宋体" w:hAnsi="宋体" w:eastAsia="宋体" w:cs="宋体"/>
                <w:color w:val="auto"/>
                <w:spacing w:val="13"/>
                <w:kern w:val="0"/>
                <w:sz w:val="21"/>
                <w:szCs w:val="21"/>
                <w:highlight w:val="none"/>
              </w:rPr>
              <w:t xml:space="preserve">  （代理机构联系方式）；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4E675DD">
            <w:pPr>
              <w:rPr>
                <w:rFonts w:ascii="宋体" w:hAnsi="宋体" w:eastAsia="宋体"/>
                <w:color w:val="auto"/>
                <w:sz w:val="21"/>
                <w:highlight w:val="none"/>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lang w:val="en-US" w:eastAsia="zh-CN"/>
              </w:rPr>
              <w:t>南</w:t>
            </w:r>
            <w:r>
              <w:rPr>
                <w:rFonts w:hint="eastAsia" w:ascii="Arial" w:hAnsi="Arial" w:eastAsia="宋体" w:cs="Arial"/>
                <w:color w:val="auto"/>
                <w:sz w:val="21"/>
                <w:szCs w:val="21"/>
                <w:highlight w:val="none"/>
                <w:shd w:val="clear" w:color="auto" w:fill="FFFFFF"/>
              </w:rPr>
              <w:t>部</w:t>
            </w:r>
            <w:r>
              <w:rPr>
                <w:rFonts w:hint="eastAsia" w:ascii="Arial" w:hAnsi="Arial" w:eastAsia="宋体" w:cs="Arial"/>
                <w:color w:val="auto"/>
                <w:sz w:val="21"/>
                <w:szCs w:val="21"/>
                <w:highlight w:val="none"/>
                <w:u w:val="single"/>
                <w:shd w:val="clear" w:color="auto" w:fill="FFFFFF"/>
                <w:lang w:val="en-US" w:eastAsia="zh-CN"/>
              </w:rPr>
              <w:t xml:space="preserve"> 2 号 </w:t>
            </w:r>
            <w:r>
              <w:rPr>
                <w:rFonts w:ascii="Arial" w:hAnsi="Arial" w:eastAsia="宋体" w:cs="Arial"/>
                <w:color w:val="auto"/>
                <w:sz w:val="21"/>
                <w:szCs w:val="21"/>
                <w:highlight w:val="none"/>
                <w:shd w:val="clear" w:color="auto" w:fill="FFFFFF"/>
              </w:rPr>
              <w:t>开标室</w:t>
            </w:r>
            <w:r>
              <w:rPr>
                <w:rFonts w:hint="eastAsia" w:ascii="宋体" w:hAnsi="宋体" w:eastAsia="宋体" w:cs="Times New Roman"/>
                <w:color w:val="auto"/>
                <w:sz w:val="21"/>
                <w:highlight w:val="none"/>
                <w:lang w:eastAsia="zh-CN"/>
              </w:rPr>
              <w:t>（</w:t>
            </w:r>
            <w:r>
              <w:rPr>
                <w:rFonts w:hint="eastAsia" w:ascii="宋体" w:hAnsi="宋体" w:eastAsia="宋体" w:cs="Times New Roman"/>
                <w:color w:val="auto"/>
                <w:sz w:val="21"/>
                <w:highlight w:val="none"/>
                <w:lang w:val="en-US" w:eastAsia="zh-CN"/>
              </w:rPr>
              <w:t>临海市</w:t>
            </w:r>
            <w:r>
              <w:rPr>
                <w:rFonts w:hint="eastAsia" w:ascii="宋体" w:hAnsi="宋体" w:eastAsia="宋体" w:cs="Times New Roman"/>
                <w:color w:val="auto"/>
                <w:sz w:val="21"/>
                <w:highlight w:val="none"/>
                <w:lang w:eastAsia="zh-CN"/>
              </w:rPr>
              <w:t>江南街道春和路下岙余村新办公楼二楼）</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none"/>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7</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 xml:space="preserve">16  </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 xml:space="preserve"> 8 </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 xml:space="preserve"> 30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1"/>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9"/>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29"/>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r w14:paraId="77B3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1543" w:type="dxa"/>
            <w:gridSpan w:val="2"/>
            <w:vAlign w:val="center"/>
          </w:tcPr>
          <w:p w14:paraId="70F70626">
            <w:pPr>
              <w:jc w:val="center"/>
              <w:rPr>
                <w:rFonts w:hint="eastAsia" w:ascii="宋体" w:hAnsi="宋体" w:eastAsia="宋体"/>
                <w:color w:val="auto"/>
                <w:sz w:val="21"/>
                <w:highlight w:val="none"/>
              </w:rPr>
            </w:pPr>
          </w:p>
        </w:tc>
        <w:tc>
          <w:tcPr>
            <w:tcW w:w="7641" w:type="dxa"/>
            <w:gridSpan w:val="2"/>
            <w:vAlign w:val="center"/>
          </w:tcPr>
          <w:p w14:paraId="593FA7EF">
            <w:pPr>
              <w:pStyle w:val="29"/>
              <w:spacing w:line="260" w:lineRule="exact"/>
              <w:ind w:firstLine="274" w:firstLineChars="130"/>
              <w:rPr>
                <w:rFonts w:hint="eastAsia" w:ascii="宋体" w:hAnsi="宋体" w:eastAsia="宋体" w:cs="宋体"/>
                <w:color w:val="auto"/>
                <w:kern w:val="0"/>
                <w:sz w:val="21"/>
                <w:szCs w:val="21"/>
                <w:highlight w:val="none"/>
                <w:lang w:val="en-US" w:eastAsia="zh-CN" w:bidi="ar-SA"/>
              </w:rPr>
            </w:pPr>
            <w:r>
              <w:rPr>
                <w:rFonts w:hint="eastAsia" w:ascii="Calibri" w:hAnsi="宋体"/>
                <w:b/>
                <w:bCs/>
                <w:color w:val="auto"/>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087A5EC3">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500208463"/>
      <w:bookmarkStart w:id="9" w:name="_Toc9614"/>
      <w:bookmarkStart w:id="10" w:name="_Toc500209412"/>
      <w:bookmarkStart w:id="11" w:name="_Toc26109"/>
      <w:bookmarkStart w:id="12" w:name="_Toc10147"/>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500209413"/>
      <w:bookmarkStart w:id="14" w:name="_Toc500208464"/>
      <w:bookmarkStart w:id="15" w:name="_Toc32149"/>
      <w:bookmarkStart w:id="16" w:name="_Toc4837"/>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55342528"/>
      <w:bookmarkStart w:id="18" w:name="_Toc169487776"/>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招标范围</w:t>
      </w:r>
      <w:bookmarkEnd w:id="19"/>
      <w:bookmarkEnd w:id="20"/>
      <w:bookmarkEnd w:id="21"/>
    </w:p>
    <w:p w14:paraId="30D3B9CE">
      <w:pPr>
        <w:pStyle w:val="9"/>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9"/>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资金来源</w:t>
      </w:r>
      <w:bookmarkEnd w:id="22"/>
      <w:bookmarkEnd w:id="23"/>
      <w:bookmarkEnd w:id="24"/>
    </w:p>
    <w:p w14:paraId="361F13B3">
      <w:pPr>
        <w:pStyle w:val="9"/>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投标人资格</w:t>
      </w:r>
    </w:p>
    <w:p w14:paraId="3BE1B84A">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9"/>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9"/>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9"/>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9"/>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9"/>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9"/>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9"/>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9"/>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9"/>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9"/>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9"/>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9"/>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9"/>
        <w:ind w:firstLine="315" w:firstLineChars="150"/>
        <w:rPr>
          <w:color w:val="auto"/>
          <w:szCs w:val="22"/>
          <w:highlight w:val="none"/>
        </w:rPr>
      </w:pPr>
      <w:r>
        <w:rPr>
          <w:rFonts w:hint="eastAsia"/>
          <w:color w:val="auto"/>
          <w:szCs w:val="22"/>
          <w:highlight w:val="none"/>
        </w:rPr>
        <w:t>（3）为本工程的监理人；</w:t>
      </w:r>
    </w:p>
    <w:p w14:paraId="34BF6299">
      <w:pPr>
        <w:pStyle w:val="9"/>
        <w:ind w:firstLine="315" w:firstLineChars="150"/>
        <w:rPr>
          <w:color w:val="auto"/>
          <w:szCs w:val="22"/>
          <w:highlight w:val="none"/>
        </w:rPr>
      </w:pPr>
      <w:r>
        <w:rPr>
          <w:rFonts w:hint="eastAsia"/>
          <w:color w:val="auto"/>
          <w:szCs w:val="22"/>
          <w:highlight w:val="none"/>
        </w:rPr>
        <w:t xml:space="preserve">（4）为本工程的代建人； </w:t>
      </w:r>
    </w:p>
    <w:p w14:paraId="73CD52F2">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9"/>
        <w:ind w:firstLine="315" w:firstLineChars="150"/>
        <w:rPr>
          <w:color w:val="auto"/>
          <w:szCs w:val="22"/>
          <w:highlight w:val="none"/>
        </w:rPr>
      </w:pPr>
      <w:r>
        <w:rPr>
          <w:rFonts w:hint="eastAsia"/>
          <w:color w:val="auto"/>
          <w:szCs w:val="22"/>
          <w:highlight w:val="none"/>
        </w:rPr>
        <w:t xml:space="preserve">（9）被责令停业的； </w:t>
      </w:r>
    </w:p>
    <w:p w14:paraId="7BAD81DF">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9"/>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69487781"/>
      <w:bookmarkStart w:id="28" w:name="_Toc155342533"/>
      <w:r>
        <w:rPr>
          <w:rFonts w:hint="eastAsia" w:ascii="黑体" w:hAnsi="宋体" w:eastAsia="黑体"/>
          <w:b/>
          <w:color w:val="auto"/>
          <w:sz w:val="21"/>
          <w:highlight w:val="none"/>
        </w:rPr>
        <w:t>现场条件</w:t>
      </w:r>
      <w:bookmarkEnd w:id="27"/>
      <w:bookmarkEnd w:id="28"/>
    </w:p>
    <w:p w14:paraId="76B617EE">
      <w:pPr>
        <w:pStyle w:val="9"/>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3CF23C52">
      <w:pPr>
        <w:pStyle w:val="9"/>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9"/>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9"/>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20890"/>
      <w:bookmarkStart w:id="32" w:name="_Toc500208467"/>
      <w:bookmarkStart w:id="33" w:name="_Toc500209414"/>
      <w:bookmarkStart w:id="34" w:name="_Toc24275"/>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500208468"/>
      <w:bookmarkStart w:id="36" w:name="_Toc155342536"/>
      <w:bookmarkStart w:id="37" w:name="_Toc169487784"/>
      <w:r>
        <w:rPr>
          <w:rFonts w:hint="eastAsia" w:ascii="黑体" w:hAnsi="宋体" w:eastAsia="黑体"/>
          <w:b/>
          <w:color w:val="auto"/>
          <w:sz w:val="21"/>
          <w:highlight w:val="none"/>
        </w:rPr>
        <w:t>招标文件的组成</w:t>
      </w:r>
      <w:bookmarkEnd w:id="35"/>
      <w:bookmarkEnd w:id="36"/>
      <w:bookmarkEnd w:id="37"/>
    </w:p>
    <w:p w14:paraId="1878FFC1">
      <w:pPr>
        <w:pStyle w:val="9"/>
        <w:numPr>
          <w:ilvl w:val="1"/>
          <w:numId w:val="3"/>
        </w:numPr>
        <w:ind w:firstLine="420" w:firstLineChars="200"/>
        <w:rPr>
          <w:color w:val="auto"/>
          <w:highlight w:val="none"/>
        </w:rPr>
      </w:pPr>
      <w:r>
        <w:rPr>
          <w:rFonts w:hint="eastAsia"/>
          <w:color w:val="auto"/>
          <w:highlight w:val="none"/>
        </w:rPr>
        <w:t>招标文件包括下列内容：</w:t>
      </w:r>
    </w:p>
    <w:p w14:paraId="6489E592">
      <w:pPr>
        <w:pStyle w:val="9"/>
        <w:ind w:firstLine="420" w:firstLineChars="200"/>
        <w:rPr>
          <w:color w:val="auto"/>
          <w:highlight w:val="none"/>
        </w:rPr>
      </w:pPr>
      <w:r>
        <w:rPr>
          <w:rFonts w:hint="eastAsia"/>
          <w:color w:val="auto"/>
          <w:highlight w:val="none"/>
        </w:rPr>
        <w:t>第一章 投标须知及投标须知前附表；</w:t>
      </w:r>
    </w:p>
    <w:p w14:paraId="237DAC32">
      <w:pPr>
        <w:pStyle w:val="9"/>
        <w:ind w:firstLine="420" w:firstLineChars="200"/>
        <w:rPr>
          <w:color w:val="auto"/>
          <w:highlight w:val="none"/>
        </w:rPr>
      </w:pPr>
      <w:r>
        <w:rPr>
          <w:rFonts w:hint="eastAsia"/>
          <w:color w:val="auto"/>
          <w:highlight w:val="none"/>
        </w:rPr>
        <w:t>第二章 合同条款；</w:t>
      </w:r>
    </w:p>
    <w:p w14:paraId="1551E9E8">
      <w:pPr>
        <w:pStyle w:val="9"/>
        <w:ind w:firstLine="420" w:firstLineChars="200"/>
        <w:rPr>
          <w:color w:val="auto"/>
          <w:highlight w:val="none"/>
        </w:rPr>
      </w:pPr>
      <w:r>
        <w:rPr>
          <w:rFonts w:hint="eastAsia"/>
          <w:color w:val="auto"/>
          <w:highlight w:val="none"/>
        </w:rPr>
        <w:t>第三章 评标办法；</w:t>
      </w:r>
    </w:p>
    <w:p w14:paraId="7403F4A7">
      <w:pPr>
        <w:pStyle w:val="9"/>
        <w:ind w:firstLine="422" w:firstLineChars="200"/>
        <w:rPr>
          <w:b/>
          <w:color w:val="auto"/>
          <w:highlight w:val="none"/>
        </w:rPr>
      </w:pPr>
      <w:r>
        <w:rPr>
          <w:rFonts w:hint="eastAsia"/>
          <w:b/>
          <w:color w:val="auto"/>
          <w:highlight w:val="none"/>
        </w:rPr>
        <w:t>第四章 投标文件格式；</w:t>
      </w:r>
    </w:p>
    <w:p w14:paraId="40A81D49">
      <w:pPr>
        <w:pStyle w:val="9"/>
        <w:ind w:firstLine="422" w:firstLineChars="200"/>
        <w:rPr>
          <w:b/>
          <w:color w:val="auto"/>
          <w:highlight w:val="none"/>
        </w:rPr>
      </w:pPr>
      <w:r>
        <w:rPr>
          <w:rFonts w:hint="eastAsia"/>
          <w:b/>
          <w:color w:val="auto"/>
          <w:highlight w:val="none"/>
        </w:rPr>
        <w:t>其他附件材料：</w:t>
      </w:r>
    </w:p>
    <w:p w14:paraId="1892CE48">
      <w:pPr>
        <w:pStyle w:val="9"/>
        <w:ind w:firstLine="422" w:firstLineChars="200"/>
        <w:rPr>
          <w:b/>
          <w:color w:val="auto"/>
          <w:highlight w:val="none"/>
        </w:rPr>
      </w:pPr>
      <w:r>
        <w:rPr>
          <w:rFonts w:hint="eastAsia"/>
          <w:b/>
          <w:color w:val="auto"/>
          <w:highlight w:val="none"/>
        </w:rPr>
        <w:t>（1）施工图预算书（以下简称招标人预算书）；</w:t>
      </w:r>
    </w:p>
    <w:p w14:paraId="61DC7538">
      <w:pPr>
        <w:pStyle w:val="9"/>
        <w:ind w:firstLine="422" w:firstLineChars="200"/>
        <w:rPr>
          <w:b/>
          <w:color w:val="auto"/>
          <w:highlight w:val="none"/>
        </w:rPr>
      </w:pPr>
      <w:r>
        <w:rPr>
          <w:rFonts w:hint="eastAsia"/>
          <w:b/>
          <w:color w:val="auto"/>
          <w:highlight w:val="none"/>
        </w:rPr>
        <w:t>（2）施工图纸。</w:t>
      </w:r>
    </w:p>
    <w:p w14:paraId="24345718">
      <w:pPr>
        <w:pStyle w:val="9"/>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9"/>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69487785"/>
      <w:bookmarkStart w:id="40" w:name="_Toc155342537"/>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9"/>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155342538"/>
      <w:bookmarkStart w:id="42" w:name="_Toc500208470"/>
      <w:bookmarkStart w:id="43" w:name="_Toc169487786"/>
      <w:r>
        <w:rPr>
          <w:rFonts w:hint="eastAsia" w:ascii="黑体" w:hAnsi="宋体" w:eastAsia="黑体"/>
          <w:b/>
          <w:color w:val="auto"/>
          <w:sz w:val="21"/>
          <w:highlight w:val="none"/>
        </w:rPr>
        <w:t>招标文件的修改</w:t>
      </w:r>
      <w:bookmarkEnd w:id="41"/>
      <w:bookmarkEnd w:id="42"/>
      <w:bookmarkEnd w:id="43"/>
    </w:p>
    <w:p w14:paraId="28DCE30A">
      <w:pPr>
        <w:pStyle w:val="9"/>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9"/>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招标文件的备案</w:t>
      </w:r>
      <w:bookmarkEnd w:id="44"/>
      <w:bookmarkEnd w:id="45"/>
    </w:p>
    <w:p w14:paraId="34DC3445">
      <w:pPr>
        <w:pStyle w:val="9"/>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69487788"/>
      <w:bookmarkStart w:id="47" w:name="_Toc155342540"/>
      <w:r>
        <w:rPr>
          <w:rFonts w:hint="eastAsia" w:ascii="黑体" w:hAnsi="宋体" w:eastAsia="黑体"/>
          <w:b/>
          <w:color w:val="auto"/>
          <w:sz w:val="21"/>
          <w:highlight w:val="none"/>
        </w:rPr>
        <w:t>招标文件的解释权</w:t>
      </w:r>
      <w:bookmarkEnd w:id="46"/>
      <w:bookmarkEnd w:id="47"/>
    </w:p>
    <w:p w14:paraId="158DCA44">
      <w:pPr>
        <w:pStyle w:val="9"/>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500209416"/>
      <w:bookmarkStart w:id="49" w:name="_Toc20604"/>
      <w:bookmarkStart w:id="50" w:name="_Toc500208475"/>
      <w:bookmarkStart w:id="51" w:name="_Toc7036"/>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500208476"/>
      <w:bookmarkStart w:id="53" w:name="_Toc155342542"/>
      <w:bookmarkStart w:id="54" w:name="_Toc169487790"/>
      <w:bookmarkStart w:id="55" w:name="_Toc69095786"/>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9"/>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69487791"/>
      <w:bookmarkStart w:id="58" w:name="_Toc155342544"/>
      <w:r>
        <w:rPr>
          <w:rFonts w:hint="eastAsia" w:ascii="黑体" w:hAnsi="宋体" w:eastAsia="黑体"/>
          <w:b/>
          <w:color w:val="auto"/>
          <w:sz w:val="21"/>
          <w:highlight w:val="none"/>
        </w:rPr>
        <w:t>投标文件的格式</w:t>
      </w:r>
      <w:bookmarkEnd w:id="57"/>
      <w:bookmarkEnd w:id="58"/>
    </w:p>
    <w:p w14:paraId="32100D91">
      <w:pPr>
        <w:pStyle w:val="9"/>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69487792"/>
      <w:bookmarkStart w:id="60" w:name="_Toc155342545"/>
      <w:r>
        <w:rPr>
          <w:rFonts w:hint="eastAsia" w:ascii="黑体" w:hAnsi="宋体" w:eastAsia="黑体"/>
          <w:b/>
          <w:color w:val="auto"/>
          <w:sz w:val="21"/>
          <w:highlight w:val="none"/>
        </w:rPr>
        <w:t>投标报价组成</w:t>
      </w:r>
      <w:bookmarkEnd w:id="59"/>
      <w:bookmarkEnd w:id="60"/>
    </w:p>
    <w:p w14:paraId="1756F897">
      <w:pPr>
        <w:pStyle w:val="9"/>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55342546"/>
      <w:bookmarkStart w:id="63" w:name="_Toc169487793"/>
      <w:r>
        <w:rPr>
          <w:rFonts w:hint="eastAsia" w:ascii="黑体" w:hAnsi="宋体" w:eastAsia="黑体"/>
          <w:b/>
          <w:color w:val="auto"/>
          <w:sz w:val="21"/>
          <w:highlight w:val="none"/>
        </w:rPr>
        <w:t>投标报价要求</w:t>
      </w:r>
      <w:bookmarkEnd w:id="62"/>
      <w:bookmarkEnd w:id="63"/>
    </w:p>
    <w:p w14:paraId="3944BB54">
      <w:pPr>
        <w:pStyle w:val="9"/>
        <w:numPr>
          <w:ilvl w:val="1"/>
          <w:numId w:val="3"/>
        </w:numPr>
        <w:ind w:firstLine="420" w:firstLineChars="200"/>
        <w:rPr>
          <w:color w:val="auto"/>
          <w:highlight w:val="none"/>
        </w:rPr>
      </w:pPr>
      <w:r>
        <w:rPr>
          <w:rFonts w:hint="eastAsia"/>
          <w:color w:val="auto"/>
          <w:highlight w:val="none"/>
        </w:rPr>
        <w:t>招标人预算书</w:t>
      </w:r>
      <w:r>
        <w:rPr>
          <w:rFonts w:hint="eastAsia"/>
          <w:color w:val="auto"/>
          <w:highlight w:val="none"/>
          <w:lang w:val="en-US" w:eastAsia="zh-CN"/>
        </w:rPr>
        <w:t>按照《浙江省市政工程预算定额》（2018版)、《浙江省房屋建筑与装饰工程预算定额》（2018版)、《浙江省通用安装工程预算定额》（2018版)、《浙江省建设工程计价规则》（2018版）、《浙江省建设工程施工机械台班费用定额》（2018版）、省市建设主管部门有关工程造价文件及相关的定额解释等</w:t>
      </w:r>
      <w:r>
        <w:rPr>
          <w:rFonts w:hint="eastAsia"/>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9"/>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9"/>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9"/>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9"/>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9"/>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9"/>
        <w:ind w:firstLine="420" w:firstLineChars="200"/>
        <w:rPr>
          <w:color w:val="auto"/>
          <w:highlight w:val="none"/>
        </w:rPr>
      </w:pPr>
      <w:r>
        <w:rPr>
          <w:rFonts w:hint="eastAsia"/>
          <w:color w:val="auto"/>
          <w:highlight w:val="none"/>
        </w:rPr>
        <w:t>（1）未中标人投标保证金在中标公告发布后可退回；</w:t>
      </w:r>
    </w:p>
    <w:p w14:paraId="77629DDD">
      <w:pPr>
        <w:pStyle w:val="9"/>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9"/>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投标有效期</w:t>
      </w:r>
      <w:bookmarkEnd w:id="66"/>
      <w:bookmarkEnd w:id="67"/>
    </w:p>
    <w:p w14:paraId="558020F9">
      <w:pPr>
        <w:pStyle w:val="9"/>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9"/>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169487796"/>
      <w:bookmarkStart w:id="70" w:name="_Toc155342549"/>
      <w:bookmarkStart w:id="71" w:name="_Toc500208479"/>
      <w:r>
        <w:rPr>
          <w:rFonts w:hint="eastAsia" w:ascii="黑体" w:hAnsi="宋体" w:eastAsia="黑体"/>
          <w:b/>
          <w:color w:val="auto"/>
          <w:sz w:val="21"/>
          <w:highlight w:val="none"/>
        </w:rPr>
        <w:t>投标文件的份数和签署</w:t>
      </w:r>
      <w:bookmarkEnd w:id="69"/>
      <w:bookmarkEnd w:id="70"/>
      <w:bookmarkEnd w:id="71"/>
    </w:p>
    <w:p w14:paraId="2FB11FED">
      <w:pPr>
        <w:pStyle w:val="9"/>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9"/>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21258"/>
      <w:bookmarkStart w:id="73" w:name="_Toc500209417"/>
      <w:bookmarkStart w:id="74" w:name="_Toc500208480"/>
      <w:bookmarkStart w:id="75" w:name="_Toc21898"/>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投标文件的递交</w:t>
      </w:r>
      <w:bookmarkEnd w:id="76"/>
      <w:bookmarkEnd w:id="77"/>
    </w:p>
    <w:p w14:paraId="507ECBBE">
      <w:pPr>
        <w:pStyle w:val="9"/>
        <w:numPr>
          <w:ilvl w:val="1"/>
          <w:numId w:val="3"/>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投标截止期</w:t>
      </w:r>
      <w:bookmarkEnd w:id="78"/>
      <w:bookmarkEnd w:id="79"/>
      <w:bookmarkEnd w:id="80"/>
    </w:p>
    <w:p w14:paraId="466DB8A4">
      <w:pPr>
        <w:pStyle w:val="9"/>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9"/>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9"/>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15794"/>
      <w:bookmarkStart w:id="82" w:name="_Toc500209418"/>
      <w:bookmarkStart w:id="83" w:name="_Toc9012"/>
      <w:bookmarkStart w:id="84" w:name="_Toc500208484"/>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169487803"/>
      <w:bookmarkStart w:id="86" w:name="_Toc155342556"/>
      <w:bookmarkStart w:id="87" w:name="_Toc500208485"/>
      <w:r>
        <w:rPr>
          <w:rFonts w:hint="eastAsia" w:ascii="黑体" w:hAnsi="宋体" w:eastAsia="黑体"/>
          <w:b/>
          <w:color w:val="auto"/>
          <w:sz w:val="21"/>
          <w:highlight w:val="none"/>
        </w:rPr>
        <w:t>开标</w:t>
      </w:r>
      <w:bookmarkEnd w:id="85"/>
      <w:bookmarkEnd w:id="86"/>
      <w:bookmarkEnd w:id="87"/>
    </w:p>
    <w:p w14:paraId="7E665712">
      <w:pPr>
        <w:pStyle w:val="9"/>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9"/>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9"/>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55342557"/>
      <w:bookmarkStart w:id="89" w:name="_Toc169487804"/>
      <w:r>
        <w:rPr>
          <w:rFonts w:hint="eastAsia" w:ascii="黑体" w:hAnsi="宋体" w:eastAsia="黑体"/>
          <w:b/>
          <w:color w:val="auto"/>
          <w:sz w:val="21"/>
          <w:highlight w:val="none"/>
        </w:rPr>
        <w:t>投标文件公布</w:t>
      </w:r>
      <w:bookmarkEnd w:id="88"/>
      <w:bookmarkEnd w:id="89"/>
    </w:p>
    <w:p w14:paraId="6573182F">
      <w:pPr>
        <w:pStyle w:val="9"/>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15849"/>
      <w:bookmarkStart w:id="91" w:name="_Toc31728"/>
      <w:bookmarkStart w:id="92" w:name="_Toc500209419"/>
      <w:bookmarkStart w:id="93" w:name="_Toc500208488"/>
      <w:bookmarkStart w:id="94" w:name="_Toc500209420"/>
      <w:bookmarkStart w:id="95" w:name="_Toc500208495"/>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155342559"/>
      <w:bookmarkStart w:id="97" w:name="_Toc500208489"/>
      <w:bookmarkStart w:id="98" w:name="_Toc169487806"/>
      <w:r>
        <w:rPr>
          <w:rFonts w:hint="eastAsia" w:ascii="黑体" w:hAnsi="宋体" w:eastAsia="黑体"/>
          <w:b/>
          <w:color w:val="auto"/>
          <w:sz w:val="21"/>
          <w:highlight w:val="none"/>
        </w:rPr>
        <w:t>评标会议</w:t>
      </w:r>
      <w:bookmarkEnd w:id="96"/>
      <w:bookmarkEnd w:id="97"/>
      <w:bookmarkEnd w:id="98"/>
    </w:p>
    <w:p w14:paraId="64453CA0">
      <w:pPr>
        <w:pStyle w:val="9"/>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9"/>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9"/>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评标过程的保密</w:t>
      </w:r>
      <w:bookmarkEnd w:id="99"/>
      <w:bookmarkEnd w:id="100"/>
    </w:p>
    <w:p w14:paraId="078014EB">
      <w:pPr>
        <w:pStyle w:val="9"/>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9"/>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9"/>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投标文件符合性鉴定</w:t>
      </w:r>
      <w:bookmarkEnd w:id="101"/>
      <w:bookmarkEnd w:id="102"/>
    </w:p>
    <w:p w14:paraId="6F16FF62">
      <w:pPr>
        <w:pStyle w:val="9"/>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9"/>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投标文件的澄清</w:t>
      </w:r>
      <w:bookmarkEnd w:id="103"/>
      <w:bookmarkEnd w:id="104"/>
    </w:p>
    <w:p w14:paraId="095674A8">
      <w:pPr>
        <w:pStyle w:val="9"/>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9"/>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55342563"/>
      <w:bookmarkStart w:id="106" w:name="_Toc169487810"/>
      <w:r>
        <w:rPr>
          <w:rFonts w:hint="eastAsia" w:ascii="黑体" w:hAnsi="宋体" w:eastAsia="黑体"/>
          <w:b/>
          <w:color w:val="auto"/>
          <w:sz w:val="21"/>
          <w:highlight w:val="none"/>
        </w:rPr>
        <w:t>投标文件的评审</w:t>
      </w:r>
      <w:bookmarkEnd w:id="105"/>
      <w:bookmarkEnd w:id="106"/>
    </w:p>
    <w:p w14:paraId="6A080C02">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商务标的修正</w:t>
      </w:r>
      <w:bookmarkEnd w:id="107"/>
      <w:bookmarkEnd w:id="108"/>
    </w:p>
    <w:p w14:paraId="0F634411">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799"/>
      <w:bookmarkStart w:id="112" w:name="_Toc15646"/>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中标候选人公示</w:t>
      </w:r>
      <w:bookmarkEnd w:id="113"/>
      <w:bookmarkEnd w:id="114"/>
    </w:p>
    <w:p w14:paraId="76E235C4">
      <w:pPr>
        <w:pStyle w:val="9"/>
        <w:numPr>
          <w:ilvl w:val="1"/>
          <w:numId w:val="3"/>
        </w:numPr>
        <w:ind w:firstLine="420" w:firstLineChars="200"/>
        <w:rPr>
          <w:color w:val="auto"/>
          <w:highlight w:val="none"/>
        </w:rPr>
      </w:pPr>
      <w:bookmarkStart w:id="116" w:name="_Toc155342568"/>
      <w:bookmarkStart w:id="117" w:name="_Toc169487815"/>
      <w:r>
        <w:rPr>
          <w:rFonts w:hint="eastAsia"/>
          <w:color w:val="auto"/>
          <w:highlight w:val="none"/>
        </w:rPr>
        <w:t>招标人应当将评标委员会推荐的中标候选人在交易场所（发布招标公告的媒体上）进行公示，公示期不得少于1个工作日。</w:t>
      </w:r>
    </w:p>
    <w:p w14:paraId="09F6C0D4">
      <w:pPr>
        <w:pStyle w:val="9"/>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9"/>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9"/>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9"/>
        <w:numPr>
          <w:ilvl w:val="1"/>
          <w:numId w:val="3"/>
        </w:numPr>
        <w:ind w:firstLine="420" w:firstLineChars="200"/>
        <w:rPr>
          <w:b/>
          <w:color w:val="auto"/>
          <w:highlight w:val="none"/>
        </w:rPr>
      </w:pPr>
      <w:bookmarkStart w:id="120" w:name="_Toc155342569"/>
      <w:bookmarkStart w:id="121"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9"/>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9"/>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9"/>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9"/>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9"/>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9"/>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9"/>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2"/>
        <w:spacing w:line="288" w:lineRule="auto"/>
        <w:ind w:left="300"/>
        <w:rPr>
          <w:rFonts w:ascii="宋体" w:eastAsia="宋体"/>
          <w:b w:val="0"/>
          <w:bCs/>
          <w:color w:val="auto"/>
          <w:sz w:val="44"/>
          <w:highlight w:val="none"/>
        </w:rPr>
      </w:pPr>
      <w:bookmarkStart w:id="122" w:name="_Toc386121757"/>
      <w:bookmarkStart w:id="123" w:name="_Toc511741120"/>
      <w:bookmarkStart w:id="124" w:name="_Toc169487823"/>
      <w:bookmarkStart w:id="125" w:name="_Toc386121568"/>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1B67D551">
      <w:pPr>
        <w:pStyle w:val="21"/>
        <w:rPr>
          <w:color w:val="auto"/>
          <w:highlight w:val="none"/>
        </w:rPr>
      </w:pPr>
    </w:p>
    <w:p w14:paraId="10C12EF1">
      <w:pPr>
        <w:rPr>
          <w:color w:val="auto"/>
          <w:highlight w:val="none"/>
        </w:rPr>
      </w:pPr>
    </w:p>
    <w:p w14:paraId="0D3E7572">
      <w:pPr>
        <w:pStyle w:val="8"/>
        <w:outlineLvl w:val="0"/>
        <w:rPr>
          <w:b/>
          <w:color w:val="auto"/>
          <w:highlight w:val="none"/>
        </w:rPr>
      </w:pPr>
      <w:bookmarkStart w:id="126" w:name="_Toc484683196"/>
      <w:bookmarkStart w:id="127" w:name="_Toc20217"/>
      <w:bookmarkStart w:id="128" w:name="_Toc561"/>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29A7290E">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173F5B3A">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35C73135">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4A1BABEB">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2A06788">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592C64CD">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3F64749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2118A92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6458B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7A3F5EE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2006EB7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529D5AC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7BC68920">
      <w:pPr>
        <w:spacing w:line="288" w:lineRule="auto"/>
        <w:ind w:firstLine="525" w:firstLineChars="250"/>
        <w:rPr>
          <w:rFonts w:ascii="宋体" w:hAnsi="宋体" w:eastAsia="宋体"/>
          <w:color w:val="auto"/>
          <w:sz w:val="21"/>
          <w:highlight w:val="none"/>
        </w:rPr>
      </w:pPr>
    </w:p>
    <w:p w14:paraId="30F72DE9">
      <w:pPr>
        <w:pStyle w:val="2"/>
        <w:spacing w:line="288" w:lineRule="auto"/>
        <w:jc w:val="both"/>
        <w:rPr>
          <w:rFonts w:hAnsi="黑体"/>
          <w:color w:val="auto"/>
          <w:sz w:val="30"/>
          <w:szCs w:val="22"/>
          <w:highlight w:val="none"/>
        </w:rPr>
      </w:pPr>
    </w:p>
    <w:p w14:paraId="452DD19E">
      <w:pPr>
        <w:rPr>
          <w:rFonts w:hAnsi="黑体"/>
          <w:color w:val="auto"/>
          <w:sz w:val="30"/>
          <w:szCs w:val="22"/>
          <w:highlight w:val="none"/>
        </w:rPr>
      </w:pPr>
    </w:p>
    <w:p w14:paraId="4EB8A7FA">
      <w:pPr>
        <w:pStyle w:val="21"/>
        <w:rPr>
          <w:color w:val="auto"/>
          <w:highlight w:val="none"/>
        </w:rPr>
      </w:pPr>
    </w:p>
    <w:p w14:paraId="76C074F4">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1"/>
        <w:spacing w:line="288" w:lineRule="auto"/>
        <w:rPr>
          <w:rFonts w:ascii="宋体" w:hAnsi="宋体" w:eastAsia="宋体" w:cs="宋体"/>
          <w:color w:val="auto"/>
          <w:sz w:val="24"/>
          <w:szCs w:val="24"/>
          <w:highlight w:val="none"/>
        </w:rPr>
      </w:pPr>
    </w:p>
    <w:p w14:paraId="27850BDB">
      <w:pPr>
        <w:pStyle w:val="31"/>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1"/>
        <w:ind w:left="1920"/>
        <w:rPr>
          <w:color w:val="auto"/>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4"/>
        <w:numPr>
          <w:ilvl w:val="0"/>
          <w:numId w:val="0"/>
        </w:numPr>
        <w:spacing w:line="400" w:lineRule="exact"/>
        <w:ind w:left="574"/>
        <w:jc w:val="center"/>
        <w:rPr>
          <w:rFonts w:ascii="宋体" w:eastAsia="宋体" w:cs="宋体"/>
          <w:color w:val="auto"/>
          <w:sz w:val="32"/>
          <w:szCs w:val="32"/>
          <w:highlight w:val="none"/>
        </w:rPr>
      </w:pPr>
      <w:bookmarkStart w:id="129" w:name="_Toc239477934"/>
      <w:bookmarkStart w:id="130" w:name="_Toc511741122"/>
      <w:bookmarkStart w:id="131" w:name="_Toc267580969"/>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临海市大洋中心校</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大洋中心校北校区篮球场、龙顾园及运动场东边排水沟改造</w:t>
      </w:r>
      <w:r>
        <w:rPr>
          <w:rFonts w:hint="eastAsia" w:ascii="宋体" w:hAnsi="宋体" w:eastAsia="宋体" w:cs="宋体"/>
          <w:color w:val="auto"/>
          <w:sz w:val="21"/>
          <w:szCs w:val="21"/>
          <w:highlight w:val="none"/>
        </w:rPr>
        <w:t>工程施工及有关事项协商一致，共同达成如下协议：</w:t>
      </w:r>
    </w:p>
    <w:p w14:paraId="3CEBA9C3">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大洋中心校北校区篮球场、龙顾园及运动场东边排水沟改造</w:t>
      </w:r>
    </w:p>
    <w:p w14:paraId="16D3F3B8">
      <w:pPr>
        <w:spacing w:line="360" w:lineRule="exact"/>
        <w:ind w:firstLine="404" w:firstLineChars="196"/>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Cs/>
          <w:color w:val="auto"/>
          <w:sz w:val="21"/>
          <w:szCs w:val="21"/>
          <w:highlight w:val="none"/>
          <w:u w:val="single"/>
          <w:lang w:val="en-US" w:eastAsia="zh-CN"/>
        </w:rPr>
        <w:t>临海市大洋小学北校区</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w:t>
      </w:r>
      <w:bookmarkStart w:id="214" w:name="_GoBack"/>
      <w:r>
        <w:rPr>
          <w:rFonts w:hint="eastAsia" w:ascii="宋体" w:hAnsi="宋体" w:eastAsia="宋体" w:cs="宋体"/>
          <w:bCs/>
          <w:color w:val="auto"/>
          <w:sz w:val="21"/>
          <w:szCs w:val="21"/>
          <w:highlight w:val="none"/>
        </w:rPr>
        <w:t>文号：</w:t>
      </w:r>
      <w:r>
        <w:rPr>
          <w:rFonts w:hint="eastAsia" w:ascii="宋体" w:hAnsi="宋体" w:eastAsia="宋体" w:cs="宋体"/>
          <w:bCs/>
          <w:color w:val="auto"/>
          <w:sz w:val="21"/>
          <w:szCs w:val="21"/>
          <w:highlight w:val="none"/>
          <w:u w:val="single"/>
          <w:lang w:val="en-US" w:eastAsia="zh-CN"/>
        </w:rPr>
        <w:t xml:space="preserve">   临财行【2026】8号         </w:t>
      </w:r>
      <w:r>
        <w:rPr>
          <w:rFonts w:hint="eastAsia" w:ascii="宋体" w:hAnsi="宋体" w:eastAsia="宋体" w:cs="宋体"/>
          <w:bCs/>
          <w:color w:val="auto"/>
          <w:sz w:val="21"/>
          <w:szCs w:val="21"/>
          <w:highlight w:val="none"/>
          <w:u w:val="single"/>
          <w:lang w:val="en-US" w:eastAsia="zh-CN"/>
        </w:rPr>
        <w:t xml:space="preserve">  </w:t>
      </w:r>
    </w:p>
    <w:p w14:paraId="20B817ED">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lang w:val="en-US" w:eastAsia="zh-CN"/>
        </w:rPr>
        <w:t>财政</w:t>
      </w:r>
    </w:p>
    <w:bookmarkEnd w:id="214"/>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eastAsia="zh-CN"/>
        </w:rPr>
        <w:t>篮球场地混凝土基础及硅PU面层拆除新建，龙顾园景观墙及宣传橱窗翻新及新建排水沟等，具体详见设计图纸</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大洋中心校北校区篮球场、龙顾园及运动场东边排水沟改造</w:t>
      </w:r>
      <w:r>
        <w:rPr>
          <w:rFonts w:hint="eastAsia" w:ascii="宋体" w:hAnsi="宋体" w:eastAsia="宋体" w:cs="宋体"/>
          <w:color w:val="auto"/>
          <w:sz w:val="21"/>
          <w:szCs w:val="21"/>
          <w:highlight w:val="none"/>
          <w:u w:val="single"/>
        </w:rPr>
        <w:t xml:space="preserve"> ，具体内容以发包人提供的预算为准。</w:t>
      </w:r>
    </w:p>
    <w:p w14:paraId="6F4A944F">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 xml:space="preserve">适用于合同的其他规范性文件：《浙江省市政工程预算定额》（2018版)、《浙江省房屋建筑与装饰工程预算定额》（2018版)、《浙江省通用安装工程预算定额》（2018版)、《浙江省建设工程计价规则》（2018版）、《浙江省建设工程施工机械台班费用定额》（2018版）、省市建设主管部门有关工程造价文件及相关的定额解释等。 </w:t>
      </w:r>
      <w:r>
        <w:rPr>
          <w:rFonts w:hint="eastAsia" w:ascii="宋体" w:hAnsi="宋体" w:eastAsia="宋体" w:cs="宋体"/>
          <w:color w:val="auto"/>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FCF20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5859E33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B3A63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077AC7C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6A4097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030AA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29"/>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预拌砂浆</w:t>
      </w:r>
      <w:r>
        <w:rPr>
          <w:rFonts w:hint="eastAsia" w:ascii="宋体" w:hAnsi="宋体" w:eastAsia="宋体" w:cs="宋体"/>
          <w:color w:val="auto"/>
          <w:sz w:val="21"/>
          <w:szCs w:val="21"/>
          <w:highlight w:val="none"/>
          <w:u w:val="single"/>
        </w:rPr>
        <w:t>。</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BFAE14">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2"/>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2"/>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2"/>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房屋建筑与装饰工程预算定额》（2018版)、《浙江省通用安装工程预算定额》（2018版)、《浙江省建设工程计价规则》（2018版）、《浙江省建设工程施工机械台班费用定额》（2018版）、省市建设主管部门有关工程造价文件及相关的定额解释等，相关补充定额及省、市行业主管部门发布的计价文件规定，计算工程造价。</w:t>
      </w:r>
    </w:p>
    <w:p w14:paraId="609A66EA">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2"/>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2"/>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570D8005">
      <w:pPr>
        <w:pStyle w:val="12"/>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c.本工程混凝土按商品混凝土(运距按7KM考虑)；</w:t>
      </w:r>
    </w:p>
    <w:p w14:paraId="71F25EFF">
      <w:pPr>
        <w:pStyle w:val="12"/>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d.本工程砂浆按预拌考虑；</w:t>
      </w:r>
    </w:p>
    <w:p w14:paraId="706CC97E">
      <w:pPr>
        <w:numPr>
          <w:ilvl w:val="0"/>
          <w:numId w:val="0"/>
        </w:numPr>
        <w:spacing w:line="240" w:lineRule="atLeas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e.本工程土方暂按三类土考虑，拆除建筑垃圾外运按5KM考虑；</w:t>
      </w:r>
    </w:p>
    <w:p w14:paraId="41663512">
      <w:pPr>
        <w:numPr>
          <w:ilvl w:val="0"/>
          <w:numId w:val="0"/>
        </w:numPr>
        <w:spacing w:line="240" w:lineRule="atLeast"/>
        <w:ind w:firstLine="412" w:firstLineChars="200"/>
        <w:rPr>
          <w:rFonts w:hint="default"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f.真石漆（含人工、腻子）按65元/m2（除税价）计入预算，结算不作调整；</w:t>
      </w:r>
    </w:p>
    <w:p w14:paraId="273DC638">
      <w:pPr>
        <w:numPr>
          <w:ilvl w:val="0"/>
          <w:numId w:val="0"/>
        </w:numPr>
        <w:spacing w:line="240" w:lineRule="atLeas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g、铁艺花窗（含安拆）按520元/m2（除税价）计入本次预算，结算不作调整；</w:t>
      </w:r>
    </w:p>
    <w:p w14:paraId="060B021C">
      <w:pPr>
        <w:numPr>
          <w:ilvl w:val="0"/>
          <w:numId w:val="0"/>
        </w:numPr>
        <w:spacing w:line="240" w:lineRule="atLeas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h、宣传橱窗（20mm防腐木基层+5mm雪弗板写真，含铁艺镜框、含拆装）按480元/m2（除税价）计入本次预算，结算不作调整；</w:t>
      </w:r>
    </w:p>
    <w:p w14:paraId="100AB323">
      <w:pPr>
        <w:numPr>
          <w:ilvl w:val="0"/>
          <w:numId w:val="0"/>
        </w:numPr>
        <w:spacing w:line="240" w:lineRule="atLeas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i、硅PU塑胶面层（厚度8mm，含划线）按185元/m2（除税价）计入本次预算，硅PU塑胶面层（厚度5mm，含划线）按155元/m2（除税价）计入本次预算，结算不作调整；</w:t>
      </w:r>
    </w:p>
    <w:p w14:paraId="5BFE976A">
      <w:pPr>
        <w:numPr>
          <w:ilvl w:val="0"/>
          <w:numId w:val="0"/>
        </w:numPr>
        <w:spacing w:line="240" w:lineRule="atLeas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j、15厚中国红大理石（厚15mm）按152元/m2（除税价）计入本次预算，结算不作调整；</w:t>
      </w:r>
    </w:p>
    <w:p w14:paraId="1F634A35">
      <w:pPr>
        <w:numPr>
          <w:ilvl w:val="0"/>
          <w:numId w:val="0"/>
        </w:numPr>
        <w:spacing w:line="240" w:lineRule="atLeast"/>
        <w:ind w:firstLine="412" w:firstLineChars="200"/>
        <w:rPr>
          <w:rFonts w:hint="default"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k</w:t>
      </w:r>
      <w:r>
        <w:rPr>
          <w:rFonts w:hint="default" w:ascii="宋体" w:hAnsi="宋体" w:eastAsia="宋体" w:cs="宋体"/>
          <w:color w:val="auto"/>
          <w:kern w:val="0"/>
          <w:sz w:val="21"/>
          <w:szCs w:val="21"/>
          <w:highlight w:val="none"/>
          <w:u w:val="single"/>
          <w:lang w:val="en-US" w:eastAsia="zh-CN" w:bidi="ar-SA"/>
        </w:rPr>
        <w:t>、雕塑不锈钢烤漆铲除重新粉刷</w:t>
      </w:r>
      <w:r>
        <w:rPr>
          <w:rFonts w:hint="eastAsia" w:ascii="宋体" w:hAnsi="宋体" w:eastAsia="宋体" w:cs="宋体"/>
          <w:color w:val="auto"/>
          <w:kern w:val="0"/>
          <w:sz w:val="21"/>
          <w:szCs w:val="21"/>
          <w:highlight w:val="none"/>
          <w:u w:val="single"/>
          <w:lang w:val="en-US" w:eastAsia="zh-CN" w:bidi="ar-SA"/>
        </w:rPr>
        <w:t>按1500元/项（除税价）计入本次预算，结算不作调整;</w:t>
      </w:r>
    </w:p>
    <w:p w14:paraId="2A063D56">
      <w:pPr>
        <w:numPr>
          <w:ilvl w:val="0"/>
          <w:numId w:val="0"/>
        </w:numPr>
        <w:spacing w:line="240" w:lineRule="atLeast"/>
        <w:ind w:firstLine="412" w:firstLineChars="200"/>
        <w:rPr>
          <w:rFonts w:hint="default"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l</w:t>
      </w:r>
      <w:r>
        <w:rPr>
          <w:rFonts w:hint="default" w:ascii="宋体" w:hAnsi="宋体" w:eastAsia="宋体" w:cs="宋体"/>
          <w:color w:val="auto"/>
          <w:kern w:val="0"/>
          <w:sz w:val="21"/>
          <w:szCs w:val="21"/>
          <w:highlight w:val="none"/>
          <w:u w:val="single"/>
          <w:lang w:val="en-US" w:eastAsia="zh-CN" w:bidi="ar-SA"/>
        </w:rPr>
        <w:t>、</w:t>
      </w:r>
      <w:r>
        <w:rPr>
          <w:rFonts w:hint="eastAsia" w:ascii="宋体" w:hAnsi="宋体" w:eastAsia="宋体" w:cs="宋体"/>
          <w:color w:val="auto"/>
          <w:kern w:val="0"/>
          <w:sz w:val="21"/>
          <w:szCs w:val="21"/>
          <w:highlight w:val="none"/>
          <w:u w:val="single"/>
          <w:lang w:val="en-US" w:eastAsia="zh-CN" w:bidi="ar-SA"/>
        </w:rPr>
        <w:t>人行道PC仿石砖路面破除修复按总面积的20%考虑；</w:t>
      </w:r>
    </w:p>
    <w:p w14:paraId="1AAC53F0">
      <w:pPr>
        <w:numPr>
          <w:ilvl w:val="0"/>
          <w:numId w:val="0"/>
        </w:numPr>
        <w:spacing w:line="240" w:lineRule="atLeast"/>
        <w:ind w:firstLine="412" w:firstLineChars="200"/>
        <w:rPr>
          <w:rFonts w:hint="default"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m</w:t>
      </w:r>
      <w:r>
        <w:rPr>
          <w:rFonts w:hint="default" w:ascii="宋体" w:hAnsi="宋体" w:eastAsia="宋体" w:cs="宋体"/>
          <w:color w:val="auto"/>
          <w:kern w:val="0"/>
          <w:sz w:val="21"/>
          <w:szCs w:val="21"/>
          <w:highlight w:val="none"/>
          <w:u w:val="single"/>
          <w:lang w:val="en-US" w:eastAsia="zh-CN" w:bidi="ar-SA"/>
        </w:rPr>
        <w:t>、</w:t>
      </w:r>
      <w:r>
        <w:rPr>
          <w:rFonts w:hint="eastAsia" w:ascii="宋体" w:hAnsi="宋体" w:eastAsia="宋体" w:cs="宋体"/>
          <w:color w:val="auto"/>
          <w:kern w:val="0"/>
          <w:sz w:val="21"/>
          <w:szCs w:val="21"/>
          <w:highlight w:val="none"/>
          <w:u w:val="single"/>
          <w:lang w:val="en-US" w:eastAsia="zh-CN" w:bidi="ar-SA"/>
        </w:rPr>
        <w:t>施工便道租赁钢板规格6m*1.5m/按每块租赁费8元/天，租赁时间按20天考虑，结算不作调整；</w:t>
      </w:r>
    </w:p>
    <w:p w14:paraId="47D986A5">
      <w:pPr>
        <w:numPr>
          <w:ilvl w:val="0"/>
          <w:numId w:val="0"/>
        </w:numPr>
        <w:spacing w:line="240" w:lineRule="atLeast"/>
        <w:ind w:firstLine="412" w:firstLineChars="200"/>
        <w:rPr>
          <w:rFonts w:hint="default"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n</w:t>
      </w:r>
      <w:r>
        <w:rPr>
          <w:rFonts w:hint="default" w:ascii="宋体" w:hAnsi="宋体" w:eastAsia="宋体" w:cs="宋体"/>
          <w:color w:val="auto"/>
          <w:kern w:val="0"/>
          <w:sz w:val="21"/>
          <w:szCs w:val="21"/>
          <w:highlight w:val="none"/>
          <w:u w:val="single"/>
          <w:lang w:val="en-US" w:eastAsia="zh-CN" w:bidi="ar-SA"/>
        </w:rPr>
        <w:t>、</w:t>
      </w:r>
      <w:r>
        <w:rPr>
          <w:rFonts w:hint="eastAsia" w:ascii="宋体" w:hAnsi="宋体" w:eastAsia="宋体" w:cs="宋体"/>
          <w:color w:val="auto"/>
          <w:kern w:val="0"/>
          <w:sz w:val="21"/>
          <w:szCs w:val="21"/>
          <w:highlight w:val="none"/>
          <w:u w:val="single"/>
          <w:lang w:val="en-US" w:eastAsia="zh-CN" w:bidi="ar-SA"/>
        </w:rPr>
        <w:t>履带式挖掘机按1台班计入本次预算。</w:t>
      </w:r>
    </w:p>
    <w:p w14:paraId="00DC86C0">
      <w:pPr>
        <w:pStyle w:val="11"/>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5B7A0836">
      <w:pPr>
        <w:autoSpaceDE w:val="0"/>
        <w:autoSpaceDN w:val="0"/>
        <w:spacing w:line="400" w:lineRule="exact"/>
        <w:ind w:firstLine="412" w:firstLineChars="200"/>
        <w:rPr>
          <w:rFonts w:ascii="宋体" w:hAnsi="宋体" w:eastAsia="宋体" w:cs="宋体"/>
          <w:color w:val="auto"/>
          <w:sz w:val="21"/>
          <w:szCs w:val="21"/>
          <w:highlight w:val="lightGray"/>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w:t>
      </w:r>
      <w:r>
        <w:rPr>
          <w:rFonts w:hint="eastAsia" w:hAnsi="宋体" w:eastAsia="宋体" w:cs="宋体"/>
          <w:color w:val="auto"/>
          <w:kern w:val="0"/>
          <w:sz w:val="21"/>
          <w:szCs w:val="21"/>
          <w:highlight w:val="none"/>
          <w:u w:val="single"/>
          <w:shd w:val="clear" w:color="auto" w:fill="auto"/>
          <w:lang w:eastAsia="zh-CN"/>
        </w:rPr>
        <w:t>《浙江省市政工程预算定额》（2018版)、《浙江省房屋建筑与装饰工程预算定额》（2018版)、《浙江省通用安装工程预算定额》（2018版)、《浙江省建设工程计价规则》（2018版）、《浙江省建设工程施工机械台班费用定额》（2018版）、省市建设主管部门有关工程造价文件及相关的定额解释等，</w:t>
      </w:r>
      <w:r>
        <w:rPr>
          <w:rFonts w:hint="eastAsia" w:ascii="宋体" w:hAnsi="宋体" w:eastAsia="宋体" w:cs="宋体"/>
          <w:color w:val="auto"/>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6404C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u w:val="single"/>
        </w:rPr>
        <w:t>不扣回。作为工程款，不抵扣每期应付进度款</w:t>
      </w:r>
      <w:r>
        <w:rPr>
          <w:rFonts w:hint="eastAsia" w:ascii="宋体" w:hAnsi="宋体" w:eastAsia="宋体" w:cs="宋体"/>
          <w:color w:val="auto"/>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ascii="宋体" w:hAnsi="宋体" w:eastAsia="宋体" w:cs="宋体"/>
          <w:color w:val="auto"/>
          <w:sz w:val="21"/>
          <w:szCs w:val="21"/>
          <w:highlight w:val="none"/>
          <w:u w:val="single"/>
          <w:lang w:eastAsia="zh-CN"/>
        </w:rPr>
        <w:t>《浙江省市政工程预算定额》(2018版)、《浙江省建设工程计价规则》(2018版)、[浙建建发(2019)92号]、[浙建建发（2022）37号]</w:t>
      </w:r>
      <w:r>
        <w:rPr>
          <w:rFonts w:hint="eastAsia" w:ascii="宋体" w:hAnsi="宋体" w:eastAsia="宋体" w:cs="宋体"/>
          <w:color w:val="auto"/>
          <w:sz w:val="21"/>
          <w:szCs w:val="21"/>
          <w:highlight w:val="none"/>
          <w:u w:val="single"/>
        </w:rPr>
        <w:t>、相关补充定额及省、市行业主管部门发布的计价文件；发包人提供的工程量计算规则计量。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本工程按工程进度支付工程进度款。</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603D78C3">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u w:val="single"/>
        </w:rPr>
        <w:t>合同范围内的施工内容施工完成，参建各方（建设、监理、施工、勘察、设计单位等）对工程验收并签署工程质量合格文件后，支付至进度款审核汇总的合同价格的85%</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结算审核后</w:t>
      </w:r>
      <w:r>
        <w:rPr>
          <w:rFonts w:hint="eastAsia" w:ascii="宋体" w:hAnsi="宋体" w:eastAsia="宋体" w:cs="宋体"/>
          <w:color w:val="auto"/>
          <w:sz w:val="21"/>
          <w:szCs w:val="21"/>
          <w:u w:val="single"/>
          <w:lang w:eastAsia="zh-CN"/>
        </w:rPr>
        <w:t>支付至审核价款的</w:t>
      </w:r>
      <w:r>
        <w:rPr>
          <w:rFonts w:hint="eastAsia" w:ascii="宋体" w:hAnsi="宋体" w:eastAsia="宋体" w:cs="宋体"/>
          <w:color w:val="auto"/>
          <w:sz w:val="21"/>
          <w:szCs w:val="21"/>
          <w:u w:val="single"/>
          <w:lang w:val="en-US" w:eastAsia="zh-CN"/>
        </w:rPr>
        <w:t>100%</w:t>
      </w:r>
      <w:r>
        <w:rPr>
          <w:rFonts w:hint="eastAsia" w:ascii="宋体" w:hAnsi="宋体" w:eastAsia="宋体" w:cs="宋体"/>
          <w:color w:val="auto"/>
          <w:sz w:val="21"/>
          <w:szCs w:val="21"/>
          <w:u w:val="single"/>
          <w:lang w:eastAsia="zh-CN"/>
        </w:rPr>
        <w:t>。</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个月，</w:t>
      </w:r>
      <w:r>
        <w:rPr>
          <w:rFonts w:hint="eastAsia" w:ascii="宋体" w:hAnsi="宋体" w:eastAsia="宋体" w:cs="宋体"/>
          <w:color w:val="auto"/>
          <w:sz w:val="21"/>
          <w:szCs w:val="21"/>
          <w:highlight w:val="none"/>
          <w:u w:val="single"/>
        </w:rPr>
        <w:t>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6542CE1D">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CDCC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71CE32DE">
      <w:pPr>
        <w:spacing w:line="400" w:lineRule="exact"/>
        <w:rPr>
          <w:rFonts w:hint="eastAsia" w:ascii="宋体" w:hAnsi="宋体" w:eastAsia="宋体" w:cs="宋体"/>
          <w:color w:val="auto"/>
          <w:sz w:val="21"/>
          <w:szCs w:val="21"/>
          <w:highlight w:val="none"/>
        </w:rPr>
      </w:pPr>
    </w:p>
    <w:p w14:paraId="638A883A">
      <w:pPr>
        <w:spacing w:line="400" w:lineRule="exact"/>
        <w:rPr>
          <w:rFonts w:hint="eastAsia" w:ascii="宋体" w:hAnsi="宋体" w:eastAsia="宋体" w:cs="宋体"/>
          <w:color w:val="auto"/>
          <w:sz w:val="21"/>
          <w:szCs w:val="21"/>
          <w:highlight w:val="none"/>
        </w:rPr>
      </w:pPr>
    </w:p>
    <w:p w14:paraId="788EE76A">
      <w:pPr>
        <w:spacing w:line="400" w:lineRule="exact"/>
        <w:rPr>
          <w:rFonts w:hint="eastAsia" w:ascii="宋体" w:hAnsi="宋体" w:eastAsia="宋体" w:cs="宋体"/>
          <w:color w:val="auto"/>
          <w:sz w:val="21"/>
          <w:szCs w:val="21"/>
          <w:highlight w:val="none"/>
        </w:rPr>
      </w:pPr>
    </w:p>
    <w:p w14:paraId="28AD1699">
      <w:pPr>
        <w:spacing w:line="400" w:lineRule="exact"/>
        <w:rPr>
          <w:rFonts w:hint="eastAsia" w:ascii="宋体" w:hAnsi="宋体" w:eastAsia="宋体" w:cs="宋体"/>
          <w:color w:val="auto"/>
          <w:sz w:val="21"/>
          <w:szCs w:val="21"/>
          <w:highlight w:val="none"/>
        </w:rPr>
      </w:pPr>
    </w:p>
    <w:p w14:paraId="1991F067">
      <w:pPr>
        <w:spacing w:line="400" w:lineRule="exact"/>
        <w:rPr>
          <w:rFonts w:hint="eastAsia" w:ascii="宋体" w:hAnsi="宋体" w:eastAsia="宋体" w:cs="宋体"/>
          <w:color w:val="auto"/>
          <w:sz w:val="21"/>
          <w:szCs w:val="21"/>
          <w:highlight w:val="none"/>
        </w:rPr>
      </w:pPr>
    </w:p>
    <w:p w14:paraId="6AFF682B">
      <w:pPr>
        <w:spacing w:line="400" w:lineRule="exact"/>
        <w:rPr>
          <w:rFonts w:hint="eastAsia" w:ascii="宋体" w:hAnsi="宋体" w:eastAsia="宋体" w:cs="宋体"/>
          <w:color w:val="auto"/>
          <w:sz w:val="21"/>
          <w:szCs w:val="21"/>
          <w:highlight w:val="none"/>
        </w:rPr>
      </w:pPr>
    </w:p>
    <w:p w14:paraId="1228E6AF">
      <w:pPr>
        <w:spacing w:line="400" w:lineRule="exact"/>
        <w:rPr>
          <w:rFonts w:hint="eastAsia" w:ascii="宋体" w:hAnsi="宋体" w:eastAsia="宋体" w:cs="宋体"/>
          <w:color w:val="auto"/>
          <w:sz w:val="21"/>
          <w:szCs w:val="21"/>
          <w:highlight w:val="none"/>
        </w:rPr>
      </w:pPr>
    </w:p>
    <w:p w14:paraId="4C505960">
      <w:pPr>
        <w:spacing w:line="400" w:lineRule="exact"/>
        <w:rPr>
          <w:rFonts w:hint="eastAsia" w:ascii="宋体" w:hAnsi="宋体" w:eastAsia="宋体" w:cs="宋体"/>
          <w:color w:val="auto"/>
          <w:sz w:val="21"/>
          <w:szCs w:val="21"/>
          <w:highlight w:val="none"/>
        </w:rPr>
      </w:pPr>
    </w:p>
    <w:p w14:paraId="1C88AF42">
      <w:pPr>
        <w:spacing w:line="400" w:lineRule="exact"/>
        <w:rPr>
          <w:rFonts w:hint="eastAsia" w:ascii="宋体" w:hAnsi="宋体" w:eastAsia="宋体" w:cs="宋体"/>
          <w:color w:val="auto"/>
          <w:sz w:val="21"/>
          <w:szCs w:val="21"/>
          <w:highlight w:val="none"/>
        </w:rPr>
      </w:pPr>
    </w:p>
    <w:p w14:paraId="61C21429">
      <w:pPr>
        <w:spacing w:line="400" w:lineRule="exact"/>
        <w:rPr>
          <w:rFonts w:hint="eastAsia" w:ascii="宋体" w:hAnsi="宋体" w:eastAsia="宋体" w:cs="宋体"/>
          <w:color w:val="auto"/>
          <w:sz w:val="21"/>
          <w:szCs w:val="21"/>
          <w:highlight w:val="none"/>
        </w:rPr>
      </w:pPr>
    </w:p>
    <w:p w14:paraId="57B069F9">
      <w:pPr>
        <w:spacing w:line="400" w:lineRule="exact"/>
        <w:rPr>
          <w:rFonts w:hint="eastAsia" w:ascii="宋体" w:hAnsi="宋体" w:eastAsia="宋体" w:cs="宋体"/>
          <w:color w:val="auto"/>
          <w:sz w:val="21"/>
          <w:szCs w:val="21"/>
          <w:highlight w:val="none"/>
        </w:rPr>
      </w:pPr>
    </w:p>
    <w:p w14:paraId="58EAA127">
      <w:pPr>
        <w:spacing w:line="400" w:lineRule="exact"/>
        <w:rPr>
          <w:rFonts w:hint="eastAsia" w:ascii="宋体" w:hAnsi="宋体" w:eastAsia="宋体" w:cs="宋体"/>
          <w:color w:val="auto"/>
          <w:sz w:val="21"/>
          <w:szCs w:val="21"/>
          <w:highlight w:val="none"/>
        </w:rPr>
      </w:pPr>
    </w:p>
    <w:p w14:paraId="4E84F799">
      <w:pPr>
        <w:spacing w:line="400" w:lineRule="exact"/>
        <w:rPr>
          <w:rFonts w:hint="eastAsia" w:ascii="宋体" w:hAnsi="宋体" w:eastAsia="宋体" w:cs="宋体"/>
          <w:color w:val="auto"/>
          <w:sz w:val="21"/>
          <w:szCs w:val="21"/>
          <w:highlight w:val="none"/>
        </w:rPr>
      </w:pPr>
    </w:p>
    <w:p w14:paraId="07F42B17">
      <w:pPr>
        <w:spacing w:line="400" w:lineRule="exact"/>
        <w:rPr>
          <w:rFonts w:hint="eastAsia" w:ascii="宋体" w:hAnsi="宋体" w:eastAsia="宋体" w:cs="宋体"/>
          <w:color w:val="auto"/>
          <w:sz w:val="21"/>
          <w:szCs w:val="21"/>
          <w:highlight w:val="none"/>
        </w:rPr>
      </w:pPr>
    </w:p>
    <w:p w14:paraId="6AFACB6A">
      <w:pPr>
        <w:spacing w:line="400" w:lineRule="exact"/>
        <w:rPr>
          <w:rFonts w:hint="eastAsia" w:ascii="宋体" w:hAnsi="宋体" w:eastAsia="宋体" w:cs="宋体"/>
          <w:color w:val="auto"/>
          <w:sz w:val="21"/>
          <w:szCs w:val="21"/>
          <w:highlight w:val="none"/>
        </w:rPr>
      </w:pPr>
    </w:p>
    <w:p w14:paraId="4B280423">
      <w:pPr>
        <w:spacing w:line="400" w:lineRule="exact"/>
        <w:rPr>
          <w:rFonts w:hint="eastAsia" w:ascii="宋体" w:hAnsi="宋体" w:eastAsia="宋体" w:cs="宋体"/>
          <w:color w:val="auto"/>
          <w:sz w:val="21"/>
          <w:szCs w:val="21"/>
          <w:highlight w:val="none"/>
        </w:rPr>
      </w:pPr>
    </w:p>
    <w:p w14:paraId="6169B598">
      <w:pPr>
        <w:spacing w:line="400" w:lineRule="exact"/>
        <w:rPr>
          <w:rFonts w:hint="eastAsia" w:ascii="宋体" w:hAnsi="宋体" w:eastAsia="宋体" w:cs="宋体"/>
          <w:color w:val="auto"/>
          <w:sz w:val="21"/>
          <w:szCs w:val="21"/>
          <w:highlight w:val="none"/>
        </w:rPr>
      </w:pPr>
    </w:p>
    <w:p w14:paraId="36712434">
      <w:pPr>
        <w:spacing w:line="400" w:lineRule="exact"/>
        <w:rPr>
          <w:rFonts w:hint="eastAsia" w:ascii="宋体" w:hAnsi="宋体" w:eastAsia="宋体" w:cs="宋体"/>
          <w:color w:val="auto"/>
          <w:sz w:val="21"/>
          <w:szCs w:val="21"/>
          <w:highlight w:val="none"/>
        </w:rPr>
      </w:pPr>
    </w:p>
    <w:p w14:paraId="5A3B21AA">
      <w:pPr>
        <w:spacing w:line="400" w:lineRule="exact"/>
        <w:rPr>
          <w:rFonts w:hint="eastAsia" w:ascii="宋体" w:hAnsi="宋体" w:eastAsia="宋体" w:cs="宋体"/>
          <w:color w:val="auto"/>
          <w:sz w:val="21"/>
          <w:szCs w:val="21"/>
          <w:highlight w:val="none"/>
        </w:rPr>
      </w:pPr>
    </w:p>
    <w:p w14:paraId="5EF37F1F">
      <w:pPr>
        <w:spacing w:line="400" w:lineRule="exact"/>
        <w:rPr>
          <w:rFonts w:hint="eastAsia" w:ascii="宋体" w:hAnsi="宋体" w:eastAsia="宋体" w:cs="宋体"/>
          <w:color w:val="auto"/>
          <w:sz w:val="21"/>
          <w:szCs w:val="21"/>
          <w:highlight w:val="none"/>
        </w:rPr>
      </w:pPr>
    </w:p>
    <w:p w14:paraId="05298379">
      <w:pPr>
        <w:spacing w:line="400" w:lineRule="exact"/>
        <w:rPr>
          <w:rFonts w:hint="eastAsia" w:ascii="宋体" w:hAnsi="宋体" w:eastAsia="宋体" w:cs="宋体"/>
          <w:color w:val="auto"/>
          <w:sz w:val="21"/>
          <w:szCs w:val="21"/>
          <w:highlight w:val="none"/>
        </w:rPr>
      </w:pPr>
    </w:p>
    <w:p w14:paraId="5FA71E48">
      <w:pPr>
        <w:spacing w:line="400" w:lineRule="exact"/>
        <w:rPr>
          <w:rFonts w:hint="eastAsia" w:ascii="宋体" w:hAnsi="宋体" w:eastAsia="宋体" w:cs="宋体"/>
          <w:color w:val="auto"/>
          <w:sz w:val="21"/>
          <w:szCs w:val="21"/>
          <w:highlight w:val="none"/>
        </w:rPr>
      </w:pPr>
    </w:p>
    <w:p w14:paraId="3413136E">
      <w:pPr>
        <w:spacing w:line="400" w:lineRule="exact"/>
        <w:rPr>
          <w:rFonts w:hint="eastAsia" w:ascii="宋体" w:hAnsi="宋体" w:eastAsia="宋体" w:cs="宋体"/>
          <w:color w:val="auto"/>
          <w:sz w:val="21"/>
          <w:szCs w:val="21"/>
          <w:highlight w:val="none"/>
        </w:rPr>
      </w:pPr>
    </w:p>
    <w:p w14:paraId="230705B0">
      <w:pPr>
        <w:spacing w:line="400" w:lineRule="exact"/>
        <w:rPr>
          <w:rFonts w:hint="eastAsia" w:ascii="宋体" w:hAnsi="宋体" w:eastAsia="宋体" w:cs="宋体"/>
          <w:color w:val="auto"/>
          <w:sz w:val="21"/>
          <w:szCs w:val="21"/>
          <w:highlight w:val="none"/>
        </w:rPr>
      </w:pPr>
    </w:p>
    <w:p w14:paraId="377C5244">
      <w:pPr>
        <w:spacing w:line="400" w:lineRule="exact"/>
        <w:rPr>
          <w:rFonts w:hint="eastAsia" w:ascii="宋体" w:hAnsi="宋体" w:eastAsia="宋体" w:cs="宋体"/>
          <w:color w:val="auto"/>
          <w:sz w:val="21"/>
          <w:szCs w:val="21"/>
          <w:highlight w:val="none"/>
        </w:rPr>
      </w:pPr>
    </w:p>
    <w:p w14:paraId="0F7688D8">
      <w:pPr>
        <w:spacing w:line="400" w:lineRule="exact"/>
        <w:rPr>
          <w:rFonts w:hint="eastAsia" w:ascii="宋体" w:hAnsi="宋体" w:eastAsia="宋体" w:cs="宋体"/>
          <w:color w:val="auto"/>
          <w:sz w:val="21"/>
          <w:szCs w:val="21"/>
          <w:highlight w:val="none"/>
        </w:rPr>
      </w:pP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附件11：暂估价一览表（略）</w:t>
      </w:r>
    </w:p>
    <w:p w14:paraId="4499F594">
      <w:pPr>
        <w:pStyle w:val="29"/>
        <w:rPr>
          <w:rFonts w:hint="eastAsia" w:eastAsia="宋体"/>
          <w:color w:val="auto"/>
          <w:highlight w:val="none"/>
          <w:lang w:eastAsia="zh-CN"/>
        </w:rPr>
        <w:sectPr>
          <w:footerReference r:id="rId14" w:type="default"/>
          <w:headerReference r:id="rId13" w:type="even"/>
          <w:footerReference r:id="rId15" w:type="even"/>
          <w:pgSz w:w="11907" w:h="16840"/>
          <w:pgMar w:top="1247" w:right="1531" w:bottom="1247" w:left="1531" w:header="851" w:footer="1559"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略</w:t>
      </w:r>
      <w:r>
        <w:rPr>
          <w:rFonts w:hint="eastAsia" w:ascii="宋体" w:hAnsi="宋体" w:cs="宋体"/>
          <w:color w:val="auto"/>
          <w:sz w:val="21"/>
          <w:szCs w:val="21"/>
          <w:highlight w:val="none"/>
          <w:lang w:eastAsia="zh-CN"/>
        </w:rPr>
        <w:t>）</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临海市大洋中心校</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大洋中心校北校区篮球场、龙顾园及运动场东边排水沟改造</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hint="eastAsia" w:ascii="宋体" w:hAnsi="宋体" w:eastAsia="宋体" w:cs="宋体"/>
          <w:color w:val="auto"/>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highlight w:val="none"/>
        </w:rPr>
        <w:t xml:space="preserve">邮政编码：                                  邮政编码： </w:t>
      </w:r>
    </w:p>
    <w:bookmarkEnd w:id="129"/>
    <w:bookmarkEnd w:id="130"/>
    <w:bookmarkEnd w:id="131"/>
    <w:p w14:paraId="381E5AC1">
      <w:pPr>
        <w:pStyle w:val="2"/>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7DB29561">
      <w:pPr>
        <w:pStyle w:val="8"/>
        <w:spacing w:line="400" w:lineRule="exact"/>
        <w:jc w:val="left"/>
        <w:rPr>
          <w:rFonts w:cs="宋体"/>
          <w:color w:val="auto"/>
          <w:szCs w:val="21"/>
          <w:highlight w:val="none"/>
        </w:rPr>
      </w:pPr>
    </w:p>
    <w:p w14:paraId="41327290">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大洋中心校北校区篮球场、龙顾园及运动场东边排水沟改造</w:t>
      </w:r>
    </w:p>
    <w:p w14:paraId="0973C438">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val="en-US" w:eastAsia="zh-CN"/>
        </w:rPr>
        <w:t>临海市大洋小学北校区</w:t>
      </w:r>
    </w:p>
    <w:p w14:paraId="3F150CEC">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临海市大洋中心校</w:t>
      </w:r>
    </w:p>
    <w:p w14:paraId="641CA82A">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8"/>
        <w:spacing w:line="400" w:lineRule="exact"/>
        <w:jc w:val="left"/>
        <w:rPr>
          <w:rFonts w:cs="宋体"/>
          <w:color w:val="auto"/>
          <w:szCs w:val="21"/>
          <w:highlight w:val="none"/>
        </w:rPr>
      </w:pPr>
    </w:p>
    <w:p w14:paraId="366D5A52">
      <w:pPr>
        <w:pStyle w:val="8"/>
        <w:spacing w:line="400" w:lineRule="exact"/>
        <w:jc w:val="left"/>
        <w:rPr>
          <w:rFonts w:cs="宋体"/>
          <w:color w:val="auto"/>
          <w:szCs w:val="21"/>
          <w:highlight w:val="none"/>
        </w:rPr>
      </w:pPr>
    </w:p>
    <w:p w14:paraId="291C2EED">
      <w:pPr>
        <w:pStyle w:val="8"/>
        <w:spacing w:line="400" w:lineRule="exact"/>
        <w:jc w:val="left"/>
        <w:rPr>
          <w:rFonts w:cs="宋体"/>
          <w:color w:val="auto"/>
          <w:szCs w:val="21"/>
          <w:highlight w:val="none"/>
        </w:rPr>
      </w:pPr>
    </w:p>
    <w:p w14:paraId="21C26BDD">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8"/>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8"/>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8"/>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2"/>
        <w:spacing w:beforeLines="50" w:afterLines="50" w:line="400" w:lineRule="exact"/>
        <w:rPr>
          <w:color w:val="auto"/>
          <w:sz w:val="21"/>
          <w:szCs w:val="21"/>
          <w:highlight w:val="none"/>
        </w:rPr>
      </w:pPr>
    </w:p>
    <w:p w14:paraId="186610D3">
      <w:pPr>
        <w:pStyle w:val="2"/>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2"/>
        <w:spacing w:beforeLines="50" w:afterLines="50"/>
        <w:rPr>
          <w:color w:val="auto"/>
          <w:highlight w:val="none"/>
        </w:rPr>
      </w:pPr>
      <w:bookmarkStart w:id="134" w:name="_Toc386121758"/>
      <w:bookmarkStart w:id="135" w:name="_Toc9900"/>
      <w:bookmarkStart w:id="136" w:name="_Toc386121569"/>
      <w:bookmarkStart w:id="137" w:name="_Toc21472"/>
      <w:bookmarkStart w:id="138" w:name="_Toc106012814"/>
      <w:bookmarkStart w:id="139" w:name="_Toc155342575"/>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3"/>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668"/>
      <w:bookmarkStart w:id="144" w:name="_Toc30925"/>
    </w:p>
    <w:p w14:paraId="5C72C058">
      <w:pPr>
        <w:pStyle w:val="3"/>
        <w:numPr>
          <w:ilvl w:val="0"/>
          <w:numId w:val="0"/>
        </w:numPr>
        <w:spacing w:before="0" w:afterLines="0" w:line="360" w:lineRule="exact"/>
        <w:jc w:val="both"/>
        <w:rPr>
          <w:b w:val="0"/>
          <w:color w:val="auto"/>
          <w:sz w:val="28"/>
          <w:szCs w:val="28"/>
          <w:highlight w:val="none"/>
        </w:rPr>
      </w:pPr>
    </w:p>
    <w:p w14:paraId="1C1661E1">
      <w:pPr>
        <w:pStyle w:val="3"/>
        <w:numPr>
          <w:ilvl w:val="0"/>
          <w:numId w:val="0"/>
        </w:numPr>
        <w:spacing w:before="0" w:afterLines="0" w:line="360" w:lineRule="exact"/>
        <w:jc w:val="both"/>
        <w:rPr>
          <w:b w:val="0"/>
          <w:color w:val="auto"/>
          <w:sz w:val="28"/>
          <w:szCs w:val="28"/>
          <w:highlight w:val="none"/>
        </w:rPr>
      </w:pPr>
    </w:p>
    <w:p w14:paraId="384EDC27">
      <w:pPr>
        <w:pStyle w:val="3"/>
        <w:numPr>
          <w:ilvl w:val="0"/>
          <w:numId w:val="0"/>
        </w:numPr>
        <w:spacing w:before="0" w:afterLines="0" w:line="360" w:lineRule="exact"/>
        <w:jc w:val="both"/>
        <w:rPr>
          <w:b w:val="0"/>
          <w:color w:val="auto"/>
          <w:sz w:val="28"/>
          <w:szCs w:val="28"/>
          <w:highlight w:val="none"/>
        </w:rPr>
      </w:pPr>
    </w:p>
    <w:p w14:paraId="456AC326">
      <w:pPr>
        <w:pStyle w:val="3"/>
        <w:numPr>
          <w:ilvl w:val="0"/>
          <w:numId w:val="0"/>
        </w:numPr>
        <w:spacing w:before="0" w:afterLines="0" w:line="360" w:lineRule="exact"/>
        <w:jc w:val="both"/>
        <w:rPr>
          <w:b w:val="0"/>
          <w:color w:val="auto"/>
          <w:sz w:val="28"/>
          <w:szCs w:val="28"/>
          <w:highlight w:val="none"/>
        </w:rPr>
      </w:pPr>
    </w:p>
    <w:p w14:paraId="3B84EC3E">
      <w:pPr>
        <w:pStyle w:val="3"/>
        <w:numPr>
          <w:ilvl w:val="0"/>
          <w:numId w:val="0"/>
        </w:numPr>
        <w:spacing w:before="0" w:afterLines="0" w:line="360" w:lineRule="exact"/>
        <w:jc w:val="both"/>
        <w:rPr>
          <w:b w:val="0"/>
          <w:color w:val="auto"/>
          <w:sz w:val="28"/>
          <w:szCs w:val="28"/>
          <w:highlight w:val="none"/>
        </w:rPr>
      </w:pPr>
    </w:p>
    <w:p w14:paraId="39C3544F">
      <w:pPr>
        <w:pStyle w:val="3"/>
        <w:numPr>
          <w:ilvl w:val="0"/>
          <w:numId w:val="0"/>
        </w:numPr>
        <w:spacing w:before="0" w:afterLines="0" w:line="360" w:lineRule="exact"/>
        <w:jc w:val="both"/>
        <w:rPr>
          <w:b w:val="0"/>
          <w:color w:val="auto"/>
          <w:sz w:val="28"/>
          <w:szCs w:val="28"/>
          <w:highlight w:val="none"/>
        </w:rPr>
      </w:pPr>
    </w:p>
    <w:p w14:paraId="6D6DB644">
      <w:pPr>
        <w:pStyle w:val="3"/>
        <w:numPr>
          <w:ilvl w:val="0"/>
          <w:numId w:val="0"/>
        </w:numPr>
        <w:spacing w:before="0" w:afterLines="0" w:line="360" w:lineRule="exact"/>
        <w:jc w:val="both"/>
        <w:rPr>
          <w:b w:val="0"/>
          <w:color w:val="auto"/>
          <w:sz w:val="28"/>
          <w:szCs w:val="28"/>
          <w:highlight w:val="none"/>
        </w:rPr>
      </w:pPr>
    </w:p>
    <w:p w14:paraId="1D424A9F">
      <w:pPr>
        <w:pStyle w:val="3"/>
        <w:numPr>
          <w:ilvl w:val="0"/>
          <w:numId w:val="0"/>
        </w:numPr>
        <w:spacing w:before="0" w:afterLines="0" w:line="360" w:lineRule="exact"/>
        <w:jc w:val="both"/>
        <w:rPr>
          <w:b w:val="0"/>
          <w:color w:val="auto"/>
          <w:sz w:val="28"/>
          <w:szCs w:val="28"/>
          <w:highlight w:val="none"/>
        </w:rPr>
      </w:pPr>
    </w:p>
    <w:p w14:paraId="19F7E7A6">
      <w:pPr>
        <w:pStyle w:val="3"/>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1"/>
        <w:rPr>
          <w:b w:val="0"/>
          <w:color w:val="auto"/>
          <w:sz w:val="28"/>
          <w:szCs w:val="28"/>
          <w:highlight w:val="none"/>
        </w:rPr>
      </w:pPr>
    </w:p>
    <w:p w14:paraId="39EC3C50">
      <w:pPr>
        <w:rPr>
          <w:color w:val="auto"/>
          <w:highlight w:val="none"/>
        </w:rPr>
      </w:pPr>
    </w:p>
    <w:p w14:paraId="09AC0601">
      <w:pPr>
        <w:pStyle w:val="3"/>
        <w:numPr>
          <w:ilvl w:val="0"/>
          <w:numId w:val="0"/>
        </w:numPr>
        <w:spacing w:before="0" w:afterLines="0" w:line="360" w:lineRule="exact"/>
        <w:jc w:val="both"/>
        <w:rPr>
          <w:b w:val="0"/>
          <w:color w:val="auto"/>
          <w:sz w:val="28"/>
          <w:szCs w:val="28"/>
          <w:highlight w:val="none"/>
        </w:rPr>
      </w:pPr>
    </w:p>
    <w:p w14:paraId="61A4E5FF">
      <w:pPr>
        <w:pStyle w:val="3"/>
        <w:numPr>
          <w:ilvl w:val="0"/>
          <w:numId w:val="0"/>
        </w:numPr>
        <w:spacing w:before="0" w:afterLines="0" w:line="360" w:lineRule="exact"/>
        <w:jc w:val="both"/>
        <w:rPr>
          <w:b w:val="0"/>
          <w:color w:val="auto"/>
          <w:sz w:val="28"/>
          <w:szCs w:val="28"/>
          <w:highlight w:val="none"/>
        </w:rPr>
      </w:pPr>
    </w:p>
    <w:p w14:paraId="16AE2006">
      <w:pPr>
        <w:pStyle w:val="3"/>
        <w:numPr>
          <w:ilvl w:val="0"/>
          <w:numId w:val="0"/>
        </w:numPr>
        <w:spacing w:before="0" w:afterLines="0" w:line="360" w:lineRule="exact"/>
        <w:jc w:val="both"/>
        <w:rPr>
          <w:b w:val="0"/>
          <w:color w:val="auto"/>
          <w:sz w:val="28"/>
          <w:szCs w:val="28"/>
          <w:highlight w:val="none"/>
        </w:rPr>
      </w:pPr>
    </w:p>
    <w:p w14:paraId="55EA43A1">
      <w:pPr>
        <w:pStyle w:val="3"/>
        <w:numPr>
          <w:ilvl w:val="0"/>
          <w:numId w:val="0"/>
        </w:numPr>
        <w:spacing w:before="0" w:afterLines="0" w:line="360" w:lineRule="exact"/>
        <w:jc w:val="both"/>
        <w:rPr>
          <w:b w:val="0"/>
          <w:color w:val="auto"/>
          <w:sz w:val="28"/>
          <w:szCs w:val="28"/>
          <w:highlight w:val="none"/>
        </w:rPr>
      </w:pPr>
    </w:p>
    <w:p w14:paraId="05834C1C">
      <w:pPr>
        <w:pStyle w:val="3"/>
        <w:numPr>
          <w:ilvl w:val="0"/>
          <w:numId w:val="0"/>
        </w:numPr>
        <w:spacing w:before="0" w:afterLines="0" w:line="360" w:lineRule="exact"/>
        <w:jc w:val="both"/>
        <w:rPr>
          <w:b w:val="0"/>
          <w:color w:val="auto"/>
          <w:sz w:val="28"/>
          <w:szCs w:val="28"/>
          <w:highlight w:val="none"/>
        </w:rPr>
      </w:pPr>
    </w:p>
    <w:p w14:paraId="4A73AB12">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大洋中心校北校区篮球场、龙顾园及运动场东边排水沟改造</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临海市大洋中心校</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大洋中心校北校区篮球场、龙顾园及运动场东边排水沟改造</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44975208"/>
      <w:bookmarkStart w:id="148" w:name="_Toc155342580"/>
      <w:bookmarkStart w:id="149" w:name="_Toc106012815"/>
      <w:bookmarkStart w:id="150" w:name="_Toc106553077"/>
      <w:bookmarkStart w:id="151" w:name="_Toc169487830"/>
    </w:p>
    <w:p w14:paraId="00B3B357">
      <w:pPr>
        <w:pStyle w:val="3"/>
        <w:numPr>
          <w:ilvl w:val="0"/>
          <w:numId w:val="0"/>
        </w:numPr>
        <w:spacing w:afterLines="0" w:line="360" w:lineRule="exact"/>
        <w:jc w:val="both"/>
        <w:rPr>
          <w:b w:val="0"/>
          <w:color w:val="auto"/>
          <w:sz w:val="28"/>
          <w:szCs w:val="28"/>
          <w:highlight w:val="none"/>
        </w:rPr>
      </w:pPr>
      <w:bookmarkStart w:id="152" w:name="_Toc24432"/>
      <w:bookmarkStart w:id="153" w:name="_Toc386122457"/>
      <w:bookmarkStart w:id="154" w:name="_Toc386121760"/>
      <w:bookmarkStart w:id="155" w:name="_Toc23377"/>
    </w:p>
    <w:p w14:paraId="76F0E3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大洋中心校北校区篮球场、龙顾园及运动场东边排水沟改造</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06553078"/>
      <w:bookmarkStart w:id="157" w:name="_Toc155342584"/>
      <w:bookmarkStart w:id="158" w:name="_Toc106012816"/>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1761"/>
      <w:bookmarkStart w:id="160" w:name="_Toc386122458"/>
      <w:bookmarkStart w:id="161" w:name="_Toc30036"/>
      <w:bookmarkStart w:id="162" w:name="_Toc14753"/>
      <w:r>
        <w:rPr>
          <w:b/>
          <w:color w:val="auto"/>
          <w:sz w:val="28"/>
          <w:szCs w:val="28"/>
          <w:highlight w:val="none"/>
        </w:rPr>
        <w:br w:type="page"/>
      </w:r>
    </w:p>
    <w:p w14:paraId="195A36D6">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大洋中心校北校区篮球场、龙顾园及运动场东边排水沟改造</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06553079"/>
      <w:bookmarkStart w:id="164" w:name="_Toc106012817"/>
      <w:bookmarkStart w:id="165" w:name="_Toc155342585"/>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3"/>
        <w:numPr>
          <w:ilvl w:val="0"/>
          <w:numId w:val="0"/>
        </w:numPr>
        <w:spacing w:before="0" w:afterLines="0" w:line="240" w:lineRule="auto"/>
        <w:jc w:val="both"/>
        <w:rPr>
          <w:b w:val="0"/>
          <w:color w:val="auto"/>
          <w:sz w:val="28"/>
          <w:szCs w:val="28"/>
          <w:highlight w:val="none"/>
        </w:rPr>
      </w:pPr>
      <w:bookmarkStart w:id="166" w:name="_Toc386121762"/>
      <w:bookmarkStart w:id="167" w:name="_Toc386122459"/>
      <w:bookmarkStart w:id="168" w:name="_Toc20785"/>
      <w:bookmarkStart w:id="169" w:name="_Toc581"/>
    </w:p>
    <w:p w14:paraId="3B3B0A2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大洋中心校北校区篮球场、龙顾园及运动场东边排水沟改造</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06553080"/>
      <w:bookmarkStart w:id="171" w:name="_Toc155342586"/>
      <w:bookmarkStart w:id="172" w:name="_Toc106012818"/>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386207867"/>
      <w:bookmarkStart w:id="174" w:name="_Toc386207588"/>
      <w:bookmarkStart w:id="175" w:name="_Toc4216"/>
      <w:bookmarkStart w:id="176" w:name="_Toc386209083"/>
      <w:bookmarkStart w:id="177" w:name="_Toc24065"/>
      <w:bookmarkStart w:id="178" w:name="_Toc26311"/>
      <w:bookmarkStart w:id="179" w:name="_Toc386208332"/>
      <w:bookmarkStart w:id="180" w:name="_Toc386207774"/>
      <w:r>
        <w:rPr>
          <w:rFonts w:hint="eastAsia"/>
          <w:color w:val="auto"/>
          <w:sz w:val="28"/>
          <w:szCs w:val="28"/>
          <w:highlight w:val="none"/>
        </w:rPr>
        <w:br w:type="page"/>
      </w:r>
    </w:p>
    <w:p w14:paraId="1B74A673">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大洋中心校北校区篮球场、龙顾园及运动场东边排水沟改造</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3"/>
        <w:numPr>
          <w:ilvl w:val="0"/>
          <w:numId w:val="0"/>
        </w:numPr>
        <w:spacing w:before="0" w:afterLines="0" w:line="240" w:lineRule="auto"/>
        <w:jc w:val="both"/>
        <w:rPr>
          <w:b w:val="0"/>
          <w:color w:val="auto"/>
          <w:sz w:val="28"/>
          <w:szCs w:val="28"/>
          <w:highlight w:val="none"/>
        </w:rPr>
      </w:pPr>
      <w:bookmarkStart w:id="181" w:name="_Toc386122460"/>
      <w:bookmarkStart w:id="182" w:name="_Toc386121763"/>
      <w:bookmarkStart w:id="183" w:name="_Toc25896"/>
      <w:bookmarkStart w:id="184" w:name="_Toc1356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大洋中心校北校区篮球场、龙顾园及运动场东边排水沟改造</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386121764"/>
      <w:bookmarkStart w:id="186" w:name="_Toc386122461"/>
      <w:bookmarkStart w:id="187" w:name="_Toc155342588"/>
      <w:bookmarkStart w:id="188" w:name="_Toc169487834"/>
      <w:bookmarkStart w:id="189" w:name="_Toc28874"/>
      <w:bookmarkStart w:id="190" w:name="_Toc20350"/>
      <w:bookmarkStart w:id="191" w:name="_Toc118710617"/>
      <w:bookmarkStart w:id="192" w:name="_Toc155342587"/>
      <w:bookmarkStart w:id="193" w:name="_Toc76292000"/>
      <w:bookmarkStart w:id="194" w:name="_Toc118275606"/>
      <w:bookmarkStart w:id="195" w:name="_Toc106553081"/>
      <w:bookmarkStart w:id="196" w:name="_Toc147380660"/>
      <w:bookmarkStart w:id="197" w:name="_Toc136335625"/>
    </w:p>
    <w:p w14:paraId="194E2ACB">
      <w:pPr>
        <w:pStyle w:val="3"/>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大洋中心校北校区篮球场、龙顾园及运动场东边排水沟改造</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29"/>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48157964"/>
      <w:bookmarkStart w:id="199" w:name="_Toc146440177"/>
      <w:bookmarkStart w:id="200" w:name="_Toc155322974"/>
      <w:bookmarkStart w:id="201" w:name="_Toc143318918"/>
      <w:bookmarkStart w:id="202" w:name="_Toc143319553"/>
      <w:bookmarkStart w:id="203" w:name="_Toc141242988"/>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581091E7">
      <w:pPr>
        <w:pStyle w:val="3"/>
        <w:numPr>
          <w:ilvl w:val="0"/>
          <w:numId w:val="0"/>
        </w:numPr>
        <w:spacing w:before="0" w:afterLines="0" w:line="240" w:lineRule="auto"/>
        <w:jc w:val="both"/>
        <w:rPr>
          <w:rFonts w:ascii="黑体"/>
          <w:color w:val="auto"/>
          <w:sz w:val="28"/>
          <w:szCs w:val="28"/>
          <w:highlight w:val="none"/>
        </w:rPr>
      </w:pPr>
      <w:bookmarkStart w:id="206" w:name="_Toc386122462"/>
      <w:bookmarkStart w:id="207" w:name="_Toc386121765"/>
      <w:bookmarkStart w:id="208" w:name="_Toc11522"/>
      <w:bookmarkStart w:id="209" w:name="_Toc18290"/>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0D516568">
      <w:pPr>
        <w:rPr>
          <w:rFonts w:ascii="黑体" w:eastAsia="黑体"/>
          <w:color w:val="auto"/>
          <w:sz w:val="28"/>
          <w:szCs w:val="28"/>
          <w:highlight w:val="none"/>
        </w:rPr>
      </w:pPr>
      <w:bookmarkStart w:id="212" w:name="_Toc234382962"/>
      <w:bookmarkStart w:id="213" w:name="_Toc42587767"/>
      <w:r>
        <w:rPr>
          <w:rFonts w:hint="eastAsia"/>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FBD1718">
      <w:pPr>
        <w:rPr>
          <w:rFonts w:hint="eastAsia" w:ascii="黑体" w:hAnsi="黑体" w:eastAsia="黑体" w:cs="黑体"/>
          <w:b/>
          <w:color w:val="auto"/>
          <w:sz w:val="28"/>
          <w:szCs w:val="28"/>
          <w:highlight w:val="none"/>
          <w:lang w:val="en-US" w:eastAsia="zh-CN"/>
        </w:rPr>
      </w:pPr>
    </w:p>
    <w:p w14:paraId="24AB4095">
      <w:pPr>
        <w:rPr>
          <w:rFonts w:hint="eastAsia" w:ascii="黑体" w:hAnsi="黑体" w:eastAsia="黑体" w:cs="黑体"/>
          <w:b/>
          <w:color w:val="auto"/>
          <w:sz w:val="28"/>
          <w:szCs w:val="28"/>
          <w:highlight w:val="none"/>
          <w:lang w:val="en-US" w:eastAsia="zh-CN"/>
        </w:rPr>
      </w:pP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6E88E5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4"/>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3134B52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4"/>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4"/>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4"/>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4"/>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4"/>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4"/>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5"/>
      <w:wordWrap w:val="0"/>
      <w:jc w:val="right"/>
      <w:rPr>
        <w:rFonts w:hint="eastAsia" w:ascii="宋体" w:hAnsi="宋体" w:eastAsia="宋体"/>
        <w:szCs w:val="18"/>
      </w:rPr>
    </w:pPr>
    <w:r>
      <w:rPr>
        <w:rFonts w:hint="eastAsia" w:ascii="宋体" w:hAnsi="宋体" w:eastAsia="宋体"/>
        <w:color w:val="FF0000"/>
        <w:szCs w:val="18"/>
        <w:lang w:eastAsia="zh-CN"/>
      </w:rPr>
      <w:t>大洋中心校北校区篮球场、龙顾园及运动场东边排水沟改造</w:t>
    </w:r>
    <w:r>
      <w:rPr>
        <w:rFonts w:hint="eastAsia" w:ascii="宋体" w:hAnsi="宋体" w:eastAsia="宋体"/>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5"/>
      <w:wordWrap w:val="0"/>
      <w:jc w:val="right"/>
      <w:rPr>
        <w:rFonts w:ascii="宋体" w:hAnsi="宋体" w:eastAsia="宋体"/>
        <w:szCs w:val="18"/>
      </w:rPr>
    </w:pPr>
    <w:r>
      <w:rPr>
        <w:rFonts w:hint="eastAsia" w:ascii="宋体" w:hAnsi="宋体" w:eastAsia="宋体"/>
        <w:color w:val="auto"/>
        <w:szCs w:val="18"/>
        <w:lang w:eastAsia="zh-CN"/>
      </w:rPr>
      <w:t>大洋中心校北校区篮球场、龙顾园及运动场东边排水沟改造</w:t>
    </w:r>
    <w:r>
      <w:rPr>
        <w:rFonts w:hint="eastAsia" w:ascii="宋体" w:hAnsi="宋体" w:eastAsia="宋体"/>
        <w:color w:val="auto"/>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322443D"/>
    <w:rsid w:val="034856CF"/>
    <w:rsid w:val="039E1C60"/>
    <w:rsid w:val="03B51FD0"/>
    <w:rsid w:val="04BC5D9C"/>
    <w:rsid w:val="05237BC9"/>
    <w:rsid w:val="05646570"/>
    <w:rsid w:val="05966E33"/>
    <w:rsid w:val="05AA6F12"/>
    <w:rsid w:val="05DA7B43"/>
    <w:rsid w:val="05FF5E80"/>
    <w:rsid w:val="06296CF3"/>
    <w:rsid w:val="072E4E50"/>
    <w:rsid w:val="07426CE9"/>
    <w:rsid w:val="079270B3"/>
    <w:rsid w:val="07D50775"/>
    <w:rsid w:val="08296FA7"/>
    <w:rsid w:val="088A7F5F"/>
    <w:rsid w:val="089B216C"/>
    <w:rsid w:val="090B419B"/>
    <w:rsid w:val="097D0D2A"/>
    <w:rsid w:val="098B3F8E"/>
    <w:rsid w:val="09AF75D6"/>
    <w:rsid w:val="09C51CFC"/>
    <w:rsid w:val="09C72078"/>
    <w:rsid w:val="09F22179"/>
    <w:rsid w:val="0A553026"/>
    <w:rsid w:val="0A717628"/>
    <w:rsid w:val="0ABB50E3"/>
    <w:rsid w:val="0B3D6A50"/>
    <w:rsid w:val="0B950884"/>
    <w:rsid w:val="0C1C748A"/>
    <w:rsid w:val="0C3C5A11"/>
    <w:rsid w:val="0D2F17FD"/>
    <w:rsid w:val="0D375B4A"/>
    <w:rsid w:val="0D3861DB"/>
    <w:rsid w:val="0D51729D"/>
    <w:rsid w:val="0E036230"/>
    <w:rsid w:val="0E126FB3"/>
    <w:rsid w:val="0E69134A"/>
    <w:rsid w:val="0E8826CF"/>
    <w:rsid w:val="0ECD37BE"/>
    <w:rsid w:val="0F422A78"/>
    <w:rsid w:val="0F477F77"/>
    <w:rsid w:val="0FCD5301"/>
    <w:rsid w:val="0FD028A8"/>
    <w:rsid w:val="0FED5C47"/>
    <w:rsid w:val="108B3885"/>
    <w:rsid w:val="10D82D2F"/>
    <w:rsid w:val="10E75D7D"/>
    <w:rsid w:val="11E1204A"/>
    <w:rsid w:val="120025CD"/>
    <w:rsid w:val="12E91DF8"/>
    <w:rsid w:val="1319260B"/>
    <w:rsid w:val="131B7F09"/>
    <w:rsid w:val="13386F35"/>
    <w:rsid w:val="137F578F"/>
    <w:rsid w:val="141F36D1"/>
    <w:rsid w:val="150C0477"/>
    <w:rsid w:val="158A29E3"/>
    <w:rsid w:val="16361726"/>
    <w:rsid w:val="16905AFB"/>
    <w:rsid w:val="16DE44B1"/>
    <w:rsid w:val="177F1207"/>
    <w:rsid w:val="17CA6368"/>
    <w:rsid w:val="18A1598A"/>
    <w:rsid w:val="18AB7C3A"/>
    <w:rsid w:val="18E12580"/>
    <w:rsid w:val="18F26EAB"/>
    <w:rsid w:val="18FC3FD7"/>
    <w:rsid w:val="192243F8"/>
    <w:rsid w:val="19394701"/>
    <w:rsid w:val="193A4DCD"/>
    <w:rsid w:val="193B5FBC"/>
    <w:rsid w:val="195A06AD"/>
    <w:rsid w:val="19BA2262"/>
    <w:rsid w:val="19FE75B4"/>
    <w:rsid w:val="1AD75285"/>
    <w:rsid w:val="1B0D2AFA"/>
    <w:rsid w:val="1B167A44"/>
    <w:rsid w:val="1B6F0B5F"/>
    <w:rsid w:val="1BA52AE5"/>
    <w:rsid w:val="1BAD0D5C"/>
    <w:rsid w:val="1BC177F6"/>
    <w:rsid w:val="1BD25A4D"/>
    <w:rsid w:val="1BF97D30"/>
    <w:rsid w:val="1C413DEA"/>
    <w:rsid w:val="1C915908"/>
    <w:rsid w:val="1C98187E"/>
    <w:rsid w:val="1CB02A1F"/>
    <w:rsid w:val="1DB81794"/>
    <w:rsid w:val="1E363CE9"/>
    <w:rsid w:val="1E630B67"/>
    <w:rsid w:val="1F160D12"/>
    <w:rsid w:val="1F8606E6"/>
    <w:rsid w:val="1FC96B63"/>
    <w:rsid w:val="1FF80AF3"/>
    <w:rsid w:val="201B4916"/>
    <w:rsid w:val="20337402"/>
    <w:rsid w:val="20607ACB"/>
    <w:rsid w:val="20670BCA"/>
    <w:rsid w:val="208351DE"/>
    <w:rsid w:val="210950AC"/>
    <w:rsid w:val="21B300CF"/>
    <w:rsid w:val="21D2336C"/>
    <w:rsid w:val="22097CEF"/>
    <w:rsid w:val="22CA3922"/>
    <w:rsid w:val="233D143E"/>
    <w:rsid w:val="23636EA1"/>
    <w:rsid w:val="23853A79"/>
    <w:rsid w:val="239361D0"/>
    <w:rsid w:val="23A0402B"/>
    <w:rsid w:val="24771887"/>
    <w:rsid w:val="24DE5462"/>
    <w:rsid w:val="24EE5273"/>
    <w:rsid w:val="24F44C86"/>
    <w:rsid w:val="24F951F7"/>
    <w:rsid w:val="251A36F0"/>
    <w:rsid w:val="254341B7"/>
    <w:rsid w:val="25554E0E"/>
    <w:rsid w:val="25563DFB"/>
    <w:rsid w:val="25635926"/>
    <w:rsid w:val="25983B4F"/>
    <w:rsid w:val="25A050FE"/>
    <w:rsid w:val="25A75047"/>
    <w:rsid w:val="25F82554"/>
    <w:rsid w:val="265721F1"/>
    <w:rsid w:val="265A4FBD"/>
    <w:rsid w:val="26892F9B"/>
    <w:rsid w:val="26967876"/>
    <w:rsid w:val="26E47778"/>
    <w:rsid w:val="27112362"/>
    <w:rsid w:val="27230FF2"/>
    <w:rsid w:val="2749750B"/>
    <w:rsid w:val="275831DE"/>
    <w:rsid w:val="277B2C7C"/>
    <w:rsid w:val="278E6684"/>
    <w:rsid w:val="279A10F5"/>
    <w:rsid w:val="285C40CB"/>
    <w:rsid w:val="291618C2"/>
    <w:rsid w:val="291B76E3"/>
    <w:rsid w:val="29712FD9"/>
    <w:rsid w:val="29F438D2"/>
    <w:rsid w:val="29F92152"/>
    <w:rsid w:val="2A0475B6"/>
    <w:rsid w:val="2A755A69"/>
    <w:rsid w:val="2AD402FC"/>
    <w:rsid w:val="2B5173DF"/>
    <w:rsid w:val="2B547697"/>
    <w:rsid w:val="2B9D7E25"/>
    <w:rsid w:val="2C4C1CFB"/>
    <w:rsid w:val="2C652E7D"/>
    <w:rsid w:val="2C837E42"/>
    <w:rsid w:val="2D5371F7"/>
    <w:rsid w:val="2D602A71"/>
    <w:rsid w:val="2DDC09C5"/>
    <w:rsid w:val="2DFE26D1"/>
    <w:rsid w:val="2E132038"/>
    <w:rsid w:val="2EA13EF9"/>
    <w:rsid w:val="2F132647"/>
    <w:rsid w:val="2F266FDE"/>
    <w:rsid w:val="2F594E71"/>
    <w:rsid w:val="2F7353A9"/>
    <w:rsid w:val="2FDA531F"/>
    <w:rsid w:val="2FE53B49"/>
    <w:rsid w:val="2FEE453D"/>
    <w:rsid w:val="30330D58"/>
    <w:rsid w:val="3048098A"/>
    <w:rsid w:val="315F7516"/>
    <w:rsid w:val="31737A6D"/>
    <w:rsid w:val="31861B3A"/>
    <w:rsid w:val="32BE3742"/>
    <w:rsid w:val="32DB0BA8"/>
    <w:rsid w:val="32EC61E3"/>
    <w:rsid w:val="331B7BCF"/>
    <w:rsid w:val="33C40AB3"/>
    <w:rsid w:val="33D51112"/>
    <w:rsid w:val="33FA6465"/>
    <w:rsid w:val="341E7629"/>
    <w:rsid w:val="34256D8A"/>
    <w:rsid w:val="34605501"/>
    <w:rsid w:val="358C5B68"/>
    <w:rsid w:val="36254176"/>
    <w:rsid w:val="36DD1F8B"/>
    <w:rsid w:val="36E20676"/>
    <w:rsid w:val="371158BC"/>
    <w:rsid w:val="37292D89"/>
    <w:rsid w:val="379D6D57"/>
    <w:rsid w:val="37BB1D08"/>
    <w:rsid w:val="37BE1059"/>
    <w:rsid w:val="38202807"/>
    <w:rsid w:val="3820356C"/>
    <w:rsid w:val="38262F51"/>
    <w:rsid w:val="3886386B"/>
    <w:rsid w:val="38926838"/>
    <w:rsid w:val="38A02C1C"/>
    <w:rsid w:val="39024127"/>
    <w:rsid w:val="395B2504"/>
    <w:rsid w:val="398E28C4"/>
    <w:rsid w:val="39BD0C48"/>
    <w:rsid w:val="39CC1B6D"/>
    <w:rsid w:val="39E8727C"/>
    <w:rsid w:val="3A660B39"/>
    <w:rsid w:val="3A7B6BD0"/>
    <w:rsid w:val="3AB23C68"/>
    <w:rsid w:val="3ACA2AA9"/>
    <w:rsid w:val="3B5E2A01"/>
    <w:rsid w:val="3B8D4294"/>
    <w:rsid w:val="3B8E3C86"/>
    <w:rsid w:val="3BAC51D5"/>
    <w:rsid w:val="3BE610FE"/>
    <w:rsid w:val="3CAF413E"/>
    <w:rsid w:val="3D2D00ED"/>
    <w:rsid w:val="3D714E4C"/>
    <w:rsid w:val="3EA7436E"/>
    <w:rsid w:val="3EE96D1B"/>
    <w:rsid w:val="3EEF43D0"/>
    <w:rsid w:val="3EF30B52"/>
    <w:rsid w:val="3EF8102E"/>
    <w:rsid w:val="3F0459F8"/>
    <w:rsid w:val="3F165ACD"/>
    <w:rsid w:val="3F265D57"/>
    <w:rsid w:val="3F357653"/>
    <w:rsid w:val="3F84790D"/>
    <w:rsid w:val="3FD01EE3"/>
    <w:rsid w:val="3FF028CE"/>
    <w:rsid w:val="405A0015"/>
    <w:rsid w:val="40F77934"/>
    <w:rsid w:val="40FE0657"/>
    <w:rsid w:val="413B553F"/>
    <w:rsid w:val="415C326C"/>
    <w:rsid w:val="4180248A"/>
    <w:rsid w:val="41E77BF5"/>
    <w:rsid w:val="42242413"/>
    <w:rsid w:val="43041BEF"/>
    <w:rsid w:val="4345654F"/>
    <w:rsid w:val="4374370A"/>
    <w:rsid w:val="439247CC"/>
    <w:rsid w:val="43F959BD"/>
    <w:rsid w:val="43FA4F55"/>
    <w:rsid w:val="4426535A"/>
    <w:rsid w:val="44A46D82"/>
    <w:rsid w:val="44CE1986"/>
    <w:rsid w:val="45437449"/>
    <w:rsid w:val="45585CB2"/>
    <w:rsid w:val="45612BD3"/>
    <w:rsid w:val="45905552"/>
    <w:rsid w:val="46713F31"/>
    <w:rsid w:val="468E260A"/>
    <w:rsid w:val="4703462D"/>
    <w:rsid w:val="47584ECA"/>
    <w:rsid w:val="478B0E64"/>
    <w:rsid w:val="47971775"/>
    <w:rsid w:val="47C016D8"/>
    <w:rsid w:val="47D26A75"/>
    <w:rsid w:val="48C901E0"/>
    <w:rsid w:val="48C9729F"/>
    <w:rsid w:val="48D72771"/>
    <w:rsid w:val="491D3EFC"/>
    <w:rsid w:val="493C6D00"/>
    <w:rsid w:val="49C20D29"/>
    <w:rsid w:val="49E05655"/>
    <w:rsid w:val="49E0612F"/>
    <w:rsid w:val="4A6F08EE"/>
    <w:rsid w:val="4B651398"/>
    <w:rsid w:val="4BE40D01"/>
    <w:rsid w:val="4C411A42"/>
    <w:rsid w:val="4C4A5432"/>
    <w:rsid w:val="4C854292"/>
    <w:rsid w:val="4CF431C6"/>
    <w:rsid w:val="4D43040D"/>
    <w:rsid w:val="4DCE7990"/>
    <w:rsid w:val="4DF0589D"/>
    <w:rsid w:val="4E734184"/>
    <w:rsid w:val="4EB01C4F"/>
    <w:rsid w:val="4ECE03CB"/>
    <w:rsid w:val="4F7F2CDB"/>
    <w:rsid w:val="4F80507E"/>
    <w:rsid w:val="4F964D9C"/>
    <w:rsid w:val="5012695A"/>
    <w:rsid w:val="503E6C32"/>
    <w:rsid w:val="50A42CBD"/>
    <w:rsid w:val="50D833BE"/>
    <w:rsid w:val="517B51EF"/>
    <w:rsid w:val="51A67B22"/>
    <w:rsid w:val="51E07D46"/>
    <w:rsid w:val="52B03B43"/>
    <w:rsid w:val="52DF7FD7"/>
    <w:rsid w:val="541E33F9"/>
    <w:rsid w:val="54C635B3"/>
    <w:rsid w:val="54EF357C"/>
    <w:rsid w:val="5597283F"/>
    <w:rsid w:val="55BF2A09"/>
    <w:rsid w:val="563E3F56"/>
    <w:rsid w:val="565C6BA3"/>
    <w:rsid w:val="568C5381"/>
    <w:rsid w:val="56BF79F3"/>
    <w:rsid w:val="576B2C38"/>
    <w:rsid w:val="57C355C8"/>
    <w:rsid w:val="586A79B6"/>
    <w:rsid w:val="58E4186C"/>
    <w:rsid w:val="591F64C4"/>
    <w:rsid w:val="595A593F"/>
    <w:rsid w:val="59692350"/>
    <w:rsid w:val="59C81C62"/>
    <w:rsid w:val="5AD86B4E"/>
    <w:rsid w:val="5B376AD1"/>
    <w:rsid w:val="5B9F0DEB"/>
    <w:rsid w:val="5BA32664"/>
    <w:rsid w:val="5BB16FB8"/>
    <w:rsid w:val="5BB63711"/>
    <w:rsid w:val="5BEE5961"/>
    <w:rsid w:val="5C1E5E58"/>
    <w:rsid w:val="5D4B6CD4"/>
    <w:rsid w:val="5D7C523D"/>
    <w:rsid w:val="5DA057D6"/>
    <w:rsid w:val="5DC056AF"/>
    <w:rsid w:val="5E0A6506"/>
    <w:rsid w:val="5E115F82"/>
    <w:rsid w:val="5F6B70B6"/>
    <w:rsid w:val="5FBC6FBB"/>
    <w:rsid w:val="5FD40FA7"/>
    <w:rsid w:val="601C4F4D"/>
    <w:rsid w:val="6037230A"/>
    <w:rsid w:val="60564E12"/>
    <w:rsid w:val="606744CB"/>
    <w:rsid w:val="60B47A39"/>
    <w:rsid w:val="611361AA"/>
    <w:rsid w:val="612607A7"/>
    <w:rsid w:val="6130435D"/>
    <w:rsid w:val="614257A1"/>
    <w:rsid w:val="61567145"/>
    <w:rsid w:val="616F6362"/>
    <w:rsid w:val="617D1584"/>
    <w:rsid w:val="619B00FA"/>
    <w:rsid w:val="619D4BBE"/>
    <w:rsid w:val="61DE2BC3"/>
    <w:rsid w:val="61F51C5A"/>
    <w:rsid w:val="62173103"/>
    <w:rsid w:val="62BF4CA1"/>
    <w:rsid w:val="62DD4735"/>
    <w:rsid w:val="63165EF4"/>
    <w:rsid w:val="631E10C3"/>
    <w:rsid w:val="635C4F62"/>
    <w:rsid w:val="63691DC0"/>
    <w:rsid w:val="63A23524"/>
    <w:rsid w:val="63F32E9F"/>
    <w:rsid w:val="63FB36F1"/>
    <w:rsid w:val="648C1DD2"/>
    <w:rsid w:val="64B417CF"/>
    <w:rsid w:val="64C574CA"/>
    <w:rsid w:val="65033CDE"/>
    <w:rsid w:val="65ED7D25"/>
    <w:rsid w:val="66552ACF"/>
    <w:rsid w:val="66A03BE2"/>
    <w:rsid w:val="66B0141D"/>
    <w:rsid w:val="66BD2ECA"/>
    <w:rsid w:val="66C25E54"/>
    <w:rsid w:val="66F92416"/>
    <w:rsid w:val="66FE3079"/>
    <w:rsid w:val="68C81038"/>
    <w:rsid w:val="6911480D"/>
    <w:rsid w:val="69995F28"/>
    <w:rsid w:val="699D75EA"/>
    <w:rsid w:val="69E93C5A"/>
    <w:rsid w:val="6A1F1B62"/>
    <w:rsid w:val="6A577DFE"/>
    <w:rsid w:val="6B194AB8"/>
    <w:rsid w:val="6B2505AD"/>
    <w:rsid w:val="6B251B80"/>
    <w:rsid w:val="6B78543B"/>
    <w:rsid w:val="6BAC2C7D"/>
    <w:rsid w:val="6BB81B36"/>
    <w:rsid w:val="6BFD1234"/>
    <w:rsid w:val="6C4B33B4"/>
    <w:rsid w:val="6C6A26DF"/>
    <w:rsid w:val="6CCC2731"/>
    <w:rsid w:val="6D0408D4"/>
    <w:rsid w:val="6D46205C"/>
    <w:rsid w:val="6DBF4A38"/>
    <w:rsid w:val="6DE87313"/>
    <w:rsid w:val="6E116A93"/>
    <w:rsid w:val="6E741DDC"/>
    <w:rsid w:val="6E865B4B"/>
    <w:rsid w:val="6F067EF3"/>
    <w:rsid w:val="6F7777FC"/>
    <w:rsid w:val="70534653"/>
    <w:rsid w:val="70551426"/>
    <w:rsid w:val="70B52AE8"/>
    <w:rsid w:val="710B6E6E"/>
    <w:rsid w:val="712C15E1"/>
    <w:rsid w:val="71395DE7"/>
    <w:rsid w:val="71AA5770"/>
    <w:rsid w:val="72720E38"/>
    <w:rsid w:val="727E4B3C"/>
    <w:rsid w:val="727F4B2E"/>
    <w:rsid w:val="7282714A"/>
    <w:rsid w:val="728A61BC"/>
    <w:rsid w:val="72D405E0"/>
    <w:rsid w:val="733E6F30"/>
    <w:rsid w:val="7348070F"/>
    <w:rsid w:val="74135A7F"/>
    <w:rsid w:val="742A7349"/>
    <w:rsid w:val="745B379C"/>
    <w:rsid w:val="749100EE"/>
    <w:rsid w:val="74B31DDC"/>
    <w:rsid w:val="74EF6293"/>
    <w:rsid w:val="74EF6A2D"/>
    <w:rsid w:val="75087C7C"/>
    <w:rsid w:val="75297601"/>
    <w:rsid w:val="757F1917"/>
    <w:rsid w:val="75CC648C"/>
    <w:rsid w:val="75FF5B03"/>
    <w:rsid w:val="762348A3"/>
    <w:rsid w:val="765A6067"/>
    <w:rsid w:val="766034F6"/>
    <w:rsid w:val="767429A8"/>
    <w:rsid w:val="76883BBA"/>
    <w:rsid w:val="76EC11F8"/>
    <w:rsid w:val="772462D2"/>
    <w:rsid w:val="782F3180"/>
    <w:rsid w:val="783A77CC"/>
    <w:rsid w:val="78E01A48"/>
    <w:rsid w:val="78F63361"/>
    <w:rsid w:val="79272682"/>
    <w:rsid w:val="796E4E17"/>
    <w:rsid w:val="79A166DA"/>
    <w:rsid w:val="79DB4509"/>
    <w:rsid w:val="79E66290"/>
    <w:rsid w:val="7AD361E3"/>
    <w:rsid w:val="7B424F78"/>
    <w:rsid w:val="7C8F385C"/>
    <w:rsid w:val="7CE02E8E"/>
    <w:rsid w:val="7CEC5A5F"/>
    <w:rsid w:val="7D6E61DF"/>
    <w:rsid w:val="7D73322C"/>
    <w:rsid w:val="7D902913"/>
    <w:rsid w:val="7DDB1BD7"/>
    <w:rsid w:val="7DF92F90"/>
    <w:rsid w:val="7E324F08"/>
    <w:rsid w:val="7E4F2BA1"/>
    <w:rsid w:val="7E5402F7"/>
    <w:rsid w:val="7EFF3F53"/>
    <w:rsid w:val="7F4F545D"/>
    <w:rsid w:val="7F503B7C"/>
    <w:rsid w:val="7FAE0E2E"/>
    <w:rsid w:val="7FCF657D"/>
    <w:rsid w:val="7FDC990D"/>
    <w:rsid w:val="9CCDF4AC"/>
    <w:rsid w:val="EACDB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
    <w:qFormat/>
    <w:uiPriority w:val="0"/>
    <w:pPr>
      <w:spacing w:after="120" w:line="240" w:lineRule="auto"/>
      <w:ind w:firstLine="420" w:firstLineChars="100"/>
    </w:pPr>
    <w:rPr>
      <w:rFonts w:ascii="Times New Roman" w:hAnsi="Times New Roman"/>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3"/>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3"/>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character" w:customStyle="1" w:styleId="38">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37472</Words>
  <Characters>39227</Characters>
  <Lines>318</Lines>
  <Paragraphs>89</Paragraphs>
  <TotalTime>4</TotalTime>
  <ScaleCrop>false</ScaleCrop>
  <LinksUpToDate>false</LinksUpToDate>
  <CharactersWithSpaces>44631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2021-02-09T02:43:00Z</dcterms:created>
  <dc:creator>HaHaHa~</dc:creator>
  <cp:lastModifiedBy>..</cp:lastModifiedBy>
  <cp:lastPrinted>2026-07-08T08:20:00Z</cp:lastPrinted>
  <dcterms:modified xsi:type="dcterms:W3CDTF">2026-07-10T02:00:37Z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0B42BC24E9F54BC0B5E7AE04D5C6F9B1_13</vt:lpwstr>
  </property>
  <property fmtid="{D5CDD505-2E9C-101B-9397-08002B2CF9AE}" pid="4" name="KSOTemplateDocerSaveRecord">
    <vt:lpwstr>eyJoZGlkIjoiZTIzMmRlMDNhZDZhMWNjMTRkZmYzY2Y5Mzk4YTA2OTIiLCJ1c2VySWQiOiI1MzE4NTY3NzUifQ==</vt:lpwstr>
  </property>
</Properties>
</file>