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2090BA">
      <w:pPr>
        <w:tabs>
          <w:tab w:val="left" w:pos="720"/>
        </w:tabs>
        <w:jc w:val="center"/>
        <w:outlineLvl w:val="9"/>
        <w:rPr>
          <w:rFonts w:hint="eastAsia" w:ascii="仿宋" w:hAnsi="仿宋" w:eastAsia="仿宋" w:cs="仿宋"/>
          <w:b/>
          <w:bCs/>
          <w:color w:val="auto"/>
          <w:kern w:val="0"/>
          <w:sz w:val="36"/>
          <w:szCs w:val="36"/>
          <w:highlight w:val="none"/>
          <w:shd w:val="clear" w:color="auto" w:fill="auto"/>
          <w:lang w:eastAsia="zh-CN"/>
        </w:rPr>
      </w:pPr>
    </w:p>
    <w:p w14:paraId="2CD659CC">
      <w:pPr>
        <w:adjustRightInd w:val="0"/>
        <w:snapToGrid w:val="0"/>
        <w:spacing w:line="1200" w:lineRule="exact"/>
        <w:jc w:val="center"/>
        <w:rPr>
          <w:rFonts w:ascii="华文新魏" w:hAnsi="华文仿宋" w:eastAsia="华文新魏"/>
          <w:b/>
          <w:bCs/>
          <w:color w:val="auto"/>
          <w:sz w:val="72"/>
          <w:highlight w:val="none"/>
        </w:rPr>
      </w:pPr>
      <w:r>
        <w:rPr>
          <w:rFonts w:hint="eastAsia" w:ascii="华文新魏" w:hAnsi="华文仿宋" w:eastAsia="华文新魏"/>
          <w:b/>
          <w:bCs/>
          <w:color w:val="auto"/>
          <w:sz w:val="72"/>
          <w:highlight w:val="none"/>
        </w:rPr>
        <w:t>临海市非政府采购项目</w:t>
      </w:r>
    </w:p>
    <w:p w14:paraId="32F704A7">
      <w:pPr>
        <w:adjustRightInd w:val="0"/>
        <w:snapToGrid w:val="0"/>
        <w:spacing w:line="1200" w:lineRule="exact"/>
        <w:jc w:val="center"/>
        <w:rPr>
          <w:rFonts w:ascii="华文新魏" w:hAnsi="华文仿宋" w:eastAsia="华文新魏"/>
          <w:b/>
          <w:bCs/>
          <w:color w:val="auto"/>
          <w:sz w:val="84"/>
          <w:szCs w:val="84"/>
          <w:highlight w:val="none"/>
        </w:rPr>
      </w:pPr>
      <w:r>
        <w:rPr>
          <w:rFonts w:hint="eastAsia" w:ascii="华文新魏" w:hAnsi="华文仿宋" w:eastAsia="华文新魏"/>
          <w:b/>
          <w:bCs/>
          <w:color w:val="auto"/>
          <w:sz w:val="84"/>
          <w:szCs w:val="84"/>
          <w:highlight w:val="none"/>
        </w:rPr>
        <w:t>招  标  文  件</w:t>
      </w:r>
    </w:p>
    <w:p w14:paraId="5983FAA7">
      <w:pPr>
        <w:adjustRightInd w:val="0"/>
        <w:snapToGrid w:val="0"/>
        <w:rPr>
          <w:rFonts w:ascii="宋体" w:hAnsi="宋体"/>
          <w:b/>
          <w:bCs/>
          <w:color w:val="auto"/>
          <w:sz w:val="32"/>
          <w:szCs w:val="32"/>
          <w:highlight w:val="none"/>
        </w:rPr>
      </w:pPr>
    </w:p>
    <w:p w14:paraId="4F3FE588">
      <w:pPr>
        <w:adjustRightInd w:val="0"/>
        <w:snapToGrid w:val="0"/>
        <w:spacing w:line="360" w:lineRule="auto"/>
        <w:ind w:left="1955" w:hanging="1955" w:hangingChars="541"/>
        <w:jc w:val="center"/>
        <w:rPr>
          <w:rFonts w:ascii="黑体" w:hAnsi="黑体" w:eastAsia="黑体"/>
          <w:b/>
          <w:bCs/>
          <w:color w:val="auto"/>
          <w:sz w:val="28"/>
          <w:szCs w:val="28"/>
          <w:highlight w:val="none"/>
        </w:rPr>
      </w:pPr>
      <w:r>
        <w:rPr>
          <w:rFonts w:hint="eastAsia" w:ascii="宋体" w:hAnsi="宋体"/>
          <w:b/>
          <w:bCs/>
          <w:color w:val="auto"/>
          <w:sz w:val="36"/>
          <w:szCs w:val="36"/>
          <w:highlight w:val="none"/>
        </w:rPr>
        <w:t>（电子投标、不见面开标方式）</w:t>
      </w:r>
    </w:p>
    <w:p w14:paraId="6C8E2488">
      <w:pPr>
        <w:keepNext w:val="0"/>
        <w:keepLines w:val="0"/>
        <w:pageBreakBefore w:val="0"/>
        <w:widowControl w:val="0"/>
        <w:kinsoku/>
        <w:wordWrap/>
        <w:overflowPunct/>
        <w:topLinePunct w:val="0"/>
        <w:autoSpaceDE/>
        <w:autoSpaceDN/>
        <w:bidi w:val="0"/>
        <w:adjustRightInd w:val="0"/>
        <w:snapToGrid w:val="0"/>
        <w:spacing w:line="840" w:lineRule="exact"/>
        <w:ind w:firstLine="562" w:firstLineChars="200"/>
        <w:textAlignment w:val="auto"/>
        <w:rPr>
          <w:rFonts w:hint="eastAsia" w:ascii="宋体" w:hAnsi="宋体" w:eastAsia="宋体"/>
          <w:b/>
          <w:bCs/>
          <w:color w:val="auto"/>
          <w:sz w:val="28"/>
          <w:szCs w:val="28"/>
          <w:highlight w:val="none"/>
          <w:lang w:val="en-US" w:eastAsia="zh-CN"/>
        </w:rPr>
      </w:pPr>
      <w:r>
        <w:rPr>
          <w:rFonts w:hint="eastAsia" w:ascii="宋体" w:hAnsi="宋体" w:eastAsia="宋体" w:cs="Times New Roman"/>
          <w:b/>
          <w:bCs/>
          <w:color w:val="auto"/>
          <w:sz w:val="28"/>
          <w:szCs w:val="28"/>
          <w:highlight w:val="none"/>
          <w:lang w:eastAsia="zh-CN"/>
        </w:rPr>
        <w:t>项目名称：</w:t>
      </w:r>
      <w:r>
        <w:rPr>
          <w:rFonts w:hint="eastAsia" w:ascii="宋体" w:hAnsi="宋体" w:cs="Times New Roman"/>
          <w:b/>
          <w:bCs/>
          <w:color w:val="auto"/>
          <w:sz w:val="28"/>
          <w:szCs w:val="28"/>
          <w:highlight w:val="none"/>
          <w:lang w:eastAsia="zh-CN"/>
        </w:rPr>
        <w:t>临海市海塘安澜工程（南洋涂海塘）预算审核</w:t>
      </w:r>
    </w:p>
    <w:p w14:paraId="4547D261">
      <w:pPr>
        <w:keepNext w:val="0"/>
        <w:keepLines w:val="0"/>
        <w:pageBreakBefore w:val="0"/>
        <w:widowControl w:val="0"/>
        <w:kinsoku/>
        <w:wordWrap/>
        <w:overflowPunct/>
        <w:topLinePunct w:val="0"/>
        <w:autoSpaceDE/>
        <w:autoSpaceDN/>
        <w:bidi w:val="0"/>
        <w:adjustRightInd w:val="0"/>
        <w:snapToGrid w:val="0"/>
        <w:spacing w:line="840" w:lineRule="exact"/>
        <w:ind w:left="1519" w:leftChars="268" w:hanging="956" w:hangingChars="340"/>
        <w:textAlignment w:val="auto"/>
        <w:rPr>
          <w:rFonts w:hint="eastAsia" w:ascii="宋体" w:hAnsi="宋体"/>
          <w:b/>
          <w:bCs/>
          <w:color w:val="auto"/>
          <w:sz w:val="28"/>
          <w:szCs w:val="28"/>
          <w:highlight w:val="none"/>
          <w:lang w:val="en-US" w:eastAsia="zh-CN"/>
        </w:rPr>
      </w:pPr>
      <w:r>
        <w:rPr>
          <w:rFonts w:hint="eastAsia" w:ascii="宋体" w:hAnsi="宋体"/>
          <w:b/>
          <w:bCs/>
          <w:color w:val="auto"/>
          <w:sz w:val="28"/>
          <w:szCs w:val="28"/>
          <w:highlight w:val="none"/>
        </w:rPr>
        <w:t>项目编号：</w:t>
      </w:r>
      <w:r>
        <w:rPr>
          <w:rFonts w:hint="eastAsia" w:ascii="宋体" w:hAnsi="宋体"/>
          <w:b/>
          <w:bCs/>
          <w:color w:val="auto"/>
          <w:sz w:val="28"/>
          <w:szCs w:val="28"/>
          <w:highlight w:val="none"/>
          <w:lang w:val="en-US" w:eastAsia="zh-CN"/>
        </w:rPr>
        <w:t>ZJKJ-2026009</w:t>
      </w:r>
      <w:r>
        <w:rPr>
          <w:rFonts w:hint="eastAsia" w:ascii="宋体" w:hAnsi="宋体"/>
          <w:b/>
          <w:bCs/>
          <w:color w:val="auto"/>
          <w:sz w:val="28"/>
          <w:szCs w:val="28"/>
          <w:highlight w:val="none"/>
          <w:lang w:val="en-US" w:eastAsia="zh-CN"/>
        </w:rPr>
        <w:br w:type="textWrapping"/>
      </w:r>
    </w:p>
    <w:p w14:paraId="490B7832">
      <w:pPr>
        <w:pStyle w:val="62"/>
        <w:rPr>
          <w:rFonts w:hint="eastAsia"/>
          <w:color w:val="auto"/>
          <w:highlight w:val="none"/>
          <w:lang w:val="en-US" w:eastAsia="zh-CN"/>
        </w:rPr>
      </w:pPr>
    </w:p>
    <w:p w14:paraId="4BCFB5A3">
      <w:pPr>
        <w:spacing w:line="480" w:lineRule="auto"/>
        <w:ind w:firstLine="562" w:firstLineChars="200"/>
        <w:rPr>
          <w:rFonts w:hint="eastAsia" w:ascii="宋体" w:hAnsi="宋体" w:cs="宋体"/>
          <w:b/>
          <w:color w:val="auto"/>
          <w:sz w:val="28"/>
          <w:highlight w:val="none"/>
          <w:lang w:val="en-US" w:eastAsia="zh-CN"/>
        </w:rPr>
      </w:pPr>
      <w:r>
        <w:rPr>
          <w:rFonts w:hint="eastAsia" w:ascii="宋体" w:hAnsi="宋体" w:cs="宋体"/>
          <w:b/>
          <w:color w:val="auto"/>
          <w:sz w:val="28"/>
          <w:highlight w:val="none"/>
          <w:lang w:val="en-US" w:eastAsia="zh-CN"/>
        </w:rPr>
        <w:t>招标人：</w:t>
      </w:r>
      <w:r>
        <w:rPr>
          <w:rFonts w:hint="eastAsia" w:ascii="宋体" w:hAnsi="宋体" w:cs="宋体"/>
          <w:b/>
          <w:color w:val="auto"/>
          <w:sz w:val="28"/>
          <w:highlight w:val="none"/>
          <w:lang w:eastAsia="zh-CN"/>
        </w:rPr>
        <w:t>临海市海洋开发投资有限公司</w:t>
      </w:r>
      <w:r>
        <w:rPr>
          <w:rFonts w:hint="eastAsia" w:ascii="宋体" w:hAnsi="宋体" w:eastAsia="宋体" w:cs="宋体"/>
          <w:b/>
          <w:color w:val="auto"/>
          <w:sz w:val="28"/>
          <w:highlight w:val="none"/>
          <w:lang w:eastAsia="zh-CN"/>
        </w:rPr>
        <w:t>（盖章）</w:t>
      </w:r>
      <w:r>
        <w:rPr>
          <w:rFonts w:hint="eastAsia" w:ascii="宋体" w:hAnsi="宋体" w:eastAsia="宋体" w:cs="宋体"/>
          <w:b/>
          <w:color w:val="auto"/>
          <w:sz w:val="28"/>
          <w:highlight w:val="none"/>
          <w:lang w:val="en-US" w:eastAsia="zh-CN"/>
        </w:rPr>
        <w:t xml:space="preserve"> </w:t>
      </w:r>
    </w:p>
    <w:p w14:paraId="71D7BE9F">
      <w:pPr>
        <w:spacing w:line="480" w:lineRule="auto"/>
        <w:ind w:firstLine="281" w:firstLineChars="100"/>
        <w:rPr>
          <w:rFonts w:hint="default" w:ascii="宋体" w:hAnsi="宋体" w:cs="宋体"/>
          <w:b/>
          <w:color w:val="auto"/>
          <w:sz w:val="28"/>
          <w:highlight w:val="none"/>
          <w:lang w:val="en-US" w:eastAsia="zh-CN"/>
        </w:rPr>
      </w:pPr>
      <w:r>
        <w:rPr>
          <w:rFonts w:hint="eastAsia" w:ascii="宋体" w:hAnsi="宋体" w:eastAsia="宋体" w:cs="宋体"/>
          <w:b/>
          <w:color w:val="auto"/>
          <w:sz w:val="28"/>
          <w:highlight w:val="none"/>
          <w:lang w:val="en-US" w:eastAsia="zh-CN"/>
        </w:rPr>
        <w:t xml:space="preserve"> </w:t>
      </w:r>
      <w:r>
        <w:rPr>
          <w:rFonts w:hint="eastAsia" w:ascii="宋体" w:hAnsi="宋体" w:cs="宋体"/>
          <w:b/>
          <w:color w:val="auto"/>
          <w:sz w:val="28"/>
          <w:highlight w:val="none"/>
          <w:lang w:val="en-US" w:eastAsia="zh-CN"/>
        </w:rPr>
        <w:t xml:space="preserve"> </w:t>
      </w:r>
      <w:r>
        <w:rPr>
          <w:rFonts w:hint="eastAsia" w:ascii="宋体" w:hAnsi="宋体"/>
          <w:b/>
          <w:bCs/>
          <w:color w:val="auto"/>
          <w:sz w:val="28"/>
          <w:szCs w:val="28"/>
          <w:highlight w:val="none"/>
        </w:rPr>
        <w:t>联 系 人：</w:t>
      </w:r>
      <w:r>
        <w:rPr>
          <w:rFonts w:hint="eastAsia" w:ascii="宋体" w:hAnsi="宋体"/>
          <w:b/>
          <w:bCs/>
          <w:color w:val="auto"/>
          <w:sz w:val="28"/>
          <w:szCs w:val="28"/>
          <w:highlight w:val="none"/>
          <w:lang w:val="en-US" w:eastAsia="zh-CN"/>
        </w:rPr>
        <w:t>陶先生</w:t>
      </w:r>
      <w:r>
        <w:rPr>
          <w:rFonts w:hint="eastAsia" w:ascii="宋体" w:hAnsi="宋体"/>
          <w:b/>
          <w:bCs/>
          <w:color w:val="auto"/>
          <w:sz w:val="28"/>
          <w:szCs w:val="28"/>
          <w:highlight w:val="none"/>
        </w:rPr>
        <w:t xml:space="preserve">        </w:t>
      </w:r>
      <w:r>
        <w:rPr>
          <w:rFonts w:hint="eastAsia" w:ascii="宋体" w:hAnsi="宋体"/>
          <w:b/>
          <w:bCs/>
          <w:color w:val="auto"/>
          <w:sz w:val="28"/>
          <w:szCs w:val="28"/>
          <w:highlight w:val="none"/>
          <w:lang w:val="en-US" w:eastAsia="zh-CN"/>
        </w:rPr>
        <w:t xml:space="preserve">  </w:t>
      </w:r>
      <w:r>
        <w:rPr>
          <w:rFonts w:hint="eastAsia" w:ascii="宋体" w:hAnsi="宋体" w:cs="宋体"/>
          <w:b/>
          <w:color w:val="auto"/>
          <w:sz w:val="28"/>
          <w:highlight w:val="none"/>
        </w:rPr>
        <w:t>联系电话</w:t>
      </w:r>
      <w:r>
        <w:rPr>
          <w:rFonts w:hint="eastAsia" w:ascii="宋体" w:hAnsi="宋体" w:cs="宋体"/>
          <w:b/>
          <w:color w:val="auto"/>
          <w:sz w:val="28"/>
          <w:highlight w:val="none"/>
          <w:lang w:eastAsia="zh-CN"/>
        </w:rPr>
        <w:t>：</w:t>
      </w:r>
      <w:r>
        <w:rPr>
          <w:rFonts w:hint="eastAsia" w:ascii="宋体" w:hAnsi="宋体" w:cs="宋体"/>
          <w:b/>
          <w:color w:val="auto"/>
          <w:sz w:val="28"/>
          <w:highlight w:val="none"/>
          <w:lang w:val="en-US" w:eastAsia="zh-CN"/>
        </w:rPr>
        <w:t>17858065545</w:t>
      </w:r>
    </w:p>
    <w:p w14:paraId="234AE8B0">
      <w:pPr>
        <w:spacing w:line="480" w:lineRule="auto"/>
        <w:rPr>
          <w:rFonts w:hint="eastAsia" w:ascii="宋体" w:hAnsi="宋体" w:cs="宋体"/>
          <w:b/>
          <w:color w:val="auto"/>
          <w:sz w:val="28"/>
          <w:highlight w:val="none"/>
        </w:rPr>
      </w:pPr>
    </w:p>
    <w:p w14:paraId="0AD0422A">
      <w:pPr>
        <w:pStyle w:val="62"/>
        <w:rPr>
          <w:rFonts w:hint="eastAsia"/>
          <w:color w:val="auto"/>
          <w:highlight w:val="none"/>
        </w:rPr>
      </w:pPr>
    </w:p>
    <w:p w14:paraId="1779EC13">
      <w:pPr>
        <w:spacing w:line="480" w:lineRule="auto"/>
        <w:ind w:firstLine="562" w:firstLineChars="200"/>
        <w:rPr>
          <w:rFonts w:hint="eastAsia" w:ascii="宋体" w:hAnsi="宋体" w:eastAsia="宋体" w:cs="宋体"/>
          <w:b/>
          <w:color w:val="auto"/>
          <w:sz w:val="28"/>
          <w:highlight w:val="none"/>
          <w:lang w:eastAsia="zh-CN"/>
        </w:rPr>
      </w:pPr>
      <w:r>
        <w:rPr>
          <w:rFonts w:hint="eastAsia" w:ascii="宋体" w:hAnsi="宋体" w:cs="宋体"/>
          <w:b/>
          <w:color w:val="auto"/>
          <w:sz w:val="28"/>
          <w:highlight w:val="none"/>
        </w:rPr>
        <w:t>招标代理机构：</w:t>
      </w:r>
      <w:r>
        <w:rPr>
          <w:rFonts w:hint="eastAsia" w:ascii="宋体" w:hAnsi="宋体"/>
          <w:b/>
          <w:bCs/>
          <w:color w:val="auto"/>
          <w:sz w:val="28"/>
          <w:szCs w:val="28"/>
          <w:highlight w:val="none"/>
          <w:lang w:eastAsia="zh-CN"/>
        </w:rPr>
        <w:t>浙江科佳工程咨询有限公司</w:t>
      </w:r>
      <w:r>
        <w:rPr>
          <w:rFonts w:hint="eastAsia" w:ascii="宋体" w:hAnsi="宋体" w:eastAsia="宋体" w:cs="宋体"/>
          <w:b/>
          <w:color w:val="auto"/>
          <w:sz w:val="28"/>
          <w:highlight w:val="none"/>
          <w:lang w:eastAsia="zh-CN"/>
        </w:rPr>
        <w:t>（盖章）</w:t>
      </w:r>
    </w:p>
    <w:p w14:paraId="6B8E76F4">
      <w:pPr>
        <w:spacing w:line="480" w:lineRule="auto"/>
        <w:ind w:firstLine="562" w:firstLineChars="200"/>
        <w:rPr>
          <w:rFonts w:hint="eastAsia" w:ascii="宋体" w:hAnsi="宋体"/>
          <w:b/>
          <w:bCs/>
          <w:color w:val="auto"/>
          <w:sz w:val="30"/>
          <w:highlight w:val="none"/>
        </w:rPr>
      </w:pPr>
      <w:r>
        <w:rPr>
          <w:rFonts w:hint="eastAsia" w:ascii="宋体" w:hAnsi="宋体" w:cs="宋体"/>
          <w:b/>
          <w:color w:val="auto"/>
          <w:sz w:val="28"/>
          <w:highlight w:val="none"/>
        </w:rPr>
        <w:t>联 系 人：</w:t>
      </w:r>
      <w:r>
        <w:rPr>
          <w:rFonts w:hint="eastAsia" w:ascii="宋体" w:hAnsi="宋体" w:cs="宋体"/>
          <w:b/>
          <w:color w:val="auto"/>
          <w:sz w:val="28"/>
          <w:highlight w:val="none"/>
          <w:lang w:val="en-US" w:eastAsia="zh-CN"/>
        </w:rPr>
        <w:t>周先生</w:t>
      </w:r>
      <w:r>
        <w:rPr>
          <w:rFonts w:hint="eastAsia" w:ascii="宋体" w:hAnsi="宋体" w:cs="宋体"/>
          <w:b/>
          <w:color w:val="auto"/>
          <w:sz w:val="28"/>
          <w:highlight w:val="none"/>
        </w:rPr>
        <w:t xml:space="preserve">           联系电话：</w:t>
      </w:r>
      <w:r>
        <w:rPr>
          <w:rFonts w:hint="eastAsia" w:ascii="宋体" w:hAnsi="宋体" w:cs="宋体"/>
          <w:b/>
          <w:color w:val="auto"/>
          <w:sz w:val="28"/>
          <w:highlight w:val="none"/>
          <w:lang w:val="en-US" w:eastAsia="zh-CN"/>
        </w:rPr>
        <w:t>0576-88699900</w:t>
      </w:r>
    </w:p>
    <w:p w14:paraId="072EB18C">
      <w:pPr>
        <w:spacing w:line="500" w:lineRule="atLeast"/>
        <w:ind w:firstLine="3483" w:firstLineChars="1239"/>
        <w:rPr>
          <w:rFonts w:hint="eastAsia" w:ascii="宋体" w:hAnsi="宋体"/>
          <w:b/>
          <w:bCs/>
          <w:color w:val="auto"/>
          <w:sz w:val="28"/>
          <w:szCs w:val="28"/>
          <w:highlight w:val="none"/>
        </w:rPr>
      </w:pPr>
      <w:r>
        <w:rPr>
          <w:rFonts w:hint="eastAsia" w:ascii="宋体" w:hAnsi="宋体"/>
          <w:b/>
          <w:bCs/>
          <w:color w:val="auto"/>
          <w:sz w:val="28"/>
          <w:szCs w:val="28"/>
          <w:highlight w:val="none"/>
        </w:rPr>
        <w:br w:type="textWrapping"/>
      </w:r>
    </w:p>
    <w:p w14:paraId="78B796AE">
      <w:pPr>
        <w:spacing w:line="500" w:lineRule="atLeast"/>
        <w:ind w:firstLine="3483" w:firstLineChars="1239"/>
        <w:rPr>
          <w:rFonts w:ascii="宋体" w:hAnsi="宋体"/>
          <w:color w:val="auto"/>
          <w:sz w:val="28"/>
          <w:szCs w:val="28"/>
          <w:highlight w:val="none"/>
        </w:rPr>
      </w:pPr>
      <w:r>
        <w:rPr>
          <w:rFonts w:hint="eastAsia" w:ascii="宋体" w:hAnsi="宋体"/>
          <w:b/>
          <w:bCs/>
          <w:color w:val="auto"/>
          <w:sz w:val="28"/>
          <w:szCs w:val="28"/>
          <w:highlight w:val="none"/>
        </w:rPr>
        <w:t>二0</w:t>
      </w:r>
      <w:r>
        <w:rPr>
          <w:rFonts w:hint="eastAsia" w:ascii="宋体" w:hAnsi="宋体"/>
          <w:b/>
          <w:bCs/>
          <w:color w:val="auto"/>
          <w:sz w:val="28"/>
          <w:szCs w:val="28"/>
          <w:highlight w:val="none"/>
          <w:lang w:val="en-US" w:eastAsia="zh-CN"/>
        </w:rPr>
        <w:t>二六</w:t>
      </w:r>
      <w:r>
        <w:rPr>
          <w:rFonts w:hint="eastAsia" w:ascii="宋体" w:hAnsi="宋体"/>
          <w:b/>
          <w:bCs/>
          <w:color w:val="auto"/>
          <w:sz w:val="28"/>
          <w:szCs w:val="28"/>
          <w:highlight w:val="none"/>
        </w:rPr>
        <w:t>年</w:t>
      </w:r>
      <w:r>
        <w:rPr>
          <w:rFonts w:hint="eastAsia" w:ascii="宋体" w:hAnsi="宋体"/>
          <w:b/>
          <w:bCs/>
          <w:color w:val="auto"/>
          <w:sz w:val="28"/>
          <w:szCs w:val="28"/>
          <w:highlight w:val="none"/>
          <w:lang w:val="en-US" w:eastAsia="zh-CN"/>
        </w:rPr>
        <w:t>七</w:t>
      </w:r>
      <w:r>
        <w:rPr>
          <w:rFonts w:hint="eastAsia" w:ascii="宋体" w:hAnsi="宋体"/>
          <w:b/>
          <w:bCs/>
          <w:color w:val="auto"/>
          <w:sz w:val="28"/>
          <w:szCs w:val="28"/>
          <w:highlight w:val="none"/>
        </w:rPr>
        <w:t xml:space="preserve">月 </w:t>
      </w:r>
    </w:p>
    <w:p w14:paraId="57DADBDD">
      <w:pPr>
        <w:rPr>
          <w:rFonts w:hint="eastAsia"/>
          <w:color w:val="auto"/>
          <w:highlight w:val="none"/>
        </w:rPr>
        <w:sectPr>
          <w:headerReference r:id="rId3" w:type="default"/>
          <w:footerReference r:id="rId4" w:type="even"/>
          <w:pgSz w:w="11906" w:h="16838"/>
          <w:pgMar w:top="1361" w:right="1361" w:bottom="1361" w:left="1361" w:header="567" w:footer="454" w:gutter="0"/>
          <w:cols w:space="720" w:num="1"/>
          <w:rtlGutter w:val="0"/>
          <w:docGrid w:linePitch="286" w:charSpace="0"/>
        </w:sectPr>
      </w:pPr>
    </w:p>
    <w:p w14:paraId="31490566">
      <w:pPr>
        <w:pStyle w:val="30"/>
        <w:keepNext w:val="0"/>
        <w:keepLines w:val="0"/>
        <w:pageBreakBefore/>
        <w:widowControl w:val="0"/>
        <w:kinsoku/>
        <w:wordWrap/>
        <w:overflowPunct/>
        <w:topLinePunct w:val="0"/>
        <w:autoSpaceDE/>
        <w:autoSpaceDN/>
        <w:bidi w:val="0"/>
        <w:adjustRightInd/>
        <w:snapToGrid/>
        <w:spacing w:beforeLines="0" w:afterLines="0" w:line="360" w:lineRule="auto"/>
        <w:jc w:val="center"/>
        <w:textAlignment w:val="auto"/>
        <w:rPr>
          <w:rFonts w:hint="eastAsia" w:ascii="宋体" w:hAnsi="宋体" w:eastAsia="宋体" w:cs="宋体"/>
          <w:color w:val="auto"/>
          <w:sz w:val="44"/>
          <w:szCs w:val="44"/>
          <w:highlight w:val="none"/>
          <w:shd w:val="clear" w:color="auto" w:fill="auto"/>
        </w:rPr>
      </w:pPr>
      <w:r>
        <w:rPr>
          <w:rFonts w:hint="eastAsia" w:ascii="宋体" w:hAnsi="宋体" w:eastAsia="宋体" w:cs="宋体"/>
          <w:color w:val="auto"/>
          <w:sz w:val="44"/>
          <w:szCs w:val="44"/>
          <w:highlight w:val="none"/>
          <w:shd w:val="clear" w:color="auto" w:fill="auto"/>
        </w:rPr>
        <w:t>目    录</w:t>
      </w:r>
    </w:p>
    <w:p w14:paraId="1C4EB524">
      <w:pPr>
        <w:pStyle w:val="37"/>
        <w:keepNext w:val="0"/>
        <w:keepLines w:val="0"/>
        <w:pageBreakBefore w:val="0"/>
        <w:widowControl w:val="0"/>
        <w:tabs>
          <w:tab w:val="right" w:leader="dot" w:pos="9184"/>
        </w:tabs>
        <w:kinsoku/>
        <w:wordWrap/>
        <w:overflowPunct/>
        <w:topLinePunct w:val="0"/>
        <w:autoSpaceDE/>
        <w:autoSpaceDN/>
        <w:bidi w:val="0"/>
        <w:adjustRightInd/>
        <w:spacing w:line="358" w:lineRule="auto"/>
        <w:textAlignment w:val="auto"/>
        <w:rPr>
          <w:rFonts w:hint="eastAsia" w:ascii="宋体" w:hAnsi="宋体" w:eastAsia="宋体" w:cs="宋体"/>
          <w:b/>
          <w:color w:val="auto"/>
          <w:sz w:val="22"/>
          <w:szCs w:val="22"/>
          <w:highlight w:val="none"/>
          <w:shd w:val="clear" w:color="auto" w:fill="auto"/>
        </w:rPr>
      </w:pPr>
    </w:p>
    <w:p w14:paraId="46B71066">
      <w:pPr>
        <w:pStyle w:val="37"/>
        <w:keepNext w:val="0"/>
        <w:keepLines w:val="0"/>
        <w:pageBreakBefore w:val="0"/>
        <w:widowControl w:val="0"/>
        <w:tabs>
          <w:tab w:val="right" w:leader="dot" w:pos="9184"/>
        </w:tabs>
        <w:kinsoku/>
        <w:wordWrap/>
        <w:overflowPunct/>
        <w:topLinePunct w:val="0"/>
        <w:autoSpaceDE/>
        <w:autoSpaceDN/>
        <w:bidi w:val="0"/>
        <w:adjustRightInd/>
        <w:spacing w:line="358" w:lineRule="auto"/>
        <w:textAlignment w:val="auto"/>
        <w:rPr>
          <w:rFonts w:hint="eastAsia" w:ascii="宋体" w:hAnsi="宋体" w:eastAsia="宋体" w:cs="宋体"/>
          <w:sz w:val="24"/>
          <w:szCs w:val="24"/>
          <w:highlight w:val="none"/>
        </w:rPr>
      </w:pPr>
      <w:r>
        <w:rPr>
          <w:rFonts w:hint="eastAsia" w:ascii="宋体" w:hAnsi="宋体" w:eastAsia="宋体" w:cs="宋体"/>
          <w:b/>
          <w:color w:val="auto"/>
          <w:sz w:val="22"/>
          <w:szCs w:val="22"/>
          <w:highlight w:val="none"/>
          <w:shd w:val="clear" w:color="auto" w:fill="auto"/>
        </w:rPr>
        <w:fldChar w:fldCharType="begin"/>
      </w:r>
      <w:r>
        <w:rPr>
          <w:rFonts w:hint="eastAsia" w:ascii="宋体" w:hAnsi="宋体" w:eastAsia="宋体" w:cs="宋体"/>
          <w:b/>
          <w:color w:val="auto"/>
          <w:sz w:val="22"/>
          <w:szCs w:val="22"/>
          <w:highlight w:val="none"/>
          <w:shd w:val="clear" w:color="auto" w:fill="auto"/>
        </w:rPr>
        <w:instrText xml:space="preserve">TOC \o "1-3" \h \u </w:instrText>
      </w:r>
      <w:r>
        <w:rPr>
          <w:rFonts w:hint="eastAsia" w:ascii="宋体" w:hAnsi="宋体" w:eastAsia="宋体" w:cs="宋体"/>
          <w:b/>
          <w:color w:val="auto"/>
          <w:sz w:val="22"/>
          <w:szCs w:val="22"/>
          <w:highlight w:val="none"/>
          <w:shd w:val="clear" w:color="auto" w:fill="auto"/>
        </w:rPr>
        <w:fldChar w:fldCharType="separate"/>
      </w: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sz w:val="24"/>
          <w:szCs w:val="24"/>
          <w:highlight w:val="none"/>
          <w:shd w:val="clear" w:color="auto" w:fill="auto"/>
        </w:rPr>
        <w:instrText xml:space="preserve"> HYPERLINK \l _Toc29431 </w:instrText>
      </w:r>
      <w:r>
        <w:rPr>
          <w:rFonts w:hint="eastAsia" w:ascii="宋体" w:hAnsi="宋体" w:eastAsia="宋体" w:cs="宋体"/>
          <w:sz w:val="24"/>
          <w:szCs w:val="24"/>
          <w:highlight w:val="none"/>
          <w:shd w:val="clear" w:color="auto" w:fill="auto"/>
        </w:rPr>
        <w:fldChar w:fldCharType="separate"/>
      </w:r>
      <w:r>
        <w:rPr>
          <w:rFonts w:hint="eastAsia" w:ascii="宋体" w:hAnsi="宋体" w:eastAsia="宋体" w:cs="宋体"/>
          <w:sz w:val="24"/>
          <w:szCs w:val="24"/>
          <w:highlight w:val="none"/>
          <w:shd w:val="clear" w:color="auto" w:fill="auto"/>
        </w:rPr>
        <w:t>第一章  投标邀请</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_Toc29431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shd w:val="clear" w:color="auto" w:fill="auto"/>
        </w:rPr>
        <w:fldChar w:fldCharType="end"/>
      </w:r>
    </w:p>
    <w:p w14:paraId="0E0991BC">
      <w:pPr>
        <w:pStyle w:val="37"/>
        <w:keepNext w:val="0"/>
        <w:keepLines w:val="0"/>
        <w:pageBreakBefore w:val="0"/>
        <w:widowControl w:val="0"/>
        <w:tabs>
          <w:tab w:val="right" w:leader="dot" w:pos="9184"/>
        </w:tabs>
        <w:kinsoku/>
        <w:wordWrap/>
        <w:overflowPunct/>
        <w:topLinePunct w:val="0"/>
        <w:autoSpaceDE/>
        <w:autoSpaceDN/>
        <w:bidi w:val="0"/>
        <w:adjustRightInd/>
        <w:spacing w:line="358"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sz w:val="24"/>
          <w:szCs w:val="24"/>
          <w:highlight w:val="none"/>
          <w:shd w:val="clear" w:color="auto" w:fill="auto"/>
        </w:rPr>
        <w:instrText xml:space="preserve"> HYPERLINK \l _Toc6438 </w:instrText>
      </w:r>
      <w:r>
        <w:rPr>
          <w:rFonts w:hint="eastAsia" w:ascii="宋体" w:hAnsi="宋体" w:eastAsia="宋体" w:cs="宋体"/>
          <w:sz w:val="24"/>
          <w:szCs w:val="24"/>
          <w:highlight w:val="none"/>
          <w:shd w:val="clear" w:color="auto" w:fill="auto"/>
        </w:rPr>
        <w:fldChar w:fldCharType="separate"/>
      </w:r>
      <w:r>
        <w:rPr>
          <w:rFonts w:hint="eastAsia" w:ascii="宋体" w:hAnsi="宋体" w:eastAsia="宋体" w:cs="宋体"/>
          <w:sz w:val="24"/>
          <w:szCs w:val="24"/>
          <w:highlight w:val="none"/>
        </w:rPr>
        <w:t>第二章  招标需求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_Toc6438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4</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shd w:val="clear" w:color="auto" w:fill="auto"/>
        </w:rPr>
        <w:fldChar w:fldCharType="end"/>
      </w:r>
    </w:p>
    <w:p w14:paraId="18DBE8E6">
      <w:pPr>
        <w:pStyle w:val="37"/>
        <w:keepNext w:val="0"/>
        <w:keepLines w:val="0"/>
        <w:pageBreakBefore w:val="0"/>
        <w:widowControl w:val="0"/>
        <w:tabs>
          <w:tab w:val="right" w:leader="dot" w:pos="9184"/>
        </w:tabs>
        <w:kinsoku/>
        <w:wordWrap/>
        <w:overflowPunct/>
        <w:topLinePunct w:val="0"/>
        <w:autoSpaceDE/>
        <w:autoSpaceDN/>
        <w:bidi w:val="0"/>
        <w:adjustRightInd/>
        <w:spacing w:line="358"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sz w:val="24"/>
          <w:szCs w:val="24"/>
          <w:highlight w:val="none"/>
          <w:shd w:val="clear" w:color="auto" w:fill="auto"/>
        </w:rPr>
        <w:instrText xml:space="preserve"> HYPERLINK \l _Toc26440 </w:instrText>
      </w:r>
      <w:r>
        <w:rPr>
          <w:rFonts w:hint="eastAsia" w:ascii="宋体" w:hAnsi="宋体" w:eastAsia="宋体" w:cs="宋体"/>
          <w:sz w:val="24"/>
          <w:szCs w:val="24"/>
          <w:highlight w:val="none"/>
          <w:shd w:val="clear" w:color="auto" w:fill="auto"/>
        </w:rPr>
        <w:fldChar w:fldCharType="separate"/>
      </w:r>
      <w:r>
        <w:rPr>
          <w:rFonts w:hint="eastAsia" w:ascii="宋体" w:hAnsi="宋体" w:eastAsia="宋体" w:cs="宋体"/>
          <w:sz w:val="24"/>
          <w:szCs w:val="24"/>
          <w:highlight w:val="none"/>
          <w:shd w:val="clear" w:color="auto" w:fill="auto"/>
        </w:rPr>
        <w:t>第三章  投标人须知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_Toc26440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8</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shd w:val="clear" w:color="auto" w:fill="auto"/>
        </w:rPr>
        <w:fldChar w:fldCharType="end"/>
      </w:r>
    </w:p>
    <w:p w14:paraId="3E3317AA">
      <w:pPr>
        <w:pStyle w:val="37"/>
        <w:keepNext w:val="0"/>
        <w:keepLines w:val="0"/>
        <w:pageBreakBefore w:val="0"/>
        <w:widowControl w:val="0"/>
        <w:tabs>
          <w:tab w:val="right" w:leader="dot" w:pos="9184"/>
        </w:tabs>
        <w:kinsoku/>
        <w:wordWrap/>
        <w:overflowPunct/>
        <w:topLinePunct w:val="0"/>
        <w:autoSpaceDE/>
        <w:autoSpaceDN/>
        <w:bidi w:val="0"/>
        <w:adjustRightInd/>
        <w:spacing w:line="358"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sz w:val="24"/>
          <w:szCs w:val="24"/>
          <w:highlight w:val="none"/>
          <w:shd w:val="clear" w:color="auto" w:fill="auto"/>
        </w:rPr>
        <w:instrText xml:space="preserve"> HYPERLINK \l _Toc20618 </w:instrText>
      </w:r>
      <w:r>
        <w:rPr>
          <w:rFonts w:hint="eastAsia" w:ascii="宋体" w:hAnsi="宋体" w:eastAsia="宋体" w:cs="宋体"/>
          <w:sz w:val="24"/>
          <w:szCs w:val="24"/>
          <w:highlight w:val="none"/>
          <w:shd w:val="clear" w:color="auto" w:fill="auto"/>
        </w:rPr>
        <w:fldChar w:fldCharType="separate"/>
      </w:r>
      <w:r>
        <w:rPr>
          <w:rFonts w:hint="eastAsia" w:ascii="宋体" w:hAnsi="宋体" w:eastAsia="宋体" w:cs="宋体"/>
          <w:sz w:val="24"/>
          <w:szCs w:val="24"/>
          <w:highlight w:val="none"/>
          <w:shd w:val="clear" w:color="auto" w:fill="auto"/>
        </w:rPr>
        <w:t>第四章</w:t>
      </w:r>
      <w:r>
        <w:rPr>
          <w:rFonts w:hint="eastAsia" w:ascii="宋体" w:hAnsi="宋体" w:eastAsia="宋体" w:cs="宋体"/>
          <w:sz w:val="24"/>
          <w:szCs w:val="24"/>
          <w:highlight w:val="none"/>
          <w:shd w:val="clear" w:color="auto" w:fill="auto"/>
          <w:lang w:val="en-US" w:eastAsia="zh-CN"/>
        </w:rPr>
        <w:t xml:space="preserve">  </w:t>
      </w:r>
      <w:r>
        <w:rPr>
          <w:rFonts w:hint="eastAsia" w:ascii="宋体" w:hAnsi="宋体" w:eastAsia="宋体" w:cs="宋体"/>
          <w:sz w:val="24"/>
          <w:szCs w:val="24"/>
          <w:highlight w:val="none"/>
          <w:shd w:val="clear" w:color="auto" w:fill="auto"/>
        </w:rPr>
        <w:t>评标办法及评分标准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_Toc20618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19</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shd w:val="clear" w:color="auto" w:fill="auto"/>
        </w:rPr>
        <w:fldChar w:fldCharType="end"/>
      </w:r>
    </w:p>
    <w:p w14:paraId="0E02B6D0">
      <w:pPr>
        <w:pStyle w:val="37"/>
        <w:keepNext w:val="0"/>
        <w:keepLines w:val="0"/>
        <w:pageBreakBefore w:val="0"/>
        <w:widowControl w:val="0"/>
        <w:tabs>
          <w:tab w:val="right" w:leader="dot" w:pos="9184"/>
        </w:tabs>
        <w:kinsoku/>
        <w:wordWrap/>
        <w:overflowPunct/>
        <w:topLinePunct w:val="0"/>
        <w:autoSpaceDE/>
        <w:autoSpaceDN/>
        <w:bidi w:val="0"/>
        <w:adjustRightInd/>
        <w:spacing w:line="358"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sz w:val="24"/>
          <w:szCs w:val="24"/>
          <w:highlight w:val="none"/>
          <w:shd w:val="clear" w:color="auto" w:fill="auto"/>
        </w:rPr>
        <w:instrText xml:space="preserve"> HYPERLINK \l _Toc28941 </w:instrText>
      </w:r>
      <w:r>
        <w:rPr>
          <w:rFonts w:hint="eastAsia" w:ascii="宋体" w:hAnsi="宋体" w:eastAsia="宋体" w:cs="宋体"/>
          <w:sz w:val="24"/>
          <w:szCs w:val="24"/>
          <w:highlight w:val="none"/>
          <w:shd w:val="clear" w:color="auto" w:fill="auto"/>
        </w:rPr>
        <w:fldChar w:fldCharType="separate"/>
      </w:r>
      <w:r>
        <w:rPr>
          <w:rFonts w:hint="eastAsia" w:ascii="宋体" w:hAnsi="宋体" w:eastAsia="宋体" w:cs="宋体"/>
          <w:sz w:val="24"/>
          <w:szCs w:val="24"/>
          <w:highlight w:val="none"/>
          <w:shd w:val="clear" w:fill="auto"/>
        </w:rPr>
        <w:t xml:space="preserve">第五章 </w:t>
      </w:r>
      <w:r>
        <w:rPr>
          <w:rFonts w:hint="eastAsia" w:ascii="宋体" w:hAnsi="宋体" w:eastAsia="宋体" w:cs="宋体"/>
          <w:sz w:val="24"/>
          <w:szCs w:val="24"/>
          <w:highlight w:val="none"/>
          <w:shd w:val="clear" w:fill="auto"/>
          <w:lang w:val="en-US" w:eastAsia="zh-CN"/>
        </w:rPr>
        <w:t xml:space="preserve"> </w:t>
      </w:r>
      <w:r>
        <w:rPr>
          <w:rFonts w:hint="eastAsia" w:ascii="宋体" w:hAnsi="宋体" w:eastAsia="宋体" w:cs="宋体"/>
          <w:sz w:val="24"/>
          <w:szCs w:val="24"/>
          <w:highlight w:val="none"/>
          <w:shd w:val="clear" w:color="auto" w:fill="auto"/>
        </w:rPr>
        <w:t>合同主要条款</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_Toc28941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24</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shd w:val="clear" w:color="auto" w:fill="auto"/>
        </w:rPr>
        <w:fldChar w:fldCharType="end"/>
      </w:r>
    </w:p>
    <w:p w14:paraId="6C8A2B5C">
      <w:pPr>
        <w:pStyle w:val="37"/>
        <w:keepNext w:val="0"/>
        <w:keepLines w:val="0"/>
        <w:pageBreakBefore w:val="0"/>
        <w:widowControl w:val="0"/>
        <w:tabs>
          <w:tab w:val="right" w:leader="dot" w:pos="9184"/>
        </w:tabs>
        <w:kinsoku/>
        <w:wordWrap/>
        <w:overflowPunct/>
        <w:topLinePunct w:val="0"/>
        <w:autoSpaceDE/>
        <w:autoSpaceDN/>
        <w:bidi w:val="0"/>
        <w:adjustRightInd/>
        <w:spacing w:line="358"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sz w:val="24"/>
          <w:szCs w:val="24"/>
          <w:highlight w:val="none"/>
          <w:shd w:val="clear" w:color="auto" w:fill="auto"/>
        </w:rPr>
        <w:instrText xml:space="preserve"> HYPERLINK \l _Toc22947 </w:instrText>
      </w:r>
      <w:r>
        <w:rPr>
          <w:rFonts w:hint="eastAsia" w:ascii="宋体" w:hAnsi="宋体" w:eastAsia="宋体" w:cs="宋体"/>
          <w:sz w:val="24"/>
          <w:szCs w:val="24"/>
          <w:highlight w:val="none"/>
          <w:shd w:val="clear" w:color="auto" w:fill="auto"/>
        </w:rPr>
        <w:fldChar w:fldCharType="separate"/>
      </w:r>
      <w:r>
        <w:rPr>
          <w:rFonts w:hint="eastAsia" w:ascii="宋体" w:hAnsi="宋体" w:eastAsia="宋体" w:cs="宋体"/>
          <w:sz w:val="24"/>
          <w:szCs w:val="24"/>
          <w:highlight w:val="none"/>
          <w:shd w:val="clear" w:color="auto" w:fill="auto"/>
        </w:rPr>
        <w:t>第六章　投标文件格式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_Toc22947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4</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shd w:val="clear" w:color="auto" w:fill="auto"/>
        </w:rPr>
        <w:fldChar w:fldCharType="end"/>
      </w:r>
    </w:p>
    <w:p w14:paraId="754C3027">
      <w:pPr>
        <w:pStyle w:val="37"/>
        <w:keepNext w:val="0"/>
        <w:keepLines w:val="0"/>
        <w:pageBreakBefore w:val="0"/>
        <w:widowControl w:val="0"/>
        <w:tabs>
          <w:tab w:val="right" w:leader="dot" w:pos="9184"/>
        </w:tabs>
        <w:kinsoku/>
        <w:wordWrap/>
        <w:overflowPunct/>
        <w:topLinePunct w:val="0"/>
        <w:autoSpaceDE/>
        <w:autoSpaceDN/>
        <w:bidi w:val="0"/>
        <w:adjustRightInd/>
        <w:spacing w:line="358" w:lineRule="auto"/>
        <w:textAlignment w:val="auto"/>
        <w:rPr>
          <w:rFonts w:hint="eastAsia" w:ascii="宋体" w:hAnsi="宋体" w:eastAsia="宋体" w:cs="宋体"/>
          <w:sz w:val="22"/>
          <w:szCs w:val="22"/>
          <w:highlight w:val="none"/>
        </w:rPr>
      </w:pPr>
    </w:p>
    <w:p w14:paraId="019ACCA5">
      <w:pPr>
        <w:pStyle w:val="37"/>
        <w:keepNext w:val="0"/>
        <w:keepLines w:val="0"/>
        <w:pageBreakBefore w:val="0"/>
        <w:widowControl w:val="0"/>
        <w:kinsoku/>
        <w:wordWrap/>
        <w:overflowPunct/>
        <w:topLinePunct w:val="0"/>
        <w:autoSpaceDE/>
        <w:autoSpaceDN/>
        <w:bidi w:val="0"/>
        <w:adjustRightInd/>
        <w:spacing w:line="358" w:lineRule="auto"/>
        <w:textAlignment w:val="auto"/>
        <w:rPr>
          <w:rFonts w:hint="eastAsia" w:ascii="宋体" w:hAnsi="宋体" w:eastAsia="宋体" w:cs="宋体"/>
          <w:b/>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fldChar w:fldCharType="end"/>
      </w:r>
    </w:p>
    <w:p w14:paraId="38B77A53">
      <w:pPr>
        <w:pStyle w:val="30"/>
        <w:keepNext w:val="0"/>
        <w:keepLines w:val="0"/>
        <w:pageBreakBefore w:val="0"/>
        <w:widowControl w:val="0"/>
        <w:kinsoku/>
        <w:wordWrap/>
        <w:overflowPunct/>
        <w:topLinePunct w:val="0"/>
        <w:autoSpaceDE/>
        <w:autoSpaceDN/>
        <w:bidi w:val="0"/>
        <w:adjustRightInd/>
        <w:snapToGrid w:val="0"/>
        <w:spacing w:beforeLines="0" w:afterLines="0" w:line="358" w:lineRule="auto"/>
        <w:jc w:val="center"/>
        <w:textAlignment w:val="auto"/>
        <w:outlineLvl w:val="9"/>
        <w:rPr>
          <w:rFonts w:hint="eastAsia" w:ascii="宋体" w:hAnsi="宋体" w:eastAsia="宋体" w:cs="宋体"/>
          <w:b/>
          <w:color w:val="auto"/>
          <w:sz w:val="22"/>
          <w:szCs w:val="22"/>
          <w:highlight w:val="none"/>
          <w:shd w:val="clear" w:color="auto" w:fill="auto"/>
        </w:rPr>
        <w:sectPr>
          <w:headerReference r:id="rId5" w:type="default"/>
          <w:footerReference r:id="rId6" w:type="default"/>
          <w:footerReference r:id="rId7" w:type="even"/>
          <w:pgSz w:w="11906" w:h="16838"/>
          <w:pgMar w:top="1361" w:right="1361" w:bottom="1361" w:left="1361" w:header="567" w:footer="454" w:gutter="0"/>
          <w:pgNumType w:start="1"/>
          <w:cols w:space="720" w:num="1"/>
          <w:rtlGutter w:val="0"/>
          <w:docGrid w:linePitch="286" w:charSpace="0"/>
        </w:sectPr>
      </w:pPr>
      <w:bookmarkStart w:id="0" w:name="_Toc466534747"/>
      <w:bookmarkStart w:id="1" w:name="_Toc25920"/>
    </w:p>
    <w:p w14:paraId="6F2D3697">
      <w:pPr>
        <w:pStyle w:val="30"/>
        <w:snapToGrid w:val="0"/>
        <w:spacing w:beforeLines="0" w:afterLines="0" w:line="240" w:lineRule="auto"/>
        <w:jc w:val="center"/>
        <w:outlineLvl w:val="0"/>
        <w:rPr>
          <w:rFonts w:hint="eastAsia" w:ascii="宋体" w:hAnsi="宋体" w:eastAsia="宋体" w:cs="宋体"/>
          <w:b/>
          <w:color w:val="auto"/>
          <w:sz w:val="30"/>
          <w:szCs w:val="30"/>
          <w:highlight w:val="none"/>
          <w:shd w:val="clear" w:color="auto" w:fill="auto"/>
        </w:rPr>
      </w:pPr>
      <w:bookmarkStart w:id="2" w:name="_Toc29431"/>
      <w:bookmarkStart w:id="3" w:name="_Toc31224"/>
      <w:bookmarkStart w:id="4" w:name="_Toc14571"/>
      <w:r>
        <w:rPr>
          <w:rFonts w:hint="eastAsia" w:ascii="宋体" w:hAnsi="宋体" w:eastAsia="宋体" w:cs="宋体"/>
          <w:b/>
          <w:color w:val="auto"/>
          <w:sz w:val="30"/>
          <w:szCs w:val="30"/>
          <w:highlight w:val="none"/>
          <w:shd w:val="clear" w:color="auto" w:fill="auto"/>
        </w:rPr>
        <w:t>第一章  投标邀请</w:t>
      </w:r>
      <w:bookmarkEnd w:id="0"/>
      <w:bookmarkEnd w:id="1"/>
      <w:bookmarkEnd w:id="2"/>
      <w:bookmarkEnd w:id="3"/>
      <w:bookmarkEnd w:id="4"/>
    </w:p>
    <w:p w14:paraId="5C4974D4">
      <w:pPr>
        <w:keepNext w:val="0"/>
        <w:keepLines w:val="0"/>
        <w:pageBreakBefore w:val="0"/>
        <w:kinsoku/>
        <w:wordWrap/>
        <w:overflowPunct/>
        <w:topLinePunct w:val="0"/>
        <w:autoSpaceDE/>
        <w:autoSpaceDN/>
        <w:bidi w:val="0"/>
        <w:adjustRightInd/>
        <w:snapToGrid/>
        <w:spacing w:line="360" w:lineRule="auto"/>
        <w:ind w:firstLine="654" w:firstLineChars="30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pacing w:val="4"/>
          <w:sz w:val="21"/>
          <w:szCs w:val="21"/>
          <w:highlight w:val="none"/>
          <w:shd w:val="clear" w:color="auto" w:fill="auto"/>
        </w:rPr>
        <w:t>本项目为非政府采购项目，根据招标投标有关法律法规及招标人单位内控制度等规定</w:t>
      </w:r>
      <w:r>
        <w:rPr>
          <w:rFonts w:hint="eastAsia" w:ascii="宋体" w:hAnsi="宋体" w:eastAsia="宋体" w:cs="宋体"/>
          <w:color w:val="auto"/>
          <w:sz w:val="21"/>
          <w:szCs w:val="21"/>
          <w:highlight w:val="none"/>
          <w:shd w:val="clear" w:color="auto" w:fill="auto"/>
        </w:rPr>
        <w:t>，受</w:t>
      </w:r>
      <w:r>
        <w:rPr>
          <w:rFonts w:hint="eastAsia" w:ascii="宋体" w:hAnsi="宋体" w:cs="宋体"/>
          <w:b/>
          <w:bCs/>
          <w:color w:val="auto"/>
          <w:sz w:val="21"/>
          <w:szCs w:val="21"/>
          <w:highlight w:val="none"/>
          <w:u w:val="single"/>
          <w:shd w:val="clear" w:color="auto" w:fill="auto"/>
          <w:lang w:eastAsia="zh-CN"/>
        </w:rPr>
        <w:t>临海市海洋开发投资有限公司</w:t>
      </w:r>
      <w:r>
        <w:rPr>
          <w:rFonts w:hint="eastAsia" w:ascii="宋体" w:hAnsi="宋体" w:eastAsia="宋体" w:cs="宋体"/>
          <w:color w:val="auto"/>
          <w:sz w:val="21"/>
          <w:szCs w:val="21"/>
          <w:highlight w:val="none"/>
          <w:shd w:val="clear" w:color="auto" w:fill="auto"/>
        </w:rPr>
        <w:t>委托，参照采购有关流程，现就</w:t>
      </w:r>
      <w:r>
        <w:rPr>
          <w:rFonts w:hint="eastAsia" w:ascii="宋体" w:hAnsi="宋体" w:cs="宋体"/>
          <w:b/>
          <w:bCs/>
          <w:color w:val="auto"/>
          <w:sz w:val="21"/>
          <w:szCs w:val="21"/>
          <w:highlight w:val="none"/>
          <w:u w:val="single"/>
          <w:shd w:val="clear" w:color="auto" w:fill="auto"/>
          <w:lang w:eastAsia="zh-CN"/>
        </w:rPr>
        <w:t>临海市海塘安澜工程（南洋涂海塘）预算审核</w:t>
      </w:r>
      <w:r>
        <w:rPr>
          <w:rFonts w:hint="eastAsia" w:ascii="宋体" w:hAnsi="宋体" w:eastAsia="宋体" w:cs="宋体"/>
          <w:color w:val="auto"/>
          <w:sz w:val="21"/>
          <w:szCs w:val="21"/>
          <w:highlight w:val="none"/>
          <w:shd w:val="clear" w:color="auto" w:fill="auto"/>
        </w:rPr>
        <w:t>进行公开招标，</w:t>
      </w:r>
      <w:r>
        <w:rPr>
          <w:rFonts w:hint="eastAsia" w:ascii="宋体" w:hAnsi="宋体" w:eastAsia="宋体" w:cs="宋体"/>
          <w:color w:val="auto"/>
          <w:kern w:val="0"/>
          <w:sz w:val="21"/>
          <w:szCs w:val="21"/>
          <w:highlight w:val="none"/>
          <w:shd w:val="clear" w:color="auto" w:fill="auto"/>
        </w:rPr>
        <w:t>欢迎具备本项目投标人的资格要求且能够及时提供相关货物及服务的投标人前来投标。</w:t>
      </w:r>
    </w:p>
    <w:p w14:paraId="5915078C">
      <w:pPr>
        <w:pStyle w:val="46"/>
        <w:keepNext w:val="0"/>
        <w:keepLines w:val="0"/>
        <w:pageBreakBefore w:val="0"/>
        <w:kinsoku/>
        <w:wordWrap/>
        <w:overflowPunct/>
        <w:topLinePunct w:val="0"/>
        <w:autoSpaceDE/>
        <w:autoSpaceDN/>
        <w:bidi w:val="0"/>
        <w:adjustRightInd/>
        <w:snapToGrid/>
        <w:spacing w:before="0" w:beforeAutospacing="0" w:after="0" w:afterAutospacing="0" w:line="360" w:lineRule="auto"/>
        <w:textAlignment w:val="auto"/>
        <w:outlineLvl w:val="0"/>
        <w:rPr>
          <w:rFonts w:hint="eastAsia" w:ascii="宋体" w:hAnsi="宋体" w:eastAsia="宋体" w:cs="宋体"/>
          <w:color w:val="auto"/>
          <w:sz w:val="21"/>
          <w:szCs w:val="21"/>
          <w:highlight w:val="none"/>
          <w:shd w:val="clear" w:color="auto" w:fill="auto"/>
        </w:rPr>
      </w:pPr>
      <w:bookmarkStart w:id="5" w:name="_Toc9553"/>
      <w:bookmarkStart w:id="6" w:name="_Toc11389"/>
      <w:r>
        <w:rPr>
          <w:rFonts w:hint="eastAsia" w:ascii="宋体" w:hAnsi="宋体" w:eastAsia="宋体" w:cs="宋体"/>
          <w:b/>
          <w:bCs/>
          <w:color w:val="auto"/>
          <w:sz w:val="21"/>
          <w:szCs w:val="21"/>
          <w:highlight w:val="none"/>
          <w:shd w:val="clear" w:color="auto" w:fill="auto"/>
        </w:rPr>
        <w:t>1</w:t>
      </w:r>
      <w:r>
        <w:rPr>
          <w:rFonts w:hint="eastAsia" w:ascii="宋体" w:hAnsi="宋体" w:eastAsia="宋体" w:cs="宋体"/>
          <w:color w:val="auto"/>
          <w:sz w:val="21"/>
          <w:szCs w:val="21"/>
          <w:highlight w:val="none"/>
          <w:shd w:val="clear" w:color="auto" w:fill="auto"/>
        </w:rPr>
        <w:t>.</w:t>
      </w:r>
      <w:r>
        <w:rPr>
          <w:rFonts w:hint="eastAsia" w:ascii="宋体" w:hAnsi="宋体" w:eastAsia="宋体" w:cs="宋体"/>
          <w:b/>
          <w:bCs/>
          <w:color w:val="auto"/>
          <w:sz w:val="21"/>
          <w:szCs w:val="21"/>
          <w:highlight w:val="none"/>
          <w:shd w:val="clear" w:color="auto" w:fill="auto"/>
        </w:rPr>
        <w:t>项目概况</w:t>
      </w:r>
      <w:bookmarkEnd w:id="5"/>
      <w:bookmarkEnd w:id="6"/>
    </w:p>
    <w:p w14:paraId="528D697D">
      <w:pPr>
        <w:pStyle w:val="46"/>
        <w:keepNext w:val="0"/>
        <w:keepLines w:val="0"/>
        <w:pageBreakBefore w:val="0"/>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项目名称：</w:t>
      </w:r>
      <w:r>
        <w:rPr>
          <w:rFonts w:hint="eastAsia" w:cs="宋体"/>
          <w:color w:val="auto"/>
          <w:sz w:val="21"/>
          <w:szCs w:val="21"/>
          <w:highlight w:val="none"/>
          <w:shd w:val="clear" w:color="auto" w:fill="auto"/>
          <w:lang w:eastAsia="zh-CN"/>
        </w:rPr>
        <w:t>临海市海塘安澜工程（南洋涂海塘）预算审核</w:t>
      </w:r>
    </w:p>
    <w:p w14:paraId="125751B3">
      <w:pPr>
        <w:pStyle w:val="46"/>
        <w:keepNext w:val="0"/>
        <w:keepLines w:val="0"/>
        <w:pageBreakBefore w:val="0"/>
        <w:kinsoku/>
        <w:wordWrap/>
        <w:overflowPunct/>
        <w:topLinePunct w:val="0"/>
        <w:autoSpaceDE/>
        <w:autoSpaceDN/>
        <w:bidi w:val="0"/>
        <w:adjustRightInd/>
        <w:snapToGrid/>
        <w:spacing w:before="0" w:beforeAutospacing="0" w:after="0" w:afterAutospacing="0" w:line="360" w:lineRule="auto"/>
        <w:textAlignment w:val="auto"/>
        <w:rPr>
          <w:rFonts w:hint="default"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rPr>
        <w:t>招标人：</w:t>
      </w:r>
      <w:r>
        <w:rPr>
          <w:rFonts w:hint="eastAsia" w:cs="宋体"/>
          <w:color w:val="auto"/>
          <w:sz w:val="21"/>
          <w:szCs w:val="21"/>
          <w:highlight w:val="none"/>
          <w:shd w:val="clear" w:color="auto" w:fill="auto"/>
          <w:lang w:eastAsia="zh-CN"/>
        </w:rPr>
        <w:t>临海市海洋开发投资有限公司</w:t>
      </w:r>
    </w:p>
    <w:p w14:paraId="23C2FDFD">
      <w:pPr>
        <w:pStyle w:val="46"/>
        <w:keepNext w:val="0"/>
        <w:keepLines w:val="0"/>
        <w:pageBreakBefore w:val="0"/>
        <w:kinsoku/>
        <w:wordWrap/>
        <w:overflowPunct/>
        <w:topLinePunct w:val="0"/>
        <w:autoSpaceDE/>
        <w:autoSpaceDN/>
        <w:bidi w:val="0"/>
        <w:adjustRightInd/>
        <w:snapToGrid/>
        <w:spacing w:before="0" w:beforeAutospacing="0" w:after="0" w:afterAutospacing="0" w:line="360" w:lineRule="auto"/>
        <w:textAlignment w:val="auto"/>
        <w:rPr>
          <w:rFonts w:hint="default"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rPr>
        <w:t>采购规模及内容概述：</w:t>
      </w:r>
      <w:r>
        <w:rPr>
          <w:rFonts w:hint="eastAsia" w:cs="宋体"/>
          <w:color w:val="auto"/>
          <w:sz w:val="21"/>
          <w:szCs w:val="21"/>
          <w:highlight w:val="none"/>
          <w:shd w:val="clear" w:color="auto" w:fill="auto"/>
          <w:lang w:eastAsia="zh-CN"/>
        </w:rPr>
        <w:t>临海市海塘安澜工程（南洋涂海塘）预算审核</w:t>
      </w:r>
      <w:r>
        <w:rPr>
          <w:rFonts w:hint="eastAsia" w:cs="宋体"/>
          <w:color w:val="auto"/>
          <w:sz w:val="21"/>
          <w:szCs w:val="21"/>
          <w:highlight w:val="none"/>
          <w:shd w:val="clear" w:color="auto" w:fill="auto"/>
          <w:lang w:val="en-US" w:eastAsia="zh-CN"/>
        </w:rPr>
        <w:t>，具体内容</w:t>
      </w:r>
      <w:r>
        <w:rPr>
          <w:rFonts w:hint="eastAsia" w:ascii="宋体" w:hAnsi="宋体" w:eastAsia="宋体" w:cs="宋体"/>
          <w:color w:val="auto"/>
          <w:sz w:val="21"/>
          <w:szCs w:val="21"/>
          <w:highlight w:val="none"/>
          <w:lang w:val="en-US" w:eastAsia="zh-CN"/>
        </w:rPr>
        <w:t>详见招标需求</w:t>
      </w:r>
      <w:r>
        <w:rPr>
          <w:rFonts w:hint="eastAsia" w:cs="宋体"/>
          <w:color w:val="auto"/>
          <w:sz w:val="21"/>
          <w:szCs w:val="21"/>
          <w:highlight w:val="none"/>
          <w:lang w:val="en-US" w:eastAsia="zh-CN"/>
        </w:rPr>
        <w:t>。</w:t>
      </w:r>
    </w:p>
    <w:p w14:paraId="7F9CB50C">
      <w:pPr>
        <w:keepNext w:val="0"/>
        <w:keepLines w:val="0"/>
        <w:pageBreakBefore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1"/>
          <w:szCs w:val="21"/>
          <w:highlight w:val="none"/>
          <w:shd w:val="clear" w:color="auto" w:fill="auto"/>
          <w:lang w:val="en-US"/>
        </w:rPr>
      </w:pPr>
      <w:r>
        <w:rPr>
          <w:rFonts w:hint="eastAsia" w:ascii="宋体" w:hAnsi="宋体" w:eastAsia="宋体" w:cs="宋体"/>
          <w:color w:val="auto"/>
          <w:kern w:val="0"/>
          <w:sz w:val="21"/>
          <w:szCs w:val="21"/>
          <w:highlight w:val="none"/>
          <w:shd w:val="clear" w:color="auto" w:fill="auto"/>
          <w:lang w:val="en-US" w:eastAsia="zh-CN"/>
        </w:rPr>
        <w:t>采购预算</w:t>
      </w:r>
      <w:r>
        <w:rPr>
          <w:rFonts w:hint="eastAsia" w:ascii="宋体" w:hAnsi="宋体" w:cs="宋体"/>
          <w:color w:val="auto"/>
          <w:kern w:val="0"/>
          <w:sz w:val="21"/>
          <w:szCs w:val="21"/>
          <w:highlight w:val="none"/>
          <w:shd w:val="clear" w:color="auto" w:fill="auto"/>
          <w:lang w:val="en-US" w:eastAsia="zh-CN"/>
        </w:rPr>
        <w:t>及最高投标限价</w:t>
      </w:r>
      <w:r>
        <w:rPr>
          <w:rFonts w:hint="eastAsia" w:ascii="宋体" w:hAnsi="宋体" w:eastAsia="宋体" w:cs="宋体"/>
          <w:color w:val="auto"/>
          <w:kern w:val="0"/>
          <w:sz w:val="21"/>
          <w:szCs w:val="21"/>
          <w:highlight w:val="none"/>
          <w:shd w:val="clear" w:color="auto" w:fill="auto"/>
          <w:lang w:val="en-US" w:eastAsia="zh-CN"/>
        </w:rPr>
        <w:t>：590625元</w:t>
      </w:r>
    </w:p>
    <w:p w14:paraId="6738F059">
      <w:pPr>
        <w:pStyle w:val="46"/>
        <w:keepNext w:val="0"/>
        <w:keepLines w:val="0"/>
        <w:pageBreakBefore w:val="0"/>
        <w:kinsoku/>
        <w:wordWrap/>
        <w:overflowPunct/>
        <w:topLinePunct w:val="0"/>
        <w:autoSpaceDE/>
        <w:autoSpaceDN/>
        <w:bidi w:val="0"/>
        <w:adjustRightInd/>
        <w:snapToGrid/>
        <w:spacing w:before="0" w:beforeAutospacing="0" w:after="0" w:afterAutospacing="0" w:line="360" w:lineRule="auto"/>
        <w:textAlignment w:val="auto"/>
        <w:rPr>
          <w:rFonts w:hint="eastAsia"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rPr>
        <w:t>采购标段数：</w:t>
      </w:r>
      <w:r>
        <w:rPr>
          <w:rFonts w:hint="eastAsia" w:cs="宋体"/>
          <w:color w:val="auto"/>
          <w:sz w:val="21"/>
          <w:szCs w:val="21"/>
          <w:highlight w:val="none"/>
          <w:shd w:val="clear" w:color="auto" w:fill="auto"/>
          <w:lang w:val="en-US" w:eastAsia="zh-CN"/>
        </w:rPr>
        <w:t>1</w:t>
      </w:r>
    </w:p>
    <w:p w14:paraId="39845FAE">
      <w:pPr>
        <w:pStyle w:val="46"/>
        <w:keepNext w:val="0"/>
        <w:keepLines w:val="0"/>
        <w:pageBreakBefore w:val="0"/>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采购方式：公开招标</w:t>
      </w:r>
    </w:p>
    <w:p w14:paraId="2F59583D">
      <w:pPr>
        <w:pStyle w:val="46"/>
        <w:keepNext w:val="0"/>
        <w:keepLines w:val="0"/>
        <w:pageBreakBefore w:val="0"/>
        <w:kinsoku/>
        <w:wordWrap/>
        <w:overflowPunct/>
        <w:topLinePunct w:val="0"/>
        <w:autoSpaceDE/>
        <w:autoSpaceDN/>
        <w:bidi w:val="0"/>
        <w:adjustRightInd/>
        <w:snapToGrid/>
        <w:spacing w:before="0" w:beforeAutospacing="0" w:after="0" w:afterAutospacing="0" w:line="360" w:lineRule="auto"/>
        <w:jc w:val="both"/>
        <w:textAlignment w:val="auto"/>
        <w:rPr>
          <w:rFonts w:hint="eastAsia" w:ascii="宋体" w:hAnsi="宋体" w:eastAsia="宋体" w:cs="宋体"/>
          <w:b/>
          <w:color w:val="auto"/>
          <w:sz w:val="21"/>
          <w:szCs w:val="21"/>
          <w:highlight w:val="none"/>
          <w:shd w:val="clear" w:color="auto" w:fill="auto"/>
        </w:rPr>
      </w:pPr>
      <w:r>
        <w:rPr>
          <w:rFonts w:hint="eastAsia" w:ascii="宋体" w:hAnsi="宋体" w:eastAsia="宋体" w:cs="宋体"/>
          <w:b/>
          <w:bCs w:val="0"/>
          <w:color w:val="auto"/>
          <w:sz w:val="21"/>
          <w:szCs w:val="21"/>
          <w:highlight w:val="none"/>
          <w:lang w:eastAsia="zh-CN"/>
        </w:rPr>
        <w:t>▲</w:t>
      </w:r>
      <w:r>
        <w:rPr>
          <w:rFonts w:hint="eastAsia" w:cs="宋体"/>
          <w:b/>
          <w:bCs w:val="0"/>
          <w:color w:val="auto"/>
          <w:sz w:val="21"/>
          <w:szCs w:val="21"/>
          <w:highlight w:val="none"/>
          <w:lang w:val="en-US" w:eastAsia="zh-CN"/>
        </w:rPr>
        <w:t>服务</w:t>
      </w:r>
      <w:r>
        <w:rPr>
          <w:rFonts w:hint="eastAsia" w:ascii="宋体" w:hAnsi="宋体" w:eastAsia="宋体" w:cs="宋体"/>
          <w:b/>
          <w:bCs w:val="0"/>
          <w:color w:val="auto"/>
          <w:sz w:val="21"/>
          <w:szCs w:val="21"/>
          <w:highlight w:val="none"/>
          <w:lang w:val="en-US" w:eastAsia="zh-CN"/>
        </w:rPr>
        <w:t>期</w:t>
      </w:r>
      <w:r>
        <w:rPr>
          <w:rFonts w:hint="eastAsia" w:ascii="宋体" w:hAnsi="宋体" w:eastAsia="宋体" w:cs="宋体"/>
          <w:b/>
          <w:bCs w:val="0"/>
          <w:color w:val="auto"/>
          <w:sz w:val="21"/>
          <w:szCs w:val="21"/>
          <w:highlight w:val="none"/>
        </w:rPr>
        <w:t>：在接收完整资料后</w:t>
      </w:r>
      <w:r>
        <w:rPr>
          <w:rFonts w:hint="eastAsia" w:cs="宋体"/>
          <w:b/>
          <w:bCs w:val="0"/>
          <w:color w:val="auto"/>
          <w:sz w:val="21"/>
          <w:szCs w:val="21"/>
          <w:highlight w:val="none"/>
          <w:lang w:val="en-US" w:eastAsia="zh-CN"/>
        </w:rPr>
        <w:t>30</w:t>
      </w:r>
      <w:r>
        <w:rPr>
          <w:rFonts w:hint="eastAsia" w:ascii="宋体" w:hAnsi="宋体" w:eastAsia="宋体" w:cs="宋体"/>
          <w:b/>
          <w:bCs w:val="0"/>
          <w:color w:val="auto"/>
          <w:sz w:val="21"/>
          <w:szCs w:val="21"/>
          <w:highlight w:val="none"/>
        </w:rPr>
        <w:t>日历天内完成施工图预算审核工作（如预算资料分批次提供的，需在接收该批次预算资料后</w:t>
      </w:r>
      <w:r>
        <w:rPr>
          <w:rFonts w:hint="eastAsia" w:cs="宋体"/>
          <w:b/>
          <w:bCs w:val="0"/>
          <w:color w:val="auto"/>
          <w:sz w:val="21"/>
          <w:szCs w:val="21"/>
          <w:highlight w:val="none"/>
          <w:lang w:val="en-US" w:eastAsia="zh-CN"/>
        </w:rPr>
        <w:t>15</w:t>
      </w:r>
      <w:r>
        <w:rPr>
          <w:rFonts w:hint="eastAsia" w:ascii="宋体" w:hAnsi="宋体" w:eastAsia="宋体" w:cs="宋体"/>
          <w:b/>
          <w:bCs w:val="0"/>
          <w:color w:val="auto"/>
          <w:sz w:val="21"/>
          <w:szCs w:val="21"/>
          <w:highlight w:val="none"/>
        </w:rPr>
        <w:t>日历天内完成施工图预算审核工作），其余工作内容在接到招标人通知后10日历天内完成。</w:t>
      </w:r>
    </w:p>
    <w:p w14:paraId="4EA358E3">
      <w:pPr>
        <w:pStyle w:val="46"/>
        <w:keepNext w:val="0"/>
        <w:keepLines w:val="0"/>
        <w:pageBreakBefore w:val="0"/>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采购文件公告期限：</w:t>
      </w:r>
      <w:r>
        <w:rPr>
          <w:rFonts w:hint="eastAsia" w:ascii="宋体" w:hAnsi="宋体" w:eastAsia="宋体" w:cs="宋体"/>
          <w:b/>
          <w:color w:val="auto"/>
          <w:sz w:val="21"/>
          <w:szCs w:val="21"/>
          <w:highlight w:val="none"/>
          <w:shd w:val="clear" w:color="auto" w:fill="auto"/>
          <w:lang w:val="en-US" w:eastAsia="zh-CN"/>
        </w:rPr>
        <w:t>5</w:t>
      </w:r>
      <w:r>
        <w:rPr>
          <w:rFonts w:hint="eastAsia" w:ascii="宋体" w:hAnsi="宋体" w:eastAsia="宋体" w:cs="宋体"/>
          <w:b/>
          <w:color w:val="auto"/>
          <w:sz w:val="21"/>
          <w:szCs w:val="21"/>
          <w:highlight w:val="none"/>
          <w:shd w:val="clear" w:color="auto" w:fill="auto"/>
        </w:rPr>
        <w:t>个工作日</w:t>
      </w:r>
    </w:p>
    <w:p w14:paraId="281CD9D2">
      <w:pPr>
        <w:pStyle w:val="46"/>
        <w:keepNext w:val="0"/>
        <w:keepLines w:val="0"/>
        <w:pageBreakBefore w:val="0"/>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该项目已具备条件，现对该项目进行公开招标。</w:t>
      </w:r>
    </w:p>
    <w:p w14:paraId="1BDA49A3">
      <w:pPr>
        <w:keepNext w:val="0"/>
        <w:keepLines w:val="0"/>
        <w:pageBreakBefore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
          <w:bCs/>
          <w:color w:val="auto"/>
          <w:kern w:val="0"/>
          <w:sz w:val="21"/>
          <w:szCs w:val="21"/>
          <w:highlight w:val="none"/>
          <w:shd w:val="clear" w:color="auto" w:fill="auto"/>
        </w:rPr>
      </w:pPr>
      <w:bookmarkStart w:id="7" w:name="_Toc22442"/>
      <w:bookmarkStart w:id="8" w:name="_Toc14380"/>
      <w:r>
        <w:rPr>
          <w:rFonts w:hint="eastAsia" w:ascii="宋体" w:hAnsi="宋体" w:eastAsia="宋体" w:cs="宋体"/>
          <w:b/>
          <w:bCs/>
          <w:color w:val="auto"/>
          <w:kern w:val="0"/>
          <w:sz w:val="21"/>
          <w:szCs w:val="21"/>
          <w:highlight w:val="none"/>
          <w:shd w:val="clear" w:color="auto" w:fill="auto"/>
        </w:rPr>
        <w:t>2.投标人资格要求</w:t>
      </w:r>
      <w:bookmarkEnd w:id="7"/>
      <w:bookmarkEnd w:id="8"/>
    </w:p>
    <w:p w14:paraId="59D97F3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未被“信用中国”（www.creditchina.gov.cn)、中国政府采购网（www.ccgp.gov.cn）列入失信被执行人、税收违法黑名单、政府采购严重违法失信行为记录名单</w:t>
      </w:r>
      <w:r>
        <w:rPr>
          <w:rFonts w:hint="eastAsia" w:ascii="宋体" w:hAnsi="宋体" w:eastAsia="宋体" w:cs="宋体"/>
          <w:color w:val="auto"/>
          <w:kern w:val="0"/>
          <w:sz w:val="21"/>
          <w:szCs w:val="21"/>
          <w:highlight w:val="none"/>
          <w:lang w:eastAsia="zh-CN"/>
        </w:rPr>
        <w:t>；</w:t>
      </w:r>
    </w:p>
    <w:p w14:paraId="15AE1C78">
      <w:pPr>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sz w:val="21"/>
          <w:szCs w:val="21"/>
          <w:highlight w:val="none"/>
        </w:rPr>
        <w:t>具有与本项目采购相适应的商品经营能力（包括供应能力、售后服务能力等）；</w:t>
      </w:r>
    </w:p>
    <w:p w14:paraId="79706330">
      <w:pPr>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本项目不接受联合体投标。</w:t>
      </w:r>
    </w:p>
    <w:p w14:paraId="225A052B">
      <w:pPr>
        <w:keepNext w:val="0"/>
        <w:keepLines w:val="0"/>
        <w:pageBreakBefore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
          <w:bCs/>
          <w:color w:val="auto"/>
          <w:kern w:val="0"/>
          <w:sz w:val="21"/>
          <w:szCs w:val="21"/>
          <w:highlight w:val="none"/>
          <w:shd w:val="clear" w:color="auto" w:fill="auto"/>
        </w:rPr>
      </w:pPr>
      <w:bookmarkStart w:id="9" w:name="_Toc7048"/>
      <w:bookmarkStart w:id="10" w:name="_Toc1180"/>
      <w:r>
        <w:rPr>
          <w:rFonts w:hint="eastAsia" w:ascii="宋体" w:hAnsi="宋体" w:eastAsia="宋体" w:cs="宋体"/>
          <w:b/>
          <w:bCs/>
          <w:color w:val="auto"/>
          <w:kern w:val="0"/>
          <w:sz w:val="21"/>
          <w:szCs w:val="21"/>
          <w:highlight w:val="none"/>
          <w:shd w:val="clear" w:color="auto" w:fill="auto"/>
        </w:rPr>
        <w:t>3.报名</w:t>
      </w:r>
      <w:bookmarkEnd w:id="9"/>
      <w:bookmarkEnd w:id="10"/>
    </w:p>
    <w:p w14:paraId="0DA5429D">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kern w:val="0"/>
          <w:sz w:val="21"/>
          <w:szCs w:val="21"/>
          <w:highlight w:val="none"/>
          <w:u w:val="single"/>
          <w:shd w:val="clear" w:color="auto" w:fill="auto"/>
        </w:rPr>
      </w:pPr>
      <w:r>
        <w:rPr>
          <w:rFonts w:hint="eastAsia" w:ascii="宋体" w:hAnsi="宋体" w:eastAsia="宋体" w:cs="宋体"/>
          <w:b/>
          <w:bCs/>
          <w:color w:val="auto"/>
          <w:kern w:val="0"/>
          <w:sz w:val="21"/>
          <w:szCs w:val="21"/>
          <w:highlight w:val="none"/>
          <w:u w:val="single"/>
          <w:shd w:val="clear" w:color="auto" w:fill="auto"/>
        </w:rPr>
        <w:t>本项目无需报名，</w:t>
      </w:r>
      <w:bookmarkStart w:id="11" w:name="_Hlk59307647"/>
      <w:r>
        <w:rPr>
          <w:rFonts w:hint="eastAsia" w:ascii="宋体" w:hAnsi="宋体" w:eastAsia="宋体" w:cs="宋体"/>
          <w:b/>
          <w:bCs/>
          <w:color w:val="auto"/>
          <w:kern w:val="0"/>
          <w:sz w:val="21"/>
          <w:szCs w:val="21"/>
          <w:highlight w:val="none"/>
          <w:u w:val="single"/>
          <w:shd w:val="clear" w:color="auto" w:fill="auto"/>
        </w:rPr>
        <w:t>投标人须到临海市限额以下公共资源交易区域平台</w:t>
      </w:r>
    </w:p>
    <w:p w14:paraId="03C2200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kern w:val="0"/>
          <w:sz w:val="21"/>
          <w:szCs w:val="21"/>
          <w:highlight w:val="none"/>
          <w:u w:val="single"/>
          <w:shd w:val="clear" w:color="auto" w:fill="auto"/>
        </w:rPr>
      </w:pPr>
      <w:r>
        <w:rPr>
          <w:rFonts w:hint="eastAsia" w:ascii="宋体" w:hAnsi="宋体" w:eastAsia="宋体" w:cs="宋体"/>
          <w:b/>
          <w:bCs/>
          <w:color w:val="auto"/>
          <w:kern w:val="0"/>
          <w:sz w:val="21"/>
          <w:szCs w:val="21"/>
          <w:highlight w:val="none"/>
          <w:u w:val="single"/>
          <w:shd w:val="clear" w:color="auto" w:fill="auto"/>
        </w:rPr>
        <w:t>（https://www.lhcqjy.com.cn/home）注册</w:t>
      </w:r>
      <w:bookmarkEnd w:id="11"/>
      <w:r>
        <w:rPr>
          <w:rFonts w:hint="eastAsia" w:ascii="宋体" w:hAnsi="宋体" w:eastAsia="宋体" w:cs="宋体"/>
          <w:b/>
          <w:bCs/>
          <w:color w:val="auto"/>
          <w:kern w:val="0"/>
          <w:sz w:val="21"/>
          <w:szCs w:val="21"/>
          <w:highlight w:val="none"/>
          <w:u w:val="single"/>
          <w:shd w:val="clear" w:color="auto" w:fill="auto"/>
        </w:rPr>
        <w:t>、提交审核通过后可参加投标，注册咨询联系人：梁工，联系电话：0576-85407095；</w:t>
      </w:r>
    </w:p>
    <w:p w14:paraId="1BA46BE6">
      <w:pPr>
        <w:keepNext w:val="0"/>
        <w:keepLines w:val="0"/>
        <w:pageBreakBefore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
          <w:bCs/>
          <w:color w:val="auto"/>
          <w:kern w:val="0"/>
          <w:sz w:val="21"/>
          <w:szCs w:val="21"/>
          <w:highlight w:val="none"/>
        </w:rPr>
      </w:pPr>
      <w:bookmarkStart w:id="12" w:name="_Toc4264"/>
      <w:bookmarkStart w:id="13" w:name="_Toc20033"/>
      <w:r>
        <w:rPr>
          <w:rFonts w:hint="eastAsia" w:ascii="宋体" w:hAnsi="宋体" w:eastAsia="宋体" w:cs="宋体"/>
          <w:b/>
          <w:bCs/>
          <w:color w:val="auto"/>
          <w:kern w:val="0"/>
          <w:sz w:val="21"/>
          <w:szCs w:val="21"/>
          <w:highlight w:val="none"/>
        </w:rPr>
        <w:t>4.招标文件的获取</w:t>
      </w:r>
      <w:bookmarkEnd w:id="12"/>
      <w:bookmarkEnd w:id="13"/>
    </w:p>
    <w:p w14:paraId="3EDB799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采购文件售价：免费</w:t>
      </w:r>
    </w:p>
    <w:p w14:paraId="5E58B22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获取方式：凡有意参加投标者，在202</w:t>
      </w:r>
      <w:r>
        <w:rPr>
          <w:rFonts w:hint="eastAsia" w:ascii="宋体" w:hAnsi="宋体" w:cs="宋体"/>
          <w:bCs/>
          <w:color w:val="auto"/>
          <w:sz w:val="21"/>
          <w:szCs w:val="21"/>
          <w:highlight w:val="none"/>
          <w:lang w:val="en-US" w:eastAsia="zh-CN"/>
        </w:rPr>
        <w:t>6</w:t>
      </w:r>
      <w:r>
        <w:rPr>
          <w:rFonts w:hint="eastAsia" w:ascii="宋体" w:hAnsi="宋体" w:eastAsia="宋体" w:cs="宋体"/>
          <w:bCs/>
          <w:color w:val="auto"/>
          <w:sz w:val="21"/>
          <w:szCs w:val="21"/>
          <w:highlight w:val="none"/>
        </w:rPr>
        <w:t>年</w:t>
      </w:r>
      <w:r>
        <w:rPr>
          <w:rFonts w:hint="eastAsia" w:ascii="宋体" w:hAnsi="宋体" w:cs="宋体"/>
          <w:bCs/>
          <w:color w:val="auto"/>
          <w:sz w:val="21"/>
          <w:szCs w:val="21"/>
          <w:highlight w:val="none"/>
          <w:lang w:val="en-US" w:eastAsia="zh-CN"/>
        </w:rPr>
        <w:t>8</w:t>
      </w:r>
      <w:r>
        <w:rPr>
          <w:rFonts w:hint="eastAsia" w:ascii="宋体" w:hAnsi="宋体" w:eastAsia="宋体" w:cs="宋体"/>
          <w:bCs/>
          <w:color w:val="auto"/>
          <w:sz w:val="21"/>
          <w:szCs w:val="21"/>
          <w:highlight w:val="none"/>
        </w:rPr>
        <w:t>月</w:t>
      </w:r>
      <w:r>
        <w:rPr>
          <w:rFonts w:hint="eastAsia" w:ascii="宋体" w:hAnsi="宋体" w:cs="宋体"/>
          <w:bCs/>
          <w:color w:val="auto"/>
          <w:sz w:val="21"/>
          <w:szCs w:val="21"/>
          <w:highlight w:val="none"/>
          <w:lang w:val="en-US" w:eastAsia="zh-CN"/>
        </w:rPr>
        <w:t>4</w:t>
      </w:r>
      <w:r>
        <w:rPr>
          <w:rFonts w:hint="eastAsia" w:ascii="宋体" w:hAnsi="宋体" w:eastAsia="宋体" w:cs="宋体"/>
          <w:bCs/>
          <w:color w:val="auto"/>
          <w:sz w:val="21"/>
          <w:szCs w:val="21"/>
          <w:highlight w:val="none"/>
        </w:rPr>
        <w:t>日</w:t>
      </w:r>
      <w:r>
        <w:rPr>
          <w:rFonts w:hint="eastAsia" w:ascii="宋体" w:hAnsi="宋体" w:cs="宋体"/>
          <w:bCs/>
          <w:color w:val="auto"/>
          <w:sz w:val="21"/>
          <w:szCs w:val="21"/>
          <w:highlight w:val="none"/>
          <w:lang w:val="en-US" w:eastAsia="zh-CN"/>
        </w:rPr>
        <w:t>08</w:t>
      </w:r>
      <w:r>
        <w:rPr>
          <w:rFonts w:hint="eastAsia" w:ascii="宋体" w:hAnsi="宋体" w:eastAsia="宋体" w:cs="宋体"/>
          <w:bCs/>
          <w:color w:val="auto"/>
          <w:sz w:val="21"/>
          <w:szCs w:val="21"/>
          <w:highlight w:val="none"/>
        </w:rPr>
        <w:t>时</w:t>
      </w:r>
      <w:r>
        <w:rPr>
          <w:rFonts w:hint="eastAsia" w:ascii="宋体" w:hAnsi="宋体" w:cs="宋体"/>
          <w:bCs/>
          <w:color w:val="auto"/>
          <w:sz w:val="21"/>
          <w:szCs w:val="21"/>
          <w:highlight w:val="none"/>
          <w:lang w:val="en-US" w:eastAsia="zh-CN"/>
        </w:rPr>
        <w:t>30</w:t>
      </w:r>
      <w:r>
        <w:rPr>
          <w:rFonts w:hint="eastAsia" w:ascii="宋体" w:hAnsi="宋体" w:eastAsia="宋体" w:cs="宋体"/>
          <w:bCs/>
          <w:color w:val="auto"/>
          <w:sz w:val="21"/>
          <w:szCs w:val="21"/>
          <w:highlight w:val="none"/>
        </w:rPr>
        <w:t>分00秒前，到临海市限额以下公共资源交易区域平台可自行下载采购文件。</w:t>
      </w:r>
    </w:p>
    <w:p w14:paraId="2D7B522D">
      <w:pPr>
        <w:pStyle w:val="46"/>
        <w:keepNext w:val="0"/>
        <w:keepLines w:val="0"/>
        <w:pageBreakBefore w:val="0"/>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招标文件答疑：</w:t>
      </w:r>
      <w:r>
        <w:rPr>
          <w:rFonts w:hint="eastAsia" w:ascii="宋体" w:hAnsi="宋体" w:eastAsia="宋体" w:cs="宋体"/>
          <w:b/>
          <w:color w:val="auto"/>
          <w:sz w:val="21"/>
          <w:szCs w:val="21"/>
          <w:highlight w:val="none"/>
        </w:rPr>
        <w:t>投标人对采购文件提出质疑的，应当在获取采购文件或者采购文件公告期限届满之日（公告期限届满后获取采购文件的，以公告期限届满之日为准）起7个工作日内以书面形式提出，否则被质疑人可不予接受。</w:t>
      </w:r>
    </w:p>
    <w:p w14:paraId="1F47B99F">
      <w:pPr>
        <w:pStyle w:val="46"/>
        <w:keepNext w:val="0"/>
        <w:keepLines w:val="0"/>
        <w:pageBreakBefore w:val="0"/>
        <w:kinsoku/>
        <w:wordWrap/>
        <w:overflowPunct/>
        <w:topLinePunct w:val="0"/>
        <w:autoSpaceDE/>
        <w:autoSpaceDN/>
        <w:bidi w:val="0"/>
        <w:adjustRightInd/>
        <w:snapToGrid/>
        <w:spacing w:before="0" w:beforeAutospacing="0" w:after="0" w:afterAutospacing="0" w:line="360" w:lineRule="auto"/>
        <w:textAlignment w:val="auto"/>
        <w:outlineLvl w:val="0"/>
        <w:rPr>
          <w:rFonts w:hint="eastAsia" w:ascii="宋体" w:hAnsi="宋体" w:eastAsia="宋体" w:cs="宋体"/>
          <w:color w:val="auto"/>
          <w:sz w:val="21"/>
          <w:szCs w:val="21"/>
          <w:highlight w:val="none"/>
        </w:rPr>
      </w:pPr>
      <w:bookmarkStart w:id="14" w:name="_Toc27283"/>
      <w:bookmarkStart w:id="15" w:name="_Toc31840"/>
      <w:r>
        <w:rPr>
          <w:rFonts w:hint="eastAsia" w:ascii="宋体" w:hAnsi="宋体" w:eastAsia="宋体" w:cs="宋体"/>
          <w:b/>
          <w:bCs/>
          <w:color w:val="auto"/>
          <w:sz w:val="21"/>
          <w:szCs w:val="21"/>
          <w:highlight w:val="none"/>
        </w:rPr>
        <w:t>5.投标保证金</w:t>
      </w:r>
      <w:bookmarkEnd w:id="14"/>
      <w:bookmarkEnd w:id="15"/>
    </w:p>
    <w:p w14:paraId="00F3ED4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本项目不收取投标保证金。</w:t>
      </w:r>
    </w:p>
    <w:p w14:paraId="7543F987">
      <w:pPr>
        <w:keepNext w:val="0"/>
        <w:keepLines w:val="0"/>
        <w:pageBreakBefore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
          <w:bCs/>
          <w:color w:val="auto"/>
          <w:kern w:val="0"/>
          <w:sz w:val="21"/>
          <w:szCs w:val="21"/>
          <w:highlight w:val="none"/>
        </w:rPr>
      </w:pPr>
      <w:bookmarkStart w:id="16" w:name="_Toc10703"/>
      <w:bookmarkStart w:id="17" w:name="_Toc7645"/>
      <w:r>
        <w:rPr>
          <w:rFonts w:hint="eastAsia" w:ascii="宋体" w:hAnsi="宋体" w:eastAsia="宋体" w:cs="宋体"/>
          <w:b/>
          <w:color w:val="auto"/>
          <w:sz w:val="21"/>
          <w:szCs w:val="21"/>
          <w:highlight w:val="none"/>
        </w:rPr>
        <w:t>6</w:t>
      </w:r>
      <w:r>
        <w:rPr>
          <w:rFonts w:hint="eastAsia" w:ascii="宋体" w:hAnsi="宋体" w:eastAsia="宋体" w:cs="宋体"/>
          <w:b/>
          <w:bCs/>
          <w:color w:val="auto"/>
          <w:kern w:val="0"/>
          <w:sz w:val="21"/>
          <w:szCs w:val="21"/>
          <w:highlight w:val="none"/>
        </w:rPr>
        <w:t>.投标说明</w:t>
      </w:r>
      <w:bookmarkEnd w:id="16"/>
      <w:bookmarkEnd w:id="17"/>
    </w:p>
    <w:p w14:paraId="04E17D8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（1）本项目实行电子投标，投标人应按照本项目招标文件求编制、加密并递交投标文件。投标人在使用系统进行投标的过程中遇到涉及平台使用的任何问题，可致电平台技术支持联系方式：15267291759。</w:t>
      </w:r>
    </w:p>
    <w:p w14:paraId="23D4F47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7EE3D6B6">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（3）投标人应在开标前完成CA数字证书办理。（办理流程详见临海市限额以下公共资源交易区域平台-办事指南的操作说明）。</w:t>
      </w:r>
    </w:p>
    <w:p w14:paraId="48D632A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kern w:val="0"/>
          <w:sz w:val="21"/>
          <w:szCs w:val="21"/>
          <w:highlight w:val="none"/>
        </w:rPr>
      </w:pPr>
      <w:r>
        <w:rPr>
          <w:rFonts w:hint="eastAsia" w:ascii="宋体" w:hAnsi="宋体" w:eastAsia="宋体" w:cs="宋体"/>
          <w:color w:val="auto"/>
          <w:kern w:val="0"/>
          <w:sz w:val="21"/>
          <w:szCs w:val="21"/>
          <w:highlight w:val="none"/>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eastAsia="宋体" w:cs="宋体"/>
          <w:b/>
          <w:bCs/>
          <w:color w:val="auto"/>
          <w:kern w:val="0"/>
          <w:sz w:val="21"/>
          <w:szCs w:val="21"/>
          <w:highlight w:val="none"/>
        </w:rPr>
        <w:t>投标截止时间后传输、递交的投标文件，将被拒收。</w:t>
      </w:r>
    </w:p>
    <w:p w14:paraId="574D1E2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（5）本招标文件中关于电子招投标内容、流程如与</w:t>
      </w:r>
      <w:r>
        <w:rPr>
          <w:rFonts w:hint="eastAsia" w:ascii="宋体" w:hAnsi="宋体" w:eastAsia="宋体" w:cs="宋体"/>
          <w:color w:val="auto"/>
          <w:kern w:val="0"/>
          <w:sz w:val="21"/>
          <w:szCs w:val="21"/>
          <w:highlight w:val="none"/>
        </w:rPr>
        <w:t>临海市限额以下公共资源交易区域平台</w:t>
      </w:r>
      <w:r>
        <w:rPr>
          <w:rFonts w:hint="eastAsia" w:ascii="宋体" w:hAnsi="宋体" w:eastAsia="宋体" w:cs="宋体"/>
          <w:b/>
          <w:bCs/>
          <w:color w:val="auto"/>
          <w:kern w:val="0"/>
          <w:sz w:val="21"/>
          <w:szCs w:val="21"/>
          <w:highlight w:val="none"/>
        </w:rPr>
        <w:t>中最新的内容、操作不一致的，以平台中的要求为准。</w:t>
      </w:r>
    </w:p>
    <w:p w14:paraId="61BCD862">
      <w:pPr>
        <w:keepNext w:val="0"/>
        <w:keepLines w:val="0"/>
        <w:pageBreakBefore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
          <w:color w:val="auto"/>
          <w:sz w:val="21"/>
          <w:szCs w:val="21"/>
          <w:highlight w:val="none"/>
        </w:rPr>
      </w:pPr>
      <w:bookmarkStart w:id="18" w:name="_Toc28595"/>
      <w:bookmarkStart w:id="19" w:name="_Toc31142"/>
      <w:r>
        <w:rPr>
          <w:rFonts w:hint="eastAsia" w:ascii="宋体" w:hAnsi="宋体" w:eastAsia="宋体" w:cs="宋体"/>
          <w:b/>
          <w:color w:val="auto"/>
          <w:sz w:val="21"/>
          <w:szCs w:val="21"/>
          <w:highlight w:val="none"/>
        </w:rPr>
        <w:t>7</w:t>
      </w:r>
      <w:r>
        <w:rPr>
          <w:rFonts w:hint="eastAsia" w:ascii="宋体" w:hAnsi="宋体" w:eastAsia="宋体" w:cs="宋体"/>
          <w:b/>
          <w:color w:val="auto"/>
          <w:kern w:val="0"/>
          <w:sz w:val="21"/>
          <w:szCs w:val="21"/>
          <w:highlight w:val="none"/>
        </w:rPr>
        <w:t>.</w:t>
      </w:r>
      <w:r>
        <w:rPr>
          <w:rFonts w:hint="eastAsia" w:ascii="宋体" w:hAnsi="宋体" w:eastAsia="宋体" w:cs="宋体"/>
          <w:b/>
          <w:color w:val="auto"/>
          <w:sz w:val="21"/>
          <w:szCs w:val="21"/>
          <w:highlight w:val="none"/>
        </w:rPr>
        <w:t>投标文件的组成、效力</w:t>
      </w:r>
      <w:bookmarkEnd w:id="18"/>
      <w:bookmarkEnd w:id="19"/>
    </w:p>
    <w:p w14:paraId="7587C9A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（1）本项目实行电子投标，投标人应准备电子投标文件，本项目线下无需提供任何备份投标文件。电子投标文件应按本招标文件要求编制。</w:t>
      </w:r>
    </w:p>
    <w:p w14:paraId="2619A8C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（2）未在</w:t>
      </w:r>
      <w:r>
        <w:rPr>
          <w:rFonts w:hint="eastAsia" w:ascii="宋体" w:hAnsi="宋体" w:eastAsia="宋体" w:cs="宋体"/>
          <w:color w:val="auto"/>
          <w:kern w:val="0"/>
          <w:sz w:val="21"/>
          <w:szCs w:val="21"/>
          <w:highlight w:val="none"/>
        </w:rPr>
        <w:t>“临海市限额以下公共资源交易区域平台”</w:t>
      </w:r>
      <w:r>
        <w:rPr>
          <w:rFonts w:hint="eastAsia" w:ascii="宋体" w:hAnsi="宋体" w:eastAsia="宋体" w:cs="宋体"/>
          <w:color w:val="auto"/>
          <w:sz w:val="21"/>
          <w:szCs w:val="21"/>
          <w:highlight w:val="none"/>
        </w:rPr>
        <w:t>传输递交电子投标文件的，投标无效。</w:t>
      </w:r>
    </w:p>
    <w:p w14:paraId="4F6E6E68">
      <w:pPr>
        <w:keepNext w:val="0"/>
        <w:keepLines w:val="0"/>
        <w:pageBreakBefore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color w:val="auto"/>
          <w:sz w:val="21"/>
          <w:szCs w:val="21"/>
          <w:highlight w:val="none"/>
        </w:rPr>
      </w:pPr>
      <w:bookmarkStart w:id="20" w:name="_Toc6910"/>
      <w:bookmarkStart w:id="21" w:name="_Toc4781"/>
      <w:r>
        <w:rPr>
          <w:rFonts w:hint="eastAsia" w:ascii="宋体" w:hAnsi="宋体" w:eastAsia="宋体" w:cs="宋体"/>
          <w:b/>
          <w:color w:val="auto"/>
          <w:sz w:val="21"/>
          <w:szCs w:val="21"/>
          <w:highlight w:val="none"/>
        </w:rPr>
        <w:t>8.投标截止时间及电子投标文件的递交</w:t>
      </w:r>
      <w:bookmarkEnd w:id="20"/>
      <w:bookmarkEnd w:id="21"/>
    </w:p>
    <w:p w14:paraId="327CBF0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电子投标文件</w:t>
      </w:r>
      <w:r>
        <w:rPr>
          <w:rFonts w:hint="eastAsia" w:ascii="宋体" w:hAnsi="宋体" w:eastAsia="宋体" w:cs="宋体"/>
          <w:b/>
          <w:color w:val="auto"/>
          <w:sz w:val="21"/>
          <w:szCs w:val="21"/>
          <w:highlight w:val="none"/>
        </w:rPr>
        <w:t>投标截止时间：202</w:t>
      </w:r>
      <w:r>
        <w:rPr>
          <w:rFonts w:hint="eastAsia" w:ascii="宋体" w:hAnsi="宋体" w:cs="宋体"/>
          <w:b/>
          <w:color w:val="auto"/>
          <w:sz w:val="21"/>
          <w:szCs w:val="21"/>
          <w:highlight w:val="none"/>
          <w:lang w:val="en-US" w:eastAsia="zh-CN"/>
        </w:rPr>
        <w:t>6</w:t>
      </w:r>
      <w:r>
        <w:rPr>
          <w:rFonts w:hint="eastAsia" w:ascii="宋体" w:hAnsi="宋体" w:eastAsia="宋体" w:cs="宋体"/>
          <w:b/>
          <w:color w:val="auto"/>
          <w:sz w:val="21"/>
          <w:szCs w:val="21"/>
          <w:highlight w:val="none"/>
        </w:rPr>
        <w:t>年</w:t>
      </w:r>
      <w:r>
        <w:rPr>
          <w:rFonts w:hint="eastAsia" w:ascii="宋体" w:hAnsi="宋体" w:cs="宋体"/>
          <w:b/>
          <w:color w:val="auto"/>
          <w:sz w:val="21"/>
          <w:szCs w:val="21"/>
          <w:highlight w:val="none"/>
          <w:lang w:val="en-US" w:eastAsia="zh-CN"/>
        </w:rPr>
        <w:t>8</w:t>
      </w:r>
      <w:r>
        <w:rPr>
          <w:rFonts w:hint="eastAsia" w:ascii="宋体" w:hAnsi="宋体" w:eastAsia="宋体" w:cs="宋体"/>
          <w:b/>
          <w:color w:val="auto"/>
          <w:sz w:val="21"/>
          <w:szCs w:val="21"/>
          <w:highlight w:val="none"/>
        </w:rPr>
        <w:t>月</w:t>
      </w:r>
      <w:r>
        <w:rPr>
          <w:rFonts w:hint="eastAsia" w:ascii="宋体" w:hAnsi="宋体" w:cs="宋体"/>
          <w:b/>
          <w:color w:val="auto"/>
          <w:sz w:val="21"/>
          <w:szCs w:val="21"/>
          <w:highlight w:val="none"/>
          <w:lang w:val="en-US" w:eastAsia="zh-CN"/>
        </w:rPr>
        <w:t>4</w:t>
      </w:r>
      <w:r>
        <w:rPr>
          <w:rFonts w:hint="eastAsia" w:ascii="宋体" w:hAnsi="宋体" w:eastAsia="宋体" w:cs="宋体"/>
          <w:b/>
          <w:color w:val="auto"/>
          <w:sz w:val="21"/>
          <w:szCs w:val="21"/>
          <w:highlight w:val="none"/>
        </w:rPr>
        <w:t>日</w:t>
      </w:r>
      <w:r>
        <w:rPr>
          <w:rFonts w:hint="eastAsia" w:ascii="宋体" w:hAnsi="宋体" w:cs="宋体"/>
          <w:b/>
          <w:color w:val="auto"/>
          <w:sz w:val="21"/>
          <w:szCs w:val="21"/>
          <w:highlight w:val="none"/>
          <w:lang w:val="en-US" w:eastAsia="zh-CN"/>
        </w:rPr>
        <w:t>08</w:t>
      </w:r>
      <w:r>
        <w:rPr>
          <w:rFonts w:hint="eastAsia" w:ascii="宋体" w:hAnsi="宋体" w:eastAsia="宋体" w:cs="宋体"/>
          <w:b/>
          <w:color w:val="auto"/>
          <w:sz w:val="21"/>
          <w:szCs w:val="21"/>
          <w:highlight w:val="none"/>
        </w:rPr>
        <w:t>时</w:t>
      </w:r>
      <w:r>
        <w:rPr>
          <w:rFonts w:hint="eastAsia" w:ascii="宋体" w:hAnsi="宋体" w:cs="宋体"/>
          <w:b/>
          <w:color w:val="auto"/>
          <w:sz w:val="21"/>
          <w:szCs w:val="21"/>
          <w:highlight w:val="none"/>
          <w:lang w:val="en-US" w:eastAsia="zh-CN"/>
        </w:rPr>
        <w:t>30</w:t>
      </w:r>
      <w:r>
        <w:rPr>
          <w:rFonts w:hint="eastAsia" w:ascii="宋体" w:hAnsi="宋体" w:eastAsia="宋体" w:cs="宋体"/>
          <w:b/>
          <w:color w:val="auto"/>
          <w:sz w:val="21"/>
          <w:szCs w:val="21"/>
          <w:highlight w:val="none"/>
        </w:rPr>
        <w:t>分00秒，</w:t>
      </w:r>
      <w:r>
        <w:rPr>
          <w:rFonts w:hint="eastAsia" w:ascii="宋体" w:hAnsi="宋体" w:eastAsia="宋体" w:cs="宋体"/>
          <w:color w:val="auto"/>
          <w:kern w:val="0"/>
          <w:sz w:val="21"/>
          <w:szCs w:val="21"/>
          <w:highlight w:val="none"/>
        </w:rPr>
        <w:t>投标人应于投标截止时间之前将电子投标文件上传到“临海市限额以下公共资源交易区域平台”。投标截止时间前未完成传输电子投标文件的</w:t>
      </w:r>
      <w:r>
        <w:rPr>
          <w:rFonts w:hint="eastAsia" w:ascii="宋体" w:hAnsi="宋体" w:eastAsia="宋体" w:cs="宋体"/>
          <w:color w:val="auto"/>
          <w:sz w:val="21"/>
          <w:szCs w:val="21"/>
          <w:highlight w:val="none"/>
        </w:rPr>
        <w:t>，投标无效。</w:t>
      </w:r>
    </w:p>
    <w:p w14:paraId="71459CF9">
      <w:pPr>
        <w:keepNext w:val="0"/>
        <w:keepLines w:val="0"/>
        <w:pageBreakBefore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
          <w:color w:val="auto"/>
          <w:sz w:val="21"/>
          <w:szCs w:val="21"/>
          <w:highlight w:val="none"/>
        </w:rPr>
      </w:pPr>
      <w:bookmarkStart w:id="22" w:name="_Toc30858"/>
      <w:bookmarkStart w:id="23" w:name="_Toc3458"/>
      <w:r>
        <w:rPr>
          <w:rFonts w:hint="eastAsia" w:ascii="宋体" w:hAnsi="宋体" w:eastAsia="宋体" w:cs="宋体"/>
          <w:b/>
          <w:color w:val="auto"/>
          <w:sz w:val="21"/>
          <w:szCs w:val="21"/>
          <w:highlight w:val="none"/>
        </w:rPr>
        <w:t>9.</w:t>
      </w:r>
      <w:r>
        <w:rPr>
          <w:rFonts w:hint="eastAsia" w:ascii="宋体" w:hAnsi="宋体" w:eastAsia="宋体" w:cs="宋体"/>
          <w:color w:val="auto"/>
          <w:kern w:val="0"/>
          <w:sz w:val="21"/>
          <w:szCs w:val="21"/>
          <w:highlight w:val="none"/>
        </w:rPr>
        <w:t>临海市限额以下公共资源交易区域平台</w:t>
      </w:r>
      <w:r>
        <w:rPr>
          <w:rFonts w:hint="eastAsia" w:ascii="宋体" w:hAnsi="宋体" w:eastAsia="宋体" w:cs="宋体"/>
          <w:b/>
          <w:color w:val="auto"/>
          <w:sz w:val="21"/>
          <w:szCs w:val="21"/>
          <w:highlight w:val="none"/>
        </w:rPr>
        <w:t>及开评标期间出现网络故障或停电时的应急处理措施：</w:t>
      </w:r>
      <w:bookmarkEnd w:id="22"/>
      <w:bookmarkEnd w:id="23"/>
      <w:r>
        <w:rPr>
          <w:rFonts w:hint="eastAsia" w:ascii="宋体" w:hAnsi="宋体" w:eastAsia="宋体" w:cs="宋体"/>
          <w:b/>
          <w:color w:val="auto"/>
          <w:sz w:val="21"/>
          <w:szCs w:val="21"/>
          <w:highlight w:val="none"/>
        </w:rPr>
        <w:t xml:space="preserve">      </w:t>
      </w:r>
    </w:p>
    <w:p w14:paraId="2243DB7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（1）开评标期间出现网络故障或停电如短时间内（半天内）可以排除并能恢复正常使用的，为不耽误项目进度，招标人（代理机构）可宣布待故障排除后再进行正常开标活动；</w:t>
      </w:r>
    </w:p>
    <w:p w14:paraId="61FE9DA9">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（2）开评标期间出现网络故障或停电在短时间内不能排除，且无法恢复正常使用的，招标人（代理机构）可宣布暂停招标活动，招标人（代理机构）应办理延期开标手续，并及时发布更正公告择日另行开标。</w:t>
      </w:r>
    </w:p>
    <w:p w14:paraId="32FDC331">
      <w:pPr>
        <w:keepNext w:val="0"/>
        <w:keepLines w:val="0"/>
        <w:pageBreakBefore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color w:val="auto"/>
          <w:sz w:val="21"/>
          <w:szCs w:val="21"/>
          <w:highlight w:val="none"/>
        </w:rPr>
      </w:pPr>
      <w:bookmarkStart w:id="24" w:name="_Toc27821"/>
      <w:bookmarkStart w:id="25" w:name="_Toc15389"/>
      <w:r>
        <w:rPr>
          <w:rFonts w:hint="eastAsia" w:ascii="宋体" w:hAnsi="宋体" w:eastAsia="宋体" w:cs="宋体"/>
          <w:b/>
          <w:color w:val="auto"/>
          <w:sz w:val="21"/>
          <w:szCs w:val="21"/>
          <w:highlight w:val="none"/>
        </w:rPr>
        <w:t>10.开标</w:t>
      </w:r>
      <w:bookmarkEnd w:id="24"/>
      <w:bookmarkEnd w:id="25"/>
    </w:p>
    <w:p w14:paraId="6D2CAFD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开标时间：</w:t>
      </w:r>
      <w:r>
        <w:rPr>
          <w:rFonts w:hint="eastAsia" w:ascii="宋体" w:hAnsi="宋体" w:eastAsia="宋体" w:cs="宋体"/>
          <w:b/>
          <w:color w:val="auto"/>
          <w:sz w:val="21"/>
          <w:szCs w:val="21"/>
          <w:highlight w:val="none"/>
        </w:rPr>
        <w:t>202</w:t>
      </w:r>
      <w:r>
        <w:rPr>
          <w:rFonts w:hint="eastAsia" w:ascii="宋体" w:hAnsi="宋体" w:cs="宋体"/>
          <w:b/>
          <w:color w:val="auto"/>
          <w:sz w:val="21"/>
          <w:szCs w:val="21"/>
          <w:highlight w:val="none"/>
          <w:lang w:val="en-US" w:eastAsia="zh-CN"/>
        </w:rPr>
        <w:t>6</w:t>
      </w:r>
      <w:r>
        <w:rPr>
          <w:rFonts w:hint="eastAsia" w:ascii="宋体" w:hAnsi="宋体" w:eastAsia="宋体" w:cs="宋体"/>
          <w:b/>
          <w:color w:val="auto"/>
          <w:sz w:val="21"/>
          <w:szCs w:val="21"/>
          <w:highlight w:val="none"/>
        </w:rPr>
        <w:t>年</w:t>
      </w:r>
      <w:r>
        <w:rPr>
          <w:rFonts w:hint="eastAsia" w:ascii="宋体" w:hAnsi="宋体" w:cs="宋体"/>
          <w:b/>
          <w:color w:val="auto"/>
          <w:sz w:val="21"/>
          <w:szCs w:val="21"/>
          <w:highlight w:val="none"/>
          <w:lang w:val="en-US" w:eastAsia="zh-CN"/>
        </w:rPr>
        <w:t>8</w:t>
      </w:r>
      <w:r>
        <w:rPr>
          <w:rFonts w:hint="eastAsia" w:ascii="宋体" w:hAnsi="宋体" w:eastAsia="宋体" w:cs="宋体"/>
          <w:b/>
          <w:color w:val="auto"/>
          <w:sz w:val="21"/>
          <w:szCs w:val="21"/>
          <w:highlight w:val="none"/>
        </w:rPr>
        <w:t>月</w:t>
      </w:r>
      <w:r>
        <w:rPr>
          <w:rFonts w:hint="eastAsia" w:ascii="宋体" w:hAnsi="宋体" w:cs="宋体"/>
          <w:b/>
          <w:color w:val="auto"/>
          <w:sz w:val="21"/>
          <w:szCs w:val="21"/>
          <w:highlight w:val="none"/>
          <w:lang w:val="en-US" w:eastAsia="zh-CN"/>
        </w:rPr>
        <w:t>4</w:t>
      </w:r>
      <w:r>
        <w:rPr>
          <w:rFonts w:hint="eastAsia" w:ascii="宋体" w:hAnsi="宋体" w:eastAsia="宋体" w:cs="宋体"/>
          <w:b/>
          <w:color w:val="auto"/>
          <w:sz w:val="21"/>
          <w:szCs w:val="21"/>
          <w:highlight w:val="none"/>
        </w:rPr>
        <w:t>日</w:t>
      </w:r>
      <w:r>
        <w:rPr>
          <w:rFonts w:hint="eastAsia" w:ascii="宋体" w:hAnsi="宋体" w:cs="宋体"/>
          <w:b/>
          <w:color w:val="auto"/>
          <w:sz w:val="21"/>
          <w:szCs w:val="21"/>
          <w:highlight w:val="none"/>
          <w:lang w:val="en-US" w:eastAsia="zh-CN"/>
        </w:rPr>
        <w:t>08</w:t>
      </w:r>
      <w:r>
        <w:rPr>
          <w:rFonts w:hint="eastAsia" w:ascii="宋体" w:hAnsi="宋体" w:eastAsia="宋体" w:cs="宋体"/>
          <w:b/>
          <w:color w:val="auto"/>
          <w:sz w:val="21"/>
          <w:szCs w:val="21"/>
          <w:highlight w:val="none"/>
        </w:rPr>
        <w:t>时</w:t>
      </w:r>
      <w:r>
        <w:rPr>
          <w:rFonts w:hint="eastAsia" w:ascii="宋体" w:hAnsi="宋体" w:cs="宋体"/>
          <w:b/>
          <w:color w:val="auto"/>
          <w:sz w:val="21"/>
          <w:szCs w:val="21"/>
          <w:highlight w:val="none"/>
          <w:lang w:val="en-US" w:eastAsia="zh-CN"/>
        </w:rPr>
        <w:t>30</w:t>
      </w:r>
      <w:r>
        <w:rPr>
          <w:rFonts w:hint="eastAsia" w:ascii="宋体" w:hAnsi="宋体" w:eastAsia="宋体" w:cs="宋体"/>
          <w:b/>
          <w:color w:val="auto"/>
          <w:sz w:val="21"/>
          <w:szCs w:val="21"/>
          <w:highlight w:val="none"/>
        </w:rPr>
        <w:t>分00秒</w:t>
      </w:r>
      <w:r>
        <w:rPr>
          <w:rFonts w:hint="eastAsia" w:ascii="宋体" w:hAnsi="宋体" w:eastAsia="宋体" w:cs="宋体"/>
          <w:color w:val="auto"/>
          <w:sz w:val="21"/>
          <w:szCs w:val="21"/>
          <w:highlight w:val="none"/>
        </w:rPr>
        <w:t>。</w:t>
      </w:r>
    </w:p>
    <w:p w14:paraId="58B23DC2">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开标地点：</w:t>
      </w:r>
      <w:r>
        <w:rPr>
          <w:rFonts w:hint="eastAsia" w:ascii="宋体" w:hAnsi="宋体" w:eastAsia="宋体" w:cs="宋体"/>
          <w:color w:val="auto"/>
          <w:sz w:val="21"/>
          <w:szCs w:val="21"/>
          <w:highlight w:val="none"/>
          <w:u w:val="single"/>
        </w:rPr>
        <w:t>临海市限额以下公共资源交易区域平台、临海市限额以下公共资源交易区域平台中部开标室（临海市大田街道城隍街与东方大道交汇处办公楼3楼）</w:t>
      </w:r>
      <w:r>
        <w:rPr>
          <w:rFonts w:hint="eastAsia" w:ascii="宋体" w:hAnsi="宋体" w:cs="宋体"/>
          <w:color w:val="auto"/>
          <w:sz w:val="21"/>
          <w:szCs w:val="21"/>
          <w:highlight w:val="none"/>
          <w:u w:val="single"/>
          <w:lang w:eastAsia="zh-CN"/>
        </w:rPr>
        <w:t>。</w:t>
      </w:r>
    </w:p>
    <w:p w14:paraId="166AF73D">
      <w:pPr>
        <w:keepNext w:val="0"/>
        <w:keepLines w:val="0"/>
        <w:pageBreakBefore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
          <w:color w:val="auto"/>
          <w:sz w:val="21"/>
          <w:szCs w:val="21"/>
          <w:highlight w:val="none"/>
        </w:rPr>
      </w:pPr>
      <w:bookmarkStart w:id="26" w:name="_Toc14836"/>
      <w:bookmarkStart w:id="27" w:name="_Toc12125"/>
      <w:r>
        <w:rPr>
          <w:rFonts w:hint="eastAsia" w:ascii="宋体" w:hAnsi="宋体" w:eastAsia="宋体" w:cs="宋体"/>
          <w:b/>
          <w:color w:val="auto"/>
          <w:sz w:val="21"/>
          <w:szCs w:val="21"/>
          <w:highlight w:val="none"/>
        </w:rPr>
        <w:t>11.发布公告的媒介</w:t>
      </w:r>
      <w:bookmarkEnd w:id="26"/>
      <w:bookmarkEnd w:id="27"/>
    </w:p>
    <w:p w14:paraId="165581E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本次招标公告在</w:t>
      </w:r>
      <w:r>
        <w:rPr>
          <w:rFonts w:hint="eastAsia" w:ascii="宋体" w:hAnsi="宋体" w:eastAsia="宋体" w:cs="宋体"/>
          <w:color w:val="auto"/>
          <w:kern w:val="0"/>
          <w:sz w:val="21"/>
          <w:szCs w:val="21"/>
          <w:highlight w:val="none"/>
        </w:rPr>
        <w:t>临海市限额以下公共资源交易区域平台</w:t>
      </w:r>
      <w:r>
        <w:rPr>
          <w:rFonts w:hint="eastAsia" w:ascii="宋体" w:hAnsi="宋体" w:cs="宋体"/>
          <w:color w:val="auto"/>
          <w:kern w:val="0"/>
          <w:sz w:val="21"/>
          <w:szCs w:val="21"/>
          <w:highlight w:val="none"/>
          <w:lang w:val="en-US" w:eastAsia="zh-CN"/>
        </w:rPr>
        <w:t>发布</w:t>
      </w:r>
      <w:bookmarkStart w:id="282" w:name="_GoBack"/>
      <w:bookmarkEnd w:id="282"/>
      <w:r>
        <w:rPr>
          <w:rFonts w:hint="eastAsia" w:ascii="宋体" w:hAnsi="宋体" w:eastAsia="宋体" w:cs="宋体"/>
          <w:color w:val="auto"/>
          <w:sz w:val="21"/>
          <w:szCs w:val="21"/>
          <w:highlight w:val="none"/>
        </w:rPr>
        <w:t>。</w:t>
      </w:r>
    </w:p>
    <w:p w14:paraId="07A9B110">
      <w:pPr>
        <w:keepNext w:val="0"/>
        <w:keepLines w:val="0"/>
        <w:pageBreakBefore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
          <w:color w:val="auto"/>
          <w:sz w:val="21"/>
          <w:szCs w:val="21"/>
          <w:highlight w:val="none"/>
        </w:rPr>
      </w:pPr>
      <w:bookmarkStart w:id="28" w:name="_Toc3888"/>
      <w:bookmarkStart w:id="29" w:name="_Toc6439"/>
      <w:r>
        <w:rPr>
          <w:rFonts w:hint="eastAsia" w:ascii="宋体" w:hAnsi="宋体" w:eastAsia="宋体" w:cs="宋体"/>
          <w:b/>
          <w:color w:val="auto"/>
          <w:sz w:val="21"/>
          <w:szCs w:val="21"/>
          <w:highlight w:val="none"/>
        </w:rPr>
        <w:t>12</w:t>
      </w:r>
      <w:r>
        <w:rPr>
          <w:rFonts w:hint="eastAsia" w:ascii="宋体" w:hAnsi="宋体" w:cs="宋体"/>
          <w:b/>
          <w:color w:val="auto"/>
          <w:sz w:val="21"/>
          <w:szCs w:val="21"/>
          <w:highlight w:val="none"/>
          <w:lang w:val="en-US" w:eastAsia="zh-CN"/>
        </w:rPr>
        <w:t>.</w:t>
      </w:r>
      <w:r>
        <w:rPr>
          <w:rFonts w:hint="eastAsia" w:ascii="宋体" w:hAnsi="宋体" w:eastAsia="宋体" w:cs="宋体"/>
          <w:b/>
          <w:color w:val="auto"/>
          <w:sz w:val="21"/>
          <w:szCs w:val="21"/>
          <w:highlight w:val="none"/>
        </w:rPr>
        <w:t>其他事项</w:t>
      </w:r>
      <w:bookmarkEnd w:id="28"/>
      <w:bookmarkEnd w:id="29"/>
    </w:p>
    <w:p w14:paraId="27FE21A6">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接标截止时间以平台服务器时间为准，请准时提交投标文件。</w:t>
      </w:r>
    </w:p>
    <w:p w14:paraId="10743079">
      <w:pPr>
        <w:keepNext w:val="0"/>
        <w:keepLines w:val="0"/>
        <w:pageBreakBefore w:val="0"/>
        <w:numPr>
          <w:ilvl w:val="0"/>
          <w:numId w:val="0"/>
        </w:numPr>
        <w:kinsoku/>
        <w:wordWrap/>
        <w:overflowPunct/>
        <w:topLinePunct w:val="0"/>
        <w:autoSpaceDE/>
        <w:autoSpaceDN/>
        <w:bidi w:val="0"/>
        <w:adjustRightInd/>
        <w:snapToGrid/>
        <w:spacing w:line="360" w:lineRule="auto"/>
        <w:textAlignment w:val="auto"/>
        <w:outlineLvl w:val="0"/>
        <w:rPr>
          <w:rFonts w:hint="eastAsia" w:ascii="宋体" w:hAnsi="宋体" w:eastAsia="宋体" w:cs="宋体"/>
          <w:b/>
          <w:color w:val="auto"/>
          <w:sz w:val="21"/>
          <w:szCs w:val="21"/>
          <w:highlight w:val="none"/>
          <w:shd w:val="clear" w:color="auto" w:fill="auto"/>
        </w:rPr>
      </w:pPr>
      <w:bookmarkStart w:id="30" w:name="_Toc3817"/>
      <w:bookmarkStart w:id="31" w:name="_Toc27108"/>
      <w:r>
        <w:rPr>
          <w:rFonts w:hint="eastAsia" w:ascii="宋体" w:hAnsi="宋体" w:eastAsia="宋体" w:cs="宋体"/>
          <w:b/>
          <w:color w:val="auto"/>
          <w:kern w:val="2"/>
          <w:sz w:val="21"/>
          <w:szCs w:val="21"/>
          <w:shd w:val="clear" w:fill="auto"/>
          <w:lang w:val="en-US" w:eastAsia="zh-CN" w:bidi="ar-SA"/>
        </w:rPr>
        <w:t>13</w:t>
      </w:r>
      <w:r>
        <w:rPr>
          <w:rFonts w:hint="eastAsia" w:ascii="宋体" w:hAnsi="宋体" w:cs="宋体"/>
          <w:b/>
          <w:color w:val="auto"/>
          <w:kern w:val="2"/>
          <w:sz w:val="21"/>
          <w:szCs w:val="21"/>
          <w:shd w:val="clear" w:fill="auto"/>
          <w:lang w:val="en-US" w:eastAsia="zh-CN" w:bidi="ar-SA"/>
        </w:rPr>
        <w:t>.</w:t>
      </w:r>
      <w:r>
        <w:rPr>
          <w:rFonts w:hint="eastAsia" w:ascii="宋体" w:hAnsi="宋体" w:eastAsia="宋体" w:cs="宋体"/>
          <w:b/>
          <w:color w:val="auto"/>
          <w:sz w:val="21"/>
          <w:szCs w:val="21"/>
          <w:highlight w:val="none"/>
          <w:shd w:val="clear" w:color="auto" w:fill="auto"/>
        </w:rPr>
        <w:t>联系方式</w:t>
      </w:r>
      <w:bookmarkEnd w:id="30"/>
      <w:bookmarkEnd w:id="31"/>
    </w:p>
    <w:p w14:paraId="1B81105C">
      <w:pPr>
        <w:keepNext w:val="0"/>
        <w:keepLines w:val="0"/>
        <w:pageBreakBefore w:val="0"/>
        <w:kinsoku/>
        <w:wordWrap/>
        <w:overflowPunct/>
        <w:topLinePunct w:val="0"/>
        <w:autoSpaceDE/>
        <w:autoSpaceDN/>
        <w:bidi w:val="0"/>
        <w:adjustRightInd/>
        <w:snapToGrid/>
        <w:spacing w:line="360" w:lineRule="auto"/>
        <w:textAlignment w:val="auto"/>
        <w:outlineLvl w:val="1"/>
        <w:rPr>
          <w:rFonts w:hint="eastAsia" w:ascii="宋体" w:hAnsi="宋体" w:eastAsia="宋体" w:cs="宋体"/>
          <w:b/>
          <w:bCs/>
          <w:color w:val="auto"/>
          <w:sz w:val="21"/>
          <w:szCs w:val="21"/>
          <w:highlight w:val="none"/>
          <w:shd w:val="clear" w:color="auto" w:fill="auto"/>
        </w:rPr>
      </w:pPr>
      <w:bookmarkStart w:id="32" w:name="_Toc31282"/>
      <w:bookmarkStart w:id="33" w:name="_Toc13946"/>
      <w:r>
        <w:rPr>
          <w:rFonts w:hint="eastAsia" w:ascii="宋体" w:hAnsi="宋体" w:eastAsia="宋体" w:cs="宋体"/>
          <w:b/>
          <w:bCs/>
          <w:color w:val="auto"/>
          <w:sz w:val="21"/>
          <w:szCs w:val="21"/>
          <w:highlight w:val="none"/>
          <w:shd w:val="clear" w:color="auto" w:fill="auto"/>
        </w:rPr>
        <w:t>（1）招标人信息</w:t>
      </w:r>
      <w:bookmarkEnd w:id="32"/>
      <w:bookmarkEnd w:id="33"/>
    </w:p>
    <w:p w14:paraId="4DB4540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1"/>
          <w:szCs w:val="21"/>
          <w:highlight w:val="none"/>
          <w:shd w:val="clear" w:color="auto" w:fill="auto"/>
          <w:lang w:val="en-US" w:eastAsia="zh-CN"/>
        </w:rPr>
      </w:pPr>
      <w:r>
        <w:rPr>
          <w:rFonts w:hint="eastAsia" w:ascii="宋体" w:hAnsi="宋体" w:eastAsia="宋体" w:cs="宋体"/>
          <w:bCs/>
          <w:color w:val="auto"/>
          <w:sz w:val="21"/>
          <w:szCs w:val="21"/>
          <w:highlight w:val="none"/>
          <w:shd w:val="clear" w:color="auto" w:fill="auto"/>
        </w:rPr>
        <w:t>名称：</w:t>
      </w:r>
      <w:r>
        <w:rPr>
          <w:rFonts w:hint="eastAsia" w:ascii="宋体" w:hAnsi="宋体" w:cs="宋体"/>
          <w:bCs/>
          <w:color w:val="auto"/>
          <w:sz w:val="21"/>
          <w:szCs w:val="21"/>
          <w:highlight w:val="none"/>
          <w:shd w:val="clear" w:color="auto" w:fill="auto"/>
          <w:lang w:eastAsia="zh-CN"/>
        </w:rPr>
        <w:t>临海市海洋开发投资有限公司</w:t>
      </w:r>
    </w:p>
    <w:p w14:paraId="5AEB748B">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rPr>
        <w:t>项目联系人：</w:t>
      </w:r>
      <w:r>
        <w:rPr>
          <w:rFonts w:hint="eastAsia" w:ascii="宋体" w:hAnsi="宋体"/>
          <w:bCs/>
          <w:color w:val="auto"/>
          <w:sz w:val="21"/>
          <w:szCs w:val="21"/>
          <w:highlight w:val="none"/>
          <w:lang w:val="en-US" w:eastAsia="zh-CN"/>
        </w:rPr>
        <w:t>陶先生</w:t>
      </w:r>
    </w:p>
    <w:p w14:paraId="7641D674">
      <w:pPr>
        <w:keepNext w:val="0"/>
        <w:keepLines w:val="0"/>
        <w:pageBreakBefore w:val="0"/>
        <w:kinsoku/>
        <w:wordWrap/>
        <w:overflowPunct/>
        <w:topLinePunct w:val="0"/>
        <w:autoSpaceDE/>
        <w:autoSpaceDN/>
        <w:bidi w:val="0"/>
        <w:adjustRightInd/>
        <w:snapToGrid/>
        <w:spacing w:line="360" w:lineRule="auto"/>
        <w:textAlignment w:val="auto"/>
        <w:rPr>
          <w:rFonts w:hint="default" w:ascii="宋体" w:hAnsi="宋体" w:eastAsia="宋体"/>
          <w:bCs/>
          <w:color w:val="auto"/>
          <w:sz w:val="21"/>
          <w:szCs w:val="21"/>
          <w:highlight w:val="none"/>
          <w:lang w:val="en-US" w:eastAsia="zh-CN"/>
        </w:rPr>
      </w:pPr>
      <w:r>
        <w:rPr>
          <w:rFonts w:hint="eastAsia" w:ascii="宋体" w:hAnsi="宋体"/>
          <w:bCs/>
          <w:color w:val="auto"/>
          <w:sz w:val="21"/>
          <w:szCs w:val="21"/>
          <w:highlight w:val="none"/>
        </w:rPr>
        <w:t>项目联系方式：</w:t>
      </w:r>
      <w:r>
        <w:rPr>
          <w:rFonts w:hint="eastAsia" w:ascii="宋体" w:hAnsi="宋体"/>
          <w:bCs/>
          <w:color w:val="auto"/>
          <w:sz w:val="21"/>
          <w:szCs w:val="21"/>
          <w:highlight w:val="none"/>
          <w:lang w:val="en-US" w:eastAsia="zh-CN"/>
        </w:rPr>
        <w:t>17858065545</w:t>
      </w:r>
    </w:p>
    <w:p w14:paraId="07C06F27">
      <w:pPr>
        <w:keepNext w:val="0"/>
        <w:keepLines w:val="0"/>
        <w:pageBreakBefore w:val="0"/>
        <w:kinsoku/>
        <w:wordWrap/>
        <w:overflowPunct/>
        <w:topLinePunct w:val="0"/>
        <w:autoSpaceDE/>
        <w:autoSpaceDN/>
        <w:bidi w:val="0"/>
        <w:adjustRightInd/>
        <w:snapToGrid/>
        <w:spacing w:line="360" w:lineRule="auto"/>
        <w:textAlignment w:val="auto"/>
        <w:outlineLvl w:val="1"/>
        <w:rPr>
          <w:rFonts w:hint="eastAsia" w:ascii="宋体" w:hAnsi="宋体" w:eastAsia="宋体" w:cs="宋体"/>
          <w:b/>
          <w:bCs/>
          <w:color w:val="auto"/>
          <w:sz w:val="21"/>
          <w:szCs w:val="21"/>
          <w:highlight w:val="none"/>
          <w:shd w:val="clear" w:color="auto" w:fill="auto"/>
        </w:rPr>
      </w:pPr>
      <w:bookmarkStart w:id="34" w:name="_Toc24795"/>
      <w:bookmarkStart w:id="35" w:name="_Toc14038"/>
      <w:r>
        <w:rPr>
          <w:rFonts w:hint="eastAsia" w:ascii="宋体" w:hAnsi="宋体" w:eastAsia="宋体" w:cs="宋体"/>
          <w:b/>
          <w:bCs/>
          <w:color w:val="auto"/>
          <w:sz w:val="21"/>
          <w:szCs w:val="21"/>
          <w:highlight w:val="none"/>
          <w:shd w:val="clear" w:color="auto" w:fill="auto"/>
        </w:rPr>
        <w:t>（2）代理机构信息</w:t>
      </w:r>
      <w:bookmarkEnd w:id="34"/>
      <w:bookmarkEnd w:id="35"/>
    </w:p>
    <w:p w14:paraId="075EB68B">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名 称：</w:t>
      </w:r>
      <w:r>
        <w:rPr>
          <w:rFonts w:hint="eastAsia" w:ascii="宋体" w:hAnsi="宋体" w:cs="宋体"/>
          <w:bCs/>
          <w:color w:val="auto"/>
          <w:sz w:val="21"/>
          <w:szCs w:val="21"/>
          <w:highlight w:val="none"/>
          <w:shd w:val="clear" w:color="auto" w:fill="auto"/>
          <w:lang w:val="en-US" w:eastAsia="zh-CN"/>
        </w:rPr>
        <w:t>浙江科佳工程咨询有限公司</w:t>
      </w:r>
      <w:r>
        <w:rPr>
          <w:rFonts w:hint="eastAsia" w:ascii="宋体" w:hAnsi="宋体" w:eastAsia="宋体" w:cs="宋体"/>
          <w:bCs/>
          <w:color w:val="auto"/>
          <w:sz w:val="21"/>
          <w:szCs w:val="21"/>
          <w:highlight w:val="none"/>
          <w:shd w:val="clear" w:color="auto" w:fill="auto"/>
        </w:rPr>
        <w:t xml:space="preserve"> </w:t>
      </w:r>
    </w:p>
    <w:p w14:paraId="6365E864">
      <w:pPr>
        <w:keepNext w:val="0"/>
        <w:keepLines w:val="0"/>
        <w:pageBreakBefore w:val="0"/>
        <w:kinsoku/>
        <w:wordWrap/>
        <w:overflowPunct/>
        <w:topLinePunct w:val="0"/>
        <w:autoSpaceDE/>
        <w:autoSpaceDN/>
        <w:bidi w:val="0"/>
        <w:adjustRightInd/>
        <w:snapToGrid/>
        <w:spacing w:line="360" w:lineRule="auto"/>
        <w:textAlignment w:val="auto"/>
        <w:rPr>
          <w:rFonts w:hint="default" w:ascii="宋体" w:hAnsi="宋体" w:cs="宋体"/>
          <w:bCs/>
          <w:color w:val="auto"/>
          <w:sz w:val="21"/>
          <w:szCs w:val="21"/>
          <w:highlight w:val="none"/>
          <w:shd w:val="clear" w:color="auto" w:fill="auto"/>
          <w:lang w:val="en-US" w:eastAsia="zh-CN"/>
        </w:rPr>
      </w:pPr>
      <w:r>
        <w:rPr>
          <w:rFonts w:hint="eastAsia" w:ascii="宋体" w:hAnsi="宋体" w:eastAsia="宋体" w:cs="宋体"/>
          <w:bCs/>
          <w:color w:val="auto"/>
          <w:sz w:val="21"/>
          <w:szCs w:val="21"/>
          <w:highlight w:val="none"/>
          <w:shd w:val="clear" w:color="auto" w:fill="auto"/>
        </w:rPr>
        <w:t xml:space="preserve">地址: </w:t>
      </w:r>
      <w:r>
        <w:rPr>
          <w:rFonts w:hint="eastAsia" w:ascii="宋体" w:hAnsi="宋体" w:cs="宋体"/>
          <w:bCs/>
          <w:color w:val="auto"/>
          <w:sz w:val="21"/>
          <w:szCs w:val="21"/>
          <w:highlight w:val="none"/>
          <w:shd w:val="clear" w:color="auto" w:fill="auto"/>
          <w:lang w:val="en-US" w:eastAsia="zh-CN"/>
        </w:rPr>
        <w:t>临海市古建大厦3楼</w:t>
      </w:r>
    </w:p>
    <w:p w14:paraId="4194518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项目联系人：</w:t>
      </w:r>
      <w:r>
        <w:rPr>
          <w:rFonts w:hint="eastAsia" w:ascii="宋体" w:hAnsi="宋体" w:cs="宋体"/>
          <w:bCs/>
          <w:color w:val="auto"/>
          <w:sz w:val="21"/>
          <w:szCs w:val="21"/>
          <w:highlight w:val="none"/>
          <w:shd w:val="clear" w:color="auto" w:fill="auto"/>
          <w:lang w:val="en-US" w:eastAsia="zh-CN"/>
        </w:rPr>
        <w:t>周先生</w:t>
      </w:r>
    </w:p>
    <w:p w14:paraId="1BA59F8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项目联系方式：</w:t>
      </w:r>
      <w:r>
        <w:rPr>
          <w:rFonts w:hint="eastAsia" w:ascii="宋体" w:hAnsi="宋体" w:cs="宋体"/>
          <w:bCs/>
          <w:color w:val="auto"/>
          <w:sz w:val="21"/>
          <w:szCs w:val="21"/>
          <w:highlight w:val="none"/>
          <w:shd w:val="clear" w:color="auto" w:fill="auto"/>
          <w:lang w:val="en-US" w:eastAsia="zh-CN"/>
        </w:rPr>
        <w:t>0576-88699900</w:t>
      </w:r>
    </w:p>
    <w:p w14:paraId="787E2488">
      <w:pPr>
        <w:keepNext w:val="0"/>
        <w:keepLines w:val="0"/>
        <w:pageBreakBefore w:val="0"/>
        <w:widowControl/>
        <w:kinsoku/>
        <w:wordWrap/>
        <w:overflowPunct/>
        <w:topLinePunct w:val="0"/>
        <w:autoSpaceDE/>
        <w:autoSpaceDN/>
        <w:bidi w:val="0"/>
        <w:adjustRightInd/>
        <w:snapToGrid/>
        <w:spacing w:line="360" w:lineRule="auto"/>
        <w:jc w:val="left"/>
        <w:textAlignment w:val="auto"/>
        <w:outlineLvl w:val="1"/>
        <w:rPr>
          <w:color w:val="auto"/>
          <w:sz w:val="21"/>
          <w:szCs w:val="21"/>
          <w:highlight w:val="none"/>
        </w:rPr>
      </w:pPr>
      <w:bookmarkStart w:id="36" w:name="_Toc20189"/>
      <w:bookmarkStart w:id="37" w:name="_Toc18620"/>
      <w:r>
        <w:rPr>
          <w:rFonts w:hint="eastAsia" w:ascii="宋体" w:hAnsi="宋体" w:cs="宋体"/>
          <w:b/>
          <w:bCs/>
          <w:color w:val="auto"/>
          <w:kern w:val="0"/>
          <w:sz w:val="21"/>
          <w:szCs w:val="21"/>
          <w:highlight w:val="none"/>
          <w:lang w:bidi="ar"/>
        </w:rPr>
        <w:t>（3）监管机构信息</w:t>
      </w:r>
      <w:bookmarkEnd w:id="36"/>
      <w:bookmarkEnd w:id="37"/>
      <w:r>
        <w:rPr>
          <w:rFonts w:hint="eastAsia" w:ascii="宋体" w:hAnsi="宋体" w:cs="宋体"/>
          <w:b/>
          <w:bCs/>
          <w:color w:val="auto"/>
          <w:kern w:val="0"/>
          <w:sz w:val="21"/>
          <w:szCs w:val="21"/>
          <w:highlight w:val="none"/>
          <w:lang w:bidi="ar"/>
        </w:rPr>
        <w:t xml:space="preserve"> </w:t>
      </w:r>
    </w:p>
    <w:p w14:paraId="2DA8BA9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1"/>
          <w:szCs w:val="21"/>
          <w:highlight w:val="none"/>
          <w:shd w:val="clear" w:color="auto" w:fill="auto"/>
          <w:lang w:eastAsia="zh-CN"/>
        </w:rPr>
      </w:pPr>
      <w:r>
        <w:rPr>
          <w:rFonts w:hint="eastAsia" w:ascii="宋体" w:hAnsi="宋体" w:eastAsia="宋体" w:cs="宋体"/>
          <w:bCs/>
          <w:color w:val="auto"/>
          <w:sz w:val="21"/>
          <w:szCs w:val="21"/>
          <w:highlight w:val="none"/>
          <w:shd w:val="clear" w:color="auto" w:fill="auto"/>
          <w:lang w:eastAsia="zh-CN"/>
        </w:rPr>
        <w:t xml:space="preserve">名 </w:t>
      </w:r>
      <w:r>
        <w:rPr>
          <w:rFonts w:hint="eastAsia" w:ascii="宋体" w:hAnsi="宋体" w:cs="宋体"/>
          <w:bCs/>
          <w:color w:val="auto"/>
          <w:sz w:val="21"/>
          <w:szCs w:val="21"/>
          <w:highlight w:val="none"/>
          <w:shd w:val="clear" w:color="auto" w:fill="auto"/>
          <w:lang w:val="en-US" w:eastAsia="zh-CN"/>
        </w:rPr>
        <w:t xml:space="preserve"> </w:t>
      </w:r>
      <w:r>
        <w:rPr>
          <w:rFonts w:hint="eastAsia" w:ascii="宋体" w:hAnsi="宋体" w:eastAsia="宋体" w:cs="宋体"/>
          <w:bCs/>
          <w:color w:val="auto"/>
          <w:sz w:val="21"/>
          <w:szCs w:val="21"/>
          <w:highlight w:val="none"/>
          <w:shd w:val="clear" w:color="auto" w:fill="auto"/>
          <w:lang w:eastAsia="zh-CN"/>
        </w:rPr>
        <w:t>称：临海市城市产业发展集团有限公司</w:t>
      </w:r>
      <w:r>
        <w:rPr>
          <w:rFonts w:hint="eastAsia" w:ascii="宋体" w:hAnsi="宋体" w:cs="宋体"/>
          <w:bCs/>
          <w:color w:val="auto"/>
          <w:sz w:val="21"/>
          <w:szCs w:val="21"/>
          <w:highlight w:val="none"/>
          <w:shd w:val="clear" w:color="auto" w:fill="auto"/>
          <w:lang w:val="en-US" w:eastAsia="zh-CN"/>
        </w:rPr>
        <w:t>纪检监察室</w:t>
      </w:r>
    </w:p>
    <w:p w14:paraId="6F954D82">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1"/>
          <w:szCs w:val="21"/>
          <w:highlight w:val="none"/>
          <w:shd w:val="clear" w:color="auto" w:fill="auto"/>
          <w:lang w:eastAsia="zh-CN"/>
        </w:rPr>
      </w:pPr>
      <w:r>
        <w:rPr>
          <w:rFonts w:hint="eastAsia" w:ascii="宋体" w:hAnsi="宋体" w:eastAsia="宋体" w:cs="宋体"/>
          <w:bCs/>
          <w:color w:val="auto"/>
          <w:sz w:val="21"/>
          <w:szCs w:val="21"/>
          <w:highlight w:val="none"/>
          <w:shd w:val="clear" w:color="auto" w:fill="auto"/>
          <w:lang w:eastAsia="zh-CN"/>
        </w:rPr>
        <w:t>联系人：</w:t>
      </w:r>
      <w:r>
        <w:rPr>
          <w:rFonts w:hint="eastAsia" w:ascii="宋体" w:hAnsi="宋体" w:cs="宋体"/>
          <w:bCs/>
          <w:color w:val="auto"/>
          <w:sz w:val="21"/>
          <w:szCs w:val="21"/>
          <w:highlight w:val="none"/>
          <w:shd w:val="clear" w:color="auto" w:fill="auto"/>
          <w:lang w:val="en-US" w:eastAsia="zh-CN"/>
        </w:rPr>
        <w:t>陈先生</w:t>
      </w:r>
    </w:p>
    <w:p w14:paraId="5F2546EB">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1"/>
          <w:szCs w:val="21"/>
          <w:highlight w:val="none"/>
          <w:shd w:val="clear" w:color="auto" w:fill="auto"/>
          <w:lang w:eastAsia="zh-CN"/>
        </w:rPr>
      </w:pPr>
      <w:r>
        <w:rPr>
          <w:rFonts w:hint="eastAsia" w:ascii="宋体" w:hAnsi="宋体" w:eastAsia="宋体" w:cs="宋体"/>
          <w:bCs/>
          <w:color w:val="auto"/>
          <w:sz w:val="21"/>
          <w:szCs w:val="21"/>
          <w:highlight w:val="none"/>
          <w:shd w:val="clear" w:color="auto" w:fill="auto"/>
          <w:lang w:eastAsia="zh-CN"/>
        </w:rPr>
        <w:t>联系电话：0576-89332165</w:t>
      </w:r>
    </w:p>
    <w:p w14:paraId="70CB7FBA">
      <w:pPr>
        <w:pStyle w:val="30"/>
        <w:snapToGrid w:val="0"/>
        <w:spacing w:beforeLines="0" w:afterLines="0" w:line="240" w:lineRule="auto"/>
        <w:jc w:val="center"/>
        <w:outlineLvl w:val="0"/>
        <w:rPr>
          <w:rFonts w:hint="eastAsia" w:ascii="宋体" w:hAnsi="宋体"/>
          <w:color w:val="auto"/>
          <w:sz w:val="32"/>
          <w:szCs w:val="32"/>
          <w:highlight w:val="none"/>
        </w:rPr>
      </w:pPr>
      <w:r>
        <w:rPr>
          <w:rFonts w:hint="eastAsia" w:ascii="宋体" w:hAnsi="宋体" w:eastAsia="宋体" w:cs="宋体"/>
          <w:b/>
          <w:color w:val="auto"/>
          <w:sz w:val="21"/>
          <w:szCs w:val="21"/>
          <w:highlight w:val="none"/>
          <w:shd w:val="clear" w:color="auto" w:fill="auto"/>
        </w:rPr>
        <w:br w:type="page"/>
      </w:r>
      <w:bookmarkStart w:id="38" w:name="_Toc15669"/>
      <w:bookmarkStart w:id="39" w:name="_Toc6438"/>
      <w:bookmarkStart w:id="40" w:name="_Hlk78367560"/>
      <w:bookmarkStart w:id="41" w:name="_Toc21811"/>
      <w:bookmarkStart w:id="42" w:name="_Toc466534749"/>
      <w:r>
        <w:rPr>
          <w:rFonts w:hint="eastAsia"/>
          <w:b/>
          <w:color w:val="auto"/>
          <w:sz w:val="32"/>
          <w:szCs w:val="32"/>
          <w:highlight w:val="none"/>
        </w:rPr>
        <w:t>第二章  招标需求</w:t>
      </w:r>
      <w:bookmarkEnd w:id="38"/>
      <w:bookmarkEnd w:id="39"/>
      <w:bookmarkStart w:id="43" w:name="_Toc3486"/>
      <w:bookmarkStart w:id="44" w:name="_Toc11982"/>
    </w:p>
    <w:bookmarkEnd w:id="43"/>
    <w:bookmarkEnd w:id="44"/>
    <w:p w14:paraId="5C6AA571">
      <w:pPr>
        <w:numPr>
          <w:ilvl w:val="0"/>
          <w:numId w:val="0"/>
        </w:numPr>
        <w:rPr>
          <w:rFonts w:hint="eastAsia" w:ascii="宋体" w:hAnsi="宋体"/>
          <w:b/>
          <w:color w:val="auto"/>
          <w:sz w:val="21"/>
          <w:szCs w:val="21"/>
          <w:highlight w:val="none"/>
          <w:lang w:val="en-US" w:eastAsia="zh-CN"/>
        </w:rPr>
      </w:pPr>
    </w:p>
    <w:bookmarkEnd w:id="40"/>
    <w:p w14:paraId="78DDD310">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2" w:firstLineChars="200"/>
        <w:textAlignment w:val="auto"/>
        <w:outlineLvl w:val="0"/>
        <w:rPr>
          <w:rFonts w:hint="eastAsia" w:asciiTheme="minorEastAsia" w:hAnsiTheme="minorEastAsia" w:eastAsiaTheme="minorEastAsia" w:cstheme="minorEastAsia"/>
          <w:b/>
          <w:bCs w:val="0"/>
          <w:color w:val="auto"/>
          <w:sz w:val="21"/>
          <w:szCs w:val="21"/>
          <w:highlight w:val="none"/>
          <w:lang w:eastAsia="zh-CN"/>
        </w:rPr>
      </w:pPr>
      <w:bookmarkStart w:id="45" w:name="_Toc7273"/>
      <w:bookmarkStart w:id="46" w:name="_Toc10787"/>
      <w:r>
        <w:rPr>
          <w:rFonts w:hint="eastAsia" w:asciiTheme="minorEastAsia" w:hAnsiTheme="minorEastAsia" w:eastAsiaTheme="minorEastAsia" w:cstheme="minorEastAsia"/>
          <w:b/>
          <w:bCs w:val="0"/>
          <w:color w:val="auto"/>
          <w:kern w:val="2"/>
          <w:sz w:val="21"/>
          <w:szCs w:val="21"/>
          <w:lang w:val="en-US" w:eastAsia="zh-CN" w:bidi="ar-SA"/>
        </w:rPr>
        <w:t>一、</w:t>
      </w:r>
      <w:r>
        <w:rPr>
          <w:rFonts w:hint="eastAsia" w:asciiTheme="minorEastAsia" w:hAnsiTheme="minorEastAsia" w:eastAsiaTheme="minorEastAsia" w:cstheme="minorEastAsia"/>
          <w:b/>
          <w:bCs w:val="0"/>
          <w:color w:val="auto"/>
          <w:sz w:val="21"/>
          <w:szCs w:val="21"/>
          <w:highlight w:val="none"/>
          <w:lang w:eastAsia="zh-CN"/>
        </w:rPr>
        <w:t>工程规模</w:t>
      </w:r>
      <w:bookmarkEnd w:id="45"/>
      <w:bookmarkEnd w:id="46"/>
    </w:p>
    <w:p w14:paraId="4CDB3E70">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default"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本项目位于临海市杜桥、上盘片，西起西直堤，终至穿礁排涝闸，建设单位为临海市海洋开发投资有限公司，初步设计单位为浙江省水利水电勘测设计院有限公司。经批复的项目总投资为105831万元。</w:t>
      </w:r>
    </w:p>
    <w:p w14:paraId="6F4FA643">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工程主要建设内容为：</w:t>
      </w:r>
    </w:p>
    <w:p w14:paraId="560E43D4">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（1）水利部分：提标加固海塘7.39公里，其中西顺堤2.06公里、东顺堤5.15公里、穿礁闸两侧连接段0.18公里；新建南洋排涝闸（4孔×5 米）及桥梁1座，原规模提标穿礁排涝闸（5孔×4 米）；建设防汛道路7.20公里，配套建设管理房600平方米。</w:t>
      </w:r>
    </w:p>
    <w:p w14:paraId="532DD557">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（2）非水利部分：背坡生态化修复及其他配套设施（含路灯、管道等市政配套设施）提升。</w:t>
      </w:r>
    </w:p>
    <w:p w14:paraId="2651D7EB">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工程等别为Ⅱ等，海塘、水闸建筑物级别为1级，设计防潮标准为100年一遇，区域排涝标准为镇区20年一遇最大24小时暴雨 24小时排出，农田20年一遇最大3日暴雨排出。工程合理使用年限为50年，海塘、水闸建筑物合理使用年限为50年，闸门合理使用年限为50年。</w:t>
      </w:r>
    </w:p>
    <w:p w14:paraId="1FD0060D">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22" w:firstLineChars="200"/>
        <w:textAlignment w:val="auto"/>
        <w:outlineLvl w:val="0"/>
        <w:rPr>
          <w:rFonts w:hint="eastAsia" w:asciiTheme="minorEastAsia" w:hAnsiTheme="minorEastAsia" w:eastAsiaTheme="minorEastAsia" w:cstheme="minorEastAsia"/>
          <w:b/>
          <w:bCs w:val="0"/>
          <w:color w:val="auto"/>
          <w:sz w:val="21"/>
          <w:szCs w:val="21"/>
          <w:highlight w:val="none"/>
          <w:lang w:eastAsia="zh-CN"/>
        </w:rPr>
      </w:pPr>
      <w:bookmarkStart w:id="47" w:name="_Toc21582"/>
      <w:bookmarkStart w:id="48" w:name="_Toc14678"/>
      <w:r>
        <w:rPr>
          <w:rFonts w:hint="eastAsia" w:asciiTheme="minorEastAsia" w:hAnsiTheme="minorEastAsia" w:eastAsiaTheme="minorEastAsia" w:cstheme="minorEastAsia"/>
          <w:b/>
          <w:bCs w:val="0"/>
          <w:color w:val="auto"/>
          <w:kern w:val="2"/>
          <w:sz w:val="21"/>
          <w:szCs w:val="21"/>
          <w:lang w:val="en-US" w:eastAsia="zh-CN" w:bidi="ar-SA"/>
        </w:rPr>
        <w:t>二、</w:t>
      </w:r>
      <w:r>
        <w:rPr>
          <w:rFonts w:hint="eastAsia" w:asciiTheme="minorEastAsia" w:hAnsiTheme="minorEastAsia" w:eastAsiaTheme="minorEastAsia" w:cstheme="minorEastAsia"/>
          <w:b/>
          <w:bCs w:val="0"/>
          <w:color w:val="auto"/>
          <w:sz w:val="21"/>
          <w:szCs w:val="21"/>
          <w:highlight w:val="none"/>
          <w:lang w:eastAsia="zh-CN"/>
        </w:rPr>
        <w:t>招标范围</w:t>
      </w:r>
      <w:bookmarkEnd w:id="47"/>
      <w:bookmarkEnd w:id="48"/>
    </w:p>
    <w:p w14:paraId="03D315E9">
      <w:pPr>
        <w:keepNext w:val="0"/>
        <w:keepLines w:val="0"/>
        <w:pageBreakBefore w:val="0"/>
        <w:widowControl w:val="0"/>
        <w:kinsoku/>
        <w:wordWrap/>
        <w:overflowPunct/>
        <w:topLinePunct w:val="0"/>
        <w:autoSpaceDE/>
        <w:autoSpaceDN/>
        <w:bidi w:val="0"/>
        <w:adjustRightInd/>
        <w:snapToGrid/>
        <w:spacing w:line="500" w:lineRule="exact"/>
        <w:ind w:firstLine="422" w:firstLineChars="200"/>
        <w:textAlignment w:val="auto"/>
        <w:rPr>
          <w:rFonts w:hint="eastAsia" w:asciiTheme="minorEastAsia" w:hAnsiTheme="minorEastAsia" w:eastAsiaTheme="minorEastAsia" w:cstheme="minorEastAsia"/>
          <w:bCs/>
          <w:color w:val="auto"/>
          <w:sz w:val="21"/>
          <w:szCs w:val="21"/>
          <w:highlight w:val="none"/>
          <w:lang w:eastAsia="zh-CN"/>
        </w:rPr>
      </w:pPr>
      <w:r>
        <w:rPr>
          <w:rFonts w:hint="eastAsia" w:asciiTheme="minorEastAsia" w:hAnsiTheme="minorEastAsia" w:eastAsiaTheme="minorEastAsia" w:cstheme="minorEastAsia"/>
          <w:b/>
          <w:bCs/>
          <w:color w:val="auto"/>
          <w:highlight w:val="none"/>
          <w:lang w:val="en-US" w:eastAsia="zh-CN"/>
        </w:rPr>
        <w:t>预算审核：</w:t>
      </w:r>
      <w:r>
        <w:rPr>
          <w:rFonts w:hint="eastAsia" w:asciiTheme="minorEastAsia" w:hAnsiTheme="minorEastAsia" w:eastAsiaTheme="minorEastAsia" w:cstheme="minorEastAsia"/>
          <w:color w:val="auto"/>
          <w:highlight w:val="none"/>
        </w:rPr>
        <w:t>服务内容包含但不限于负责完成所提供施工图纸范围内所有建筑、设备及安装等以及其他与本项目密切相关、必不可少的系统、专业、专项等所有图纸项目的预算审核工作，如涉及其他特殊工程业主须另行委托的除外</w:t>
      </w:r>
      <w:r>
        <w:rPr>
          <w:rFonts w:hint="eastAsia" w:asciiTheme="minorEastAsia" w:hAnsiTheme="minorEastAsia" w:eastAsiaTheme="minorEastAsia" w:cstheme="minorEastAsia"/>
          <w:bCs/>
          <w:color w:val="auto"/>
          <w:sz w:val="21"/>
          <w:szCs w:val="21"/>
          <w:highlight w:val="none"/>
          <w:lang w:eastAsia="zh-CN"/>
        </w:rPr>
        <w:t>。</w:t>
      </w:r>
    </w:p>
    <w:p w14:paraId="54BA7380">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22" w:firstLineChars="200"/>
        <w:textAlignment w:val="auto"/>
        <w:outlineLvl w:val="0"/>
        <w:rPr>
          <w:rFonts w:hint="eastAsia" w:asciiTheme="minorEastAsia" w:hAnsiTheme="minorEastAsia" w:eastAsiaTheme="minorEastAsia" w:cstheme="minorEastAsia"/>
          <w:b/>
          <w:bCs w:val="0"/>
          <w:color w:val="auto"/>
          <w:sz w:val="21"/>
          <w:szCs w:val="21"/>
          <w:highlight w:val="none"/>
          <w:lang w:eastAsia="zh-CN"/>
        </w:rPr>
      </w:pPr>
      <w:bookmarkStart w:id="49" w:name="_Toc13651"/>
      <w:bookmarkStart w:id="50" w:name="_Toc21046"/>
      <w:r>
        <w:rPr>
          <w:rFonts w:hint="eastAsia" w:asciiTheme="minorEastAsia" w:hAnsiTheme="minorEastAsia" w:eastAsiaTheme="minorEastAsia" w:cstheme="minorEastAsia"/>
          <w:b/>
          <w:bCs w:val="0"/>
          <w:color w:val="auto"/>
          <w:kern w:val="2"/>
          <w:sz w:val="21"/>
          <w:szCs w:val="21"/>
          <w:lang w:val="en-US" w:eastAsia="zh-CN" w:bidi="ar-SA"/>
        </w:rPr>
        <w:t>三、</w:t>
      </w:r>
      <w:r>
        <w:rPr>
          <w:rFonts w:hint="eastAsia" w:asciiTheme="minorEastAsia" w:hAnsiTheme="minorEastAsia" w:eastAsiaTheme="minorEastAsia" w:cstheme="minorEastAsia"/>
          <w:b/>
          <w:bCs w:val="0"/>
          <w:color w:val="auto"/>
          <w:sz w:val="21"/>
          <w:szCs w:val="21"/>
          <w:highlight w:val="none"/>
          <w:lang w:eastAsia="zh-CN"/>
        </w:rPr>
        <w:t>工作内容：</w:t>
      </w:r>
      <w:bookmarkEnd w:id="49"/>
      <w:bookmarkEnd w:id="50"/>
      <w:r>
        <w:rPr>
          <w:rFonts w:hint="eastAsia" w:asciiTheme="minorEastAsia" w:hAnsiTheme="minorEastAsia" w:eastAsiaTheme="minorEastAsia" w:cstheme="minorEastAsia"/>
          <w:b/>
          <w:bCs w:val="0"/>
          <w:color w:val="auto"/>
          <w:sz w:val="21"/>
          <w:szCs w:val="21"/>
          <w:highlight w:val="none"/>
          <w:lang w:eastAsia="zh-CN"/>
        </w:rPr>
        <w:t xml:space="preserve"> </w:t>
      </w:r>
    </w:p>
    <w:p w14:paraId="476893E3">
      <w:pPr>
        <w:spacing w:line="440" w:lineRule="exact"/>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自签订合同之日起至竣工结算审核结束，期间在接到业主通知后在约定服务期限内完成各项咨询服务工作，包括本次招标范围内的所有图纸项目的预算审核工作及出具造价咨询成果文件，包括：</w:t>
      </w:r>
    </w:p>
    <w:p w14:paraId="27D869E4">
      <w:pPr>
        <w:spacing w:line="440" w:lineRule="exact"/>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①施工图预算审核；</w:t>
      </w:r>
    </w:p>
    <w:p w14:paraId="18F02320">
      <w:pPr>
        <w:spacing w:line="440" w:lineRule="exact"/>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②须二次深化单独招标专业工程及暂列项目预算审核[如已以暂估价形式列入施工图预算中，因二次招标等需要须单独编制预算的，相关费用不再另行计取（即不纳入付费基数计算）]；</w:t>
      </w:r>
    </w:p>
    <w:p w14:paraId="20B5FE79">
      <w:pPr>
        <w:spacing w:line="440" w:lineRule="exact"/>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③在工程施工中标前因图纸变更，预算重新编制的费用不再另行计取（即不纳入付费基数计算）；</w:t>
      </w:r>
    </w:p>
    <w:p w14:paraId="38200EE6">
      <w:pPr>
        <w:spacing w:line="440" w:lineRule="exact"/>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④无材材料询价；</w:t>
      </w:r>
    </w:p>
    <w:p w14:paraId="540CE8B5">
      <w:pPr>
        <w:spacing w:line="440" w:lineRule="exact"/>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⑤因咨询人自身原因造成的错项、漏项等相关工程变更编制[根据业主需要进行费用编制并出具报告，费用不另行计取（即不纳入付费基数计算）]，并需出具加盖公章的情况说明；非咨询人自身原因增加工程变更编制[根据业主需要进行费用编制并出具报告，费用另行计取]；</w:t>
      </w:r>
    </w:p>
    <w:p w14:paraId="626F74A1">
      <w:pPr>
        <w:spacing w:line="440" w:lineRule="exact"/>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⑥应由咨询人完成的其他相关工作。</w:t>
      </w:r>
    </w:p>
    <w:p w14:paraId="7F354F31">
      <w:pPr>
        <w:spacing w:line="440" w:lineRule="exact"/>
        <w:ind w:firstLine="422" w:firstLineChars="200"/>
        <w:outlineLvl w:val="0"/>
        <w:rPr>
          <w:rFonts w:hint="eastAsia" w:asciiTheme="minorEastAsia" w:hAnsiTheme="minorEastAsia" w:eastAsiaTheme="minorEastAsia" w:cstheme="minorEastAsia"/>
          <w:color w:val="auto"/>
          <w:sz w:val="21"/>
          <w:szCs w:val="21"/>
          <w:highlight w:val="none"/>
          <w:lang w:val="en-US" w:eastAsia="zh-CN"/>
        </w:rPr>
      </w:pPr>
      <w:bookmarkStart w:id="51" w:name="_Toc30680"/>
      <w:bookmarkStart w:id="52" w:name="_Toc30242"/>
      <w:r>
        <w:rPr>
          <w:rFonts w:hint="eastAsia" w:asciiTheme="minorEastAsia" w:hAnsiTheme="minorEastAsia" w:eastAsiaTheme="minorEastAsia" w:cstheme="minorEastAsia"/>
          <w:b/>
          <w:bCs/>
          <w:color w:val="auto"/>
          <w:sz w:val="21"/>
          <w:szCs w:val="21"/>
          <w:highlight w:val="none"/>
          <w:lang w:val="en-US" w:eastAsia="zh-CN"/>
        </w:rPr>
        <w:t>四、具体技术规格及要求：</w:t>
      </w:r>
      <w:bookmarkEnd w:id="51"/>
      <w:bookmarkEnd w:id="52"/>
      <w:r>
        <w:rPr>
          <w:rFonts w:hint="eastAsia" w:asciiTheme="minorEastAsia" w:hAnsiTheme="minorEastAsia" w:eastAsiaTheme="minorEastAsia" w:cstheme="minorEastAsia"/>
          <w:color w:val="auto"/>
          <w:sz w:val="21"/>
          <w:szCs w:val="21"/>
          <w:highlight w:val="none"/>
          <w:lang w:val="en-US" w:eastAsia="zh-CN"/>
        </w:rPr>
        <w:t xml:space="preserve"> </w:t>
      </w:r>
    </w:p>
    <w:p w14:paraId="6CFFCB82">
      <w:pPr>
        <w:spacing w:line="440" w:lineRule="exact"/>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（一）服务要求</w:t>
      </w:r>
    </w:p>
    <w:p w14:paraId="51F22BA9">
      <w:pPr>
        <w:spacing w:line="440" w:lineRule="exact"/>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▲1、人员要求</w:t>
      </w:r>
    </w:p>
    <w:p w14:paraId="56CD3B91">
      <w:pPr>
        <w:spacing w:line="440" w:lineRule="exact"/>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项目负责人资格：具备《中华人民共和国一级造价工程师注册证书》（水利工程专业）；</w:t>
      </w:r>
    </w:p>
    <w:p w14:paraId="237F3B82">
      <w:pPr>
        <w:spacing w:line="440" w:lineRule="exact"/>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项目组团队成员（项目负责人除外）：至少5人，其中1人要求已取得水利工程专业的《中华人民共和国一级造价工程师注册证书》，1人要求已取得土木建筑专业的《中华人民共和国造价工程师注册证书》或《中华人民共和国一级造价工程师注册证书》，1人要求已取得安装专业的《中华人民共和国造价工程师注册证书》或《中华人民共和国一级造价工程师注册证书》，另外2人要求已取得《中华人民共和国二级（及以上）造价工程师注册证书》。根据实际进度和需求配备相关专业人员。拟派人员的执业资格注册单位须与咨询人名称相一致。</w:t>
      </w:r>
    </w:p>
    <w:p w14:paraId="1978293A">
      <w:pPr>
        <w:spacing w:line="440" w:lineRule="exact"/>
        <w:ind w:firstLine="420" w:firstLineChars="200"/>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拟委派的项目负责人及项目工作组人员一经确认，未经委托人书面同意不得随意更换，未经委托人书面同意更换项目负责人的支付每人次3万元的违约金，未经委托人书面同意更换其他咨询人员的支付每人次1万元的违约金，更换的人员资格不得低于投标时所承诺人员资格。上述违约金委托人有权在应付咨询费中直接扣除。</w:t>
      </w:r>
    </w:p>
    <w:p w14:paraId="4012FF3B">
      <w:pPr>
        <w:spacing w:line="440" w:lineRule="exact"/>
        <w:ind w:firstLine="422" w:firstLineChars="200"/>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注：商务技术文件中须提供以上人员相关证书扫描件，否则作无效标处理。</w:t>
      </w:r>
    </w:p>
    <w:p w14:paraId="21FCD1F0">
      <w:pPr>
        <w:spacing w:line="440" w:lineRule="exact"/>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▲2、预算审核时限</w:t>
      </w:r>
    </w:p>
    <w:p w14:paraId="7CEABA44">
      <w:pPr>
        <w:spacing w:line="440" w:lineRule="exact"/>
        <w:ind w:firstLine="422"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宋体" w:hAnsi="宋体" w:eastAsia="宋体" w:cs="宋体"/>
          <w:b/>
          <w:bCs w:val="0"/>
          <w:color w:val="auto"/>
          <w:sz w:val="21"/>
          <w:szCs w:val="21"/>
          <w:highlight w:val="none"/>
        </w:rPr>
        <w:t>在接收完整资料后</w:t>
      </w:r>
      <w:r>
        <w:rPr>
          <w:rFonts w:hint="eastAsia" w:cs="宋体"/>
          <w:b/>
          <w:bCs w:val="0"/>
          <w:color w:val="auto"/>
          <w:sz w:val="21"/>
          <w:szCs w:val="21"/>
          <w:highlight w:val="none"/>
          <w:lang w:val="en-US" w:eastAsia="zh-CN"/>
        </w:rPr>
        <w:t>30</w:t>
      </w:r>
      <w:r>
        <w:rPr>
          <w:rFonts w:hint="eastAsia" w:ascii="宋体" w:hAnsi="宋体" w:eastAsia="宋体" w:cs="宋体"/>
          <w:b/>
          <w:bCs w:val="0"/>
          <w:color w:val="auto"/>
          <w:sz w:val="21"/>
          <w:szCs w:val="21"/>
          <w:highlight w:val="none"/>
        </w:rPr>
        <w:t>日历天内完成施工图预算审核工作（如预算资料分批次提供的，需在接收该批次预算资料后</w:t>
      </w:r>
      <w:r>
        <w:rPr>
          <w:rFonts w:hint="eastAsia" w:cs="宋体"/>
          <w:b/>
          <w:bCs w:val="0"/>
          <w:color w:val="auto"/>
          <w:sz w:val="21"/>
          <w:szCs w:val="21"/>
          <w:highlight w:val="none"/>
          <w:lang w:val="en-US" w:eastAsia="zh-CN"/>
        </w:rPr>
        <w:t>15</w:t>
      </w:r>
      <w:r>
        <w:rPr>
          <w:rFonts w:hint="eastAsia" w:ascii="宋体" w:hAnsi="宋体" w:eastAsia="宋体" w:cs="宋体"/>
          <w:b/>
          <w:bCs w:val="0"/>
          <w:color w:val="auto"/>
          <w:sz w:val="21"/>
          <w:szCs w:val="21"/>
          <w:highlight w:val="none"/>
        </w:rPr>
        <w:t>日历天内完成施工图预算审核工作），其余工作内容在接到招标人通知后10日历天内完成</w:t>
      </w:r>
      <w:r>
        <w:rPr>
          <w:rFonts w:hint="eastAsia" w:asciiTheme="minorEastAsia" w:hAnsiTheme="minorEastAsia" w:eastAsiaTheme="minorEastAsia" w:cstheme="minorEastAsia"/>
          <w:b/>
          <w:bCs w:val="0"/>
          <w:color w:val="auto"/>
          <w:sz w:val="21"/>
          <w:szCs w:val="21"/>
          <w:highlight w:val="none"/>
          <w:lang w:val="en-US" w:eastAsia="zh-CN"/>
        </w:rPr>
        <w:t>。</w:t>
      </w:r>
    </w:p>
    <w:p w14:paraId="1C496F84">
      <w:pPr>
        <w:spacing w:line="440" w:lineRule="exact"/>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3、预算审核成果文件的组成和要求</w:t>
      </w:r>
    </w:p>
    <w:p w14:paraId="4E16635F">
      <w:pPr>
        <w:spacing w:line="440" w:lineRule="exact"/>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预算审核的成果文件应符合相关规范及规定，包括工程量清单封面、总说明、工程项目汇总表、建筑工程分类分项工程量清单计价表、机电设备及安装工程分类分项工程量清单计价表、金属结构设备及安装工程分类分项工程量清单计价表、施工临时工程分类分项工程量清单计价表、其他项目清单计价表、主要材料用量及预算价格汇总表、施工机械台班汇总表、建筑安装工程单价计算表等。</w:t>
      </w:r>
    </w:p>
    <w:p w14:paraId="42FBFB74">
      <w:pPr>
        <w:spacing w:line="440" w:lineRule="exact"/>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（2）预算审核封面应包括项目名称、编制单位名称和编制日期，并应加盖工程造价咨询单位执业印章，并由复核人员签署执业（或从业）资格专用印章。成果文件名称应为</w:t>
      </w:r>
      <w:r>
        <w:rPr>
          <w:rFonts w:hint="eastAsia" w:asciiTheme="minorEastAsia" w:hAnsiTheme="minorEastAsia" w:eastAsiaTheme="minorEastAsia" w:cstheme="minorEastAsia"/>
          <w:color w:val="auto"/>
          <w:sz w:val="21"/>
          <w:szCs w:val="21"/>
          <w:highlight w:val="none"/>
          <w:shd w:val="clear" w:color="auto" w:fill="auto"/>
          <w:lang w:eastAsia="zh-CN"/>
        </w:rPr>
        <w:t>临海市海塘安澜工程（南洋涂海塘）预算审核</w:t>
      </w:r>
      <w:r>
        <w:rPr>
          <w:rFonts w:hint="eastAsia" w:asciiTheme="minorEastAsia" w:hAnsiTheme="minorEastAsia" w:eastAsiaTheme="minorEastAsia" w:cstheme="minorEastAsia"/>
          <w:color w:val="auto"/>
          <w:sz w:val="21"/>
          <w:szCs w:val="21"/>
          <w:highlight w:val="none"/>
          <w:lang w:val="en-US" w:eastAsia="zh-CN"/>
        </w:rPr>
        <w:t>预算审核。</w:t>
      </w:r>
    </w:p>
    <w:p w14:paraId="5C919F82">
      <w:pPr>
        <w:spacing w:line="440" w:lineRule="exact"/>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4、预算审核过程文件的组成和要求</w:t>
      </w:r>
    </w:p>
    <w:p w14:paraId="26A491D3">
      <w:pPr>
        <w:spacing w:line="440" w:lineRule="exact"/>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（1）预算审核的过程文件应包括审核人的审核工作底稿、审定人的审定工作底稿、与审核成果文件对应的电子版文件、设计交底和会议纪要、材料暂估单价/专业工程暂估价/暂列金额确认书等。</w:t>
      </w:r>
    </w:p>
    <w:p w14:paraId="489DF53F">
      <w:pPr>
        <w:spacing w:line="440" w:lineRule="exact"/>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（2）预算审核必须做工程造价技术经济指标分析。</w:t>
      </w:r>
    </w:p>
    <w:p w14:paraId="7D09F3FA">
      <w:pPr>
        <w:spacing w:line="440" w:lineRule="exact"/>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（3）审核人和审定人的工作底稿应包括工程量计算或复核书等。</w:t>
      </w:r>
    </w:p>
    <w:p w14:paraId="768A2060">
      <w:pPr>
        <w:spacing w:line="440" w:lineRule="exact"/>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工程量清单使用或移交的资料清单应明确文件存档或移交的单位，其内容包括招标图、确认招标工程范围的相关文件、材料及专业工程暂估价确认单，影响工程量清单审核的其他相关资料和其他计价依据等。</w:t>
      </w:r>
    </w:p>
    <w:p w14:paraId="39E7E5D6">
      <w:pPr>
        <w:spacing w:line="440" w:lineRule="exact"/>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5、预算审核质量要求</w:t>
      </w:r>
    </w:p>
    <w:p w14:paraId="5850B35B">
      <w:pPr>
        <w:spacing w:line="440" w:lineRule="exact"/>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本项目预算必须采用全面审核法，在预算审核阶段、施工过程阶段、结算审核阶段等所有过程中均按下列要求执行：</w:t>
      </w:r>
    </w:p>
    <w:p w14:paraId="3974DFF8">
      <w:pPr>
        <w:spacing w:line="440" w:lineRule="exact"/>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（1）预算审核成果文件的格式应符合“成果文件的组成和要求”的相关规定。</w:t>
      </w:r>
    </w:p>
    <w:p w14:paraId="07A8F91A">
      <w:pPr>
        <w:spacing w:line="440" w:lineRule="exact"/>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（2）预算审核应符合现行的《浙江省水利水电工程设计概（预）算编制规定》、《浙江省水利工程工程量清单计价办法》等有关规定，如有政策性新规定，按新规定执行。</w:t>
      </w:r>
    </w:p>
    <w:p w14:paraId="38ADF354">
      <w:pPr>
        <w:spacing w:line="440" w:lineRule="exact"/>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预算审核误差率超过3%的，将不予支付审核费用。误差率：造价成果文件中查找出（包括施工过程阶段、结算审核阶段等过程中所发现的）的编制错误的累计金额与最终修正后造价总额的比率；a.错误的累计金额以绝对值计算，出现正负值不相互抵消；b.无价材料、措施费的差错额计入误差率；c.施工阶段及结算审核阶段发现的预算审核差错额计入误差率。</w:t>
      </w:r>
    </w:p>
    <w:p w14:paraId="59609855">
      <w:pPr>
        <w:spacing w:line="440" w:lineRule="exact"/>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（4）工程量清单中项目特征描述错误的子目数量占工程量清单全部子目数量的比例不得超过3%。否则招标人不予支付审核费用。</w:t>
      </w:r>
    </w:p>
    <w:p w14:paraId="6B1B2A93">
      <w:pPr>
        <w:spacing w:line="440" w:lineRule="exact"/>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对项目预算审核出现重大差错的处理。预算审核单项差错额在30万元以上（含30万元），100万元以下（含100万元）的（同样问题错误的累加计算，下同），每处扣减1万元预算审核费；差错额超过100万元（不含100万元）的，每处扣减2万元预算审核费；同种类型错误可多次扣减，扣完为止。</w:t>
      </w:r>
    </w:p>
    <w:p w14:paraId="5CF4C37B">
      <w:pPr>
        <w:spacing w:line="440" w:lineRule="exact"/>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（6）对咨询人过错造成工程变更金额在15万元以上（含15万元）的，每处扣减500元预算审核费，同种类型错误可多次扣减，扣完为止。本条款与本节第（5）条款处罚可重叠累计。</w:t>
      </w:r>
    </w:p>
    <w:p w14:paraId="2C99D891">
      <w:pPr>
        <w:spacing w:line="440" w:lineRule="exact"/>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6、其他要求</w:t>
      </w:r>
    </w:p>
    <w:p w14:paraId="40C5A06C">
      <w:pPr>
        <w:spacing w:line="440" w:lineRule="exact"/>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（一）咨询人在预算审核期间必须在临海市集中办公，办公地点由咨询人自行负责，相关费用不再另行计取；未按要求集中办公的，一次性扣除50000元作为违约金。</w:t>
      </w:r>
    </w:p>
    <w:p w14:paraId="56E9F7F4">
      <w:pPr>
        <w:spacing w:line="440" w:lineRule="exact"/>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（二）服务标准</w:t>
      </w:r>
    </w:p>
    <w:p w14:paraId="56A8D012">
      <w:pPr>
        <w:spacing w:line="440" w:lineRule="exact"/>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1、自觉遵守有关规定，严格执行工程预算审核服务、廉政纪律和职业道德，保守工程资料数据的秘密。</w:t>
      </w:r>
    </w:p>
    <w:p w14:paraId="62970B3D">
      <w:pPr>
        <w:spacing w:line="440" w:lineRule="exact"/>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严格按照招标人的有关规定和要求实施工程预算审核服务，接受招标人的指导、监督和管理，同时按招标人的质量和进度要求及时提供结果以及与服务事项相关的资料。按招标人规定的格式、要求起草有关文书和其他材料。</w:t>
      </w:r>
    </w:p>
    <w:p w14:paraId="6D3D79F0">
      <w:pPr>
        <w:spacing w:line="440" w:lineRule="exact"/>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3、不得将承接的业务对外转包，不得以任何借口违反独立工程预结算审核服务准则和质量控制准则，降低执业质量，并同意对承担相关业务的质量向社会公示。</w:t>
      </w:r>
    </w:p>
    <w:p w14:paraId="41248F00">
      <w:pPr>
        <w:spacing w:line="440" w:lineRule="exact"/>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▲4、接受财政及相关部门对项目预算审核质量的审查考核。</w:t>
      </w:r>
    </w:p>
    <w:p w14:paraId="6495591F">
      <w:pPr>
        <w:spacing w:line="440" w:lineRule="exact"/>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5、中标人对招标人所提出的问题不能及时核对和答复；中标人未能及时提交合格的造价咨询报告；未能按照约定安排现场造价咨询人员；未能按照招标人要求进行深入现场踏勘的，并经招标人书面通知整改却未能纠正的；中标人不履行或实际无能力履行合同的，累计2次以上，招标人有权上报上级行业主管部门，并列入临海市城市产业发展集团有限公司黑名单。招标人有权单方面解除协议，中标人承担全部违约责任，并不予支付剩余合同价款。由此给招标人造成的相应经济损失，由中标人承担。</w:t>
      </w:r>
    </w:p>
    <w:p w14:paraId="5848377E">
      <w:pPr>
        <w:spacing w:line="440" w:lineRule="exact"/>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（三）技术资料</w:t>
      </w:r>
    </w:p>
    <w:p w14:paraId="68ED9419">
      <w:pPr>
        <w:spacing w:line="440" w:lineRule="exact"/>
        <w:ind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1、中标人按招标文件规定的时间向招标人提供有关资料及相关资料电子文档，预算审核报告书份数根据招标人要求提供。</w:t>
      </w:r>
    </w:p>
    <w:p w14:paraId="5BC8FEB2">
      <w:pPr>
        <w:spacing w:line="440" w:lineRule="exact"/>
        <w:ind w:firstLine="420" w:firstLineChars="200"/>
        <w:rPr>
          <w:rFonts w:hint="eastAsia" w:ascii="宋体" w:hAnsi="宋体" w:eastAsia="宋体" w:cs="Times New Roman"/>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没有招标人事先书面同意，中标人不得将由采购人提供的有关合同或任何合同条文、规格、计划、图纸、样品或资料等提供给与履行本合同无关的任何其他人。即使向履行本合同有关人员提供，也应注意保密并限于履行合同的必需范围。</w:t>
      </w:r>
    </w:p>
    <w:p w14:paraId="1A4EDD23">
      <w:pPr>
        <w:numPr>
          <w:ilvl w:val="0"/>
          <w:numId w:val="0"/>
        </w:numPr>
        <w:snapToGrid w:val="0"/>
        <w:spacing w:after="120" w:line="440" w:lineRule="exact"/>
        <w:jc w:val="center"/>
        <w:rPr>
          <w:rFonts w:hint="eastAsia" w:ascii="宋体" w:hAnsi="宋体" w:eastAsia="宋体" w:cs="宋体"/>
          <w:b/>
          <w:color w:val="auto"/>
          <w:sz w:val="30"/>
          <w:szCs w:val="30"/>
          <w:highlight w:val="none"/>
          <w:shd w:val="clear" w:color="auto" w:fill="auto"/>
        </w:rPr>
        <w:sectPr>
          <w:footerReference r:id="rId8" w:type="default"/>
          <w:pgSz w:w="11906" w:h="16838"/>
          <w:pgMar w:top="1021" w:right="1588" w:bottom="851" w:left="1588" w:header="567" w:footer="454" w:gutter="0"/>
          <w:pgNumType w:fmt="decimal" w:start="1"/>
          <w:cols w:space="720" w:num="1"/>
          <w:docGrid w:linePitch="286" w:charSpace="0"/>
        </w:sectPr>
      </w:pPr>
    </w:p>
    <w:p w14:paraId="2F3227B0">
      <w:pPr>
        <w:numPr>
          <w:ilvl w:val="0"/>
          <w:numId w:val="0"/>
        </w:numPr>
        <w:snapToGrid w:val="0"/>
        <w:spacing w:after="120" w:line="440" w:lineRule="exact"/>
        <w:ind w:left="0" w:leftChars="0" w:firstLine="0" w:firstLineChars="0"/>
        <w:jc w:val="center"/>
        <w:outlineLvl w:val="0"/>
        <w:rPr>
          <w:rFonts w:hint="eastAsia" w:ascii="宋体" w:hAnsi="宋体" w:eastAsia="宋体" w:cs="宋体"/>
          <w:b/>
          <w:color w:val="auto"/>
          <w:sz w:val="30"/>
          <w:szCs w:val="30"/>
          <w:highlight w:val="none"/>
          <w:shd w:val="clear" w:color="auto" w:fill="auto"/>
        </w:rPr>
      </w:pPr>
      <w:bookmarkStart w:id="53" w:name="_Toc26440"/>
      <w:bookmarkStart w:id="54" w:name="_Toc27843"/>
      <w:r>
        <w:rPr>
          <w:rFonts w:hint="eastAsia" w:ascii="宋体" w:hAnsi="宋体" w:eastAsia="宋体" w:cs="宋体"/>
          <w:b/>
          <w:color w:val="auto"/>
          <w:sz w:val="30"/>
          <w:szCs w:val="30"/>
          <w:highlight w:val="none"/>
          <w:shd w:val="clear" w:color="auto" w:fill="auto"/>
        </w:rPr>
        <w:t>第三章  投标人须知</w:t>
      </w:r>
      <w:bookmarkEnd w:id="41"/>
      <w:bookmarkEnd w:id="42"/>
      <w:bookmarkEnd w:id="53"/>
      <w:bookmarkEnd w:id="54"/>
    </w:p>
    <w:p w14:paraId="5F057D1E">
      <w:pPr>
        <w:snapToGrid w:val="0"/>
        <w:spacing w:before="120" w:beforeLines="50" w:after="120" w:afterLines="50" w:line="280" w:lineRule="exact"/>
        <w:ind w:left="476"/>
        <w:jc w:val="center"/>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t>前附表</w:t>
      </w:r>
    </w:p>
    <w:tbl>
      <w:tblPr>
        <w:tblStyle w:val="53"/>
        <w:tblW w:w="1019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87"/>
        <w:gridCol w:w="9408"/>
      </w:tblGrid>
      <w:tr w14:paraId="1F6E9E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jc w:val="center"/>
        </w:trPr>
        <w:tc>
          <w:tcPr>
            <w:tcW w:w="787" w:type="dxa"/>
            <w:tcBorders>
              <w:top w:val="single" w:color="auto" w:sz="4" w:space="0"/>
              <w:left w:val="single" w:color="auto" w:sz="4" w:space="0"/>
              <w:bottom w:val="single" w:color="auto" w:sz="4" w:space="0"/>
              <w:right w:val="single" w:color="auto" w:sz="4" w:space="0"/>
            </w:tcBorders>
            <w:noWrap w:val="0"/>
            <w:vAlign w:val="center"/>
          </w:tcPr>
          <w:p w14:paraId="085D2A20">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序号</w:t>
            </w:r>
          </w:p>
        </w:tc>
        <w:tc>
          <w:tcPr>
            <w:tcW w:w="9408" w:type="dxa"/>
            <w:tcBorders>
              <w:top w:val="single" w:color="auto" w:sz="4" w:space="0"/>
              <w:left w:val="single" w:color="auto" w:sz="4" w:space="0"/>
              <w:bottom w:val="single" w:color="auto" w:sz="4" w:space="0"/>
              <w:right w:val="single" w:color="auto" w:sz="4" w:space="0"/>
            </w:tcBorders>
            <w:noWrap w:val="0"/>
            <w:vAlign w:val="center"/>
          </w:tcPr>
          <w:p w14:paraId="773C358C">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内容、要求</w:t>
            </w:r>
          </w:p>
        </w:tc>
      </w:tr>
      <w:tr w14:paraId="595E6F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jc w:val="center"/>
        </w:trPr>
        <w:tc>
          <w:tcPr>
            <w:tcW w:w="787" w:type="dxa"/>
            <w:tcBorders>
              <w:top w:val="single" w:color="auto" w:sz="4" w:space="0"/>
              <w:left w:val="single" w:color="auto" w:sz="4" w:space="0"/>
              <w:bottom w:val="single" w:color="auto" w:sz="4" w:space="0"/>
              <w:right w:val="single" w:color="auto" w:sz="4" w:space="0"/>
            </w:tcBorders>
            <w:noWrap w:val="0"/>
            <w:vAlign w:val="center"/>
          </w:tcPr>
          <w:p w14:paraId="1A66E671">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w:t>
            </w:r>
          </w:p>
        </w:tc>
        <w:tc>
          <w:tcPr>
            <w:tcW w:w="9408" w:type="dxa"/>
            <w:tcBorders>
              <w:top w:val="single" w:color="auto" w:sz="4" w:space="0"/>
              <w:left w:val="single" w:color="auto" w:sz="4" w:space="0"/>
              <w:bottom w:val="single" w:color="auto" w:sz="4" w:space="0"/>
              <w:right w:val="single" w:color="auto" w:sz="4" w:space="0"/>
            </w:tcBorders>
            <w:noWrap w:val="0"/>
            <w:vAlign w:val="center"/>
          </w:tcPr>
          <w:p w14:paraId="55D9C052">
            <w:pPr>
              <w:pStyle w:val="46"/>
              <w:keepNext w:val="0"/>
              <w:keepLines w:val="0"/>
              <w:pageBreakBefore w:val="0"/>
              <w:kinsoku/>
              <w:wordWrap/>
              <w:overflowPunct/>
              <w:topLinePunct w:val="0"/>
              <w:bidi w:val="0"/>
              <w:adjustRightInd/>
              <w:spacing w:before="0" w:beforeAutospacing="0" w:after="0" w:afterAutospacing="0" w:line="400" w:lineRule="exact"/>
              <w:rPr>
                <w:rFonts w:hint="eastAsia" w:ascii="宋体" w:hAnsi="宋体" w:eastAsia="宋体" w:cs="宋体"/>
                <w:color w:val="auto"/>
                <w:kern w:val="2"/>
                <w:sz w:val="21"/>
                <w:szCs w:val="21"/>
                <w:highlight w:val="none"/>
                <w:shd w:val="clear" w:color="auto" w:fill="auto"/>
                <w:lang w:eastAsia="zh-CN"/>
              </w:rPr>
            </w:pPr>
            <w:r>
              <w:rPr>
                <w:rFonts w:hint="eastAsia" w:cs="宋体"/>
                <w:color w:val="auto"/>
                <w:kern w:val="2"/>
                <w:sz w:val="21"/>
                <w:szCs w:val="21"/>
                <w:highlight w:val="none"/>
                <w:shd w:val="clear" w:color="auto" w:fill="auto"/>
                <w:lang w:eastAsia="zh-CN"/>
              </w:rPr>
              <w:t>临海市海塘安澜工程（南洋涂海塘）预算审核</w:t>
            </w:r>
          </w:p>
        </w:tc>
      </w:tr>
      <w:tr w14:paraId="3EDC7C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87" w:type="dxa"/>
            <w:tcBorders>
              <w:top w:val="single" w:color="auto" w:sz="4" w:space="0"/>
              <w:left w:val="single" w:color="auto" w:sz="4" w:space="0"/>
              <w:bottom w:val="single" w:color="auto" w:sz="4" w:space="0"/>
              <w:right w:val="single" w:color="auto" w:sz="4" w:space="0"/>
            </w:tcBorders>
            <w:noWrap w:val="0"/>
            <w:vAlign w:val="center"/>
          </w:tcPr>
          <w:p w14:paraId="1DE89082">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w:t>
            </w:r>
          </w:p>
        </w:tc>
        <w:tc>
          <w:tcPr>
            <w:tcW w:w="9408" w:type="dxa"/>
            <w:tcBorders>
              <w:top w:val="single" w:color="auto" w:sz="4" w:space="0"/>
              <w:left w:val="single" w:color="auto" w:sz="4" w:space="0"/>
              <w:bottom w:val="single" w:color="auto" w:sz="4" w:space="0"/>
              <w:right w:val="single" w:color="auto" w:sz="4" w:space="0"/>
            </w:tcBorders>
            <w:noWrap w:val="0"/>
            <w:vAlign w:val="center"/>
          </w:tcPr>
          <w:p w14:paraId="75782300">
            <w:pPr>
              <w:keepNext w:val="0"/>
              <w:keepLines w:val="0"/>
              <w:pageBreakBefore w:val="0"/>
              <w:kinsoku/>
              <w:wordWrap/>
              <w:overflowPunct/>
              <w:topLinePunct w:val="0"/>
              <w:bidi w:val="0"/>
              <w:adjustRightInd/>
              <w:snapToGrid w:val="0"/>
              <w:spacing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采购内容及数量：详见“第二章 招标需求”</w:t>
            </w:r>
          </w:p>
        </w:tc>
      </w:tr>
      <w:tr w14:paraId="6FE345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02" w:hRule="atLeast"/>
          <w:jc w:val="center"/>
        </w:trPr>
        <w:tc>
          <w:tcPr>
            <w:tcW w:w="787" w:type="dxa"/>
            <w:tcBorders>
              <w:top w:val="single" w:color="auto" w:sz="4" w:space="0"/>
              <w:left w:val="single" w:color="auto" w:sz="4" w:space="0"/>
              <w:bottom w:val="single" w:color="auto" w:sz="4" w:space="0"/>
              <w:right w:val="single" w:color="auto" w:sz="4" w:space="0"/>
            </w:tcBorders>
            <w:noWrap w:val="0"/>
            <w:vAlign w:val="center"/>
          </w:tcPr>
          <w:p w14:paraId="38A2724C">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w:t>
            </w:r>
          </w:p>
        </w:tc>
        <w:tc>
          <w:tcPr>
            <w:tcW w:w="9408" w:type="dxa"/>
            <w:tcBorders>
              <w:top w:val="single" w:color="auto" w:sz="4" w:space="0"/>
              <w:left w:val="single" w:color="auto" w:sz="4" w:space="0"/>
              <w:bottom w:val="single" w:color="auto" w:sz="4" w:space="0"/>
              <w:right w:val="single" w:color="auto" w:sz="4" w:space="0"/>
            </w:tcBorders>
            <w:noWrap w:val="0"/>
            <w:vAlign w:val="center"/>
          </w:tcPr>
          <w:p w14:paraId="1329012E">
            <w:pPr>
              <w:keepNext w:val="0"/>
              <w:keepLines w:val="0"/>
              <w:pageBreakBefore w:val="0"/>
              <w:kinsoku/>
              <w:wordWrap/>
              <w:overflowPunct/>
              <w:topLinePunct w:val="0"/>
              <w:bidi w:val="0"/>
              <w:adjustRightInd/>
              <w:snapToGrid w:val="0"/>
              <w:spacing w:line="400" w:lineRule="exact"/>
              <w:rPr>
                <w:rFonts w:hint="default" w:ascii="宋体" w:hAnsi="宋体" w:eastAsia="宋体" w:cs="宋体"/>
                <w:b/>
                <w:bCs/>
                <w:color w:val="auto"/>
                <w:sz w:val="21"/>
                <w:szCs w:val="21"/>
                <w:highlight w:val="none"/>
                <w:shd w:val="clear" w:color="auto" w:fill="auto"/>
                <w:lang w:val="en-US" w:eastAsia="zh-CN"/>
              </w:rPr>
            </w:pPr>
            <w:r>
              <w:rPr>
                <w:rFonts w:hint="eastAsia" w:ascii="宋体" w:hAnsi="宋体" w:eastAsia="宋体" w:cs="宋体"/>
                <w:b w:val="0"/>
                <w:bCs w:val="0"/>
                <w:color w:val="auto"/>
                <w:sz w:val="21"/>
                <w:szCs w:val="21"/>
                <w:highlight w:val="none"/>
                <w:shd w:val="clear" w:color="auto" w:fill="auto"/>
                <w:lang w:val="en-US" w:eastAsia="zh-CN"/>
              </w:rPr>
              <w:t>投标报价及费用：</w:t>
            </w:r>
            <w:r>
              <w:rPr>
                <w:rFonts w:hint="eastAsia" w:ascii="宋体" w:hAnsi="宋体" w:eastAsia="宋体" w:cs="宋体"/>
                <w:b w:val="0"/>
                <w:bCs w:val="0"/>
                <w:color w:val="000000" w:themeColor="text1"/>
                <w:sz w:val="21"/>
                <w:szCs w:val="21"/>
                <w:highlight w:val="none"/>
                <w:shd w:val="clear" w:color="auto" w:fill="auto"/>
                <w:lang w:val="en-US" w:eastAsia="zh-CN"/>
                <w14:textFill>
                  <w14:solidFill>
                    <w14:schemeClr w14:val="tx1"/>
                  </w14:solidFill>
                </w14:textFill>
              </w:rPr>
              <w:t>1、本项目投标应以人民币报价；2、不论投标结果如何，投标人均应自行承担所有与投标有关的全部费用；3、本项目招标代理服务费由中标人支付给招标代理机构，在招标代理机构发出成交通知书前一次性付清招标代理服务费用，收费采用差额定率累进计算，其中计费方式：100万*1.5%</w:t>
            </w:r>
            <w:r>
              <w:rPr>
                <w:rFonts w:hint="eastAsia" w:ascii="宋体" w:hAnsi="宋体" w:cs="宋体"/>
                <w:b w:val="0"/>
                <w:bCs w:val="0"/>
                <w:color w:val="000000" w:themeColor="text1"/>
                <w:sz w:val="21"/>
                <w:szCs w:val="21"/>
                <w:highlight w:val="none"/>
                <w:shd w:val="clear" w:color="auto" w:fill="auto"/>
                <w:lang w:val="en-US" w:eastAsia="zh-CN"/>
                <w14:textFill>
                  <w14:solidFill>
                    <w14:schemeClr w14:val="tx1"/>
                  </w14:solidFill>
                </w14:textFill>
              </w:rPr>
              <w:t>，实际计算的代理服务费用最高不超过1万元，超过的按1万元计费，不足5000元的按5000元计</w:t>
            </w:r>
            <w:r>
              <w:rPr>
                <w:rFonts w:hint="eastAsia" w:ascii="宋体" w:hAnsi="宋体" w:cs="宋体"/>
                <w:b w:val="0"/>
                <w:bCs w:val="0"/>
                <w:color w:val="auto"/>
                <w:sz w:val="21"/>
                <w:szCs w:val="21"/>
                <w:highlight w:val="none"/>
                <w:shd w:val="clear" w:color="auto" w:fill="auto"/>
                <w:lang w:val="en-US" w:eastAsia="zh-CN"/>
              </w:rPr>
              <w:t>。</w:t>
            </w:r>
          </w:p>
        </w:tc>
      </w:tr>
      <w:tr w14:paraId="0A5B9C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87" w:type="dxa"/>
            <w:tcBorders>
              <w:top w:val="single" w:color="auto" w:sz="4" w:space="0"/>
              <w:left w:val="single" w:color="auto" w:sz="4" w:space="0"/>
              <w:bottom w:val="single" w:color="auto" w:sz="4" w:space="0"/>
              <w:right w:val="single" w:color="auto" w:sz="4" w:space="0"/>
            </w:tcBorders>
            <w:noWrap w:val="0"/>
            <w:vAlign w:val="center"/>
          </w:tcPr>
          <w:p w14:paraId="5A73B673">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w:t>
            </w:r>
          </w:p>
        </w:tc>
        <w:tc>
          <w:tcPr>
            <w:tcW w:w="9408" w:type="dxa"/>
            <w:tcBorders>
              <w:top w:val="single" w:color="auto" w:sz="4" w:space="0"/>
              <w:left w:val="single" w:color="auto" w:sz="4" w:space="0"/>
              <w:bottom w:val="single" w:color="auto" w:sz="4" w:space="0"/>
              <w:right w:val="single" w:color="auto" w:sz="4" w:space="0"/>
            </w:tcBorders>
            <w:noWrap w:val="0"/>
            <w:vAlign w:val="center"/>
          </w:tcPr>
          <w:p w14:paraId="5341E91B">
            <w:pPr>
              <w:keepNext w:val="0"/>
              <w:keepLines w:val="0"/>
              <w:pageBreakBefore w:val="0"/>
              <w:kinsoku/>
              <w:wordWrap/>
              <w:overflowPunct/>
              <w:topLinePunct w:val="0"/>
              <w:bidi w:val="0"/>
              <w:adjustRightInd/>
              <w:snapToGrid w:val="0"/>
              <w:spacing w:line="400" w:lineRule="exact"/>
              <w:rPr>
                <w:rFonts w:hint="eastAsia" w:ascii="宋体" w:hAnsi="宋体" w:eastAsia="宋体" w:cs="宋体"/>
                <w:color w:val="auto"/>
                <w:sz w:val="21"/>
                <w:szCs w:val="21"/>
                <w:highlight w:val="none"/>
                <w:shd w:val="clear" w:color="auto" w:fill="auto"/>
              </w:rPr>
            </w:pPr>
            <w:r>
              <w:rPr>
                <w:rFonts w:hint="eastAsia" w:ascii="宋体" w:hAnsi="宋体" w:cs="宋体"/>
                <w:b/>
                <w:bCs/>
                <w:color w:val="auto"/>
                <w:sz w:val="21"/>
                <w:szCs w:val="21"/>
                <w:highlight w:val="none"/>
              </w:rPr>
              <w:t>现场踏勘</w:t>
            </w:r>
            <w:r>
              <w:rPr>
                <w:rFonts w:hint="eastAsia" w:ascii="宋体" w:hAnsi="宋体" w:cs="宋体"/>
                <w:color w:val="auto"/>
                <w:sz w:val="21"/>
                <w:szCs w:val="21"/>
                <w:highlight w:val="none"/>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6B442A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87" w:type="dxa"/>
            <w:tcBorders>
              <w:top w:val="single" w:color="auto" w:sz="4" w:space="0"/>
              <w:left w:val="single" w:color="auto" w:sz="4" w:space="0"/>
              <w:bottom w:val="single" w:color="auto" w:sz="4" w:space="0"/>
              <w:right w:val="single" w:color="auto" w:sz="4" w:space="0"/>
            </w:tcBorders>
            <w:noWrap w:val="0"/>
            <w:vAlign w:val="center"/>
          </w:tcPr>
          <w:p w14:paraId="73E6DB11">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5</w:t>
            </w:r>
          </w:p>
        </w:tc>
        <w:tc>
          <w:tcPr>
            <w:tcW w:w="9408" w:type="dxa"/>
            <w:tcBorders>
              <w:top w:val="single" w:color="auto" w:sz="4" w:space="0"/>
              <w:left w:val="single" w:color="auto" w:sz="4" w:space="0"/>
              <w:bottom w:val="single" w:color="auto" w:sz="4" w:space="0"/>
              <w:right w:val="single" w:color="auto" w:sz="4" w:space="0"/>
            </w:tcBorders>
            <w:noWrap w:val="0"/>
            <w:vAlign w:val="center"/>
          </w:tcPr>
          <w:p w14:paraId="5A4B609A">
            <w:pPr>
              <w:keepNext w:val="0"/>
              <w:keepLines w:val="0"/>
              <w:pageBreakBefore w:val="0"/>
              <w:kinsoku/>
              <w:wordWrap/>
              <w:overflowPunct/>
              <w:topLinePunct w:val="0"/>
              <w:bidi w:val="0"/>
              <w:adjustRightInd/>
              <w:snapToGrid w:val="0"/>
              <w:spacing w:line="400" w:lineRule="exact"/>
              <w:rPr>
                <w:rFonts w:hint="eastAsia" w:ascii="宋体" w:hAnsi="宋体" w:eastAsia="宋体" w:cs="宋体"/>
                <w:b/>
                <w:color w:val="auto"/>
                <w:sz w:val="21"/>
                <w:szCs w:val="21"/>
                <w:highlight w:val="none"/>
                <w:shd w:val="clear" w:color="auto" w:fill="auto"/>
              </w:rPr>
            </w:pPr>
            <w:r>
              <w:rPr>
                <w:rFonts w:hint="eastAsia" w:ascii="宋体" w:hAnsi="宋体" w:cs="宋体"/>
                <w:b/>
                <w:color w:val="auto"/>
                <w:sz w:val="21"/>
                <w:szCs w:val="21"/>
                <w:highlight w:val="none"/>
              </w:rPr>
              <w:t>质疑与澄清</w:t>
            </w:r>
            <w:r>
              <w:rPr>
                <w:rFonts w:hint="eastAsia" w:ascii="宋体" w:hAnsi="宋体" w:cs="宋体"/>
                <w:color w:val="auto"/>
                <w:sz w:val="21"/>
                <w:szCs w:val="21"/>
                <w:highlight w:val="none"/>
              </w:rPr>
              <w:t>：潜在投标人已依法获取其可质疑的采购文件的，可以以书面形式（参照政府采购质疑函范本）向招标人就该文件提出质疑。对采购文件提出质疑的，应当在获取采购文件或者采购文件公告期限届满之日（公告期限届满后获取采购文件的，以公告期限届满之日为准）</w:t>
            </w:r>
            <w:r>
              <w:rPr>
                <w:rFonts w:hint="eastAsia" w:ascii="宋体" w:hAnsi="宋体" w:cs="宋体"/>
                <w:color w:val="auto"/>
                <w:sz w:val="21"/>
                <w:szCs w:val="21"/>
                <w:highlight w:val="none"/>
                <w:lang w:eastAsia="zh-CN"/>
              </w:rPr>
              <w:t>起</w:t>
            </w:r>
            <w:r>
              <w:rPr>
                <w:rFonts w:hint="eastAsia" w:ascii="宋体" w:hAnsi="宋体" w:cs="宋体"/>
                <w:color w:val="auto"/>
                <w:sz w:val="21"/>
                <w:szCs w:val="21"/>
                <w:highlight w:val="none"/>
              </w:rPr>
              <w:t>7个工作日内以书面形式提出，否则被质疑人可不予接受。投标人在法定质疑期内应一次性提出针对同一采购程序环节的质疑。招标人对已发出的招标文件进行必要的澄清、答复、修改和补充将以更正公告的形式，通过采购公告发布的网站予以发布。</w:t>
            </w:r>
            <w:r>
              <w:rPr>
                <w:rFonts w:hint="eastAsia" w:ascii="宋体" w:hAnsi="宋体" w:cs="宋体"/>
                <w:b/>
                <w:color w:val="auto"/>
                <w:sz w:val="21"/>
                <w:szCs w:val="21"/>
                <w:highlight w:val="none"/>
              </w:rPr>
              <w:t xml:space="preserve"> </w:t>
            </w:r>
          </w:p>
        </w:tc>
      </w:tr>
      <w:tr w14:paraId="0BE4D3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87" w:type="dxa"/>
            <w:tcBorders>
              <w:top w:val="single" w:color="auto" w:sz="4" w:space="0"/>
              <w:left w:val="single" w:color="auto" w:sz="4" w:space="0"/>
              <w:bottom w:val="single" w:color="auto" w:sz="4" w:space="0"/>
              <w:right w:val="single" w:color="auto" w:sz="4" w:space="0"/>
            </w:tcBorders>
            <w:noWrap w:val="0"/>
            <w:vAlign w:val="center"/>
          </w:tcPr>
          <w:p w14:paraId="1CB600C1">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6</w:t>
            </w:r>
          </w:p>
        </w:tc>
        <w:tc>
          <w:tcPr>
            <w:tcW w:w="9408" w:type="dxa"/>
            <w:tcBorders>
              <w:top w:val="single" w:color="auto" w:sz="4" w:space="0"/>
              <w:left w:val="single" w:color="auto" w:sz="4" w:space="0"/>
              <w:bottom w:val="single" w:color="auto" w:sz="4" w:space="0"/>
              <w:right w:val="single" w:color="auto" w:sz="4" w:space="0"/>
            </w:tcBorders>
            <w:noWrap w:val="0"/>
            <w:vAlign w:val="center"/>
          </w:tcPr>
          <w:p w14:paraId="5032B0D7">
            <w:pPr>
              <w:keepNext w:val="0"/>
              <w:keepLines w:val="0"/>
              <w:pageBreakBefore w:val="0"/>
              <w:kinsoku/>
              <w:wordWrap/>
              <w:overflowPunct/>
              <w:topLinePunct w:val="0"/>
              <w:bidi w:val="0"/>
              <w:adjustRightInd/>
              <w:snapToGrid w:val="0"/>
              <w:spacing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投标截止时间、开标时间及地点：详见“第一章  投标邀请”</w:t>
            </w:r>
          </w:p>
        </w:tc>
      </w:tr>
      <w:tr w14:paraId="4B4804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jc w:val="center"/>
        </w:trPr>
        <w:tc>
          <w:tcPr>
            <w:tcW w:w="787" w:type="dxa"/>
            <w:tcBorders>
              <w:top w:val="single" w:color="auto" w:sz="4" w:space="0"/>
              <w:left w:val="single" w:color="auto" w:sz="4" w:space="0"/>
              <w:bottom w:val="single" w:color="auto" w:sz="4" w:space="0"/>
              <w:right w:val="single" w:color="auto" w:sz="4" w:space="0"/>
            </w:tcBorders>
            <w:noWrap w:val="0"/>
            <w:vAlign w:val="center"/>
          </w:tcPr>
          <w:p w14:paraId="2DF6846C">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7</w:t>
            </w:r>
          </w:p>
        </w:tc>
        <w:tc>
          <w:tcPr>
            <w:tcW w:w="9408" w:type="dxa"/>
            <w:tcBorders>
              <w:top w:val="single" w:color="auto" w:sz="4" w:space="0"/>
              <w:left w:val="single" w:color="auto" w:sz="4" w:space="0"/>
              <w:bottom w:val="single" w:color="auto" w:sz="4" w:space="0"/>
              <w:right w:val="single" w:color="auto" w:sz="4" w:space="0"/>
            </w:tcBorders>
            <w:noWrap w:val="0"/>
            <w:vAlign w:val="center"/>
          </w:tcPr>
          <w:p w14:paraId="37DE8561">
            <w:pPr>
              <w:keepNext w:val="0"/>
              <w:keepLines w:val="0"/>
              <w:pageBreakBefore w:val="0"/>
              <w:kinsoku/>
              <w:wordWrap/>
              <w:overflowPunct/>
              <w:topLinePunct w:val="0"/>
              <w:autoSpaceDE w:val="0"/>
              <w:autoSpaceDN w:val="0"/>
              <w:bidi w:val="0"/>
              <w:adjustRightInd/>
              <w:snapToGrid w:val="0"/>
              <w:spacing w:line="400" w:lineRule="exact"/>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评标办法</w:t>
            </w:r>
            <w:r>
              <w:rPr>
                <w:rFonts w:hint="eastAsia" w:ascii="宋体" w:hAnsi="宋体" w:cs="宋体"/>
                <w:b/>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综合评分法</w:t>
            </w:r>
          </w:p>
        </w:tc>
      </w:tr>
      <w:tr w14:paraId="4C2C07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jc w:val="center"/>
        </w:trPr>
        <w:tc>
          <w:tcPr>
            <w:tcW w:w="787" w:type="dxa"/>
            <w:tcBorders>
              <w:top w:val="single" w:color="auto" w:sz="4" w:space="0"/>
              <w:left w:val="single" w:color="auto" w:sz="4" w:space="0"/>
              <w:bottom w:val="single" w:color="auto" w:sz="4" w:space="0"/>
              <w:right w:val="single" w:color="auto" w:sz="4" w:space="0"/>
            </w:tcBorders>
            <w:noWrap w:val="0"/>
            <w:vAlign w:val="center"/>
          </w:tcPr>
          <w:p w14:paraId="436D3AAE">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8</w:t>
            </w:r>
          </w:p>
        </w:tc>
        <w:tc>
          <w:tcPr>
            <w:tcW w:w="9408" w:type="dxa"/>
            <w:tcBorders>
              <w:top w:val="single" w:color="auto" w:sz="4" w:space="0"/>
              <w:left w:val="single" w:color="auto" w:sz="4" w:space="0"/>
              <w:bottom w:val="single" w:color="auto" w:sz="4" w:space="0"/>
              <w:right w:val="single" w:color="auto" w:sz="4" w:space="0"/>
            </w:tcBorders>
            <w:noWrap w:val="0"/>
            <w:vAlign w:val="center"/>
          </w:tcPr>
          <w:p w14:paraId="1E948939">
            <w:pPr>
              <w:keepNext w:val="0"/>
              <w:keepLines w:val="0"/>
              <w:pageBreakBefore w:val="0"/>
              <w:kinsoku/>
              <w:wordWrap/>
              <w:overflowPunct/>
              <w:topLinePunct w:val="0"/>
              <w:autoSpaceDE w:val="0"/>
              <w:autoSpaceDN w:val="0"/>
              <w:bidi w:val="0"/>
              <w:adjustRightInd/>
              <w:snapToGrid w:val="0"/>
              <w:spacing w:line="400" w:lineRule="exact"/>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w:t>
            </w:r>
            <w:r>
              <w:rPr>
                <w:rFonts w:hint="eastAsia" w:ascii="宋体" w:hAnsi="宋体" w:eastAsia="宋体" w:cs="宋体"/>
                <w:color w:val="auto"/>
                <w:sz w:val="21"/>
                <w:szCs w:val="21"/>
                <w:highlight w:val="none"/>
                <w:shd w:val="clear" w:color="auto" w:fill="auto"/>
              </w:rPr>
              <w:t>投标有效期：自投标截止日起</w:t>
            </w:r>
            <w:r>
              <w:rPr>
                <w:rFonts w:hint="eastAsia" w:ascii="宋体" w:hAnsi="宋体" w:eastAsia="宋体" w:cs="宋体"/>
                <w:color w:val="auto"/>
                <w:sz w:val="21"/>
                <w:szCs w:val="21"/>
                <w:highlight w:val="none"/>
                <w:u w:val="single"/>
                <w:shd w:val="clear" w:color="auto" w:fill="auto"/>
              </w:rPr>
              <w:t xml:space="preserve"> 90 </w:t>
            </w:r>
            <w:r>
              <w:rPr>
                <w:rFonts w:hint="eastAsia" w:ascii="宋体" w:hAnsi="宋体" w:eastAsia="宋体" w:cs="宋体"/>
                <w:color w:val="auto"/>
                <w:sz w:val="21"/>
                <w:szCs w:val="21"/>
                <w:highlight w:val="none"/>
                <w:shd w:val="clear" w:color="auto" w:fill="auto"/>
              </w:rPr>
              <w:t>天投标文件应保持有效</w:t>
            </w:r>
          </w:p>
        </w:tc>
      </w:tr>
      <w:tr w14:paraId="011294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787" w:type="dxa"/>
            <w:tcBorders>
              <w:top w:val="single" w:color="auto" w:sz="4" w:space="0"/>
              <w:left w:val="single" w:color="auto" w:sz="4" w:space="0"/>
              <w:bottom w:val="single" w:color="auto" w:sz="4" w:space="0"/>
              <w:right w:val="single" w:color="auto" w:sz="4" w:space="0"/>
            </w:tcBorders>
            <w:noWrap w:val="0"/>
            <w:vAlign w:val="center"/>
          </w:tcPr>
          <w:p w14:paraId="1F9D6FAA">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9</w:t>
            </w:r>
          </w:p>
        </w:tc>
        <w:tc>
          <w:tcPr>
            <w:tcW w:w="9408" w:type="dxa"/>
            <w:tcBorders>
              <w:top w:val="single" w:color="auto" w:sz="4" w:space="0"/>
              <w:left w:val="single" w:color="auto" w:sz="4" w:space="0"/>
              <w:bottom w:val="single" w:color="auto" w:sz="4" w:space="0"/>
              <w:right w:val="single" w:color="auto" w:sz="4" w:space="0"/>
            </w:tcBorders>
            <w:noWrap w:val="0"/>
            <w:vAlign w:val="center"/>
          </w:tcPr>
          <w:p w14:paraId="74DC530A">
            <w:pPr>
              <w:keepNext w:val="0"/>
              <w:keepLines w:val="0"/>
              <w:pageBreakBefore w:val="0"/>
              <w:kinsoku/>
              <w:wordWrap/>
              <w:overflowPunct/>
              <w:topLinePunct w:val="0"/>
              <w:autoSpaceDE w:val="0"/>
              <w:autoSpaceDN w:val="0"/>
              <w:bidi w:val="0"/>
              <w:adjustRightInd/>
              <w:snapToGrid w:val="0"/>
              <w:spacing w:line="400" w:lineRule="exact"/>
              <w:textAlignment w:val="bottom"/>
              <w:rPr>
                <w:rFonts w:hint="eastAsia" w:ascii="宋体" w:hAnsi="宋体" w:eastAsia="宋体" w:cs="宋体"/>
                <w:b/>
                <w:color w:val="auto"/>
                <w:sz w:val="21"/>
                <w:szCs w:val="21"/>
                <w:highlight w:val="none"/>
                <w:u w:val="single"/>
                <w:shd w:val="clear" w:color="auto" w:fill="auto"/>
              </w:rPr>
            </w:pPr>
            <w:r>
              <w:rPr>
                <w:rFonts w:hint="eastAsia" w:ascii="宋体" w:hAnsi="宋体" w:eastAsia="宋体" w:cs="宋体"/>
                <w:b/>
                <w:color w:val="auto"/>
                <w:sz w:val="21"/>
                <w:szCs w:val="21"/>
                <w:highlight w:val="none"/>
                <w:u w:val="single"/>
                <w:shd w:val="clear" w:color="auto" w:fill="auto"/>
              </w:rPr>
              <w:t>实质性条款：带▲是实质性条款，投标人不得负偏离或内容缺失，否则为无效标。</w:t>
            </w:r>
          </w:p>
        </w:tc>
      </w:tr>
      <w:tr w14:paraId="753E24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jc w:val="center"/>
        </w:trPr>
        <w:tc>
          <w:tcPr>
            <w:tcW w:w="787" w:type="dxa"/>
            <w:tcBorders>
              <w:top w:val="single" w:color="auto" w:sz="4" w:space="0"/>
              <w:left w:val="single" w:color="auto" w:sz="4" w:space="0"/>
              <w:bottom w:val="single" w:color="auto" w:sz="4" w:space="0"/>
              <w:right w:val="single" w:color="auto" w:sz="4" w:space="0"/>
            </w:tcBorders>
            <w:noWrap w:val="0"/>
            <w:vAlign w:val="center"/>
          </w:tcPr>
          <w:p w14:paraId="282CE2CE">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10</w:t>
            </w:r>
          </w:p>
        </w:tc>
        <w:tc>
          <w:tcPr>
            <w:tcW w:w="9408" w:type="dxa"/>
            <w:tcBorders>
              <w:top w:val="single" w:color="auto" w:sz="4" w:space="0"/>
              <w:left w:val="single" w:color="auto" w:sz="4" w:space="0"/>
              <w:bottom w:val="single" w:color="auto" w:sz="4" w:space="0"/>
              <w:right w:val="single" w:color="auto" w:sz="4" w:space="0"/>
            </w:tcBorders>
            <w:noWrap w:val="0"/>
            <w:vAlign w:val="center"/>
          </w:tcPr>
          <w:p w14:paraId="05F9E6E4">
            <w:pPr>
              <w:keepNext w:val="0"/>
              <w:keepLines w:val="0"/>
              <w:pageBreakBefore w:val="0"/>
              <w:kinsoku/>
              <w:wordWrap/>
              <w:overflowPunct/>
              <w:topLinePunct w:val="0"/>
              <w:autoSpaceDE w:val="0"/>
              <w:autoSpaceDN w:val="0"/>
              <w:bidi w:val="0"/>
              <w:adjustRightInd/>
              <w:snapToGrid w:val="0"/>
              <w:spacing w:line="400" w:lineRule="exact"/>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中标公告</w:t>
            </w:r>
            <w:r>
              <w:rPr>
                <w:rFonts w:hint="eastAsia" w:ascii="宋体" w:hAnsi="宋体" w:cs="宋体"/>
                <w:color w:val="auto"/>
                <w:sz w:val="21"/>
                <w:szCs w:val="21"/>
                <w:highlight w:val="none"/>
                <w:shd w:val="clear" w:color="auto" w:fill="auto"/>
                <w:lang w:val="en-US" w:eastAsia="zh-CN"/>
              </w:rPr>
              <w:t>及</w:t>
            </w:r>
            <w:r>
              <w:rPr>
                <w:rFonts w:hint="eastAsia" w:ascii="宋体" w:hAnsi="宋体" w:eastAsia="宋体" w:cs="宋体"/>
                <w:color w:val="auto"/>
                <w:sz w:val="21"/>
                <w:szCs w:val="21"/>
                <w:highlight w:val="none"/>
                <w:shd w:val="clear" w:color="auto" w:fill="auto"/>
              </w:rPr>
              <w:t>中标通知书：评标结束后</w:t>
            </w:r>
            <w:r>
              <w:rPr>
                <w:rFonts w:hint="eastAsia" w:ascii="宋体" w:hAnsi="宋体" w:cs="宋体"/>
                <w:color w:val="auto"/>
                <w:sz w:val="21"/>
                <w:szCs w:val="21"/>
                <w:highlight w:val="none"/>
                <w:shd w:val="clear" w:color="auto" w:fill="auto"/>
                <w:lang w:val="en-US" w:eastAsia="zh-CN"/>
              </w:rPr>
              <w:t>7</w:t>
            </w:r>
            <w:r>
              <w:rPr>
                <w:rFonts w:hint="eastAsia" w:ascii="宋体" w:hAnsi="宋体" w:eastAsia="宋体" w:cs="宋体"/>
                <w:color w:val="auto"/>
                <w:sz w:val="21"/>
                <w:szCs w:val="21"/>
                <w:highlight w:val="none"/>
                <w:shd w:val="clear" w:color="auto" w:fill="auto"/>
              </w:rPr>
              <w:t>个工作日内，中标公告发布于采购公告发布的网站（</w:t>
            </w:r>
            <w:r>
              <w:rPr>
                <w:rFonts w:hint="eastAsia" w:ascii="宋体" w:hAnsi="宋体" w:eastAsia="宋体" w:cs="宋体"/>
                <w:color w:val="auto"/>
                <w:kern w:val="0"/>
                <w:sz w:val="21"/>
                <w:szCs w:val="21"/>
                <w:highlight w:val="none"/>
                <w:shd w:val="clear" w:color="auto" w:fill="auto"/>
              </w:rPr>
              <w:t>临海市限额以下公共资源交易区域平台</w:t>
            </w:r>
            <w:r>
              <w:rPr>
                <w:rFonts w:hint="eastAsia" w:ascii="宋体" w:hAnsi="宋体" w:eastAsia="宋体" w:cs="宋体"/>
                <w:color w:val="auto"/>
                <w:sz w:val="21"/>
                <w:szCs w:val="21"/>
                <w:highlight w:val="none"/>
                <w:shd w:val="clear" w:color="auto" w:fill="auto"/>
              </w:rPr>
              <w:t>）。</w:t>
            </w:r>
          </w:p>
        </w:tc>
      </w:tr>
      <w:tr w14:paraId="123A20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jc w:val="center"/>
        </w:trPr>
        <w:tc>
          <w:tcPr>
            <w:tcW w:w="787" w:type="dxa"/>
            <w:tcBorders>
              <w:top w:val="single" w:color="auto" w:sz="4" w:space="0"/>
              <w:left w:val="single" w:color="auto" w:sz="4" w:space="0"/>
              <w:bottom w:val="single" w:color="auto" w:sz="4" w:space="0"/>
              <w:right w:val="single" w:color="auto" w:sz="4" w:space="0"/>
            </w:tcBorders>
            <w:noWrap w:val="0"/>
            <w:vAlign w:val="center"/>
          </w:tcPr>
          <w:p w14:paraId="28164366">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cs="宋体"/>
                <w:color w:val="auto"/>
                <w:sz w:val="21"/>
                <w:szCs w:val="21"/>
                <w:highlight w:val="none"/>
                <w:shd w:val="clear" w:color="auto" w:fill="auto"/>
                <w:lang w:val="en-US" w:eastAsia="zh-CN"/>
              </w:rPr>
              <w:t>1</w:t>
            </w:r>
          </w:p>
        </w:tc>
        <w:tc>
          <w:tcPr>
            <w:tcW w:w="9408" w:type="dxa"/>
            <w:tcBorders>
              <w:top w:val="single" w:color="auto" w:sz="4" w:space="0"/>
              <w:left w:val="single" w:color="auto" w:sz="4" w:space="0"/>
              <w:bottom w:val="single" w:color="auto" w:sz="4" w:space="0"/>
              <w:right w:val="single" w:color="auto" w:sz="4" w:space="0"/>
            </w:tcBorders>
            <w:noWrap w:val="0"/>
            <w:vAlign w:val="center"/>
          </w:tcPr>
          <w:p w14:paraId="0AF595A2">
            <w:pPr>
              <w:keepNext w:val="0"/>
              <w:keepLines w:val="0"/>
              <w:pageBreakBefore w:val="0"/>
              <w:kinsoku/>
              <w:wordWrap/>
              <w:overflowPunct/>
              <w:topLinePunct w:val="0"/>
              <w:autoSpaceDE w:val="0"/>
              <w:autoSpaceDN w:val="0"/>
              <w:bidi w:val="0"/>
              <w:adjustRightInd/>
              <w:snapToGrid w:val="0"/>
              <w:spacing w:line="400" w:lineRule="exact"/>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签订合同时间：中标通知书发出后30日内。</w:t>
            </w:r>
          </w:p>
        </w:tc>
      </w:tr>
      <w:tr w14:paraId="5BA8C5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9" w:hRule="atLeast"/>
          <w:jc w:val="center"/>
        </w:trPr>
        <w:tc>
          <w:tcPr>
            <w:tcW w:w="787" w:type="dxa"/>
            <w:tcBorders>
              <w:top w:val="single" w:color="auto" w:sz="4" w:space="0"/>
              <w:left w:val="single" w:color="auto" w:sz="4" w:space="0"/>
              <w:bottom w:val="single" w:color="auto" w:sz="4" w:space="0"/>
              <w:right w:val="single" w:color="auto" w:sz="4" w:space="0"/>
            </w:tcBorders>
            <w:noWrap w:val="0"/>
            <w:vAlign w:val="center"/>
          </w:tcPr>
          <w:p w14:paraId="11B532E5">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cs="宋体"/>
                <w:color w:val="auto"/>
                <w:sz w:val="21"/>
                <w:szCs w:val="21"/>
                <w:highlight w:val="none"/>
                <w:shd w:val="clear" w:color="auto" w:fill="auto"/>
                <w:lang w:val="en-US" w:eastAsia="zh-CN"/>
              </w:rPr>
              <w:t>2</w:t>
            </w:r>
          </w:p>
        </w:tc>
        <w:tc>
          <w:tcPr>
            <w:tcW w:w="9408" w:type="dxa"/>
            <w:tcBorders>
              <w:top w:val="single" w:color="auto" w:sz="4" w:space="0"/>
              <w:left w:val="single" w:color="auto" w:sz="4" w:space="0"/>
              <w:bottom w:val="single" w:color="auto" w:sz="4" w:space="0"/>
              <w:right w:val="single" w:color="auto" w:sz="4" w:space="0"/>
            </w:tcBorders>
            <w:noWrap w:val="0"/>
            <w:vAlign w:val="center"/>
          </w:tcPr>
          <w:p w14:paraId="0DFCE2D5">
            <w:pPr>
              <w:spacing w:line="440" w:lineRule="exac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b/>
                <w:bCs/>
                <w:color w:val="auto"/>
                <w:kern w:val="2"/>
                <w:sz w:val="21"/>
                <w:szCs w:val="21"/>
                <w:highlight w:val="none"/>
                <w:shd w:val="clear" w:color="auto" w:fill="auto"/>
                <w:lang w:val="en-US" w:eastAsia="zh-CN" w:bidi="ar-SA"/>
              </w:rPr>
              <w:t>▲付款方式：合同签订后支付合同价的10%，如分阶段或分专业实施的，须按</w:t>
            </w:r>
            <w:r>
              <w:rPr>
                <w:rFonts w:hint="eastAsia" w:ascii="宋体" w:hAnsi="宋体" w:cs="宋体"/>
                <w:b/>
                <w:bCs/>
                <w:color w:val="auto"/>
                <w:kern w:val="2"/>
                <w:sz w:val="21"/>
                <w:szCs w:val="21"/>
                <w:highlight w:val="none"/>
                <w:shd w:val="clear" w:color="auto" w:fill="auto"/>
                <w:lang w:val="en-US" w:eastAsia="zh-CN" w:bidi="ar-SA"/>
              </w:rPr>
              <w:t>委托</w:t>
            </w:r>
            <w:r>
              <w:rPr>
                <w:rFonts w:hint="eastAsia" w:ascii="宋体" w:hAnsi="宋体" w:eastAsia="宋体" w:cs="宋体"/>
                <w:b/>
                <w:bCs/>
                <w:color w:val="auto"/>
                <w:kern w:val="2"/>
                <w:sz w:val="21"/>
                <w:szCs w:val="21"/>
                <w:highlight w:val="none"/>
                <w:shd w:val="clear" w:color="auto" w:fill="auto"/>
                <w:lang w:val="en-US" w:eastAsia="zh-CN" w:bidi="ar-SA"/>
              </w:rPr>
              <w:t>人要求分阶段或分专业出具造价咨询报告书，在出具每个项目的预算审核报告（审定完成）后，付至已完成造价咨询服务费的80%，竣工结算审核结束后付完余款。相关违约金（如有）由</w:t>
            </w:r>
            <w:r>
              <w:rPr>
                <w:rFonts w:hint="eastAsia" w:ascii="宋体" w:hAnsi="宋体" w:cs="宋体"/>
                <w:b/>
                <w:bCs/>
                <w:color w:val="auto"/>
                <w:kern w:val="2"/>
                <w:sz w:val="21"/>
                <w:szCs w:val="21"/>
                <w:highlight w:val="none"/>
                <w:shd w:val="clear" w:color="auto" w:fill="auto"/>
                <w:lang w:val="en-US" w:eastAsia="zh-CN" w:bidi="ar-SA"/>
              </w:rPr>
              <w:t>委托人</w:t>
            </w:r>
            <w:r>
              <w:rPr>
                <w:rFonts w:hint="eastAsia" w:ascii="宋体" w:hAnsi="宋体" w:eastAsia="宋体" w:cs="宋体"/>
                <w:b/>
                <w:bCs/>
                <w:color w:val="auto"/>
                <w:kern w:val="2"/>
                <w:sz w:val="21"/>
                <w:szCs w:val="21"/>
                <w:highlight w:val="none"/>
                <w:shd w:val="clear" w:color="auto" w:fill="auto"/>
                <w:lang w:val="en-US" w:eastAsia="zh-CN" w:bidi="ar-SA"/>
              </w:rPr>
              <w:t>从应付咨询服务费中直接扣除。正式发票应随付款进度在</w:t>
            </w:r>
            <w:r>
              <w:rPr>
                <w:rFonts w:hint="eastAsia" w:ascii="宋体" w:hAnsi="宋体" w:cs="宋体"/>
                <w:b/>
                <w:bCs/>
                <w:color w:val="auto"/>
                <w:kern w:val="2"/>
                <w:sz w:val="21"/>
                <w:szCs w:val="21"/>
                <w:highlight w:val="none"/>
                <w:shd w:val="clear" w:color="auto" w:fill="auto"/>
                <w:lang w:val="en-US" w:eastAsia="zh-CN" w:bidi="ar-SA"/>
              </w:rPr>
              <w:t>委托人</w:t>
            </w:r>
            <w:r>
              <w:rPr>
                <w:rFonts w:hint="eastAsia" w:ascii="宋体" w:hAnsi="宋体" w:eastAsia="宋体" w:cs="宋体"/>
                <w:b/>
                <w:bCs/>
                <w:color w:val="auto"/>
                <w:kern w:val="2"/>
                <w:sz w:val="21"/>
                <w:szCs w:val="21"/>
                <w:highlight w:val="none"/>
                <w:shd w:val="clear" w:color="auto" w:fill="auto"/>
                <w:lang w:val="en-US" w:eastAsia="zh-CN" w:bidi="ar-SA"/>
              </w:rPr>
              <w:t>付款前提供给</w:t>
            </w:r>
            <w:r>
              <w:rPr>
                <w:rFonts w:hint="eastAsia" w:ascii="宋体" w:hAnsi="宋体" w:cs="宋体"/>
                <w:b/>
                <w:bCs/>
                <w:color w:val="auto"/>
                <w:kern w:val="2"/>
                <w:sz w:val="21"/>
                <w:szCs w:val="21"/>
                <w:highlight w:val="none"/>
                <w:shd w:val="clear" w:color="auto" w:fill="auto"/>
                <w:lang w:val="en-US" w:eastAsia="zh-CN" w:bidi="ar-SA"/>
              </w:rPr>
              <w:t>委托</w:t>
            </w:r>
            <w:r>
              <w:rPr>
                <w:rFonts w:hint="eastAsia" w:ascii="宋体" w:hAnsi="宋体" w:eastAsia="宋体" w:cs="宋体"/>
                <w:b/>
                <w:bCs/>
                <w:color w:val="auto"/>
                <w:kern w:val="2"/>
                <w:sz w:val="21"/>
                <w:szCs w:val="21"/>
                <w:highlight w:val="none"/>
                <w:shd w:val="clear" w:color="auto" w:fill="auto"/>
                <w:lang w:val="en-US" w:eastAsia="zh-CN" w:bidi="ar-SA"/>
              </w:rPr>
              <w:t>人。</w:t>
            </w:r>
          </w:p>
        </w:tc>
      </w:tr>
      <w:tr w14:paraId="5AA077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7" w:hRule="atLeast"/>
          <w:jc w:val="center"/>
        </w:trPr>
        <w:tc>
          <w:tcPr>
            <w:tcW w:w="787" w:type="dxa"/>
            <w:tcBorders>
              <w:top w:val="single" w:color="auto" w:sz="4" w:space="0"/>
              <w:left w:val="single" w:color="auto" w:sz="4" w:space="0"/>
              <w:bottom w:val="single" w:color="auto" w:sz="4" w:space="0"/>
              <w:right w:val="single" w:color="auto" w:sz="4" w:space="0"/>
            </w:tcBorders>
            <w:noWrap w:val="0"/>
            <w:vAlign w:val="center"/>
          </w:tcPr>
          <w:p w14:paraId="07BC853D">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cs="宋体"/>
                <w:color w:val="auto"/>
                <w:sz w:val="21"/>
                <w:szCs w:val="21"/>
                <w:highlight w:val="none"/>
                <w:shd w:val="clear" w:color="auto" w:fill="auto"/>
                <w:lang w:val="en-US" w:eastAsia="zh-CN"/>
              </w:rPr>
              <w:t>3</w:t>
            </w:r>
          </w:p>
        </w:tc>
        <w:tc>
          <w:tcPr>
            <w:tcW w:w="9408" w:type="dxa"/>
            <w:tcBorders>
              <w:top w:val="single" w:color="auto" w:sz="4" w:space="0"/>
              <w:left w:val="single" w:color="auto" w:sz="4" w:space="0"/>
              <w:bottom w:val="single" w:color="auto" w:sz="4" w:space="0"/>
              <w:right w:val="single" w:color="auto" w:sz="4" w:space="0"/>
            </w:tcBorders>
            <w:noWrap w:val="0"/>
            <w:vAlign w:val="center"/>
          </w:tcPr>
          <w:p w14:paraId="08B1C9EF">
            <w:pPr>
              <w:pStyle w:val="21"/>
              <w:keepNext w:val="0"/>
              <w:keepLines w:val="0"/>
              <w:pageBreakBefore w:val="0"/>
              <w:kinsoku/>
              <w:wordWrap/>
              <w:overflowPunct/>
              <w:topLinePunct w:val="0"/>
              <w:bidi w:val="0"/>
              <w:adjustRightInd/>
              <w:spacing w:after="0" w:line="400" w:lineRule="exact"/>
              <w:jc w:val="lef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履约保证金的收取及退还</w:t>
            </w:r>
            <w:r>
              <w:rPr>
                <w:rFonts w:hint="eastAsia" w:ascii="宋体"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lang w:eastAsia="zh-CN"/>
              </w:rPr>
              <w:t>本项目不收取履约保证金。</w:t>
            </w:r>
          </w:p>
        </w:tc>
      </w:tr>
      <w:tr w14:paraId="7D4CD0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3" w:hRule="atLeast"/>
          <w:jc w:val="center"/>
        </w:trPr>
        <w:tc>
          <w:tcPr>
            <w:tcW w:w="787" w:type="dxa"/>
            <w:tcBorders>
              <w:top w:val="single" w:color="auto" w:sz="4" w:space="0"/>
              <w:left w:val="single" w:color="auto" w:sz="4" w:space="0"/>
              <w:bottom w:val="single" w:color="auto" w:sz="4" w:space="0"/>
              <w:right w:val="single" w:color="auto" w:sz="4" w:space="0"/>
            </w:tcBorders>
            <w:noWrap w:val="0"/>
            <w:vAlign w:val="center"/>
          </w:tcPr>
          <w:p w14:paraId="3138D6CE">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cs="宋体"/>
                <w:color w:val="auto"/>
                <w:sz w:val="21"/>
                <w:szCs w:val="21"/>
                <w:highlight w:val="none"/>
                <w:shd w:val="clear" w:color="auto" w:fill="auto"/>
                <w:lang w:val="en-US" w:eastAsia="zh-CN"/>
              </w:rPr>
              <w:t>4</w:t>
            </w:r>
          </w:p>
        </w:tc>
        <w:tc>
          <w:tcPr>
            <w:tcW w:w="9408" w:type="dxa"/>
            <w:tcBorders>
              <w:top w:val="single" w:color="auto" w:sz="4" w:space="0"/>
              <w:left w:val="single" w:color="auto" w:sz="4" w:space="0"/>
              <w:bottom w:val="single" w:color="auto" w:sz="4" w:space="0"/>
              <w:right w:val="single" w:color="auto" w:sz="4" w:space="0"/>
            </w:tcBorders>
            <w:noWrap w:val="0"/>
            <w:vAlign w:val="center"/>
          </w:tcPr>
          <w:p w14:paraId="012EEC3E">
            <w:pPr>
              <w:pStyle w:val="21"/>
              <w:keepNext w:val="0"/>
              <w:keepLines w:val="0"/>
              <w:pageBreakBefore w:val="0"/>
              <w:kinsoku/>
              <w:wordWrap/>
              <w:overflowPunct/>
              <w:topLinePunct w:val="0"/>
              <w:bidi w:val="0"/>
              <w:adjustRightInd/>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电子投标文件的上传：</w:t>
            </w:r>
          </w:p>
          <w:p w14:paraId="36AEE20F">
            <w:pPr>
              <w:pStyle w:val="21"/>
              <w:keepNext w:val="0"/>
              <w:keepLines w:val="0"/>
              <w:pageBreakBefore w:val="0"/>
              <w:kinsoku/>
              <w:wordWrap/>
              <w:overflowPunct/>
              <w:topLinePunct w:val="0"/>
              <w:bidi w:val="0"/>
              <w:adjustRightInd/>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（1）电子投标文件可在投标截止时间前上传，未在投标截止时间前上传的投标文件视为无效标。</w:t>
            </w:r>
          </w:p>
          <w:p w14:paraId="17AB6320">
            <w:pPr>
              <w:pStyle w:val="21"/>
              <w:keepNext w:val="0"/>
              <w:keepLines w:val="0"/>
              <w:pageBreakBefore w:val="0"/>
              <w:kinsoku/>
              <w:wordWrap/>
              <w:overflowPunct/>
              <w:topLinePunct w:val="0"/>
              <w:bidi w:val="0"/>
              <w:adjustRightInd/>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（2）上传加密的电子投标文件，后缀名为（.投标文件）（本项目无需提供纸质投标文件，只要求上传电子投标文件正本一份）</w:t>
            </w:r>
          </w:p>
          <w:p w14:paraId="64B3A57A">
            <w:pPr>
              <w:pStyle w:val="21"/>
              <w:keepNext w:val="0"/>
              <w:keepLines w:val="0"/>
              <w:pageBreakBefore w:val="0"/>
              <w:kinsoku/>
              <w:wordWrap/>
              <w:overflowPunct/>
              <w:topLinePunct w:val="0"/>
              <w:bidi w:val="0"/>
              <w:adjustRightInd/>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CA咨询电话：400-0571-337，投标工具咨询电话：15267291759</w:t>
            </w:r>
          </w:p>
          <w:p w14:paraId="3A460734">
            <w:pPr>
              <w:keepNext w:val="0"/>
              <w:keepLines w:val="0"/>
              <w:pageBreakBefore w:val="0"/>
              <w:kinsoku/>
              <w:wordWrap/>
              <w:overflowPunct/>
              <w:topLinePunct w:val="0"/>
              <w:bidi w:val="0"/>
              <w:adjustRightInd/>
              <w:spacing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说明：</w:t>
            </w:r>
            <w:r>
              <w:rPr>
                <w:rFonts w:hint="eastAsia" w:ascii="宋体" w:hAnsi="宋体" w:eastAsia="宋体" w:cs="宋体"/>
                <w:color w:val="auto"/>
                <w:kern w:val="0"/>
                <w:sz w:val="21"/>
                <w:szCs w:val="21"/>
                <w:highlight w:val="none"/>
                <w:shd w:val="clear" w:color="auto" w:fill="auto"/>
              </w:rPr>
              <w:t>开标时间到达后，在开启解密时间</w:t>
            </w:r>
            <w:r>
              <w:rPr>
                <w:rFonts w:hint="eastAsia" w:ascii="宋体" w:hAnsi="宋体" w:eastAsia="宋体" w:cs="宋体"/>
                <w:color w:val="auto"/>
                <w:kern w:val="0"/>
                <w:sz w:val="21"/>
                <w:szCs w:val="21"/>
                <w:highlight w:val="none"/>
                <w:shd w:val="clear" w:color="auto" w:fill="auto"/>
                <w:lang w:val="en-US" w:eastAsia="zh-CN"/>
              </w:rPr>
              <w:t>60</w:t>
            </w:r>
            <w:r>
              <w:rPr>
                <w:rFonts w:hint="eastAsia" w:ascii="宋体" w:hAnsi="宋体" w:eastAsia="宋体" w:cs="宋体"/>
                <w:color w:val="auto"/>
                <w:kern w:val="0"/>
                <w:sz w:val="21"/>
                <w:szCs w:val="21"/>
                <w:highlight w:val="none"/>
                <w:shd w:val="clear" w:color="auto" w:fill="auto"/>
              </w:rPr>
              <w:t>分钟内（具体时间以不见面开标大厅</w:t>
            </w:r>
            <w:bookmarkStart w:id="55" w:name="_Hlk59625364"/>
            <w:r>
              <w:rPr>
                <w:rFonts w:hint="eastAsia" w:ascii="宋体" w:hAnsi="宋体" w:eastAsia="宋体" w:cs="宋体"/>
                <w:color w:val="auto"/>
                <w:kern w:val="0"/>
                <w:sz w:val="21"/>
                <w:szCs w:val="21"/>
                <w:highlight w:val="none"/>
                <w:shd w:val="clear" w:color="auto" w:fill="auto"/>
              </w:rPr>
              <w:t>中显示的</w:t>
            </w:r>
            <w:bookmarkEnd w:id="55"/>
            <w:r>
              <w:rPr>
                <w:rFonts w:hint="eastAsia" w:ascii="宋体" w:hAnsi="宋体" w:eastAsia="宋体" w:cs="宋体"/>
                <w:color w:val="auto"/>
                <w:kern w:val="0"/>
                <w:sz w:val="21"/>
                <w:szCs w:val="21"/>
                <w:highlight w:val="none"/>
                <w:shd w:val="clear" w:color="auto" w:fill="auto"/>
              </w:rPr>
              <w:t>解密截止时间为准），投标人须登录临海市限额以下公共资源交易区域平台-不见面开标大厅，找到所参与的项目进行解密投标文件，</w:t>
            </w:r>
            <w:bookmarkStart w:id="56" w:name="_Hlk59625972"/>
            <w:r>
              <w:rPr>
                <w:rFonts w:hint="eastAsia" w:ascii="宋体" w:hAnsi="宋体" w:eastAsia="宋体" w:cs="宋体"/>
                <w:color w:val="auto"/>
                <w:kern w:val="0"/>
                <w:sz w:val="21"/>
                <w:szCs w:val="21"/>
                <w:highlight w:val="none"/>
                <w:shd w:val="clear" w:color="auto" w:fill="auto"/>
              </w:rPr>
              <w:t xml:space="preserve">投标人未按时解密或解密失败的，其投标文件为无效标。 </w:t>
            </w:r>
            <w:bookmarkEnd w:id="56"/>
          </w:p>
        </w:tc>
      </w:tr>
      <w:tr w14:paraId="1AA6FE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jc w:val="center"/>
        </w:trPr>
        <w:tc>
          <w:tcPr>
            <w:tcW w:w="787" w:type="dxa"/>
            <w:tcBorders>
              <w:top w:val="single" w:color="auto" w:sz="4" w:space="0"/>
              <w:left w:val="single" w:color="auto" w:sz="4" w:space="0"/>
              <w:bottom w:val="single" w:color="auto" w:sz="4" w:space="0"/>
              <w:right w:val="single" w:color="auto" w:sz="4" w:space="0"/>
            </w:tcBorders>
            <w:noWrap w:val="0"/>
            <w:vAlign w:val="center"/>
          </w:tcPr>
          <w:p w14:paraId="6D3BA9C5">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cs="宋体"/>
                <w:color w:val="auto"/>
                <w:sz w:val="21"/>
                <w:szCs w:val="21"/>
                <w:highlight w:val="none"/>
                <w:shd w:val="clear" w:color="auto" w:fill="auto"/>
                <w:lang w:val="en-US" w:eastAsia="zh-CN"/>
              </w:rPr>
              <w:t>5</w:t>
            </w:r>
          </w:p>
        </w:tc>
        <w:tc>
          <w:tcPr>
            <w:tcW w:w="9408" w:type="dxa"/>
            <w:tcBorders>
              <w:top w:val="single" w:color="auto" w:sz="4" w:space="0"/>
              <w:left w:val="single" w:color="auto" w:sz="4" w:space="0"/>
              <w:bottom w:val="single" w:color="auto" w:sz="4" w:space="0"/>
              <w:right w:val="single" w:color="auto" w:sz="4" w:space="0"/>
            </w:tcBorders>
            <w:noWrap w:val="0"/>
            <w:vAlign w:val="center"/>
          </w:tcPr>
          <w:p w14:paraId="15BD4B5D">
            <w:pPr>
              <w:pStyle w:val="21"/>
              <w:keepNext w:val="0"/>
              <w:keepLines w:val="0"/>
              <w:pageBreakBefore w:val="0"/>
              <w:kinsoku/>
              <w:wordWrap/>
              <w:overflowPunct/>
              <w:topLinePunct w:val="0"/>
              <w:bidi w:val="0"/>
              <w:adjustRightInd/>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投标人平台使用费：</w:t>
            </w:r>
          </w:p>
          <w:p w14:paraId="2AAA6BFF">
            <w:pPr>
              <w:pStyle w:val="21"/>
              <w:keepNext w:val="0"/>
              <w:keepLines w:val="0"/>
              <w:pageBreakBefore w:val="0"/>
              <w:kinsoku/>
              <w:wordWrap/>
              <w:overflowPunct/>
              <w:topLinePunct w:val="0"/>
              <w:bidi w:val="0"/>
              <w:adjustRightInd/>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项目金额50万元以下收费100元，50万元以上收费150元。</w:t>
            </w:r>
          </w:p>
          <w:p w14:paraId="2488D2D3">
            <w:pPr>
              <w:pStyle w:val="21"/>
              <w:keepNext w:val="0"/>
              <w:keepLines w:val="0"/>
              <w:pageBreakBefore w:val="0"/>
              <w:kinsoku/>
              <w:wordWrap/>
              <w:overflowPunct/>
              <w:topLinePunct w:val="0"/>
              <w:bidi w:val="0"/>
              <w:adjustRightInd/>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开户名：临海市产权交易所有限公司</w:t>
            </w:r>
          </w:p>
          <w:p w14:paraId="36649BEC">
            <w:pPr>
              <w:pStyle w:val="21"/>
              <w:keepNext w:val="0"/>
              <w:keepLines w:val="0"/>
              <w:pageBreakBefore w:val="0"/>
              <w:kinsoku/>
              <w:wordWrap/>
              <w:overflowPunct/>
              <w:topLinePunct w:val="0"/>
              <w:bidi w:val="0"/>
              <w:adjustRightInd/>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开户行：浙江临海农村商业银行股份有限公司科技支行；</w:t>
            </w:r>
          </w:p>
          <w:p w14:paraId="32139861">
            <w:pPr>
              <w:pStyle w:val="21"/>
              <w:keepNext w:val="0"/>
              <w:keepLines w:val="0"/>
              <w:pageBreakBefore w:val="0"/>
              <w:kinsoku/>
              <w:wordWrap/>
              <w:overflowPunct/>
              <w:topLinePunct w:val="0"/>
              <w:bidi w:val="0"/>
              <w:adjustRightInd/>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平台使用费账号：201000105503123000003</w:t>
            </w:r>
          </w:p>
          <w:p w14:paraId="3A4E3832">
            <w:pPr>
              <w:pStyle w:val="21"/>
              <w:keepNext w:val="0"/>
              <w:keepLines w:val="0"/>
              <w:pageBreakBefore w:val="0"/>
              <w:kinsoku/>
              <w:wordWrap/>
              <w:overflowPunct/>
              <w:topLinePunct w:val="0"/>
              <w:bidi w:val="0"/>
              <w:adjustRightInd/>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临海市产权交易所有限公司财务咨询电话：0576-85407100。</w:t>
            </w:r>
          </w:p>
          <w:p w14:paraId="69B4F999">
            <w:pPr>
              <w:pStyle w:val="21"/>
              <w:keepNext w:val="0"/>
              <w:keepLines w:val="0"/>
              <w:pageBreakBefore w:val="0"/>
              <w:kinsoku/>
              <w:wordWrap/>
              <w:overflowPunct/>
              <w:topLinePunct w:val="0"/>
              <w:bidi w:val="0"/>
              <w:adjustRightInd/>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注意：请提前缴纳相关费用，以防影响正常投标。</w:t>
            </w:r>
          </w:p>
        </w:tc>
      </w:tr>
      <w:tr w14:paraId="6F1E1B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jc w:val="center"/>
        </w:trPr>
        <w:tc>
          <w:tcPr>
            <w:tcW w:w="787" w:type="dxa"/>
            <w:tcBorders>
              <w:top w:val="single" w:color="auto" w:sz="4" w:space="0"/>
              <w:left w:val="single" w:color="auto" w:sz="4" w:space="0"/>
              <w:bottom w:val="single" w:color="auto" w:sz="4" w:space="0"/>
              <w:right w:val="single" w:color="auto" w:sz="4" w:space="0"/>
            </w:tcBorders>
            <w:noWrap w:val="0"/>
            <w:vAlign w:val="center"/>
          </w:tcPr>
          <w:p w14:paraId="23597AF0">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cs="宋体"/>
                <w:color w:val="auto"/>
                <w:sz w:val="21"/>
                <w:szCs w:val="21"/>
                <w:highlight w:val="none"/>
                <w:shd w:val="clear" w:color="auto" w:fill="auto"/>
                <w:lang w:val="en-US" w:eastAsia="zh-CN"/>
              </w:rPr>
              <w:t>6</w:t>
            </w:r>
          </w:p>
        </w:tc>
        <w:tc>
          <w:tcPr>
            <w:tcW w:w="9408" w:type="dxa"/>
            <w:tcBorders>
              <w:top w:val="single" w:color="auto" w:sz="4" w:space="0"/>
              <w:left w:val="single" w:color="auto" w:sz="4" w:space="0"/>
              <w:bottom w:val="single" w:color="auto" w:sz="4" w:space="0"/>
              <w:right w:val="single" w:color="auto" w:sz="4" w:space="0"/>
            </w:tcBorders>
            <w:noWrap w:val="0"/>
            <w:vAlign w:val="center"/>
          </w:tcPr>
          <w:p w14:paraId="47B85947">
            <w:pPr>
              <w:pStyle w:val="21"/>
              <w:keepNext w:val="0"/>
              <w:keepLines w:val="0"/>
              <w:pageBreakBefore w:val="0"/>
              <w:kinsoku/>
              <w:wordWrap/>
              <w:overflowPunct/>
              <w:topLinePunct w:val="0"/>
              <w:bidi w:val="0"/>
              <w:adjustRightInd/>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电子发票申请方式：</w:t>
            </w:r>
          </w:p>
          <w:p w14:paraId="071620D6">
            <w:pPr>
              <w:pStyle w:val="21"/>
              <w:keepNext w:val="0"/>
              <w:keepLines w:val="0"/>
              <w:pageBreakBefore w:val="0"/>
              <w:kinsoku/>
              <w:wordWrap/>
              <w:overflowPunct/>
              <w:topLinePunct w:val="0"/>
              <w:bidi w:val="0"/>
              <w:adjustRightInd/>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3D4170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787" w:type="dxa"/>
            <w:tcBorders>
              <w:top w:val="single" w:color="auto" w:sz="4" w:space="0"/>
              <w:left w:val="single" w:color="auto" w:sz="4" w:space="0"/>
              <w:bottom w:val="single" w:color="auto" w:sz="4" w:space="0"/>
              <w:right w:val="single" w:color="auto" w:sz="4" w:space="0"/>
            </w:tcBorders>
            <w:noWrap w:val="0"/>
            <w:vAlign w:val="center"/>
          </w:tcPr>
          <w:p w14:paraId="42C2F1D2">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cs="宋体"/>
                <w:color w:val="auto"/>
                <w:sz w:val="21"/>
                <w:szCs w:val="21"/>
                <w:highlight w:val="none"/>
                <w:shd w:val="clear" w:color="auto" w:fill="auto"/>
                <w:lang w:val="en-US" w:eastAsia="zh-CN"/>
              </w:rPr>
              <w:t>7</w:t>
            </w:r>
          </w:p>
        </w:tc>
        <w:tc>
          <w:tcPr>
            <w:tcW w:w="9408" w:type="dxa"/>
            <w:tcBorders>
              <w:top w:val="single" w:color="auto" w:sz="4" w:space="0"/>
              <w:left w:val="single" w:color="auto" w:sz="4" w:space="0"/>
              <w:bottom w:val="single" w:color="auto" w:sz="4" w:space="0"/>
              <w:right w:val="single" w:color="auto" w:sz="4" w:space="0"/>
            </w:tcBorders>
            <w:noWrap w:val="0"/>
            <w:vAlign w:val="center"/>
          </w:tcPr>
          <w:p w14:paraId="0272BA38">
            <w:pPr>
              <w:pStyle w:val="21"/>
              <w:keepNext w:val="0"/>
              <w:keepLines w:val="0"/>
              <w:pageBreakBefore w:val="0"/>
              <w:kinsoku/>
              <w:wordWrap/>
              <w:overflowPunct/>
              <w:topLinePunct w:val="0"/>
              <w:bidi w:val="0"/>
              <w:adjustRightInd/>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特别事项：</w:t>
            </w:r>
          </w:p>
          <w:p w14:paraId="61CACEC4">
            <w:pPr>
              <w:pStyle w:val="21"/>
              <w:keepNext w:val="0"/>
              <w:keepLines w:val="0"/>
              <w:pageBreakBefore w:val="0"/>
              <w:kinsoku/>
              <w:wordWrap/>
              <w:overflowPunct/>
              <w:topLinePunct w:val="0"/>
              <w:bidi w:val="0"/>
              <w:adjustRightInd/>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2DD494E7">
            <w:pPr>
              <w:pStyle w:val="21"/>
              <w:keepNext w:val="0"/>
              <w:keepLines w:val="0"/>
              <w:pageBreakBefore w:val="0"/>
              <w:kinsoku/>
              <w:wordWrap/>
              <w:overflowPunct/>
              <w:topLinePunct w:val="0"/>
              <w:bidi w:val="0"/>
              <w:adjustRightInd/>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5834FEC8">
            <w:pPr>
              <w:pStyle w:val="21"/>
              <w:keepNext w:val="0"/>
              <w:keepLines w:val="0"/>
              <w:pageBreakBefore w:val="0"/>
              <w:kinsoku/>
              <w:wordWrap/>
              <w:overflowPunct/>
              <w:topLinePunct w:val="0"/>
              <w:bidi w:val="0"/>
              <w:adjustRightInd/>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71631F0A">
            <w:pPr>
              <w:pStyle w:val="21"/>
              <w:keepNext w:val="0"/>
              <w:keepLines w:val="0"/>
              <w:pageBreakBefore w:val="0"/>
              <w:kinsoku/>
              <w:wordWrap/>
              <w:overflowPunct/>
              <w:topLinePunct w:val="0"/>
              <w:bidi w:val="0"/>
              <w:adjustRightInd/>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软件技术支持电话：15267291759（同微信）。</w:t>
            </w:r>
          </w:p>
        </w:tc>
      </w:tr>
      <w:tr w14:paraId="446D50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jc w:val="center"/>
        </w:trPr>
        <w:tc>
          <w:tcPr>
            <w:tcW w:w="787" w:type="dxa"/>
            <w:tcBorders>
              <w:top w:val="single" w:color="auto" w:sz="4" w:space="0"/>
              <w:left w:val="single" w:color="auto" w:sz="4" w:space="0"/>
              <w:bottom w:val="single" w:color="auto" w:sz="4" w:space="0"/>
              <w:right w:val="single" w:color="auto" w:sz="4" w:space="0"/>
            </w:tcBorders>
            <w:noWrap w:val="0"/>
            <w:vAlign w:val="center"/>
          </w:tcPr>
          <w:p w14:paraId="547AA33A">
            <w:pPr>
              <w:keepNext w:val="0"/>
              <w:keepLines w:val="0"/>
              <w:pageBreakBefore w:val="0"/>
              <w:kinsoku/>
              <w:wordWrap/>
              <w:overflowPunct/>
              <w:topLinePunct w:val="0"/>
              <w:bidi w:val="0"/>
              <w:adjustRightInd/>
              <w:snapToGrid w:val="0"/>
              <w:spacing w:line="400" w:lineRule="exact"/>
              <w:jc w:val="center"/>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18</w:t>
            </w:r>
          </w:p>
        </w:tc>
        <w:tc>
          <w:tcPr>
            <w:tcW w:w="9408" w:type="dxa"/>
            <w:tcBorders>
              <w:top w:val="single" w:color="auto" w:sz="4" w:space="0"/>
              <w:left w:val="single" w:color="auto" w:sz="4" w:space="0"/>
              <w:bottom w:val="single" w:color="auto" w:sz="4" w:space="0"/>
              <w:right w:val="single" w:color="auto" w:sz="4" w:space="0"/>
            </w:tcBorders>
            <w:noWrap w:val="0"/>
            <w:vAlign w:val="center"/>
          </w:tcPr>
          <w:p w14:paraId="1F90B330">
            <w:pPr>
              <w:pStyle w:val="21"/>
              <w:keepNext w:val="0"/>
              <w:keepLines w:val="0"/>
              <w:pageBreakBefore w:val="0"/>
              <w:kinsoku/>
              <w:wordWrap/>
              <w:overflowPunct/>
              <w:topLinePunct w:val="0"/>
              <w:bidi w:val="0"/>
              <w:adjustRightInd/>
              <w:spacing w:after="0" w:line="400" w:lineRule="exact"/>
              <w:jc w:val="left"/>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温馨提示：因业务调整，“平台使用费、中标服务费”预存功能即将停用。请相关各单位结合业务需求，及时办理款项缴纳，具体要求如下：</w:t>
            </w:r>
          </w:p>
          <w:p w14:paraId="291AEFA8">
            <w:pPr>
              <w:pStyle w:val="21"/>
              <w:keepNext w:val="0"/>
              <w:keepLines w:val="0"/>
              <w:pageBreakBefore w:val="0"/>
              <w:kinsoku/>
              <w:wordWrap/>
              <w:overflowPunct/>
              <w:topLinePunct w:val="0"/>
              <w:bidi w:val="0"/>
              <w:adjustRightInd/>
              <w:spacing w:after="0" w:line="400" w:lineRule="exact"/>
              <w:jc w:val="left"/>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lang w:val="en-US" w:eastAsia="zh-CN"/>
              </w:rPr>
              <w:t>1.</w:t>
            </w:r>
            <w:r>
              <w:rPr>
                <w:rFonts w:hint="eastAsia" w:ascii="宋体" w:hAnsi="宋体" w:eastAsia="宋体" w:cs="宋体"/>
                <w:b/>
                <w:bCs/>
                <w:color w:val="auto"/>
                <w:sz w:val="21"/>
                <w:szCs w:val="21"/>
                <w:highlight w:val="none"/>
                <w:shd w:val="clear" w:color="auto" w:fill="auto"/>
              </w:rPr>
              <w:t>预存余额已清零的，请按单个项目、标段金额逐笔打款；</w:t>
            </w:r>
          </w:p>
          <w:p w14:paraId="52D46E1D">
            <w:pPr>
              <w:pStyle w:val="21"/>
              <w:keepNext w:val="0"/>
              <w:keepLines w:val="0"/>
              <w:pageBreakBefore w:val="0"/>
              <w:kinsoku/>
              <w:wordWrap/>
              <w:overflowPunct/>
              <w:topLinePunct w:val="0"/>
              <w:bidi w:val="0"/>
              <w:adjustRightInd/>
              <w:spacing w:after="0"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2.预存余额不足的，请先按对应项目、标段金额补足款项，再完成绑定操作。</w:t>
            </w:r>
          </w:p>
        </w:tc>
      </w:tr>
      <w:tr w14:paraId="727015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jc w:val="center"/>
        </w:trPr>
        <w:tc>
          <w:tcPr>
            <w:tcW w:w="787" w:type="dxa"/>
            <w:tcBorders>
              <w:top w:val="single" w:color="auto" w:sz="4" w:space="0"/>
              <w:left w:val="single" w:color="auto" w:sz="4" w:space="0"/>
              <w:bottom w:val="single" w:color="auto" w:sz="4" w:space="0"/>
              <w:right w:val="single" w:color="auto" w:sz="4" w:space="0"/>
            </w:tcBorders>
            <w:noWrap w:val="0"/>
            <w:vAlign w:val="center"/>
          </w:tcPr>
          <w:p w14:paraId="399839BB">
            <w:pPr>
              <w:keepNext w:val="0"/>
              <w:keepLines w:val="0"/>
              <w:pageBreakBefore w:val="0"/>
              <w:kinsoku/>
              <w:wordWrap/>
              <w:overflowPunct/>
              <w:topLinePunct w:val="0"/>
              <w:bidi w:val="0"/>
              <w:adjustRightInd/>
              <w:snapToGrid w:val="0"/>
              <w:spacing w:line="400" w:lineRule="exact"/>
              <w:jc w:val="center"/>
              <w:rPr>
                <w:rFonts w:hint="eastAsia" w:ascii="宋体" w:hAnsi="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19</w:t>
            </w:r>
          </w:p>
        </w:tc>
        <w:tc>
          <w:tcPr>
            <w:tcW w:w="9408" w:type="dxa"/>
            <w:tcBorders>
              <w:top w:val="single" w:color="auto" w:sz="4" w:space="0"/>
              <w:left w:val="single" w:color="auto" w:sz="4" w:space="0"/>
              <w:bottom w:val="single" w:color="auto" w:sz="4" w:space="0"/>
              <w:right w:val="single" w:color="auto" w:sz="4" w:space="0"/>
            </w:tcBorders>
            <w:noWrap w:val="0"/>
            <w:vAlign w:val="center"/>
          </w:tcPr>
          <w:p w14:paraId="083227F5">
            <w:pPr>
              <w:keepNext w:val="0"/>
              <w:keepLines w:val="0"/>
              <w:pageBreakBefore w:val="0"/>
              <w:kinsoku/>
              <w:wordWrap/>
              <w:overflowPunct/>
              <w:topLinePunct w:val="0"/>
              <w:autoSpaceDE w:val="0"/>
              <w:autoSpaceDN w:val="0"/>
              <w:bidi w:val="0"/>
              <w:adjustRightInd/>
              <w:snapToGrid w:val="0"/>
              <w:spacing w:line="400" w:lineRule="exact"/>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解释：本招标文件的解释权属于招标人。</w:t>
            </w:r>
          </w:p>
        </w:tc>
      </w:tr>
    </w:tbl>
    <w:p w14:paraId="35C2DAE3">
      <w:pPr>
        <w:pStyle w:val="30"/>
        <w:snapToGrid w:val="0"/>
        <w:spacing w:beforeLines="0" w:afterLines="0"/>
        <w:outlineLvl w:val="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highlight w:val="none"/>
          <w:shd w:val="clear" w:color="auto" w:fill="auto"/>
        </w:rPr>
        <w:br w:type="page"/>
      </w:r>
      <w:bookmarkStart w:id="57" w:name="_Toc5496"/>
      <w:bookmarkStart w:id="58" w:name="_Toc17963"/>
      <w:r>
        <w:rPr>
          <w:rFonts w:hint="eastAsia" w:ascii="宋体" w:hAnsi="宋体" w:eastAsia="宋体" w:cs="宋体"/>
          <w:b/>
          <w:color w:val="auto"/>
          <w:sz w:val="21"/>
          <w:szCs w:val="21"/>
          <w:highlight w:val="none"/>
          <w:shd w:val="clear" w:color="auto" w:fill="auto"/>
        </w:rPr>
        <w:t>一 、总  则</w:t>
      </w:r>
      <w:bookmarkEnd w:id="57"/>
      <w:bookmarkEnd w:id="58"/>
    </w:p>
    <w:p w14:paraId="43666F42">
      <w:pPr>
        <w:keepNext w:val="0"/>
        <w:keepLines w:val="0"/>
        <w:pageBreakBefore w:val="0"/>
        <w:kinsoku/>
        <w:wordWrap/>
        <w:overflowPunct/>
        <w:topLinePunct w:val="0"/>
        <w:bidi w:val="0"/>
        <w:adjustRightInd/>
        <w:snapToGrid w:val="0"/>
        <w:spacing w:line="420" w:lineRule="exact"/>
        <w:ind w:firstLine="413" w:firstLineChars="196"/>
        <w:jc w:val="left"/>
        <w:outlineLvl w:val="1"/>
        <w:rPr>
          <w:rFonts w:hint="eastAsia" w:ascii="宋体" w:hAnsi="宋体" w:eastAsia="宋体" w:cs="宋体"/>
          <w:b/>
          <w:color w:val="auto"/>
          <w:sz w:val="21"/>
          <w:szCs w:val="21"/>
          <w:highlight w:val="none"/>
          <w:shd w:val="clear" w:color="auto" w:fill="auto"/>
        </w:rPr>
      </w:pPr>
      <w:bookmarkStart w:id="59" w:name="_Toc21900"/>
      <w:bookmarkStart w:id="60" w:name="_Toc29993"/>
      <w:r>
        <w:rPr>
          <w:rFonts w:hint="eastAsia" w:ascii="宋体" w:hAnsi="宋体" w:eastAsia="宋体" w:cs="宋体"/>
          <w:b/>
          <w:color w:val="auto"/>
          <w:sz w:val="21"/>
          <w:szCs w:val="21"/>
          <w:highlight w:val="none"/>
          <w:shd w:val="clear" w:color="auto" w:fill="auto"/>
        </w:rPr>
        <w:t>（一）适用范围</w:t>
      </w:r>
      <w:bookmarkEnd w:id="59"/>
      <w:bookmarkEnd w:id="60"/>
    </w:p>
    <w:p w14:paraId="6E8B37EC">
      <w:pPr>
        <w:keepNext w:val="0"/>
        <w:keepLines w:val="0"/>
        <w:pageBreakBefore w:val="0"/>
        <w:kinsoku/>
        <w:wordWrap/>
        <w:overflowPunct/>
        <w:topLinePunct w:val="0"/>
        <w:bidi w:val="0"/>
        <w:adjustRightInd/>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本招标文件适用于本项目的招标、投标、评标、定标、验收、合同履约、付款等行为。</w:t>
      </w:r>
    </w:p>
    <w:p w14:paraId="20574F54">
      <w:pPr>
        <w:keepNext w:val="0"/>
        <w:keepLines w:val="0"/>
        <w:pageBreakBefore w:val="0"/>
        <w:kinsoku/>
        <w:wordWrap/>
        <w:overflowPunct/>
        <w:topLinePunct w:val="0"/>
        <w:bidi w:val="0"/>
        <w:adjustRightInd/>
        <w:snapToGrid w:val="0"/>
        <w:spacing w:line="420" w:lineRule="exact"/>
        <w:ind w:firstLine="310" w:firstLineChars="147"/>
        <w:jc w:val="left"/>
        <w:outlineLvl w:val="1"/>
        <w:rPr>
          <w:rFonts w:hint="eastAsia" w:ascii="宋体" w:hAnsi="宋体" w:eastAsia="宋体" w:cs="宋体"/>
          <w:b/>
          <w:color w:val="auto"/>
          <w:sz w:val="21"/>
          <w:szCs w:val="21"/>
          <w:highlight w:val="none"/>
          <w:shd w:val="clear" w:color="auto" w:fill="auto"/>
        </w:rPr>
      </w:pPr>
      <w:bookmarkStart w:id="61" w:name="_Toc15531"/>
      <w:bookmarkStart w:id="62" w:name="_Toc26665"/>
      <w:r>
        <w:rPr>
          <w:rFonts w:hint="eastAsia" w:ascii="宋体" w:hAnsi="宋体" w:eastAsia="宋体" w:cs="宋体"/>
          <w:b/>
          <w:color w:val="auto"/>
          <w:sz w:val="21"/>
          <w:szCs w:val="21"/>
          <w:highlight w:val="none"/>
          <w:shd w:val="clear" w:color="auto" w:fill="auto"/>
        </w:rPr>
        <w:t>（二）定义</w:t>
      </w:r>
      <w:bookmarkEnd w:id="61"/>
      <w:bookmarkEnd w:id="62"/>
    </w:p>
    <w:p w14:paraId="08BA9FF6">
      <w:pPr>
        <w:keepNext w:val="0"/>
        <w:keepLines w:val="0"/>
        <w:pageBreakBefore w:val="0"/>
        <w:kinsoku/>
        <w:wordWrap/>
        <w:overflowPunct/>
        <w:topLinePunct w:val="0"/>
        <w:bidi w:val="0"/>
        <w:adjustRightInd/>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1.“招标人”系指组织本次招标的</w:t>
      </w:r>
      <w:r>
        <w:rPr>
          <w:rFonts w:hint="eastAsia" w:ascii="宋体" w:hAnsi="宋体" w:eastAsia="宋体" w:cs="宋体"/>
          <w:color w:val="auto"/>
          <w:sz w:val="21"/>
          <w:szCs w:val="21"/>
          <w:highlight w:val="none"/>
          <w:u w:val="single"/>
          <w:shd w:val="clear" w:color="auto" w:fill="auto"/>
        </w:rPr>
        <w:t>代理机构</w:t>
      </w:r>
      <w:r>
        <w:rPr>
          <w:rFonts w:hint="eastAsia" w:ascii="宋体" w:hAnsi="宋体" w:eastAsia="宋体" w:cs="宋体"/>
          <w:color w:val="auto"/>
          <w:sz w:val="21"/>
          <w:szCs w:val="21"/>
          <w:highlight w:val="none"/>
          <w:shd w:val="clear" w:color="auto" w:fill="auto"/>
        </w:rPr>
        <w:t>和招标人。</w:t>
      </w:r>
    </w:p>
    <w:p w14:paraId="5FA8351D">
      <w:pPr>
        <w:keepNext w:val="0"/>
        <w:keepLines w:val="0"/>
        <w:pageBreakBefore w:val="0"/>
        <w:kinsoku/>
        <w:wordWrap/>
        <w:overflowPunct/>
        <w:topLinePunct w:val="0"/>
        <w:bidi w:val="0"/>
        <w:adjustRightInd/>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2.“投标人”系指向招标人提交投标文件的单位。</w:t>
      </w:r>
    </w:p>
    <w:p w14:paraId="44CEA7DC">
      <w:pPr>
        <w:keepNext w:val="0"/>
        <w:keepLines w:val="0"/>
        <w:pageBreakBefore w:val="0"/>
        <w:kinsoku/>
        <w:wordWrap/>
        <w:overflowPunct/>
        <w:topLinePunct w:val="0"/>
        <w:bidi w:val="0"/>
        <w:adjustRightInd/>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3.“产品”系指供方按招标文件规定，须向招标人提供的一切设备、保险、税金、备品备件、工具、手册及其它有关技术资料和材料。</w:t>
      </w:r>
    </w:p>
    <w:p w14:paraId="0B737F4C">
      <w:pPr>
        <w:keepNext w:val="0"/>
        <w:keepLines w:val="0"/>
        <w:pageBreakBefore w:val="0"/>
        <w:kinsoku/>
        <w:wordWrap/>
        <w:overflowPunct/>
        <w:topLinePunct w:val="0"/>
        <w:bidi w:val="0"/>
        <w:adjustRightInd/>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4.“服务”系指招标文件规定投标人须承担的调试、技术协助、校准、培训、技术指导以及其他类似的义务。</w:t>
      </w:r>
    </w:p>
    <w:p w14:paraId="191E05C7">
      <w:pPr>
        <w:keepNext w:val="0"/>
        <w:keepLines w:val="0"/>
        <w:pageBreakBefore w:val="0"/>
        <w:kinsoku/>
        <w:wordWrap/>
        <w:overflowPunct/>
        <w:topLinePunct w:val="0"/>
        <w:bidi w:val="0"/>
        <w:adjustRightInd/>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5.“项目”系指投标人按招标文件规定向招标人提供的产品和服务。</w:t>
      </w:r>
    </w:p>
    <w:p w14:paraId="1F493982">
      <w:pPr>
        <w:keepNext w:val="0"/>
        <w:keepLines w:val="0"/>
        <w:pageBreakBefore w:val="0"/>
        <w:kinsoku/>
        <w:wordWrap/>
        <w:overflowPunct/>
        <w:topLinePunct w:val="0"/>
        <w:bidi w:val="0"/>
        <w:adjustRightInd/>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6.“书面形式”包括信函、传真、电报等。</w:t>
      </w:r>
    </w:p>
    <w:p w14:paraId="3CE434BD">
      <w:pPr>
        <w:keepNext w:val="0"/>
        <w:keepLines w:val="0"/>
        <w:pageBreakBefore w:val="0"/>
        <w:kinsoku/>
        <w:wordWrap/>
        <w:overflowPunct/>
        <w:topLinePunct w:val="0"/>
        <w:bidi w:val="0"/>
        <w:adjustRightInd/>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7.“▲”系指实质性要求条款。</w:t>
      </w:r>
    </w:p>
    <w:p w14:paraId="157C7AA2">
      <w:pPr>
        <w:keepNext w:val="0"/>
        <w:keepLines w:val="0"/>
        <w:pageBreakBefore w:val="0"/>
        <w:kinsoku/>
        <w:wordWrap/>
        <w:overflowPunct/>
        <w:topLinePunct w:val="0"/>
        <w:bidi w:val="0"/>
        <w:adjustRightInd/>
        <w:snapToGrid w:val="0"/>
        <w:spacing w:line="420" w:lineRule="exact"/>
        <w:ind w:firstLine="413" w:firstLineChars="196"/>
        <w:jc w:val="left"/>
        <w:outlineLvl w:val="1"/>
        <w:rPr>
          <w:rFonts w:hint="eastAsia" w:ascii="宋体" w:hAnsi="宋体" w:eastAsia="宋体" w:cs="宋体"/>
          <w:b/>
          <w:color w:val="auto"/>
          <w:sz w:val="21"/>
          <w:szCs w:val="21"/>
          <w:highlight w:val="none"/>
          <w:shd w:val="clear" w:color="auto" w:fill="auto"/>
        </w:rPr>
      </w:pPr>
      <w:bookmarkStart w:id="63" w:name="_Toc614"/>
      <w:bookmarkStart w:id="64" w:name="_Toc29553"/>
      <w:r>
        <w:rPr>
          <w:rFonts w:hint="eastAsia" w:ascii="宋体" w:hAnsi="宋体" w:eastAsia="宋体" w:cs="宋体"/>
          <w:b/>
          <w:color w:val="auto"/>
          <w:sz w:val="21"/>
          <w:szCs w:val="21"/>
          <w:highlight w:val="none"/>
          <w:shd w:val="clear" w:color="auto" w:fill="auto"/>
        </w:rPr>
        <w:t>（三）招标方式</w:t>
      </w:r>
      <w:bookmarkEnd w:id="63"/>
      <w:bookmarkEnd w:id="64"/>
    </w:p>
    <w:p w14:paraId="1CF7872F">
      <w:pPr>
        <w:keepNext w:val="0"/>
        <w:keepLines w:val="0"/>
        <w:pageBreakBefore w:val="0"/>
        <w:kinsoku/>
        <w:wordWrap/>
        <w:overflowPunct/>
        <w:topLinePunct w:val="0"/>
        <w:bidi w:val="0"/>
        <w:adjustRightInd/>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本次招标采用公开招标方式进行。</w:t>
      </w:r>
    </w:p>
    <w:p w14:paraId="62262757">
      <w:pPr>
        <w:keepNext w:val="0"/>
        <w:keepLines w:val="0"/>
        <w:pageBreakBefore w:val="0"/>
        <w:kinsoku/>
        <w:wordWrap/>
        <w:overflowPunct/>
        <w:topLinePunct w:val="0"/>
        <w:bidi w:val="0"/>
        <w:adjustRightInd/>
        <w:snapToGrid w:val="0"/>
        <w:spacing w:line="420" w:lineRule="exact"/>
        <w:ind w:firstLine="413" w:firstLineChars="196"/>
        <w:jc w:val="left"/>
        <w:outlineLvl w:val="1"/>
        <w:rPr>
          <w:rFonts w:hint="eastAsia" w:ascii="宋体" w:hAnsi="宋体" w:eastAsia="宋体" w:cs="宋体"/>
          <w:b/>
          <w:color w:val="auto"/>
          <w:sz w:val="21"/>
          <w:szCs w:val="21"/>
          <w:highlight w:val="none"/>
          <w:shd w:val="clear" w:color="auto" w:fill="auto"/>
        </w:rPr>
      </w:pPr>
      <w:bookmarkStart w:id="65" w:name="_Toc20325"/>
      <w:bookmarkStart w:id="66" w:name="_Toc5422"/>
      <w:r>
        <w:rPr>
          <w:rFonts w:hint="eastAsia" w:ascii="宋体" w:hAnsi="宋体" w:eastAsia="宋体" w:cs="宋体"/>
          <w:b/>
          <w:color w:val="auto"/>
          <w:sz w:val="21"/>
          <w:szCs w:val="21"/>
          <w:highlight w:val="none"/>
          <w:shd w:val="clear" w:color="auto" w:fill="auto"/>
        </w:rPr>
        <w:t>（四）投标委托</w:t>
      </w:r>
      <w:bookmarkEnd w:id="65"/>
      <w:bookmarkEnd w:id="66"/>
    </w:p>
    <w:p w14:paraId="7AE85562">
      <w:pPr>
        <w:pStyle w:val="22"/>
        <w:keepNext w:val="0"/>
        <w:keepLines w:val="0"/>
        <w:pageBreakBefore w:val="0"/>
        <w:kinsoku/>
        <w:wordWrap/>
        <w:overflowPunct/>
        <w:topLinePunct w:val="0"/>
        <w:bidi w:val="0"/>
        <w:adjustRightInd/>
        <w:snapToGrid w:val="0"/>
        <w:spacing w:line="420" w:lineRule="exact"/>
        <w:ind w:firstLine="404"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投标人代表须携带有效身份证件。如投标人代表不是法定代表人，须有法定代表人出具的授权委托书，格式见第六章。</w:t>
      </w:r>
    </w:p>
    <w:p w14:paraId="7B387096">
      <w:pPr>
        <w:keepNext w:val="0"/>
        <w:keepLines w:val="0"/>
        <w:pageBreakBefore w:val="0"/>
        <w:kinsoku/>
        <w:wordWrap/>
        <w:overflowPunct/>
        <w:topLinePunct w:val="0"/>
        <w:bidi w:val="0"/>
        <w:adjustRightInd/>
        <w:snapToGrid w:val="0"/>
        <w:spacing w:line="420" w:lineRule="exact"/>
        <w:ind w:firstLine="413" w:firstLineChars="196"/>
        <w:jc w:val="left"/>
        <w:outlineLvl w:val="1"/>
        <w:rPr>
          <w:rFonts w:hint="eastAsia" w:ascii="宋体" w:hAnsi="宋体" w:eastAsia="宋体" w:cs="宋体"/>
          <w:b/>
          <w:color w:val="auto"/>
          <w:sz w:val="21"/>
          <w:szCs w:val="21"/>
          <w:highlight w:val="none"/>
          <w:shd w:val="clear" w:color="auto" w:fill="auto"/>
        </w:rPr>
      </w:pPr>
      <w:bookmarkStart w:id="67" w:name="_Toc29958"/>
      <w:bookmarkStart w:id="68" w:name="_Toc32362"/>
      <w:r>
        <w:rPr>
          <w:rFonts w:hint="eastAsia" w:ascii="宋体" w:hAnsi="宋体" w:eastAsia="宋体" w:cs="宋体"/>
          <w:b/>
          <w:color w:val="auto"/>
          <w:sz w:val="21"/>
          <w:szCs w:val="21"/>
          <w:highlight w:val="none"/>
          <w:shd w:val="clear" w:color="auto" w:fill="auto"/>
        </w:rPr>
        <w:t>（五）投标费用及结算</w:t>
      </w:r>
      <w:bookmarkEnd w:id="67"/>
      <w:bookmarkEnd w:id="68"/>
    </w:p>
    <w:p w14:paraId="68DB782C">
      <w:pPr>
        <w:keepNext w:val="0"/>
        <w:keepLines w:val="0"/>
        <w:pageBreakBefore w:val="0"/>
        <w:kinsoku/>
        <w:wordWrap/>
        <w:overflowPunct/>
        <w:topLinePunct w:val="0"/>
        <w:bidi w:val="0"/>
        <w:adjustRightInd/>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1）不论投标结果如何，投标人均应自行承担所有与投标有关的全部费用。</w:t>
      </w:r>
    </w:p>
    <w:p w14:paraId="45B35CA9">
      <w:pPr>
        <w:keepNext w:val="0"/>
        <w:keepLines w:val="0"/>
        <w:pageBreakBefore w:val="0"/>
        <w:kinsoku/>
        <w:wordWrap/>
        <w:overflowPunct/>
        <w:topLinePunct w:val="0"/>
        <w:bidi w:val="0"/>
        <w:adjustRightInd/>
        <w:spacing w:line="420" w:lineRule="exact"/>
        <w:ind w:firstLine="420" w:firstLineChars="200"/>
        <w:rPr>
          <w:rFonts w:hint="eastAsia" w:ascii="宋体" w:hAnsi="宋体" w:eastAsia="宋体" w:cs="宋体"/>
          <w:b/>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2）除业主要求或设计变更要求外不签署任何增加费用的联系单，工程量清单外可能增加的成本各供应商自行考虑并计入投标报价，成交后不予调整。</w:t>
      </w:r>
    </w:p>
    <w:p w14:paraId="04CD951C">
      <w:pPr>
        <w:keepNext w:val="0"/>
        <w:keepLines w:val="0"/>
        <w:pageBreakBefore w:val="0"/>
        <w:kinsoku/>
        <w:wordWrap/>
        <w:overflowPunct/>
        <w:topLinePunct w:val="0"/>
        <w:bidi w:val="0"/>
        <w:adjustRightInd/>
        <w:snapToGrid w:val="0"/>
        <w:spacing w:line="420" w:lineRule="exact"/>
        <w:ind w:firstLine="413" w:firstLineChars="196"/>
        <w:outlineLvl w:val="1"/>
        <w:rPr>
          <w:rFonts w:hint="eastAsia" w:ascii="宋体" w:hAnsi="宋体" w:eastAsia="宋体" w:cs="宋体"/>
          <w:b/>
          <w:color w:val="auto"/>
          <w:kern w:val="0"/>
          <w:sz w:val="21"/>
          <w:szCs w:val="21"/>
          <w:highlight w:val="none"/>
          <w:shd w:val="clear" w:color="auto" w:fill="auto"/>
        </w:rPr>
      </w:pPr>
      <w:bookmarkStart w:id="69" w:name="_Toc19407"/>
      <w:bookmarkStart w:id="70" w:name="_Toc26803"/>
      <w:r>
        <w:rPr>
          <w:rFonts w:hint="eastAsia" w:ascii="宋体" w:hAnsi="宋体" w:eastAsia="宋体" w:cs="宋体"/>
          <w:b/>
          <w:color w:val="auto"/>
          <w:sz w:val="21"/>
          <w:szCs w:val="21"/>
          <w:highlight w:val="none"/>
          <w:shd w:val="clear" w:color="auto" w:fill="auto"/>
        </w:rPr>
        <w:t>（六）</w:t>
      </w:r>
      <w:r>
        <w:rPr>
          <w:rFonts w:hint="eastAsia" w:ascii="宋体" w:hAnsi="宋体" w:eastAsia="宋体" w:cs="宋体"/>
          <w:b/>
          <w:color w:val="auto"/>
          <w:kern w:val="0"/>
          <w:sz w:val="21"/>
          <w:szCs w:val="21"/>
          <w:highlight w:val="none"/>
          <w:shd w:val="clear" w:color="auto" w:fill="auto"/>
        </w:rPr>
        <w:t>转包与分包</w:t>
      </w:r>
      <w:bookmarkEnd w:id="69"/>
      <w:bookmarkEnd w:id="70"/>
    </w:p>
    <w:p w14:paraId="08AEADC9">
      <w:pPr>
        <w:keepNext w:val="0"/>
        <w:keepLines w:val="0"/>
        <w:pageBreakBefore w:val="0"/>
        <w:kinsoku/>
        <w:wordWrap/>
        <w:overflowPunct/>
        <w:topLinePunct w:val="0"/>
        <w:bidi w:val="0"/>
        <w:adjustRightInd/>
        <w:snapToGrid w:val="0"/>
        <w:spacing w:line="420" w:lineRule="exact"/>
        <w:ind w:firstLine="630" w:firstLineChars="300"/>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color w:val="auto"/>
          <w:kern w:val="0"/>
          <w:sz w:val="21"/>
          <w:szCs w:val="21"/>
          <w:highlight w:val="none"/>
          <w:shd w:val="clear" w:color="auto" w:fill="auto"/>
        </w:rPr>
        <w:t>本项目不允许转包与违法分包。</w:t>
      </w:r>
    </w:p>
    <w:p w14:paraId="462AE33D">
      <w:pPr>
        <w:keepNext w:val="0"/>
        <w:keepLines w:val="0"/>
        <w:pageBreakBefore w:val="0"/>
        <w:kinsoku/>
        <w:wordWrap/>
        <w:overflowPunct/>
        <w:topLinePunct w:val="0"/>
        <w:bidi w:val="0"/>
        <w:adjustRightInd/>
        <w:snapToGrid w:val="0"/>
        <w:spacing w:line="420" w:lineRule="exact"/>
        <w:ind w:firstLine="413" w:firstLineChars="196"/>
        <w:jc w:val="left"/>
        <w:outlineLvl w:val="1"/>
        <w:rPr>
          <w:rFonts w:hint="eastAsia" w:ascii="宋体" w:hAnsi="宋体" w:eastAsia="宋体" w:cs="宋体"/>
          <w:b/>
          <w:color w:val="auto"/>
          <w:sz w:val="21"/>
          <w:szCs w:val="21"/>
          <w:highlight w:val="none"/>
          <w:shd w:val="clear" w:color="auto" w:fill="auto"/>
        </w:rPr>
      </w:pPr>
      <w:bookmarkStart w:id="71" w:name="_Toc171"/>
      <w:bookmarkStart w:id="72" w:name="_Toc11011"/>
      <w:r>
        <w:rPr>
          <w:rFonts w:hint="eastAsia" w:ascii="宋体" w:hAnsi="宋体" w:eastAsia="宋体" w:cs="宋体"/>
          <w:b/>
          <w:color w:val="auto"/>
          <w:sz w:val="21"/>
          <w:szCs w:val="21"/>
          <w:highlight w:val="none"/>
          <w:shd w:val="clear" w:color="auto" w:fill="auto"/>
        </w:rPr>
        <w:t>（七）特别说明</w:t>
      </w:r>
      <w:bookmarkEnd w:id="71"/>
      <w:bookmarkEnd w:id="72"/>
    </w:p>
    <w:p w14:paraId="7820C5D6">
      <w:pPr>
        <w:keepNext w:val="0"/>
        <w:keepLines w:val="0"/>
        <w:pageBreakBefore w:val="0"/>
        <w:widowControl/>
        <w:kinsoku/>
        <w:wordWrap/>
        <w:overflowPunct/>
        <w:topLinePunct w:val="0"/>
        <w:bidi w:val="0"/>
        <w:adjustRightInd/>
        <w:spacing w:line="420" w:lineRule="exact"/>
        <w:ind w:firstLine="422" w:firstLineChars="200"/>
        <w:jc w:val="left"/>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b/>
          <w:color w:val="auto"/>
          <w:sz w:val="21"/>
          <w:szCs w:val="21"/>
          <w:highlight w:val="none"/>
          <w:shd w:val="clear" w:color="auto" w:fill="auto"/>
        </w:rPr>
        <w:t>1.单位负责人为同一人或者存在直接控股、管理关系的不同投标人，不得参加同一合同项下的采购活动。如有上述行为的，相关投标均无效。</w:t>
      </w:r>
      <w:r>
        <w:rPr>
          <w:rFonts w:hint="eastAsia" w:ascii="宋体" w:hAnsi="宋体" w:eastAsia="宋体" w:cs="宋体"/>
          <w:color w:val="auto"/>
          <w:kern w:val="0"/>
          <w:sz w:val="21"/>
          <w:szCs w:val="21"/>
          <w:highlight w:val="none"/>
          <w:shd w:val="clear" w:color="auto" w:fill="auto"/>
        </w:rPr>
        <w:t xml:space="preserve">  </w:t>
      </w:r>
    </w:p>
    <w:p w14:paraId="5663F760">
      <w:pPr>
        <w:pStyle w:val="30"/>
        <w:keepNext w:val="0"/>
        <w:keepLines w:val="0"/>
        <w:pageBreakBefore w:val="0"/>
        <w:kinsoku/>
        <w:wordWrap/>
        <w:overflowPunct/>
        <w:topLinePunct w:val="0"/>
        <w:bidi w:val="0"/>
        <w:adjustRightInd/>
        <w:snapToGrid w:val="0"/>
        <w:spacing w:beforeLines="0" w:afterLines="0" w:line="420" w:lineRule="exact"/>
        <w:ind w:left="2" w:leftChars="1" w:firstLine="315" w:firstLineChars="15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2.投标人投标所使用的资格、信誉、荣誉、业绩必须为本法人所拥有。投标人投标所使用的采购项目实施人员须为本法人员工。</w:t>
      </w:r>
    </w:p>
    <w:p w14:paraId="66B4E1E6">
      <w:pPr>
        <w:pStyle w:val="30"/>
        <w:keepNext w:val="0"/>
        <w:keepLines w:val="0"/>
        <w:pageBreakBefore w:val="0"/>
        <w:kinsoku/>
        <w:wordWrap/>
        <w:overflowPunct/>
        <w:topLinePunct w:val="0"/>
        <w:bidi w:val="0"/>
        <w:adjustRightInd/>
        <w:snapToGrid w:val="0"/>
        <w:spacing w:beforeLines="0" w:afterLines="0" w:line="420" w:lineRule="exact"/>
        <w:ind w:left="2" w:leftChars="1"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3.投标人应仔细阅读招标文件的所有内容，按照招标文件的要求提交投标文件，并对所提供的全部资料的真实性承担法律责任。</w:t>
      </w:r>
    </w:p>
    <w:p w14:paraId="7EBFAFCC">
      <w:pPr>
        <w:pStyle w:val="30"/>
        <w:keepNext w:val="0"/>
        <w:keepLines w:val="0"/>
        <w:pageBreakBefore w:val="0"/>
        <w:kinsoku/>
        <w:wordWrap/>
        <w:overflowPunct/>
        <w:topLinePunct w:val="0"/>
        <w:bidi w:val="0"/>
        <w:adjustRightInd/>
        <w:snapToGrid w:val="0"/>
        <w:spacing w:beforeLines="0" w:afterLines="0" w:line="420" w:lineRule="exact"/>
        <w:ind w:left="2" w:leftChars="1" w:firstLine="420"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4.投标人在投标活动中提供任何虚假材料,其投标无效，并报</w:t>
      </w:r>
      <w:r>
        <w:rPr>
          <w:rFonts w:hint="eastAsia" w:ascii="宋体" w:hAnsi="宋体" w:eastAsia="宋体" w:cs="宋体"/>
          <w:b/>
          <w:color w:val="auto"/>
          <w:sz w:val="21"/>
          <w:szCs w:val="21"/>
          <w:highlight w:val="none"/>
          <w:shd w:val="clear" w:color="auto" w:fill="auto"/>
        </w:rPr>
        <w:t>有权受理非政府采购项目的</w:t>
      </w:r>
      <w:r>
        <w:rPr>
          <w:rFonts w:hint="eastAsia" w:ascii="宋体" w:hAnsi="宋体" w:eastAsia="宋体" w:cs="宋体"/>
          <w:color w:val="auto"/>
          <w:sz w:val="21"/>
          <w:szCs w:val="21"/>
          <w:highlight w:val="none"/>
          <w:shd w:val="clear" w:color="auto" w:fill="auto"/>
        </w:rPr>
        <w:t>监管部门查处（</w:t>
      </w:r>
      <w:r>
        <w:rPr>
          <w:rFonts w:hint="eastAsia" w:ascii="宋体" w:hAnsi="宋体" w:eastAsia="宋体" w:cs="宋体"/>
          <w:b/>
          <w:color w:val="auto"/>
          <w:sz w:val="21"/>
          <w:szCs w:val="21"/>
          <w:highlight w:val="none"/>
          <w:shd w:val="clear" w:color="auto" w:fill="auto"/>
        </w:rPr>
        <w:t>特别说明：临海市财政局非有权受理非政府采购项目的监管部门</w:t>
      </w:r>
      <w:r>
        <w:rPr>
          <w:rFonts w:hint="eastAsia" w:ascii="宋体" w:hAnsi="宋体" w:eastAsia="宋体" w:cs="宋体"/>
          <w:color w:val="auto"/>
          <w:sz w:val="21"/>
          <w:szCs w:val="21"/>
          <w:highlight w:val="none"/>
          <w:shd w:val="clear" w:color="auto" w:fill="auto"/>
        </w:rPr>
        <w:t>）。中标后发现的,中标人须依照《中华人民共和国消费者权益保护法》第49条之规定双倍赔偿招标人，且民事赔偿并不免除违法投标人的行政与刑事责任。</w:t>
      </w:r>
    </w:p>
    <w:p w14:paraId="42458F64">
      <w:pPr>
        <w:pStyle w:val="30"/>
        <w:keepNext w:val="0"/>
        <w:keepLines w:val="0"/>
        <w:pageBreakBefore w:val="0"/>
        <w:kinsoku/>
        <w:wordWrap/>
        <w:overflowPunct/>
        <w:topLinePunct w:val="0"/>
        <w:bidi w:val="0"/>
        <w:adjustRightInd/>
        <w:snapToGrid w:val="0"/>
        <w:spacing w:beforeLines="0" w:afterLines="0" w:line="420" w:lineRule="exact"/>
        <w:ind w:firstLine="413" w:firstLineChars="196"/>
        <w:outlineLvl w:val="1"/>
        <w:rPr>
          <w:rFonts w:hint="eastAsia" w:ascii="宋体" w:hAnsi="宋体" w:eastAsia="宋体" w:cs="宋体"/>
          <w:b/>
          <w:bCs/>
          <w:color w:val="auto"/>
          <w:sz w:val="21"/>
          <w:szCs w:val="21"/>
          <w:highlight w:val="none"/>
          <w:shd w:val="clear" w:color="auto" w:fill="auto"/>
        </w:rPr>
      </w:pPr>
      <w:bookmarkStart w:id="73" w:name="_Toc15799"/>
      <w:bookmarkStart w:id="74" w:name="_Toc20264"/>
      <w:r>
        <w:rPr>
          <w:rFonts w:hint="eastAsia" w:ascii="宋体" w:hAnsi="宋体" w:eastAsia="宋体" w:cs="宋体"/>
          <w:b/>
          <w:bCs/>
          <w:color w:val="auto"/>
          <w:sz w:val="21"/>
          <w:szCs w:val="21"/>
          <w:highlight w:val="none"/>
          <w:shd w:val="clear" w:color="auto" w:fill="auto"/>
        </w:rPr>
        <w:t>（八）质疑</w:t>
      </w:r>
      <w:bookmarkEnd w:id="73"/>
      <w:bookmarkEnd w:id="74"/>
    </w:p>
    <w:p w14:paraId="5479755B">
      <w:pPr>
        <w:keepNext w:val="0"/>
        <w:keepLines w:val="0"/>
        <w:pageBreakBefore w:val="0"/>
        <w:widowControl/>
        <w:kinsoku/>
        <w:wordWrap/>
        <w:overflowPunct/>
        <w:topLinePunct w:val="0"/>
        <w:bidi w:val="0"/>
        <w:adjustRightInd/>
        <w:spacing w:line="42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1.投标人认为招标文件、采购过程和中标结果使自己的权益受到损害的，以在线形式一次性向招标人或代理机构提出质疑：</w:t>
      </w:r>
    </w:p>
    <w:p w14:paraId="7B5A299D">
      <w:pPr>
        <w:keepNext w:val="0"/>
        <w:keepLines w:val="0"/>
        <w:pageBreakBefore w:val="0"/>
        <w:widowControl/>
        <w:kinsoku/>
        <w:wordWrap/>
        <w:overflowPunct/>
        <w:topLinePunct w:val="0"/>
        <w:bidi w:val="0"/>
        <w:adjustRightInd/>
        <w:spacing w:line="420" w:lineRule="exact"/>
        <w:ind w:firstLine="210" w:firstLineChars="1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（1）投标人认为招标文件的内容损害其权益的，</w:t>
      </w:r>
      <w:r>
        <w:rPr>
          <w:rFonts w:hint="eastAsia" w:ascii="宋体" w:hAnsi="宋体" w:eastAsia="宋体" w:cs="宋体"/>
          <w:color w:val="auto"/>
          <w:sz w:val="21"/>
          <w:szCs w:val="21"/>
          <w:highlight w:val="none"/>
        </w:rPr>
        <w:t>应当在获取采购文件或者采购文件公告期限届满之日（公告期限届满后获取采购文件的，以公告期限届满之日为准）</w:t>
      </w:r>
      <w:r>
        <w:rPr>
          <w:rFonts w:hint="eastAsia" w:ascii="宋体" w:hAnsi="宋体" w:eastAsia="宋体" w:cs="宋体"/>
          <w:color w:val="auto"/>
          <w:sz w:val="21"/>
          <w:szCs w:val="21"/>
          <w:highlight w:val="none"/>
          <w:lang w:eastAsia="zh-CN"/>
        </w:rPr>
        <w:t>起</w:t>
      </w:r>
      <w:r>
        <w:rPr>
          <w:rFonts w:hint="eastAsia" w:ascii="宋体" w:hAnsi="宋体" w:eastAsia="宋体" w:cs="宋体"/>
          <w:color w:val="auto"/>
          <w:kern w:val="0"/>
          <w:sz w:val="21"/>
          <w:szCs w:val="21"/>
          <w:highlight w:val="none"/>
        </w:rPr>
        <w:t>7个工作日内以书面形式提出；</w:t>
      </w:r>
    </w:p>
    <w:p w14:paraId="5225B56A">
      <w:pPr>
        <w:keepNext w:val="0"/>
        <w:keepLines w:val="0"/>
        <w:pageBreakBefore w:val="0"/>
        <w:widowControl/>
        <w:kinsoku/>
        <w:wordWrap/>
        <w:overflowPunct/>
        <w:topLinePunct w:val="0"/>
        <w:bidi w:val="0"/>
        <w:adjustRightInd/>
        <w:spacing w:line="420" w:lineRule="exact"/>
        <w:ind w:firstLine="210" w:firstLineChars="1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（2）投标人对采购过程提出质疑的，应当在各采购程序环节结束之日起</w:t>
      </w:r>
      <w:r>
        <w:rPr>
          <w:rFonts w:hint="eastAsia" w:ascii="宋体" w:hAnsi="宋体" w:eastAsia="宋体" w:cs="宋体"/>
          <w:b w:val="0"/>
          <w:bCs/>
          <w:color w:val="auto"/>
          <w:kern w:val="0"/>
          <w:sz w:val="21"/>
          <w:szCs w:val="21"/>
          <w:highlight w:val="none"/>
          <w:u w:val="none"/>
          <w:lang w:val="en-US" w:eastAsia="zh-CN"/>
        </w:rPr>
        <w:t>7</w:t>
      </w:r>
      <w:r>
        <w:rPr>
          <w:rFonts w:hint="eastAsia" w:ascii="宋体" w:hAnsi="宋体" w:eastAsia="宋体" w:cs="宋体"/>
          <w:color w:val="auto"/>
          <w:kern w:val="0"/>
          <w:sz w:val="21"/>
          <w:szCs w:val="21"/>
          <w:highlight w:val="none"/>
        </w:rPr>
        <w:t>个工作日内提出质疑；</w:t>
      </w:r>
    </w:p>
    <w:p w14:paraId="6D3279CA">
      <w:pPr>
        <w:keepNext w:val="0"/>
        <w:keepLines w:val="0"/>
        <w:pageBreakBefore w:val="0"/>
        <w:widowControl/>
        <w:kinsoku/>
        <w:wordWrap/>
        <w:overflowPunct/>
        <w:topLinePunct w:val="0"/>
        <w:bidi w:val="0"/>
        <w:adjustRightInd/>
        <w:spacing w:line="420" w:lineRule="exact"/>
        <w:ind w:firstLine="210" w:firstLineChars="1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（3）投标人对成交结果提出质疑的，</w:t>
      </w:r>
      <w:r>
        <w:rPr>
          <w:rFonts w:hint="eastAsia" w:ascii="宋体" w:hAnsi="宋体" w:eastAsia="宋体" w:cs="宋体"/>
          <w:b/>
          <w:color w:val="auto"/>
          <w:kern w:val="0"/>
          <w:sz w:val="21"/>
          <w:szCs w:val="21"/>
          <w:highlight w:val="none"/>
        </w:rPr>
        <w:t>应当在成交结果公告之日起</w:t>
      </w:r>
      <w:r>
        <w:rPr>
          <w:rFonts w:hint="eastAsia" w:ascii="宋体" w:hAnsi="宋体" w:eastAsia="宋体" w:cs="宋体"/>
          <w:b/>
          <w:color w:val="auto"/>
          <w:kern w:val="0"/>
          <w:sz w:val="21"/>
          <w:szCs w:val="21"/>
          <w:highlight w:val="none"/>
          <w:u w:val="none"/>
          <w:lang w:val="en-US" w:eastAsia="zh-CN"/>
        </w:rPr>
        <w:t>7</w:t>
      </w:r>
      <w:r>
        <w:rPr>
          <w:rFonts w:hint="eastAsia" w:ascii="宋体" w:hAnsi="宋体" w:eastAsia="宋体" w:cs="宋体"/>
          <w:color w:val="auto"/>
          <w:kern w:val="0"/>
          <w:sz w:val="21"/>
          <w:szCs w:val="21"/>
          <w:highlight w:val="none"/>
        </w:rPr>
        <w:t>个工作日内提出质疑；</w:t>
      </w:r>
    </w:p>
    <w:p w14:paraId="35E0DCB5">
      <w:pPr>
        <w:keepNext w:val="0"/>
        <w:keepLines w:val="0"/>
        <w:pageBreakBefore w:val="0"/>
        <w:widowControl/>
        <w:kinsoku/>
        <w:wordWrap/>
        <w:overflowPunct/>
        <w:topLinePunct w:val="0"/>
        <w:bidi w:val="0"/>
        <w:adjustRightInd/>
        <w:spacing w:line="42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2.招标人或代理机构在收到投标人的在线质疑后</w:t>
      </w:r>
      <w:r>
        <w:rPr>
          <w:rFonts w:hint="eastAsia" w:ascii="宋体" w:hAnsi="宋体" w:eastAsia="宋体" w:cs="宋体"/>
          <w:b w:val="0"/>
          <w:bCs/>
          <w:color w:val="auto"/>
          <w:kern w:val="0"/>
          <w:sz w:val="21"/>
          <w:szCs w:val="21"/>
          <w:highlight w:val="none"/>
          <w:u w:val="none"/>
          <w:lang w:val="en-US" w:eastAsia="zh-CN"/>
        </w:rPr>
        <w:t>7</w:t>
      </w:r>
      <w:r>
        <w:rPr>
          <w:rFonts w:hint="eastAsia" w:ascii="宋体" w:hAnsi="宋体" w:eastAsia="宋体" w:cs="宋体"/>
          <w:color w:val="auto"/>
          <w:kern w:val="0"/>
          <w:sz w:val="21"/>
          <w:szCs w:val="21"/>
          <w:highlight w:val="none"/>
        </w:rPr>
        <w:t>个工作日内作出答复，并以在线形式回复质疑投标人和其他有关投标人，但答复内容不涉及商业秘密。</w:t>
      </w:r>
    </w:p>
    <w:p w14:paraId="04463E04">
      <w:pPr>
        <w:keepNext w:val="0"/>
        <w:keepLines w:val="0"/>
        <w:pageBreakBefore w:val="0"/>
        <w:widowControl/>
        <w:kinsoku/>
        <w:wordWrap/>
        <w:overflowPunct/>
        <w:topLinePunct w:val="0"/>
        <w:bidi w:val="0"/>
        <w:adjustRightInd/>
        <w:spacing w:line="420" w:lineRule="exact"/>
        <w:ind w:firstLine="422" w:firstLineChars="200"/>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59240964">
      <w:pPr>
        <w:keepNext w:val="0"/>
        <w:keepLines w:val="0"/>
        <w:pageBreakBefore w:val="0"/>
        <w:widowControl/>
        <w:kinsoku/>
        <w:wordWrap/>
        <w:overflowPunct/>
        <w:topLinePunct w:val="0"/>
        <w:bidi w:val="0"/>
        <w:adjustRightInd/>
        <w:spacing w:line="420" w:lineRule="exact"/>
        <w:ind w:firstLine="422" w:firstLineChars="200"/>
        <w:jc w:val="left"/>
        <w:outlineLvl w:val="1"/>
        <w:rPr>
          <w:rFonts w:hint="eastAsia" w:ascii="宋体" w:hAnsi="宋体" w:eastAsia="宋体" w:cs="宋体"/>
          <w:b/>
          <w:bCs/>
          <w:color w:val="auto"/>
          <w:kern w:val="0"/>
          <w:sz w:val="21"/>
          <w:szCs w:val="21"/>
          <w:highlight w:val="none"/>
          <w:shd w:val="clear" w:color="auto" w:fill="auto"/>
        </w:rPr>
      </w:pPr>
      <w:bookmarkStart w:id="75" w:name="_Toc7658"/>
      <w:bookmarkStart w:id="76" w:name="_Toc5546"/>
      <w:r>
        <w:rPr>
          <w:rFonts w:hint="eastAsia" w:ascii="宋体" w:hAnsi="宋体" w:eastAsia="宋体" w:cs="宋体"/>
          <w:b/>
          <w:bCs/>
          <w:color w:val="auto"/>
          <w:kern w:val="0"/>
          <w:sz w:val="21"/>
          <w:szCs w:val="21"/>
          <w:highlight w:val="none"/>
          <w:shd w:val="clear" w:color="auto" w:fill="auto"/>
        </w:rPr>
        <w:t>（九）投诉</w:t>
      </w:r>
      <w:bookmarkEnd w:id="75"/>
      <w:bookmarkEnd w:id="76"/>
    </w:p>
    <w:p w14:paraId="5ECF8388">
      <w:pPr>
        <w:pStyle w:val="30"/>
        <w:keepNext w:val="0"/>
        <w:keepLines w:val="0"/>
        <w:pageBreakBefore w:val="0"/>
        <w:kinsoku/>
        <w:wordWrap/>
        <w:overflowPunct/>
        <w:topLinePunct w:val="0"/>
        <w:bidi w:val="0"/>
        <w:adjustRightInd/>
        <w:snapToGrid w:val="0"/>
        <w:spacing w:beforeLines="0" w:afterLines="0" w:line="420" w:lineRule="exact"/>
        <w:ind w:firstLine="413" w:firstLineChars="196"/>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70BF8639">
      <w:pPr>
        <w:pStyle w:val="30"/>
        <w:keepNext w:val="0"/>
        <w:keepLines w:val="0"/>
        <w:pageBreakBefore w:val="0"/>
        <w:kinsoku/>
        <w:wordWrap/>
        <w:overflowPunct/>
        <w:topLinePunct w:val="0"/>
        <w:bidi w:val="0"/>
        <w:adjustRightInd/>
        <w:snapToGrid w:val="0"/>
        <w:spacing w:beforeLines="0" w:afterLines="0" w:line="420" w:lineRule="exact"/>
        <w:ind w:firstLine="413" w:firstLineChars="196"/>
        <w:outlineLvl w:val="0"/>
        <w:rPr>
          <w:rFonts w:hint="eastAsia" w:ascii="宋体" w:hAnsi="宋体" w:eastAsia="宋体" w:cs="宋体"/>
          <w:b/>
          <w:color w:val="auto"/>
          <w:sz w:val="21"/>
          <w:szCs w:val="21"/>
          <w:highlight w:val="none"/>
          <w:shd w:val="clear" w:color="auto" w:fill="auto"/>
        </w:rPr>
      </w:pPr>
      <w:bookmarkStart w:id="77" w:name="_Toc1219"/>
      <w:bookmarkStart w:id="78" w:name="_Toc198"/>
      <w:r>
        <w:rPr>
          <w:rFonts w:hint="eastAsia" w:ascii="宋体" w:hAnsi="宋体" w:eastAsia="宋体" w:cs="宋体"/>
          <w:b/>
          <w:color w:val="auto"/>
          <w:sz w:val="21"/>
          <w:szCs w:val="21"/>
          <w:highlight w:val="none"/>
          <w:shd w:val="clear" w:color="auto" w:fill="auto"/>
        </w:rPr>
        <w:t>二、招标文件</w:t>
      </w:r>
      <w:bookmarkEnd w:id="77"/>
      <w:bookmarkEnd w:id="78"/>
    </w:p>
    <w:p w14:paraId="296E8FC0">
      <w:pPr>
        <w:keepNext w:val="0"/>
        <w:keepLines w:val="0"/>
        <w:pageBreakBefore w:val="0"/>
        <w:kinsoku/>
        <w:wordWrap/>
        <w:overflowPunct/>
        <w:topLinePunct w:val="0"/>
        <w:bidi w:val="0"/>
        <w:adjustRightInd/>
        <w:snapToGrid w:val="0"/>
        <w:spacing w:line="420" w:lineRule="exact"/>
        <w:ind w:firstLine="413" w:firstLineChars="196"/>
        <w:jc w:val="left"/>
        <w:outlineLvl w:val="1"/>
        <w:rPr>
          <w:rFonts w:hint="eastAsia" w:ascii="宋体" w:hAnsi="宋体" w:eastAsia="宋体" w:cs="宋体"/>
          <w:b/>
          <w:color w:val="auto"/>
          <w:sz w:val="21"/>
          <w:szCs w:val="21"/>
          <w:highlight w:val="none"/>
          <w:shd w:val="clear" w:color="auto" w:fill="auto"/>
        </w:rPr>
      </w:pPr>
      <w:bookmarkStart w:id="79" w:name="_Toc4497"/>
      <w:bookmarkStart w:id="80" w:name="_Toc15673"/>
      <w:r>
        <w:rPr>
          <w:rFonts w:hint="eastAsia" w:ascii="宋体" w:hAnsi="宋体" w:eastAsia="宋体" w:cs="宋体"/>
          <w:b/>
          <w:color w:val="auto"/>
          <w:sz w:val="21"/>
          <w:szCs w:val="21"/>
          <w:highlight w:val="none"/>
          <w:shd w:val="clear" w:color="auto" w:fill="auto"/>
        </w:rPr>
        <w:t>（一）招标文件的构成</w:t>
      </w:r>
      <w:bookmarkEnd w:id="79"/>
      <w:bookmarkEnd w:id="80"/>
    </w:p>
    <w:p w14:paraId="6B431B2E">
      <w:pPr>
        <w:keepNext w:val="0"/>
        <w:keepLines w:val="0"/>
        <w:pageBreakBefore w:val="0"/>
        <w:kinsoku/>
        <w:wordWrap/>
        <w:overflowPunct/>
        <w:topLinePunct w:val="0"/>
        <w:bidi w:val="0"/>
        <w:adjustRightInd/>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1.投标邀请</w:t>
      </w:r>
    </w:p>
    <w:p w14:paraId="5D0AC2EA">
      <w:pPr>
        <w:keepNext w:val="0"/>
        <w:keepLines w:val="0"/>
        <w:pageBreakBefore w:val="0"/>
        <w:kinsoku/>
        <w:wordWrap/>
        <w:overflowPunct/>
        <w:topLinePunct w:val="0"/>
        <w:bidi w:val="0"/>
        <w:adjustRightInd/>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2.招标需求</w:t>
      </w:r>
    </w:p>
    <w:p w14:paraId="018B9B31">
      <w:pPr>
        <w:keepNext w:val="0"/>
        <w:keepLines w:val="0"/>
        <w:pageBreakBefore w:val="0"/>
        <w:kinsoku/>
        <w:wordWrap/>
        <w:overflowPunct/>
        <w:topLinePunct w:val="0"/>
        <w:bidi w:val="0"/>
        <w:adjustRightInd/>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3.投标人须知</w:t>
      </w:r>
    </w:p>
    <w:p w14:paraId="18F83392">
      <w:pPr>
        <w:keepNext w:val="0"/>
        <w:keepLines w:val="0"/>
        <w:pageBreakBefore w:val="0"/>
        <w:kinsoku/>
        <w:wordWrap/>
        <w:overflowPunct/>
        <w:topLinePunct w:val="0"/>
        <w:bidi w:val="0"/>
        <w:adjustRightInd/>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4.评标办法及标准</w:t>
      </w:r>
    </w:p>
    <w:p w14:paraId="7C657F27">
      <w:pPr>
        <w:keepNext w:val="0"/>
        <w:keepLines w:val="0"/>
        <w:pageBreakBefore w:val="0"/>
        <w:kinsoku/>
        <w:wordWrap/>
        <w:overflowPunct/>
        <w:topLinePunct w:val="0"/>
        <w:bidi w:val="0"/>
        <w:adjustRightInd/>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5.合同主要条款</w:t>
      </w:r>
    </w:p>
    <w:p w14:paraId="3E02AC9A">
      <w:pPr>
        <w:keepNext w:val="0"/>
        <w:keepLines w:val="0"/>
        <w:pageBreakBefore w:val="0"/>
        <w:kinsoku/>
        <w:wordWrap/>
        <w:overflowPunct/>
        <w:topLinePunct w:val="0"/>
        <w:bidi w:val="0"/>
        <w:adjustRightInd/>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6.投标文件格式</w:t>
      </w:r>
    </w:p>
    <w:p w14:paraId="5781A839">
      <w:pPr>
        <w:keepNext w:val="0"/>
        <w:keepLines w:val="0"/>
        <w:pageBreakBefore w:val="0"/>
        <w:kinsoku/>
        <w:wordWrap/>
        <w:overflowPunct/>
        <w:topLinePunct w:val="0"/>
        <w:bidi w:val="0"/>
        <w:adjustRightInd/>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7.本项目招标文件的澄清、答复、修改、补充的内容（如有）</w:t>
      </w:r>
    </w:p>
    <w:p w14:paraId="75B402F1">
      <w:pPr>
        <w:keepNext w:val="0"/>
        <w:keepLines w:val="0"/>
        <w:pageBreakBefore w:val="0"/>
        <w:kinsoku/>
        <w:wordWrap/>
        <w:overflowPunct/>
        <w:topLinePunct w:val="0"/>
        <w:bidi w:val="0"/>
        <w:adjustRightInd/>
        <w:snapToGrid w:val="0"/>
        <w:spacing w:line="420" w:lineRule="exact"/>
        <w:ind w:firstLine="413" w:firstLineChars="196"/>
        <w:jc w:val="left"/>
        <w:outlineLvl w:val="1"/>
        <w:rPr>
          <w:rFonts w:hint="eastAsia" w:ascii="宋体" w:hAnsi="宋体" w:eastAsia="宋体" w:cs="宋体"/>
          <w:b/>
          <w:color w:val="auto"/>
          <w:sz w:val="21"/>
          <w:szCs w:val="21"/>
          <w:highlight w:val="none"/>
          <w:shd w:val="clear" w:color="auto" w:fill="auto"/>
        </w:rPr>
      </w:pPr>
      <w:bookmarkStart w:id="81" w:name="_Toc8569"/>
      <w:bookmarkStart w:id="82" w:name="_Toc24586"/>
      <w:r>
        <w:rPr>
          <w:rFonts w:hint="eastAsia" w:ascii="宋体" w:hAnsi="宋体" w:eastAsia="宋体" w:cs="宋体"/>
          <w:b/>
          <w:color w:val="auto"/>
          <w:sz w:val="21"/>
          <w:szCs w:val="21"/>
          <w:highlight w:val="none"/>
          <w:shd w:val="clear" w:color="auto" w:fill="auto"/>
        </w:rPr>
        <w:t>（二）投标人的风险</w:t>
      </w:r>
      <w:bookmarkEnd w:id="81"/>
      <w:bookmarkEnd w:id="82"/>
    </w:p>
    <w:p w14:paraId="4DD5927D">
      <w:pPr>
        <w:pStyle w:val="41"/>
        <w:keepNext w:val="0"/>
        <w:keepLines w:val="0"/>
        <w:pageBreakBefore w:val="0"/>
        <w:kinsoku/>
        <w:wordWrap/>
        <w:overflowPunct/>
        <w:topLinePunct w:val="0"/>
        <w:bidi w:val="0"/>
        <w:adjustRightInd/>
        <w:spacing w:line="42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投标人没有按照招标文件要求提供全部资料，或者投标人没有对招标文件在各方面作出实质性响应是投标人的风险，并可能导致其投标被拒绝。</w:t>
      </w:r>
    </w:p>
    <w:p w14:paraId="3763FE83">
      <w:pPr>
        <w:pStyle w:val="13"/>
        <w:keepNext w:val="0"/>
        <w:keepLines w:val="0"/>
        <w:pageBreakBefore w:val="0"/>
        <w:widowControl w:val="0"/>
        <w:tabs>
          <w:tab w:val="left" w:pos="420"/>
        </w:tabs>
        <w:kinsoku/>
        <w:wordWrap/>
        <w:overflowPunct/>
        <w:topLinePunct w:val="0"/>
        <w:bidi w:val="0"/>
        <w:adjustRightInd/>
        <w:snapToGrid w:val="0"/>
        <w:spacing w:afterLines="0" w:line="420" w:lineRule="exact"/>
        <w:ind w:left="0" w:leftChars="0" w:firstLine="413" w:firstLineChars="196"/>
        <w:outlineLvl w:val="1"/>
        <w:rPr>
          <w:rFonts w:hint="eastAsia" w:ascii="宋体" w:hAnsi="宋体" w:eastAsia="宋体" w:cs="宋体"/>
          <w:b/>
          <w:color w:val="auto"/>
          <w:sz w:val="21"/>
          <w:szCs w:val="21"/>
          <w:highlight w:val="none"/>
          <w:shd w:val="clear" w:color="auto" w:fill="auto"/>
        </w:rPr>
      </w:pPr>
      <w:bookmarkStart w:id="83" w:name="_Toc12064"/>
      <w:bookmarkStart w:id="84" w:name="_Toc11042"/>
      <w:r>
        <w:rPr>
          <w:rFonts w:hint="eastAsia" w:ascii="宋体" w:hAnsi="宋体" w:eastAsia="宋体" w:cs="宋体"/>
          <w:b/>
          <w:color w:val="auto"/>
          <w:sz w:val="21"/>
          <w:szCs w:val="21"/>
          <w:highlight w:val="none"/>
          <w:shd w:val="clear" w:color="auto" w:fill="auto"/>
        </w:rPr>
        <w:t>（三）招标文件的澄清与修改</w:t>
      </w:r>
      <w:bookmarkEnd w:id="83"/>
      <w:bookmarkEnd w:id="84"/>
      <w:r>
        <w:rPr>
          <w:rFonts w:hint="eastAsia" w:ascii="宋体" w:hAnsi="宋体" w:eastAsia="宋体" w:cs="宋体"/>
          <w:b/>
          <w:color w:val="auto"/>
          <w:sz w:val="21"/>
          <w:szCs w:val="21"/>
          <w:highlight w:val="none"/>
          <w:shd w:val="clear" w:color="auto" w:fill="auto"/>
        </w:rPr>
        <w:t xml:space="preserve"> </w:t>
      </w:r>
    </w:p>
    <w:p w14:paraId="1C90FC59">
      <w:pPr>
        <w:pStyle w:val="30"/>
        <w:keepNext w:val="0"/>
        <w:keepLines w:val="0"/>
        <w:pageBreakBefore w:val="0"/>
        <w:kinsoku/>
        <w:wordWrap/>
        <w:overflowPunct/>
        <w:topLinePunct w:val="0"/>
        <w:bidi w:val="0"/>
        <w:adjustRightInd/>
        <w:snapToGrid w:val="0"/>
        <w:spacing w:beforeLines="0" w:afterLines="0"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w:t>
      </w:r>
      <w:r>
        <w:rPr>
          <w:rFonts w:hint="eastAsia" w:ascii="宋体" w:hAnsi="宋体" w:eastAsia="宋体" w:cs="宋体"/>
          <w:bCs/>
          <w:color w:val="auto"/>
          <w:sz w:val="21"/>
          <w:szCs w:val="21"/>
          <w:highlight w:val="none"/>
          <w:shd w:val="clear" w:color="auto" w:fill="auto"/>
        </w:rPr>
        <w:t>投标人应认真阅读本招标文件，发现其中有误或有不合理要求的，投标人必须在前附表规定的时间前以书面形式要求招标人澄清</w:t>
      </w:r>
      <w:r>
        <w:rPr>
          <w:rFonts w:hint="eastAsia" w:ascii="宋体" w:hAnsi="宋体" w:eastAsia="宋体" w:cs="宋体"/>
          <w:color w:val="auto"/>
          <w:sz w:val="21"/>
          <w:szCs w:val="21"/>
          <w:highlight w:val="none"/>
          <w:shd w:val="clear" w:color="auto" w:fill="auto"/>
        </w:rPr>
        <w:t>。招标人对已发出的招标文件进行必要澄清、答复、修改或补充的，应当在招标文件要求提交投标文件截止时间前，以采购公告发布的网站予以发布。</w:t>
      </w:r>
    </w:p>
    <w:p w14:paraId="2530DBC9">
      <w:pPr>
        <w:pStyle w:val="30"/>
        <w:keepNext w:val="0"/>
        <w:keepLines w:val="0"/>
        <w:pageBreakBefore w:val="0"/>
        <w:kinsoku/>
        <w:wordWrap/>
        <w:overflowPunct/>
        <w:topLinePunct w:val="0"/>
        <w:bidi w:val="0"/>
        <w:adjustRightInd/>
        <w:snapToGrid w:val="0"/>
        <w:spacing w:beforeLines="0" w:afterLines="0"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2.招标文件澄清、答复、修改、补充的内容为招标文件的组成部分。当招标文件与招标文件的答复、澄清、修改、补充通知就同一内容的表述不一致时，以最后发出的公告为准。</w:t>
      </w:r>
    </w:p>
    <w:p w14:paraId="69B6652B">
      <w:pPr>
        <w:pStyle w:val="30"/>
        <w:keepNext w:val="0"/>
        <w:keepLines w:val="0"/>
        <w:pageBreakBefore w:val="0"/>
        <w:kinsoku/>
        <w:wordWrap/>
        <w:overflowPunct/>
        <w:topLinePunct w:val="0"/>
        <w:bidi w:val="0"/>
        <w:adjustRightInd/>
        <w:snapToGrid w:val="0"/>
        <w:spacing w:beforeLines="0" w:afterLines="0"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3.招标文件的澄清、答复、修改或补充都应该通过招标人以法定形式发布，招标人没有通过招标人，不得擅自澄清、答复、修改或补充招标文件。</w:t>
      </w:r>
    </w:p>
    <w:p w14:paraId="4064A2DC">
      <w:pPr>
        <w:pStyle w:val="30"/>
        <w:keepNext w:val="0"/>
        <w:keepLines w:val="0"/>
        <w:pageBreakBefore w:val="0"/>
        <w:kinsoku/>
        <w:wordWrap/>
        <w:overflowPunct/>
        <w:topLinePunct w:val="0"/>
        <w:bidi w:val="0"/>
        <w:adjustRightInd/>
        <w:snapToGrid w:val="0"/>
        <w:spacing w:beforeLines="0" w:afterLines="0" w:line="420" w:lineRule="exact"/>
        <w:ind w:firstLine="413" w:firstLineChars="196"/>
        <w:outlineLvl w:val="0"/>
        <w:rPr>
          <w:rFonts w:hint="eastAsia" w:ascii="宋体" w:hAnsi="宋体" w:eastAsia="宋体" w:cs="宋体"/>
          <w:b/>
          <w:color w:val="auto"/>
          <w:sz w:val="21"/>
          <w:szCs w:val="21"/>
          <w:highlight w:val="none"/>
          <w:shd w:val="clear" w:color="auto" w:fill="auto"/>
        </w:rPr>
      </w:pPr>
      <w:bookmarkStart w:id="85" w:name="_Toc356"/>
      <w:bookmarkStart w:id="86" w:name="_Toc9914"/>
      <w:r>
        <w:rPr>
          <w:rFonts w:hint="eastAsia" w:ascii="宋体" w:hAnsi="宋体" w:eastAsia="宋体" w:cs="宋体"/>
          <w:b/>
          <w:color w:val="auto"/>
          <w:sz w:val="21"/>
          <w:szCs w:val="21"/>
          <w:highlight w:val="none"/>
          <w:shd w:val="clear" w:color="auto" w:fill="auto"/>
        </w:rPr>
        <w:t>三、投标文件的编制</w:t>
      </w:r>
      <w:bookmarkEnd w:id="85"/>
      <w:bookmarkEnd w:id="86"/>
    </w:p>
    <w:p w14:paraId="77A13707">
      <w:pPr>
        <w:keepNext w:val="0"/>
        <w:keepLines w:val="0"/>
        <w:pageBreakBefore w:val="0"/>
        <w:kinsoku/>
        <w:wordWrap/>
        <w:overflowPunct/>
        <w:topLinePunct w:val="0"/>
        <w:bidi w:val="0"/>
        <w:adjustRightInd/>
        <w:snapToGrid w:val="0"/>
        <w:spacing w:line="420" w:lineRule="exact"/>
        <w:ind w:firstLine="411" w:firstLineChars="196"/>
        <w:jc w:val="left"/>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本项目实行电子投标，投标人应准备电子投标文件，本项目线下无需提供任何备份投标文件。电子投标文件，按及本招标文件要求编制。</w:t>
      </w:r>
    </w:p>
    <w:p w14:paraId="143C7B31">
      <w:pPr>
        <w:keepNext w:val="0"/>
        <w:keepLines w:val="0"/>
        <w:pageBreakBefore w:val="0"/>
        <w:kinsoku/>
        <w:wordWrap/>
        <w:overflowPunct/>
        <w:topLinePunct w:val="0"/>
        <w:bidi w:val="0"/>
        <w:adjustRightInd/>
        <w:snapToGrid w:val="0"/>
        <w:spacing w:line="420" w:lineRule="exact"/>
        <w:ind w:firstLine="413" w:firstLineChars="196"/>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（一）投标文件的组成</w:t>
      </w:r>
    </w:p>
    <w:p w14:paraId="044A27E5">
      <w:pPr>
        <w:keepNext w:val="0"/>
        <w:keepLines w:val="0"/>
        <w:pageBreakBefore w:val="0"/>
        <w:kinsoku/>
        <w:wordWrap/>
        <w:overflowPunct/>
        <w:topLinePunct w:val="0"/>
        <w:bidi w:val="0"/>
        <w:adjustRightInd/>
        <w:snapToGrid w:val="0"/>
        <w:spacing w:line="420" w:lineRule="exact"/>
        <w:ind w:firstLine="422"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投标文件由资格响应文件、商务技术文件、报价文件三部份组成。</w:t>
      </w:r>
      <w:r>
        <w:rPr>
          <w:rFonts w:hint="eastAsia" w:ascii="宋体" w:hAnsi="宋体" w:eastAsia="宋体" w:cs="宋体"/>
          <w:color w:val="auto"/>
          <w:sz w:val="21"/>
          <w:szCs w:val="21"/>
          <w:highlight w:val="none"/>
          <w:shd w:val="clear" w:color="auto" w:fill="auto"/>
        </w:rPr>
        <w:t>相关格式见附件，其余格式自拟。</w:t>
      </w:r>
    </w:p>
    <w:p w14:paraId="478A6865">
      <w:pPr>
        <w:keepNext w:val="0"/>
        <w:keepLines w:val="0"/>
        <w:pageBreakBefore w:val="0"/>
        <w:kinsoku/>
        <w:wordWrap/>
        <w:overflowPunct/>
        <w:topLinePunct w:val="0"/>
        <w:bidi w:val="0"/>
        <w:adjustRightInd/>
        <w:snapToGrid w:val="0"/>
        <w:spacing w:line="420" w:lineRule="exact"/>
        <w:ind w:firstLine="422" w:firstLineChars="200"/>
        <w:jc w:val="left"/>
        <w:rPr>
          <w:rFonts w:hint="eastAsia" w:ascii="宋体" w:hAnsi="宋体" w:eastAsia="宋体" w:cs="宋体"/>
          <w:b/>
          <w:color w:val="auto"/>
          <w:sz w:val="21"/>
          <w:szCs w:val="21"/>
          <w:highlight w:val="none"/>
          <w:shd w:val="clear" w:color="auto" w:fill="auto"/>
        </w:rPr>
      </w:pPr>
      <w:bookmarkStart w:id="87" w:name="_Hlk72672250"/>
      <w:r>
        <w:rPr>
          <w:rFonts w:hint="eastAsia" w:ascii="宋体" w:hAnsi="宋体" w:eastAsia="宋体" w:cs="宋体"/>
          <w:b/>
          <w:color w:val="auto"/>
          <w:sz w:val="21"/>
          <w:szCs w:val="21"/>
          <w:highlight w:val="none"/>
          <w:shd w:val="clear" w:color="auto" w:fill="auto"/>
        </w:rPr>
        <w:t>1.资格响应文件</w:t>
      </w:r>
    </w:p>
    <w:bookmarkEnd w:id="87"/>
    <w:p w14:paraId="1675E45B">
      <w:pPr>
        <w:keepNext w:val="0"/>
        <w:keepLines w:val="0"/>
        <w:pageBreakBefore w:val="0"/>
        <w:kinsoku/>
        <w:wordWrap/>
        <w:overflowPunct/>
        <w:topLinePunct w:val="0"/>
        <w:bidi w:val="0"/>
        <w:adjustRightInd/>
        <w:snapToGrid w:val="0"/>
        <w:spacing w:line="42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shd w:val="clear" w:color="auto" w:fill="auto"/>
        </w:rPr>
        <w:t>（1）营业执照</w:t>
      </w:r>
      <w:r>
        <w:rPr>
          <w:rFonts w:hint="eastAsia" w:ascii="宋体" w:hAnsi="宋体" w:eastAsia="宋体" w:cs="宋体"/>
          <w:b/>
          <w:color w:val="auto"/>
          <w:sz w:val="21"/>
          <w:szCs w:val="21"/>
          <w:highlight w:val="none"/>
          <w:shd w:val="clear" w:color="auto" w:fill="auto"/>
        </w:rPr>
        <w:t>（推荐使用电子营业执照）</w:t>
      </w:r>
      <w:r>
        <w:rPr>
          <w:rFonts w:hint="eastAsia" w:ascii="宋体" w:hAnsi="宋体" w:eastAsia="宋体" w:cs="宋体"/>
          <w:bCs/>
          <w:color w:val="auto"/>
          <w:sz w:val="21"/>
          <w:szCs w:val="21"/>
          <w:highlight w:val="none"/>
          <w:shd w:val="clear" w:color="auto" w:fill="auto"/>
        </w:rPr>
        <w:t>或事业法人登记证或其他工商等登记证明材料原件扫描件或复印件；</w:t>
      </w:r>
    </w:p>
    <w:p w14:paraId="24F66CF9">
      <w:pPr>
        <w:keepNext w:val="0"/>
        <w:keepLines w:val="0"/>
        <w:pageBreakBefore w:val="0"/>
        <w:kinsoku/>
        <w:wordWrap/>
        <w:overflowPunct/>
        <w:topLinePunct w:val="0"/>
        <w:bidi w:val="0"/>
        <w:adjustRightInd/>
        <w:snapToGrid w:val="0"/>
        <w:spacing w:line="420" w:lineRule="exact"/>
        <w:ind w:firstLine="420" w:firstLineChars="200"/>
        <w:jc w:val="left"/>
        <w:rPr>
          <w:rFonts w:hint="eastAsia" w:ascii="宋体" w:hAnsi="宋体" w:eastAsia="宋体" w:cs="宋体"/>
          <w:bCs/>
          <w:color w:val="auto"/>
          <w:sz w:val="21"/>
          <w:szCs w:val="21"/>
          <w:highlight w:val="none"/>
          <w:shd w:val="clear" w:color="auto" w:fill="auto"/>
        </w:rPr>
      </w:pPr>
      <w:bookmarkStart w:id="88" w:name="_Hlk68075338"/>
      <w:r>
        <w:rPr>
          <w:rFonts w:hint="eastAsia" w:ascii="宋体" w:hAnsi="宋体" w:eastAsia="宋体" w:cs="宋体"/>
          <w:bCs/>
          <w:color w:val="auto"/>
          <w:sz w:val="21"/>
          <w:szCs w:val="21"/>
          <w:highlight w:val="none"/>
          <w:shd w:val="clear" w:color="auto" w:fill="auto"/>
        </w:rPr>
        <w:t>（</w:t>
      </w:r>
      <w:r>
        <w:rPr>
          <w:rFonts w:hint="eastAsia" w:ascii="宋体" w:hAnsi="宋体" w:eastAsia="宋体" w:cs="宋体"/>
          <w:bCs/>
          <w:color w:val="auto"/>
          <w:sz w:val="21"/>
          <w:szCs w:val="21"/>
          <w:highlight w:val="none"/>
          <w:shd w:val="clear" w:color="auto" w:fill="auto"/>
          <w:lang w:val="en-US" w:eastAsia="zh-CN"/>
        </w:rPr>
        <w:t>2</w:t>
      </w:r>
      <w:r>
        <w:rPr>
          <w:rFonts w:hint="eastAsia" w:ascii="宋体" w:hAnsi="宋体" w:eastAsia="宋体" w:cs="宋体"/>
          <w:bCs/>
          <w:color w:val="auto"/>
          <w:sz w:val="21"/>
          <w:szCs w:val="21"/>
          <w:highlight w:val="none"/>
          <w:shd w:val="clear" w:color="auto" w:fill="auto"/>
        </w:rPr>
        <w:t>）</w:t>
      </w:r>
      <w:bookmarkEnd w:id="88"/>
      <w:r>
        <w:rPr>
          <w:rFonts w:hint="eastAsia" w:ascii="宋体" w:hAnsi="宋体" w:eastAsia="宋体" w:cs="宋体"/>
          <w:bCs/>
          <w:color w:val="auto"/>
          <w:sz w:val="21"/>
          <w:szCs w:val="21"/>
          <w:highlight w:val="none"/>
          <w:shd w:val="clear" w:color="auto" w:fill="auto"/>
        </w:rPr>
        <w:t>没有重大违法记录的承诺函</w:t>
      </w:r>
      <w:bookmarkStart w:id="89" w:name="_Hlk69365455"/>
      <w:r>
        <w:rPr>
          <w:rFonts w:hint="eastAsia" w:ascii="宋体" w:hAnsi="宋体" w:eastAsia="宋体" w:cs="宋体"/>
          <w:b/>
          <w:color w:val="auto"/>
          <w:sz w:val="21"/>
          <w:szCs w:val="21"/>
          <w:highlight w:val="none"/>
          <w:u w:val="single"/>
          <w:shd w:val="clear" w:color="auto" w:fill="auto"/>
        </w:rPr>
        <w:t>（请投标人在资格响应文件中勿遗漏该表格）</w:t>
      </w:r>
      <w:r>
        <w:rPr>
          <w:rFonts w:hint="eastAsia" w:ascii="宋体" w:hAnsi="宋体" w:eastAsia="宋体" w:cs="宋体"/>
          <w:bCs/>
          <w:color w:val="auto"/>
          <w:sz w:val="21"/>
          <w:szCs w:val="21"/>
          <w:highlight w:val="none"/>
          <w:shd w:val="clear" w:color="auto" w:fill="auto"/>
        </w:rPr>
        <w:t>；</w:t>
      </w:r>
    </w:p>
    <w:p w14:paraId="1ABC2470">
      <w:pPr>
        <w:keepNext w:val="0"/>
        <w:keepLines w:val="0"/>
        <w:pageBreakBefore w:val="0"/>
        <w:kinsoku/>
        <w:wordWrap/>
        <w:overflowPunct/>
        <w:topLinePunct w:val="0"/>
        <w:bidi w:val="0"/>
        <w:adjustRightInd/>
        <w:snapToGrid w:val="0"/>
        <w:spacing w:line="420" w:lineRule="exact"/>
        <w:ind w:firstLine="420" w:firstLineChars="200"/>
        <w:jc w:val="left"/>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（3）未被“信用中国”（www.creditchina.gov.cn）、中国政府采购网（www.ccgp.gov.cn）列入失信被执行人、税收违法黑名单、政府采购严重违法失信行为记录名单截图。</w:t>
      </w:r>
    </w:p>
    <w:bookmarkEnd w:id="89"/>
    <w:p w14:paraId="64FD7BCD">
      <w:pPr>
        <w:keepNext w:val="0"/>
        <w:keepLines w:val="0"/>
        <w:pageBreakBefore w:val="0"/>
        <w:kinsoku/>
        <w:wordWrap/>
        <w:overflowPunct/>
        <w:topLinePunct w:val="0"/>
        <w:bidi w:val="0"/>
        <w:adjustRightInd/>
        <w:snapToGrid w:val="0"/>
        <w:spacing w:line="420" w:lineRule="exact"/>
        <w:ind w:firstLine="422" w:firstLineChars="200"/>
        <w:jc w:val="left"/>
        <w:rPr>
          <w:rFonts w:hint="eastAsia" w:ascii="宋体" w:hAnsi="宋体" w:eastAsia="宋体" w:cs="宋体"/>
          <w:color w:val="auto"/>
          <w:sz w:val="21"/>
          <w:szCs w:val="21"/>
          <w:highlight w:val="none"/>
          <w:shd w:val="clear" w:color="auto" w:fill="auto"/>
        </w:rPr>
      </w:pPr>
      <w:bookmarkStart w:id="90" w:name="_Hlk72672204"/>
      <w:r>
        <w:rPr>
          <w:rFonts w:hint="eastAsia" w:ascii="宋体" w:hAnsi="宋体" w:eastAsia="宋体" w:cs="宋体"/>
          <w:b/>
          <w:color w:val="auto"/>
          <w:sz w:val="21"/>
          <w:szCs w:val="21"/>
          <w:highlight w:val="none"/>
          <w:shd w:val="clear" w:color="auto" w:fill="auto"/>
        </w:rPr>
        <w:t>2.</w:t>
      </w:r>
      <w:bookmarkEnd w:id="90"/>
      <w:bookmarkStart w:id="91" w:name="_Hlk534200662"/>
      <w:r>
        <w:rPr>
          <w:rFonts w:hint="eastAsia" w:ascii="宋体" w:hAnsi="宋体" w:eastAsia="宋体" w:cs="宋体"/>
          <w:b/>
          <w:color w:val="auto"/>
          <w:sz w:val="21"/>
          <w:szCs w:val="21"/>
          <w:highlight w:val="none"/>
          <w:shd w:val="clear" w:color="auto" w:fill="auto"/>
        </w:rPr>
        <w:t>商务</w:t>
      </w:r>
      <w:r>
        <w:rPr>
          <w:rFonts w:hint="eastAsia" w:ascii="宋体" w:hAnsi="宋体" w:eastAsia="宋体" w:cs="宋体"/>
          <w:b/>
          <w:bCs/>
          <w:color w:val="auto"/>
          <w:sz w:val="21"/>
          <w:szCs w:val="21"/>
          <w:highlight w:val="none"/>
          <w:shd w:val="clear" w:color="auto" w:fill="auto"/>
        </w:rPr>
        <w:t>技术</w:t>
      </w:r>
      <w:r>
        <w:rPr>
          <w:rFonts w:hint="eastAsia" w:ascii="宋体" w:hAnsi="宋体" w:eastAsia="宋体" w:cs="宋体"/>
          <w:b/>
          <w:color w:val="auto"/>
          <w:sz w:val="21"/>
          <w:szCs w:val="21"/>
          <w:highlight w:val="none"/>
          <w:shd w:val="clear" w:color="auto" w:fill="auto"/>
        </w:rPr>
        <w:t>文件</w:t>
      </w:r>
      <w:bookmarkEnd w:id="91"/>
    </w:p>
    <w:p w14:paraId="0147C24F">
      <w:pPr>
        <w:snapToGrid w:val="0"/>
        <w:spacing w:line="420" w:lineRule="exact"/>
        <w:ind w:firstLine="411" w:firstLineChars="196"/>
        <w:jc w:val="left"/>
        <w:rPr>
          <w:rFonts w:ascii="宋体" w:hAnsi="宋体"/>
          <w:color w:val="auto"/>
          <w:sz w:val="21"/>
          <w:szCs w:val="21"/>
          <w:highlight w:val="none"/>
        </w:rPr>
      </w:pPr>
      <w:r>
        <w:rPr>
          <w:rFonts w:hint="eastAsia" w:ascii="宋体" w:hAnsi="宋体"/>
          <w:color w:val="auto"/>
          <w:sz w:val="21"/>
          <w:szCs w:val="21"/>
          <w:highlight w:val="none"/>
        </w:rPr>
        <w:t>（1）投标函；</w:t>
      </w:r>
    </w:p>
    <w:p w14:paraId="12FE10E2">
      <w:pPr>
        <w:snapToGrid w:val="0"/>
        <w:spacing w:line="420" w:lineRule="exact"/>
        <w:ind w:firstLine="411" w:firstLineChars="196"/>
        <w:jc w:val="left"/>
        <w:rPr>
          <w:rFonts w:ascii="宋体" w:hAnsi="宋体"/>
          <w:color w:val="auto"/>
          <w:sz w:val="21"/>
          <w:szCs w:val="21"/>
          <w:highlight w:val="none"/>
        </w:rPr>
      </w:pPr>
      <w:r>
        <w:rPr>
          <w:rFonts w:hint="eastAsia" w:ascii="宋体" w:hAnsi="宋体"/>
          <w:color w:val="auto"/>
          <w:sz w:val="21"/>
          <w:szCs w:val="21"/>
          <w:highlight w:val="none"/>
        </w:rPr>
        <w:t>（2）</w:t>
      </w:r>
      <w:bookmarkStart w:id="92" w:name="_Hlk534200539"/>
      <w:r>
        <w:rPr>
          <w:rFonts w:hint="eastAsia" w:ascii="宋体" w:hAnsi="宋体"/>
          <w:color w:val="auto"/>
          <w:sz w:val="21"/>
          <w:szCs w:val="21"/>
          <w:highlight w:val="none"/>
        </w:rPr>
        <w:t>法定代表人授权委托书</w:t>
      </w:r>
      <w:bookmarkEnd w:id="92"/>
      <w:r>
        <w:rPr>
          <w:rFonts w:hint="eastAsia" w:ascii="宋体" w:hAnsi="宋体"/>
          <w:color w:val="auto"/>
          <w:sz w:val="21"/>
          <w:szCs w:val="21"/>
          <w:highlight w:val="none"/>
          <w:lang w:eastAsia="zh-CN"/>
        </w:rPr>
        <w:t>（</w:t>
      </w:r>
      <w:r>
        <w:rPr>
          <w:rFonts w:hint="eastAsia" w:ascii="宋体" w:hAnsi="宋体"/>
          <w:color w:val="auto"/>
          <w:sz w:val="21"/>
          <w:szCs w:val="21"/>
          <w:highlight w:val="none"/>
          <w:lang w:val="en-US" w:eastAsia="zh-CN"/>
        </w:rPr>
        <w:t>或法定代表人身份证明</w:t>
      </w:r>
      <w:r>
        <w:rPr>
          <w:rFonts w:hint="eastAsia" w:ascii="宋体" w:hAnsi="宋体"/>
          <w:color w:val="auto"/>
          <w:sz w:val="21"/>
          <w:szCs w:val="21"/>
          <w:highlight w:val="none"/>
          <w:lang w:eastAsia="zh-CN"/>
        </w:rPr>
        <w:t>）</w:t>
      </w:r>
      <w:r>
        <w:rPr>
          <w:rFonts w:hint="eastAsia" w:ascii="宋体" w:hAnsi="宋体"/>
          <w:color w:val="auto"/>
          <w:sz w:val="21"/>
          <w:szCs w:val="21"/>
          <w:highlight w:val="none"/>
        </w:rPr>
        <w:t>；</w:t>
      </w:r>
    </w:p>
    <w:p w14:paraId="3318A9DF">
      <w:pPr>
        <w:snapToGrid w:val="0"/>
        <w:spacing w:line="42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3</w:t>
      </w:r>
      <w:r>
        <w:rPr>
          <w:rFonts w:hint="eastAsia" w:ascii="宋体" w:hAnsi="宋体"/>
          <w:color w:val="auto"/>
          <w:sz w:val="21"/>
          <w:szCs w:val="21"/>
          <w:highlight w:val="none"/>
        </w:rPr>
        <w:t>）投标人按照评分标准要求提供的相应资料；</w:t>
      </w:r>
    </w:p>
    <w:p w14:paraId="22FA9D1E">
      <w:pPr>
        <w:snapToGrid w:val="0"/>
        <w:spacing w:line="42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4</w:t>
      </w:r>
      <w:r>
        <w:rPr>
          <w:rFonts w:hint="eastAsia" w:ascii="宋体" w:hAnsi="宋体"/>
          <w:color w:val="auto"/>
          <w:sz w:val="21"/>
          <w:szCs w:val="21"/>
          <w:highlight w:val="none"/>
        </w:rPr>
        <w:t>）项目负责人简历表；</w:t>
      </w:r>
    </w:p>
    <w:p w14:paraId="4BEF16FB">
      <w:pPr>
        <w:snapToGrid w:val="0"/>
        <w:spacing w:line="420" w:lineRule="exac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5</w:t>
      </w:r>
      <w:r>
        <w:rPr>
          <w:rFonts w:hint="eastAsia" w:ascii="宋体" w:hAnsi="宋体"/>
          <w:color w:val="auto"/>
          <w:sz w:val="21"/>
          <w:szCs w:val="21"/>
          <w:highlight w:val="none"/>
        </w:rPr>
        <w:t>）项目实施人员一览表；</w:t>
      </w:r>
    </w:p>
    <w:p w14:paraId="0D6BFB55">
      <w:pPr>
        <w:snapToGrid w:val="0"/>
        <w:spacing w:line="420" w:lineRule="exact"/>
        <w:ind w:firstLine="420" w:firstLineChars="200"/>
        <w:jc w:val="left"/>
        <w:rPr>
          <w:rFonts w:hint="eastAsia" w:ascii="宋体" w:hAnsi="宋体"/>
          <w:color w:val="auto"/>
          <w:sz w:val="21"/>
          <w:szCs w:val="21"/>
          <w:highlight w:val="none"/>
          <w:lang w:val="en-US" w:eastAsia="zh-CN"/>
        </w:rPr>
      </w:pPr>
      <w:r>
        <w:rPr>
          <w:rFonts w:hint="eastAsia" w:ascii="宋体" w:hAnsi="宋体"/>
          <w:color w:val="auto"/>
          <w:sz w:val="21"/>
          <w:szCs w:val="21"/>
          <w:highlight w:val="none"/>
        </w:rPr>
        <w:t>（</w:t>
      </w:r>
      <w:r>
        <w:rPr>
          <w:rFonts w:ascii="宋体" w:hAnsi="宋体"/>
          <w:color w:val="auto"/>
          <w:sz w:val="21"/>
          <w:szCs w:val="21"/>
          <w:highlight w:val="none"/>
        </w:rPr>
        <w:t>6</w:t>
      </w: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招标需求对应人员资格证书；</w:t>
      </w:r>
    </w:p>
    <w:p w14:paraId="20869D3E">
      <w:pPr>
        <w:snapToGrid w:val="0"/>
        <w:spacing w:line="42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lang w:val="en-US" w:eastAsia="zh-CN"/>
        </w:rPr>
        <w:t>（7）</w:t>
      </w:r>
      <w:r>
        <w:rPr>
          <w:rFonts w:hint="eastAsia" w:ascii="宋体" w:hAnsi="宋体"/>
          <w:color w:val="auto"/>
          <w:sz w:val="21"/>
          <w:szCs w:val="21"/>
          <w:highlight w:val="none"/>
        </w:rPr>
        <w:t>投标人类似</w:t>
      </w:r>
      <w:r>
        <w:rPr>
          <w:rFonts w:hint="eastAsia" w:ascii="宋体" w:hAnsi="宋体"/>
          <w:color w:val="auto"/>
          <w:sz w:val="21"/>
          <w:szCs w:val="21"/>
          <w:highlight w:val="none"/>
          <w:lang w:eastAsia="zh-CN"/>
        </w:rPr>
        <w:t>合同</w:t>
      </w:r>
      <w:r>
        <w:rPr>
          <w:rFonts w:hint="eastAsia" w:ascii="宋体" w:hAnsi="宋体"/>
          <w:color w:val="auto"/>
          <w:sz w:val="21"/>
          <w:szCs w:val="21"/>
          <w:highlight w:val="none"/>
        </w:rPr>
        <w:t>案例一览表 ；</w:t>
      </w:r>
    </w:p>
    <w:p w14:paraId="20242BBA">
      <w:pPr>
        <w:snapToGrid w:val="0"/>
        <w:spacing w:line="420" w:lineRule="exact"/>
        <w:ind w:firstLine="411" w:firstLineChars="196"/>
        <w:jc w:val="left"/>
        <w:rPr>
          <w:rFonts w:hint="eastAsia" w:ascii="宋体" w:hAnsi="宋体"/>
          <w:color w:val="auto"/>
          <w:sz w:val="21"/>
          <w:szCs w:val="21"/>
          <w:highlight w:val="none"/>
        </w:rPr>
      </w:pP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8</w:t>
      </w:r>
      <w:r>
        <w:rPr>
          <w:rFonts w:hint="eastAsia" w:ascii="宋体" w:hAnsi="宋体"/>
          <w:color w:val="auto"/>
          <w:sz w:val="21"/>
          <w:szCs w:val="21"/>
          <w:highlight w:val="none"/>
        </w:rPr>
        <w:t>）商务技术响应表；</w:t>
      </w:r>
    </w:p>
    <w:p w14:paraId="35C848F7">
      <w:pPr>
        <w:snapToGrid w:val="0"/>
        <w:spacing w:line="420" w:lineRule="exact"/>
        <w:ind w:firstLine="411" w:firstLineChars="196"/>
        <w:jc w:val="left"/>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w:t>
      </w:r>
      <w:r>
        <w:rPr>
          <w:rFonts w:hint="eastAsia" w:ascii="宋体" w:hAnsi="宋体"/>
          <w:color w:val="auto"/>
          <w:sz w:val="21"/>
          <w:szCs w:val="21"/>
          <w:highlight w:val="none"/>
          <w:lang w:val="en-US" w:eastAsia="zh-CN"/>
        </w:rPr>
        <w:t>9</w:t>
      </w:r>
      <w:r>
        <w:rPr>
          <w:rFonts w:hint="eastAsia" w:ascii="宋体" w:hAnsi="宋体"/>
          <w:color w:val="auto"/>
          <w:sz w:val="21"/>
          <w:szCs w:val="21"/>
          <w:highlight w:val="none"/>
          <w:lang w:eastAsia="zh-CN"/>
        </w:rPr>
        <w:t>）误差率承诺函；</w:t>
      </w:r>
    </w:p>
    <w:p w14:paraId="2EFD3081">
      <w:pPr>
        <w:keepNext w:val="0"/>
        <w:keepLines w:val="0"/>
        <w:pageBreakBefore w:val="0"/>
        <w:kinsoku/>
        <w:wordWrap/>
        <w:overflowPunct/>
        <w:topLinePunct w:val="0"/>
        <w:bidi w:val="0"/>
        <w:adjustRightInd/>
        <w:snapToGrid w:val="0"/>
        <w:spacing w:line="420" w:lineRule="exact"/>
        <w:ind w:firstLine="411" w:firstLineChars="196"/>
        <w:jc w:val="left"/>
        <w:rPr>
          <w:rFonts w:hint="eastAsia" w:ascii="宋体" w:hAnsi="宋体" w:eastAsia="宋体" w:cs="宋体"/>
          <w:color w:val="auto"/>
          <w:sz w:val="21"/>
          <w:szCs w:val="21"/>
          <w:highlight w:val="none"/>
          <w:shd w:val="clear" w:color="auto" w:fill="auto"/>
        </w:rPr>
      </w:pP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10</w:t>
      </w:r>
      <w:r>
        <w:rPr>
          <w:rFonts w:hint="eastAsia" w:ascii="宋体" w:hAnsi="宋体"/>
          <w:color w:val="auto"/>
          <w:sz w:val="21"/>
          <w:szCs w:val="21"/>
          <w:highlight w:val="none"/>
        </w:rPr>
        <w:t>）投标人认为需要提供的其他资料</w:t>
      </w:r>
      <w:r>
        <w:rPr>
          <w:rFonts w:hint="eastAsia" w:ascii="宋体" w:hAnsi="宋体"/>
          <w:color w:val="auto"/>
          <w:sz w:val="21"/>
          <w:szCs w:val="21"/>
          <w:highlight w:val="none"/>
          <w:lang w:eastAsia="zh-CN"/>
        </w:rPr>
        <w:t>（</w:t>
      </w:r>
      <w:r>
        <w:rPr>
          <w:rFonts w:hint="eastAsia" w:ascii="宋体" w:hAnsi="宋体"/>
          <w:color w:val="auto"/>
          <w:sz w:val="21"/>
          <w:szCs w:val="21"/>
          <w:highlight w:val="none"/>
          <w:lang w:val="en-US" w:eastAsia="zh-CN"/>
        </w:rPr>
        <w:t>如有</w:t>
      </w:r>
      <w:r>
        <w:rPr>
          <w:rFonts w:hint="eastAsia" w:ascii="宋体" w:hAnsi="宋体"/>
          <w:color w:val="auto"/>
          <w:sz w:val="21"/>
          <w:szCs w:val="21"/>
          <w:highlight w:val="none"/>
          <w:lang w:eastAsia="zh-CN"/>
        </w:rPr>
        <w:t>）</w:t>
      </w:r>
      <w:r>
        <w:rPr>
          <w:rFonts w:hint="eastAsia" w:ascii="宋体" w:hAnsi="宋体"/>
          <w:color w:val="auto"/>
          <w:sz w:val="21"/>
          <w:szCs w:val="21"/>
          <w:highlight w:val="none"/>
        </w:rPr>
        <w:t>。</w:t>
      </w:r>
    </w:p>
    <w:p w14:paraId="7662F67E">
      <w:pPr>
        <w:keepNext w:val="0"/>
        <w:keepLines w:val="0"/>
        <w:pageBreakBefore w:val="0"/>
        <w:kinsoku/>
        <w:wordWrap/>
        <w:overflowPunct/>
        <w:topLinePunct w:val="0"/>
        <w:bidi w:val="0"/>
        <w:adjustRightInd/>
        <w:snapToGrid w:val="0"/>
        <w:spacing w:line="420" w:lineRule="exact"/>
        <w:ind w:firstLine="413" w:firstLineChars="196"/>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3.报价文件</w:t>
      </w:r>
    </w:p>
    <w:p w14:paraId="45958720">
      <w:pPr>
        <w:keepNext w:val="0"/>
        <w:keepLines w:val="0"/>
        <w:pageBreakBefore w:val="0"/>
        <w:kinsoku/>
        <w:wordWrap/>
        <w:overflowPunct/>
        <w:topLinePunct w:val="0"/>
        <w:bidi w:val="0"/>
        <w:adjustRightInd/>
        <w:snapToGrid w:val="0"/>
        <w:spacing w:line="42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（1）开标一览表</w:t>
      </w:r>
      <w:r>
        <w:rPr>
          <w:rFonts w:hint="eastAsia" w:ascii="宋体" w:hAnsi="宋体" w:cs="宋体"/>
          <w:color w:val="auto"/>
          <w:sz w:val="21"/>
          <w:szCs w:val="21"/>
          <w:highlight w:val="none"/>
          <w:lang w:eastAsia="zh-CN"/>
        </w:rPr>
        <w:t>。</w:t>
      </w:r>
    </w:p>
    <w:p w14:paraId="03822FA0">
      <w:pPr>
        <w:keepNext w:val="0"/>
        <w:keepLines w:val="0"/>
        <w:pageBreakBefore w:val="0"/>
        <w:kinsoku/>
        <w:wordWrap/>
        <w:overflowPunct/>
        <w:topLinePunct w:val="0"/>
        <w:bidi w:val="0"/>
        <w:adjustRightInd/>
        <w:snapToGrid w:val="0"/>
        <w:spacing w:line="420" w:lineRule="exact"/>
        <w:ind w:firstLine="422" w:firstLineChars="200"/>
        <w:jc w:val="left"/>
        <w:rPr>
          <w:rFonts w:hint="eastAsia" w:ascii="宋体" w:hAnsi="宋体" w:eastAsia="宋体" w:cs="宋体"/>
          <w:b/>
          <w:color w:val="auto"/>
          <w:spacing w:val="-4"/>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（二）</w:t>
      </w:r>
      <w:r>
        <w:rPr>
          <w:rFonts w:hint="eastAsia" w:ascii="宋体" w:hAnsi="宋体" w:eastAsia="宋体" w:cs="宋体"/>
          <w:b/>
          <w:color w:val="auto"/>
          <w:spacing w:val="-4"/>
          <w:sz w:val="21"/>
          <w:szCs w:val="21"/>
          <w:highlight w:val="none"/>
          <w:shd w:val="clear" w:color="auto" w:fill="auto"/>
        </w:rPr>
        <w:t>采购项目评分索引表(该表格仅为方便评标之用，不涉及无效标条款，表格放置在商务技术文件目录的前页，以方便评委进行评审，格式见第四章)</w:t>
      </w:r>
    </w:p>
    <w:p w14:paraId="1EC3B653">
      <w:pPr>
        <w:keepNext w:val="0"/>
        <w:keepLines w:val="0"/>
        <w:pageBreakBefore w:val="0"/>
        <w:kinsoku/>
        <w:wordWrap/>
        <w:overflowPunct/>
        <w:topLinePunct w:val="0"/>
        <w:bidi w:val="0"/>
        <w:adjustRightInd/>
        <w:snapToGrid w:val="0"/>
        <w:spacing w:line="420" w:lineRule="exact"/>
        <w:ind w:firstLine="316" w:firstLineChars="15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（三）投标文件的语言及计量</w:t>
      </w:r>
    </w:p>
    <w:p w14:paraId="2525D7D7">
      <w:pPr>
        <w:keepNext w:val="0"/>
        <w:keepLines w:val="0"/>
        <w:pageBreakBefore w:val="0"/>
        <w:kinsoku/>
        <w:wordWrap/>
        <w:overflowPunct/>
        <w:topLinePunct w:val="0"/>
        <w:bidi w:val="0"/>
        <w:adjustRightInd/>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1.投标文件以及投标人与招标人就有关投标事宜的所有来往函电，均应以中文汉语书写。除签名、盖章、专用名称等特殊情形外，以中文汉语以外的文字表述的投标文件视同未提供。</w:t>
      </w:r>
    </w:p>
    <w:p w14:paraId="260094C4">
      <w:pPr>
        <w:keepNext w:val="0"/>
        <w:keepLines w:val="0"/>
        <w:pageBreakBefore w:val="0"/>
        <w:kinsoku/>
        <w:wordWrap/>
        <w:overflowPunct/>
        <w:topLinePunct w:val="0"/>
        <w:bidi w:val="0"/>
        <w:adjustRightInd/>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2.投标计量单位，招标文件已有明确规定的，使用招标文件规定的计量单位；招标文件没有规定的，应采用中华人民共和国法定计量单位（货币单位：人民币元），否则视同未响应。</w:t>
      </w:r>
    </w:p>
    <w:p w14:paraId="7EE0C97A">
      <w:pPr>
        <w:keepNext w:val="0"/>
        <w:keepLines w:val="0"/>
        <w:pageBreakBefore w:val="0"/>
        <w:kinsoku/>
        <w:wordWrap/>
        <w:overflowPunct/>
        <w:topLinePunct w:val="0"/>
        <w:bidi w:val="0"/>
        <w:adjustRightInd/>
        <w:snapToGrid w:val="0"/>
        <w:spacing w:line="420" w:lineRule="exact"/>
        <w:ind w:firstLine="413" w:firstLineChars="196"/>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（四）投标报价</w:t>
      </w:r>
    </w:p>
    <w:p w14:paraId="0DE4DCF7">
      <w:pPr>
        <w:pStyle w:val="30"/>
        <w:keepNext w:val="0"/>
        <w:keepLines w:val="0"/>
        <w:pageBreakBefore w:val="0"/>
        <w:kinsoku/>
        <w:wordWrap/>
        <w:overflowPunct/>
        <w:topLinePunct w:val="0"/>
        <w:bidi w:val="0"/>
        <w:adjustRightInd/>
        <w:snapToGrid w:val="0"/>
        <w:spacing w:beforeLines="0" w:afterLines="0"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1.投标报价应按招标文件中相关附表格式填写。</w:t>
      </w:r>
    </w:p>
    <w:p w14:paraId="59AE0C7B">
      <w:pPr>
        <w:keepNext w:val="0"/>
        <w:keepLines w:val="0"/>
        <w:pageBreakBefore w:val="0"/>
        <w:tabs>
          <w:tab w:val="left" w:pos="525"/>
        </w:tabs>
        <w:kinsoku/>
        <w:wordWrap/>
        <w:overflowPunct/>
        <w:topLinePunct w:val="0"/>
        <w:bidi w:val="0"/>
        <w:adjustRightInd/>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投标报价是履行合同的最终价格，应包括项目实施所需的所有的咨询、调查、资料收集、人工、通讯、交通、差旅、餐饮、资料打印、材料、验收、保险、税费、项目驻场费用、相关配合工作、不可预知费用开销及相应的风险金等为本项目提供正常服务所发生的费用，以及其它投标人应承担的一切工作所发生的费用均包括在投标报价中，未列入报价的费用将被视为投标人优惠，招标人均不予支付。</w:t>
      </w:r>
    </w:p>
    <w:p w14:paraId="1614308C">
      <w:pPr>
        <w:keepNext w:val="0"/>
        <w:keepLines w:val="0"/>
        <w:pageBreakBefore w:val="0"/>
        <w:tabs>
          <w:tab w:val="left" w:pos="525"/>
        </w:tabs>
        <w:kinsoku/>
        <w:wordWrap/>
        <w:overflowPunct/>
        <w:topLinePunct w:val="0"/>
        <w:bidi w:val="0"/>
        <w:adjustRightInd/>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▲3.投标文件只允许有一个报价，有选择的或有条件的报价将不予接受。</w:t>
      </w:r>
    </w:p>
    <w:p w14:paraId="76473D36">
      <w:pPr>
        <w:pStyle w:val="13"/>
        <w:keepNext w:val="0"/>
        <w:keepLines w:val="0"/>
        <w:pageBreakBefore w:val="0"/>
        <w:widowControl w:val="0"/>
        <w:tabs>
          <w:tab w:val="left" w:pos="420"/>
        </w:tabs>
        <w:kinsoku/>
        <w:wordWrap/>
        <w:overflowPunct/>
        <w:topLinePunct w:val="0"/>
        <w:bidi w:val="0"/>
        <w:adjustRightInd/>
        <w:snapToGrid w:val="0"/>
        <w:spacing w:afterLines="0" w:line="420" w:lineRule="exact"/>
        <w:ind w:left="0" w:firstLine="413" w:firstLineChars="196"/>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（五）投标有效期</w:t>
      </w:r>
    </w:p>
    <w:p w14:paraId="36A56363">
      <w:pPr>
        <w:pStyle w:val="13"/>
        <w:keepNext w:val="0"/>
        <w:keepLines w:val="0"/>
        <w:pageBreakBefore w:val="0"/>
        <w:widowControl w:val="0"/>
        <w:tabs>
          <w:tab w:val="left" w:pos="420"/>
        </w:tabs>
        <w:kinsoku/>
        <w:wordWrap/>
        <w:overflowPunct/>
        <w:topLinePunct w:val="0"/>
        <w:bidi w:val="0"/>
        <w:adjustRightInd/>
        <w:snapToGrid w:val="0"/>
        <w:spacing w:afterLines="0" w:line="420" w:lineRule="exact"/>
        <w:ind w:left="-25" w:leftChars="-12" w:firstLine="315" w:firstLineChars="15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▲1.自投标截止日起</w:t>
      </w:r>
      <w:r>
        <w:rPr>
          <w:rFonts w:hint="eastAsia" w:ascii="宋体" w:hAnsi="宋体" w:eastAsia="宋体" w:cs="宋体"/>
          <w:color w:val="auto"/>
          <w:sz w:val="21"/>
          <w:szCs w:val="21"/>
          <w:highlight w:val="none"/>
          <w:u w:val="single"/>
          <w:shd w:val="clear" w:color="auto" w:fill="auto"/>
        </w:rPr>
        <w:t xml:space="preserve">  90  </w:t>
      </w:r>
      <w:r>
        <w:rPr>
          <w:rFonts w:hint="eastAsia" w:ascii="宋体" w:hAnsi="宋体" w:eastAsia="宋体" w:cs="宋体"/>
          <w:color w:val="auto"/>
          <w:sz w:val="21"/>
          <w:szCs w:val="21"/>
          <w:highlight w:val="none"/>
          <w:shd w:val="clear" w:color="auto" w:fill="auto"/>
        </w:rPr>
        <w:t>天投标文件应保持有效。</w:t>
      </w:r>
    </w:p>
    <w:p w14:paraId="2B476BFD">
      <w:pPr>
        <w:pStyle w:val="13"/>
        <w:keepNext w:val="0"/>
        <w:keepLines w:val="0"/>
        <w:pageBreakBefore w:val="0"/>
        <w:widowControl w:val="0"/>
        <w:tabs>
          <w:tab w:val="left" w:pos="420"/>
        </w:tabs>
        <w:kinsoku/>
        <w:wordWrap/>
        <w:overflowPunct/>
        <w:topLinePunct w:val="0"/>
        <w:bidi w:val="0"/>
        <w:adjustRightInd/>
        <w:snapToGrid w:val="0"/>
        <w:spacing w:afterLines="0" w:line="420" w:lineRule="exact"/>
        <w:ind w:left="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2.在特殊情况下，招标人可与投标人协商延长投标文件的有效期，这种要求和答复均以书面形式进行。</w:t>
      </w:r>
    </w:p>
    <w:p w14:paraId="0B415120">
      <w:pPr>
        <w:keepNext w:val="0"/>
        <w:keepLines w:val="0"/>
        <w:pageBreakBefore w:val="0"/>
        <w:kinsoku/>
        <w:wordWrap/>
        <w:overflowPunct/>
        <w:topLinePunct w:val="0"/>
        <w:bidi w:val="0"/>
        <w:adjustRightInd/>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3.投标人可拒绝接受延期要求，同意延长有效期的投标人不能修改投标文件内容。 </w:t>
      </w:r>
    </w:p>
    <w:p w14:paraId="0FBCFFCB">
      <w:pPr>
        <w:keepNext w:val="0"/>
        <w:keepLines w:val="0"/>
        <w:pageBreakBefore w:val="0"/>
        <w:kinsoku/>
        <w:wordWrap/>
        <w:overflowPunct/>
        <w:topLinePunct w:val="0"/>
        <w:bidi w:val="0"/>
        <w:adjustRightInd/>
        <w:snapToGrid w:val="0"/>
        <w:spacing w:line="420" w:lineRule="exact"/>
        <w:ind w:firstLine="420" w:firstLineChars="20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4.中标人的投标文件自开标之日起至合同履行完毕止均应保持有效。</w:t>
      </w:r>
    </w:p>
    <w:p w14:paraId="62E1D0E6">
      <w:pPr>
        <w:keepNext w:val="0"/>
        <w:keepLines w:val="0"/>
        <w:pageBreakBefore w:val="0"/>
        <w:kinsoku/>
        <w:wordWrap/>
        <w:overflowPunct/>
        <w:topLinePunct w:val="0"/>
        <w:bidi w:val="0"/>
        <w:adjustRightInd/>
        <w:snapToGrid w:val="0"/>
        <w:spacing w:line="420" w:lineRule="exact"/>
        <w:ind w:firstLine="413" w:firstLineChars="196"/>
        <w:jc w:val="left"/>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5.投标人有下列情形之一的，按有关规定进行处罚：</w:t>
      </w:r>
    </w:p>
    <w:p w14:paraId="79FB5A94">
      <w:pPr>
        <w:keepNext w:val="0"/>
        <w:keepLines w:val="0"/>
        <w:pageBreakBefore w:val="0"/>
        <w:kinsoku/>
        <w:wordWrap/>
        <w:overflowPunct/>
        <w:topLinePunct w:val="0"/>
        <w:bidi w:val="0"/>
        <w:adjustRightInd/>
        <w:snapToGrid w:val="0"/>
        <w:spacing w:line="420" w:lineRule="exact"/>
        <w:ind w:firstLine="411" w:firstLineChars="196"/>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（1）投标人在投标有效期内撤回投标文件的；</w:t>
      </w:r>
    </w:p>
    <w:p w14:paraId="5D8EC98B">
      <w:pPr>
        <w:keepNext w:val="0"/>
        <w:keepLines w:val="0"/>
        <w:pageBreakBefore w:val="0"/>
        <w:kinsoku/>
        <w:wordWrap/>
        <w:overflowPunct/>
        <w:topLinePunct w:val="0"/>
        <w:bidi w:val="0"/>
        <w:adjustRightInd/>
        <w:snapToGrid w:val="0"/>
        <w:spacing w:line="420" w:lineRule="exact"/>
        <w:ind w:firstLine="411" w:firstLineChars="196"/>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（2）未按规定提交履约保证金的；</w:t>
      </w:r>
    </w:p>
    <w:p w14:paraId="2DB8BA15">
      <w:pPr>
        <w:keepNext w:val="0"/>
        <w:keepLines w:val="0"/>
        <w:pageBreakBefore w:val="0"/>
        <w:kinsoku/>
        <w:wordWrap/>
        <w:overflowPunct/>
        <w:topLinePunct w:val="0"/>
        <w:bidi w:val="0"/>
        <w:adjustRightInd/>
        <w:snapToGrid w:val="0"/>
        <w:spacing w:line="420" w:lineRule="exact"/>
        <w:ind w:firstLine="411" w:firstLineChars="196"/>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（3）投标人在投标过程中弄虚作假，提供虚假材料的；</w:t>
      </w:r>
    </w:p>
    <w:p w14:paraId="7B50350D">
      <w:pPr>
        <w:keepNext w:val="0"/>
        <w:keepLines w:val="0"/>
        <w:pageBreakBefore w:val="0"/>
        <w:kinsoku/>
        <w:wordWrap/>
        <w:overflowPunct/>
        <w:topLinePunct w:val="0"/>
        <w:bidi w:val="0"/>
        <w:adjustRightInd/>
        <w:snapToGrid w:val="0"/>
        <w:spacing w:line="420" w:lineRule="exact"/>
        <w:ind w:firstLine="411" w:firstLineChars="196"/>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（4）中标人无正当理由不与招标人签订合同的；</w:t>
      </w:r>
    </w:p>
    <w:p w14:paraId="326F00B4">
      <w:pPr>
        <w:keepNext w:val="0"/>
        <w:keepLines w:val="0"/>
        <w:pageBreakBefore w:val="0"/>
        <w:kinsoku/>
        <w:wordWrap/>
        <w:overflowPunct/>
        <w:topLinePunct w:val="0"/>
        <w:bidi w:val="0"/>
        <w:adjustRightInd/>
        <w:snapToGrid w:val="0"/>
        <w:spacing w:line="420" w:lineRule="exact"/>
        <w:ind w:firstLine="411" w:firstLineChars="196"/>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（5）</w:t>
      </w:r>
      <w:r>
        <w:rPr>
          <w:rFonts w:hint="eastAsia" w:ascii="宋体" w:hAnsi="宋体" w:eastAsia="宋体" w:cs="宋体"/>
          <w:bCs/>
          <w:color w:val="auto"/>
          <w:sz w:val="21"/>
          <w:szCs w:val="21"/>
          <w:highlight w:val="none"/>
          <w:shd w:val="clear" w:color="auto" w:fill="auto"/>
        </w:rPr>
        <w:t>将中标项目转让给他人或者在投标文件中未说明且未经招标人同意，将中标项目分包给他人的；</w:t>
      </w:r>
    </w:p>
    <w:p w14:paraId="57EA2146">
      <w:pPr>
        <w:keepNext w:val="0"/>
        <w:keepLines w:val="0"/>
        <w:pageBreakBefore w:val="0"/>
        <w:kinsoku/>
        <w:wordWrap/>
        <w:overflowPunct/>
        <w:topLinePunct w:val="0"/>
        <w:bidi w:val="0"/>
        <w:adjustRightInd/>
        <w:snapToGrid w:val="0"/>
        <w:spacing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（6）拒绝履行合同义务的；</w:t>
      </w:r>
    </w:p>
    <w:p w14:paraId="052C5407">
      <w:pPr>
        <w:keepNext w:val="0"/>
        <w:keepLines w:val="0"/>
        <w:pageBreakBefore w:val="0"/>
        <w:kinsoku/>
        <w:wordWrap/>
        <w:overflowPunct/>
        <w:topLinePunct w:val="0"/>
        <w:bidi w:val="0"/>
        <w:adjustRightInd/>
        <w:snapToGrid w:val="0"/>
        <w:spacing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（7）其他严重扰乱招投标程序的。</w:t>
      </w:r>
    </w:p>
    <w:p w14:paraId="62E3EE15">
      <w:pPr>
        <w:keepNext w:val="0"/>
        <w:keepLines w:val="0"/>
        <w:pageBreakBefore w:val="0"/>
        <w:kinsoku/>
        <w:wordWrap/>
        <w:overflowPunct/>
        <w:topLinePunct w:val="0"/>
        <w:bidi w:val="0"/>
        <w:adjustRightInd/>
        <w:snapToGrid w:val="0"/>
        <w:spacing w:line="420" w:lineRule="exact"/>
        <w:ind w:firstLine="413" w:firstLineChars="196"/>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（六）投标文件的签署</w:t>
      </w:r>
    </w:p>
    <w:p w14:paraId="5A1970F8">
      <w:pPr>
        <w:keepNext w:val="0"/>
        <w:keepLines w:val="0"/>
        <w:pageBreakBefore w:val="0"/>
        <w:kinsoku/>
        <w:wordWrap/>
        <w:overflowPunct/>
        <w:topLinePunct w:val="0"/>
        <w:bidi w:val="0"/>
        <w:adjustRightInd/>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1.投标人应按本招标文件规定的格式和顺序编制投标文件并标注页码，投标文件内容不完整、编排混乱而导致投标文件被误读、漏读或者查找不到相关内容的，投标人责任自负。</w:t>
      </w:r>
    </w:p>
    <w:p w14:paraId="4DC77BBA">
      <w:pPr>
        <w:keepNext w:val="0"/>
        <w:keepLines w:val="0"/>
        <w:pageBreakBefore w:val="0"/>
        <w:kinsoku/>
        <w:wordWrap/>
        <w:overflowPunct/>
        <w:topLinePunct w:val="0"/>
        <w:bidi w:val="0"/>
        <w:adjustRightInd/>
        <w:snapToGrid w:val="0"/>
        <w:spacing w:line="420" w:lineRule="exact"/>
        <w:ind w:firstLine="411" w:firstLineChars="196"/>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w:t>
      </w:r>
      <w:r>
        <w:rPr>
          <w:rFonts w:hint="eastAsia" w:ascii="宋体" w:hAnsi="宋体" w:eastAsia="宋体" w:cs="宋体"/>
          <w:b/>
          <w:color w:val="auto"/>
          <w:sz w:val="21"/>
          <w:szCs w:val="21"/>
          <w:highlight w:val="none"/>
          <w:shd w:val="clear" w:color="auto" w:fill="auto"/>
        </w:rPr>
        <w:t>电子投标文件中公章采用CA签章</w:t>
      </w:r>
      <w:r>
        <w:rPr>
          <w:rFonts w:hint="eastAsia" w:ascii="宋体" w:hAnsi="宋体" w:eastAsia="宋体" w:cs="宋体"/>
          <w:bCs/>
          <w:color w:val="auto"/>
          <w:sz w:val="21"/>
          <w:szCs w:val="21"/>
          <w:highlight w:val="none"/>
          <w:shd w:val="clear" w:color="auto" w:fill="auto"/>
        </w:rPr>
        <w:t>，</w:t>
      </w:r>
      <w:r>
        <w:rPr>
          <w:rFonts w:hint="eastAsia" w:ascii="宋体" w:hAnsi="宋体" w:eastAsia="宋体" w:cs="宋体"/>
          <w:b/>
          <w:color w:val="auto"/>
          <w:sz w:val="21"/>
          <w:szCs w:val="21"/>
          <w:highlight w:val="none"/>
          <w:shd w:val="clear" w:color="auto" w:fill="auto"/>
        </w:rPr>
        <w:t>并根据本招标文件规定的格式和顺序编制电子投标文件，</w:t>
      </w:r>
      <w:r>
        <w:rPr>
          <w:rFonts w:hint="eastAsia" w:ascii="宋体" w:hAnsi="宋体" w:eastAsia="宋体" w:cs="宋体"/>
          <w:bCs/>
          <w:color w:val="auto"/>
          <w:sz w:val="21"/>
          <w:szCs w:val="21"/>
          <w:highlight w:val="none"/>
          <w:shd w:val="clear" w:color="auto" w:fill="auto"/>
        </w:rPr>
        <w:t>电子投标文件如内容不完整、编排混乱导致投标文件被误读、漏读，或者在按采购文件规定的部位查找不到相关内容的，由投标人自行承担。</w:t>
      </w:r>
    </w:p>
    <w:p w14:paraId="76F7F2C9">
      <w:pPr>
        <w:keepNext w:val="0"/>
        <w:keepLines w:val="0"/>
        <w:pageBreakBefore w:val="0"/>
        <w:kinsoku/>
        <w:wordWrap/>
        <w:overflowPunct/>
        <w:topLinePunct w:val="0"/>
        <w:bidi w:val="0"/>
        <w:adjustRightInd/>
        <w:snapToGrid w:val="0"/>
        <w:spacing w:line="420" w:lineRule="exact"/>
        <w:ind w:firstLine="420" w:firstLineChars="2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3.投标文件不得涂改，若有修改错漏处，须加盖单位公章或者法定代表人或授权委托人签字或盖章。投标文件因字迹潦草或表达不清所引起的后果由投标人负责。</w:t>
      </w:r>
    </w:p>
    <w:p w14:paraId="687EC30C">
      <w:pPr>
        <w:keepNext w:val="0"/>
        <w:keepLines w:val="0"/>
        <w:pageBreakBefore w:val="0"/>
        <w:kinsoku/>
        <w:wordWrap/>
        <w:overflowPunct/>
        <w:topLinePunct w:val="0"/>
        <w:bidi w:val="0"/>
        <w:adjustRightInd/>
        <w:snapToGrid w:val="0"/>
        <w:spacing w:line="420" w:lineRule="exact"/>
        <w:ind w:firstLine="413" w:firstLineChars="196"/>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（七）投标无效的情形</w:t>
      </w:r>
    </w:p>
    <w:p w14:paraId="192798AB">
      <w:pPr>
        <w:keepNext w:val="0"/>
        <w:keepLines w:val="0"/>
        <w:pageBreakBefore w:val="0"/>
        <w:kinsoku/>
        <w:wordWrap/>
        <w:overflowPunct/>
        <w:topLinePunct w:val="0"/>
        <w:bidi w:val="0"/>
        <w:adjustRightInd/>
        <w:snapToGrid w:val="0"/>
        <w:spacing w:line="420" w:lineRule="exact"/>
        <w:ind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2F50F2E3">
      <w:pPr>
        <w:keepNext w:val="0"/>
        <w:keepLines w:val="0"/>
        <w:pageBreakBefore w:val="0"/>
        <w:kinsoku/>
        <w:wordWrap/>
        <w:overflowPunct/>
        <w:topLinePunct w:val="0"/>
        <w:bidi w:val="0"/>
        <w:adjustRightInd/>
        <w:snapToGrid w:val="0"/>
        <w:spacing w:line="420" w:lineRule="exact"/>
        <w:ind w:firstLine="398" w:firstLineChars="196"/>
        <w:rPr>
          <w:rFonts w:hint="eastAsia" w:ascii="宋体" w:hAnsi="宋体" w:eastAsia="宋体" w:cs="宋体"/>
          <w:b/>
          <w:bCs/>
          <w:color w:val="auto"/>
          <w:spacing w:val="-4"/>
          <w:sz w:val="21"/>
          <w:szCs w:val="21"/>
          <w:highlight w:val="none"/>
          <w:shd w:val="clear" w:color="auto" w:fill="auto"/>
        </w:rPr>
      </w:pPr>
      <w:bookmarkStart w:id="93" w:name="_Hlk59462445"/>
      <w:r>
        <w:rPr>
          <w:rFonts w:hint="eastAsia" w:ascii="宋体" w:hAnsi="宋体" w:eastAsia="宋体" w:cs="宋体"/>
          <w:b/>
          <w:bCs/>
          <w:color w:val="auto"/>
          <w:spacing w:val="-4"/>
          <w:sz w:val="21"/>
          <w:szCs w:val="21"/>
          <w:highlight w:val="none"/>
          <w:shd w:val="clear" w:color="auto" w:fill="auto"/>
        </w:rPr>
        <w:t>1.</w:t>
      </w:r>
      <w:bookmarkStart w:id="94" w:name="_Hlk534294335"/>
      <w:r>
        <w:rPr>
          <w:rFonts w:hint="eastAsia" w:ascii="宋体" w:hAnsi="宋体" w:eastAsia="宋体" w:cs="宋体"/>
          <w:b/>
          <w:bCs/>
          <w:color w:val="auto"/>
          <w:spacing w:val="-4"/>
          <w:sz w:val="21"/>
          <w:szCs w:val="21"/>
          <w:highlight w:val="none"/>
          <w:shd w:val="clear" w:color="auto" w:fill="auto"/>
        </w:rPr>
        <w:t>在符合性审查和商务技术评审时，如发现下列情形之一的，投标文件将被视为无效：</w:t>
      </w:r>
    </w:p>
    <w:bookmarkEnd w:id="94"/>
    <w:p w14:paraId="75694C8D">
      <w:pPr>
        <w:keepNext w:val="0"/>
        <w:keepLines w:val="0"/>
        <w:pageBreakBefore w:val="0"/>
        <w:kinsoku/>
        <w:wordWrap/>
        <w:overflowPunct/>
        <w:topLinePunct w:val="0"/>
        <w:bidi w:val="0"/>
        <w:adjustRightInd/>
        <w:snapToGrid w:val="0"/>
        <w:spacing w:line="420" w:lineRule="exact"/>
        <w:ind w:firstLine="411" w:firstLineChars="196"/>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（1）资格响应文件未提供齐全的或者资格响应文件存在过期的或者不符合招标文件标明的资格要求的；</w:t>
      </w:r>
    </w:p>
    <w:p w14:paraId="6D5873A2">
      <w:pPr>
        <w:keepNext w:val="0"/>
        <w:keepLines w:val="0"/>
        <w:pageBreakBefore w:val="0"/>
        <w:kinsoku/>
        <w:wordWrap/>
        <w:overflowPunct/>
        <w:topLinePunct w:val="0"/>
        <w:bidi w:val="0"/>
        <w:adjustRightInd/>
        <w:snapToGrid w:val="0"/>
        <w:spacing w:line="420" w:lineRule="exact"/>
        <w:ind w:firstLine="411" w:firstLineChars="196"/>
        <w:rPr>
          <w:rFonts w:hint="eastAsia" w:ascii="宋体" w:hAnsi="宋体" w:eastAsia="宋体" w:cs="宋体"/>
          <w:bCs/>
          <w:color w:val="auto"/>
          <w:kern w:val="0"/>
          <w:sz w:val="21"/>
          <w:szCs w:val="21"/>
          <w:highlight w:val="none"/>
          <w:shd w:val="clear" w:color="auto" w:fill="auto"/>
        </w:rPr>
      </w:pPr>
      <w:r>
        <w:rPr>
          <w:rFonts w:hint="eastAsia" w:ascii="宋体" w:hAnsi="宋体" w:eastAsia="宋体" w:cs="宋体"/>
          <w:color w:val="auto"/>
          <w:sz w:val="21"/>
          <w:szCs w:val="21"/>
          <w:highlight w:val="none"/>
          <w:shd w:val="clear" w:color="auto" w:fill="auto"/>
        </w:rPr>
        <w:t>（2）</w:t>
      </w:r>
      <w:r>
        <w:rPr>
          <w:rFonts w:hint="eastAsia" w:ascii="宋体" w:hAnsi="宋体" w:eastAsia="宋体" w:cs="宋体"/>
          <w:bCs/>
          <w:color w:val="auto"/>
          <w:sz w:val="21"/>
          <w:szCs w:val="21"/>
          <w:highlight w:val="none"/>
          <w:shd w:val="clear" w:color="auto" w:fill="auto"/>
        </w:rPr>
        <w:t>电子投标文件</w:t>
      </w:r>
      <w:r>
        <w:rPr>
          <w:rFonts w:hint="eastAsia" w:ascii="宋体" w:hAnsi="宋体" w:eastAsia="宋体" w:cs="宋体"/>
          <w:b/>
          <w:bCs w:val="0"/>
          <w:color w:val="auto"/>
          <w:sz w:val="21"/>
          <w:szCs w:val="21"/>
          <w:highlight w:val="none"/>
          <w:u w:val="single"/>
          <w:shd w:val="clear" w:color="auto" w:fill="auto"/>
        </w:rPr>
        <w:t>在指定页面无法定代表人盖章或签字、未在指定页面盖公章、在指定页面无被授权人签字（打字无效</w:t>
      </w:r>
      <w:r>
        <w:rPr>
          <w:rFonts w:hint="eastAsia" w:ascii="宋体" w:hAnsi="宋体" w:eastAsia="宋体" w:cs="宋体"/>
          <w:b/>
          <w:bCs w:val="0"/>
          <w:color w:val="auto"/>
          <w:sz w:val="21"/>
          <w:szCs w:val="21"/>
          <w:highlight w:val="none"/>
          <w:u w:val="single"/>
          <w:shd w:val="clear" w:color="auto" w:fill="auto"/>
          <w:lang w:eastAsia="zh-CN"/>
        </w:rPr>
        <w:t>，</w:t>
      </w:r>
      <w:r>
        <w:rPr>
          <w:rFonts w:hint="eastAsia" w:ascii="宋体" w:hAnsi="宋体" w:eastAsia="宋体" w:cs="宋体"/>
          <w:b/>
          <w:bCs w:val="0"/>
          <w:color w:val="auto"/>
          <w:sz w:val="21"/>
          <w:szCs w:val="21"/>
          <w:highlight w:val="none"/>
          <w:u w:val="single"/>
          <w:shd w:val="clear" w:color="auto" w:fill="auto"/>
        </w:rPr>
        <w:t>如法定代表人</w:t>
      </w:r>
      <w:r>
        <w:rPr>
          <w:rFonts w:hint="eastAsia" w:ascii="宋体" w:hAnsi="宋体" w:cs="宋体"/>
          <w:b/>
          <w:bCs w:val="0"/>
          <w:color w:val="auto"/>
          <w:sz w:val="21"/>
          <w:szCs w:val="21"/>
          <w:highlight w:val="none"/>
          <w:u w:val="single"/>
          <w:shd w:val="clear" w:color="auto" w:fill="auto"/>
          <w:lang w:val="en-US" w:eastAsia="zh-CN"/>
        </w:rPr>
        <w:t>参加投标</w:t>
      </w:r>
      <w:r>
        <w:rPr>
          <w:rFonts w:hint="eastAsia" w:ascii="宋体" w:hAnsi="宋体" w:eastAsia="宋体" w:cs="宋体"/>
          <w:b/>
          <w:bCs w:val="0"/>
          <w:color w:val="auto"/>
          <w:sz w:val="21"/>
          <w:szCs w:val="21"/>
          <w:highlight w:val="none"/>
          <w:u w:val="single"/>
          <w:shd w:val="clear" w:color="auto" w:fill="auto"/>
        </w:rPr>
        <w:t>可无需签字）</w:t>
      </w:r>
      <w:r>
        <w:rPr>
          <w:rFonts w:hint="eastAsia" w:ascii="宋体" w:hAnsi="宋体" w:eastAsia="宋体" w:cs="宋体"/>
          <w:b/>
          <w:bCs w:val="0"/>
          <w:color w:val="auto"/>
          <w:sz w:val="21"/>
          <w:szCs w:val="21"/>
          <w:highlight w:val="none"/>
          <w:shd w:val="clear" w:color="auto" w:fill="auto"/>
        </w:rPr>
        <w:t>、未提供法定代表人授权委托书</w:t>
      </w:r>
      <w:r>
        <w:rPr>
          <w:rFonts w:hint="eastAsia" w:ascii="宋体" w:hAnsi="宋体" w:cs="宋体"/>
          <w:b/>
          <w:bCs w:val="0"/>
          <w:color w:val="auto"/>
          <w:sz w:val="21"/>
          <w:szCs w:val="21"/>
          <w:highlight w:val="none"/>
          <w:shd w:val="clear" w:color="auto" w:fill="auto"/>
          <w:lang w:eastAsia="zh-CN"/>
        </w:rPr>
        <w:t>（被授权人参加投标）</w:t>
      </w:r>
      <w:r>
        <w:rPr>
          <w:rFonts w:hint="eastAsia" w:ascii="宋体" w:hAnsi="宋体" w:eastAsia="宋体" w:cs="宋体"/>
          <w:b/>
          <w:bCs w:val="0"/>
          <w:color w:val="auto"/>
          <w:sz w:val="21"/>
          <w:szCs w:val="21"/>
          <w:highlight w:val="none"/>
          <w:shd w:val="clear" w:color="auto" w:fill="auto"/>
          <w:lang w:val="en-US" w:eastAsia="zh-CN"/>
        </w:rPr>
        <w:t>或法定代表人身份证明</w:t>
      </w:r>
      <w:r>
        <w:rPr>
          <w:rFonts w:hint="eastAsia" w:ascii="宋体" w:hAnsi="宋体" w:cs="宋体"/>
          <w:b/>
          <w:bCs w:val="0"/>
          <w:color w:val="auto"/>
          <w:sz w:val="21"/>
          <w:szCs w:val="21"/>
          <w:highlight w:val="none"/>
          <w:shd w:val="clear" w:color="auto" w:fill="auto"/>
          <w:lang w:val="en-US" w:eastAsia="zh-CN"/>
        </w:rPr>
        <w:t>（法定代表人参加投标）</w:t>
      </w:r>
      <w:r>
        <w:rPr>
          <w:rFonts w:hint="eastAsia" w:ascii="宋体" w:hAnsi="宋体" w:eastAsia="宋体" w:cs="宋体"/>
          <w:b/>
          <w:bCs w:val="0"/>
          <w:color w:val="auto"/>
          <w:sz w:val="21"/>
          <w:szCs w:val="21"/>
          <w:highlight w:val="none"/>
          <w:shd w:val="clear" w:color="auto" w:fill="auto"/>
        </w:rPr>
        <w:t>、未提供投标函、</w:t>
      </w:r>
      <w:r>
        <w:rPr>
          <w:rFonts w:hint="eastAsia" w:ascii="宋体" w:hAnsi="宋体" w:eastAsia="宋体" w:cs="宋体"/>
          <w:b/>
          <w:bCs w:val="0"/>
          <w:color w:val="auto"/>
          <w:sz w:val="21"/>
          <w:szCs w:val="21"/>
          <w:highlight w:val="none"/>
          <w:shd w:val="clear" w:color="auto" w:fill="auto"/>
          <w:lang w:val="en-US" w:eastAsia="zh-CN"/>
        </w:rPr>
        <w:t>未提供误差率承诺函、</w:t>
      </w:r>
      <w:r>
        <w:rPr>
          <w:rFonts w:hint="eastAsia" w:ascii="宋体" w:hAnsi="宋体" w:eastAsia="宋体" w:cs="宋体"/>
          <w:b/>
          <w:bCs w:val="0"/>
          <w:color w:val="auto"/>
          <w:sz w:val="21"/>
          <w:szCs w:val="21"/>
          <w:highlight w:val="none"/>
          <w:shd w:val="clear" w:color="auto" w:fill="auto"/>
        </w:rPr>
        <w:t>未提供《没有重大违法记录的承诺函》或者投标函、《没有重大违法记录的承诺函》格式不符合招标文件要求或填写项目不齐全的</w:t>
      </w:r>
      <w:r>
        <w:rPr>
          <w:rFonts w:hint="eastAsia" w:ascii="宋体" w:hAnsi="宋体" w:eastAsia="宋体" w:cs="宋体"/>
          <w:b/>
          <w:bCs w:val="0"/>
          <w:color w:val="auto"/>
          <w:kern w:val="0"/>
          <w:sz w:val="21"/>
          <w:szCs w:val="21"/>
          <w:highlight w:val="none"/>
          <w:shd w:val="clear" w:color="auto" w:fill="auto"/>
        </w:rPr>
        <w:t>；</w:t>
      </w:r>
    </w:p>
    <w:p w14:paraId="17A82037">
      <w:pPr>
        <w:pStyle w:val="22"/>
        <w:keepNext w:val="0"/>
        <w:keepLines w:val="0"/>
        <w:pageBreakBefore w:val="0"/>
        <w:kinsoku/>
        <w:wordWrap/>
        <w:overflowPunct/>
        <w:topLinePunct w:val="0"/>
        <w:bidi w:val="0"/>
        <w:adjustRightInd/>
        <w:snapToGrid w:val="0"/>
        <w:spacing w:line="420" w:lineRule="exact"/>
        <w:ind w:firstLine="395" w:firstLineChars="196"/>
        <w:rPr>
          <w:rFonts w:hint="eastAsia" w:ascii="宋体" w:hAnsi="宋体" w:eastAsia="宋体" w:cs="宋体"/>
          <w:b/>
          <w:bCs/>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（3）多项主要服务响应或者主要设备功能响应不满足招标文件要求或缺项的，</w:t>
      </w:r>
      <w:r>
        <w:rPr>
          <w:rFonts w:hint="eastAsia" w:ascii="宋体" w:hAnsi="宋体" w:eastAsia="宋体" w:cs="宋体"/>
          <w:b/>
          <w:bCs/>
          <w:color w:val="auto"/>
          <w:sz w:val="21"/>
          <w:szCs w:val="21"/>
          <w:highlight w:val="none"/>
          <w:shd w:val="clear" w:color="auto" w:fill="auto"/>
        </w:rPr>
        <w:t>主要设备尺寸严重不满足招标文件要求的。</w:t>
      </w:r>
    </w:p>
    <w:p w14:paraId="1803A783">
      <w:pPr>
        <w:pStyle w:val="22"/>
        <w:keepNext w:val="0"/>
        <w:keepLines w:val="0"/>
        <w:pageBreakBefore w:val="0"/>
        <w:kinsoku/>
        <w:wordWrap/>
        <w:overflowPunct/>
        <w:topLinePunct w:val="0"/>
        <w:bidi w:val="0"/>
        <w:adjustRightInd/>
        <w:snapToGrid w:val="0"/>
        <w:spacing w:line="420" w:lineRule="exact"/>
        <w:ind w:firstLine="395" w:firstLineChars="196"/>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w:t>
      </w:r>
      <w:r>
        <w:rPr>
          <w:rFonts w:hint="eastAsia" w:ascii="宋体" w:hAnsi="宋体" w:eastAsia="宋体" w:cs="宋体"/>
          <w:snapToGrid w:val="0"/>
          <w:color w:val="auto"/>
          <w:sz w:val="21"/>
          <w:szCs w:val="21"/>
          <w:highlight w:val="none"/>
          <w:shd w:val="clear" w:color="auto" w:fill="auto"/>
        </w:rPr>
        <w:t>与</w:t>
      </w:r>
      <w:r>
        <w:rPr>
          <w:rFonts w:hint="eastAsia" w:ascii="宋体" w:hAnsi="宋体" w:eastAsia="宋体" w:cs="宋体"/>
          <w:color w:val="auto"/>
          <w:sz w:val="21"/>
          <w:szCs w:val="21"/>
          <w:highlight w:val="none"/>
          <w:shd w:val="clear" w:color="auto" w:fill="auto"/>
        </w:rPr>
        <w:t>招标文件中标“▲”的技术指标、主要功能参数、服务响应发生实质性负偏离</w:t>
      </w:r>
      <w:r>
        <w:rPr>
          <w:rFonts w:hint="eastAsia" w:ascii="宋体" w:hAnsi="宋体" w:eastAsia="宋体" w:cs="宋体"/>
          <w:snapToGrid w:val="0"/>
          <w:color w:val="auto"/>
          <w:sz w:val="21"/>
          <w:szCs w:val="21"/>
          <w:highlight w:val="none"/>
          <w:shd w:val="clear" w:color="auto" w:fill="auto"/>
        </w:rPr>
        <w:t>或内容缺失</w:t>
      </w:r>
      <w:r>
        <w:rPr>
          <w:rFonts w:hint="eastAsia" w:ascii="宋体" w:hAnsi="宋体" w:eastAsia="宋体" w:cs="宋体"/>
          <w:color w:val="auto"/>
          <w:sz w:val="21"/>
          <w:szCs w:val="21"/>
          <w:highlight w:val="none"/>
          <w:shd w:val="clear" w:color="auto" w:fill="auto"/>
        </w:rPr>
        <w:t>的；</w:t>
      </w:r>
    </w:p>
    <w:p w14:paraId="2DF91326">
      <w:pPr>
        <w:pStyle w:val="22"/>
        <w:keepNext w:val="0"/>
        <w:keepLines w:val="0"/>
        <w:pageBreakBefore w:val="0"/>
        <w:kinsoku/>
        <w:wordWrap/>
        <w:overflowPunct/>
        <w:topLinePunct w:val="0"/>
        <w:bidi w:val="0"/>
        <w:adjustRightInd/>
        <w:snapToGrid w:val="0"/>
        <w:spacing w:line="420" w:lineRule="exact"/>
        <w:ind w:firstLine="395" w:firstLineChars="196"/>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（5）未如实提供投标货物的技术参数，或者投标文件标明的响应或偏离存在虚假的；</w:t>
      </w:r>
    </w:p>
    <w:p w14:paraId="3B6AD025">
      <w:pPr>
        <w:pStyle w:val="22"/>
        <w:keepNext w:val="0"/>
        <w:keepLines w:val="0"/>
        <w:pageBreakBefore w:val="0"/>
        <w:kinsoku/>
        <w:wordWrap/>
        <w:overflowPunct/>
        <w:topLinePunct w:val="0"/>
        <w:bidi w:val="0"/>
        <w:adjustRightInd/>
        <w:snapToGrid w:val="0"/>
        <w:spacing w:line="420" w:lineRule="exact"/>
        <w:ind w:firstLine="395" w:firstLineChars="196"/>
        <w:rPr>
          <w:rFonts w:hint="eastAsia" w:ascii="宋体" w:hAnsi="宋体" w:eastAsia="宋体" w:cs="宋体"/>
          <w:snapToGrid w:val="0"/>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（6）投标有效期、工期（供货期、交货时间、服务期）、保修期（质保期）、付款方式等商务条款不能满足招标文件要求或缺失的</w:t>
      </w:r>
      <w:r>
        <w:rPr>
          <w:rFonts w:hint="eastAsia" w:ascii="宋体" w:hAnsi="宋体" w:eastAsia="宋体" w:cs="宋体"/>
          <w:snapToGrid w:val="0"/>
          <w:color w:val="auto"/>
          <w:sz w:val="21"/>
          <w:szCs w:val="21"/>
          <w:highlight w:val="none"/>
          <w:shd w:val="clear" w:color="auto" w:fill="auto"/>
        </w:rPr>
        <w:t>；</w:t>
      </w:r>
    </w:p>
    <w:bookmarkEnd w:id="93"/>
    <w:p w14:paraId="6D71F12A">
      <w:pPr>
        <w:pStyle w:val="22"/>
        <w:keepNext w:val="0"/>
        <w:keepLines w:val="0"/>
        <w:pageBreakBefore w:val="0"/>
        <w:kinsoku/>
        <w:wordWrap/>
        <w:overflowPunct/>
        <w:topLinePunct w:val="0"/>
        <w:bidi w:val="0"/>
        <w:adjustRightInd/>
        <w:snapToGrid w:val="0"/>
        <w:spacing w:line="420" w:lineRule="exact"/>
        <w:ind w:firstLine="395" w:firstLineChars="196"/>
        <w:rPr>
          <w:rFonts w:hint="eastAsia" w:ascii="宋体" w:hAnsi="宋体" w:eastAsia="宋体" w:cs="宋体"/>
          <w:snapToGrid w:val="0"/>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（7）</w:t>
      </w:r>
      <w:r>
        <w:rPr>
          <w:rFonts w:hint="eastAsia" w:ascii="宋体" w:hAnsi="宋体" w:eastAsia="宋体" w:cs="宋体"/>
          <w:snapToGrid w:val="0"/>
          <w:color w:val="auto"/>
          <w:sz w:val="21"/>
          <w:szCs w:val="21"/>
          <w:highlight w:val="none"/>
          <w:shd w:val="clear" w:color="auto" w:fill="auto"/>
        </w:rPr>
        <w:t>在商务及技术响应表中缺失部分招标文件中打▲的商务和技术要求的应标内容，同时在评标委员会对其进行询标时，投标人未能在规定时间内提供出其投标文件中有该项响应内容的；</w:t>
      </w:r>
    </w:p>
    <w:p w14:paraId="3A62AF53">
      <w:pPr>
        <w:pStyle w:val="22"/>
        <w:keepNext w:val="0"/>
        <w:keepLines w:val="0"/>
        <w:pageBreakBefore w:val="0"/>
        <w:kinsoku/>
        <w:wordWrap/>
        <w:overflowPunct/>
        <w:topLinePunct w:val="0"/>
        <w:bidi w:val="0"/>
        <w:adjustRightInd/>
        <w:snapToGrid w:val="0"/>
        <w:spacing w:line="420" w:lineRule="exact"/>
        <w:ind w:firstLine="395" w:firstLineChars="196"/>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（8）投标文件有招标方不能接受的附加条件的；</w:t>
      </w:r>
    </w:p>
    <w:p w14:paraId="7C7C05EB">
      <w:pPr>
        <w:pStyle w:val="22"/>
        <w:keepNext w:val="0"/>
        <w:keepLines w:val="0"/>
        <w:pageBreakBefore w:val="0"/>
        <w:kinsoku/>
        <w:wordWrap/>
        <w:overflowPunct/>
        <w:topLinePunct w:val="0"/>
        <w:bidi w:val="0"/>
        <w:adjustRightInd/>
        <w:snapToGrid w:val="0"/>
        <w:spacing w:line="420" w:lineRule="exact"/>
        <w:ind w:firstLine="404"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（9）商务技术文件中出现投标总报价的；</w:t>
      </w:r>
    </w:p>
    <w:p w14:paraId="7C6BCDF7">
      <w:pPr>
        <w:pStyle w:val="22"/>
        <w:keepNext w:val="0"/>
        <w:keepLines w:val="0"/>
        <w:pageBreakBefore w:val="0"/>
        <w:kinsoku/>
        <w:wordWrap/>
        <w:overflowPunct/>
        <w:topLinePunct w:val="0"/>
        <w:bidi w:val="0"/>
        <w:adjustRightInd/>
        <w:snapToGrid w:val="0"/>
        <w:spacing w:line="420" w:lineRule="exact"/>
        <w:ind w:firstLine="395" w:firstLineChars="196"/>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（10）不同投标人的投标文件,由同一台电脑编制。</w:t>
      </w:r>
    </w:p>
    <w:p w14:paraId="4C2B672B">
      <w:pPr>
        <w:pStyle w:val="22"/>
        <w:keepNext w:val="0"/>
        <w:keepLines w:val="0"/>
        <w:pageBreakBefore w:val="0"/>
        <w:kinsoku/>
        <w:wordWrap/>
        <w:overflowPunct/>
        <w:topLinePunct w:val="0"/>
        <w:bidi w:val="0"/>
        <w:adjustRightInd/>
        <w:snapToGrid w:val="0"/>
        <w:spacing w:line="420" w:lineRule="exact"/>
        <w:ind w:firstLine="398" w:firstLineChars="196"/>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2.在报价评审时，如发现下列情形之一的，投标文件将被视为无效：</w:t>
      </w:r>
    </w:p>
    <w:p w14:paraId="5469B6F4">
      <w:pPr>
        <w:pStyle w:val="22"/>
        <w:keepNext w:val="0"/>
        <w:keepLines w:val="0"/>
        <w:pageBreakBefore w:val="0"/>
        <w:kinsoku/>
        <w:wordWrap/>
        <w:overflowPunct/>
        <w:topLinePunct w:val="0"/>
        <w:bidi w:val="0"/>
        <w:adjustRightInd/>
        <w:snapToGrid w:val="0"/>
        <w:spacing w:line="420" w:lineRule="exact"/>
        <w:ind w:firstLine="395" w:firstLineChars="196"/>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（1）未采用人民币报价或者未按照招标文件标明的币种报价的；</w:t>
      </w:r>
    </w:p>
    <w:p w14:paraId="1EED3B1B">
      <w:pPr>
        <w:pStyle w:val="22"/>
        <w:keepNext w:val="0"/>
        <w:keepLines w:val="0"/>
        <w:pageBreakBefore w:val="0"/>
        <w:kinsoku/>
        <w:wordWrap/>
        <w:overflowPunct/>
        <w:topLinePunct w:val="0"/>
        <w:bidi w:val="0"/>
        <w:adjustRightInd/>
        <w:snapToGrid w:val="0"/>
        <w:spacing w:line="420" w:lineRule="exact"/>
        <w:ind w:firstLine="395" w:firstLineChars="196"/>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（2）投标报价具有选择性，或者开标价格与投标文件承诺的优惠（折扣）价格不一致的；</w:t>
      </w:r>
    </w:p>
    <w:p w14:paraId="52A49ACE">
      <w:pPr>
        <w:pStyle w:val="22"/>
        <w:keepNext w:val="0"/>
        <w:keepLines w:val="0"/>
        <w:pageBreakBefore w:val="0"/>
        <w:kinsoku/>
        <w:wordWrap/>
        <w:overflowPunct/>
        <w:topLinePunct w:val="0"/>
        <w:bidi w:val="0"/>
        <w:adjustRightInd/>
        <w:snapToGrid w:val="0"/>
        <w:spacing w:line="420" w:lineRule="exact"/>
        <w:ind w:firstLine="398" w:firstLineChars="196"/>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（3）报价超过招标文件中规定的预算金额或者最高限价的；</w:t>
      </w:r>
    </w:p>
    <w:p w14:paraId="1489B387">
      <w:pPr>
        <w:pStyle w:val="22"/>
        <w:keepNext w:val="0"/>
        <w:keepLines w:val="0"/>
        <w:pageBreakBefore w:val="0"/>
        <w:kinsoku/>
        <w:wordWrap/>
        <w:overflowPunct/>
        <w:topLinePunct w:val="0"/>
        <w:bidi w:val="0"/>
        <w:adjustRightInd/>
        <w:snapToGrid w:val="0"/>
        <w:spacing w:line="420" w:lineRule="exact"/>
        <w:ind w:firstLine="398" w:firstLineChars="196"/>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（4）未填写投标报价的。</w:t>
      </w:r>
    </w:p>
    <w:p w14:paraId="7A3A334F">
      <w:pPr>
        <w:pStyle w:val="22"/>
        <w:keepNext w:val="0"/>
        <w:keepLines w:val="0"/>
        <w:pageBreakBefore w:val="0"/>
        <w:kinsoku/>
        <w:wordWrap/>
        <w:overflowPunct/>
        <w:topLinePunct w:val="0"/>
        <w:bidi w:val="0"/>
        <w:adjustRightInd/>
        <w:snapToGrid w:val="0"/>
        <w:spacing w:line="420" w:lineRule="exact"/>
        <w:ind w:firstLine="398" w:firstLineChars="196"/>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3.被拒绝的投标文件为无效。</w:t>
      </w:r>
    </w:p>
    <w:p w14:paraId="60E1B16D">
      <w:pPr>
        <w:keepNext w:val="0"/>
        <w:keepLines w:val="0"/>
        <w:pageBreakBefore w:val="0"/>
        <w:kinsoku/>
        <w:wordWrap/>
        <w:overflowPunct/>
        <w:topLinePunct w:val="0"/>
        <w:bidi w:val="0"/>
        <w:adjustRightInd/>
        <w:spacing w:line="420" w:lineRule="exact"/>
        <w:ind w:firstLine="310" w:firstLineChars="147"/>
        <w:rPr>
          <w:rFonts w:hint="eastAsia" w:ascii="宋体" w:hAnsi="宋体" w:eastAsia="宋体" w:cs="宋体"/>
          <w:b/>
          <w:color w:val="auto"/>
          <w:sz w:val="21"/>
          <w:szCs w:val="21"/>
          <w:highlight w:val="none"/>
          <w:u w:val="single"/>
          <w:shd w:val="clear" w:color="auto" w:fill="auto"/>
        </w:rPr>
      </w:pPr>
      <w:r>
        <w:rPr>
          <w:rFonts w:hint="eastAsia" w:ascii="宋体" w:hAnsi="宋体" w:eastAsia="宋体" w:cs="宋体"/>
          <w:b/>
          <w:color w:val="auto"/>
          <w:sz w:val="21"/>
          <w:szCs w:val="21"/>
          <w:highlight w:val="none"/>
          <w:shd w:val="clear" w:color="auto" w:fill="auto"/>
        </w:rPr>
        <w:t>（八）在招标采购中，出现下列情形之一的，应予废标</w:t>
      </w:r>
    </w:p>
    <w:p w14:paraId="40CE6DD7">
      <w:pPr>
        <w:keepNext w:val="0"/>
        <w:keepLines w:val="0"/>
        <w:pageBreakBefore w:val="0"/>
        <w:kinsoku/>
        <w:wordWrap/>
        <w:overflowPunct/>
        <w:topLinePunct w:val="0"/>
        <w:autoSpaceDE w:val="0"/>
        <w:autoSpaceDN w:val="0"/>
        <w:bidi w:val="0"/>
        <w:adjustRightInd/>
        <w:spacing w:line="420" w:lineRule="exact"/>
        <w:ind w:firstLine="420" w:firstLineChars="200"/>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1、出现影响采购公正的违法、违规行为的；</w:t>
      </w:r>
    </w:p>
    <w:p w14:paraId="3D046570">
      <w:pPr>
        <w:keepNext w:val="0"/>
        <w:keepLines w:val="0"/>
        <w:pageBreakBefore w:val="0"/>
        <w:kinsoku/>
        <w:wordWrap/>
        <w:overflowPunct/>
        <w:topLinePunct w:val="0"/>
        <w:autoSpaceDE w:val="0"/>
        <w:autoSpaceDN w:val="0"/>
        <w:bidi w:val="0"/>
        <w:adjustRightInd/>
        <w:spacing w:line="420" w:lineRule="exact"/>
        <w:ind w:firstLine="420" w:firstLineChars="200"/>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2、因重大变故，采购任务取消的；</w:t>
      </w:r>
    </w:p>
    <w:p w14:paraId="59676011">
      <w:pPr>
        <w:keepNext w:val="0"/>
        <w:keepLines w:val="0"/>
        <w:pageBreakBefore w:val="0"/>
        <w:kinsoku/>
        <w:wordWrap/>
        <w:overflowPunct/>
        <w:topLinePunct w:val="0"/>
        <w:autoSpaceDE w:val="0"/>
        <w:autoSpaceDN w:val="0"/>
        <w:bidi w:val="0"/>
        <w:adjustRightInd/>
        <w:spacing w:line="420" w:lineRule="exact"/>
        <w:ind w:firstLine="420" w:firstLineChars="200"/>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3、投标人的报价均超过了采购预算价，招标人不能支付的。</w:t>
      </w:r>
    </w:p>
    <w:p w14:paraId="113619CF">
      <w:pPr>
        <w:keepNext w:val="0"/>
        <w:keepLines w:val="0"/>
        <w:pageBreakBefore w:val="0"/>
        <w:kinsoku/>
        <w:wordWrap/>
        <w:overflowPunct/>
        <w:topLinePunct w:val="0"/>
        <w:autoSpaceDE w:val="0"/>
        <w:autoSpaceDN w:val="0"/>
        <w:bidi w:val="0"/>
        <w:adjustRightInd/>
        <w:spacing w:line="420" w:lineRule="exact"/>
        <w:ind w:firstLine="420" w:firstLineChars="200"/>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4.其他法律法规规定应予以废标的情形。</w:t>
      </w:r>
    </w:p>
    <w:p w14:paraId="1F3F9FFB">
      <w:pPr>
        <w:pStyle w:val="22"/>
        <w:keepNext w:val="0"/>
        <w:keepLines w:val="0"/>
        <w:pageBreakBefore w:val="0"/>
        <w:kinsoku/>
        <w:wordWrap/>
        <w:overflowPunct/>
        <w:topLinePunct w:val="0"/>
        <w:bidi w:val="0"/>
        <w:adjustRightInd/>
        <w:snapToGrid w:val="0"/>
        <w:spacing w:line="420" w:lineRule="exact"/>
        <w:ind w:firstLine="223" w:firstLineChars="110"/>
        <w:outlineLvl w:val="0"/>
        <w:rPr>
          <w:rFonts w:hint="eastAsia" w:ascii="宋体" w:hAnsi="宋体" w:eastAsia="宋体" w:cs="宋体"/>
          <w:b/>
          <w:snapToGrid w:val="0"/>
          <w:color w:val="auto"/>
          <w:sz w:val="21"/>
          <w:szCs w:val="21"/>
          <w:highlight w:val="none"/>
          <w:shd w:val="clear" w:color="auto" w:fill="auto"/>
        </w:rPr>
      </w:pPr>
      <w:bookmarkStart w:id="95" w:name="_Toc22942"/>
      <w:bookmarkStart w:id="96" w:name="_Toc23555"/>
      <w:r>
        <w:rPr>
          <w:rFonts w:hint="eastAsia" w:ascii="宋体" w:hAnsi="宋体" w:eastAsia="宋体" w:cs="宋体"/>
          <w:b/>
          <w:color w:val="auto"/>
          <w:sz w:val="21"/>
          <w:szCs w:val="21"/>
          <w:highlight w:val="none"/>
          <w:shd w:val="clear" w:color="auto" w:fill="auto"/>
        </w:rPr>
        <w:t>四、开标</w:t>
      </w:r>
      <w:bookmarkEnd w:id="95"/>
      <w:bookmarkEnd w:id="96"/>
    </w:p>
    <w:p w14:paraId="30D4D939">
      <w:pPr>
        <w:pStyle w:val="30"/>
        <w:keepNext w:val="0"/>
        <w:keepLines w:val="0"/>
        <w:pageBreakBefore w:val="0"/>
        <w:kinsoku/>
        <w:wordWrap/>
        <w:overflowPunct/>
        <w:topLinePunct w:val="0"/>
        <w:bidi w:val="0"/>
        <w:adjustRightInd/>
        <w:snapToGrid w:val="0"/>
        <w:spacing w:beforeLines="0" w:afterLines="0" w:line="420" w:lineRule="exact"/>
        <w:ind w:firstLine="211" w:firstLineChars="100"/>
        <w:outlineLvl w:val="1"/>
        <w:rPr>
          <w:rFonts w:hint="eastAsia" w:ascii="宋体" w:hAnsi="宋体" w:eastAsia="宋体" w:cs="宋体"/>
          <w:b/>
          <w:color w:val="auto"/>
          <w:sz w:val="21"/>
          <w:szCs w:val="21"/>
          <w:highlight w:val="none"/>
          <w:shd w:val="clear" w:color="auto" w:fill="auto"/>
        </w:rPr>
      </w:pPr>
      <w:bookmarkStart w:id="97" w:name="_Toc18409"/>
      <w:bookmarkStart w:id="98" w:name="_Toc25036"/>
      <w:r>
        <w:rPr>
          <w:rFonts w:hint="eastAsia" w:ascii="宋体" w:hAnsi="宋体" w:eastAsia="宋体" w:cs="宋体"/>
          <w:b/>
          <w:color w:val="auto"/>
          <w:sz w:val="21"/>
          <w:szCs w:val="21"/>
          <w:highlight w:val="none"/>
          <w:shd w:val="clear" w:color="auto" w:fill="auto"/>
        </w:rPr>
        <w:t>（一）开标准备</w:t>
      </w:r>
      <w:bookmarkEnd w:id="97"/>
      <w:bookmarkEnd w:id="98"/>
    </w:p>
    <w:p w14:paraId="39BD661D">
      <w:pPr>
        <w:pStyle w:val="30"/>
        <w:keepNext w:val="0"/>
        <w:keepLines w:val="0"/>
        <w:pageBreakBefore w:val="0"/>
        <w:kinsoku/>
        <w:wordWrap/>
        <w:overflowPunct/>
        <w:topLinePunct w:val="0"/>
        <w:bidi w:val="0"/>
        <w:adjustRightInd/>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62CB2F0A">
      <w:pPr>
        <w:pStyle w:val="30"/>
        <w:keepNext w:val="0"/>
        <w:keepLines w:val="0"/>
        <w:pageBreakBefore w:val="0"/>
        <w:kinsoku/>
        <w:wordWrap/>
        <w:overflowPunct/>
        <w:topLinePunct w:val="0"/>
        <w:bidi w:val="0"/>
        <w:adjustRightInd/>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采购过程中出现以下情形，导致电子交易平台无法正常运行，或者无法保证电子交易的公平、公正和安全时，代理机构可中止电子交易活动：</w:t>
      </w:r>
    </w:p>
    <w:p w14:paraId="1A78BACB">
      <w:pPr>
        <w:pStyle w:val="30"/>
        <w:keepNext w:val="0"/>
        <w:keepLines w:val="0"/>
        <w:pageBreakBefore w:val="0"/>
        <w:kinsoku/>
        <w:wordWrap/>
        <w:overflowPunct/>
        <w:topLinePunct w:val="0"/>
        <w:bidi w:val="0"/>
        <w:adjustRightInd/>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 xml:space="preserve">（1）电子交易平台发生故障、停电而无法登录访问的； </w:t>
      </w:r>
    </w:p>
    <w:p w14:paraId="5455000D">
      <w:pPr>
        <w:pStyle w:val="30"/>
        <w:keepNext w:val="0"/>
        <w:keepLines w:val="0"/>
        <w:pageBreakBefore w:val="0"/>
        <w:kinsoku/>
        <w:wordWrap/>
        <w:overflowPunct/>
        <w:topLinePunct w:val="0"/>
        <w:bidi w:val="0"/>
        <w:adjustRightInd/>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（2）电子交易平台应用或数据库出现错误，不能进行正常操作的；</w:t>
      </w:r>
    </w:p>
    <w:p w14:paraId="7F913F20">
      <w:pPr>
        <w:pStyle w:val="30"/>
        <w:keepNext w:val="0"/>
        <w:keepLines w:val="0"/>
        <w:pageBreakBefore w:val="0"/>
        <w:kinsoku/>
        <w:wordWrap/>
        <w:overflowPunct/>
        <w:topLinePunct w:val="0"/>
        <w:bidi w:val="0"/>
        <w:adjustRightInd/>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（3）电子交易平台发现严重安全漏洞，有潜在泄密危险的；</w:t>
      </w:r>
    </w:p>
    <w:p w14:paraId="2719DE8F">
      <w:pPr>
        <w:pStyle w:val="30"/>
        <w:keepNext w:val="0"/>
        <w:keepLines w:val="0"/>
        <w:pageBreakBefore w:val="0"/>
        <w:kinsoku/>
        <w:wordWrap/>
        <w:overflowPunct/>
        <w:topLinePunct w:val="0"/>
        <w:bidi w:val="0"/>
        <w:adjustRightInd/>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 xml:space="preserve">（4）病毒发作导致不能进行正常操作的； </w:t>
      </w:r>
    </w:p>
    <w:p w14:paraId="6EA6B3E7">
      <w:pPr>
        <w:pStyle w:val="30"/>
        <w:keepNext w:val="0"/>
        <w:keepLines w:val="0"/>
        <w:pageBreakBefore w:val="0"/>
        <w:kinsoku/>
        <w:wordWrap/>
        <w:overflowPunct/>
        <w:topLinePunct w:val="0"/>
        <w:bidi w:val="0"/>
        <w:adjustRightInd/>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（5）其他无法保证电子交易的公平、公正和安全的情况。</w:t>
      </w:r>
    </w:p>
    <w:p w14:paraId="01022650">
      <w:pPr>
        <w:pStyle w:val="30"/>
        <w:keepNext w:val="0"/>
        <w:keepLines w:val="0"/>
        <w:pageBreakBefore w:val="0"/>
        <w:kinsoku/>
        <w:wordWrap/>
        <w:overflowPunct/>
        <w:topLinePunct w:val="0"/>
        <w:bidi w:val="0"/>
        <w:adjustRightInd/>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出现前款规定情形，不影响采购公平、公正性的，代理机构可以待上述情形消除后继续组织电子交易活动，影响或可能影响采购公平、公正性的，应当重新采购。</w:t>
      </w:r>
    </w:p>
    <w:p w14:paraId="1712305D">
      <w:pPr>
        <w:pStyle w:val="30"/>
        <w:keepNext w:val="0"/>
        <w:keepLines w:val="0"/>
        <w:pageBreakBefore w:val="0"/>
        <w:kinsoku/>
        <w:wordWrap/>
        <w:overflowPunct/>
        <w:topLinePunct w:val="0"/>
        <w:bidi w:val="0"/>
        <w:adjustRightInd/>
        <w:snapToGrid w:val="0"/>
        <w:spacing w:beforeLines="0" w:afterLines="0" w:line="420" w:lineRule="exact"/>
        <w:ind w:firstLine="413" w:firstLineChars="196"/>
        <w:outlineLvl w:val="1"/>
        <w:rPr>
          <w:rFonts w:hint="eastAsia" w:ascii="宋体" w:hAnsi="宋体" w:eastAsia="宋体" w:cs="宋体"/>
          <w:bCs/>
          <w:color w:val="auto"/>
          <w:sz w:val="21"/>
          <w:szCs w:val="21"/>
          <w:highlight w:val="none"/>
          <w:shd w:val="clear" w:color="auto" w:fill="auto"/>
        </w:rPr>
      </w:pPr>
      <w:bookmarkStart w:id="99" w:name="_Toc23776"/>
      <w:bookmarkStart w:id="100" w:name="_Toc5417"/>
      <w:r>
        <w:rPr>
          <w:rFonts w:hint="eastAsia" w:ascii="宋体" w:hAnsi="宋体" w:eastAsia="宋体" w:cs="宋体"/>
          <w:b/>
          <w:color w:val="auto"/>
          <w:sz w:val="21"/>
          <w:szCs w:val="21"/>
          <w:highlight w:val="none"/>
          <w:shd w:val="clear" w:color="auto" w:fill="auto"/>
        </w:rPr>
        <w:t>（二）开标程序</w:t>
      </w:r>
      <w:bookmarkEnd w:id="99"/>
      <w:bookmarkEnd w:id="100"/>
      <w:r>
        <w:rPr>
          <w:rFonts w:hint="eastAsia" w:ascii="宋体" w:hAnsi="宋体" w:eastAsia="宋体" w:cs="宋体"/>
          <w:b/>
          <w:color w:val="auto"/>
          <w:sz w:val="21"/>
          <w:szCs w:val="21"/>
          <w:highlight w:val="none"/>
          <w:shd w:val="clear" w:color="auto" w:fill="auto"/>
        </w:rPr>
        <w:t xml:space="preserve">    </w:t>
      </w:r>
    </w:p>
    <w:p w14:paraId="441E11B0">
      <w:pPr>
        <w:pStyle w:val="30"/>
        <w:keepNext w:val="0"/>
        <w:keepLines w:val="0"/>
        <w:pageBreakBefore w:val="0"/>
        <w:kinsoku/>
        <w:wordWrap/>
        <w:overflowPunct/>
        <w:topLinePunct w:val="0"/>
        <w:bidi w:val="0"/>
        <w:adjustRightInd/>
        <w:snapToGrid w:val="0"/>
        <w:spacing w:beforeLines="0" w:afterLines="0"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1.开标会由招标人主持，</w:t>
      </w:r>
      <w:bookmarkStart w:id="101" w:name="_Hlk59694585"/>
      <w:r>
        <w:rPr>
          <w:rFonts w:hint="eastAsia" w:ascii="宋体" w:hAnsi="宋体" w:eastAsia="宋体" w:cs="宋体"/>
          <w:b/>
          <w:bCs/>
          <w:color w:val="auto"/>
          <w:sz w:val="21"/>
          <w:szCs w:val="21"/>
          <w:highlight w:val="none"/>
          <w:u w:val="single"/>
          <w:shd w:val="clear" w:color="auto" w:fill="auto"/>
        </w:rPr>
        <w:t>并通过临海市限额以下公共资源交易区域平台--每日直播平台进行现场直播，各投标人请准时在线参加。</w:t>
      </w:r>
      <w:bookmarkStart w:id="102" w:name="_Hlk59690176"/>
      <w:r>
        <w:rPr>
          <w:rFonts w:hint="eastAsia" w:ascii="宋体" w:hAnsi="宋体" w:eastAsia="宋体" w:cs="宋体"/>
          <w:b/>
          <w:bCs/>
          <w:color w:val="auto"/>
          <w:sz w:val="21"/>
          <w:szCs w:val="21"/>
          <w:highlight w:val="none"/>
          <w:u w:val="single"/>
          <w:shd w:val="clear" w:color="auto" w:fill="auto"/>
        </w:rPr>
        <w:t>各投标人如对开、评标过程有异议的，应该登陆临海市限额以下公共资源交易区域平台—-每日直播平台---点击该项目—登陆，进入答疑进行提问，招标人（代理机构）应当及时作出答复，并制作记录</w:t>
      </w:r>
      <w:bookmarkEnd w:id="101"/>
      <w:r>
        <w:rPr>
          <w:rFonts w:hint="eastAsia" w:ascii="宋体" w:hAnsi="宋体" w:eastAsia="宋体" w:cs="宋体"/>
          <w:b/>
          <w:bCs/>
          <w:color w:val="auto"/>
          <w:sz w:val="21"/>
          <w:szCs w:val="21"/>
          <w:highlight w:val="none"/>
          <w:u w:val="single"/>
          <w:shd w:val="clear" w:color="auto" w:fill="auto"/>
        </w:rPr>
        <w:t>；</w:t>
      </w:r>
    </w:p>
    <w:bookmarkEnd w:id="102"/>
    <w:p w14:paraId="529C7778">
      <w:pPr>
        <w:pStyle w:val="30"/>
        <w:keepNext w:val="0"/>
        <w:keepLines w:val="0"/>
        <w:pageBreakBefore w:val="0"/>
        <w:kinsoku/>
        <w:wordWrap/>
        <w:overflowPunct/>
        <w:topLinePunct w:val="0"/>
        <w:bidi w:val="0"/>
        <w:adjustRightInd/>
        <w:snapToGrid w:val="0"/>
        <w:spacing w:beforeLines="0" w:afterLines="0"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2.招标人点击临海市限额以下公共资源交易区域平台-不见面开标大厅--【开始解密】按钮，</w:t>
      </w:r>
      <w:bookmarkStart w:id="103" w:name="_Hlk59625783"/>
      <w:r>
        <w:rPr>
          <w:rFonts w:hint="eastAsia" w:ascii="宋体" w:hAnsi="宋体" w:eastAsia="宋体" w:cs="宋体"/>
          <w:color w:val="auto"/>
          <w:sz w:val="21"/>
          <w:szCs w:val="21"/>
          <w:highlight w:val="none"/>
          <w:shd w:val="clear" w:color="auto" w:fill="auto"/>
        </w:rPr>
        <w:t>由投标人按招标文件规定的时间及</w:t>
      </w:r>
      <w:bookmarkStart w:id="104" w:name="_Hlk59626264"/>
      <w:r>
        <w:rPr>
          <w:rFonts w:hint="eastAsia" w:ascii="宋体" w:hAnsi="宋体" w:eastAsia="宋体" w:cs="宋体"/>
          <w:color w:val="auto"/>
          <w:sz w:val="21"/>
          <w:szCs w:val="21"/>
          <w:highlight w:val="none"/>
          <w:shd w:val="clear" w:color="auto" w:fill="auto"/>
        </w:rPr>
        <w:t>平台</w:t>
      </w:r>
      <w:bookmarkEnd w:id="104"/>
      <w:r>
        <w:rPr>
          <w:rFonts w:hint="eastAsia" w:ascii="宋体" w:hAnsi="宋体" w:eastAsia="宋体" w:cs="宋体"/>
          <w:color w:val="auto"/>
          <w:sz w:val="21"/>
          <w:szCs w:val="21"/>
          <w:highlight w:val="none"/>
          <w:shd w:val="clear" w:color="auto" w:fill="auto"/>
        </w:rPr>
        <w:t>显示的时间内自行进行投标文件解密。</w:t>
      </w:r>
      <w:bookmarkEnd w:id="103"/>
      <w:r>
        <w:rPr>
          <w:rFonts w:hint="eastAsia" w:ascii="宋体" w:hAnsi="宋体" w:eastAsia="宋体" w:cs="宋体"/>
          <w:color w:val="auto"/>
          <w:sz w:val="21"/>
          <w:szCs w:val="21"/>
          <w:highlight w:val="none"/>
          <w:shd w:val="clear" w:color="auto" w:fill="auto"/>
        </w:rPr>
        <w:t>投标文件的制作和解密应使用同一个数字证书，否则将可能解密失败。解密过程中如因CA数字证书等问题而无法解密的，请马上致电服务热线400-0571-337寻求解决。</w:t>
      </w:r>
      <w:bookmarkStart w:id="105" w:name="_Hlk59805375"/>
      <w:r>
        <w:rPr>
          <w:rFonts w:hint="eastAsia" w:ascii="宋体" w:hAnsi="宋体" w:eastAsia="宋体" w:cs="宋体"/>
          <w:color w:val="auto"/>
          <w:sz w:val="21"/>
          <w:szCs w:val="21"/>
          <w:highlight w:val="none"/>
          <w:shd w:val="clear" w:color="auto" w:fill="auto"/>
        </w:rPr>
        <w:t>投标人未按时解密或解密失败的，其投标文件为无效标。</w:t>
      </w:r>
      <w:bookmarkEnd w:id="105"/>
    </w:p>
    <w:p w14:paraId="757E89F4">
      <w:pPr>
        <w:pStyle w:val="30"/>
        <w:keepNext w:val="0"/>
        <w:keepLines w:val="0"/>
        <w:pageBreakBefore w:val="0"/>
        <w:kinsoku/>
        <w:wordWrap/>
        <w:overflowPunct/>
        <w:topLinePunct w:val="0"/>
        <w:bidi w:val="0"/>
        <w:adjustRightInd/>
        <w:snapToGrid w:val="0"/>
        <w:spacing w:beforeLines="0" w:afterLines="0" w:line="420" w:lineRule="exact"/>
        <w:rPr>
          <w:rFonts w:hint="eastAsia" w:ascii="宋体" w:hAnsi="宋体" w:eastAsia="宋体" w:cs="宋体"/>
          <w:b/>
          <w:bCs/>
          <w:color w:val="auto"/>
          <w:sz w:val="21"/>
          <w:szCs w:val="21"/>
          <w:highlight w:val="none"/>
          <w:u w:val="single"/>
          <w:shd w:val="clear" w:color="auto" w:fill="auto"/>
        </w:rPr>
      </w:pPr>
      <w:r>
        <w:rPr>
          <w:rFonts w:hint="eastAsia" w:ascii="宋体" w:hAnsi="宋体" w:eastAsia="宋体" w:cs="宋体"/>
          <w:b/>
          <w:bCs/>
          <w:color w:val="auto"/>
          <w:sz w:val="21"/>
          <w:szCs w:val="21"/>
          <w:highlight w:val="none"/>
          <w:u w:val="single"/>
          <w:shd w:val="clear" w:color="auto" w:fill="auto"/>
        </w:rPr>
        <w:t>该项目投标人数量及各投标人投标文件是否完成解密以平台显示内容为准。</w:t>
      </w:r>
    </w:p>
    <w:p w14:paraId="12D70351">
      <w:pPr>
        <w:pStyle w:val="30"/>
        <w:keepNext w:val="0"/>
        <w:keepLines w:val="0"/>
        <w:pageBreakBefore w:val="0"/>
        <w:kinsoku/>
        <w:wordWrap/>
        <w:overflowPunct/>
        <w:topLinePunct w:val="0"/>
        <w:bidi w:val="0"/>
        <w:adjustRightInd/>
        <w:snapToGrid w:val="0"/>
        <w:spacing w:beforeLines="0" w:afterLines="0" w:line="420" w:lineRule="exact"/>
        <w:ind w:firstLine="420" w:firstLineChars="200"/>
        <w:rPr>
          <w:rFonts w:hint="eastAsia" w:ascii="宋体" w:hAnsi="宋体" w:eastAsia="宋体" w:cs="宋体"/>
          <w:b/>
          <w:bCs/>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3.解密结束后，主持人介绍参加开标会的人员名单，告知应当回避的情形,提请有关人员回避；</w:t>
      </w:r>
    </w:p>
    <w:p w14:paraId="4F43E87E">
      <w:pPr>
        <w:pStyle w:val="30"/>
        <w:keepNext w:val="0"/>
        <w:keepLines w:val="0"/>
        <w:pageBreakBefore w:val="0"/>
        <w:kinsoku/>
        <w:wordWrap/>
        <w:overflowPunct/>
        <w:topLinePunct w:val="0"/>
        <w:bidi w:val="0"/>
        <w:adjustRightInd/>
        <w:snapToGrid w:val="0"/>
        <w:spacing w:beforeLines="0" w:afterLines="0"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4</w:t>
      </w:r>
      <w:r>
        <w:rPr>
          <w:rFonts w:hint="eastAsia" w:ascii="宋体" w:hAnsi="宋体" w:eastAsia="宋体" w:cs="宋体"/>
          <w:color w:val="auto"/>
          <w:sz w:val="21"/>
          <w:szCs w:val="21"/>
          <w:highlight w:val="none"/>
          <w:shd w:val="clear" w:color="auto" w:fill="auto"/>
        </w:rPr>
        <w:t>.代理机构点击【</w:t>
      </w:r>
      <w:bookmarkStart w:id="106" w:name="_Hlk59371589"/>
      <w:r>
        <w:rPr>
          <w:rFonts w:hint="eastAsia" w:ascii="宋体" w:hAnsi="宋体" w:eastAsia="宋体" w:cs="宋体"/>
          <w:color w:val="auto"/>
          <w:sz w:val="21"/>
          <w:szCs w:val="21"/>
          <w:highlight w:val="none"/>
          <w:shd w:val="clear" w:color="auto" w:fill="auto"/>
        </w:rPr>
        <w:t>开启标书信息</w:t>
      </w:r>
      <w:bookmarkEnd w:id="106"/>
      <w:r>
        <w:rPr>
          <w:rFonts w:hint="eastAsia" w:ascii="宋体" w:hAnsi="宋体" w:eastAsia="宋体" w:cs="宋体"/>
          <w:color w:val="auto"/>
          <w:sz w:val="21"/>
          <w:szCs w:val="21"/>
          <w:highlight w:val="none"/>
          <w:shd w:val="clear" w:color="auto" w:fill="auto"/>
        </w:rPr>
        <w:t>】，开启标书成功后进入评标流程；</w:t>
      </w:r>
    </w:p>
    <w:p w14:paraId="7DBEA443">
      <w:pPr>
        <w:pStyle w:val="30"/>
        <w:keepNext w:val="0"/>
        <w:keepLines w:val="0"/>
        <w:pageBreakBefore w:val="0"/>
        <w:kinsoku/>
        <w:wordWrap/>
        <w:overflowPunct/>
        <w:topLinePunct w:val="0"/>
        <w:bidi w:val="0"/>
        <w:adjustRightInd/>
        <w:snapToGrid w:val="0"/>
        <w:spacing w:beforeLines="0" w:afterLines="0"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5</w:t>
      </w:r>
      <w:r>
        <w:rPr>
          <w:rFonts w:hint="eastAsia" w:ascii="宋体" w:hAnsi="宋体" w:eastAsia="宋体" w:cs="宋体"/>
          <w:color w:val="auto"/>
          <w:sz w:val="21"/>
          <w:szCs w:val="21"/>
          <w:highlight w:val="none"/>
          <w:shd w:val="clear" w:color="auto" w:fill="auto"/>
        </w:rPr>
        <w:t>.</w:t>
      </w:r>
      <w:bookmarkStart w:id="107" w:name="_Hlk59392570"/>
      <w:r>
        <w:rPr>
          <w:rFonts w:hint="eastAsia" w:ascii="宋体" w:hAnsi="宋体" w:eastAsia="宋体" w:cs="宋体"/>
          <w:color w:val="auto"/>
          <w:sz w:val="21"/>
          <w:szCs w:val="21"/>
          <w:highlight w:val="none"/>
          <w:shd w:val="clear" w:color="auto" w:fill="auto"/>
        </w:rPr>
        <w:t>资格及商务技术文件</w:t>
      </w:r>
      <w:bookmarkEnd w:id="107"/>
      <w:r>
        <w:rPr>
          <w:rFonts w:hint="eastAsia" w:ascii="宋体" w:hAnsi="宋体" w:eastAsia="宋体" w:cs="宋体"/>
          <w:color w:val="auto"/>
          <w:sz w:val="21"/>
          <w:szCs w:val="21"/>
          <w:highlight w:val="none"/>
          <w:shd w:val="clear" w:color="auto" w:fill="auto"/>
        </w:rPr>
        <w:t>评审；</w:t>
      </w:r>
    </w:p>
    <w:p w14:paraId="02EC1858">
      <w:pPr>
        <w:pStyle w:val="30"/>
        <w:keepNext w:val="0"/>
        <w:keepLines w:val="0"/>
        <w:pageBreakBefore w:val="0"/>
        <w:kinsoku/>
        <w:wordWrap/>
        <w:overflowPunct/>
        <w:topLinePunct w:val="0"/>
        <w:bidi w:val="0"/>
        <w:adjustRightInd/>
        <w:snapToGrid w:val="0"/>
        <w:spacing w:beforeLines="0" w:afterLines="0" w:line="420" w:lineRule="exact"/>
        <w:ind w:firstLine="420" w:firstLineChars="200"/>
        <w:rPr>
          <w:rFonts w:hint="eastAsia" w:ascii="宋体" w:hAnsi="宋体" w:eastAsia="宋体" w:cs="宋体"/>
          <w:b/>
          <w:bCs/>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6</w:t>
      </w:r>
      <w:r>
        <w:rPr>
          <w:rFonts w:hint="eastAsia" w:ascii="宋体" w:hAnsi="宋体" w:eastAsia="宋体" w:cs="宋体"/>
          <w:color w:val="auto"/>
          <w:sz w:val="21"/>
          <w:szCs w:val="21"/>
          <w:highlight w:val="none"/>
          <w:shd w:val="clear" w:color="auto" w:fill="auto"/>
        </w:rPr>
        <w:t>.由主持人公布资格及商务技术文件无效的投标人名单、投标无效的原因及其他有效投标的评分汇总分</w:t>
      </w:r>
      <w:r>
        <w:rPr>
          <w:rFonts w:hint="eastAsia" w:ascii="宋体" w:hAnsi="宋体" w:eastAsia="宋体" w:cs="宋体"/>
          <w:b/>
          <w:bCs/>
          <w:color w:val="auto"/>
          <w:sz w:val="21"/>
          <w:szCs w:val="21"/>
          <w:highlight w:val="none"/>
          <w:shd w:val="clear" w:color="auto" w:fill="auto"/>
        </w:rPr>
        <w:t>；</w:t>
      </w:r>
    </w:p>
    <w:p w14:paraId="3014100B">
      <w:pPr>
        <w:pStyle w:val="30"/>
        <w:keepNext w:val="0"/>
        <w:keepLines w:val="0"/>
        <w:pageBreakBefore w:val="0"/>
        <w:kinsoku/>
        <w:wordWrap/>
        <w:overflowPunct/>
        <w:topLinePunct w:val="0"/>
        <w:bidi w:val="0"/>
        <w:adjustRightInd/>
        <w:snapToGrid w:val="0"/>
        <w:spacing w:beforeLines="0" w:afterLines="0"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7</w:t>
      </w:r>
      <w:r>
        <w:rPr>
          <w:rFonts w:hint="eastAsia" w:ascii="宋体" w:hAnsi="宋体" w:eastAsia="宋体" w:cs="宋体"/>
          <w:color w:val="auto"/>
          <w:sz w:val="21"/>
          <w:szCs w:val="21"/>
          <w:highlight w:val="none"/>
          <w:shd w:val="clear" w:color="auto" w:fill="auto"/>
        </w:rPr>
        <w:t>.开启报价响应文件：代理机构成功开启报价响应文件后，方可查看各投标人报价情况。</w:t>
      </w:r>
      <w:r>
        <w:rPr>
          <w:rFonts w:hint="eastAsia" w:ascii="宋体" w:hAnsi="宋体" w:eastAsia="宋体" w:cs="宋体"/>
          <w:b/>
          <w:bCs/>
          <w:color w:val="auto"/>
          <w:sz w:val="21"/>
          <w:szCs w:val="21"/>
          <w:highlight w:val="none"/>
          <w:u w:val="single"/>
          <w:shd w:val="clear" w:color="auto" w:fill="auto"/>
        </w:rPr>
        <w:t>代理机构在线公布开标一览表有关内容，投标人应在</w:t>
      </w:r>
      <w:r>
        <w:rPr>
          <w:rFonts w:hint="eastAsia" w:hAnsi="宋体" w:cs="宋体"/>
          <w:b/>
          <w:bCs/>
          <w:color w:val="auto"/>
          <w:sz w:val="21"/>
          <w:szCs w:val="21"/>
          <w:highlight w:val="none"/>
          <w:u w:val="single"/>
          <w:shd w:val="clear" w:color="auto" w:fill="auto"/>
          <w:lang w:val="en-US" w:eastAsia="zh-CN"/>
        </w:rPr>
        <w:t>5</w:t>
      </w:r>
      <w:r>
        <w:rPr>
          <w:rFonts w:hint="eastAsia" w:ascii="宋体" w:hAnsi="宋体" w:eastAsia="宋体" w:cs="宋体"/>
          <w:b/>
          <w:bCs/>
          <w:color w:val="auto"/>
          <w:sz w:val="21"/>
          <w:szCs w:val="21"/>
          <w:highlight w:val="none"/>
          <w:u w:val="single"/>
          <w:shd w:val="clear" w:color="auto" w:fill="auto"/>
        </w:rPr>
        <w:t>分钟内在线签字确认（不予确认或超时确认的应说明原因，否则视为无异议）；</w:t>
      </w:r>
    </w:p>
    <w:p w14:paraId="77023330">
      <w:pPr>
        <w:pStyle w:val="30"/>
        <w:keepNext w:val="0"/>
        <w:keepLines w:val="0"/>
        <w:pageBreakBefore w:val="0"/>
        <w:kinsoku/>
        <w:wordWrap/>
        <w:overflowPunct/>
        <w:topLinePunct w:val="0"/>
        <w:bidi w:val="0"/>
        <w:adjustRightInd/>
        <w:snapToGrid w:val="0"/>
        <w:spacing w:beforeLines="0" w:afterLines="0"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8</w:t>
      </w:r>
      <w:r>
        <w:rPr>
          <w:rFonts w:hint="eastAsia" w:ascii="宋体" w:hAnsi="宋体" w:eastAsia="宋体" w:cs="宋体"/>
          <w:color w:val="auto"/>
          <w:sz w:val="21"/>
          <w:szCs w:val="21"/>
          <w:highlight w:val="none"/>
          <w:shd w:val="clear" w:color="auto" w:fill="auto"/>
        </w:rPr>
        <w:t>.报价文件评审；</w:t>
      </w:r>
    </w:p>
    <w:p w14:paraId="72FFE0E2">
      <w:pPr>
        <w:pStyle w:val="30"/>
        <w:keepNext w:val="0"/>
        <w:keepLines w:val="0"/>
        <w:pageBreakBefore w:val="0"/>
        <w:widowControl w:val="0"/>
        <w:kinsoku/>
        <w:wordWrap/>
        <w:overflowPunct/>
        <w:topLinePunct w:val="0"/>
        <w:autoSpaceDE/>
        <w:autoSpaceDN/>
        <w:bidi w:val="0"/>
        <w:adjustRightInd/>
        <w:snapToGrid w:val="0"/>
        <w:spacing w:beforeLines="0" w:afterLines="0" w:line="420" w:lineRule="exact"/>
        <w:ind w:left="0" w:leftChars="0" w:firstLine="420" w:firstLineChars="200"/>
        <w:textAlignment w:val="auto"/>
        <w:rPr>
          <w:rFonts w:hint="eastAsia" w:ascii="宋体" w:hAnsi="宋体" w:eastAsia="宋体" w:cs="宋体"/>
          <w:color w:val="auto"/>
          <w:sz w:val="21"/>
          <w:szCs w:val="21"/>
          <w:highlight w:val="none"/>
          <w:shd w:val="clear" w:color="auto" w:fill="auto"/>
        </w:rPr>
      </w:pPr>
      <w:r>
        <w:rPr>
          <w:rFonts w:hint="eastAsia" w:hAnsi="宋体" w:cs="宋体"/>
          <w:color w:val="auto"/>
          <w:sz w:val="21"/>
          <w:szCs w:val="21"/>
          <w:highlight w:val="none"/>
          <w:shd w:val="clear" w:color="auto" w:fill="auto"/>
          <w:lang w:val="en-US" w:eastAsia="zh-CN"/>
        </w:rPr>
        <w:t>9.</w:t>
      </w:r>
      <w:r>
        <w:rPr>
          <w:rFonts w:hint="eastAsia" w:ascii="宋体" w:hAnsi="宋体" w:eastAsia="宋体" w:cs="宋体"/>
          <w:color w:val="auto"/>
          <w:sz w:val="21"/>
          <w:szCs w:val="21"/>
          <w:highlight w:val="none"/>
          <w:shd w:val="clear" w:color="auto" w:fill="auto"/>
        </w:rPr>
        <w:t>由主持人公布报价文件无效的投标人名单、投标无效的原因，宣布综合</w:t>
      </w:r>
      <w:bookmarkStart w:id="108" w:name="_Hlk59371720"/>
      <w:r>
        <w:rPr>
          <w:rFonts w:hint="eastAsia" w:ascii="宋体" w:hAnsi="宋体" w:eastAsia="宋体" w:cs="宋体"/>
          <w:color w:val="auto"/>
          <w:sz w:val="21"/>
          <w:szCs w:val="21"/>
          <w:highlight w:val="none"/>
          <w:shd w:val="clear" w:color="auto" w:fill="auto"/>
        </w:rPr>
        <w:t>得分结果</w:t>
      </w:r>
      <w:bookmarkEnd w:id="108"/>
      <w:r>
        <w:rPr>
          <w:rFonts w:hint="eastAsia" w:ascii="宋体" w:hAnsi="宋体" w:eastAsia="宋体" w:cs="宋体"/>
          <w:color w:val="auto"/>
          <w:sz w:val="21"/>
          <w:szCs w:val="21"/>
          <w:highlight w:val="none"/>
          <w:shd w:val="clear" w:color="auto" w:fill="auto"/>
        </w:rPr>
        <w:t>及中标候选人名单。</w:t>
      </w:r>
      <w:r>
        <w:rPr>
          <w:rFonts w:hint="eastAsia" w:ascii="宋体" w:hAnsi="宋体" w:eastAsia="宋体" w:cs="宋体"/>
          <w:b/>
          <w:bCs/>
          <w:color w:val="auto"/>
          <w:sz w:val="21"/>
          <w:szCs w:val="21"/>
          <w:highlight w:val="none"/>
          <w:u w:val="single"/>
          <w:shd w:val="clear" w:color="auto" w:fill="auto"/>
        </w:rPr>
        <w:t>投标人可通过</w:t>
      </w:r>
      <w:bookmarkStart w:id="109" w:name="_Hlk59626287"/>
      <w:r>
        <w:rPr>
          <w:rFonts w:hint="eastAsia" w:ascii="宋体" w:hAnsi="宋体" w:eastAsia="宋体" w:cs="宋体"/>
          <w:b/>
          <w:bCs/>
          <w:color w:val="auto"/>
          <w:sz w:val="21"/>
          <w:szCs w:val="21"/>
          <w:highlight w:val="none"/>
          <w:u w:val="single"/>
          <w:shd w:val="clear" w:color="auto" w:fill="auto"/>
        </w:rPr>
        <w:t>临海市限额以下公共资源交易区域平台</w:t>
      </w:r>
      <w:bookmarkEnd w:id="109"/>
      <w:r>
        <w:rPr>
          <w:rFonts w:hint="eastAsia" w:ascii="宋体" w:hAnsi="宋体" w:eastAsia="宋体" w:cs="宋体"/>
          <w:b/>
          <w:bCs/>
          <w:color w:val="auto"/>
          <w:sz w:val="21"/>
          <w:szCs w:val="21"/>
          <w:highlight w:val="none"/>
          <w:u w:val="single"/>
          <w:shd w:val="clear" w:color="auto" w:fill="auto"/>
        </w:rPr>
        <w:t>-每日直播平台查看评审结果，请各投标人注意收看；</w:t>
      </w:r>
    </w:p>
    <w:p w14:paraId="57A4FF40">
      <w:pPr>
        <w:pStyle w:val="30"/>
        <w:keepNext w:val="0"/>
        <w:keepLines w:val="0"/>
        <w:pageBreakBefore w:val="0"/>
        <w:kinsoku/>
        <w:wordWrap/>
        <w:overflowPunct/>
        <w:topLinePunct w:val="0"/>
        <w:bidi w:val="0"/>
        <w:adjustRightInd/>
        <w:snapToGrid w:val="0"/>
        <w:spacing w:beforeLines="0" w:afterLines="0" w:line="420" w:lineRule="exact"/>
        <w:ind w:left="689" w:leftChars="228" w:hanging="210" w:hangingChars="1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10</w:t>
      </w:r>
      <w:r>
        <w:rPr>
          <w:rFonts w:hint="eastAsia" w:ascii="宋体" w:hAnsi="宋体" w:eastAsia="宋体" w:cs="宋体"/>
          <w:color w:val="auto"/>
          <w:sz w:val="21"/>
          <w:szCs w:val="21"/>
          <w:highlight w:val="none"/>
          <w:shd w:val="clear" w:color="auto" w:fill="auto"/>
        </w:rPr>
        <w:t>．开标会议结束。</w:t>
      </w:r>
    </w:p>
    <w:p w14:paraId="28A676A2">
      <w:pPr>
        <w:pStyle w:val="30"/>
        <w:keepNext w:val="0"/>
        <w:keepLines w:val="0"/>
        <w:pageBreakBefore w:val="0"/>
        <w:kinsoku/>
        <w:wordWrap/>
        <w:overflowPunct/>
        <w:topLinePunct w:val="0"/>
        <w:bidi w:val="0"/>
        <w:adjustRightInd/>
        <w:snapToGrid w:val="0"/>
        <w:spacing w:beforeLines="0" w:afterLines="0" w:line="420" w:lineRule="exact"/>
        <w:ind w:left="690" w:leftChars="228" w:hanging="211" w:hangingChars="100"/>
        <w:outlineLvl w:val="0"/>
        <w:rPr>
          <w:rFonts w:hint="eastAsia" w:ascii="宋体" w:hAnsi="宋体" w:eastAsia="宋体" w:cs="宋体"/>
          <w:color w:val="auto"/>
          <w:sz w:val="21"/>
          <w:szCs w:val="21"/>
          <w:highlight w:val="none"/>
          <w:shd w:val="clear" w:color="auto" w:fill="auto"/>
        </w:rPr>
      </w:pPr>
      <w:bookmarkStart w:id="110" w:name="_Toc7743"/>
      <w:bookmarkStart w:id="111" w:name="_Toc7682"/>
      <w:r>
        <w:rPr>
          <w:rFonts w:hint="eastAsia" w:ascii="宋体" w:hAnsi="宋体" w:eastAsia="宋体" w:cs="宋体"/>
          <w:b/>
          <w:color w:val="auto"/>
          <w:sz w:val="21"/>
          <w:szCs w:val="21"/>
          <w:highlight w:val="none"/>
          <w:shd w:val="clear" w:color="auto" w:fill="auto"/>
        </w:rPr>
        <w:t>五、评标</w:t>
      </w:r>
      <w:bookmarkEnd w:id="110"/>
      <w:bookmarkEnd w:id="111"/>
    </w:p>
    <w:p w14:paraId="148E98EE">
      <w:pPr>
        <w:pStyle w:val="30"/>
        <w:keepNext w:val="0"/>
        <w:keepLines w:val="0"/>
        <w:pageBreakBefore w:val="0"/>
        <w:kinsoku/>
        <w:wordWrap/>
        <w:overflowPunct/>
        <w:topLinePunct w:val="0"/>
        <w:bidi w:val="0"/>
        <w:adjustRightInd/>
        <w:snapToGrid w:val="0"/>
        <w:spacing w:beforeLines="0" w:afterLines="0" w:line="420" w:lineRule="exact"/>
        <w:ind w:left="690" w:leftChars="228" w:hanging="211" w:hangingChars="100"/>
        <w:rPr>
          <w:rFonts w:hint="eastAsia" w:ascii="宋体" w:hAnsi="宋体" w:eastAsia="宋体" w:cs="宋体"/>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（一）组建评标委员会</w:t>
      </w:r>
    </w:p>
    <w:p w14:paraId="1C72B141">
      <w:pPr>
        <w:pStyle w:val="30"/>
        <w:keepNext w:val="0"/>
        <w:keepLines w:val="0"/>
        <w:pageBreakBefore w:val="0"/>
        <w:kinsoku/>
        <w:wordWrap/>
        <w:overflowPunct/>
        <w:topLinePunct w:val="0"/>
        <w:bidi w:val="0"/>
        <w:adjustRightInd/>
        <w:snapToGrid w:val="0"/>
        <w:spacing w:beforeLines="0" w:afterLines="0" w:line="420" w:lineRule="exact"/>
        <w:ind w:firstLine="413" w:firstLineChars="196"/>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（1）本项目评标委员会由招标人依法组建。</w:t>
      </w:r>
    </w:p>
    <w:p w14:paraId="45902233">
      <w:pPr>
        <w:pStyle w:val="30"/>
        <w:keepNext w:val="0"/>
        <w:keepLines w:val="0"/>
        <w:pageBreakBefore w:val="0"/>
        <w:kinsoku/>
        <w:wordWrap/>
        <w:overflowPunct/>
        <w:topLinePunct w:val="0"/>
        <w:bidi w:val="0"/>
        <w:adjustRightInd/>
        <w:snapToGrid w:val="0"/>
        <w:spacing w:beforeLines="0" w:afterLines="0" w:line="420" w:lineRule="exact"/>
        <w:ind w:firstLine="413" w:firstLineChars="196"/>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（2）评标委员会成员与参与投标的投标人有下列情形之一的，应当回避：</w:t>
      </w:r>
    </w:p>
    <w:p w14:paraId="796584EA">
      <w:pPr>
        <w:pStyle w:val="30"/>
        <w:keepNext w:val="0"/>
        <w:keepLines w:val="0"/>
        <w:pageBreakBefore w:val="0"/>
        <w:kinsoku/>
        <w:wordWrap/>
        <w:overflowPunct/>
        <w:topLinePunct w:val="0"/>
        <w:bidi w:val="0"/>
        <w:adjustRightInd/>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①参加采购活动前3年内与投标人存在劳动关系；</w:t>
      </w:r>
    </w:p>
    <w:p w14:paraId="37EC8711">
      <w:pPr>
        <w:pStyle w:val="30"/>
        <w:keepNext w:val="0"/>
        <w:keepLines w:val="0"/>
        <w:pageBreakBefore w:val="0"/>
        <w:kinsoku/>
        <w:wordWrap/>
        <w:overflowPunct/>
        <w:topLinePunct w:val="0"/>
        <w:bidi w:val="0"/>
        <w:adjustRightInd/>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②参加采购活动前3年内担任投标人的董事、监事；</w:t>
      </w:r>
    </w:p>
    <w:p w14:paraId="4C2C0DAC">
      <w:pPr>
        <w:pStyle w:val="30"/>
        <w:keepNext w:val="0"/>
        <w:keepLines w:val="0"/>
        <w:pageBreakBefore w:val="0"/>
        <w:kinsoku/>
        <w:wordWrap/>
        <w:overflowPunct/>
        <w:topLinePunct w:val="0"/>
        <w:bidi w:val="0"/>
        <w:adjustRightInd/>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③参加采购活动前3年内是投标人的控股股东或者实际控制人；</w:t>
      </w:r>
    </w:p>
    <w:p w14:paraId="5D069C0B">
      <w:pPr>
        <w:pStyle w:val="30"/>
        <w:keepNext w:val="0"/>
        <w:keepLines w:val="0"/>
        <w:pageBreakBefore w:val="0"/>
        <w:kinsoku/>
        <w:wordWrap/>
        <w:overflowPunct/>
        <w:topLinePunct w:val="0"/>
        <w:bidi w:val="0"/>
        <w:adjustRightInd/>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④与投标人的法定代表人或者负责人有夫妻、直系血亲、三代以内旁系血亲或者近姻亲关系；</w:t>
      </w:r>
    </w:p>
    <w:p w14:paraId="7B3661F7">
      <w:pPr>
        <w:pStyle w:val="30"/>
        <w:keepNext w:val="0"/>
        <w:keepLines w:val="0"/>
        <w:pageBreakBefore w:val="0"/>
        <w:kinsoku/>
        <w:wordWrap/>
        <w:overflowPunct/>
        <w:topLinePunct w:val="0"/>
        <w:bidi w:val="0"/>
        <w:adjustRightInd/>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⑤与投标人有其他可能影响采购活动公平、公正进行的关系。</w:t>
      </w:r>
    </w:p>
    <w:p w14:paraId="6E48C9D8">
      <w:pPr>
        <w:pStyle w:val="30"/>
        <w:keepNext w:val="0"/>
        <w:keepLines w:val="0"/>
        <w:pageBreakBefore w:val="0"/>
        <w:kinsoku/>
        <w:wordWrap/>
        <w:overflowPunct/>
        <w:topLinePunct w:val="0"/>
        <w:bidi w:val="0"/>
        <w:adjustRightInd/>
        <w:snapToGrid w:val="0"/>
        <w:spacing w:beforeLines="0" w:afterLines="0" w:line="420" w:lineRule="exact"/>
        <w:ind w:firstLine="413" w:firstLineChars="196"/>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（3）评标委员会负责具体评标事务，并独立履行下列职责：</w:t>
      </w:r>
    </w:p>
    <w:p w14:paraId="3509E9F6">
      <w:pPr>
        <w:pStyle w:val="30"/>
        <w:keepNext w:val="0"/>
        <w:keepLines w:val="0"/>
        <w:pageBreakBefore w:val="0"/>
        <w:kinsoku/>
        <w:wordWrap/>
        <w:overflowPunct/>
        <w:topLinePunct w:val="0"/>
        <w:bidi w:val="0"/>
        <w:adjustRightInd/>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1.审查、评价投标文件是否符合招标文件的商务、技术等实质性要求；</w:t>
      </w:r>
    </w:p>
    <w:p w14:paraId="1D7B162D">
      <w:pPr>
        <w:pStyle w:val="30"/>
        <w:keepNext w:val="0"/>
        <w:keepLines w:val="0"/>
        <w:pageBreakBefore w:val="0"/>
        <w:kinsoku/>
        <w:wordWrap/>
        <w:overflowPunct/>
        <w:topLinePunct w:val="0"/>
        <w:bidi w:val="0"/>
        <w:adjustRightInd/>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2.要求投标人对投标文件有关事项作出澄清或者说明；</w:t>
      </w:r>
    </w:p>
    <w:p w14:paraId="5F56CEEE">
      <w:pPr>
        <w:pStyle w:val="30"/>
        <w:keepNext w:val="0"/>
        <w:keepLines w:val="0"/>
        <w:pageBreakBefore w:val="0"/>
        <w:kinsoku/>
        <w:wordWrap/>
        <w:overflowPunct/>
        <w:topLinePunct w:val="0"/>
        <w:bidi w:val="0"/>
        <w:adjustRightInd/>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3.对投标文件进行比较和评价；</w:t>
      </w:r>
    </w:p>
    <w:p w14:paraId="2C6B1728">
      <w:pPr>
        <w:pStyle w:val="30"/>
        <w:keepNext w:val="0"/>
        <w:keepLines w:val="0"/>
        <w:pageBreakBefore w:val="0"/>
        <w:kinsoku/>
        <w:wordWrap/>
        <w:overflowPunct/>
        <w:topLinePunct w:val="0"/>
        <w:bidi w:val="0"/>
        <w:adjustRightInd/>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4.确定中标候选人名单，以及根据招标人委托直接确定中标人；</w:t>
      </w:r>
    </w:p>
    <w:p w14:paraId="039E4D3D">
      <w:pPr>
        <w:pStyle w:val="30"/>
        <w:keepNext w:val="0"/>
        <w:keepLines w:val="0"/>
        <w:pageBreakBefore w:val="0"/>
        <w:kinsoku/>
        <w:wordWrap/>
        <w:overflowPunct/>
        <w:topLinePunct w:val="0"/>
        <w:bidi w:val="0"/>
        <w:adjustRightInd/>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5.向招标人、代理机构或者有关部门报告评标中发现的违法行为；</w:t>
      </w:r>
    </w:p>
    <w:p w14:paraId="710573F3">
      <w:pPr>
        <w:pStyle w:val="30"/>
        <w:keepNext w:val="0"/>
        <w:keepLines w:val="0"/>
        <w:pageBreakBefore w:val="0"/>
        <w:kinsoku/>
        <w:wordWrap/>
        <w:overflowPunct/>
        <w:topLinePunct w:val="0"/>
        <w:bidi w:val="0"/>
        <w:adjustRightInd/>
        <w:snapToGrid w:val="0"/>
        <w:spacing w:beforeLines="0" w:afterLines="0" w:line="420" w:lineRule="exact"/>
        <w:ind w:firstLine="411" w:firstLineChars="19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6.法律法规规定的其他职责。</w:t>
      </w:r>
    </w:p>
    <w:p w14:paraId="3F04B7C2">
      <w:pPr>
        <w:pStyle w:val="30"/>
        <w:keepNext w:val="0"/>
        <w:keepLines w:val="0"/>
        <w:pageBreakBefore w:val="0"/>
        <w:kinsoku/>
        <w:wordWrap/>
        <w:overflowPunct/>
        <w:topLinePunct w:val="0"/>
        <w:bidi w:val="0"/>
        <w:adjustRightInd/>
        <w:snapToGrid w:val="0"/>
        <w:spacing w:beforeLines="0" w:afterLines="0" w:line="420" w:lineRule="exact"/>
        <w:ind w:firstLine="422"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（二）评标的方式</w:t>
      </w:r>
    </w:p>
    <w:p w14:paraId="1CAEC717">
      <w:pPr>
        <w:pStyle w:val="30"/>
        <w:keepNext w:val="0"/>
        <w:keepLines w:val="0"/>
        <w:pageBreakBefore w:val="0"/>
        <w:kinsoku/>
        <w:wordWrap/>
        <w:overflowPunct/>
        <w:topLinePunct w:val="0"/>
        <w:bidi w:val="0"/>
        <w:adjustRightInd/>
        <w:snapToGrid w:val="0"/>
        <w:spacing w:beforeLines="0" w:afterLines="0"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本项目采用不公开方式评标，评标的依据为招标文件和投标文件，本项目采用电子评审方法。</w:t>
      </w:r>
    </w:p>
    <w:p w14:paraId="54CF68B4">
      <w:pPr>
        <w:pStyle w:val="30"/>
        <w:keepNext w:val="0"/>
        <w:keepLines w:val="0"/>
        <w:pageBreakBefore w:val="0"/>
        <w:kinsoku/>
        <w:wordWrap/>
        <w:overflowPunct/>
        <w:topLinePunct w:val="0"/>
        <w:bidi w:val="0"/>
        <w:adjustRightInd/>
        <w:snapToGrid w:val="0"/>
        <w:spacing w:beforeLines="0" w:afterLines="0" w:line="420" w:lineRule="exact"/>
        <w:ind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（三）</w:t>
      </w:r>
      <w:r>
        <w:rPr>
          <w:rFonts w:hint="eastAsia" w:ascii="宋体" w:hAnsi="宋体" w:eastAsia="宋体" w:cs="宋体"/>
          <w:b/>
          <w:bCs/>
          <w:color w:val="auto"/>
          <w:sz w:val="21"/>
          <w:szCs w:val="21"/>
          <w:highlight w:val="none"/>
          <w:shd w:val="clear" w:color="auto" w:fill="auto"/>
        </w:rPr>
        <w:t>评标程序</w:t>
      </w:r>
    </w:p>
    <w:p w14:paraId="30383638">
      <w:pPr>
        <w:keepNext w:val="0"/>
        <w:keepLines w:val="0"/>
        <w:pageBreakBefore w:val="0"/>
        <w:kinsoku/>
        <w:wordWrap/>
        <w:overflowPunct/>
        <w:topLinePunct w:val="0"/>
        <w:bidi w:val="0"/>
        <w:adjustRightInd/>
        <w:snapToGrid w:val="0"/>
        <w:spacing w:line="420" w:lineRule="exact"/>
        <w:ind w:firstLine="413" w:firstLineChars="196"/>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1.资格审查</w:t>
      </w:r>
    </w:p>
    <w:p w14:paraId="72F572A0">
      <w:pPr>
        <w:keepNext w:val="0"/>
        <w:keepLines w:val="0"/>
        <w:pageBreakBefore w:val="0"/>
        <w:kinsoku/>
        <w:wordWrap/>
        <w:overflowPunct/>
        <w:topLinePunct w:val="0"/>
        <w:bidi w:val="0"/>
        <w:adjustRightInd/>
        <w:snapToGrid w:val="0"/>
        <w:spacing w:line="420" w:lineRule="exact"/>
        <w:ind w:firstLine="411" w:firstLineChars="196"/>
        <w:rPr>
          <w:rFonts w:hint="eastAsia" w:ascii="宋体" w:hAnsi="宋体" w:eastAsia="宋体" w:cs="宋体"/>
          <w:b/>
          <w:bCs/>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采购项目开标结束后，招标人或者代理机构应当依法对投标人的资格进行审查，对审查发现无效的进行必要的询标，结束后公布无效投标的投标人名单、投标无效的原因。</w:t>
      </w:r>
    </w:p>
    <w:p w14:paraId="605621A5">
      <w:pPr>
        <w:keepNext w:val="0"/>
        <w:keepLines w:val="0"/>
        <w:pageBreakBefore w:val="0"/>
        <w:kinsoku/>
        <w:wordWrap/>
        <w:overflowPunct/>
        <w:topLinePunct w:val="0"/>
        <w:bidi w:val="0"/>
        <w:adjustRightInd/>
        <w:snapToGrid w:val="0"/>
        <w:spacing w:line="420" w:lineRule="exact"/>
        <w:ind w:firstLine="413" w:firstLineChars="196"/>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2.符合性审查</w:t>
      </w:r>
    </w:p>
    <w:p w14:paraId="6E6AE7AA">
      <w:pPr>
        <w:keepNext w:val="0"/>
        <w:keepLines w:val="0"/>
        <w:pageBreakBefore w:val="0"/>
        <w:kinsoku/>
        <w:wordWrap/>
        <w:overflowPunct/>
        <w:topLinePunct w:val="0"/>
        <w:bidi w:val="0"/>
        <w:adjustRightInd/>
        <w:snapToGrid w:val="0"/>
        <w:spacing w:line="420" w:lineRule="exact"/>
        <w:ind w:firstLine="411" w:firstLineChars="196"/>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1ACFE4AD">
      <w:pPr>
        <w:keepNext w:val="0"/>
        <w:keepLines w:val="0"/>
        <w:pageBreakBefore w:val="0"/>
        <w:kinsoku/>
        <w:wordWrap/>
        <w:overflowPunct/>
        <w:topLinePunct w:val="0"/>
        <w:bidi w:val="0"/>
        <w:adjustRightInd/>
        <w:snapToGrid w:val="0"/>
        <w:spacing w:line="420" w:lineRule="exact"/>
        <w:ind w:firstLine="211" w:firstLineChars="1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（四）澄清问题的形式</w:t>
      </w:r>
    </w:p>
    <w:p w14:paraId="08DDC9F2">
      <w:pPr>
        <w:pStyle w:val="30"/>
        <w:keepNext w:val="0"/>
        <w:keepLines w:val="0"/>
        <w:pageBreakBefore w:val="0"/>
        <w:kinsoku/>
        <w:wordWrap/>
        <w:overflowPunct/>
        <w:topLinePunct w:val="0"/>
        <w:bidi w:val="0"/>
        <w:adjustRightInd/>
        <w:snapToGrid w:val="0"/>
        <w:spacing w:beforeLines="0" w:afterLines="0"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对投标文件中含义不明确、同类问题表述不一致或者有明显文字和计算错误的内容，评标委员会可要求投标人作出必要的</w:t>
      </w:r>
      <w:bookmarkStart w:id="112" w:name="_Hlk59372079"/>
      <w:r>
        <w:rPr>
          <w:rFonts w:hint="eastAsia" w:ascii="宋体" w:hAnsi="宋体" w:eastAsia="宋体" w:cs="宋体"/>
          <w:color w:val="auto"/>
          <w:sz w:val="21"/>
          <w:szCs w:val="21"/>
          <w:highlight w:val="none"/>
          <w:shd w:val="clear" w:color="auto" w:fill="auto"/>
        </w:rPr>
        <w:t>澄清、说明</w:t>
      </w:r>
      <w:bookmarkEnd w:id="112"/>
      <w:r>
        <w:rPr>
          <w:rFonts w:hint="eastAsia" w:ascii="宋体" w:hAnsi="宋体" w:eastAsia="宋体" w:cs="宋体"/>
          <w:color w:val="auto"/>
          <w:sz w:val="21"/>
          <w:szCs w:val="21"/>
          <w:highlight w:val="none"/>
          <w:shd w:val="clear" w:color="auto" w:fill="auto"/>
        </w:rPr>
        <w:t>或者补正。评标委员会的澄清内容及投标人的澄清、说明或者补正均通过</w:t>
      </w:r>
      <w:bookmarkStart w:id="113" w:name="_Hlk59371846"/>
      <w:r>
        <w:rPr>
          <w:rFonts w:hint="eastAsia" w:ascii="宋体" w:hAnsi="宋体" w:eastAsia="宋体" w:cs="宋体"/>
          <w:color w:val="auto"/>
          <w:sz w:val="21"/>
          <w:szCs w:val="21"/>
          <w:highlight w:val="none"/>
          <w:shd w:val="clear" w:color="auto" w:fill="auto"/>
        </w:rPr>
        <w:t>电子交易平台交换数据电文。</w:t>
      </w:r>
      <w:bookmarkEnd w:id="113"/>
      <w:bookmarkStart w:id="114" w:name="_Hlk59700505"/>
      <w:r>
        <w:rPr>
          <w:rFonts w:hint="eastAsia" w:ascii="宋体" w:hAnsi="宋体" w:eastAsia="宋体" w:cs="宋体"/>
          <w:color w:val="auto"/>
          <w:sz w:val="21"/>
          <w:szCs w:val="21"/>
          <w:highlight w:val="none"/>
          <w:shd w:val="clear" w:color="auto" w:fill="auto"/>
        </w:rPr>
        <w:t>同时代理机构也将通过临海市限额以下公共资源交易区域平台--每日直播平台</w:t>
      </w:r>
      <w:bookmarkStart w:id="115" w:name="_Hlk59371920"/>
      <w:r>
        <w:rPr>
          <w:rFonts w:hint="eastAsia" w:ascii="宋体" w:hAnsi="宋体" w:eastAsia="宋体" w:cs="宋体"/>
          <w:color w:val="auto"/>
          <w:sz w:val="21"/>
          <w:szCs w:val="21"/>
          <w:highlight w:val="none"/>
          <w:shd w:val="clear" w:color="auto" w:fill="auto"/>
        </w:rPr>
        <w:t>进行问题澄清。</w:t>
      </w:r>
      <w:bookmarkEnd w:id="114"/>
    </w:p>
    <w:bookmarkEnd w:id="115"/>
    <w:p w14:paraId="5F5E9C5A">
      <w:pPr>
        <w:keepNext w:val="0"/>
        <w:keepLines w:val="0"/>
        <w:pageBreakBefore w:val="0"/>
        <w:kinsoku/>
        <w:wordWrap/>
        <w:overflowPunct/>
        <w:topLinePunct w:val="0"/>
        <w:bidi w:val="0"/>
        <w:adjustRightInd/>
        <w:snapToGrid w:val="0"/>
        <w:spacing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评标委员会发出澄清内容后，投标人应当在代理机构及平台上</w:t>
      </w:r>
      <w:r>
        <w:rPr>
          <w:rFonts w:hint="eastAsia" w:ascii="宋体" w:hAnsi="宋体" w:eastAsia="宋体" w:cs="宋体"/>
          <w:b/>
          <w:bCs/>
          <w:color w:val="auto"/>
          <w:sz w:val="21"/>
          <w:szCs w:val="21"/>
          <w:highlight w:val="none"/>
          <w:u w:val="single"/>
          <w:shd w:val="clear" w:color="auto" w:fill="auto"/>
        </w:rPr>
        <w:t>规定的时间内（</w:t>
      </w:r>
      <w:r>
        <w:rPr>
          <w:rFonts w:hint="eastAsia" w:ascii="宋体" w:hAnsi="宋体" w:eastAsia="宋体" w:cs="宋体"/>
          <w:b/>
          <w:bCs/>
          <w:color w:val="auto"/>
          <w:sz w:val="21"/>
          <w:szCs w:val="21"/>
          <w:highlight w:val="none"/>
          <w:u w:val="single"/>
          <w:shd w:val="clear" w:color="auto" w:fill="auto"/>
          <w:lang w:val="en-US" w:eastAsia="zh-CN"/>
        </w:rPr>
        <w:t>30</w:t>
      </w:r>
      <w:r>
        <w:rPr>
          <w:rFonts w:hint="eastAsia" w:ascii="宋体" w:hAnsi="宋体" w:eastAsia="宋体" w:cs="宋体"/>
          <w:b/>
          <w:bCs/>
          <w:color w:val="auto"/>
          <w:sz w:val="21"/>
          <w:szCs w:val="21"/>
          <w:highlight w:val="none"/>
          <w:u w:val="single"/>
          <w:shd w:val="clear" w:color="auto" w:fill="auto"/>
        </w:rPr>
        <w:t>分钟，具体时间以临海市限额以下公共资源交易区域平台系统上显示的时间为准）</w:t>
      </w:r>
      <w:r>
        <w:rPr>
          <w:rFonts w:hint="eastAsia" w:ascii="宋体" w:hAnsi="宋体" w:eastAsia="宋体" w:cs="宋体"/>
          <w:b/>
          <w:bCs/>
          <w:color w:val="auto"/>
          <w:sz w:val="21"/>
          <w:szCs w:val="21"/>
          <w:highlight w:val="none"/>
          <w:shd w:val="clear" w:color="auto" w:fill="auto"/>
        </w:rPr>
        <w:t>，</w:t>
      </w:r>
      <w:r>
        <w:rPr>
          <w:rFonts w:hint="eastAsia" w:ascii="宋体" w:hAnsi="宋体" w:eastAsia="宋体" w:cs="宋体"/>
          <w:color w:val="auto"/>
          <w:sz w:val="21"/>
          <w:szCs w:val="21"/>
          <w:highlight w:val="none"/>
          <w:shd w:val="clear" w:color="auto" w:fill="auto"/>
        </w:rPr>
        <w:t>提交澄清说明或补正，否则视为投标人放弃答复，并自行承担因此而产生的不利后果。澄清、说明或者补正不得超出投标文件的范围或者改变投标文件的实质性内容。</w:t>
      </w:r>
    </w:p>
    <w:p w14:paraId="2ABF0F02">
      <w:pPr>
        <w:keepNext w:val="0"/>
        <w:keepLines w:val="0"/>
        <w:pageBreakBefore w:val="0"/>
        <w:kinsoku/>
        <w:wordWrap/>
        <w:overflowPunct/>
        <w:topLinePunct w:val="0"/>
        <w:bidi w:val="0"/>
        <w:adjustRightInd/>
        <w:snapToGrid w:val="0"/>
        <w:spacing w:line="420" w:lineRule="exact"/>
        <w:ind w:firstLine="211" w:firstLineChars="1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（五）错误修正</w:t>
      </w:r>
    </w:p>
    <w:p w14:paraId="7D66EA52">
      <w:pPr>
        <w:keepNext w:val="0"/>
        <w:keepLines w:val="0"/>
        <w:pageBreakBefore w:val="0"/>
        <w:kinsoku/>
        <w:wordWrap/>
        <w:overflowPunct/>
        <w:topLinePunct w:val="0"/>
        <w:bidi w:val="0"/>
        <w:adjustRightInd/>
        <w:snapToGrid w:val="0"/>
        <w:spacing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投标文件报价出现前后不一致的，按照下列规定修正：</w:t>
      </w:r>
    </w:p>
    <w:p w14:paraId="341D92E2">
      <w:pPr>
        <w:keepNext w:val="0"/>
        <w:keepLines w:val="0"/>
        <w:pageBreakBefore w:val="0"/>
        <w:numPr>
          <w:ilvl w:val="0"/>
          <w:numId w:val="4"/>
        </w:numPr>
        <w:kinsoku/>
        <w:wordWrap/>
        <w:overflowPunct/>
        <w:topLinePunct w:val="0"/>
        <w:bidi w:val="0"/>
        <w:adjustRightInd/>
        <w:snapToGrid w:val="0"/>
        <w:spacing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投标文件中开标一览表（报价表）内容与投标文件中相应内容不一致的，以开标一览表（报价表）为准</w:t>
      </w:r>
    </w:p>
    <w:p w14:paraId="648A0F24">
      <w:pPr>
        <w:keepNext w:val="0"/>
        <w:keepLines w:val="0"/>
        <w:pageBreakBefore w:val="0"/>
        <w:numPr>
          <w:ilvl w:val="0"/>
          <w:numId w:val="4"/>
        </w:numPr>
        <w:kinsoku/>
        <w:wordWrap/>
        <w:overflowPunct/>
        <w:topLinePunct w:val="0"/>
        <w:bidi w:val="0"/>
        <w:adjustRightInd/>
        <w:snapToGrid w:val="0"/>
        <w:spacing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大写金额和小写金额不一致的，以大写金额为准；</w:t>
      </w:r>
    </w:p>
    <w:p w14:paraId="6A7D5556">
      <w:pPr>
        <w:keepNext w:val="0"/>
        <w:keepLines w:val="0"/>
        <w:pageBreakBefore w:val="0"/>
        <w:kinsoku/>
        <w:wordWrap/>
        <w:overflowPunct/>
        <w:topLinePunct w:val="0"/>
        <w:bidi w:val="0"/>
        <w:adjustRightInd/>
        <w:snapToGrid w:val="0"/>
        <w:spacing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（三）单价金额小数点或者百分比有明显错位的，以开标一览表的总价为准，并修改单价；</w:t>
      </w:r>
    </w:p>
    <w:p w14:paraId="4D3F933E">
      <w:pPr>
        <w:keepNext w:val="0"/>
        <w:keepLines w:val="0"/>
        <w:pageBreakBefore w:val="0"/>
        <w:kinsoku/>
        <w:wordWrap/>
        <w:overflowPunct/>
        <w:topLinePunct w:val="0"/>
        <w:bidi w:val="0"/>
        <w:adjustRightInd/>
        <w:snapToGrid w:val="0"/>
        <w:spacing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（四）总价金额与按单价汇总金额不一致的，以单价金额计算结果为准。</w:t>
      </w:r>
    </w:p>
    <w:p w14:paraId="33112940">
      <w:pPr>
        <w:keepNext w:val="0"/>
        <w:keepLines w:val="0"/>
        <w:pageBreakBefore w:val="0"/>
        <w:kinsoku/>
        <w:wordWrap/>
        <w:overflowPunct/>
        <w:topLinePunct w:val="0"/>
        <w:bidi w:val="0"/>
        <w:adjustRightInd/>
        <w:snapToGrid w:val="0"/>
        <w:spacing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（五）对不同文字文本投标文件的解释发生异议的，以中文文本为准。</w:t>
      </w:r>
    </w:p>
    <w:p w14:paraId="1BCBA23B">
      <w:pPr>
        <w:keepNext w:val="0"/>
        <w:keepLines w:val="0"/>
        <w:pageBreakBefore w:val="0"/>
        <w:kinsoku/>
        <w:wordWrap/>
        <w:overflowPunct/>
        <w:topLinePunct w:val="0"/>
        <w:bidi w:val="0"/>
        <w:adjustRightInd/>
        <w:snapToGrid w:val="0"/>
        <w:spacing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46A586DE">
      <w:pPr>
        <w:pStyle w:val="30"/>
        <w:keepNext w:val="0"/>
        <w:keepLines w:val="0"/>
        <w:pageBreakBefore w:val="0"/>
        <w:tabs>
          <w:tab w:val="left" w:pos="630"/>
        </w:tabs>
        <w:kinsoku/>
        <w:wordWrap/>
        <w:overflowPunct/>
        <w:topLinePunct w:val="0"/>
        <w:bidi w:val="0"/>
        <w:adjustRightInd/>
        <w:snapToGrid w:val="0"/>
        <w:spacing w:beforeLines="0" w:afterLines="0" w:line="420" w:lineRule="exact"/>
        <w:ind w:firstLine="211" w:firstLineChars="1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（六）评标原则和评标办法</w:t>
      </w:r>
    </w:p>
    <w:p w14:paraId="050584DE">
      <w:pPr>
        <w:pStyle w:val="30"/>
        <w:keepNext w:val="0"/>
        <w:keepLines w:val="0"/>
        <w:pageBreakBefore w:val="0"/>
        <w:kinsoku/>
        <w:wordWrap/>
        <w:overflowPunct/>
        <w:topLinePunct w:val="0"/>
        <w:bidi w:val="0"/>
        <w:adjustRightInd/>
        <w:snapToGrid w:val="0"/>
        <w:spacing w:beforeLines="0" w:afterLines="0"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037261E8">
      <w:pPr>
        <w:pStyle w:val="30"/>
        <w:keepNext w:val="0"/>
        <w:keepLines w:val="0"/>
        <w:pageBreakBefore w:val="0"/>
        <w:kinsoku/>
        <w:wordWrap/>
        <w:overflowPunct/>
        <w:topLinePunct w:val="0"/>
        <w:bidi w:val="0"/>
        <w:adjustRightInd/>
        <w:snapToGrid w:val="0"/>
        <w:spacing w:beforeLines="0" w:afterLines="0"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2.评标办法。本项目评标办法是</w:t>
      </w:r>
      <w:r>
        <w:rPr>
          <w:rFonts w:hint="eastAsia" w:ascii="宋体" w:hAnsi="宋体" w:eastAsia="宋体" w:cs="宋体"/>
          <w:b/>
          <w:color w:val="auto"/>
          <w:sz w:val="21"/>
          <w:szCs w:val="21"/>
          <w:highlight w:val="none"/>
          <w:u w:val="single"/>
          <w:shd w:val="clear" w:color="auto" w:fill="auto"/>
        </w:rPr>
        <w:t>综合评分法</w:t>
      </w:r>
      <w:r>
        <w:rPr>
          <w:rFonts w:hint="eastAsia" w:ascii="宋体" w:hAnsi="宋体" w:eastAsia="宋体" w:cs="宋体"/>
          <w:color w:val="auto"/>
          <w:sz w:val="21"/>
          <w:szCs w:val="21"/>
          <w:highlight w:val="none"/>
          <w:shd w:val="clear" w:color="auto" w:fill="auto"/>
        </w:rPr>
        <w:t>，具体评标内容及评分标准等详见《第四章：评标办法及评分标准》。</w:t>
      </w:r>
    </w:p>
    <w:p w14:paraId="7862CB62">
      <w:pPr>
        <w:keepNext w:val="0"/>
        <w:keepLines w:val="0"/>
        <w:pageBreakBefore w:val="0"/>
        <w:kinsoku/>
        <w:wordWrap/>
        <w:overflowPunct/>
        <w:topLinePunct w:val="0"/>
        <w:bidi w:val="0"/>
        <w:adjustRightInd/>
        <w:spacing w:line="420" w:lineRule="exact"/>
        <w:ind w:firstLine="422" w:firstLineChars="200"/>
        <w:outlineLvl w:val="0"/>
        <w:rPr>
          <w:rFonts w:hint="eastAsia" w:ascii="宋体" w:hAnsi="宋体" w:eastAsia="宋体" w:cs="宋体"/>
          <w:b/>
          <w:color w:val="auto"/>
          <w:sz w:val="21"/>
          <w:szCs w:val="21"/>
          <w:highlight w:val="none"/>
          <w:shd w:val="clear" w:color="auto" w:fill="auto"/>
        </w:rPr>
      </w:pPr>
      <w:bookmarkStart w:id="116" w:name="_Toc14851"/>
      <w:bookmarkStart w:id="117" w:name="_Toc1881"/>
      <w:r>
        <w:rPr>
          <w:rFonts w:hint="eastAsia" w:ascii="宋体" w:hAnsi="宋体" w:eastAsia="宋体" w:cs="宋体"/>
          <w:b/>
          <w:color w:val="auto"/>
          <w:sz w:val="21"/>
          <w:szCs w:val="21"/>
          <w:highlight w:val="none"/>
          <w:shd w:val="clear" w:color="auto" w:fill="auto"/>
        </w:rPr>
        <w:t>六、定标</w:t>
      </w:r>
      <w:bookmarkEnd w:id="116"/>
      <w:bookmarkEnd w:id="117"/>
    </w:p>
    <w:p w14:paraId="4546A51C">
      <w:pPr>
        <w:keepNext w:val="0"/>
        <w:keepLines w:val="0"/>
        <w:pageBreakBefore w:val="0"/>
        <w:kinsoku/>
        <w:wordWrap/>
        <w:overflowPunct/>
        <w:topLinePunct w:val="0"/>
        <w:bidi w:val="0"/>
        <w:adjustRightInd/>
        <w:spacing w:line="420" w:lineRule="exact"/>
        <w:ind w:firstLine="422" w:firstLineChars="200"/>
        <w:outlineLvl w:val="1"/>
        <w:rPr>
          <w:rFonts w:hint="eastAsia" w:ascii="宋体" w:hAnsi="宋体" w:eastAsia="宋体" w:cs="宋体"/>
          <w:b/>
          <w:color w:val="auto"/>
          <w:sz w:val="21"/>
          <w:szCs w:val="21"/>
          <w:highlight w:val="none"/>
          <w:shd w:val="clear" w:color="auto" w:fill="auto"/>
        </w:rPr>
      </w:pPr>
      <w:bookmarkStart w:id="118" w:name="_Toc32411"/>
      <w:bookmarkStart w:id="119" w:name="_Toc8195"/>
      <w:r>
        <w:rPr>
          <w:rFonts w:hint="eastAsia" w:ascii="宋体" w:hAnsi="宋体" w:eastAsia="宋体" w:cs="宋体"/>
          <w:b/>
          <w:color w:val="auto"/>
          <w:sz w:val="21"/>
          <w:szCs w:val="21"/>
          <w:highlight w:val="none"/>
          <w:shd w:val="clear" w:color="auto" w:fill="auto"/>
        </w:rPr>
        <w:t>（一）确定中标人</w:t>
      </w:r>
      <w:bookmarkEnd w:id="118"/>
      <w:bookmarkEnd w:id="119"/>
    </w:p>
    <w:p w14:paraId="09A02289">
      <w:pPr>
        <w:keepNext w:val="0"/>
        <w:keepLines w:val="0"/>
        <w:pageBreakBefore w:val="0"/>
        <w:kinsoku/>
        <w:wordWrap/>
        <w:overflowPunct/>
        <w:topLinePunct w:val="0"/>
        <w:bidi w:val="0"/>
        <w:adjustRightInd/>
        <w:spacing w:line="420" w:lineRule="exact"/>
        <w:ind w:firstLine="420" w:firstLineChars="200"/>
        <w:rPr>
          <w:rFonts w:hint="eastAsia" w:ascii="宋体" w:hAnsi="宋体" w:eastAsia="宋体" w:cs="宋体"/>
          <w:b/>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1.招标人在评标结束后2</w:t>
      </w:r>
      <w:r>
        <w:rPr>
          <w:rFonts w:hint="eastAsia" w:ascii="宋体" w:hAnsi="宋体" w:eastAsia="宋体" w:cs="宋体"/>
          <w:color w:val="auto"/>
          <w:sz w:val="21"/>
          <w:szCs w:val="21"/>
          <w:highlight w:val="none"/>
          <w:shd w:val="clear" w:color="auto" w:fill="auto"/>
        </w:rPr>
        <w:t>个工作日内将评标报告交招标人确认</w:t>
      </w:r>
      <w:r>
        <w:rPr>
          <w:rFonts w:hint="eastAsia" w:ascii="宋体" w:hAnsi="宋体" w:eastAsia="宋体" w:cs="宋体"/>
          <w:b/>
          <w:bCs/>
          <w:color w:val="auto"/>
          <w:sz w:val="21"/>
          <w:szCs w:val="21"/>
          <w:highlight w:val="none"/>
          <w:shd w:val="clear" w:color="auto" w:fill="auto"/>
        </w:rPr>
        <w:t>，</w:t>
      </w:r>
      <w:r>
        <w:rPr>
          <w:rFonts w:hint="eastAsia" w:ascii="宋体" w:hAnsi="宋体" w:eastAsia="宋体" w:cs="宋体"/>
          <w:color w:val="auto"/>
          <w:sz w:val="21"/>
          <w:szCs w:val="21"/>
          <w:highlight w:val="none"/>
          <w:shd w:val="clear" w:color="auto" w:fill="auto"/>
        </w:rPr>
        <w:t>招标人应在收到评标报告后5个工作日内对评标结果进行确认。如有投标人对评标结果提出质疑的，招标人可在质疑处理完毕后确定中标人。</w:t>
      </w:r>
    </w:p>
    <w:p w14:paraId="0EE8405A">
      <w:pPr>
        <w:keepNext w:val="0"/>
        <w:keepLines w:val="0"/>
        <w:pageBreakBefore w:val="0"/>
        <w:kinsoku/>
        <w:wordWrap/>
        <w:overflowPunct/>
        <w:topLinePunct w:val="0"/>
        <w:bidi w:val="0"/>
        <w:adjustRightInd/>
        <w:snapToGrid w:val="0"/>
        <w:spacing w:line="420" w:lineRule="exact"/>
        <w:ind w:firstLine="420" w:firstLineChars="200"/>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2.中标候选人公示：开标结束后2日内，招标人（代理机构）发布中标候选人公示，公示期不得少于1个工作日。发出中标候选人公示期满无异议和投诉的，招标人（代理机构）2日内在网上发布中标结果公告，同时发出中标通知书。</w:t>
      </w:r>
    </w:p>
    <w:p w14:paraId="46936AC7">
      <w:pPr>
        <w:keepNext w:val="0"/>
        <w:keepLines w:val="0"/>
        <w:pageBreakBefore w:val="0"/>
        <w:kinsoku/>
        <w:wordWrap/>
        <w:overflowPunct/>
        <w:topLinePunct w:val="0"/>
        <w:bidi w:val="0"/>
        <w:adjustRightInd/>
        <w:snapToGrid w:val="0"/>
        <w:spacing w:line="420" w:lineRule="exact"/>
        <w:ind w:firstLine="420" w:firstLineChars="200"/>
        <w:rPr>
          <w:rFonts w:hint="eastAsia" w:ascii="宋体" w:hAnsi="宋体" w:eastAsia="宋体" w:cs="宋体"/>
          <w:b/>
          <w:bCs/>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lang w:val="en-US" w:eastAsia="zh-CN"/>
        </w:rPr>
        <w:t>3</w:t>
      </w:r>
      <w:r>
        <w:rPr>
          <w:rFonts w:hint="eastAsia" w:ascii="宋体" w:hAnsi="宋体" w:eastAsia="宋体" w:cs="宋体"/>
          <w:color w:val="auto"/>
          <w:sz w:val="21"/>
          <w:szCs w:val="21"/>
          <w:highlight w:val="none"/>
          <w:shd w:val="clear" w:color="auto" w:fill="auto"/>
        </w:rPr>
        <w:t>.招标人依法确定中标人后2个工作日内，招标人以书面形式发出《中标通知书》,并同时在采购公告发布的网站上发布成交结果公告。</w:t>
      </w:r>
      <w:r>
        <w:rPr>
          <w:rFonts w:hint="eastAsia" w:ascii="宋体" w:hAnsi="宋体" w:eastAsia="宋体" w:cs="宋体"/>
          <w:b/>
          <w:bCs/>
          <w:color w:val="auto"/>
          <w:sz w:val="21"/>
          <w:szCs w:val="21"/>
          <w:highlight w:val="none"/>
          <w:u w:val="single"/>
          <w:shd w:val="clear" w:color="auto" w:fill="auto"/>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705DC274">
      <w:pPr>
        <w:keepNext w:val="0"/>
        <w:keepLines w:val="0"/>
        <w:pageBreakBefore w:val="0"/>
        <w:kinsoku/>
        <w:wordWrap/>
        <w:overflowPunct/>
        <w:topLinePunct w:val="0"/>
        <w:bidi w:val="0"/>
        <w:adjustRightInd/>
        <w:snapToGrid w:val="0"/>
        <w:spacing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4</w:t>
      </w:r>
      <w:r>
        <w:rPr>
          <w:rFonts w:hint="eastAsia" w:ascii="宋体" w:hAnsi="宋体" w:eastAsia="宋体" w:cs="宋体"/>
          <w:color w:val="auto"/>
          <w:sz w:val="21"/>
          <w:szCs w:val="21"/>
          <w:highlight w:val="none"/>
          <w:shd w:val="clear" w:color="auto" w:fill="auto"/>
        </w:rPr>
        <w:t>.定标中，应坚持第一中标候选人为首选中标人，但出现其它原因的，招标人可以确定排名第二的候选人为中标人，</w:t>
      </w:r>
      <w:r>
        <w:rPr>
          <w:rFonts w:hint="eastAsia" w:ascii="宋体" w:hAnsi="宋体" w:eastAsia="宋体" w:cs="宋体"/>
          <w:b/>
          <w:color w:val="auto"/>
          <w:sz w:val="21"/>
          <w:szCs w:val="21"/>
          <w:highlight w:val="none"/>
          <w:shd w:val="clear" w:color="auto" w:fill="auto"/>
        </w:rPr>
        <w:t>或重新组织招标。</w:t>
      </w:r>
      <w:bookmarkStart w:id="120" w:name="_Hlk59369379"/>
      <w:r>
        <w:rPr>
          <w:rFonts w:hint="eastAsia" w:ascii="宋体" w:hAnsi="宋体" w:eastAsia="宋体" w:cs="宋体"/>
          <w:color w:val="auto"/>
          <w:sz w:val="21"/>
          <w:szCs w:val="21"/>
          <w:highlight w:val="none"/>
          <w:shd w:val="clear" w:color="auto" w:fill="auto"/>
        </w:rPr>
        <w:t xml:space="preserve"> </w:t>
      </w:r>
    </w:p>
    <w:p w14:paraId="25AF6BAA">
      <w:pPr>
        <w:keepNext w:val="0"/>
        <w:keepLines w:val="0"/>
        <w:pageBreakBefore w:val="0"/>
        <w:kinsoku/>
        <w:wordWrap/>
        <w:overflowPunct/>
        <w:topLinePunct w:val="0"/>
        <w:bidi w:val="0"/>
        <w:adjustRightInd/>
        <w:snapToGrid w:val="0"/>
        <w:spacing w:line="420" w:lineRule="exact"/>
        <w:ind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lang w:val="en-US" w:eastAsia="zh-CN"/>
        </w:rPr>
        <w:t>5.</w:t>
      </w: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b/>
          <w:color w:val="auto"/>
          <w:sz w:val="21"/>
          <w:szCs w:val="21"/>
          <w:highlight w:val="none"/>
          <w:shd w:val="clear" w:color="auto" w:fill="auto"/>
        </w:rPr>
        <w:t>本项目为非政府采购项目，如中标通知书发出后，中标人放弃中标项目的，参照《政府采购法》第四十六条之规定，应当依法承担法律责任。</w:t>
      </w:r>
    </w:p>
    <w:p w14:paraId="222B2576">
      <w:pPr>
        <w:keepNext w:val="0"/>
        <w:keepLines w:val="0"/>
        <w:pageBreakBefore w:val="0"/>
        <w:kinsoku/>
        <w:wordWrap/>
        <w:overflowPunct/>
        <w:topLinePunct w:val="0"/>
        <w:bidi w:val="0"/>
        <w:adjustRightInd/>
        <w:snapToGrid w:val="0"/>
        <w:spacing w:line="420" w:lineRule="exac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08A93DDF">
      <w:pPr>
        <w:keepNext w:val="0"/>
        <w:keepLines w:val="0"/>
        <w:pageBreakBefore w:val="0"/>
        <w:kinsoku/>
        <w:wordWrap/>
        <w:overflowPunct/>
        <w:topLinePunct w:val="0"/>
        <w:bidi w:val="0"/>
        <w:adjustRightInd/>
        <w:snapToGrid w:val="0"/>
        <w:spacing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6</w:t>
      </w:r>
      <w:r>
        <w:rPr>
          <w:rFonts w:hint="eastAsia" w:ascii="宋体" w:hAnsi="宋体" w:eastAsia="宋体" w:cs="宋体"/>
          <w:color w:val="auto"/>
          <w:sz w:val="21"/>
          <w:szCs w:val="21"/>
          <w:highlight w:val="none"/>
          <w:shd w:val="clear" w:color="auto" w:fill="auto"/>
        </w:rPr>
        <w:t>.</w:t>
      </w:r>
      <w:r>
        <w:rPr>
          <w:rFonts w:hint="eastAsia" w:ascii="宋体" w:hAnsi="宋体" w:eastAsia="宋体" w:cs="宋体"/>
          <w:b/>
          <w:bCs/>
          <w:color w:val="auto"/>
          <w:sz w:val="21"/>
          <w:szCs w:val="21"/>
          <w:highlight w:val="none"/>
          <w:u w:val="single"/>
          <w:shd w:val="clear" w:color="auto" w:fill="auto"/>
        </w:rPr>
        <w:t>为营造更优质的营商环境，</w:t>
      </w:r>
      <w:bookmarkStart w:id="121" w:name="_Hlk59708763"/>
      <w:r>
        <w:rPr>
          <w:rFonts w:hint="eastAsia" w:ascii="宋体" w:hAnsi="宋体" w:eastAsia="宋体" w:cs="宋体"/>
          <w:b/>
          <w:bCs/>
          <w:color w:val="auto"/>
          <w:sz w:val="21"/>
          <w:szCs w:val="21"/>
          <w:highlight w:val="none"/>
          <w:u w:val="single"/>
          <w:shd w:val="clear" w:color="auto" w:fill="auto"/>
        </w:rPr>
        <w:t>中标人可选择代理机构以邮寄方式向其寄达《中标通知书》（邮寄地址、收件人等信息请在“投标函”中详细写明，邮费可到付）。</w:t>
      </w:r>
      <w:bookmarkEnd w:id="121"/>
      <w:bookmarkStart w:id="122" w:name="_Hlk59708451"/>
      <w:r>
        <w:rPr>
          <w:rFonts w:hint="eastAsia" w:ascii="宋体" w:hAnsi="宋体" w:eastAsia="宋体" w:cs="宋体"/>
          <w:b/>
          <w:bCs/>
          <w:color w:val="auto"/>
          <w:sz w:val="21"/>
          <w:szCs w:val="21"/>
          <w:highlight w:val="none"/>
          <w:u w:val="single"/>
          <w:shd w:val="clear" w:color="auto" w:fill="auto"/>
        </w:rPr>
        <w:t>同时中标人应在中标后</w:t>
      </w:r>
      <w:bookmarkStart w:id="123" w:name="_Hlk59521069"/>
      <w:r>
        <w:rPr>
          <w:rFonts w:hint="eastAsia" w:ascii="宋体" w:hAnsi="宋体" w:eastAsia="宋体" w:cs="宋体"/>
          <w:b/>
          <w:bCs/>
          <w:color w:val="auto"/>
          <w:sz w:val="21"/>
          <w:szCs w:val="21"/>
          <w:highlight w:val="none"/>
          <w:u w:val="single"/>
          <w:shd w:val="clear" w:color="auto" w:fill="auto"/>
        </w:rPr>
        <w:t>以邮寄</w:t>
      </w:r>
      <w:bookmarkEnd w:id="123"/>
      <w:r>
        <w:rPr>
          <w:rFonts w:hint="eastAsia" w:ascii="宋体" w:hAnsi="宋体" w:eastAsia="宋体" w:cs="宋体"/>
          <w:b/>
          <w:bCs/>
          <w:color w:val="auto"/>
          <w:sz w:val="21"/>
          <w:szCs w:val="21"/>
          <w:highlight w:val="none"/>
          <w:u w:val="single"/>
          <w:shd w:val="clear" w:color="auto" w:fill="auto"/>
        </w:rPr>
        <w:t>或其他方式向代理机构提供</w:t>
      </w:r>
      <w:r>
        <w:rPr>
          <w:rFonts w:hint="eastAsia" w:ascii="宋体" w:hAnsi="宋体" w:cs="宋体"/>
          <w:b/>
          <w:bCs/>
          <w:color w:val="auto"/>
          <w:sz w:val="21"/>
          <w:szCs w:val="21"/>
          <w:highlight w:val="none"/>
          <w:u w:val="single"/>
          <w:shd w:val="clear" w:color="auto" w:fill="auto"/>
          <w:lang w:val="en-US" w:eastAsia="zh-CN"/>
        </w:rPr>
        <w:t>4</w:t>
      </w:r>
      <w:r>
        <w:rPr>
          <w:rFonts w:hint="eastAsia" w:ascii="宋体" w:hAnsi="宋体" w:eastAsia="宋体" w:cs="宋体"/>
          <w:b/>
          <w:bCs/>
          <w:color w:val="auto"/>
          <w:sz w:val="21"/>
          <w:szCs w:val="21"/>
          <w:highlight w:val="none"/>
          <w:u w:val="single"/>
          <w:shd w:val="clear" w:color="auto" w:fill="auto"/>
        </w:rPr>
        <w:t>套与电子版投标文件相同的胶装版本投标文件。</w:t>
      </w:r>
      <w:bookmarkEnd w:id="120"/>
      <w:bookmarkEnd w:id="122"/>
    </w:p>
    <w:p w14:paraId="37363D49">
      <w:pPr>
        <w:keepNext w:val="0"/>
        <w:keepLines w:val="0"/>
        <w:pageBreakBefore w:val="0"/>
        <w:kinsoku/>
        <w:wordWrap/>
        <w:overflowPunct/>
        <w:topLinePunct w:val="0"/>
        <w:bidi w:val="0"/>
        <w:adjustRightInd/>
        <w:spacing w:line="420" w:lineRule="exact"/>
        <w:ind w:firstLine="422" w:firstLineChars="200"/>
        <w:outlineLvl w:val="0"/>
        <w:rPr>
          <w:rFonts w:hint="eastAsia" w:ascii="宋体" w:hAnsi="宋体" w:eastAsia="宋体" w:cs="宋体"/>
          <w:b/>
          <w:color w:val="auto"/>
          <w:sz w:val="21"/>
          <w:szCs w:val="21"/>
          <w:highlight w:val="none"/>
          <w:shd w:val="clear" w:color="auto" w:fill="auto"/>
        </w:rPr>
      </w:pPr>
      <w:bookmarkStart w:id="124" w:name="_Toc30544"/>
      <w:bookmarkStart w:id="125" w:name="_Toc561"/>
      <w:r>
        <w:rPr>
          <w:rFonts w:hint="eastAsia" w:ascii="宋体" w:hAnsi="宋体" w:eastAsia="宋体" w:cs="宋体"/>
          <w:b/>
          <w:color w:val="auto"/>
          <w:sz w:val="21"/>
          <w:szCs w:val="21"/>
          <w:highlight w:val="none"/>
          <w:shd w:val="clear" w:color="auto" w:fill="auto"/>
        </w:rPr>
        <w:t>七、合同授予</w:t>
      </w:r>
      <w:bookmarkEnd w:id="124"/>
      <w:bookmarkEnd w:id="125"/>
    </w:p>
    <w:p w14:paraId="602CBB08">
      <w:pPr>
        <w:keepNext w:val="0"/>
        <w:keepLines w:val="0"/>
        <w:pageBreakBefore w:val="0"/>
        <w:kinsoku/>
        <w:wordWrap/>
        <w:overflowPunct/>
        <w:topLinePunct w:val="0"/>
        <w:bidi w:val="0"/>
        <w:adjustRightInd/>
        <w:snapToGrid w:val="0"/>
        <w:spacing w:line="420" w:lineRule="exact"/>
        <w:ind w:firstLine="413" w:firstLineChars="196"/>
        <w:outlineLvl w:val="1"/>
        <w:rPr>
          <w:rFonts w:hint="eastAsia" w:ascii="宋体" w:hAnsi="宋体" w:eastAsia="宋体" w:cs="宋体"/>
          <w:b/>
          <w:bCs/>
          <w:color w:val="auto"/>
          <w:sz w:val="21"/>
          <w:szCs w:val="21"/>
          <w:highlight w:val="none"/>
          <w:shd w:val="clear" w:color="auto" w:fill="auto"/>
        </w:rPr>
      </w:pPr>
      <w:bookmarkStart w:id="126" w:name="_Toc29134"/>
      <w:bookmarkStart w:id="127" w:name="_Toc30191"/>
      <w:r>
        <w:rPr>
          <w:rFonts w:hint="eastAsia" w:ascii="宋体" w:hAnsi="宋体" w:eastAsia="宋体" w:cs="宋体"/>
          <w:b/>
          <w:bCs/>
          <w:color w:val="auto"/>
          <w:sz w:val="21"/>
          <w:szCs w:val="21"/>
          <w:highlight w:val="none"/>
          <w:shd w:val="clear" w:color="auto" w:fill="auto"/>
        </w:rPr>
        <w:t>（一）签订合同</w:t>
      </w:r>
      <w:bookmarkEnd w:id="126"/>
      <w:bookmarkEnd w:id="127"/>
    </w:p>
    <w:p w14:paraId="245099A4">
      <w:pPr>
        <w:keepNext w:val="0"/>
        <w:keepLines w:val="0"/>
        <w:pageBreakBefore w:val="0"/>
        <w:kinsoku/>
        <w:wordWrap/>
        <w:overflowPunct/>
        <w:topLinePunct w:val="0"/>
        <w:bidi w:val="0"/>
        <w:adjustRightInd/>
        <w:snapToGrid w:val="0"/>
        <w:spacing w:line="420" w:lineRule="exact"/>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1.招标人与中标</w:t>
      </w:r>
      <w:r>
        <w:rPr>
          <w:rFonts w:hint="eastAsia" w:ascii="宋体" w:hAnsi="宋体" w:eastAsia="宋体" w:cs="宋体"/>
          <w:b/>
          <w:color w:val="auto"/>
          <w:sz w:val="21"/>
          <w:szCs w:val="21"/>
          <w:highlight w:val="none"/>
          <w:shd w:val="clear" w:color="auto" w:fill="auto"/>
        </w:rPr>
        <w:t>人应当在《中标通知书》发出之日起30日内签订采购合同，</w:t>
      </w:r>
      <w:r>
        <w:rPr>
          <w:rFonts w:hint="eastAsia" w:ascii="宋体" w:hAnsi="宋体" w:eastAsia="宋体" w:cs="宋体"/>
          <w:color w:val="auto"/>
          <w:sz w:val="21"/>
          <w:szCs w:val="21"/>
          <w:highlight w:val="none"/>
          <w:shd w:val="clear" w:color="auto" w:fill="auto"/>
        </w:rPr>
        <w:t>并且在同一时间送至代理机构见证盖章（合同一式不少于四份，招标人与中标人各执一份，</w:t>
      </w:r>
      <w:bookmarkStart w:id="128" w:name="_Hlk59626706"/>
      <w:r>
        <w:rPr>
          <w:rFonts w:hint="eastAsia" w:ascii="宋体" w:hAnsi="宋体" w:eastAsia="宋体" w:cs="宋体"/>
          <w:color w:val="auto"/>
          <w:sz w:val="21"/>
          <w:szCs w:val="21"/>
          <w:highlight w:val="none"/>
          <w:shd w:val="clear" w:color="auto" w:fill="auto"/>
        </w:rPr>
        <w:t>代理机构</w:t>
      </w:r>
      <w:bookmarkEnd w:id="128"/>
      <w:r>
        <w:rPr>
          <w:rFonts w:hint="eastAsia" w:ascii="宋体" w:hAnsi="宋体" w:eastAsia="宋体" w:cs="宋体"/>
          <w:color w:val="auto"/>
          <w:sz w:val="21"/>
          <w:szCs w:val="21"/>
          <w:highlight w:val="none"/>
          <w:shd w:val="clear" w:color="auto" w:fill="auto"/>
        </w:rPr>
        <w:t>留存二份），招标人对合同内容进行审查，如发现与采购结果和投标承诺内容不一致的，予以纠正。</w:t>
      </w:r>
      <w:r>
        <w:rPr>
          <w:rFonts w:hint="eastAsia" w:ascii="宋体" w:hAnsi="宋体" w:eastAsia="宋体" w:cs="宋体"/>
          <w:b/>
          <w:bCs/>
          <w:color w:val="auto"/>
          <w:sz w:val="21"/>
          <w:szCs w:val="21"/>
          <w:highlight w:val="none"/>
          <w:u w:val="single"/>
          <w:shd w:val="clear" w:color="auto" w:fill="auto"/>
        </w:rPr>
        <w:t>为营造更优质的营商环境，</w:t>
      </w:r>
      <w:bookmarkStart w:id="129" w:name="_Hlk59627623"/>
      <w:r>
        <w:rPr>
          <w:rFonts w:hint="eastAsia" w:ascii="宋体" w:hAnsi="宋体" w:eastAsia="宋体" w:cs="宋体"/>
          <w:b/>
          <w:bCs/>
          <w:color w:val="auto"/>
          <w:sz w:val="21"/>
          <w:szCs w:val="21"/>
          <w:highlight w:val="none"/>
          <w:u w:val="single"/>
          <w:shd w:val="clear" w:color="auto" w:fill="auto"/>
        </w:rPr>
        <w:t>中标人可选择代理机构以邮寄方式向其寄达</w:t>
      </w:r>
      <w:bookmarkStart w:id="130" w:name="_Hlk59708805"/>
      <w:r>
        <w:rPr>
          <w:rFonts w:hint="eastAsia" w:ascii="宋体" w:hAnsi="宋体" w:eastAsia="宋体" w:cs="宋体"/>
          <w:b/>
          <w:bCs/>
          <w:color w:val="auto"/>
          <w:sz w:val="21"/>
          <w:szCs w:val="21"/>
          <w:highlight w:val="none"/>
          <w:u w:val="single"/>
          <w:shd w:val="clear" w:color="auto" w:fill="auto"/>
        </w:rPr>
        <w:t>《采购合同》</w:t>
      </w:r>
      <w:bookmarkEnd w:id="130"/>
      <w:r>
        <w:rPr>
          <w:rFonts w:hint="eastAsia" w:ascii="宋体" w:hAnsi="宋体" w:eastAsia="宋体" w:cs="宋体"/>
          <w:b/>
          <w:bCs/>
          <w:color w:val="auto"/>
          <w:sz w:val="21"/>
          <w:szCs w:val="21"/>
          <w:highlight w:val="none"/>
          <w:u w:val="single"/>
          <w:shd w:val="clear" w:color="auto" w:fill="auto"/>
        </w:rPr>
        <w:t>。</w:t>
      </w:r>
    </w:p>
    <w:bookmarkEnd w:id="129"/>
    <w:p w14:paraId="3E391DBC">
      <w:pPr>
        <w:keepNext w:val="0"/>
        <w:keepLines w:val="0"/>
        <w:pageBreakBefore w:val="0"/>
        <w:kinsoku/>
        <w:wordWrap/>
        <w:overflowPunct/>
        <w:topLinePunct w:val="0"/>
        <w:bidi w:val="0"/>
        <w:adjustRightInd/>
        <w:spacing w:line="420" w:lineRule="exact"/>
        <w:ind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2.中标或者成交人拒绝与招标人签订合同的，招标人可以按照评审报告推荐的中标或者成交候选人名单排序，确定下一候选人为中标或者成交人，也可</w:t>
      </w:r>
      <w:r>
        <w:rPr>
          <w:rFonts w:hint="eastAsia" w:ascii="宋体" w:hAnsi="宋体" w:eastAsia="宋体" w:cs="宋体"/>
          <w:bCs/>
          <w:color w:val="auto"/>
          <w:sz w:val="21"/>
          <w:szCs w:val="21"/>
          <w:highlight w:val="none"/>
          <w:shd w:val="clear" w:color="auto" w:fill="auto"/>
        </w:rPr>
        <w:t>以重新开展采购活动。拒绝签订采购合同的成交人不得参加对该项目重新开展的采购活动。</w:t>
      </w:r>
    </w:p>
    <w:p w14:paraId="5613D2D0">
      <w:pPr>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color w:val="auto"/>
          <w:sz w:val="24"/>
          <w:highlight w:val="none"/>
          <w:shd w:val="clear" w:color="auto" w:fill="auto"/>
          <w:lang w:eastAsia="zh-CN"/>
        </w:rPr>
      </w:pPr>
      <w:bookmarkStart w:id="131" w:name="_Toc466534750"/>
    </w:p>
    <w:p w14:paraId="6E6079C2">
      <w:pPr>
        <w:spacing w:before="120" w:beforeLines="50" w:after="120" w:afterLines="50" w:line="420" w:lineRule="exact"/>
        <w:jc w:val="center"/>
        <w:outlineLvl w:val="0"/>
        <w:rPr>
          <w:rFonts w:hint="eastAsia" w:ascii="宋体" w:hAnsi="宋体" w:eastAsia="宋体" w:cs="宋体"/>
          <w:b/>
          <w:color w:val="auto"/>
          <w:sz w:val="30"/>
          <w:szCs w:val="30"/>
          <w:highlight w:val="none"/>
          <w:shd w:val="clear" w:color="auto" w:fill="auto"/>
        </w:rPr>
      </w:pPr>
      <w:r>
        <w:rPr>
          <w:rFonts w:hint="eastAsia" w:ascii="宋体" w:hAnsi="宋体" w:eastAsia="宋体" w:cs="宋体"/>
          <w:b/>
          <w:color w:val="auto"/>
          <w:sz w:val="24"/>
          <w:highlight w:val="none"/>
          <w:shd w:val="clear" w:color="auto" w:fill="auto"/>
        </w:rPr>
        <w:br w:type="page"/>
      </w:r>
      <w:bookmarkStart w:id="132" w:name="_Toc20618"/>
      <w:bookmarkStart w:id="133" w:name="_Toc10393"/>
      <w:bookmarkStart w:id="134" w:name="_Toc19243"/>
      <w:bookmarkStart w:id="135" w:name="_Toc25225"/>
      <w:r>
        <w:rPr>
          <w:rFonts w:hint="eastAsia" w:ascii="宋体" w:hAnsi="宋体" w:eastAsia="宋体" w:cs="宋体"/>
          <w:b/>
          <w:color w:val="auto"/>
          <w:sz w:val="30"/>
          <w:szCs w:val="30"/>
          <w:highlight w:val="none"/>
          <w:shd w:val="clear" w:color="auto" w:fill="auto"/>
        </w:rPr>
        <w:t>第四章</w:t>
      </w:r>
      <w:r>
        <w:rPr>
          <w:rFonts w:hint="eastAsia" w:ascii="宋体" w:hAnsi="宋体" w:eastAsia="宋体" w:cs="宋体"/>
          <w:b/>
          <w:color w:val="auto"/>
          <w:sz w:val="30"/>
          <w:szCs w:val="30"/>
          <w:highlight w:val="none"/>
          <w:shd w:val="clear" w:color="auto" w:fill="auto"/>
          <w:lang w:val="en-US" w:eastAsia="zh-CN"/>
        </w:rPr>
        <w:t xml:space="preserve">  </w:t>
      </w:r>
      <w:r>
        <w:rPr>
          <w:rFonts w:hint="eastAsia" w:ascii="宋体" w:hAnsi="宋体" w:eastAsia="宋体" w:cs="宋体"/>
          <w:b/>
          <w:color w:val="auto"/>
          <w:sz w:val="30"/>
          <w:szCs w:val="30"/>
          <w:highlight w:val="none"/>
          <w:shd w:val="clear" w:color="auto" w:fill="auto"/>
        </w:rPr>
        <w:t>评标办法及评分标准</w:t>
      </w:r>
      <w:bookmarkEnd w:id="131"/>
      <w:bookmarkEnd w:id="132"/>
      <w:bookmarkEnd w:id="133"/>
      <w:bookmarkEnd w:id="134"/>
      <w:bookmarkEnd w:id="135"/>
    </w:p>
    <w:p w14:paraId="02EEF85B">
      <w:pPr>
        <w:keepNext w:val="0"/>
        <w:keepLines w:val="0"/>
        <w:pageBreakBefore w:val="0"/>
        <w:widowControl w:val="0"/>
        <w:kinsoku/>
        <w:wordWrap/>
        <w:overflowPunct/>
        <w:topLinePunct w:val="0"/>
        <w:autoSpaceDE/>
        <w:autoSpaceDN/>
        <w:bidi w:val="0"/>
        <w:adjustRightInd/>
        <w:snapToGrid/>
        <w:spacing w:line="360" w:lineRule="auto"/>
        <w:ind w:firstLine="411" w:firstLineChars="196"/>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为公正、公平、科学地选择中标人，根据有关法律法规的规定，并结合本项目的实际，制定本办法。适用于本项目的评标。</w:t>
      </w:r>
    </w:p>
    <w:p w14:paraId="6D2150BF">
      <w:pPr>
        <w:keepNext w:val="0"/>
        <w:keepLines w:val="0"/>
        <w:pageBreakBefore w:val="0"/>
        <w:widowControl w:val="0"/>
        <w:kinsoku/>
        <w:wordWrap/>
        <w:overflowPunct/>
        <w:topLinePunct w:val="0"/>
        <w:autoSpaceDE/>
        <w:autoSpaceDN/>
        <w:bidi w:val="0"/>
        <w:adjustRightInd/>
        <w:snapToGrid/>
        <w:spacing w:line="360" w:lineRule="auto"/>
        <w:ind w:firstLine="411" w:firstLineChars="196"/>
        <w:textAlignment w:val="auto"/>
        <w:outlineLvl w:val="0"/>
        <w:rPr>
          <w:rFonts w:hint="eastAsia" w:ascii="宋体" w:hAnsi="宋体" w:eastAsia="宋体" w:cs="宋体"/>
          <w:b w:val="0"/>
          <w:bCs/>
          <w:color w:val="auto"/>
          <w:sz w:val="21"/>
          <w:szCs w:val="21"/>
          <w:highlight w:val="none"/>
        </w:rPr>
      </w:pPr>
      <w:bookmarkStart w:id="136" w:name="_Toc31773"/>
      <w:bookmarkStart w:id="137" w:name="_Toc5519"/>
      <w:r>
        <w:rPr>
          <w:rFonts w:hint="eastAsia" w:ascii="宋体" w:hAnsi="宋体" w:eastAsia="宋体" w:cs="宋体"/>
          <w:b w:val="0"/>
          <w:bCs/>
          <w:color w:val="auto"/>
          <w:sz w:val="21"/>
          <w:szCs w:val="21"/>
          <w:highlight w:val="none"/>
        </w:rPr>
        <w:t>一、总则</w:t>
      </w:r>
      <w:bookmarkEnd w:id="136"/>
      <w:bookmarkEnd w:id="137"/>
    </w:p>
    <w:p w14:paraId="1D1B831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本次评标采用综合评分法，总分为100分，其中商务技术分</w:t>
      </w:r>
      <w:r>
        <w:rPr>
          <w:rFonts w:hint="eastAsia" w:ascii="宋体" w:hAnsi="宋体" w:eastAsia="宋体" w:cs="宋体"/>
          <w:b w:val="0"/>
          <w:bCs/>
          <w:color w:val="auto"/>
          <w:sz w:val="21"/>
          <w:szCs w:val="21"/>
          <w:highlight w:val="none"/>
          <w:lang w:val="en-US" w:eastAsia="zh-CN"/>
        </w:rPr>
        <w:t>90</w:t>
      </w:r>
      <w:r>
        <w:rPr>
          <w:rFonts w:hint="eastAsia" w:ascii="宋体" w:hAnsi="宋体" w:eastAsia="宋体" w:cs="宋体"/>
          <w:b w:val="0"/>
          <w:bCs/>
          <w:color w:val="auto"/>
          <w:sz w:val="21"/>
          <w:szCs w:val="21"/>
          <w:highlight w:val="none"/>
        </w:rPr>
        <w:t>分、价格分</w:t>
      </w:r>
      <w:r>
        <w:rPr>
          <w:rFonts w:hint="eastAsia" w:ascii="宋体" w:hAnsi="宋体" w:eastAsia="宋体" w:cs="宋体"/>
          <w:b w:val="0"/>
          <w:bCs/>
          <w:color w:val="auto"/>
          <w:sz w:val="21"/>
          <w:szCs w:val="21"/>
          <w:highlight w:val="none"/>
          <w:lang w:val="en-US" w:eastAsia="zh-CN"/>
        </w:rPr>
        <w:t>10</w:t>
      </w:r>
      <w:r>
        <w:rPr>
          <w:rFonts w:hint="eastAsia" w:ascii="宋体" w:hAnsi="宋体" w:eastAsia="宋体" w:cs="宋体"/>
          <w:b w:val="0"/>
          <w:bCs/>
          <w:color w:val="auto"/>
          <w:sz w:val="21"/>
          <w:szCs w:val="21"/>
          <w:highlight w:val="none"/>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w:t>
      </w:r>
      <w:r>
        <w:rPr>
          <w:rFonts w:hint="eastAsia" w:ascii="宋体" w:hAnsi="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rPr>
        <w:t>排名第二的投标人为候补中标候选人。评分过程中采用四舍五入法，并保留小数2位。</w:t>
      </w:r>
    </w:p>
    <w:p w14:paraId="79E2DD0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投标人评标综合得分=商务技术分+价格分</w:t>
      </w:r>
    </w:p>
    <w:p w14:paraId="496211B5">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leftChars="0" w:firstLine="0" w:firstLineChars="0"/>
        <w:textAlignment w:val="auto"/>
        <w:outlineLvl w:val="0"/>
        <w:rPr>
          <w:rFonts w:hint="eastAsia" w:ascii="宋体" w:hAnsi="宋体" w:eastAsia="宋体" w:cs="宋体"/>
          <w:b/>
          <w:color w:val="auto"/>
          <w:sz w:val="21"/>
          <w:szCs w:val="21"/>
          <w:highlight w:val="none"/>
        </w:rPr>
      </w:pPr>
      <w:bookmarkStart w:id="138" w:name="_Toc9472"/>
      <w:bookmarkStart w:id="139" w:name="_Toc11138"/>
      <w:r>
        <w:rPr>
          <w:rFonts w:hint="eastAsia" w:ascii="宋体" w:hAnsi="宋体" w:eastAsia="宋体" w:cs="宋体"/>
          <w:b/>
          <w:color w:val="auto"/>
          <w:sz w:val="21"/>
          <w:szCs w:val="21"/>
          <w:highlight w:val="none"/>
        </w:rPr>
        <w:t>评标内容及标准</w:t>
      </w:r>
      <w:bookmarkEnd w:id="138"/>
      <w:bookmarkEnd w:id="139"/>
    </w:p>
    <w:p w14:paraId="4274C57C">
      <w:pPr>
        <w:pStyle w:val="22"/>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outlineLvl w:val="1"/>
        <w:rPr>
          <w:rFonts w:hint="eastAsia" w:ascii="宋体" w:hAnsi="宋体" w:eastAsia="宋体" w:cs="宋体"/>
          <w:b/>
          <w:bCs/>
          <w:color w:val="auto"/>
          <w:sz w:val="21"/>
          <w:szCs w:val="21"/>
          <w:highlight w:val="none"/>
        </w:rPr>
      </w:pPr>
      <w:bookmarkStart w:id="140" w:name="_Toc5279"/>
      <w:bookmarkStart w:id="141" w:name="_Toc6677"/>
      <w:r>
        <w:rPr>
          <w:rFonts w:hint="eastAsia" w:ascii="宋体" w:hAnsi="宋体" w:eastAsia="宋体" w:cs="宋体"/>
          <w:b/>
          <w:color w:val="auto"/>
          <w:sz w:val="21"/>
          <w:szCs w:val="21"/>
          <w:highlight w:val="none"/>
        </w:rPr>
        <w:t>（一）</w:t>
      </w:r>
      <w:r>
        <w:rPr>
          <w:rFonts w:hint="eastAsia" w:ascii="宋体" w:hAnsi="宋体" w:eastAsia="宋体" w:cs="宋体"/>
          <w:b/>
          <w:bCs/>
          <w:color w:val="auto"/>
          <w:sz w:val="21"/>
          <w:szCs w:val="21"/>
          <w:highlight w:val="none"/>
        </w:rPr>
        <w:t>价格分（</w:t>
      </w:r>
      <w:r>
        <w:rPr>
          <w:rFonts w:hint="eastAsia" w:ascii="宋体" w:hAnsi="宋体" w:eastAsia="宋体" w:cs="宋体"/>
          <w:b/>
          <w:bCs/>
          <w:color w:val="auto"/>
          <w:sz w:val="21"/>
          <w:szCs w:val="21"/>
          <w:highlight w:val="none"/>
          <w:lang w:val="en-US" w:eastAsia="zh-CN"/>
        </w:rPr>
        <w:t>10</w:t>
      </w:r>
      <w:r>
        <w:rPr>
          <w:rFonts w:hint="eastAsia" w:ascii="宋体" w:hAnsi="宋体" w:eastAsia="宋体" w:cs="宋体"/>
          <w:b/>
          <w:color w:val="auto"/>
          <w:spacing w:val="0"/>
          <w:sz w:val="21"/>
          <w:szCs w:val="21"/>
          <w:highlight w:val="none"/>
        </w:rPr>
        <w:t>分</w:t>
      </w:r>
      <w:r>
        <w:rPr>
          <w:rFonts w:hint="eastAsia" w:ascii="宋体" w:hAnsi="宋体" w:eastAsia="宋体" w:cs="宋体"/>
          <w:b/>
          <w:bCs/>
          <w:color w:val="auto"/>
          <w:sz w:val="21"/>
          <w:szCs w:val="21"/>
          <w:highlight w:val="none"/>
        </w:rPr>
        <w:t>）</w:t>
      </w:r>
      <w:bookmarkEnd w:id="140"/>
      <w:bookmarkEnd w:id="141"/>
    </w:p>
    <w:p w14:paraId="0F314831">
      <w:pPr>
        <w:pStyle w:val="22"/>
        <w:keepNext w:val="0"/>
        <w:keepLines w:val="0"/>
        <w:pageBreakBefore w:val="0"/>
        <w:widowControl w:val="0"/>
        <w:kinsoku/>
        <w:wordWrap/>
        <w:overflowPunct/>
        <w:topLinePunct w:val="0"/>
        <w:autoSpaceDE/>
        <w:autoSpaceDN/>
        <w:bidi w:val="0"/>
        <w:adjustRightInd/>
        <w:snapToGrid/>
        <w:spacing w:line="360" w:lineRule="auto"/>
        <w:ind w:firstLine="692" w:firstLineChars="343"/>
        <w:textAlignment w:val="auto"/>
        <w:rPr>
          <w:rFonts w:hint="eastAsia" w:ascii="宋体" w:hAnsi="宋体" w:eastAsia="宋体" w:cs="宋体"/>
          <w:bCs/>
          <w:color w:val="auto"/>
          <w:sz w:val="21"/>
          <w:szCs w:val="21"/>
          <w:highlight w:val="none"/>
        </w:rPr>
      </w:pPr>
      <w:r>
        <w:rPr>
          <w:rFonts w:hint="eastAsia" w:hAnsi="宋体" w:cs="宋体"/>
          <w:bCs/>
          <w:color w:val="auto"/>
          <w:sz w:val="21"/>
          <w:szCs w:val="21"/>
          <w:highlight w:val="none"/>
          <w:lang w:val="en-US" w:eastAsia="zh-CN"/>
        </w:rPr>
        <w:t>1.</w:t>
      </w:r>
      <w:r>
        <w:rPr>
          <w:rFonts w:hint="eastAsia" w:ascii="宋体" w:hAnsi="宋体" w:eastAsia="宋体" w:cs="宋体"/>
          <w:bCs/>
          <w:color w:val="auto"/>
          <w:sz w:val="21"/>
          <w:szCs w:val="21"/>
          <w:highlight w:val="none"/>
        </w:rPr>
        <w:t>价格分采用低价优先法计算，即满足招标文件要求且投标价格最低的投标报价为评标基准价，其他投标人的价格分按照下列公式计算：</w:t>
      </w:r>
    </w:p>
    <w:p w14:paraId="3F1400B6">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价格分=（评标基准价/投标报价）×</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%×100</w:t>
      </w:r>
    </w:p>
    <w:p w14:paraId="42B66B4B">
      <w:pPr>
        <w:pStyle w:val="22"/>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outlineLvl w:val="1"/>
        <w:rPr>
          <w:rFonts w:hint="eastAsia" w:ascii="宋体" w:hAnsi="宋体" w:eastAsia="宋体" w:cs="宋体"/>
          <w:b/>
          <w:bCs/>
          <w:color w:val="auto"/>
          <w:sz w:val="21"/>
          <w:szCs w:val="21"/>
          <w:highlight w:val="none"/>
        </w:rPr>
      </w:pPr>
      <w:bookmarkStart w:id="142" w:name="_Toc19912"/>
      <w:bookmarkStart w:id="143" w:name="_Toc32669"/>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商务技术分（</w:t>
      </w:r>
      <w:r>
        <w:rPr>
          <w:rFonts w:hint="eastAsia" w:ascii="宋体" w:hAnsi="宋体" w:eastAsia="宋体" w:cs="宋体"/>
          <w:b/>
          <w:bCs/>
          <w:color w:val="auto"/>
          <w:sz w:val="21"/>
          <w:szCs w:val="21"/>
          <w:highlight w:val="none"/>
          <w:lang w:val="en-US" w:eastAsia="zh-CN"/>
        </w:rPr>
        <w:t>90</w:t>
      </w:r>
      <w:r>
        <w:rPr>
          <w:rFonts w:hint="eastAsia" w:ascii="宋体" w:hAnsi="宋体" w:eastAsia="宋体" w:cs="宋体"/>
          <w:b/>
          <w:bCs/>
          <w:color w:val="auto"/>
          <w:sz w:val="21"/>
          <w:szCs w:val="21"/>
          <w:highlight w:val="none"/>
        </w:rPr>
        <w:t>分）</w:t>
      </w:r>
      <w:bookmarkEnd w:id="142"/>
      <w:bookmarkEnd w:id="143"/>
    </w:p>
    <w:tbl>
      <w:tblPr>
        <w:tblStyle w:val="53"/>
        <w:tblW w:w="9280"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1701"/>
        <w:gridCol w:w="706"/>
        <w:gridCol w:w="6149"/>
      </w:tblGrid>
      <w:tr w14:paraId="75A71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724" w:type="dxa"/>
            <w:shd w:val="clear" w:color="000000" w:fill="FFFFFF"/>
            <w:noWrap w:val="0"/>
            <w:vAlign w:val="center"/>
          </w:tcPr>
          <w:p w14:paraId="71F4B71F">
            <w:pPr>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序号</w:t>
            </w:r>
          </w:p>
        </w:tc>
        <w:tc>
          <w:tcPr>
            <w:tcW w:w="1701" w:type="dxa"/>
            <w:shd w:val="clear" w:color="000000" w:fill="FFFFFF"/>
            <w:noWrap w:val="0"/>
            <w:vAlign w:val="center"/>
          </w:tcPr>
          <w:p w14:paraId="40F65C2E">
            <w:pPr>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评分内容</w:t>
            </w:r>
          </w:p>
        </w:tc>
        <w:tc>
          <w:tcPr>
            <w:tcW w:w="706" w:type="dxa"/>
            <w:shd w:val="clear" w:color="000000" w:fill="FFFFFF"/>
            <w:noWrap w:val="0"/>
            <w:vAlign w:val="center"/>
          </w:tcPr>
          <w:p w14:paraId="65D6428B">
            <w:pPr>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分值</w:t>
            </w:r>
          </w:p>
        </w:tc>
        <w:tc>
          <w:tcPr>
            <w:tcW w:w="6149" w:type="dxa"/>
            <w:shd w:val="clear" w:color="000000" w:fill="FFFFFF"/>
            <w:noWrap w:val="0"/>
            <w:vAlign w:val="center"/>
          </w:tcPr>
          <w:p w14:paraId="5FE88549">
            <w:pPr>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评分细则</w:t>
            </w:r>
          </w:p>
        </w:tc>
      </w:tr>
      <w:tr w14:paraId="05CEC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9" w:hRule="atLeast"/>
        </w:trPr>
        <w:tc>
          <w:tcPr>
            <w:tcW w:w="724" w:type="dxa"/>
            <w:vMerge w:val="restart"/>
            <w:shd w:val="clear" w:color="000000" w:fill="FFFFFF"/>
            <w:noWrap w:val="0"/>
            <w:vAlign w:val="center"/>
          </w:tcPr>
          <w:p w14:paraId="60FADF17">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1701" w:type="dxa"/>
            <w:vMerge w:val="restart"/>
            <w:shd w:val="clear" w:color="000000" w:fill="FFFFFF"/>
            <w:noWrap w:val="0"/>
            <w:vAlign w:val="center"/>
          </w:tcPr>
          <w:p w14:paraId="05328410">
            <w:pPr>
              <w:jc w:val="center"/>
              <w:rPr>
                <w:rFonts w:hint="eastAsia" w:ascii="宋体" w:hAnsi="宋体" w:eastAsia="宋体" w:cs="宋体"/>
                <w:sz w:val="21"/>
                <w:szCs w:val="21"/>
                <w:highlight w:val="none"/>
              </w:rPr>
            </w:pPr>
            <w:r>
              <w:rPr>
                <w:rFonts w:hint="eastAsia" w:ascii="宋体" w:hAnsi="宋体" w:eastAsia="宋体" w:cs="宋体"/>
                <w:bCs/>
                <w:sz w:val="21"/>
                <w:szCs w:val="21"/>
                <w:highlight w:val="none"/>
              </w:rPr>
              <w:t>企业荣誉</w:t>
            </w:r>
          </w:p>
        </w:tc>
        <w:tc>
          <w:tcPr>
            <w:tcW w:w="706" w:type="dxa"/>
            <w:shd w:val="clear" w:color="000000" w:fill="FFFFFF"/>
            <w:noWrap w:val="0"/>
            <w:vAlign w:val="center"/>
          </w:tcPr>
          <w:p w14:paraId="223C980B">
            <w:pPr>
              <w:jc w:val="center"/>
              <w:rPr>
                <w:rFonts w:hint="eastAsia" w:ascii="宋体" w:hAnsi="宋体" w:eastAsia="宋体" w:cs="宋体"/>
                <w:bCs/>
                <w:sz w:val="21"/>
                <w:szCs w:val="21"/>
                <w:highlight w:val="none"/>
                <w:lang w:val="en-US"/>
              </w:rPr>
            </w:pPr>
            <w:r>
              <w:rPr>
                <w:rFonts w:hint="eastAsia" w:ascii="宋体" w:hAnsi="宋体" w:cs="宋体"/>
                <w:bCs/>
                <w:sz w:val="21"/>
                <w:szCs w:val="21"/>
                <w:highlight w:val="none"/>
                <w:lang w:val="en-US" w:eastAsia="zh-CN"/>
              </w:rPr>
              <w:t>6</w:t>
            </w:r>
            <w:r>
              <w:rPr>
                <w:rFonts w:hint="eastAsia" w:ascii="宋体" w:hAnsi="宋体" w:eastAsia="宋体" w:cs="宋体"/>
                <w:bCs/>
                <w:sz w:val="21"/>
                <w:szCs w:val="21"/>
                <w:highlight w:val="none"/>
                <w:lang w:val="en-US" w:eastAsia="zh-CN"/>
              </w:rPr>
              <w:t>分</w:t>
            </w:r>
          </w:p>
        </w:tc>
        <w:tc>
          <w:tcPr>
            <w:tcW w:w="6149" w:type="dxa"/>
            <w:shd w:val="clear" w:color="000000" w:fill="FFFFFF"/>
            <w:noWrap w:val="0"/>
            <w:vAlign w:val="center"/>
          </w:tcPr>
          <w:p w14:paraId="260CCF39">
            <w:pPr>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投标人自20</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年1月1日以来</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以获奖文件或荣誉证书上的时间为准</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获得省级及以上建设行政主管部门或建筑业相关行业协会颁发的工程造价咨询方面的荣誉，每个得3分，最多得6分。</w:t>
            </w:r>
          </w:p>
          <w:p w14:paraId="5CE212D6">
            <w:pPr>
              <w:jc w:val="both"/>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备注：</w:t>
            </w:r>
          </w:p>
          <w:p w14:paraId="01B3369C">
            <w:pPr>
              <w:jc w:val="both"/>
              <w:rPr>
                <w:rFonts w:hint="eastAsia" w:ascii="宋体" w:hAnsi="宋体" w:eastAsia="宋体" w:cs="宋体"/>
                <w:sz w:val="21"/>
                <w:szCs w:val="21"/>
                <w:highlight w:val="none"/>
              </w:rPr>
            </w:pPr>
            <w:r>
              <w:rPr>
                <w:rFonts w:hint="eastAsia" w:ascii="宋体" w:hAnsi="宋体" w:eastAsia="宋体" w:cs="宋体"/>
                <w:b/>
                <w:bCs/>
                <w:color w:val="000000" w:themeColor="text1"/>
                <w:sz w:val="21"/>
                <w:szCs w:val="21"/>
                <w:highlight w:val="none"/>
                <w14:textFill>
                  <w14:solidFill>
                    <w14:schemeClr w14:val="tx1"/>
                  </w14:solidFill>
                </w14:textFill>
              </w:rPr>
              <w:t>投标文件中须提供相关证书</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扫描件</w:t>
            </w:r>
            <w:r>
              <w:rPr>
                <w:rFonts w:hint="eastAsia" w:ascii="宋体" w:hAnsi="宋体" w:eastAsia="宋体" w:cs="宋体"/>
                <w:b/>
                <w:bCs/>
                <w:color w:val="000000" w:themeColor="text1"/>
                <w:sz w:val="21"/>
                <w:szCs w:val="21"/>
                <w:highlight w:val="none"/>
                <w14:textFill>
                  <w14:solidFill>
                    <w14:schemeClr w14:val="tx1"/>
                  </w14:solidFill>
                </w14:textFill>
              </w:rPr>
              <w:t>或网站截屏并加盖投标人单位公章</w:t>
            </w:r>
            <w:r>
              <w:rPr>
                <w:rFonts w:hint="eastAsia" w:ascii="宋体" w:hAnsi="宋体" w:eastAsia="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未提供的不得分</w:t>
            </w:r>
            <w:r>
              <w:rPr>
                <w:rFonts w:hint="eastAsia" w:ascii="宋体" w:hAnsi="宋体" w:eastAsia="宋体" w:cs="宋体"/>
                <w:b/>
                <w:bCs/>
                <w:color w:val="000000" w:themeColor="text1"/>
                <w:sz w:val="21"/>
                <w:szCs w:val="21"/>
                <w:highlight w:val="none"/>
                <w14:textFill>
                  <w14:solidFill>
                    <w14:schemeClr w14:val="tx1"/>
                  </w14:solidFill>
                </w14:textFill>
              </w:rPr>
              <w:t>。</w:t>
            </w:r>
          </w:p>
        </w:tc>
      </w:tr>
      <w:tr w14:paraId="20C65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3" w:hRule="atLeast"/>
        </w:trPr>
        <w:tc>
          <w:tcPr>
            <w:tcW w:w="724" w:type="dxa"/>
            <w:vMerge w:val="continue"/>
            <w:shd w:val="clear" w:color="000000" w:fill="FFFFFF"/>
            <w:noWrap w:val="0"/>
            <w:vAlign w:val="center"/>
          </w:tcPr>
          <w:p w14:paraId="42FC5C42">
            <w:pPr>
              <w:jc w:val="center"/>
              <w:rPr>
                <w:rFonts w:hint="eastAsia" w:ascii="宋体" w:hAnsi="宋体" w:eastAsia="宋体" w:cs="宋体"/>
                <w:sz w:val="21"/>
                <w:szCs w:val="21"/>
                <w:highlight w:val="none"/>
              </w:rPr>
            </w:pPr>
          </w:p>
        </w:tc>
        <w:tc>
          <w:tcPr>
            <w:tcW w:w="1701" w:type="dxa"/>
            <w:vMerge w:val="continue"/>
            <w:shd w:val="clear" w:color="000000" w:fill="FFFFFF"/>
            <w:noWrap w:val="0"/>
            <w:vAlign w:val="center"/>
          </w:tcPr>
          <w:p w14:paraId="2CF0E965">
            <w:pPr>
              <w:jc w:val="left"/>
              <w:rPr>
                <w:rFonts w:hint="eastAsia" w:ascii="宋体" w:hAnsi="宋体" w:eastAsia="宋体" w:cs="宋体"/>
                <w:bCs/>
                <w:sz w:val="21"/>
                <w:szCs w:val="21"/>
                <w:highlight w:val="none"/>
              </w:rPr>
            </w:pPr>
          </w:p>
        </w:tc>
        <w:tc>
          <w:tcPr>
            <w:tcW w:w="706" w:type="dxa"/>
            <w:shd w:val="clear" w:color="000000" w:fill="FFFFFF"/>
            <w:noWrap w:val="0"/>
            <w:vAlign w:val="center"/>
          </w:tcPr>
          <w:p w14:paraId="2ABECEC6">
            <w:pPr>
              <w:jc w:val="center"/>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5分</w:t>
            </w:r>
          </w:p>
        </w:tc>
        <w:tc>
          <w:tcPr>
            <w:tcW w:w="6149" w:type="dxa"/>
            <w:shd w:val="clear" w:color="000000" w:fill="FFFFFF"/>
            <w:noWrap w:val="0"/>
            <w:vAlign w:val="center"/>
          </w:tcPr>
          <w:p w14:paraId="1467405E">
            <w:pPr>
              <w:jc w:val="both"/>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获得中国建设工程造价管理协会颁发的信用评价AAA级且在有效期内的，或者获得浙江省建设工程造价管理总站公布的浙江省工程造价咨询企业动态信用能力信用评价AAAAA级且在有效期内的得5分；获得中国建设工程造价管理协会颁发的信用评价AA级且在有效期内的，或者获得浙江省建设工程造价管理总站公布的浙江省工程造价咨询企业动态信用能力信用评价AAAA级且在有效期内的得3分；获得中国建设工程造价管理协会颁发的信用评价A级且在有效期内的，或者获得浙江省建设工程造价管理总站公布的浙江省工程造价咨询企业动态信用能力信用评价AAA级且在有效期内的得1分。</w:t>
            </w:r>
          </w:p>
          <w:p w14:paraId="0F5E8D4D">
            <w:pPr>
              <w:jc w:val="both"/>
              <w:rPr>
                <w:rFonts w:hint="eastAsia" w:ascii="宋体" w:hAnsi="宋体" w:eastAsia="宋体" w:cs="宋体"/>
                <w:bCs/>
                <w:sz w:val="21"/>
                <w:szCs w:val="21"/>
                <w:highlight w:val="none"/>
                <w:lang w:val="zh-CN"/>
              </w:rPr>
            </w:pPr>
            <w:r>
              <w:rPr>
                <w:rFonts w:hint="eastAsia" w:ascii="宋体" w:hAnsi="宋体" w:eastAsia="宋体" w:cs="宋体"/>
                <w:b/>
                <w:bCs/>
                <w:color w:val="000000" w:themeColor="text1"/>
                <w:sz w:val="21"/>
                <w:szCs w:val="21"/>
                <w:highlight w:val="none"/>
                <w:lang w:val="zh-CN"/>
                <w14:textFill>
                  <w14:solidFill>
                    <w14:schemeClr w14:val="tx1"/>
                  </w14:solidFill>
                </w14:textFill>
              </w:rPr>
              <w:t>备注：投标文件中须提供网站截屏并加盖投标人单位公章，未提供的不得分。信用等级以开标当天网站查询为准。</w:t>
            </w:r>
          </w:p>
        </w:tc>
      </w:tr>
      <w:tr w14:paraId="6DEDC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8" w:hRule="atLeast"/>
        </w:trPr>
        <w:tc>
          <w:tcPr>
            <w:tcW w:w="724" w:type="dxa"/>
            <w:shd w:val="clear" w:color="000000" w:fill="FFFFFF"/>
            <w:noWrap w:val="0"/>
            <w:vAlign w:val="center"/>
          </w:tcPr>
          <w:p w14:paraId="34C55FF8">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701" w:type="dxa"/>
            <w:shd w:val="clear" w:color="000000" w:fill="FFFFFF"/>
            <w:noWrap w:val="0"/>
            <w:vAlign w:val="center"/>
          </w:tcPr>
          <w:p w14:paraId="641FD386">
            <w:pPr>
              <w:jc w:val="center"/>
              <w:rPr>
                <w:rFonts w:hint="eastAsia" w:ascii="宋体" w:hAnsi="宋体" w:eastAsia="宋体" w:cs="宋体"/>
                <w:b/>
                <w:sz w:val="21"/>
                <w:szCs w:val="21"/>
                <w:highlight w:val="none"/>
              </w:rPr>
            </w:pPr>
            <w:r>
              <w:rPr>
                <w:rFonts w:hint="eastAsia" w:ascii="宋体" w:hAnsi="宋体" w:eastAsia="宋体" w:cs="宋体"/>
                <w:sz w:val="21"/>
                <w:szCs w:val="21"/>
                <w:highlight w:val="none"/>
              </w:rPr>
              <w:t>投标人认证证书</w:t>
            </w:r>
          </w:p>
        </w:tc>
        <w:tc>
          <w:tcPr>
            <w:tcW w:w="706" w:type="dxa"/>
            <w:shd w:val="clear" w:color="000000" w:fill="FFFFFF"/>
            <w:noWrap w:val="0"/>
            <w:vAlign w:val="center"/>
          </w:tcPr>
          <w:p w14:paraId="2FD62925">
            <w:pPr>
              <w:jc w:val="center"/>
              <w:rPr>
                <w:rFonts w:hint="eastAsia" w:ascii="宋体" w:hAnsi="宋体" w:eastAsia="宋体" w:cs="宋体"/>
                <w:b/>
                <w:sz w:val="21"/>
                <w:szCs w:val="21"/>
                <w:highlight w:val="none"/>
              </w:rPr>
            </w:pPr>
            <w:r>
              <w:rPr>
                <w:rFonts w:hint="eastAsia" w:ascii="宋体" w:hAnsi="宋体" w:eastAsia="宋体" w:cs="宋体"/>
                <w:bCs/>
                <w:sz w:val="21"/>
                <w:szCs w:val="21"/>
                <w:highlight w:val="none"/>
                <w:lang w:val="en-US" w:eastAsia="zh-CN"/>
              </w:rPr>
              <w:t>6</w:t>
            </w:r>
            <w:r>
              <w:rPr>
                <w:rFonts w:hint="eastAsia" w:ascii="宋体" w:hAnsi="宋体" w:eastAsia="宋体" w:cs="宋体"/>
                <w:bCs/>
                <w:sz w:val="21"/>
                <w:szCs w:val="21"/>
                <w:highlight w:val="none"/>
              </w:rPr>
              <w:t>分</w:t>
            </w:r>
          </w:p>
        </w:tc>
        <w:tc>
          <w:tcPr>
            <w:tcW w:w="6149" w:type="dxa"/>
            <w:shd w:val="clear" w:color="000000" w:fill="FFFFFF"/>
            <w:noWrap w:val="0"/>
            <w:vAlign w:val="center"/>
          </w:tcPr>
          <w:p w14:paraId="4FEF9C4E">
            <w:pPr>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投标人提供质量管理体系认证证书、环境管理体系认证证书、职业健康安全管理体系认证证书的，每个得</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分，最高得</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分。</w:t>
            </w:r>
          </w:p>
          <w:p w14:paraId="35EF4D6F">
            <w:pPr>
              <w:jc w:val="both"/>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备注：</w:t>
            </w:r>
          </w:p>
          <w:p w14:paraId="4136936E">
            <w:pPr>
              <w:jc w:val="both"/>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1、所有证书必须真实、合规，在有效期内。</w:t>
            </w:r>
          </w:p>
          <w:p w14:paraId="482CBB06">
            <w:pPr>
              <w:jc w:val="both"/>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2、投标文件中须提供清晰可辨的证书</w:t>
            </w:r>
            <w:r>
              <w:rPr>
                <w:rFonts w:hint="eastAsia" w:ascii="宋体" w:hAnsi="宋体" w:eastAsia="宋体" w:cs="宋体"/>
                <w:b/>
                <w:bCs/>
                <w:sz w:val="21"/>
                <w:szCs w:val="21"/>
                <w:highlight w:val="none"/>
                <w:lang w:val="en-US" w:eastAsia="zh-CN"/>
              </w:rPr>
              <w:t>复印件</w:t>
            </w:r>
            <w:r>
              <w:rPr>
                <w:rFonts w:hint="eastAsia" w:ascii="宋体" w:hAnsi="宋体" w:eastAsia="宋体" w:cs="宋体"/>
                <w:b/>
                <w:bCs/>
                <w:sz w:val="21"/>
                <w:szCs w:val="21"/>
                <w:highlight w:val="none"/>
              </w:rPr>
              <w:t>并加盖投标人公章</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未提供的不得分</w:t>
            </w:r>
            <w:r>
              <w:rPr>
                <w:rFonts w:hint="eastAsia" w:ascii="宋体" w:hAnsi="宋体" w:eastAsia="宋体" w:cs="宋体"/>
                <w:b/>
                <w:bCs/>
                <w:sz w:val="21"/>
                <w:szCs w:val="21"/>
                <w:highlight w:val="none"/>
              </w:rPr>
              <w:t>。</w:t>
            </w:r>
          </w:p>
          <w:p w14:paraId="2FF32DE6">
            <w:pPr>
              <w:jc w:val="both"/>
              <w:rPr>
                <w:rFonts w:hint="eastAsia" w:ascii="宋体" w:hAnsi="宋体" w:eastAsia="宋体" w:cs="宋体"/>
                <w:sz w:val="21"/>
                <w:szCs w:val="21"/>
                <w:highlight w:val="none"/>
              </w:rPr>
            </w:pPr>
            <w:r>
              <w:rPr>
                <w:rFonts w:hint="eastAsia" w:ascii="宋体" w:hAnsi="宋体" w:eastAsia="宋体" w:cs="宋体"/>
                <w:b/>
                <w:bCs/>
                <w:sz w:val="21"/>
                <w:szCs w:val="21"/>
                <w:highlight w:val="none"/>
              </w:rPr>
              <w:t>3、如投标人提供的证书</w:t>
            </w:r>
            <w:r>
              <w:rPr>
                <w:rFonts w:hint="eastAsia" w:ascii="宋体" w:hAnsi="宋体" w:eastAsia="宋体" w:cs="宋体"/>
                <w:b/>
                <w:bCs/>
                <w:sz w:val="21"/>
                <w:szCs w:val="21"/>
                <w:highlight w:val="none"/>
                <w:lang w:eastAsia="zh-CN"/>
              </w:rPr>
              <w:t>复印件</w:t>
            </w:r>
            <w:r>
              <w:rPr>
                <w:rFonts w:hint="eastAsia" w:ascii="宋体" w:hAnsi="宋体" w:eastAsia="宋体" w:cs="宋体"/>
                <w:b/>
                <w:bCs/>
                <w:sz w:val="21"/>
                <w:szCs w:val="21"/>
                <w:highlight w:val="none"/>
              </w:rPr>
              <w:t>因模糊不清而造成评标委员会在评审时做出对投标人不利的评审由投标人自行承担。</w:t>
            </w:r>
          </w:p>
        </w:tc>
      </w:tr>
      <w:tr w14:paraId="1BE84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8" w:hRule="atLeast"/>
        </w:trPr>
        <w:tc>
          <w:tcPr>
            <w:tcW w:w="724" w:type="dxa"/>
            <w:vMerge w:val="restart"/>
            <w:shd w:val="clear" w:color="000000" w:fill="FFFFFF"/>
            <w:noWrap w:val="0"/>
            <w:vAlign w:val="center"/>
          </w:tcPr>
          <w:p w14:paraId="0F572C72">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1701" w:type="dxa"/>
            <w:vMerge w:val="restart"/>
            <w:shd w:val="clear" w:color="000000" w:fill="FFFFFF"/>
            <w:noWrap w:val="0"/>
            <w:vAlign w:val="center"/>
          </w:tcPr>
          <w:p w14:paraId="45342797">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项目负责人</w:t>
            </w:r>
          </w:p>
        </w:tc>
        <w:tc>
          <w:tcPr>
            <w:tcW w:w="706" w:type="dxa"/>
            <w:shd w:val="clear" w:color="000000" w:fill="FFFFFF"/>
            <w:noWrap w:val="0"/>
            <w:vAlign w:val="center"/>
          </w:tcPr>
          <w:p w14:paraId="6BD7F2D9">
            <w:pPr>
              <w:jc w:val="center"/>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1</w:t>
            </w:r>
            <w:r>
              <w:rPr>
                <w:rFonts w:hint="eastAsia" w:ascii="宋体" w:hAnsi="宋体" w:eastAsia="宋体" w:cs="宋体"/>
                <w:bCs/>
                <w:sz w:val="21"/>
                <w:szCs w:val="21"/>
                <w:highlight w:val="none"/>
              </w:rPr>
              <w:t>分</w:t>
            </w:r>
          </w:p>
        </w:tc>
        <w:tc>
          <w:tcPr>
            <w:tcW w:w="6149" w:type="dxa"/>
            <w:shd w:val="clear" w:color="000000" w:fill="FFFFFF"/>
            <w:noWrap w:val="0"/>
            <w:vAlign w:val="center"/>
          </w:tcPr>
          <w:p w14:paraId="56CF7BB1">
            <w:pPr>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拟派项目负责人具有工程类高级工程师及以上技术职称的得</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lang w:val="en-US" w:eastAsia="zh-CN"/>
              </w:rPr>
              <w:t>分。</w:t>
            </w:r>
          </w:p>
          <w:p w14:paraId="1BBCC2B6">
            <w:pPr>
              <w:jc w:val="both"/>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备注：</w:t>
            </w:r>
          </w:p>
          <w:p w14:paraId="2F56C5F3">
            <w:pPr>
              <w:jc w:val="both"/>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①所有证书必须真实、合规，在有效期内。</w:t>
            </w:r>
          </w:p>
          <w:p w14:paraId="433150C4">
            <w:pPr>
              <w:jc w:val="both"/>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②投标文件中须提供清晰可辨的证书复印件、身份证复印件（正反面）。</w:t>
            </w:r>
          </w:p>
          <w:p w14:paraId="220A1D1F">
            <w:pPr>
              <w:jc w:val="both"/>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③如投标人提供的证书扫描件因模糊不清而造成评标委员会在评审时做出对投标人不利的评审由投标人自行承担。</w:t>
            </w:r>
          </w:p>
          <w:p w14:paraId="4D9108FF">
            <w:pPr>
              <w:jc w:val="both"/>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④提供由投标人为上述人员缴纳的近1年社保缴纳证明材料（如为社会保险机构盖章的网上打印件亦可），未按上述规定提供社保资料的不得分。</w:t>
            </w:r>
          </w:p>
        </w:tc>
      </w:tr>
      <w:tr w14:paraId="6A3C2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8" w:hRule="atLeast"/>
        </w:trPr>
        <w:tc>
          <w:tcPr>
            <w:tcW w:w="724" w:type="dxa"/>
            <w:vMerge w:val="continue"/>
            <w:shd w:val="clear" w:color="000000" w:fill="FFFFFF"/>
            <w:noWrap w:val="0"/>
            <w:vAlign w:val="center"/>
          </w:tcPr>
          <w:p w14:paraId="5ABEEA54">
            <w:pPr>
              <w:jc w:val="center"/>
              <w:rPr>
                <w:rFonts w:hint="eastAsia" w:ascii="宋体" w:hAnsi="宋体" w:eastAsia="宋体" w:cs="宋体"/>
                <w:sz w:val="21"/>
                <w:szCs w:val="21"/>
                <w:highlight w:val="none"/>
              </w:rPr>
            </w:pPr>
          </w:p>
        </w:tc>
        <w:tc>
          <w:tcPr>
            <w:tcW w:w="1701" w:type="dxa"/>
            <w:vMerge w:val="continue"/>
            <w:shd w:val="clear" w:color="000000" w:fill="FFFFFF"/>
            <w:noWrap w:val="0"/>
            <w:vAlign w:val="center"/>
          </w:tcPr>
          <w:p w14:paraId="1BB94808">
            <w:pPr>
              <w:jc w:val="center"/>
              <w:rPr>
                <w:rFonts w:hint="eastAsia" w:ascii="宋体" w:hAnsi="宋体" w:eastAsia="宋体" w:cs="宋体"/>
                <w:sz w:val="21"/>
                <w:szCs w:val="21"/>
                <w:highlight w:val="none"/>
              </w:rPr>
            </w:pPr>
          </w:p>
        </w:tc>
        <w:tc>
          <w:tcPr>
            <w:tcW w:w="706" w:type="dxa"/>
            <w:shd w:val="clear" w:color="000000" w:fill="FFFFFF"/>
            <w:noWrap w:val="0"/>
            <w:vAlign w:val="center"/>
          </w:tcPr>
          <w:p w14:paraId="77DD82E3">
            <w:pPr>
              <w:jc w:val="center"/>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t>4</w:t>
            </w:r>
            <w:r>
              <w:rPr>
                <w:rFonts w:hint="eastAsia" w:ascii="宋体" w:hAnsi="宋体" w:eastAsia="宋体" w:cs="宋体"/>
                <w:bCs/>
                <w:sz w:val="21"/>
                <w:szCs w:val="21"/>
                <w:highlight w:val="none"/>
              </w:rPr>
              <w:t>分</w:t>
            </w:r>
          </w:p>
        </w:tc>
        <w:tc>
          <w:tcPr>
            <w:tcW w:w="6149" w:type="dxa"/>
            <w:shd w:val="clear" w:color="000000" w:fill="FFFFFF"/>
            <w:noWrap w:val="0"/>
            <w:vAlign w:val="center"/>
          </w:tcPr>
          <w:p w14:paraId="546C504D">
            <w:pPr>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拟派项目负责人自2023年1月1日以来（以合同签订时间为准），以项目负责人身份完成过的单个水利工程总金额2亿元及以上的预算审核业绩的，每个得2分，最高得4分。</w:t>
            </w:r>
          </w:p>
          <w:p w14:paraId="1C9C1412">
            <w:pPr>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备注：</w:t>
            </w:r>
          </w:p>
          <w:p w14:paraId="3968E5B0">
            <w:pPr>
              <w:jc w:val="left"/>
              <w:rPr>
                <w:rFonts w:hint="eastAsia" w:ascii="宋体" w:hAnsi="宋体" w:eastAsia="宋体" w:cs="宋体"/>
                <w:b/>
                <w:color w:val="000000" w:themeColor="text1"/>
                <w:sz w:val="21"/>
                <w:szCs w:val="21"/>
                <w:highlight w:val="none"/>
                <w:u w:val="single"/>
                <w:shd w:val="pct10" w:color="auto" w:fill="FFFFFF"/>
                <w14:textFill>
                  <w14:solidFill>
                    <w14:schemeClr w14:val="tx1"/>
                  </w14:solidFill>
                </w14:textFill>
              </w:rPr>
            </w:pPr>
            <w:r>
              <w:rPr>
                <w:rFonts w:hint="eastAsia" w:ascii="宋体" w:hAnsi="宋体" w:eastAsia="宋体" w:cs="宋体"/>
                <w:b/>
                <w:color w:val="000000" w:themeColor="text1"/>
                <w:sz w:val="21"/>
                <w:szCs w:val="21"/>
                <w:highlight w:val="none"/>
                <w:u w:val="single"/>
                <w:shd w:val="pct10" w:color="auto" w:fill="FFFFFF"/>
                <w14:textFill>
                  <w14:solidFill>
                    <w14:schemeClr w14:val="tx1"/>
                  </w14:solidFill>
                </w14:textFill>
              </w:rPr>
              <w:t>1、投标文件中须提供清晰可辨的合同</w:t>
            </w:r>
            <w:r>
              <w:rPr>
                <w:rFonts w:hint="eastAsia" w:ascii="宋体" w:hAnsi="宋体" w:eastAsia="宋体" w:cs="宋体"/>
                <w:b/>
                <w:color w:val="000000" w:themeColor="text1"/>
                <w:sz w:val="21"/>
                <w:szCs w:val="21"/>
                <w:highlight w:val="none"/>
                <w:u w:val="single"/>
                <w:shd w:val="pct10" w:color="auto" w:fill="FFFFFF"/>
                <w:lang w:eastAsia="zh-CN"/>
                <w14:textFill>
                  <w14:solidFill>
                    <w14:schemeClr w14:val="tx1"/>
                  </w14:solidFill>
                </w14:textFill>
              </w:rPr>
              <w:t>扫描件、咨询成果报告扫描件</w:t>
            </w:r>
            <w:r>
              <w:rPr>
                <w:rFonts w:hint="eastAsia" w:ascii="宋体" w:hAnsi="宋体" w:eastAsia="宋体" w:cs="宋体"/>
                <w:b/>
                <w:color w:val="000000" w:themeColor="text1"/>
                <w:sz w:val="21"/>
                <w:szCs w:val="21"/>
                <w:highlight w:val="none"/>
                <w:u w:val="single"/>
                <w:shd w:val="pct10" w:color="auto" w:fill="FFFFFF"/>
                <w14:textFill>
                  <w14:solidFill>
                    <w14:schemeClr w14:val="tx1"/>
                  </w14:solidFill>
                </w14:textFill>
              </w:rPr>
              <w:t>并加盖投标人公章。</w:t>
            </w:r>
          </w:p>
          <w:p w14:paraId="1A38BB4A">
            <w:pPr>
              <w:jc w:val="left"/>
              <w:rPr>
                <w:rFonts w:ascii="宋体" w:hAnsi="宋体" w:eastAsia="宋体" w:cs="宋体"/>
                <w:b/>
                <w:color w:val="000000" w:themeColor="text1"/>
                <w:sz w:val="21"/>
                <w:szCs w:val="21"/>
                <w:highlight w:val="none"/>
                <w:u w:val="single"/>
                <w:shd w:val="pct10" w:color="auto" w:fill="FFFFFF"/>
                <w:lang w:val="en-US" w:eastAsia="zh-CN"/>
                <w14:textFill>
                  <w14:solidFill>
                    <w14:schemeClr w14:val="tx1"/>
                  </w14:solidFill>
                </w14:textFill>
              </w:rPr>
            </w:pPr>
            <w:r>
              <w:rPr>
                <w:rFonts w:hint="eastAsia" w:ascii="宋体" w:hAnsi="宋体" w:eastAsia="宋体" w:cs="宋体"/>
                <w:b/>
                <w:color w:val="000000" w:themeColor="text1"/>
                <w:sz w:val="21"/>
                <w:szCs w:val="21"/>
                <w:highlight w:val="none"/>
                <w:u w:val="single"/>
                <w:shd w:val="pct10" w:color="auto" w:fill="FFFFFF"/>
                <w:lang w:val="en-US" w:eastAsia="zh-CN"/>
                <w14:textFill>
                  <w14:solidFill>
                    <w14:schemeClr w14:val="tx1"/>
                  </w14:solidFill>
                </w14:textFill>
              </w:rPr>
              <w:t>2、以上合同及咨询报告书均体现项目负责人姓名，若不能同时体现项目负责人姓名的，此项不得分。</w:t>
            </w:r>
          </w:p>
          <w:p w14:paraId="4D2BEB68">
            <w:pPr>
              <w:jc w:val="left"/>
              <w:rPr>
                <w:rFonts w:hint="eastAsia" w:ascii="宋体" w:hAnsi="宋体" w:eastAsia="宋体" w:cs="宋体"/>
                <w:b/>
                <w:color w:val="000000" w:themeColor="text1"/>
                <w:sz w:val="21"/>
                <w:szCs w:val="21"/>
                <w:highlight w:val="none"/>
                <w:u w:val="single"/>
                <w:shd w:val="pct10" w:color="auto" w:fill="FFFFFF"/>
                <w14:textFill>
                  <w14:solidFill>
                    <w14:schemeClr w14:val="tx1"/>
                  </w14:solidFill>
                </w14:textFill>
              </w:rPr>
            </w:pPr>
            <w:r>
              <w:rPr>
                <w:rFonts w:hint="eastAsia" w:ascii="宋体" w:hAnsi="宋体" w:eastAsia="宋体" w:cs="宋体"/>
                <w:b/>
                <w:color w:val="000000" w:themeColor="text1"/>
                <w:sz w:val="21"/>
                <w:szCs w:val="21"/>
                <w:highlight w:val="none"/>
                <w:u w:val="single"/>
                <w:shd w:val="pct10" w:color="auto" w:fill="FFFFFF"/>
                <w14:textFill>
                  <w14:solidFill>
                    <w14:schemeClr w14:val="tx1"/>
                  </w14:solidFill>
                </w14:textFill>
              </w:rPr>
              <w:t>3、如投标人提供的</w:t>
            </w:r>
            <w:r>
              <w:rPr>
                <w:rFonts w:hint="eastAsia" w:ascii="宋体" w:hAnsi="宋体" w:eastAsia="宋体" w:cs="宋体"/>
                <w:b/>
                <w:color w:val="000000" w:themeColor="text1"/>
                <w:sz w:val="21"/>
                <w:szCs w:val="21"/>
                <w:highlight w:val="none"/>
                <w:u w:val="single"/>
                <w:shd w:val="pct10" w:color="auto" w:fill="FFFFFF"/>
                <w:lang w:eastAsia="zh-CN"/>
                <w14:textFill>
                  <w14:solidFill>
                    <w14:schemeClr w14:val="tx1"/>
                  </w14:solidFill>
                </w14:textFill>
              </w:rPr>
              <w:t>扫描件</w:t>
            </w:r>
            <w:r>
              <w:rPr>
                <w:rFonts w:hint="eastAsia" w:ascii="宋体" w:hAnsi="宋体" w:eastAsia="宋体" w:cs="宋体"/>
                <w:b/>
                <w:color w:val="000000" w:themeColor="text1"/>
                <w:sz w:val="21"/>
                <w:szCs w:val="21"/>
                <w:highlight w:val="none"/>
                <w:u w:val="single"/>
                <w:shd w:val="pct10" w:color="auto" w:fill="FFFFFF"/>
                <w14:textFill>
                  <w14:solidFill>
                    <w14:schemeClr w14:val="tx1"/>
                  </w14:solidFill>
                </w14:textFill>
              </w:rPr>
              <w:t>因模糊不清而造成评标委员会在评审时做出对投标人不利的评审由投标人自行承担。</w:t>
            </w:r>
          </w:p>
          <w:p w14:paraId="2EA0852D">
            <w:pPr>
              <w:jc w:val="both"/>
              <w:rPr>
                <w:rFonts w:hint="eastAsia" w:ascii="宋体" w:hAnsi="宋体" w:eastAsia="宋体" w:cs="宋体"/>
                <w:b/>
                <w:bCs/>
                <w:sz w:val="21"/>
                <w:szCs w:val="21"/>
                <w:highlight w:val="none"/>
                <w:lang w:val="en-US" w:eastAsia="zh-CN"/>
              </w:rPr>
            </w:pPr>
            <w:r>
              <w:rPr>
                <w:rFonts w:hint="eastAsia" w:ascii="宋体" w:hAnsi="宋体" w:eastAsia="宋体" w:cs="宋体"/>
                <w:b/>
                <w:color w:val="000000" w:themeColor="text1"/>
                <w:sz w:val="21"/>
                <w:szCs w:val="21"/>
                <w:highlight w:val="none"/>
                <w:u w:val="single"/>
                <w:shd w:val="pct10" w:color="auto" w:fill="FFFFFF"/>
                <w:lang w:val="en-US" w:eastAsia="zh-CN"/>
                <w14:textFill>
                  <w14:solidFill>
                    <w14:schemeClr w14:val="tx1"/>
                  </w14:solidFill>
                </w14:textFill>
              </w:rPr>
              <w:t>4、招标人有权在确定中标后对业绩真实性进行审查，如有造假行为的，招标人有权解除合同，造成招标人损失的由中标人承担。</w:t>
            </w:r>
          </w:p>
        </w:tc>
      </w:tr>
      <w:tr w14:paraId="23758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7" w:hRule="atLeast"/>
        </w:trPr>
        <w:tc>
          <w:tcPr>
            <w:tcW w:w="724" w:type="dxa"/>
            <w:shd w:val="clear" w:color="000000" w:fill="FFFFFF"/>
            <w:noWrap w:val="0"/>
            <w:vAlign w:val="center"/>
          </w:tcPr>
          <w:p w14:paraId="07C09D01">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1701" w:type="dxa"/>
            <w:noWrap w:val="0"/>
            <w:vAlign w:val="center"/>
          </w:tcPr>
          <w:p w14:paraId="61485E84">
            <w:pPr>
              <w:pStyle w:val="6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项目团队情况（项目负责人除外）</w:t>
            </w:r>
          </w:p>
        </w:tc>
        <w:tc>
          <w:tcPr>
            <w:tcW w:w="706" w:type="dxa"/>
            <w:noWrap w:val="0"/>
            <w:vAlign w:val="center"/>
          </w:tcPr>
          <w:p w14:paraId="20CAE8FE">
            <w:pPr>
              <w:pStyle w:val="62"/>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18</w:t>
            </w:r>
            <w:r>
              <w:rPr>
                <w:rFonts w:hint="eastAsia" w:ascii="宋体" w:hAnsi="宋体" w:eastAsia="宋体" w:cs="宋体"/>
                <w:bCs/>
                <w:color w:val="auto"/>
                <w:sz w:val="21"/>
                <w:szCs w:val="21"/>
                <w:highlight w:val="none"/>
              </w:rPr>
              <w:t>分</w:t>
            </w:r>
          </w:p>
        </w:tc>
        <w:tc>
          <w:tcPr>
            <w:tcW w:w="6149" w:type="dxa"/>
            <w:noWrap w:val="0"/>
            <w:vAlign w:val="center"/>
          </w:tcPr>
          <w:p w14:paraId="05AF4DCF">
            <w:pPr>
              <w:keepNext w:val="0"/>
              <w:keepLines w:val="0"/>
              <w:pageBreakBefore w:val="0"/>
              <w:widowControl w:val="0"/>
              <w:kinsoku/>
              <w:wordWrap/>
              <w:overflowPunct/>
              <w:topLinePunct w:val="0"/>
              <w:bidi w:val="0"/>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（1）拟派团队成员中具有工程类高级工程师及以上专业技术职称的每个得3分，最多得12分。</w:t>
            </w:r>
          </w:p>
          <w:p w14:paraId="361D8FA8">
            <w:pPr>
              <w:keepNext w:val="0"/>
              <w:keepLines w:val="0"/>
              <w:pageBreakBefore w:val="0"/>
              <w:widowControl w:val="0"/>
              <w:kinsoku/>
              <w:wordWrap/>
              <w:overflowPunct/>
              <w:topLinePunct w:val="0"/>
              <w:bidi w:val="0"/>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（2）拟派团队成员数量在满足招标需求的基础上，每增加1名具有注册一级造价工程师执业证书的（水利工程或土木建筑专业或安装专业）得3分，最多得6分。</w:t>
            </w:r>
          </w:p>
          <w:p w14:paraId="02A89F56">
            <w:pPr>
              <w:keepNext w:val="0"/>
              <w:keepLines w:val="0"/>
              <w:pageBreakBefore w:val="0"/>
              <w:widowControl w:val="0"/>
              <w:kinsoku/>
              <w:wordWrap/>
              <w:overflowPunct/>
              <w:topLinePunct w:val="0"/>
              <w:bidi w:val="0"/>
              <w:snapToGrid/>
              <w:spacing w:line="240" w:lineRule="auto"/>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备注：</w:t>
            </w:r>
          </w:p>
          <w:p w14:paraId="3E88BA2E">
            <w:pPr>
              <w:keepNext w:val="0"/>
              <w:keepLines w:val="0"/>
              <w:pageBreakBefore w:val="0"/>
              <w:widowControl w:val="0"/>
              <w:kinsoku/>
              <w:wordWrap/>
              <w:overflowPunct/>
              <w:topLinePunct w:val="0"/>
              <w:bidi w:val="0"/>
              <w:snapToGrid/>
              <w:spacing w:line="240" w:lineRule="auto"/>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①</w:t>
            </w:r>
            <w:r>
              <w:rPr>
                <w:rFonts w:hint="eastAsia" w:ascii="宋体" w:hAnsi="宋体" w:eastAsia="宋体" w:cs="宋体"/>
                <w:b/>
                <w:bCs/>
                <w:color w:val="auto"/>
                <w:sz w:val="21"/>
                <w:szCs w:val="21"/>
                <w:highlight w:val="none"/>
              </w:rPr>
              <w:t>所有证书必须真实、合规，在有效期内。</w:t>
            </w:r>
          </w:p>
          <w:p w14:paraId="53538539">
            <w:pPr>
              <w:keepNext w:val="0"/>
              <w:keepLines w:val="0"/>
              <w:pageBreakBefore w:val="0"/>
              <w:widowControl w:val="0"/>
              <w:kinsoku/>
              <w:wordWrap/>
              <w:overflowPunct/>
              <w:topLinePunct w:val="0"/>
              <w:bidi w:val="0"/>
              <w:snapToGrid/>
              <w:spacing w:line="240" w:lineRule="auto"/>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②</w:t>
            </w:r>
            <w:r>
              <w:rPr>
                <w:rFonts w:hint="eastAsia" w:ascii="宋体" w:hAnsi="宋体" w:eastAsia="宋体" w:cs="宋体"/>
                <w:b/>
                <w:bCs/>
                <w:color w:val="auto"/>
                <w:sz w:val="21"/>
                <w:szCs w:val="21"/>
                <w:highlight w:val="none"/>
              </w:rPr>
              <w:t>投标文件中须提供清晰可辨的证书</w:t>
            </w:r>
            <w:r>
              <w:rPr>
                <w:rFonts w:hint="eastAsia" w:ascii="宋体" w:hAnsi="宋体" w:eastAsia="宋体" w:cs="宋体"/>
                <w:b/>
                <w:bCs/>
                <w:color w:val="auto"/>
                <w:sz w:val="21"/>
                <w:szCs w:val="21"/>
                <w:highlight w:val="none"/>
                <w:lang w:val="en-US" w:eastAsia="zh-CN"/>
              </w:rPr>
              <w:t>复印件</w:t>
            </w:r>
            <w:r>
              <w:rPr>
                <w:rFonts w:hint="eastAsia" w:ascii="宋体" w:hAnsi="宋体" w:eastAsia="宋体" w:cs="宋体"/>
                <w:b/>
                <w:bCs/>
                <w:color w:val="auto"/>
                <w:sz w:val="21"/>
                <w:szCs w:val="21"/>
                <w:highlight w:val="none"/>
              </w:rPr>
              <w:t>、身份证</w:t>
            </w:r>
            <w:r>
              <w:rPr>
                <w:rFonts w:hint="eastAsia" w:ascii="宋体" w:hAnsi="宋体" w:eastAsia="宋体" w:cs="宋体"/>
                <w:b/>
                <w:bCs/>
                <w:color w:val="auto"/>
                <w:sz w:val="21"/>
                <w:szCs w:val="21"/>
                <w:highlight w:val="none"/>
                <w:lang w:val="en-US" w:eastAsia="zh-CN"/>
              </w:rPr>
              <w:t>复印件</w:t>
            </w:r>
            <w:r>
              <w:rPr>
                <w:rFonts w:hint="eastAsia" w:ascii="宋体" w:hAnsi="宋体" w:eastAsia="宋体" w:cs="宋体"/>
                <w:b/>
                <w:bCs/>
                <w:color w:val="auto"/>
                <w:sz w:val="21"/>
                <w:szCs w:val="21"/>
                <w:highlight w:val="none"/>
              </w:rPr>
              <w:t>（正反面）。</w:t>
            </w:r>
          </w:p>
          <w:p w14:paraId="1948E866">
            <w:pPr>
              <w:keepNext w:val="0"/>
              <w:keepLines w:val="0"/>
              <w:pageBreakBefore w:val="0"/>
              <w:widowControl w:val="0"/>
              <w:kinsoku/>
              <w:wordWrap/>
              <w:overflowPunct/>
              <w:topLinePunct w:val="0"/>
              <w:bidi w:val="0"/>
              <w:snapToGrid/>
              <w:spacing w:line="240" w:lineRule="auto"/>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③</w:t>
            </w:r>
            <w:r>
              <w:rPr>
                <w:rFonts w:hint="eastAsia" w:ascii="宋体" w:hAnsi="宋体" w:eastAsia="宋体" w:cs="宋体"/>
                <w:b/>
                <w:bCs/>
                <w:color w:val="auto"/>
                <w:sz w:val="21"/>
                <w:szCs w:val="21"/>
                <w:highlight w:val="none"/>
              </w:rPr>
              <w:t>如投标人提供的证书扫描件因模糊不清而造成评标委员会在评审时做出对投标人不利的评审由投标人自行承担。</w:t>
            </w:r>
          </w:p>
          <w:p w14:paraId="7154369E">
            <w:pPr>
              <w:keepNext w:val="0"/>
              <w:keepLines w:val="0"/>
              <w:pageBreakBefore w:val="0"/>
              <w:widowControl w:val="0"/>
              <w:kinsoku/>
              <w:wordWrap/>
              <w:overflowPunct/>
              <w:topLinePunct w:val="0"/>
              <w:bidi w:val="0"/>
              <w:snapToGrid/>
              <w:spacing w:line="240" w:lineRule="auto"/>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④</w:t>
            </w:r>
            <w:r>
              <w:rPr>
                <w:rFonts w:hint="eastAsia" w:ascii="宋体" w:hAnsi="宋体" w:eastAsia="宋体" w:cs="宋体"/>
                <w:b/>
                <w:bCs/>
                <w:color w:val="auto"/>
                <w:sz w:val="21"/>
                <w:szCs w:val="21"/>
                <w:highlight w:val="none"/>
              </w:rPr>
              <w:t>提供由投标人为上述人员缴纳的近1年社保缴纳证明材料（如为社会保险机构盖章的网上打印件亦可），未按上述规定提供社保资料的不得分。</w:t>
            </w:r>
          </w:p>
          <w:p w14:paraId="629645D9">
            <w:pPr>
              <w:jc w:val="both"/>
              <w:rPr>
                <w:rFonts w:hint="eastAsia" w:ascii="宋体" w:hAnsi="宋体" w:eastAsia="宋体" w:cs="宋体"/>
                <w:sz w:val="21"/>
                <w:szCs w:val="21"/>
                <w:highlight w:val="none"/>
              </w:rPr>
            </w:pPr>
            <w:r>
              <w:rPr>
                <w:rFonts w:hint="eastAsia" w:ascii="宋体" w:hAnsi="宋体" w:eastAsia="宋体" w:cs="宋体"/>
                <w:b/>
                <w:bCs/>
                <w:color w:val="auto"/>
                <w:sz w:val="21"/>
                <w:szCs w:val="21"/>
                <w:highlight w:val="none"/>
                <w:lang w:val="en-US" w:eastAsia="zh-CN"/>
              </w:rPr>
              <w:t>⑤</w:t>
            </w:r>
            <w:r>
              <w:rPr>
                <w:rFonts w:hint="eastAsia" w:ascii="宋体" w:hAnsi="宋体" w:eastAsia="宋体" w:cs="宋体"/>
                <w:b/>
                <w:bCs/>
                <w:color w:val="auto"/>
                <w:sz w:val="21"/>
                <w:szCs w:val="21"/>
                <w:highlight w:val="none"/>
              </w:rPr>
              <w:t>注册一级造价工程师执业证书指《中华人民共和国造价工程师注册证书》、《中华人民共和国一级造价工程师注册证书》。</w:t>
            </w:r>
          </w:p>
        </w:tc>
      </w:tr>
      <w:tr w14:paraId="220F6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8" w:hRule="atLeast"/>
        </w:trPr>
        <w:tc>
          <w:tcPr>
            <w:tcW w:w="724" w:type="dxa"/>
            <w:shd w:val="clear" w:color="000000" w:fill="FFFFFF"/>
            <w:noWrap w:val="0"/>
            <w:vAlign w:val="center"/>
          </w:tcPr>
          <w:p w14:paraId="5B06606A">
            <w:pPr>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5</w:t>
            </w:r>
          </w:p>
        </w:tc>
        <w:tc>
          <w:tcPr>
            <w:tcW w:w="1701" w:type="dxa"/>
            <w:shd w:val="clear" w:color="000000" w:fill="FFFFFF"/>
            <w:noWrap w:val="0"/>
            <w:vAlign w:val="center"/>
          </w:tcPr>
          <w:p w14:paraId="27FB9EC6">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投标人业绩</w:t>
            </w:r>
          </w:p>
        </w:tc>
        <w:tc>
          <w:tcPr>
            <w:tcW w:w="706" w:type="dxa"/>
            <w:shd w:val="clear" w:color="000000" w:fill="FFFFFF"/>
            <w:noWrap w:val="0"/>
            <w:vAlign w:val="center"/>
          </w:tcPr>
          <w:p w14:paraId="3251D19B">
            <w:pPr>
              <w:jc w:val="center"/>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1</w:t>
            </w:r>
            <w:r>
              <w:rPr>
                <w:rFonts w:hint="eastAsia" w:ascii="宋体" w:hAnsi="宋体" w:eastAsia="宋体" w:cs="宋体"/>
                <w:bCs/>
                <w:sz w:val="21"/>
                <w:szCs w:val="21"/>
                <w:highlight w:val="none"/>
              </w:rPr>
              <w:t>分</w:t>
            </w:r>
          </w:p>
        </w:tc>
        <w:tc>
          <w:tcPr>
            <w:tcW w:w="6149" w:type="dxa"/>
            <w:shd w:val="clear" w:color="000000" w:fill="FFFFFF"/>
            <w:noWrap w:val="0"/>
            <w:vAlign w:val="center"/>
          </w:tcPr>
          <w:p w14:paraId="6CF350F4">
            <w:pPr>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提供20</w:t>
            </w:r>
            <w:r>
              <w:rPr>
                <w:rFonts w:hint="eastAsia" w:ascii="宋体" w:hAnsi="宋体" w:eastAsia="宋体" w:cs="宋体"/>
                <w:sz w:val="21"/>
                <w:szCs w:val="21"/>
                <w:highlight w:val="none"/>
                <w:lang w:val="en-US" w:eastAsia="zh-CN"/>
              </w:rPr>
              <w:t>2</w:t>
            </w: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rPr>
              <w:t>年1月1日以来（以合同签订时间为准）</w:t>
            </w:r>
            <w:r>
              <w:rPr>
                <w:rFonts w:hint="eastAsia" w:ascii="宋体" w:hAnsi="宋体" w:eastAsia="宋体" w:cs="宋体"/>
                <w:color w:val="auto"/>
                <w:sz w:val="21"/>
                <w:szCs w:val="21"/>
                <w:highlight w:val="none"/>
              </w:rPr>
              <w:t>承担</w:t>
            </w:r>
            <w:r>
              <w:rPr>
                <w:rFonts w:hint="eastAsia" w:ascii="宋体" w:hAnsi="宋体" w:eastAsia="宋体" w:cs="Times New Roman"/>
                <w:bCs/>
                <w:color w:val="auto"/>
                <w:sz w:val="21"/>
                <w:szCs w:val="21"/>
                <w:highlight w:val="none"/>
                <w:lang w:val="en-US" w:eastAsia="zh-CN"/>
              </w:rPr>
              <w:t>过中标价</w:t>
            </w:r>
            <w:r>
              <w:rPr>
                <w:rFonts w:hint="eastAsia" w:ascii="宋体" w:hAnsi="宋体" w:cs="Times New Roman"/>
                <w:bCs/>
                <w:color w:val="auto"/>
                <w:sz w:val="21"/>
                <w:szCs w:val="21"/>
                <w:highlight w:val="none"/>
                <w:lang w:val="en-US" w:eastAsia="zh-CN"/>
              </w:rPr>
              <w:t>3</w:t>
            </w:r>
            <w:r>
              <w:rPr>
                <w:rFonts w:hint="eastAsia" w:ascii="宋体" w:hAnsi="宋体" w:eastAsia="宋体" w:cs="Times New Roman"/>
                <w:bCs/>
                <w:color w:val="auto"/>
                <w:sz w:val="21"/>
                <w:szCs w:val="21"/>
                <w:highlight w:val="none"/>
                <w:lang w:val="en-US" w:eastAsia="zh-CN"/>
              </w:rPr>
              <w:t>亿元</w:t>
            </w:r>
            <w:r>
              <w:rPr>
                <w:rFonts w:hint="eastAsia" w:ascii="宋体" w:hAnsi="宋体" w:cs="Times New Roman"/>
                <w:bCs/>
                <w:color w:val="auto"/>
                <w:sz w:val="21"/>
                <w:szCs w:val="21"/>
                <w:highlight w:val="none"/>
                <w:lang w:val="en-US" w:eastAsia="zh-CN"/>
              </w:rPr>
              <w:t>及</w:t>
            </w:r>
            <w:r>
              <w:rPr>
                <w:rFonts w:hint="eastAsia" w:ascii="宋体" w:hAnsi="宋体" w:eastAsia="宋体" w:cs="Times New Roman"/>
                <w:bCs/>
                <w:color w:val="auto"/>
                <w:sz w:val="21"/>
                <w:szCs w:val="21"/>
                <w:highlight w:val="none"/>
                <w:lang w:val="en-US" w:eastAsia="zh-CN"/>
              </w:rPr>
              <w:t>以上（金额以中标通知书为准）的</w:t>
            </w:r>
            <w:r>
              <w:rPr>
                <w:rFonts w:hint="eastAsia" w:ascii="宋体" w:hAnsi="宋体" w:eastAsia="宋体" w:cs="宋体"/>
                <w:color w:val="auto"/>
                <w:sz w:val="21"/>
                <w:szCs w:val="21"/>
                <w:highlight w:val="none"/>
                <w:lang w:val="en-US" w:eastAsia="zh-CN"/>
              </w:rPr>
              <w:t>水利工程项目</w:t>
            </w:r>
            <w:r>
              <w:rPr>
                <w:rFonts w:hint="eastAsia" w:ascii="宋体" w:hAnsi="宋体" w:eastAsia="宋体" w:cs="Times New Roman"/>
                <w:bCs/>
                <w:color w:val="auto"/>
                <w:sz w:val="21"/>
                <w:szCs w:val="21"/>
                <w:highlight w:val="none"/>
                <w:lang w:val="en-US" w:eastAsia="zh-CN"/>
              </w:rPr>
              <w:t>施工总承包或工程总承包</w:t>
            </w:r>
            <w:r>
              <w:rPr>
                <w:rFonts w:hint="eastAsia" w:ascii="宋体" w:hAnsi="宋体" w:eastAsia="宋体" w:cs="宋体"/>
                <w:color w:val="auto"/>
                <w:sz w:val="21"/>
                <w:szCs w:val="21"/>
                <w:highlight w:val="none"/>
              </w:rPr>
              <w:t>预</w:t>
            </w:r>
            <w:r>
              <w:rPr>
                <w:rFonts w:hint="eastAsia" w:ascii="宋体" w:hAnsi="宋体" w:cs="宋体"/>
                <w:color w:val="auto"/>
                <w:sz w:val="21"/>
                <w:szCs w:val="21"/>
                <w:highlight w:val="none"/>
                <w:lang w:val="en-US" w:eastAsia="zh-CN"/>
              </w:rPr>
              <w:t>算</w:t>
            </w:r>
            <w:r>
              <w:rPr>
                <w:rFonts w:hint="eastAsia" w:ascii="宋体" w:hAnsi="宋体" w:eastAsia="宋体" w:cs="宋体"/>
                <w:color w:val="auto"/>
                <w:sz w:val="21"/>
                <w:szCs w:val="21"/>
                <w:highlight w:val="none"/>
              </w:rPr>
              <w:t>审核业绩的每个得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w:t>
            </w:r>
            <w:r>
              <w:rPr>
                <w:rFonts w:hint="eastAsia" w:ascii="宋体" w:hAnsi="宋体" w:eastAsia="宋体" w:cs="宋体"/>
                <w:sz w:val="21"/>
                <w:szCs w:val="21"/>
                <w:highlight w:val="none"/>
              </w:rPr>
              <w:t>，最高得</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w:t>
            </w:r>
          </w:p>
          <w:p w14:paraId="7E7D41A5">
            <w:pPr>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备注：</w:t>
            </w:r>
          </w:p>
          <w:p w14:paraId="0FA5DC99">
            <w:pPr>
              <w:jc w:val="both"/>
              <w:rPr>
                <w:rFonts w:hint="eastAsia" w:ascii="宋体" w:hAnsi="宋体" w:eastAsia="宋体" w:cs="宋体"/>
                <w:b/>
                <w:sz w:val="21"/>
                <w:szCs w:val="21"/>
                <w:highlight w:val="none"/>
                <w:u w:val="single"/>
                <w:shd w:val="pct10" w:color="auto" w:fill="FFFFFF"/>
              </w:rPr>
            </w:pPr>
            <w:r>
              <w:rPr>
                <w:rFonts w:hint="eastAsia" w:ascii="宋体" w:hAnsi="宋体" w:eastAsia="宋体" w:cs="宋体"/>
                <w:b/>
                <w:sz w:val="21"/>
                <w:szCs w:val="21"/>
                <w:highlight w:val="none"/>
                <w:u w:val="single"/>
                <w:shd w:val="pct10" w:color="auto" w:fill="FFFFFF"/>
                <w:lang w:val="en-US" w:eastAsia="zh-CN"/>
              </w:rPr>
              <w:t>①</w:t>
            </w:r>
            <w:r>
              <w:rPr>
                <w:rFonts w:hint="eastAsia" w:ascii="宋体" w:hAnsi="宋体" w:eastAsia="宋体" w:cs="宋体"/>
                <w:b/>
                <w:sz w:val="21"/>
                <w:szCs w:val="21"/>
                <w:highlight w:val="none"/>
                <w:u w:val="single"/>
                <w:shd w:val="pct10" w:color="auto" w:fill="FFFFFF"/>
              </w:rPr>
              <w:t>合同业绩须为本次投标人的业绩，投标人的独立法人子公司、参股公司的业绩均不予认可。</w:t>
            </w:r>
          </w:p>
          <w:p w14:paraId="38C0281B">
            <w:pPr>
              <w:jc w:val="both"/>
              <w:rPr>
                <w:rFonts w:hint="eastAsia" w:ascii="宋体" w:hAnsi="宋体" w:eastAsia="宋体" w:cs="宋体"/>
                <w:b/>
                <w:sz w:val="21"/>
                <w:szCs w:val="21"/>
                <w:highlight w:val="none"/>
                <w:u w:val="single"/>
                <w:shd w:val="pct10" w:color="auto" w:fill="FFFFFF"/>
              </w:rPr>
            </w:pPr>
            <w:r>
              <w:rPr>
                <w:rFonts w:hint="eastAsia" w:ascii="宋体" w:hAnsi="宋体" w:eastAsia="宋体" w:cs="宋体"/>
                <w:b/>
                <w:sz w:val="21"/>
                <w:szCs w:val="21"/>
                <w:highlight w:val="none"/>
                <w:u w:val="single"/>
                <w:shd w:val="pct10" w:color="auto" w:fill="FFFFFF"/>
                <w:lang w:val="en-US" w:eastAsia="zh-CN"/>
              </w:rPr>
              <w:t>②</w:t>
            </w:r>
            <w:r>
              <w:rPr>
                <w:rFonts w:hint="eastAsia" w:ascii="宋体" w:hAnsi="宋体" w:eastAsia="宋体" w:cs="宋体"/>
                <w:b/>
                <w:sz w:val="21"/>
                <w:szCs w:val="21"/>
                <w:highlight w:val="none"/>
                <w:u w:val="single"/>
                <w:shd w:val="pct10" w:color="auto" w:fill="FFFFFF"/>
              </w:rPr>
              <w:t>投标文件中须提供清晰可辨的</w:t>
            </w:r>
            <w:r>
              <w:rPr>
                <w:rFonts w:hint="eastAsia" w:ascii="宋体" w:hAnsi="宋体" w:cs="宋体"/>
                <w:b/>
                <w:sz w:val="21"/>
                <w:szCs w:val="21"/>
                <w:highlight w:val="none"/>
                <w:u w:val="single"/>
                <w:shd w:val="pct10" w:color="auto" w:fill="FFFFFF"/>
                <w:lang w:val="en-US" w:eastAsia="zh-CN"/>
              </w:rPr>
              <w:t>中标通知书、</w:t>
            </w:r>
            <w:r>
              <w:rPr>
                <w:rFonts w:hint="eastAsia" w:ascii="宋体" w:hAnsi="宋体" w:eastAsia="宋体" w:cs="宋体"/>
                <w:b/>
                <w:sz w:val="21"/>
                <w:szCs w:val="21"/>
                <w:highlight w:val="none"/>
                <w:u w:val="single"/>
                <w:shd w:val="pct10" w:color="auto" w:fill="FFFFFF"/>
              </w:rPr>
              <w:t>合同</w:t>
            </w:r>
            <w:r>
              <w:rPr>
                <w:rFonts w:hint="eastAsia" w:ascii="宋体" w:hAnsi="宋体" w:eastAsia="宋体" w:cs="宋体"/>
                <w:b/>
                <w:sz w:val="21"/>
                <w:szCs w:val="21"/>
                <w:highlight w:val="none"/>
                <w:u w:val="single"/>
                <w:shd w:val="pct10" w:color="auto" w:fill="FFFFFF"/>
                <w:lang w:eastAsia="zh-CN"/>
              </w:rPr>
              <w:t>复印件、咨询成果报告</w:t>
            </w:r>
            <w:r>
              <w:rPr>
                <w:rFonts w:hint="eastAsia" w:ascii="宋体" w:hAnsi="宋体" w:eastAsia="宋体" w:cs="宋体"/>
                <w:b/>
                <w:sz w:val="21"/>
                <w:szCs w:val="21"/>
                <w:highlight w:val="none"/>
                <w:u w:val="single"/>
                <w:shd w:val="pct10" w:color="auto" w:fill="FFFFFF"/>
              </w:rPr>
              <w:t>并加盖投标人公章及每个合同业绩</w:t>
            </w:r>
            <w:r>
              <w:rPr>
                <w:rFonts w:hint="eastAsia" w:ascii="宋体" w:hAnsi="宋体" w:eastAsia="宋体" w:cs="宋体"/>
                <w:b/>
                <w:sz w:val="21"/>
                <w:szCs w:val="21"/>
                <w:highlight w:val="none"/>
                <w:u w:val="single"/>
                <w:shd w:val="pct10" w:color="auto" w:fill="FFFFFF"/>
                <w:lang w:val="en-US" w:eastAsia="zh-CN"/>
              </w:rPr>
              <w:t>的</w:t>
            </w:r>
            <w:r>
              <w:rPr>
                <w:rFonts w:hint="eastAsia" w:ascii="宋体" w:hAnsi="宋体" w:eastAsia="宋体" w:cs="宋体"/>
                <w:b/>
                <w:sz w:val="21"/>
                <w:szCs w:val="21"/>
                <w:highlight w:val="none"/>
                <w:u w:val="single"/>
                <w:shd w:val="pct10" w:color="auto" w:fill="FFFFFF"/>
              </w:rPr>
              <w:t>发票</w:t>
            </w:r>
            <w:r>
              <w:rPr>
                <w:rFonts w:hint="eastAsia" w:ascii="宋体" w:hAnsi="宋体" w:eastAsia="宋体" w:cs="宋体"/>
                <w:b/>
                <w:sz w:val="21"/>
                <w:szCs w:val="21"/>
                <w:highlight w:val="none"/>
                <w:u w:val="single"/>
                <w:shd w:val="pct10" w:color="auto" w:fill="FFFFFF"/>
                <w:lang w:eastAsia="zh-CN"/>
              </w:rPr>
              <w:t>复印件</w:t>
            </w:r>
            <w:r>
              <w:rPr>
                <w:rFonts w:hint="eastAsia" w:ascii="宋体" w:hAnsi="宋体" w:eastAsia="宋体" w:cs="宋体"/>
                <w:b/>
                <w:sz w:val="21"/>
                <w:szCs w:val="21"/>
                <w:highlight w:val="none"/>
                <w:u w:val="single"/>
                <w:shd w:val="pct10" w:color="auto" w:fill="FFFFFF"/>
              </w:rPr>
              <w:t>并加盖投标人公章。</w:t>
            </w:r>
          </w:p>
          <w:p w14:paraId="23A9F0EE">
            <w:pPr>
              <w:jc w:val="both"/>
              <w:rPr>
                <w:rFonts w:hint="eastAsia" w:ascii="宋体" w:hAnsi="宋体" w:eastAsia="宋体" w:cs="宋体"/>
                <w:b/>
                <w:sz w:val="21"/>
                <w:szCs w:val="21"/>
                <w:highlight w:val="none"/>
                <w:u w:val="single"/>
                <w:shd w:val="pct10" w:color="auto" w:fill="FFFFFF"/>
              </w:rPr>
            </w:pPr>
            <w:r>
              <w:rPr>
                <w:rFonts w:hint="eastAsia" w:ascii="宋体" w:hAnsi="宋体" w:eastAsia="宋体" w:cs="宋体"/>
                <w:b/>
                <w:sz w:val="21"/>
                <w:szCs w:val="21"/>
                <w:highlight w:val="none"/>
                <w:u w:val="single"/>
                <w:shd w:val="pct10" w:color="auto" w:fill="FFFFFF"/>
                <w:lang w:val="en-US" w:eastAsia="zh-CN"/>
              </w:rPr>
              <w:t>③</w:t>
            </w:r>
            <w:r>
              <w:rPr>
                <w:rFonts w:hint="eastAsia" w:ascii="宋体" w:hAnsi="宋体" w:eastAsia="宋体" w:cs="宋体"/>
                <w:b/>
                <w:sz w:val="21"/>
                <w:szCs w:val="21"/>
                <w:highlight w:val="none"/>
                <w:u w:val="single"/>
                <w:shd w:val="pct10" w:color="auto" w:fill="FFFFFF"/>
              </w:rPr>
              <w:t>如投标人提供的合同</w:t>
            </w:r>
            <w:r>
              <w:rPr>
                <w:rFonts w:hint="eastAsia" w:ascii="宋体" w:hAnsi="宋体" w:eastAsia="宋体" w:cs="宋体"/>
                <w:b/>
                <w:sz w:val="21"/>
                <w:szCs w:val="21"/>
                <w:highlight w:val="none"/>
                <w:u w:val="single"/>
                <w:shd w:val="pct10" w:color="auto" w:fill="FFFFFF"/>
                <w:lang w:eastAsia="zh-CN"/>
              </w:rPr>
              <w:t>复印件或咨询成果报告复印件</w:t>
            </w:r>
            <w:r>
              <w:rPr>
                <w:rFonts w:hint="eastAsia" w:ascii="宋体" w:hAnsi="宋体" w:eastAsia="宋体" w:cs="宋体"/>
                <w:b/>
                <w:sz w:val="21"/>
                <w:szCs w:val="21"/>
                <w:highlight w:val="none"/>
                <w:u w:val="single"/>
                <w:shd w:val="pct10" w:color="auto" w:fill="FFFFFF"/>
              </w:rPr>
              <w:t>或发票</w:t>
            </w:r>
            <w:r>
              <w:rPr>
                <w:rFonts w:hint="eastAsia" w:ascii="宋体" w:hAnsi="宋体" w:eastAsia="宋体" w:cs="宋体"/>
                <w:b/>
                <w:sz w:val="21"/>
                <w:szCs w:val="21"/>
                <w:highlight w:val="none"/>
                <w:u w:val="single"/>
                <w:shd w:val="pct10" w:color="auto" w:fill="FFFFFF"/>
                <w:lang w:eastAsia="zh-CN"/>
              </w:rPr>
              <w:t>复印件</w:t>
            </w:r>
            <w:r>
              <w:rPr>
                <w:rFonts w:hint="eastAsia" w:ascii="宋体" w:hAnsi="宋体" w:eastAsia="宋体" w:cs="宋体"/>
                <w:b/>
                <w:sz w:val="21"/>
                <w:szCs w:val="21"/>
                <w:highlight w:val="none"/>
                <w:u w:val="single"/>
                <w:shd w:val="pct10" w:color="auto" w:fill="FFFFFF"/>
              </w:rPr>
              <w:t>因模糊不清而造成评标委员会在评审时做出对投标人不利的评审由投标人自行承担。</w:t>
            </w:r>
          </w:p>
          <w:p w14:paraId="67A539CB">
            <w:pPr>
              <w:jc w:val="both"/>
              <w:rPr>
                <w:rFonts w:hint="eastAsia" w:ascii="宋体" w:hAnsi="宋体" w:eastAsia="宋体" w:cs="宋体"/>
                <w:sz w:val="21"/>
                <w:szCs w:val="21"/>
                <w:highlight w:val="none"/>
              </w:rPr>
            </w:pPr>
            <w:r>
              <w:rPr>
                <w:rFonts w:hint="eastAsia" w:ascii="宋体" w:hAnsi="宋体" w:eastAsia="宋体" w:cs="宋体"/>
                <w:b/>
                <w:sz w:val="21"/>
                <w:szCs w:val="21"/>
                <w:highlight w:val="none"/>
                <w:u w:val="single"/>
                <w:shd w:val="pct10" w:color="auto" w:fill="FFFFFF"/>
                <w:lang w:val="en-US" w:eastAsia="zh-CN"/>
              </w:rPr>
              <w:t>④</w:t>
            </w:r>
            <w:r>
              <w:rPr>
                <w:rFonts w:hint="eastAsia" w:ascii="宋体" w:hAnsi="宋体" w:eastAsia="宋体" w:cs="宋体"/>
                <w:b/>
                <w:sz w:val="21"/>
                <w:szCs w:val="21"/>
                <w:highlight w:val="none"/>
                <w:u w:val="single"/>
                <w:shd w:val="pct10" w:color="auto" w:fill="FFFFFF"/>
              </w:rPr>
              <w:t>评标过程中如须核实发票网上信息的，投标人需提供配合。</w:t>
            </w:r>
          </w:p>
        </w:tc>
      </w:tr>
      <w:tr w14:paraId="2B868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724" w:type="dxa"/>
            <w:shd w:val="clear" w:color="000000" w:fill="FFFFFF"/>
            <w:noWrap w:val="0"/>
            <w:vAlign w:val="center"/>
          </w:tcPr>
          <w:p w14:paraId="70D3EC09">
            <w:pPr>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6</w:t>
            </w:r>
          </w:p>
        </w:tc>
        <w:tc>
          <w:tcPr>
            <w:tcW w:w="1701" w:type="dxa"/>
            <w:shd w:val="clear" w:color="000000" w:fill="FFFFFF"/>
            <w:noWrap w:val="0"/>
            <w:vAlign w:val="center"/>
          </w:tcPr>
          <w:p w14:paraId="61B1DA31">
            <w:pPr>
              <w:jc w:val="center"/>
              <w:rPr>
                <w:rFonts w:hint="eastAsia" w:ascii="宋体" w:hAnsi="宋体" w:eastAsia="宋体" w:cs="宋体"/>
                <w:sz w:val="21"/>
                <w:szCs w:val="21"/>
                <w:highlight w:val="none"/>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类似项目评价</w:t>
            </w:r>
          </w:p>
        </w:tc>
        <w:tc>
          <w:tcPr>
            <w:tcW w:w="706" w:type="dxa"/>
            <w:shd w:val="clear" w:color="000000" w:fill="FFFFFF"/>
            <w:noWrap w:val="0"/>
            <w:vAlign w:val="center"/>
          </w:tcPr>
          <w:p w14:paraId="3A8340F8">
            <w:pPr>
              <w:jc w:val="center"/>
              <w:rPr>
                <w:rFonts w:hint="eastAsia" w:ascii="宋体" w:hAnsi="宋体" w:cs="宋体"/>
                <w:bCs/>
                <w:sz w:val="21"/>
                <w:szCs w:val="21"/>
                <w:highlight w:val="none"/>
                <w:lang w:val="en-US" w:eastAsia="zh-CN"/>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8分</w:t>
            </w:r>
          </w:p>
        </w:tc>
        <w:tc>
          <w:tcPr>
            <w:tcW w:w="6149" w:type="dxa"/>
            <w:shd w:val="clear" w:color="000000" w:fill="FFFFFF"/>
            <w:noWrap w:val="0"/>
            <w:vAlign w:val="center"/>
          </w:tcPr>
          <w:p w14:paraId="1828B974">
            <w:pPr>
              <w:widowControl w:val="0"/>
              <w:autoSpaceDE w:val="0"/>
              <w:autoSpaceDN w:val="0"/>
              <w:adjustRightInd w:val="0"/>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投标人每提供单个</w:t>
            </w:r>
            <w:r>
              <w:rPr>
                <w:rFonts w:hint="eastAsia" w:ascii="宋体" w:hAnsi="宋体" w:cs="宋体"/>
                <w:color w:val="000000" w:themeColor="text1"/>
                <w:kern w:val="2"/>
                <w:sz w:val="21"/>
                <w:szCs w:val="21"/>
                <w:highlight w:val="none"/>
                <w:lang w:val="en-US" w:eastAsia="zh-CN" w:bidi="ar-SA"/>
                <w14:textFill>
                  <w14:solidFill>
                    <w14:schemeClr w14:val="tx1"/>
                  </w14:solidFill>
                </w14:textFill>
              </w:rPr>
              <w:t>水利</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工程总金额</w:t>
            </w:r>
            <w:r>
              <w:rPr>
                <w:rFonts w:hint="eastAsia" w:ascii="宋体" w:hAnsi="宋体" w:cs="宋体"/>
                <w:color w:val="000000" w:themeColor="text1"/>
                <w:kern w:val="2"/>
                <w:sz w:val="21"/>
                <w:szCs w:val="21"/>
                <w:highlight w:val="none"/>
                <w:lang w:val="en-US" w:eastAsia="zh-CN" w:bidi="ar-SA"/>
                <w14:textFill>
                  <w14:solidFill>
                    <w14:schemeClr w14:val="tx1"/>
                  </w14:solidFill>
                </w14:textFill>
              </w:rPr>
              <w:t>3</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亿元及以上预算审核项目的业主单位评价，且评价为好或优的，每个评价得2分，最高得8分。未提供或提供评价为中等的（不为好或优的）不得分。</w:t>
            </w:r>
          </w:p>
          <w:p w14:paraId="28E4DB76">
            <w:pPr>
              <w:widowControl w:val="0"/>
              <w:autoSpaceDE w:val="0"/>
              <w:autoSpaceDN w:val="0"/>
              <w:adjustRightInd w:val="0"/>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备注：</w:t>
            </w:r>
          </w:p>
          <w:p w14:paraId="5C7A6EA0">
            <w:pPr>
              <w:widowControl w:val="0"/>
              <w:autoSpaceDE w:val="0"/>
              <w:autoSpaceDN w:val="0"/>
              <w:adjustRightInd w:val="0"/>
              <w:rPr>
                <w:rFonts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ascii="宋体" w:hAnsi="宋体" w:eastAsia="宋体" w:cs="宋体"/>
                <w:color w:val="000000" w:themeColor="text1"/>
                <w:kern w:val="2"/>
                <w:sz w:val="21"/>
                <w:szCs w:val="21"/>
                <w:highlight w:val="none"/>
                <w:lang w:val="en-US" w:eastAsia="zh-CN" w:bidi="ar-SA"/>
                <w14:textFill>
                  <w14:solidFill>
                    <w14:schemeClr w14:val="tx1"/>
                  </w14:solidFill>
                </w14:textFill>
              </w:rPr>
              <w:t>1、投标文件中须提供清晰可辨的</w:t>
            </w:r>
            <w:r>
              <w:rPr>
                <w:rFonts w:hint="eastAsia" w:ascii="宋体" w:hAnsi="宋体" w:eastAsia="宋体" w:cs="宋体"/>
                <w:b/>
                <w:color w:val="000000" w:themeColor="text1"/>
                <w:sz w:val="21"/>
                <w:szCs w:val="21"/>
                <w:highlight w:val="none"/>
                <w:u w:val="single"/>
                <w:shd w:val="pct10" w:color="auto" w:fill="FFFFFF"/>
                <w14:textFill>
                  <w14:solidFill>
                    <w14:schemeClr w14:val="tx1"/>
                  </w14:solidFill>
                </w14:textFill>
              </w:rPr>
              <w:t>合同</w:t>
            </w:r>
            <w:r>
              <w:rPr>
                <w:rFonts w:hint="eastAsia" w:ascii="宋体" w:hAnsi="宋体" w:eastAsia="宋体" w:cs="宋体"/>
                <w:b/>
                <w:color w:val="000000" w:themeColor="text1"/>
                <w:sz w:val="21"/>
                <w:szCs w:val="21"/>
                <w:highlight w:val="none"/>
                <w:u w:val="single"/>
                <w:shd w:val="pct10" w:color="auto" w:fill="FFFFFF"/>
                <w:lang w:eastAsia="zh-CN"/>
                <w14:textFill>
                  <w14:solidFill>
                    <w14:schemeClr w14:val="tx1"/>
                  </w14:solidFill>
                </w14:textFill>
              </w:rPr>
              <w:t>扫描件、咨询成果报告扫描件</w:t>
            </w:r>
            <w:r>
              <w:rPr>
                <w:rFonts w:ascii="宋体" w:hAnsi="宋体" w:eastAsia="宋体" w:cs="宋体"/>
                <w:color w:val="000000" w:themeColor="text1"/>
                <w:kern w:val="2"/>
                <w:sz w:val="21"/>
                <w:szCs w:val="21"/>
                <w:highlight w:val="none"/>
                <w:lang w:val="en-US" w:eastAsia="zh-CN" w:bidi="ar-SA"/>
                <w14:textFill>
                  <w14:solidFill>
                    <w14:schemeClr w14:val="tx1"/>
                  </w14:solidFill>
                </w14:textFill>
              </w:rPr>
              <w:t>。</w:t>
            </w:r>
          </w:p>
          <w:p w14:paraId="58501769">
            <w:pPr>
              <w:widowControl w:val="0"/>
              <w:autoSpaceDE w:val="0"/>
              <w:autoSpaceDN w:val="0"/>
              <w:adjustRightInd w:val="0"/>
              <w:rPr>
                <w:rFonts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ascii="宋体" w:hAnsi="宋体" w:eastAsia="宋体" w:cs="宋体"/>
                <w:color w:val="000000" w:themeColor="text1"/>
                <w:kern w:val="2"/>
                <w:sz w:val="21"/>
                <w:szCs w:val="21"/>
                <w:highlight w:val="none"/>
                <w:lang w:val="en-US" w:eastAsia="zh-CN" w:bidi="ar-SA"/>
                <w14:textFill>
                  <w14:solidFill>
                    <w14:schemeClr w14:val="tx1"/>
                  </w14:solidFill>
                </w14:textFill>
              </w:rPr>
              <w:t>2、项目评价须加盖业绩项目业主单位公章，并提供评价人及联系方式。</w:t>
            </w:r>
          </w:p>
          <w:p w14:paraId="1E3C1CD4">
            <w:pPr>
              <w:jc w:val="both"/>
              <w:rPr>
                <w:rFonts w:hint="eastAsia" w:ascii="宋体" w:hAnsi="宋体" w:eastAsia="宋体" w:cs="宋体"/>
                <w:b/>
                <w:sz w:val="21"/>
                <w:szCs w:val="21"/>
                <w:highlight w:val="none"/>
                <w:u w:val="single"/>
                <w:shd w:val="pct10" w:color="auto" w:fill="FFFFFF"/>
                <w:lang w:val="en-US" w:eastAsia="zh-CN"/>
              </w:rPr>
            </w:pPr>
            <w:r>
              <w:rPr>
                <w:rFonts w:ascii="宋体" w:hAnsi="宋体" w:eastAsia="宋体" w:cs="宋体"/>
                <w:color w:val="000000" w:themeColor="text1"/>
                <w:kern w:val="2"/>
                <w:sz w:val="21"/>
                <w:szCs w:val="21"/>
                <w:highlight w:val="none"/>
                <w:lang w:val="en-US" w:eastAsia="zh-CN" w:bidi="ar-SA"/>
                <w14:textFill>
                  <w14:solidFill>
                    <w14:schemeClr w14:val="tx1"/>
                  </w14:solidFill>
                </w14:textFill>
              </w:rPr>
              <w:t>3、</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招标人</w:t>
            </w:r>
            <w:r>
              <w:rPr>
                <w:rFonts w:ascii="宋体" w:hAnsi="宋体" w:eastAsia="宋体" w:cs="宋体"/>
                <w:color w:val="000000" w:themeColor="text1"/>
                <w:kern w:val="2"/>
                <w:sz w:val="21"/>
                <w:szCs w:val="21"/>
                <w:highlight w:val="none"/>
                <w:lang w:val="en-US" w:eastAsia="zh-CN" w:bidi="ar-SA"/>
                <w14:textFill>
                  <w14:solidFill>
                    <w14:schemeClr w14:val="tx1"/>
                  </w14:solidFill>
                </w14:textFill>
              </w:rPr>
              <w:t>有权在确定中标后对评价的真实性进行审查，如有造假行为的，</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招标人</w:t>
            </w:r>
            <w:r>
              <w:rPr>
                <w:rFonts w:ascii="宋体" w:hAnsi="宋体" w:eastAsia="宋体" w:cs="宋体"/>
                <w:color w:val="000000" w:themeColor="text1"/>
                <w:kern w:val="2"/>
                <w:sz w:val="21"/>
                <w:szCs w:val="21"/>
                <w:highlight w:val="none"/>
                <w:lang w:val="en-US" w:eastAsia="zh-CN" w:bidi="ar-SA"/>
                <w14:textFill>
                  <w14:solidFill>
                    <w14:schemeClr w14:val="tx1"/>
                  </w14:solidFill>
                </w14:textFill>
              </w:rPr>
              <w:t>有权解除合同，造成</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招标人</w:t>
            </w:r>
            <w:r>
              <w:rPr>
                <w:rFonts w:ascii="宋体" w:hAnsi="宋体" w:eastAsia="宋体" w:cs="宋体"/>
                <w:color w:val="000000" w:themeColor="text1"/>
                <w:kern w:val="2"/>
                <w:sz w:val="21"/>
                <w:szCs w:val="21"/>
                <w:highlight w:val="none"/>
                <w:lang w:val="en-US" w:eastAsia="zh-CN" w:bidi="ar-SA"/>
                <w14:textFill>
                  <w14:solidFill>
                    <w14:schemeClr w14:val="tx1"/>
                  </w14:solidFill>
                </w14:textFill>
              </w:rPr>
              <w:t>损失的由中标人承担。</w:t>
            </w:r>
          </w:p>
        </w:tc>
      </w:tr>
      <w:tr w14:paraId="558C1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724" w:type="dxa"/>
            <w:vMerge w:val="restart"/>
            <w:shd w:val="clear" w:color="000000" w:fill="FFFFFF"/>
            <w:noWrap w:val="0"/>
            <w:vAlign w:val="center"/>
          </w:tcPr>
          <w:p w14:paraId="539690FB">
            <w:pPr>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7</w:t>
            </w:r>
          </w:p>
        </w:tc>
        <w:tc>
          <w:tcPr>
            <w:tcW w:w="1701" w:type="dxa"/>
            <w:vMerge w:val="restart"/>
            <w:shd w:val="clear" w:color="000000" w:fill="FFFFFF"/>
            <w:noWrap w:val="0"/>
            <w:vAlign w:val="center"/>
          </w:tcPr>
          <w:p w14:paraId="5F526191">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服务实施方案</w:t>
            </w:r>
          </w:p>
        </w:tc>
        <w:tc>
          <w:tcPr>
            <w:tcW w:w="706" w:type="dxa"/>
            <w:shd w:val="clear" w:color="000000" w:fill="FFFFFF"/>
            <w:noWrap w:val="0"/>
            <w:vAlign w:val="center"/>
          </w:tcPr>
          <w:p w14:paraId="016DCE67">
            <w:pPr>
              <w:jc w:val="center"/>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20</w:t>
            </w:r>
            <w:r>
              <w:rPr>
                <w:rFonts w:hint="eastAsia" w:ascii="宋体" w:hAnsi="宋体" w:eastAsia="宋体" w:cs="宋体"/>
                <w:bCs/>
                <w:sz w:val="21"/>
                <w:szCs w:val="21"/>
                <w:highlight w:val="none"/>
              </w:rPr>
              <w:t>分</w:t>
            </w:r>
          </w:p>
        </w:tc>
        <w:tc>
          <w:tcPr>
            <w:tcW w:w="6149" w:type="dxa"/>
            <w:shd w:val="clear" w:color="000000" w:fill="FFFFFF"/>
            <w:noWrap w:val="0"/>
            <w:vAlign w:val="center"/>
          </w:tcPr>
          <w:p w14:paraId="1634D3EA">
            <w:pPr>
              <w:keepNext w:val="0"/>
              <w:keepLines w:val="0"/>
              <w:pageBreakBefore w:val="0"/>
              <w:widowControl w:val="0"/>
              <w:kinsoku/>
              <w:wordWrap/>
              <w:overflowPunct/>
              <w:topLinePunct w:val="0"/>
              <w:bidi w:val="0"/>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（1）根据咨询服务大纲内容进行打分</w:t>
            </w:r>
            <w:r>
              <w:rPr>
                <w:rFonts w:hint="eastAsia" w:ascii="宋体" w:hAnsi="宋体" w:eastAsia="宋体" w:cs="宋体"/>
                <w:color w:val="auto"/>
                <w:sz w:val="21"/>
                <w:szCs w:val="21"/>
                <w:highlight w:val="none"/>
                <w:lang w:val="zh-CN" w:eastAsia="zh-CN"/>
              </w:rPr>
              <w:t>（0-</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zh-CN" w:eastAsia="zh-CN"/>
              </w:rPr>
              <w:t>分）。</w:t>
            </w:r>
          </w:p>
          <w:p w14:paraId="43995817">
            <w:pPr>
              <w:keepNext w:val="0"/>
              <w:keepLines w:val="0"/>
              <w:pageBreakBefore w:val="0"/>
              <w:widowControl w:val="0"/>
              <w:kinsoku/>
              <w:wordWrap/>
              <w:overflowPunct/>
              <w:topLinePunct w:val="0"/>
              <w:bidi w:val="0"/>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（2）根据造价咨询成果质量控制要点以及对后续复审的应对措施进行打分（0-</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分）。</w:t>
            </w:r>
          </w:p>
          <w:p w14:paraId="70702727">
            <w:pPr>
              <w:keepNext w:val="0"/>
              <w:keepLines w:val="0"/>
              <w:pageBreakBefore w:val="0"/>
              <w:widowControl w:val="0"/>
              <w:kinsoku/>
              <w:wordWrap/>
              <w:overflowPunct/>
              <w:topLinePunct w:val="0"/>
              <w:bidi w:val="0"/>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（3）根据审核流程及组织分工（如何保证在规定的标准期限内完成各阶段工作、工作计划）进行打分（0-</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分）。</w:t>
            </w:r>
          </w:p>
          <w:p w14:paraId="0CF63024">
            <w:pPr>
              <w:keepNext w:val="0"/>
              <w:keepLines w:val="0"/>
              <w:pageBreakBefore w:val="0"/>
              <w:widowControl w:val="0"/>
              <w:kinsoku/>
              <w:wordWrap/>
              <w:overflowPunct/>
              <w:topLinePunct w:val="0"/>
              <w:bidi w:val="0"/>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（4）根据投标人对本项目对于无价材料询价工作的应对措施及协调工作（0-</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分）。</w:t>
            </w:r>
          </w:p>
          <w:p w14:paraId="5C652610">
            <w:pPr>
              <w:keepNext w:val="0"/>
              <w:keepLines w:val="0"/>
              <w:pageBreakBefore w:val="0"/>
              <w:widowControl w:val="0"/>
              <w:kinsoku/>
              <w:wordWrap/>
              <w:overflowPunct/>
              <w:topLinePunct w:val="0"/>
              <w:bidi w:val="0"/>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（5）根据投标人对本项目造价咨询新工艺工法、无定额项目处理方案（0-</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分）。</w:t>
            </w:r>
          </w:p>
          <w:p w14:paraId="37592647">
            <w:pPr>
              <w:keepNext w:val="0"/>
              <w:keepLines w:val="0"/>
              <w:pageBreakBefore w:val="0"/>
              <w:widowControl w:val="0"/>
              <w:kinsoku/>
              <w:wordWrap/>
              <w:overflowPunct/>
              <w:topLinePunct w:val="0"/>
              <w:bidi w:val="0"/>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（6）根据投标人对本项目预算审核的重点、难点分析进行打分（0-</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分）。</w:t>
            </w:r>
          </w:p>
          <w:p w14:paraId="2780BD20">
            <w:pPr>
              <w:keepNext w:val="0"/>
              <w:keepLines w:val="0"/>
              <w:pageBreakBefore w:val="0"/>
              <w:widowControl w:val="0"/>
              <w:kinsoku/>
              <w:wordWrap/>
              <w:overflowPunct/>
              <w:topLinePunct w:val="0"/>
              <w:bidi w:val="0"/>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（7）根据投标人对本项目预算审核的处理措施进行打分（0-</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分）。</w:t>
            </w:r>
          </w:p>
          <w:p w14:paraId="1CBCE805">
            <w:pPr>
              <w:keepNext w:val="0"/>
              <w:keepLines w:val="0"/>
              <w:pageBreakBefore w:val="0"/>
              <w:widowControl w:val="0"/>
              <w:kinsoku/>
              <w:wordWrap/>
              <w:overflowPunct/>
              <w:topLinePunct w:val="0"/>
              <w:bidi w:val="0"/>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（8）根据投标人对项目争议解决机制方案进行打分（0-</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分）。</w:t>
            </w:r>
          </w:p>
          <w:p w14:paraId="21FF7493">
            <w:pPr>
              <w:keepNext w:val="0"/>
              <w:keepLines w:val="0"/>
              <w:pageBreakBefore w:val="0"/>
              <w:widowControl w:val="0"/>
              <w:kinsoku/>
              <w:wordWrap/>
              <w:overflowPunct/>
              <w:topLinePunct w:val="0"/>
              <w:bidi w:val="0"/>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（9）根据投标人对项目误差率控制方案进行打分（0-</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分）。</w:t>
            </w:r>
          </w:p>
          <w:p w14:paraId="4BCA871A">
            <w:pPr>
              <w:keepNext w:val="0"/>
              <w:keepLines w:val="0"/>
              <w:pageBreakBefore w:val="0"/>
              <w:widowControl w:val="0"/>
              <w:kinsoku/>
              <w:wordWrap/>
              <w:overflowPunct/>
              <w:topLinePunct w:val="0"/>
              <w:bidi w:val="0"/>
              <w:snapToGrid/>
              <w:spacing w:line="240" w:lineRule="auto"/>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lang w:val="en-US" w:eastAsia="zh-CN"/>
              </w:rPr>
              <w:t>（10）根据投标人与预算编制单位、临海市财政项目预算审核中心及相关单位的对接方案进行打分（0-</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分）。</w:t>
            </w:r>
          </w:p>
        </w:tc>
      </w:tr>
      <w:tr w14:paraId="5BC56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24" w:type="dxa"/>
            <w:vMerge w:val="continue"/>
            <w:shd w:val="clear" w:color="000000" w:fill="FFFFFF"/>
            <w:noWrap w:val="0"/>
            <w:vAlign w:val="center"/>
          </w:tcPr>
          <w:p w14:paraId="3D812369">
            <w:pPr>
              <w:jc w:val="center"/>
              <w:rPr>
                <w:rFonts w:hint="default" w:ascii="宋体" w:hAnsi="宋体" w:eastAsia="宋体" w:cs="宋体"/>
                <w:sz w:val="21"/>
                <w:szCs w:val="21"/>
                <w:highlight w:val="none"/>
                <w:lang w:val="en-US" w:eastAsia="zh-CN"/>
              </w:rPr>
            </w:pPr>
          </w:p>
        </w:tc>
        <w:tc>
          <w:tcPr>
            <w:tcW w:w="1701" w:type="dxa"/>
            <w:vMerge w:val="continue"/>
            <w:shd w:val="clear" w:color="000000" w:fill="FFFFFF"/>
            <w:noWrap w:val="0"/>
            <w:vAlign w:val="center"/>
          </w:tcPr>
          <w:p w14:paraId="10F6CAB3">
            <w:pPr>
              <w:jc w:val="center"/>
              <w:rPr>
                <w:rFonts w:hint="eastAsia" w:ascii="宋体" w:hAnsi="宋体" w:eastAsia="宋体" w:cs="宋体"/>
                <w:kern w:val="2"/>
                <w:sz w:val="21"/>
                <w:szCs w:val="21"/>
                <w:highlight w:val="none"/>
                <w:lang w:val="en-US" w:eastAsia="zh-CN" w:bidi="ar-SA"/>
              </w:rPr>
            </w:pPr>
          </w:p>
        </w:tc>
        <w:tc>
          <w:tcPr>
            <w:tcW w:w="706" w:type="dxa"/>
            <w:shd w:val="clear" w:color="000000" w:fill="FFFFFF"/>
            <w:noWrap w:val="0"/>
            <w:vAlign w:val="center"/>
          </w:tcPr>
          <w:p w14:paraId="5317BFED">
            <w:pPr>
              <w:jc w:val="center"/>
              <w:rPr>
                <w:rFonts w:hint="eastAsia" w:ascii="宋体" w:hAnsi="宋体" w:eastAsia="宋体" w:cs="宋体"/>
                <w:kern w:val="2"/>
                <w:sz w:val="21"/>
                <w:szCs w:val="21"/>
                <w:highlight w:val="none"/>
                <w:lang w:val="en-US" w:eastAsia="zh-CN" w:bidi="ar-SA"/>
              </w:rPr>
            </w:pPr>
            <w:r>
              <w:rPr>
                <w:rFonts w:hint="eastAsia" w:ascii="宋体" w:hAnsi="宋体" w:cs="宋体"/>
                <w:sz w:val="21"/>
                <w:szCs w:val="21"/>
                <w:highlight w:val="none"/>
                <w:lang w:val="en-US" w:eastAsia="zh-CN"/>
              </w:rPr>
              <w:t>6</w:t>
            </w:r>
            <w:r>
              <w:rPr>
                <w:rFonts w:hint="eastAsia" w:ascii="宋体" w:hAnsi="宋体" w:eastAsia="宋体" w:cs="宋体"/>
                <w:sz w:val="21"/>
                <w:szCs w:val="21"/>
                <w:highlight w:val="none"/>
                <w:lang w:val="en-US" w:eastAsia="zh-CN"/>
              </w:rPr>
              <w:t>分</w:t>
            </w:r>
          </w:p>
        </w:tc>
        <w:tc>
          <w:tcPr>
            <w:tcW w:w="6149" w:type="dxa"/>
            <w:shd w:val="clear" w:color="000000" w:fill="FFFFFF"/>
            <w:noWrap w:val="0"/>
            <w:vAlign w:val="center"/>
          </w:tcPr>
          <w:p w14:paraId="33496E78">
            <w:pPr>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以往水利建设项目工作中是否有设计优化的措施（0-3分）、节约造价30万元及以上的措施（0-3分）。</w:t>
            </w:r>
          </w:p>
          <w:p w14:paraId="00BCF6D2">
            <w:pPr>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注：提供预算报告、对接单、业主说明等证明材料。</w:t>
            </w:r>
          </w:p>
        </w:tc>
      </w:tr>
      <w:tr w14:paraId="42CE4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trPr>
        <w:tc>
          <w:tcPr>
            <w:tcW w:w="724" w:type="dxa"/>
            <w:shd w:val="clear" w:color="000000" w:fill="FFFFFF"/>
            <w:noWrap w:val="0"/>
            <w:vAlign w:val="center"/>
          </w:tcPr>
          <w:p w14:paraId="2F2DECAC">
            <w:pPr>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8</w:t>
            </w:r>
          </w:p>
        </w:tc>
        <w:tc>
          <w:tcPr>
            <w:tcW w:w="1701" w:type="dxa"/>
            <w:shd w:val="clear" w:color="000000" w:fill="FFFFFF"/>
            <w:noWrap w:val="0"/>
            <w:vAlign w:val="center"/>
          </w:tcPr>
          <w:p w14:paraId="41C91B79">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质量保证措施</w:t>
            </w:r>
          </w:p>
        </w:tc>
        <w:tc>
          <w:tcPr>
            <w:tcW w:w="706" w:type="dxa"/>
            <w:shd w:val="clear" w:color="000000" w:fill="FFFFFF"/>
            <w:noWrap w:val="0"/>
            <w:vAlign w:val="center"/>
          </w:tcPr>
          <w:p w14:paraId="684AEBCD">
            <w:pPr>
              <w:jc w:val="center"/>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rPr>
              <w:t>分</w:t>
            </w:r>
          </w:p>
        </w:tc>
        <w:tc>
          <w:tcPr>
            <w:tcW w:w="6149" w:type="dxa"/>
            <w:shd w:val="clear" w:color="000000" w:fill="FFFFFF"/>
            <w:noWrap w:val="0"/>
            <w:vAlign w:val="center"/>
          </w:tcPr>
          <w:p w14:paraId="5B71FE0A">
            <w:pPr>
              <w:jc w:val="both"/>
              <w:rPr>
                <w:rFonts w:hint="eastAsia" w:ascii="宋体" w:hAnsi="宋体" w:eastAsia="宋体" w:cs="宋体"/>
                <w:sz w:val="21"/>
                <w:szCs w:val="21"/>
                <w:highlight w:val="none"/>
                <w:lang w:val="zh-CN"/>
              </w:rPr>
            </w:pPr>
            <w:r>
              <w:rPr>
                <w:rFonts w:hint="eastAsia" w:ascii="宋体" w:hAnsi="宋体" w:eastAsia="宋体" w:cs="宋体"/>
                <w:color w:val="auto"/>
                <w:kern w:val="2"/>
                <w:sz w:val="21"/>
                <w:szCs w:val="21"/>
                <w:highlight w:val="none"/>
                <w:lang w:val="zh-CN" w:eastAsia="zh-CN" w:bidi="ar-SA"/>
              </w:rPr>
              <w:t>根据投标人的质量内控体系、复核制度以及其他有效措施的健全度、完善性，可操作性进行</w:t>
            </w:r>
            <w:r>
              <w:rPr>
                <w:rFonts w:hint="eastAsia" w:ascii="宋体" w:hAnsi="宋体" w:eastAsia="宋体" w:cs="宋体"/>
                <w:color w:val="auto"/>
                <w:kern w:val="2"/>
                <w:sz w:val="21"/>
                <w:szCs w:val="21"/>
                <w:highlight w:val="none"/>
                <w:lang w:val="en-US" w:eastAsia="zh-CN" w:bidi="ar-SA"/>
              </w:rPr>
              <w:t>打分（0-</w:t>
            </w:r>
            <w:r>
              <w:rPr>
                <w:rFonts w:hint="eastAsia" w:ascii="宋体" w:hAnsi="宋体" w:cs="宋体"/>
                <w:color w:val="auto"/>
                <w:kern w:val="2"/>
                <w:sz w:val="21"/>
                <w:szCs w:val="21"/>
                <w:highlight w:val="none"/>
                <w:lang w:val="en-US" w:eastAsia="zh-CN" w:bidi="ar-SA"/>
              </w:rPr>
              <w:t>3</w:t>
            </w:r>
            <w:r>
              <w:rPr>
                <w:rFonts w:hint="eastAsia" w:ascii="宋体" w:hAnsi="宋体" w:eastAsia="宋体" w:cs="宋体"/>
                <w:color w:val="auto"/>
                <w:kern w:val="2"/>
                <w:sz w:val="21"/>
                <w:szCs w:val="21"/>
                <w:highlight w:val="none"/>
                <w:lang w:val="en-US" w:eastAsia="zh-CN" w:bidi="ar-SA"/>
              </w:rPr>
              <w:t>分）</w:t>
            </w:r>
          </w:p>
        </w:tc>
      </w:tr>
      <w:tr w14:paraId="4C468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724" w:type="dxa"/>
            <w:shd w:val="clear" w:color="000000" w:fill="FFFFFF"/>
            <w:noWrap w:val="0"/>
            <w:vAlign w:val="center"/>
          </w:tcPr>
          <w:p w14:paraId="4BAA2483">
            <w:pPr>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9</w:t>
            </w:r>
          </w:p>
        </w:tc>
        <w:tc>
          <w:tcPr>
            <w:tcW w:w="1701" w:type="dxa"/>
            <w:shd w:val="clear" w:color="000000" w:fill="FFFFFF"/>
            <w:noWrap w:val="0"/>
            <w:vAlign w:val="center"/>
          </w:tcPr>
          <w:p w14:paraId="050CB24D">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廉政保证措施</w:t>
            </w:r>
          </w:p>
        </w:tc>
        <w:tc>
          <w:tcPr>
            <w:tcW w:w="706" w:type="dxa"/>
            <w:shd w:val="clear" w:color="000000" w:fill="FFFFFF"/>
            <w:noWrap w:val="0"/>
            <w:vAlign w:val="center"/>
          </w:tcPr>
          <w:p w14:paraId="53BE01C9">
            <w:pPr>
              <w:jc w:val="center"/>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rPr>
              <w:t>分</w:t>
            </w:r>
          </w:p>
        </w:tc>
        <w:tc>
          <w:tcPr>
            <w:tcW w:w="6149" w:type="dxa"/>
            <w:shd w:val="clear" w:color="000000" w:fill="FFFFFF"/>
            <w:noWrap w:val="0"/>
            <w:vAlign w:val="center"/>
          </w:tcPr>
          <w:p w14:paraId="3103F017">
            <w:pPr>
              <w:jc w:val="both"/>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根据投标人的廉政保证等措施，由评标委员会进行打分（0-</w:t>
            </w:r>
            <w:r>
              <w:rPr>
                <w:rFonts w:hint="eastAsia" w:ascii="宋体" w:hAnsi="宋体" w:eastAsia="宋体" w:cs="宋体"/>
                <w:color w:val="auto"/>
                <w:kern w:val="2"/>
                <w:sz w:val="21"/>
                <w:szCs w:val="21"/>
                <w:highlight w:val="none"/>
                <w:lang w:val="en-US" w:eastAsia="zh-CN" w:bidi="ar-SA"/>
              </w:rPr>
              <w:t>3</w:t>
            </w:r>
            <w:r>
              <w:rPr>
                <w:rFonts w:hint="eastAsia" w:ascii="宋体" w:hAnsi="宋体" w:eastAsia="宋体" w:cs="宋体"/>
                <w:color w:val="auto"/>
                <w:kern w:val="2"/>
                <w:sz w:val="21"/>
                <w:szCs w:val="21"/>
                <w:highlight w:val="none"/>
                <w:lang w:val="zh-CN" w:eastAsia="zh-CN" w:bidi="ar-SA"/>
              </w:rPr>
              <w:t>分）。</w:t>
            </w:r>
          </w:p>
        </w:tc>
      </w:tr>
      <w:tr w14:paraId="3EAB0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724" w:type="dxa"/>
            <w:shd w:val="clear" w:color="000000" w:fill="FFFFFF"/>
            <w:noWrap w:val="0"/>
            <w:vAlign w:val="center"/>
          </w:tcPr>
          <w:p w14:paraId="526D9E30">
            <w:pPr>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10</w:t>
            </w:r>
          </w:p>
        </w:tc>
        <w:tc>
          <w:tcPr>
            <w:tcW w:w="1701" w:type="dxa"/>
            <w:shd w:val="clear" w:color="000000" w:fill="FFFFFF"/>
            <w:noWrap w:val="0"/>
            <w:vAlign w:val="center"/>
          </w:tcPr>
          <w:p w14:paraId="4910A86C">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服务承诺</w:t>
            </w:r>
          </w:p>
        </w:tc>
        <w:tc>
          <w:tcPr>
            <w:tcW w:w="706" w:type="dxa"/>
            <w:shd w:val="clear" w:color="000000" w:fill="FFFFFF"/>
            <w:noWrap w:val="0"/>
            <w:vAlign w:val="center"/>
          </w:tcPr>
          <w:p w14:paraId="5A1C1D08">
            <w:pPr>
              <w:jc w:val="center"/>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9</w:t>
            </w:r>
            <w:r>
              <w:rPr>
                <w:rFonts w:hint="eastAsia" w:ascii="宋体" w:hAnsi="宋体" w:eastAsia="宋体" w:cs="宋体"/>
                <w:sz w:val="21"/>
                <w:szCs w:val="21"/>
                <w:highlight w:val="none"/>
              </w:rPr>
              <w:t>分</w:t>
            </w:r>
          </w:p>
        </w:tc>
        <w:tc>
          <w:tcPr>
            <w:tcW w:w="6149" w:type="dxa"/>
            <w:shd w:val="clear" w:color="000000" w:fill="FFFFFF"/>
            <w:noWrap w:val="0"/>
            <w:vAlign w:val="center"/>
          </w:tcPr>
          <w:p w14:paraId="0CD46D5C">
            <w:pPr>
              <w:keepNext w:val="0"/>
              <w:keepLines w:val="0"/>
              <w:pageBreakBefore w:val="0"/>
              <w:widowControl w:val="0"/>
              <w:kinsoku/>
              <w:wordWrap/>
              <w:overflowPunct/>
              <w:topLinePunct w:val="0"/>
              <w:bidi w:val="0"/>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（1）根据投标人提供服务的便捷性（服务机构设置情况等）进行打分（0-</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w:t>
            </w:r>
          </w:p>
          <w:p w14:paraId="37239F1B">
            <w:pPr>
              <w:keepNext w:val="0"/>
              <w:keepLines w:val="0"/>
              <w:pageBreakBefore w:val="0"/>
              <w:widowControl w:val="0"/>
              <w:kinsoku/>
              <w:wordWrap/>
              <w:overflowPunct/>
              <w:topLinePunct w:val="0"/>
              <w:bidi w:val="0"/>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（2）根据投标人提供的响应方案（服务响应时间、团队人员到场时间等）及有效性进行打分（0-3分）。</w:t>
            </w:r>
          </w:p>
          <w:p w14:paraId="100ECF12">
            <w:pPr>
              <w:pStyle w:val="62"/>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SA"/>
              </w:rPr>
              <w:t>（3）根据投标人所承诺误差率情况进行打分（0-3分）。</w:t>
            </w:r>
          </w:p>
        </w:tc>
      </w:tr>
    </w:tbl>
    <w:p w14:paraId="47429A98">
      <w:pPr>
        <w:keepNext w:val="0"/>
        <w:keepLines w:val="0"/>
        <w:pageBreakBefore w:val="0"/>
        <w:widowControl w:val="0"/>
        <w:kinsoku/>
        <w:wordWrap/>
        <w:overflowPunct/>
        <w:topLinePunct w:val="0"/>
        <w:autoSpaceDE/>
        <w:autoSpaceDN/>
        <w:bidi w:val="0"/>
        <w:adjustRightInd/>
        <w:snapToGrid/>
        <w:spacing w:line="420" w:lineRule="exact"/>
        <w:ind w:right="0"/>
        <w:textAlignment w:val="auto"/>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提示：</w:t>
      </w:r>
    </w:p>
    <w:p w14:paraId="1B127CED">
      <w:pPr>
        <w:keepNext w:val="0"/>
        <w:keepLines w:val="0"/>
        <w:pageBreakBefore w:val="0"/>
        <w:widowControl w:val="0"/>
        <w:kinsoku/>
        <w:wordWrap/>
        <w:overflowPunct/>
        <w:topLinePunct w:val="0"/>
        <w:autoSpaceDE/>
        <w:autoSpaceDN/>
        <w:bidi w:val="0"/>
        <w:adjustRightInd/>
        <w:snapToGrid/>
        <w:spacing w:line="420" w:lineRule="exact"/>
        <w:ind w:right="0"/>
        <w:textAlignment w:val="auto"/>
        <w:rPr>
          <w:rFonts w:hint="eastAsia" w:ascii="宋体" w:hAnsi="宋体" w:eastAsia="宋体" w:cs="宋体"/>
          <w:b/>
          <w:bCs/>
          <w:color w:val="auto"/>
          <w:sz w:val="21"/>
          <w:szCs w:val="21"/>
          <w:highlight w:val="none"/>
          <w:u w:val="single"/>
          <w:shd w:val="clear" w:color="auto" w:fill="auto"/>
        </w:rPr>
      </w:pPr>
      <w:r>
        <w:rPr>
          <w:rFonts w:hint="eastAsia" w:ascii="宋体" w:hAnsi="宋体" w:eastAsia="宋体" w:cs="宋体"/>
          <w:b/>
          <w:bCs/>
          <w:color w:val="auto"/>
          <w:sz w:val="21"/>
          <w:szCs w:val="21"/>
          <w:highlight w:val="none"/>
          <w:u w:val="single"/>
          <w:shd w:val="clear" w:color="auto" w:fill="auto"/>
        </w:rPr>
        <w:t>1</w:t>
      </w:r>
      <w:r>
        <w:rPr>
          <w:rFonts w:hint="eastAsia" w:ascii="宋体" w:hAnsi="宋体" w:eastAsia="宋体" w:cs="宋体"/>
          <w:b/>
          <w:bCs/>
          <w:color w:val="auto"/>
          <w:sz w:val="21"/>
          <w:szCs w:val="21"/>
          <w:highlight w:val="none"/>
          <w:u w:val="single"/>
          <w:shd w:val="clear" w:color="auto" w:fill="auto"/>
          <w:lang w:eastAsia="zh-CN"/>
        </w:rPr>
        <w:t>、请各投标人根据本招标文件及评分标准的顺序编制电子投标文件并进行关联定位，以便评标委员会在评审时，点击评分项即可直接定位到该评分项内容。如对招标文件的某项要求，投标人的电子投标文件未能关联定位提供相应的内容与其对应，则评标委员会在评审时如做出对投标人不利的评审由投标人自行承担</w:t>
      </w:r>
      <w:r>
        <w:rPr>
          <w:rFonts w:hint="eastAsia" w:ascii="宋体" w:hAnsi="宋体" w:eastAsia="宋体" w:cs="宋体"/>
          <w:b/>
          <w:bCs/>
          <w:color w:val="auto"/>
          <w:sz w:val="21"/>
          <w:szCs w:val="21"/>
          <w:highlight w:val="none"/>
          <w:u w:val="single"/>
          <w:shd w:val="clear" w:color="auto" w:fill="auto"/>
        </w:rPr>
        <w:t>。</w:t>
      </w:r>
    </w:p>
    <w:p w14:paraId="1EA29AE4">
      <w:pPr>
        <w:keepNext w:val="0"/>
        <w:keepLines w:val="0"/>
        <w:pageBreakBefore w:val="0"/>
        <w:widowControl w:val="0"/>
        <w:kinsoku/>
        <w:wordWrap/>
        <w:overflowPunct/>
        <w:topLinePunct w:val="0"/>
        <w:autoSpaceDE/>
        <w:autoSpaceDN/>
        <w:bidi w:val="0"/>
        <w:adjustRightInd/>
        <w:snapToGrid/>
        <w:spacing w:line="420" w:lineRule="exact"/>
        <w:ind w:right="0"/>
        <w:textAlignment w:val="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b/>
          <w:bCs/>
          <w:color w:val="auto"/>
          <w:sz w:val="21"/>
          <w:szCs w:val="21"/>
          <w:highlight w:val="none"/>
          <w:u w:val="single"/>
          <w:shd w:val="pct10" w:color="auto" w:fill="FFFFFF"/>
        </w:rPr>
        <w:t>2、▲商务技术文件必须采用A4幅面，页数（不包括封面、目录及封底）不得超过150页；否则按无效标处理。</w:t>
      </w:r>
    </w:p>
    <w:p w14:paraId="09C4F980">
      <w:pPr>
        <w:keepNext w:val="0"/>
        <w:keepLines w:val="0"/>
        <w:pageBreakBefore w:val="0"/>
        <w:widowControl w:val="0"/>
        <w:kinsoku/>
        <w:wordWrap/>
        <w:overflowPunct/>
        <w:topLinePunct w:val="0"/>
        <w:autoSpaceDE/>
        <w:autoSpaceDN/>
        <w:bidi w:val="0"/>
        <w:adjustRightInd/>
        <w:snapToGrid/>
        <w:spacing w:line="420" w:lineRule="exact"/>
        <w:ind w:right="0" w:rightChars="0" w:firstLine="316" w:firstLineChars="150"/>
        <w:textAlignment w:val="auto"/>
        <w:outlineLvl w:val="1"/>
        <w:rPr>
          <w:rFonts w:hint="eastAsia" w:ascii="宋体" w:hAnsi="宋体" w:eastAsia="宋体" w:cs="宋体"/>
          <w:b/>
          <w:bCs/>
          <w:color w:val="auto"/>
          <w:sz w:val="21"/>
          <w:szCs w:val="21"/>
          <w:highlight w:val="none"/>
          <w:shd w:val="clear" w:color="auto" w:fill="auto"/>
        </w:rPr>
      </w:pPr>
      <w:bookmarkStart w:id="144" w:name="_Toc4957"/>
      <w:bookmarkStart w:id="145" w:name="_Toc5630"/>
      <w:r>
        <w:rPr>
          <w:rFonts w:hint="eastAsia" w:ascii="宋体" w:hAnsi="宋体" w:eastAsia="宋体" w:cs="宋体"/>
          <w:b/>
          <w:bCs/>
          <w:color w:val="auto"/>
          <w:sz w:val="21"/>
          <w:szCs w:val="21"/>
          <w:highlight w:val="none"/>
          <w:shd w:val="clear" w:color="auto" w:fill="auto"/>
        </w:rPr>
        <w:t>（三）商务技术分的计算方式</w:t>
      </w:r>
      <w:bookmarkEnd w:id="144"/>
      <w:bookmarkEnd w:id="145"/>
    </w:p>
    <w:p w14:paraId="0B634448">
      <w:pPr>
        <w:keepNext w:val="0"/>
        <w:keepLines w:val="0"/>
        <w:pageBreakBefore w:val="0"/>
        <w:widowControl w:val="0"/>
        <w:kinsoku/>
        <w:wordWrap/>
        <w:overflowPunct/>
        <w:topLinePunct w:val="0"/>
        <w:autoSpaceDE/>
        <w:autoSpaceDN/>
        <w:bidi w:val="0"/>
        <w:adjustRightInd/>
        <w:snapToGrid/>
        <w:spacing w:line="420" w:lineRule="exact"/>
        <w:ind w:right="0" w:firstLine="420" w:firstLineChars="20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商务技术分按照评标委员会成员的独立评分结果汇总后，取全部评标委员会成员评分值的算术平均分，计算公式为：</w:t>
      </w:r>
    </w:p>
    <w:p w14:paraId="2FC77B2F">
      <w:pPr>
        <w:keepNext w:val="0"/>
        <w:keepLines w:val="0"/>
        <w:pageBreakBefore w:val="0"/>
        <w:widowControl w:val="0"/>
        <w:kinsoku/>
        <w:wordWrap/>
        <w:overflowPunct/>
        <w:topLinePunct w:val="0"/>
        <w:autoSpaceDE/>
        <w:autoSpaceDN/>
        <w:bidi w:val="0"/>
        <w:adjustRightInd/>
        <w:snapToGrid/>
        <w:spacing w:line="420" w:lineRule="exact"/>
        <w:ind w:right="0" w:firstLine="495"/>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商务技术分=（评标委员会所有成员评分合计数）/（评标委员会组成人员数）</w:t>
      </w:r>
    </w:p>
    <w:p w14:paraId="6E6B076E">
      <w:pPr>
        <w:pStyle w:val="22"/>
        <w:keepNext w:val="0"/>
        <w:keepLines w:val="0"/>
        <w:pageBreakBefore w:val="0"/>
        <w:widowControl w:val="0"/>
        <w:kinsoku/>
        <w:wordWrap/>
        <w:overflowPunct/>
        <w:topLinePunct w:val="0"/>
        <w:autoSpaceDE/>
        <w:autoSpaceDN/>
        <w:bidi w:val="0"/>
        <w:adjustRightInd/>
        <w:snapToGrid/>
        <w:spacing w:line="420" w:lineRule="exact"/>
        <w:ind w:right="0" w:rightChars="0" w:firstLine="406" w:firstLineChars="200"/>
        <w:textAlignment w:val="auto"/>
        <w:outlineLvl w:val="0"/>
        <w:rPr>
          <w:rFonts w:hint="eastAsia" w:ascii="宋体" w:hAnsi="宋体" w:eastAsia="宋体" w:cs="宋体"/>
          <w:b/>
          <w:color w:val="auto"/>
          <w:sz w:val="21"/>
          <w:szCs w:val="21"/>
          <w:highlight w:val="none"/>
          <w:shd w:val="clear" w:color="auto" w:fill="auto"/>
        </w:rPr>
      </w:pPr>
      <w:bookmarkStart w:id="146" w:name="_Toc32253"/>
      <w:bookmarkStart w:id="147" w:name="_Toc17345"/>
      <w:r>
        <w:rPr>
          <w:rFonts w:hint="eastAsia" w:ascii="宋体" w:hAnsi="宋体" w:eastAsia="宋体" w:cs="宋体"/>
          <w:b/>
          <w:color w:val="auto"/>
          <w:sz w:val="21"/>
          <w:szCs w:val="21"/>
          <w:highlight w:val="none"/>
          <w:shd w:val="clear" w:color="auto" w:fill="auto"/>
        </w:rPr>
        <w:t>三、投标人义务</w:t>
      </w:r>
      <w:bookmarkEnd w:id="146"/>
      <w:bookmarkEnd w:id="147"/>
    </w:p>
    <w:p w14:paraId="1262D482">
      <w:pPr>
        <w:pStyle w:val="22"/>
        <w:keepNext w:val="0"/>
        <w:keepLines w:val="0"/>
        <w:pageBreakBefore w:val="0"/>
        <w:widowControl w:val="0"/>
        <w:kinsoku/>
        <w:wordWrap/>
        <w:overflowPunct/>
        <w:topLinePunct w:val="0"/>
        <w:autoSpaceDE/>
        <w:autoSpaceDN/>
        <w:bidi w:val="0"/>
        <w:adjustRightInd/>
        <w:snapToGrid/>
        <w:spacing w:line="420" w:lineRule="exact"/>
        <w:ind w:right="0" w:firstLine="404" w:firstLineChars="200"/>
        <w:textAlignment w:val="auto"/>
        <w:rPr>
          <w:rFonts w:hint="eastAsia" w:ascii="宋体" w:hAnsi="宋体" w:eastAsia="宋体" w:cs="宋体"/>
          <w:b/>
          <w:color w:val="auto"/>
          <w:sz w:val="21"/>
          <w:szCs w:val="21"/>
          <w:highlight w:val="none"/>
          <w:shd w:val="clear" w:color="auto" w:fill="auto"/>
          <w:lang w:val="zh-CN"/>
        </w:rPr>
      </w:pPr>
      <w:r>
        <w:rPr>
          <w:rFonts w:hint="eastAsia" w:ascii="宋体" w:hAnsi="宋体" w:eastAsia="宋体" w:cs="宋体"/>
          <w:bCs/>
          <w:color w:val="auto"/>
          <w:sz w:val="21"/>
          <w:szCs w:val="21"/>
          <w:highlight w:val="none"/>
          <w:shd w:val="clear" w:color="auto" w:fill="auto"/>
        </w:rPr>
        <w:t>评标期间，投标人应随时随地答复评标委员会的询标，解答包括有关的商务、技术问题等。</w:t>
      </w:r>
    </w:p>
    <w:p w14:paraId="45491CCF">
      <w:pPr>
        <w:jc w:val="center"/>
        <w:rPr>
          <w:rFonts w:hint="eastAsia" w:ascii="宋体" w:hAnsi="宋体" w:eastAsia="宋体" w:cs="宋体"/>
          <w:b/>
          <w:color w:val="auto"/>
          <w:sz w:val="30"/>
          <w:szCs w:val="30"/>
          <w:highlight w:val="none"/>
          <w:shd w:val="clear" w:color="auto" w:fill="auto"/>
        </w:rPr>
      </w:pPr>
      <w:r>
        <w:rPr>
          <w:rFonts w:hint="eastAsia" w:ascii="宋体" w:hAnsi="宋体" w:eastAsia="宋体" w:cs="宋体"/>
          <w:b/>
          <w:color w:val="auto"/>
          <w:sz w:val="24"/>
          <w:highlight w:val="none"/>
          <w:shd w:val="clear" w:color="auto" w:fill="auto"/>
        </w:rPr>
        <w:br w:type="page"/>
      </w:r>
      <w:r>
        <w:rPr>
          <w:rFonts w:hint="eastAsia" w:ascii="宋体" w:hAnsi="宋体" w:eastAsia="宋体" w:cs="宋体"/>
          <w:b/>
          <w:color w:val="auto"/>
          <w:sz w:val="30"/>
          <w:szCs w:val="30"/>
          <w:highlight w:val="none"/>
          <w:shd w:val="clear" w:color="auto" w:fill="auto"/>
        </w:rPr>
        <w:t>采购项目评分索引表</w:t>
      </w:r>
    </w:p>
    <w:p w14:paraId="01D88B40">
      <w:pPr>
        <w:jc w:val="left"/>
        <w:rPr>
          <w:rFonts w:hint="eastAsia" w:ascii="宋体" w:hAnsi="宋体" w:eastAsia="宋体" w:cs="宋体"/>
          <w:b/>
          <w:color w:val="auto"/>
          <w:spacing w:val="-4"/>
          <w:sz w:val="24"/>
          <w:highlight w:val="none"/>
          <w:shd w:val="clear" w:color="auto" w:fill="auto"/>
        </w:rPr>
      </w:pPr>
    </w:p>
    <w:p w14:paraId="4D0567A4">
      <w:pPr>
        <w:jc w:val="left"/>
        <w:rPr>
          <w:rFonts w:hint="eastAsia" w:ascii="宋体" w:hAnsi="宋体" w:eastAsia="宋体" w:cs="宋体"/>
          <w:b/>
          <w:color w:val="auto"/>
          <w:spacing w:val="-4"/>
          <w:sz w:val="24"/>
          <w:highlight w:val="none"/>
          <w:shd w:val="clear" w:color="auto" w:fill="auto"/>
          <w:lang w:eastAsia="zh-CN"/>
        </w:rPr>
      </w:pPr>
      <w:r>
        <w:rPr>
          <w:rFonts w:hint="eastAsia" w:ascii="宋体" w:hAnsi="宋体" w:eastAsia="宋体" w:cs="宋体"/>
          <w:b/>
          <w:color w:val="auto"/>
          <w:spacing w:val="-4"/>
          <w:sz w:val="24"/>
          <w:highlight w:val="none"/>
          <w:shd w:val="clear" w:color="auto" w:fill="auto"/>
        </w:rPr>
        <w:t>重要提示：本采购项目评分索引表放在商务技术文件目录的前页，“投标人应标情况栏目” （客观分部分）请投标人务必逐项详细进行填写（请勿不填写），投标人自评分值（客观分部分）请投标人将应得分值准确自评（请勿不填写也请勿错误填写），以方便评委进行更加优质、高效的评审</w:t>
      </w:r>
      <w:r>
        <w:rPr>
          <w:rFonts w:hint="eastAsia" w:ascii="宋体" w:hAnsi="宋体" w:eastAsia="宋体" w:cs="宋体"/>
          <w:b/>
          <w:color w:val="auto"/>
          <w:spacing w:val="-4"/>
          <w:sz w:val="24"/>
          <w:highlight w:val="none"/>
          <w:shd w:val="clear" w:color="auto" w:fill="auto"/>
          <w:lang w:eastAsia="zh-CN"/>
        </w:rPr>
        <w:t>。</w:t>
      </w:r>
    </w:p>
    <w:p w14:paraId="50E60F09">
      <w:pPr>
        <w:pStyle w:val="21"/>
        <w:rPr>
          <w:rFonts w:hint="eastAsia"/>
          <w:color w:val="auto"/>
          <w:highlight w:val="none"/>
        </w:rPr>
      </w:pPr>
    </w:p>
    <w:p w14:paraId="21A7556E">
      <w:pPr>
        <w:rPr>
          <w:rFonts w:hint="eastAsia" w:ascii="宋体" w:hAnsi="宋体" w:eastAsia="宋体" w:cs="宋体"/>
          <w:b/>
          <w:color w:val="auto"/>
          <w:sz w:val="24"/>
          <w:highlight w:val="none"/>
        </w:rPr>
      </w:pPr>
      <w:r>
        <w:rPr>
          <w:rFonts w:hint="eastAsia" w:ascii="宋体" w:hAnsi="宋体" w:eastAsia="宋体" w:cs="宋体"/>
          <w:b/>
          <w:color w:val="auto"/>
          <w:sz w:val="24"/>
          <w:highlight w:val="none"/>
          <w:shd w:val="clear" w:color="auto" w:fill="auto"/>
        </w:rPr>
        <w:t>项目名称：</w:t>
      </w:r>
      <w:r>
        <w:rPr>
          <w:rFonts w:hint="eastAsia" w:ascii="宋体" w:hAnsi="宋体" w:eastAsia="宋体" w:cs="宋体"/>
          <w:b/>
          <w:color w:val="auto"/>
          <w:sz w:val="24"/>
          <w:highlight w:val="none"/>
          <w:shd w:val="clear" w:color="auto" w:fill="auto"/>
          <w:lang w:val="en-US" w:eastAsia="zh-CN"/>
        </w:rPr>
        <w:t xml:space="preserve">                                        </w:t>
      </w:r>
      <w:r>
        <w:rPr>
          <w:rFonts w:hint="eastAsia" w:ascii="宋体" w:hAnsi="宋体" w:eastAsia="宋体" w:cs="宋体"/>
          <w:b/>
          <w:color w:val="auto"/>
          <w:sz w:val="24"/>
          <w:highlight w:val="none"/>
        </w:rPr>
        <w:t>投标人名称：</w:t>
      </w:r>
    </w:p>
    <w:p w14:paraId="4936CCDE">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 </w:t>
      </w:r>
    </w:p>
    <w:tbl>
      <w:tblPr>
        <w:tblStyle w:val="53"/>
        <w:tblW w:w="95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456"/>
        <w:gridCol w:w="947"/>
        <w:gridCol w:w="1200"/>
        <w:gridCol w:w="3766"/>
        <w:gridCol w:w="1564"/>
      </w:tblGrid>
      <w:tr w14:paraId="63A1A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2116" w:type="dxa"/>
            <w:gridSpan w:val="2"/>
            <w:noWrap w:val="0"/>
            <w:vAlign w:val="center"/>
          </w:tcPr>
          <w:p w14:paraId="1DFB0FEE">
            <w:pPr>
              <w:widowControl/>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评标内容</w:t>
            </w:r>
          </w:p>
        </w:tc>
        <w:tc>
          <w:tcPr>
            <w:tcW w:w="947" w:type="dxa"/>
            <w:noWrap w:val="0"/>
            <w:vAlign w:val="center"/>
          </w:tcPr>
          <w:p w14:paraId="35FBEFC3">
            <w:pPr>
              <w:widowControl/>
              <w:jc w:val="center"/>
              <w:rPr>
                <w:rFonts w:ascii="宋体" w:hAnsi="Times New Roman" w:eastAsia="宋体" w:cs="Times New Roman"/>
                <w:b/>
                <w:bCs/>
                <w:color w:val="auto"/>
                <w:sz w:val="24"/>
                <w:szCs w:val="24"/>
                <w:highlight w:val="none"/>
              </w:rPr>
            </w:pPr>
            <w:r>
              <w:rPr>
                <w:rFonts w:hint="eastAsia" w:ascii="宋体" w:hAnsi="Times New Roman" w:eastAsia="宋体" w:cs="Times New Roman"/>
                <w:b/>
                <w:bCs/>
                <w:color w:val="auto"/>
                <w:sz w:val="24"/>
                <w:szCs w:val="24"/>
                <w:highlight w:val="none"/>
              </w:rPr>
              <w:t>分值</w:t>
            </w:r>
          </w:p>
        </w:tc>
        <w:tc>
          <w:tcPr>
            <w:tcW w:w="1200" w:type="dxa"/>
            <w:tcBorders>
              <w:top w:val="single" w:color="auto" w:sz="4" w:space="0"/>
              <w:left w:val="nil"/>
              <w:bottom w:val="single" w:color="auto" w:sz="4" w:space="0"/>
              <w:right w:val="single" w:color="auto" w:sz="4" w:space="0"/>
            </w:tcBorders>
            <w:noWrap w:val="0"/>
            <w:vAlign w:val="center"/>
          </w:tcPr>
          <w:p w14:paraId="5F42769E">
            <w:pPr>
              <w:widowControl/>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投标文件</w:t>
            </w:r>
          </w:p>
          <w:p w14:paraId="04FB90BD">
            <w:pPr>
              <w:widowControl/>
              <w:jc w:val="center"/>
              <w:rPr>
                <w:rFonts w:ascii="宋体" w:hAnsi="Times New Roman" w:eastAsia="宋体" w:cs="Times New Roman"/>
                <w:color w:val="auto"/>
                <w:sz w:val="24"/>
                <w:szCs w:val="24"/>
                <w:highlight w:val="none"/>
              </w:rPr>
            </w:pPr>
            <w:r>
              <w:rPr>
                <w:rFonts w:hint="eastAsia" w:ascii="宋体" w:hAnsi="宋体" w:eastAsia="宋体" w:cs="Times New Roman"/>
                <w:b/>
                <w:bCs/>
                <w:color w:val="auto"/>
                <w:sz w:val="24"/>
                <w:szCs w:val="24"/>
                <w:highlight w:val="none"/>
              </w:rPr>
              <w:t>响应页码</w:t>
            </w:r>
          </w:p>
        </w:tc>
        <w:tc>
          <w:tcPr>
            <w:tcW w:w="3766" w:type="dxa"/>
            <w:tcBorders>
              <w:top w:val="single" w:color="auto" w:sz="4" w:space="0"/>
              <w:left w:val="nil"/>
              <w:bottom w:val="single" w:color="auto" w:sz="4" w:space="0"/>
              <w:right w:val="single" w:color="auto" w:sz="4" w:space="0"/>
            </w:tcBorders>
            <w:noWrap w:val="0"/>
            <w:vAlign w:val="center"/>
          </w:tcPr>
          <w:p w14:paraId="31EE0AC4">
            <w:pPr>
              <w:widowControl/>
              <w:jc w:val="center"/>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投标人</w:t>
            </w:r>
          </w:p>
          <w:p w14:paraId="2F7DDC32">
            <w:pPr>
              <w:widowControl/>
              <w:jc w:val="center"/>
              <w:rPr>
                <w:rFonts w:hint="eastAsia" w:ascii="宋体" w:hAnsi="宋体" w:eastAsia="宋体" w:cs="Times New Roman"/>
                <w:color w:val="auto"/>
                <w:sz w:val="24"/>
                <w:szCs w:val="24"/>
                <w:highlight w:val="none"/>
              </w:rPr>
            </w:pPr>
            <w:r>
              <w:rPr>
                <w:rFonts w:hint="eastAsia" w:ascii="宋体" w:hAnsi="宋体" w:eastAsia="宋体" w:cs="宋体"/>
                <w:b/>
                <w:bCs/>
                <w:color w:val="auto"/>
                <w:kern w:val="0"/>
                <w:sz w:val="24"/>
                <w:szCs w:val="24"/>
                <w:highlight w:val="none"/>
              </w:rPr>
              <w:t>应标情况</w:t>
            </w:r>
          </w:p>
        </w:tc>
        <w:tc>
          <w:tcPr>
            <w:tcW w:w="1564" w:type="dxa"/>
            <w:tcBorders>
              <w:top w:val="single" w:color="auto" w:sz="4" w:space="0"/>
              <w:left w:val="nil"/>
              <w:bottom w:val="single" w:color="auto" w:sz="4" w:space="0"/>
              <w:right w:val="single" w:color="auto" w:sz="4" w:space="0"/>
            </w:tcBorders>
            <w:noWrap w:val="0"/>
            <w:vAlign w:val="center"/>
          </w:tcPr>
          <w:p w14:paraId="53CF4476">
            <w:pPr>
              <w:widowControl/>
              <w:jc w:val="center"/>
              <w:rPr>
                <w:rFonts w:hint="eastAsia" w:ascii="宋体" w:hAnsi="宋体" w:eastAsia="宋体" w:cs="Times New Roman"/>
                <w:color w:val="auto"/>
                <w:sz w:val="24"/>
                <w:szCs w:val="24"/>
                <w:highlight w:val="none"/>
              </w:rPr>
            </w:pPr>
            <w:r>
              <w:rPr>
                <w:rFonts w:hint="eastAsia" w:ascii="宋体" w:hAnsi="宋体" w:eastAsia="宋体" w:cs="宋体"/>
                <w:b/>
                <w:bCs/>
                <w:color w:val="auto"/>
                <w:kern w:val="0"/>
                <w:sz w:val="24"/>
                <w:szCs w:val="24"/>
                <w:highlight w:val="none"/>
              </w:rPr>
              <w:t>投标人自评分值</w:t>
            </w:r>
          </w:p>
        </w:tc>
      </w:tr>
      <w:tr w14:paraId="2C294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660" w:type="dxa"/>
            <w:noWrap w:val="0"/>
            <w:vAlign w:val="center"/>
          </w:tcPr>
          <w:p w14:paraId="63353435">
            <w:pPr>
              <w:jc w:val="center"/>
              <w:rPr>
                <w:rFonts w:ascii="宋体" w:hAnsi="宋体" w:eastAsia="宋体" w:cs="Times New Roman"/>
                <w:bCs/>
                <w:color w:val="auto"/>
                <w:sz w:val="24"/>
                <w:szCs w:val="24"/>
                <w:highlight w:val="none"/>
              </w:rPr>
            </w:pPr>
            <w:r>
              <w:rPr>
                <w:rFonts w:hint="eastAsia" w:ascii="宋体" w:hAnsi="宋体" w:eastAsia="宋体" w:cs="宋体"/>
                <w:sz w:val="21"/>
                <w:szCs w:val="21"/>
                <w:highlight w:val="none"/>
              </w:rPr>
              <w:t>1</w:t>
            </w:r>
          </w:p>
        </w:tc>
        <w:tc>
          <w:tcPr>
            <w:tcW w:w="1456" w:type="dxa"/>
            <w:noWrap w:val="0"/>
            <w:vAlign w:val="center"/>
          </w:tcPr>
          <w:p w14:paraId="29EBDBB6">
            <w:pPr>
              <w:jc w:val="center"/>
              <w:rPr>
                <w:rFonts w:hint="eastAsia" w:ascii="宋体" w:hAnsi="宋体" w:eastAsia="宋体" w:cs="宋体"/>
                <w:color w:val="auto"/>
                <w:kern w:val="0"/>
                <w:sz w:val="24"/>
                <w:szCs w:val="24"/>
                <w:highlight w:val="none"/>
              </w:rPr>
            </w:pPr>
            <w:r>
              <w:rPr>
                <w:rFonts w:hint="eastAsia" w:ascii="宋体" w:hAnsi="宋体" w:eastAsia="宋体" w:cs="宋体"/>
                <w:bCs/>
                <w:sz w:val="21"/>
                <w:szCs w:val="21"/>
                <w:highlight w:val="none"/>
              </w:rPr>
              <w:t>企业荣誉</w:t>
            </w:r>
          </w:p>
        </w:tc>
        <w:tc>
          <w:tcPr>
            <w:tcW w:w="947" w:type="dxa"/>
            <w:noWrap w:val="0"/>
            <w:vAlign w:val="center"/>
          </w:tcPr>
          <w:p w14:paraId="1C5E2404">
            <w:pPr>
              <w:jc w:val="center"/>
              <w:rPr>
                <w:rFonts w:ascii="宋体" w:hAnsi="宋体" w:eastAsia="宋体" w:cs="Times New Roman"/>
                <w:color w:val="auto"/>
                <w:sz w:val="24"/>
                <w:szCs w:val="24"/>
                <w:highlight w:val="none"/>
              </w:rPr>
            </w:pPr>
            <w:r>
              <w:rPr>
                <w:rFonts w:hint="eastAsia" w:ascii="宋体" w:hAnsi="宋体" w:cs="宋体"/>
                <w:bCs/>
                <w:sz w:val="21"/>
                <w:szCs w:val="21"/>
                <w:highlight w:val="none"/>
                <w:lang w:val="en-US" w:eastAsia="zh-CN"/>
              </w:rPr>
              <w:t>11</w:t>
            </w:r>
            <w:r>
              <w:rPr>
                <w:rFonts w:hint="eastAsia" w:ascii="宋体" w:hAnsi="宋体" w:eastAsia="宋体" w:cs="宋体"/>
                <w:bCs/>
                <w:sz w:val="21"/>
                <w:szCs w:val="21"/>
                <w:highlight w:val="none"/>
                <w:lang w:val="en-US" w:eastAsia="zh-CN"/>
              </w:rPr>
              <w:t>分</w:t>
            </w:r>
          </w:p>
        </w:tc>
        <w:tc>
          <w:tcPr>
            <w:tcW w:w="1200" w:type="dxa"/>
            <w:noWrap w:val="0"/>
            <w:vAlign w:val="center"/>
          </w:tcPr>
          <w:p w14:paraId="6B6103F1">
            <w:pPr>
              <w:jc w:val="left"/>
              <w:rPr>
                <w:rFonts w:ascii="宋体" w:hAnsi="Times New Roman" w:eastAsia="宋体" w:cs="Times New Roman"/>
                <w:bCs/>
                <w:color w:val="auto"/>
                <w:sz w:val="24"/>
                <w:szCs w:val="24"/>
                <w:highlight w:val="none"/>
              </w:rPr>
            </w:pPr>
          </w:p>
        </w:tc>
        <w:tc>
          <w:tcPr>
            <w:tcW w:w="3766" w:type="dxa"/>
            <w:tcBorders>
              <w:top w:val="nil"/>
              <w:left w:val="nil"/>
              <w:right w:val="single" w:color="auto" w:sz="4" w:space="0"/>
            </w:tcBorders>
            <w:noWrap w:val="0"/>
            <w:vAlign w:val="center"/>
          </w:tcPr>
          <w:p w14:paraId="2125FC4A">
            <w:pPr>
              <w:jc w:val="center"/>
              <w:rPr>
                <w:rFonts w:hint="eastAsia" w:ascii="宋体" w:hAnsi="宋体" w:eastAsia="宋体" w:cs="宋体"/>
                <w:b/>
                <w:bCs/>
                <w:color w:val="auto"/>
                <w:kern w:val="0"/>
                <w:sz w:val="21"/>
                <w:szCs w:val="21"/>
                <w:highlight w:val="none"/>
                <w:shd w:val="pct10" w:color="auto" w:fill="FFFFFF"/>
              </w:rPr>
            </w:pPr>
            <w:r>
              <w:rPr>
                <w:rFonts w:hint="eastAsia" w:ascii="宋体" w:hAnsi="宋体" w:cs="宋体"/>
                <w:b/>
                <w:bCs/>
                <w:kern w:val="0"/>
                <w:sz w:val="21"/>
                <w:szCs w:val="21"/>
                <w:highlight w:val="none"/>
                <w:shd w:val="pct10" w:color="auto" w:fill="FFFFFF"/>
              </w:rPr>
              <w:t>供应商务必将应标证书内容逐项详细填写齐全，以方便评委进行更加优质、高效的评审</w:t>
            </w:r>
          </w:p>
        </w:tc>
        <w:tc>
          <w:tcPr>
            <w:tcW w:w="1564" w:type="dxa"/>
            <w:tcBorders>
              <w:top w:val="nil"/>
              <w:left w:val="nil"/>
              <w:bottom w:val="single" w:color="auto" w:sz="4" w:space="0"/>
              <w:right w:val="single" w:color="auto" w:sz="4" w:space="0"/>
            </w:tcBorders>
            <w:noWrap w:val="0"/>
            <w:vAlign w:val="center"/>
          </w:tcPr>
          <w:p w14:paraId="2595940A">
            <w:pPr>
              <w:jc w:val="center"/>
              <w:rPr>
                <w:rFonts w:hint="eastAsia" w:ascii="宋体" w:hAnsi="宋体" w:eastAsia="宋体" w:cs="宋体"/>
                <w:b/>
                <w:bCs/>
                <w:color w:val="auto"/>
                <w:kern w:val="0"/>
                <w:sz w:val="21"/>
                <w:szCs w:val="21"/>
                <w:highlight w:val="none"/>
                <w:shd w:val="pct10" w:color="auto" w:fill="FFFFFF"/>
              </w:rPr>
            </w:pPr>
            <w:r>
              <w:rPr>
                <w:rFonts w:hint="eastAsia" w:ascii="宋体" w:hAnsi="宋体" w:cs="宋体"/>
                <w:b/>
                <w:bCs/>
                <w:kern w:val="0"/>
                <w:sz w:val="21"/>
                <w:szCs w:val="21"/>
                <w:highlight w:val="none"/>
                <w:shd w:val="pct10" w:color="auto" w:fill="FFFFFF"/>
              </w:rPr>
              <w:t>供应商将应得分值填写准确</w:t>
            </w:r>
          </w:p>
        </w:tc>
      </w:tr>
      <w:tr w14:paraId="34B87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660" w:type="dxa"/>
            <w:noWrap w:val="0"/>
            <w:vAlign w:val="center"/>
          </w:tcPr>
          <w:p w14:paraId="70EA2F9B">
            <w:pPr>
              <w:jc w:val="center"/>
              <w:rPr>
                <w:rFonts w:hint="eastAsia" w:ascii="宋体" w:hAnsi="宋体" w:eastAsia="宋体" w:cs="Times New Roman"/>
                <w:bCs/>
                <w:color w:val="auto"/>
                <w:sz w:val="24"/>
                <w:szCs w:val="24"/>
                <w:highlight w:val="none"/>
              </w:rPr>
            </w:pPr>
            <w:r>
              <w:rPr>
                <w:rFonts w:hint="eastAsia" w:ascii="宋体" w:hAnsi="宋体" w:eastAsia="宋体" w:cs="宋体"/>
                <w:sz w:val="21"/>
                <w:szCs w:val="21"/>
                <w:highlight w:val="none"/>
              </w:rPr>
              <w:t>2</w:t>
            </w:r>
          </w:p>
        </w:tc>
        <w:tc>
          <w:tcPr>
            <w:tcW w:w="1456" w:type="dxa"/>
            <w:noWrap w:val="0"/>
            <w:vAlign w:val="center"/>
          </w:tcPr>
          <w:p w14:paraId="032CB1D3">
            <w:pPr>
              <w:jc w:val="center"/>
              <w:rPr>
                <w:rFonts w:ascii="Times New Roman" w:hAnsi="Times New Roman" w:eastAsia="宋体" w:cs="Times New Roman"/>
                <w:color w:val="auto"/>
                <w:sz w:val="24"/>
                <w:szCs w:val="24"/>
                <w:highlight w:val="none"/>
              </w:rPr>
            </w:pPr>
            <w:r>
              <w:rPr>
                <w:rFonts w:hint="eastAsia" w:ascii="宋体" w:hAnsi="宋体" w:eastAsia="宋体" w:cs="宋体"/>
                <w:sz w:val="21"/>
                <w:szCs w:val="21"/>
                <w:highlight w:val="none"/>
              </w:rPr>
              <w:t>投标人认证证书</w:t>
            </w:r>
          </w:p>
        </w:tc>
        <w:tc>
          <w:tcPr>
            <w:tcW w:w="947" w:type="dxa"/>
            <w:noWrap w:val="0"/>
            <w:vAlign w:val="center"/>
          </w:tcPr>
          <w:p w14:paraId="7B4B8BC5">
            <w:pPr>
              <w:jc w:val="center"/>
              <w:rPr>
                <w:rFonts w:ascii="宋体" w:hAnsi="宋体" w:eastAsia="宋体" w:cs="Times New Roman"/>
                <w:color w:val="auto"/>
                <w:sz w:val="24"/>
                <w:szCs w:val="24"/>
                <w:highlight w:val="none"/>
              </w:rPr>
            </w:pPr>
            <w:r>
              <w:rPr>
                <w:rFonts w:hint="eastAsia" w:ascii="宋体" w:hAnsi="宋体" w:eastAsia="宋体" w:cs="宋体"/>
                <w:bCs/>
                <w:sz w:val="21"/>
                <w:szCs w:val="21"/>
                <w:highlight w:val="none"/>
                <w:lang w:val="en-US" w:eastAsia="zh-CN"/>
              </w:rPr>
              <w:t>6</w:t>
            </w:r>
            <w:r>
              <w:rPr>
                <w:rFonts w:hint="eastAsia" w:ascii="宋体" w:hAnsi="宋体" w:eastAsia="宋体" w:cs="宋体"/>
                <w:bCs/>
                <w:sz w:val="21"/>
                <w:szCs w:val="21"/>
                <w:highlight w:val="none"/>
              </w:rPr>
              <w:t>分</w:t>
            </w:r>
          </w:p>
        </w:tc>
        <w:tc>
          <w:tcPr>
            <w:tcW w:w="1200" w:type="dxa"/>
            <w:noWrap w:val="0"/>
            <w:vAlign w:val="center"/>
          </w:tcPr>
          <w:p w14:paraId="565ADDAA">
            <w:pPr>
              <w:jc w:val="left"/>
              <w:rPr>
                <w:rFonts w:ascii="宋体" w:hAnsi="Times New Roman" w:eastAsia="宋体" w:cs="Times New Roman"/>
                <w:bCs/>
                <w:color w:val="auto"/>
                <w:sz w:val="24"/>
                <w:szCs w:val="24"/>
                <w:highlight w:val="none"/>
              </w:rPr>
            </w:pPr>
          </w:p>
        </w:tc>
        <w:tc>
          <w:tcPr>
            <w:tcW w:w="3766" w:type="dxa"/>
            <w:noWrap w:val="0"/>
            <w:vAlign w:val="center"/>
          </w:tcPr>
          <w:p w14:paraId="5EFCD817">
            <w:pPr>
              <w:jc w:val="center"/>
              <w:rPr>
                <w:rFonts w:hint="eastAsia" w:ascii="宋体" w:hAnsi="Times New Roman" w:eastAsia="宋体" w:cs="Times New Roman"/>
                <w:bCs/>
                <w:color w:val="auto"/>
                <w:sz w:val="21"/>
                <w:szCs w:val="21"/>
                <w:highlight w:val="none"/>
              </w:rPr>
            </w:pPr>
            <w:r>
              <w:rPr>
                <w:rFonts w:hint="eastAsia" w:ascii="宋体" w:hAnsi="宋体" w:cs="宋体"/>
                <w:b/>
                <w:bCs/>
                <w:kern w:val="0"/>
                <w:sz w:val="21"/>
                <w:szCs w:val="21"/>
                <w:highlight w:val="none"/>
                <w:shd w:val="pct10" w:color="auto" w:fill="FFFFFF"/>
              </w:rPr>
              <w:t>供应商务必将应标证书内容逐项详细填写齐全，以方便评委进行更加优质、高效的评审</w:t>
            </w:r>
          </w:p>
        </w:tc>
        <w:tc>
          <w:tcPr>
            <w:tcW w:w="1564" w:type="dxa"/>
            <w:noWrap w:val="0"/>
            <w:vAlign w:val="center"/>
          </w:tcPr>
          <w:p w14:paraId="1587164E">
            <w:pPr>
              <w:jc w:val="center"/>
              <w:rPr>
                <w:rFonts w:hint="eastAsia" w:ascii="宋体" w:hAnsi="Times New Roman" w:eastAsia="宋体" w:cs="Times New Roman"/>
                <w:bCs/>
                <w:color w:val="auto"/>
                <w:sz w:val="21"/>
                <w:szCs w:val="21"/>
                <w:highlight w:val="none"/>
              </w:rPr>
            </w:pPr>
            <w:r>
              <w:rPr>
                <w:rFonts w:hint="eastAsia" w:ascii="宋体" w:hAnsi="宋体" w:cs="宋体"/>
                <w:b/>
                <w:bCs/>
                <w:kern w:val="0"/>
                <w:sz w:val="21"/>
                <w:szCs w:val="21"/>
                <w:highlight w:val="none"/>
                <w:shd w:val="pct10" w:color="auto" w:fill="FFFFFF"/>
              </w:rPr>
              <w:t>供应商将应得分值填写准确</w:t>
            </w:r>
          </w:p>
        </w:tc>
      </w:tr>
      <w:tr w14:paraId="1EDBB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660" w:type="dxa"/>
            <w:noWrap w:val="0"/>
            <w:vAlign w:val="center"/>
          </w:tcPr>
          <w:p w14:paraId="00A8E5F7">
            <w:pPr>
              <w:jc w:val="center"/>
              <w:rPr>
                <w:rFonts w:hint="eastAsia" w:ascii="宋体" w:hAnsi="宋体" w:eastAsia="宋体" w:cs="Times New Roman"/>
                <w:bCs/>
                <w:color w:val="auto"/>
                <w:sz w:val="24"/>
                <w:szCs w:val="24"/>
                <w:highlight w:val="none"/>
                <w:lang w:val="en-US" w:eastAsia="zh-CN"/>
              </w:rPr>
            </w:pPr>
            <w:r>
              <w:rPr>
                <w:rFonts w:hint="eastAsia" w:ascii="宋体" w:hAnsi="宋体" w:eastAsia="宋体" w:cs="宋体"/>
                <w:sz w:val="21"/>
                <w:szCs w:val="21"/>
                <w:highlight w:val="none"/>
              </w:rPr>
              <w:t>3</w:t>
            </w:r>
          </w:p>
        </w:tc>
        <w:tc>
          <w:tcPr>
            <w:tcW w:w="1456" w:type="dxa"/>
            <w:noWrap w:val="0"/>
            <w:vAlign w:val="center"/>
          </w:tcPr>
          <w:p w14:paraId="55B87958">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sz w:val="21"/>
                <w:szCs w:val="21"/>
                <w:highlight w:val="none"/>
              </w:rPr>
              <w:t>项目负责人</w:t>
            </w:r>
          </w:p>
        </w:tc>
        <w:tc>
          <w:tcPr>
            <w:tcW w:w="947" w:type="dxa"/>
            <w:noWrap w:val="0"/>
            <w:vAlign w:val="center"/>
          </w:tcPr>
          <w:p w14:paraId="649B274B">
            <w:pPr>
              <w:jc w:val="center"/>
              <w:rPr>
                <w:rFonts w:hint="eastAsia" w:ascii="宋体" w:hAnsi="宋体" w:eastAsia="宋体" w:cs="宋体"/>
                <w:color w:val="auto"/>
                <w:kern w:val="0"/>
                <w:sz w:val="24"/>
                <w:szCs w:val="24"/>
                <w:highlight w:val="none"/>
              </w:rPr>
            </w:pPr>
            <w:r>
              <w:rPr>
                <w:rFonts w:hint="eastAsia" w:ascii="宋体" w:hAnsi="宋体" w:cs="宋体"/>
                <w:bCs/>
                <w:sz w:val="21"/>
                <w:szCs w:val="21"/>
                <w:highlight w:val="none"/>
                <w:lang w:val="en-US" w:eastAsia="zh-CN"/>
              </w:rPr>
              <w:t>5</w:t>
            </w:r>
            <w:r>
              <w:rPr>
                <w:rFonts w:hint="eastAsia" w:ascii="宋体" w:hAnsi="宋体" w:eastAsia="宋体" w:cs="宋体"/>
                <w:bCs/>
                <w:sz w:val="21"/>
                <w:szCs w:val="21"/>
                <w:highlight w:val="none"/>
              </w:rPr>
              <w:t>分</w:t>
            </w:r>
          </w:p>
        </w:tc>
        <w:tc>
          <w:tcPr>
            <w:tcW w:w="1200" w:type="dxa"/>
            <w:noWrap w:val="0"/>
            <w:vAlign w:val="center"/>
          </w:tcPr>
          <w:p w14:paraId="16211D4A">
            <w:pPr>
              <w:jc w:val="left"/>
              <w:rPr>
                <w:rFonts w:ascii="宋体" w:hAnsi="Times New Roman" w:eastAsia="宋体" w:cs="Times New Roman"/>
                <w:bCs/>
                <w:color w:val="auto"/>
                <w:sz w:val="24"/>
                <w:szCs w:val="24"/>
                <w:highlight w:val="none"/>
              </w:rPr>
            </w:pPr>
          </w:p>
        </w:tc>
        <w:tc>
          <w:tcPr>
            <w:tcW w:w="3766" w:type="dxa"/>
            <w:noWrap w:val="0"/>
            <w:vAlign w:val="center"/>
          </w:tcPr>
          <w:p w14:paraId="1154685F">
            <w:pPr>
              <w:jc w:val="center"/>
              <w:rPr>
                <w:rFonts w:hint="eastAsia" w:ascii="宋体" w:hAnsi="宋体" w:eastAsia="宋体" w:cs="宋体"/>
                <w:b/>
                <w:bCs/>
                <w:color w:val="auto"/>
                <w:kern w:val="0"/>
                <w:sz w:val="21"/>
                <w:szCs w:val="21"/>
                <w:highlight w:val="none"/>
                <w:shd w:val="pct10" w:color="auto" w:fill="FFFFFF"/>
              </w:rPr>
            </w:pPr>
            <w:r>
              <w:rPr>
                <w:rFonts w:hint="eastAsia" w:ascii="宋体" w:hAnsi="宋体" w:cs="宋体"/>
                <w:b/>
                <w:bCs/>
                <w:kern w:val="0"/>
                <w:sz w:val="21"/>
                <w:szCs w:val="21"/>
                <w:highlight w:val="none"/>
                <w:shd w:val="pct10" w:color="auto" w:fill="FFFFFF"/>
              </w:rPr>
              <w:t>供应商务必将应标证书内容逐项详细填写齐全，以方便评委进行更加优质、高效的评审</w:t>
            </w:r>
          </w:p>
        </w:tc>
        <w:tc>
          <w:tcPr>
            <w:tcW w:w="1564" w:type="dxa"/>
            <w:noWrap w:val="0"/>
            <w:vAlign w:val="center"/>
          </w:tcPr>
          <w:p w14:paraId="1C61F647">
            <w:pPr>
              <w:jc w:val="center"/>
              <w:rPr>
                <w:rFonts w:hint="eastAsia" w:ascii="宋体" w:hAnsi="宋体" w:eastAsia="宋体" w:cs="宋体"/>
                <w:b/>
                <w:bCs/>
                <w:color w:val="auto"/>
                <w:kern w:val="0"/>
                <w:sz w:val="21"/>
                <w:szCs w:val="21"/>
                <w:highlight w:val="none"/>
                <w:shd w:val="pct10" w:color="auto" w:fill="FFFFFF"/>
              </w:rPr>
            </w:pPr>
            <w:r>
              <w:rPr>
                <w:rFonts w:hint="eastAsia" w:ascii="宋体" w:hAnsi="宋体" w:cs="宋体"/>
                <w:b/>
                <w:bCs/>
                <w:kern w:val="0"/>
                <w:sz w:val="21"/>
                <w:szCs w:val="21"/>
                <w:highlight w:val="none"/>
                <w:shd w:val="pct10" w:color="auto" w:fill="FFFFFF"/>
              </w:rPr>
              <w:t>供应商将应得分值填写准确</w:t>
            </w:r>
          </w:p>
        </w:tc>
      </w:tr>
      <w:tr w14:paraId="729F5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660" w:type="dxa"/>
            <w:noWrap w:val="0"/>
            <w:vAlign w:val="center"/>
          </w:tcPr>
          <w:p w14:paraId="44EB6FF8">
            <w:pPr>
              <w:jc w:val="center"/>
              <w:rPr>
                <w:rFonts w:hint="eastAsia" w:ascii="宋体" w:hAnsi="Times New Roman" w:eastAsia="宋体" w:cs="宋体"/>
                <w:color w:val="auto"/>
                <w:kern w:val="0"/>
                <w:sz w:val="24"/>
                <w:szCs w:val="24"/>
                <w:highlight w:val="none"/>
                <w:lang w:val="en-US" w:eastAsia="zh-CN"/>
              </w:rPr>
            </w:pPr>
            <w:r>
              <w:rPr>
                <w:rFonts w:hint="eastAsia" w:ascii="宋体" w:hAnsi="宋体" w:eastAsia="宋体" w:cs="宋体"/>
                <w:sz w:val="21"/>
                <w:szCs w:val="21"/>
                <w:highlight w:val="none"/>
              </w:rPr>
              <w:t>4</w:t>
            </w:r>
          </w:p>
        </w:tc>
        <w:tc>
          <w:tcPr>
            <w:tcW w:w="1456" w:type="dxa"/>
            <w:noWrap w:val="0"/>
            <w:vAlign w:val="center"/>
          </w:tcPr>
          <w:p w14:paraId="6F267794">
            <w:pPr>
              <w:pStyle w:val="62"/>
              <w:jc w:val="center"/>
              <w:rPr>
                <w:rFonts w:hint="eastAsia" w:ascii="宋体" w:hAnsi="宋体" w:eastAsia="宋体" w:cs="Times New Roman"/>
                <w:color w:val="auto"/>
                <w:spacing w:val="-6"/>
                <w:kern w:val="0"/>
                <w:sz w:val="24"/>
                <w:szCs w:val="24"/>
                <w:highlight w:val="none"/>
                <w:lang w:val="en-US" w:eastAsia="zh-CN" w:bidi="ar-SA"/>
              </w:rPr>
            </w:pPr>
            <w:r>
              <w:rPr>
                <w:rFonts w:hint="eastAsia" w:ascii="宋体" w:hAnsi="宋体" w:eastAsia="宋体" w:cs="宋体"/>
                <w:color w:val="auto"/>
                <w:sz w:val="21"/>
                <w:szCs w:val="21"/>
                <w:highlight w:val="none"/>
              </w:rPr>
              <w:t>项目团队情况（项目负责人除外）</w:t>
            </w:r>
          </w:p>
        </w:tc>
        <w:tc>
          <w:tcPr>
            <w:tcW w:w="947" w:type="dxa"/>
            <w:noWrap w:val="0"/>
            <w:vAlign w:val="center"/>
          </w:tcPr>
          <w:p w14:paraId="45669223">
            <w:pPr>
              <w:pStyle w:val="62"/>
              <w:jc w:val="center"/>
              <w:rPr>
                <w:rFonts w:hint="eastAsia" w:ascii="宋体" w:hAnsi="宋体" w:eastAsia="宋体" w:cs="宋体"/>
                <w:color w:val="auto"/>
                <w:kern w:val="0"/>
                <w:sz w:val="24"/>
                <w:szCs w:val="24"/>
                <w:highlight w:val="none"/>
              </w:rPr>
            </w:pPr>
            <w:r>
              <w:rPr>
                <w:rFonts w:hint="eastAsia" w:ascii="宋体" w:hAnsi="宋体" w:eastAsia="宋体" w:cs="宋体"/>
                <w:bCs/>
                <w:color w:val="auto"/>
                <w:sz w:val="21"/>
                <w:szCs w:val="21"/>
                <w:highlight w:val="none"/>
                <w:lang w:val="en-US" w:eastAsia="zh-CN"/>
              </w:rPr>
              <w:t>18</w:t>
            </w:r>
            <w:r>
              <w:rPr>
                <w:rFonts w:hint="eastAsia" w:ascii="宋体" w:hAnsi="宋体" w:eastAsia="宋体" w:cs="宋体"/>
                <w:bCs/>
                <w:color w:val="auto"/>
                <w:sz w:val="21"/>
                <w:szCs w:val="21"/>
                <w:highlight w:val="none"/>
              </w:rPr>
              <w:t>分</w:t>
            </w:r>
          </w:p>
        </w:tc>
        <w:tc>
          <w:tcPr>
            <w:tcW w:w="1200" w:type="dxa"/>
            <w:noWrap w:val="0"/>
            <w:vAlign w:val="center"/>
          </w:tcPr>
          <w:p w14:paraId="7349F2C7">
            <w:pPr>
              <w:widowControl w:val="0"/>
              <w:ind w:firstLine="0"/>
              <w:jc w:val="both"/>
              <w:rPr>
                <w:rFonts w:ascii="宋体" w:hAnsi="Times New Roman" w:eastAsia="宋体" w:cs="Times New Roman"/>
                <w:bCs/>
                <w:color w:val="auto"/>
                <w:kern w:val="0"/>
                <w:sz w:val="24"/>
                <w:szCs w:val="24"/>
                <w:highlight w:val="none"/>
                <w:lang w:val="en-US" w:eastAsia="zh-CN" w:bidi="ar-SA"/>
              </w:rPr>
            </w:pPr>
          </w:p>
        </w:tc>
        <w:tc>
          <w:tcPr>
            <w:tcW w:w="3766" w:type="dxa"/>
            <w:tcBorders>
              <w:top w:val="nil"/>
              <w:left w:val="nil"/>
              <w:bottom w:val="single" w:color="auto" w:sz="4" w:space="0"/>
              <w:right w:val="single" w:color="auto" w:sz="4" w:space="0"/>
            </w:tcBorders>
            <w:noWrap w:val="0"/>
            <w:vAlign w:val="center"/>
          </w:tcPr>
          <w:p w14:paraId="3E2F47C7">
            <w:pPr>
              <w:jc w:val="center"/>
              <w:rPr>
                <w:rFonts w:hint="eastAsia" w:ascii="宋体" w:hAnsi="宋体" w:eastAsia="宋体" w:cs="宋体"/>
                <w:b/>
                <w:bCs/>
                <w:color w:val="auto"/>
                <w:kern w:val="0"/>
                <w:sz w:val="21"/>
                <w:szCs w:val="21"/>
                <w:highlight w:val="none"/>
                <w:shd w:val="pct10" w:color="auto" w:fill="FFFFFF"/>
              </w:rPr>
            </w:pPr>
            <w:r>
              <w:rPr>
                <w:rFonts w:hint="eastAsia" w:ascii="宋体" w:hAnsi="宋体" w:cs="宋体"/>
                <w:b/>
                <w:bCs/>
                <w:kern w:val="0"/>
                <w:sz w:val="21"/>
                <w:szCs w:val="21"/>
                <w:highlight w:val="none"/>
                <w:shd w:val="pct10" w:color="auto" w:fill="FFFFFF"/>
              </w:rPr>
              <w:t>供应商务必将应标证书内容逐项详细填写齐全，以方便评委进行更加优质、高效的评审</w:t>
            </w:r>
          </w:p>
        </w:tc>
        <w:tc>
          <w:tcPr>
            <w:tcW w:w="1564" w:type="dxa"/>
            <w:tcBorders>
              <w:top w:val="nil"/>
              <w:left w:val="nil"/>
              <w:bottom w:val="single" w:color="auto" w:sz="4" w:space="0"/>
              <w:right w:val="single" w:color="auto" w:sz="4" w:space="0"/>
            </w:tcBorders>
            <w:noWrap w:val="0"/>
            <w:vAlign w:val="center"/>
          </w:tcPr>
          <w:p w14:paraId="081D9D0C">
            <w:pPr>
              <w:jc w:val="center"/>
              <w:rPr>
                <w:rFonts w:hint="eastAsia" w:ascii="宋体" w:hAnsi="宋体" w:eastAsia="宋体" w:cs="宋体"/>
                <w:b/>
                <w:bCs/>
                <w:color w:val="auto"/>
                <w:kern w:val="0"/>
                <w:sz w:val="21"/>
                <w:szCs w:val="21"/>
                <w:highlight w:val="none"/>
                <w:shd w:val="pct10" w:color="auto" w:fill="FFFFFF"/>
              </w:rPr>
            </w:pPr>
            <w:r>
              <w:rPr>
                <w:rFonts w:hint="eastAsia" w:ascii="宋体" w:hAnsi="宋体" w:cs="宋体"/>
                <w:b/>
                <w:bCs/>
                <w:kern w:val="0"/>
                <w:sz w:val="21"/>
                <w:szCs w:val="21"/>
                <w:highlight w:val="none"/>
                <w:shd w:val="pct10" w:color="auto" w:fill="FFFFFF"/>
              </w:rPr>
              <w:t>供应商将应得分值填写准确</w:t>
            </w:r>
          </w:p>
        </w:tc>
      </w:tr>
      <w:tr w14:paraId="1412A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660" w:type="dxa"/>
            <w:noWrap w:val="0"/>
            <w:vAlign w:val="center"/>
          </w:tcPr>
          <w:p w14:paraId="48A03F5F">
            <w:pPr>
              <w:jc w:val="center"/>
              <w:rPr>
                <w:rFonts w:hint="default" w:ascii="宋体" w:hAnsi="Times New Roman" w:eastAsia="宋体" w:cs="宋体"/>
                <w:color w:val="auto"/>
                <w:kern w:val="0"/>
                <w:sz w:val="24"/>
                <w:szCs w:val="24"/>
                <w:highlight w:val="none"/>
                <w:lang w:val="en-US" w:eastAsia="zh-CN"/>
              </w:rPr>
            </w:pPr>
            <w:r>
              <w:rPr>
                <w:rFonts w:hint="eastAsia" w:ascii="宋体" w:hAnsi="宋体" w:eastAsia="宋体" w:cs="宋体"/>
                <w:sz w:val="21"/>
                <w:szCs w:val="21"/>
                <w:highlight w:val="none"/>
                <w:lang w:val="en-US" w:eastAsia="zh-CN"/>
              </w:rPr>
              <w:t>5</w:t>
            </w:r>
          </w:p>
        </w:tc>
        <w:tc>
          <w:tcPr>
            <w:tcW w:w="1456" w:type="dxa"/>
            <w:noWrap w:val="0"/>
            <w:vAlign w:val="center"/>
          </w:tcPr>
          <w:p w14:paraId="3DAE33DB">
            <w:pPr>
              <w:jc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sz w:val="21"/>
                <w:szCs w:val="21"/>
                <w:highlight w:val="none"/>
              </w:rPr>
              <w:t>投标人业绩</w:t>
            </w:r>
          </w:p>
        </w:tc>
        <w:tc>
          <w:tcPr>
            <w:tcW w:w="947" w:type="dxa"/>
            <w:noWrap w:val="0"/>
            <w:vAlign w:val="center"/>
          </w:tcPr>
          <w:p w14:paraId="3EF308DA">
            <w:pPr>
              <w:jc w:val="center"/>
              <w:rPr>
                <w:rFonts w:hint="eastAsia" w:ascii="宋体" w:hAnsi="宋体" w:eastAsia="宋体" w:cs="宋体"/>
                <w:color w:val="auto"/>
                <w:kern w:val="0"/>
                <w:sz w:val="24"/>
                <w:szCs w:val="24"/>
                <w:highlight w:val="none"/>
              </w:rPr>
            </w:pPr>
            <w:r>
              <w:rPr>
                <w:rFonts w:hint="eastAsia" w:ascii="宋体" w:hAnsi="宋体" w:cs="宋体"/>
                <w:bCs/>
                <w:sz w:val="21"/>
                <w:szCs w:val="21"/>
                <w:highlight w:val="none"/>
                <w:lang w:val="en-US" w:eastAsia="zh-CN"/>
              </w:rPr>
              <w:t>1</w:t>
            </w:r>
            <w:r>
              <w:rPr>
                <w:rFonts w:hint="eastAsia" w:ascii="宋体" w:hAnsi="宋体" w:eastAsia="宋体" w:cs="宋体"/>
                <w:bCs/>
                <w:sz w:val="21"/>
                <w:szCs w:val="21"/>
                <w:highlight w:val="none"/>
              </w:rPr>
              <w:t>分</w:t>
            </w:r>
          </w:p>
        </w:tc>
        <w:tc>
          <w:tcPr>
            <w:tcW w:w="1200" w:type="dxa"/>
            <w:noWrap w:val="0"/>
            <w:vAlign w:val="center"/>
          </w:tcPr>
          <w:p w14:paraId="49D8A52A">
            <w:pPr>
              <w:widowControl w:val="0"/>
              <w:ind w:firstLine="0"/>
              <w:jc w:val="both"/>
              <w:rPr>
                <w:rFonts w:ascii="宋体" w:hAnsi="Times New Roman" w:eastAsia="宋体" w:cs="Times New Roman"/>
                <w:bCs/>
                <w:color w:val="auto"/>
                <w:kern w:val="0"/>
                <w:sz w:val="24"/>
                <w:szCs w:val="24"/>
                <w:highlight w:val="none"/>
                <w:lang w:val="en-US" w:eastAsia="zh-CN" w:bidi="ar-SA"/>
              </w:rPr>
            </w:pPr>
          </w:p>
        </w:tc>
        <w:tc>
          <w:tcPr>
            <w:tcW w:w="3766" w:type="dxa"/>
            <w:tcBorders>
              <w:top w:val="nil"/>
              <w:left w:val="nil"/>
              <w:bottom w:val="single" w:color="auto" w:sz="4" w:space="0"/>
              <w:right w:val="single" w:color="auto" w:sz="4" w:space="0"/>
            </w:tcBorders>
            <w:noWrap w:val="0"/>
            <w:vAlign w:val="center"/>
          </w:tcPr>
          <w:p w14:paraId="1B0E0BFE">
            <w:pPr>
              <w:jc w:val="center"/>
              <w:rPr>
                <w:rFonts w:hint="eastAsia" w:ascii="宋体" w:hAnsi="宋体" w:eastAsia="宋体" w:cs="宋体"/>
                <w:b/>
                <w:bCs/>
                <w:color w:val="auto"/>
                <w:kern w:val="0"/>
                <w:sz w:val="21"/>
                <w:szCs w:val="21"/>
                <w:highlight w:val="none"/>
                <w:shd w:val="pct10" w:color="auto" w:fill="FFFFFF"/>
              </w:rPr>
            </w:pPr>
            <w:r>
              <w:rPr>
                <w:rFonts w:hint="eastAsia" w:ascii="宋体" w:hAnsi="宋体" w:cs="宋体"/>
                <w:b/>
                <w:bCs/>
                <w:kern w:val="0"/>
                <w:sz w:val="21"/>
                <w:szCs w:val="21"/>
                <w:highlight w:val="none"/>
                <w:shd w:val="pct10" w:color="auto" w:fill="FFFFFF"/>
              </w:rPr>
              <w:t>供应商务必将应标证书内容逐项详细填写齐全，以方便评委进行更加优质、高效的评审</w:t>
            </w:r>
          </w:p>
        </w:tc>
        <w:tc>
          <w:tcPr>
            <w:tcW w:w="1564" w:type="dxa"/>
            <w:tcBorders>
              <w:top w:val="nil"/>
              <w:left w:val="nil"/>
              <w:bottom w:val="single" w:color="auto" w:sz="4" w:space="0"/>
              <w:right w:val="single" w:color="auto" w:sz="4" w:space="0"/>
            </w:tcBorders>
            <w:noWrap w:val="0"/>
            <w:vAlign w:val="center"/>
          </w:tcPr>
          <w:p w14:paraId="16B6B923">
            <w:pPr>
              <w:jc w:val="center"/>
              <w:rPr>
                <w:rFonts w:hint="eastAsia" w:ascii="宋体" w:hAnsi="宋体" w:eastAsia="宋体" w:cs="宋体"/>
                <w:b/>
                <w:bCs/>
                <w:color w:val="auto"/>
                <w:kern w:val="0"/>
                <w:sz w:val="21"/>
                <w:szCs w:val="21"/>
                <w:highlight w:val="none"/>
                <w:shd w:val="pct10" w:color="auto" w:fill="FFFFFF"/>
              </w:rPr>
            </w:pPr>
            <w:r>
              <w:rPr>
                <w:rFonts w:hint="eastAsia" w:ascii="宋体" w:hAnsi="宋体" w:cs="宋体"/>
                <w:b/>
                <w:bCs/>
                <w:kern w:val="0"/>
                <w:sz w:val="21"/>
                <w:szCs w:val="21"/>
                <w:highlight w:val="none"/>
                <w:shd w:val="pct10" w:color="auto" w:fill="FFFFFF"/>
              </w:rPr>
              <w:t>供应商将应得分值填写准确</w:t>
            </w:r>
          </w:p>
        </w:tc>
      </w:tr>
      <w:tr w14:paraId="277B4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660" w:type="dxa"/>
            <w:noWrap w:val="0"/>
            <w:vAlign w:val="center"/>
          </w:tcPr>
          <w:p w14:paraId="66A886ED">
            <w:pPr>
              <w:jc w:val="center"/>
              <w:rPr>
                <w:rFonts w:hint="default" w:ascii="宋体" w:hAnsi="Times New Roman" w:eastAsia="宋体" w:cs="宋体"/>
                <w:color w:val="auto"/>
                <w:kern w:val="0"/>
                <w:sz w:val="24"/>
                <w:szCs w:val="24"/>
                <w:highlight w:val="none"/>
                <w:lang w:val="en-US" w:eastAsia="zh-CN"/>
              </w:rPr>
            </w:pPr>
            <w:r>
              <w:rPr>
                <w:rFonts w:hint="eastAsia" w:ascii="宋体" w:hAnsi="宋体" w:eastAsia="宋体" w:cs="宋体"/>
                <w:sz w:val="21"/>
                <w:szCs w:val="21"/>
                <w:highlight w:val="none"/>
                <w:lang w:val="en-US" w:eastAsia="zh-CN"/>
              </w:rPr>
              <w:t>6</w:t>
            </w:r>
          </w:p>
        </w:tc>
        <w:tc>
          <w:tcPr>
            <w:tcW w:w="1456" w:type="dxa"/>
            <w:noWrap w:val="0"/>
            <w:vAlign w:val="center"/>
          </w:tcPr>
          <w:p w14:paraId="1FD68168">
            <w:pPr>
              <w:jc w:val="center"/>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sz w:val="21"/>
                <w:szCs w:val="21"/>
                <w:highlight w:val="none"/>
                <w:lang w:val="en-US" w:eastAsia="zh-CN"/>
              </w:rPr>
              <w:t>类似项目评价</w:t>
            </w:r>
          </w:p>
        </w:tc>
        <w:tc>
          <w:tcPr>
            <w:tcW w:w="947" w:type="dxa"/>
            <w:noWrap w:val="0"/>
            <w:vAlign w:val="center"/>
          </w:tcPr>
          <w:p w14:paraId="2E59D21B">
            <w:pPr>
              <w:jc w:val="center"/>
              <w:rPr>
                <w:rFonts w:hint="eastAsia" w:ascii="宋体" w:hAnsi="宋体" w:eastAsia="宋体" w:cs="宋体"/>
                <w:color w:val="auto"/>
                <w:kern w:val="0"/>
                <w:sz w:val="24"/>
                <w:szCs w:val="24"/>
                <w:highlight w:val="none"/>
              </w:rPr>
            </w:pPr>
            <w:r>
              <w:rPr>
                <w:rFonts w:hint="eastAsia" w:ascii="宋体" w:hAnsi="宋体" w:cs="宋体"/>
                <w:bCs/>
                <w:sz w:val="21"/>
                <w:szCs w:val="21"/>
                <w:highlight w:val="none"/>
                <w:lang w:val="en-US" w:eastAsia="zh-CN"/>
              </w:rPr>
              <w:t>8</w:t>
            </w:r>
            <w:r>
              <w:rPr>
                <w:rFonts w:hint="eastAsia" w:ascii="宋体" w:hAnsi="宋体" w:eastAsia="宋体" w:cs="宋体"/>
                <w:bCs/>
                <w:sz w:val="21"/>
                <w:szCs w:val="21"/>
                <w:highlight w:val="none"/>
              </w:rPr>
              <w:t>分</w:t>
            </w:r>
          </w:p>
        </w:tc>
        <w:tc>
          <w:tcPr>
            <w:tcW w:w="1200" w:type="dxa"/>
            <w:noWrap w:val="0"/>
            <w:vAlign w:val="center"/>
          </w:tcPr>
          <w:p w14:paraId="618DCC13">
            <w:pPr>
              <w:widowControl w:val="0"/>
              <w:ind w:firstLine="0" w:firstLineChars="0"/>
              <w:jc w:val="both"/>
              <w:rPr>
                <w:rFonts w:ascii="宋体" w:hAnsi="Times New Roman" w:eastAsia="宋体" w:cs="Times New Roman"/>
                <w:bCs/>
                <w:color w:val="auto"/>
                <w:kern w:val="0"/>
                <w:sz w:val="24"/>
                <w:szCs w:val="24"/>
                <w:highlight w:val="none"/>
                <w:lang w:val="en-US" w:eastAsia="zh-CN" w:bidi="ar-SA"/>
              </w:rPr>
            </w:pPr>
          </w:p>
        </w:tc>
        <w:tc>
          <w:tcPr>
            <w:tcW w:w="3766" w:type="dxa"/>
            <w:tcBorders>
              <w:top w:val="nil"/>
              <w:left w:val="nil"/>
              <w:bottom w:val="single" w:color="auto" w:sz="4" w:space="0"/>
              <w:right w:val="single" w:color="auto" w:sz="4" w:space="0"/>
            </w:tcBorders>
            <w:noWrap w:val="0"/>
            <w:vAlign w:val="center"/>
          </w:tcPr>
          <w:p w14:paraId="6FF08493">
            <w:pPr>
              <w:jc w:val="center"/>
              <w:rPr>
                <w:rFonts w:hint="eastAsia" w:ascii="宋体" w:hAnsi="宋体" w:eastAsia="宋体" w:cs="宋体"/>
                <w:b/>
                <w:bCs/>
                <w:color w:val="auto"/>
                <w:kern w:val="0"/>
                <w:sz w:val="21"/>
                <w:szCs w:val="21"/>
                <w:highlight w:val="none"/>
                <w:shd w:val="pct10" w:color="auto" w:fill="FFFFFF"/>
              </w:rPr>
            </w:pPr>
            <w:r>
              <w:rPr>
                <w:rFonts w:hint="eastAsia" w:ascii="宋体" w:hAnsi="宋体" w:cs="宋体"/>
                <w:b/>
                <w:bCs/>
                <w:kern w:val="0"/>
                <w:sz w:val="21"/>
                <w:szCs w:val="21"/>
                <w:highlight w:val="none"/>
                <w:shd w:val="pct10" w:color="auto" w:fill="FFFFFF"/>
              </w:rPr>
              <w:t>供应商务必将应标证书内容逐项详细填写齐全，以方便评委进行更加优质、高效的评审</w:t>
            </w:r>
          </w:p>
        </w:tc>
        <w:tc>
          <w:tcPr>
            <w:tcW w:w="1564" w:type="dxa"/>
            <w:tcBorders>
              <w:top w:val="nil"/>
              <w:left w:val="nil"/>
              <w:bottom w:val="single" w:color="auto" w:sz="4" w:space="0"/>
              <w:right w:val="single" w:color="auto" w:sz="4" w:space="0"/>
            </w:tcBorders>
            <w:noWrap w:val="0"/>
            <w:vAlign w:val="center"/>
          </w:tcPr>
          <w:p w14:paraId="0B599DBE">
            <w:pPr>
              <w:jc w:val="center"/>
              <w:rPr>
                <w:rFonts w:hint="eastAsia" w:ascii="宋体" w:hAnsi="宋体" w:eastAsia="宋体" w:cs="宋体"/>
                <w:b/>
                <w:bCs/>
                <w:color w:val="auto"/>
                <w:kern w:val="0"/>
                <w:sz w:val="21"/>
                <w:szCs w:val="21"/>
                <w:highlight w:val="none"/>
                <w:shd w:val="pct10" w:color="auto" w:fill="FFFFFF"/>
              </w:rPr>
            </w:pPr>
            <w:r>
              <w:rPr>
                <w:rFonts w:hint="eastAsia" w:ascii="宋体" w:hAnsi="宋体" w:cs="宋体"/>
                <w:b/>
                <w:bCs/>
                <w:kern w:val="0"/>
                <w:sz w:val="21"/>
                <w:szCs w:val="21"/>
                <w:highlight w:val="none"/>
                <w:shd w:val="pct10" w:color="auto" w:fill="FFFFFF"/>
              </w:rPr>
              <w:t>供应商将应得分值填写准确</w:t>
            </w:r>
          </w:p>
        </w:tc>
      </w:tr>
      <w:tr w14:paraId="06377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660" w:type="dxa"/>
            <w:noWrap w:val="0"/>
            <w:vAlign w:val="center"/>
          </w:tcPr>
          <w:p w14:paraId="10D11856">
            <w:pPr>
              <w:jc w:val="center"/>
              <w:rPr>
                <w:rFonts w:hint="default" w:ascii="宋体" w:hAnsi="Times New Roman" w:eastAsia="宋体" w:cs="宋体"/>
                <w:color w:val="auto"/>
                <w:kern w:val="0"/>
                <w:sz w:val="24"/>
                <w:szCs w:val="24"/>
                <w:highlight w:val="none"/>
                <w:lang w:val="en-US" w:eastAsia="zh-CN"/>
              </w:rPr>
            </w:pPr>
            <w:r>
              <w:rPr>
                <w:rFonts w:hint="eastAsia" w:ascii="宋体" w:hAnsi="宋体" w:cs="宋体"/>
                <w:sz w:val="21"/>
                <w:szCs w:val="21"/>
                <w:highlight w:val="none"/>
                <w:lang w:val="en-US" w:eastAsia="zh-CN"/>
              </w:rPr>
              <w:t>7</w:t>
            </w:r>
          </w:p>
        </w:tc>
        <w:tc>
          <w:tcPr>
            <w:tcW w:w="1456" w:type="dxa"/>
            <w:noWrap w:val="0"/>
            <w:vAlign w:val="center"/>
          </w:tcPr>
          <w:p w14:paraId="2F834F89">
            <w:pPr>
              <w:jc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sz w:val="21"/>
                <w:szCs w:val="21"/>
                <w:highlight w:val="none"/>
              </w:rPr>
              <w:t>服务实施方案</w:t>
            </w:r>
          </w:p>
        </w:tc>
        <w:tc>
          <w:tcPr>
            <w:tcW w:w="947" w:type="dxa"/>
            <w:noWrap w:val="0"/>
            <w:vAlign w:val="center"/>
          </w:tcPr>
          <w:p w14:paraId="21273FCC">
            <w:pPr>
              <w:jc w:val="center"/>
              <w:rPr>
                <w:rFonts w:hint="eastAsia" w:ascii="宋体" w:hAnsi="宋体" w:eastAsia="宋体" w:cs="宋体"/>
                <w:color w:val="auto"/>
                <w:kern w:val="0"/>
                <w:sz w:val="24"/>
                <w:szCs w:val="24"/>
                <w:highlight w:val="none"/>
              </w:rPr>
            </w:pP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lang w:val="en-US" w:eastAsia="zh-CN"/>
              </w:rPr>
              <w:t>6分</w:t>
            </w:r>
          </w:p>
        </w:tc>
        <w:tc>
          <w:tcPr>
            <w:tcW w:w="1200" w:type="dxa"/>
            <w:noWrap w:val="0"/>
            <w:vAlign w:val="center"/>
          </w:tcPr>
          <w:p w14:paraId="45B5D208">
            <w:pPr>
              <w:widowControl w:val="0"/>
              <w:ind w:firstLine="0"/>
              <w:jc w:val="both"/>
              <w:rPr>
                <w:rFonts w:ascii="宋体" w:hAnsi="Times New Roman" w:eastAsia="宋体" w:cs="Times New Roman"/>
                <w:bCs/>
                <w:color w:val="auto"/>
                <w:kern w:val="0"/>
                <w:sz w:val="24"/>
                <w:szCs w:val="24"/>
                <w:highlight w:val="none"/>
                <w:lang w:val="en-US" w:eastAsia="zh-CN" w:bidi="ar-SA"/>
              </w:rPr>
            </w:pPr>
          </w:p>
        </w:tc>
        <w:tc>
          <w:tcPr>
            <w:tcW w:w="3766" w:type="dxa"/>
            <w:tcBorders>
              <w:top w:val="nil"/>
              <w:left w:val="nil"/>
              <w:bottom w:val="single" w:color="auto" w:sz="4" w:space="0"/>
              <w:right w:val="single" w:color="auto" w:sz="4" w:space="0"/>
            </w:tcBorders>
            <w:noWrap w:val="0"/>
            <w:vAlign w:val="center"/>
          </w:tcPr>
          <w:p w14:paraId="6D775793">
            <w:pPr>
              <w:jc w:val="center"/>
              <w:rPr>
                <w:rFonts w:hint="eastAsia" w:ascii="宋体" w:hAnsi="Times New Roman" w:eastAsia="宋体" w:cs="Times New Roman"/>
                <w:b/>
                <w:color w:val="auto"/>
                <w:sz w:val="21"/>
                <w:szCs w:val="21"/>
                <w:highlight w:val="none"/>
              </w:rPr>
            </w:pPr>
            <w:r>
              <w:rPr>
                <w:rFonts w:hint="eastAsia" w:ascii="宋体"/>
                <w:b/>
                <w:sz w:val="21"/>
                <w:szCs w:val="21"/>
                <w:highlight w:val="none"/>
              </w:rPr>
              <w:t>/</w:t>
            </w:r>
          </w:p>
        </w:tc>
        <w:tc>
          <w:tcPr>
            <w:tcW w:w="1564" w:type="dxa"/>
            <w:tcBorders>
              <w:top w:val="nil"/>
              <w:left w:val="nil"/>
              <w:bottom w:val="single" w:color="auto" w:sz="4" w:space="0"/>
              <w:right w:val="single" w:color="auto" w:sz="4" w:space="0"/>
            </w:tcBorders>
            <w:noWrap w:val="0"/>
            <w:vAlign w:val="center"/>
          </w:tcPr>
          <w:p w14:paraId="14C4B911">
            <w:pPr>
              <w:jc w:val="center"/>
              <w:rPr>
                <w:rFonts w:hint="eastAsia" w:ascii="宋体" w:hAnsi="Times New Roman" w:eastAsia="宋体" w:cs="Times New Roman"/>
                <w:b/>
                <w:color w:val="auto"/>
                <w:sz w:val="21"/>
                <w:szCs w:val="21"/>
                <w:highlight w:val="none"/>
              </w:rPr>
            </w:pPr>
            <w:r>
              <w:rPr>
                <w:rFonts w:hint="eastAsia" w:ascii="宋体"/>
                <w:b/>
                <w:sz w:val="21"/>
                <w:szCs w:val="21"/>
                <w:highlight w:val="none"/>
              </w:rPr>
              <w:t>/</w:t>
            </w:r>
          </w:p>
        </w:tc>
      </w:tr>
      <w:tr w14:paraId="15E11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660" w:type="dxa"/>
            <w:noWrap w:val="0"/>
            <w:vAlign w:val="center"/>
          </w:tcPr>
          <w:p w14:paraId="5792F7A7">
            <w:pPr>
              <w:jc w:val="center"/>
              <w:rPr>
                <w:rFonts w:hint="default" w:ascii="宋体" w:hAnsi="Times New Roman" w:eastAsia="宋体" w:cs="宋体"/>
                <w:color w:val="auto"/>
                <w:kern w:val="0"/>
                <w:sz w:val="24"/>
                <w:szCs w:val="24"/>
                <w:highlight w:val="none"/>
                <w:lang w:val="en-US" w:eastAsia="zh-CN"/>
              </w:rPr>
            </w:pPr>
            <w:r>
              <w:rPr>
                <w:rFonts w:hint="eastAsia" w:ascii="宋体" w:hAnsi="宋体" w:cs="宋体"/>
                <w:sz w:val="21"/>
                <w:szCs w:val="21"/>
                <w:highlight w:val="none"/>
                <w:lang w:val="en-US" w:eastAsia="zh-CN"/>
              </w:rPr>
              <w:t>8</w:t>
            </w:r>
          </w:p>
        </w:tc>
        <w:tc>
          <w:tcPr>
            <w:tcW w:w="1456" w:type="dxa"/>
            <w:noWrap w:val="0"/>
            <w:vAlign w:val="center"/>
          </w:tcPr>
          <w:p w14:paraId="3022A948">
            <w:pPr>
              <w:jc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sz w:val="21"/>
                <w:szCs w:val="21"/>
                <w:highlight w:val="none"/>
              </w:rPr>
              <w:t>质量保证措施</w:t>
            </w:r>
          </w:p>
        </w:tc>
        <w:tc>
          <w:tcPr>
            <w:tcW w:w="947" w:type="dxa"/>
            <w:noWrap w:val="0"/>
            <w:vAlign w:val="center"/>
          </w:tcPr>
          <w:p w14:paraId="47BEEF74">
            <w:pPr>
              <w:jc w:val="center"/>
              <w:rPr>
                <w:rFonts w:hint="eastAsia" w:ascii="宋体" w:hAnsi="宋体" w:eastAsia="宋体" w:cs="宋体"/>
                <w:color w:val="auto"/>
                <w:kern w:val="0"/>
                <w:sz w:val="24"/>
                <w:szCs w:val="24"/>
                <w:highlight w:val="none"/>
              </w:rPr>
            </w:pP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rPr>
              <w:t>分</w:t>
            </w:r>
          </w:p>
        </w:tc>
        <w:tc>
          <w:tcPr>
            <w:tcW w:w="1200" w:type="dxa"/>
            <w:noWrap w:val="0"/>
            <w:vAlign w:val="center"/>
          </w:tcPr>
          <w:p w14:paraId="38FB30F7">
            <w:pPr>
              <w:widowControl w:val="0"/>
              <w:ind w:firstLine="0"/>
              <w:jc w:val="both"/>
              <w:rPr>
                <w:rFonts w:ascii="宋体" w:hAnsi="Times New Roman" w:eastAsia="宋体" w:cs="Times New Roman"/>
                <w:bCs/>
                <w:color w:val="auto"/>
                <w:kern w:val="0"/>
                <w:sz w:val="24"/>
                <w:szCs w:val="24"/>
                <w:highlight w:val="none"/>
                <w:lang w:val="en-US" w:eastAsia="zh-CN" w:bidi="ar-SA"/>
              </w:rPr>
            </w:pPr>
          </w:p>
        </w:tc>
        <w:tc>
          <w:tcPr>
            <w:tcW w:w="3766" w:type="dxa"/>
            <w:tcBorders>
              <w:top w:val="nil"/>
              <w:left w:val="nil"/>
              <w:bottom w:val="single" w:color="auto" w:sz="4" w:space="0"/>
              <w:right w:val="single" w:color="auto" w:sz="4" w:space="0"/>
            </w:tcBorders>
            <w:noWrap w:val="0"/>
            <w:vAlign w:val="center"/>
          </w:tcPr>
          <w:p w14:paraId="477E7897">
            <w:pPr>
              <w:jc w:val="center"/>
              <w:rPr>
                <w:rFonts w:hint="eastAsia" w:ascii="宋体" w:hAnsi="Times New Roman" w:eastAsia="宋体" w:cs="Times New Roman"/>
                <w:b/>
                <w:color w:val="auto"/>
                <w:sz w:val="21"/>
                <w:szCs w:val="21"/>
                <w:highlight w:val="none"/>
              </w:rPr>
            </w:pPr>
            <w:r>
              <w:rPr>
                <w:rFonts w:hint="eastAsia" w:ascii="宋体"/>
                <w:b/>
                <w:sz w:val="21"/>
                <w:szCs w:val="21"/>
                <w:highlight w:val="none"/>
              </w:rPr>
              <w:t>/</w:t>
            </w:r>
          </w:p>
        </w:tc>
        <w:tc>
          <w:tcPr>
            <w:tcW w:w="1564" w:type="dxa"/>
            <w:tcBorders>
              <w:top w:val="nil"/>
              <w:left w:val="nil"/>
              <w:bottom w:val="single" w:color="auto" w:sz="4" w:space="0"/>
              <w:right w:val="single" w:color="auto" w:sz="4" w:space="0"/>
            </w:tcBorders>
            <w:noWrap w:val="0"/>
            <w:vAlign w:val="center"/>
          </w:tcPr>
          <w:p w14:paraId="0635CCDF">
            <w:pPr>
              <w:jc w:val="center"/>
              <w:rPr>
                <w:rFonts w:hint="eastAsia" w:ascii="宋体" w:hAnsi="Times New Roman" w:eastAsia="宋体" w:cs="Times New Roman"/>
                <w:b/>
                <w:color w:val="auto"/>
                <w:sz w:val="21"/>
                <w:szCs w:val="21"/>
                <w:highlight w:val="none"/>
              </w:rPr>
            </w:pPr>
            <w:r>
              <w:rPr>
                <w:rFonts w:hint="eastAsia" w:ascii="宋体"/>
                <w:b/>
                <w:sz w:val="21"/>
                <w:szCs w:val="21"/>
                <w:highlight w:val="none"/>
              </w:rPr>
              <w:t>/</w:t>
            </w:r>
          </w:p>
        </w:tc>
      </w:tr>
      <w:tr w14:paraId="620AC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660" w:type="dxa"/>
            <w:noWrap w:val="0"/>
            <w:vAlign w:val="center"/>
          </w:tcPr>
          <w:p w14:paraId="36B19FED">
            <w:pPr>
              <w:jc w:val="center"/>
              <w:rPr>
                <w:rFonts w:hint="default" w:ascii="宋体" w:hAnsi="Times New Roman" w:eastAsia="宋体" w:cs="宋体"/>
                <w:color w:val="auto"/>
                <w:kern w:val="0"/>
                <w:sz w:val="24"/>
                <w:szCs w:val="24"/>
                <w:highlight w:val="none"/>
                <w:lang w:val="en-US" w:eastAsia="zh-CN"/>
              </w:rPr>
            </w:pPr>
            <w:r>
              <w:rPr>
                <w:rFonts w:hint="eastAsia" w:ascii="宋体" w:hAnsi="宋体" w:cs="宋体"/>
                <w:sz w:val="21"/>
                <w:szCs w:val="21"/>
                <w:highlight w:val="none"/>
                <w:lang w:val="en-US" w:eastAsia="zh-CN"/>
              </w:rPr>
              <w:t>9</w:t>
            </w:r>
          </w:p>
        </w:tc>
        <w:tc>
          <w:tcPr>
            <w:tcW w:w="1456" w:type="dxa"/>
            <w:noWrap w:val="0"/>
            <w:vAlign w:val="center"/>
          </w:tcPr>
          <w:p w14:paraId="731719F2">
            <w:pPr>
              <w:jc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sz w:val="21"/>
                <w:szCs w:val="21"/>
                <w:highlight w:val="none"/>
              </w:rPr>
              <w:t>廉政保证措施</w:t>
            </w:r>
          </w:p>
        </w:tc>
        <w:tc>
          <w:tcPr>
            <w:tcW w:w="947" w:type="dxa"/>
            <w:noWrap w:val="0"/>
            <w:vAlign w:val="center"/>
          </w:tcPr>
          <w:p w14:paraId="70827CB3">
            <w:pPr>
              <w:jc w:val="center"/>
              <w:rPr>
                <w:rFonts w:hint="eastAsia" w:ascii="宋体" w:hAnsi="宋体" w:eastAsia="宋体" w:cs="宋体"/>
                <w:color w:val="auto"/>
                <w:kern w:val="0"/>
                <w:sz w:val="24"/>
                <w:szCs w:val="24"/>
                <w:highlight w:val="none"/>
              </w:rPr>
            </w:pP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rPr>
              <w:t>分</w:t>
            </w:r>
          </w:p>
        </w:tc>
        <w:tc>
          <w:tcPr>
            <w:tcW w:w="1200" w:type="dxa"/>
            <w:noWrap w:val="0"/>
            <w:vAlign w:val="center"/>
          </w:tcPr>
          <w:p w14:paraId="45BCA295">
            <w:pPr>
              <w:widowControl w:val="0"/>
              <w:ind w:firstLine="0"/>
              <w:jc w:val="both"/>
              <w:rPr>
                <w:rFonts w:ascii="宋体" w:hAnsi="Times New Roman" w:eastAsia="宋体" w:cs="Times New Roman"/>
                <w:bCs/>
                <w:color w:val="auto"/>
                <w:kern w:val="0"/>
                <w:sz w:val="24"/>
                <w:szCs w:val="24"/>
                <w:highlight w:val="none"/>
                <w:lang w:val="en-US" w:eastAsia="zh-CN" w:bidi="ar-SA"/>
              </w:rPr>
            </w:pPr>
          </w:p>
        </w:tc>
        <w:tc>
          <w:tcPr>
            <w:tcW w:w="3766" w:type="dxa"/>
            <w:tcBorders>
              <w:top w:val="nil"/>
              <w:left w:val="nil"/>
              <w:bottom w:val="single" w:color="auto" w:sz="4" w:space="0"/>
              <w:right w:val="single" w:color="auto" w:sz="4" w:space="0"/>
            </w:tcBorders>
            <w:noWrap w:val="0"/>
            <w:vAlign w:val="center"/>
          </w:tcPr>
          <w:p w14:paraId="110B4896">
            <w:pPr>
              <w:jc w:val="center"/>
              <w:rPr>
                <w:rFonts w:hint="eastAsia" w:ascii="宋体" w:hAnsi="Times New Roman" w:eastAsia="宋体" w:cs="Times New Roman"/>
                <w:b/>
                <w:color w:val="auto"/>
                <w:sz w:val="21"/>
                <w:szCs w:val="21"/>
                <w:highlight w:val="none"/>
              </w:rPr>
            </w:pPr>
            <w:r>
              <w:rPr>
                <w:rFonts w:hint="eastAsia" w:ascii="宋体"/>
                <w:b/>
                <w:sz w:val="21"/>
                <w:szCs w:val="21"/>
                <w:highlight w:val="none"/>
              </w:rPr>
              <w:t>/</w:t>
            </w:r>
          </w:p>
        </w:tc>
        <w:tc>
          <w:tcPr>
            <w:tcW w:w="1564" w:type="dxa"/>
            <w:tcBorders>
              <w:top w:val="nil"/>
              <w:left w:val="nil"/>
              <w:bottom w:val="single" w:color="auto" w:sz="4" w:space="0"/>
              <w:right w:val="single" w:color="auto" w:sz="4" w:space="0"/>
            </w:tcBorders>
            <w:noWrap w:val="0"/>
            <w:vAlign w:val="center"/>
          </w:tcPr>
          <w:p w14:paraId="4F31EFC3">
            <w:pPr>
              <w:jc w:val="center"/>
              <w:rPr>
                <w:rFonts w:hint="eastAsia" w:ascii="宋体" w:hAnsi="Times New Roman" w:eastAsia="宋体" w:cs="Times New Roman"/>
                <w:b/>
                <w:color w:val="auto"/>
                <w:sz w:val="21"/>
                <w:szCs w:val="21"/>
                <w:highlight w:val="none"/>
              </w:rPr>
            </w:pPr>
            <w:r>
              <w:rPr>
                <w:rFonts w:hint="eastAsia" w:ascii="宋体"/>
                <w:b/>
                <w:sz w:val="21"/>
                <w:szCs w:val="21"/>
                <w:highlight w:val="none"/>
              </w:rPr>
              <w:t>/</w:t>
            </w:r>
          </w:p>
        </w:tc>
      </w:tr>
      <w:tr w14:paraId="364DE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660" w:type="dxa"/>
            <w:noWrap w:val="0"/>
            <w:vAlign w:val="center"/>
          </w:tcPr>
          <w:p w14:paraId="1C0427C8">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10</w:t>
            </w:r>
          </w:p>
        </w:tc>
        <w:tc>
          <w:tcPr>
            <w:tcW w:w="1456" w:type="dxa"/>
            <w:noWrap w:val="0"/>
            <w:vAlign w:val="center"/>
          </w:tcPr>
          <w:p w14:paraId="1621F43E">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服务承诺</w:t>
            </w:r>
          </w:p>
        </w:tc>
        <w:tc>
          <w:tcPr>
            <w:tcW w:w="947" w:type="dxa"/>
            <w:noWrap w:val="0"/>
            <w:vAlign w:val="center"/>
          </w:tcPr>
          <w:p w14:paraId="6F79876E">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9</w:t>
            </w:r>
            <w:r>
              <w:rPr>
                <w:rFonts w:hint="eastAsia" w:ascii="宋体" w:hAnsi="宋体" w:eastAsia="宋体" w:cs="宋体"/>
                <w:sz w:val="21"/>
                <w:szCs w:val="21"/>
                <w:highlight w:val="none"/>
              </w:rPr>
              <w:t>分</w:t>
            </w:r>
          </w:p>
        </w:tc>
        <w:tc>
          <w:tcPr>
            <w:tcW w:w="1200" w:type="dxa"/>
            <w:noWrap w:val="0"/>
            <w:vAlign w:val="center"/>
          </w:tcPr>
          <w:p w14:paraId="712BE881">
            <w:pPr>
              <w:widowControl w:val="0"/>
              <w:ind w:firstLine="0"/>
              <w:jc w:val="both"/>
              <w:rPr>
                <w:rFonts w:ascii="宋体" w:hAnsi="Times New Roman" w:eastAsia="宋体" w:cs="Times New Roman"/>
                <w:bCs/>
                <w:color w:val="auto"/>
                <w:kern w:val="0"/>
                <w:sz w:val="24"/>
                <w:szCs w:val="24"/>
                <w:highlight w:val="none"/>
                <w:lang w:val="en-US" w:eastAsia="zh-CN" w:bidi="ar-SA"/>
              </w:rPr>
            </w:pPr>
          </w:p>
        </w:tc>
        <w:tc>
          <w:tcPr>
            <w:tcW w:w="3766" w:type="dxa"/>
            <w:tcBorders>
              <w:top w:val="nil"/>
              <w:left w:val="nil"/>
              <w:bottom w:val="single" w:color="auto" w:sz="4" w:space="0"/>
              <w:right w:val="single" w:color="auto" w:sz="4" w:space="0"/>
            </w:tcBorders>
            <w:shd w:val="clear" w:color="auto" w:fill="auto"/>
            <w:noWrap w:val="0"/>
            <w:vAlign w:val="center"/>
          </w:tcPr>
          <w:p w14:paraId="19F52274">
            <w:pPr>
              <w:jc w:val="center"/>
              <w:rPr>
                <w:rFonts w:hint="eastAsia" w:ascii="宋体" w:hAnsi="Times New Roman" w:eastAsia="宋体" w:cs="Times New Roman"/>
                <w:b/>
                <w:color w:val="auto"/>
                <w:kern w:val="2"/>
                <w:sz w:val="21"/>
                <w:szCs w:val="21"/>
                <w:highlight w:val="none"/>
                <w:lang w:val="en-US" w:eastAsia="zh-CN" w:bidi="ar-SA"/>
              </w:rPr>
            </w:pPr>
            <w:r>
              <w:rPr>
                <w:rFonts w:hint="eastAsia" w:ascii="宋体"/>
                <w:b/>
                <w:sz w:val="21"/>
                <w:szCs w:val="21"/>
                <w:highlight w:val="none"/>
              </w:rPr>
              <w:t>/</w:t>
            </w:r>
          </w:p>
        </w:tc>
        <w:tc>
          <w:tcPr>
            <w:tcW w:w="1564" w:type="dxa"/>
            <w:tcBorders>
              <w:top w:val="nil"/>
              <w:left w:val="nil"/>
              <w:bottom w:val="single" w:color="auto" w:sz="4" w:space="0"/>
              <w:right w:val="single" w:color="auto" w:sz="4" w:space="0"/>
            </w:tcBorders>
            <w:shd w:val="clear" w:color="auto" w:fill="auto"/>
            <w:noWrap w:val="0"/>
            <w:vAlign w:val="center"/>
          </w:tcPr>
          <w:p w14:paraId="62D88BDA">
            <w:pPr>
              <w:jc w:val="center"/>
              <w:rPr>
                <w:rFonts w:hint="eastAsia" w:ascii="宋体" w:hAnsi="Times New Roman" w:eastAsia="宋体" w:cs="Times New Roman"/>
                <w:b/>
                <w:color w:val="auto"/>
                <w:kern w:val="2"/>
                <w:sz w:val="21"/>
                <w:szCs w:val="21"/>
                <w:highlight w:val="none"/>
                <w:lang w:val="en-US" w:eastAsia="zh-CN" w:bidi="ar-SA"/>
              </w:rPr>
            </w:pPr>
            <w:r>
              <w:rPr>
                <w:rFonts w:hint="eastAsia" w:ascii="宋体"/>
                <w:b/>
                <w:sz w:val="21"/>
                <w:szCs w:val="21"/>
                <w:highlight w:val="none"/>
              </w:rPr>
              <w:t>/</w:t>
            </w:r>
          </w:p>
        </w:tc>
      </w:tr>
      <w:tr w14:paraId="612E6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2116" w:type="dxa"/>
            <w:gridSpan w:val="2"/>
            <w:noWrap w:val="0"/>
            <w:vAlign w:val="center"/>
          </w:tcPr>
          <w:p w14:paraId="7C5E5F32">
            <w:pPr>
              <w:jc w:val="center"/>
              <w:rPr>
                <w:rFonts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合计</w:t>
            </w:r>
          </w:p>
        </w:tc>
        <w:tc>
          <w:tcPr>
            <w:tcW w:w="947" w:type="dxa"/>
            <w:noWrap w:val="0"/>
            <w:vAlign w:val="center"/>
          </w:tcPr>
          <w:p w14:paraId="293933CB">
            <w:pPr>
              <w:jc w:val="center"/>
              <w:rPr>
                <w:rFonts w:hint="default" w:ascii="宋体" w:hAnsi="Times New Roman" w:eastAsia="宋体" w:cs="Times New Roman"/>
                <w:color w:val="auto"/>
                <w:sz w:val="24"/>
                <w:szCs w:val="24"/>
                <w:highlight w:val="none"/>
                <w:lang w:val="en-US" w:eastAsia="zh-CN"/>
              </w:rPr>
            </w:pPr>
            <w:r>
              <w:rPr>
                <w:rFonts w:hint="eastAsia" w:ascii="宋体" w:hAnsi="宋体" w:cs="宋体"/>
                <w:sz w:val="21"/>
                <w:szCs w:val="21"/>
                <w:highlight w:val="none"/>
                <w:lang w:val="en-US" w:eastAsia="zh-CN"/>
              </w:rPr>
              <w:t>90分</w:t>
            </w:r>
          </w:p>
        </w:tc>
        <w:tc>
          <w:tcPr>
            <w:tcW w:w="1200" w:type="dxa"/>
            <w:noWrap w:val="0"/>
            <w:vAlign w:val="center"/>
          </w:tcPr>
          <w:p w14:paraId="2FFCF566">
            <w:pPr>
              <w:snapToGrid w:val="0"/>
              <w:jc w:val="left"/>
              <w:rPr>
                <w:rFonts w:ascii="宋体" w:hAnsi="Times New Roman" w:eastAsia="宋体" w:cs="Times New Roman"/>
                <w:bCs/>
                <w:color w:val="auto"/>
                <w:sz w:val="24"/>
                <w:szCs w:val="24"/>
                <w:highlight w:val="none"/>
                <w:lang w:val="zh-CN"/>
              </w:rPr>
            </w:pPr>
          </w:p>
        </w:tc>
        <w:tc>
          <w:tcPr>
            <w:tcW w:w="3766" w:type="dxa"/>
            <w:tcBorders>
              <w:top w:val="nil"/>
              <w:left w:val="nil"/>
              <w:bottom w:val="single" w:color="auto" w:sz="4" w:space="0"/>
              <w:right w:val="single" w:color="auto" w:sz="4" w:space="0"/>
            </w:tcBorders>
            <w:noWrap w:val="0"/>
            <w:vAlign w:val="center"/>
          </w:tcPr>
          <w:p w14:paraId="262E845A">
            <w:pPr>
              <w:jc w:val="center"/>
              <w:rPr>
                <w:rFonts w:ascii="宋体" w:hAnsi="Times New Roman" w:eastAsia="宋体" w:cs="Times New Roman"/>
                <w:bCs/>
                <w:color w:val="auto"/>
                <w:sz w:val="21"/>
                <w:szCs w:val="21"/>
                <w:highlight w:val="none"/>
                <w:lang w:val="zh-CN"/>
              </w:rPr>
            </w:pPr>
            <w:r>
              <w:rPr>
                <w:rFonts w:hint="eastAsia" w:ascii="宋体"/>
                <w:b/>
                <w:sz w:val="21"/>
                <w:szCs w:val="21"/>
                <w:highlight w:val="none"/>
              </w:rPr>
              <w:t>/</w:t>
            </w:r>
          </w:p>
        </w:tc>
        <w:tc>
          <w:tcPr>
            <w:tcW w:w="1564" w:type="dxa"/>
            <w:tcBorders>
              <w:top w:val="nil"/>
              <w:left w:val="nil"/>
              <w:bottom w:val="single" w:color="auto" w:sz="4" w:space="0"/>
              <w:right w:val="single" w:color="auto" w:sz="4" w:space="0"/>
            </w:tcBorders>
            <w:noWrap w:val="0"/>
            <w:vAlign w:val="center"/>
          </w:tcPr>
          <w:p w14:paraId="73C62870">
            <w:pPr>
              <w:jc w:val="center"/>
              <w:rPr>
                <w:rFonts w:ascii="宋体" w:hAnsi="Times New Roman" w:eastAsia="宋体" w:cs="Times New Roman"/>
                <w:bCs/>
                <w:color w:val="auto"/>
                <w:sz w:val="21"/>
                <w:szCs w:val="21"/>
                <w:highlight w:val="none"/>
                <w:lang w:val="zh-CN"/>
              </w:rPr>
            </w:pPr>
            <w:r>
              <w:rPr>
                <w:rFonts w:hint="eastAsia" w:ascii="宋体"/>
                <w:b/>
                <w:sz w:val="21"/>
                <w:szCs w:val="21"/>
                <w:highlight w:val="none"/>
              </w:rPr>
              <w:t>/</w:t>
            </w:r>
          </w:p>
        </w:tc>
      </w:tr>
    </w:tbl>
    <w:p w14:paraId="436DDB2A">
      <w:pPr>
        <w:rPr>
          <w:rFonts w:hint="eastAsia" w:ascii="宋体" w:hAnsi="宋体" w:eastAsia="宋体" w:cs="宋体"/>
          <w:b/>
          <w:color w:val="auto"/>
          <w:sz w:val="24"/>
          <w:highlight w:val="none"/>
        </w:rPr>
      </w:pPr>
    </w:p>
    <w:p w14:paraId="7A2135DC">
      <w:pPr>
        <w:rPr>
          <w:rFonts w:hint="eastAsia" w:ascii="宋体" w:hAnsi="宋体" w:eastAsia="宋体" w:cs="宋体"/>
          <w:b/>
          <w:color w:val="auto"/>
          <w:sz w:val="24"/>
          <w:highlight w:val="none"/>
        </w:rPr>
      </w:pPr>
    </w:p>
    <w:p w14:paraId="52C7C323">
      <w:pPr>
        <w:rPr>
          <w:rFonts w:hint="eastAsia" w:ascii="宋体" w:hAnsi="宋体" w:eastAsia="宋体" w:cs="宋体"/>
          <w:b/>
          <w:color w:val="auto"/>
          <w:sz w:val="24"/>
          <w:highlight w:val="none"/>
        </w:rPr>
      </w:pPr>
    </w:p>
    <w:p w14:paraId="24954F61">
      <w:pPr>
        <w:rPr>
          <w:rFonts w:hint="eastAsia" w:ascii="宋体" w:hAnsi="宋体" w:eastAsia="宋体" w:cs="宋体"/>
          <w:b/>
          <w:color w:val="auto"/>
          <w:sz w:val="24"/>
          <w:highlight w:val="none"/>
        </w:rPr>
      </w:pPr>
    </w:p>
    <w:p w14:paraId="7A421133">
      <w:pPr>
        <w:pStyle w:val="40"/>
        <w:rPr>
          <w:rFonts w:hint="eastAsia"/>
          <w:color w:val="auto"/>
          <w:highlight w:val="none"/>
        </w:rPr>
      </w:pPr>
    </w:p>
    <w:p w14:paraId="19C720DA">
      <w:pPr>
        <w:numPr>
          <w:ilvl w:val="0"/>
          <w:numId w:val="6"/>
        </w:numPr>
        <w:adjustRightInd w:val="0"/>
        <w:spacing w:line="240" w:lineRule="atLeast"/>
        <w:jc w:val="center"/>
        <w:outlineLvl w:val="9"/>
        <w:rPr>
          <w:rFonts w:hint="eastAsia" w:ascii="宋体" w:hAnsi="宋体" w:eastAsia="宋体" w:cs="宋体"/>
          <w:b/>
          <w:color w:val="auto"/>
          <w:sz w:val="30"/>
          <w:szCs w:val="30"/>
          <w:highlight w:val="none"/>
          <w:shd w:val="clear" w:color="auto" w:fill="auto"/>
        </w:rPr>
        <w:sectPr>
          <w:pgSz w:w="11906" w:h="16838"/>
          <w:pgMar w:top="1021" w:right="1588" w:bottom="851" w:left="1588" w:header="567" w:footer="454" w:gutter="0"/>
          <w:pgNumType w:fmt="decimal"/>
          <w:cols w:space="720" w:num="1"/>
          <w:docGrid w:linePitch="286" w:charSpace="0"/>
        </w:sectPr>
      </w:pPr>
    </w:p>
    <w:p w14:paraId="3C58C6E3">
      <w:pPr>
        <w:numPr>
          <w:ilvl w:val="0"/>
          <w:numId w:val="6"/>
        </w:numPr>
        <w:adjustRightInd w:val="0"/>
        <w:spacing w:line="240" w:lineRule="atLeast"/>
        <w:jc w:val="center"/>
        <w:outlineLvl w:val="0"/>
        <w:rPr>
          <w:rFonts w:hint="eastAsia" w:ascii="宋体" w:hAnsi="宋体" w:eastAsia="宋体" w:cs="宋体"/>
          <w:b/>
          <w:color w:val="auto"/>
          <w:sz w:val="30"/>
          <w:szCs w:val="30"/>
          <w:highlight w:val="none"/>
          <w:shd w:val="clear" w:color="auto" w:fill="auto"/>
        </w:rPr>
      </w:pPr>
      <w:r>
        <w:rPr>
          <w:rFonts w:hint="eastAsia" w:ascii="宋体" w:hAnsi="宋体" w:eastAsia="宋体" w:cs="宋体"/>
          <w:b/>
          <w:color w:val="auto"/>
          <w:sz w:val="30"/>
          <w:szCs w:val="30"/>
          <w:highlight w:val="none"/>
          <w:shd w:val="clear" w:color="auto" w:fill="auto"/>
        </w:rPr>
        <w:t xml:space="preserve"> </w:t>
      </w:r>
      <w:bookmarkStart w:id="148" w:name="_Toc1436"/>
      <w:bookmarkStart w:id="149" w:name="_Toc28941"/>
      <w:r>
        <w:rPr>
          <w:rFonts w:hint="eastAsia" w:ascii="宋体" w:hAnsi="宋体" w:eastAsia="宋体" w:cs="宋体"/>
          <w:b/>
          <w:color w:val="auto"/>
          <w:sz w:val="30"/>
          <w:szCs w:val="30"/>
          <w:highlight w:val="none"/>
          <w:shd w:val="clear" w:color="auto" w:fill="auto"/>
        </w:rPr>
        <w:t>合同主要条款</w:t>
      </w:r>
      <w:bookmarkEnd w:id="148"/>
      <w:bookmarkEnd w:id="149"/>
    </w:p>
    <w:p w14:paraId="1445E24B">
      <w:pPr>
        <w:pStyle w:val="51"/>
        <w:numPr>
          <w:ilvl w:val="0"/>
          <w:numId w:val="0"/>
        </w:numPr>
        <w:rPr>
          <w:rFonts w:hint="eastAsia"/>
          <w:color w:val="auto"/>
          <w:highlight w:val="none"/>
        </w:rPr>
      </w:pPr>
    </w:p>
    <w:p w14:paraId="7182656C">
      <w:pPr>
        <w:widowControl/>
        <w:spacing w:line="360" w:lineRule="auto"/>
        <w:jc w:val="center"/>
        <w:rPr>
          <w:rFonts w:hint="eastAsia" w:ascii="宋体" w:hAnsi="宋体" w:eastAsia="仿宋_GB2312" w:cs="Times New Roman"/>
          <w:b/>
          <w:color w:val="auto"/>
          <w:kern w:val="2"/>
          <w:sz w:val="24"/>
          <w:szCs w:val="24"/>
          <w:highlight w:val="none"/>
        </w:rPr>
      </w:pPr>
      <w:bookmarkStart w:id="150" w:name="_Toc466534751"/>
      <w:bookmarkStart w:id="151" w:name="_Toc24427"/>
      <w:bookmarkStart w:id="152" w:name="_Toc14350"/>
      <w:r>
        <w:rPr>
          <w:rFonts w:hint="eastAsia" w:ascii="Times New Roman" w:hAnsi="宋体" w:eastAsia="宋体" w:cs="Times New Roman"/>
          <w:color w:val="auto"/>
          <w:sz w:val="28"/>
          <w:szCs w:val="28"/>
          <w:highlight w:val="none"/>
          <w:shd w:val="pct10" w:color="auto" w:fill="FFFFFF"/>
        </w:rPr>
        <w:t>（此稿为合同样本，最终定稿待双方协商后商定）</w:t>
      </w:r>
    </w:p>
    <w:p w14:paraId="24CC5356">
      <w:pPr>
        <w:widowControl/>
        <w:autoSpaceDE/>
        <w:autoSpaceDN/>
        <w:adjustRightInd/>
        <w:spacing w:line="400" w:lineRule="exact"/>
        <w:jc w:val="left"/>
        <w:rPr>
          <w:rFonts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 xml:space="preserve">            </w:t>
      </w:r>
    </w:p>
    <w:p w14:paraId="67C4F742">
      <w:pPr>
        <w:widowControl w:val="0"/>
        <w:autoSpaceDE w:val="0"/>
        <w:autoSpaceDN w:val="0"/>
        <w:adjustRightInd w:val="0"/>
        <w:jc w:val="both"/>
        <w:rPr>
          <w:rFonts w:hint="eastAsia" w:ascii="宋体" w:hAnsi="宋体" w:eastAsia="仿宋_GB2312" w:cs="Times New Roman"/>
          <w:b/>
          <w:color w:val="auto"/>
          <w:kern w:val="2"/>
          <w:sz w:val="24"/>
          <w:szCs w:val="24"/>
          <w:highlight w:val="none"/>
          <w:lang w:val="en-US" w:eastAsia="zh-CN" w:bidi="ar-SA"/>
        </w:rPr>
      </w:pPr>
    </w:p>
    <w:p w14:paraId="414C01B5">
      <w:pPr>
        <w:widowControl/>
        <w:autoSpaceDE/>
        <w:autoSpaceDN/>
        <w:adjustRightInd/>
        <w:spacing w:line="360" w:lineRule="auto"/>
        <w:jc w:val="center"/>
        <w:rPr>
          <w:rFonts w:hint="eastAsia" w:ascii="宋体" w:hAnsi="宋体" w:eastAsia="宋体" w:cs="宋体"/>
          <w:b/>
          <w:color w:val="auto"/>
          <w:kern w:val="2"/>
          <w:sz w:val="24"/>
          <w:szCs w:val="24"/>
          <w:highlight w:val="none"/>
        </w:rPr>
        <w:sectPr>
          <w:footerReference r:id="rId9" w:type="default"/>
          <w:pgSz w:w="11906" w:h="16838"/>
          <w:pgMar w:top="1021" w:right="1588" w:bottom="851" w:left="1588" w:header="567" w:footer="454" w:gutter="0"/>
          <w:pgNumType w:fmt="decimal"/>
          <w:cols w:space="720" w:num="1"/>
          <w:docGrid w:linePitch="286" w:charSpace="0"/>
        </w:sectPr>
      </w:pPr>
    </w:p>
    <w:p w14:paraId="676705F9">
      <w:pPr>
        <w:widowControl/>
        <w:autoSpaceDE/>
        <w:autoSpaceDN/>
        <w:adjustRightInd/>
        <w:spacing w:line="360" w:lineRule="auto"/>
        <w:jc w:val="center"/>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第一部分 协议书</w:t>
      </w:r>
    </w:p>
    <w:p w14:paraId="79B3E45B">
      <w:pPr>
        <w:widowControl w:val="0"/>
        <w:autoSpaceDE/>
        <w:autoSpaceDN/>
        <w:adjustRightInd/>
        <w:spacing w:after="120" w:line="240" w:lineRule="auto"/>
        <w:ind w:firstLine="240" w:firstLineChars="100"/>
        <w:jc w:val="both"/>
        <w:rPr>
          <w:rFonts w:ascii="宋体" w:hAnsi="宋体" w:eastAsia="仿宋_GB2312" w:cs="Times New Roman"/>
          <w:color w:val="auto"/>
          <w:kern w:val="2"/>
          <w:sz w:val="24"/>
          <w:szCs w:val="24"/>
          <w:highlight w:val="none"/>
          <w:lang w:val="en-US" w:eastAsia="zh-CN" w:bidi="ar-SA"/>
        </w:rPr>
      </w:pPr>
    </w:p>
    <w:p w14:paraId="36801FA8">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color w:val="auto"/>
          <w:kern w:val="2"/>
          <w:sz w:val="21"/>
          <w:szCs w:val="21"/>
          <w:highlight w:val="none"/>
          <w:u w:val="single"/>
        </w:rPr>
      </w:pPr>
      <w:r>
        <w:rPr>
          <w:rFonts w:hint="eastAsia" w:asciiTheme="minorEastAsia" w:hAnsiTheme="minorEastAsia" w:eastAsiaTheme="minorEastAsia" w:cstheme="minorEastAsia"/>
          <w:color w:val="auto"/>
          <w:kern w:val="2"/>
          <w:sz w:val="21"/>
          <w:szCs w:val="21"/>
          <w:highlight w:val="none"/>
        </w:rPr>
        <w:t>委托人（全称）：</w:t>
      </w:r>
      <w:r>
        <w:rPr>
          <w:rFonts w:hint="eastAsia" w:asciiTheme="minorEastAsia" w:hAnsiTheme="minorEastAsia" w:eastAsiaTheme="minorEastAsia" w:cstheme="minorEastAsia"/>
          <w:color w:val="auto"/>
          <w:kern w:val="2"/>
          <w:sz w:val="21"/>
          <w:szCs w:val="21"/>
          <w:highlight w:val="none"/>
          <w:u w:val="single"/>
        </w:rPr>
        <w:t xml:space="preserve">                            </w:t>
      </w:r>
    </w:p>
    <w:p w14:paraId="6F6B9DD9">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 xml:space="preserve">咨询人（全称）： </w:t>
      </w:r>
      <w:r>
        <w:rPr>
          <w:rFonts w:hint="eastAsia" w:asciiTheme="minorEastAsia" w:hAnsiTheme="minorEastAsia" w:eastAsiaTheme="minorEastAsia" w:cstheme="minorEastAsia"/>
          <w:color w:val="auto"/>
          <w:kern w:val="2"/>
          <w:sz w:val="21"/>
          <w:szCs w:val="21"/>
          <w:highlight w:val="none"/>
          <w:u w:val="single"/>
        </w:rPr>
        <w:t xml:space="preserve">                            </w:t>
      </w:r>
    </w:p>
    <w:p w14:paraId="493D6DBA">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根据《中华人民共和国民法典》及其他有关法律、法规</w:t>
      </w:r>
      <w:r>
        <w:rPr>
          <w:rFonts w:hint="eastAsia" w:asciiTheme="minorEastAsia" w:hAnsiTheme="minorEastAsia" w:eastAsiaTheme="minorEastAsia" w:cstheme="minorEastAsia"/>
          <w:color w:val="auto"/>
          <w:kern w:val="2"/>
          <w:sz w:val="21"/>
          <w:szCs w:val="21"/>
          <w:highlight w:val="none"/>
          <w:lang w:val="en-US" w:eastAsia="zh-CN"/>
        </w:rPr>
        <w:t>以及</w:t>
      </w:r>
      <w:r>
        <w:rPr>
          <w:rFonts w:hint="eastAsia" w:asciiTheme="minorEastAsia" w:hAnsiTheme="minorEastAsia" w:eastAsiaTheme="minorEastAsia" w:cstheme="minorEastAsia"/>
          <w:color w:val="auto"/>
          <w:kern w:val="2"/>
          <w:sz w:val="21"/>
          <w:szCs w:val="21"/>
          <w:highlight w:val="none"/>
          <w:u w:val="single"/>
          <w:lang w:val="en-US" w:eastAsia="zh-CN"/>
        </w:rPr>
        <w:t>临海市海塘安澜工程（南洋涂海塘）预算审核招标文件要求</w:t>
      </w:r>
      <w:r>
        <w:rPr>
          <w:rFonts w:hint="eastAsia" w:asciiTheme="minorEastAsia" w:hAnsiTheme="minorEastAsia" w:eastAsiaTheme="minorEastAsia" w:cstheme="minorEastAsia"/>
          <w:color w:val="auto"/>
          <w:kern w:val="2"/>
          <w:sz w:val="21"/>
          <w:szCs w:val="21"/>
          <w:highlight w:val="none"/>
        </w:rPr>
        <w:t>，遵循平等、自愿、公平和诚实信用的原则，双方就下述建设工程委托造价咨询与其他服务事项协商一致，订立本合同。</w:t>
      </w:r>
    </w:p>
    <w:p w14:paraId="40052D09">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color w:val="auto"/>
          <w:kern w:val="2"/>
          <w:sz w:val="21"/>
          <w:szCs w:val="21"/>
          <w:highlight w:val="none"/>
        </w:rPr>
      </w:pPr>
      <w:r>
        <w:rPr>
          <w:rFonts w:hint="eastAsia" w:asciiTheme="minorEastAsia" w:hAnsiTheme="minorEastAsia" w:eastAsiaTheme="minorEastAsia" w:cstheme="minorEastAsia"/>
          <w:b/>
          <w:color w:val="auto"/>
          <w:kern w:val="2"/>
          <w:sz w:val="21"/>
          <w:szCs w:val="21"/>
          <w:highlight w:val="none"/>
        </w:rPr>
        <w:t>一、工程概况</w:t>
      </w:r>
    </w:p>
    <w:p w14:paraId="37987436">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1.工程名称：</w:t>
      </w:r>
      <w:r>
        <w:rPr>
          <w:rFonts w:hint="eastAsia" w:asciiTheme="minorEastAsia" w:hAnsiTheme="minorEastAsia" w:eastAsiaTheme="minorEastAsia" w:cstheme="minorEastAsia"/>
          <w:color w:val="auto"/>
          <w:kern w:val="2"/>
          <w:sz w:val="21"/>
          <w:szCs w:val="21"/>
          <w:highlight w:val="none"/>
          <w:u w:val="single"/>
          <w:lang w:val="en-US" w:eastAsia="zh-CN"/>
        </w:rPr>
        <w:t xml:space="preserve">                      </w:t>
      </w:r>
      <w:r>
        <w:rPr>
          <w:rFonts w:hint="eastAsia" w:asciiTheme="minorEastAsia" w:hAnsiTheme="minorEastAsia" w:eastAsiaTheme="minorEastAsia" w:cstheme="minorEastAsia"/>
          <w:color w:val="auto"/>
          <w:kern w:val="2"/>
          <w:sz w:val="21"/>
          <w:szCs w:val="21"/>
          <w:highlight w:val="none"/>
        </w:rPr>
        <w:t>。</w:t>
      </w:r>
    </w:p>
    <w:p w14:paraId="346753E2">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2.工程地点：</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u w:val="single"/>
          <w:lang w:val="en-US" w:eastAsia="zh-CN"/>
        </w:rPr>
        <w:t xml:space="preserve">    </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rPr>
        <w:t>。</w:t>
      </w:r>
    </w:p>
    <w:p w14:paraId="0DFC9A03">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color w:val="auto"/>
          <w:kern w:val="2"/>
          <w:sz w:val="21"/>
          <w:szCs w:val="21"/>
          <w:highlight w:val="none"/>
          <w:u w:val="single"/>
        </w:rPr>
      </w:pPr>
      <w:r>
        <w:rPr>
          <w:rFonts w:hint="eastAsia" w:asciiTheme="minorEastAsia" w:hAnsiTheme="minorEastAsia" w:eastAsiaTheme="minorEastAsia" w:cstheme="minorEastAsia"/>
          <w:color w:val="auto"/>
          <w:kern w:val="2"/>
          <w:sz w:val="21"/>
          <w:szCs w:val="21"/>
          <w:highlight w:val="none"/>
        </w:rPr>
        <w:t>3.工程规模：</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u w:val="single"/>
          <w:lang w:val="en-US" w:eastAsia="zh-CN"/>
        </w:rPr>
        <w:t xml:space="preserve">                   </w:t>
      </w:r>
      <w:r>
        <w:rPr>
          <w:rFonts w:hint="eastAsia" w:asciiTheme="minorEastAsia" w:hAnsiTheme="minorEastAsia" w:eastAsiaTheme="minorEastAsia" w:cstheme="minorEastAsia"/>
          <w:color w:val="auto"/>
          <w:kern w:val="2"/>
          <w:sz w:val="21"/>
          <w:szCs w:val="21"/>
          <w:highlight w:val="none"/>
          <w:u w:val="single"/>
        </w:rPr>
        <w:t>。</w:t>
      </w:r>
    </w:p>
    <w:p w14:paraId="4DFCDE4A">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4.投资金额：</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u w:val="single"/>
          <w:lang w:val="en-US" w:eastAsia="zh-CN"/>
        </w:rPr>
        <w:t xml:space="preserve">    </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rPr>
        <w:t>。</w:t>
      </w:r>
    </w:p>
    <w:p w14:paraId="162112E0">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5.资金来源：</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u w:val="single"/>
          <w:lang w:val="en-US" w:eastAsia="zh-CN"/>
        </w:rPr>
        <w:t xml:space="preserve">   </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rPr>
        <w:t>。</w:t>
      </w:r>
    </w:p>
    <w:p w14:paraId="02B9D10D">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6.建设工期或周期：</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rPr>
        <w:t>。</w:t>
      </w:r>
    </w:p>
    <w:p w14:paraId="75237ABD">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7.其他：</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rPr>
        <w:t>。</w:t>
      </w:r>
    </w:p>
    <w:p w14:paraId="76E83BC0">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color w:val="auto"/>
          <w:kern w:val="2"/>
          <w:sz w:val="21"/>
          <w:szCs w:val="21"/>
          <w:highlight w:val="none"/>
        </w:rPr>
      </w:pPr>
      <w:r>
        <w:rPr>
          <w:rFonts w:hint="eastAsia" w:asciiTheme="minorEastAsia" w:hAnsiTheme="minorEastAsia" w:eastAsiaTheme="minorEastAsia" w:cstheme="minorEastAsia"/>
          <w:b/>
          <w:color w:val="auto"/>
          <w:kern w:val="2"/>
          <w:sz w:val="21"/>
          <w:szCs w:val="21"/>
          <w:highlight w:val="none"/>
        </w:rPr>
        <w:t>二、服务范围及工作内容：</w:t>
      </w:r>
    </w:p>
    <w:p w14:paraId="07704CB0">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u w:val="single"/>
          <w:lang w:val="en-US" w:eastAsia="zh-CN"/>
        </w:rPr>
      </w:pPr>
      <w:r>
        <w:rPr>
          <w:rFonts w:hint="eastAsia" w:asciiTheme="minorEastAsia" w:hAnsiTheme="minorEastAsia" w:eastAsiaTheme="minorEastAsia" w:cstheme="minorEastAsia"/>
          <w:color w:val="auto"/>
          <w:sz w:val="21"/>
          <w:szCs w:val="21"/>
          <w:highlight w:val="none"/>
          <w:u w:val="single"/>
          <w:lang w:val="en-US" w:eastAsia="zh-CN"/>
        </w:rPr>
        <w:t>双方约定的服务范围：服务内容包含但不限于负责完成所提供施工图纸范围内所有建筑、安装、其他配套工程等以及其他与本项目密切相关、必不可少的系统、专业、专项等所有图纸项目的预算审核工作，如涉及其他特殊工程业主须另行委托的除外。根据项目实际情况如分阶段或分专业实施的，须按招标人要求分阶段或分专业出具造价咨询报告书。</w:t>
      </w:r>
    </w:p>
    <w:p w14:paraId="41214D7D">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u w:val="single"/>
          <w:lang w:val="en-US" w:eastAsia="zh-CN"/>
        </w:rPr>
      </w:pPr>
      <w:r>
        <w:rPr>
          <w:rFonts w:hint="eastAsia" w:asciiTheme="minorEastAsia" w:hAnsiTheme="minorEastAsia" w:eastAsiaTheme="minorEastAsia" w:cstheme="minorEastAsia"/>
          <w:color w:val="auto"/>
          <w:sz w:val="21"/>
          <w:szCs w:val="21"/>
          <w:highlight w:val="none"/>
          <w:u w:val="single"/>
          <w:lang w:val="en-US" w:eastAsia="zh-CN"/>
        </w:rPr>
        <w:t>双方约定的工作内容：自签订合同之日起至竣工结算审核结束，期间在接到业主通知后在约定服务期限内完成各项咨询服务工作，包括本次招标范围内的所有图纸项目的预算审核工作及出具造价咨询成果文件，包括：①施工图预算审核；②须二次深化单独招标专业工程及暂列项目预算审核[如已以暂估价形式列入施工图预算中，因二次招标等需要须单独编制预算的，相关费用不再另行计取（即不纳入付费基数计算）]；③在工程施工中标前因图纸变更，预算重新编制的费用不再另行计取（即不纳入付费基数计算）；④无价材料询价；⑤因咨询人自身原因造成的错项、漏项等相关工程变更编制[根据业主需要进行费用编制并出具报告，费用不另行计取（即不纳入付费基数计算）]，并需出具加盖公章的情况说明；非咨询人自身原因增加工程变更编制[根据业主需要进行费用编制并出具报告，费用另行计取]；⑥过程的计量支付审核；⑦应由咨询人完成的其他相关工作。</w:t>
      </w:r>
    </w:p>
    <w:p w14:paraId="5FAD526D">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color w:val="auto"/>
          <w:kern w:val="2"/>
          <w:sz w:val="21"/>
          <w:szCs w:val="21"/>
          <w:highlight w:val="none"/>
        </w:rPr>
      </w:pPr>
      <w:r>
        <w:rPr>
          <w:rFonts w:hint="eastAsia" w:asciiTheme="minorEastAsia" w:hAnsiTheme="minorEastAsia" w:eastAsiaTheme="minorEastAsia" w:cstheme="minorEastAsia"/>
          <w:b/>
          <w:color w:val="auto"/>
          <w:kern w:val="2"/>
          <w:sz w:val="21"/>
          <w:szCs w:val="21"/>
          <w:highlight w:val="none"/>
        </w:rPr>
        <w:t>三、服务期限</w:t>
      </w:r>
    </w:p>
    <w:p w14:paraId="669139DC">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在接收完整资料后30日历天内完成施工图预算审核工作（如预算资料分批次提供的，需在接收该批次预算资料后15日历天内完成施工图预算审核工作），其余工作内容在接到招标人通知后10日历天内完成。</w:t>
      </w:r>
    </w:p>
    <w:p w14:paraId="2BFA9F53">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color w:val="auto"/>
          <w:kern w:val="2"/>
          <w:sz w:val="21"/>
          <w:szCs w:val="21"/>
          <w:highlight w:val="none"/>
        </w:rPr>
      </w:pPr>
      <w:r>
        <w:rPr>
          <w:rFonts w:hint="eastAsia" w:asciiTheme="minorEastAsia" w:hAnsiTheme="minorEastAsia" w:eastAsiaTheme="minorEastAsia" w:cstheme="minorEastAsia"/>
          <w:b/>
          <w:color w:val="auto"/>
          <w:kern w:val="2"/>
          <w:sz w:val="21"/>
          <w:szCs w:val="21"/>
          <w:highlight w:val="none"/>
        </w:rPr>
        <w:t>四、质量标准</w:t>
      </w:r>
    </w:p>
    <w:p w14:paraId="7C43EC06">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本项目预算必须采用全面审核法，在预算审核阶段、施工过程阶段、结算审核阶段等所有过程中均按下列要求执行：</w:t>
      </w:r>
    </w:p>
    <w:p w14:paraId="323AE2A2">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（1）预算审核成果文件的格式应符合“成果文件的组成和要求”的相关规定。</w:t>
      </w:r>
    </w:p>
    <w:p w14:paraId="16851F55">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（2）预算审核应符合现行的《浙江省水利水电工程设计概（预）算编制规定》、《浙江省水利工程工程量清单计价办法》等有关规定，如有政策性新规定，按新规定执行。</w:t>
      </w:r>
    </w:p>
    <w:p w14:paraId="7D709C0A">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预算审核误差率超过3%的，将不予支付审核费用。误差率：造价成果文件中查找出（包括施工过程阶段、结算审核阶段等过程中所发现的）的编制错误的累计金额与最终修正后造价总额的比率；a.错误的累计金额以绝对值计算，出现正负值不相互抵消；b.无价材料、措施费的差错额计入误差率；c.施工阶段及结算审核阶段发现的预算审核差错额计入误差率。</w:t>
      </w:r>
    </w:p>
    <w:p w14:paraId="219C4025">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（4）工程量清单中项目特征描述错误的子目数量占工程量清单全部子目数量的比例不得超过3%。否则招标人不予支付审核费用。</w:t>
      </w:r>
    </w:p>
    <w:p w14:paraId="50B1355F">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对项目预算审核出现重大差错的处理。预算审核单项差错额在30万元以上（含30万元），100万元以下（含100万元）的（同样问题错误的累加计算，下同），每处扣减1万元预算审核费；差错额超过100万元（不含100万元）的，每处扣减2万元预算审核费；同种类型错误可多次扣减，扣完为止。</w:t>
      </w:r>
    </w:p>
    <w:p w14:paraId="102F7282">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（6）对咨询人过错造成工程变更金额在15万元以上（含15万元）的，每处扣减500元预算审核费，同种类型错误可多次扣减，扣完为止。本条款与本节第（5）条款处罚可重叠累计。</w:t>
      </w:r>
    </w:p>
    <w:p w14:paraId="678D68C9">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color w:val="auto"/>
          <w:kern w:val="2"/>
          <w:sz w:val="21"/>
          <w:szCs w:val="21"/>
          <w:highlight w:val="none"/>
        </w:rPr>
      </w:pPr>
      <w:r>
        <w:rPr>
          <w:rFonts w:hint="eastAsia" w:asciiTheme="minorEastAsia" w:hAnsiTheme="minorEastAsia" w:eastAsiaTheme="minorEastAsia" w:cstheme="minorEastAsia"/>
          <w:b/>
          <w:color w:val="auto"/>
          <w:kern w:val="2"/>
          <w:sz w:val="21"/>
          <w:szCs w:val="21"/>
          <w:highlight w:val="none"/>
        </w:rPr>
        <w:t>五、</w:t>
      </w:r>
      <w:r>
        <w:rPr>
          <w:rFonts w:hint="eastAsia" w:asciiTheme="minorEastAsia" w:hAnsiTheme="minorEastAsia" w:eastAsiaTheme="minorEastAsia" w:cstheme="minorEastAsia"/>
          <w:b/>
          <w:color w:val="auto"/>
          <w:kern w:val="2"/>
          <w:sz w:val="21"/>
          <w:szCs w:val="21"/>
          <w:highlight w:val="none"/>
          <w:lang w:eastAsia="zh-CN"/>
        </w:rPr>
        <w:t>签约</w:t>
      </w:r>
      <w:r>
        <w:rPr>
          <w:rFonts w:hint="eastAsia" w:asciiTheme="minorEastAsia" w:hAnsiTheme="minorEastAsia" w:eastAsiaTheme="minorEastAsia" w:cstheme="minorEastAsia"/>
          <w:b/>
          <w:color w:val="auto"/>
          <w:kern w:val="2"/>
          <w:sz w:val="21"/>
          <w:szCs w:val="21"/>
          <w:highlight w:val="none"/>
        </w:rPr>
        <w:t>酬金或计取方式</w:t>
      </w:r>
    </w:p>
    <w:p w14:paraId="5B8A2967">
      <w:pPr>
        <w:keepNext w:val="0"/>
        <w:keepLines w:val="0"/>
        <w:pageBreakBefore w:val="0"/>
        <w:widowControl/>
        <w:kinsoku/>
        <w:wordWrap/>
        <w:overflowPunct/>
        <w:topLinePunct w:val="0"/>
        <w:autoSpaceDE/>
        <w:autoSpaceDN/>
        <w:bidi w:val="0"/>
        <w:adjustRightInd/>
        <w:snapToGrid/>
        <w:spacing w:line="360" w:lineRule="auto"/>
        <w:ind w:firstLine="450"/>
        <w:jc w:val="both"/>
        <w:textAlignment w:val="auto"/>
        <w:rPr>
          <w:rFonts w:hint="eastAsia" w:asciiTheme="minorEastAsia" w:hAnsiTheme="minorEastAsia" w:eastAsiaTheme="minorEastAsia" w:cstheme="minorEastAsia"/>
          <w:color w:val="auto"/>
          <w:kern w:val="2"/>
          <w:sz w:val="21"/>
          <w:szCs w:val="21"/>
          <w:highlight w:val="none"/>
          <w:u w:val="single"/>
        </w:rPr>
      </w:pPr>
      <w:r>
        <w:rPr>
          <w:rFonts w:hint="eastAsia" w:asciiTheme="minorEastAsia" w:hAnsiTheme="minorEastAsia" w:eastAsiaTheme="minorEastAsia" w:cstheme="minorEastAsia"/>
          <w:color w:val="auto"/>
          <w:kern w:val="2"/>
          <w:sz w:val="21"/>
          <w:szCs w:val="21"/>
          <w:highlight w:val="none"/>
        </w:rPr>
        <w:t>1、</w:t>
      </w:r>
      <w:r>
        <w:rPr>
          <w:rFonts w:hint="eastAsia" w:asciiTheme="minorEastAsia" w:hAnsiTheme="minorEastAsia" w:eastAsiaTheme="minorEastAsia" w:cstheme="minorEastAsia"/>
          <w:b/>
          <w:color w:val="auto"/>
          <w:kern w:val="2"/>
          <w:sz w:val="21"/>
          <w:szCs w:val="21"/>
          <w:highlight w:val="none"/>
          <w:lang w:eastAsia="zh-CN"/>
        </w:rPr>
        <w:t>签约</w:t>
      </w:r>
      <w:r>
        <w:rPr>
          <w:rFonts w:hint="eastAsia" w:asciiTheme="minorEastAsia" w:hAnsiTheme="minorEastAsia" w:eastAsiaTheme="minorEastAsia" w:cstheme="minorEastAsia"/>
          <w:b/>
          <w:color w:val="auto"/>
          <w:kern w:val="2"/>
          <w:sz w:val="21"/>
          <w:szCs w:val="21"/>
          <w:highlight w:val="none"/>
        </w:rPr>
        <w:t>酬金</w:t>
      </w:r>
      <w:r>
        <w:rPr>
          <w:rFonts w:hint="eastAsia" w:asciiTheme="minorEastAsia" w:hAnsiTheme="minorEastAsia" w:eastAsiaTheme="minorEastAsia" w:cstheme="minorEastAsia"/>
          <w:b/>
          <w:color w:val="auto"/>
          <w:kern w:val="2"/>
          <w:sz w:val="21"/>
          <w:szCs w:val="21"/>
          <w:highlight w:val="none"/>
          <w:lang w:eastAsia="zh-CN"/>
        </w:rPr>
        <w:t>（</w:t>
      </w:r>
      <w:r>
        <w:rPr>
          <w:rFonts w:hint="eastAsia" w:asciiTheme="minorEastAsia" w:hAnsiTheme="minorEastAsia" w:eastAsiaTheme="minorEastAsia" w:cstheme="minorEastAsia"/>
          <w:b/>
          <w:color w:val="auto"/>
          <w:kern w:val="2"/>
          <w:sz w:val="21"/>
          <w:szCs w:val="21"/>
          <w:highlight w:val="none"/>
          <w:lang w:val="en-US" w:eastAsia="zh-CN"/>
        </w:rPr>
        <w:t>含税</w:t>
      </w:r>
      <w:r>
        <w:rPr>
          <w:rFonts w:hint="eastAsia" w:asciiTheme="minorEastAsia" w:hAnsiTheme="minorEastAsia" w:eastAsiaTheme="minorEastAsia" w:cstheme="minorEastAsia"/>
          <w:b/>
          <w:color w:val="auto"/>
          <w:kern w:val="2"/>
          <w:sz w:val="21"/>
          <w:szCs w:val="21"/>
          <w:highlight w:val="none"/>
          <w:lang w:eastAsia="zh-CN"/>
        </w:rPr>
        <w:t>）</w:t>
      </w:r>
      <w:r>
        <w:rPr>
          <w:rFonts w:hint="eastAsia" w:asciiTheme="minorEastAsia" w:hAnsiTheme="minorEastAsia" w:eastAsiaTheme="minorEastAsia" w:cstheme="minorEastAsia"/>
          <w:color w:val="auto"/>
          <w:kern w:val="2"/>
          <w:sz w:val="21"/>
          <w:szCs w:val="21"/>
          <w:highlight w:val="none"/>
        </w:rPr>
        <w:t>：</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rPr>
        <w:t>（大写）</w:t>
      </w:r>
      <w:r>
        <w:rPr>
          <w:rFonts w:hint="eastAsia" w:asciiTheme="minorEastAsia" w:hAnsiTheme="minorEastAsia" w:eastAsiaTheme="minorEastAsia" w:cstheme="minorEastAsia"/>
          <w:color w:val="auto"/>
          <w:kern w:val="2"/>
          <w:sz w:val="21"/>
          <w:szCs w:val="21"/>
          <w:highlight w:val="none"/>
          <w:u w:val="single"/>
        </w:rPr>
        <w:t>（￥           ）</w:t>
      </w:r>
      <w:r>
        <w:rPr>
          <w:rFonts w:hint="eastAsia" w:asciiTheme="minorEastAsia" w:hAnsiTheme="minorEastAsia" w:eastAsiaTheme="minorEastAsia" w:cstheme="minorEastAsia"/>
          <w:color w:val="auto"/>
          <w:kern w:val="2"/>
          <w:sz w:val="21"/>
          <w:szCs w:val="21"/>
          <w:highlight w:val="none"/>
          <w:u w:val="none"/>
          <w:lang w:eastAsia="zh-CN"/>
        </w:rPr>
        <w:t>，签约酬金金额为暂定，实际按合同专用条款约定进行结算。</w:t>
      </w:r>
      <w:r>
        <w:rPr>
          <w:rFonts w:hint="eastAsia" w:ascii="宋体" w:hAnsi="宋体" w:cs="Times New Roman"/>
          <w:color w:val="000000" w:themeColor="text1"/>
          <w:sz w:val="21"/>
          <w:szCs w:val="21"/>
          <w:highlight w:val="none"/>
          <w:u w:val="none"/>
          <w:lang w:val="en-US" w:eastAsia="zh-CN"/>
          <w14:textFill>
            <w14:solidFill>
              <w14:schemeClr w14:val="tx1"/>
            </w14:solidFill>
          </w14:textFill>
        </w:rPr>
        <w:t>其中，不含税金额为</w:t>
      </w:r>
      <w:r>
        <w:rPr>
          <w:rFonts w:hint="eastAsia" w:ascii="宋体" w:hAnsi="宋体" w:cs="Times New Roman"/>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s="Times New Roman"/>
          <w:color w:val="000000" w:themeColor="text1"/>
          <w:sz w:val="21"/>
          <w:szCs w:val="21"/>
          <w:highlight w:val="none"/>
          <w:u w:val="none"/>
          <w:lang w:val="en-US" w:eastAsia="zh-CN"/>
          <w14:textFill>
            <w14:solidFill>
              <w14:schemeClr w14:val="tx1"/>
            </w14:solidFill>
          </w14:textFill>
        </w:rPr>
        <w:t>元，税率为</w:t>
      </w:r>
      <w:r>
        <w:rPr>
          <w:rFonts w:hint="eastAsia" w:ascii="宋体" w:hAnsi="宋体" w:cs="Times New Roman"/>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s="Times New Roman"/>
          <w:color w:val="000000" w:themeColor="text1"/>
          <w:sz w:val="21"/>
          <w:szCs w:val="21"/>
          <w:highlight w:val="none"/>
          <w:u w:val="none"/>
          <w:lang w:val="en-US" w:eastAsia="zh-CN"/>
          <w14:textFill>
            <w14:solidFill>
              <w14:schemeClr w14:val="tx1"/>
            </w14:solidFill>
          </w14:textFill>
        </w:rPr>
        <w:t>%，税额为</w:t>
      </w:r>
      <w:r>
        <w:rPr>
          <w:rFonts w:hint="eastAsia" w:ascii="宋体" w:hAnsi="宋体" w:cs="Times New Roman"/>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s="Times New Roman"/>
          <w:color w:val="000000" w:themeColor="text1"/>
          <w:sz w:val="21"/>
          <w:szCs w:val="21"/>
          <w:highlight w:val="none"/>
          <w:u w:val="none"/>
          <w:lang w:val="en-US" w:eastAsia="zh-CN"/>
          <w14:textFill>
            <w14:solidFill>
              <w14:schemeClr w14:val="tx1"/>
            </w14:solidFill>
          </w14:textFill>
        </w:rPr>
        <w:t>元。</w:t>
      </w:r>
    </w:p>
    <w:p w14:paraId="31697764">
      <w:pPr>
        <w:keepNext w:val="0"/>
        <w:keepLines w:val="0"/>
        <w:pageBreakBefore w:val="0"/>
        <w:widowControl/>
        <w:kinsoku/>
        <w:wordWrap/>
        <w:overflowPunct/>
        <w:topLinePunct w:val="0"/>
        <w:autoSpaceDE/>
        <w:autoSpaceDN/>
        <w:bidi w:val="0"/>
        <w:adjustRightInd/>
        <w:snapToGrid/>
        <w:spacing w:line="360" w:lineRule="auto"/>
        <w:ind w:firstLine="450"/>
        <w:jc w:val="both"/>
        <w:textAlignment w:val="auto"/>
        <w:rPr>
          <w:rFonts w:hint="eastAsia" w:asciiTheme="minorEastAsia" w:hAnsiTheme="minorEastAsia" w:eastAsiaTheme="minorEastAsia" w:cstheme="minorEastAsia"/>
          <w:b/>
          <w:bCs/>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2、</w:t>
      </w:r>
      <w:r>
        <w:rPr>
          <w:rFonts w:hint="eastAsia" w:asciiTheme="minorEastAsia" w:hAnsiTheme="minorEastAsia" w:eastAsiaTheme="minorEastAsia" w:cstheme="minorEastAsia"/>
          <w:b/>
          <w:color w:val="auto"/>
          <w:kern w:val="2"/>
          <w:sz w:val="21"/>
          <w:szCs w:val="21"/>
          <w:highlight w:val="none"/>
        </w:rPr>
        <w:t>计取方式</w:t>
      </w:r>
      <w:r>
        <w:rPr>
          <w:rFonts w:hint="eastAsia" w:asciiTheme="minorEastAsia" w:hAnsiTheme="minorEastAsia" w:eastAsiaTheme="minorEastAsia" w:cstheme="minorEastAsia"/>
          <w:b/>
          <w:color w:val="auto"/>
          <w:kern w:val="2"/>
          <w:sz w:val="21"/>
          <w:szCs w:val="21"/>
          <w:highlight w:val="none"/>
          <w:lang w:eastAsia="zh-CN"/>
        </w:rPr>
        <w:t>：</w:t>
      </w:r>
      <w:r>
        <w:rPr>
          <w:rFonts w:hint="eastAsia" w:asciiTheme="minorEastAsia" w:hAnsiTheme="minorEastAsia" w:eastAsiaTheme="minorEastAsia" w:cstheme="minorEastAsia"/>
          <w:b/>
          <w:bCs/>
          <w:color w:val="auto"/>
          <w:kern w:val="2"/>
          <w:sz w:val="21"/>
          <w:szCs w:val="21"/>
          <w:highlight w:val="none"/>
        </w:rPr>
        <w:t>造价咨询费率为</w:t>
      </w:r>
      <w:r>
        <w:rPr>
          <w:rFonts w:hint="eastAsia" w:asciiTheme="minorEastAsia" w:hAnsiTheme="minorEastAsia" w:eastAsiaTheme="minorEastAsia" w:cstheme="minorEastAsia"/>
          <w:b/>
          <w:bCs/>
          <w:color w:val="auto"/>
          <w:kern w:val="2"/>
          <w:sz w:val="21"/>
          <w:szCs w:val="21"/>
          <w:highlight w:val="none"/>
          <w:u w:val="single"/>
        </w:rPr>
        <w:t xml:space="preserve">      </w:t>
      </w:r>
      <w:r>
        <w:rPr>
          <w:rFonts w:hint="eastAsia" w:asciiTheme="minorEastAsia" w:hAnsiTheme="minorEastAsia" w:eastAsiaTheme="minorEastAsia" w:cstheme="minorEastAsia"/>
          <w:b/>
          <w:bCs/>
          <w:color w:val="auto"/>
          <w:kern w:val="2"/>
          <w:sz w:val="21"/>
          <w:szCs w:val="21"/>
          <w:highlight w:val="none"/>
        </w:rPr>
        <w:t>%（造价咨询费率=签约</w:t>
      </w:r>
      <w:r>
        <w:rPr>
          <w:rFonts w:hint="eastAsia" w:asciiTheme="minorEastAsia" w:hAnsiTheme="minorEastAsia" w:eastAsiaTheme="minorEastAsia" w:cstheme="minorEastAsia"/>
          <w:b/>
          <w:bCs/>
          <w:color w:val="auto"/>
          <w:kern w:val="2"/>
          <w:sz w:val="21"/>
          <w:szCs w:val="21"/>
          <w:highlight w:val="none"/>
          <w:lang w:eastAsia="zh-CN"/>
        </w:rPr>
        <w:t>酬金金额</w:t>
      </w:r>
      <w:r>
        <w:rPr>
          <w:rFonts w:hint="eastAsia" w:asciiTheme="minorEastAsia" w:hAnsiTheme="minorEastAsia" w:eastAsiaTheme="minorEastAsia" w:cstheme="minorEastAsia"/>
          <w:b/>
          <w:bCs/>
          <w:color w:val="auto"/>
          <w:kern w:val="2"/>
          <w:sz w:val="21"/>
          <w:szCs w:val="21"/>
          <w:highlight w:val="none"/>
        </w:rPr>
        <w:t>/89546万</w:t>
      </w:r>
      <w:r>
        <w:rPr>
          <w:rFonts w:hint="eastAsia" w:asciiTheme="minorEastAsia" w:hAnsiTheme="minorEastAsia" w:eastAsiaTheme="minorEastAsia" w:cstheme="minorEastAsia"/>
          <w:b/>
          <w:bCs/>
          <w:color w:val="auto"/>
          <w:kern w:val="2"/>
          <w:sz w:val="21"/>
          <w:szCs w:val="21"/>
          <w:highlight w:val="none"/>
          <w:lang w:val="en-US" w:eastAsia="zh-CN"/>
        </w:rPr>
        <w:t>元</w:t>
      </w:r>
      <w:r>
        <w:rPr>
          <w:rFonts w:hint="eastAsia" w:asciiTheme="minorEastAsia" w:hAnsiTheme="minorEastAsia" w:eastAsiaTheme="minorEastAsia" w:cstheme="minorEastAsia"/>
          <w:b/>
          <w:bCs/>
          <w:color w:val="auto"/>
          <w:kern w:val="2"/>
          <w:sz w:val="21"/>
          <w:szCs w:val="21"/>
          <w:highlight w:val="none"/>
        </w:rPr>
        <w:t>×100%（百分号前小数点后保留</w:t>
      </w:r>
      <w:r>
        <w:rPr>
          <w:rFonts w:hint="eastAsia" w:asciiTheme="minorEastAsia" w:hAnsiTheme="minorEastAsia" w:eastAsiaTheme="minorEastAsia" w:cstheme="minorEastAsia"/>
          <w:b/>
          <w:bCs/>
          <w:color w:val="auto"/>
          <w:kern w:val="2"/>
          <w:sz w:val="21"/>
          <w:szCs w:val="21"/>
          <w:highlight w:val="none"/>
          <w:lang w:val="en-US" w:eastAsia="zh-CN"/>
        </w:rPr>
        <w:t>3</w:t>
      </w:r>
      <w:r>
        <w:rPr>
          <w:rFonts w:hint="eastAsia" w:asciiTheme="minorEastAsia" w:hAnsiTheme="minorEastAsia" w:eastAsiaTheme="minorEastAsia" w:cstheme="minorEastAsia"/>
          <w:b/>
          <w:bCs/>
          <w:color w:val="auto"/>
          <w:kern w:val="2"/>
          <w:sz w:val="21"/>
          <w:szCs w:val="21"/>
          <w:highlight w:val="none"/>
        </w:rPr>
        <w:t>位，第</w:t>
      </w:r>
      <w:r>
        <w:rPr>
          <w:rFonts w:hint="eastAsia" w:asciiTheme="minorEastAsia" w:hAnsiTheme="minorEastAsia" w:eastAsiaTheme="minorEastAsia" w:cstheme="minorEastAsia"/>
          <w:b/>
          <w:bCs/>
          <w:color w:val="auto"/>
          <w:kern w:val="2"/>
          <w:sz w:val="21"/>
          <w:szCs w:val="21"/>
          <w:highlight w:val="none"/>
          <w:lang w:val="en-US" w:eastAsia="zh-CN"/>
        </w:rPr>
        <w:t>4</w:t>
      </w:r>
      <w:r>
        <w:rPr>
          <w:rFonts w:hint="eastAsia" w:asciiTheme="minorEastAsia" w:hAnsiTheme="minorEastAsia" w:eastAsiaTheme="minorEastAsia" w:cstheme="minorEastAsia"/>
          <w:b/>
          <w:bCs/>
          <w:color w:val="auto"/>
          <w:kern w:val="2"/>
          <w:sz w:val="21"/>
          <w:szCs w:val="21"/>
          <w:highlight w:val="none"/>
        </w:rPr>
        <w:t>位四舍五入），按造价咨询费率一次性包干，不做调整。以审核后的预算价为计费基数。</w:t>
      </w:r>
    </w:p>
    <w:p w14:paraId="7C546BB5">
      <w:pPr>
        <w:keepNext w:val="0"/>
        <w:keepLines w:val="0"/>
        <w:pageBreakBefore w:val="0"/>
        <w:widowControl/>
        <w:kinsoku/>
        <w:wordWrap/>
        <w:overflowPunct/>
        <w:topLinePunct w:val="0"/>
        <w:autoSpaceDE/>
        <w:autoSpaceDN/>
        <w:bidi w:val="0"/>
        <w:adjustRightInd/>
        <w:snapToGrid/>
        <w:spacing w:line="360" w:lineRule="auto"/>
        <w:ind w:firstLine="45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b w:val="0"/>
          <w:bCs w:val="0"/>
          <w:color w:val="auto"/>
          <w:kern w:val="2"/>
          <w:sz w:val="21"/>
          <w:szCs w:val="21"/>
          <w:highlight w:val="none"/>
        </w:rPr>
        <w:t>3、合</w:t>
      </w:r>
      <w:r>
        <w:rPr>
          <w:rFonts w:hint="eastAsia" w:asciiTheme="minorEastAsia" w:hAnsiTheme="minorEastAsia" w:eastAsiaTheme="minorEastAsia" w:cstheme="minorEastAsia"/>
          <w:color w:val="auto"/>
          <w:kern w:val="2"/>
          <w:sz w:val="21"/>
          <w:szCs w:val="21"/>
          <w:highlight w:val="none"/>
        </w:rPr>
        <w:t>同价范围内包括项目实施所需的所有的咨询、调查、资料收集、人工、通讯、交通、差旅、餐饮、资料打印、材料、验收、保险、税费、项目驻场费用、相关配合工作、不可预知费用开销及相应的风险金等为本项目提供正常服务所发生的费用，以及其它</w:t>
      </w:r>
      <w:r>
        <w:rPr>
          <w:rFonts w:hint="eastAsia" w:asciiTheme="minorEastAsia" w:hAnsiTheme="minorEastAsia" w:eastAsiaTheme="minorEastAsia" w:cstheme="minorEastAsia"/>
          <w:color w:val="auto"/>
          <w:kern w:val="2"/>
          <w:sz w:val="21"/>
          <w:szCs w:val="21"/>
          <w:highlight w:val="none"/>
          <w:lang w:val="en-US" w:eastAsia="zh-CN"/>
        </w:rPr>
        <w:t>咨询人</w:t>
      </w:r>
      <w:r>
        <w:rPr>
          <w:rFonts w:hint="eastAsia" w:asciiTheme="minorEastAsia" w:hAnsiTheme="minorEastAsia" w:eastAsiaTheme="minorEastAsia" w:cstheme="minorEastAsia"/>
          <w:color w:val="auto"/>
          <w:kern w:val="2"/>
          <w:sz w:val="21"/>
          <w:szCs w:val="21"/>
          <w:highlight w:val="none"/>
        </w:rPr>
        <w:t>应承担的一切工作所发生的费用均包括在投标报价中， 未列入报价的费用将被视为</w:t>
      </w:r>
      <w:r>
        <w:rPr>
          <w:rFonts w:hint="eastAsia" w:asciiTheme="minorEastAsia" w:hAnsiTheme="minorEastAsia" w:eastAsiaTheme="minorEastAsia" w:cstheme="minorEastAsia"/>
          <w:color w:val="auto"/>
          <w:kern w:val="2"/>
          <w:sz w:val="21"/>
          <w:szCs w:val="21"/>
          <w:highlight w:val="none"/>
          <w:lang w:val="en-US" w:eastAsia="zh-CN"/>
        </w:rPr>
        <w:t>咨询人</w:t>
      </w:r>
      <w:r>
        <w:rPr>
          <w:rFonts w:hint="eastAsia" w:asciiTheme="minorEastAsia" w:hAnsiTheme="minorEastAsia" w:eastAsiaTheme="minorEastAsia" w:cstheme="minorEastAsia"/>
          <w:color w:val="auto"/>
          <w:kern w:val="2"/>
          <w:sz w:val="21"/>
          <w:szCs w:val="21"/>
          <w:highlight w:val="none"/>
        </w:rPr>
        <w:t>优惠，</w:t>
      </w:r>
      <w:r>
        <w:rPr>
          <w:rFonts w:hint="eastAsia" w:asciiTheme="minorEastAsia" w:hAnsiTheme="minorEastAsia" w:eastAsiaTheme="minorEastAsia" w:cstheme="minorEastAsia"/>
          <w:color w:val="auto"/>
          <w:kern w:val="2"/>
          <w:sz w:val="21"/>
          <w:szCs w:val="21"/>
          <w:highlight w:val="none"/>
          <w:lang w:val="en-US" w:eastAsia="zh-CN"/>
        </w:rPr>
        <w:t>委托人</w:t>
      </w:r>
      <w:r>
        <w:rPr>
          <w:rFonts w:hint="eastAsia" w:asciiTheme="minorEastAsia" w:hAnsiTheme="minorEastAsia" w:eastAsiaTheme="minorEastAsia" w:cstheme="minorEastAsia"/>
          <w:color w:val="auto"/>
          <w:kern w:val="2"/>
          <w:sz w:val="21"/>
          <w:szCs w:val="21"/>
          <w:highlight w:val="none"/>
        </w:rPr>
        <w:t>均不予支付。</w:t>
      </w:r>
    </w:p>
    <w:p w14:paraId="322481D5">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color w:val="auto"/>
          <w:kern w:val="2"/>
          <w:sz w:val="21"/>
          <w:szCs w:val="21"/>
          <w:highlight w:val="none"/>
        </w:rPr>
      </w:pPr>
      <w:r>
        <w:rPr>
          <w:rFonts w:hint="eastAsia" w:asciiTheme="minorEastAsia" w:hAnsiTheme="minorEastAsia" w:eastAsiaTheme="minorEastAsia" w:cstheme="minorEastAsia"/>
          <w:b/>
          <w:color w:val="auto"/>
          <w:kern w:val="2"/>
          <w:sz w:val="21"/>
          <w:szCs w:val="21"/>
          <w:highlight w:val="none"/>
        </w:rPr>
        <w:t>六、合同文件的构成</w:t>
      </w:r>
    </w:p>
    <w:p w14:paraId="5976844A">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color w:val="auto"/>
          <w:kern w:val="2"/>
          <w:sz w:val="21"/>
          <w:szCs w:val="21"/>
          <w:highlight w:val="none"/>
          <w:lang w:eastAsia="zh-CN"/>
        </w:rPr>
      </w:pPr>
      <w:r>
        <w:rPr>
          <w:rFonts w:hint="eastAsia" w:asciiTheme="minorEastAsia" w:hAnsiTheme="minorEastAsia" w:eastAsiaTheme="minorEastAsia" w:cstheme="minorEastAsia"/>
          <w:color w:val="auto"/>
          <w:kern w:val="2"/>
          <w:sz w:val="21"/>
          <w:szCs w:val="21"/>
          <w:highlight w:val="none"/>
        </w:rPr>
        <w:t>本协议书与下列文件一起构成合同文件</w:t>
      </w:r>
      <w:r>
        <w:rPr>
          <w:rFonts w:hint="eastAsia" w:asciiTheme="minorEastAsia" w:hAnsiTheme="minorEastAsia" w:eastAsiaTheme="minorEastAsia" w:cstheme="minorEastAsia"/>
          <w:color w:val="auto"/>
          <w:kern w:val="2"/>
          <w:sz w:val="21"/>
          <w:szCs w:val="21"/>
          <w:highlight w:val="none"/>
          <w:lang w:eastAsia="zh-CN"/>
        </w:rPr>
        <w:t>：</w:t>
      </w:r>
    </w:p>
    <w:p w14:paraId="5F979356">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1.专用条件及附录；</w:t>
      </w:r>
    </w:p>
    <w:p w14:paraId="225BC529">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2.通用条件；</w:t>
      </w:r>
    </w:p>
    <w:p w14:paraId="3E74C7DF">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3.其他合同文件。</w:t>
      </w:r>
    </w:p>
    <w:p w14:paraId="0D2B1975">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上述各项合同文件包括合同当事人就该项合同文件所作出的补充和修改，属于同一类内容的文件，应以最新签署的为准。</w:t>
      </w:r>
    </w:p>
    <w:p w14:paraId="5C5D875F">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在合同订立及履行过程中形成的与合同有关的文件（包括补充协议）均构成合同文件的组成部分。</w:t>
      </w:r>
    </w:p>
    <w:p w14:paraId="67A04F03">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color w:val="auto"/>
          <w:kern w:val="2"/>
          <w:sz w:val="21"/>
          <w:szCs w:val="21"/>
          <w:highlight w:val="none"/>
        </w:rPr>
      </w:pPr>
      <w:r>
        <w:rPr>
          <w:rFonts w:hint="eastAsia" w:asciiTheme="minorEastAsia" w:hAnsiTheme="minorEastAsia" w:eastAsiaTheme="minorEastAsia" w:cstheme="minorEastAsia"/>
          <w:b/>
          <w:color w:val="auto"/>
          <w:kern w:val="2"/>
          <w:sz w:val="21"/>
          <w:szCs w:val="21"/>
          <w:highlight w:val="none"/>
        </w:rPr>
        <w:t>七、词语定义</w:t>
      </w:r>
    </w:p>
    <w:p w14:paraId="2013E79D">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协议书中相关词语的含义与通用条件中的定义与解释相同。</w:t>
      </w:r>
    </w:p>
    <w:p w14:paraId="789AE55D">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color w:val="auto"/>
          <w:kern w:val="2"/>
          <w:sz w:val="21"/>
          <w:szCs w:val="21"/>
          <w:highlight w:val="none"/>
        </w:rPr>
      </w:pPr>
      <w:r>
        <w:rPr>
          <w:rFonts w:hint="eastAsia" w:asciiTheme="minorEastAsia" w:hAnsiTheme="minorEastAsia" w:eastAsiaTheme="minorEastAsia" w:cstheme="minorEastAsia"/>
          <w:b/>
          <w:color w:val="auto"/>
          <w:kern w:val="2"/>
          <w:sz w:val="21"/>
          <w:szCs w:val="21"/>
          <w:highlight w:val="none"/>
        </w:rPr>
        <w:t>八、合同订立</w:t>
      </w:r>
    </w:p>
    <w:p w14:paraId="1119F556">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1.订立时间：</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rPr>
        <w:t>年</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rPr>
        <w:t>月</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rPr>
        <w:t>日。</w:t>
      </w:r>
    </w:p>
    <w:p w14:paraId="1BB0F878">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2.订立地点：</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rPr>
        <w:t>。</w:t>
      </w:r>
    </w:p>
    <w:p w14:paraId="1611BF55">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color w:val="auto"/>
          <w:kern w:val="2"/>
          <w:sz w:val="21"/>
          <w:szCs w:val="21"/>
          <w:highlight w:val="none"/>
        </w:rPr>
      </w:pPr>
      <w:r>
        <w:rPr>
          <w:rFonts w:hint="eastAsia" w:asciiTheme="minorEastAsia" w:hAnsiTheme="minorEastAsia" w:eastAsiaTheme="minorEastAsia" w:cstheme="minorEastAsia"/>
          <w:b/>
          <w:color w:val="auto"/>
          <w:kern w:val="2"/>
          <w:sz w:val="21"/>
          <w:szCs w:val="21"/>
          <w:highlight w:val="none"/>
        </w:rPr>
        <w:t>九、合同生效</w:t>
      </w:r>
    </w:p>
    <w:p w14:paraId="6B8B5AFF">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本合同自双方法定代表人或其授权的代理人签章并加盖公章或合同专用章之日起开始生效。</w:t>
      </w:r>
    </w:p>
    <w:p w14:paraId="5398D782">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color w:val="auto"/>
          <w:kern w:val="2"/>
          <w:sz w:val="21"/>
          <w:szCs w:val="21"/>
          <w:highlight w:val="none"/>
        </w:rPr>
      </w:pPr>
      <w:r>
        <w:rPr>
          <w:rFonts w:hint="eastAsia" w:asciiTheme="minorEastAsia" w:hAnsiTheme="minorEastAsia" w:eastAsiaTheme="minorEastAsia" w:cstheme="minorEastAsia"/>
          <w:b/>
          <w:color w:val="auto"/>
          <w:kern w:val="2"/>
          <w:sz w:val="21"/>
          <w:szCs w:val="21"/>
          <w:highlight w:val="none"/>
        </w:rPr>
        <w:t>十、合同份数</w:t>
      </w:r>
    </w:p>
    <w:p w14:paraId="34699A99">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本合同一式</w:t>
      </w:r>
      <w:r>
        <w:rPr>
          <w:rFonts w:hint="eastAsia" w:asciiTheme="minorEastAsia" w:hAnsiTheme="minorEastAsia" w:eastAsiaTheme="minorEastAsia" w:cstheme="minorEastAsia"/>
          <w:color w:val="auto"/>
          <w:kern w:val="2"/>
          <w:sz w:val="21"/>
          <w:szCs w:val="21"/>
          <w:highlight w:val="none"/>
          <w:u w:val="single"/>
          <w:lang w:eastAsia="zh-CN"/>
        </w:rPr>
        <w:t>捌</w:t>
      </w:r>
      <w:r>
        <w:rPr>
          <w:rFonts w:hint="eastAsia" w:asciiTheme="minorEastAsia" w:hAnsiTheme="minorEastAsia" w:eastAsiaTheme="minorEastAsia" w:cstheme="minorEastAsia"/>
          <w:color w:val="auto"/>
          <w:kern w:val="2"/>
          <w:sz w:val="21"/>
          <w:szCs w:val="21"/>
          <w:highlight w:val="none"/>
        </w:rPr>
        <w:t>份，具有同等法律效力，其中委托人执</w:t>
      </w:r>
      <w:r>
        <w:rPr>
          <w:rFonts w:hint="eastAsia" w:asciiTheme="minorEastAsia" w:hAnsiTheme="minorEastAsia" w:eastAsiaTheme="minorEastAsia" w:cstheme="minorEastAsia"/>
          <w:color w:val="auto"/>
          <w:kern w:val="2"/>
          <w:sz w:val="21"/>
          <w:szCs w:val="21"/>
          <w:highlight w:val="none"/>
          <w:u w:val="single"/>
          <w:lang w:eastAsia="zh-CN"/>
        </w:rPr>
        <w:t>叁</w:t>
      </w:r>
      <w:r>
        <w:rPr>
          <w:rFonts w:hint="eastAsia" w:asciiTheme="minorEastAsia" w:hAnsiTheme="minorEastAsia" w:eastAsiaTheme="minorEastAsia" w:cstheme="minorEastAsia"/>
          <w:color w:val="auto"/>
          <w:kern w:val="2"/>
          <w:sz w:val="21"/>
          <w:szCs w:val="21"/>
          <w:highlight w:val="none"/>
        </w:rPr>
        <w:t>份，咨询人执</w:t>
      </w:r>
      <w:r>
        <w:rPr>
          <w:rFonts w:hint="eastAsia" w:asciiTheme="minorEastAsia" w:hAnsiTheme="minorEastAsia" w:eastAsiaTheme="minorEastAsia" w:cstheme="minorEastAsia"/>
          <w:color w:val="auto"/>
          <w:kern w:val="2"/>
          <w:sz w:val="21"/>
          <w:szCs w:val="21"/>
          <w:highlight w:val="none"/>
          <w:u w:val="single"/>
          <w:lang w:eastAsia="zh-CN"/>
        </w:rPr>
        <w:t>叁</w:t>
      </w:r>
      <w:r>
        <w:rPr>
          <w:rFonts w:hint="eastAsia" w:asciiTheme="minorEastAsia" w:hAnsiTheme="minorEastAsia" w:eastAsiaTheme="minorEastAsia" w:cstheme="minorEastAsia"/>
          <w:color w:val="auto"/>
          <w:kern w:val="2"/>
          <w:sz w:val="21"/>
          <w:szCs w:val="21"/>
          <w:highlight w:val="none"/>
        </w:rPr>
        <w:t>份，招标代理执</w:t>
      </w:r>
      <w:r>
        <w:rPr>
          <w:rFonts w:hint="eastAsia" w:asciiTheme="minorEastAsia" w:hAnsiTheme="minorEastAsia" w:eastAsiaTheme="minorEastAsia" w:cstheme="minorEastAsia"/>
          <w:color w:val="auto"/>
          <w:kern w:val="2"/>
          <w:sz w:val="21"/>
          <w:szCs w:val="21"/>
          <w:highlight w:val="none"/>
          <w:u w:val="single"/>
        </w:rPr>
        <w:t>贰</w:t>
      </w:r>
      <w:r>
        <w:rPr>
          <w:rFonts w:hint="eastAsia" w:asciiTheme="minorEastAsia" w:hAnsiTheme="minorEastAsia" w:eastAsiaTheme="minorEastAsia" w:cstheme="minorEastAsia"/>
          <w:color w:val="auto"/>
          <w:kern w:val="2"/>
          <w:sz w:val="21"/>
          <w:szCs w:val="21"/>
          <w:highlight w:val="none"/>
        </w:rPr>
        <w:t>份。</w:t>
      </w:r>
    </w:p>
    <w:p w14:paraId="65C76776">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color w:val="auto"/>
          <w:kern w:val="2"/>
          <w:sz w:val="21"/>
          <w:szCs w:val="21"/>
          <w:highlight w:val="none"/>
          <w:lang w:val="en-US" w:eastAsia="zh-CN" w:bidi="ar-SA"/>
        </w:rPr>
      </w:pPr>
    </w:p>
    <w:p w14:paraId="1650EB15">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color w:val="auto"/>
          <w:kern w:val="2"/>
          <w:sz w:val="21"/>
          <w:szCs w:val="21"/>
          <w:highlight w:val="none"/>
        </w:rPr>
      </w:pPr>
    </w:p>
    <w:p w14:paraId="6688FCAB">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 xml:space="preserve">委托人（盖章）：               </w:t>
      </w:r>
      <w:r>
        <w:rPr>
          <w:rFonts w:hint="eastAsia" w:asciiTheme="minorEastAsia" w:hAnsiTheme="minorEastAsia" w:eastAsiaTheme="minorEastAsia" w:cstheme="minorEastAsia"/>
          <w:color w:val="auto"/>
          <w:kern w:val="2"/>
          <w:sz w:val="21"/>
          <w:szCs w:val="21"/>
          <w:highlight w:val="none"/>
          <w:lang w:val="en-US" w:eastAsia="zh-CN"/>
        </w:rPr>
        <w:t xml:space="preserve">               </w:t>
      </w:r>
      <w:r>
        <w:rPr>
          <w:rFonts w:hint="eastAsia" w:asciiTheme="minorEastAsia" w:hAnsiTheme="minorEastAsia" w:eastAsiaTheme="minorEastAsia" w:cstheme="minorEastAsia"/>
          <w:color w:val="auto"/>
          <w:kern w:val="2"/>
          <w:sz w:val="21"/>
          <w:szCs w:val="21"/>
          <w:highlight w:val="none"/>
        </w:rPr>
        <w:t xml:space="preserve"> </w:t>
      </w:r>
      <w:r>
        <w:rPr>
          <w:rFonts w:hint="eastAsia" w:asciiTheme="minorEastAsia" w:hAnsiTheme="minorEastAsia" w:eastAsiaTheme="minorEastAsia" w:cstheme="minorEastAsia"/>
          <w:color w:val="auto"/>
          <w:kern w:val="2"/>
          <w:sz w:val="21"/>
          <w:szCs w:val="21"/>
          <w:highlight w:val="none"/>
          <w:lang w:val="en-US" w:eastAsia="zh-CN"/>
        </w:rPr>
        <w:t xml:space="preserve"> </w:t>
      </w:r>
      <w:r>
        <w:rPr>
          <w:rFonts w:hint="eastAsia" w:asciiTheme="minorEastAsia" w:hAnsiTheme="minorEastAsia" w:eastAsiaTheme="minorEastAsia" w:cstheme="minorEastAsia"/>
          <w:color w:val="auto"/>
          <w:kern w:val="2"/>
          <w:sz w:val="21"/>
          <w:szCs w:val="21"/>
          <w:highlight w:val="none"/>
          <w:lang w:eastAsia="zh-CN"/>
        </w:rPr>
        <w:t>咨询</w:t>
      </w:r>
      <w:r>
        <w:rPr>
          <w:rFonts w:hint="eastAsia" w:asciiTheme="minorEastAsia" w:hAnsiTheme="minorEastAsia" w:eastAsiaTheme="minorEastAsia" w:cstheme="minorEastAsia"/>
          <w:color w:val="auto"/>
          <w:kern w:val="2"/>
          <w:sz w:val="21"/>
          <w:szCs w:val="21"/>
          <w:highlight w:val="none"/>
        </w:rPr>
        <w:t xml:space="preserve">人：（盖章）          </w:t>
      </w:r>
    </w:p>
    <w:p w14:paraId="34A738FC">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 xml:space="preserve">法定代表人或其授权的             </w:t>
      </w:r>
      <w:r>
        <w:rPr>
          <w:rFonts w:hint="eastAsia" w:asciiTheme="minorEastAsia" w:hAnsiTheme="minorEastAsia" w:eastAsiaTheme="minorEastAsia" w:cstheme="minorEastAsia"/>
          <w:color w:val="auto"/>
          <w:kern w:val="2"/>
          <w:sz w:val="21"/>
          <w:szCs w:val="21"/>
          <w:highlight w:val="none"/>
          <w:lang w:val="en-US" w:eastAsia="zh-CN"/>
        </w:rPr>
        <w:t xml:space="preserve">               </w:t>
      </w:r>
      <w:r>
        <w:rPr>
          <w:rFonts w:hint="eastAsia" w:asciiTheme="minorEastAsia" w:hAnsiTheme="minorEastAsia" w:eastAsiaTheme="minorEastAsia" w:cstheme="minorEastAsia"/>
          <w:color w:val="auto"/>
          <w:kern w:val="2"/>
          <w:sz w:val="21"/>
          <w:szCs w:val="21"/>
          <w:highlight w:val="none"/>
        </w:rPr>
        <w:t xml:space="preserve">法定代表人或其授权的      </w:t>
      </w:r>
    </w:p>
    <w:p w14:paraId="646BE434">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 xml:space="preserve">代理人（签字）：                </w:t>
      </w:r>
      <w:r>
        <w:rPr>
          <w:rFonts w:hint="eastAsia" w:asciiTheme="minorEastAsia" w:hAnsiTheme="minorEastAsia" w:eastAsiaTheme="minorEastAsia" w:cstheme="minorEastAsia"/>
          <w:color w:val="auto"/>
          <w:kern w:val="2"/>
          <w:sz w:val="21"/>
          <w:szCs w:val="21"/>
          <w:highlight w:val="none"/>
          <w:lang w:val="en-US" w:eastAsia="zh-CN"/>
        </w:rPr>
        <w:t xml:space="preserve">               </w:t>
      </w:r>
      <w:r>
        <w:rPr>
          <w:rFonts w:hint="eastAsia" w:asciiTheme="minorEastAsia" w:hAnsiTheme="minorEastAsia" w:eastAsiaTheme="minorEastAsia" w:cstheme="minorEastAsia"/>
          <w:color w:val="auto"/>
          <w:kern w:val="2"/>
          <w:sz w:val="21"/>
          <w:szCs w:val="21"/>
          <w:highlight w:val="none"/>
        </w:rPr>
        <w:t xml:space="preserve"> 代理人（签字）：         </w:t>
      </w:r>
    </w:p>
    <w:p w14:paraId="1069521B">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 xml:space="preserve">住所：                       </w:t>
      </w:r>
      <w:r>
        <w:rPr>
          <w:rFonts w:hint="eastAsia" w:asciiTheme="minorEastAsia" w:hAnsiTheme="minorEastAsia" w:eastAsiaTheme="minorEastAsia" w:cstheme="minorEastAsia"/>
          <w:color w:val="auto"/>
          <w:kern w:val="2"/>
          <w:sz w:val="21"/>
          <w:szCs w:val="21"/>
          <w:highlight w:val="none"/>
          <w:lang w:val="en-US" w:eastAsia="zh-CN"/>
        </w:rPr>
        <w:t xml:space="preserve">               </w:t>
      </w:r>
      <w:r>
        <w:rPr>
          <w:rFonts w:hint="eastAsia" w:asciiTheme="minorEastAsia" w:hAnsiTheme="minorEastAsia" w:eastAsiaTheme="minorEastAsia" w:cstheme="minorEastAsia"/>
          <w:color w:val="auto"/>
          <w:kern w:val="2"/>
          <w:sz w:val="21"/>
          <w:szCs w:val="21"/>
          <w:highlight w:val="none"/>
        </w:rPr>
        <w:t xml:space="preserve">    住所：                    </w:t>
      </w:r>
    </w:p>
    <w:p w14:paraId="3CD03ADF">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 xml:space="preserve">账号：                        </w:t>
      </w:r>
      <w:r>
        <w:rPr>
          <w:rFonts w:hint="eastAsia" w:asciiTheme="minorEastAsia" w:hAnsiTheme="minorEastAsia" w:eastAsiaTheme="minorEastAsia" w:cstheme="minorEastAsia"/>
          <w:color w:val="auto"/>
          <w:kern w:val="2"/>
          <w:sz w:val="21"/>
          <w:szCs w:val="21"/>
          <w:highlight w:val="none"/>
          <w:lang w:val="en-US" w:eastAsia="zh-CN"/>
        </w:rPr>
        <w:t xml:space="preserve">               </w:t>
      </w:r>
      <w:r>
        <w:rPr>
          <w:rFonts w:hint="eastAsia" w:asciiTheme="minorEastAsia" w:hAnsiTheme="minorEastAsia" w:eastAsiaTheme="minorEastAsia" w:cstheme="minorEastAsia"/>
          <w:color w:val="auto"/>
          <w:kern w:val="2"/>
          <w:sz w:val="21"/>
          <w:szCs w:val="21"/>
          <w:highlight w:val="none"/>
        </w:rPr>
        <w:t xml:space="preserve">   账号：                    </w:t>
      </w:r>
    </w:p>
    <w:p w14:paraId="4681D65F">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 xml:space="preserve">开户银行：                       </w:t>
      </w:r>
      <w:r>
        <w:rPr>
          <w:rFonts w:hint="eastAsia" w:asciiTheme="minorEastAsia" w:hAnsiTheme="minorEastAsia" w:eastAsiaTheme="minorEastAsia" w:cstheme="minorEastAsia"/>
          <w:color w:val="auto"/>
          <w:kern w:val="2"/>
          <w:sz w:val="21"/>
          <w:szCs w:val="21"/>
          <w:highlight w:val="none"/>
          <w:lang w:val="en-US" w:eastAsia="zh-CN"/>
        </w:rPr>
        <w:t xml:space="preserve">               </w:t>
      </w:r>
      <w:r>
        <w:rPr>
          <w:rFonts w:hint="eastAsia" w:asciiTheme="minorEastAsia" w:hAnsiTheme="minorEastAsia" w:eastAsiaTheme="minorEastAsia" w:cstheme="minorEastAsia"/>
          <w:color w:val="auto"/>
          <w:kern w:val="2"/>
          <w:sz w:val="21"/>
          <w:szCs w:val="21"/>
          <w:highlight w:val="none"/>
        </w:rPr>
        <w:t xml:space="preserve">开户银行：                </w:t>
      </w:r>
    </w:p>
    <w:p w14:paraId="05CEA52B">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 xml:space="preserve">邮政编码：                       </w:t>
      </w:r>
      <w:r>
        <w:rPr>
          <w:rFonts w:hint="eastAsia" w:asciiTheme="minorEastAsia" w:hAnsiTheme="minorEastAsia" w:eastAsiaTheme="minorEastAsia" w:cstheme="minorEastAsia"/>
          <w:color w:val="auto"/>
          <w:kern w:val="2"/>
          <w:sz w:val="21"/>
          <w:szCs w:val="21"/>
          <w:highlight w:val="none"/>
          <w:lang w:val="en-US" w:eastAsia="zh-CN"/>
        </w:rPr>
        <w:t xml:space="preserve">               </w:t>
      </w:r>
      <w:r>
        <w:rPr>
          <w:rFonts w:hint="eastAsia" w:asciiTheme="minorEastAsia" w:hAnsiTheme="minorEastAsia" w:eastAsiaTheme="minorEastAsia" w:cstheme="minorEastAsia"/>
          <w:color w:val="auto"/>
          <w:kern w:val="2"/>
          <w:sz w:val="21"/>
          <w:szCs w:val="21"/>
          <w:highlight w:val="none"/>
        </w:rPr>
        <w:t xml:space="preserve">邮政编码：              </w:t>
      </w:r>
    </w:p>
    <w:p w14:paraId="257A6E72">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 xml:space="preserve">电    话：                       </w:t>
      </w:r>
      <w:r>
        <w:rPr>
          <w:rFonts w:hint="eastAsia" w:asciiTheme="minorEastAsia" w:hAnsiTheme="minorEastAsia" w:eastAsiaTheme="minorEastAsia" w:cstheme="minorEastAsia"/>
          <w:color w:val="auto"/>
          <w:kern w:val="2"/>
          <w:sz w:val="21"/>
          <w:szCs w:val="21"/>
          <w:highlight w:val="none"/>
          <w:lang w:val="en-US" w:eastAsia="zh-CN"/>
        </w:rPr>
        <w:t xml:space="preserve">               </w:t>
      </w:r>
      <w:r>
        <w:rPr>
          <w:rFonts w:hint="eastAsia" w:asciiTheme="minorEastAsia" w:hAnsiTheme="minorEastAsia" w:eastAsiaTheme="minorEastAsia" w:cstheme="minorEastAsia"/>
          <w:color w:val="auto"/>
          <w:kern w:val="2"/>
          <w:sz w:val="21"/>
          <w:szCs w:val="21"/>
          <w:highlight w:val="none"/>
        </w:rPr>
        <w:t xml:space="preserve">电    话：                </w:t>
      </w:r>
    </w:p>
    <w:p w14:paraId="1B57EFAA">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 xml:space="preserve">传    真：                     </w:t>
      </w:r>
      <w:r>
        <w:rPr>
          <w:rFonts w:hint="eastAsia" w:asciiTheme="minorEastAsia" w:hAnsiTheme="minorEastAsia" w:eastAsiaTheme="minorEastAsia" w:cstheme="minorEastAsia"/>
          <w:color w:val="auto"/>
          <w:kern w:val="2"/>
          <w:sz w:val="21"/>
          <w:szCs w:val="21"/>
          <w:highlight w:val="none"/>
          <w:lang w:val="en-US" w:eastAsia="zh-CN"/>
        </w:rPr>
        <w:t xml:space="preserve">               </w:t>
      </w:r>
      <w:r>
        <w:rPr>
          <w:rFonts w:hint="eastAsia" w:asciiTheme="minorEastAsia" w:hAnsiTheme="minorEastAsia" w:eastAsiaTheme="minorEastAsia" w:cstheme="minorEastAsia"/>
          <w:color w:val="auto"/>
          <w:kern w:val="2"/>
          <w:sz w:val="21"/>
          <w:szCs w:val="21"/>
          <w:highlight w:val="none"/>
        </w:rPr>
        <w:t xml:space="preserve">  传    真：                </w:t>
      </w:r>
    </w:p>
    <w:p w14:paraId="099E6276">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color w:val="auto"/>
          <w:kern w:val="2"/>
          <w:sz w:val="21"/>
          <w:szCs w:val="21"/>
          <w:highlight w:val="none"/>
        </w:rPr>
      </w:pPr>
    </w:p>
    <w:p w14:paraId="4F8C0E19">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color w:val="auto"/>
          <w:kern w:val="2"/>
          <w:sz w:val="21"/>
          <w:szCs w:val="21"/>
          <w:highlight w:val="none"/>
        </w:rPr>
      </w:pPr>
    </w:p>
    <w:p w14:paraId="3080239C">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color w:val="auto"/>
          <w:kern w:val="2"/>
          <w:sz w:val="21"/>
          <w:szCs w:val="21"/>
          <w:highlight w:val="none"/>
        </w:rPr>
      </w:pPr>
    </w:p>
    <w:p w14:paraId="0A46FBA6">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val="0"/>
          <w:bCs/>
          <w:color w:val="auto"/>
          <w:kern w:val="2"/>
          <w:sz w:val="21"/>
          <w:szCs w:val="21"/>
          <w:highlight w:val="none"/>
          <w:lang w:val="en-US" w:eastAsia="zh-CN"/>
        </w:rPr>
        <w:sectPr>
          <w:pgSz w:w="11906" w:h="16838"/>
          <w:pgMar w:top="1021" w:right="1588" w:bottom="851" w:left="1588" w:header="567" w:footer="454" w:gutter="0"/>
          <w:pgNumType w:fmt="decimal"/>
          <w:cols w:space="720" w:num="1"/>
          <w:docGrid w:linePitch="286" w:charSpace="0"/>
        </w:sectPr>
      </w:pPr>
      <w:r>
        <w:rPr>
          <w:rFonts w:hint="eastAsia" w:asciiTheme="minorEastAsia" w:hAnsiTheme="minorEastAsia" w:eastAsiaTheme="minorEastAsia" w:cstheme="minorEastAsia"/>
          <w:b w:val="0"/>
          <w:bCs/>
          <w:color w:val="auto"/>
          <w:kern w:val="2"/>
          <w:sz w:val="21"/>
          <w:szCs w:val="21"/>
          <w:highlight w:val="none"/>
          <w:lang w:val="en-US" w:eastAsia="zh-CN"/>
        </w:rPr>
        <w:t>鉴证方（招标代理机构盖章）</w:t>
      </w:r>
    </w:p>
    <w:p w14:paraId="0DBD3919">
      <w:pPr>
        <w:widowControl/>
        <w:autoSpaceDE/>
        <w:autoSpaceDN/>
        <w:adjustRightInd/>
        <w:spacing w:line="360" w:lineRule="auto"/>
        <w:jc w:val="center"/>
        <w:rPr>
          <w:rFonts w:ascii="宋体" w:hAnsi="宋体" w:eastAsia="宋体" w:cs="Times New Roman"/>
          <w:b/>
          <w:color w:val="auto"/>
          <w:kern w:val="2"/>
          <w:sz w:val="24"/>
          <w:szCs w:val="24"/>
          <w:highlight w:val="none"/>
        </w:rPr>
      </w:pPr>
      <w:r>
        <w:rPr>
          <w:rFonts w:hint="eastAsia" w:ascii="宋体" w:hAnsi="宋体" w:eastAsia="宋体" w:cs="Times New Roman"/>
          <w:b/>
          <w:color w:val="auto"/>
          <w:kern w:val="2"/>
          <w:sz w:val="24"/>
          <w:szCs w:val="24"/>
          <w:highlight w:val="none"/>
        </w:rPr>
        <w:t>第二部分 通用条件</w:t>
      </w:r>
    </w:p>
    <w:p w14:paraId="7021DEA0">
      <w:pPr>
        <w:widowControl/>
        <w:autoSpaceDE w:val="0"/>
        <w:autoSpaceDN/>
        <w:adjustRightInd/>
        <w:spacing w:line="360" w:lineRule="auto"/>
        <w:jc w:val="left"/>
        <w:rPr>
          <w:rFonts w:hint="eastAsia" w:ascii="宋体" w:hAnsi="宋体" w:eastAsia="宋体" w:cs="Times New Roman"/>
          <w:color w:val="auto"/>
          <w:kern w:val="2"/>
          <w:sz w:val="24"/>
          <w:szCs w:val="24"/>
          <w:highlight w:val="none"/>
        </w:rPr>
      </w:pPr>
      <w:bookmarkStart w:id="153" w:name="_Toc422322482"/>
      <w:bookmarkEnd w:id="153"/>
      <w:bookmarkStart w:id="154" w:name="_Toc419045067"/>
    </w:p>
    <w:p w14:paraId="75B3D926">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w:t>
      </w:r>
      <w:bookmarkEnd w:id="154"/>
      <w:r>
        <w:rPr>
          <w:rFonts w:hint="eastAsia" w:asciiTheme="minorEastAsia" w:hAnsiTheme="minorEastAsia" w:eastAsiaTheme="minorEastAsia" w:cstheme="minorEastAsia"/>
          <w:color w:val="auto"/>
          <w:kern w:val="2"/>
          <w:sz w:val="21"/>
          <w:szCs w:val="21"/>
          <w:highlight w:val="none"/>
        </w:rPr>
        <w:t>词语定义、语言、解释顺序与适用法律</w:t>
      </w:r>
      <w:bookmarkStart w:id="155" w:name="_Toc422322483"/>
      <w:bookmarkEnd w:id="155"/>
      <w:bookmarkStart w:id="156" w:name="_Toc419045068"/>
      <w:bookmarkEnd w:id="156"/>
    </w:p>
    <w:p w14:paraId="29BE6891">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1.1词语定义</w:t>
      </w:r>
    </w:p>
    <w:p w14:paraId="62C3E7E2">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组成本合同的全部文件中的下列名词和用语应具有本款所赋予的含义：</w:t>
      </w:r>
    </w:p>
    <w:p w14:paraId="3D5A583E">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1.1.1“工程”是指按照本合同约定实施造价咨询与其他服务的建设工程。</w:t>
      </w:r>
    </w:p>
    <w:p w14:paraId="5AFA1EFB">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1.1.2“工程造价”是指工程项目建设过程中预计或实际支出的全部费用。</w:t>
      </w:r>
    </w:p>
    <w:p w14:paraId="3172BA9D">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1.1.3“委托人”是指本合同中委托造价咨询与其他服务的一方，及其合法的继承或受让人。</w:t>
      </w:r>
    </w:p>
    <w:p w14:paraId="087152A4">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1.1.4“咨询人”是指本合同中提供造价咨询与其他服务的一方，及其合法的继承人。</w:t>
      </w:r>
    </w:p>
    <w:p w14:paraId="52C9DA27">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1.1.5“第三人”是指除委托人、咨询人以外与本咨询业务有关的当事人。</w:t>
      </w:r>
    </w:p>
    <w:p w14:paraId="3EAF0DE5">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1.1.6“正常工作”是指本合同订立时通用条件和专用条件中约定的咨询人的工作。</w:t>
      </w:r>
    </w:p>
    <w:p w14:paraId="3C2AE575">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1.1.7“附加工作”是指咨询人根据合同条件完成的正常工作以外的工作。</w:t>
      </w:r>
    </w:p>
    <w:p w14:paraId="171EF10D">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1.1.8“项目咨询团队”是指咨询人指派负责履行本合同的团队，其团队成员为本合同的项目咨询人员。</w:t>
      </w:r>
    </w:p>
    <w:p w14:paraId="33A7CB32">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1.1.9“项目负责人”是指由咨询人的法定代表人书面授权，在授权范围内负责履行本合同、主持项目咨询团队工作的负责人。</w:t>
      </w:r>
    </w:p>
    <w:p w14:paraId="6988C5FD">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1.1.10“委托人代表”是指由委托人的法定代表人书面授权，在授权范围内行使委托人权利的人。</w:t>
      </w:r>
    </w:p>
    <w:p w14:paraId="210A2976">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1.1.11“酬金”是指咨询人履行本合同义务，委托人按照本合同约定给付咨询人的金额。</w:t>
      </w:r>
    </w:p>
    <w:p w14:paraId="418438D6">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1.1.12“正常工作酬金”是指在协议书中载明的，咨询人完成正常工作，委托人应给付咨询人的酬金。</w:t>
      </w:r>
    </w:p>
    <w:p w14:paraId="549AAA2F">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1.1.13“附加工作酬金”是指咨询人完成附加工作，委托人应给付咨询人的酬金。</w:t>
      </w:r>
    </w:p>
    <w:p w14:paraId="2B3D97B6">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1.1.14 “书面形式”是指合同书、信件和数据电文（包括电报、电传、传真、电子数据交换和电子邮件）等可以有形地表现所载内容的形式。</w:t>
      </w:r>
    </w:p>
    <w:p w14:paraId="363028B2">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1.1.15 “不可抗力”是指委托人和咨询人在订立本合同时不可预见，在合同履行过程中不可避免并不能克服的自然灾害和社会性突发事件，如地震、海啸、瘟疫、水灾、骚乱、暴动、战争等情形。</w:t>
      </w:r>
      <w:bookmarkStart w:id="157" w:name="_Toc419045069"/>
      <w:bookmarkEnd w:id="157"/>
      <w:bookmarkStart w:id="158" w:name="_Toc422322484"/>
      <w:bookmarkEnd w:id="158"/>
    </w:p>
    <w:p w14:paraId="7CF4C3B2">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1.2语言</w:t>
      </w:r>
    </w:p>
    <w:p w14:paraId="7F63BCA2">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本合同使用中文书写、解释和说明。如专用条件约定使用两种及以上语言文字时，应以中文为准。</w:t>
      </w:r>
      <w:bookmarkStart w:id="159" w:name="_Toc419045070"/>
      <w:bookmarkEnd w:id="159"/>
      <w:bookmarkStart w:id="160" w:name="_Toc422322485"/>
      <w:bookmarkEnd w:id="160"/>
    </w:p>
    <w:p w14:paraId="2001468D">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1.3合同文件的优先顺序</w:t>
      </w:r>
    </w:p>
    <w:p w14:paraId="611DC4BA">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组成本合同的下列文件彼此应能相互解释、互为说明。除专用条件另有约定外，本合同文件的解释顺序如下：</w:t>
      </w:r>
    </w:p>
    <w:p w14:paraId="69F101BC">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1.协议书</w:t>
      </w:r>
    </w:p>
    <w:p w14:paraId="75250B22">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2.专用条件及附录；</w:t>
      </w:r>
    </w:p>
    <w:p w14:paraId="25417E7D">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3.通用条件；</w:t>
      </w:r>
    </w:p>
    <w:p w14:paraId="3DAB2551">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4.其他合同文件。</w:t>
      </w:r>
    </w:p>
    <w:p w14:paraId="254475A8">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上述各项合同文件包括合同当事人就该项合同文件所作出的补充和修改，属于同一类内容的文件，应以最新签署的为准。</w:t>
      </w:r>
    </w:p>
    <w:p w14:paraId="0FC1AB2B">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在合同订立及履行过程中形成的与合同有关的文件均构成合同文件的组成部分。</w:t>
      </w:r>
      <w:bookmarkStart w:id="161" w:name="_Toc422322486"/>
      <w:bookmarkEnd w:id="161"/>
      <w:bookmarkStart w:id="162" w:name="_Toc419045071"/>
      <w:bookmarkEnd w:id="162"/>
    </w:p>
    <w:p w14:paraId="5225A5E5">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1.4适用法律</w:t>
      </w:r>
    </w:p>
    <w:p w14:paraId="50AAD3B3">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本合同适用中华人民共和国法律、行政法规、部门规章以及工程所在地的地方性法规自治条例、单行条例和地方政府规章等。</w:t>
      </w:r>
    </w:p>
    <w:p w14:paraId="7A00A4DB">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合同当事人可以在专用条件中约定本合同适用的其他规范、规程、定额、技术标准等规范性文件。</w:t>
      </w:r>
      <w:bookmarkStart w:id="163" w:name="_Toc422322487"/>
      <w:bookmarkEnd w:id="163"/>
    </w:p>
    <w:p w14:paraId="7B07F89D">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2.委托人的义务</w:t>
      </w:r>
      <w:bookmarkStart w:id="164" w:name="_Toc422322488"/>
      <w:bookmarkEnd w:id="164"/>
      <w:bookmarkStart w:id="165" w:name="_Toc419045072"/>
      <w:bookmarkEnd w:id="165"/>
    </w:p>
    <w:p w14:paraId="72B3AF5F">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2.1提供资料</w:t>
      </w:r>
    </w:p>
    <w:p w14:paraId="5C8C1DB3">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委托人应当在专用条件约定的时间内，按照附录C的约定无偿向咨询人提供与本合同咨询业务有关的资料。在本合同履行过程中，委托人应及时向咨询人提供最新的与本合同咨询业务有关的资料。委托人应对所提供资料的真实性、准确性、合法性与完整性负责。</w:t>
      </w:r>
      <w:bookmarkStart w:id="166" w:name="_Toc422322489"/>
      <w:bookmarkEnd w:id="166"/>
      <w:bookmarkStart w:id="167" w:name="_Toc419045073"/>
      <w:bookmarkEnd w:id="167"/>
    </w:p>
    <w:p w14:paraId="163830A2">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2.2提供工作条件</w:t>
      </w:r>
    </w:p>
    <w:p w14:paraId="2988CA7D">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委托人应为咨询人完成造价咨询提供必要的条件。</w:t>
      </w:r>
    </w:p>
    <w:p w14:paraId="2E21CA97">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2.2.1委托人需要咨询人派驻项目现场咨询人员的，除专用条件另有约定外，项目咨询人员有权无偿使用附录D中由委托人提供的房屋及设备。</w:t>
      </w:r>
    </w:p>
    <w:p w14:paraId="40BFD744">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2.2.2委托人应负责与本工程造价咨询业务有关的所有外部关系的协调，为咨询人履行本合同提供必要的外部条件。</w:t>
      </w:r>
      <w:bookmarkStart w:id="168" w:name="_Toc419045074"/>
      <w:bookmarkEnd w:id="168"/>
      <w:bookmarkStart w:id="169" w:name="_Toc422322490"/>
      <w:bookmarkEnd w:id="169"/>
    </w:p>
    <w:p w14:paraId="65DA1FB1">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2.3合理工作时限</w:t>
      </w:r>
    </w:p>
    <w:p w14:paraId="7E7D2DE8">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委托人应当为咨询人完成其咨询工作，设定合理的工作时限。</w:t>
      </w:r>
      <w:bookmarkStart w:id="170" w:name="_Toc422322491"/>
      <w:bookmarkEnd w:id="170"/>
      <w:bookmarkStart w:id="171" w:name="_Toc419045075"/>
      <w:bookmarkEnd w:id="171"/>
    </w:p>
    <w:p w14:paraId="7C662CA7">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2.4委托人代表</w:t>
      </w:r>
    </w:p>
    <w:p w14:paraId="4BF73412">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委托人应授权一名代表负责本合同的履行。委托人应在双方签订本合同7日内，将委托人代表的姓名和权限范围书面告知咨询人。委托人更换委托人代表时，应提前7日书面通知咨询人。</w:t>
      </w:r>
      <w:bookmarkStart w:id="172" w:name="_Toc422322492"/>
      <w:bookmarkEnd w:id="172"/>
      <w:bookmarkStart w:id="173" w:name="_Toc419045076"/>
      <w:bookmarkEnd w:id="173"/>
    </w:p>
    <w:p w14:paraId="07F28793">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2.5答复</w:t>
      </w:r>
    </w:p>
    <w:p w14:paraId="7BC8B4FB">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委托人应当在专用条件约定的时间内就咨询人以书面形式提交并要求做出答复的事宜给予书面答复。逾期未答复的，由此造成的工作延误和损失由委托人承担。</w:t>
      </w:r>
      <w:bookmarkStart w:id="174" w:name="_Toc419045077"/>
      <w:bookmarkEnd w:id="174"/>
      <w:bookmarkStart w:id="175" w:name="_Toc422322493"/>
      <w:bookmarkEnd w:id="175"/>
    </w:p>
    <w:p w14:paraId="35BF3E81">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2.6支付</w:t>
      </w:r>
    </w:p>
    <w:p w14:paraId="72C22790">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委托人应当按照合同的约定，向咨询人支付酬金。</w:t>
      </w:r>
      <w:bookmarkStart w:id="176" w:name="_Toc422322494"/>
      <w:bookmarkEnd w:id="176"/>
      <w:bookmarkStart w:id="177" w:name="_Toc419045078"/>
      <w:bookmarkEnd w:id="177"/>
    </w:p>
    <w:p w14:paraId="54B318AB">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3.咨询人的义务</w:t>
      </w:r>
      <w:bookmarkStart w:id="178" w:name="BM16"/>
      <w:bookmarkEnd w:id="178"/>
      <w:bookmarkStart w:id="179" w:name="_Toc419045080"/>
      <w:bookmarkEnd w:id="179"/>
      <w:bookmarkStart w:id="180" w:name="_Toc422322495"/>
      <w:bookmarkEnd w:id="180"/>
    </w:p>
    <w:p w14:paraId="5415E26C">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3.1 项目咨询团队及人员</w:t>
      </w:r>
    </w:p>
    <w:p w14:paraId="162CFC87">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3.1.1项目咨询团队的主要人员应具有专用条件约定的资格条件，团队人员的数量应符合专用条件的约定。</w:t>
      </w:r>
    </w:p>
    <w:p w14:paraId="350B15F6">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3.1.2项目负责人</w:t>
      </w:r>
    </w:p>
    <w:p w14:paraId="351485CC">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咨询人应以书面形式授权一名项目负责人负责履行本合同、主持项目咨询团队工作。</w:t>
      </w:r>
    </w:p>
    <w:p w14:paraId="53BE1C80">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3.1.3在本合同履行过程中，咨询人员应保持相对稳定，以保证咨询工作正常进行。</w:t>
      </w:r>
    </w:p>
    <w:p w14:paraId="722D8E8A">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咨询人可根据工程进展和工作需要等情形调整项目咨询团队人员。咨询人更换项目负责人时，应提前7日向委托人书面报告，经委托人同意后方可更换。除专用条件另有约定外，咨询人更换项目咨询团队其他咨询人员，应提前3日向委托人书面报告，经委托人同意后以相当资格与能力的人员替换。</w:t>
      </w:r>
    </w:p>
    <w:p w14:paraId="2C68A14D">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3.1.4咨询人员有下列情形之一，委托人要求咨询人更换的，咨询人应当更换：</w:t>
      </w:r>
    </w:p>
    <w:p w14:paraId="1E9FC60D">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（1）存在严重过失行为的；</w:t>
      </w:r>
    </w:p>
    <w:p w14:paraId="374A3F9C">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（2）存在违法行为不能履行职责的；</w:t>
      </w:r>
    </w:p>
    <w:p w14:paraId="7F9477BB">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（3）涉嫌犯罪的；</w:t>
      </w:r>
    </w:p>
    <w:p w14:paraId="4950980D">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（4）不能胜任岗位职责的；</w:t>
      </w:r>
    </w:p>
    <w:p w14:paraId="5E1DEE9F">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（5）严重违反职业道德的；</w:t>
      </w:r>
    </w:p>
    <w:p w14:paraId="12D6B30C">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（6）专用条件约定的其他情形。</w:t>
      </w:r>
      <w:bookmarkStart w:id="181" w:name="_Toc422322496"/>
      <w:bookmarkEnd w:id="181"/>
    </w:p>
    <w:p w14:paraId="3C3D57BA">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3.2 咨询人的工作要求</w:t>
      </w:r>
    </w:p>
    <w:p w14:paraId="6A2F843A">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3.2.1咨询人应当按照专用条件约定的时间等要求向委托人提供与工程造价咨询业务有关的资料，包括工程造价咨询企业的资质证书及承担本合同业务的团队人员名单及执业（从业）资格证书、咨询工作大纲等，并按合同约定的服务范围和工作内容实施咨询业务。</w:t>
      </w:r>
    </w:p>
    <w:p w14:paraId="7B455CBC">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3.2.2咨询人应当在专用条件约定的时间内，按照专用条件约定的份数、组成向委托人提交咨询成果文件。</w:t>
      </w:r>
    </w:p>
    <w:p w14:paraId="307FE3DC">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咨询人提供造价咨询服务以及出具工程造价咨询成果文件应符合现行国家或行业有关规定、标准、规范的要求。委托人要求的工程造价咨询成果文件质量标准高于现行国家或行业标准的，应在专用条件中约定具体的质量标准，并相应增加服务酬金。</w:t>
      </w:r>
    </w:p>
    <w:p w14:paraId="01522761">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3.2.3咨询人提交的工程造价咨询成果文件，除加盖咨询人单位公章、工程造价咨询企业执业印章外，还必须按要求加盖参加咨询工作人员的执业（从业）资格印章。</w:t>
      </w:r>
    </w:p>
    <w:p w14:paraId="6EA362C3">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3.2.4咨询人应在专用条件约定的时间内，对委托人以书面形式提出的建议或者异议给予书面答复。</w:t>
      </w:r>
    </w:p>
    <w:p w14:paraId="7002F9F0">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3.2.5咨询人从事工程造价咨询活动，应当遵循独立、客观、公正、诚实信用的原则，不得损害社会公共利益和他人的合法权益。</w:t>
      </w:r>
    </w:p>
    <w:p w14:paraId="2B30F0DF">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3.2.6咨询人承诺按照法律规定及合同约定，完成合同范围内的建设工程造价咨询服务，不转包承接的造价咨询服务业务。</w:t>
      </w:r>
      <w:bookmarkStart w:id="182" w:name="_Toc422322497"/>
      <w:bookmarkEnd w:id="182"/>
      <w:bookmarkStart w:id="183" w:name="_Toc419045081"/>
      <w:bookmarkEnd w:id="183"/>
    </w:p>
    <w:p w14:paraId="715E58A7">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3.3咨询人的工作依据</w:t>
      </w:r>
    </w:p>
    <w:p w14:paraId="3455D433">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咨询人应在专用条件内与委托人协商明确履行本合同约定的咨询服务需要适用的技术标准、规范、定额等工作依据，但不得违反国家及工程所在地的强制性标准、规范。</w:t>
      </w:r>
    </w:p>
    <w:p w14:paraId="2DFC06A9">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咨询人应自行配备本条所述的技术标准、规范、定额等相关资料。必须由委托人提供的资料，应在附录C中载明。需要委托人协助才能获得的资料，委托人应予以协助。</w:t>
      </w:r>
      <w:bookmarkStart w:id="184" w:name="_Toc422322498"/>
      <w:bookmarkEnd w:id="184"/>
      <w:bookmarkStart w:id="185" w:name="_Toc419045082"/>
      <w:bookmarkEnd w:id="185"/>
    </w:p>
    <w:p w14:paraId="4DAF955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3.4使用委托人房屋及设备的返还</w:t>
      </w:r>
    </w:p>
    <w:p w14:paraId="5AEF28E7">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项目咨询人员使用委托人提供的房屋及设备的，咨询人应妥善使用和保管，在本合同终止时将上述房屋及设备按专用条件约定的时间和方式返还委托人。</w:t>
      </w:r>
      <w:bookmarkStart w:id="186" w:name="BM19"/>
      <w:bookmarkEnd w:id="186"/>
      <w:bookmarkStart w:id="187" w:name="_Toc422322499"/>
      <w:bookmarkEnd w:id="187"/>
      <w:bookmarkStart w:id="188" w:name="_Toc419045083"/>
      <w:bookmarkEnd w:id="188"/>
    </w:p>
    <w:p w14:paraId="41B5AF8D">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4.违约责任</w:t>
      </w:r>
      <w:bookmarkStart w:id="189" w:name="_Toc422322500"/>
      <w:bookmarkEnd w:id="189"/>
    </w:p>
    <w:p w14:paraId="1D9E538D">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4.1委托人的违约责任</w:t>
      </w:r>
    </w:p>
    <w:p w14:paraId="692AE853">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4.1.1委托人不履行本合同义务或者履行义务不符合本合同约定的，应承担违约责任。双方可在专用条件中约定违约金的计算及支付方法。</w:t>
      </w:r>
    </w:p>
    <w:p w14:paraId="38D875D4">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4.1.2委托人违反本合同约定造成咨询人损失的，委托人应予以赔偿。双方可在专用条件中约定赔偿金额的确定及支付方法。</w:t>
      </w:r>
    </w:p>
    <w:p w14:paraId="62086E46">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4.1.3委托人未能按期支付酬金超过14天，应按下列方法计算并支付逾期付款利息。逾期付款利息=当期应付款总额×全国银行间同业拆借中心公布的贷款市场报价利率×逾期支付天数（自逾期之日起计算）。双方也可在专用条件中另行约定逾期付款利息的计算及支付方法。</w:t>
      </w:r>
      <w:bookmarkStart w:id="190" w:name="_Toc419045084"/>
      <w:bookmarkEnd w:id="190"/>
      <w:bookmarkStart w:id="191" w:name="_Toc422322501"/>
      <w:bookmarkEnd w:id="191"/>
    </w:p>
    <w:p w14:paraId="15E0C123">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4.2咨询人的违约责任</w:t>
      </w:r>
    </w:p>
    <w:p w14:paraId="40DC1ADE">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4.2.1咨询人不履行本合同义务或者履行义务不符合本合同约定的，应承担违约责任。双方可在专用条件中约定违约金的计算及支付方法。</w:t>
      </w:r>
    </w:p>
    <w:p w14:paraId="1A19215C">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4.2.2因咨询人违反本合同约定给委托人造成损失的，咨询人应当赔偿委托人损失。双方可在专用条件中约定赔偿金额的确定及支付方法。</w:t>
      </w:r>
      <w:bookmarkStart w:id="192" w:name="_Toc422322502"/>
      <w:bookmarkEnd w:id="192"/>
      <w:bookmarkStart w:id="193" w:name="_Toc419045086"/>
      <w:bookmarkEnd w:id="193"/>
    </w:p>
    <w:p w14:paraId="12A29871">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5.支付</w:t>
      </w:r>
      <w:bookmarkStart w:id="194" w:name="_Toc419045087"/>
      <w:bookmarkEnd w:id="194"/>
      <w:bookmarkStart w:id="195" w:name="_Toc422322503"/>
      <w:bookmarkEnd w:id="195"/>
    </w:p>
    <w:p w14:paraId="08B94D56">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5.1支付货币</w:t>
      </w:r>
    </w:p>
    <w:p w14:paraId="125961D8">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除专用条件另有约定外，酬金均以人民币支付。涉及外币支付的，所采用的货币种类和汇率等在专用条件中约定。</w:t>
      </w:r>
      <w:bookmarkStart w:id="196" w:name="_Toc422322504"/>
      <w:bookmarkEnd w:id="196"/>
    </w:p>
    <w:p w14:paraId="5041EF24">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5.2支付申请</w:t>
      </w:r>
    </w:p>
    <w:p w14:paraId="396ECAF0">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咨询人应在本合同约定的每次应付款日期前，向委托人提交支付申请书，支付申请书的提交日期由双方在专用条件中约定。支付申请书应当说明当期应付款总额，并列出当期应支付的款项及其金额。</w:t>
      </w:r>
      <w:bookmarkStart w:id="197" w:name="_Toc422322505"/>
      <w:bookmarkEnd w:id="197"/>
    </w:p>
    <w:p w14:paraId="7E078941">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5.3 支付酬金</w:t>
      </w:r>
    </w:p>
    <w:p w14:paraId="222CD7E0">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支付酬金包括正常工作酬金、附加工作酬金、合理化建议奖励金额及费用。</w:t>
      </w:r>
      <w:bookmarkStart w:id="198" w:name="_Toc422322506"/>
      <w:bookmarkEnd w:id="198"/>
    </w:p>
    <w:p w14:paraId="29627F3A">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5.4有异议部分的支付</w:t>
      </w:r>
    </w:p>
    <w:p w14:paraId="530A08BA">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委托人对咨询人提交的支付申请书有异议时，应当在收到咨询人提交的支付申请书后7日内，以书面形式向咨询人发出异议通知。无异议部分的款项应按期支付，有异议部分的款项按第7条约定办理。</w:t>
      </w:r>
      <w:bookmarkStart w:id="199" w:name="_Toc422322507"/>
      <w:bookmarkEnd w:id="199"/>
      <w:bookmarkStart w:id="200" w:name="_Toc419045088"/>
      <w:bookmarkEnd w:id="200"/>
    </w:p>
    <w:p w14:paraId="4A25F95C">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6.合同变更、解除与终止</w:t>
      </w:r>
      <w:bookmarkStart w:id="201" w:name="_Toc419045089"/>
      <w:bookmarkEnd w:id="201"/>
      <w:bookmarkStart w:id="202" w:name="_Toc422322508"/>
      <w:bookmarkEnd w:id="202"/>
    </w:p>
    <w:p w14:paraId="646F98E7">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 xml:space="preserve">6.1合同变更 </w:t>
      </w:r>
    </w:p>
    <w:p w14:paraId="1950B3C9">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6.1.1 任何一方以书面形式提出变更请求时，双方经协商一致后可进行变更。</w:t>
      </w:r>
    </w:p>
    <w:p w14:paraId="01E75098">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6.1.2除不可抗力外，因非咨询人原因导致咨询人履行合同期限延长、内容增加时，咨询人应当将此情况与可能产生的影响及时通知委托人。增加的工作时间或工作内容应视为附加工作。附加工作酬金的确定方法由双方根据委托的服务范围及工作内容在专用条件中约定。</w:t>
      </w:r>
    </w:p>
    <w:p w14:paraId="65043492">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6.1.3合同履行过程中，遇有与工程相关的法律法规、强制性标准颁布或修订的，双方应遵照执行。非强制性标准、规范、定额等发生变化的，双方协商确定执行依据。由此引起造价咨询的服务范围及内容、服务期限、酬金变化的，双方应通过协商确定。</w:t>
      </w:r>
    </w:p>
    <w:p w14:paraId="6CFAD25F">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6.1.4 因工程规模、服务范围及工作内容的变化等导致咨询人的工作量增减时，服务酬金应作相应调整，调整方法由双方在专用条件中约定。</w:t>
      </w:r>
      <w:bookmarkStart w:id="203" w:name="_Toc422322509"/>
      <w:bookmarkEnd w:id="203"/>
      <w:bookmarkStart w:id="204" w:name="_Toc419045090"/>
      <w:bookmarkEnd w:id="204"/>
    </w:p>
    <w:p w14:paraId="44C4B273">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6.2合同解除</w:t>
      </w:r>
    </w:p>
    <w:p w14:paraId="3839A67C">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6.2.1 委托人与咨询人协商一致，可以解除合同。</w:t>
      </w:r>
    </w:p>
    <w:p w14:paraId="31956CB2">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6.2.2 有下列情形之一的，合同当事人一方或双方可以解除合同：</w:t>
      </w:r>
    </w:p>
    <w:p w14:paraId="2592CC8B">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（1）咨询人将本合同约定的工程造价咨询服务工作全部或部分转包给他人，委托人可以解除合同；</w:t>
      </w:r>
    </w:p>
    <w:p w14:paraId="1F8C6E98">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（2）咨询人提供的造价咨询服务不符合合同约定的要求，经委托人催告仍不能达到合同约定要求的，委托人可以解除合同；</w:t>
      </w:r>
    </w:p>
    <w:p w14:paraId="096FF9E2">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（3）委托人未按合同约定支付服务酬金，经咨询人催告后，在28天内仍未支付的，咨询人可以解除合同；</w:t>
      </w:r>
    </w:p>
    <w:p w14:paraId="46E3C39F">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（4）因不可抗力致使合同无法履行；</w:t>
      </w:r>
    </w:p>
    <w:p w14:paraId="66011078">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（5）因一方违约致使合同无法实际履行或实际履行已无必要。</w:t>
      </w:r>
    </w:p>
    <w:p w14:paraId="3FC5784B">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除上述情形外，双方可以根据委托的服务范围及工作内容，在专用条件中约定解除合同的其他条件。</w:t>
      </w:r>
    </w:p>
    <w:p w14:paraId="055C0C53">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6.2.3 任何一方提出解除合同的，应提前30天书面通知对方。</w:t>
      </w:r>
    </w:p>
    <w:p w14:paraId="32835385">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6.2.4合同解除后，委托人应按照合同约定向咨询人支付已完成部分的咨询服务酬金。</w:t>
      </w:r>
    </w:p>
    <w:p w14:paraId="0F369451">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因不可抗力导致的合同解除，其损失的分担按照合理分担的原则由合同当事人在专用条件中自行约定。除不可抗力外因非咨询人原因导致的合同解除，其损失由委托人承担。因咨询人自身原因导致的合同解除，按照违约责任处理。</w:t>
      </w:r>
    </w:p>
    <w:p w14:paraId="62E764DE">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6.2.5本合同解除后，本合同约定的有关结算、争议解决方式的条款仍然有效。</w:t>
      </w:r>
      <w:bookmarkStart w:id="205" w:name="_Toc422322510"/>
      <w:bookmarkEnd w:id="205"/>
    </w:p>
    <w:p w14:paraId="48DF1C49">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6.3 合同终止</w:t>
      </w:r>
    </w:p>
    <w:p w14:paraId="5498E19D">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除合同解除外，以下条件全部满足时，本合同终止：</w:t>
      </w:r>
    </w:p>
    <w:p w14:paraId="53A9463C">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（1）咨询人完成本合同约定的全部工作；</w:t>
      </w:r>
    </w:p>
    <w:p w14:paraId="39193B0F">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（2）委托人与咨询人结清并支付酬金；</w:t>
      </w:r>
    </w:p>
    <w:p w14:paraId="0C1760A9">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（3）咨询人将委托人提供的资料交还。</w:t>
      </w:r>
      <w:bookmarkStart w:id="206" w:name="_Toc422322511"/>
      <w:bookmarkEnd w:id="206"/>
      <w:bookmarkStart w:id="207" w:name="_Toc419045091"/>
      <w:bookmarkEnd w:id="207"/>
    </w:p>
    <w:p w14:paraId="7D84AB32">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7.争议解决</w:t>
      </w:r>
      <w:bookmarkStart w:id="208" w:name="_Toc419045092"/>
      <w:bookmarkEnd w:id="208"/>
      <w:bookmarkStart w:id="209" w:name="_Toc422322512"/>
      <w:bookmarkEnd w:id="209"/>
    </w:p>
    <w:p w14:paraId="51AB8C1E">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7.1协商</w:t>
      </w:r>
    </w:p>
    <w:p w14:paraId="13F25E4D">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双方应本着诚实信用的原则协商解决本合同履行过程中发生的争议。</w:t>
      </w:r>
      <w:bookmarkStart w:id="210" w:name="BM37"/>
      <w:bookmarkEnd w:id="210"/>
      <w:bookmarkStart w:id="211" w:name="_Toc422322513"/>
      <w:bookmarkEnd w:id="211"/>
      <w:bookmarkStart w:id="212" w:name="_Toc419045093"/>
      <w:bookmarkEnd w:id="212"/>
    </w:p>
    <w:p w14:paraId="71DB705E">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7.2调解</w:t>
      </w:r>
    </w:p>
    <w:p w14:paraId="21C0FC39">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如果双方不能在14日内或双方商定的其他时间内解决本合同争议，可以将其提交给专用条件约定的或事后达成协议的调解人进行调解。</w:t>
      </w:r>
      <w:bookmarkStart w:id="213" w:name="BM38"/>
      <w:bookmarkEnd w:id="213"/>
      <w:bookmarkStart w:id="214" w:name="_Toc422322514"/>
      <w:bookmarkEnd w:id="214"/>
      <w:bookmarkStart w:id="215" w:name="_Toc419045094"/>
      <w:bookmarkEnd w:id="215"/>
    </w:p>
    <w:p w14:paraId="202145B7">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7.3仲裁或诉讼</w:t>
      </w:r>
    </w:p>
    <w:p w14:paraId="0ED488F1">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双方均有权不经调解直接向专用条件约定的仲裁机构申请仲裁或向有管辖权的人民法院提起诉讼。</w:t>
      </w:r>
      <w:bookmarkStart w:id="216" w:name="_Toc419045095"/>
      <w:bookmarkEnd w:id="216"/>
      <w:bookmarkStart w:id="217" w:name="_Toc422322515"/>
      <w:bookmarkEnd w:id="217"/>
    </w:p>
    <w:p w14:paraId="3FABD2C2">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8.其他</w:t>
      </w:r>
      <w:bookmarkStart w:id="218" w:name="_Toc422322516"/>
      <w:bookmarkEnd w:id="218"/>
      <w:bookmarkStart w:id="219" w:name="_Toc419045096"/>
      <w:bookmarkEnd w:id="219"/>
      <w:bookmarkStart w:id="220" w:name="BM39"/>
      <w:bookmarkEnd w:id="220"/>
    </w:p>
    <w:p w14:paraId="313E84A5">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8.1考察及相关费用</w:t>
      </w:r>
    </w:p>
    <w:p w14:paraId="105F1A46">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除专用条件另有约定外，咨询人经委托人同意进行考察发生的费用由委托人审核后另行支付。差旅费及相关费用的承担由双方在专用条件中约定。</w:t>
      </w:r>
      <w:bookmarkStart w:id="221" w:name="_Toc422322517"/>
      <w:bookmarkEnd w:id="221"/>
    </w:p>
    <w:p w14:paraId="19987D2E">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8.2奖励</w:t>
      </w:r>
    </w:p>
    <w:p w14:paraId="79DC970F">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对于咨询人在服务过程中提出合理化建议，使委托人获得效益的，双方在专用条件中约定奖励金额的确定方法。奖励金额在合理化建议被采纳后，与最近一期的正常工作酬金同期支付。</w:t>
      </w:r>
      <w:bookmarkStart w:id="222" w:name="_Toc422322518"/>
      <w:bookmarkEnd w:id="222"/>
    </w:p>
    <w:p w14:paraId="4F2DC20A">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8.3保密</w:t>
      </w:r>
    </w:p>
    <w:p w14:paraId="0DB09942">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在本合同履行期间或专用条件约定的期限内，双方不得泄露对方申明的保密资料，亦不得泄露与实施工程有关的第三人所提供的保密资料。保密事项在专用条件中约定。</w:t>
      </w:r>
      <w:bookmarkStart w:id="223" w:name="_Toc422322519"/>
      <w:bookmarkEnd w:id="223"/>
      <w:bookmarkStart w:id="224" w:name="_Toc419045097"/>
      <w:bookmarkEnd w:id="224"/>
    </w:p>
    <w:p w14:paraId="02A80406">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8.4联络</w:t>
      </w:r>
    </w:p>
    <w:p w14:paraId="73F1BCA4">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8.4.1与合同有关的通知、指示、要求、决定等，均应采用书面形式，并应在专用条件约定的期限内送达接收人和送达地点。</w:t>
      </w:r>
    </w:p>
    <w:p w14:paraId="067076C1">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8.4.2委托人和咨询人应在专用条件中约定各自的送达接收人、送达地点、电子邮箱。任何一方指定的接收人或送达地点或电子邮箱发生变动的，应提前3天以书面形式通知对方，否则视为未发生变动。</w:t>
      </w:r>
    </w:p>
    <w:p w14:paraId="73A76FC1">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8.4.3委托人和咨询人应当及时签收另一方送达至送达地点和指定接收人的往来函件，如确有充分证据证明一方无正当理由拒不签收的，视为认可往来函件的内容。</w:t>
      </w:r>
      <w:bookmarkStart w:id="225" w:name="_Toc422322520"/>
      <w:bookmarkEnd w:id="225"/>
    </w:p>
    <w:p w14:paraId="7648E3A5">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8.5知识产权</w:t>
      </w:r>
    </w:p>
    <w:p w14:paraId="44A59D96">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除专用条件另有约定外，委托人提供给咨询人的图纸、委托人为实施工程自行编制或委托编制的技术规范以及反映委托人要求的或其他类似性质文件的著作权属于委托人，咨询人可以为实现本合同目的而复制或者以其他方式使用此类文件，但不能用于与本合同无关的其他事项。未经委托人书面同意，咨询人不得为了本合同以外的目的而复制或者以其他方式使用上述文件或将之提供给任何第三方。</w:t>
      </w:r>
    </w:p>
    <w:p w14:paraId="2E7BBDB3">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除专用条件另有约定外，咨询人为履行本合同约定而编制的成果文件，其著作权属于咨询人。委托人可以为实现合同目的而复制、使用此类文件，但不能擅自修改或用于与本合同无关的其他事项。未经咨询人书面同意，委托人不得为了本合同以外的目的而复制或者以其他方式使用上述文件或将之提供给任何第三方。</w:t>
      </w:r>
    </w:p>
    <w:p w14:paraId="55EE0540">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双方保证在履行本合同过程中不侵犯对方及第三方的知识产权。因咨询人侵犯他人知识产权所引起的责任，由咨询人承担；因委托人提供的基础资料导致侵权的，由委托人承担责任。</w:t>
      </w:r>
    </w:p>
    <w:p w14:paraId="4BB45047">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除专用条件另有约定外，双方均有权在履行本合同保密义务并且不损害对方利益的情况下，将履行本合同形成的有关成果文件用于企业宣传、申报奖项以及接受上级主管部门的检查。</w:t>
      </w:r>
      <w:bookmarkStart w:id="226" w:name="_Toc419045098"/>
      <w:bookmarkEnd w:id="226"/>
      <w:bookmarkStart w:id="227" w:name="_Toc422322521"/>
      <w:bookmarkEnd w:id="227"/>
    </w:p>
    <w:p w14:paraId="12720785">
      <w:pPr>
        <w:widowControl/>
        <w:autoSpaceDE/>
        <w:autoSpaceDN/>
        <w:adjustRightInd/>
        <w:spacing w:line="360" w:lineRule="auto"/>
        <w:jc w:val="left"/>
        <w:rPr>
          <w:rFonts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 xml:space="preserve"> </w:t>
      </w:r>
    </w:p>
    <w:p w14:paraId="734BC529">
      <w:pPr>
        <w:widowControl/>
        <w:autoSpaceDE/>
        <w:autoSpaceDN/>
        <w:adjustRightInd/>
        <w:spacing w:line="360" w:lineRule="auto"/>
        <w:jc w:val="left"/>
        <w:rPr>
          <w:rFonts w:ascii="宋体" w:hAnsi="Times New Roman" w:eastAsia="仿宋_GB2312" w:cs="Times New Roman"/>
          <w:color w:val="auto"/>
          <w:kern w:val="2"/>
          <w:sz w:val="24"/>
          <w:szCs w:val="24"/>
          <w:highlight w:val="none"/>
        </w:rPr>
      </w:pPr>
      <w:r>
        <w:rPr>
          <w:rFonts w:hint="eastAsia" w:ascii="宋体" w:hAnsi="Times New Roman" w:eastAsia="仿宋_GB2312" w:cs="Times New Roman"/>
          <w:color w:val="auto"/>
          <w:kern w:val="2"/>
          <w:sz w:val="24"/>
          <w:szCs w:val="24"/>
          <w:highlight w:val="none"/>
        </w:rPr>
        <w:t xml:space="preserve"> </w:t>
      </w:r>
    </w:p>
    <w:p w14:paraId="07125D02">
      <w:pPr>
        <w:autoSpaceDE/>
        <w:autoSpaceDN/>
        <w:adjustRightInd/>
        <w:spacing w:line="360" w:lineRule="auto"/>
        <w:jc w:val="center"/>
        <w:rPr>
          <w:rFonts w:hint="eastAsia" w:ascii="宋体" w:hAnsi="宋体" w:eastAsia="宋体" w:cs="黑体"/>
          <w:b/>
          <w:bCs/>
          <w:color w:val="auto"/>
          <w:kern w:val="0"/>
          <w:sz w:val="24"/>
          <w:szCs w:val="24"/>
          <w:highlight w:val="none"/>
        </w:rPr>
      </w:pPr>
      <w:r>
        <w:rPr>
          <w:rFonts w:hint="eastAsia" w:ascii="宋体" w:hAnsi="Times New Roman" w:eastAsia="仿宋_GB2312" w:cs="Times New Roman"/>
          <w:color w:val="auto"/>
          <w:kern w:val="2"/>
          <w:sz w:val="24"/>
          <w:szCs w:val="24"/>
          <w:highlight w:val="none"/>
        </w:rPr>
        <w:br w:type="page"/>
      </w:r>
      <w:r>
        <w:rPr>
          <w:rFonts w:hint="eastAsia" w:ascii="宋体" w:hAnsi="宋体" w:eastAsia="宋体" w:cs="Times New Roman"/>
          <w:b/>
          <w:bCs/>
          <w:color w:val="auto"/>
          <w:kern w:val="2"/>
          <w:sz w:val="24"/>
          <w:szCs w:val="24"/>
          <w:highlight w:val="none"/>
        </w:rPr>
        <w:t>第三部分   专用条款</w:t>
      </w:r>
    </w:p>
    <w:p w14:paraId="3F7B75C7">
      <w:pPr>
        <w:widowControl/>
        <w:autoSpaceDE/>
        <w:autoSpaceDN/>
        <w:adjustRightInd/>
        <w:spacing w:line="360" w:lineRule="auto"/>
        <w:ind w:firstLine="426" w:firstLineChars="202"/>
        <w:jc w:val="both"/>
        <w:rPr>
          <w:rFonts w:hint="eastAsia" w:asciiTheme="minorEastAsia" w:hAnsiTheme="minorEastAsia" w:eastAsiaTheme="minorEastAsia" w:cstheme="minorEastAsia"/>
          <w:b/>
          <w:color w:val="auto"/>
          <w:kern w:val="2"/>
          <w:sz w:val="21"/>
          <w:szCs w:val="21"/>
          <w:highlight w:val="none"/>
        </w:rPr>
      </w:pPr>
      <w:r>
        <w:rPr>
          <w:rFonts w:hint="eastAsia" w:asciiTheme="minorEastAsia" w:hAnsiTheme="minorEastAsia" w:eastAsiaTheme="minorEastAsia" w:cstheme="minorEastAsia"/>
          <w:b/>
          <w:color w:val="auto"/>
          <w:kern w:val="2"/>
          <w:sz w:val="21"/>
          <w:szCs w:val="21"/>
          <w:highlight w:val="none"/>
        </w:rPr>
        <w:t>1.词语定义、语言、解释顺序与适用法律</w:t>
      </w:r>
    </w:p>
    <w:p w14:paraId="56E260EA">
      <w:pPr>
        <w:widowControl/>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1.2 语言</w:t>
      </w:r>
    </w:p>
    <w:p w14:paraId="6140F043">
      <w:pPr>
        <w:widowControl/>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本合同文件除使用中文外,还可用</w:t>
      </w:r>
      <w:r>
        <w:rPr>
          <w:rFonts w:hint="eastAsia" w:asciiTheme="minorEastAsia" w:hAnsiTheme="minorEastAsia" w:eastAsiaTheme="minorEastAsia" w:cstheme="minorEastAsia"/>
          <w:color w:val="auto"/>
          <w:kern w:val="2"/>
          <w:sz w:val="21"/>
          <w:szCs w:val="21"/>
          <w:highlight w:val="none"/>
          <w:u w:val="single"/>
        </w:rPr>
        <w:t xml:space="preserve">      /     </w:t>
      </w:r>
      <w:r>
        <w:rPr>
          <w:rFonts w:hint="eastAsia" w:asciiTheme="minorEastAsia" w:hAnsiTheme="minorEastAsia" w:eastAsiaTheme="minorEastAsia" w:cstheme="minorEastAsia"/>
          <w:color w:val="auto"/>
          <w:kern w:val="2"/>
          <w:sz w:val="21"/>
          <w:szCs w:val="21"/>
          <w:highlight w:val="none"/>
        </w:rPr>
        <w:t>。</w:t>
      </w:r>
    </w:p>
    <w:p w14:paraId="73AD690A">
      <w:pPr>
        <w:widowControl/>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1.3合同文件的优先顺序</w:t>
      </w:r>
    </w:p>
    <w:p w14:paraId="168A0866">
      <w:pPr>
        <w:autoSpaceDE/>
        <w:autoSpaceDN/>
        <w:adjustRightInd/>
        <w:spacing w:line="360" w:lineRule="auto"/>
        <w:ind w:firstLine="420" w:firstLineChars="200"/>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本合同文件的解释顺序为：</w:t>
      </w:r>
      <w:r>
        <w:rPr>
          <w:rFonts w:hint="eastAsia" w:asciiTheme="minorEastAsia" w:hAnsiTheme="minorEastAsia" w:eastAsiaTheme="minorEastAsia" w:cstheme="minorEastAsia"/>
          <w:color w:val="auto"/>
          <w:kern w:val="2"/>
          <w:sz w:val="21"/>
          <w:szCs w:val="21"/>
          <w:highlight w:val="none"/>
          <w:u w:val="single"/>
        </w:rPr>
        <w:t>见通用条件</w:t>
      </w:r>
      <w:r>
        <w:rPr>
          <w:rFonts w:hint="eastAsia" w:asciiTheme="minorEastAsia" w:hAnsiTheme="minorEastAsia" w:eastAsiaTheme="minorEastAsia" w:cstheme="minorEastAsia"/>
          <w:color w:val="auto"/>
          <w:kern w:val="2"/>
          <w:sz w:val="21"/>
          <w:szCs w:val="21"/>
          <w:highlight w:val="none"/>
        </w:rPr>
        <w:t>。</w:t>
      </w:r>
    </w:p>
    <w:p w14:paraId="0DC49018">
      <w:pPr>
        <w:widowControl/>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1.4适用法律</w:t>
      </w:r>
    </w:p>
    <w:p w14:paraId="00EA1826">
      <w:pPr>
        <w:widowControl/>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本合同适用的其他规范性文件包括</w:t>
      </w:r>
      <w:r>
        <w:rPr>
          <w:rFonts w:hint="eastAsia" w:asciiTheme="minorEastAsia" w:hAnsiTheme="minorEastAsia" w:eastAsiaTheme="minorEastAsia" w:cstheme="minorEastAsia"/>
          <w:color w:val="auto"/>
          <w:kern w:val="2"/>
          <w:sz w:val="21"/>
          <w:szCs w:val="21"/>
          <w:highlight w:val="none"/>
          <w:lang w:eastAsia="zh-CN"/>
        </w:rPr>
        <w:t>：</w:t>
      </w:r>
      <w:r>
        <w:rPr>
          <w:rFonts w:hint="eastAsia" w:asciiTheme="minorEastAsia" w:hAnsiTheme="minorEastAsia" w:eastAsiaTheme="minorEastAsia" w:cstheme="minorEastAsia"/>
          <w:color w:val="auto"/>
          <w:kern w:val="2"/>
          <w:sz w:val="21"/>
          <w:szCs w:val="21"/>
          <w:highlight w:val="none"/>
        </w:rPr>
        <w:t xml:space="preserve"> </w:t>
      </w:r>
      <w:r>
        <w:rPr>
          <w:rFonts w:hint="eastAsia" w:asciiTheme="minorEastAsia" w:hAnsiTheme="minorEastAsia" w:eastAsiaTheme="minorEastAsia" w:cstheme="minorEastAsia"/>
          <w:color w:val="auto"/>
          <w:kern w:val="2"/>
          <w:sz w:val="21"/>
          <w:szCs w:val="21"/>
          <w:highlight w:val="none"/>
          <w:u w:val="single"/>
        </w:rPr>
        <w:t xml:space="preserve">        /          </w:t>
      </w:r>
      <w:r>
        <w:rPr>
          <w:rFonts w:hint="eastAsia" w:asciiTheme="minorEastAsia" w:hAnsiTheme="minorEastAsia" w:eastAsiaTheme="minorEastAsia" w:cstheme="minorEastAsia"/>
          <w:color w:val="auto"/>
          <w:kern w:val="2"/>
          <w:sz w:val="21"/>
          <w:szCs w:val="21"/>
          <w:highlight w:val="none"/>
        </w:rPr>
        <w:t>。</w:t>
      </w:r>
    </w:p>
    <w:p w14:paraId="4B31C42D">
      <w:pPr>
        <w:widowControl/>
        <w:autoSpaceDE/>
        <w:autoSpaceDN/>
        <w:adjustRightInd/>
        <w:spacing w:line="360" w:lineRule="auto"/>
        <w:ind w:firstLine="426" w:firstLineChars="202"/>
        <w:jc w:val="both"/>
        <w:rPr>
          <w:rFonts w:hint="eastAsia" w:asciiTheme="minorEastAsia" w:hAnsiTheme="minorEastAsia" w:eastAsiaTheme="minorEastAsia" w:cstheme="minorEastAsia"/>
          <w:b/>
          <w:color w:val="auto"/>
          <w:kern w:val="2"/>
          <w:sz w:val="21"/>
          <w:szCs w:val="21"/>
          <w:highlight w:val="none"/>
        </w:rPr>
      </w:pPr>
      <w:r>
        <w:rPr>
          <w:rFonts w:hint="eastAsia" w:asciiTheme="minorEastAsia" w:hAnsiTheme="minorEastAsia" w:eastAsiaTheme="minorEastAsia" w:cstheme="minorEastAsia"/>
          <w:b/>
          <w:color w:val="auto"/>
          <w:kern w:val="2"/>
          <w:sz w:val="21"/>
          <w:szCs w:val="21"/>
          <w:highlight w:val="none"/>
        </w:rPr>
        <w:t>2.委托人的义务和权利</w:t>
      </w:r>
    </w:p>
    <w:p w14:paraId="25D0A3C1">
      <w:pPr>
        <w:widowControl/>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2.1提供资料：</w:t>
      </w:r>
    </w:p>
    <w:p w14:paraId="43AC6956">
      <w:pPr>
        <w:widowControl/>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委托人按照附录C约定无偿向受托人提供与本合同咨询业务有关资料的时间为：</w:t>
      </w:r>
      <w:r>
        <w:rPr>
          <w:rFonts w:hint="eastAsia" w:asciiTheme="minorEastAsia" w:hAnsiTheme="minorEastAsia" w:eastAsiaTheme="minorEastAsia" w:cstheme="minorEastAsia"/>
          <w:color w:val="auto"/>
          <w:kern w:val="2"/>
          <w:sz w:val="21"/>
          <w:szCs w:val="21"/>
          <w:highlight w:val="none"/>
          <w:u w:val="single"/>
        </w:rPr>
        <w:t>具体资料根据具体咨询任务另行确定</w:t>
      </w:r>
      <w:r>
        <w:rPr>
          <w:rFonts w:hint="eastAsia" w:asciiTheme="minorEastAsia" w:hAnsiTheme="minorEastAsia" w:eastAsiaTheme="minorEastAsia" w:cstheme="minorEastAsia"/>
          <w:color w:val="auto"/>
          <w:kern w:val="2"/>
          <w:sz w:val="21"/>
          <w:szCs w:val="21"/>
          <w:highlight w:val="none"/>
        </w:rPr>
        <w:t>。</w:t>
      </w:r>
    </w:p>
    <w:p w14:paraId="4E961A3E">
      <w:pPr>
        <w:widowControl/>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2.2提供工作条件：</w:t>
      </w:r>
    </w:p>
    <w:p w14:paraId="0880FC6C">
      <w:pPr>
        <w:widowControl/>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2.2.1项目咨询人员使用附录D中由委托人提供的房屋及设备，支付使用费的标准为：</w:t>
      </w:r>
      <w:r>
        <w:rPr>
          <w:rFonts w:hint="eastAsia" w:asciiTheme="minorEastAsia" w:hAnsiTheme="minorEastAsia" w:eastAsiaTheme="minorEastAsia" w:cstheme="minorEastAsia"/>
          <w:color w:val="auto"/>
          <w:kern w:val="2"/>
          <w:sz w:val="21"/>
          <w:szCs w:val="21"/>
          <w:highlight w:val="none"/>
          <w:u w:val="single"/>
        </w:rPr>
        <w:t xml:space="preserve">    /   </w:t>
      </w:r>
      <w:r>
        <w:rPr>
          <w:rFonts w:hint="eastAsia" w:asciiTheme="minorEastAsia" w:hAnsiTheme="minorEastAsia" w:eastAsiaTheme="minorEastAsia" w:cstheme="minorEastAsia"/>
          <w:color w:val="auto"/>
          <w:kern w:val="2"/>
          <w:sz w:val="21"/>
          <w:szCs w:val="21"/>
          <w:highlight w:val="none"/>
        </w:rPr>
        <w:t>。</w:t>
      </w:r>
    </w:p>
    <w:p w14:paraId="1F5EF16C">
      <w:pPr>
        <w:autoSpaceDE/>
        <w:autoSpaceDN/>
        <w:adjustRightInd/>
        <w:spacing w:line="360" w:lineRule="auto"/>
        <w:ind w:right="140"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2.4委托人代表</w:t>
      </w:r>
    </w:p>
    <w:p w14:paraId="395C2D42">
      <w:pPr>
        <w:autoSpaceDE/>
        <w:autoSpaceDN/>
        <w:adjustRightInd/>
        <w:spacing w:line="360" w:lineRule="auto"/>
        <w:ind w:right="140" w:firstLine="424" w:firstLineChars="202"/>
        <w:jc w:val="both"/>
        <w:rPr>
          <w:rFonts w:hint="eastAsia" w:asciiTheme="minorEastAsia" w:hAnsiTheme="minorEastAsia" w:eastAsiaTheme="minorEastAsia" w:cstheme="minorEastAsia"/>
          <w:color w:val="auto"/>
          <w:kern w:val="2"/>
          <w:sz w:val="21"/>
          <w:szCs w:val="21"/>
          <w:highlight w:val="none"/>
          <w:u w:val="single"/>
        </w:rPr>
      </w:pPr>
      <w:r>
        <w:rPr>
          <w:rFonts w:hint="eastAsia" w:asciiTheme="minorEastAsia" w:hAnsiTheme="minorEastAsia" w:eastAsiaTheme="minorEastAsia" w:cstheme="minorEastAsia"/>
          <w:color w:val="auto"/>
          <w:kern w:val="2"/>
          <w:sz w:val="21"/>
          <w:szCs w:val="21"/>
          <w:highlight w:val="none"/>
        </w:rPr>
        <w:t>委托人代表为：</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rPr>
        <w:t>，其权限范围：</w:t>
      </w:r>
      <w:r>
        <w:rPr>
          <w:rFonts w:hint="eastAsia" w:asciiTheme="minorEastAsia" w:hAnsiTheme="minorEastAsia" w:eastAsiaTheme="minorEastAsia" w:cstheme="minorEastAsia"/>
          <w:color w:val="auto"/>
          <w:kern w:val="2"/>
          <w:sz w:val="21"/>
          <w:szCs w:val="21"/>
          <w:highlight w:val="none"/>
          <w:u w:val="single"/>
        </w:rPr>
        <w:t xml:space="preserve">                      </w:t>
      </w:r>
    </w:p>
    <w:p w14:paraId="1AFF8A8D">
      <w:pPr>
        <w:autoSpaceDE/>
        <w:autoSpaceDN/>
        <w:adjustRightInd/>
        <w:spacing w:line="360" w:lineRule="auto"/>
        <w:ind w:right="140"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2.5答复</w:t>
      </w:r>
    </w:p>
    <w:p w14:paraId="7D4FAC51">
      <w:pPr>
        <w:widowControl/>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委托人同意在</w:t>
      </w:r>
      <w:r>
        <w:rPr>
          <w:rFonts w:hint="eastAsia" w:asciiTheme="minorEastAsia" w:hAnsiTheme="minorEastAsia" w:eastAsiaTheme="minorEastAsia" w:cstheme="minorEastAsia"/>
          <w:color w:val="auto"/>
          <w:kern w:val="2"/>
          <w:sz w:val="21"/>
          <w:szCs w:val="21"/>
          <w:highlight w:val="none"/>
          <w:u w:val="single"/>
        </w:rPr>
        <w:t xml:space="preserve"> 7 </w:t>
      </w:r>
      <w:r>
        <w:rPr>
          <w:rFonts w:hint="eastAsia" w:asciiTheme="minorEastAsia" w:hAnsiTheme="minorEastAsia" w:eastAsiaTheme="minorEastAsia" w:cstheme="minorEastAsia"/>
          <w:color w:val="auto"/>
          <w:kern w:val="2"/>
          <w:sz w:val="21"/>
          <w:szCs w:val="21"/>
          <w:highlight w:val="none"/>
        </w:rPr>
        <w:t>日内， 对受托人书面提交并要求做出决定的事宜给予书面答复。 逾期未答复的， 视为委托人认可。</w:t>
      </w:r>
    </w:p>
    <w:p w14:paraId="24E6DA9C">
      <w:pPr>
        <w:autoSpaceDE/>
        <w:autoSpaceDN/>
        <w:adjustRightInd/>
        <w:spacing w:line="360" w:lineRule="auto"/>
        <w:ind w:firstLine="426" w:firstLineChars="202"/>
        <w:jc w:val="both"/>
        <w:rPr>
          <w:rFonts w:hint="eastAsia" w:asciiTheme="minorEastAsia" w:hAnsiTheme="minorEastAsia" w:eastAsiaTheme="minorEastAsia" w:cstheme="minorEastAsia"/>
          <w:b/>
          <w:color w:val="auto"/>
          <w:kern w:val="2"/>
          <w:sz w:val="21"/>
          <w:szCs w:val="21"/>
          <w:highlight w:val="none"/>
        </w:rPr>
      </w:pPr>
      <w:r>
        <w:rPr>
          <w:rFonts w:hint="eastAsia" w:asciiTheme="minorEastAsia" w:hAnsiTheme="minorEastAsia" w:eastAsiaTheme="minorEastAsia" w:cstheme="minorEastAsia"/>
          <w:b/>
          <w:color w:val="auto"/>
          <w:kern w:val="2"/>
          <w:sz w:val="21"/>
          <w:szCs w:val="21"/>
          <w:highlight w:val="none"/>
        </w:rPr>
        <w:t>3.咨询人的义务</w:t>
      </w:r>
    </w:p>
    <w:p w14:paraId="4A7916C4">
      <w:pPr>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3.1项目咨询团队及人员：</w:t>
      </w:r>
    </w:p>
    <w:p w14:paraId="0D40FF86">
      <w:pPr>
        <w:widowControl/>
        <w:autoSpaceDE/>
        <w:autoSpaceDN/>
        <w:adjustRightInd/>
        <w:spacing w:line="360" w:lineRule="auto"/>
        <w:ind w:firstLine="420" w:firstLineChars="200"/>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3.1.1项目咨询团队列表（附表）。</w:t>
      </w:r>
    </w:p>
    <w:p w14:paraId="08878546">
      <w:pPr>
        <w:autoSpaceDE/>
        <w:autoSpaceDN/>
        <w:adjustRightInd/>
        <w:spacing w:line="360" w:lineRule="auto"/>
        <w:ind w:right="140"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3.1.2项目负责人为：</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rPr>
        <w:t>，项目负责人为履行本合同的权限为：</w:t>
      </w:r>
      <w:r>
        <w:rPr>
          <w:rFonts w:hint="eastAsia" w:asciiTheme="minorEastAsia" w:hAnsiTheme="minorEastAsia" w:eastAsiaTheme="minorEastAsia" w:cstheme="minorEastAsia"/>
          <w:color w:val="auto"/>
          <w:kern w:val="2"/>
          <w:sz w:val="21"/>
          <w:szCs w:val="21"/>
          <w:highlight w:val="none"/>
          <w:u w:val="single"/>
        </w:rPr>
        <w:t>全面负责本合同造价咨询工作， 并全权负责与委托人的沟通协调事项， 包括签署咨询成果文件、 出席各阶段招标工作会议、协调会议、交底会议等工作。</w:t>
      </w:r>
    </w:p>
    <w:p w14:paraId="7B839343">
      <w:pPr>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3.1.3咨询人更换项目咨询团队其他咨询人员的约定：</w:t>
      </w:r>
      <w:r>
        <w:rPr>
          <w:rFonts w:hint="eastAsia" w:asciiTheme="minorEastAsia" w:hAnsiTheme="minorEastAsia" w:eastAsiaTheme="minorEastAsia" w:cstheme="minorEastAsia"/>
          <w:color w:val="auto"/>
          <w:kern w:val="2"/>
          <w:sz w:val="21"/>
          <w:szCs w:val="21"/>
          <w:highlight w:val="none"/>
          <w:u w:val="single"/>
        </w:rPr>
        <w:t>拟委派的项目负责人及项目工作组人员一经确认，未经委托人书面同意不得随意更换，未经委托人书面同意更换项目负责人的支付每人次3万元的违约金，未经委托人书面同意更换其他咨询人员的支付每人次1万元的违约金，更换的人员资格不得低于投标时所承诺人员资格。上述违约金委托人有权在应付咨询费中直接扣除。</w:t>
      </w:r>
    </w:p>
    <w:p w14:paraId="120F07F5">
      <w:pPr>
        <w:widowControl/>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3.1.4委托人要求更换咨询人员的情形还包括：</w:t>
      </w:r>
      <w:r>
        <w:rPr>
          <w:rFonts w:hint="eastAsia" w:asciiTheme="minorEastAsia" w:hAnsiTheme="minorEastAsia" w:eastAsiaTheme="minorEastAsia" w:cstheme="minorEastAsia"/>
          <w:color w:val="auto"/>
          <w:kern w:val="2"/>
          <w:sz w:val="21"/>
          <w:szCs w:val="21"/>
          <w:highlight w:val="none"/>
          <w:u w:val="single"/>
        </w:rPr>
        <w:t xml:space="preserve">     /    。</w:t>
      </w:r>
    </w:p>
    <w:p w14:paraId="66C84654">
      <w:pPr>
        <w:widowControl/>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3.2咨询人的工作要求</w:t>
      </w:r>
    </w:p>
    <w:p w14:paraId="1AC67B25">
      <w:pPr>
        <w:widowControl/>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u w:val="single"/>
        </w:rPr>
      </w:pPr>
      <w:r>
        <w:rPr>
          <w:rFonts w:hint="eastAsia" w:asciiTheme="minorEastAsia" w:hAnsiTheme="minorEastAsia" w:eastAsiaTheme="minorEastAsia" w:cstheme="minorEastAsia"/>
          <w:color w:val="auto"/>
          <w:kern w:val="2"/>
          <w:sz w:val="21"/>
          <w:szCs w:val="21"/>
          <w:highlight w:val="none"/>
        </w:rPr>
        <w:t>3.2.1咨询人向委托人提供有关资料的时间：</w:t>
      </w:r>
      <w:r>
        <w:rPr>
          <w:rFonts w:hint="eastAsia" w:asciiTheme="minorEastAsia" w:hAnsiTheme="minorEastAsia" w:eastAsiaTheme="minorEastAsia" w:cstheme="minorEastAsia"/>
          <w:color w:val="auto"/>
          <w:kern w:val="2"/>
          <w:sz w:val="21"/>
          <w:szCs w:val="21"/>
          <w:highlight w:val="none"/>
          <w:u w:val="single"/>
        </w:rPr>
        <w:t xml:space="preserve">       日历天内提供成果。</w:t>
      </w:r>
    </w:p>
    <w:p w14:paraId="56686336">
      <w:pPr>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u w:val="single"/>
        </w:rPr>
      </w:pPr>
      <w:r>
        <w:rPr>
          <w:rFonts w:hint="eastAsia" w:asciiTheme="minorEastAsia" w:hAnsiTheme="minorEastAsia" w:eastAsiaTheme="minorEastAsia" w:cstheme="minorEastAsia"/>
          <w:color w:val="auto"/>
          <w:kern w:val="2"/>
          <w:sz w:val="21"/>
          <w:szCs w:val="21"/>
          <w:highlight w:val="none"/>
        </w:rPr>
        <w:t>咨询人向委托人提供的资料还包括：</w:t>
      </w:r>
      <w:r>
        <w:rPr>
          <w:rFonts w:hint="eastAsia" w:asciiTheme="minorEastAsia" w:hAnsiTheme="minorEastAsia" w:eastAsiaTheme="minorEastAsia" w:cstheme="minorEastAsia"/>
          <w:color w:val="auto"/>
          <w:kern w:val="2"/>
          <w:sz w:val="21"/>
          <w:szCs w:val="21"/>
          <w:highlight w:val="none"/>
          <w:u w:val="single"/>
        </w:rPr>
        <w:t>咨询人自行完成的施工图预算审核、与施工图预算编制单位核对记录表、 施工图预算审核成果报告书等。</w:t>
      </w:r>
    </w:p>
    <w:p w14:paraId="037A4E90">
      <w:pPr>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3.2.2咨询人向委托人提供咨询成果文件的名称、组成、时间、份数及质量标准：</w:t>
      </w:r>
      <w:r>
        <w:rPr>
          <w:rFonts w:hint="eastAsia" w:asciiTheme="minorEastAsia" w:hAnsiTheme="minorEastAsia" w:eastAsiaTheme="minorEastAsia" w:cstheme="minorEastAsia"/>
          <w:color w:val="auto"/>
          <w:kern w:val="2"/>
          <w:sz w:val="21"/>
          <w:szCs w:val="21"/>
          <w:highlight w:val="none"/>
          <w:u w:val="single"/>
        </w:rPr>
        <w:t>按本合同协议书中的服务期限要求提交成果文件，并同时提供工程量清单预算招标控制价审核报告书6份及电子版（含计价软件电子版）。</w:t>
      </w:r>
    </w:p>
    <w:p w14:paraId="6A09C749">
      <w:pPr>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3.2.4咨询人应在收到委托人以书面形式提出的建议或者异议后7日内给予书面答复。</w:t>
      </w:r>
    </w:p>
    <w:p w14:paraId="0C41407B">
      <w:pPr>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3.3咨询人的工作依据</w:t>
      </w:r>
    </w:p>
    <w:p w14:paraId="56E29B63">
      <w:pPr>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u w:val="single"/>
        </w:rPr>
      </w:pPr>
      <w:r>
        <w:rPr>
          <w:rFonts w:hint="eastAsia" w:asciiTheme="minorEastAsia" w:hAnsiTheme="minorEastAsia" w:eastAsiaTheme="minorEastAsia" w:cstheme="minorEastAsia"/>
          <w:color w:val="auto"/>
          <w:kern w:val="2"/>
          <w:sz w:val="21"/>
          <w:szCs w:val="21"/>
          <w:highlight w:val="none"/>
        </w:rPr>
        <w:t>经双方协商，本合同约定的造价咨询服务适用的技术标准、规范、定额等工作依据为：</w:t>
      </w:r>
      <w:r>
        <w:rPr>
          <w:rFonts w:hint="eastAsia" w:asciiTheme="minorEastAsia" w:hAnsiTheme="minorEastAsia" w:eastAsiaTheme="minorEastAsia" w:cstheme="minorEastAsia"/>
          <w:color w:val="auto"/>
          <w:kern w:val="2"/>
          <w:sz w:val="21"/>
          <w:szCs w:val="21"/>
          <w:highlight w:val="none"/>
          <w:u w:val="single"/>
        </w:rPr>
        <w:t>本项目工程造价的确定、变更、调整等均执行浙江省现行工程计价定额、相关配套文件及相应法律、法规和规章政策。</w:t>
      </w:r>
    </w:p>
    <w:p w14:paraId="7CAC167E">
      <w:pPr>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3.4使用委托人房屋及设备的返还</w:t>
      </w:r>
    </w:p>
    <w:p w14:paraId="4F1ECD48">
      <w:pPr>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咨询人应在本合同终止后</w:t>
      </w:r>
      <w:r>
        <w:rPr>
          <w:rFonts w:hint="eastAsia" w:asciiTheme="minorEastAsia" w:hAnsiTheme="minorEastAsia" w:eastAsiaTheme="minorEastAsia" w:cstheme="minorEastAsia"/>
          <w:color w:val="auto"/>
          <w:kern w:val="2"/>
          <w:sz w:val="21"/>
          <w:szCs w:val="21"/>
          <w:highlight w:val="none"/>
          <w:u w:val="single"/>
        </w:rPr>
        <w:t xml:space="preserve">  / </w:t>
      </w:r>
      <w:r>
        <w:rPr>
          <w:rFonts w:hint="eastAsia" w:asciiTheme="minorEastAsia" w:hAnsiTheme="minorEastAsia" w:eastAsiaTheme="minorEastAsia" w:cstheme="minorEastAsia"/>
          <w:color w:val="auto"/>
          <w:kern w:val="2"/>
          <w:sz w:val="21"/>
          <w:szCs w:val="21"/>
          <w:highlight w:val="none"/>
        </w:rPr>
        <w:t>日内移交委托人提供的房屋及设备，移交的方式为</w:t>
      </w:r>
      <w:r>
        <w:rPr>
          <w:rFonts w:hint="eastAsia" w:asciiTheme="minorEastAsia" w:hAnsiTheme="minorEastAsia" w:eastAsiaTheme="minorEastAsia" w:cstheme="minorEastAsia"/>
          <w:color w:val="auto"/>
          <w:kern w:val="2"/>
          <w:sz w:val="21"/>
          <w:szCs w:val="21"/>
          <w:highlight w:val="none"/>
          <w:u w:val="single"/>
        </w:rPr>
        <w:t xml:space="preserve">  /  </w:t>
      </w:r>
      <w:r>
        <w:rPr>
          <w:rFonts w:hint="eastAsia" w:asciiTheme="minorEastAsia" w:hAnsiTheme="minorEastAsia" w:eastAsiaTheme="minorEastAsia" w:cstheme="minorEastAsia"/>
          <w:color w:val="auto"/>
          <w:kern w:val="2"/>
          <w:sz w:val="21"/>
          <w:szCs w:val="21"/>
          <w:highlight w:val="none"/>
        </w:rPr>
        <w:t>。</w:t>
      </w:r>
    </w:p>
    <w:p w14:paraId="4EC0C2C4">
      <w:pPr>
        <w:autoSpaceDE/>
        <w:autoSpaceDN/>
        <w:adjustRightInd/>
        <w:spacing w:line="360" w:lineRule="auto"/>
        <w:ind w:firstLine="424" w:firstLineChars="202"/>
        <w:jc w:val="both"/>
        <w:rPr>
          <w:rFonts w:hint="eastAsia" w:asciiTheme="minorEastAsia" w:hAnsiTheme="minorEastAsia" w:eastAsiaTheme="minorEastAsia" w:cstheme="minorEastAsia"/>
          <w:b/>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lang w:val="en-US" w:eastAsia="zh-CN"/>
        </w:rPr>
        <w:t>3.5咨询人的其他义务：</w:t>
      </w:r>
    </w:p>
    <w:p w14:paraId="7E58CE7F">
      <w:pPr>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lang w:val="en-US" w:eastAsia="zh-CN"/>
        </w:rPr>
      </w:pPr>
      <w:r>
        <w:rPr>
          <w:rFonts w:hint="eastAsia" w:asciiTheme="minorEastAsia" w:hAnsiTheme="minorEastAsia" w:eastAsiaTheme="minorEastAsia" w:cstheme="minorEastAsia"/>
          <w:color w:val="auto"/>
          <w:kern w:val="2"/>
          <w:sz w:val="21"/>
          <w:szCs w:val="21"/>
          <w:highlight w:val="none"/>
          <w:lang w:val="en-US" w:eastAsia="zh-CN"/>
        </w:rPr>
        <w:t>（1）应按投标承诺配置专业及人员，项目负责人必须在临海市财政项目管理系统平台注册。</w:t>
      </w:r>
    </w:p>
    <w:p w14:paraId="3299C820">
      <w:pPr>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lang w:val="en-US" w:eastAsia="zh-CN"/>
        </w:rPr>
      </w:pPr>
      <w:r>
        <w:rPr>
          <w:rFonts w:hint="eastAsia" w:asciiTheme="minorEastAsia" w:hAnsiTheme="minorEastAsia" w:eastAsiaTheme="minorEastAsia" w:cstheme="minorEastAsia"/>
          <w:color w:val="auto"/>
          <w:kern w:val="2"/>
          <w:sz w:val="21"/>
          <w:szCs w:val="21"/>
          <w:highlight w:val="none"/>
          <w:lang w:val="en-US" w:eastAsia="zh-CN"/>
        </w:rPr>
        <w:t>（2）项目负责人必须到现场踏勘，同时在现场拍摄本人办公照片，并上传系统留存。</w:t>
      </w:r>
    </w:p>
    <w:p w14:paraId="75FC44C2">
      <w:pPr>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lang w:val="en-US" w:eastAsia="zh-CN"/>
        </w:rPr>
      </w:pPr>
      <w:r>
        <w:rPr>
          <w:rFonts w:hint="eastAsia" w:asciiTheme="minorEastAsia" w:hAnsiTheme="minorEastAsia" w:eastAsiaTheme="minorEastAsia" w:cstheme="minorEastAsia"/>
          <w:color w:val="auto"/>
          <w:kern w:val="2"/>
          <w:sz w:val="21"/>
          <w:szCs w:val="21"/>
          <w:highlight w:val="none"/>
          <w:lang w:val="en-US" w:eastAsia="zh-CN"/>
        </w:rPr>
        <w:t>（3）项目负责人应按时参加委托人所组织的会议，负责汇总本单位的在审核编制过程的问题，并与委托人相关工作人员联系。</w:t>
      </w:r>
    </w:p>
    <w:p w14:paraId="502C9071">
      <w:pPr>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lang w:val="en-US" w:eastAsia="zh-CN"/>
        </w:rPr>
      </w:pPr>
      <w:r>
        <w:rPr>
          <w:rFonts w:hint="eastAsia" w:asciiTheme="minorEastAsia" w:hAnsiTheme="minorEastAsia" w:eastAsiaTheme="minorEastAsia" w:cstheme="minorEastAsia"/>
          <w:color w:val="auto"/>
          <w:kern w:val="2"/>
          <w:sz w:val="21"/>
          <w:szCs w:val="21"/>
          <w:highlight w:val="none"/>
          <w:lang w:val="en-US" w:eastAsia="zh-CN"/>
        </w:rPr>
        <w:t>（4）不得将委托人委托的评审业务转包或分包给其他单位或个人。</w:t>
      </w:r>
    </w:p>
    <w:p w14:paraId="5A073D3A">
      <w:pPr>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lang w:val="en-US" w:eastAsia="zh-CN"/>
        </w:rPr>
      </w:pPr>
      <w:r>
        <w:rPr>
          <w:rFonts w:hint="eastAsia" w:asciiTheme="minorEastAsia" w:hAnsiTheme="minorEastAsia" w:eastAsiaTheme="minorEastAsia" w:cstheme="minorEastAsia"/>
          <w:color w:val="auto"/>
          <w:kern w:val="2"/>
          <w:sz w:val="21"/>
          <w:szCs w:val="21"/>
          <w:highlight w:val="none"/>
          <w:lang w:val="en-US" w:eastAsia="zh-CN"/>
        </w:rPr>
        <w:t>（5）评审人员在办理评审事项时，应当客观公正、实事求是、廉洁奉公，并保持严谨、稳健、负责的职业态度，在执行评审任务时，应真实反映评审结果，客观评价评审事项。</w:t>
      </w:r>
    </w:p>
    <w:p w14:paraId="1B3E2D41">
      <w:pPr>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lang w:val="en-US" w:eastAsia="zh-CN"/>
        </w:rPr>
      </w:pPr>
      <w:r>
        <w:rPr>
          <w:rFonts w:hint="eastAsia" w:asciiTheme="minorEastAsia" w:hAnsiTheme="minorEastAsia" w:eastAsiaTheme="minorEastAsia" w:cstheme="minorEastAsia"/>
          <w:color w:val="auto"/>
          <w:kern w:val="2"/>
          <w:sz w:val="21"/>
          <w:szCs w:val="21"/>
          <w:highlight w:val="none"/>
          <w:lang w:val="en-US" w:eastAsia="zh-CN"/>
        </w:rPr>
        <w:t>（6）保证在开展评审业务时，严格遵守法律法规和相关规章制度，按照评审合同约定的内容进行评审，负责评审事项的取证，出具评审报告。</w:t>
      </w:r>
    </w:p>
    <w:p w14:paraId="75FD4AF5">
      <w:pPr>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lang w:val="en-US" w:eastAsia="zh-CN"/>
        </w:rPr>
      </w:pPr>
      <w:r>
        <w:rPr>
          <w:rFonts w:hint="eastAsia" w:asciiTheme="minorEastAsia" w:hAnsiTheme="minorEastAsia" w:eastAsiaTheme="minorEastAsia" w:cstheme="minorEastAsia"/>
          <w:color w:val="auto"/>
          <w:kern w:val="2"/>
          <w:sz w:val="21"/>
          <w:szCs w:val="21"/>
          <w:highlight w:val="none"/>
          <w:lang w:val="en-US" w:eastAsia="zh-CN"/>
        </w:rPr>
        <w:t>（7）咨询人所有须加盖公章的协议、表格、评审成果等资料必须加盖与投标时相同的单位公章，其他（如办事处、分公司、项目章、业务专用章等）均不予认可。</w:t>
      </w:r>
    </w:p>
    <w:p w14:paraId="0B0CF561">
      <w:pPr>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lang w:val="en-US" w:eastAsia="zh-CN"/>
        </w:rPr>
      </w:pPr>
      <w:r>
        <w:rPr>
          <w:rFonts w:hint="eastAsia" w:asciiTheme="minorEastAsia" w:hAnsiTheme="minorEastAsia" w:eastAsiaTheme="minorEastAsia" w:cstheme="minorEastAsia"/>
          <w:color w:val="auto"/>
          <w:kern w:val="2"/>
          <w:sz w:val="21"/>
          <w:szCs w:val="21"/>
          <w:highlight w:val="none"/>
          <w:lang w:val="en-US" w:eastAsia="zh-CN"/>
        </w:rPr>
        <w:t>（8）负责评审档案的归档和立卷。</w:t>
      </w:r>
    </w:p>
    <w:p w14:paraId="18D23BC2">
      <w:pPr>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lang w:val="en-US" w:eastAsia="zh-CN"/>
        </w:rPr>
      </w:pPr>
      <w:r>
        <w:rPr>
          <w:rFonts w:hint="eastAsia" w:asciiTheme="minorEastAsia" w:hAnsiTheme="minorEastAsia" w:eastAsiaTheme="minorEastAsia" w:cstheme="minorEastAsia"/>
          <w:color w:val="auto"/>
          <w:kern w:val="2"/>
          <w:sz w:val="21"/>
          <w:szCs w:val="21"/>
          <w:highlight w:val="none"/>
          <w:lang w:val="en-US" w:eastAsia="zh-CN"/>
        </w:rPr>
        <w:t>（9）在评审过程中，除工作底稿以外的所有文件均应用电脑生成，并交给甲方电脑磁盘，这些文件包括但不限于评审方案、评审事项分类记录、 评审结果文书。</w:t>
      </w:r>
    </w:p>
    <w:p w14:paraId="130701A8">
      <w:pPr>
        <w:autoSpaceDE/>
        <w:autoSpaceDN/>
        <w:adjustRightInd/>
        <w:spacing w:line="360" w:lineRule="auto"/>
        <w:ind w:firstLine="426" w:firstLineChars="202"/>
        <w:jc w:val="both"/>
        <w:rPr>
          <w:rFonts w:hint="eastAsia" w:asciiTheme="minorEastAsia" w:hAnsiTheme="minorEastAsia" w:eastAsiaTheme="minorEastAsia" w:cstheme="minorEastAsia"/>
          <w:b/>
          <w:color w:val="auto"/>
          <w:kern w:val="2"/>
          <w:sz w:val="21"/>
          <w:szCs w:val="21"/>
          <w:highlight w:val="none"/>
        </w:rPr>
      </w:pPr>
      <w:r>
        <w:rPr>
          <w:rFonts w:hint="eastAsia" w:asciiTheme="minorEastAsia" w:hAnsiTheme="minorEastAsia" w:eastAsiaTheme="minorEastAsia" w:cstheme="minorEastAsia"/>
          <w:b/>
          <w:color w:val="auto"/>
          <w:kern w:val="2"/>
          <w:sz w:val="21"/>
          <w:szCs w:val="21"/>
          <w:highlight w:val="none"/>
        </w:rPr>
        <w:t>4. 违约责任</w:t>
      </w:r>
    </w:p>
    <w:p w14:paraId="1B68DCE1">
      <w:pPr>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4.1委托人的违约责任</w:t>
      </w:r>
    </w:p>
    <w:p w14:paraId="7298F209">
      <w:pPr>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4.1.1委托人违约金的计算及支付方法：</w:t>
      </w:r>
      <w:r>
        <w:rPr>
          <w:rFonts w:hint="eastAsia" w:asciiTheme="minorEastAsia" w:hAnsiTheme="minorEastAsia" w:eastAsiaTheme="minorEastAsia" w:cstheme="minorEastAsia"/>
          <w:color w:val="auto"/>
          <w:kern w:val="2"/>
          <w:sz w:val="21"/>
          <w:szCs w:val="21"/>
          <w:highlight w:val="none"/>
          <w:u w:val="single"/>
        </w:rPr>
        <w:t>双方另行协商</w:t>
      </w:r>
      <w:r>
        <w:rPr>
          <w:rFonts w:hint="eastAsia" w:asciiTheme="minorEastAsia" w:hAnsiTheme="minorEastAsia" w:eastAsiaTheme="minorEastAsia" w:cstheme="minorEastAsia"/>
          <w:color w:val="auto"/>
          <w:kern w:val="2"/>
          <w:sz w:val="21"/>
          <w:szCs w:val="21"/>
          <w:highlight w:val="none"/>
        </w:rPr>
        <w:t>。</w:t>
      </w:r>
    </w:p>
    <w:p w14:paraId="09800569">
      <w:pPr>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4.1.2委托人赔偿金额按下列方法确定并支付：</w:t>
      </w:r>
      <w:r>
        <w:rPr>
          <w:rFonts w:hint="eastAsia" w:asciiTheme="minorEastAsia" w:hAnsiTheme="minorEastAsia" w:eastAsiaTheme="minorEastAsia" w:cstheme="minorEastAsia"/>
          <w:color w:val="auto"/>
          <w:kern w:val="2"/>
          <w:sz w:val="21"/>
          <w:szCs w:val="21"/>
          <w:highlight w:val="none"/>
          <w:u w:val="single"/>
        </w:rPr>
        <w:t>双方另行协商</w:t>
      </w:r>
      <w:r>
        <w:rPr>
          <w:rFonts w:hint="eastAsia" w:asciiTheme="minorEastAsia" w:hAnsiTheme="minorEastAsia" w:eastAsiaTheme="minorEastAsia" w:cstheme="minorEastAsia"/>
          <w:color w:val="auto"/>
          <w:kern w:val="2"/>
          <w:sz w:val="21"/>
          <w:szCs w:val="21"/>
          <w:highlight w:val="none"/>
        </w:rPr>
        <w:t>。</w:t>
      </w:r>
    </w:p>
    <w:p w14:paraId="7D435826">
      <w:pPr>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4.1.3 委托人逾期付款利息按下列方法计算并支付：</w:t>
      </w:r>
      <w:r>
        <w:rPr>
          <w:rFonts w:hint="eastAsia" w:asciiTheme="minorEastAsia" w:hAnsiTheme="minorEastAsia" w:eastAsiaTheme="minorEastAsia" w:cstheme="minorEastAsia"/>
          <w:color w:val="auto"/>
          <w:kern w:val="2"/>
          <w:sz w:val="21"/>
          <w:szCs w:val="21"/>
          <w:highlight w:val="none"/>
          <w:u w:val="single"/>
        </w:rPr>
        <w:t xml:space="preserve">   /   </w:t>
      </w:r>
      <w:r>
        <w:rPr>
          <w:rFonts w:hint="eastAsia" w:asciiTheme="minorEastAsia" w:hAnsiTheme="minorEastAsia" w:eastAsiaTheme="minorEastAsia" w:cstheme="minorEastAsia"/>
          <w:color w:val="auto"/>
          <w:kern w:val="2"/>
          <w:sz w:val="21"/>
          <w:szCs w:val="21"/>
          <w:highlight w:val="none"/>
        </w:rPr>
        <w:t>。</w:t>
      </w:r>
    </w:p>
    <w:p w14:paraId="6F46EBA7">
      <w:pPr>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4.2咨询人的违约责任</w:t>
      </w:r>
    </w:p>
    <w:p w14:paraId="48A5DE26">
      <w:pPr>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4.2.1咨询人违约金的计算及支付方法：</w:t>
      </w:r>
      <w:r>
        <w:rPr>
          <w:rFonts w:hint="eastAsia" w:asciiTheme="minorEastAsia" w:hAnsiTheme="minorEastAsia" w:eastAsiaTheme="minorEastAsia" w:cstheme="minorEastAsia"/>
          <w:color w:val="auto"/>
          <w:kern w:val="2"/>
          <w:sz w:val="21"/>
          <w:szCs w:val="21"/>
          <w:highlight w:val="none"/>
          <w:u w:val="single"/>
        </w:rPr>
        <w:t>详见补充条款</w:t>
      </w:r>
      <w:r>
        <w:rPr>
          <w:rFonts w:hint="eastAsia" w:asciiTheme="minorEastAsia" w:hAnsiTheme="minorEastAsia" w:eastAsiaTheme="minorEastAsia" w:cstheme="minorEastAsia"/>
          <w:color w:val="auto"/>
          <w:kern w:val="2"/>
          <w:sz w:val="21"/>
          <w:szCs w:val="21"/>
          <w:highlight w:val="none"/>
        </w:rPr>
        <w:t>。</w:t>
      </w:r>
    </w:p>
    <w:p w14:paraId="37284255">
      <w:pPr>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4.2.2 咨询人赔偿金额按下列方法确定并支付：</w:t>
      </w:r>
      <w:r>
        <w:rPr>
          <w:rFonts w:hint="eastAsia" w:asciiTheme="minorEastAsia" w:hAnsiTheme="minorEastAsia" w:eastAsiaTheme="minorEastAsia" w:cstheme="minorEastAsia"/>
          <w:color w:val="auto"/>
          <w:kern w:val="2"/>
          <w:sz w:val="21"/>
          <w:szCs w:val="21"/>
          <w:highlight w:val="none"/>
          <w:u w:val="single"/>
        </w:rPr>
        <w:t>详见补充条款</w:t>
      </w:r>
      <w:r>
        <w:rPr>
          <w:rFonts w:hint="eastAsia" w:asciiTheme="minorEastAsia" w:hAnsiTheme="minorEastAsia" w:eastAsiaTheme="minorEastAsia" w:cstheme="minorEastAsia"/>
          <w:color w:val="auto"/>
          <w:kern w:val="2"/>
          <w:sz w:val="21"/>
          <w:szCs w:val="21"/>
          <w:highlight w:val="none"/>
        </w:rPr>
        <w:t>。</w:t>
      </w:r>
    </w:p>
    <w:p w14:paraId="3444DD7A">
      <w:pPr>
        <w:autoSpaceDE/>
        <w:autoSpaceDN/>
        <w:adjustRightInd/>
        <w:spacing w:line="360" w:lineRule="auto"/>
        <w:ind w:firstLine="426" w:firstLineChars="202"/>
        <w:jc w:val="both"/>
        <w:rPr>
          <w:rFonts w:hint="eastAsia" w:asciiTheme="minorEastAsia" w:hAnsiTheme="minorEastAsia" w:eastAsiaTheme="minorEastAsia" w:cstheme="minorEastAsia"/>
          <w:b/>
          <w:color w:val="auto"/>
          <w:kern w:val="2"/>
          <w:sz w:val="21"/>
          <w:szCs w:val="21"/>
          <w:highlight w:val="none"/>
        </w:rPr>
      </w:pPr>
      <w:r>
        <w:rPr>
          <w:rFonts w:hint="eastAsia" w:asciiTheme="minorEastAsia" w:hAnsiTheme="minorEastAsia" w:eastAsiaTheme="minorEastAsia" w:cstheme="minorEastAsia"/>
          <w:b/>
          <w:color w:val="auto"/>
          <w:kern w:val="2"/>
          <w:sz w:val="21"/>
          <w:szCs w:val="21"/>
          <w:highlight w:val="none"/>
        </w:rPr>
        <w:t>5. 支付</w:t>
      </w:r>
    </w:p>
    <w:p w14:paraId="5E052D64">
      <w:pPr>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5.1支付货币</w:t>
      </w:r>
    </w:p>
    <w:p w14:paraId="0E758B77">
      <w:pPr>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币种为：</w:t>
      </w:r>
      <w:r>
        <w:rPr>
          <w:rFonts w:hint="eastAsia" w:asciiTheme="minorEastAsia" w:hAnsiTheme="minorEastAsia" w:eastAsiaTheme="minorEastAsia" w:cstheme="minorEastAsia"/>
          <w:color w:val="auto"/>
          <w:kern w:val="2"/>
          <w:sz w:val="21"/>
          <w:szCs w:val="21"/>
          <w:highlight w:val="none"/>
          <w:u w:val="single"/>
        </w:rPr>
        <w:t>人民币</w:t>
      </w:r>
      <w:r>
        <w:rPr>
          <w:rFonts w:hint="eastAsia" w:asciiTheme="minorEastAsia" w:hAnsiTheme="minorEastAsia" w:eastAsiaTheme="minorEastAsia" w:cstheme="minorEastAsia"/>
          <w:color w:val="auto"/>
          <w:kern w:val="2"/>
          <w:sz w:val="21"/>
          <w:szCs w:val="21"/>
          <w:highlight w:val="none"/>
        </w:rPr>
        <w:t>，汇率为：</w:t>
      </w:r>
      <w:r>
        <w:rPr>
          <w:rFonts w:hint="eastAsia" w:asciiTheme="minorEastAsia" w:hAnsiTheme="minorEastAsia" w:eastAsiaTheme="minorEastAsia" w:cstheme="minorEastAsia"/>
          <w:color w:val="auto"/>
          <w:kern w:val="2"/>
          <w:sz w:val="21"/>
          <w:szCs w:val="21"/>
          <w:highlight w:val="none"/>
          <w:u w:val="single"/>
        </w:rPr>
        <w:t xml:space="preserve">   /   </w:t>
      </w:r>
      <w:r>
        <w:rPr>
          <w:rFonts w:hint="eastAsia" w:asciiTheme="minorEastAsia" w:hAnsiTheme="minorEastAsia" w:eastAsiaTheme="minorEastAsia" w:cstheme="minorEastAsia"/>
          <w:color w:val="auto"/>
          <w:kern w:val="2"/>
          <w:sz w:val="21"/>
          <w:szCs w:val="21"/>
          <w:highlight w:val="none"/>
        </w:rPr>
        <w:t>，其他约定：</w:t>
      </w:r>
      <w:r>
        <w:rPr>
          <w:rFonts w:hint="eastAsia" w:asciiTheme="minorEastAsia" w:hAnsiTheme="minorEastAsia" w:eastAsiaTheme="minorEastAsia" w:cstheme="minorEastAsia"/>
          <w:color w:val="auto"/>
          <w:kern w:val="2"/>
          <w:sz w:val="21"/>
          <w:szCs w:val="21"/>
          <w:highlight w:val="none"/>
          <w:u w:val="single"/>
        </w:rPr>
        <w:t xml:space="preserve">   /   </w:t>
      </w:r>
      <w:r>
        <w:rPr>
          <w:rFonts w:hint="eastAsia" w:asciiTheme="minorEastAsia" w:hAnsiTheme="minorEastAsia" w:eastAsiaTheme="minorEastAsia" w:cstheme="minorEastAsia"/>
          <w:color w:val="auto"/>
          <w:kern w:val="2"/>
          <w:sz w:val="21"/>
          <w:szCs w:val="21"/>
          <w:highlight w:val="none"/>
        </w:rPr>
        <w:t>。</w:t>
      </w:r>
    </w:p>
    <w:p w14:paraId="70B40632">
      <w:pPr>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5.2 支付申请</w:t>
      </w:r>
    </w:p>
    <w:p w14:paraId="7A1BD835">
      <w:pPr>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咨询人应在本合同约定的每次应付款日期前</w:t>
      </w:r>
      <w:r>
        <w:rPr>
          <w:rFonts w:hint="eastAsia" w:asciiTheme="minorEastAsia" w:hAnsiTheme="minorEastAsia" w:eastAsiaTheme="minorEastAsia" w:cstheme="minorEastAsia"/>
          <w:color w:val="auto"/>
          <w:kern w:val="2"/>
          <w:sz w:val="21"/>
          <w:szCs w:val="21"/>
          <w:highlight w:val="none"/>
          <w:u w:val="single"/>
        </w:rPr>
        <w:t xml:space="preserve">  7  </w:t>
      </w:r>
      <w:r>
        <w:rPr>
          <w:rFonts w:hint="eastAsia" w:asciiTheme="minorEastAsia" w:hAnsiTheme="minorEastAsia" w:eastAsiaTheme="minorEastAsia" w:cstheme="minorEastAsia"/>
          <w:color w:val="auto"/>
          <w:kern w:val="2"/>
          <w:sz w:val="21"/>
          <w:szCs w:val="21"/>
          <w:highlight w:val="none"/>
        </w:rPr>
        <w:t>日前，向委托人提交支付申请书。</w:t>
      </w:r>
    </w:p>
    <w:p w14:paraId="0F59E3BC">
      <w:pPr>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5.3支付酬金</w:t>
      </w:r>
    </w:p>
    <w:p w14:paraId="665F808E">
      <w:pPr>
        <w:widowControl/>
        <w:autoSpaceDE/>
        <w:autoSpaceDN/>
        <w:adjustRightInd/>
        <w:spacing w:line="360" w:lineRule="auto"/>
        <w:ind w:firstLine="450"/>
        <w:jc w:val="both"/>
        <w:rPr>
          <w:rFonts w:hint="eastAsia" w:asciiTheme="minorEastAsia" w:hAnsiTheme="minorEastAsia" w:eastAsiaTheme="minorEastAsia" w:cstheme="minorEastAsia"/>
          <w:color w:val="auto"/>
          <w:kern w:val="2"/>
          <w:sz w:val="21"/>
          <w:szCs w:val="21"/>
          <w:highlight w:val="none"/>
          <w:u w:val="single"/>
        </w:rPr>
      </w:pPr>
      <w:r>
        <w:rPr>
          <w:rFonts w:hint="eastAsia" w:asciiTheme="minorEastAsia" w:hAnsiTheme="minorEastAsia" w:eastAsiaTheme="minorEastAsia" w:cstheme="minorEastAsia"/>
          <w:color w:val="auto"/>
          <w:kern w:val="2"/>
          <w:sz w:val="21"/>
          <w:szCs w:val="21"/>
          <w:highlight w:val="none"/>
          <w:lang w:val="en-US" w:eastAsia="zh-CN"/>
        </w:rPr>
        <w:t>（1）签约</w:t>
      </w:r>
      <w:r>
        <w:rPr>
          <w:rFonts w:hint="eastAsia" w:asciiTheme="minorEastAsia" w:hAnsiTheme="minorEastAsia" w:eastAsiaTheme="minorEastAsia" w:cstheme="minorEastAsia"/>
          <w:color w:val="auto"/>
          <w:kern w:val="2"/>
          <w:sz w:val="21"/>
          <w:szCs w:val="21"/>
          <w:highlight w:val="none"/>
        </w:rPr>
        <w:t>酬金：</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rPr>
        <w:t>（大写）</w:t>
      </w:r>
      <w:r>
        <w:rPr>
          <w:rFonts w:hint="eastAsia" w:asciiTheme="minorEastAsia" w:hAnsiTheme="minorEastAsia" w:eastAsiaTheme="minorEastAsia" w:cstheme="minorEastAsia"/>
          <w:color w:val="auto"/>
          <w:kern w:val="2"/>
          <w:sz w:val="21"/>
          <w:szCs w:val="21"/>
          <w:highlight w:val="none"/>
          <w:u w:val="single"/>
        </w:rPr>
        <w:t>（￥           ）</w:t>
      </w:r>
      <w:r>
        <w:rPr>
          <w:rFonts w:hint="eastAsia" w:asciiTheme="minorEastAsia" w:hAnsiTheme="minorEastAsia" w:eastAsiaTheme="minorEastAsia" w:cstheme="minorEastAsia"/>
          <w:color w:val="auto"/>
          <w:kern w:val="2"/>
          <w:sz w:val="21"/>
          <w:szCs w:val="21"/>
          <w:highlight w:val="none"/>
          <w:u w:val="single"/>
          <w:lang w:eastAsia="zh-CN"/>
        </w:rPr>
        <w:t>（</w:t>
      </w:r>
      <w:r>
        <w:rPr>
          <w:rFonts w:hint="eastAsia" w:asciiTheme="minorEastAsia" w:hAnsiTheme="minorEastAsia" w:eastAsiaTheme="minorEastAsia" w:cstheme="minorEastAsia"/>
          <w:color w:val="auto"/>
          <w:kern w:val="2"/>
          <w:sz w:val="21"/>
          <w:szCs w:val="21"/>
          <w:highlight w:val="none"/>
          <w:u w:val="single"/>
          <w:lang w:val="en-US" w:eastAsia="zh-CN"/>
        </w:rPr>
        <w:t>含税</w:t>
      </w:r>
      <w:r>
        <w:rPr>
          <w:rFonts w:hint="eastAsia" w:asciiTheme="minorEastAsia" w:hAnsiTheme="minorEastAsia" w:eastAsiaTheme="minorEastAsia" w:cstheme="minorEastAsia"/>
          <w:color w:val="auto"/>
          <w:kern w:val="2"/>
          <w:sz w:val="21"/>
          <w:szCs w:val="21"/>
          <w:highlight w:val="none"/>
          <w:u w:val="single"/>
          <w:lang w:eastAsia="zh-CN"/>
        </w:rPr>
        <w:t>），</w:t>
      </w:r>
      <w:r>
        <w:rPr>
          <w:rFonts w:hint="eastAsia" w:asciiTheme="minorEastAsia" w:hAnsiTheme="minorEastAsia" w:eastAsiaTheme="minorEastAsia" w:cstheme="minorEastAsia"/>
          <w:color w:val="auto"/>
          <w:kern w:val="2"/>
          <w:sz w:val="21"/>
          <w:szCs w:val="21"/>
          <w:highlight w:val="none"/>
          <w:u w:val="single"/>
          <w:lang w:val="en-US" w:eastAsia="zh-CN"/>
        </w:rPr>
        <w:t>税率为    ，税额为    元，不含税金额为    元。</w:t>
      </w:r>
    </w:p>
    <w:p w14:paraId="655B4B41">
      <w:pPr>
        <w:widowControl/>
        <w:autoSpaceDE/>
        <w:autoSpaceDN/>
        <w:adjustRightInd/>
        <w:spacing w:line="360" w:lineRule="auto"/>
        <w:ind w:firstLine="450"/>
        <w:jc w:val="both"/>
        <w:rPr>
          <w:rFonts w:hint="eastAsia" w:asciiTheme="minorEastAsia" w:hAnsiTheme="minorEastAsia" w:eastAsiaTheme="minorEastAsia" w:cstheme="minorEastAsia"/>
          <w:b/>
          <w:bCs/>
          <w:color w:val="auto"/>
          <w:kern w:val="2"/>
          <w:sz w:val="21"/>
          <w:szCs w:val="21"/>
          <w:highlight w:val="none"/>
          <w:u w:val="single"/>
          <w:lang w:eastAsia="zh-CN"/>
        </w:rPr>
      </w:pPr>
      <w:r>
        <w:rPr>
          <w:rFonts w:hint="eastAsia" w:asciiTheme="minorEastAsia" w:hAnsiTheme="minorEastAsia" w:eastAsiaTheme="minorEastAsia" w:cstheme="minorEastAsia"/>
          <w:b/>
          <w:bCs/>
          <w:color w:val="auto"/>
          <w:kern w:val="2"/>
          <w:sz w:val="21"/>
          <w:szCs w:val="21"/>
          <w:highlight w:val="none"/>
          <w:lang w:val="en-US" w:eastAsia="zh-CN"/>
        </w:rPr>
        <w:t>（2）</w:t>
      </w:r>
      <w:r>
        <w:rPr>
          <w:rFonts w:hint="eastAsia" w:asciiTheme="minorEastAsia" w:hAnsiTheme="minorEastAsia" w:eastAsiaTheme="minorEastAsia" w:cstheme="minorEastAsia"/>
          <w:b/>
          <w:bCs/>
          <w:color w:val="auto"/>
          <w:kern w:val="2"/>
          <w:sz w:val="21"/>
          <w:szCs w:val="21"/>
          <w:highlight w:val="none"/>
        </w:rPr>
        <w:t>造价咨询费率为</w:t>
      </w:r>
      <w:r>
        <w:rPr>
          <w:rFonts w:hint="eastAsia" w:asciiTheme="minorEastAsia" w:hAnsiTheme="minorEastAsia" w:eastAsiaTheme="minorEastAsia" w:cstheme="minorEastAsia"/>
          <w:b/>
          <w:bCs/>
          <w:color w:val="auto"/>
          <w:kern w:val="2"/>
          <w:sz w:val="21"/>
          <w:szCs w:val="21"/>
          <w:highlight w:val="none"/>
          <w:u w:val="single"/>
        </w:rPr>
        <w:t xml:space="preserve">      </w:t>
      </w:r>
      <w:r>
        <w:rPr>
          <w:rFonts w:hint="eastAsia" w:asciiTheme="minorEastAsia" w:hAnsiTheme="minorEastAsia" w:eastAsiaTheme="minorEastAsia" w:cstheme="minorEastAsia"/>
          <w:b/>
          <w:bCs/>
          <w:color w:val="auto"/>
          <w:kern w:val="2"/>
          <w:sz w:val="21"/>
          <w:szCs w:val="21"/>
          <w:highlight w:val="none"/>
        </w:rPr>
        <w:t>%（造价咨询费率=签约</w:t>
      </w:r>
      <w:r>
        <w:rPr>
          <w:rFonts w:hint="eastAsia" w:asciiTheme="minorEastAsia" w:hAnsiTheme="minorEastAsia" w:eastAsiaTheme="minorEastAsia" w:cstheme="minorEastAsia"/>
          <w:b/>
          <w:bCs/>
          <w:color w:val="auto"/>
          <w:kern w:val="2"/>
          <w:sz w:val="21"/>
          <w:szCs w:val="21"/>
          <w:highlight w:val="none"/>
          <w:lang w:eastAsia="zh-CN"/>
        </w:rPr>
        <w:t>酬金金额</w:t>
      </w:r>
      <w:r>
        <w:rPr>
          <w:rFonts w:hint="eastAsia" w:asciiTheme="minorEastAsia" w:hAnsiTheme="minorEastAsia" w:eastAsiaTheme="minorEastAsia" w:cstheme="minorEastAsia"/>
          <w:b/>
          <w:bCs/>
          <w:color w:val="auto"/>
          <w:kern w:val="2"/>
          <w:sz w:val="21"/>
          <w:szCs w:val="21"/>
          <w:highlight w:val="none"/>
        </w:rPr>
        <w:t>/89546万</w:t>
      </w:r>
      <w:r>
        <w:rPr>
          <w:rFonts w:hint="eastAsia" w:asciiTheme="minorEastAsia" w:hAnsiTheme="minorEastAsia" w:eastAsiaTheme="minorEastAsia" w:cstheme="minorEastAsia"/>
          <w:b/>
          <w:bCs/>
          <w:color w:val="auto"/>
          <w:kern w:val="2"/>
          <w:sz w:val="21"/>
          <w:szCs w:val="21"/>
          <w:highlight w:val="none"/>
          <w:lang w:eastAsia="zh-CN"/>
        </w:rPr>
        <w:t>元</w:t>
      </w:r>
      <w:r>
        <w:rPr>
          <w:rFonts w:hint="eastAsia" w:asciiTheme="minorEastAsia" w:hAnsiTheme="minorEastAsia" w:eastAsiaTheme="minorEastAsia" w:cstheme="minorEastAsia"/>
          <w:b/>
          <w:bCs/>
          <w:color w:val="auto"/>
          <w:kern w:val="2"/>
          <w:sz w:val="21"/>
          <w:szCs w:val="21"/>
          <w:highlight w:val="none"/>
        </w:rPr>
        <w:t>×100%（百分号前小数点后保留</w:t>
      </w:r>
      <w:r>
        <w:rPr>
          <w:rFonts w:hint="eastAsia" w:asciiTheme="minorEastAsia" w:hAnsiTheme="minorEastAsia" w:eastAsiaTheme="minorEastAsia" w:cstheme="minorEastAsia"/>
          <w:b/>
          <w:bCs/>
          <w:color w:val="auto"/>
          <w:kern w:val="2"/>
          <w:sz w:val="21"/>
          <w:szCs w:val="21"/>
          <w:highlight w:val="none"/>
          <w:lang w:val="en-US" w:eastAsia="zh-CN"/>
        </w:rPr>
        <w:t>3</w:t>
      </w:r>
      <w:r>
        <w:rPr>
          <w:rFonts w:hint="eastAsia" w:asciiTheme="minorEastAsia" w:hAnsiTheme="minorEastAsia" w:eastAsiaTheme="minorEastAsia" w:cstheme="minorEastAsia"/>
          <w:b/>
          <w:bCs/>
          <w:color w:val="auto"/>
          <w:kern w:val="2"/>
          <w:sz w:val="21"/>
          <w:szCs w:val="21"/>
          <w:highlight w:val="none"/>
        </w:rPr>
        <w:t>位，第</w:t>
      </w:r>
      <w:r>
        <w:rPr>
          <w:rFonts w:hint="eastAsia" w:asciiTheme="minorEastAsia" w:hAnsiTheme="minorEastAsia" w:eastAsiaTheme="minorEastAsia" w:cstheme="minorEastAsia"/>
          <w:b/>
          <w:bCs/>
          <w:color w:val="auto"/>
          <w:kern w:val="2"/>
          <w:sz w:val="21"/>
          <w:szCs w:val="21"/>
          <w:highlight w:val="none"/>
          <w:lang w:val="en-US" w:eastAsia="zh-CN"/>
        </w:rPr>
        <w:t>4</w:t>
      </w:r>
      <w:r>
        <w:rPr>
          <w:rFonts w:hint="eastAsia" w:asciiTheme="minorEastAsia" w:hAnsiTheme="minorEastAsia" w:eastAsiaTheme="minorEastAsia" w:cstheme="minorEastAsia"/>
          <w:b/>
          <w:bCs/>
          <w:color w:val="auto"/>
          <w:kern w:val="2"/>
          <w:sz w:val="21"/>
          <w:szCs w:val="21"/>
          <w:highlight w:val="none"/>
        </w:rPr>
        <w:t>位四舍五入），造价咨询费率一次性包干，不做调整。以审核后的预算价为计费基数。</w:t>
      </w:r>
    </w:p>
    <w:p w14:paraId="3424ACDA">
      <w:pPr>
        <w:widowControl w:val="0"/>
        <w:autoSpaceDE/>
        <w:autoSpaceDN/>
        <w:adjustRightInd/>
        <w:spacing w:line="360" w:lineRule="auto"/>
        <w:ind w:firstLine="422" w:firstLineChars="200"/>
        <w:jc w:val="both"/>
        <w:rPr>
          <w:rFonts w:hint="eastAsia" w:asciiTheme="minorEastAsia" w:hAnsiTheme="minorEastAsia" w:eastAsiaTheme="minorEastAsia" w:cstheme="minorEastAsia"/>
          <w:b/>
          <w:bCs/>
          <w:color w:val="auto"/>
          <w:kern w:val="2"/>
          <w:sz w:val="21"/>
          <w:szCs w:val="21"/>
          <w:highlight w:val="none"/>
          <w:lang w:val="en-US" w:eastAsia="zh-CN" w:bidi="ar-SA"/>
        </w:rPr>
      </w:pPr>
      <w:r>
        <w:rPr>
          <w:rFonts w:hint="eastAsia" w:asciiTheme="minorEastAsia" w:hAnsiTheme="minorEastAsia" w:eastAsiaTheme="minorEastAsia" w:cstheme="minorEastAsia"/>
          <w:b/>
          <w:bCs/>
          <w:color w:val="auto"/>
          <w:kern w:val="2"/>
          <w:sz w:val="21"/>
          <w:szCs w:val="21"/>
          <w:highlight w:val="none"/>
          <w:lang w:val="en-US" w:eastAsia="zh-CN"/>
        </w:rPr>
        <w:t>（3）</w:t>
      </w:r>
      <w:r>
        <w:rPr>
          <w:rFonts w:hint="eastAsia" w:asciiTheme="minorEastAsia" w:hAnsiTheme="minorEastAsia" w:eastAsiaTheme="minorEastAsia" w:cstheme="minorEastAsia"/>
          <w:b/>
          <w:bCs/>
          <w:color w:val="auto"/>
          <w:kern w:val="2"/>
          <w:sz w:val="21"/>
          <w:szCs w:val="21"/>
          <w:highlight w:val="none"/>
          <w:lang w:val="en-US" w:eastAsia="zh-CN" w:bidi="ar-SA"/>
        </w:rPr>
        <w:t>酬金支付：</w:t>
      </w:r>
      <w:r>
        <w:rPr>
          <w:rFonts w:hint="eastAsia" w:ascii="宋体" w:hAnsi="宋体" w:eastAsia="宋体" w:cs="宋体"/>
          <w:b/>
          <w:bCs/>
          <w:color w:val="auto"/>
          <w:kern w:val="2"/>
          <w:sz w:val="21"/>
          <w:szCs w:val="21"/>
          <w:highlight w:val="none"/>
          <w:shd w:val="clear" w:color="auto" w:fill="auto"/>
          <w:lang w:val="en-US" w:eastAsia="zh-CN" w:bidi="ar-SA"/>
        </w:rPr>
        <w:t>合同签订后支付合同价的10%，如分阶段或分专业实施的，须按</w:t>
      </w:r>
      <w:r>
        <w:rPr>
          <w:rFonts w:hint="eastAsia" w:ascii="宋体" w:hAnsi="宋体" w:cs="宋体"/>
          <w:b/>
          <w:bCs/>
          <w:color w:val="auto"/>
          <w:kern w:val="2"/>
          <w:sz w:val="21"/>
          <w:szCs w:val="21"/>
          <w:highlight w:val="none"/>
          <w:shd w:val="clear" w:color="auto" w:fill="auto"/>
          <w:lang w:val="en-US" w:eastAsia="zh-CN" w:bidi="ar-SA"/>
        </w:rPr>
        <w:t>委托</w:t>
      </w:r>
      <w:r>
        <w:rPr>
          <w:rFonts w:hint="eastAsia" w:ascii="宋体" w:hAnsi="宋体" w:eastAsia="宋体" w:cs="宋体"/>
          <w:b/>
          <w:bCs/>
          <w:color w:val="auto"/>
          <w:kern w:val="2"/>
          <w:sz w:val="21"/>
          <w:szCs w:val="21"/>
          <w:highlight w:val="none"/>
          <w:shd w:val="clear" w:color="auto" w:fill="auto"/>
          <w:lang w:val="en-US" w:eastAsia="zh-CN" w:bidi="ar-SA"/>
        </w:rPr>
        <w:t>人要求分阶段或分专业出具造价咨询报告书，在出具每个项目的预算审核报告（审定完成）后，付至已完成造价咨询服务费的80%，竣工结算审核结束后付完余款。相关违约金（如有）由</w:t>
      </w:r>
      <w:r>
        <w:rPr>
          <w:rFonts w:hint="eastAsia" w:ascii="宋体" w:hAnsi="宋体" w:cs="宋体"/>
          <w:b/>
          <w:bCs/>
          <w:color w:val="auto"/>
          <w:kern w:val="2"/>
          <w:sz w:val="21"/>
          <w:szCs w:val="21"/>
          <w:highlight w:val="none"/>
          <w:shd w:val="clear" w:color="auto" w:fill="auto"/>
          <w:lang w:val="en-US" w:eastAsia="zh-CN" w:bidi="ar-SA"/>
        </w:rPr>
        <w:t>委托人</w:t>
      </w:r>
      <w:r>
        <w:rPr>
          <w:rFonts w:hint="eastAsia" w:ascii="宋体" w:hAnsi="宋体" w:eastAsia="宋体" w:cs="宋体"/>
          <w:b/>
          <w:bCs/>
          <w:color w:val="auto"/>
          <w:kern w:val="2"/>
          <w:sz w:val="21"/>
          <w:szCs w:val="21"/>
          <w:highlight w:val="none"/>
          <w:shd w:val="clear" w:color="auto" w:fill="auto"/>
          <w:lang w:val="en-US" w:eastAsia="zh-CN" w:bidi="ar-SA"/>
        </w:rPr>
        <w:t>从应付咨询服务费中直接扣除。正式发票应随付款进度在</w:t>
      </w:r>
      <w:r>
        <w:rPr>
          <w:rFonts w:hint="eastAsia" w:ascii="宋体" w:hAnsi="宋体" w:cs="宋体"/>
          <w:b/>
          <w:bCs/>
          <w:color w:val="auto"/>
          <w:kern w:val="2"/>
          <w:sz w:val="21"/>
          <w:szCs w:val="21"/>
          <w:highlight w:val="none"/>
          <w:shd w:val="clear" w:color="auto" w:fill="auto"/>
          <w:lang w:val="en-US" w:eastAsia="zh-CN" w:bidi="ar-SA"/>
        </w:rPr>
        <w:t>委托人</w:t>
      </w:r>
      <w:r>
        <w:rPr>
          <w:rFonts w:hint="eastAsia" w:ascii="宋体" w:hAnsi="宋体" w:eastAsia="宋体" w:cs="宋体"/>
          <w:b/>
          <w:bCs/>
          <w:color w:val="auto"/>
          <w:kern w:val="2"/>
          <w:sz w:val="21"/>
          <w:szCs w:val="21"/>
          <w:highlight w:val="none"/>
          <w:shd w:val="clear" w:color="auto" w:fill="auto"/>
          <w:lang w:val="en-US" w:eastAsia="zh-CN" w:bidi="ar-SA"/>
        </w:rPr>
        <w:t>付款前提供给</w:t>
      </w:r>
      <w:r>
        <w:rPr>
          <w:rFonts w:hint="eastAsia" w:ascii="宋体" w:hAnsi="宋体" w:cs="宋体"/>
          <w:b/>
          <w:bCs/>
          <w:color w:val="auto"/>
          <w:kern w:val="2"/>
          <w:sz w:val="21"/>
          <w:szCs w:val="21"/>
          <w:highlight w:val="none"/>
          <w:shd w:val="clear" w:color="auto" w:fill="auto"/>
          <w:lang w:val="en-US" w:eastAsia="zh-CN" w:bidi="ar-SA"/>
        </w:rPr>
        <w:t>委托</w:t>
      </w:r>
      <w:r>
        <w:rPr>
          <w:rFonts w:hint="eastAsia" w:ascii="宋体" w:hAnsi="宋体" w:eastAsia="宋体" w:cs="宋体"/>
          <w:b/>
          <w:bCs/>
          <w:color w:val="auto"/>
          <w:kern w:val="2"/>
          <w:sz w:val="21"/>
          <w:szCs w:val="21"/>
          <w:highlight w:val="none"/>
          <w:shd w:val="clear" w:color="auto" w:fill="auto"/>
          <w:lang w:val="en-US" w:eastAsia="zh-CN" w:bidi="ar-SA"/>
        </w:rPr>
        <w:t>人</w:t>
      </w:r>
      <w:r>
        <w:rPr>
          <w:rFonts w:hint="eastAsia" w:asciiTheme="minorEastAsia" w:hAnsiTheme="minorEastAsia" w:eastAsiaTheme="minorEastAsia" w:cstheme="minorEastAsia"/>
          <w:b/>
          <w:bCs/>
          <w:color w:val="auto"/>
          <w:kern w:val="2"/>
          <w:sz w:val="21"/>
          <w:szCs w:val="21"/>
          <w:highlight w:val="none"/>
          <w:lang w:val="en-US" w:eastAsia="zh-CN" w:bidi="ar-SA"/>
        </w:rPr>
        <w:t>。</w:t>
      </w:r>
    </w:p>
    <w:p w14:paraId="5966561A">
      <w:pPr>
        <w:widowControl w:val="0"/>
        <w:autoSpaceDE/>
        <w:autoSpaceDN/>
        <w:adjustRightInd/>
        <w:spacing w:line="360" w:lineRule="auto"/>
        <w:ind w:firstLine="422" w:firstLineChars="200"/>
        <w:jc w:val="both"/>
        <w:rPr>
          <w:rFonts w:hint="eastAsia" w:asciiTheme="minorEastAsia" w:hAnsiTheme="minorEastAsia" w:eastAsiaTheme="minorEastAsia" w:cstheme="minorEastAsia"/>
          <w:b/>
          <w:bCs/>
          <w:color w:val="auto"/>
          <w:kern w:val="2"/>
          <w:sz w:val="21"/>
          <w:szCs w:val="21"/>
          <w:highlight w:val="none"/>
          <w:lang w:val="en-US" w:eastAsia="zh-CN" w:bidi="ar-SA"/>
        </w:rPr>
      </w:pPr>
      <w:r>
        <w:rPr>
          <w:rFonts w:hint="eastAsia" w:asciiTheme="minorEastAsia" w:hAnsiTheme="minorEastAsia" w:eastAsiaTheme="minorEastAsia" w:cstheme="minorEastAsia"/>
          <w:b/>
          <w:bCs/>
          <w:color w:val="auto"/>
          <w:kern w:val="2"/>
          <w:sz w:val="21"/>
          <w:szCs w:val="21"/>
          <w:highlight w:val="none"/>
          <w:lang w:val="en-US" w:eastAsia="zh-CN" w:bidi="ar-SA"/>
        </w:rPr>
        <w:t>（4）所有项目服务结束，如经审核后的预算价×中标费率所计算金额超过本项目签约酬金金额的，则按签约酬金金额进行结算，超出部分不予支付。如经审核后的预算价×中标费率所计算金额少于本项目签约酬金金额的，则按实结算。</w:t>
      </w:r>
    </w:p>
    <w:p w14:paraId="3EF05AB2">
      <w:pPr>
        <w:autoSpaceDE/>
        <w:autoSpaceDN/>
        <w:adjustRightInd/>
        <w:spacing w:line="360" w:lineRule="auto"/>
        <w:ind w:firstLine="426" w:firstLineChars="202"/>
        <w:jc w:val="both"/>
        <w:rPr>
          <w:rFonts w:hint="eastAsia" w:asciiTheme="minorEastAsia" w:hAnsiTheme="minorEastAsia" w:eastAsiaTheme="minorEastAsia" w:cstheme="minorEastAsia"/>
          <w:b/>
          <w:color w:val="auto"/>
          <w:kern w:val="2"/>
          <w:sz w:val="21"/>
          <w:szCs w:val="21"/>
          <w:highlight w:val="none"/>
        </w:rPr>
      </w:pPr>
      <w:r>
        <w:rPr>
          <w:rFonts w:hint="eastAsia" w:asciiTheme="minorEastAsia" w:hAnsiTheme="minorEastAsia" w:eastAsiaTheme="minorEastAsia" w:cstheme="minorEastAsia"/>
          <w:b/>
          <w:color w:val="auto"/>
          <w:kern w:val="2"/>
          <w:sz w:val="21"/>
          <w:szCs w:val="21"/>
          <w:highlight w:val="none"/>
        </w:rPr>
        <w:t>6. 合同变更、解除与终止</w:t>
      </w:r>
    </w:p>
    <w:p w14:paraId="328AF1A1">
      <w:pPr>
        <w:widowControl/>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6.1合同变更</w:t>
      </w:r>
    </w:p>
    <w:p w14:paraId="03691D54">
      <w:pPr>
        <w:widowControl/>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6.1.2 除不可抗力外，因非咨询人原因导致本合同履行期限延长、内容增加时，附加工作酬金按下列方法确定：</w:t>
      </w:r>
      <w:r>
        <w:rPr>
          <w:rFonts w:hint="eastAsia" w:asciiTheme="minorEastAsia" w:hAnsiTheme="minorEastAsia" w:eastAsiaTheme="minorEastAsia" w:cstheme="minorEastAsia"/>
          <w:color w:val="auto"/>
          <w:kern w:val="2"/>
          <w:sz w:val="21"/>
          <w:szCs w:val="21"/>
          <w:highlight w:val="none"/>
          <w:u w:val="single"/>
        </w:rPr>
        <w:t>不予调整。</w:t>
      </w:r>
    </w:p>
    <w:p w14:paraId="2125344C">
      <w:pPr>
        <w:widowControl/>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u w:val="single"/>
        </w:rPr>
      </w:pPr>
      <w:r>
        <w:rPr>
          <w:rFonts w:hint="eastAsia" w:asciiTheme="minorEastAsia" w:hAnsiTheme="minorEastAsia" w:eastAsiaTheme="minorEastAsia" w:cstheme="minorEastAsia"/>
          <w:color w:val="auto"/>
          <w:kern w:val="2"/>
          <w:sz w:val="21"/>
          <w:szCs w:val="21"/>
          <w:highlight w:val="none"/>
        </w:rPr>
        <w:t>6.1.4因工程规模、服务范围及内容的变化等导致咨询人的工作量增减时，服务酬金的调整方法：</w:t>
      </w:r>
      <w:r>
        <w:rPr>
          <w:rFonts w:hint="eastAsia" w:asciiTheme="minorEastAsia" w:hAnsiTheme="minorEastAsia" w:eastAsiaTheme="minorEastAsia" w:cstheme="minorEastAsia"/>
          <w:color w:val="auto"/>
          <w:kern w:val="2"/>
          <w:sz w:val="21"/>
          <w:szCs w:val="21"/>
          <w:highlight w:val="none"/>
          <w:u w:val="single"/>
        </w:rPr>
        <w:t>不予调整。</w:t>
      </w:r>
    </w:p>
    <w:p w14:paraId="3BE100D9">
      <w:pPr>
        <w:widowControl/>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6.2合同解除</w:t>
      </w:r>
    </w:p>
    <w:p w14:paraId="1AD0D728">
      <w:pPr>
        <w:widowControl/>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u w:val="single"/>
        </w:rPr>
      </w:pPr>
      <w:r>
        <w:rPr>
          <w:rFonts w:hint="eastAsia" w:asciiTheme="minorEastAsia" w:hAnsiTheme="minorEastAsia" w:eastAsiaTheme="minorEastAsia" w:cstheme="minorEastAsia"/>
          <w:color w:val="auto"/>
          <w:kern w:val="2"/>
          <w:sz w:val="21"/>
          <w:szCs w:val="21"/>
          <w:highlight w:val="none"/>
        </w:rPr>
        <w:t>6.2.2双方约定解除合同的条件还包括：</w:t>
      </w:r>
      <w:r>
        <w:rPr>
          <w:rFonts w:hint="eastAsia" w:asciiTheme="minorEastAsia" w:hAnsiTheme="minorEastAsia" w:eastAsiaTheme="minorEastAsia" w:cstheme="minorEastAsia"/>
          <w:color w:val="auto"/>
          <w:kern w:val="2"/>
          <w:sz w:val="21"/>
          <w:szCs w:val="21"/>
          <w:highlight w:val="none"/>
          <w:u w:val="single"/>
        </w:rPr>
        <w:t xml:space="preserve">经咨询人书面催告，委托人仍不提供相关咨询资料的。 </w:t>
      </w:r>
    </w:p>
    <w:p w14:paraId="43A49084">
      <w:pPr>
        <w:widowControl/>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6.2.4因不可抗力导致的合同解除，双方约定损失的分担如下：</w:t>
      </w:r>
      <w:r>
        <w:rPr>
          <w:rFonts w:hint="eastAsia" w:asciiTheme="minorEastAsia" w:hAnsiTheme="minorEastAsia" w:eastAsiaTheme="minorEastAsia" w:cstheme="minorEastAsia"/>
          <w:color w:val="auto"/>
          <w:kern w:val="2"/>
          <w:sz w:val="21"/>
          <w:szCs w:val="21"/>
          <w:highlight w:val="none"/>
          <w:u w:val="single"/>
        </w:rPr>
        <w:t>协商确认。</w:t>
      </w:r>
    </w:p>
    <w:p w14:paraId="0237F916">
      <w:pPr>
        <w:autoSpaceDE/>
        <w:autoSpaceDN/>
        <w:adjustRightInd/>
        <w:spacing w:line="360" w:lineRule="auto"/>
        <w:ind w:firstLine="426" w:firstLineChars="202"/>
        <w:jc w:val="both"/>
        <w:rPr>
          <w:rFonts w:hint="eastAsia" w:asciiTheme="minorEastAsia" w:hAnsiTheme="minorEastAsia" w:eastAsiaTheme="minorEastAsia" w:cstheme="minorEastAsia"/>
          <w:b/>
          <w:color w:val="auto"/>
          <w:kern w:val="2"/>
          <w:sz w:val="21"/>
          <w:szCs w:val="21"/>
          <w:highlight w:val="none"/>
        </w:rPr>
      </w:pPr>
      <w:r>
        <w:rPr>
          <w:rFonts w:hint="eastAsia" w:asciiTheme="minorEastAsia" w:hAnsiTheme="minorEastAsia" w:eastAsiaTheme="minorEastAsia" w:cstheme="minorEastAsia"/>
          <w:b/>
          <w:color w:val="auto"/>
          <w:kern w:val="2"/>
          <w:sz w:val="21"/>
          <w:szCs w:val="21"/>
          <w:highlight w:val="none"/>
        </w:rPr>
        <w:t>7. 争议解决</w:t>
      </w:r>
    </w:p>
    <w:p w14:paraId="34D29385">
      <w:pPr>
        <w:widowControl/>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7.2调解</w:t>
      </w:r>
    </w:p>
    <w:p w14:paraId="76BD1287">
      <w:pPr>
        <w:widowControl/>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如果双方不能在28日内解决本合同争议，可以将其提交</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rPr>
        <w:t>进行调解。</w:t>
      </w:r>
    </w:p>
    <w:p w14:paraId="38DC72F7">
      <w:pPr>
        <w:widowControl/>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7.3仲裁或诉讼</w:t>
      </w:r>
    </w:p>
    <w:p w14:paraId="6176A9D1">
      <w:pPr>
        <w:widowControl/>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合同争议的最终解决方式为下列第（</w:t>
      </w:r>
      <w:r>
        <w:rPr>
          <w:rFonts w:hint="eastAsia" w:asciiTheme="minorEastAsia" w:hAnsiTheme="minorEastAsia" w:eastAsiaTheme="minorEastAsia" w:cstheme="minorEastAsia"/>
          <w:color w:val="auto"/>
          <w:kern w:val="2"/>
          <w:sz w:val="21"/>
          <w:szCs w:val="21"/>
          <w:highlight w:val="none"/>
          <w:lang w:val="en-US" w:eastAsia="zh-CN"/>
        </w:rPr>
        <w:t>2</w:t>
      </w:r>
      <w:r>
        <w:rPr>
          <w:rFonts w:hint="eastAsia" w:asciiTheme="minorEastAsia" w:hAnsiTheme="minorEastAsia" w:eastAsiaTheme="minorEastAsia" w:cstheme="minorEastAsia"/>
          <w:color w:val="auto"/>
          <w:kern w:val="2"/>
          <w:sz w:val="21"/>
          <w:szCs w:val="21"/>
          <w:highlight w:val="none"/>
        </w:rPr>
        <w:t>）种方式：</w:t>
      </w:r>
    </w:p>
    <w:p w14:paraId="08A234BA">
      <w:pPr>
        <w:widowControl/>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 xml:space="preserve">   （1）提请台州仲裁委员会进行仲裁。</w:t>
      </w:r>
    </w:p>
    <w:p w14:paraId="061806BA">
      <w:pPr>
        <w:widowControl/>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 xml:space="preserve">   （2）向工程所在地人民法院提起诉讼。</w:t>
      </w:r>
    </w:p>
    <w:p w14:paraId="6EBA41BE">
      <w:pPr>
        <w:autoSpaceDE/>
        <w:autoSpaceDN/>
        <w:adjustRightInd/>
        <w:spacing w:line="360" w:lineRule="auto"/>
        <w:ind w:firstLine="426" w:firstLineChars="202"/>
        <w:jc w:val="both"/>
        <w:rPr>
          <w:rFonts w:hint="eastAsia" w:asciiTheme="minorEastAsia" w:hAnsiTheme="minorEastAsia" w:eastAsiaTheme="minorEastAsia" w:cstheme="minorEastAsia"/>
          <w:b/>
          <w:color w:val="auto"/>
          <w:kern w:val="2"/>
          <w:sz w:val="21"/>
          <w:szCs w:val="21"/>
          <w:highlight w:val="none"/>
        </w:rPr>
      </w:pPr>
      <w:r>
        <w:rPr>
          <w:rFonts w:hint="eastAsia" w:asciiTheme="minorEastAsia" w:hAnsiTheme="minorEastAsia" w:eastAsiaTheme="minorEastAsia" w:cstheme="minorEastAsia"/>
          <w:b/>
          <w:color w:val="auto"/>
          <w:kern w:val="2"/>
          <w:sz w:val="21"/>
          <w:szCs w:val="21"/>
          <w:highlight w:val="none"/>
        </w:rPr>
        <w:t>8. 其他</w:t>
      </w:r>
    </w:p>
    <w:p w14:paraId="73CE9B02">
      <w:pPr>
        <w:widowControl/>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8.1考察及相关费用</w:t>
      </w:r>
    </w:p>
    <w:p w14:paraId="7BF82125">
      <w:pPr>
        <w:widowControl/>
        <w:autoSpaceDE/>
        <w:autoSpaceDN/>
        <w:adjustRightInd/>
        <w:spacing w:line="360" w:lineRule="auto"/>
        <w:ind w:firstLine="840" w:firstLineChars="400"/>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咨询人经委托人同意进行考察发生的费用由咨询人自行支付。</w:t>
      </w:r>
    </w:p>
    <w:p w14:paraId="7D2609CF">
      <w:pPr>
        <w:widowControl/>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8.2奖励</w:t>
      </w:r>
    </w:p>
    <w:p w14:paraId="759ACF82">
      <w:pPr>
        <w:widowControl/>
        <w:autoSpaceDE/>
        <w:autoSpaceDN/>
        <w:adjustRightInd/>
        <w:spacing w:line="360" w:lineRule="auto"/>
        <w:ind w:firstLine="840" w:firstLineChars="400"/>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合理化建议的奖励金额按下列方法确定：</w:t>
      </w:r>
      <w:r>
        <w:rPr>
          <w:rFonts w:hint="eastAsia" w:asciiTheme="minorEastAsia" w:hAnsiTheme="minorEastAsia" w:eastAsiaTheme="minorEastAsia" w:cstheme="minorEastAsia"/>
          <w:color w:val="auto"/>
          <w:kern w:val="2"/>
          <w:sz w:val="21"/>
          <w:szCs w:val="21"/>
          <w:highlight w:val="none"/>
          <w:u w:val="single"/>
        </w:rPr>
        <w:t xml:space="preserve">   /  。</w:t>
      </w:r>
      <w:r>
        <w:rPr>
          <w:rFonts w:hint="eastAsia" w:asciiTheme="minorEastAsia" w:hAnsiTheme="minorEastAsia" w:eastAsiaTheme="minorEastAsia" w:cstheme="minorEastAsia"/>
          <w:color w:val="auto"/>
          <w:kern w:val="2"/>
          <w:sz w:val="21"/>
          <w:szCs w:val="21"/>
          <w:highlight w:val="none"/>
        </w:rPr>
        <w:t xml:space="preserve"> </w:t>
      </w:r>
    </w:p>
    <w:p w14:paraId="3A2A8CA1">
      <w:pPr>
        <w:widowControl/>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8.3保密</w:t>
      </w:r>
    </w:p>
    <w:p w14:paraId="59D7047E">
      <w:pPr>
        <w:widowControl/>
        <w:autoSpaceDE/>
        <w:autoSpaceDN/>
        <w:adjustRightInd/>
        <w:spacing w:line="360" w:lineRule="auto"/>
        <w:ind w:firstLine="840" w:firstLineChars="400"/>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委托人申明的保密事项和期限：</w:t>
      </w:r>
      <w:r>
        <w:rPr>
          <w:rFonts w:hint="eastAsia" w:asciiTheme="minorEastAsia" w:hAnsiTheme="minorEastAsia" w:eastAsiaTheme="minorEastAsia" w:cstheme="minorEastAsia"/>
          <w:color w:val="auto"/>
          <w:kern w:val="2"/>
          <w:sz w:val="21"/>
          <w:szCs w:val="21"/>
          <w:highlight w:val="none"/>
          <w:u w:val="single"/>
        </w:rPr>
        <w:t>通用条件。</w:t>
      </w:r>
    </w:p>
    <w:p w14:paraId="7DEB9492">
      <w:pPr>
        <w:widowControl/>
        <w:autoSpaceDE/>
        <w:autoSpaceDN/>
        <w:adjustRightInd/>
        <w:spacing w:line="360" w:lineRule="auto"/>
        <w:ind w:firstLine="840" w:firstLineChars="400"/>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咨询人申明的保密事项和期限：</w:t>
      </w:r>
      <w:r>
        <w:rPr>
          <w:rFonts w:hint="eastAsia" w:asciiTheme="minorEastAsia" w:hAnsiTheme="minorEastAsia" w:eastAsiaTheme="minorEastAsia" w:cstheme="minorEastAsia"/>
          <w:color w:val="auto"/>
          <w:kern w:val="2"/>
          <w:sz w:val="21"/>
          <w:szCs w:val="21"/>
          <w:highlight w:val="none"/>
          <w:u w:val="single"/>
        </w:rPr>
        <w:t>通用条件。</w:t>
      </w:r>
    </w:p>
    <w:p w14:paraId="615EDE70">
      <w:pPr>
        <w:widowControl/>
        <w:autoSpaceDE/>
        <w:autoSpaceDN/>
        <w:adjustRightInd/>
        <w:spacing w:line="360" w:lineRule="auto"/>
        <w:ind w:firstLine="840" w:firstLineChars="400"/>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第三人申明的保密事项和期限：</w:t>
      </w:r>
      <w:r>
        <w:rPr>
          <w:rFonts w:hint="eastAsia" w:asciiTheme="minorEastAsia" w:hAnsiTheme="minorEastAsia" w:eastAsiaTheme="minorEastAsia" w:cstheme="minorEastAsia"/>
          <w:color w:val="auto"/>
          <w:kern w:val="2"/>
          <w:sz w:val="21"/>
          <w:szCs w:val="21"/>
          <w:highlight w:val="none"/>
          <w:u w:val="single"/>
        </w:rPr>
        <w:t>通用条件。</w:t>
      </w:r>
    </w:p>
    <w:p w14:paraId="2C4A86C2">
      <w:pPr>
        <w:widowControl/>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8.4联络</w:t>
      </w:r>
    </w:p>
    <w:p w14:paraId="76556DB5">
      <w:pPr>
        <w:widowControl/>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8.4.1任何一方与合同有关的通知、指示、要求、决定等，均应在7日内送达对方指定的接收人和送达地点。</w:t>
      </w:r>
    </w:p>
    <w:p w14:paraId="1B2A3D3F">
      <w:pPr>
        <w:widowControl/>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8.4.2委托人指定的送达接收人：________，送达地点：________，电子邮箱：_________。</w:t>
      </w:r>
    </w:p>
    <w:p w14:paraId="4F85B07A">
      <w:pPr>
        <w:widowControl/>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咨询人指定的送达接收人</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rPr>
        <w:t>，送达地点：</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rPr>
        <w:t>，电子邮箱：</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rPr>
        <w:t>。</w:t>
      </w:r>
    </w:p>
    <w:p w14:paraId="27F4B208">
      <w:pPr>
        <w:widowControl/>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8.5知识产权</w:t>
      </w:r>
    </w:p>
    <w:p w14:paraId="44688011">
      <w:pPr>
        <w:widowControl/>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委托人提供给咨询人的图纸、委托人为实施工程自行编制或委托编制的技术规范以及反映委托人要求的或其他类似性质文件的著作权属于委托人。</w:t>
      </w:r>
    </w:p>
    <w:p w14:paraId="006363F4">
      <w:pPr>
        <w:widowControl/>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咨询人为履行本合同约定而编制的成果文件，其著作权属于</w:t>
      </w:r>
      <w:r>
        <w:rPr>
          <w:rFonts w:hint="eastAsia" w:asciiTheme="minorEastAsia" w:hAnsiTheme="minorEastAsia" w:eastAsiaTheme="minorEastAsia" w:cstheme="minorEastAsia"/>
          <w:color w:val="auto"/>
          <w:kern w:val="2"/>
          <w:sz w:val="21"/>
          <w:szCs w:val="21"/>
          <w:highlight w:val="none"/>
          <w:lang w:val="en-US" w:eastAsia="zh-CN"/>
        </w:rPr>
        <w:t>咨询人</w:t>
      </w:r>
      <w:r>
        <w:rPr>
          <w:rFonts w:hint="eastAsia" w:asciiTheme="minorEastAsia" w:hAnsiTheme="minorEastAsia" w:eastAsiaTheme="minorEastAsia" w:cstheme="minorEastAsia"/>
          <w:color w:val="auto"/>
          <w:kern w:val="2"/>
          <w:sz w:val="21"/>
          <w:szCs w:val="21"/>
          <w:highlight w:val="none"/>
        </w:rPr>
        <w:t>。</w:t>
      </w:r>
    </w:p>
    <w:p w14:paraId="111E0EBC">
      <w:pPr>
        <w:widowControl/>
        <w:autoSpaceDE/>
        <w:autoSpaceDN/>
        <w:adjustRightInd/>
        <w:spacing w:line="360" w:lineRule="auto"/>
        <w:ind w:firstLine="424" w:firstLineChars="202"/>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双方将履行本合同形成的有关成果文件用于企业宣传、申报奖项以及接受上级主管部门的检查须遵守以下约定：相关主管部门颁发的文件为准。</w:t>
      </w:r>
    </w:p>
    <w:p w14:paraId="399AFAF8">
      <w:pPr>
        <w:autoSpaceDE/>
        <w:autoSpaceDN/>
        <w:adjustRightInd/>
        <w:spacing w:line="360" w:lineRule="auto"/>
        <w:ind w:firstLine="426" w:firstLineChars="202"/>
        <w:jc w:val="both"/>
        <w:rPr>
          <w:rFonts w:hint="eastAsia" w:asciiTheme="minorEastAsia" w:hAnsiTheme="minorEastAsia" w:eastAsiaTheme="minorEastAsia" w:cstheme="minorEastAsia"/>
          <w:b/>
          <w:color w:val="auto"/>
          <w:kern w:val="2"/>
          <w:sz w:val="21"/>
          <w:szCs w:val="21"/>
          <w:highlight w:val="none"/>
        </w:rPr>
      </w:pPr>
      <w:r>
        <w:rPr>
          <w:rFonts w:hint="eastAsia" w:asciiTheme="minorEastAsia" w:hAnsiTheme="minorEastAsia" w:eastAsiaTheme="minorEastAsia" w:cstheme="minorEastAsia"/>
          <w:b/>
          <w:color w:val="auto"/>
          <w:kern w:val="2"/>
          <w:sz w:val="21"/>
          <w:szCs w:val="21"/>
          <w:highlight w:val="none"/>
        </w:rPr>
        <w:t>9.补充条款</w:t>
      </w:r>
    </w:p>
    <w:p w14:paraId="44D2E0B6">
      <w:pPr>
        <w:autoSpaceDE/>
        <w:autoSpaceDN/>
        <w:adjustRightInd/>
        <w:spacing w:line="360" w:lineRule="auto"/>
        <w:ind w:firstLine="420" w:firstLineChars="200"/>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9.1咨询人在合同实施期间必须在临海市集中办公，未按要求集中办公的，一次性扣除50000元作为违约金。</w:t>
      </w:r>
    </w:p>
    <w:p w14:paraId="41D0FBED">
      <w:pPr>
        <w:autoSpaceDE/>
        <w:autoSpaceDN/>
        <w:adjustRightInd/>
        <w:spacing w:line="360" w:lineRule="auto"/>
        <w:ind w:firstLine="422" w:firstLineChars="200"/>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b/>
          <w:bCs/>
          <w:color w:val="auto"/>
          <w:kern w:val="2"/>
          <w:sz w:val="21"/>
          <w:szCs w:val="21"/>
          <w:highlight w:val="none"/>
          <w:lang w:val="en-US" w:eastAsia="zh-CN"/>
        </w:rPr>
        <w:t>9.2驻场办公，若在投标时有服务承诺的，接到委托人通知后超过半小时未到达指定办公地点的，每发生1次扣除10000元作为违约金。超过3次不能按时到场服务的，委托人有权解除合同，同时咨询人应向委托人支付50000元违约金。</w:t>
      </w:r>
    </w:p>
    <w:p w14:paraId="0E00040C">
      <w:pPr>
        <w:autoSpaceDE/>
        <w:autoSpaceDN/>
        <w:adjustRightInd/>
        <w:spacing w:line="360" w:lineRule="auto"/>
        <w:ind w:firstLine="420" w:firstLineChars="200"/>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9.</w:t>
      </w:r>
      <w:r>
        <w:rPr>
          <w:rFonts w:hint="eastAsia" w:asciiTheme="minorEastAsia" w:hAnsiTheme="minorEastAsia" w:eastAsiaTheme="minorEastAsia" w:cstheme="minorEastAsia"/>
          <w:color w:val="auto"/>
          <w:kern w:val="2"/>
          <w:sz w:val="21"/>
          <w:szCs w:val="21"/>
          <w:highlight w:val="none"/>
          <w:lang w:val="en-US" w:eastAsia="zh-CN"/>
        </w:rPr>
        <w:t>3</w:t>
      </w:r>
      <w:r>
        <w:rPr>
          <w:rFonts w:hint="eastAsia" w:asciiTheme="minorEastAsia" w:hAnsiTheme="minorEastAsia" w:eastAsiaTheme="minorEastAsia" w:cstheme="minorEastAsia"/>
          <w:color w:val="auto"/>
          <w:kern w:val="2"/>
          <w:sz w:val="21"/>
          <w:szCs w:val="21"/>
          <w:highlight w:val="none"/>
        </w:rPr>
        <w:t>在合同实施期间，相关专业的咨询人员应根据</w:t>
      </w:r>
      <w:r>
        <w:rPr>
          <w:rFonts w:hint="eastAsia" w:asciiTheme="minorEastAsia" w:hAnsiTheme="minorEastAsia" w:eastAsiaTheme="minorEastAsia" w:cstheme="minorEastAsia"/>
          <w:color w:val="auto"/>
          <w:kern w:val="2"/>
          <w:sz w:val="21"/>
          <w:szCs w:val="21"/>
          <w:highlight w:val="none"/>
          <w:lang w:eastAsia="zh-CN"/>
        </w:rPr>
        <w:t>委托人</w:t>
      </w:r>
      <w:r>
        <w:rPr>
          <w:rFonts w:hint="eastAsia" w:asciiTheme="minorEastAsia" w:hAnsiTheme="minorEastAsia" w:eastAsiaTheme="minorEastAsia" w:cstheme="minorEastAsia"/>
          <w:color w:val="auto"/>
          <w:kern w:val="2"/>
          <w:sz w:val="21"/>
          <w:szCs w:val="21"/>
          <w:highlight w:val="none"/>
        </w:rPr>
        <w:t>需要参加清单预算讨论、图纸会审、技术交底、技术经济协调会等工程会议；对于未达到上述要求的，委托人有权按每次5000元扣款；在约定时间内，造价咨询专职人员</w:t>
      </w:r>
      <w:r>
        <w:rPr>
          <w:rFonts w:hint="eastAsia" w:asciiTheme="minorEastAsia" w:hAnsiTheme="minorEastAsia" w:eastAsiaTheme="minorEastAsia" w:cstheme="minorEastAsia"/>
          <w:color w:val="auto"/>
          <w:kern w:val="2"/>
          <w:sz w:val="21"/>
          <w:szCs w:val="21"/>
          <w:highlight w:val="none"/>
          <w:lang w:val="en-US" w:eastAsia="zh-CN"/>
        </w:rPr>
        <w:t>应</w:t>
      </w:r>
      <w:r>
        <w:rPr>
          <w:rFonts w:hint="eastAsia" w:asciiTheme="minorEastAsia" w:hAnsiTheme="minorEastAsia" w:eastAsiaTheme="minorEastAsia" w:cstheme="minorEastAsia"/>
          <w:color w:val="auto"/>
          <w:kern w:val="2"/>
          <w:sz w:val="21"/>
          <w:szCs w:val="21"/>
          <w:highlight w:val="none"/>
        </w:rPr>
        <w:t>在指定办公场所，</w:t>
      </w:r>
      <w:r>
        <w:rPr>
          <w:rFonts w:hint="eastAsia" w:asciiTheme="minorEastAsia" w:hAnsiTheme="minorEastAsia" w:eastAsiaTheme="minorEastAsia" w:cstheme="minorEastAsia"/>
          <w:color w:val="auto"/>
          <w:kern w:val="2"/>
          <w:sz w:val="21"/>
          <w:szCs w:val="21"/>
          <w:highlight w:val="none"/>
          <w:lang w:val="en-US" w:eastAsia="zh-CN"/>
        </w:rPr>
        <w:t>如遇委托人考察到岗率不足70%，每次扣款10万元</w:t>
      </w:r>
      <w:r>
        <w:rPr>
          <w:rFonts w:hint="eastAsia" w:asciiTheme="minorEastAsia" w:hAnsiTheme="minorEastAsia" w:eastAsiaTheme="minorEastAsia" w:cstheme="minorEastAsia"/>
          <w:color w:val="auto"/>
          <w:kern w:val="2"/>
          <w:sz w:val="21"/>
          <w:szCs w:val="21"/>
          <w:highlight w:val="none"/>
        </w:rPr>
        <w:t>。</w:t>
      </w:r>
    </w:p>
    <w:p w14:paraId="3B7D4EE6">
      <w:pPr>
        <w:autoSpaceDE/>
        <w:autoSpaceDN/>
        <w:adjustRightInd/>
        <w:spacing w:line="360" w:lineRule="auto"/>
        <w:ind w:firstLine="420" w:firstLineChars="200"/>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9.</w:t>
      </w:r>
      <w:r>
        <w:rPr>
          <w:rFonts w:hint="eastAsia" w:asciiTheme="minorEastAsia" w:hAnsiTheme="minorEastAsia" w:eastAsiaTheme="minorEastAsia" w:cstheme="minorEastAsia"/>
          <w:color w:val="auto"/>
          <w:kern w:val="2"/>
          <w:sz w:val="21"/>
          <w:szCs w:val="21"/>
          <w:highlight w:val="none"/>
          <w:lang w:val="en-US" w:eastAsia="zh-CN"/>
        </w:rPr>
        <w:t>4因咨询人原因造成逾期提交成果的，自逾期之日起，每日扣除5000元作为违约金,累计赔偿不得超过应付的预算审核费用。若上述逾期超过20日的，委托人可单方面解除合同，</w:t>
      </w:r>
      <w:r>
        <w:rPr>
          <w:rFonts w:hint="eastAsia" w:ascii="宋体" w:hAnsi="宋体" w:eastAsia="宋体" w:cs="Times New Roman"/>
          <w:color w:val="auto"/>
          <w:sz w:val="21"/>
          <w:szCs w:val="21"/>
          <w:highlight w:val="none"/>
          <w:lang w:val="en-US" w:eastAsia="zh-CN"/>
        </w:rPr>
        <w:t>并有权要求咨询人返还已收取的预算审核费用，</w:t>
      </w:r>
      <w:r>
        <w:rPr>
          <w:rFonts w:hint="eastAsia" w:asciiTheme="minorEastAsia" w:hAnsiTheme="minorEastAsia" w:eastAsiaTheme="minorEastAsia" w:cstheme="minorEastAsia"/>
          <w:color w:val="auto"/>
          <w:kern w:val="2"/>
          <w:sz w:val="21"/>
          <w:szCs w:val="21"/>
          <w:highlight w:val="none"/>
          <w:lang w:val="en-US" w:eastAsia="zh-CN"/>
        </w:rPr>
        <w:t>已完成的成果不予认可，且有权向咨询人主张签约合同价20%的违约金。</w:t>
      </w:r>
    </w:p>
    <w:p w14:paraId="17B00782">
      <w:pPr>
        <w:autoSpaceDE/>
        <w:autoSpaceDN/>
        <w:adjustRightInd/>
        <w:spacing w:line="360" w:lineRule="auto"/>
        <w:ind w:firstLine="420" w:firstLineChars="200"/>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9.</w:t>
      </w:r>
      <w:r>
        <w:rPr>
          <w:rFonts w:hint="eastAsia" w:asciiTheme="minorEastAsia" w:hAnsiTheme="minorEastAsia" w:eastAsiaTheme="minorEastAsia" w:cstheme="minorEastAsia"/>
          <w:color w:val="auto"/>
          <w:kern w:val="2"/>
          <w:sz w:val="21"/>
          <w:szCs w:val="21"/>
          <w:highlight w:val="none"/>
          <w:lang w:val="en-US" w:eastAsia="zh-CN"/>
        </w:rPr>
        <w:t>5</w:t>
      </w:r>
      <w:r>
        <w:rPr>
          <w:rFonts w:hint="eastAsia" w:asciiTheme="minorEastAsia" w:hAnsiTheme="minorEastAsia" w:eastAsiaTheme="minorEastAsia" w:cstheme="minorEastAsia"/>
          <w:color w:val="auto"/>
          <w:kern w:val="2"/>
          <w:sz w:val="21"/>
          <w:szCs w:val="21"/>
          <w:highlight w:val="none"/>
        </w:rPr>
        <w:t>因</w:t>
      </w:r>
      <w:r>
        <w:rPr>
          <w:rFonts w:hint="eastAsia" w:asciiTheme="minorEastAsia" w:hAnsiTheme="minorEastAsia" w:eastAsiaTheme="minorEastAsia" w:cstheme="minorEastAsia"/>
          <w:color w:val="auto"/>
          <w:kern w:val="2"/>
          <w:sz w:val="21"/>
          <w:szCs w:val="21"/>
          <w:highlight w:val="none"/>
          <w:lang w:eastAsia="zh-CN"/>
        </w:rPr>
        <w:t>咨询人</w:t>
      </w:r>
      <w:r>
        <w:rPr>
          <w:rFonts w:hint="eastAsia" w:asciiTheme="minorEastAsia" w:hAnsiTheme="minorEastAsia" w:eastAsiaTheme="minorEastAsia" w:cstheme="minorEastAsia"/>
          <w:color w:val="auto"/>
          <w:kern w:val="2"/>
          <w:sz w:val="21"/>
          <w:szCs w:val="21"/>
          <w:highlight w:val="none"/>
          <w:lang w:val="en-US" w:eastAsia="zh-CN"/>
        </w:rPr>
        <w:t>的</w:t>
      </w:r>
      <w:r>
        <w:rPr>
          <w:rFonts w:hint="eastAsia" w:asciiTheme="minorEastAsia" w:hAnsiTheme="minorEastAsia" w:eastAsiaTheme="minorEastAsia" w:cstheme="minorEastAsia"/>
          <w:color w:val="auto"/>
          <w:kern w:val="2"/>
          <w:sz w:val="21"/>
          <w:szCs w:val="21"/>
          <w:highlight w:val="none"/>
        </w:rPr>
        <w:t>原因造成对项目预算</w:t>
      </w:r>
      <w:r>
        <w:rPr>
          <w:rFonts w:hint="eastAsia" w:asciiTheme="minorEastAsia" w:hAnsiTheme="minorEastAsia" w:eastAsiaTheme="minorEastAsia" w:cstheme="minorEastAsia"/>
          <w:color w:val="auto"/>
          <w:kern w:val="2"/>
          <w:sz w:val="21"/>
          <w:szCs w:val="21"/>
          <w:highlight w:val="none"/>
          <w:lang w:val="en-US" w:eastAsia="zh-CN"/>
        </w:rPr>
        <w:t>审核</w:t>
      </w:r>
      <w:r>
        <w:rPr>
          <w:rFonts w:hint="eastAsia" w:asciiTheme="minorEastAsia" w:hAnsiTheme="minorEastAsia" w:eastAsiaTheme="minorEastAsia" w:cstheme="minorEastAsia"/>
          <w:color w:val="auto"/>
          <w:kern w:val="2"/>
          <w:sz w:val="21"/>
          <w:szCs w:val="21"/>
          <w:highlight w:val="none"/>
        </w:rPr>
        <w:t>出现重大差错的处理</w:t>
      </w:r>
      <w:r>
        <w:rPr>
          <w:rFonts w:hint="eastAsia" w:asciiTheme="minorEastAsia" w:hAnsiTheme="minorEastAsia" w:eastAsiaTheme="minorEastAsia" w:cstheme="minorEastAsia"/>
          <w:color w:val="auto"/>
          <w:kern w:val="2"/>
          <w:sz w:val="21"/>
          <w:szCs w:val="21"/>
          <w:highlight w:val="none"/>
          <w:lang w:eastAsia="zh-CN"/>
        </w:rPr>
        <w:t>，</w:t>
      </w:r>
      <w:r>
        <w:rPr>
          <w:rFonts w:hint="eastAsia" w:asciiTheme="minorEastAsia" w:hAnsiTheme="minorEastAsia" w:eastAsiaTheme="minorEastAsia" w:cstheme="minorEastAsia"/>
          <w:color w:val="auto"/>
          <w:kern w:val="2"/>
          <w:sz w:val="21"/>
          <w:szCs w:val="21"/>
          <w:highlight w:val="none"/>
        </w:rPr>
        <w:t>预算审核单项差错额在</w:t>
      </w:r>
      <w:r>
        <w:rPr>
          <w:rFonts w:hint="eastAsia" w:asciiTheme="minorEastAsia" w:hAnsiTheme="minorEastAsia" w:eastAsiaTheme="minorEastAsia" w:cstheme="minorEastAsia"/>
          <w:color w:val="auto"/>
          <w:kern w:val="2"/>
          <w:sz w:val="21"/>
          <w:szCs w:val="21"/>
          <w:highlight w:val="none"/>
          <w:lang w:val="en-US" w:eastAsia="zh-CN"/>
        </w:rPr>
        <w:t>3</w:t>
      </w:r>
      <w:r>
        <w:rPr>
          <w:rFonts w:hint="eastAsia" w:asciiTheme="minorEastAsia" w:hAnsiTheme="minorEastAsia" w:eastAsiaTheme="minorEastAsia" w:cstheme="minorEastAsia"/>
          <w:color w:val="auto"/>
          <w:kern w:val="2"/>
          <w:sz w:val="21"/>
          <w:szCs w:val="21"/>
          <w:highlight w:val="none"/>
        </w:rPr>
        <w:t>0万元</w:t>
      </w:r>
      <w:r>
        <w:rPr>
          <w:rFonts w:hint="eastAsia" w:asciiTheme="minorEastAsia" w:hAnsiTheme="minorEastAsia" w:eastAsiaTheme="minorEastAsia" w:cstheme="minorEastAsia"/>
          <w:color w:val="auto"/>
          <w:kern w:val="2"/>
          <w:sz w:val="21"/>
          <w:szCs w:val="21"/>
          <w:highlight w:val="none"/>
          <w:lang w:eastAsia="zh-CN"/>
        </w:rPr>
        <w:t>及</w:t>
      </w:r>
      <w:r>
        <w:rPr>
          <w:rFonts w:hint="eastAsia" w:asciiTheme="minorEastAsia" w:hAnsiTheme="minorEastAsia" w:eastAsiaTheme="minorEastAsia" w:cstheme="minorEastAsia"/>
          <w:color w:val="auto"/>
          <w:kern w:val="2"/>
          <w:sz w:val="21"/>
          <w:szCs w:val="21"/>
          <w:highlight w:val="none"/>
        </w:rPr>
        <w:t>以上100万元以下的（同样问题错误的累加计算，下同。），</w:t>
      </w:r>
      <w:r>
        <w:rPr>
          <w:rFonts w:hint="eastAsia" w:asciiTheme="minorEastAsia" w:hAnsiTheme="minorEastAsia" w:eastAsiaTheme="minorEastAsia" w:cstheme="minorEastAsia"/>
          <w:color w:val="auto"/>
          <w:kern w:val="2"/>
          <w:sz w:val="21"/>
          <w:szCs w:val="21"/>
          <w:highlight w:val="none"/>
          <w:lang w:eastAsia="zh-CN"/>
        </w:rPr>
        <w:t>每处扣减</w:t>
      </w:r>
      <w:r>
        <w:rPr>
          <w:rFonts w:hint="eastAsia" w:asciiTheme="minorEastAsia" w:hAnsiTheme="minorEastAsia" w:eastAsiaTheme="minorEastAsia" w:cstheme="minorEastAsia"/>
          <w:color w:val="auto"/>
          <w:kern w:val="2"/>
          <w:sz w:val="21"/>
          <w:szCs w:val="21"/>
          <w:highlight w:val="none"/>
          <w:lang w:val="en-US" w:eastAsia="zh-CN"/>
        </w:rPr>
        <w:t>1</w:t>
      </w:r>
      <w:r>
        <w:rPr>
          <w:rFonts w:hint="eastAsia" w:asciiTheme="minorEastAsia" w:hAnsiTheme="minorEastAsia" w:eastAsiaTheme="minorEastAsia" w:cstheme="minorEastAsia"/>
          <w:color w:val="auto"/>
          <w:kern w:val="2"/>
          <w:sz w:val="21"/>
          <w:szCs w:val="21"/>
          <w:highlight w:val="none"/>
          <w:lang w:eastAsia="zh-CN"/>
        </w:rPr>
        <w:t>万元预算审核费</w:t>
      </w:r>
      <w:r>
        <w:rPr>
          <w:rFonts w:hint="eastAsia" w:asciiTheme="minorEastAsia" w:hAnsiTheme="minorEastAsia" w:eastAsiaTheme="minorEastAsia" w:cstheme="minorEastAsia"/>
          <w:color w:val="auto"/>
          <w:kern w:val="2"/>
          <w:sz w:val="21"/>
          <w:szCs w:val="21"/>
          <w:highlight w:val="none"/>
        </w:rPr>
        <w:t>；错额超过100万元</w:t>
      </w:r>
      <w:r>
        <w:rPr>
          <w:rFonts w:hint="eastAsia" w:asciiTheme="minorEastAsia" w:hAnsiTheme="minorEastAsia" w:eastAsiaTheme="minorEastAsia" w:cstheme="minorEastAsia"/>
          <w:color w:val="auto"/>
          <w:kern w:val="2"/>
          <w:sz w:val="21"/>
          <w:szCs w:val="21"/>
          <w:highlight w:val="none"/>
          <w:lang w:eastAsia="zh-CN"/>
        </w:rPr>
        <w:t>及</w:t>
      </w:r>
      <w:r>
        <w:rPr>
          <w:rFonts w:hint="eastAsia" w:asciiTheme="minorEastAsia" w:hAnsiTheme="minorEastAsia" w:eastAsiaTheme="minorEastAsia" w:cstheme="minorEastAsia"/>
          <w:color w:val="auto"/>
          <w:kern w:val="2"/>
          <w:sz w:val="21"/>
          <w:szCs w:val="21"/>
          <w:highlight w:val="none"/>
        </w:rPr>
        <w:t xml:space="preserve">以上的, </w:t>
      </w:r>
      <w:r>
        <w:rPr>
          <w:rFonts w:hint="eastAsia" w:asciiTheme="minorEastAsia" w:hAnsiTheme="minorEastAsia" w:eastAsiaTheme="minorEastAsia" w:cstheme="minorEastAsia"/>
          <w:color w:val="auto"/>
          <w:kern w:val="2"/>
          <w:sz w:val="21"/>
          <w:szCs w:val="21"/>
          <w:highlight w:val="none"/>
          <w:lang w:eastAsia="zh-CN"/>
        </w:rPr>
        <w:t>每处扣减</w:t>
      </w:r>
      <w:r>
        <w:rPr>
          <w:rFonts w:hint="eastAsia" w:asciiTheme="minorEastAsia" w:hAnsiTheme="minorEastAsia" w:eastAsiaTheme="minorEastAsia" w:cstheme="minorEastAsia"/>
          <w:color w:val="auto"/>
          <w:kern w:val="2"/>
          <w:sz w:val="21"/>
          <w:szCs w:val="21"/>
          <w:highlight w:val="none"/>
          <w:lang w:val="en-US" w:eastAsia="zh-CN"/>
        </w:rPr>
        <w:t>2</w:t>
      </w:r>
      <w:r>
        <w:rPr>
          <w:rFonts w:hint="eastAsia" w:asciiTheme="minorEastAsia" w:hAnsiTheme="minorEastAsia" w:eastAsiaTheme="minorEastAsia" w:cstheme="minorEastAsia"/>
          <w:color w:val="auto"/>
          <w:kern w:val="2"/>
          <w:sz w:val="21"/>
          <w:szCs w:val="21"/>
          <w:highlight w:val="none"/>
          <w:lang w:eastAsia="zh-CN"/>
        </w:rPr>
        <w:t>万元预算审核费；同种类型错误可多次扣减，扣完为止</w:t>
      </w:r>
      <w:r>
        <w:rPr>
          <w:rFonts w:hint="eastAsia" w:asciiTheme="minorEastAsia" w:hAnsiTheme="minorEastAsia" w:eastAsiaTheme="minorEastAsia" w:cstheme="minorEastAsia"/>
          <w:color w:val="auto"/>
          <w:kern w:val="2"/>
          <w:sz w:val="21"/>
          <w:szCs w:val="21"/>
          <w:highlight w:val="none"/>
        </w:rPr>
        <w:t>。</w:t>
      </w:r>
    </w:p>
    <w:p w14:paraId="5834B799">
      <w:pPr>
        <w:autoSpaceDE/>
        <w:autoSpaceDN/>
        <w:adjustRightInd/>
        <w:spacing w:line="360" w:lineRule="auto"/>
        <w:ind w:firstLine="420" w:firstLineChars="200"/>
        <w:jc w:val="both"/>
        <w:rPr>
          <w:rFonts w:hint="eastAsia" w:asciiTheme="minorEastAsia" w:hAnsiTheme="minorEastAsia" w:eastAsiaTheme="minorEastAsia" w:cstheme="minorEastAsia"/>
          <w:color w:val="auto"/>
          <w:kern w:val="2"/>
          <w:sz w:val="21"/>
          <w:szCs w:val="21"/>
          <w:highlight w:val="none"/>
          <w:lang w:eastAsia="zh-CN"/>
        </w:rPr>
      </w:pPr>
      <w:r>
        <w:rPr>
          <w:rFonts w:hint="eastAsia" w:asciiTheme="minorEastAsia" w:hAnsiTheme="minorEastAsia" w:eastAsiaTheme="minorEastAsia" w:cstheme="minorEastAsia"/>
          <w:color w:val="auto"/>
          <w:kern w:val="2"/>
          <w:sz w:val="21"/>
          <w:szCs w:val="21"/>
          <w:highlight w:val="none"/>
          <w:lang w:eastAsia="zh-CN"/>
        </w:rPr>
        <w:t>9.6对咨询人过错造成工程变金额在15万元以上的，每处扣减500元预算审核费，同种类型错误可多次扣减，扣完为止。本条款与9.5条款处罚可重叠累计。</w:t>
      </w:r>
    </w:p>
    <w:p w14:paraId="7D5E25F9">
      <w:pPr>
        <w:autoSpaceDE/>
        <w:autoSpaceDN/>
        <w:adjustRightInd/>
        <w:spacing w:line="360" w:lineRule="auto"/>
        <w:ind w:firstLine="420" w:firstLineChars="200"/>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9.</w:t>
      </w:r>
      <w:r>
        <w:rPr>
          <w:rFonts w:hint="eastAsia" w:asciiTheme="minorEastAsia" w:hAnsiTheme="minorEastAsia" w:eastAsiaTheme="minorEastAsia" w:cstheme="minorEastAsia"/>
          <w:color w:val="auto"/>
          <w:kern w:val="2"/>
          <w:sz w:val="21"/>
          <w:szCs w:val="21"/>
          <w:highlight w:val="none"/>
          <w:lang w:val="en-US" w:eastAsia="zh-CN"/>
        </w:rPr>
        <w:t>7</w:t>
      </w:r>
      <w:r>
        <w:rPr>
          <w:rFonts w:hint="eastAsia" w:asciiTheme="minorEastAsia" w:hAnsiTheme="minorEastAsia" w:eastAsiaTheme="minorEastAsia" w:cstheme="minorEastAsia"/>
          <w:color w:val="auto"/>
          <w:kern w:val="2"/>
          <w:sz w:val="21"/>
          <w:szCs w:val="21"/>
          <w:highlight w:val="none"/>
          <w:lang w:eastAsia="zh-CN"/>
        </w:rPr>
        <w:t>咨询人</w:t>
      </w:r>
      <w:r>
        <w:rPr>
          <w:rFonts w:hint="eastAsia" w:asciiTheme="minorEastAsia" w:hAnsiTheme="minorEastAsia" w:eastAsiaTheme="minorEastAsia" w:cstheme="minorEastAsia"/>
          <w:color w:val="auto"/>
          <w:kern w:val="2"/>
          <w:sz w:val="21"/>
          <w:szCs w:val="21"/>
          <w:highlight w:val="none"/>
        </w:rPr>
        <w:t>在工程量清单中项目特征描述错误的子目数量占工程量清单全部子目数量的比例超过3%，将不予支付</w:t>
      </w:r>
      <w:r>
        <w:rPr>
          <w:rFonts w:hint="eastAsia" w:asciiTheme="minorEastAsia" w:hAnsiTheme="minorEastAsia" w:eastAsiaTheme="minorEastAsia" w:cstheme="minorEastAsia"/>
          <w:color w:val="auto"/>
          <w:kern w:val="2"/>
          <w:sz w:val="21"/>
          <w:szCs w:val="21"/>
          <w:highlight w:val="none"/>
          <w:lang w:eastAsia="zh-CN"/>
        </w:rPr>
        <w:t>编制</w:t>
      </w:r>
      <w:r>
        <w:rPr>
          <w:rFonts w:hint="eastAsia" w:asciiTheme="minorEastAsia" w:hAnsiTheme="minorEastAsia" w:eastAsiaTheme="minorEastAsia" w:cstheme="minorEastAsia"/>
          <w:color w:val="auto"/>
          <w:kern w:val="2"/>
          <w:sz w:val="21"/>
          <w:szCs w:val="21"/>
          <w:highlight w:val="none"/>
        </w:rPr>
        <w:t>费用。</w:t>
      </w:r>
    </w:p>
    <w:p w14:paraId="3811F763">
      <w:pPr>
        <w:autoSpaceDE/>
        <w:autoSpaceDN/>
        <w:adjustRightInd/>
        <w:spacing w:line="360" w:lineRule="auto"/>
        <w:ind w:firstLine="420" w:firstLineChars="200"/>
        <w:jc w:val="both"/>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9.</w:t>
      </w:r>
      <w:r>
        <w:rPr>
          <w:rFonts w:hint="eastAsia" w:asciiTheme="minorEastAsia" w:hAnsiTheme="minorEastAsia" w:eastAsiaTheme="minorEastAsia" w:cstheme="minorEastAsia"/>
          <w:color w:val="auto"/>
          <w:kern w:val="2"/>
          <w:sz w:val="21"/>
          <w:szCs w:val="21"/>
          <w:highlight w:val="none"/>
          <w:lang w:val="en-US" w:eastAsia="zh-CN"/>
        </w:rPr>
        <w:t>8</w:t>
      </w:r>
      <w:r>
        <w:rPr>
          <w:rFonts w:hint="eastAsia" w:asciiTheme="minorEastAsia" w:hAnsiTheme="minorEastAsia" w:eastAsiaTheme="minorEastAsia" w:cstheme="minorEastAsia"/>
          <w:color w:val="auto"/>
          <w:kern w:val="2"/>
          <w:sz w:val="21"/>
          <w:szCs w:val="21"/>
          <w:highlight w:val="none"/>
          <w:lang w:eastAsia="zh-CN"/>
        </w:rPr>
        <w:t>咨询人在项目预算审核时误差率超过</w:t>
      </w:r>
      <w:r>
        <w:rPr>
          <w:rFonts w:hint="eastAsia" w:asciiTheme="minorEastAsia" w:hAnsiTheme="minorEastAsia" w:eastAsiaTheme="minorEastAsia" w:cstheme="minorEastAsia"/>
          <w:color w:val="auto"/>
          <w:kern w:val="2"/>
          <w:sz w:val="21"/>
          <w:szCs w:val="21"/>
          <w:highlight w:val="none"/>
          <w:lang w:val="en-US" w:eastAsia="zh-CN"/>
        </w:rPr>
        <w:t>3%的</w:t>
      </w:r>
      <w:r>
        <w:rPr>
          <w:rFonts w:hint="eastAsia" w:asciiTheme="minorEastAsia" w:hAnsiTheme="minorEastAsia" w:eastAsiaTheme="minorEastAsia" w:cstheme="minorEastAsia"/>
          <w:color w:val="auto"/>
          <w:kern w:val="2"/>
          <w:sz w:val="21"/>
          <w:szCs w:val="21"/>
          <w:highlight w:val="none"/>
          <w:lang w:eastAsia="zh-CN"/>
        </w:rPr>
        <w:t>，将不予支付审核费用。</w:t>
      </w:r>
      <w:r>
        <w:rPr>
          <w:rFonts w:hint="eastAsia" w:asciiTheme="minorEastAsia" w:hAnsiTheme="minorEastAsia" w:eastAsiaTheme="minorEastAsia" w:cstheme="minorEastAsia"/>
          <w:color w:val="auto"/>
          <w:kern w:val="2"/>
          <w:sz w:val="21"/>
          <w:szCs w:val="21"/>
          <w:highlight w:val="none"/>
        </w:rPr>
        <w:t>误差率：造价成果文件中查找出（包括施工过程阶段、结算审核阶段等过程中所发现的）的编制错误的累计金额与最终修正后造价总额的比率</w:t>
      </w:r>
      <w:r>
        <w:rPr>
          <w:rFonts w:hint="eastAsia" w:asciiTheme="minorEastAsia" w:hAnsiTheme="minorEastAsia" w:eastAsiaTheme="minorEastAsia" w:cstheme="minorEastAsia"/>
          <w:bCs/>
          <w:color w:val="auto"/>
          <w:kern w:val="2"/>
          <w:sz w:val="21"/>
          <w:szCs w:val="21"/>
          <w:highlight w:val="none"/>
          <w:lang w:eastAsia="zh-CN"/>
        </w:rPr>
        <w:t>；</w:t>
      </w:r>
      <w:r>
        <w:rPr>
          <w:rFonts w:hint="eastAsia" w:asciiTheme="minorEastAsia" w:hAnsiTheme="minorEastAsia" w:eastAsiaTheme="minorEastAsia" w:cstheme="minorEastAsia"/>
          <w:bCs/>
          <w:color w:val="auto"/>
          <w:kern w:val="2"/>
          <w:sz w:val="21"/>
          <w:szCs w:val="21"/>
          <w:highlight w:val="none"/>
          <w:lang w:val="en-US" w:eastAsia="zh-CN"/>
        </w:rPr>
        <w:t>a.错误的累计金额以绝对值计算，出现正负值不相互抵消；b.无价材料、措施费的差错额计入误差率</w:t>
      </w:r>
      <w:r>
        <w:rPr>
          <w:rFonts w:hint="eastAsia" w:asciiTheme="minorEastAsia" w:hAnsiTheme="minorEastAsia" w:eastAsiaTheme="minorEastAsia" w:cstheme="minorEastAsia"/>
          <w:b/>
          <w:bCs w:val="0"/>
          <w:color w:val="auto"/>
          <w:kern w:val="2"/>
          <w:sz w:val="21"/>
          <w:szCs w:val="21"/>
          <w:highlight w:val="none"/>
          <w:lang w:eastAsia="zh-CN"/>
        </w:rPr>
        <w:t>；</w:t>
      </w:r>
      <w:r>
        <w:rPr>
          <w:rFonts w:hint="eastAsia" w:asciiTheme="minorEastAsia" w:hAnsiTheme="minorEastAsia" w:eastAsiaTheme="minorEastAsia" w:cstheme="minorEastAsia"/>
          <w:b/>
          <w:bCs w:val="0"/>
          <w:color w:val="auto"/>
          <w:kern w:val="2"/>
          <w:sz w:val="21"/>
          <w:szCs w:val="21"/>
          <w:highlight w:val="none"/>
          <w:lang w:val="en-US" w:eastAsia="zh-CN"/>
        </w:rPr>
        <w:t>c.施工阶段及结算审核阶段发现的预算审核</w:t>
      </w:r>
      <w:r>
        <w:rPr>
          <w:rFonts w:hint="eastAsia" w:asciiTheme="minorEastAsia" w:hAnsiTheme="minorEastAsia" w:eastAsiaTheme="minorEastAsia" w:cstheme="minorEastAsia"/>
          <w:b/>
          <w:bCs w:val="0"/>
          <w:color w:val="auto"/>
          <w:kern w:val="2"/>
          <w:sz w:val="21"/>
          <w:szCs w:val="21"/>
          <w:highlight w:val="none"/>
        </w:rPr>
        <w:t>差错额计入误差率</w:t>
      </w:r>
      <w:r>
        <w:rPr>
          <w:rFonts w:hint="eastAsia" w:asciiTheme="minorEastAsia" w:hAnsiTheme="minorEastAsia" w:eastAsiaTheme="minorEastAsia" w:cstheme="minorEastAsia"/>
          <w:color w:val="auto"/>
          <w:kern w:val="2"/>
          <w:sz w:val="21"/>
          <w:szCs w:val="21"/>
          <w:highlight w:val="none"/>
        </w:rPr>
        <w:t>。</w:t>
      </w:r>
    </w:p>
    <w:p w14:paraId="2BCB2669">
      <w:pPr>
        <w:autoSpaceDE/>
        <w:autoSpaceDN/>
        <w:adjustRightInd/>
        <w:spacing w:line="360" w:lineRule="auto"/>
        <w:ind w:firstLine="420" w:firstLineChars="200"/>
        <w:jc w:val="both"/>
        <w:rPr>
          <w:rFonts w:hint="eastAsia" w:asciiTheme="minorEastAsia" w:hAnsiTheme="minorEastAsia" w:eastAsiaTheme="minorEastAsia" w:cstheme="minorEastAsia"/>
          <w:color w:val="auto"/>
          <w:kern w:val="2"/>
          <w:sz w:val="21"/>
          <w:szCs w:val="21"/>
          <w:highlight w:val="none"/>
          <w:lang w:eastAsia="zh-CN"/>
        </w:rPr>
      </w:pPr>
      <w:r>
        <w:rPr>
          <w:rFonts w:hint="eastAsia" w:asciiTheme="minorEastAsia" w:hAnsiTheme="minorEastAsia" w:eastAsiaTheme="minorEastAsia" w:cstheme="minorEastAsia"/>
          <w:color w:val="auto"/>
          <w:kern w:val="2"/>
          <w:sz w:val="21"/>
          <w:szCs w:val="21"/>
          <w:highlight w:val="none"/>
          <w:lang w:val="en-US" w:eastAsia="zh-CN"/>
        </w:rPr>
        <w:t>9.9</w:t>
      </w:r>
      <w:r>
        <w:rPr>
          <w:rFonts w:hint="eastAsia" w:asciiTheme="minorEastAsia" w:hAnsiTheme="minorEastAsia" w:eastAsiaTheme="minorEastAsia" w:cstheme="minorEastAsia"/>
          <w:color w:val="auto"/>
          <w:kern w:val="2"/>
          <w:sz w:val="21"/>
          <w:szCs w:val="21"/>
          <w:highlight w:val="none"/>
          <w:lang w:eastAsia="zh-CN"/>
        </w:rPr>
        <w:t>上述考核包括施工过程阶段、结算审核阶段等所有过程中所发现的错误。</w:t>
      </w:r>
    </w:p>
    <w:p w14:paraId="40C5C662">
      <w:pPr>
        <w:autoSpaceDE/>
        <w:autoSpaceDN/>
        <w:adjustRightInd/>
        <w:spacing w:line="360" w:lineRule="auto"/>
        <w:ind w:firstLine="420" w:firstLineChars="200"/>
        <w:jc w:val="both"/>
        <w:rPr>
          <w:rFonts w:hint="eastAsia" w:ascii="Times New Roman" w:hAnsi="Times New Roman" w:eastAsia="宋体" w:cs="Times New Roman"/>
          <w:color w:val="auto"/>
          <w:kern w:val="2"/>
          <w:sz w:val="24"/>
          <w:szCs w:val="24"/>
          <w:highlight w:val="none"/>
          <w:lang w:eastAsia="zh-CN"/>
        </w:rPr>
      </w:pPr>
      <w:r>
        <w:rPr>
          <w:rFonts w:hint="eastAsia" w:asciiTheme="minorEastAsia" w:hAnsiTheme="minorEastAsia" w:eastAsiaTheme="minorEastAsia" w:cstheme="minorEastAsia"/>
          <w:color w:val="auto"/>
          <w:kern w:val="2"/>
          <w:sz w:val="21"/>
          <w:szCs w:val="21"/>
          <w:highlight w:val="none"/>
          <w:lang w:val="en-US" w:eastAsia="zh-CN"/>
        </w:rPr>
        <w:t>9.10上述违约金委托人有权在咨询费中直接扣除。</w:t>
      </w:r>
    </w:p>
    <w:p w14:paraId="105ED3D0">
      <w:pPr>
        <w:widowControl w:val="0"/>
        <w:autoSpaceDE w:val="0"/>
        <w:autoSpaceDN w:val="0"/>
        <w:adjustRightInd w:val="0"/>
        <w:ind w:firstLine="480" w:firstLineChars="200"/>
        <w:jc w:val="both"/>
        <w:rPr>
          <w:rFonts w:hint="eastAsia" w:ascii="宋体" w:hAnsi="Times New Roman" w:eastAsia="宋体" w:cs="宋体"/>
          <w:color w:val="auto"/>
          <w:kern w:val="2"/>
          <w:sz w:val="24"/>
          <w:szCs w:val="24"/>
          <w:highlight w:val="none"/>
          <w:lang w:val="en-US" w:eastAsia="zh-CN" w:bidi="ar-SA"/>
        </w:rPr>
      </w:pPr>
    </w:p>
    <w:p w14:paraId="24DE9F56">
      <w:pPr>
        <w:widowControl w:val="0"/>
        <w:autoSpaceDE w:val="0"/>
        <w:autoSpaceDN w:val="0"/>
        <w:adjustRightInd w:val="0"/>
        <w:ind w:firstLine="480" w:firstLineChars="200"/>
        <w:jc w:val="both"/>
        <w:rPr>
          <w:rFonts w:hint="eastAsia" w:ascii="宋体" w:hAnsi="Times New Roman" w:eastAsia="宋体" w:cs="宋体"/>
          <w:color w:val="auto"/>
          <w:kern w:val="2"/>
          <w:sz w:val="24"/>
          <w:szCs w:val="24"/>
          <w:highlight w:val="none"/>
          <w:lang w:val="en-US" w:eastAsia="zh-CN" w:bidi="ar-SA"/>
        </w:rPr>
      </w:pPr>
    </w:p>
    <w:p w14:paraId="35E2D574">
      <w:pPr>
        <w:widowControl w:val="0"/>
        <w:autoSpaceDE w:val="0"/>
        <w:autoSpaceDN w:val="0"/>
        <w:adjustRightInd w:val="0"/>
        <w:ind w:firstLine="480" w:firstLineChars="200"/>
        <w:jc w:val="both"/>
        <w:rPr>
          <w:rFonts w:hint="eastAsia" w:ascii="宋体" w:hAnsi="Times New Roman" w:eastAsia="宋体" w:cs="宋体"/>
          <w:color w:val="auto"/>
          <w:kern w:val="2"/>
          <w:sz w:val="24"/>
          <w:szCs w:val="24"/>
          <w:highlight w:val="none"/>
          <w:lang w:val="en-US" w:eastAsia="zh-CN" w:bidi="ar-SA"/>
        </w:rPr>
      </w:pPr>
    </w:p>
    <w:p w14:paraId="07A3D338">
      <w:pPr>
        <w:widowControl w:val="0"/>
        <w:autoSpaceDE w:val="0"/>
        <w:autoSpaceDN w:val="0"/>
        <w:adjustRightInd w:val="0"/>
        <w:ind w:firstLine="480" w:firstLineChars="200"/>
        <w:jc w:val="both"/>
        <w:rPr>
          <w:rFonts w:hint="eastAsia" w:ascii="宋体" w:hAnsi="Times New Roman" w:eastAsia="宋体" w:cs="宋体"/>
          <w:color w:val="auto"/>
          <w:kern w:val="2"/>
          <w:sz w:val="24"/>
          <w:szCs w:val="24"/>
          <w:highlight w:val="none"/>
          <w:lang w:val="en-US" w:eastAsia="zh-CN" w:bidi="ar-SA"/>
        </w:rPr>
      </w:pPr>
    </w:p>
    <w:p w14:paraId="08A5BC70">
      <w:pPr>
        <w:widowControl w:val="0"/>
        <w:autoSpaceDE w:val="0"/>
        <w:autoSpaceDN w:val="0"/>
        <w:adjustRightInd w:val="0"/>
        <w:ind w:firstLine="480" w:firstLineChars="200"/>
        <w:jc w:val="both"/>
        <w:rPr>
          <w:rFonts w:hint="eastAsia" w:ascii="宋体" w:hAnsi="Times New Roman" w:eastAsia="宋体" w:cs="宋体"/>
          <w:color w:val="auto"/>
          <w:kern w:val="2"/>
          <w:sz w:val="24"/>
          <w:szCs w:val="24"/>
          <w:highlight w:val="none"/>
          <w:lang w:val="en-US" w:eastAsia="zh-CN" w:bidi="ar-SA"/>
        </w:rPr>
      </w:pPr>
    </w:p>
    <w:p w14:paraId="5B21B1D9">
      <w:pPr>
        <w:widowControl w:val="0"/>
        <w:autoSpaceDE w:val="0"/>
        <w:autoSpaceDN w:val="0"/>
        <w:adjustRightInd w:val="0"/>
        <w:ind w:firstLine="480" w:firstLineChars="200"/>
        <w:jc w:val="both"/>
        <w:rPr>
          <w:rFonts w:hint="eastAsia" w:ascii="宋体" w:hAnsi="Times New Roman" w:eastAsia="宋体" w:cs="宋体"/>
          <w:color w:val="auto"/>
          <w:kern w:val="2"/>
          <w:sz w:val="24"/>
          <w:szCs w:val="24"/>
          <w:highlight w:val="none"/>
          <w:lang w:val="en-US" w:eastAsia="zh-CN" w:bidi="ar-SA"/>
        </w:rPr>
      </w:pPr>
    </w:p>
    <w:p w14:paraId="064912BF">
      <w:pPr>
        <w:widowControl w:val="0"/>
        <w:autoSpaceDE w:val="0"/>
        <w:autoSpaceDN w:val="0"/>
        <w:adjustRightInd w:val="0"/>
        <w:ind w:firstLine="480" w:firstLineChars="200"/>
        <w:jc w:val="both"/>
        <w:rPr>
          <w:rFonts w:hint="eastAsia" w:ascii="宋体" w:hAnsi="Times New Roman" w:eastAsia="宋体" w:cs="宋体"/>
          <w:color w:val="auto"/>
          <w:kern w:val="2"/>
          <w:sz w:val="24"/>
          <w:szCs w:val="24"/>
          <w:highlight w:val="none"/>
          <w:lang w:val="en-US" w:eastAsia="zh-CN" w:bidi="ar-SA"/>
        </w:rPr>
      </w:pPr>
    </w:p>
    <w:p w14:paraId="4F49C8A5">
      <w:pPr>
        <w:widowControl w:val="0"/>
        <w:autoSpaceDE w:val="0"/>
        <w:autoSpaceDN w:val="0"/>
        <w:adjustRightInd w:val="0"/>
        <w:ind w:firstLine="480" w:firstLineChars="200"/>
        <w:jc w:val="both"/>
        <w:rPr>
          <w:rFonts w:hint="eastAsia" w:ascii="宋体" w:hAnsi="Times New Roman" w:eastAsia="宋体" w:cs="宋体"/>
          <w:color w:val="auto"/>
          <w:kern w:val="2"/>
          <w:sz w:val="24"/>
          <w:szCs w:val="24"/>
          <w:highlight w:val="none"/>
          <w:lang w:val="en-US" w:eastAsia="zh-CN" w:bidi="ar-SA"/>
        </w:rPr>
      </w:pPr>
    </w:p>
    <w:p w14:paraId="602C295F">
      <w:pPr>
        <w:widowControl w:val="0"/>
        <w:autoSpaceDE w:val="0"/>
        <w:autoSpaceDN w:val="0"/>
        <w:adjustRightInd w:val="0"/>
        <w:ind w:firstLine="480" w:firstLineChars="200"/>
        <w:jc w:val="both"/>
        <w:rPr>
          <w:rFonts w:hint="eastAsia" w:ascii="宋体" w:hAnsi="Times New Roman" w:eastAsia="宋体" w:cs="宋体"/>
          <w:color w:val="auto"/>
          <w:kern w:val="2"/>
          <w:sz w:val="24"/>
          <w:szCs w:val="24"/>
          <w:highlight w:val="none"/>
          <w:lang w:val="en-US" w:eastAsia="zh-CN" w:bidi="ar-SA"/>
        </w:rPr>
      </w:pPr>
    </w:p>
    <w:p w14:paraId="408A090C">
      <w:pPr>
        <w:widowControl w:val="0"/>
        <w:autoSpaceDE w:val="0"/>
        <w:autoSpaceDN w:val="0"/>
        <w:adjustRightInd w:val="0"/>
        <w:ind w:firstLine="480" w:firstLineChars="200"/>
        <w:jc w:val="both"/>
        <w:rPr>
          <w:rFonts w:hint="eastAsia" w:ascii="宋体" w:hAnsi="Times New Roman" w:eastAsia="宋体" w:cs="宋体"/>
          <w:color w:val="auto"/>
          <w:kern w:val="2"/>
          <w:sz w:val="24"/>
          <w:szCs w:val="24"/>
          <w:highlight w:val="none"/>
          <w:lang w:val="en-US" w:eastAsia="zh-CN" w:bidi="ar-SA"/>
        </w:rPr>
      </w:pPr>
    </w:p>
    <w:p w14:paraId="4593F035">
      <w:pPr>
        <w:widowControl w:val="0"/>
        <w:autoSpaceDE w:val="0"/>
        <w:autoSpaceDN w:val="0"/>
        <w:adjustRightInd w:val="0"/>
        <w:ind w:firstLine="480" w:firstLineChars="200"/>
        <w:jc w:val="both"/>
        <w:rPr>
          <w:rFonts w:hint="eastAsia" w:ascii="宋体" w:hAnsi="Times New Roman" w:eastAsia="宋体" w:cs="宋体"/>
          <w:color w:val="auto"/>
          <w:kern w:val="2"/>
          <w:sz w:val="24"/>
          <w:szCs w:val="24"/>
          <w:highlight w:val="none"/>
          <w:lang w:val="en-US" w:eastAsia="zh-CN" w:bidi="ar-SA"/>
        </w:rPr>
      </w:pPr>
    </w:p>
    <w:p w14:paraId="6EBB626A">
      <w:pPr>
        <w:widowControl w:val="0"/>
        <w:autoSpaceDE w:val="0"/>
        <w:autoSpaceDN w:val="0"/>
        <w:adjustRightInd w:val="0"/>
        <w:ind w:firstLine="480" w:firstLineChars="200"/>
        <w:jc w:val="both"/>
        <w:rPr>
          <w:rFonts w:hint="eastAsia" w:ascii="宋体" w:hAnsi="Times New Roman" w:eastAsia="宋体" w:cs="宋体"/>
          <w:color w:val="auto"/>
          <w:kern w:val="2"/>
          <w:sz w:val="24"/>
          <w:szCs w:val="24"/>
          <w:highlight w:val="none"/>
          <w:lang w:val="en-US" w:eastAsia="zh-CN" w:bidi="ar-SA"/>
        </w:rPr>
      </w:pPr>
    </w:p>
    <w:p w14:paraId="64DA2D82">
      <w:pPr>
        <w:widowControl w:val="0"/>
        <w:autoSpaceDE w:val="0"/>
        <w:autoSpaceDN w:val="0"/>
        <w:adjustRightInd w:val="0"/>
        <w:ind w:firstLine="480" w:firstLineChars="200"/>
        <w:jc w:val="both"/>
        <w:rPr>
          <w:rFonts w:hint="eastAsia" w:ascii="宋体" w:hAnsi="Times New Roman" w:eastAsia="宋体" w:cs="宋体"/>
          <w:color w:val="auto"/>
          <w:kern w:val="2"/>
          <w:sz w:val="24"/>
          <w:szCs w:val="24"/>
          <w:highlight w:val="none"/>
          <w:lang w:val="en-US" w:eastAsia="zh-CN" w:bidi="ar-SA"/>
        </w:rPr>
      </w:pPr>
    </w:p>
    <w:p w14:paraId="3146D4E3">
      <w:pPr>
        <w:widowControl w:val="0"/>
        <w:autoSpaceDE w:val="0"/>
        <w:autoSpaceDN w:val="0"/>
        <w:adjustRightInd w:val="0"/>
        <w:ind w:firstLine="480" w:firstLineChars="200"/>
        <w:jc w:val="both"/>
        <w:rPr>
          <w:rFonts w:hint="eastAsia" w:ascii="宋体" w:hAnsi="Times New Roman" w:eastAsia="宋体" w:cs="宋体"/>
          <w:color w:val="auto"/>
          <w:kern w:val="2"/>
          <w:sz w:val="24"/>
          <w:szCs w:val="24"/>
          <w:highlight w:val="none"/>
          <w:lang w:val="en-US" w:eastAsia="zh-CN" w:bidi="ar-SA"/>
        </w:rPr>
      </w:pPr>
    </w:p>
    <w:p w14:paraId="55086544">
      <w:pPr>
        <w:widowControl w:val="0"/>
        <w:autoSpaceDE w:val="0"/>
        <w:autoSpaceDN w:val="0"/>
        <w:adjustRightInd w:val="0"/>
        <w:ind w:firstLine="480" w:firstLineChars="200"/>
        <w:jc w:val="both"/>
        <w:rPr>
          <w:rFonts w:hint="eastAsia" w:ascii="宋体" w:hAnsi="Times New Roman" w:eastAsia="宋体" w:cs="宋体"/>
          <w:color w:val="auto"/>
          <w:kern w:val="2"/>
          <w:sz w:val="24"/>
          <w:szCs w:val="24"/>
          <w:highlight w:val="none"/>
          <w:lang w:val="en-US" w:eastAsia="zh-CN" w:bidi="ar-SA"/>
        </w:rPr>
      </w:pPr>
    </w:p>
    <w:p w14:paraId="40BB957A">
      <w:pPr>
        <w:widowControl w:val="0"/>
        <w:autoSpaceDE w:val="0"/>
        <w:autoSpaceDN w:val="0"/>
        <w:adjustRightInd w:val="0"/>
        <w:ind w:firstLine="480" w:firstLineChars="200"/>
        <w:jc w:val="both"/>
        <w:rPr>
          <w:rFonts w:hint="eastAsia" w:ascii="宋体" w:hAnsi="Times New Roman" w:eastAsia="宋体" w:cs="宋体"/>
          <w:color w:val="auto"/>
          <w:kern w:val="2"/>
          <w:sz w:val="24"/>
          <w:szCs w:val="24"/>
          <w:highlight w:val="none"/>
          <w:lang w:val="en-US" w:eastAsia="zh-CN" w:bidi="ar-SA"/>
        </w:rPr>
      </w:pPr>
    </w:p>
    <w:p w14:paraId="39CAD710">
      <w:pPr>
        <w:widowControl w:val="0"/>
        <w:autoSpaceDE w:val="0"/>
        <w:autoSpaceDN w:val="0"/>
        <w:adjustRightInd w:val="0"/>
        <w:ind w:firstLine="480" w:firstLineChars="200"/>
        <w:jc w:val="both"/>
        <w:rPr>
          <w:rFonts w:hint="eastAsia" w:ascii="宋体" w:hAnsi="Times New Roman" w:eastAsia="宋体" w:cs="宋体"/>
          <w:color w:val="auto"/>
          <w:kern w:val="2"/>
          <w:sz w:val="24"/>
          <w:szCs w:val="24"/>
          <w:highlight w:val="none"/>
          <w:lang w:val="en-US" w:eastAsia="zh-CN" w:bidi="ar-SA"/>
        </w:rPr>
      </w:pPr>
    </w:p>
    <w:p w14:paraId="35A6BD12">
      <w:pPr>
        <w:widowControl w:val="0"/>
        <w:autoSpaceDE w:val="0"/>
        <w:autoSpaceDN w:val="0"/>
        <w:adjustRightInd w:val="0"/>
        <w:ind w:firstLine="480" w:firstLineChars="200"/>
        <w:jc w:val="both"/>
        <w:rPr>
          <w:rFonts w:hint="eastAsia" w:ascii="宋体" w:hAnsi="Times New Roman" w:eastAsia="宋体" w:cs="宋体"/>
          <w:color w:val="auto"/>
          <w:kern w:val="2"/>
          <w:sz w:val="24"/>
          <w:szCs w:val="24"/>
          <w:highlight w:val="none"/>
          <w:lang w:val="en-US" w:eastAsia="zh-CN" w:bidi="ar-SA"/>
        </w:rPr>
      </w:pPr>
    </w:p>
    <w:p w14:paraId="7481C25B">
      <w:pPr>
        <w:widowControl w:val="0"/>
        <w:autoSpaceDE w:val="0"/>
        <w:autoSpaceDN w:val="0"/>
        <w:adjustRightInd w:val="0"/>
        <w:ind w:firstLine="480" w:firstLineChars="200"/>
        <w:jc w:val="both"/>
        <w:rPr>
          <w:rFonts w:hint="eastAsia" w:ascii="宋体" w:hAnsi="Times New Roman" w:eastAsia="宋体" w:cs="宋体"/>
          <w:color w:val="auto"/>
          <w:kern w:val="2"/>
          <w:sz w:val="24"/>
          <w:szCs w:val="24"/>
          <w:highlight w:val="none"/>
          <w:lang w:val="en-US" w:eastAsia="zh-CN" w:bidi="ar-SA"/>
        </w:rPr>
      </w:pPr>
    </w:p>
    <w:p w14:paraId="46F0E01E">
      <w:pPr>
        <w:widowControl w:val="0"/>
        <w:autoSpaceDE w:val="0"/>
        <w:autoSpaceDN w:val="0"/>
        <w:adjustRightInd w:val="0"/>
        <w:ind w:firstLine="480" w:firstLineChars="200"/>
        <w:jc w:val="both"/>
        <w:rPr>
          <w:rFonts w:hint="eastAsia" w:ascii="宋体" w:hAnsi="Times New Roman" w:eastAsia="宋体" w:cs="宋体"/>
          <w:color w:val="auto"/>
          <w:kern w:val="2"/>
          <w:sz w:val="24"/>
          <w:szCs w:val="24"/>
          <w:highlight w:val="none"/>
          <w:lang w:val="en-US" w:eastAsia="zh-CN" w:bidi="ar-SA"/>
        </w:rPr>
      </w:pPr>
    </w:p>
    <w:p w14:paraId="79E0C35C">
      <w:pPr>
        <w:widowControl w:val="0"/>
        <w:autoSpaceDE w:val="0"/>
        <w:autoSpaceDN w:val="0"/>
        <w:adjustRightInd w:val="0"/>
        <w:ind w:firstLine="480" w:firstLineChars="200"/>
        <w:jc w:val="both"/>
        <w:rPr>
          <w:rFonts w:hint="eastAsia" w:ascii="宋体" w:hAnsi="Times New Roman" w:eastAsia="宋体" w:cs="宋体"/>
          <w:color w:val="auto"/>
          <w:kern w:val="2"/>
          <w:sz w:val="24"/>
          <w:szCs w:val="24"/>
          <w:highlight w:val="none"/>
          <w:lang w:val="en-US" w:eastAsia="zh-CN" w:bidi="ar-SA"/>
        </w:rPr>
      </w:pPr>
    </w:p>
    <w:p w14:paraId="0267A887">
      <w:pPr>
        <w:widowControl w:val="0"/>
        <w:autoSpaceDE w:val="0"/>
        <w:autoSpaceDN w:val="0"/>
        <w:adjustRightInd w:val="0"/>
        <w:ind w:firstLine="480" w:firstLineChars="200"/>
        <w:jc w:val="both"/>
        <w:rPr>
          <w:rFonts w:hint="eastAsia" w:ascii="宋体" w:hAnsi="Times New Roman" w:eastAsia="宋体" w:cs="宋体"/>
          <w:color w:val="auto"/>
          <w:kern w:val="2"/>
          <w:sz w:val="24"/>
          <w:szCs w:val="24"/>
          <w:highlight w:val="none"/>
          <w:lang w:val="en-US" w:eastAsia="zh-CN" w:bidi="ar-SA"/>
        </w:rPr>
      </w:pPr>
    </w:p>
    <w:p w14:paraId="69F4EE75">
      <w:pPr>
        <w:widowControl w:val="0"/>
        <w:autoSpaceDE w:val="0"/>
        <w:autoSpaceDN w:val="0"/>
        <w:adjustRightInd w:val="0"/>
        <w:ind w:firstLine="480" w:firstLineChars="200"/>
        <w:jc w:val="both"/>
        <w:rPr>
          <w:rFonts w:hint="eastAsia" w:ascii="宋体" w:hAnsi="Times New Roman" w:eastAsia="宋体" w:cs="宋体"/>
          <w:color w:val="auto"/>
          <w:kern w:val="2"/>
          <w:sz w:val="24"/>
          <w:szCs w:val="24"/>
          <w:highlight w:val="none"/>
          <w:lang w:val="en-US" w:eastAsia="zh-CN" w:bidi="ar-SA"/>
        </w:rPr>
      </w:pPr>
    </w:p>
    <w:p w14:paraId="06AB40E1">
      <w:pPr>
        <w:widowControl w:val="0"/>
        <w:autoSpaceDE w:val="0"/>
        <w:autoSpaceDN w:val="0"/>
        <w:adjustRightInd w:val="0"/>
        <w:ind w:firstLine="480" w:firstLineChars="200"/>
        <w:jc w:val="both"/>
        <w:rPr>
          <w:rFonts w:hint="eastAsia" w:ascii="宋体" w:hAnsi="Times New Roman" w:eastAsia="宋体" w:cs="宋体"/>
          <w:color w:val="auto"/>
          <w:kern w:val="2"/>
          <w:sz w:val="24"/>
          <w:szCs w:val="24"/>
          <w:highlight w:val="none"/>
          <w:lang w:val="en-US" w:eastAsia="zh-CN" w:bidi="ar-SA"/>
        </w:rPr>
      </w:pPr>
    </w:p>
    <w:p w14:paraId="6D91868B">
      <w:pPr>
        <w:widowControl w:val="0"/>
        <w:autoSpaceDE w:val="0"/>
        <w:autoSpaceDN w:val="0"/>
        <w:adjustRightInd w:val="0"/>
        <w:ind w:firstLine="480" w:firstLineChars="200"/>
        <w:jc w:val="both"/>
        <w:rPr>
          <w:rFonts w:hint="eastAsia" w:ascii="宋体" w:hAnsi="Times New Roman" w:eastAsia="宋体" w:cs="宋体"/>
          <w:color w:val="auto"/>
          <w:kern w:val="2"/>
          <w:sz w:val="24"/>
          <w:szCs w:val="24"/>
          <w:highlight w:val="none"/>
          <w:lang w:val="en-US" w:eastAsia="zh-CN" w:bidi="ar-SA"/>
        </w:rPr>
      </w:pPr>
    </w:p>
    <w:p w14:paraId="7981789A">
      <w:pPr>
        <w:widowControl w:val="0"/>
        <w:autoSpaceDE w:val="0"/>
        <w:autoSpaceDN w:val="0"/>
        <w:adjustRightInd w:val="0"/>
        <w:ind w:firstLine="480" w:firstLineChars="200"/>
        <w:jc w:val="both"/>
        <w:rPr>
          <w:rFonts w:hint="eastAsia" w:ascii="宋体" w:hAnsi="Times New Roman" w:eastAsia="宋体" w:cs="宋体"/>
          <w:color w:val="auto"/>
          <w:kern w:val="2"/>
          <w:sz w:val="24"/>
          <w:szCs w:val="24"/>
          <w:highlight w:val="none"/>
          <w:lang w:val="en-US" w:eastAsia="zh-CN" w:bidi="ar-SA"/>
        </w:rPr>
      </w:pPr>
    </w:p>
    <w:p w14:paraId="3A3E4392">
      <w:pPr>
        <w:widowControl w:val="0"/>
        <w:autoSpaceDE w:val="0"/>
        <w:autoSpaceDN w:val="0"/>
        <w:adjustRightInd w:val="0"/>
        <w:ind w:firstLine="480" w:firstLineChars="200"/>
        <w:jc w:val="both"/>
        <w:rPr>
          <w:rFonts w:hint="eastAsia" w:ascii="宋体" w:hAnsi="Times New Roman" w:eastAsia="宋体" w:cs="宋体"/>
          <w:color w:val="auto"/>
          <w:kern w:val="2"/>
          <w:sz w:val="24"/>
          <w:szCs w:val="24"/>
          <w:highlight w:val="none"/>
          <w:lang w:val="en-US" w:eastAsia="zh-CN" w:bidi="ar-SA"/>
        </w:rPr>
      </w:pPr>
    </w:p>
    <w:p w14:paraId="1E3DE21D">
      <w:pPr>
        <w:widowControl w:val="0"/>
        <w:autoSpaceDE w:val="0"/>
        <w:autoSpaceDN w:val="0"/>
        <w:adjustRightInd w:val="0"/>
        <w:ind w:firstLine="480" w:firstLineChars="200"/>
        <w:jc w:val="both"/>
        <w:rPr>
          <w:rFonts w:hint="eastAsia" w:ascii="宋体" w:hAnsi="Times New Roman" w:eastAsia="宋体" w:cs="宋体"/>
          <w:color w:val="auto"/>
          <w:kern w:val="2"/>
          <w:sz w:val="24"/>
          <w:szCs w:val="24"/>
          <w:highlight w:val="none"/>
          <w:lang w:val="en-US" w:eastAsia="zh-CN" w:bidi="ar-SA"/>
        </w:rPr>
      </w:pPr>
    </w:p>
    <w:p w14:paraId="7B84C21D">
      <w:pPr>
        <w:widowControl w:val="0"/>
        <w:autoSpaceDE w:val="0"/>
        <w:autoSpaceDN w:val="0"/>
        <w:adjustRightInd w:val="0"/>
        <w:ind w:firstLine="480" w:firstLineChars="200"/>
        <w:jc w:val="both"/>
        <w:rPr>
          <w:rFonts w:hint="eastAsia" w:ascii="宋体" w:hAnsi="Times New Roman" w:eastAsia="宋体" w:cs="宋体"/>
          <w:color w:val="auto"/>
          <w:kern w:val="2"/>
          <w:sz w:val="24"/>
          <w:szCs w:val="24"/>
          <w:highlight w:val="none"/>
          <w:lang w:val="en-US" w:eastAsia="zh-CN" w:bidi="ar-SA"/>
        </w:rPr>
      </w:pPr>
    </w:p>
    <w:p w14:paraId="43617612">
      <w:pPr>
        <w:widowControl w:val="0"/>
        <w:autoSpaceDE w:val="0"/>
        <w:autoSpaceDN w:val="0"/>
        <w:adjustRightInd w:val="0"/>
        <w:jc w:val="both"/>
        <w:rPr>
          <w:rFonts w:hint="eastAsia" w:ascii="宋体" w:hAnsi="宋体" w:eastAsia="宋体" w:cs="宋体"/>
          <w:color w:val="auto"/>
          <w:spacing w:val="5"/>
          <w:kern w:val="2"/>
          <w:sz w:val="23"/>
          <w:szCs w:val="23"/>
          <w:highlight w:val="none"/>
          <w:lang w:val="en-US" w:eastAsia="zh-CN" w:bidi="ar-SA"/>
        </w:rPr>
      </w:pPr>
      <w:r>
        <w:rPr>
          <w:rFonts w:ascii="宋体" w:hAnsi="宋体" w:eastAsia="宋体" w:cs="宋体"/>
          <w:color w:val="auto"/>
          <w:spacing w:val="6"/>
          <w:kern w:val="2"/>
          <w:sz w:val="23"/>
          <w:szCs w:val="23"/>
          <w:highlight w:val="none"/>
          <w:lang w:val="en-US" w:eastAsia="zh-CN" w:bidi="ar-SA"/>
        </w:rPr>
        <w:t xml:space="preserve">附录 </w:t>
      </w:r>
      <w:r>
        <w:rPr>
          <w:rFonts w:ascii="宋体" w:hAnsi="宋体" w:eastAsia="宋体" w:cs="宋体"/>
          <w:color w:val="auto"/>
          <w:kern w:val="2"/>
          <w:sz w:val="23"/>
          <w:szCs w:val="23"/>
          <w:highlight w:val="none"/>
          <w:lang w:val="en-US" w:eastAsia="zh-CN" w:bidi="ar-SA"/>
        </w:rPr>
        <w:t>A</w:t>
      </w:r>
      <w:r>
        <w:rPr>
          <w:rFonts w:ascii="宋体" w:hAnsi="宋体" w:eastAsia="宋体" w:cs="宋体"/>
          <w:color w:val="auto"/>
          <w:spacing w:val="6"/>
          <w:kern w:val="2"/>
          <w:sz w:val="23"/>
          <w:szCs w:val="23"/>
          <w:highlight w:val="none"/>
          <w:lang w:val="en-US" w:eastAsia="zh-CN" w:bidi="ar-SA"/>
        </w:rPr>
        <w:t xml:space="preserve"> 服务范围及工作内容、酬金一览</w:t>
      </w:r>
      <w:r>
        <w:rPr>
          <w:rFonts w:ascii="宋体" w:hAnsi="宋体" w:eastAsia="宋体" w:cs="宋体"/>
          <w:color w:val="auto"/>
          <w:spacing w:val="5"/>
          <w:kern w:val="2"/>
          <w:sz w:val="23"/>
          <w:szCs w:val="23"/>
          <w:highlight w:val="none"/>
          <w:lang w:val="en-US" w:eastAsia="zh-CN" w:bidi="ar-SA"/>
        </w:rPr>
        <w:t>表</w:t>
      </w:r>
      <w:r>
        <w:rPr>
          <w:rFonts w:hint="eastAsia" w:ascii="宋体" w:hAnsi="宋体" w:eastAsia="宋体" w:cs="宋体"/>
          <w:color w:val="auto"/>
          <w:spacing w:val="5"/>
          <w:kern w:val="2"/>
          <w:sz w:val="23"/>
          <w:szCs w:val="23"/>
          <w:highlight w:val="none"/>
          <w:lang w:val="en-US" w:eastAsia="zh-CN" w:bidi="ar-SA"/>
        </w:rPr>
        <w:t>（略）</w:t>
      </w:r>
    </w:p>
    <w:p w14:paraId="04EB71E1">
      <w:pPr>
        <w:widowControl w:val="0"/>
        <w:autoSpaceDE w:val="0"/>
        <w:autoSpaceDN w:val="0"/>
        <w:adjustRightInd w:val="0"/>
        <w:jc w:val="both"/>
        <w:rPr>
          <w:rFonts w:hint="eastAsia" w:ascii="宋体" w:hAnsi="宋体" w:eastAsia="宋体" w:cs="宋体"/>
          <w:color w:val="auto"/>
          <w:spacing w:val="5"/>
          <w:kern w:val="2"/>
          <w:sz w:val="23"/>
          <w:szCs w:val="23"/>
          <w:highlight w:val="none"/>
          <w:lang w:val="en-US" w:eastAsia="zh-CN" w:bidi="ar-SA"/>
        </w:rPr>
      </w:pPr>
      <w:r>
        <w:rPr>
          <w:rFonts w:ascii="宋体" w:hAnsi="宋体" w:eastAsia="宋体" w:cs="宋体"/>
          <w:color w:val="auto"/>
          <w:spacing w:val="6"/>
          <w:kern w:val="2"/>
          <w:sz w:val="23"/>
          <w:szCs w:val="23"/>
          <w:highlight w:val="none"/>
          <w:lang w:val="en-US" w:eastAsia="zh-CN" w:bidi="ar-SA"/>
        </w:rPr>
        <w:t>附</w:t>
      </w:r>
      <w:r>
        <w:rPr>
          <w:rFonts w:ascii="宋体" w:hAnsi="宋体" w:eastAsia="宋体" w:cs="宋体"/>
          <w:color w:val="auto"/>
          <w:spacing w:val="5"/>
          <w:kern w:val="2"/>
          <w:sz w:val="23"/>
          <w:szCs w:val="23"/>
          <w:highlight w:val="none"/>
          <w:lang w:val="en-US" w:eastAsia="zh-CN" w:bidi="ar-SA"/>
        </w:rPr>
        <w:t xml:space="preserve">录 </w:t>
      </w:r>
      <w:r>
        <w:rPr>
          <w:rFonts w:ascii="宋体" w:hAnsi="宋体" w:eastAsia="宋体" w:cs="宋体"/>
          <w:color w:val="auto"/>
          <w:kern w:val="2"/>
          <w:sz w:val="23"/>
          <w:szCs w:val="23"/>
          <w:highlight w:val="none"/>
          <w:lang w:val="en-US" w:eastAsia="zh-CN" w:bidi="ar-SA"/>
        </w:rPr>
        <w:t>B</w:t>
      </w:r>
      <w:r>
        <w:rPr>
          <w:rFonts w:ascii="宋体" w:hAnsi="宋体" w:eastAsia="宋体" w:cs="宋体"/>
          <w:color w:val="auto"/>
          <w:spacing w:val="5"/>
          <w:kern w:val="2"/>
          <w:sz w:val="23"/>
          <w:szCs w:val="23"/>
          <w:highlight w:val="none"/>
          <w:lang w:val="en-US" w:eastAsia="zh-CN" w:bidi="ar-SA"/>
        </w:rPr>
        <w:t xml:space="preserve"> 咨询人提交成果文件一览表</w:t>
      </w:r>
      <w:r>
        <w:rPr>
          <w:rFonts w:hint="eastAsia" w:ascii="宋体" w:hAnsi="宋体" w:eastAsia="宋体" w:cs="宋体"/>
          <w:color w:val="auto"/>
          <w:spacing w:val="5"/>
          <w:kern w:val="2"/>
          <w:sz w:val="23"/>
          <w:szCs w:val="23"/>
          <w:highlight w:val="none"/>
          <w:lang w:val="en-US" w:eastAsia="zh-CN" w:bidi="ar-SA"/>
        </w:rPr>
        <w:t>（略）</w:t>
      </w:r>
      <w:bookmarkStart w:id="228" w:name="_bookmark89"/>
      <w:bookmarkEnd w:id="228"/>
    </w:p>
    <w:p w14:paraId="5963CC3E">
      <w:pPr>
        <w:widowControl w:val="0"/>
        <w:autoSpaceDE w:val="0"/>
        <w:autoSpaceDN w:val="0"/>
        <w:adjustRightInd w:val="0"/>
        <w:jc w:val="both"/>
        <w:rPr>
          <w:rFonts w:hint="eastAsia" w:ascii="宋体" w:hAnsi="宋体" w:eastAsia="宋体" w:cs="宋体"/>
          <w:color w:val="auto"/>
          <w:spacing w:val="5"/>
          <w:kern w:val="2"/>
          <w:sz w:val="23"/>
          <w:szCs w:val="23"/>
          <w:highlight w:val="none"/>
          <w:lang w:val="en-US" w:eastAsia="zh-CN" w:bidi="ar-SA"/>
        </w:rPr>
      </w:pPr>
    </w:p>
    <w:p w14:paraId="6AD8DA8E">
      <w:pPr>
        <w:widowControl w:val="0"/>
        <w:autoSpaceDE w:val="0"/>
        <w:autoSpaceDN w:val="0"/>
        <w:adjustRightInd w:val="0"/>
        <w:jc w:val="left"/>
        <w:rPr>
          <w:rFonts w:ascii="宋体" w:hAnsi="宋体" w:eastAsia="宋体" w:cs="宋体"/>
          <w:color w:val="auto"/>
          <w:kern w:val="2"/>
          <w:sz w:val="23"/>
          <w:szCs w:val="23"/>
          <w:highlight w:val="none"/>
          <w:lang w:val="en-US" w:eastAsia="zh-CN" w:bidi="ar-SA"/>
        </w:rPr>
      </w:pPr>
      <w:r>
        <w:rPr>
          <w:rFonts w:ascii="宋体" w:hAnsi="宋体" w:eastAsia="宋体" w:cs="宋体"/>
          <w:color w:val="auto"/>
          <w:spacing w:val="8"/>
          <w:kern w:val="2"/>
          <w:sz w:val="23"/>
          <w:szCs w:val="23"/>
          <w:highlight w:val="none"/>
          <w:lang w:val="en-US" w:eastAsia="zh-CN" w:bidi="ar-SA"/>
        </w:rPr>
        <w:t>附</w:t>
      </w:r>
      <w:r>
        <w:rPr>
          <w:rFonts w:ascii="宋体" w:hAnsi="宋体" w:eastAsia="宋体" w:cs="宋体"/>
          <w:color w:val="auto"/>
          <w:spacing w:val="6"/>
          <w:kern w:val="2"/>
          <w:sz w:val="23"/>
          <w:szCs w:val="23"/>
          <w:highlight w:val="none"/>
          <w:lang w:val="en-US" w:eastAsia="zh-CN" w:bidi="ar-SA"/>
        </w:rPr>
        <w:t>录</w:t>
      </w:r>
      <w:r>
        <w:rPr>
          <w:rFonts w:ascii="宋体" w:hAnsi="宋体" w:eastAsia="宋体" w:cs="宋体"/>
          <w:color w:val="auto"/>
          <w:spacing w:val="4"/>
          <w:kern w:val="2"/>
          <w:sz w:val="23"/>
          <w:szCs w:val="23"/>
          <w:highlight w:val="none"/>
          <w:lang w:val="en-US" w:eastAsia="zh-CN" w:bidi="ar-SA"/>
        </w:rPr>
        <w:t xml:space="preserve"> </w:t>
      </w:r>
      <w:r>
        <w:rPr>
          <w:rFonts w:ascii="宋体" w:hAnsi="宋体" w:eastAsia="宋体" w:cs="宋体"/>
          <w:color w:val="auto"/>
          <w:kern w:val="2"/>
          <w:sz w:val="23"/>
          <w:szCs w:val="23"/>
          <w:highlight w:val="none"/>
          <w:lang w:val="en-US" w:eastAsia="zh-CN" w:bidi="ar-SA"/>
        </w:rPr>
        <w:t>C</w:t>
      </w:r>
      <w:r>
        <w:rPr>
          <w:rFonts w:ascii="宋体" w:hAnsi="宋体" w:eastAsia="宋体" w:cs="宋体"/>
          <w:color w:val="auto"/>
          <w:spacing w:val="4"/>
          <w:kern w:val="2"/>
          <w:sz w:val="23"/>
          <w:szCs w:val="23"/>
          <w:highlight w:val="none"/>
          <w:lang w:val="en-US" w:eastAsia="zh-CN" w:bidi="ar-SA"/>
        </w:rPr>
        <w:t xml:space="preserve">  委托人提供资料一览表</w:t>
      </w:r>
    </w:p>
    <w:p w14:paraId="474504B8">
      <w:pPr>
        <w:autoSpaceDE/>
        <w:autoSpaceDN/>
        <w:adjustRightInd/>
        <w:jc w:val="both"/>
        <w:rPr>
          <w:rFonts w:ascii="Times New Roman" w:hAnsi="Times New Roman" w:eastAsia="宋体" w:cs="Times New Roman"/>
          <w:color w:val="auto"/>
          <w:kern w:val="2"/>
          <w:sz w:val="21"/>
          <w:highlight w:val="none"/>
        </w:rPr>
      </w:pPr>
    </w:p>
    <w:p w14:paraId="1767614C">
      <w:pPr>
        <w:autoSpaceDE/>
        <w:autoSpaceDN/>
        <w:adjustRightInd/>
        <w:spacing w:line="194" w:lineRule="exact"/>
        <w:jc w:val="both"/>
        <w:rPr>
          <w:rFonts w:ascii="Times New Roman" w:hAnsi="Times New Roman" w:eastAsia="宋体" w:cs="Times New Roman"/>
          <w:color w:val="auto"/>
          <w:kern w:val="2"/>
          <w:sz w:val="21"/>
          <w:highlight w:val="none"/>
        </w:rPr>
      </w:pPr>
    </w:p>
    <w:tbl>
      <w:tblPr>
        <w:tblStyle w:val="401"/>
        <w:tblW w:w="872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562"/>
        <w:gridCol w:w="836"/>
        <w:gridCol w:w="1337"/>
        <w:gridCol w:w="2986"/>
      </w:tblGrid>
      <w:tr w14:paraId="3119D0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trPr>
        <w:tc>
          <w:tcPr>
            <w:tcW w:w="3562" w:type="dxa"/>
            <w:noWrap w:val="0"/>
            <w:vAlign w:val="top"/>
          </w:tcPr>
          <w:p w14:paraId="6891FC9E">
            <w:pPr>
              <w:autoSpaceDE/>
              <w:autoSpaceDN/>
              <w:adjustRightInd/>
              <w:spacing w:before="41" w:line="229" w:lineRule="auto"/>
              <w:ind w:left="1551"/>
              <w:jc w:val="both"/>
              <w:rPr>
                <w:rFonts w:ascii="宋体" w:hAnsi="宋体" w:eastAsia="宋体" w:cs="宋体"/>
                <w:color w:val="auto"/>
                <w:kern w:val="2"/>
                <w:sz w:val="23"/>
                <w:szCs w:val="23"/>
                <w:highlight w:val="none"/>
              </w:rPr>
            </w:pPr>
            <w:r>
              <w:rPr>
                <w:rFonts w:ascii="宋体" w:hAnsi="宋体" w:eastAsia="宋体" w:cs="宋体"/>
                <w:color w:val="auto"/>
                <w:spacing w:val="4"/>
                <w:kern w:val="2"/>
                <w:sz w:val="23"/>
                <w:szCs w:val="23"/>
                <w:highlight w:val="none"/>
              </w:rPr>
              <w:t>名</w:t>
            </w:r>
            <w:r>
              <w:rPr>
                <w:rFonts w:ascii="宋体" w:hAnsi="宋体" w:eastAsia="宋体" w:cs="宋体"/>
                <w:color w:val="auto"/>
                <w:spacing w:val="3"/>
                <w:kern w:val="2"/>
                <w:sz w:val="23"/>
                <w:szCs w:val="23"/>
                <w:highlight w:val="none"/>
              </w:rPr>
              <w:t>称</w:t>
            </w:r>
          </w:p>
        </w:tc>
        <w:tc>
          <w:tcPr>
            <w:tcW w:w="836" w:type="dxa"/>
            <w:noWrap w:val="0"/>
            <w:vAlign w:val="top"/>
          </w:tcPr>
          <w:p w14:paraId="02ECC52A">
            <w:pPr>
              <w:autoSpaceDE/>
              <w:autoSpaceDN/>
              <w:adjustRightInd/>
              <w:spacing w:before="41" w:line="227" w:lineRule="auto"/>
              <w:ind w:left="184"/>
              <w:jc w:val="both"/>
              <w:rPr>
                <w:rFonts w:ascii="宋体" w:hAnsi="宋体" w:eastAsia="宋体" w:cs="宋体"/>
                <w:color w:val="auto"/>
                <w:kern w:val="2"/>
                <w:sz w:val="23"/>
                <w:szCs w:val="23"/>
                <w:highlight w:val="none"/>
              </w:rPr>
            </w:pPr>
            <w:r>
              <w:rPr>
                <w:rFonts w:ascii="宋体" w:hAnsi="宋体" w:eastAsia="宋体" w:cs="宋体"/>
                <w:color w:val="auto"/>
                <w:spacing w:val="5"/>
                <w:kern w:val="2"/>
                <w:sz w:val="23"/>
                <w:szCs w:val="23"/>
                <w:highlight w:val="none"/>
              </w:rPr>
              <w:t>份数</w:t>
            </w:r>
          </w:p>
        </w:tc>
        <w:tc>
          <w:tcPr>
            <w:tcW w:w="1337" w:type="dxa"/>
            <w:noWrap w:val="0"/>
            <w:vAlign w:val="top"/>
          </w:tcPr>
          <w:p w14:paraId="1625C533">
            <w:pPr>
              <w:autoSpaceDE/>
              <w:autoSpaceDN/>
              <w:adjustRightInd/>
              <w:spacing w:before="41" w:line="226" w:lineRule="auto"/>
              <w:ind w:left="194"/>
              <w:jc w:val="both"/>
              <w:rPr>
                <w:rFonts w:ascii="宋体" w:hAnsi="宋体" w:eastAsia="宋体" w:cs="宋体"/>
                <w:color w:val="auto"/>
                <w:kern w:val="2"/>
                <w:sz w:val="23"/>
                <w:szCs w:val="23"/>
                <w:highlight w:val="none"/>
              </w:rPr>
            </w:pPr>
            <w:r>
              <w:rPr>
                <w:rFonts w:ascii="宋体" w:hAnsi="宋体" w:eastAsia="宋体" w:cs="宋体"/>
                <w:color w:val="auto"/>
                <w:spacing w:val="8"/>
                <w:kern w:val="2"/>
                <w:sz w:val="23"/>
                <w:szCs w:val="23"/>
                <w:highlight w:val="none"/>
              </w:rPr>
              <w:t>提供时</w:t>
            </w:r>
            <w:r>
              <w:rPr>
                <w:rFonts w:ascii="宋体" w:hAnsi="宋体" w:eastAsia="宋体" w:cs="宋体"/>
                <w:color w:val="auto"/>
                <w:spacing w:val="7"/>
                <w:kern w:val="2"/>
                <w:sz w:val="23"/>
                <w:szCs w:val="23"/>
                <w:highlight w:val="none"/>
              </w:rPr>
              <w:t>间</w:t>
            </w:r>
          </w:p>
        </w:tc>
        <w:tc>
          <w:tcPr>
            <w:tcW w:w="2986" w:type="dxa"/>
            <w:noWrap w:val="0"/>
            <w:vAlign w:val="top"/>
          </w:tcPr>
          <w:p w14:paraId="45A9509F">
            <w:pPr>
              <w:autoSpaceDE/>
              <w:autoSpaceDN/>
              <w:adjustRightInd/>
              <w:spacing w:before="41" w:line="228" w:lineRule="auto"/>
              <w:ind w:left="872"/>
              <w:jc w:val="both"/>
              <w:rPr>
                <w:rFonts w:ascii="宋体" w:hAnsi="宋体" w:eastAsia="宋体" w:cs="宋体"/>
                <w:color w:val="auto"/>
                <w:kern w:val="2"/>
                <w:sz w:val="23"/>
                <w:szCs w:val="23"/>
                <w:highlight w:val="none"/>
              </w:rPr>
            </w:pPr>
            <w:r>
              <w:rPr>
                <w:rFonts w:ascii="宋体" w:hAnsi="宋体" w:eastAsia="宋体" w:cs="宋体"/>
                <w:color w:val="auto"/>
                <w:spacing w:val="4"/>
                <w:kern w:val="2"/>
                <w:sz w:val="23"/>
                <w:szCs w:val="23"/>
                <w:highlight w:val="none"/>
              </w:rPr>
              <w:t>备</w:t>
            </w:r>
            <w:r>
              <w:rPr>
                <w:rFonts w:ascii="宋体" w:hAnsi="宋体" w:eastAsia="宋体" w:cs="宋体"/>
                <w:color w:val="auto"/>
                <w:spacing w:val="3"/>
                <w:kern w:val="2"/>
                <w:sz w:val="23"/>
                <w:szCs w:val="23"/>
                <w:highlight w:val="none"/>
              </w:rPr>
              <w:t>注</w:t>
            </w:r>
          </w:p>
        </w:tc>
      </w:tr>
      <w:tr w14:paraId="06A8B6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3562" w:type="dxa"/>
            <w:noWrap w:val="0"/>
            <w:vAlign w:val="center"/>
          </w:tcPr>
          <w:p w14:paraId="5CEE2FC2">
            <w:pPr>
              <w:autoSpaceDE/>
              <w:autoSpaceDN/>
              <w:adjustRightInd/>
              <w:jc w:val="both"/>
              <w:rPr>
                <w:rFonts w:hint="default" w:ascii="Arial" w:hAnsi="Times New Roman" w:eastAsia="宋体" w:cs="Times New Roman"/>
                <w:color w:val="auto"/>
                <w:kern w:val="2"/>
                <w:sz w:val="21"/>
                <w:highlight w:val="none"/>
                <w:lang w:val="en-US" w:eastAsia="zh-CN"/>
              </w:rPr>
            </w:pPr>
          </w:p>
        </w:tc>
        <w:tc>
          <w:tcPr>
            <w:tcW w:w="836" w:type="dxa"/>
            <w:noWrap w:val="0"/>
            <w:vAlign w:val="center"/>
          </w:tcPr>
          <w:p w14:paraId="6E4A122F">
            <w:pPr>
              <w:autoSpaceDE/>
              <w:autoSpaceDN/>
              <w:adjustRightInd/>
              <w:jc w:val="center"/>
              <w:rPr>
                <w:rFonts w:hint="default" w:ascii="Arial" w:hAnsi="Times New Roman" w:eastAsia="宋体" w:cs="Times New Roman"/>
                <w:color w:val="auto"/>
                <w:kern w:val="2"/>
                <w:sz w:val="21"/>
                <w:highlight w:val="none"/>
                <w:lang w:val="en-US" w:eastAsia="zh-CN"/>
              </w:rPr>
            </w:pPr>
          </w:p>
        </w:tc>
        <w:tc>
          <w:tcPr>
            <w:tcW w:w="1337" w:type="dxa"/>
            <w:noWrap w:val="0"/>
            <w:vAlign w:val="center"/>
          </w:tcPr>
          <w:p w14:paraId="26E4FDF6">
            <w:pPr>
              <w:autoSpaceDE/>
              <w:autoSpaceDN/>
              <w:adjustRightInd/>
              <w:jc w:val="center"/>
              <w:rPr>
                <w:rFonts w:hint="default" w:ascii="Arial" w:hAnsi="Times New Roman" w:eastAsia="宋体" w:cs="Times New Roman"/>
                <w:color w:val="auto"/>
                <w:kern w:val="2"/>
                <w:sz w:val="21"/>
                <w:highlight w:val="none"/>
                <w:lang w:val="en-US" w:eastAsia="zh-CN"/>
              </w:rPr>
            </w:pPr>
          </w:p>
        </w:tc>
        <w:tc>
          <w:tcPr>
            <w:tcW w:w="2986" w:type="dxa"/>
            <w:noWrap w:val="0"/>
            <w:vAlign w:val="center"/>
          </w:tcPr>
          <w:p w14:paraId="57135BF8">
            <w:pPr>
              <w:autoSpaceDE/>
              <w:autoSpaceDN/>
              <w:adjustRightInd/>
              <w:jc w:val="center"/>
              <w:rPr>
                <w:rFonts w:hint="default" w:ascii="Arial" w:hAnsi="Times New Roman" w:eastAsia="宋体" w:cs="Times New Roman"/>
                <w:color w:val="auto"/>
                <w:kern w:val="2"/>
                <w:sz w:val="21"/>
                <w:highlight w:val="none"/>
                <w:lang w:val="en-US" w:eastAsia="zh-CN"/>
              </w:rPr>
            </w:pPr>
          </w:p>
        </w:tc>
      </w:tr>
      <w:tr w14:paraId="4963FE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3562" w:type="dxa"/>
            <w:noWrap w:val="0"/>
            <w:vAlign w:val="center"/>
          </w:tcPr>
          <w:p w14:paraId="46BE26F6">
            <w:pPr>
              <w:autoSpaceDE/>
              <w:autoSpaceDN/>
              <w:adjustRightInd/>
              <w:jc w:val="both"/>
              <w:rPr>
                <w:rFonts w:hint="default" w:ascii="Arial" w:hAnsi="Times New Roman" w:eastAsia="宋体" w:cs="Times New Roman"/>
                <w:color w:val="auto"/>
                <w:kern w:val="2"/>
                <w:sz w:val="21"/>
                <w:highlight w:val="none"/>
                <w:lang w:val="en-US" w:eastAsia="zh-CN"/>
              </w:rPr>
            </w:pPr>
          </w:p>
        </w:tc>
        <w:tc>
          <w:tcPr>
            <w:tcW w:w="836" w:type="dxa"/>
            <w:noWrap w:val="0"/>
            <w:vAlign w:val="center"/>
          </w:tcPr>
          <w:p w14:paraId="65B5E457">
            <w:pPr>
              <w:autoSpaceDE/>
              <w:autoSpaceDN/>
              <w:adjustRightInd/>
              <w:jc w:val="center"/>
              <w:rPr>
                <w:rFonts w:hint="default" w:ascii="Arial" w:hAnsi="Times New Roman" w:eastAsia="宋体" w:cs="Times New Roman"/>
                <w:color w:val="auto"/>
                <w:kern w:val="2"/>
                <w:sz w:val="21"/>
                <w:highlight w:val="none"/>
                <w:lang w:val="en-US" w:eastAsia="zh-CN"/>
              </w:rPr>
            </w:pPr>
          </w:p>
        </w:tc>
        <w:tc>
          <w:tcPr>
            <w:tcW w:w="1337" w:type="dxa"/>
            <w:noWrap w:val="0"/>
            <w:vAlign w:val="center"/>
          </w:tcPr>
          <w:p w14:paraId="518C6058">
            <w:pPr>
              <w:autoSpaceDE/>
              <w:autoSpaceDN/>
              <w:adjustRightInd/>
              <w:jc w:val="center"/>
              <w:rPr>
                <w:rFonts w:hint="default" w:ascii="Arial" w:hAnsi="Times New Roman" w:eastAsia="宋体" w:cs="Times New Roman"/>
                <w:color w:val="auto"/>
                <w:kern w:val="2"/>
                <w:sz w:val="21"/>
                <w:highlight w:val="none"/>
                <w:lang w:val="en-US" w:eastAsia="zh-CN"/>
              </w:rPr>
            </w:pPr>
          </w:p>
        </w:tc>
        <w:tc>
          <w:tcPr>
            <w:tcW w:w="2986" w:type="dxa"/>
            <w:noWrap w:val="0"/>
            <w:vAlign w:val="center"/>
          </w:tcPr>
          <w:p w14:paraId="3AF9289E">
            <w:pPr>
              <w:autoSpaceDE/>
              <w:autoSpaceDN/>
              <w:adjustRightInd/>
              <w:jc w:val="center"/>
              <w:rPr>
                <w:rFonts w:hint="default" w:ascii="Arial" w:hAnsi="Times New Roman" w:eastAsia="宋体" w:cs="Times New Roman"/>
                <w:color w:val="auto"/>
                <w:kern w:val="2"/>
                <w:sz w:val="21"/>
                <w:highlight w:val="none"/>
                <w:lang w:val="en-US" w:eastAsia="zh-CN"/>
              </w:rPr>
            </w:pPr>
          </w:p>
        </w:tc>
      </w:tr>
      <w:tr w14:paraId="34EAFA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3562" w:type="dxa"/>
            <w:noWrap w:val="0"/>
            <w:vAlign w:val="center"/>
          </w:tcPr>
          <w:p w14:paraId="020ADF04">
            <w:pPr>
              <w:autoSpaceDE/>
              <w:autoSpaceDN/>
              <w:adjustRightInd/>
              <w:jc w:val="both"/>
              <w:rPr>
                <w:rFonts w:hint="default" w:ascii="Arial" w:hAnsi="Times New Roman" w:eastAsia="宋体" w:cs="Times New Roman"/>
                <w:color w:val="auto"/>
                <w:kern w:val="2"/>
                <w:sz w:val="21"/>
                <w:highlight w:val="none"/>
                <w:lang w:val="en-US" w:eastAsia="zh-CN"/>
              </w:rPr>
            </w:pPr>
          </w:p>
        </w:tc>
        <w:tc>
          <w:tcPr>
            <w:tcW w:w="836" w:type="dxa"/>
            <w:noWrap w:val="0"/>
            <w:vAlign w:val="center"/>
          </w:tcPr>
          <w:p w14:paraId="5BD5EF56">
            <w:pPr>
              <w:autoSpaceDE/>
              <w:autoSpaceDN/>
              <w:adjustRightInd/>
              <w:jc w:val="center"/>
              <w:rPr>
                <w:rFonts w:hint="default" w:ascii="Arial" w:hAnsi="Times New Roman" w:eastAsia="宋体" w:cs="Times New Roman"/>
                <w:color w:val="auto"/>
                <w:kern w:val="2"/>
                <w:sz w:val="21"/>
                <w:highlight w:val="none"/>
                <w:lang w:val="en-US" w:eastAsia="zh-CN"/>
              </w:rPr>
            </w:pPr>
          </w:p>
        </w:tc>
        <w:tc>
          <w:tcPr>
            <w:tcW w:w="1337" w:type="dxa"/>
            <w:noWrap w:val="0"/>
            <w:vAlign w:val="center"/>
          </w:tcPr>
          <w:p w14:paraId="165F9053">
            <w:pPr>
              <w:autoSpaceDE/>
              <w:autoSpaceDN/>
              <w:adjustRightInd/>
              <w:jc w:val="center"/>
              <w:rPr>
                <w:rFonts w:hint="default" w:ascii="Arial" w:hAnsi="Times New Roman" w:eastAsia="宋体" w:cs="Times New Roman"/>
                <w:color w:val="auto"/>
                <w:kern w:val="2"/>
                <w:sz w:val="21"/>
                <w:highlight w:val="none"/>
                <w:lang w:val="en-US" w:eastAsia="zh-CN"/>
              </w:rPr>
            </w:pPr>
          </w:p>
        </w:tc>
        <w:tc>
          <w:tcPr>
            <w:tcW w:w="2986" w:type="dxa"/>
            <w:noWrap w:val="0"/>
            <w:vAlign w:val="center"/>
          </w:tcPr>
          <w:p w14:paraId="4D7C86D2">
            <w:pPr>
              <w:autoSpaceDE/>
              <w:autoSpaceDN/>
              <w:adjustRightInd/>
              <w:jc w:val="center"/>
              <w:rPr>
                <w:rFonts w:hint="default" w:ascii="Arial" w:hAnsi="Times New Roman" w:eastAsia="宋体" w:cs="Times New Roman"/>
                <w:color w:val="auto"/>
                <w:kern w:val="2"/>
                <w:sz w:val="21"/>
                <w:highlight w:val="none"/>
                <w:lang w:val="en-US" w:eastAsia="zh-CN"/>
              </w:rPr>
            </w:pPr>
          </w:p>
        </w:tc>
      </w:tr>
    </w:tbl>
    <w:p w14:paraId="583F0A30">
      <w:pPr>
        <w:autoSpaceDE/>
        <w:autoSpaceDN/>
        <w:adjustRightInd/>
        <w:jc w:val="both"/>
        <w:rPr>
          <w:rFonts w:ascii="Arial" w:hAnsi="Times New Roman" w:eastAsia="宋体" w:cs="Times New Roman"/>
          <w:color w:val="auto"/>
          <w:kern w:val="2"/>
          <w:sz w:val="21"/>
          <w:highlight w:val="none"/>
        </w:rPr>
      </w:pPr>
    </w:p>
    <w:p w14:paraId="2DB941F9">
      <w:pPr>
        <w:autoSpaceDE/>
        <w:autoSpaceDN/>
        <w:adjustRightInd/>
        <w:jc w:val="both"/>
        <w:rPr>
          <w:rFonts w:ascii="Times New Roman" w:hAnsi="Times New Roman" w:eastAsia="宋体" w:cs="Times New Roman"/>
          <w:color w:val="auto"/>
          <w:kern w:val="2"/>
          <w:sz w:val="21"/>
          <w:highlight w:val="none"/>
        </w:rPr>
      </w:pPr>
    </w:p>
    <w:p w14:paraId="22DF6B45">
      <w:pPr>
        <w:widowControl w:val="0"/>
        <w:autoSpaceDE w:val="0"/>
        <w:autoSpaceDN w:val="0"/>
        <w:adjustRightInd w:val="0"/>
        <w:jc w:val="left"/>
        <w:rPr>
          <w:rFonts w:ascii="宋体" w:hAnsi="宋体" w:eastAsia="宋体" w:cs="宋体"/>
          <w:color w:val="auto"/>
          <w:spacing w:val="4"/>
          <w:kern w:val="2"/>
          <w:sz w:val="23"/>
          <w:szCs w:val="23"/>
          <w:highlight w:val="none"/>
          <w:lang w:val="en-US" w:eastAsia="zh-CN" w:bidi="ar-SA"/>
        </w:rPr>
      </w:pPr>
      <w:bookmarkStart w:id="229" w:name="_bookmark90"/>
      <w:bookmarkEnd w:id="229"/>
      <w:r>
        <w:rPr>
          <w:rFonts w:ascii="宋体" w:hAnsi="宋体" w:eastAsia="宋体" w:cs="宋体"/>
          <w:color w:val="auto"/>
          <w:spacing w:val="4"/>
          <w:kern w:val="2"/>
          <w:sz w:val="23"/>
          <w:szCs w:val="23"/>
          <w:highlight w:val="none"/>
          <w:lang w:val="en-US" w:eastAsia="zh-CN" w:bidi="ar-SA"/>
        </w:rPr>
        <w:t>附录 D 委托人提供房屋及设备一览表</w:t>
      </w:r>
    </w:p>
    <w:p w14:paraId="40A87A81">
      <w:pPr>
        <w:autoSpaceDE/>
        <w:autoSpaceDN/>
        <w:adjustRightInd/>
        <w:jc w:val="both"/>
        <w:rPr>
          <w:rFonts w:ascii="Times New Roman" w:hAnsi="Times New Roman" w:eastAsia="宋体" w:cs="Times New Roman"/>
          <w:color w:val="auto"/>
          <w:kern w:val="2"/>
          <w:sz w:val="21"/>
          <w:highlight w:val="none"/>
        </w:rPr>
      </w:pPr>
    </w:p>
    <w:p w14:paraId="6D4AF60D">
      <w:pPr>
        <w:autoSpaceDE/>
        <w:autoSpaceDN/>
        <w:adjustRightInd/>
        <w:spacing w:line="194" w:lineRule="exact"/>
        <w:jc w:val="both"/>
        <w:rPr>
          <w:rFonts w:ascii="Times New Roman" w:hAnsi="Times New Roman" w:eastAsia="宋体" w:cs="Times New Roman"/>
          <w:color w:val="auto"/>
          <w:kern w:val="2"/>
          <w:sz w:val="21"/>
          <w:highlight w:val="none"/>
        </w:rPr>
      </w:pPr>
    </w:p>
    <w:tbl>
      <w:tblPr>
        <w:tblStyle w:val="401"/>
        <w:tblW w:w="873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737"/>
        <w:gridCol w:w="860"/>
        <w:gridCol w:w="2366"/>
        <w:gridCol w:w="2773"/>
      </w:tblGrid>
      <w:tr w14:paraId="00E38D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trPr>
        <w:tc>
          <w:tcPr>
            <w:tcW w:w="2737" w:type="dxa"/>
            <w:noWrap w:val="0"/>
            <w:vAlign w:val="top"/>
          </w:tcPr>
          <w:p w14:paraId="17B26C07">
            <w:pPr>
              <w:autoSpaceDE/>
              <w:autoSpaceDN/>
              <w:adjustRightInd/>
              <w:spacing w:before="41" w:line="229" w:lineRule="auto"/>
              <w:ind w:left="1126"/>
              <w:jc w:val="both"/>
              <w:rPr>
                <w:rFonts w:ascii="宋体" w:hAnsi="宋体" w:eastAsia="宋体" w:cs="宋体"/>
                <w:color w:val="auto"/>
                <w:kern w:val="2"/>
                <w:sz w:val="23"/>
                <w:szCs w:val="23"/>
                <w:highlight w:val="none"/>
              </w:rPr>
            </w:pPr>
            <w:r>
              <w:rPr>
                <w:rFonts w:ascii="宋体" w:hAnsi="宋体" w:eastAsia="宋体" w:cs="宋体"/>
                <w:color w:val="auto"/>
                <w:spacing w:val="4"/>
                <w:kern w:val="2"/>
                <w:sz w:val="23"/>
                <w:szCs w:val="23"/>
                <w:highlight w:val="none"/>
              </w:rPr>
              <w:t>名</w:t>
            </w:r>
            <w:r>
              <w:rPr>
                <w:rFonts w:ascii="宋体" w:hAnsi="宋体" w:eastAsia="宋体" w:cs="宋体"/>
                <w:color w:val="auto"/>
                <w:spacing w:val="3"/>
                <w:kern w:val="2"/>
                <w:sz w:val="23"/>
                <w:szCs w:val="23"/>
                <w:highlight w:val="none"/>
              </w:rPr>
              <w:t>称</w:t>
            </w:r>
          </w:p>
        </w:tc>
        <w:tc>
          <w:tcPr>
            <w:tcW w:w="860" w:type="dxa"/>
            <w:noWrap w:val="0"/>
            <w:vAlign w:val="top"/>
          </w:tcPr>
          <w:p w14:paraId="338B53BE">
            <w:pPr>
              <w:autoSpaceDE/>
              <w:autoSpaceDN/>
              <w:adjustRightInd/>
              <w:spacing w:before="41" w:line="227" w:lineRule="auto"/>
              <w:ind w:left="185"/>
              <w:jc w:val="both"/>
              <w:rPr>
                <w:rFonts w:ascii="宋体" w:hAnsi="宋体" w:eastAsia="宋体" w:cs="宋体"/>
                <w:color w:val="auto"/>
                <w:kern w:val="2"/>
                <w:sz w:val="23"/>
                <w:szCs w:val="23"/>
                <w:highlight w:val="none"/>
              </w:rPr>
            </w:pPr>
            <w:r>
              <w:rPr>
                <w:rFonts w:ascii="宋体" w:hAnsi="宋体" w:eastAsia="宋体" w:cs="宋体"/>
                <w:color w:val="auto"/>
                <w:spacing w:val="4"/>
                <w:kern w:val="2"/>
                <w:sz w:val="23"/>
                <w:szCs w:val="23"/>
                <w:highlight w:val="none"/>
              </w:rPr>
              <w:t>数量</w:t>
            </w:r>
          </w:p>
        </w:tc>
        <w:tc>
          <w:tcPr>
            <w:tcW w:w="2366" w:type="dxa"/>
            <w:noWrap w:val="0"/>
            <w:vAlign w:val="top"/>
          </w:tcPr>
          <w:p w14:paraId="29A7B5BC">
            <w:pPr>
              <w:autoSpaceDE/>
              <w:autoSpaceDN/>
              <w:adjustRightInd/>
              <w:spacing w:before="41" w:line="227" w:lineRule="auto"/>
              <w:ind w:left="232"/>
              <w:jc w:val="both"/>
              <w:rPr>
                <w:rFonts w:ascii="宋体" w:hAnsi="宋体" w:eastAsia="宋体" w:cs="宋体"/>
                <w:color w:val="auto"/>
                <w:kern w:val="2"/>
                <w:sz w:val="23"/>
                <w:szCs w:val="23"/>
                <w:highlight w:val="none"/>
              </w:rPr>
            </w:pPr>
            <w:r>
              <w:rPr>
                <w:rFonts w:ascii="宋体" w:hAnsi="宋体" w:eastAsia="宋体" w:cs="宋体"/>
                <w:color w:val="auto"/>
                <w:spacing w:val="13"/>
                <w:kern w:val="2"/>
                <w:sz w:val="23"/>
                <w:szCs w:val="23"/>
                <w:highlight w:val="none"/>
              </w:rPr>
              <w:t>面</w:t>
            </w:r>
            <w:r>
              <w:rPr>
                <w:rFonts w:ascii="宋体" w:hAnsi="宋体" w:eastAsia="宋体" w:cs="宋体"/>
                <w:color w:val="auto"/>
                <w:spacing w:val="8"/>
                <w:kern w:val="2"/>
                <w:sz w:val="23"/>
                <w:szCs w:val="23"/>
                <w:highlight w:val="none"/>
              </w:rPr>
              <w:t>积、型号及规格</w:t>
            </w:r>
          </w:p>
        </w:tc>
        <w:tc>
          <w:tcPr>
            <w:tcW w:w="2773" w:type="dxa"/>
            <w:noWrap w:val="0"/>
            <w:vAlign w:val="top"/>
          </w:tcPr>
          <w:p w14:paraId="543EAD56">
            <w:pPr>
              <w:autoSpaceDE/>
              <w:autoSpaceDN/>
              <w:adjustRightInd/>
              <w:spacing w:before="41" w:line="226" w:lineRule="auto"/>
              <w:ind w:left="446"/>
              <w:jc w:val="both"/>
              <w:rPr>
                <w:rFonts w:ascii="宋体" w:hAnsi="宋体" w:eastAsia="宋体" w:cs="宋体"/>
                <w:color w:val="auto"/>
                <w:kern w:val="2"/>
                <w:sz w:val="23"/>
                <w:szCs w:val="23"/>
                <w:highlight w:val="none"/>
              </w:rPr>
            </w:pPr>
            <w:r>
              <w:rPr>
                <w:rFonts w:ascii="宋体" w:hAnsi="宋体" w:eastAsia="宋体" w:cs="宋体"/>
                <w:color w:val="auto"/>
                <w:spacing w:val="8"/>
                <w:kern w:val="2"/>
                <w:sz w:val="23"/>
                <w:szCs w:val="23"/>
                <w:highlight w:val="none"/>
              </w:rPr>
              <w:t>提供时</w:t>
            </w:r>
            <w:r>
              <w:rPr>
                <w:rFonts w:ascii="宋体" w:hAnsi="宋体" w:eastAsia="宋体" w:cs="宋体"/>
                <w:color w:val="auto"/>
                <w:spacing w:val="7"/>
                <w:kern w:val="2"/>
                <w:sz w:val="23"/>
                <w:szCs w:val="23"/>
                <w:highlight w:val="none"/>
              </w:rPr>
              <w:t>间</w:t>
            </w:r>
          </w:p>
        </w:tc>
      </w:tr>
      <w:tr w14:paraId="1B67F1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737" w:type="dxa"/>
            <w:noWrap w:val="0"/>
            <w:vAlign w:val="center"/>
          </w:tcPr>
          <w:p w14:paraId="6CB25C7F">
            <w:pPr>
              <w:autoSpaceDE/>
              <w:autoSpaceDN/>
              <w:adjustRightInd/>
              <w:jc w:val="center"/>
              <w:rPr>
                <w:rFonts w:hint="eastAsia" w:ascii="Arial" w:hAnsi="Times New Roman" w:eastAsia="宋体" w:cs="Times New Roman"/>
                <w:color w:val="auto"/>
                <w:kern w:val="2"/>
                <w:sz w:val="21"/>
                <w:highlight w:val="none"/>
                <w:lang w:val="en-US" w:eastAsia="zh-CN"/>
              </w:rPr>
            </w:pPr>
            <w:r>
              <w:rPr>
                <w:rFonts w:hint="eastAsia" w:ascii="Arial" w:hAnsi="Times New Roman" w:eastAsia="宋体" w:cs="Times New Roman"/>
                <w:color w:val="auto"/>
                <w:kern w:val="2"/>
                <w:sz w:val="21"/>
                <w:highlight w:val="none"/>
                <w:lang w:val="en-US" w:eastAsia="zh-CN"/>
              </w:rPr>
              <w:t>/</w:t>
            </w:r>
          </w:p>
        </w:tc>
        <w:tc>
          <w:tcPr>
            <w:tcW w:w="860" w:type="dxa"/>
            <w:noWrap w:val="0"/>
            <w:vAlign w:val="center"/>
          </w:tcPr>
          <w:p w14:paraId="6BD1E416">
            <w:pPr>
              <w:autoSpaceDE/>
              <w:autoSpaceDN/>
              <w:adjustRightInd/>
              <w:jc w:val="center"/>
              <w:rPr>
                <w:rFonts w:hint="eastAsia" w:ascii="Arial" w:hAnsi="Times New Roman" w:eastAsia="宋体" w:cs="Times New Roman"/>
                <w:color w:val="auto"/>
                <w:kern w:val="2"/>
                <w:sz w:val="21"/>
                <w:highlight w:val="none"/>
                <w:lang w:val="en-US" w:eastAsia="zh-CN"/>
              </w:rPr>
            </w:pPr>
            <w:r>
              <w:rPr>
                <w:rFonts w:hint="eastAsia" w:ascii="Arial" w:hAnsi="Times New Roman" w:eastAsia="宋体" w:cs="Times New Roman"/>
                <w:color w:val="auto"/>
                <w:kern w:val="2"/>
                <w:sz w:val="21"/>
                <w:highlight w:val="none"/>
                <w:lang w:val="en-US" w:eastAsia="zh-CN"/>
              </w:rPr>
              <w:t>/</w:t>
            </w:r>
          </w:p>
        </w:tc>
        <w:tc>
          <w:tcPr>
            <w:tcW w:w="2366" w:type="dxa"/>
            <w:noWrap w:val="0"/>
            <w:vAlign w:val="center"/>
          </w:tcPr>
          <w:p w14:paraId="3DB704AF">
            <w:pPr>
              <w:autoSpaceDE/>
              <w:autoSpaceDN/>
              <w:adjustRightInd/>
              <w:jc w:val="center"/>
              <w:rPr>
                <w:rFonts w:hint="eastAsia" w:ascii="Arial" w:hAnsi="Times New Roman" w:eastAsia="宋体" w:cs="Times New Roman"/>
                <w:color w:val="auto"/>
                <w:kern w:val="2"/>
                <w:sz w:val="21"/>
                <w:highlight w:val="none"/>
                <w:lang w:val="en-US" w:eastAsia="zh-CN"/>
              </w:rPr>
            </w:pPr>
            <w:r>
              <w:rPr>
                <w:rFonts w:hint="eastAsia" w:ascii="Arial" w:hAnsi="Times New Roman" w:eastAsia="宋体" w:cs="Times New Roman"/>
                <w:color w:val="auto"/>
                <w:kern w:val="2"/>
                <w:sz w:val="21"/>
                <w:highlight w:val="none"/>
                <w:lang w:val="en-US" w:eastAsia="zh-CN"/>
              </w:rPr>
              <w:t>/</w:t>
            </w:r>
          </w:p>
        </w:tc>
        <w:tc>
          <w:tcPr>
            <w:tcW w:w="2773" w:type="dxa"/>
            <w:noWrap w:val="0"/>
            <w:vAlign w:val="center"/>
          </w:tcPr>
          <w:p w14:paraId="3853D524">
            <w:pPr>
              <w:autoSpaceDE/>
              <w:autoSpaceDN/>
              <w:adjustRightInd/>
              <w:jc w:val="center"/>
              <w:rPr>
                <w:rFonts w:hint="eastAsia" w:ascii="Arial" w:hAnsi="Times New Roman" w:eastAsia="宋体" w:cs="Times New Roman"/>
                <w:color w:val="auto"/>
                <w:kern w:val="2"/>
                <w:sz w:val="21"/>
                <w:highlight w:val="none"/>
                <w:lang w:val="en-US" w:eastAsia="zh-CN"/>
              </w:rPr>
            </w:pPr>
            <w:r>
              <w:rPr>
                <w:rFonts w:hint="eastAsia" w:ascii="Arial" w:hAnsi="Times New Roman" w:eastAsia="宋体" w:cs="Times New Roman"/>
                <w:color w:val="auto"/>
                <w:kern w:val="2"/>
                <w:sz w:val="21"/>
                <w:highlight w:val="none"/>
                <w:lang w:val="en-US" w:eastAsia="zh-CN"/>
              </w:rPr>
              <w:t>/</w:t>
            </w:r>
          </w:p>
        </w:tc>
      </w:tr>
    </w:tbl>
    <w:p w14:paraId="7C4C067C">
      <w:pPr>
        <w:autoSpaceDE/>
        <w:autoSpaceDN/>
        <w:adjustRightInd/>
        <w:spacing w:line="360" w:lineRule="auto"/>
        <w:ind w:firstLine="422" w:firstLineChars="200"/>
        <w:jc w:val="center"/>
        <w:rPr>
          <w:rFonts w:hint="eastAsia" w:ascii="宋体" w:hAnsi="宋体" w:eastAsia="宋体" w:cs="Times New Roman"/>
          <w:b/>
          <w:bCs/>
          <w:color w:val="auto"/>
          <w:kern w:val="2"/>
          <w:sz w:val="21"/>
          <w:szCs w:val="21"/>
          <w:highlight w:val="none"/>
        </w:rPr>
      </w:pPr>
    </w:p>
    <w:p w14:paraId="093DA54F">
      <w:pPr>
        <w:autoSpaceDE/>
        <w:autoSpaceDN/>
        <w:adjustRightInd/>
        <w:spacing w:line="360" w:lineRule="auto"/>
        <w:ind w:firstLine="422" w:firstLineChars="200"/>
        <w:jc w:val="center"/>
        <w:rPr>
          <w:rFonts w:hint="eastAsia" w:ascii="宋体" w:hAnsi="宋体" w:eastAsia="宋体" w:cs="Times New Roman"/>
          <w:b/>
          <w:bCs/>
          <w:color w:val="auto"/>
          <w:kern w:val="2"/>
          <w:sz w:val="21"/>
          <w:szCs w:val="21"/>
          <w:highlight w:val="none"/>
        </w:rPr>
      </w:pPr>
    </w:p>
    <w:p w14:paraId="5709C47F">
      <w:pPr>
        <w:autoSpaceDE/>
        <w:autoSpaceDN/>
        <w:adjustRightInd/>
        <w:spacing w:line="360" w:lineRule="auto"/>
        <w:ind w:firstLine="422" w:firstLineChars="200"/>
        <w:jc w:val="center"/>
        <w:rPr>
          <w:rFonts w:hint="eastAsia" w:ascii="宋体" w:hAnsi="宋体" w:eastAsia="宋体" w:cs="Times New Roman"/>
          <w:b/>
          <w:bCs/>
          <w:color w:val="auto"/>
          <w:kern w:val="2"/>
          <w:sz w:val="21"/>
          <w:szCs w:val="21"/>
          <w:highlight w:val="none"/>
        </w:rPr>
      </w:pPr>
    </w:p>
    <w:p w14:paraId="573B53A3">
      <w:pPr>
        <w:widowControl w:val="0"/>
        <w:autoSpaceDE w:val="0"/>
        <w:autoSpaceDN w:val="0"/>
        <w:adjustRightInd w:val="0"/>
        <w:jc w:val="both"/>
        <w:rPr>
          <w:rFonts w:hint="eastAsia" w:ascii="宋体" w:hAnsi="宋体" w:eastAsia="宋体" w:cs="Times New Roman"/>
          <w:b/>
          <w:bCs/>
          <w:color w:val="auto"/>
          <w:kern w:val="2"/>
          <w:sz w:val="21"/>
          <w:szCs w:val="21"/>
          <w:highlight w:val="none"/>
          <w:lang w:val="en-US" w:eastAsia="zh-CN" w:bidi="ar-SA"/>
        </w:rPr>
      </w:pPr>
    </w:p>
    <w:p w14:paraId="5493E500">
      <w:pPr>
        <w:widowControl w:val="0"/>
        <w:autoSpaceDE w:val="0"/>
        <w:autoSpaceDN w:val="0"/>
        <w:adjustRightInd w:val="0"/>
        <w:jc w:val="both"/>
        <w:rPr>
          <w:rFonts w:hint="eastAsia" w:ascii="宋体" w:hAnsi="宋体" w:eastAsia="宋体" w:cs="Times New Roman"/>
          <w:b/>
          <w:bCs/>
          <w:color w:val="auto"/>
          <w:kern w:val="2"/>
          <w:sz w:val="21"/>
          <w:szCs w:val="21"/>
          <w:highlight w:val="none"/>
          <w:lang w:val="en-US" w:eastAsia="zh-CN" w:bidi="ar-SA"/>
        </w:rPr>
      </w:pPr>
    </w:p>
    <w:p w14:paraId="11FDABAC">
      <w:pPr>
        <w:widowControl w:val="0"/>
        <w:autoSpaceDE w:val="0"/>
        <w:autoSpaceDN w:val="0"/>
        <w:adjustRightInd w:val="0"/>
        <w:jc w:val="both"/>
        <w:rPr>
          <w:rFonts w:hint="eastAsia" w:ascii="宋体" w:hAnsi="宋体" w:eastAsia="宋体" w:cs="Times New Roman"/>
          <w:b/>
          <w:bCs/>
          <w:color w:val="auto"/>
          <w:kern w:val="2"/>
          <w:sz w:val="21"/>
          <w:szCs w:val="21"/>
          <w:highlight w:val="none"/>
          <w:lang w:val="en-US" w:eastAsia="zh-CN" w:bidi="ar-SA"/>
        </w:rPr>
      </w:pPr>
    </w:p>
    <w:p w14:paraId="002BB0D4">
      <w:pPr>
        <w:widowControl w:val="0"/>
        <w:autoSpaceDE w:val="0"/>
        <w:autoSpaceDN w:val="0"/>
        <w:adjustRightInd w:val="0"/>
        <w:jc w:val="both"/>
        <w:rPr>
          <w:rFonts w:hint="eastAsia" w:ascii="宋体" w:hAnsi="宋体" w:eastAsia="宋体" w:cs="Times New Roman"/>
          <w:b/>
          <w:bCs/>
          <w:color w:val="auto"/>
          <w:kern w:val="2"/>
          <w:sz w:val="21"/>
          <w:szCs w:val="21"/>
          <w:highlight w:val="none"/>
          <w:lang w:val="en-US" w:eastAsia="zh-CN" w:bidi="ar-SA"/>
        </w:rPr>
      </w:pPr>
    </w:p>
    <w:p w14:paraId="31AAAD02">
      <w:pPr>
        <w:widowControl w:val="0"/>
        <w:autoSpaceDE w:val="0"/>
        <w:autoSpaceDN w:val="0"/>
        <w:adjustRightInd w:val="0"/>
        <w:jc w:val="both"/>
        <w:rPr>
          <w:rFonts w:hint="eastAsia" w:ascii="宋体" w:hAnsi="宋体" w:eastAsia="宋体" w:cs="Times New Roman"/>
          <w:b/>
          <w:bCs/>
          <w:color w:val="auto"/>
          <w:kern w:val="2"/>
          <w:sz w:val="21"/>
          <w:szCs w:val="21"/>
          <w:highlight w:val="none"/>
          <w:lang w:val="en-US" w:eastAsia="zh-CN" w:bidi="ar-SA"/>
        </w:rPr>
      </w:pPr>
    </w:p>
    <w:p w14:paraId="42240D15">
      <w:pPr>
        <w:widowControl w:val="0"/>
        <w:autoSpaceDE w:val="0"/>
        <w:autoSpaceDN w:val="0"/>
        <w:adjustRightInd w:val="0"/>
        <w:jc w:val="both"/>
        <w:rPr>
          <w:rFonts w:hint="eastAsia" w:ascii="宋体" w:hAnsi="宋体" w:eastAsia="宋体" w:cs="Times New Roman"/>
          <w:b/>
          <w:bCs/>
          <w:color w:val="auto"/>
          <w:kern w:val="2"/>
          <w:sz w:val="21"/>
          <w:szCs w:val="21"/>
          <w:highlight w:val="none"/>
          <w:lang w:val="en-US" w:eastAsia="zh-CN" w:bidi="ar-SA"/>
        </w:rPr>
      </w:pPr>
    </w:p>
    <w:p w14:paraId="5D404085">
      <w:pPr>
        <w:widowControl w:val="0"/>
        <w:autoSpaceDE w:val="0"/>
        <w:autoSpaceDN w:val="0"/>
        <w:adjustRightInd w:val="0"/>
        <w:jc w:val="both"/>
        <w:rPr>
          <w:rFonts w:hint="eastAsia" w:ascii="宋体" w:hAnsi="宋体" w:eastAsia="宋体" w:cs="Times New Roman"/>
          <w:b/>
          <w:bCs/>
          <w:color w:val="auto"/>
          <w:kern w:val="2"/>
          <w:sz w:val="21"/>
          <w:szCs w:val="21"/>
          <w:highlight w:val="none"/>
          <w:lang w:val="en-US" w:eastAsia="zh-CN" w:bidi="ar-SA"/>
        </w:rPr>
      </w:pPr>
    </w:p>
    <w:p w14:paraId="0246E10D">
      <w:pPr>
        <w:widowControl w:val="0"/>
        <w:autoSpaceDE w:val="0"/>
        <w:autoSpaceDN w:val="0"/>
        <w:adjustRightInd w:val="0"/>
        <w:jc w:val="both"/>
        <w:rPr>
          <w:rFonts w:hint="eastAsia" w:ascii="宋体" w:hAnsi="宋体" w:eastAsia="宋体" w:cs="Times New Roman"/>
          <w:b/>
          <w:bCs/>
          <w:color w:val="auto"/>
          <w:kern w:val="2"/>
          <w:sz w:val="21"/>
          <w:szCs w:val="21"/>
          <w:highlight w:val="none"/>
          <w:lang w:val="en-US" w:eastAsia="zh-CN" w:bidi="ar-SA"/>
        </w:rPr>
      </w:pPr>
    </w:p>
    <w:p w14:paraId="7D0DFDAF">
      <w:pPr>
        <w:widowControl w:val="0"/>
        <w:autoSpaceDE w:val="0"/>
        <w:autoSpaceDN w:val="0"/>
        <w:adjustRightInd w:val="0"/>
        <w:jc w:val="both"/>
        <w:rPr>
          <w:rFonts w:hint="eastAsia" w:ascii="宋体" w:hAnsi="宋体" w:eastAsia="宋体" w:cs="Times New Roman"/>
          <w:b/>
          <w:bCs/>
          <w:color w:val="auto"/>
          <w:kern w:val="2"/>
          <w:sz w:val="21"/>
          <w:szCs w:val="21"/>
          <w:highlight w:val="none"/>
          <w:lang w:val="en-US" w:eastAsia="zh-CN" w:bidi="ar-SA"/>
        </w:rPr>
      </w:pPr>
    </w:p>
    <w:p w14:paraId="4758F36C">
      <w:pPr>
        <w:widowControl w:val="0"/>
        <w:autoSpaceDE w:val="0"/>
        <w:autoSpaceDN w:val="0"/>
        <w:adjustRightInd w:val="0"/>
        <w:jc w:val="both"/>
        <w:rPr>
          <w:rFonts w:hint="eastAsia" w:ascii="宋体" w:hAnsi="宋体" w:eastAsia="宋体" w:cs="Times New Roman"/>
          <w:b/>
          <w:bCs/>
          <w:color w:val="auto"/>
          <w:kern w:val="2"/>
          <w:sz w:val="21"/>
          <w:szCs w:val="21"/>
          <w:highlight w:val="none"/>
          <w:lang w:val="en-US" w:eastAsia="zh-CN" w:bidi="ar-SA"/>
        </w:rPr>
      </w:pPr>
    </w:p>
    <w:p w14:paraId="175A92BE">
      <w:pPr>
        <w:widowControl w:val="0"/>
        <w:autoSpaceDE w:val="0"/>
        <w:autoSpaceDN w:val="0"/>
        <w:adjustRightInd w:val="0"/>
        <w:jc w:val="both"/>
        <w:rPr>
          <w:rFonts w:hint="eastAsia" w:ascii="宋体" w:hAnsi="宋体" w:eastAsia="宋体" w:cs="Times New Roman"/>
          <w:b/>
          <w:bCs/>
          <w:color w:val="auto"/>
          <w:kern w:val="2"/>
          <w:sz w:val="21"/>
          <w:szCs w:val="21"/>
          <w:highlight w:val="none"/>
          <w:lang w:val="en-US" w:eastAsia="zh-CN" w:bidi="ar-SA"/>
        </w:rPr>
      </w:pPr>
    </w:p>
    <w:p w14:paraId="5F46B96A">
      <w:pPr>
        <w:widowControl w:val="0"/>
        <w:autoSpaceDE w:val="0"/>
        <w:autoSpaceDN w:val="0"/>
        <w:adjustRightInd w:val="0"/>
        <w:jc w:val="both"/>
        <w:rPr>
          <w:rFonts w:hint="eastAsia" w:ascii="宋体" w:hAnsi="宋体" w:eastAsia="宋体" w:cs="Times New Roman"/>
          <w:b/>
          <w:bCs/>
          <w:color w:val="auto"/>
          <w:kern w:val="2"/>
          <w:sz w:val="21"/>
          <w:szCs w:val="21"/>
          <w:highlight w:val="none"/>
          <w:lang w:val="en-US" w:eastAsia="zh-CN" w:bidi="ar-SA"/>
        </w:rPr>
      </w:pPr>
    </w:p>
    <w:p w14:paraId="48A2EA57">
      <w:pPr>
        <w:widowControl w:val="0"/>
        <w:autoSpaceDE w:val="0"/>
        <w:autoSpaceDN w:val="0"/>
        <w:adjustRightInd w:val="0"/>
        <w:jc w:val="both"/>
        <w:rPr>
          <w:rFonts w:hint="eastAsia" w:ascii="宋体" w:hAnsi="宋体" w:eastAsia="宋体" w:cs="Times New Roman"/>
          <w:b/>
          <w:bCs/>
          <w:color w:val="auto"/>
          <w:kern w:val="2"/>
          <w:sz w:val="21"/>
          <w:szCs w:val="21"/>
          <w:highlight w:val="none"/>
          <w:lang w:val="en-US" w:eastAsia="zh-CN" w:bidi="ar-SA"/>
        </w:rPr>
      </w:pPr>
    </w:p>
    <w:p w14:paraId="66DD329D">
      <w:pPr>
        <w:widowControl w:val="0"/>
        <w:autoSpaceDE w:val="0"/>
        <w:autoSpaceDN w:val="0"/>
        <w:adjustRightInd w:val="0"/>
        <w:jc w:val="both"/>
        <w:rPr>
          <w:rFonts w:hint="eastAsia" w:ascii="宋体" w:hAnsi="宋体" w:eastAsia="宋体" w:cs="Times New Roman"/>
          <w:b/>
          <w:bCs/>
          <w:color w:val="auto"/>
          <w:kern w:val="2"/>
          <w:sz w:val="21"/>
          <w:szCs w:val="21"/>
          <w:highlight w:val="none"/>
          <w:lang w:val="en-US" w:eastAsia="zh-CN" w:bidi="ar-SA"/>
        </w:rPr>
      </w:pPr>
    </w:p>
    <w:p w14:paraId="4EACB575">
      <w:pPr>
        <w:widowControl w:val="0"/>
        <w:autoSpaceDE w:val="0"/>
        <w:autoSpaceDN w:val="0"/>
        <w:adjustRightInd w:val="0"/>
        <w:jc w:val="both"/>
        <w:rPr>
          <w:rFonts w:hint="eastAsia" w:ascii="宋体" w:hAnsi="宋体" w:eastAsia="宋体" w:cs="Times New Roman"/>
          <w:b/>
          <w:bCs/>
          <w:color w:val="auto"/>
          <w:kern w:val="2"/>
          <w:sz w:val="21"/>
          <w:szCs w:val="21"/>
          <w:highlight w:val="none"/>
          <w:lang w:val="en-US" w:eastAsia="zh-CN" w:bidi="ar-SA"/>
        </w:rPr>
      </w:pPr>
    </w:p>
    <w:p w14:paraId="443308F2">
      <w:pPr>
        <w:widowControl w:val="0"/>
        <w:autoSpaceDE w:val="0"/>
        <w:autoSpaceDN w:val="0"/>
        <w:adjustRightInd w:val="0"/>
        <w:jc w:val="both"/>
        <w:rPr>
          <w:rFonts w:hint="eastAsia" w:ascii="宋体" w:hAnsi="宋体" w:eastAsia="宋体" w:cs="Times New Roman"/>
          <w:b/>
          <w:bCs/>
          <w:color w:val="auto"/>
          <w:kern w:val="2"/>
          <w:sz w:val="21"/>
          <w:szCs w:val="21"/>
          <w:highlight w:val="none"/>
          <w:lang w:val="en-US" w:eastAsia="zh-CN" w:bidi="ar-SA"/>
        </w:rPr>
      </w:pPr>
    </w:p>
    <w:p w14:paraId="205AD645">
      <w:pPr>
        <w:widowControl w:val="0"/>
        <w:autoSpaceDE w:val="0"/>
        <w:autoSpaceDN w:val="0"/>
        <w:adjustRightInd w:val="0"/>
        <w:jc w:val="both"/>
        <w:rPr>
          <w:rFonts w:hint="eastAsia" w:ascii="宋体" w:hAnsi="宋体" w:eastAsia="宋体" w:cs="Times New Roman"/>
          <w:b/>
          <w:bCs/>
          <w:color w:val="auto"/>
          <w:kern w:val="2"/>
          <w:sz w:val="21"/>
          <w:szCs w:val="21"/>
          <w:highlight w:val="none"/>
          <w:lang w:val="en-US" w:eastAsia="zh-CN" w:bidi="ar-SA"/>
        </w:rPr>
      </w:pPr>
    </w:p>
    <w:p w14:paraId="5FF38D3D">
      <w:pPr>
        <w:widowControl w:val="0"/>
        <w:autoSpaceDE w:val="0"/>
        <w:autoSpaceDN w:val="0"/>
        <w:adjustRightInd w:val="0"/>
        <w:jc w:val="both"/>
        <w:rPr>
          <w:rFonts w:hint="eastAsia" w:ascii="宋体" w:hAnsi="宋体" w:eastAsia="宋体" w:cs="Times New Roman"/>
          <w:b/>
          <w:bCs/>
          <w:color w:val="auto"/>
          <w:kern w:val="2"/>
          <w:sz w:val="21"/>
          <w:szCs w:val="21"/>
          <w:highlight w:val="none"/>
          <w:lang w:val="en-US" w:eastAsia="zh-CN" w:bidi="ar-SA"/>
        </w:rPr>
      </w:pPr>
    </w:p>
    <w:p w14:paraId="6A47E197">
      <w:pPr>
        <w:widowControl w:val="0"/>
        <w:autoSpaceDE w:val="0"/>
        <w:autoSpaceDN w:val="0"/>
        <w:adjustRightInd w:val="0"/>
        <w:jc w:val="both"/>
        <w:rPr>
          <w:rFonts w:hint="eastAsia" w:ascii="宋体" w:hAnsi="宋体" w:eastAsia="宋体" w:cs="Times New Roman"/>
          <w:b/>
          <w:bCs/>
          <w:color w:val="auto"/>
          <w:kern w:val="2"/>
          <w:sz w:val="21"/>
          <w:szCs w:val="21"/>
          <w:highlight w:val="none"/>
          <w:lang w:val="en-US" w:eastAsia="zh-CN" w:bidi="ar-SA"/>
        </w:rPr>
      </w:pPr>
    </w:p>
    <w:p w14:paraId="77F0AB5D">
      <w:pPr>
        <w:widowControl w:val="0"/>
        <w:autoSpaceDE w:val="0"/>
        <w:autoSpaceDN w:val="0"/>
        <w:adjustRightInd w:val="0"/>
        <w:jc w:val="both"/>
        <w:rPr>
          <w:rFonts w:hint="eastAsia" w:ascii="宋体" w:hAnsi="宋体" w:eastAsia="宋体" w:cs="Times New Roman"/>
          <w:b/>
          <w:bCs/>
          <w:color w:val="auto"/>
          <w:kern w:val="2"/>
          <w:sz w:val="21"/>
          <w:szCs w:val="21"/>
          <w:highlight w:val="none"/>
          <w:lang w:val="en-US" w:eastAsia="zh-CN" w:bidi="ar-SA"/>
        </w:rPr>
      </w:pPr>
    </w:p>
    <w:p w14:paraId="0FDE0500">
      <w:pPr>
        <w:widowControl w:val="0"/>
        <w:autoSpaceDE w:val="0"/>
        <w:autoSpaceDN w:val="0"/>
        <w:adjustRightInd w:val="0"/>
        <w:jc w:val="both"/>
        <w:rPr>
          <w:rFonts w:hint="eastAsia" w:ascii="宋体" w:hAnsi="宋体" w:eastAsia="宋体" w:cs="Times New Roman"/>
          <w:b/>
          <w:bCs/>
          <w:color w:val="auto"/>
          <w:kern w:val="2"/>
          <w:sz w:val="21"/>
          <w:szCs w:val="21"/>
          <w:highlight w:val="none"/>
          <w:lang w:val="en-US" w:eastAsia="zh-CN" w:bidi="ar-SA"/>
        </w:rPr>
      </w:pPr>
    </w:p>
    <w:p w14:paraId="0CD1BD14">
      <w:pPr>
        <w:widowControl w:val="0"/>
        <w:autoSpaceDE w:val="0"/>
        <w:autoSpaceDN w:val="0"/>
        <w:adjustRightInd w:val="0"/>
        <w:jc w:val="both"/>
        <w:rPr>
          <w:rFonts w:hint="eastAsia" w:ascii="宋体" w:hAnsi="宋体" w:eastAsia="宋体" w:cs="Times New Roman"/>
          <w:b/>
          <w:bCs/>
          <w:color w:val="auto"/>
          <w:kern w:val="2"/>
          <w:sz w:val="21"/>
          <w:szCs w:val="21"/>
          <w:highlight w:val="none"/>
          <w:lang w:val="en-US" w:eastAsia="zh-CN" w:bidi="ar-SA"/>
        </w:rPr>
      </w:pPr>
    </w:p>
    <w:p w14:paraId="547F02A7">
      <w:pPr>
        <w:rPr>
          <w:rFonts w:hint="eastAsia" w:ascii="宋体" w:hAnsi="宋体" w:eastAsia="宋体" w:cs="Times New Roman"/>
          <w:b/>
          <w:bCs/>
          <w:color w:val="auto"/>
          <w:kern w:val="2"/>
          <w:sz w:val="24"/>
          <w:szCs w:val="24"/>
          <w:highlight w:val="none"/>
        </w:rPr>
      </w:pPr>
      <w:r>
        <w:rPr>
          <w:rFonts w:hint="eastAsia" w:ascii="宋体" w:hAnsi="宋体" w:eastAsia="宋体" w:cs="Times New Roman"/>
          <w:b/>
          <w:bCs/>
          <w:color w:val="auto"/>
          <w:kern w:val="2"/>
          <w:sz w:val="24"/>
          <w:szCs w:val="24"/>
          <w:highlight w:val="none"/>
        </w:rPr>
        <w:br w:type="page"/>
      </w:r>
    </w:p>
    <w:p w14:paraId="34ECEA9A">
      <w:pPr>
        <w:autoSpaceDE/>
        <w:autoSpaceDN/>
        <w:adjustRightInd/>
        <w:spacing w:line="360" w:lineRule="auto"/>
        <w:jc w:val="center"/>
        <w:rPr>
          <w:rFonts w:ascii="宋体" w:hAnsi="宋体" w:eastAsia="宋体" w:cs="Times New Roman"/>
          <w:color w:val="auto"/>
          <w:kern w:val="2"/>
          <w:sz w:val="24"/>
          <w:szCs w:val="24"/>
          <w:highlight w:val="none"/>
        </w:rPr>
      </w:pPr>
      <w:r>
        <w:rPr>
          <w:rFonts w:hint="eastAsia" w:ascii="宋体" w:hAnsi="宋体" w:eastAsia="宋体" w:cs="Times New Roman"/>
          <w:b/>
          <w:bCs/>
          <w:color w:val="auto"/>
          <w:kern w:val="2"/>
          <w:sz w:val="24"/>
          <w:szCs w:val="24"/>
          <w:highlight w:val="none"/>
        </w:rPr>
        <w:t>第四部分   廉政责任书</w:t>
      </w:r>
    </w:p>
    <w:p w14:paraId="065884A2">
      <w:pPr>
        <w:autoSpaceDE/>
        <w:autoSpaceDN/>
        <w:adjustRightInd/>
        <w:jc w:val="both"/>
        <w:rPr>
          <w:rFonts w:ascii="宋体" w:hAnsi="宋体" w:eastAsia="宋体" w:cs="Times New Roman"/>
          <w:color w:val="auto"/>
          <w:kern w:val="2"/>
          <w:sz w:val="24"/>
          <w:szCs w:val="24"/>
          <w:highlight w:val="none"/>
        </w:rPr>
      </w:pPr>
    </w:p>
    <w:p w14:paraId="41349E5D">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宋体" w:hAnsi="宋体" w:eastAsia="宋体" w:cs="Times New Roman"/>
          <w:color w:val="auto"/>
          <w:kern w:val="2"/>
          <w:sz w:val="21"/>
          <w:szCs w:val="21"/>
          <w:highlight w:val="none"/>
          <w:u w:val="single"/>
          <w:lang w:val="en-US"/>
        </w:rPr>
      </w:pPr>
      <w:r>
        <w:rPr>
          <w:rFonts w:hint="eastAsia" w:ascii="宋体" w:hAnsi="宋体" w:eastAsia="宋体" w:cs="Times New Roman"/>
          <w:color w:val="auto"/>
          <w:kern w:val="2"/>
          <w:sz w:val="21"/>
          <w:szCs w:val="21"/>
          <w:highlight w:val="none"/>
        </w:rPr>
        <w:t>工程项目名称：</w:t>
      </w:r>
      <w:r>
        <w:rPr>
          <w:rFonts w:hint="eastAsia" w:ascii="宋体" w:hAnsi="宋体" w:eastAsia="宋体" w:cs="Times New Roman"/>
          <w:color w:val="auto"/>
          <w:kern w:val="2"/>
          <w:sz w:val="21"/>
          <w:szCs w:val="21"/>
          <w:highlight w:val="none"/>
          <w:u w:val="single"/>
          <w:lang w:val="en-US" w:eastAsia="zh-CN"/>
        </w:rPr>
        <w:t xml:space="preserve">              </w:t>
      </w:r>
    </w:p>
    <w:p w14:paraId="26912356">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宋体" w:hAnsi="宋体" w:eastAsia="宋体" w:cs="Times New Roman"/>
          <w:color w:val="auto"/>
          <w:kern w:val="2"/>
          <w:sz w:val="21"/>
          <w:szCs w:val="21"/>
          <w:highlight w:val="none"/>
          <w:u w:val="single"/>
          <w:lang w:val="en-US" w:eastAsia="zh-CN"/>
        </w:rPr>
      </w:pPr>
      <w:r>
        <w:rPr>
          <w:rFonts w:hint="eastAsia" w:ascii="宋体" w:hAnsi="宋体" w:eastAsia="宋体" w:cs="Times New Roman"/>
          <w:color w:val="auto"/>
          <w:kern w:val="2"/>
          <w:sz w:val="21"/>
          <w:szCs w:val="21"/>
          <w:highlight w:val="none"/>
        </w:rPr>
        <w:t>工程地点：</w:t>
      </w:r>
      <w:r>
        <w:rPr>
          <w:rFonts w:hint="eastAsia" w:ascii="宋体" w:hAnsi="宋体" w:eastAsia="宋体" w:cs="Times New Roman"/>
          <w:color w:val="auto"/>
          <w:kern w:val="2"/>
          <w:sz w:val="21"/>
          <w:szCs w:val="21"/>
          <w:highlight w:val="none"/>
          <w:u w:val="single"/>
          <w:lang w:val="en-US" w:eastAsia="zh-CN"/>
        </w:rPr>
        <w:t xml:space="preserve">              </w:t>
      </w:r>
    </w:p>
    <w:p w14:paraId="15A68015">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color w:val="auto"/>
          <w:kern w:val="2"/>
          <w:sz w:val="21"/>
          <w:szCs w:val="21"/>
          <w:highlight w:val="none"/>
          <w:u w:val="single"/>
        </w:rPr>
      </w:pPr>
      <w:r>
        <w:rPr>
          <w:rFonts w:hint="eastAsia" w:ascii="宋体" w:hAnsi="宋体" w:eastAsia="宋体" w:cs="Times New Roman"/>
          <w:vanish/>
          <w:color w:val="auto"/>
          <w:kern w:val="2"/>
          <w:sz w:val="21"/>
          <w:szCs w:val="21"/>
          <w:highlight w:val="none"/>
          <w:u w:val="single"/>
        </w:rPr>
        <w:t>________________________________________________________________________________________________________________________________________________________________________________________________________________________________________________________________预报业监理工程师（总监不得兼任）：市政_____________________________________________________________________________________________________________</w:t>
      </w:r>
      <w:r>
        <w:rPr>
          <w:rFonts w:hint="eastAsia" w:ascii="宋体" w:hAnsi="宋体" w:eastAsia="宋体" w:cs="Times New Roman"/>
          <w:color w:val="auto"/>
          <w:kern w:val="2"/>
          <w:sz w:val="21"/>
          <w:szCs w:val="21"/>
          <w:highlight w:val="none"/>
        </w:rPr>
        <w:t>建设单位（甲方）：</w:t>
      </w:r>
      <w:r>
        <w:rPr>
          <w:rFonts w:hint="eastAsia" w:ascii="宋体" w:hAnsi="宋体" w:eastAsia="宋体" w:cs="Times New Roman"/>
          <w:color w:val="auto"/>
          <w:kern w:val="2"/>
          <w:sz w:val="21"/>
          <w:szCs w:val="21"/>
          <w:highlight w:val="none"/>
          <w:u w:val="single"/>
        </w:rPr>
        <w:t xml:space="preserve">                                </w:t>
      </w:r>
    </w:p>
    <w:p w14:paraId="0D42276D">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color w:val="auto"/>
          <w:kern w:val="2"/>
          <w:sz w:val="21"/>
          <w:szCs w:val="21"/>
          <w:highlight w:val="none"/>
          <w:u w:val="single"/>
        </w:rPr>
      </w:pPr>
      <w:r>
        <w:rPr>
          <w:rFonts w:hint="eastAsia" w:ascii="宋体" w:hAnsi="宋体" w:eastAsia="宋体" w:cs="Times New Roman"/>
          <w:color w:val="auto"/>
          <w:kern w:val="2"/>
          <w:sz w:val="21"/>
          <w:szCs w:val="21"/>
          <w:highlight w:val="none"/>
        </w:rPr>
        <w:t>造价咨询单位（乙方）：</w:t>
      </w:r>
      <w:r>
        <w:rPr>
          <w:rFonts w:ascii="宋体" w:hAnsi="宋体" w:eastAsia="宋体" w:cs="Times New Roman"/>
          <w:color w:val="auto"/>
          <w:kern w:val="2"/>
          <w:sz w:val="21"/>
          <w:szCs w:val="21"/>
          <w:highlight w:val="none"/>
          <w:u w:val="single"/>
        </w:rPr>
        <w:t xml:space="preserve">                               </w:t>
      </w:r>
    </w:p>
    <w:p w14:paraId="544F4998">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为加强工程建设中的廉政建设，规范工程建设造价咨询委托与被委托双方的各项活动，防止发生各种谋取不正当利益的违法违纪行为，保护国家、集体和当事人的合法权益，根据国家有关工程建设的法律法规和廉政建设责任制规定，特订立本廉政责任书。</w:t>
      </w:r>
    </w:p>
    <w:p w14:paraId="03FB7407">
      <w:pPr>
        <w:keepNext w:val="0"/>
        <w:keepLines w:val="0"/>
        <w:pageBreakBefore w:val="0"/>
        <w:widowControl w:val="0"/>
        <w:kinsoku/>
        <w:wordWrap/>
        <w:overflowPunct/>
        <w:topLinePunct w:val="0"/>
        <w:autoSpaceDE/>
        <w:autoSpaceDN/>
        <w:bidi w:val="0"/>
        <w:adjustRightInd/>
        <w:snapToGrid/>
        <w:spacing w:line="360" w:lineRule="auto"/>
        <w:ind w:firstLine="315" w:firstLineChars="150"/>
        <w:jc w:val="both"/>
        <w:textAlignment w:val="auto"/>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第一条 甲乙双方的责任</w:t>
      </w:r>
    </w:p>
    <w:p w14:paraId="0756D2C0">
      <w:pPr>
        <w:keepNext w:val="0"/>
        <w:keepLines w:val="0"/>
        <w:pageBreakBefore w:val="0"/>
        <w:widowControl w:val="0"/>
        <w:kinsoku/>
        <w:wordWrap/>
        <w:overflowPunct/>
        <w:topLinePunct w:val="0"/>
        <w:autoSpaceDE/>
        <w:autoSpaceDN/>
        <w:bidi w:val="0"/>
        <w:adjustRightInd/>
        <w:snapToGrid/>
        <w:spacing w:line="360" w:lineRule="auto"/>
        <w:ind w:firstLine="315" w:firstLineChars="150"/>
        <w:jc w:val="both"/>
        <w:textAlignment w:val="auto"/>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（一）应严格遵守国家关于市场准入、项目招标投标、工程建设、工程监理和市场活动的有关法律、法规，相关政策，以及廉政建设的各项规定。</w:t>
      </w:r>
    </w:p>
    <w:p w14:paraId="036ACED4">
      <w:pPr>
        <w:keepNext w:val="0"/>
        <w:keepLines w:val="0"/>
        <w:pageBreakBefore w:val="0"/>
        <w:widowControl w:val="0"/>
        <w:kinsoku/>
        <w:wordWrap/>
        <w:overflowPunct/>
        <w:topLinePunct w:val="0"/>
        <w:autoSpaceDE/>
        <w:autoSpaceDN/>
        <w:bidi w:val="0"/>
        <w:adjustRightInd/>
        <w:snapToGrid/>
        <w:spacing w:line="360" w:lineRule="auto"/>
        <w:ind w:firstLine="315" w:firstLineChars="150"/>
        <w:jc w:val="both"/>
        <w:textAlignment w:val="auto"/>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（二）严格执行建设工程项目造价咨询合同文件，自觉按合同办事。</w:t>
      </w:r>
    </w:p>
    <w:p w14:paraId="22B24B07">
      <w:pPr>
        <w:keepNext w:val="0"/>
        <w:keepLines w:val="0"/>
        <w:pageBreakBefore w:val="0"/>
        <w:widowControl w:val="0"/>
        <w:kinsoku/>
        <w:wordWrap/>
        <w:overflowPunct/>
        <w:topLinePunct w:val="0"/>
        <w:autoSpaceDE/>
        <w:autoSpaceDN/>
        <w:bidi w:val="0"/>
        <w:adjustRightInd/>
        <w:snapToGrid/>
        <w:spacing w:line="360" w:lineRule="auto"/>
        <w:ind w:firstLine="315" w:firstLineChars="150"/>
        <w:jc w:val="both"/>
        <w:textAlignment w:val="auto"/>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（三）业务活动必须坚持公开、公平、公正、诚信、透明的原则（除法律法规另有规定者外），不得为获取不正当的利益，损害国家、集体和对方利益，不得违反工程建设管理、建设造价咨询的规章制度。</w:t>
      </w:r>
    </w:p>
    <w:p w14:paraId="5876B3FE">
      <w:pPr>
        <w:keepNext w:val="0"/>
        <w:keepLines w:val="0"/>
        <w:pageBreakBefore w:val="0"/>
        <w:widowControl w:val="0"/>
        <w:kinsoku/>
        <w:wordWrap/>
        <w:overflowPunct/>
        <w:topLinePunct w:val="0"/>
        <w:autoSpaceDE/>
        <w:autoSpaceDN/>
        <w:bidi w:val="0"/>
        <w:adjustRightInd/>
        <w:snapToGrid/>
        <w:spacing w:line="360" w:lineRule="auto"/>
        <w:ind w:firstLine="315" w:firstLineChars="150"/>
        <w:jc w:val="both"/>
        <w:textAlignment w:val="auto"/>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（四）发现对方在业务活动中有违规、违纪、违法行为的，应及时提醒对方，情节严重的，应向其上级主管部门或纪检监察、司法等有关机关举报。</w:t>
      </w:r>
    </w:p>
    <w:p w14:paraId="5603123B">
      <w:pPr>
        <w:keepNext w:val="0"/>
        <w:keepLines w:val="0"/>
        <w:pageBreakBefore w:val="0"/>
        <w:widowControl w:val="0"/>
        <w:kinsoku/>
        <w:wordWrap/>
        <w:overflowPunct/>
        <w:topLinePunct w:val="0"/>
        <w:autoSpaceDE/>
        <w:autoSpaceDN/>
        <w:bidi w:val="0"/>
        <w:adjustRightInd/>
        <w:snapToGrid/>
        <w:spacing w:line="360" w:lineRule="auto"/>
        <w:ind w:firstLine="315" w:firstLineChars="150"/>
        <w:jc w:val="both"/>
        <w:textAlignment w:val="auto"/>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第二条 甲方的责任</w:t>
      </w:r>
    </w:p>
    <w:p w14:paraId="341DC8D4">
      <w:pPr>
        <w:keepNext w:val="0"/>
        <w:keepLines w:val="0"/>
        <w:pageBreakBefore w:val="0"/>
        <w:widowControl w:val="0"/>
        <w:kinsoku/>
        <w:wordWrap/>
        <w:overflowPunct/>
        <w:topLinePunct w:val="0"/>
        <w:autoSpaceDE/>
        <w:autoSpaceDN/>
        <w:bidi w:val="0"/>
        <w:adjustRightInd/>
        <w:snapToGrid/>
        <w:spacing w:line="360" w:lineRule="auto"/>
        <w:ind w:firstLine="315" w:firstLineChars="150"/>
        <w:jc w:val="both"/>
        <w:textAlignment w:val="auto"/>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甲方的领导和从事该建设工程项目的工作人员在工程建设的事前、事中、事后应遵守以下规定：</w:t>
      </w:r>
    </w:p>
    <w:p w14:paraId="312915CC">
      <w:pPr>
        <w:keepNext w:val="0"/>
        <w:keepLines w:val="0"/>
        <w:pageBreakBefore w:val="0"/>
        <w:widowControl w:val="0"/>
        <w:kinsoku/>
        <w:wordWrap/>
        <w:overflowPunct/>
        <w:topLinePunct w:val="0"/>
        <w:autoSpaceDE/>
        <w:autoSpaceDN/>
        <w:bidi w:val="0"/>
        <w:adjustRightInd/>
        <w:snapToGrid/>
        <w:spacing w:line="360" w:lineRule="auto"/>
        <w:ind w:firstLine="315" w:firstLineChars="150"/>
        <w:jc w:val="both"/>
        <w:textAlignment w:val="auto"/>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（一）不准向乙方和相关单位索要或接受回扣、礼金、有价证券、贵重物品和好处费、感谢费等。</w:t>
      </w:r>
    </w:p>
    <w:p w14:paraId="399F2149">
      <w:pPr>
        <w:keepNext w:val="0"/>
        <w:keepLines w:val="0"/>
        <w:pageBreakBefore w:val="0"/>
        <w:widowControl w:val="0"/>
        <w:kinsoku/>
        <w:wordWrap/>
        <w:overflowPunct/>
        <w:topLinePunct w:val="0"/>
        <w:autoSpaceDE/>
        <w:autoSpaceDN/>
        <w:bidi w:val="0"/>
        <w:adjustRightInd/>
        <w:snapToGrid/>
        <w:spacing w:line="360" w:lineRule="auto"/>
        <w:ind w:firstLine="315" w:firstLineChars="150"/>
        <w:jc w:val="both"/>
        <w:textAlignment w:val="auto"/>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（二）不准在乙方和相关单位报销任何应由甲方或个人支付的费用。</w:t>
      </w:r>
    </w:p>
    <w:p w14:paraId="333D24D8">
      <w:pPr>
        <w:keepNext w:val="0"/>
        <w:keepLines w:val="0"/>
        <w:pageBreakBefore w:val="0"/>
        <w:widowControl w:val="0"/>
        <w:kinsoku/>
        <w:wordWrap/>
        <w:overflowPunct/>
        <w:topLinePunct w:val="0"/>
        <w:autoSpaceDE/>
        <w:autoSpaceDN/>
        <w:bidi w:val="0"/>
        <w:adjustRightInd/>
        <w:snapToGrid/>
        <w:spacing w:line="360" w:lineRule="auto"/>
        <w:ind w:firstLine="315" w:firstLineChars="150"/>
        <w:jc w:val="both"/>
        <w:textAlignment w:val="auto"/>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（三）不准要求、暗示或接受乙方和相关单位为个人装修住房、婚丧嫁娶、配偶子女的工作安排以及出国（境）、旅游等提供方便。</w:t>
      </w:r>
    </w:p>
    <w:p w14:paraId="4105E11A">
      <w:pPr>
        <w:keepNext w:val="0"/>
        <w:keepLines w:val="0"/>
        <w:pageBreakBefore w:val="0"/>
        <w:widowControl w:val="0"/>
        <w:kinsoku/>
        <w:wordWrap/>
        <w:overflowPunct/>
        <w:topLinePunct w:val="0"/>
        <w:autoSpaceDE/>
        <w:autoSpaceDN/>
        <w:bidi w:val="0"/>
        <w:adjustRightInd/>
        <w:snapToGrid/>
        <w:spacing w:line="360" w:lineRule="auto"/>
        <w:ind w:firstLine="315" w:firstLineChars="150"/>
        <w:jc w:val="both"/>
        <w:textAlignment w:val="auto"/>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（四）不准参加有可能影响公正执行公务的乙方和相关单位的宴请、健身、娱乐等活动。</w:t>
      </w:r>
    </w:p>
    <w:p w14:paraId="32C93F74">
      <w:pPr>
        <w:keepNext w:val="0"/>
        <w:keepLines w:val="0"/>
        <w:pageBreakBefore w:val="0"/>
        <w:widowControl w:val="0"/>
        <w:kinsoku/>
        <w:wordWrap/>
        <w:overflowPunct/>
        <w:topLinePunct w:val="0"/>
        <w:autoSpaceDE/>
        <w:autoSpaceDN/>
        <w:bidi w:val="0"/>
        <w:adjustRightInd/>
        <w:snapToGrid/>
        <w:spacing w:line="360" w:lineRule="auto"/>
        <w:ind w:firstLine="315" w:firstLineChars="150"/>
        <w:jc w:val="both"/>
        <w:textAlignment w:val="auto"/>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五）不准向乙方和相关单位介绍或为配偶、子女、亲属参与同甲方工程项目合同有关的造价咨询分包项目等活动。不准向乙方和相关单位介绍或为配偶、子女、亲属参与同项目工程合同有关的设备、材料、工程分包、劳务等经济活动。不得以任何理由向乙方和相关单位推荐分包单位和要求购买与项目工程合同规定以外的材料、设备等。</w:t>
      </w:r>
    </w:p>
    <w:p w14:paraId="6D285505">
      <w:pPr>
        <w:keepNext w:val="0"/>
        <w:keepLines w:val="0"/>
        <w:pageBreakBefore w:val="0"/>
        <w:widowControl w:val="0"/>
        <w:kinsoku/>
        <w:wordWrap/>
        <w:overflowPunct/>
        <w:topLinePunct w:val="0"/>
        <w:autoSpaceDE/>
        <w:autoSpaceDN/>
        <w:bidi w:val="0"/>
        <w:adjustRightInd/>
        <w:snapToGrid/>
        <w:spacing w:line="360" w:lineRule="auto"/>
        <w:ind w:firstLine="315" w:firstLineChars="150"/>
        <w:jc w:val="both"/>
        <w:textAlignment w:val="auto"/>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第三条 乙方的责任</w:t>
      </w:r>
    </w:p>
    <w:p w14:paraId="233BAA64">
      <w:pPr>
        <w:keepNext w:val="0"/>
        <w:keepLines w:val="0"/>
        <w:pageBreakBefore w:val="0"/>
        <w:widowControl w:val="0"/>
        <w:kinsoku/>
        <w:wordWrap/>
        <w:overflowPunct/>
        <w:topLinePunct w:val="0"/>
        <w:autoSpaceDE/>
        <w:autoSpaceDN/>
        <w:bidi w:val="0"/>
        <w:adjustRightInd/>
        <w:snapToGrid/>
        <w:spacing w:line="360" w:lineRule="auto"/>
        <w:ind w:firstLine="315" w:firstLineChars="150"/>
        <w:jc w:val="both"/>
        <w:textAlignment w:val="auto"/>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应与甲方和相关单位保持正常的业务交往，按照有关法律法规和程序开展业务工作，严格执行工程建设的方针、政策，尤其是有关勘察设计、建筑施工安装的强制性标准和规范，以及造价咨询法规，认真履行造价咨询职责，并遵守以下规定：</w:t>
      </w:r>
      <w:r>
        <w:rPr>
          <w:rFonts w:ascii="宋体" w:hAnsi="宋体" w:eastAsia="宋体" w:cs="Times New Roman"/>
          <w:color w:val="auto"/>
          <w:kern w:val="2"/>
          <w:sz w:val="21"/>
          <w:szCs w:val="21"/>
          <w:highlight w:val="none"/>
        </w:rPr>
        <w:t xml:space="preserve"> </w:t>
      </w:r>
    </w:p>
    <w:p w14:paraId="55E4F234">
      <w:pPr>
        <w:keepNext w:val="0"/>
        <w:keepLines w:val="0"/>
        <w:pageBreakBefore w:val="0"/>
        <w:widowControl w:val="0"/>
        <w:kinsoku/>
        <w:wordWrap/>
        <w:overflowPunct/>
        <w:topLinePunct w:val="0"/>
        <w:autoSpaceDE/>
        <w:autoSpaceDN/>
        <w:bidi w:val="0"/>
        <w:adjustRightInd/>
        <w:snapToGrid/>
        <w:spacing w:line="360" w:lineRule="auto"/>
        <w:ind w:firstLine="315" w:firstLineChars="150"/>
        <w:jc w:val="both"/>
        <w:textAlignment w:val="auto"/>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（一）不准以任何理由向甲方和相关单位及其工作人员索要、接受或赠送礼金、有价证券、贵重物品及回扣、好处费、感谢费等。</w:t>
      </w:r>
    </w:p>
    <w:p w14:paraId="664E198A">
      <w:pPr>
        <w:keepNext w:val="0"/>
        <w:keepLines w:val="0"/>
        <w:pageBreakBefore w:val="0"/>
        <w:widowControl w:val="0"/>
        <w:kinsoku/>
        <w:wordWrap/>
        <w:overflowPunct/>
        <w:topLinePunct w:val="0"/>
        <w:autoSpaceDE/>
        <w:autoSpaceDN/>
        <w:bidi w:val="0"/>
        <w:adjustRightInd/>
        <w:snapToGrid/>
        <w:spacing w:line="360" w:lineRule="auto"/>
        <w:ind w:firstLine="315" w:firstLineChars="150"/>
        <w:jc w:val="both"/>
        <w:textAlignment w:val="auto"/>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（二）不准以任何理由为甲方和相关单位报销应由对方或个人支付的费用。</w:t>
      </w:r>
    </w:p>
    <w:p w14:paraId="574129ED">
      <w:pPr>
        <w:keepNext w:val="0"/>
        <w:keepLines w:val="0"/>
        <w:pageBreakBefore w:val="0"/>
        <w:widowControl w:val="0"/>
        <w:kinsoku/>
        <w:wordWrap/>
        <w:overflowPunct/>
        <w:topLinePunct w:val="0"/>
        <w:autoSpaceDE/>
        <w:autoSpaceDN/>
        <w:bidi w:val="0"/>
        <w:adjustRightInd/>
        <w:snapToGrid/>
        <w:spacing w:line="360" w:lineRule="auto"/>
        <w:ind w:firstLine="315" w:firstLineChars="150"/>
        <w:jc w:val="both"/>
        <w:textAlignment w:val="auto"/>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（三）不准接受或暗示为甲方、相关单位或个人装修住房、婚丧嫁娶、配偶子女的工作安排以及出国（境）、旅游等提供方便。</w:t>
      </w:r>
    </w:p>
    <w:p w14:paraId="53C92EEE">
      <w:pPr>
        <w:keepNext w:val="0"/>
        <w:keepLines w:val="0"/>
        <w:pageBreakBefore w:val="0"/>
        <w:widowControl w:val="0"/>
        <w:kinsoku/>
        <w:wordWrap/>
        <w:overflowPunct/>
        <w:topLinePunct w:val="0"/>
        <w:autoSpaceDE/>
        <w:autoSpaceDN/>
        <w:bidi w:val="0"/>
        <w:adjustRightInd/>
        <w:snapToGrid/>
        <w:spacing w:line="360" w:lineRule="auto"/>
        <w:ind w:firstLine="315" w:firstLineChars="150"/>
        <w:jc w:val="both"/>
        <w:textAlignment w:val="auto"/>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（四）不准违反合同约定而使用甲方、相关单位提供的通信、交通工具和高档办公用品。</w:t>
      </w:r>
    </w:p>
    <w:p w14:paraId="78A5A8C9">
      <w:pPr>
        <w:keepNext w:val="0"/>
        <w:keepLines w:val="0"/>
        <w:pageBreakBefore w:val="0"/>
        <w:widowControl w:val="0"/>
        <w:kinsoku/>
        <w:wordWrap/>
        <w:overflowPunct/>
        <w:topLinePunct w:val="0"/>
        <w:autoSpaceDE/>
        <w:autoSpaceDN/>
        <w:bidi w:val="0"/>
        <w:adjustRightInd/>
        <w:snapToGrid/>
        <w:spacing w:line="360" w:lineRule="auto"/>
        <w:ind w:firstLine="315" w:firstLineChars="150"/>
        <w:jc w:val="both"/>
        <w:textAlignment w:val="auto"/>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（五）不准以任何理由为甲方、相关单位或个人组织有可能影响公正执行公务的宴请、健身、娱乐等活动。</w:t>
      </w:r>
    </w:p>
    <w:p w14:paraId="76F2729C">
      <w:pPr>
        <w:keepNext w:val="0"/>
        <w:keepLines w:val="0"/>
        <w:pageBreakBefore w:val="0"/>
        <w:widowControl w:val="0"/>
        <w:kinsoku/>
        <w:wordWrap/>
        <w:overflowPunct/>
        <w:topLinePunct w:val="0"/>
        <w:autoSpaceDE/>
        <w:autoSpaceDN/>
        <w:bidi w:val="0"/>
        <w:adjustRightInd/>
        <w:snapToGrid/>
        <w:spacing w:line="360" w:lineRule="auto"/>
        <w:ind w:firstLine="315" w:firstLineChars="150"/>
        <w:jc w:val="both"/>
        <w:textAlignment w:val="auto"/>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（六）不准接受造价咨询单位的宴请、健身、娱乐等活动。</w:t>
      </w:r>
    </w:p>
    <w:p w14:paraId="3F3D8A36">
      <w:pPr>
        <w:keepNext w:val="0"/>
        <w:keepLines w:val="0"/>
        <w:pageBreakBefore w:val="0"/>
        <w:widowControl w:val="0"/>
        <w:kinsoku/>
        <w:wordWrap/>
        <w:overflowPunct/>
        <w:topLinePunct w:val="0"/>
        <w:autoSpaceDE/>
        <w:autoSpaceDN/>
        <w:bidi w:val="0"/>
        <w:adjustRightInd/>
        <w:snapToGrid/>
        <w:spacing w:line="360" w:lineRule="auto"/>
        <w:ind w:firstLine="315" w:firstLineChars="150"/>
        <w:jc w:val="both"/>
        <w:textAlignment w:val="auto"/>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第四条 违约责任</w:t>
      </w:r>
    </w:p>
    <w:p w14:paraId="7D074F07">
      <w:pPr>
        <w:keepNext w:val="0"/>
        <w:keepLines w:val="0"/>
        <w:pageBreakBefore w:val="0"/>
        <w:widowControl w:val="0"/>
        <w:kinsoku/>
        <w:wordWrap/>
        <w:overflowPunct/>
        <w:topLinePunct w:val="0"/>
        <w:autoSpaceDE/>
        <w:autoSpaceDN/>
        <w:bidi w:val="0"/>
        <w:adjustRightInd/>
        <w:snapToGrid/>
        <w:spacing w:line="360" w:lineRule="auto"/>
        <w:ind w:firstLine="315" w:firstLineChars="150"/>
        <w:jc w:val="both"/>
        <w:textAlignment w:val="auto"/>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77F00BEA">
      <w:pPr>
        <w:keepNext w:val="0"/>
        <w:keepLines w:val="0"/>
        <w:pageBreakBefore w:val="0"/>
        <w:widowControl w:val="0"/>
        <w:kinsoku/>
        <w:wordWrap/>
        <w:overflowPunct/>
        <w:topLinePunct w:val="0"/>
        <w:autoSpaceDE/>
        <w:autoSpaceDN/>
        <w:bidi w:val="0"/>
        <w:adjustRightInd/>
        <w:snapToGrid/>
        <w:spacing w:line="360" w:lineRule="auto"/>
        <w:ind w:firstLine="315" w:firstLineChars="150"/>
        <w:jc w:val="both"/>
        <w:textAlignment w:val="auto"/>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45171A0C">
      <w:pPr>
        <w:keepNext w:val="0"/>
        <w:keepLines w:val="0"/>
        <w:pageBreakBefore w:val="0"/>
        <w:widowControl w:val="0"/>
        <w:kinsoku/>
        <w:wordWrap/>
        <w:overflowPunct/>
        <w:topLinePunct w:val="0"/>
        <w:autoSpaceDE/>
        <w:autoSpaceDN/>
        <w:bidi w:val="0"/>
        <w:adjustRightInd/>
        <w:snapToGrid/>
        <w:spacing w:line="360" w:lineRule="auto"/>
        <w:ind w:firstLine="315" w:firstLineChars="150"/>
        <w:jc w:val="both"/>
        <w:textAlignment w:val="auto"/>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第五条 本责任书作为工程造价咨询合同的附件，与工程造价咨询合同具有同等法律效力。经双方签署后立即生效。</w:t>
      </w:r>
    </w:p>
    <w:p w14:paraId="0FE058C9">
      <w:pPr>
        <w:keepNext w:val="0"/>
        <w:keepLines w:val="0"/>
        <w:pageBreakBefore w:val="0"/>
        <w:widowControl w:val="0"/>
        <w:kinsoku/>
        <w:wordWrap/>
        <w:overflowPunct/>
        <w:topLinePunct w:val="0"/>
        <w:autoSpaceDE/>
        <w:autoSpaceDN/>
        <w:bidi w:val="0"/>
        <w:adjustRightInd/>
        <w:snapToGrid/>
        <w:spacing w:line="360" w:lineRule="auto"/>
        <w:ind w:firstLine="315" w:firstLineChars="150"/>
        <w:jc w:val="both"/>
        <w:textAlignment w:val="auto"/>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第六条 本责任书的有效期为双方签署之日起至该工程项目竣工验收合格时止。</w:t>
      </w:r>
    </w:p>
    <w:p w14:paraId="2BFC3F5C">
      <w:pPr>
        <w:keepNext w:val="0"/>
        <w:keepLines w:val="0"/>
        <w:pageBreakBefore w:val="0"/>
        <w:widowControl w:val="0"/>
        <w:kinsoku/>
        <w:wordWrap/>
        <w:overflowPunct/>
        <w:topLinePunct w:val="0"/>
        <w:autoSpaceDE/>
        <w:autoSpaceDN/>
        <w:bidi w:val="0"/>
        <w:adjustRightInd/>
        <w:snapToGrid/>
        <w:spacing w:line="360" w:lineRule="auto"/>
        <w:ind w:firstLine="315" w:firstLineChars="150"/>
        <w:jc w:val="both"/>
        <w:textAlignment w:val="auto"/>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第七条 本责任书一式</w:t>
      </w:r>
      <w:r>
        <w:rPr>
          <w:rFonts w:hint="eastAsia" w:ascii="宋体" w:hAnsi="宋体" w:eastAsia="宋体" w:cs="Times New Roman"/>
          <w:color w:val="auto"/>
          <w:kern w:val="2"/>
          <w:sz w:val="21"/>
          <w:szCs w:val="21"/>
          <w:highlight w:val="none"/>
          <w:u w:val="single"/>
        </w:rPr>
        <w:t xml:space="preserve">      </w:t>
      </w:r>
      <w:r>
        <w:rPr>
          <w:rFonts w:hint="eastAsia" w:ascii="宋体" w:hAnsi="宋体" w:eastAsia="宋体" w:cs="Times New Roman"/>
          <w:color w:val="auto"/>
          <w:kern w:val="2"/>
          <w:sz w:val="21"/>
          <w:szCs w:val="21"/>
          <w:highlight w:val="none"/>
        </w:rPr>
        <w:t>份，甲方执</w:t>
      </w:r>
      <w:r>
        <w:rPr>
          <w:rFonts w:hint="eastAsia" w:ascii="宋体" w:hAnsi="宋体" w:eastAsia="宋体" w:cs="Times New Roman"/>
          <w:color w:val="auto"/>
          <w:kern w:val="2"/>
          <w:sz w:val="21"/>
          <w:szCs w:val="21"/>
          <w:highlight w:val="none"/>
          <w:u w:val="single"/>
        </w:rPr>
        <w:t xml:space="preserve"> </w:t>
      </w:r>
      <w:r>
        <w:rPr>
          <w:rFonts w:hint="eastAsia" w:ascii="宋体" w:hAnsi="宋体" w:eastAsia="宋体" w:cs="Times New Roman"/>
          <w:color w:val="auto"/>
          <w:kern w:val="2"/>
          <w:sz w:val="21"/>
          <w:szCs w:val="21"/>
          <w:highlight w:val="none"/>
          <w:u w:val="single"/>
          <w:lang w:val="en-US" w:eastAsia="zh-CN"/>
        </w:rPr>
        <w:t xml:space="preserve">  </w:t>
      </w:r>
      <w:r>
        <w:rPr>
          <w:rFonts w:hint="eastAsia" w:ascii="宋体" w:hAnsi="宋体" w:eastAsia="宋体" w:cs="Times New Roman"/>
          <w:color w:val="auto"/>
          <w:kern w:val="2"/>
          <w:sz w:val="21"/>
          <w:szCs w:val="21"/>
          <w:highlight w:val="none"/>
          <w:u w:val="single"/>
        </w:rPr>
        <w:t xml:space="preserve"> </w:t>
      </w:r>
      <w:r>
        <w:rPr>
          <w:rFonts w:hint="eastAsia" w:ascii="宋体" w:hAnsi="宋体" w:eastAsia="宋体" w:cs="Times New Roman"/>
          <w:color w:val="auto"/>
          <w:kern w:val="2"/>
          <w:sz w:val="21"/>
          <w:szCs w:val="21"/>
          <w:highlight w:val="none"/>
        </w:rPr>
        <w:t>份，乙方执</w:t>
      </w:r>
      <w:r>
        <w:rPr>
          <w:rFonts w:hint="eastAsia" w:ascii="宋体" w:hAnsi="宋体" w:eastAsia="宋体" w:cs="Times New Roman"/>
          <w:color w:val="auto"/>
          <w:kern w:val="2"/>
          <w:sz w:val="21"/>
          <w:szCs w:val="21"/>
          <w:highlight w:val="none"/>
          <w:u w:val="single"/>
        </w:rPr>
        <w:t xml:space="preserve">    </w:t>
      </w:r>
      <w:r>
        <w:rPr>
          <w:rFonts w:hint="eastAsia" w:ascii="宋体" w:hAnsi="宋体" w:eastAsia="宋体" w:cs="Times New Roman"/>
          <w:color w:val="auto"/>
          <w:kern w:val="2"/>
          <w:sz w:val="21"/>
          <w:szCs w:val="21"/>
          <w:highlight w:val="none"/>
        </w:rPr>
        <w:t>份。</w:t>
      </w:r>
    </w:p>
    <w:p w14:paraId="17C80689">
      <w:pPr>
        <w:keepNext w:val="0"/>
        <w:keepLines w:val="0"/>
        <w:pageBreakBefore w:val="0"/>
        <w:widowControl w:val="0"/>
        <w:kinsoku/>
        <w:wordWrap/>
        <w:overflowPunct/>
        <w:topLinePunct w:val="0"/>
        <w:autoSpaceDE/>
        <w:autoSpaceDN/>
        <w:bidi w:val="0"/>
        <w:adjustRightInd/>
        <w:snapToGrid/>
        <w:spacing w:line="360" w:lineRule="auto"/>
        <w:ind w:firstLine="315" w:firstLineChars="150"/>
        <w:jc w:val="both"/>
        <w:textAlignment w:val="auto"/>
        <w:rPr>
          <w:rFonts w:ascii="宋体" w:hAnsi="宋体" w:eastAsia="宋体" w:cs="Times New Roman"/>
          <w:color w:val="auto"/>
          <w:kern w:val="2"/>
          <w:sz w:val="21"/>
          <w:szCs w:val="21"/>
          <w:highlight w:val="none"/>
        </w:rPr>
      </w:pPr>
      <w:r>
        <w:rPr>
          <w:rFonts w:ascii="宋体" w:hAnsi="宋体" w:eastAsia="宋体" w:cs="Times New Roman"/>
          <w:color w:val="auto"/>
          <w:kern w:val="2"/>
          <w:sz w:val="21"/>
          <w:szCs w:val="21"/>
          <w:highlight w:val="none"/>
        </w:rPr>
        <w:t xml:space="preserve">   </w:t>
      </w:r>
    </w:p>
    <w:p w14:paraId="218042A7">
      <w:pPr>
        <w:keepNext w:val="0"/>
        <w:keepLines w:val="0"/>
        <w:pageBreakBefore w:val="0"/>
        <w:widowControl w:val="0"/>
        <w:kinsoku/>
        <w:wordWrap/>
        <w:overflowPunct/>
        <w:topLinePunct w:val="0"/>
        <w:autoSpaceDE/>
        <w:autoSpaceDN/>
        <w:bidi w:val="0"/>
        <w:adjustRightInd/>
        <w:snapToGrid/>
        <w:spacing w:line="360" w:lineRule="auto"/>
        <w:ind w:firstLine="315" w:firstLineChars="150"/>
        <w:jc w:val="both"/>
        <w:textAlignment w:val="auto"/>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甲方单位：（盖章）                      乙方单位：（盖章）</w:t>
      </w:r>
    </w:p>
    <w:p w14:paraId="0932DDA6">
      <w:pPr>
        <w:keepNext w:val="0"/>
        <w:keepLines w:val="0"/>
        <w:pageBreakBefore w:val="0"/>
        <w:widowControl w:val="0"/>
        <w:kinsoku/>
        <w:wordWrap/>
        <w:overflowPunct/>
        <w:topLinePunct w:val="0"/>
        <w:autoSpaceDE/>
        <w:autoSpaceDN/>
        <w:bidi w:val="0"/>
        <w:adjustRightInd/>
        <w:snapToGrid/>
        <w:spacing w:line="360" w:lineRule="auto"/>
        <w:ind w:firstLine="315" w:firstLineChars="150"/>
        <w:jc w:val="both"/>
        <w:textAlignment w:val="auto"/>
        <w:rPr>
          <w:rFonts w:ascii="宋体" w:hAnsi="宋体" w:eastAsia="宋体" w:cs="Times New Roman"/>
          <w:color w:val="auto"/>
          <w:kern w:val="2"/>
          <w:sz w:val="21"/>
          <w:szCs w:val="21"/>
          <w:highlight w:val="none"/>
        </w:rPr>
      </w:pPr>
      <w:r>
        <w:rPr>
          <w:rFonts w:ascii="宋体" w:hAnsi="宋体" w:eastAsia="宋体" w:cs="Times New Roman"/>
          <w:color w:val="auto"/>
          <w:kern w:val="2"/>
          <w:sz w:val="21"/>
          <w:szCs w:val="21"/>
          <w:highlight w:val="none"/>
        </w:rPr>
        <w:t xml:space="preserve">     </w:t>
      </w:r>
    </w:p>
    <w:p w14:paraId="4000E129">
      <w:pPr>
        <w:keepNext w:val="0"/>
        <w:keepLines w:val="0"/>
        <w:pageBreakBefore w:val="0"/>
        <w:widowControl w:val="0"/>
        <w:kinsoku/>
        <w:wordWrap/>
        <w:overflowPunct/>
        <w:topLinePunct w:val="0"/>
        <w:autoSpaceDE/>
        <w:autoSpaceDN/>
        <w:bidi w:val="0"/>
        <w:adjustRightInd/>
        <w:snapToGrid/>
        <w:spacing w:line="360" w:lineRule="auto"/>
        <w:ind w:firstLine="315" w:firstLineChars="150"/>
        <w:jc w:val="both"/>
        <w:textAlignment w:val="auto"/>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法定代表人（签章）：</w:t>
      </w:r>
      <w:r>
        <w:rPr>
          <w:rFonts w:ascii="宋体" w:hAnsi="宋体" w:eastAsia="宋体" w:cs="Times New Roman"/>
          <w:color w:val="auto"/>
          <w:kern w:val="2"/>
          <w:sz w:val="21"/>
          <w:szCs w:val="21"/>
          <w:highlight w:val="none"/>
        </w:rPr>
        <w:tab/>
      </w:r>
      <w:r>
        <w:rPr>
          <w:rFonts w:ascii="宋体" w:hAnsi="宋体" w:eastAsia="宋体" w:cs="Times New Roman"/>
          <w:color w:val="auto"/>
          <w:kern w:val="2"/>
          <w:sz w:val="21"/>
          <w:szCs w:val="21"/>
          <w:highlight w:val="none"/>
        </w:rPr>
        <w:tab/>
      </w:r>
      <w:r>
        <w:rPr>
          <w:rFonts w:ascii="宋体" w:hAnsi="宋体" w:eastAsia="宋体" w:cs="Times New Roman"/>
          <w:color w:val="auto"/>
          <w:kern w:val="2"/>
          <w:sz w:val="21"/>
          <w:szCs w:val="21"/>
          <w:highlight w:val="none"/>
        </w:rPr>
        <w:tab/>
      </w:r>
      <w:r>
        <w:rPr>
          <w:rFonts w:ascii="宋体" w:hAnsi="宋体" w:eastAsia="宋体" w:cs="Times New Roman"/>
          <w:color w:val="auto"/>
          <w:kern w:val="2"/>
          <w:sz w:val="21"/>
          <w:szCs w:val="21"/>
          <w:highlight w:val="none"/>
        </w:rPr>
        <w:t xml:space="preserve"> </w:t>
      </w:r>
      <w:r>
        <w:rPr>
          <w:rFonts w:hint="eastAsia" w:ascii="宋体" w:hAnsi="宋体" w:eastAsia="宋体" w:cs="Times New Roman"/>
          <w:color w:val="auto"/>
          <w:kern w:val="2"/>
          <w:sz w:val="21"/>
          <w:szCs w:val="21"/>
          <w:highlight w:val="none"/>
        </w:rPr>
        <w:t xml:space="preserve"> </w:t>
      </w:r>
      <w:r>
        <w:rPr>
          <w:rFonts w:ascii="宋体" w:hAnsi="宋体" w:eastAsia="宋体" w:cs="Times New Roman"/>
          <w:color w:val="auto"/>
          <w:kern w:val="2"/>
          <w:sz w:val="21"/>
          <w:szCs w:val="21"/>
          <w:highlight w:val="none"/>
        </w:rPr>
        <w:t xml:space="preserve"> </w:t>
      </w:r>
      <w:r>
        <w:rPr>
          <w:rFonts w:hint="eastAsia" w:ascii="宋体" w:hAnsi="宋体" w:eastAsia="宋体" w:cs="Times New Roman"/>
          <w:color w:val="auto"/>
          <w:kern w:val="2"/>
          <w:sz w:val="21"/>
          <w:szCs w:val="21"/>
          <w:highlight w:val="none"/>
          <w:lang w:val="en-US" w:eastAsia="zh-CN"/>
        </w:rPr>
        <w:t xml:space="preserve">  </w:t>
      </w:r>
      <w:r>
        <w:rPr>
          <w:rFonts w:hint="eastAsia" w:ascii="宋体" w:hAnsi="宋体" w:eastAsia="宋体" w:cs="Times New Roman"/>
          <w:color w:val="auto"/>
          <w:kern w:val="2"/>
          <w:sz w:val="21"/>
          <w:szCs w:val="21"/>
          <w:highlight w:val="none"/>
        </w:rPr>
        <w:t xml:space="preserve">  </w:t>
      </w:r>
      <w:r>
        <w:rPr>
          <w:rFonts w:hint="eastAsia" w:ascii="宋体" w:hAnsi="宋体" w:cs="Times New Roman"/>
          <w:color w:val="auto"/>
          <w:kern w:val="2"/>
          <w:sz w:val="21"/>
          <w:szCs w:val="21"/>
          <w:highlight w:val="none"/>
          <w:lang w:val="en-US" w:eastAsia="zh-CN"/>
        </w:rPr>
        <w:t xml:space="preserve">    </w:t>
      </w:r>
      <w:r>
        <w:rPr>
          <w:rFonts w:hint="eastAsia" w:ascii="宋体" w:hAnsi="宋体" w:eastAsia="宋体" w:cs="Times New Roman"/>
          <w:color w:val="auto"/>
          <w:kern w:val="2"/>
          <w:sz w:val="21"/>
          <w:szCs w:val="21"/>
          <w:highlight w:val="none"/>
        </w:rPr>
        <w:t>法定代表人（签章）：</w:t>
      </w:r>
    </w:p>
    <w:p w14:paraId="5A6EC19C">
      <w:pPr>
        <w:keepNext w:val="0"/>
        <w:keepLines w:val="0"/>
        <w:pageBreakBefore w:val="0"/>
        <w:widowControl w:val="0"/>
        <w:kinsoku/>
        <w:wordWrap/>
        <w:overflowPunct/>
        <w:topLinePunct w:val="0"/>
        <w:autoSpaceDE/>
        <w:autoSpaceDN/>
        <w:bidi w:val="0"/>
        <w:adjustRightInd/>
        <w:snapToGrid/>
        <w:spacing w:line="360" w:lineRule="auto"/>
        <w:ind w:firstLine="315" w:firstLineChars="150"/>
        <w:jc w:val="both"/>
        <w:textAlignment w:val="auto"/>
        <w:rPr>
          <w:rFonts w:ascii="宋体" w:hAnsi="宋体" w:eastAsia="宋体" w:cs="Times New Roman"/>
          <w:color w:val="auto"/>
          <w:kern w:val="2"/>
          <w:sz w:val="21"/>
          <w:szCs w:val="21"/>
          <w:highlight w:val="none"/>
        </w:rPr>
      </w:pPr>
      <w:r>
        <w:rPr>
          <w:rFonts w:ascii="宋体" w:hAnsi="宋体" w:eastAsia="宋体" w:cs="Times New Roman"/>
          <w:color w:val="auto"/>
          <w:kern w:val="2"/>
          <w:sz w:val="21"/>
          <w:szCs w:val="21"/>
          <w:highlight w:val="none"/>
        </w:rPr>
        <w:t xml:space="preserve"> </w:t>
      </w:r>
    </w:p>
    <w:p w14:paraId="1972D8AF">
      <w:pPr>
        <w:keepNext w:val="0"/>
        <w:keepLines w:val="0"/>
        <w:pageBreakBefore w:val="0"/>
        <w:widowControl w:val="0"/>
        <w:kinsoku/>
        <w:wordWrap/>
        <w:overflowPunct/>
        <w:topLinePunct w:val="0"/>
        <w:autoSpaceDE/>
        <w:autoSpaceDN/>
        <w:bidi w:val="0"/>
        <w:adjustRightInd/>
        <w:snapToGrid/>
        <w:spacing w:line="360" w:lineRule="auto"/>
        <w:ind w:firstLine="315" w:firstLineChars="150"/>
        <w:jc w:val="both"/>
        <w:textAlignment w:val="auto"/>
        <w:rPr>
          <w:rFonts w:ascii="宋体" w:hAnsi="宋体" w:eastAsia="宋体" w:cs="Times New Roman"/>
          <w:color w:val="auto"/>
          <w:kern w:val="2"/>
          <w:sz w:val="21"/>
          <w:szCs w:val="21"/>
          <w:highlight w:val="none"/>
        </w:rPr>
      </w:pPr>
      <w:r>
        <w:rPr>
          <w:rFonts w:ascii="宋体" w:hAnsi="宋体" w:eastAsia="宋体" w:cs="Times New Roman"/>
          <w:color w:val="auto"/>
          <w:kern w:val="2"/>
          <w:sz w:val="21"/>
          <w:szCs w:val="21"/>
          <w:highlight w:val="none"/>
        </w:rPr>
        <w:t xml:space="preserve">  </w:t>
      </w:r>
    </w:p>
    <w:p w14:paraId="45ABE696">
      <w:pPr>
        <w:pStyle w:val="30"/>
        <w:keepNext w:val="0"/>
        <w:keepLines w:val="0"/>
        <w:pageBreakBefore w:val="0"/>
        <w:widowControl w:val="0"/>
        <w:kinsoku/>
        <w:wordWrap/>
        <w:overflowPunct/>
        <w:topLinePunct w:val="0"/>
        <w:autoSpaceDE/>
        <w:autoSpaceDN/>
        <w:bidi w:val="0"/>
        <w:adjustRightInd/>
        <w:snapToGrid/>
        <w:spacing w:beforeLines="0" w:afterLines="0" w:line="360" w:lineRule="auto"/>
        <w:jc w:val="both"/>
        <w:textAlignment w:val="auto"/>
        <w:rPr>
          <w:rFonts w:hint="eastAsia" w:ascii="宋体" w:hAnsi="宋体" w:eastAsia="宋体" w:cs="宋体"/>
          <w:b/>
          <w:color w:val="auto"/>
          <w:sz w:val="30"/>
          <w:szCs w:val="30"/>
          <w:highlight w:val="none"/>
          <w:shd w:val="clear" w:color="auto" w:fill="auto"/>
        </w:rPr>
      </w:pPr>
      <w:r>
        <w:rPr>
          <w:rFonts w:hint="eastAsia" w:ascii="宋体" w:hAnsi="宋体" w:eastAsia="宋体" w:cs="Times New Roman"/>
          <w:color w:val="auto"/>
          <w:kern w:val="2"/>
          <w:sz w:val="21"/>
          <w:szCs w:val="21"/>
          <w:highlight w:val="none"/>
        </w:rPr>
        <w:t xml:space="preserve"> </w:t>
      </w:r>
      <w:r>
        <w:rPr>
          <w:rFonts w:hint="eastAsia" w:hAnsi="宋体" w:cs="Times New Roman"/>
          <w:color w:val="auto"/>
          <w:kern w:val="2"/>
          <w:sz w:val="21"/>
          <w:szCs w:val="21"/>
          <w:highlight w:val="none"/>
          <w:lang w:val="en-US" w:eastAsia="zh-CN"/>
        </w:rPr>
        <w:t xml:space="preserve">  </w:t>
      </w:r>
      <w:r>
        <w:rPr>
          <w:rFonts w:hint="eastAsia" w:ascii="宋体" w:hAnsi="宋体" w:eastAsia="宋体" w:cs="Times New Roman"/>
          <w:color w:val="auto"/>
          <w:kern w:val="2"/>
          <w:sz w:val="21"/>
          <w:szCs w:val="21"/>
          <w:highlight w:val="none"/>
        </w:rPr>
        <w:t>年   月   日</w:t>
      </w:r>
      <w:r>
        <w:rPr>
          <w:rFonts w:ascii="宋体" w:hAnsi="宋体" w:eastAsia="宋体" w:cs="Times New Roman"/>
          <w:color w:val="auto"/>
          <w:kern w:val="2"/>
          <w:sz w:val="21"/>
          <w:szCs w:val="21"/>
          <w:highlight w:val="none"/>
        </w:rPr>
        <w:t xml:space="preserve">                        </w:t>
      </w:r>
      <w:r>
        <w:rPr>
          <w:rFonts w:hint="eastAsia" w:ascii="宋体" w:hAnsi="宋体" w:eastAsia="宋体" w:cs="Times New Roman"/>
          <w:color w:val="auto"/>
          <w:kern w:val="2"/>
          <w:sz w:val="21"/>
          <w:szCs w:val="21"/>
          <w:highlight w:val="none"/>
        </w:rPr>
        <w:t xml:space="preserve">       年   月  日</w:t>
      </w:r>
    </w:p>
    <w:p w14:paraId="54133017">
      <w:pPr>
        <w:pStyle w:val="30"/>
        <w:snapToGrid w:val="0"/>
        <w:spacing w:beforeLines="0" w:afterLines="0" w:line="480" w:lineRule="exact"/>
        <w:jc w:val="center"/>
        <w:rPr>
          <w:rFonts w:hint="eastAsia" w:ascii="宋体" w:hAnsi="宋体" w:eastAsia="宋体" w:cs="宋体"/>
          <w:b/>
          <w:color w:val="auto"/>
          <w:sz w:val="30"/>
          <w:szCs w:val="30"/>
          <w:highlight w:val="none"/>
          <w:shd w:val="clear" w:color="auto" w:fill="auto"/>
        </w:rPr>
      </w:pPr>
    </w:p>
    <w:p w14:paraId="2CE03843">
      <w:pPr>
        <w:pStyle w:val="30"/>
        <w:snapToGrid w:val="0"/>
        <w:spacing w:beforeLines="0" w:afterLines="0" w:line="480" w:lineRule="exact"/>
        <w:jc w:val="center"/>
        <w:rPr>
          <w:rFonts w:hint="eastAsia" w:ascii="宋体" w:hAnsi="宋体" w:eastAsia="宋体" w:cs="宋体"/>
          <w:b/>
          <w:color w:val="auto"/>
          <w:sz w:val="30"/>
          <w:szCs w:val="30"/>
          <w:highlight w:val="none"/>
          <w:shd w:val="clear" w:color="auto" w:fill="auto"/>
        </w:rPr>
        <w:sectPr>
          <w:footerReference r:id="rId10" w:type="default"/>
          <w:pgSz w:w="11906" w:h="16838"/>
          <w:pgMar w:top="1361" w:right="1361" w:bottom="1361" w:left="1361" w:header="567" w:footer="454" w:gutter="0"/>
          <w:pgNumType w:fmt="decimal"/>
          <w:cols w:space="720" w:num="1"/>
          <w:rtlGutter w:val="0"/>
          <w:docGrid w:linePitch="286" w:charSpace="0"/>
        </w:sectPr>
      </w:pPr>
    </w:p>
    <w:p w14:paraId="5FC902F5">
      <w:pPr>
        <w:pStyle w:val="30"/>
        <w:snapToGrid w:val="0"/>
        <w:spacing w:beforeLines="0" w:afterLines="0" w:line="480" w:lineRule="exact"/>
        <w:jc w:val="center"/>
        <w:outlineLvl w:val="0"/>
        <w:rPr>
          <w:rFonts w:hint="eastAsia" w:ascii="宋体" w:hAnsi="宋体" w:eastAsia="宋体" w:cs="宋体"/>
          <w:b/>
          <w:color w:val="auto"/>
          <w:sz w:val="30"/>
          <w:szCs w:val="30"/>
          <w:highlight w:val="none"/>
          <w:shd w:val="clear" w:color="auto" w:fill="auto"/>
        </w:rPr>
      </w:pPr>
      <w:bookmarkStart w:id="230" w:name="_Toc22947"/>
      <w:bookmarkStart w:id="231" w:name="_Toc21901"/>
      <w:r>
        <w:rPr>
          <w:rFonts w:hint="eastAsia" w:ascii="宋体" w:hAnsi="宋体" w:eastAsia="宋体" w:cs="宋体"/>
          <w:b/>
          <w:color w:val="auto"/>
          <w:sz w:val="30"/>
          <w:szCs w:val="30"/>
          <w:highlight w:val="none"/>
          <w:shd w:val="clear" w:color="auto" w:fill="auto"/>
        </w:rPr>
        <w:t>第六章　投标文件格式</w:t>
      </w:r>
      <w:bookmarkEnd w:id="150"/>
      <w:bookmarkEnd w:id="151"/>
      <w:bookmarkEnd w:id="152"/>
      <w:bookmarkEnd w:id="230"/>
      <w:bookmarkEnd w:id="231"/>
    </w:p>
    <w:p w14:paraId="620664EE">
      <w:pPr>
        <w:pStyle w:val="30"/>
        <w:snapToGrid w:val="0"/>
        <w:spacing w:beforeLines="0" w:afterLines="0" w:line="420" w:lineRule="exact"/>
        <w:jc w:val="center"/>
        <w:rPr>
          <w:rFonts w:hint="eastAsia" w:ascii="宋体" w:hAnsi="宋体" w:eastAsia="宋体" w:cs="宋体"/>
          <w:color w:val="auto"/>
          <w:sz w:val="30"/>
          <w:szCs w:val="30"/>
          <w:highlight w:val="none"/>
          <w:shd w:val="clear" w:color="auto" w:fill="auto"/>
        </w:rPr>
      </w:pPr>
    </w:p>
    <w:p w14:paraId="01BAE1B7">
      <w:pPr>
        <w:snapToGrid w:val="0"/>
        <w:spacing w:before="120" w:beforeLines="50" w:after="50"/>
        <w:jc w:val="center"/>
        <w:outlineLvl w:val="0"/>
        <w:rPr>
          <w:rFonts w:hint="eastAsia" w:ascii="宋体" w:hAnsi="宋体" w:eastAsia="宋体" w:cs="宋体"/>
          <w:b/>
          <w:bCs/>
          <w:color w:val="auto"/>
          <w:sz w:val="28"/>
          <w:szCs w:val="28"/>
          <w:highlight w:val="none"/>
          <w:shd w:val="clear" w:color="auto" w:fill="auto"/>
        </w:rPr>
      </w:pPr>
      <w:bookmarkStart w:id="232" w:name="_Toc10742"/>
      <w:bookmarkStart w:id="233" w:name="_Toc30690"/>
      <w:bookmarkStart w:id="234" w:name="_Toc29857"/>
      <w:bookmarkStart w:id="235" w:name="_Toc29949"/>
      <w:bookmarkStart w:id="236" w:name="_Toc265669850"/>
      <w:r>
        <w:rPr>
          <w:rFonts w:hint="eastAsia" w:ascii="宋体" w:hAnsi="宋体" w:eastAsia="宋体" w:cs="宋体"/>
          <w:b/>
          <w:bCs/>
          <w:color w:val="auto"/>
          <w:sz w:val="28"/>
          <w:szCs w:val="28"/>
          <w:highlight w:val="none"/>
          <w:shd w:val="clear" w:color="auto" w:fill="auto"/>
        </w:rPr>
        <w:t>一、资格响应文件格式</w:t>
      </w:r>
      <w:bookmarkEnd w:id="232"/>
      <w:bookmarkEnd w:id="233"/>
      <w:bookmarkEnd w:id="234"/>
      <w:bookmarkEnd w:id="235"/>
    </w:p>
    <w:p w14:paraId="47117CF0">
      <w:pPr>
        <w:snapToGrid w:val="0"/>
        <w:spacing w:before="120" w:beforeLines="50" w:after="50"/>
        <w:jc w:val="center"/>
        <w:rPr>
          <w:rFonts w:hint="eastAsia" w:ascii="宋体" w:hAnsi="宋体" w:eastAsia="宋体" w:cs="宋体"/>
          <w:color w:val="auto"/>
          <w:sz w:val="28"/>
          <w:szCs w:val="28"/>
          <w:highlight w:val="none"/>
          <w:shd w:val="clear" w:color="auto" w:fill="auto"/>
        </w:rPr>
      </w:pPr>
    </w:p>
    <w:p w14:paraId="7107648F">
      <w:pPr>
        <w:snapToGrid w:val="0"/>
        <w:spacing w:before="120" w:beforeLines="50" w:after="50"/>
        <w:jc w:val="center"/>
        <w:rPr>
          <w:rFonts w:hint="eastAsia" w:ascii="宋体" w:hAnsi="宋体" w:eastAsia="宋体" w:cs="宋体"/>
          <w:color w:val="auto"/>
          <w:sz w:val="28"/>
          <w:szCs w:val="28"/>
          <w:highlight w:val="none"/>
          <w:shd w:val="clear" w:color="auto" w:fill="auto"/>
        </w:rPr>
      </w:pPr>
    </w:p>
    <w:p w14:paraId="1ABA1ED5">
      <w:pPr>
        <w:snapToGrid w:val="0"/>
        <w:spacing w:before="120" w:beforeLines="50" w:after="50"/>
        <w:ind w:firstLine="560" w:firstLineChars="200"/>
        <w:outlineLvl w:val="1"/>
        <w:rPr>
          <w:rFonts w:hint="eastAsia" w:ascii="宋体" w:hAnsi="宋体" w:eastAsia="宋体" w:cs="宋体"/>
          <w:color w:val="auto"/>
          <w:sz w:val="28"/>
          <w:szCs w:val="28"/>
          <w:highlight w:val="none"/>
          <w:shd w:val="clear" w:color="auto" w:fill="auto"/>
        </w:rPr>
      </w:pPr>
      <w:bookmarkStart w:id="237" w:name="_Toc11047"/>
      <w:bookmarkStart w:id="238" w:name="_Toc10242"/>
      <w:r>
        <w:rPr>
          <w:rFonts w:hint="eastAsia" w:ascii="宋体" w:hAnsi="宋体" w:eastAsia="宋体" w:cs="宋体"/>
          <w:color w:val="auto"/>
          <w:sz w:val="28"/>
          <w:szCs w:val="28"/>
          <w:highlight w:val="none"/>
          <w:shd w:val="clear" w:color="auto" w:fill="auto"/>
        </w:rPr>
        <w:t>1.资格响应文件封面格式：</w:t>
      </w:r>
      <w:bookmarkEnd w:id="237"/>
      <w:bookmarkEnd w:id="238"/>
      <w:r>
        <w:rPr>
          <w:rFonts w:hint="eastAsia" w:ascii="宋体" w:hAnsi="宋体" w:eastAsia="宋体" w:cs="宋体"/>
          <w:color w:val="auto"/>
          <w:sz w:val="28"/>
          <w:szCs w:val="28"/>
          <w:highlight w:val="none"/>
          <w:shd w:val="clear" w:color="auto" w:fill="auto"/>
        </w:rPr>
        <w:t xml:space="preserve"> </w:t>
      </w:r>
    </w:p>
    <w:p w14:paraId="42D5AD78">
      <w:pPr>
        <w:snapToGrid w:val="0"/>
        <w:spacing w:before="120" w:beforeLines="50" w:after="5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 xml:space="preserve"> </w:t>
      </w:r>
    </w:p>
    <w:p w14:paraId="424AFA76">
      <w:pPr>
        <w:snapToGrid w:val="0"/>
        <w:spacing w:before="120" w:beforeLines="50" w:after="50"/>
        <w:rPr>
          <w:rFonts w:hint="eastAsia" w:ascii="宋体" w:hAnsi="宋体" w:eastAsia="宋体" w:cs="宋体"/>
          <w:color w:val="auto"/>
          <w:sz w:val="28"/>
          <w:szCs w:val="28"/>
          <w:highlight w:val="none"/>
          <w:shd w:val="clear" w:color="auto" w:fill="auto"/>
        </w:rPr>
      </w:pPr>
    </w:p>
    <w:p w14:paraId="39ED61FD">
      <w:pPr>
        <w:snapToGrid w:val="0"/>
        <w:spacing w:before="120" w:beforeLines="50" w:after="50"/>
        <w:jc w:val="center"/>
        <w:rPr>
          <w:rFonts w:hint="eastAsia" w:ascii="宋体" w:hAnsi="宋体" w:eastAsia="宋体" w:cs="宋体"/>
          <w:bCs/>
          <w:color w:val="auto"/>
          <w:sz w:val="28"/>
          <w:szCs w:val="28"/>
          <w:highlight w:val="none"/>
          <w:shd w:val="clear" w:color="auto" w:fill="auto"/>
        </w:rPr>
      </w:pPr>
    </w:p>
    <w:p w14:paraId="7A345CE7">
      <w:pPr>
        <w:snapToGrid w:val="0"/>
        <w:spacing w:before="120" w:beforeLines="50" w:after="50"/>
        <w:jc w:val="center"/>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资格响应文件</w:t>
      </w:r>
    </w:p>
    <w:p w14:paraId="0D855792">
      <w:pPr>
        <w:snapToGrid w:val="0"/>
        <w:spacing w:before="120" w:beforeLines="50" w:after="50" w:line="360" w:lineRule="auto"/>
        <w:jc w:val="center"/>
        <w:rPr>
          <w:rFonts w:hint="eastAsia" w:ascii="宋体" w:hAnsi="宋体" w:eastAsia="宋体" w:cs="宋体"/>
          <w:bCs/>
          <w:color w:val="auto"/>
          <w:sz w:val="28"/>
          <w:szCs w:val="28"/>
          <w:highlight w:val="none"/>
          <w:shd w:val="clear" w:color="auto" w:fill="auto"/>
        </w:rPr>
      </w:pPr>
    </w:p>
    <w:p w14:paraId="20811D8B">
      <w:pPr>
        <w:snapToGrid w:val="0"/>
        <w:spacing w:before="120" w:beforeLines="50" w:after="50" w:line="360" w:lineRule="auto"/>
        <w:jc w:val="center"/>
        <w:rPr>
          <w:rFonts w:hint="eastAsia" w:ascii="宋体" w:hAnsi="宋体" w:eastAsia="宋体" w:cs="宋体"/>
          <w:bCs/>
          <w:color w:val="auto"/>
          <w:sz w:val="28"/>
          <w:szCs w:val="28"/>
          <w:highlight w:val="none"/>
          <w:shd w:val="clear" w:color="auto" w:fill="auto"/>
        </w:rPr>
      </w:pPr>
    </w:p>
    <w:p w14:paraId="686E84A7">
      <w:pPr>
        <w:snapToGrid w:val="0"/>
        <w:spacing w:before="120" w:beforeLines="50" w:after="50" w:line="360" w:lineRule="auto"/>
        <w:ind w:firstLine="1246" w:firstLineChars="445"/>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项目名称：</w:t>
      </w:r>
    </w:p>
    <w:p w14:paraId="51E6D8C8">
      <w:pPr>
        <w:snapToGrid w:val="0"/>
        <w:spacing w:before="120" w:beforeLines="50" w:after="50" w:line="360" w:lineRule="auto"/>
        <w:ind w:firstLine="560" w:firstLineChars="200"/>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 xml:space="preserve">     项目编号：    </w:t>
      </w:r>
    </w:p>
    <w:p w14:paraId="19A93B20">
      <w:pPr>
        <w:pStyle w:val="14"/>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p>
    <w:p w14:paraId="0081AACC">
      <w:pPr>
        <w:pStyle w:val="14"/>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投标人名称：</w:t>
      </w:r>
    </w:p>
    <w:p w14:paraId="462E3CFA">
      <w:pPr>
        <w:pStyle w:val="14"/>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投标人地址：</w:t>
      </w:r>
    </w:p>
    <w:p w14:paraId="04B70546">
      <w:pPr>
        <w:pStyle w:val="14"/>
        <w:snapToGrid w:val="0"/>
        <w:spacing w:before="50" w:after="50"/>
        <w:ind w:firstLine="1120" w:firstLineChars="400"/>
        <w:rPr>
          <w:rFonts w:hint="eastAsia" w:ascii="宋体" w:hAnsi="宋体" w:eastAsia="宋体" w:cs="宋体"/>
          <w:bCs/>
          <w:color w:val="auto"/>
          <w:sz w:val="28"/>
          <w:szCs w:val="28"/>
          <w:highlight w:val="none"/>
          <w:shd w:val="clear" w:color="auto" w:fill="auto"/>
        </w:rPr>
      </w:pPr>
    </w:p>
    <w:p w14:paraId="674E7431">
      <w:pPr>
        <w:snapToGrid w:val="0"/>
        <w:spacing w:line="360" w:lineRule="auto"/>
        <w:ind w:firstLine="3360" w:firstLineChars="1200"/>
        <w:jc w:val="left"/>
        <w:rPr>
          <w:rFonts w:hint="eastAsia" w:ascii="宋体" w:hAnsi="宋体" w:eastAsia="宋体" w:cs="宋体"/>
          <w:color w:val="auto"/>
          <w:sz w:val="28"/>
          <w:szCs w:val="28"/>
          <w:highlight w:val="none"/>
          <w:shd w:val="clear" w:color="auto" w:fill="auto"/>
        </w:rPr>
      </w:pPr>
    </w:p>
    <w:p w14:paraId="3AFA45F1">
      <w:pPr>
        <w:snapToGrid w:val="0"/>
        <w:spacing w:line="360" w:lineRule="auto"/>
        <w:ind w:firstLine="3640" w:firstLineChars="13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8"/>
          <w:szCs w:val="28"/>
          <w:highlight w:val="none"/>
          <w:shd w:val="clear" w:color="auto" w:fill="auto"/>
        </w:rPr>
        <w:t>年  月  日</w:t>
      </w:r>
      <w:r>
        <w:rPr>
          <w:rFonts w:hint="eastAsia" w:ascii="宋体" w:hAnsi="宋体" w:eastAsia="宋体" w:cs="宋体"/>
          <w:color w:val="auto"/>
          <w:sz w:val="28"/>
          <w:szCs w:val="28"/>
          <w:highlight w:val="none"/>
          <w:shd w:val="clear" w:color="auto" w:fill="auto"/>
        </w:rPr>
        <w:br w:type="page"/>
      </w:r>
      <w:bookmarkStart w:id="239" w:name="_Hlk60757343"/>
      <w:r>
        <w:rPr>
          <w:rFonts w:hint="eastAsia" w:ascii="宋体" w:hAnsi="宋体" w:eastAsia="宋体" w:cs="宋体"/>
          <w:color w:val="auto"/>
          <w:sz w:val="24"/>
          <w:highlight w:val="none"/>
          <w:shd w:val="clear" w:color="auto" w:fill="auto"/>
        </w:rPr>
        <w:t>2.营业执照等：</w:t>
      </w:r>
      <w:bookmarkEnd w:id="239"/>
    </w:p>
    <w:p w14:paraId="7DAA7A27">
      <w:pPr>
        <w:snapToGrid w:val="0"/>
        <w:spacing w:line="360" w:lineRule="auto"/>
        <w:jc w:val="center"/>
        <w:rPr>
          <w:rFonts w:hint="eastAsia" w:ascii="宋体" w:hAnsi="宋体" w:eastAsia="宋体" w:cs="宋体"/>
          <w:b/>
          <w:color w:val="auto"/>
          <w:kern w:val="0"/>
          <w:sz w:val="32"/>
          <w:szCs w:val="32"/>
          <w:highlight w:val="none"/>
          <w:shd w:val="clear" w:color="auto" w:fill="auto"/>
          <w:lang w:val="zh-CN"/>
        </w:rPr>
      </w:pPr>
    </w:p>
    <w:p w14:paraId="2267D7A9">
      <w:pPr>
        <w:snapToGrid w:val="0"/>
        <w:spacing w:line="360" w:lineRule="auto"/>
        <w:jc w:val="center"/>
        <w:rPr>
          <w:rFonts w:hint="eastAsia" w:ascii="宋体" w:hAnsi="宋体" w:eastAsia="宋体" w:cs="宋体"/>
          <w:b/>
          <w:color w:val="auto"/>
          <w:kern w:val="0"/>
          <w:sz w:val="32"/>
          <w:szCs w:val="32"/>
          <w:highlight w:val="none"/>
          <w:shd w:val="clear" w:color="auto" w:fill="auto"/>
          <w:lang w:val="zh-CN"/>
        </w:rPr>
      </w:pPr>
    </w:p>
    <w:p w14:paraId="5AC7B469">
      <w:pPr>
        <w:snapToGrid w:val="0"/>
        <w:spacing w:line="360" w:lineRule="auto"/>
        <w:jc w:val="center"/>
        <w:rPr>
          <w:rFonts w:hint="eastAsia" w:ascii="宋体" w:hAnsi="宋体" w:eastAsia="宋体" w:cs="宋体"/>
          <w:b/>
          <w:color w:val="auto"/>
          <w:kern w:val="0"/>
          <w:sz w:val="32"/>
          <w:szCs w:val="32"/>
          <w:highlight w:val="none"/>
          <w:shd w:val="clear" w:color="auto" w:fill="auto"/>
          <w:lang w:val="zh-CN"/>
        </w:rPr>
      </w:pPr>
      <w:r>
        <w:rPr>
          <w:rFonts w:hint="eastAsia" w:ascii="宋体" w:hAnsi="宋体" w:eastAsia="宋体" w:cs="宋体"/>
          <w:b/>
          <w:color w:val="auto"/>
          <w:kern w:val="0"/>
          <w:sz w:val="32"/>
          <w:szCs w:val="32"/>
          <w:highlight w:val="none"/>
          <w:shd w:val="clear" w:color="auto" w:fill="auto"/>
          <w:lang w:val="zh-CN"/>
        </w:rPr>
        <w:t>营业执照（推荐使用电子营业执照）</w:t>
      </w:r>
    </w:p>
    <w:p w14:paraId="5B9F9395">
      <w:pPr>
        <w:snapToGrid w:val="0"/>
        <w:spacing w:line="360" w:lineRule="auto"/>
        <w:rPr>
          <w:rFonts w:hint="eastAsia" w:ascii="宋体" w:hAnsi="宋体" w:eastAsia="宋体" w:cs="宋体"/>
          <w:b/>
          <w:color w:val="auto"/>
          <w:kern w:val="0"/>
          <w:sz w:val="32"/>
          <w:szCs w:val="32"/>
          <w:highlight w:val="none"/>
          <w:shd w:val="clear" w:color="auto" w:fill="auto"/>
          <w:lang w:val="zh-CN"/>
        </w:rPr>
      </w:pPr>
      <w:r>
        <w:rPr>
          <w:rFonts w:hint="eastAsia" w:ascii="宋体" w:hAnsi="宋体" w:eastAsia="宋体" w:cs="宋体"/>
          <w:b/>
          <w:color w:val="auto"/>
          <w:kern w:val="0"/>
          <w:sz w:val="32"/>
          <w:szCs w:val="32"/>
          <w:highlight w:val="none"/>
          <w:shd w:val="clear" w:color="auto" w:fill="auto"/>
          <w:lang w:val="zh-CN"/>
        </w:rPr>
        <w:t>或事业法人登记证或其他工商等登记证明材料原件扫描件或复印件</w:t>
      </w:r>
    </w:p>
    <w:p w14:paraId="56279A6D">
      <w:pPr>
        <w:snapToGrid w:val="0"/>
        <w:spacing w:line="360" w:lineRule="auto"/>
        <w:rPr>
          <w:rFonts w:hint="eastAsia" w:ascii="宋体" w:hAnsi="宋体" w:eastAsia="宋体" w:cs="宋体"/>
          <w:bCs/>
          <w:color w:val="auto"/>
          <w:kern w:val="0"/>
          <w:sz w:val="28"/>
          <w:szCs w:val="28"/>
          <w:highlight w:val="none"/>
          <w:shd w:val="clear" w:color="auto" w:fill="auto"/>
          <w:lang w:val="zh-CN"/>
        </w:rPr>
      </w:pPr>
      <w:r>
        <w:rPr>
          <w:rFonts w:hint="eastAsia" w:ascii="宋体" w:hAnsi="宋体" w:eastAsia="宋体" w:cs="宋体"/>
          <w:bCs/>
          <w:color w:val="auto"/>
          <w:kern w:val="0"/>
          <w:sz w:val="28"/>
          <w:szCs w:val="28"/>
          <w:highlight w:val="none"/>
          <w:shd w:val="clear" w:color="auto" w:fill="auto"/>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33185326">
      <w:pPr>
        <w:snapToGrid w:val="0"/>
        <w:spacing w:line="360" w:lineRule="auto"/>
        <w:jc w:val="center"/>
        <w:rPr>
          <w:rFonts w:hint="eastAsia" w:ascii="宋体" w:hAnsi="宋体" w:eastAsia="宋体" w:cs="宋体"/>
          <w:b/>
          <w:color w:val="auto"/>
          <w:sz w:val="30"/>
          <w:szCs w:val="30"/>
          <w:highlight w:val="none"/>
          <w:shd w:val="clear" w:color="auto" w:fill="auto"/>
        </w:rPr>
      </w:pPr>
    </w:p>
    <w:p w14:paraId="2592AC16">
      <w:pPr>
        <w:spacing w:line="360" w:lineRule="auto"/>
        <w:jc w:val="center"/>
        <w:rPr>
          <w:rFonts w:hint="eastAsia" w:ascii="宋体" w:hAnsi="宋体" w:eastAsia="宋体" w:cs="宋体"/>
          <w:b/>
          <w:color w:val="auto"/>
          <w:sz w:val="32"/>
          <w:szCs w:val="32"/>
          <w:highlight w:val="none"/>
          <w:shd w:val="clear" w:color="auto" w:fill="auto"/>
        </w:rPr>
      </w:pPr>
    </w:p>
    <w:p w14:paraId="5FEFCA9C">
      <w:pPr>
        <w:spacing w:line="360" w:lineRule="auto"/>
        <w:jc w:val="center"/>
        <w:rPr>
          <w:rFonts w:hint="eastAsia" w:ascii="宋体" w:hAnsi="宋体" w:eastAsia="宋体" w:cs="宋体"/>
          <w:b/>
          <w:bCs/>
          <w:color w:val="auto"/>
          <w:sz w:val="32"/>
          <w:szCs w:val="32"/>
          <w:highlight w:val="none"/>
          <w:shd w:val="clear" w:color="auto" w:fill="auto"/>
        </w:rPr>
      </w:pPr>
    </w:p>
    <w:p w14:paraId="331EC91B">
      <w:pPr>
        <w:spacing w:line="360" w:lineRule="auto"/>
        <w:jc w:val="center"/>
        <w:rPr>
          <w:rFonts w:hint="eastAsia" w:ascii="宋体" w:hAnsi="宋体" w:eastAsia="宋体" w:cs="宋体"/>
          <w:b/>
          <w:bCs/>
          <w:color w:val="auto"/>
          <w:sz w:val="32"/>
          <w:szCs w:val="32"/>
          <w:highlight w:val="none"/>
          <w:shd w:val="clear" w:color="auto" w:fill="auto"/>
        </w:rPr>
      </w:pPr>
    </w:p>
    <w:p w14:paraId="26FAE454">
      <w:pPr>
        <w:spacing w:line="360" w:lineRule="auto"/>
        <w:jc w:val="left"/>
        <w:rPr>
          <w:rFonts w:hint="eastAsia" w:ascii="宋体" w:hAnsi="宋体" w:eastAsia="宋体" w:cs="宋体"/>
          <w:b/>
          <w:bCs/>
          <w:color w:val="auto"/>
          <w:sz w:val="28"/>
          <w:szCs w:val="28"/>
          <w:highlight w:val="none"/>
          <w:shd w:val="clear" w:color="auto" w:fill="auto"/>
        </w:rPr>
      </w:pPr>
    </w:p>
    <w:p w14:paraId="587DBF0C">
      <w:pPr>
        <w:spacing w:line="360" w:lineRule="auto"/>
        <w:jc w:val="left"/>
        <w:rPr>
          <w:rFonts w:hint="eastAsia" w:ascii="宋体" w:hAnsi="宋体" w:eastAsia="宋体" w:cs="宋体"/>
          <w:color w:val="auto"/>
          <w:sz w:val="24"/>
          <w:highlight w:val="none"/>
          <w:shd w:val="clear" w:color="auto" w:fill="auto"/>
        </w:rPr>
      </w:pPr>
      <w:r>
        <w:rPr>
          <w:rFonts w:hint="eastAsia" w:ascii="宋体" w:hAnsi="宋体" w:eastAsia="宋体" w:cs="宋体"/>
          <w:b/>
          <w:bCs/>
          <w:color w:val="auto"/>
          <w:sz w:val="28"/>
          <w:szCs w:val="28"/>
          <w:highlight w:val="none"/>
          <w:shd w:val="clear" w:color="auto" w:fill="auto"/>
        </w:rPr>
        <w:br w:type="page"/>
      </w:r>
      <w:r>
        <w:rPr>
          <w:rFonts w:hint="eastAsia" w:ascii="宋体" w:hAnsi="宋体" w:eastAsia="宋体" w:cs="宋体"/>
          <w:color w:val="auto"/>
          <w:sz w:val="24"/>
          <w:highlight w:val="none"/>
          <w:shd w:val="clear" w:color="auto" w:fill="auto"/>
        </w:rPr>
        <w:t>3.</w:t>
      </w:r>
      <w:r>
        <w:rPr>
          <w:rFonts w:hint="eastAsia" w:ascii="宋体" w:hAnsi="宋体" w:eastAsia="宋体" w:cs="宋体"/>
          <w:color w:val="auto"/>
          <w:highlight w:val="none"/>
          <w:shd w:val="clear" w:color="auto" w:fill="auto"/>
        </w:rPr>
        <w:t xml:space="preserve"> </w:t>
      </w:r>
      <w:r>
        <w:rPr>
          <w:rFonts w:hint="eastAsia" w:ascii="宋体" w:hAnsi="宋体" w:eastAsia="宋体" w:cs="宋体"/>
          <w:color w:val="auto"/>
          <w:sz w:val="24"/>
          <w:highlight w:val="none"/>
          <w:shd w:val="clear" w:color="auto" w:fill="auto"/>
        </w:rPr>
        <w:t>没有重大违法记录的承诺函格式：</w:t>
      </w:r>
    </w:p>
    <w:p w14:paraId="64FF578A">
      <w:pPr>
        <w:spacing w:line="360" w:lineRule="auto"/>
        <w:jc w:val="center"/>
        <w:rPr>
          <w:rFonts w:hint="eastAsia" w:ascii="宋体" w:hAnsi="宋体" w:eastAsia="宋体" w:cs="宋体"/>
          <w:b/>
          <w:color w:val="auto"/>
          <w:kern w:val="0"/>
          <w:sz w:val="32"/>
          <w:szCs w:val="32"/>
          <w:highlight w:val="none"/>
          <w:shd w:val="clear" w:color="auto" w:fill="auto"/>
        </w:rPr>
      </w:pPr>
    </w:p>
    <w:p w14:paraId="59ABBF73">
      <w:pPr>
        <w:spacing w:line="520" w:lineRule="exact"/>
        <w:jc w:val="center"/>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参加本次采购项目前三年内在经营活动中</w:t>
      </w:r>
    </w:p>
    <w:p w14:paraId="27DECC6D">
      <w:pPr>
        <w:spacing w:line="520" w:lineRule="exact"/>
        <w:jc w:val="center"/>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没有重大违法记录的承诺函</w:t>
      </w:r>
    </w:p>
    <w:p w14:paraId="1B3021A4">
      <w:pPr>
        <w:spacing w:line="520" w:lineRule="exact"/>
        <w:jc w:val="center"/>
        <w:rPr>
          <w:rFonts w:hint="eastAsia" w:ascii="宋体" w:hAnsi="宋体" w:eastAsia="宋体" w:cs="宋体"/>
          <w:bCs/>
          <w:color w:val="auto"/>
          <w:sz w:val="24"/>
          <w:highlight w:val="none"/>
          <w:shd w:val="clear" w:color="auto" w:fill="auto"/>
        </w:rPr>
      </w:pPr>
    </w:p>
    <w:p w14:paraId="5E89B27C">
      <w:pPr>
        <w:ind w:firstLine="420"/>
        <w:rPr>
          <w:rFonts w:hint="eastAsia" w:ascii="宋体" w:hAnsi="宋体" w:eastAsia="宋体" w:cs="宋体"/>
          <w:color w:val="auto"/>
          <w:sz w:val="24"/>
          <w:highlight w:val="none"/>
          <w:shd w:val="clear" w:color="auto" w:fill="auto"/>
        </w:rPr>
      </w:pPr>
    </w:p>
    <w:p w14:paraId="6B4F69E2">
      <w:pPr>
        <w:spacing w:line="360" w:lineRule="auto"/>
        <w:rPr>
          <w:rFonts w:hint="eastAsia" w:ascii="宋体" w:hAnsi="宋体" w:eastAsia="宋体" w:cs="宋体"/>
          <w:color w:val="auto"/>
          <w:kern w:val="0"/>
          <w:sz w:val="24"/>
          <w:highlight w:val="none"/>
          <w:shd w:val="clear" w:color="auto" w:fill="auto"/>
        </w:rPr>
      </w:pPr>
      <w:r>
        <w:rPr>
          <w:rFonts w:hint="eastAsia" w:ascii="宋体" w:hAnsi="宋体" w:eastAsia="宋体" w:cs="宋体"/>
          <w:bCs/>
          <w:color w:val="auto"/>
          <w:sz w:val="24"/>
          <w:highlight w:val="none"/>
          <w:shd w:val="clear" w:color="auto" w:fill="auto"/>
        </w:rPr>
        <w:t>致：</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shd w:val="clear" w:color="auto" w:fill="auto"/>
        </w:rPr>
        <w:t>（招标人名称）</w:t>
      </w:r>
      <w:r>
        <w:rPr>
          <w:rFonts w:hint="eastAsia" w:ascii="宋体" w:hAnsi="宋体" w:eastAsia="宋体" w:cs="宋体"/>
          <w:b/>
          <w:bCs/>
          <w:color w:val="auto"/>
          <w:sz w:val="24"/>
          <w:highlight w:val="none"/>
          <w:shd w:val="clear" w:color="auto" w:fill="auto"/>
        </w:rPr>
        <w:t xml:space="preserve"> </w:t>
      </w:r>
      <w:r>
        <w:rPr>
          <w:rFonts w:hint="eastAsia" w:ascii="宋体" w:hAnsi="宋体" w:eastAsia="宋体" w:cs="宋体"/>
          <w:color w:val="auto"/>
          <w:sz w:val="24"/>
          <w:highlight w:val="none"/>
          <w:shd w:val="clear" w:color="auto" w:fill="auto"/>
        </w:rPr>
        <w:t>：</w:t>
      </w:r>
    </w:p>
    <w:p w14:paraId="2B6BBDD1">
      <w:pPr>
        <w:snapToGrid w:val="0"/>
        <w:spacing w:before="120" w:beforeLines="50" w:after="50" w:line="360" w:lineRule="auto"/>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我方郑重承诺，我方在参加</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shd w:val="clear" w:color="auto" w:fill="auto"/>
        </w:rPr>
        <w:t>项目（项目编号：</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shd w:val="clear" w:color="auto" w:fill="auto"/>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308D637A">
      <w:pPr>
        <w:ind w:firstLine="420"/>
        <w:rPr>
          <w:rFonts w:hint="eastAsia" w:ascii="宋体" w:hAnsi="宋体" w:eastAsia="宋体" w:cs="宋体"/>
          <w:color w:val="auto"/>
          <w:sz w:val="24"/>
          <w:highlight w:val="none"/>
          <w:shd w:val="clear" w:color="auto" w:fill="auto"/>
        </w:rPr>
      </w:pPr>
    </w:p>
    <w:p w14:paraId="2AF0E928">
      <w:pPr>
        <w:snapToGrid w:val="0"/>
        <w:spacing w:before="120" w:beforeLines="50" w:after="50" w:line="360" w:lineRule="auto"/>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特此</w:t>
      </w:r>
      <w:r>
        <w:rPr>
          <w:rFonts w:hint="eastAsia" w:ascii="宋体" w:hAnsi="宋体" w:eastAsia="宋体" w:cs="宋体"/>
          <w:color w:val="auto"/>
          <w:kern w:val="0"/>
          <w:sz w:val="24"/>
          <w:highlight w:val="none"/>
          <w:shd w:val="clear" w:color="auto" w:fill="auto"/>
        </w:rPr>
        <w:t>承诺</w:t>
      </w:r>
      <w:r>
        <w:rPr>
          <w:rFonts w:hint="eastAsia" w:ascii="宋体" w:hAnsi="宋体" w:eastAsia="宋体" w:cs="宋体"/>
          <w:color w:val="auto"/>
          <w:sz w:val="24"/>
          <w:highlight w:val="none"/>
          <w:shd w:val="clear" w:color="auto" w:fill="auto"/>
        </w:rPr>
        <w:t>！</w:t>
      </w:r>
    </w:p>
    <w:p w14:paraId="6FB3988D">
      <w:pPr>
        <w:snapToGrid w:val="0"/>
        <w:spacing w:before="50" w:after="120" w:afterLines="50"/>
        <w:jc w:val="left"/>
        <w:rPr>
          <w:rFonts w:hint="eastAsia" w:ascii="宋体" w:hAnsi="宋体" w:eastAsia="宋体" w:cs="宋体"/>
          <w:color w:val="auto"/>
          <w:kern w:val="0"/>
          <w:sz w:val="24"/>
          <w:highlight w:val="none"/>
          <w:shd w:val="clear" w:color="auto" w:fill="auto"/>
          <w:lang w:val="zh-CN"/>
        </w:rPr>
      </w:pPr>
    </w:p>
    <w:p w14:paraId="1B5E93A0">
      <w:pPr>
        <w:snapToGrid w:val="0"/>
        <w:spacing w:before="50" w:after="120" w:afterLines="50"/>
        <w:jc w:val="left"/>
        <w:rPr>
          <w:rFonts w:hint="eastAsia" w:ascii="宋体" w:hAnsi="宋体" w:eastAsia="宋体" w:cs="宋体"/>
          <w:color w:val="auto"/>
          <w:kern w:val="0"/>
          <w:sz w:val="24"/>
          <w:highlight w:val="none"/>
          <w:shd w:val="clear" w:color="auto" w:fill="auto"/>
          <w:lang w:val="zh-CN"/>
        </w:rPr>
      </w:pPr>
    </w:p>
    <w:p w14:paraId="41CAE251">
      <w:pPr>
        <w:snapToGrid w:val="0"/>
        <w:spacing w:before="50" w:after="120" w:afterLines="50"/>
        <w:jc w:val="left"/>
        <w:rPr>
          <w:rFonts w:hint="eastAsia" w:ascii="宋体" w:hAnsi="宋体" w:eastAsia="宋体" w:cs="宋体"/>
          <w:color w:val="auto"/>
          <w:kern w:val="0"/>
          <w:sz w:val="24"/>
          <w:highlight w:val="none"/>
          <w:shd w:val="clear" w:color="auto" w:fill="auto"/>
          <w:lang w:val="zh-CN"/>
        </w:rPr>
      </w:pPr>
    </w:p>
    <w:p w14:paraId="1A20954E">
      <w:pPr>
        <w:snapToGrid w:val="0"/>
        <w:spacing w:before="50" w:after="120" w:afterLines="50"/>
        <w:jc w:val="left"/>
        <w:rPr>
          <w:rFonts w:hint="eastAsia" w:ascii="宋体" w:hAnsi="宋体" w:eastAsia="宋体" w:cs="宋体"/>
          <w:b/>
          <w:color w:val="auto"/>
          <w:spacing w:val="20"/>
          <w:sz w:val="24"/>
          <w:highlight w:val="none"/>
          <w:shd w:val="clear" w:color="auto" w:fill="auto"/>
        </w:rPr>
      </w:pPr>
      <w:r>
        <w:rPr>
          <w:rFonts w:hint="eastAsia" w:ascii="宋体" w:hAnsi="宋体" w:eastAsia="宋体" w:cs="宋体"/>
          <w:b/>
          <w:color w:val="auto"/>
          <w:spacing w:val="20"/>
          <w:sz w:val="24"/>
          <w:highlight w:val="none"/>
          <w:shd w:val="clear" w:color="auto" w:fill="auto"/>
        </w:rPr>
        <w:t>法定代表人签字（或盖章）：         投标人（盖章）：</w:t>
      </w:r>
    </w:p>
    <w:p w14:paraId="039FA4C7">
      <w:pPr>
        <w:snapToGrid w:val="0"/>
        <w:spacing w:before="50" w:after="120" w:afterLines="50"/>
        <w:jc w:val="left"/>
        <w:rPr>
          <w:rFonts w:hint="eastAsia" w:ascii="宋体" w:hAnsi="宋体" w:eastAsia="宋体" w:cs="宋体"/>
          <w:b/>
          <w:color w:val="auto"/>
          <w:sz w:val="24"/>
          <w:highlight w:val="none"/>
          <w:shd w:val="clear" w:color="auto" w:fill="auto"/>
        </w:rPr>
      </w:pPr>
    </w:p>
    <w:p w14:paraId="576FD258">
      <w:pPr>
        <w:snapToGrid w:val="0"/>
        <w:spacing w:before="50" w:after="120" w:afterLines="50"/>
        <w:jc w:val="left"/>
        <w:rPr>
          <w:rFonts w:hint="eastAsia" w:ascii="宋体" w:hAnsi="宋体" w:eastAsia="宋体" w:cs="宋体"/>
          <w:b/>
          <w:color w:val="auto"/>
          <w:sz w:val="24"/>
          <w:highlight w:val="none"/>
          <w:shd w:val="clear" w:color="auto" w:fill="auto"/>
        </w:rPr>
      </w:pPr>
    </w:p>
    <w:p w14:paraId="064CAAF5">
      <w:pPr>
        <w:snapToGrid w:val="0"/>
        <w:spacing w:before="50" w:after="120" w:afterLines="50"/>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日期：  _____年___月___日</w:t>
      </w:r>
    </w:p>
    <w:p w14:paraId="2EA895A9">
      <w:pPr>
        <w:snapToGrid w:val="0"/>
        <w:spacing w:before="50" w:after="120" w:afterLines="50"/>
        <w:jc w:val="left"/>
        <w:rPr>
          <w:rFonts w:hint="eastAsia" w:ascii="宋体" w:hAnsi="宋体" w:eastAsia="宋体" w:cs="宋体"/>
          <w:color w:val="auto"/>
          <w:sz w:val="28"/>
          <w:szCs w:val="28"/>
          <w:highlight w:val="none"/>
          <w:shd w:val="clear" w:color="auto" w:fill="auto"/>
        </w:rPr>
      </w:pPr>
    </w:p>
    <w:p w14:paraId="3D95833D">
      <w:pPr>
        <w:snapToGrid w:val="0"/>
        <w:spacing w:line="360" w:lineRule="auto"/>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lang w:val="zh-CN"/>
        </w:rPr>
        <w:br w:type="page"/>
      </w:r>
    </w:p>
    <w:p w14:paraId="62F39E9D">
      <w:pPr>
        <w:snapToGrid w:val="0"/>
        <w:spacing w:before="120" w:beforeLines="50" w:after="50"/>
        <w:jc w:val="center"/>
        <w:outlineLvl w:val="9"/>
        <w:rPr>
          <w:rFonts w:hint="eastAsia" w:ascii="宋体" w:hAnsi="宋体" w:eastAsia="宋体" w:cs="宋体"/>
          <w:b/>
          <w:bCs/>
          <w:color w:val="auto"/>
          <w:sz w:val="24"/>
          <w:highlight w:val="none"/>
          <w:shd w:val="clear" w:color="auto" w:fill="auto"/>
        </w:rPr>
      </w:pPr>
    </w:p>
    <w:p w14:paraId="151B8EDD">
      <w:pPr>
        <w:snapToGrid w:val="0"/>
        <w:spacing w:before="120" w:beforeLines="50" w:after="50"/>
        <w:jc w:val="center"/>
        <w:outlineLvl w:val="0"/>
        <w:rPr>
          <w:rFonts w:hint="eastAsia" w:ascii="宋体" w:hAnsi="宋体" w:eastAsia="宋体" w:cs="宋体"/>
          <w:b/>
          <w:bCs/>
          <w:color w:val="auto"/>
          <w:sz w:val="28"/>
          <w:szCs w:val="28"/>
          <w:highlight w:val="none"/>
          <w:shd w:val="clear" w:color="auto" w:fill="auto"/>
        </w:rPr>
      </w:pPr>
      <w:bookmarkStart w:id="240" w:name="_Toc15805"/>
      <w:bookmarkStart w:id="241" w:name="_Toc202"/>
      <w:bookmarkStart w:id="242" w:name="_Toc18185"/>
      <w:bookmarkStart w:id="243" w:name="_Toc466534753"/>
      <w:bookmarkStart w:id="244" w:name="_Toc27511"/>
      <w:r>
        <w:rPr>
          <w:rFonts w:hint="eastAsia" w:ascii="宋体" w:hAnsi="宋体" w:eastAsia="宋体" w:cs="宋体"/>
          <w:b/>
          <w:bCs/>
          <w:color w:val="auto"/>
          <w:sz w:val="28"/>
          <w:szCs w:val="28"/>
          <w:highlight w:val="none"/>
          <w:shd w:val="clear" w:color="auto" w:fill="auto"/>
        </w:rPr>
        <w:t>二、商务技术文件格式</w:t>
      </w:r>
      <w:bookmarkEnd w:id="236"/>
      <w:bookmarkEnd w:id="240"/>
      <w:bookmarkEnd w:id="241"/>
      <w:bookmarkEnd w:id="242"/>
      <w:bookmarkEnd w:id="243"/>
      <w:bookmarkEnd w:id="244"/>
    </w:p>
    <w:p w14:paraId="6F7ABF42">
      <w:pPr>
        <w:snapToGrid w:val="0"/>
        <w:spacing w:before="120" w:beforeLines="50" w:after="50"/>
        <w:jc w:val="center"/>
        <w:rPr>
          <w:rFonts w:hint="eastAsia" w:ascii="宋体" w:hAnsi="宋体" w:eastAsia="宋体" w:cs="宋体"/>
          <w:color w:val="auto"/>
          <w:sz w:val="28"/>
          <w:szCs w:val="28"/>
          <w:highlight w:val="none"/>
          <w:shd w:val="clear" w:color="auto" w:fill="auto"/>
        </w:rPr>
      </w:pPr>
    </w:p>
    <w:p w14:paraId="15D53EDD">
      <w:pPr>
        <w:snapToGrid w:val="0"/>
        <w:spacing w:before="120" w:beforeLines="50" w:after="50"/>
        <w:jc w:val="center"/>
        <w:rPr>
          <w:rFonts w:hint="eastAsia" w:ascii="宋体" w:hAnsi="宋体" w:eastAsia="宋体" w:cs="宋体"/>
          <w:color w:val="auto"/>
          <w:sz w:val="28"/>
          <w:szCs w:val="28"/>
          <w:highlight w:val="none"/>
          <w:shd w:val="clear" w:color="auto" w:fill="auto"/>
        </w:rPr>
      </w:pPr>
    </w:p>
    <w:p w14:paraId="1AE2925C">
      <w:pPr>
        <w:snapToGrid w:val="0"/>
        <w:spacing w:before="120" w:beforeLines="50" w:after="50"/>
        <w:ind w:firstLine="560" w:firstLineChars="200"/>
        <w:outlineLvl w:val="1"/>
        <w:rPr>
          <w:rFonts w:hint="eastAsia" w:ascii="宋体" w:hAnsi="宋体" w:eastAsia="宋体" w:cs="宋体"/>
          <w:color w:val="auto"/>
          <w:sz w:val="28"/>
          <w:szCs w:val="28"/>
          <w:highlight w:val="none"/>
          <w:shd w:val="clear" w:color="auto" w:fill="auto"/>
        </w:rPr>
      </w:pPr>
      <w:bookmarkStart w:id="245" w:name="_Toc9515"/>
      <w:bookmarkStart w:id="246" w:name="_Toc6655"/>
      <w:r>
        <w:rPr>
          <w:rFonts w:hint="eastAsia" w:ascii="宋体" w:hAnsi="宋体" w:eastAsia="宋体" w:cs="宋体"/>
          <w:color w:val="auto"/>
          <w:sz w:val="28"/>
          <w:szCs w:val="28"/>
          <w:highlight w:val="none"/>
          <w:shd w:val="clear" w:color="auto" w:fill="auto"/>
        </w:rPr>
        <w:t>4.商务技术文件封面格式：</w:t>
      </w:r>
      <w:bookmarkEnd w:id="245"/>
      <w:bookmarkEnd w:id="246"/>
      <w:r>
        <w:rPr>
          <w:rFonts w:hint="eastAsia" w:ascii="宋体" w:hAnsi="宋体" w:eastAsia="宋体" w:cs="宋体"/>
          <w:color w:val="auto"/>
          <w:sz w:val="28"/>
          <w:szCs w:val="28"/>
          <w:highlight w:val="none"/>
          <w:shd w:val="clear" w:color="auto" w:fill="auto"/>
        </w:rPr>
        <w:t xml:space="preserve"> </w:t>
      </w:r>
    </w:p>
    <w:p w14:paraId="4766EEE5">
      <w:pPr>
        <w:snapToGrid w:val="0"/>
        <w:spacing w:before="120" w:beforeLines="50" w:after="5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 xml:space="preserve"> </w:t>
      </w:r>
    </w:p>
    <w:p w14:paraId="3FD0003A">
      <w:pPr>
        <w:snapToGrid w:val="0"/>
        <w:spacing w:before="120" w:beforeLines="50" w:after="50"/>
        <w:rPr>
          <w:rFonts w:hint="eastAsia" w:ascii="宋体" w:hAnsi="宋体" w:eastAsia="宋体" w:cs="宋体"/>
          <w:color w:val="auto"/>
          <w:sz w:val="28"/>
          <w:szCs w:val="28"/>
          <w:highlight w:val="none"/>
          <w:shd w:val="clear" w:color="auto" w:fill="auto"/>
        </w:rPr>
      </w:pPr>
    </w:p>
    <w:p w14:paraId="55CC87A2">
      <w:pPr>
        <w:snapToGrid w:val="0"/>
        <w:spacing w:before="120" w:beforeLines="50" w:after="50"/>
        <w:jc w:val="center"/>
        <w:rPr>
          <w:rFonts w:hint="eastAsia" w:ascii="宋体" w:hAnsi="宋体" w:eastAsia="宋体" w:cs="宋体"/>
          <w:bCs/>
          <w:color w:val="auto"/>
          <w:sz w:val="28"/>
          <w:szCs w:val="28"/>
          <w:highlight w:val="none"/>
          <w:shd w:val="clear" w:color="auto" w:fill="auto"/>
        </w:rPr>
      </w:pPr>
    </w:p>
    <w:p w14:paraId="32ECBFA8">
      <w:pPr>
        <w:snapToGrid w:val="0"/>
        <w:spacing w:before="120" w:beforeLines="50" w:after="50"/>
        <w:jc w:val="center"/>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商务技术文件</w:t>
      </w:r>
    </w:p>
    <w:p w14:paraId="32B2C542">
      <w:pPr>
        <w:snapToGrid w:val="0"/>
        <w:spacing w:before="120" w:beforeLines="50" w:after="50" w:line="360" w:lineRule="auto"/>
        <w:jc w:val="center"/>
        <w:rPr>
          <w:rFonts w:hint="eastAsia" w:ascii="宋体" w:hAnsi="宋体" w:eastAsia="宋体" w:cs="宋体"/>
          <w:bCs/>
          <w:color w:val="auto"/>
          <w:sz w:val="28"/>
          <w:szCs w:val="28"/>
          <w:highlight w:val="none"/>
          <w:shd w:val="clear" w:color="auto" w:fill="auto"/>
        </w:rPr>
      </w:pPr>
    </w:p>
    <w:p w14:paraId="0BCBE989">
      <w:pPr>
        <w:snapToGrid w:val="0"/>
        <w:spacing w:before="120" w:beforeLines="50" w:after="50" w:line="360" w:lineRule="auto"/>
        <w:jc w:val="center"/>
        <w:rPr>
          <w:rFonts w:hint="eastAsia" w:ascii="宋体" w:hAnsi="宋体" w:eastAsia="宋体" w:cs="宋体"/>
          <w:bCs/>
          <w:color w:val="auto"/>
          <w:sz w:val="28"/>
          <w:szCs w:val="28"/>
          <w:highlight w:val="none"/>
          <w:shd w:val="clear" w:color="auto" w:fill="auto"/>
        </w:rPr>
      </w:pPr>
    </w:p>
    <w:p w14:paraId="0378821C">
      <w:pPr>
        <w:snapToGrid w:val="0"/>
        <w:spacing w:before="120" w:beforeLines="50" w:after="50" w:line="360" w:lineRule="auto"/>
        <w:ind w:firstLine="1246" w:firstLineChars="445"/>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项目名称：</w:t>
      </w:r>
    </w:p>
    <w:p w14:paraId="249D1DF8">
      <w:pPr>
        <w:snapToGrid w:val="0"/>
        <w:spacing w:before="120" w:beforeLines="50" w:after="50" w:line="360" w:lineRule="auto"/>
        <w:ind w:firstLine="560" w:firstLineChars="200"/>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 xml:space="preserve">     项目编号：    </w:t>
      </w:r>
    </w:p>
    <w:p w14:paraId="3746D3FA">
      <w:pPr>
        <w:pStyle w:val="14"/>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p>
    <w:p w14:paraId="0A7D5160">
      <w:pPr>
        <w:pStyle w:val="14"/>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投标人名称：</w:t>
      </w:r>
    </w:p>
    <w:p w14:paraId="385629D4">
      <w:pPr>
        <w:pStyle w:val="14"/>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投标人地址：</w:t>
      </w:r>
    </w:p>
    <w:p w14:paraId="1A09772E">
      <w:pPr>
        <w:pStyle w:val="14"/>
        <w:snapToGrid w:val="0"/>
        <w:spacing w:before="50" w:after="50"/>
        <w:ind w:firstLine="1120" w:firstLineChars="400"/>
        <w:rPr>
          <w:rFonts w:hint="eastAsia" w:ascii="宋体" w:hAnsi="宋体" w:eastAsia="宋体" w:cs="宋体"/>
          <w:bCs/>
          <w:color w:val="auto"/>
          <w:sz w:val="28"/>
          <w:szCs w:val="28"/>
          <w:highlight w:val="none"/>
          <w:shd w:val="clear" w:color="auto" w:fill="auto"/>
        </w:rPr>
      </w:pPr>
    </w:p>
    <w:p w14:paraId="41D1A975">
      <w:pPr>
        <w:snapToGrid w:val="0"/>
        <w:spacing w:before="120" w:beforeLines="50" w:after="50"/>
        <w:ind w:firstLine="645"/>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8"/>
          <w:szCs w:val="28"/>
          <w:highlight w:val="none"/>
          <w:shd w:val="clear" w:color="auto" w:fill="auto"/>
        </w:rPr>
        <w:t xml:space="preserve">                        年  月  日</w:t>
      </w:r>
      <w:r>
        <w:rPr>
          <w:rFonts w:hint="eastAsia" w:ascii="宋体" w:hAnsi="宋体" w:eastAsia="宋体" w:cs="宋体"/>
          <w:color w:val="auto"/>
          <w:sz w:val="24"/>
          <w:highlight w:val="none"/>
          <w:shd w:val="clear" w:color="auto" w:fill="auto"/>
        </w:rPr>
        <w:br w:type="page"/>
      </w:r>
      <w:bookmarkStart w:id="247" w:name="_Hlk60757098"/>
      <w:r>
        <w:rPr>
          <w:rFonts w:hint="eastAsia" w:ascii="宋体" w:hAnsi="宋体" w:eastAsia="宋体" w:cs="宋体"/>
          <w:color w:val="auto"/>
          <w:sz w:val="24"/>
          <w:highlight w:val="none"/>
          <w:shd w:val="clear" w:color="auto" w:fill="auto"/>
        </w:rPr>
        <w:t>5.投标函格式：</w:t>
      </w:r>
      <w:bookmarkEnd w:id="247"/>
    </w:p>
    <w:p w14:paraId="43576E02">
      <w:pPr>
        <w:snapToGrid w:val="0"/>
        <w:spacing w:before="120" w:beforeLines="50" w:after="50"/>
        <w:jc w:val="center"/>
        <w:outlineLvl w:val="2"/>
        <w:rPr>
          <w:rFonts w:hint="eastAsia" w:ascii="宋体" w:hAnsi="宋体" w:eastAsia="宋体" w:cs="宋体"/>
          <w:b/>
          <w:color w:val="auto"/>
          <w:sz w:val="36"/>
          <w:szCs w:val="36"/>
          <w:highlight w:val="none"/>
          <w:shd w:val="clear" w:color="auto" w:fill="auto"/>
        </w:rPr>
      </w:pPr>
      <w:bookmarkStart w:id="248" w:name="_Toc30043"/>
      <w:bookmarkStart w:id="249" w:name="_Toc11941"/>
      <w:r>
        <w:rPr>
          <w:rFonts w:hint="eastAsia" w:ascii="宋体" w:hAnsi="宋体" w:eastAsia="宋体" w:cs="宋体"/>
          <w:b/>
          <w:color w:val="auto"/>
          <w:sz w:val="36"/>
          <w:szCs w:val="36"/>
          <w:highlight w:val="none"/>
          <w:shd w:val="clear" w:color="auto" w:fill="auto"/>
        </w:rPr>
        <w:t>投 标 函</w:t>
      </w:r>
      <w:bookmarkEnd w:id="248"/>
      <w:bookmarkEnd w:id="249"/>
    </w:p>
    <w:p w14:paraId="5213D070">
      <w:pPr>
        <w:keepNext w:val="0"/>
        <w:keepLines w:val="0"/>
        <w:pageBreakBefore w:val="0"/>
        <w:widowControl w:val="0"/>
        <w:kinsoku/>
        <w:wordWrap/>
        <w:overflowPunct/>
        <w:topLinePunct w:val="0"/>
        <w:autoSpaceDE/>
        <w:autoSpaceDN/>
        <w:bidi w:val="0"/>
        <w:adjustRightInd/>
        <w:snapToGrid w:val="0"/>
        <w:spacing w:line="380" w:lineRule="exact"/>
        <w:textAlignment w:val="auto"/>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致：</w:t>
      </w:r>
      <w:r>
        <w:rPr>
          <w:rFonts w:hint="eastAsia" w:ascii="宋体" w:hAnsi="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shd w:val="clear" w:color="auto" w:fill="auto"/>
        </w:rPr>
        <w:t>（招标人名称）：</w:t>
      </w:r>
    </w:p>
    <w:p w14:paraId="4C433E5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1、我方自愿参加贵方组织的</w:t>
      </w:r>
      <w:r>
        <w:rPr>
          <w:rFonts w:hint="eastAsia" w:ascii="宋体" w:hAnsi="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shd w:val="clear" w:color="auto" w:fill="auto"/>
        </w:rPr>
        <w:t>项目（项目编号：</w:t>
      </w:r>
      <w:r>
        <w:rPr>
          <w:rFonts w:hint="eastAsia" w:ascii="宋体" w:hAnsi="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shd w:val="clear" w:color="auto" w:fill="auto"/>
        </w:rPr>
        <w:t>）的投标，并按采购文件的要求提交商务技术文件、报价文件。</w:t>
      </w:r>
    </w:p>
    <w:p w14:paraId="37E7043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2、我方完全理解并接受招标文件（包括修改补充文件）的各项规定和要求，不再对招标文件的合理性、合法性等相关内容提出质疑或投诉。</w:t>
      </w:r>
    </w:p>
    <w:p w14:paraId="023CDF0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3、我方不是招标人的附属机构以及其它法律法规所规定的限制投标单位。</w:t>
      </w:r>
    </w:p>
    <w:p w14:paraId="6B74CD1C">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24"/>
          <w:highlight w:val="none"/>
          <w:shd w:val="clear" w:color="auto" w:fill="auto"/>
        </w:rPr>
        <w:t>4.、我方向贵方提交的所有投标文件、资料（包括所有</w:t>
      </w:r>
      <w:bookmarkStart w:id="250" w:name="_Hlk59707887"/>
      <w:r>
        <w:rPr>
          <w:rFonts w:hint="eastAsia" w:ascii="宋体" w:hAnsi="宋体" w:eastAsia="宋体" w:cs="宋体"/>
          <w:b/>
          <w:bCs/>
          <w:color w:val="auto"/>
          <w:sz w:val="24"/>
          <w:highlight w:val="none"/>
          <w:shd w:val="clear" w:color="auto" w:fill="auto"/>
        </w:rPr>
        <w:t>证书、合同、报告等</w:t>
      </w:r>
      <w:bookmarkEnd w:id="250"/>
      <w:r>
        <w:rPr>
          <w:rFonts w:hint="eastAsia" w:ascii="宋体" w:hAnsi="宋体" w:eastAsia="宋体" w:cs="宋体"/>
          <w:b/>
          <w:bCs/>
          <w:color w:val="auto"/>
          <w:sz w:val="24"/>
          <w:highlight w:val="none"/>
          <w:shd w:val="clear" w:color="auto" w:fill="auto"/>
        </w:rPr>
        <w:t>）都是准确、真实、合规的，如有虚假或隐瞒，我方愿意承担一切后果。</w:t>
      </w:r>
    </w:p>
    <w:p w14:paraId="4A9C69A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5、自投标截止日起 90天内有效。</w:t>
      </w:r>
    </w:p>
    <w:p w14:paraId="05F9920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6、如中标，本投标文件至本项目合同履行完毕均保持有效，同意按照贵方要求提供与投标有关的一切数据或资料，并按“招标文件”及相关法律、法规的规定履行合同责任和义务。</w:t>
      </w:r>
    </w:p>
    <w:p w14:paraId="480A593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7、以上事项如有虚假或隐瞒，我方愿意承担一切后果，并不再寻求任何旨在减轻或免除法律责任的辩解，同意我方的履约保证金不予退回，并对招标人因此引起的损失予以赔偿。</w:t>
      </w:r>
    </w:p>
    <w:p w14:paraId="5B57A4F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8、我方全权授权被授权人办理针对上述项目的投标、开标、评标、签约等具体事务和签署相关文件，对被授权的各项行为负全部责任，在撤销授权的书面通知以前，本授权书一直有效，被授权人无转委托权。</w:t>
      </w:r>
    </w:p>
    <w:p w14:paraId="579CC00F">
      <w:pPr>
        <w:keepNext w:val="0"/>
        <w:keepLines w:val="0"/>
        <w:pageBreakBefore w:val="0"/>
        <w:widowControl w:val="0"/>
        <w:kinsoku/>
        <w:wordWrap/>
        <w:overflowPunct/>
        <w:topLinePunct w:val="0"/>
        <w:autoSpaceDE/>
        <w:autoSpaceDN/>
        <w:bidi w:val="0"/>
        <w:adjustRightInd/>
        <w:snapToGrid w:val="0"/>
        <w:spacing w:line="360" w:lineRule="auto"/>
        <w:ind w:firstLine="361" w:firstLineChars="150"/>
        <w:textAlignment w:val="auto"/>
        <w:rPr>
          <w:rFonts w:hint="eastAsia" w:ascii="宋体" w:hAnsi="宋体" w:eastAsia="宋体" w:cs="宋体"/>
          <w:b/>
          <w:bCs/>
          <w:color w:val="auto"/>
          <w:sz w:val="24"/>
          <w:highlight w:val="none"/>
          <w:u w:val="single"/>
          <w:shd w:val="clear" w:color="auto" w:fill="auto"/>
        </w:rPr>
      </w:pPr>
      <w:bookmarkStart w:id="251" w:name="_Hlk36048718"/>
      <w:r>
        <w:rPr>
          <w:rFonts w:hint="eastAsia" w:ascii="宋体" w:hAnsi="宋体" w:eastAsia="宋体" w:cs="宋体"/>
          <w:b/>
          <w:bCs/>
          <w:color w:val="auto"/>
          <w:sz w:val="24"/>
          <w:highlight w:val="none"/>
          <w:shd w:val="clear" w:color="auto" w:fill="auto"/>
        </w:rPr>
        <w:t>与本投标有关的一切正式往来信函、传真或邮件</w:t>
      </w:r>
      <w:r>
        <w:rPr>
          <w:rFonts w:hint="eastAsia" w:ascii="宋体" w:hAnsi="宋体" w:eastAsia="宋体" w:cs="宋体"/>
          <w:b/>
          <w:bCs/>
          <w:color w:val="auto"/>
          <w:sz w:val="24"/>
          <w:highlight w:val="none"/>
          <w:u w:val="single"/>
          <w:shd w:val="clear" w:color="auto" w:fill="auto"/>
        </w:rPr>
        <w:t>（例如质疑回复函、中标通知书、采购合同等）请采用如下联系方式送达，我方确保能够及时、准确收悉。</w:t>
      </w:r>
    </w:p>
    <w:p w14:paraId="435CD64A">
      <w:pPr>
        <w:keepNext w:val="0"/>
        <w:keepLines w:val="0"/>
        <w:pageBreakBefore w:val="0"/>
        <w:widowControl w:val="0"/>
        <w:kinsoku/>
        <w:wordWrap/>
        <w:overflowPunct/>
        <w:topLinePunct w:val="0"/>
        <w:autoSpaceDE/>
        <w:autoSpaceDN/>
        <w:bidi w:val="0"/>
        <w:adjustRightInd/>
        <w:snapToGrid w:val="0"/>
        <w:spacing w:line="360" w:lineRule="auto"/>
        <w:ind w:firstLine="360" w:firstLineChars="15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邮寄详细地址：</w:t>
      </w:r>
      <w:r>
        <w:rPr>
          <w:rFonts w:hint="eastAsia" w:ascii="宋体" w:hAnsi="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shd w:val="clear" w:color="auto" w:fill="auto"/>
        </w:rPr>
        <w:t xml:space="preserve">  邮编：__________</w:t>
      </w:r>
    </w:p>
    <w:p w14:paraId="2F70E0D9">
      <w:pPr>
        <w:keepNext w:val="0"/>
        <w:keepLines w:val="0"/>
        <w:pageBreakBefore w:val="0"/>
        <w:widowControl w:val="0"/>
        <w:kinsoku/>
        <w:wordWrap/>
        <w:overflowPunct/>
        <w:topLinePunct w:val="0"/>
        <w:autoSpaceDE/>
        <w:autoSpaceDN/>
        <w:bidi w:val="0"/>
        <w:adjustRightInd/>
        <w:snapToGrid w:val="0"/>
        <w:spacing w:line="360" w:lineRule="auto"/>
        <w:ind w:firstLine="360" w:firstLineChars="150"/>
        <w:textAlignment w:val="auto"/>
        <w:rPr>
          <w:rFonts w:hint="default" w:ascii="宋体" w:hAnsi="宋体" w:eastAsia="宋体" w:cs="宋体"/>
          <w:color w:val="auto"/>
          <w:sz w:val="24"/>
          <w:highlight w:val="none"/>
          <w:u w:val="single"/>
          <w:shd w:val="clear" w:color="auto" w:fill="auto"/>
          <w:lang w:val="en-US" w:eastAsia="zh-CN"/>
        </w:rPr>
      </w:pPr>
      <w:r>
        <w:rPr>
          <w:rFonts w:hint="eastAsia" w:ascii="宋体" w:hAnsi="宋体" w:eastAsia="宋体" w:cs="宋体"/>
          <w:color w:val="auto"/>
          <w:sz w:val="24"/>
          <w:highlight w:val="none"/>
          <w:shd w:val="clear" w:color="auto" w:fill="auto"/>
        </w:rPr>
        <w:t>收件人姓名：</w:t>
      </w:r>
      <w:r>
        <w:rPr>
          <w:rFonts w:hint="eastAsia" w:ascii="宋体" w:hAnsi="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shd w:val="clear" w:color="auto" w:fill="auto"/>
        </w:rPr>
        <w:t>联系手机：</w:t>
      </w:r>
      <w:r>
        <w:rPr>
          <w:rFonts w:hint="eastAsia" w:ascii="宋体" w:hAnsi="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shd w:val="clear" w:color="auto" w:fill="auto"/>
        </w:rPr>
        <w:t>公司电子邮箱</w:t>
      </w:r>
      <w:r>
        <w:rPr>
          <w:rFonts w:hint="eastAsia" w:ascii="宋体" w:hAnsi="宋体" w:eastAsia="宋体" w:cs="宋体"/>
          <w:b/>
          <w:bCs/>
          <w:color w:val="auto"/>
          <w:sz w:val="24"/>
          <w:highlight w:val="none"/>
          <w:shd w:val="clear" w:color="auto" w:fill="auto"/>
        </w:rPr>
        <w:t>：</w:t>
      </w:r>
      <w:r>
        <w:rPr>
          <w:rFonts w:hint="eastAsia" w:ascii="宋体" w:hAnsi="宋体" w:cs="宋体"/>
          <w:b/>
          <w:bCs/>
          <w:color w:val="auto"/>
          <w:sz w:val="24"/>
          <w:highlight w:val="none"/>
          <w:u w:val="single"/>
          <w:shd w:val="clear" w:color="auto" w:fill="auto"/>
          <w:lang w:val="en-US" w:eastAsia="zh-CN"/>
        </w:rPr>
        <w:t xml:space="preserve">        </w:t>
      </w:r>
    </w:p>
    <w:p w14:paraId="7AD957E2">
      <w:pPr>
        <w:keepNext w:val="0"/>
        <w:keepLines w:val="0"/>
        <w:pageBreakBefore w:val="0"/>
        <w:widowControl w:val="0"/>
        <w:kinsoku/>
        <w:wordWrap/>
        <w:overflowPunct/>
        <w:topLinePunct w:val="0"/>
        <w:autoSpaceDE/>
        <w:autoSpaceDN/>
        <w:bidi w:val="0"/>
        <w:adjustRightInd/>
        <w:snapToGrid w:val="0"/>
        <w:spacing w:line="360" w:lineRule="auto"/>
        <w:ind w:firstLine="361" w:firstLineChars="150"/>
        <w:jc w:val="left"/>
        <w:textAlignment w:val="auto"/>
        <w:rPr>
          <w:rFonts w:hint="eastAsia" w:ascii="宋体" w:hAnsi="宋体" w:eastAsia="宋体" w:cs="宋体"/>
          <w:b/>
          <w:bCs/>
          <w:color w:val="auto"/>
          <w:sz w:val="24"/>
          <w:highlight w:val="none"/>
          <w:shd w:val="clear" w:color="auto" w:fill="auto"/>
        </w:rPr>
      </w:pPr>
      <w:bookmarkStart w:id="252" w:name="_Hlk59370586"/>
      <w:r>
        <w:rPr>
          <w:rFonts w:hint="eastAsia" w:ascii="宋体" w:hAnsi="宋体" w:eastAsia="宋体" w:cs="宋体"/>
          <w:b/>
          <w:bCs/>
          <w:color w:val="auto"/>
          <w:sz w:val="24"/>
          <w:highlight w:val="none"/>
          <w:shd w:val="clear" w:color="auto" w:fill="auto"/>
        </w:rPr>
        <w:t>为了方便评标委员会在必要时对投标人进行询标，请投标人填写以下投标文件编制人信息，以便及时、准确进行询标，投标文件编制人信息可不限于1人。</w:t>
      </w:r>
    </w:p>
    <w:p w14:paraId="2F218F9F">
      <w:pPr>
        <w:keepNext w:val="0"/>
        <w:keepLines w:val="0"/>
        <w:pageBreakBefore w:val="0"/>
        <w:widowControl w:val="0"/>
        <w:kinsoku/>
        <w:wordWrap/>
        <w:overflowPunct/>
        <w:topLinePunct w:val="0"/>
        <w:autoSpaceDE/>
        <w:autoSpaceDN/>
        <w:bidi w:val="0"/>
        <w:adjustRightInd/>
        <w:snapToGrid w:val="0"/>
        <w:spacing w:line="360" w:lineRule="auto"/>
        <w:ind w:firstLine="361" w:firstLineChars="150"/>
        <w:jc w:val="left"/>
        <w:textAlignment w:val="auto"/>
        <w:rPr>
          <w:rFonts w:hint="default" w:ascii="宋体" w:hAnsi="宋体" w:eastAsia="宋体" w:cs="宋体"/>
          <w:b/>
          <w:bCs/>
          <w:color w:val="auto"/>
          <w:sz w:val="24"/>
          <w:highlight w:val="none"/>
          <w:u w:val="single"/>
          <w:shd w:val="clear" w:color="auto" w:fill="auto"/>
          <w:lang w:val="en-US" w:eastAsia="zh-CN"/>
        </w:rPr>
      </w:pPr>
      <w:r>
        <w:rPr>
          <w:rFonts w:hint="eastAsia" w:ascii="宋体" w:hAnsi="宋体" w:eastAsia="宋体" w:cs="宋体"/>
          <w:b/>
          <w:bCs/>
          <w:color w:val="auto"/>
          <w:sz w:val="24"/>
          <w:highlight w:val="none"/>
          <w:shd w:val="clear" w:color="auto" w:fill="auto"/>
        </w:rPr>
        <w:t>投标文件编制人</w:t>
      </w:r>
      <w:bookmarkEnd w:id="252"/>
      <w:r>
        <w:rPr>
          <w:rFonts w:hint="eastAsia" w:ascii="宋体" w:hAnsi="宋体" w:eastAsia="宋体" w:cs="宋体"/>
          <w:b/>
          <w:bCs/>
          <w:color w:val="auto"/>
          <w:sz w:val="24"/>
          <w:highlight w:val="none"/>
          <w:shd w:val="clear" w:color="auto" w:fill="auto"/>
        </w:rPr>
        <w:t>姓名：</w:t>
      </w:r>
      <w:r>
        <w:rPr>
          <w:rFonts w:hint="eastAsia" w:ascii="宋体" w:hAnsi="宋体" w:cs="宋体"/>
          <w:b/>
          <w:bCs/>
          <w:color w:val="auto"/>
          <w:sz w:val="24"/>
          <w:highlight w:val="none"/>
          <w:u w:val="single"/>
          <w:shd w:val="clear" w:color="auto" w:fill="auto"/>
          <w:lang w:val="en-US" w:eastAsia="zh-CN"/>
        </w:rPr>
        <w:t xml:space="preserve">            </w:t>
      </w:r>
      <w:r>
        <w:rPr>
          <w:rFonts w:hint="eastAsia" w:ascii="宋体" w:hAnsi="宋体" w:eastAsia="宋体" w:cs="宋体"/>
          <w:b/>
          <w:bCs/>
          <w:color w:val="auto"/>
          <w:sz w:val="24"/>
          <w:highlight w:val="none"/>
          <w:shd w:val="clear" w:color="auto" w:fill="auto"/>
        </w:rPr>
        <w:t xml:space="preserve">   手机号码：</w:t>
      </w:r>
      <w:r>
        <w:rPr>
          <w:rFonts w:hint="eastAsia" w:ascii="宋体" w:hAnsi="宋体" w:cs="宋体"/>
          <w:b/>
          <w:bCs/>
          <w:color w:val="auto"/>
          <w:sz w:val="24"/>
          <w:highlight w:val="none"/>
          <w:u w:val="single"/>
          <w:shd w:val="clear" w:color="auto" w:fill="auto"/>
          <w:lang w:val="en-US" w:eastAsia="zh-CN"/>
        </w:rPr>
        <w:t xml:space="preserve">                 </w:t>
      </w:r>
    </w:p>
    <w:p w14:paraId="4AD59A49">
      <w:pPr>
        <w:keepNext w:val="0"/>
        <w:keepLines w:val="0"/>
        <w:pageBreakBefore w:val="0"/>
        <w:widowControl w:val="0"/>
        <w:kinsoku/>
        <w:wordWrap/>
        <w:overflowPunct/>
        <w:topLinePunct w:val="0"/>
        <w:autoSpaceDE/>
        <w:autoSpaceDN/>
        <w:bidi w:val="0"/>
        <w:adjustRightInd/>
        <w:snapToGrid w:val="0"/>
        <w:spacing w:line="360" w:lineRule="auto"/>
        <w:ind w:firstLine="361" w:firstLineChars="150"/>
        <w:jc w:val="left"/>
        <w:textAlignment w:val="auto"/>
        <w:rPr>
          <w:rFonts w:hint="default" w:ascii="宋体" w:hAnsi="宋体" w:eastAsia="宋体" w:cs="宋体"/>
          <w:b/>
          <w:color w:val="auto"/>
          <w:sz w:val="24"/>
          <w:highlight w:val="none"/>
          <w:u w:val="single"/>
          <w:shd w:val="clear" w:color="auto" w:fill="auto"/>
          <w:lang w:val="en-US" w:eastAsia="zh-CN"/>
        </w:rPr>
      </w:pPr>
      <w:r>
        <w:rPr>
          <w:rFonts w:hint="eastAsia" w:ascii="宋体" w:hAnsi="宋体" w:eastAsia="宋体" w:cs="宋体"/>
          <w:b/>
          <w:color w:val="auto"/>
          <w:sz w:val="24"/>
          <w:highlight w:val="none"/>
          <w:shd w:val="clear" w:color="auto" w:fill="auto"/>
        </w:rPr>
        <w:t>法定代表人（签字或盖章）：</w:t>
      </w:r>
      <w:r>
        <w:rPr>
          <w:rFonts w:hint="eastAsia" w:ascii="宋体" w:hAnsi="宋体" w:cs="宋体"/>
          <w:b/>
          <w:color w:val="auto"/>
          <w:sz w:val="24"/>
          <w:highlight w:val="none"/>
          <w:u w:val="single"/>
          <w:shd w:val="clear" w:color="auto" w:fill="auto"/>
          <w:lang w:val="en-US" w:eastAsia="zh-CN"/>
        </w:rPr>
        <w:t xml:space="preserve">           </w:t>
      </w:r>
    </w:p>
    <w:p w14:paraId="68D240BD">
      <w:pPr>
        <w:keepNext w:val="0"/>
        <w:keepLines w:val="0"/>
        <w:pageBreakBefore w:val="0"/>
        <w:widowControl w:val="0"/>
        <w:kinsoku/>
        <w:wordWrap/>
        <w:overflowPunct/>
        <w:topLinePunct w:val="0"/>
        <w:autoSpaceDE/>
        <w:autoSpaceDN/>
        <w:bidi w:val="0"/>
        <w:adjustRightInd/>
        <w:snapToGrid w:val="0"/>
        <w:spacing w:line="360" w:lineRule="auto"/>
        <w:ind w:firstLine="361" w:firstLineChars="150"/>
        <w:jc w:val="left"/>
        <w:textAlignment w:val="auto"/>
        <w:rPr>
          <w:rFonts w:hint="eastAsia" w:ascii="宋体" w:hAnsi="宋体" w:cs="宋体"/>
          <w:b/>
          <w:bCs/>
          <w:color w:val="auto"/>
          <w:sz w:val="24"/>
          <w:highlight w:val="none"/>
          <w:u w:val="single"/>
          <w:shd w:val="clear" w:color="auto" w:fill="auto"/>
          <w:lang w:val="en-US" w:eastAsia="zh-CN"/>
        </w:rPr>
      </w:pPr>
      <w:r>
        <w:rPr>
          <w:rFonts w:hint="eastAsia" w:ascii="宋体" w:hAnsi="宋体" w:eastAsia="宋体" w:cs="宋体"/>
          <w:b/>
          <w:color w:val="auto"/>
          <w:sz w:val="24"/>
          <w:highlight w:val="none"/>
          <w:shd w:val="clear" w:color="auto" w:fill="auto"/>
        </w:rPr>
        <w:t>被授权人（签字</w:t>
      </w:r>
      <w:r>
        <w:rPr>
          <w:rFonts w:hint="eastAsia" w:ascii="宋体" w:hAnsi="宋体" w:cs="宋体"/>
          <w:b/>
          <w:color w:val="auto"/>
          <w:sz w:val="24"/>
          <w:highlight w:val="none"/>
          <w:shd w:val="clear" w:color="auto" w:fill="auto"/>
          <w:lang w:eastAsia="zh-CN"/>
        </w:rPr>
        <w:t>：</w:t>
      </w:r>
      <w:r>
        <w:rPr>
          <w:rFonts w:hint="eastAsia" w:ascii="宋体" w:hAnsi="宋体" w:cs="宋体"/>
          <w:b/>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shd w:val="clear" w:color="auto" w:fill="auto"/>
        </w:rPr>
        <w:t xml:space="preserve">  </w:t>
      </w:r>
      <w:r>
        <w:rPr>
          <w:rFonts w:hint="eastAsia" w:ascii="宋体" w:hAnsi="宋体" w:eastAsia="宋体" w:cs="宋体"/>
          <w:b/>
          <w:bCs/>
          <w:color w:val="auto"/>
          <w:sz w:val="24"/>
          <w:highlight w:val="none"/>
          <w:shd w:val="clear" w:color="auto" w:fill="auto"/>
        </w:rPr>
        <w:t>被授权人手机号码：</w:t>
      </w:r>
      <w:r>
        <w:rPr>
          <w:rFonts w:hint="eastAsia" w:ascii="宋体" w:hAnsi="宋体" w:cs="宋体"/>
          <w:b/>
          <w:bCs/>
          <w:color w:val="auto"/>
          <w:sz w:val="24"/>
          <w:highlight w:val="none"/>
          <w:u w:val="single"/>
          <w:shd w:val="clear" w:color="auto" w:fill="auto"/>
          <w:lang w:val="en-US" w:eastAsia="zh-CN"/>
        </w:rPr>
        <w:t xml:space="preserve">          </w:t>
      </w:r>
      <w:bookmarkEnd w:id="251"/>
    </w:p>
    <w:p w14:paraId="051C0790">
      <w:pPr>
        <w:keepNext w:val="0"/>
        <w:keepLines w:val="0"/>
        <w:pageBreakBefore w:val="0"/>
        <w:widowControl w:val="0"/>
        <w:kinsoku/>
        <w:wordWrap/>
        <w:overflowPunct/>
        <w:topLinePunct w:val="0"/>
        <w:autoSpaceDE/>
        <w:autoSpaceDN/>
        <w:bidi w:val="0"/>
        <w:adjustRightInd/>
        <w:snapToGrid w:val="0"/>
        <w:spacing w:line="360" w:lineRule="auto"/>
        <w:ind w:firstLine="361" w:firstLineChars="15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b/>
          <w:bCs/>
          <w:color w:val="auto"/>
          <w:sz w:val="24"/>
          <w:highlight w:val="none"/>
          <w:shd w:val="clear" w:color="auto" w:fill="auto"/>
        </w:rPr>
        <w:t xml:space="preserve">投标人:(公章) </w:t>
      </w:r>
      <w:r>
        <w:rPr>
          <w:rFonts w:hint="eastAsia" w:ascii="宋体" w:hAnsi="宋体" w:eastAsia="宋体" w:cs="宋体"/>
          <w:color w:val="auto"/>
          <w:sz w:val="24"/>
          <w:highlight w:val="none"/>
          <w:shd w:val="clear" w:color="auto" w:fill="auto"/>
        </w:rPr>
        <w:t xml:space="preserve">                           </w:t>
      </w:r>
      <w:r>
        <w:rPr>
          <w:rFonts w:hint="eastAsia" w:ascii="宋体" w:hAnsi="宋体" w:eastAsia="宋体" w:cs="宋体"/>
          <w:b/>
          <w:color w:val="auto"/>
          <w:sz w:val="24"/>
          <w:highlight w:val="none"/>
          <w:shd w:val="clear" w:color="auto" w:fill="auto"/>
        </w:rPr>
        <w:t>日期:_____年___月___日</w:t>
      </w:r>
    </w:p>
    <w:p w14:paraId="1B7C4C0A">
      <w:pPr>
        <w:snapToGrid w:val="0"/>
        <w:spacing w:before="120" w:beforeLines="50" w:after="50"/>
        <w:outlineLvl w:val="2"/>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highlight w:val="none"/>
          <w:shd w:val="clear" w:color="auto" w:fill="auto"/>
        </w:rPr>
        <w:br w:type="page"/>
      </w:r>
      <w:bookmarkStart w:id="253" w:name="_Toc12072"/>
      <w:bookmarkStart w:id="254" w:name="_Toc1345"/>
      <w:r>
        <w:rPr>
          <w:rFonts w:hint="eastAsia" w:ascii="宋体" w:hAnsi="宋体" w:eastAsia="宋体" w:cs="宋体"/>
          <w:color w:val="auto"/>
          <w:sz w:val="24"/>
          <w:highlight w:val="none"/>
          <w:shd w:val="clear" w:color="auto" w:fill="auto"/>
        </w:rPr>
        <w:t>6</w:t>
      </w:r>
      <w:r>
        <w:rPr>
          <w:rFonts w:hint="eastAsia" w:ascii="宋体" w:hAnsi="宋体" w:cs="宋体"/>
          <w:color w:val="auto"/>
          <w:sz w:val="24"/>
          <w:highlight w:val="none"/>
          <w:shd w:val="clear" w:color="auto" w:fill="auto"/>
          <w:lang w:val="en-US" w:eastAsia="zh-CN"/>
        </w:rPr>
        <w:t>-1</w:t>
      </w:r>
      <w:r>
        <w:rPr>
          <w:rFonts w:hint="eastAsia" w:ascii="宋体" w:hAnsi="宋体" w:eastAsia="宋体" w:cs="宋体"/>
          <w:color w:val="auto"/>
          <w:sz w:val="24"/>
          <w:highlight w:val="none"/>
          <w:shd w:val="clear" w:color="auto" w:fill="auto"/>
        </w:rPr>
        <w:t>.法定代表人授权委托书格式：</w:t>
      </w:r>
      <w:bookmarkEnd w:id="253"/>
      <w:bookmarkEnd w:id="254"/>
    </w:p>
    <w:p w14:paraId="16792FEB">
      <w:pPr>
        <w:snapToGrid w:val="0"/>
        <w:spacing w:before="120" w:beforeLines="50" w:after="50"/>
        <w:jc w:val="center"/>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法定代表人授权委托书</w:t>
      </w:r>
    </w:p>
    <w:p w14:paraId="33601BA1">
      <w:pPr>
        <w:keepNext w:val="0"/>
        <w:keepLines w:val="0"/>
        <w:pageBreakBefore w:val="0"/>
        <w:widowControl w:val="0"/>
        <w:kinsoku/>
        <w:wordWrap/>
        <w:overflowPunct/>
        <w:topLinePunct w:val="0"/>
        <w:autoSpaceDE/>
        <w:autoSpaceDN/>
        <w:bidi w:val="0"/>
        <w:adjustRightInd/>
        <w:snapToGrid w:val="0"/>
        <w:spacing w:line="460" w:lineRule="exact"/>
        <w:textAlignment w:val="auto"/>
        <w:rPr>
          <w:rFonts w:hint="eastAsia" w:ascii="宋体" w:hAnsi="宋体" w:eastAsia="宋体" w:cs="宋体"/>
          <w:b/>
          <w:bCs/>
          <w:color w:val="auto"/>
          <w:sz w:val="24"/>
          <w:szCs w:val="20"/>
          <w:highlight w:val="none"/>
          <w:shd w:val="clear" w:color="auto" w:fill="auto"/>
        </w:rPr>
      </w:pPr>
      <w:r>
        <w:rPr>
          <w:rFonts w:hint="eastAsia" w:ascii="宋体" w:hAnsi="宋体" w:eastAsia="宋体" w:cs="宋体"/>
          <w:bCs/>
          <w:color w:val="auto"/>
          <w:sz w:val="24"/>
          <w:highlight w:val="none"/>
          <w:shd w:val="clear" w:color="auto" w:fill="auto"/>
        </w:rPr>
        <w:t>致：</w:t>
      </w:r>
      <w:r>
        <w:rPr>
          <w:rFonts w:hint="eastAsia" w:ascii="宋体" w:hAnsi="宋体" w:cs="宋体"/>
          <w:bCs/>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shd w:val="clear" w:color="auto" w:fill="auto"/>
        </w:rPr>
        <w:t>（招标人名称）：</w:t>
      </w:r>
    </w:p>
    <w:p w14:paraId="50300222">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textAlignment w:val="auto"/>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我</w:t>
      </w:r>
      <w:r>
        <w:rPr>
          <w:rFonts w:hint="eastAsia" w:ascii="宋体" w:hAnsi="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shd w:val="clear" w:color="auto" w:fill="auto"/>
        </w:rPr>
        <w:t>（姓名）系</w:t>
      </w:r>
      <w:r>
        <w:rPr>
          <w:rFonts w:hint="eastAsia" w:ascii="宋体" w:hAnsi="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shd w:val="clear" w:color="auto" w:fill="auto"/>
        </w:rPr>
        <w:t>（投标单位名称）的法定代表人，现授权委托本单位职工</w:t>
      </w:r>
      <w:r>
        <w:rPr>
          <w:rFonts w:hint="eastAsia" w:ascii="宋体" w:hAnsi="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shd w:val="clear" w:color="auto" w:fill="auto"/>
        </w:rPr>
        <w:t>（姓名）以我方的名义参加</w:t>
      </w:r>
      <w:r>
        <w:rPr>
          <w:rFonts w:hint="eastAsia" w:ascii="宋体" w:hAnsi="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shd w:val="clear" w:color="auto" w:fill="auto"/>
        </w:rPr>
        <w:t>项目</w:t>
      </w:r>
      <w:r>
        <w:rPr>
          <w:rFonts w:hint="eastAsia" w:ascii="宋体" w:hAnsi="宋体" w:cs="宋体"/>
          <w:color w:val="auto"/>
          <w:sz w:val="24"/>
          <w:highlight w:val="none"/>
          <w:shd w:val="clear" w:color="auto" w:fill="auto"/>
          <w:lang w:eastAsia="zh-CN"/>
        </w:rPr>
        <w:t>（</w:t>
      </w:r>
      <w:r>
        <w:rPr>
          <w:rFonts w:hint="eastAsia" w:ascii="宋体" w:hAnsi="宋体" w:eastAsia="宋体" w:cs="宋体"/>
          <w:color w:val="auto"/>
          <w:sz w:val="24"/>
          <w:highlight w:val="none"/>
          <w:shd w:val="clear" w:color="auto" w:fill="auto"/>
        </w:rPr>
        <w:t>项目编号：</w:t>
      </w:r>
      <w:r>
        <w:rPr>
          <w:rFonts w:hint="eastAsia" w:ascii="宋体" w:hAnsi="宋体" w:cs="宋体"/>
          <w:color w:val="auto"/>
          <w:sz w:val="24"/>
          <w:highlight w:val="none"/>
          <w:u w:val="single"/>
          <w:shd w:val="clear" w:color="auto" w:fill="auto"/>
          <w:lang w:val="en-US" w:eastAsia="zh-CN"/>
        </w:rPr>
        <w:t xml:space="preserve">        </w:t>
      </w:r>
      <w:r>
        <w:rPr>
          <w:rFonts w:hint="eastAsia" w:ascii="宋体" w:hAnsi="宋体" w:cs="宋体"/>
          <w:color w:val="auto"/>
          <w:sz w:val="24"/>
          <w:highlight w:val="none"/>
          <w:shd w:val="clear" w:color="auto" w:fill="auto"/>
          <w:lang w:eastAsia="zh-CN"/>
        </w:rPr>
        <w:t>）</w:t>
      </w:r>
      <w:r>
        <w:rPr>
          <w:rFonts w:hint="eastAsia" w:ascii="宋体" w:hAnsi="宋体" w:eastAsia="宋体" w:cs="宋体"/>
          <w:color w:val="auto"/>
          <w:sz w:val="24"/>
          <w:highlight w:val="none"/>
          <w:shd w:val="clear" w:color="auto" w:fill="auto"/>
        </w:rPr>
        <w:t>的投标活动，并代表我方全权办理针对上述项目的投标、开标、评标、签约等具体事务和签署相关文件。</w:t>
      </w:r>
    </w:p>
    <w:p w14:paraId="5E27712B">
      <w:pPr>
        <w:keepNext w:val="0"/>
        <w:keepLines w:val="0"/>
        <w:pageBreakBefore w:val="0"/>
        <w:widowControl w:val="0"/>
        <w:kinsoku/>
        <w:wordWrap/>
        <w:overflowPunct/>
        <w:topLinePunct w:val="0"/>
        <w:autoSpaceDE/>
        <w:autoSpaceDN/>
        <w:bidi w:val="0"/>
        <w:adjustRightInd/>
        <w:snapToGrid w:val="0"/>
        <w:spacing w:line="460" w:lineRule="exact"/>
        <w:textAlignment w:val="auto"/>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 xml:space="preserve">    我方对被授权人的签名事项负全部责任。</w:t>
      </w:r>
    </w:p>
    <w:p w14:paraId="5E896013">
      <w:pPr>
        <w:keepNext w:val="0"/>
        <w:keepLines w:val="0"/>
        <w:pageBreakBefore w:val="0"/>
        <w:widowControl w:val="0"/>
        <w:kinsoku/>
        <w:wordWrap/>
        <w:overflowPunct/>
        <w:topLinePunct w:val="0"/>
        <w:autoSpaceDE/>
        <w:autoSpaceDN/>
        <w:bidi w:val="0"/>
        <w:adjustRightInd/>
        <w:snapToGrid w:val="0"/>
        <w:spacing w:line="460" w:lineRule="exact"/>
        <w:ind w:firstLine="480"/>
        <w:textAlignment w:val="auto"/>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u w:val="single"/>
          <w:shd w:val="clear" w:color="auto" w:fill="auto"/>
        </w:rPr>
        <w:t>在撤销授权的书面通知以前，本授权书一直有效。</w:t>
      </w:r>
      <w:r>
        <w:rPr>
          <w:rFonts w:hint="eastAsia" w:ascii="宋体" w:hAnsi="宋体" w:eastAsia="宋体" w:cs="宋体"/>
          <w:color w:val="auto"/>
          <w:sz w:val="24"/>
          <w:highlight w:val="none"/>
          <w:shd w:val="clear" w:color="auto" w:fill="auto"/>
        </w:rPr>
        <w:t>被授权人在授权书有效期内签署的所有文件不因授权的撤销而失效。</w:t>
      </w:r>
    </w:p>
    <w:p w14:paraId="18FE94C0">
      <w:pPr>
        <w:keepNext w:val="0"/>
        <w:keepLines w:val="0"/>
        <w:pageBreakBefore w:val="0"/>
        <w:widowControl w:val="0"/>
        <w:kinsoku/>
        <w:wordWrap/>
        <w:overflowPunct/>
        <w:topLinePunct w:val="0"/>
        <w:autoSpaceDE/>
        <w:autoSpaceDN/>
        <w:bidi w:val="0"/>
        <w:adjustRightInd/>
        <w:snapToGrid w:val="0"/>
        <w:spacing w:line="460" w:lineRule="exact"/>
        <w:ind w:firstLine="480"/>
        <w:textAlignment w:val="auto"/>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被授权人无转委托权，特此委托。</w:t>
      </w:r>
    </w:p>
    <w:p w14:paraId="1EB8B7F9">
      <w:pPr>
        <w:snapToGrid w:val="0"/>
        <w:spacing w:before="120" w:beforeLines="50" w:after="50" w:line="460" w:lineRule="exact"/>
        <w:rPr>
          <w:rFonts w:hint="eastAsia" w:ascii="宋体" w:hAnsi="宋体" w:eastAsia="宋体" w:cs="宋体"/>
          <w:color w:val="auto"/>
          <w:sz w:val="28"/>
          <w:szCs w:val="28"/>
          <w:highlight w:val="none"/>
          <w:shd w:val="clear" w:color="auto" w:fill="auto"/>
        </w:rPr>
      </w:pPr>
      <w:r>
        <w:rPr>
          <w:rFonts w:hint="eastAsia" w:ascii="宋体" w:hAnsi="宋体" w:eastAsia="宋体" w:cs="宋体"/>
          <w:b/>
          <w:bCs/>
          <w:color w:val="auto"/>
          <w:sz w:val="28"/>
          <w:szCs w:val="28"/>
          <w:highlight w:val="none"/>
          <w:u w:val="single"/>
          <w:shd w:val="clear" w:color="auto" w:fill="auto"/>
        </w:rPr>
        <w:t>法定代表人签名或盖章：</w:t>
      </w:r>
      <w:r>
        <w:rPr>
          <w:rFonts w:hint="eastAsia" w:ascii="宋体" w:hAnsi="宋体" w:eastAsia="宋体" w:cs="宋体"/>
          <w:b/>
          <w:bCs/>
          <w:color w:val="auto"/>
          <w:sz w:val="28"/>
          <w:szCs w:val="28"/>
          <w:highlight w:val="none"/>
          <w:shd w:val="clear" w:color="auto" w:fill="auto"/>
        </w:rPr>
        <w:t xml:space="preserve">             </w:t>
      </w:r>
      <w:r>
        <w:rPr>
          <w:rFonts w:hint="eastAsia" w:ascii="宋体" w:hAnsi="宋体" w:eastAsia="宋体" w:cs="宋体"/>
          <w:b/>
          <w:bCs/>
          <w:color w:val="auto"/>
          <w:sz w:val="28"/>
          <w:szCs w:val="28"/>
          <w:highlight w:val="none"/>
          <w:u w:val="single"/>
          <w:shd w:val="clear" w:color="auto" w:fill="auto"/>
        </w:rPr>
        <w:t xml:space="preserve">被授权人签字： </w:t>
      </w:r>
      <w:r>
        <w:rPr>
          <w:rFonts w:hint="eastAsia" w:ascii="宋体" w:hAnsi="宋体" w:eastAsia="宋体" w:cs="宋体"/>
          <w:color w:val="auto"/>
          <w:sz w:val="28"/>
          <w:szCs w:val="28"/>
          <w:highlight w:val="none"/>
          <w:shd w:val="clear" w:color="auto" w:fill="auto"/>
        </w:rPr>
        <w:t xml:space="preserve">               </w:t>
      </w:r>
    </w:p>
    <w:p w14:paraId="4762AE90">
      <w:pPr>
        <w:snapToGrid w:val="0"/>
        <w:spacing w:before="120" w:beforeLines="50" w:after="50" w:line="460" w:lineRule="exact"/>
        <w:rPr>
          <w:rFonts w:hint="eastAsia" w:ascii="宋体" w:hAnsi="宋体" w:eastAsia="宋体" w:cs="宋体"/>
          <w:color w:val="auto"/>
          <w:sz w:val="24"/>
          <w:szCs w:val="20"/>
          <w:highlight w:val="none"/>
          <w:u w:val="single"/>
          <w:shd w:val="clear" w:color="auto" w:fill="auto"/>
        </w:rPr>
      </w:pPr>
    </w:p>
    <w:p w14:paraId="7B27512A">
      <w:pPr>
        <w:snapToGrid w:val="0"/>
        <w:spacing w:before="120" w:beforeLines="50" w:after="50" w:line="460" w:lineRule="exact"/>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法定代表人身份证复印件            被授权人身份证复印件</w:t>
      </w:r>
    </w:p>
    <w:tbl>
      <w:tblPr>
        <w:tblStyle w:val="53"/>
        <w:tblW w:w="9923" w:type="dxa"/>
        <w:jc w:val="center"/>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3F608022">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933" w:hRule="atLeast"/>
          <w:jc w:val="center"/>
        </w:trPr>
        <w:tc>
          <w:tcPr>
            <w:tcW w:w="4962" w:type="dxa"/>
            <w:noWrap w:val="0"/>
            <w:vAlign w:val="top"/>
          </w:tcPr>
          <w:p w14:paraId="64FA7C00">
            <w:pPr>
              <w:spacing w:line="360" w:lineRule="auto"/>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身份证复印件粘贴处，正反两面均复印，复印件清晰可认。</w:t>
            </w:r>
          </w:p>
        </w:tc>
        <w:tc>
          <w:tcPr>
            <w:tcW w:w="4961" w:type="dxa"/>
            <w:noWrap w:val="0"/>
            <w:vAlign w:val="top"/>
          </w:tcPr>
          <w:p w14:paraId="1C643EB6">
            <w:pPr>
              <w:spacing w:line="360" w:lineRule="auto"/>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身份证复印件粘贴处，正反两面均复印，复印件清晰可认。</w:t>
            </w:r>
          </w:p>
        </w:tc>
      </w:tr>
      <w:tr w14:paraId="6EC756E6">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jc w:val="center"/>
        </w:trPr>
        <w:tc>
          <w:tcPr>
            <w:tcW w:w="4962" w:type="dxa"/>
            <w:noWrap w:val="0"/>
            <w:vAlign w:val="top"/>
          </w:tcPr>
          <w:p w14:paraId="2AF5F838">
            <w:pPr>
              <w:spacing w:line="360" w:lineRule="auto"/>
              <w:rPr>
                <w:rFonts w:hint="eastAsia" w:ascii="宋体" w:hAnsi="宋体" w:eastAsia="宋体" w:cs="宋体"/>
                <w:color w:val="auto"/>
                <w:sz w:val="30"/>
                <w:szCs w:val="30"/>
                <w:highlight w:val="none"/>
                <w:shd w:val="clear" w:color="auto" w:fill="auto"/>
              </w:rPr>
            </w:pPr>
          </w:p>
        </w:tc>
        <w:tc>
          <w:tcPr>
            <w:tcW w:w="4961" w:type="dxa"/>
            <w:noWrap w:val="0"/>
            <w:vAlign w:val="top"/>
          </w:tcPr>
          <w:p w14:paraId="70F29FA1">
            <w:pPr>
              <w:spacing w:line="360" w:lineRule="auto"/>
              <w:rPr>
                <w:rFonts w:hint="eastAsia" w:ascii="宋体" w:hAnsi="宋体" w:eastAsia="宋体" w:cs="宋体"/>
                <w:color w:val="auto"/>
                <w:sz w:val="30"/>
                <w:szCs w:val="30"/>
                <w:highlight w:val="none"/>
                <w:shd w:val="clear" w:color="auto" w:fill="auto"/>
              </w:rPr>
            </w:pPr>
          </w:p>
        </w:tc>
      </w:tr>
    </w:tbl>
    <w:p w14:paraId="14F73EB2">
      <w:pPr>
        <w:snapToGrid w:val="0"/>
        <w:spacing w:before="120" w:beforeLines="50" w:after="50" w:line="460" w:lineRule="exact"/>
        <w:rPr>
          <w:rFonts w:hint="eastAsia" w:ascii="宋体" w:hAnsi="宋体" w:eastAsia="宋体" w:cs="宋体"/>
          <w:b/>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w:t>
      </w:r>
      <w:r>
        <w:rPr>
          <w:rFonts w:hint="eastAsia" w:ascii="宋体" w:hAnsi="宋体" w:eastAsia="宋体" w:cs="宋体"/>
          <w:b/>
          <w:bCs/>
          <w:color w:val="auto"/>
          <w:sz w:val="24"/>
          <w:highlight w:val="none"/>
          <w:shd w:val="clear" w:color="auto" w:fill="auto"/>
        </w:rPr>
        <w:t>投标人:(公章)</w:t>
      </w:r>
    </w:p>
    <w:p w14:paraId="73B3F0E8">
      <w:pPr>
        <w:snapToGrid w:val="0"/>
        <w:spacing w:before="120" w:beforeLines="50" w:after="50"/>
        <w:jc w:val="center"/>
        <w:rPr>
          <w:rFonts w:hint="eastAsia" w:ascii="宋体" w:hAnsi="宋体" w:eastAsia="宋体" w:cs="宋体"/>
          <w:b/>
          <w:color w:val="auto"/>
          <w:sz w:val="24"/>
          <w:szCs w:val="20"/>
          <w:highlight w:val="none"/>
          <w:shd w:val="clear" w:color="auto" w:fill="auto"/>
        </w:rPr>
      </w:pPr>
      <w:r>
        <w:rPr>
          <w:rFonts w:hint="eastAsia" w:ascii="宋体" w:hAnsi="宋体" w:eastAsia="宋体" w:cs="宋体"/>
          <w:b/>
          <w:color w:val="auto"/>
          <w:sz w:val="24"/>
          <w:highlight w:val="none"/>
          <w:shd w:val="clear" w:color="auto" w:fill="auto"/>
        </w:rPr>
        <w:t xml:space="preserve">                                        日期：  _____年___月___日</w:t>
      </w:r>
    </w:p>
    <w:p w14:paraId="675A5862">
      <w:pPr>
        <w:snapToGrid w:val="0"/>
        <w:spacing w:beforeLines="50" w:after="50"/>
        <w:outlineLvl w:val="2"/>
        <w:rPr>
          <w:rFonts w:hint="eastAsia" w:ascii="宋体" w:hAnsi="宋体" w:cs="宋体"/>
          <w:color w:val="auto"/>
          <w:sz w:val="24"/>
          <w:highlight w:val="none"/>
          <w:lang w:val="en-US" w:eastAsia="zh-CN"/>
        </w:rPr>
      </w:pPr>
      <w:bookmarkStart w:id="255" w:name="_Toc27357"/>
      <w:bookmarkStart w:id="256" w:name="_Toc21676"/>
      <w:r>
        <w:rPr>
          <w:rFonts w:hint="eastAsia" w:ascii="宋体" w:hAnsi="宋体" w:cs="宋体"/>
          <w:color w:val="auto"/>
          <w:sz w:val="24"/>
          <w:highlight w:val="none"/>
          <w:lang w:val="en-US" w:eastAsia="zh-CN"/>
        </w:rPr>
        <w:t>6-2.法定代表人身份证明格式：</w:t>
      </w:r>
      <w:bookmarkEnd w:id="255"/>
      <w:bookmarkEnd w:id="256"/>
    </w:p>
    <w:p w14:paraId="23BF9EB3">
      <w:pPr>
        <w:pageBreakBefore w:val="0"/>
        <w:numPr>
          <w:ilvl w:val="0"/>
          <w:numId w:val="0"/>
        </w:numPr>
        <w:kinsoku/>
        <w:overflowPunct/>
        <w:bidi w:val="0"/>
        <w:spacing w:beforeAutospacing="0" w:afterAutospacing="0" w:line="360" w:lineRule="auto"/>
        <w:ind w:left="0" w:leftChars="0" w:firstLine="0" w:firstLineChars="0"/>
        <w:jc w:val="center"/>
        <w:outlineLvl w:val="2"/>
        <w:rPr>
          <w:rFonts w:hint="eastAsia" w:ascii="黑体" w:hAnsi="黑体" w:eastAsia="黑体"/>
          <w:b/>
          <w:bCs/>
          <w:color w:val="auto"/>
          <w:sz w:val="28"/>
          <w:szCs w:val="28"/>
          <w:highlight w:val="none"/>
        </w:rPr>
      </w:pPr>
      <w:bookmarkStart w:id="257" w:name="_Toc1959"/>
      <w:bookmarkStart w:id="258" w:name="_Toc30223"/>
      <w:r>
        <w:rPr>
          <w:rFonts w:hint="eastAsia" w:ascii="黑体" w:hAnsi="黑体" w:eastAsia="黑体"/>
          <w:b/>
          <w:bCs/>
          <w:color w:val="auto"/>
          <w:sz w:val="28"/>
          <w:szCs w:val="28"/>
          <w:highlight w:val="none"/>
        </w:rPr>
        <w:t>法定代表人身份证明</w:t>
      </w:r>
      <w:bookmarkEnd w:id="257"/>
      <w:bookmarkEnd w:id="258"/>
    </w:p>
    <w:p w14:paraId="6C348EF0">
      <w:pPr>
        <w:pageBreakBefore w:val="0"/>
        <w:numPr>
          <w:ilvl w:val="0"/>
          <w:numId w:val="0"/>
        </w:numPr>
        <w:kinsoku/>
        <w:overflowPunct/>
        <w:bidi w:val="0"/>
        <w:spacing w:beforeAutospacing="0" w:afterAutospacing="0" w:line="360" w:lineRule="auto"/>
        <w:jc w:val="center"/>
        <w:rPr>
          <w:color w:val="auto"/>
          <w:highlight w:val="none"/>
        </w:rPr>
      </w:pPr>
      <w:r>
        <w:rPr>
          <w:rFonts w:hint="eastAsia" w:ascii="黑体" w:hAnsi="黑体" w:eastAsia="黑体"/>
          <w:b/>
          <w:color w:val="auto"/>
          <w:sz w:val="28"/>
          <w:szCs w:val="28"/>
          <w:highlight w:val="none"/>
          <w:lang w:val="en-US" w:eastAsia="zh-CN"/>
        </w:rPr>
        <w:t>（适用于法定代表人、单位负责人本人代表投标人参加投标）</w:t>
      </w:r>
    </w:p>
    <w:p w14:paraId="6436F982">
      <w:pPr>
        <w:pageBreakBefore w:val="0"/>
        <w:kinsoku/>
        <w:wordWrap w:val="0"/>
        <w:overflowPunct/>
        <w:bidi w:val="0"/>
        <w:jc w:val="center"/>
        <w:outlineLvl w:val="9"/>
        <w:rPr>
          <w:rFonts w:hint="eastAsia" w:ascii="黑体" w:hAnsi="黑体" w:eastAsia="黑体"/>
          <w:b/>
          <w:bCs/>
          <w:color w:val="auto"/>
          <w:sz w:val="28"/>
          <w:szCs w:val="28"/>
          <w:highlight w:val="none"/>
        </w:rPr>
      </w:pPr>
      <w:r>
        <w:rPr>
          <w:rFonts w:hint="eastAsia" w:ascii="黑体" w:hAnsi="黑体" w:eastAsia="黑体"/>
          <w:b/>
          <w:bCs/>
          <w:color w:val="auto"/>
          <w:sz w:val="28"/>
          <w:szCs w:val="28"/>
          <w:highlight w:val="none"/>
        </w:rPr>
        <w:t>法定代表人身份证明</w:t>
      </w:r>
      <w:r>
        <w:rPr>
          <w:rFonts w:hint="eastAsia"/>
          <w:b/>
          <w:color w:val="auto"/>
          <w:sz w:val="28"/>
          <w:highlight w:val="none"/>
        </w:rPr>
        <w:t>（参考样张）</w:t>
      </w:r>
    </w:p>
    <w:p w14:paraId="7743F98F">
      <w:pPr>
        <w:pageBreakBefore w:val="0"/>
        <w:kinsoku/>
        <w:overflowPunct/>
        <w:bidi w:val="0"/>
        <w:snapToGrid w:val="0"/>
        <w:spacing w:beforeAutospacing="0" w:afterAutospacing="0" w:line="360" w:lineRule="auto"/>
        <w:rPr>
          <w:rFonts w:hint="eastAsia" w:ascii="宋体" w:hAnsi="宋体"/>
          <w:color w:val="auto"/>
          <w:sz w:val="28"/>
          <w:szCs w:val="28"/>
          <w:highlight w:val="none"/>
        </w:rPr>
      </w:pPr>
      <w:r>
        <w:rPr>
          <w:rFonts w:hint="eastAsia" w:ascii="宋体" w:hAnsi="宋体"/>
          <w:color w:val="auto"/>
          <w:sz w:val="28"/>
          <w:szCs w:val="28"/>
          <w:highlight w:val="none"/>
        </w:rPr>
        <w:t>单位名称：</w:t>
      </w:r>
      <w:r>
        <w:rPr>
          <w:rFonts w:hint="eastAsia" w:ascii="宋体" w:hAnsi="宋体"/>
          <w:color w:val="auto"/>
          <w:sz w:val="28"/>
          <w:szCs w:val="28"/>
          <w:highlight w:val="none"/>
          <w:u w:val="single"/>
        </w:rPr>
        <w:t xml:space="preserve">                              </w:t>
      </w:r>
    </w:p>
    <w:p w14:paraId="7143E59B">
      <w:pPr>
        <w:pageBreakBefore w:val="0"/>
        <w:kinsoku/>
        <w:overflowPunct/>
        <w:bidi w:val="0"/>
        <w:snapToGrid w:val="0"/>
        <w:spacing w:beforeAutospacing="0" w:afterAutospacing="0" w:line="360" w:lineRule="auto"/>
        <w:rPr>
          <w:rFonts w:hint="eastAsia" w:ascii="宋体" w:hAnsi="宋体"/>
          <w:color w:val="auto"/>
          <w:sz w:val="28"/>
          <w:szCs w:val="28"/>
          <w:highlight w:val="none"/>
        </w:rPr>
      </w:pPr>
      <w:r>
        <w:rPr>
          <w:rFonts w:hint="eastAsia" w:ascii="宋体" w:hAnsi="宋体"/>
          <w:color w:val="auto"/>
          <w:sz w:val="28"/>
          <w:szCs w:val="28"/>
          <w:highlight w:val="none"/>
        </w:rPr>
        <w:t>地址：</w:t>
      </w:r>
      <w:r>
        <w:rPr>
          <w:rFonts w:hint="eastAsia" w:ascii="宋体" w:hAnsi="宋体"/>
          <w:color w:val="auto"/>
          <w:sz w:val="28"/>
          <w:szCs w:val="28"/>
          <w:highlight w:val="none"/>
          <w:u w:val="single"/>
        </w:rPr>
        <w:t xml:space="preserve">                                  </w:t>
      </w:r>
    </w:p>
    <w:p w14:paraId="3F5B1679">
      <w:pPr>
        <w:pStyle w:val="405"/>
        <w:pageBreakBefore w:val="0"/>
        <w:kinsoku/>
        <w:overflowPunct/>
        <w:bidi w:val="0"/>
        <w:spacing w:beforeAutospacing="0" w:afterAutospacing="0" w:line="360" w:lineRule="auto"/>
        <w:rPr>
          <w:rFonts w:hint="eastAsia" w:ascii="宋体" w:hAnsi="宋体"/>
          <w:color w:val="auto"/>
          <w:sz w:val="28"/>
          <w:szCs w:val="28"/>
          <w:highlight w:val="none"/>
        </w:rPr>
      </w:pPr>
      <w:r>
        <w:rPr>
          <w:rFonts w:hint="eastAsia" w:ascii="宋体" w:hAnsi="宋体"/>
          <w:color w:val="auto"/>
          <w:sz w:val="28"/>
          <w:szCs w:val="28"/>
          <w:highlight w:val="none"/>
        </w:rPr>
        <w:t>姓名：</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性别：</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年龄：</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身份证号码：</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 </w:t>
      </w:r>
    </w:p>
    <w:p w14:paraId="01EC5805">
      <w:pPr>
        <w:pageBreakBefore w:val="0"/>
        <w:kinsoku/>
        <w:overflowPunct/>
        <w:bidi w:val="0"/>
        <w:snapToGrid w:val="0"/>
        <w:spacing w:beforeAutospacing="0" w:afterAutospacing="0" w:line="360" w:lineRule="auto"/>
        <w:rPr>
          <w:rFonts w:hint="eastAsia" w:ascii="宋体" w:hAnsi="宋体"/>
          <w:color w:val="auto"/>
          <w:sz w:val="28"/>
          <w:szCs w:val="28"/>
          <w:highlight w:val="none"/>
        </w:rPr>
      </w:pPr>
      <w:r>
        <w:rPr>
          <w:rFonts w:hint="eastAsia" w:ascii="宋体" w:hAnsi="宋体"/>
          <w:color w:val="auto"/>
          <w:sz w:val="28"/>
          <w:szCs w:val="28"/>
          <w:highlight w:val="none"/>
        </w:rPr>
        <w:t>职务：</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lang w:val="en-US" w:eastAsia="zh-CN"/>
        </w:rPr>
        <w:t xml:space="preserve">  </w:t>
      </w:r>
      <w:r>
        <w:rPr>
          <w:rFonts w:hint="eastAsia" w:ascii="宋体" w:hAnsi="宋体"/>
          <w:color w:val="auto"/>
          <w:sz w:val="28"/>
          <w:szCs w:val="28"/>
          <w:highlight w:val="none"/>
        </w:rPr>
        <w:t>手机号码：</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p>
    <w:p w14:paraId="15283EB9">
      <w:pPr>
        <w:pageBreakBefore w:val="0"/>
        <w:kinsoku/>
        <w:overflowPunct/>
        <w:bidi w:val="0"/>
        <w:snapToGrid w:val="0"/>
        <w:spacing w:beforeAutospacing="0" w:afterAutospacing="0" w:line="360" w:lineRule="auto"/>
        <w:rPr>
          <w:rFonts w:hint="eastAsia" w:ascii="宋体" w:hAnsi="宋体"/>
          <w:color w:val="auto"/>
          <w:highlight w:val="none"/>
        </w:rPr>
      </w:pPr>
      <w:r>
        <w:rPr>
          <w:rFonts w:hint="eastAsia" w:ascii="宋体" w:hAnsi="宋体"/>
          <w:color w:val="auto"/>
          <w:sz w:val="28"/>
          <w:szCs w:val="28"/>
          <w:highlight w:val="none"/>
        </w:rPr>
        <w:t>系</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rPr>
        <w:t xml:space="preserve">的法定代表人                        </w:t>
      </w:r>
    </w:p>
    <w:p w14:paraId="5C65E53C">
      <w:pPr>
        <w:snapToGrid w:val="0"/>
        <w:spacing w:before="120" w:beforeLines="50" w:after="50" w:line="460" w:lineRule="exact"/>
        <w:jc w:val="center"/>
        <w:outlineLvl w:val="2"/>
        <w:rPr>
          <w:rFonts w:hint="eastAsia" w:ascii="宋体" w:hAnsi="宋体"/>
          <w:b/>
          <w:bCs/>
          <w:color w:val="auto"/>
          <w:sz w:val="28"/>
          <w:szCs w:val="28"/>
          <w:highlight w:val="none"/>
        </w:rPr>
      </w:pPr>
      <w:r>
        <w:rPr>
          <w:rFonts w:hint="eastAsia" w:ascii="宋体" w:hAnsi="宋体"/>
          <w:b/>
          <w:bCs/>
          <w:color w:val="auto"/>
          <w:sz w:val="28"/>
          <w:szCs w:val="28"/>
          <w:highlight w:val="none"/>
          <w:lang w:val="en-US" w:eastAsia="zh-CN"/>
        </w:rPr>
        <w:t xml:space="preserve">   </w:t>
      </w:r>
      <w:bookmarkStart w:id="259" w:name="_Toc27801"/>
      <w:bookmarkStart w:id="260" w:name="_Toc31255"/>
      <w:r>
        <w:rPr>
          <w:rFonts w:hint="eastAsia" w:ascii="宋体" w:hAnsi="宋体"/>
          <w:b/>
          <w:bCs/>
          <w:color w:val="auto"/>
          <w:sz w:val="28"/>
          <w:szCs w:val="28"/>
          <w:highlight w:val="none"/>
          <w:lang w:val="en-US" w:eastAsia="zh-CN"/>
        </w:rPr>
        <w:t>附</w:t>
      </w:r>
      <w:r>
        <w:rPr>
          <w:rFonts w:hint="eastAsia" w:ascii="宋体" w:hAnsi="宋体"/>
          <w:b/>
          <w:bCs/>
          <w:color w:val="auto"/>
          <w:sz w:val="28"/>
          <w:szCs w:val="28"/>
          <w:highlight w:val="none"/>
        </w:rPr>
        <w:t>法定代表人身份证复印件</w:t>
      </w:r>
      <w:bookmarkEnd w:id="259"/>
      <w:bookmarkEnd w:id="260"/>
    </w:p>
    <w:p w14:paraId="7CCAB2EB">
      <w:pPr>
        <w:pStyle w:val="2"/>
        <w:rPr>
          <w:rFonts w:hint="eastAsia"/>
          <w:color w:val="auto"/>
          <w:highlight w:val="none"/>
          <w:lang w:val="en-US" w:eastAsia="zh-CN"/>
        </w:rPr>
      </w:pPr>
    </w:p>
    <w:tbl>
      <w:tblPr>
        <w:tblStyle w:val="53"/>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16313515">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noWrap w:val="0"/>
            <w:vAlign w:val="top"/>
          </w:tcPr>
          <w:p w14:paraId="17A19962">
            <w:pPr>
              <w:jc w:val="center"/>
              <w:rPr>
                <w:rFonts w:hint="eastAsia" w:ascii="宋体" w:hAnsi="宋体"/>
                <w:color w:val="auto"/>
                <w:sz w:val="24"/>
                <w:szCs w:val="24"/>
                <w:highlight w:val="none"/>
              </w:rPr>
            </w:pPr>
          </w:p>
          <w:p w14:paraId="455221B9">
            <w:pPr>
              <w:jc w:val="both"/>
              <w:rPr>
                <w:rFonts w:hint="eastAsia" w:ascii="宋体" w:hAnsi="宋体"/>
                <w:color w:val="auto"/>
                <w:sz w:val="24"/>
                <w:szCs w:val="24"/>
                <w:highlight w:val="none"/>
              </w:rPr>
            </w:pPr>
          </w:p>
          <w:p w14:paraId="12D48C0A">
            <w:pPr>
              <w:jc w:val="both"/>
              <w:rPr>
                <w:rFonts w:hint="eastAsia" w:ascii="宋体" w:hAnsi="宋体"/>
                <w:color w:val="auto"/>
                <w:sz w:val="24"/>
                <w:szCs w:val="24"/>
                <w:highlight w:val="none"/>
              </w:rPr>
            </w:pPr>
            <w:r>
              <w:rPr>
                <w:rFonts w:hint="eastAsia" w:ascii="宋体" w:hAnsi="宋体"/>
                <w:color w:val="auto"/>
                <w:sz w:val="24"/>
                <w:szCs w:val="24"/>
                <w:highlight w:val="none"/>
              </w:rPr>
              <w:t>法定代表人身份证正面复印件粘贴处</w:t>
            </w:r>
            <w:r>
              <w:rPr>
                <w:rFonts w:hint="eastAsia" w:ascii="宋体" w:hAnsi="宋体"/>
                <w:color w:val="auto"/>
                <w:sz w:val="24"/>
                <w:szCs w:val="24"/>
                <w:highlight w:val="none"/>
                <w:lang w:eastAsia="zh-CN"/>
              </w:rPr>
              <w:t>，</w:t>
            </w:r>
            <w:r>
              <w:rPr>
                <w:rFonts w:hint="eastAsia"/>
                <w:color w:val="auto"/>
                <w:sz w:val="24"/>
                <w:szCs w:val="24"/>
                <w:highlight w:val="none"/>
              </w:rPr>
              <w:t>复印件清晰可认</w:t>
            </w:r>
          </w:p>
          <w:p w14:paraId="2016ADBA">
            <w:pPr>
              <w:spacing w:line="360" w:lineRule="auto"/>
              <w:rPr>
                <w:color w:val="auto"/>
                <w:sz w:val="30"/>
                <w:szCs w:val="30"/>
                <w:highlight w:val="none"/>
              </w:rPr>
            </w:pPr>
          </w:p>
        </w:tc>
      </w:tr>
      <w:tr w14:paraId="6612B456">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7C1D8008">
            <w:pPr>
              <w:jc w:val="both"/>
              <w:rPr>
                <w:rFonts w:hint="eastAsia" w:ascii="宋体" w:hAnsi="宋体" w:cs="Times New Roman"/>
                <w:color w:val="auto"/>
                <w:sz w:val="24"/>
                <w:szCs w:val="24"/>
                <w:highlight w:val="none"/>
              </w:rPr>
            </w:pPr>
          </w:p>
          <w:p w14:paraId="4ACC38DF">
            <w:pPr>
              <w:jc w:val="both"/>
              <w:rPr>
                <w:rFonts w:hint="eastAsia" w:ascii="宋体" w:hAnsi="宋体" w:cs="Times New Roman"/>
                <w:color w:val="auto"/>
                <w:sz w:val="24"/>
                <w:szCs w:val="24"/>
                <w:highlight w:val="none"/>
              </w:rPr>
            </w:pPr>
          </w:p>
          <w:p w14:paraId="6A6ACC2E">
            <w:pPr>
              <w:jc w:val="both"/>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法定代表人身份证反面复印件粘贴处</w:t>
            </w:r>
            <w:r>
              <w:rPr>
                <w:rFonts w:hint="eastAsia" w:ascii="宋体" w:hAnsi="宋体" w:cs="Times New Roman"/>
                <w:color w:val="auto"/>
                <w:sz w:val="24"/>
                <w:szCs w:val="24"/>
                <w:highlight w:val="none"/>
                <w:lang w:eastAsia="zh-CN"/>
              </w:rPr>
              <w:t>，</w:t>
            </w:r>
            <w:r>
              <w:rPr>
                <w:rFonts w:hint="eastAsia" w:ascii="宋体" w:hAnsi="宋体" w:cs="Times New Roman"/>
                <w:color w:val="auto"/>
                <w:sz w:val="24"/>
                <w:szCs w:val="24"/>
                <w:highlight w:val="none"/>
              </w:rPr>
              <w:t>复印件清晰可认</w:t>
            </w:r>
          </w:p>
          <w:p w14:paraId="470421DA">
            <w:pPr>
              <w:jc w:val="center"/>
              <w:rPr>
                <w:rFonts w:hint="eastAsia" w:ascii="宋体" w:hAnsi="宋体" w:eastAsia="宋体"/>
                <w:color w:val="auto"/>
                <w:sz w:val="21"/>
                <w:szCs w:val="21"/>
                <w:highlight w:val="none"/>
                <w:lang w:eastAsia="zh-CN"/>
              </w:rPr>
            </w:pPr>
          </w:p>
          <w:p w14:paraId="687BA1CC">
            <w:pPr>
              <w:spacing w:line="360" w:lineRule="auto"/>
              <w:rPr>
                <w:color w:val="auto"/>
                <w:sz w:val="30"/>
                <w:szCs w:val="30"/>
                <w:highlight w:val="none"/>
              </w:rPr>
            </w:pPr>
          </w:p>
        </w:tc>
      </w:tr>
    </w:tbl>
    <w:p w14:paraId="213E2216">
      <w:pPr>
        <w:snapToGrid w:val="0"/>
        <w:spacing w:before="120" w:beforeLines="50" w:after="50" w:line="460" w:lineRule="exact"/>
        <w:rPr>
          <w:rFonts w:hint="eastAsia" w:ascii="宋体" w:hAnsi="宋体"/>
          <w:b/>
          <w:color w:val="auto"/>
          <w:sz w:val="24"/>
          <w:highlight w:val="none"/>
        </w:rPr>
      </w:pPr>
      <w:r>
        <w:rPr>
          <w:rFonts w:hint="eastAsia" w:ascii="宋体" w:hAnsi="宋体"/>
          <w:color w:val="auto"/>
          <w:sz w:val="24"/>
          <w:highlight w:val="none"/>
        </w:rPr>
        <w:t xml:space="preserve">                         </w:t>
      </w:r>
      <w:r>
        <w:rPr>
          <w:rFonts w:hint="eastAsia" w:ascii="宋体" w:hAnsi="宋体"/>
          <w:b/>
          <w:color w:val="auto"/>
          <w:sz w:val="24"/>
          <w:highlight w:val="none"/>
        </w:rPr>
        <w:t xml:space="preserve"> </w:t>
      </w:r>
    </w:p>
    <w:p w14:paraId="7078DC55">
      <w:pPr>
        <w:snapToGrid w:val="0"/>
        <w:spacing w:before="120" w:beforeLines="50" w:after="50" w:line="460" w:lineRule="exact"/>
        <w:rPr>
          <w:rFonts w:hint="eastAsia" w:ascii="宋体" w:hAnsi="宋体"/>
          <w:b/>
          <w:color w:val="auto"/>
          <w:sz w:val="24"/>
          <w:highlight w:val="none"/>
        </w:rPr>
      </w:pPr>
    </w:p>
    <w:p w14:paraId="3550E02F">
      <w:pPr>
        <w:snapToGrid w:val="0"/>
        <w:spacing w:before="120" w:beforeLines="50" w:after="50" w:line="460" w:lineRule="exact"/>
        <w:rPr>
          <w:rFonts w:hint="eastAsia" w:ascii="宋体" w:hAnsi="宋体"/>
          <w:b/>
          <w:color w:val="auto"/>
          <w:sz w:val="24"/>
          <w:highlight w:val="none"/>
        </w:rPr>
      </w:pPr>
    </w:p>
    <w:p w14:paraId="6AC15E4D">
      <w:pPr>
        <w:snapToGrid w:val="0"/>
        <w:spacing w:before="120" w:beforeLines="50" w:after="50" w:line="460" w:lineRule="exact"/>
        <w:rPr>
          <w:rFonts w:hint="eastAsia" w:ascii="宋体" w:hAnsi="宋体"/>
          <w:b/>
          <w:color w:val="auto"/>
          <w:sz w:val="24"/>
          <w:highlight w:val="none"/>
        </w:rPr>
      </w:pPr>
    </w:p>
    <w:p w14:paraId="24B0938C">
      <w:pPr>
        <w:snapToGrid w:val="0"/>
        <w:spacing w:before="120" w:beforeLines="50" w:after="50" w:line="460" w:lineRule="exact"/>
        <w:rPr>
          <w:rFonts w:hint="eastAsia" w:ascii="宋体" w:hAnsi="宋体"/>
          <w:b/>
          <w:color w:val="auto"/>
          <w:sz w:val="24"/>
          <w:highlight w:val="none"/>
        </w:rPr>
      </w:pPr>
    </w:p>
    <w:p w14:paraId="5DE2A3F9">
      <w:pPr>
        <w:snapToGrid w:val="0"/>
        <w:spacing w:before="120" w:beforeLines="50" w:after="50" w:line="460" w:lineRule="exact"/>
        <w:rPr>
          <w:rFonts w:hint="eastAsia" w:ascii="宋体" w:hAnsi="宋体"/>
          <w:b/>
          <w:color w:val="auto"/>
          <w:sz w:val="24"/>
          <w:highlight w:val="none"/>
        </w:rPr>
      </w:pPr>
    </w:p>
    <w:p w14:paraId="1C8DF537">
      <w:pPr>
        <w:snapToGrid w:val="0"/>
        <w:spacing w:before="120" w:beforeLines="50" w:after="50" w:line="460" w:lineRule="exact"/>
        <w:rPr>
          <w:rFonts w:hint="eastAsia" w:ascii="宋体" w:hAnsi="宋体"/>
          <w:b/>
          <w:color w:val="auto"/>
          <w:sz w:val="24"/>
          <w:highlight w:val="none"/>
        </w:rPr>
      </w:pPr>
    </w:p>
    <w:p w14:paraId="281C756D">
      <w:pPr>
        <w:snapToGrid w:val="0"/>
        <w:spacing w:before="120" w:beforeLines="50" w:after="50" w:line="460" w:lineRule="exact"/>
        <w:rPr>
          <w:rFonts w:hint="eastAsia" w:ascii="宋体" w:hAnsi="宋体"/>
          <w:b/>
          <w:color w:val="auto"/>
          <w:sz w:val="24"/>
          <w:highlight w:val="none"/>
        </w:rPr>
      </w:pPr>
    </w:p>
    <w:p w14:paraId="5451DE26">
      <w:pPr>
        <w:snapToGrid w:val="0"/>
        <w:spacing w:before="120" w:beforeLines="50" w:after="50" w:line="460" w:lineRule="exact"/>
        <w:rPr>
          <w:rFonts w:hint="eastAsia" w:ascii="宋体" w:hAnsi="宋体"/>
          <w:b/>
          <w:color w:val="auto"/>
          <w:sz w:val="24"/>
          <w:highlight w:val="none"/>
        </w:rPr>
      </w:pPr>
    </w:p>
    <w:p w14:paraId="23AA4158">
      <w:pPr>
        <w:snapToGrid w:val="0"/>
        <w:spacing w:before="120" w:beforeLines="50" w:after="50" w:line="460" w:lineRule="exact"/>
        <w:rPr>
          <w:rFonts w:hint="eastAsia" w:ascii="宋体" w:hAnsi="宋体"/>
          <w:b/>
          <w:color w:val="auto"/>
          <w:sz w:val="24"/>
          <w:highlight w:val="none"/>
        </w:rPr>
      </w:pPr>
    </w:p>
    <w:p w14:paraId="0DA5E586">
      <w:pPr>
        <w:snapToGrid w:val="0"/>
        <w:spacing w:before="120" w:beforeLines="50" w:after="50" w:line="460" w:lineRule="exact"/>
        <w:rPr>
          <w:rFonts w:hint="eastAsia" w:ascii="宋体" w:hAnsi="宋体"/>
          <w:b/>
          <w:color w:val="auto"/>
          <w:sz w:val="24"/>
          <w:highlight w:val="none"/>
        </w:rPr>
      </w:pPr>
    </w:p>
    <w:p w14:paraId="0A6F0539">
      <w:pPr>
        <w:snapToGrid w:val="0"/>
        <w:spacing w:before="50" w:after="120" w:afterLines="50"/>
        <w:jc w:val="left"/>
        <w:rPr>
          <w:rFonts w:ascii="宋体" w:hAnsi="宋体"/>
          <w:color w:val="auto"/>
          <w:sz w:val="24"/>
          <w:highlight w:val="none"/>
        </w:rPr>
      </w:pPr>
      <w:r>
        <w:rPr>
          <w:rFonts w:hint="eastAsia" w:ascii="宋体" w:hAnsi="宋体"/>
          <w:b/>
          <w:color w:val="auto"/>
          <w:sz w:val="24"/>
          <w:highlight w:val="none"/>
        </w:rPr>
        <w:t>投标人</w:t>
      </w:r>
      <w:r>
        <w:rPr>
          <w:rFonts w:hint="eastAsia" w:ascii="宋体" w:hAnsi="宋体"/>
          <w:b/>
          <w:color w:val="auto"/>
          <w:spacing w:val="20"/>
          <w:sz w:val="24"/>
          <w:highlight w:val="none"/>
        </w:rPr>
        <w:t>（盖章）</w:t>
      </w:r>
      <w:r>
        <w:rPr>
          <w:rFonts w:hint="eastAsia" w:ascii="宋体" w:hAnsi="宋体"/>
          <w:b/>
          <w:color w:val="auto"/>
          <w:sz w:val="24"/>
          <w:highlight w:val="none"/>
        </w:rPr>
        <w:t>：</w:t>
      </w:r>
      <w:r>
        <w:rPr>
          <w:rFonts w:hint="eastAsia" w:ascii="宋体" w:hAnsi="宋体"/>
          <w:b/>
          <w:color w:val="auto"/>
          <w:sz w:val="24"/>
          <w:highlight w:val="none"/>
          <w:lang w:val="en-US" w:eastAsia="zh-CN"/>
        </w:rPr>
        <w:t xml:space="preserve">                      </w:t>
      </w:r>
      <w:r>
        <w:rPr>
          <w:rFonts w:hint="eastAsia" w:ascii="宋体" w:hAnsi="宋体"/>
          <w:color w:val="auto"/>
          <w:sz w:val="24"/>
          <w:highlight w:val="none"/>
        </w:rPr>
        <w:t xml:space="preserve"> </w:t>
      </w:r>
      <w:r>
        <w:rPr>
          <w:rFonts w:hint="eastAsia" w:ascii="宋体" w:hAnsi="宋体"/>
          <w:b/>
          <w:color w:val="auto"/>
          <w:sz w:val="24"/>
          <w:highlight w:val="none"/>
        </w:rPr>
        <w:t>日期：</w:t>
      </w:r>
      <w:r>
        <w:rPr>
          <w:rFonts w:ascii="宋体" w:hAnsi="宋体"/>
          <w:b/>
          <w:color w:val="auto"/>
          <w:sz w:val="24"/>
          <w:highlight w:val="none"/>
        </w:rPr>
        <w:t xml:space="preserve">  </w:t>
      </w:r>
      <w:r>
        <w:rPr>
          <w:rFonts w:hint="eastAsia" w:ascii="宋体" w:hAnsi="宋体"/>
          <w:b/>
          <w:color w:val="auto"/>
          <w:sz w:val="24"/>
          <w:highlight w:val="none"/>
        </w:rPr>
        <w:t>_____年___月___日</w:t>
      </w:r>
      <w:r>
        <w:rPr>
          <w:rFonts w:hint="eastAsia" w:ascii="宋体" w:hAnsi="宋体" w:cs="宋体"/>
          <w:color w:val="auto"/>
          <w:sz w:val="24"/>
          <w:highlight w:val="none"/>
          <w:lang w:val="en-US" w:eastAsia="zh-CN"/>
        </w:rPr>
        <w:br w:type="page"/>
      </w:r>
      <w:r>
        <w:rPr>
          <w:rFonts w:hint="eastAsia" w:ascii="宋体" w:hAnsi="宋体" w:eastAsia="宋体" w:cs="宋体"/>
          <w:color w:val="auto"/>
          <w:sz w:val="24"/>
          <w:highlight w:val="none"/>
          <w:shd w:val="clear" w:color="auto" w:fill="auto"/>
        </w:rPr>
        <w:t>7.项目负责人简历</w:t>
      </w:r>
      <w:r>
        <w:rPr>
          <w:rFonts w:hint="eastAsia" w:ascii="宋体" w:hAnsi="宋体" w:cs="宋体"/>
          <w:color w:val="auto"/>
          <w:sz w:val="24"/>
          <w:highlight w:val="none"/>
          <w:shd w:val="clear" w:color="auto" w:fill="auto"/>
          <w:lang w:val="en-US" w:eastAsia="zh-CN"/>
        </w:rPr>
        <w:t>格式</w:t>
      </w:r>
      <w:r>
        <w:rPr>
          <w:rFonts w:hint="eastAsia" w:ascii="宋体" w:hAnsi="宋体"/>
          <w:color w:val="auto"/>
          <w:sz w:val="24"/>
          <w:highlight w:val="none"/>
        </w:rPr>
        <w:t>：</w:t>
      </w:r>
    </w:p>
    <w:p w14:paraId="5FDDD6D4">
      <w:pPr>
        <w:jc w:val="center"/>
        <w:rPr>
          <w:rFonts w:ascii="宋体" w:hAnsi="宋体"/>
          <w:snapToGrid w:val="0"/>
          <w:color w:val="auto"/>
          <w:sz w:val="21"/>
          <w:szCs w:val="21"/>
          <w:highlight w:val="none"/>
        </w:rPr>
      </w:pPr>
      <w:r>
        <w:rPr>
          <w:rFonts w:hint="eastAsia" w:ascii="宋体" w:hAnsi="宋体"/>
          <w:snapToGrid w:val="0"/>
          <w:color w:val="auto"/>
          <w:sz w:val="21"/>
          <w:szCs w:val="21"/>
          <w:highlight w:val="none"/>
        </w:rPr>
        <w:t>项目负责人简历表</w:t>
      </w:r>
    </w:p>
    <w:p w14:paraId="528B11EE">
      <w:pPr>
        <w:snapToGrid w:val="0"/>
        <w:spacing w:before="120" w:beforeLines="50" w:after="50" w:line="360" w:lineRule="auto"/>
        <w:jc w:val="center"/>
        <w:rPr>
          <w:rFonts w:ascii="宋体" w:hAnsi="宋体"/>
          <w:bCs/>
          <w:color w:val="auto"/>
          <w:sz w:val="21"/>
          <w:szCs w:val="21"/>
          <w:highlight w:val="none"/>
        </w:rPr>
      </w:pPr>
    </w:p>
    <w:p w14:paraId="3797BB68">
      <w:pPr>
        <w:snapToGrid w:val="0"/>
        <w:spacing w:before="120" w:beforeLines="50" w:after="50" w:line="480" w:lineRule="auto"/>
        <w:rPr>
          <w:rFonts w:ascii="宋体" w:hAnsi="宋体"/>
          <w:color w:val="auto"/>
          <w:sz w:val="21"/>
          <w:szCs w:val="21"/>
          <w:highlight w:val="none"/>
        </w:rPr>
      </w:pPr>
      <w:r>
        <w:rPr>
          <w:rFonts w:hint="eastAsia" w:ascii="宋体" w:hAnsi="宋体"/>
          <w:bCs/>
          <w:color w:val="auto"/>
          <w:sz w:val="21"/>
          <w:szCs w:val="21"/>
          <w:highlight w:val="none"/>
        </w:rPr>
        <w:t>项目名称：</w:t>
      </w:r>
    </w:p>
    <w:p w14:paraId="66DCDB61">
      <w:pPr>
        <w:snapToGrid w:val="0"/>
        <w:spacing w:before="120" w:beforeLines="50" w:after="50" w:line="480" w:lineRule="auto"/>
        <w:rPr>
          <w:rFonts w:ascii="宋体" w:hAnsi="宋体"/>
          <w:bCs/>
          <w:color w:val="auto"/>
          <w:sz w:val="21"/>
          <w:szCs w:val="21"/>
          <w:highlight w:val="none"/>
        </w:rPr>
      </w:pPr>
      <w:r>
        <w:rPr>
          <w:rFonts w:hint="eastAsia" w:ascii="宋体" w:hAnsi="宋体"/>
          <w:bCs/>
          <w:color w:val="auto"/>
          <w:sz w:val="21"/>
          <w:szCs w:val="21"/>
          <w:highlight w:val="none"/>
        </w:rPr>
        <w:t>项目编号：</w:t>
      </w:r>
    </w:p>
    <w:tbl>
      <w:tblPr>
        <w:tblStyle w:val="53"/>
        <w:tblpPr w:leftFromText="180" w:rightFromText="180" w:vertAnchor="text" w:tblpY="219"/>
        <w:tblW w:w="0" w:type="auto"/>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4900E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noWrap w:val="0"/>
            <w:vAlign w:val="center"/>
          </w:tcPr>
          <w:p w14:paraId="583BEF39">
            <w:pPr>
              <w:spacing w:line="351" w:lineRule="atLeast"/>
              <w:jc w:val="center"/>
              <w:rPr>
                <w:rFonts w:ascii="宋体" w:hAnsi="宋体"/>
                <w:color w:val="auto"/>
                <w:sz w:val="21"/>
                <w:szCs w:val="21"/>
                <w:highlight w:val="none"/>
              </w:rPr>
            </w:pPr>
            <w:r>
              <w:rPr>
                <w:rFonts w:hint="eastAsia" w:ascii="宋体" w:hAnsi="宋体"/>
                <w:color w:val="auto"/>
                <w:sz w:val="21"/>
                <w:szCs w:val="21"/>
                <w:highlight w:val="none"/>
              </w:rPr>
              <w:t>姓  名</w:t>
            </w:r>
          </w:p>
        </w:tc>
        <w:tc>
          <w:tcPr>
            <w:tcW w:w="2733" w:type="dxa"/>
            <w:tcBorders>
              <w:top w:val="single" w:color="000000" w:sz="8" w:space="0"/>
              <w:left w:val="single" w:color="auto" w:sz="4" w:space="0"/>
              <w:bottom w:val="single" w:color="000000" w:sz="4" w:space="0"/>
              <w:right w:val="single" w:color="000000" w:sz="4" w:space="0"/>
            </w:tcBorders>
            <w:noWrap w:val="0"/>
            <w:vAlign w:val="center"/>
          </w:tcPr>
          <w:p w14:paraId="2AB0574E">
            <w:pPr>
              <w:spacing w:line="351" w:lineRule="atLeast"/>
              <w:jc w:val="center"/>
              <w:rPr>
                <w:rFonts w:ascii="宋体" w:hAnsi="宋体"/>
                <w:color w:val="auto"/>
                <w:sz w:val="21"/>
                <w:szCs w:val="21"/>
                <w:highlight w:val="none"/>
              </w:rPr>
            </w:pPr>
          </w:p>
        </w:tc>
        <w:tc>
          <w:tcPr>
            <w:tcW w:w="1952" w:type="dxa"/>
            <w:tcBorders>
              <w:top w:val="single" w:color="000000" w:sz="8" w:space="0"/>
              <w:left w:val="single" w:color="auto" w:sz="4" w:space="0"/>
              <w:bottom w:val="single" w:color="000000" w:sz="4" w:space="0"/>
              <w:right w:val="single" w:color="000000" w:sz="4" w:space="0"/>
            </w:tcBorders>
            <w:noWrap w:val="0"/>
            <w:vAlign w:val="center"/>
          </w:tcPr>
          <w:p w14:paraId="0E4D8CC0">
            <w:pPr>
              <w:spacing w:line="351" w:lineRule="atLeast"/>
              <w:jc w:val="center"/>
              <w:rPr>
                <w:rFonts w:ascii="宋体" w:hAnsi="宋体"/>
                <w:color w:val="auto"/>
                <w:sz w:val="21"/>
                <w:szCs w:val="21"/>
                <w:highlight w:val="none"/>
              </w:rPr>
            </w:pPr>
            <w:r>
              <w:rPr>
                <w:rFonts w:hint="eastAsia" w:ascii="宋体" w:hAnsi="宋体"/>
                <w:color w:val="auto"/>
                <w:sz w:val="21"/>
                <w:szCs w:val="21"/>
                <w:highlight w:val="none"/>
              </w:rPr>
              <w:t>性  别</w:t>
            </w:r>
          </w:p>
        </w:tc>
        <w:tc>
          <w:tcPr>
            <w:tcW w:w="2928" w:type="dxa"/>
            <w:tcBorders>
              <w:top w:val="single" w:color="000000" w:sz="8" w:space="0"/>
              <w:left w:val="single" w:color="auto" w:sz="4" w:space="0"/>
              <w:bottom w:val="single" w:color="000000" w:sz="4" w:space="0"/>
              <w:right w:val="single" w:color="000000" w:sz="8" w:space="0"/>
            </w:tcBorders>
            <w:noWrap w:val="0"/>
            <w:vAlign w:val="center"/>
          </w:tcPr>
          <w:p w14:paraId="335B4299">
            <w:pPr>
              <w:spacing w:line="351" w:lineRule="atLeast"/>
              <w:jc w:val="center"/>
              <w:rPr>
                <w:rFonts w:ascii="宋体" w:hAnsi="宋体"/>
                <w:color w:val="auto"/>
                <w:sz w:val="21"/>
                <w:szCs w:val="21"/>
                <w:highlight w:val="none"/>
              </w:rPr>
            </w:pPr>
          </w:p>
        </w:tc>
      </w:tr>
      <w:tr w14:paraId="25646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noWrap w:val="0"/>
            <w:vAlign w:val="center"/>
          </w:tcPr>
          <w:p w14:paraId="3D96165E">
            <w:pPr>
              <w:spacing w:line="351" w:lineRule="atLeast"/>
              <w:jc w:val="center"/>
              <w:rPr>
                <w:rFonts w:ascii="宋体" w:hAnsi="宋体"/>
                <w:color w:val="auto"/>
                <w:sz w:val="21"/>
                <w:szCs w:val="21"/>
                <w:highlight w:val="none"/>
              </w:rPr>
            </w:pPr>
            <w:r>
              <w:rPr>
                <w:rFonts w:hint="eastAsia" w:ascii="宋体" w:hAnsi="宋体"/>
                <w:color w:val="auto"/>
                <w:sz w:val="21"/>
                <w:szCs w:val="21"/>
                <w:highlight w:val="none"/>
              </w:rPr>
              <w:t>年  龄</w:t>
            </w:r>
          </w:p>
        </w:tc>
        <w:tc>
          <w:tcPr>
            <w:tcW w:w="2733" w:type="dxa"/>
            <w:tcBorders>
              <w:top w:val="single" w:color="000000" w:sz="8" w:space="0"/>
              <w:left w:val="single" w:color="auto" w:sz="4" w:space="0"/>
              <w:bottom w:val="single" w:color="000000" w:sz="4" w:space="0"/>
              <w:right w:val="single" w:color="000000" w:sz="4" w:space="0"/>
            </w:tcBorders>
            <w:noWrap w:val="0"/>
            <w:vAlign w:val="center"/>
          </w:tcPr>
          <w:p w14:paraId="1CBD3A01">
            <w:pPr>
              <w:spacing w:line="351" w:lineRule="atLeast"/>
              <w:jc w:val="center"/>
              <w:rPr>
                <w:rFonts w:ascii="宋体" w:hAnsi="宋体"/>
                <w:color w:val="auto"/>
                <w:sz w:val="21"/>
                <w:szCs w:val="21"/>
                <w:highlight w:val="none"/>
              </w:rPr>
            </w:pPr>
          </w:p>
        </w:tc>
        <w:tc>
          <w:tcPr>
            <w:tcW w:w="1952" w:type="dxa"/>
            <w:tcBorders>
              <w:top w:val="single" w:color="000000" w:sz="8" w:space="0"/>
              <w:left w:val="single" w:color="auto" w:sz="4" w:space="0"/>
              <w:bottom w:val="single" w:color="000000" w:sz="4" w:space="0"/>
              <w:right w:val="single" w:color="000000" w:sz="4" w:space="0"/>
            </w:tcBorders>
            <w:noWrap w:val="0"/>
            <w:vAlign w:val="center"/>
          </w:tcPr>
          <w:p w14:paraId="7C8B5740">
            <w:pPr>
              <w:spacing w:line="351" w:lineRule="atLeast"/>
              <w:jc w:val="center"/>
              <w:rPr>
                <w:rFonts w:ascii="宋体" w:hAnsi="宋体"/>
                <w:color w:val="auto"/>
                <w:sz w:val="21"/>
                <w:szCs w:val="21"/>
                <w:highlight w:val="none"/>
              </w:rPr>
            </w:pPr>
            <w:r>
              <w:rPr>
                <w:rFonts w:hint="eastAsia" w:ascii="宋体" w:hAnsi="宋体"/>
                <w:color w:val="auto"/>
                <w:sz w:val="21"/>
                <w:szCs w:val="21"/>
                <w:highlight w:val="none"/>
              </w:rPr>
              <w:t>身份证号</w:t>
            </w:r>
          </w:p>
        </w:tc>
        <w:tc>
          <w:tcPr>
            <w:tcW w:w="2928" w:type="dxa"/>
            <w:tcBorders>
              <w:top w:val="single" w:color="000000" w:sz="8" w:space="0"/>
              <w:left w:val="single" w:color="auto" w:sz="4" w:space="0"/>
              <w:bottom w:val="single" w:color="000000" w:sz="4" w:space="0"/>
              <w:right w:val="single" w:color="000000" w:sz="8" w:space="0"/>
            </w:tcBorders>
            <w:noWrap w:val="0"/>
            <w:vAlign w:val="center"/>
          </w:tcPr>
          <w:p w14:paraId="76A44306">
            <w:pPr>
              <w:spacing w:line="351" w:lineRule="atLeast"/>
              <w:jc w:val="center"/>
              <w:rPr>
                <w:rFonts w:ascii="宋体" w:hAnsi="宋体"/>
                <w:color w:val="auto"/>
                <w:sz w:val="21"/>
                <w:szCs w:val="21"/>
                <w:highlight w:val="none"/>
              </w:rPr>
            </w:pPr>
          </w:p>
        </w:tc>
      </w:tr>
      <w:tr w14:paraId="0FE3D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noWrap w:val="0"/>
            <w:vAlign w:val="center"/>
          </w:tcPr>
          <w:p w14:paraId="71161E87">
            <w:pPr>
              <w:spacing w:line="351" w:lineRule="atLeast"/>
              <w:jc w:val="center"/>
              <w:rPr>
                <w:rFonts w:ascii="宋体" w:hAnsi="宋体"/>
                <w:color w:val="auto"/>
                <w:sz w:val="21"/>
                <w:szCs w:val="21"/>
                <w:highlight w:val="none"/>
              </w:rPr>
            </w:pPr>
            <w:r>
              <w:rPr>
                <w:rFonts w:hint="eastAsia" w:ascii="宋体" w:hAnsi="宋体"/>
                <w:color w:val="auto"/>
                <w:sz w:val="21"/>
                <w:szCs w:val="21"/>
                <w:highlight w:val="none"/>
              </w:rPr>
              <w:t>注册造价师执业资格</w:t>
            </w:r>
          </w:p>
        </w:tc>
        <w:tc>
          <w:tcPr>
            <w:tcW w:w="2733" w:type="dxa"/>
            <w:tcBorders>
              <w:top w:val="single" w:color="auto" w:sz="4" w:space="0"/>
              <w:left w:val="single" w:color="auto" w:sz="4" w:space="0"/>
              <w:bottom w:val="single" w:color="auto" w:sz="4" w:space="0"/>
              <w:right w:val="single" w:color="000000" w:sz="4" w:space="0"/>
            </w:tcBorders>
            <w:noWrap w:val="0"/>
            <w:vAlign w:val="center"/>
          </w:tcPr>
          <w:p w14:paraId="1FF96565">
            <w:pPr>
              <w:spacing w:line="351" w:lineRule="atLeast"/>
              <w:jc w:val="center"/>
              <w:rPr>
                <w:rFonts w:ascii="宋体" w:hAnsi="宋体"/>
                <w:color w:val="auto"/>
                <w:sz w:val="21"/>
                <w:szCs w:val="21"/>
                <w:highlight w:val="none"/>
              </w:rPr>
            </w:pPr>
          </w:p>
        </w:tc>
        <w:tc>
          <w:tcPr>
            <w:tcW w:w="1952" w:type="dxa"/>
            <w:tcBorders>
              <w:top w:val="single" w:color="auto" w:sz="4" w:space="0"/>
              <w:left w:val="single" w:color="auto" w:sz="4" w:space="0"/>
              <w:bottom w:val="single" w:color="auto" w:sz="4" w:space="0"/>
              <w:right w:val="single" w:color="auto" w:sz="4" w:space="0"/>
            </w:tcBorders>
            <w:noWrap w:val="0"/>
            <w:vAlign w:val="center"/>
          </w:tcPr>
          <w:p w14:paraId="019DB168">
            <w:pPr>
              <w:spacing w:line="351" w:lineRule="atLeast"/>
              <w:jc w:val="center"/>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专业类别</w:t>
            </w:r>
          </w:p>
        </w:tc>
        <w:tc>
          <w:tcPr>
            <w:tcW w:w="2928" w:type="dxa"/>
            <w:tcBorders>
              <w:top w:val="single" w:color="auto" w:sz="4" w:space="0"/>
              <w:left w:val="single" w:color="auto" w:sz="4" w:space="0"/>
              <w:bottom w:val="single" w:color="auto" w:sz="4" w:space="0"/>
              <w:right w:val="single" w:color="000000" w:sz="8" w:space="0"/>
            </w:tcBorders>
            <w:noWrap w:val="0"/>
            <w:vAlign w:val="center"/>
          </w:tcPr>
          <w:p w14:paraId="3B7210BF">
            <w:pPr>
              <w:spacing w:line="351" w:lineRule="atLeast"/>
              <w:jc w:val="center"/>
              <w:rPr>
                <w:rFonts w:ascii="宋体" w:hAnsi="宋体"/>
                <w:color w:val="auto"/>
                <w:sz w:val="21"/>
                <w:szCs w:val="21"/>
                <w:highlight w:val="none"/>
              </w:rPr>
            </w:pPr>
          </w:p>
        </w:tc>
      </w:tr>
      <w:tr w14:paraId="74D02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noWrap w:val="0"/>
            <w:vAlign w:val="center"/>
          </w:tcPr>
          <w:p w14:paraId="576AA1C6">
            <w:pPr>
              <w:spacing w:line="351" w:lineRule="atLeast"/>
              <w:jc w:val="center"/>
              <w:rPr>
                <w:rFonts w:ascii="宋体" w:hAnsi="宋体"/>
                <w:color w:val="auto"/>
                <w:sz w:val="21"/>
                <w:szCs w:val="21"/>
                <w:highlight w:val="none"/>
              </w:rPr>
            </w:pPr>
            <w:r>
              <w:rPr>
                <w:rFonts w:hint="eastAsia" w:ascii="宋体" w:hAnsi="宋体"/>
                <w:color w:val="auto"/>
                <w:sz w:val="21"/>
                <w:szCs w:val="21"/>
                <w:highlight w:val="none"/>
              </w:rPr>
              <w:t>学历</w:t>
            </w:r>
          </w:p>
        </w:tc>
        <w:tc>
          <w:tcPr>
            <w:tcW w:w="2733" w:type="dxa"/>
            <w:tcBorders>
              <w:top w:val="single" w:color="auto" w:sz="4" w:space="0"/>
              <w:left w:val="single" w:color="auto" w:sz="4" w:space="0"/>
              <w:bottom w:val="single" w:color="000000" w:sz="4" w:space="0"/>
              <w:right w:val="single" w:color="000000" w:sz="4" w:space="0"/>
            </w:tcBorders>
            <w:noWrap w:val="0"/>
            <w:vAlign w:val="center"/>
          </w:tcPr>
          <w:p w14:paraId="535222D2">
            <w:pPr>
              <w:spacing w:line="351" w:lineRule="atLeast"/>
              <w:ind w:firstLine="419"/>
              <w:jc w:val="center"/>
              <w:rPr>
                <w:rFonts w:ascii="宋体" w:hAnsi="宋体"/>
                <w:color w:val="auto"/>
                <w:sz w:val="21"/>
                <w:szCs w:val="21"/>
                <w:highlight w:val="none"/>
              </w:rPr>
            </w:pPr>
          </w:p>
        </w:tc>
        <w:tc>
          <w:tcPr>
            <w:tcW w:w="1952" w:type="dxa"/>
            <w:tcBorders>
              <w:top w:val="single" w:color="auto" w:sz="4" w:space="0"/>
              <w:left w:val="single" w:color="auto" w:sz="4" w:space="0"/>
              <w:bottom w:val="single" w:color="000000" w:sz="4" w:space="0"/>
              <w:right w:val="single" w:color="auto" w:sz="4" w:space="0"/>
            </w:tcBorders>
            <w:noWrap w:val="0"/>
            <w:vAlign w:val="center"/>
          </w:tcPr>
          <w:p w14:paraId="6E614539">
            <w:pPr>
              <w:spacing w:line="351" w:lineRule="atLeast"/>
              <w:jc w:val="center"/>
              <w:rPr>
                <w:rFonts w:ascii="宋体" w:hAnsi="宋体"/>
                <w:color w:val="auto"/>
                <w:sz w:val="21"/>
                <w:szCs w:val="21"/>
                <w:highlight w:val="none"/>
              </w:rPr>
            </w:pPr>
            <w:r>
              <w:rPr>
                <w:rFonts w:hint="eastAsia" w:ascii="宋体" w:hAnsi="宋体"/>
                <w:color w:val="auto"/>
                <w:sz w:val="21"/>
                <w:szCs w:val="21"/>
                <w:highlight w:val="none"/>
              </w:rPr>
              <w:t>职称</w:t>
            </w:r>
          </w:p>
        </w:tc>
        <w:tc>
          <w:tcPr>
            <w:tcW w:w="2928" w:type="dxa"/>
            <w:tcBorders>
              <w:top w:val="single" w:color="auto" w:sz="4" w:space="0"/>
              <w:left w:val="single" w:color="auto" w:sz="4" w:space="0"/>
              <w:bottom w:val="single" w:color="000000" w:sz="4" w:space="0"/>
              <w:right w:val="single" w:color="000000" w:sz="8" w:space="0"/>
            </w:tcBorders>
            <w:noWrap w:val="0"/>
            <w:vAlign w:val="center"/>
          </w:tcPr>
          <w:p w14:paraId="615407FD">
            <w:pPr>
              <w:spacing w:line="351" w:lineRule="atLeast"/>
              <w:jc w:val="center"/>
              <w:rPr>
                <w:rFonts w:ascii="宋体" w:hAnsi="宋体"/>
                <w:color w:val="auto"/>
                <w:sz w:val="21"/>
                <w:szCs w:val="21"/>
                <w:highlight w:val="none"/>
              </w:rPr>
            </w:pPr>
          </w:p>
        </w:tc>
      </w:tr>
      <w:tr w14:paraId="0860E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noWrap w:val="0"/>
            <w:vAlign w:val="center"/>
          </w:tcPr>
          <w:p w14:paraId="68D79106">
            <w:pPr>
              <w:spacing w:line="351" w:lineRule="atLeast"/>
              <w:jc w:val="center"/>
              <w:rPr>
                <w:rFonts w:ascii="宋体" w:hAnsi="宋体"/>
                <w:color w:val="auto"/>
                <w:sz w:val="21"/>
                <w:szCs w:val="21"/>
                <w:highlight w:val="none"/>
              </w:rPr>
            </w:pPr>
            <w:r>
              <w:rPr>
                <w:rFonts w:hint="eastAsia" w:ascii="宋体" w:hAnsi="宋体" w:eastAsia="宋体" w:cs="Times New Roman"/>
                <w:color w:val="auto"/>
                <w:sz w:val="21"/>
                <w:szCs w:val="21"/>
                <w:highlight w:val="none"/>
              </w:rPr>
              <w:t>手机号</w:t>
            </w:r>
          </w:p>
        </w:tc>
        <w:tc>
          <w:tcPr>
            <w:tcW w:w="2733" w:type="dxa"/>
            <w:tcBorders>
              <w:top w:val="single" w:color="auto" w:sz="4" w:space="0"/>
              <w:left w:val="single" w:color="auto" w:sz="4" w:space="0"/>
              <w:bottom w:val="single" w:color="000000" w:sz="4" w:space="0"/>
              <w:right w:val="single" w:color="000000" w:sz="4" w:space="0"/>
            </w:tcBorders>
            <w:noWrap w:val="0"/>
            <w:vAlign w:val="center"/>
          </w:tcPr>
          <w:p w14:paraId="574F02FC">
            <w:pPr>
              <w:spacing w:line="351" w:lineRule="atLeast"/>
              <w:jc w:val="center"/>
              <w:rPr>
                <w:rFonts w:ascii="宋体" w:hAnsi="宋体"/>
                <w:color w:val="auto"/>
                <w:sz w:val="21"/>
                <w:szCs w:val="21"/>
                <w:highlight w:val="none"/>
              </w:rPr>
            </w:pPr>
          </w:p>
        </w:tc>
        <w:tc>
          <w:tcPr>
            <w:tcW w:w="1952" w:type="dxa"/>
            <w:tcBorders>
              <w:top w:val="single" w:color="auto" w:sz="4" w:space="0"/>
              <w:left w:val="single" w:color="auto" w:sz="4" w:space="0"/>
              <w:bottom w:val="single" w:color="000000" w:sz="4" w:space="0"/>
              <w:right w:val="single" w:color="auto" w:sz="4" w:space="0"/>
            </w:tcBorders>
            <w:noWrap w:val="0"/>
            <w:vAlign w:val="center"/>
          </w:tcPr>
          <w:p w14:paraId="795D4603">
            <w:pPr>
              <w:spacing w:line="351" w:lineRule="atLeast"/>
              <w:jc w:val="center"/>
              <w:rPr>
                <w:rFonts w:ascii="宋体" w:hAnsi="宋体"/>
                <w:color w:val="auto"/>
                <w:sz w:val="21"/>
                <w:szCs w:val="21"/>
                <w:highlight w:val="none"/>
              </w:rPr>
            </w:pPr>
            <w:r>
              <w:rPr>
                <w:rFonts w:hint="eastAsia" w:ascii="宋体" w:hAnsi="宋体"/>
                <w:color w:val="auto"/>
                <w:sz w:val="21"/>
                <w:szCs w:val="21"/>
                <w:highlight w:val="none"/>
              </w:rPr>
              <w:t>联系电话</w:t>
            </w:r>
          </w:p>
        </w:tc>
        <w:tc>
          <w:tcPr>
            <w:tcW w:w="2928" w:type="dxa"/>
            <w:tcBorders>
              <w:top w:val="single" w:color="auto" w:sz="4" w:space="0"/>
              <w:left w:val="single" w:color="auto" w:sz="4" w:space="0"/>
              <w:bottom w:val="single" w:color="000000" w:sz="4" w:space="0"/>
              <w:right w:val="single" w:color="000000" w:sz="8" w:space="0"/>
            </w:tcBorders>
            <w:noWrap w:val="0"/>
            <w:vAlign w:val="center"/>
          </w:tcPr>
          <w:p w14:paraId="48BF2A34">
            <w:pPr>
              <w:spacing w:line="351" w:lineRule="atLeast"/>
              <w:jc w:val="center"/>
              <w:rPr>
                <w:rFonts w:ascii="宋体" w:hAnsi="宋体"/>
                <w:color w:val="auto"/>
                <w:sz w:val="21"/>
                <w:szCs w:val="21"/>
                <w:highlight w:val="none"/>
              </w:rPr>
            </w:pPr>
          </w:p>
        </w:tc>
      </w:tr>
      <w:tr w14:paraId="63A36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noWrap w:val="0"/>
            <w:vAlign w:val="center"/>
          </w:tcPr>
          <w:p w14:paraId="569F5733">
            <w:pPr>
              <w:jc w:val="center"/>
              <w:rPr>
                <w:rFonts w:ascii="宋体" w:hAnsi="宋体"/>
                <w:color w:val="auto"/>
                <w:sz w:val="21"/>
                <w:szCs w:val="21"/>
                <w:highlight w:val="none"/>
              </w:rPr>
            </w:pPr>
            <w:r>
              <w:rPr>
                <w:rFonts w:hint="eastAsia" w:ascii="宋体" w:hAnsi="宋体"/>
                <w:color w:val="auto"/>
                <w:sz w:val="21"/>
                <w:szCs w:val="21"/>
                <w:highlight w:val="none"/>
              </w:rPr>
              <w:t>简</w:t>
            </w:r>
          </w:p>
          <w:p w14:paraId="74D00550">
            <w:pPr>
              <w:jc w:val="center"/>
              <w:rPr>
                <w:rFonts w:ascii="宋体" w:hAnsi="宋体"/>
                <w:color w:val="auto"/>
                <w:sz w:val="21"/>
                <w:szCs w:val="21"/>
                <w:highlight w:val="none"/>
              </w:rPr>
            </w:pPr>
          </w:p>
          <w:p w14:paraId="31EEA5F4">
            <w:pPr>
              <w:jc w:val="center"/>
              <w:rPr>
                <w:rFonts w:ascii="宋体" w:hAnsi="宋体"/>
                <w:color w:val="auto"/>
                <w:sz w:val="21"/>
                <w:szCs w:val="21"/>
                <w:highlight w:val="none"/>
              </w:rPr>
            </w:pPr>
          </w:p>
          <w:p w14:paraId="1207A43F">
            <w:pPr>
              <w:spacing w:line="351" w:lineRule="atLeast"/>
              <w:jc w:val="center"/>
              <w:rPr>
                <w:rFonts w:ascii="宋体" w:hAnsi="宋体"/>
                <w:color w:val="auto"/>
                <w:sz w:val="21"/>
                <w:szCs w:val="21"/>
                <w:highlight w:val="none"/>
              </w:rPr>
            </w:pPr>
            <w:r>
              <w:rPr>
                <w:rFonts w:hint="eastAsia" w:ascii="宋体" w:hAnsi="宋体"/>
                <w:color w:val="auto"/>
                <w:sz w:val="21"/>
                <w:szCs w:val="21"/>
                <w:highlight w:val="none"/>
              </w:rPr>
              <w:t>历</w:t>
            </w:r>
          </w:p>
        </w:tc>
        <w:tc>
          <w:tcPr>
            <w:tcW w:w="8697" w:type="dxa"/>
            <w:gridSpan w:val="4"/>
            <w:tcBorders>
              <w:top w:val="single" w:color="auto" w:sz="4" w:space="0"/>
              <w:left w:val="single" w:color="auto" w:sz="4" w:space="0"/>
              <w:bottom w:val="single" w:color="000000" w:sz="8" w:space="0"/>
              <w:right w:val="single" w:color="000000" w:sz="8" w:space="0"/>
            </w:tcBorders>
            <w:noWrap w:val="0"/>
            <w:vAlign w:val="center"/>
          </w:tcPr>
          <w:p w14:paraId="5A7BBCB7">
            <w:pPr>
              <w:spacing w:line="351" w:lineRule="atLeast"/>
              <w:jc w:val="center"/>
              <w:rPr>
                <w:rFonts w:ascii="宋体" w:hAnsi="宋体"/>
                <w:color w:val="auto"/>
                <w:sz w:val="21"/>
                <w:szCs w:val="21"/>
                <w:highlight w:val="none"/>
              </w:rPr>
            </w:pPr>
          </w:p>
        </w:tc>
      </w:tr>
    </w:tbl>
    <w:p w14:paraId="642E4039">
      <w:pPr>
        <w:rPr>
          <w:rFonts w:ascii="宋体" w:hAnsi="宋体"/>
          <w:bCs/>
          <w:snapToGrid w:val="0"/>
          <w:color w:val="auto"/>
          <w:sz w:val="21"/>
          <w:szCs w:val="21"/>
          <w:highlight w:val="none"/>
        </w:rPr>
      </w:pPr>
    </w:p>
    <w:p w14:paraId="0B1CD78C">
      <w:pPr>
        <w:snapToGrid w:val="0"/>
        <w:spacing w:before="50" w:after="120" w:afterLines="50"/>
        <w:jc w:val="left"/>
        <w:rPr>
          <w:rFonts w:ascii="宋体" w:hAnsi="宋体"/>
          <w:color w:val="auto"/>
          <w:spacing w:val="20"/>
          <w:sz w:val="24"/>
          <w:highlight w:val="none"/>
        </w:rPr>
      </w:pPr>
      <w:r>
        <w:rPr>
          <w:rFonts w:hint="eastAsia" w:ascii="宋体" w:hAnsi="宋体"/>
          <w:color w:val="auto"/>
          <w:spacing w:val="20"/>
          <w:sz w:val="24"/>
          <w:highlight w:val="none"/>
        </w:rPr>
        <w:t>法定代表人签字（或盖章）：            投标人（盖章）：</w:t>
      </w:r>
    </w:p>
    <w:p w14:paraId="6E52750B">
      <w:pPr>
        <w:snapToGrid w:val="0"/>
        <w:spacing w:before="50" w:after="120" w:afterLines="50"/>
        <w:jc w:val="left"/>
        <w:rPr>
          <w:rFonts w:ascii="宋体" w:hAnsi="宋体"/>
          <w:color w:val="auto"/>
          <w:sz w:val="24"/>
          <w:highlight w:val="none"/>
        </w:rPr>
      </w:pPr>
      <w:r>
        <w:rPr>
          <w:rFonts w:hint="eastAsia" w:ascii="宋体" w:hAnsi="宋体"/>
          <w:color w:val="auto"/>
          <w:sz w:val="24"/>
          <w:szCs w:val="20"/>
          <w:highlight w:val="none"/>
        </w:rPr>
        <w:t>日期：</w:t>
      </w:r>
    </w:p>
    <w:p w14:paraId="6E1F1DC4">
      <w:pPr>
        <w:snapToGrid w:val="0"/>
        <w:spacing w:before="50" w:after="120" w:afterLines="50"/>
        <w:jc w:val="left"/>
        <w:rPr>
          <w:rFonts w:hint="eastAsia" w:ascii="宋体" w:hAnsi="宋体"/>
          <w:color w:val="auto"/>
          <w:sz w:val="24"/>
          <w:highlight w:val="none"/>
        </w:rPr>
      </w:pPr>
    </w:p>
    <w:p w14:paraId="073BE85B">
      <w:pPr>
        <w:pStyle w:val="402"/>
        <w:rPr>
          <w:rFonts w:hint="eastAsia" w:ascii="宋体" w:hAnsi="宋体" w:eastAsia="宋体" w:cs="宋体"/>
          <w:color w:val="auto"/>
          <w:sz w:val="24"/>
          <w:highlight w:val="none"/>
          <w:shd w:val="clear" w:color="auto" w:fill="auto"/>
        </w:rPr>
      </w:pPr>
    </w:p>
    <w:p w14:paraId="34352AC8">
      <w:pPr>
        <w:pStyle w:val="30"/>
        <w:snapToGrid w:val="0"/>
        <w:spacing w:beforeLines="0" w:afterLines="0" w:line="240" w:lineRule="auto"/>
        <w:outlineLvl w:val="1"/>
        <w:rPr>
          <w:rFonts w:hint="eastAsia" w:ascii="宋体" w:hAnsi="宋体" w:eastAsia="宋体" w:cs="宋体"/>
          <w:color w:val="auto"/>
          <w:kern w:val="2"/>
          <w:sz w:val="24"/>
          <w:szCs w:val="24"/>
          <w:highlight w:val="none"/>
          <w:shd w:val="clear" w:color="auto" w:fill="auto"/>
          <w:lang w:val="en-US" w:eastAsia="zh-CN" w:bidi="ar-SA"/>
        </w:rPr>
      </w:pPr>
      <w:bookmarkStart w:id="261" w:name="_Toc7178"/>
      <w:bookmarkStart w:id="262" w:name="_Toc24271"/>
      <w:r>
        <w:rPr>
          <w:rFonts w:hint="eastAsia" w:ascii="宋体" w:hAnsi="宋体" w:eastAsia="宋体" w:cs="宋体"/>
          <w:color w:val="auto"/>
          <w:kern w:val="2"/>
          <w:sz w:val="24"/>
          <w:szCs w:val="24"/>
          <w:highlight w:val="none"/>
          <w:shd w:val="clear" w:color="auto" w:fill="auto"/>
          <w:lang w:val="en-US" w:eastAsia="zh-CN" w:bidi="ar-SA"/>
        </w:rPr>
        <w:t>8</w:t>
      </w:r>
      <w:r>
        <w:rPr>
          <w:rFonts w:hint="eastAsia" w:hAnsi="宋体" w:cs="宋体"/>
          <w:color w:val="auto"/>
          <w:kern w:val="2"/>
          <w:sz w:val="24"/>
          <w:szCs w:val="24"/>
          <w:highlight w:val="none"/>
          <w:shd w:val="clear" w:color="auto" w:fill="auto"/>
          <w:lang w:val="en-US" w:eastAsia="zh-CN" w:bidi="ar-SA"/>
        </w:rPr>
        <w:t>.</w:t>
      </w:r>
      <w:r>
        <w:rPr>
          <w:rFonts w:hint="eastAsia" w:ascii="宋体" w:hAnsi="宋体" w:eastAsia="宋体" w:cs="宋体"/>
          <w:color w:val="auto"/>
          <w:kern w:val="2"/>
          <w:sz w:val="24"/>
          <w:szCs w:val="24"/>
          <w:highlight w:val="none"/>
          <w:shd w:val="clear" w:color="auto" w:fill="auto"/>
          <w:lang w:val="en-US" w:eastAsia="zh-CN" w:bidi="ar-SA"/>
        </w:rPr>
        <w:t>项目实施人员一览表格式</w:t>
      </w:r>
      <w:r>
        <w:rPr>
          <w:rFonts w:hint="eastAsia" w:hAnsi="宋体" w:cs="宋体"/>
          <w:color w:val="auto"/>
          <w:kern w:val="2"/>
          <w:sz w:val="24"/>
          <w:szCs w:val="24"/>
          <w:highlight w:val="none"/>
          <w:shd w:val="clear" w:color="auto" w:fill="auto"/>
          <w:lang w:val="en-US" w:eastAsia="zh-CN" w:bidi="ar-SA"/>
        </w:rPr>
        <w:t>：</w:t>
      </w:r>
      <w:bookmarkEnd w:id="261"/>
      <w:bookmarkEnd w:id="262"/>
    </w:p>
    <w:p w14:paraId="3B09F11B">
      <w:pPr>
        <w:snapToGrid w:val="0"/>
        <w:spacing w:before="120" w:beforeLines="50" w:after="50"/>
        <w:jc w:val="center"/>
        <w:rPr>
          <w:rFonts w:hint="eastAsia" w:ascii="宋体" w:hAnsi="宋体"/>
          <w:b/>
          <w:color w:val="auto"/>
          <w:sz w:val="21"/>
          <w:szCs w:val="21"/>
          <w:highlight w:val="none"/>
        </w:rPr>
      </w:pPr>
    </w:p>
    <w:p w14:paraId="7B73C337">
      <w:pPr>
        <w:snapToGrid w:val="0"/>
        <w:spacing w:before="120" w:beforeLines="50" w:after="50"/>
        <w:jc w:val="center"/>
        <w:rPr>
          <w:rFonts w:ascii="宋体" w:hAnsi="宋体"/>
          <w:b/>
          <w:color w:val="auto"/>
          <w:sz w:val="21"/>
          <w:szCs w:val="21"/>
          <w:highlight w:val="none"/>
        </w:rPr>
      </w:pPr>
      <w:r>
        <w:rPr>
          <w:rFonts w:hint="eastAsia" w:ascii="宋体" w:hAnsi="宋体"/>
          <w:b/>
          <w:color w:val="auto"/>
          <w:sz w:val="21"/>
          <w:szCs w:val="21"/>
          <w:highlight w:val="none"/>
        </w:rPr>
        <w:t>项目实施人员（主要从业人员及其技术资格）一览表</w:t>
      </w:r>
    </w:p>
    <w:p w14:paraId="4778B245">
      <w:pPr>
        <w:snapToGrid w:val="0"/>
        <w:spacing w:before="120" w:beforeLines="50" w:after="50" w:line="480" w:lineRule="auto"/>
        <w:rPr>
          <w:rFonts w:ascii="宋体" w:hAnsi="宋体"/>
          <w:color w:val="auto"/>
          <w:sz w:val="21"/>
          <w:szCs w:val="21"/>
          <w:highlight w:val="none"/>
        </w:rPr>
      </w:pPr>
      <w:r>
        <w:rPr>
          <w:rFonts w:hint="eastAsia" w:ascii="宋体" w:hAnsi="宋体"/>
          <w:bCs/>
          <w:color w:val="auto"/>
          <w:sz w:val="21"/>
          <w:szCs w:val="21"/>
          <w:highlight w:val="none"/>
        </w:rPr>
        <w:t>项目名称：</w:t>
      </w:r>
    </w:p>
    <w:p w14:paraId="4AA187E2">
      <w:pPr>
        <w:snapToGrid w:val="0"/>
        <w:spacing w:before="120" w:beforeLines="50" w:after="50" w:line="480" w:lineRule="auto"/>
        <w:rPr>
          <w:rFonts w:ascii="宋体" w:hAnsi="宋体"/>
          <w:bCs/>
          <w:color w:val="auto"/>
          <w:sz w:val="21"/>
          <w:szCs w:val="21"/>
          <w:highlight w:val="none"/>
        </w:rPr>
      </w:pPr>
      <w:r>
        <w:rPr>
          <w:rFonts w:hint="eastAsia" w:ascii="宋体" w:hAnsi="宋体"/>
          <w:bCs/>
          <w:color w:val="auto"/>
          <w:sz w:val="21"/>
          <w:szCs w:val="21"/>
          <w:highlight w:val="none"/>
        </w:rPr>
        <w:t>项目编号：</w:t>
      </w:r>
    </w:p>
    <w:tbl>
      <w:tblPr>
        <w:tblStyle w:val="53"/>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4A8F61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center"/>
          </w:tcPr>
          <w:p w14:paraId="1D393505">
            <w:pPr>
              <w:snapToGrid w:val="0"/>
              <w:spacing w:before="120" w:beforeLines="50" w:after="50" w:line="360" w:lineRule="auto"/>
              <w:jc w:val="center"/>
              <w:rPr>
                <w:rFonts w:ascii="宋体" w:hAnsi="宋体"/>
                <w:color w:val="auto"/>
                <w:sz w:val="21"/>
                <w:szCs w:val="21"/>
                <w:highlight w:val="none"/>
              </w:rPr>
            </w:pPr>
            <w:r>
              <w:rPr>
                <w:rFonts w:hint="eastAsia" w:ascii="宋体" w:hAnsi="宋体"/>
                <w:color w:val="auto"/>
                <w:sz w:val="21"/>
                <w:szCs w:val="21"/>
                <w:highlight w:val="none"/>
              </w:rPr>
              <w:t>序号</w:t>
            </w:r>
          </w:p>
        </w:tc>
        <w:tc>
          <w:tcPr>
            <w:tcW w:w="1560" w:type="dxa"/>
            <w:tcBorders>
              <w:top w:val="single" w:color="auto" w:sz="4" w:space="0"/>
              <w:left w:val="single" w:color="auto" w:sz="4" w:space="0"/>
              <w:bottom w:val="single" w:color="auto" w:sz="4" w:space="0"/>
              <w:right w:val="single" w:color="auto" w:sz="4" w:space="0"/>
            </w:tcBorders>
            <w:noWrap w:val="0"/>
            <w:vAlign w:val="center"/>
          </w:tcPr>
          <w:p w14:paraId="46FCC3B0">
            <w:pPr>
              <w:snapToGrid w:val="0"/>
              <w:spacing w:before="120" w:beforeLines="50" w:after="50" w:line="360" w:lineRule="auto"/>
              <w:jc w:val="center"/>
              <w:rPr>
                <w:rFonts w:ascii="宋体" w:hAnsi="宋体"/>
                <w:color w:val="auto"/>
                <w:sz w:val="21"/>
                <w:szCs w:val="21"/>
                <w:highlight w:val="none"/>
              </w:rPr>
            </w:pPr>
            <w:r>
              <w:rPr>
                <w:rFonts w:hint="eastAsia" w:ascii="宋体" w:hAnsi="宋体"/>
                <w:color w:val="auto"/>
                <w:sz w:val="21"/>
                <w:szCs w:val="21"/>
                <w:highlight w:val="none"/>
              </w:rPr>
              <w:t>姓名</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72F1FF5D">
            <w:pPr>
              <w:snapToGrid w:val="0"/>
              <w:spacing w:before="120" w:beforeLines="50" w:after="50" w:line="360" w:lineRule="auto"/>
              <w:jc w:val="center"/>
              <w:rPr>
                <w:rFonts w:ascii="宋体" w:hAnsi="宋体"/>
                <w:color w:val="auto"/>
                <w:sz w:val="21"/>
                <w:szCs w:val="21"/>
                <w:highlight w:val="none"/>
              </w:rPr>
            </w:pPr>
            <w:r>
              <w:rPr>
                <w:rFonts w:hint="eastAsia" w:ascii="宋体" w:hAnsi="宋体"/>
                <w:color w:val="auto"/>
                <w:sz w:val="21"/>
                <w:szCs w:val="21"/>
                <w:highlight w:val="none"/>
              </w:rPr>
              <w:t>职务</w:t>
            </w:r>
          </w:p>
        </w:tc>
        <w:tc>
          <w:tcPr>
            <w:tcW w:w="1842" w:type="dxa"/>
            <w:tcBorders>
              <w:top w:val="single" w:color="auto" w:sz="4" w:space="0"/>
              <w:left w:val="single" w:color="auto" w:sz="4" w:space="0"/>
              <w:bottom w:val="single" w:color="auto" w:sz="4" w:space="0"/>
              <w:right w:val="single" w:color="auto" w:sz="4" w:space="0"/>
            </w:tcBorders>
            <w:noWrap w:val="0"/>
            <w:vAlign w:val="center"/>
          </w:tcPr>
          <w:p w14:paraId="3A5CCA61">
            <w:pPr>
              <w:snapToGrid w:val="0"/>
              <w:spacing w:before="120" w:beforeLines="50" w:after="50" w:line="360" w:lineRule="auto"/>
              <w:jc w:val="center"/>
              <w:rPr>
                <w:rFonts w:ascii="宋体" w:hAnsi="宋体"/>
                <w:color w:val="auto"/>
                <w:sz w:val="21"/>
                <w:szCs w:val="21"/>
                <w:highlight w:val="none"/>
              </w:rPr>
            </w:pPr>
            <w:r>
              <w:rPr>
                <w:rFonts w:hint="eastAsia" w:ascii="宋体" w:hAnsi="宋体"/>
                <w:color w:val="auto"/>
                <w:sz w:val="21"/>
                <w:szCs w:val="21"/>
                <w:highlight w:val="none"/>
              </w:rPr>
              <w:t>专业技术资格</w:t>
            </w:r>
          </w:p>
        </w:tc>
        <w:tc>
          <w:tcPr>
            <w:tcW w:w="1560" w:type="dxa"/>
            <w:tcBorders>
              <w:top w:val="single" w:color="auto" w:sz="4" w:space="0"/>
              <w:left w:val="single" w:color="auto" w:sz="4" w:space="0"/>
              <w:bottom w:val="single" w:color="auto" w:sz="4" w:space="0"/>
              <w:right w:val="single" w:color="auto" w:sz="4" w:space="0"/>
            </w:tcBorders>
            <w:noWrap w:val="0"/>
            <w:vAlign w:val="center"/>
          </w:tcPr>
          <w:p w14:paraId="71AB834E">
            <w:pPr>
              <w:snapToGrid w:val="0"/>
              <w:spacing w:before="120" w:beforeLines="50" w:after="50" w:line="360" w:lineRule="auto"/>
              <w:jc w:val="center"/>
              <w:rPr>
                <w:rFonts w:ascii="宋体" w:hAnsi="宋体"/>
                <w:color w:val="auto"/>
                <w:sz w:val="21"/>
                <w:szCs w:val="21"/>
                <w:highlight w:val="none"/>
              </w:rPr>
            </w:pPr>
            <w:r>
              <w:rPr>
                <w:rFonts w:hint="eastAsia" w:ascii="宋体" w:hAnsi="宋体"/>
                <w:color w:val="auto"/>
                <w:sz w:val="21"/>
                <w:szCs w:val="21"/>
                <w:highlight w:val="none"/>
              </w:rPr>
              <w:t>证书编号</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4446B105">
            <w:pPr>
              <w:snapToGrid w:val="0"/>
              <w:spacing w:before="120" w:beforeLines="50" w:after="50" w:line="360" w:lineRule="auto"/>
              <w:jc w:val="center"/>
              <w:rPr>
                <w:rFonts w:ascii="宋体" w:hAnsi="宋体"/>
                <w:bCs/>
                <w:color w:val="auto"/>
                <w:sz w:val="21"/>
                <w:szCs w:val="21"/>
                <w:highlight w:val="none"/>
              </w:rPr>
            </w:pPr>
            <w:r>
              <w:rPr>
                <w:rFonts w:hint="eastAsia" w:ascii="宋体" w:hAnsi="宋体"/>
                <w:bCs/>
                <w:color w:val="auto"/>
                <w:sz w:val="21"/>
                <w:szCs w:val="21"/>
                <w:highlight w:val="none"/>
              </w:rPr>
              <w:t>进入本单位工作开始时间</w:t>
            </w:r>
          </w:p>
        </w:tc>
      </w:tr>
      <w:tr w14:paraId="240837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73524BBA">
            <w:pPr>
              <w:snapToGrid w:val="0"/>
              <w:spacing w:before="120" w:beforeLines="50" w:after="50" w:line="360" w:lineRule="auto"/>
              <w:rPr>
                <w:rFonts w:ascii="宋体" w:hAnsi="宋体"/>
                <w:color w:val="auto"/>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14810176">
            <w:pPr>
              <w:snapToGrid w:val="0"/>
              <w:spacing w:before="120" w:beforeLines="50" w:after="50" w:line="360" w:lineRule="auto"/>
              <w:rPr>
                <w:rFonts w:ascii="宋体" w:hAnsi="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5859B0B4">
            <w:pPr>
              <w:snapToGrid w:val="0"/>
              <w:spacing w:before="120" w:beforeLines="50" w:after="50" w:line="360" w:lineRule="auto"/>
              <w:rPr>
                <w:rFonts w:ascii="宋体" w:hAnsi="宋体"/>
                <w:color w:val="auto"/>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57FC3E33">
            <w:pPr>
              <w:snapToGrid w:val="0"/>
              <w:spacing w:before="120" w:beforeLines="50" w:after="50" w:line="360" w:lineRule="auto"/>
              <w:rPr>
                <w:rFonts w:ascii="宋体" w:hAnsi="宋体"/>
                <w:color w:val="auto"/>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2B9E5DA5">
            <w:pPr>
              <w:snapToGrid w:val="0"/>
              <w:spacing w:before="120" w:beforeLines="50" w:after="50" w:line="360" w:lineRule="auto"/>
              <w:rPr>
                <w:rFonts w:ascii="宋体" w:hAnsi="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2F833173">
            <w:pPr>
              <w:snapToGrid w:val="0"/>
              <w:spacing w:before="120" w:beforeLines="50" w:after="50" w:line="360" w:lineRule="auto"/>
              <w:rPr>
                <w:rFonts w:ascii="宋体" w:hAnsi="宋体"/>
                <w:color w:val="auto"/>
                <w:sz w:val="21"/>
                <w:szCs w:val="21"/>
                <w:highlight w:val="none"/>
              </w:rPr>
            </w:pPr>
          </w:p>
        </w:tc>
      </w:tr>
      <w:tr w14:paraId="1A254E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1AEB0A22">
            <w:pPr>
              <w:snapToGrid w:val="0"/>
              <w:spacing w:before="120" w:beforeLines="50" w:after="50" w:line="360" w:lineRule="auto"/>
              <w:rPr>
                <w:rFonts w:ascii="宋体" w:hAnsi="宋体"/>
                <w:color w:val="auto"/>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4DA7B9A8">
            <w:pPr>
              <w:snapToGrid w:val="0"/>
              <w:spacing w:before="120" w:beforeLines="50" w:after="50" w:line="360" w:lineRule="auto"/>
              <w:rPr>
                <w:rFonts w:ascii="宋体" w:hAnsi="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23885487">
            <w:pPr>
              <w:snapToGrid w:val="0"/>
              <w:spacing w:before="120" w:beforeLines="50" w:after="50" w:line="360" w:lineRule="auto"/>
              <w:rPr>
                <w:rFonts w:ascii="宋体" w:hAnsi="宋体"/>
                <w:color w:val="auto"/>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26547E46">
            <w:pPr>
              <w:snapToGrid w:val="0"/>
              <w:spacing w:before="120" w:beforeLines="50" w:after="50" w:line="360" w:lineRule="auto"/>
              <w:rPr>
                <w:rFonts w:ascii="宋体" w:hAnsi="宋体"/>
                <w:color w:val="auto"/>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2FB0C601">
            <w:pPr>
              <w:snapToGrid w:val="0"/>
              <w:spacing w:before="120" w:beforeLines="50" w:after="50" w:line="360" w:lineRule="auto"/>
              <w:rPr>
                <w:rFonts w:ascii="宋体" w:hAnsi="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1F4F0484">
            <w:pPr>
              <w:snapToGrid w:val="0"/>
              <w:spacing w:before="120" w:beforeLines="50" w:after="50" w:line="360" w:lineRule="auto"/>
              <w:rPr>
                <w:rFonts w:ascii="宋体" w:hAnsi="宋体"/>
                <w:color w:val="auto"/>
                <w:sz w:val="21"/>
                <w:szCs w:val="21"/>
                <w:highlight w:val="none"/>
              </w:rPr>
            </w:pPr>
          </w:p>
        </w:tc>
      </w:tr>
      <w:tr w14:paraId="47FD03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5585296F">
            <w:pPr>
              <w:snapToGrid w:val="0"/>
              <w:spacing w:before="120" w:beforeLines="50" w:after="50" w:line="360" w:lineRule="auto"/>
              <w:rPr>
                <w:rFonts w:ascii="宋体" w:hAnsi="宋体"/>
                <w:color w:val="auto"/>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62F6A34D">
            <w:pPr>
              <w:snapToGrid w:val="0"/>
              <w:spacing w:before="120" w:beforeLines="50" w:after="50" w:line="360" w:lineRule="auto"/>
              <w:rPr>
                <w:rFonts w:ascii="宋体" w:hAnsi="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414C733C">
            <w:pPr>
              <w:snapToGrid w:val="0"/>
              <w:spacing w:before="120" w:beforeLines="50" w:after="50" w:line="360" w:lineRule="auto"/>
              <w:rPr>
                <w:rFonts w:ascii="宋体" w:hAnsi="宋体"/>
                <w:color w:val="auto"/>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466D4228">
            <w:pPr>
              <w:pStyle w:val="31"/>
              <w:snapToGrid w:val="0"/>
              <w:spacing w:before="120" w:beforeLines="50" w:after="50" w:line="360" w:lineRule="auto"/>
              <w:ind w:left="5250"/>
              <w:rPr>
                <w:rFonts w:ascii="宋体" w:hAnsi="宋体" w:eastAsia="宋体"/>
                <w:color w:val="auto"/>
                <w:kern w:val="2"/>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25E70864">
            <w:pPr>
              <w:snapToGrid w:val="0"/>
              <w:spacing w:before="120" w:beforeLines="50" w:after="50" w:line="360" w:lineRule="auto"/>
              <w:rPr>
                <w:rFonts w:ascii="宋体" w:hAnsi="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38E57A7D">
            <w:pPr>
              <w:snapToGrid w:val="0"/>
              <w:spacing w:before="120" w:beforeLines="50" w:after="50" w:line="360" w:lineRule="auto"/>
              <w:rPr>
                <w:rFonts w:ascii="宋体" w:hAnsi="宋体"/>
                <w:color w:val="auto"/>
                <w:sz w:val="21"/>
                <w:szCs w:val="21"/>
                <w:highlight w:val="none"/>
              </w:rPr>
            </w:pPr>
          </w:p>
        </w:tc>
      </w:tr>
      <w:tr w14:paraId="244F30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2AD71627">
            <w:pPr>
              <w:snapToGrid w:val="0"/>
              <w:spacing w:before="120" w:beforeLines="50" w:after="50" w:line="360" w:lineRule="auto"/>
              <w:rPr>
                <w:rFonts w:ascii="宋体" w:hAnsi="宋体"/>
                <w:color w:val="auto"/>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5EF18961">
            <w:pPr>
              <w:snapToGrid w:val="0"/>
              <w:spacing w:before="120" w:beforeLines="50" w:after="50" w:line="360" w:lineRule="auto"/>
              <w:rPr>
                <w:rFonts w:ascii="宋体" w:hAnsi="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3B30FEA2">
            <w:pPr>
              <w:snapToGrid w:val="0"/>
              <w:spacing w:before="120" w:beforeLines="50" w:after="50" w:line="360" w:lineRule="auto"/>
              <w:rPr>
                <w:rFonts w:ascii="宋体" w:hAnsi="宋体"/>
                <w:color w:val="auto"/>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54842BD1">
            <w:pPr>
              <w:snapToGrid w:val="0"/>
              <w:spacing w:before="120" w:beforeLines="50" w:after="50" w:line="360" w:lineRule="auto"/>
              <w:rPr>
                <w:rFonts w:ascii="宋体" w:hAnsi="宋体"/>
                <w:color w:val="auto"/>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2E4274DF">
            <w:pPr>
              <w:snapToGrid w:val="0"/>
              <w:spacing w:before="120" w:beforeLines="50" w:after="50" w:line="360" w:lineRule="auto"/>
              <w:rPr>
                <w:rFonts w:ascii="宋体" w:hAnsi="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34AEDA6A">
            <w:pPr>
              <w:snapToGrid w:val="0"/>
              <w:spacing w:before="120" w:beforeLines="50" w:after="50" w:line="360" w:lineRule="auto"/>
              <w:rPr>
                <w:rFonts w:ascii="宋体" w:hAnsi="宋体"/>
                <w:color w:val="auto"/>
                <w:sz w:val="21"/>
                <w:szCs w:val="21"/>
                <w:highlight w:val="none"/>
              </w:rPr>
            </w:pPr>
          </w:p>
        </w:tc>
      </w:tr>
      <w:tr w14:paraId="38FAD7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34295716">
            <w:pPr>
              <w:snapToGrid w:val="0"/>
              <w:spacing w:before="120" w:beforeLines="50" w:after="50" w:line="360" w:lineRule="auto"/>
              <w:rPr>
                <w:rFonts w:ascii="宋体" w:hAnsi="宋体"/>
                <w:color w:val="auto"/>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6031FBE6">
            <w:pPr>
              <w:snapToGrid w:val="0"/>
              <w:spacing w:before="120" w:beforeLines="50" w:after="50" w:line="360" w:lineRule="auto"/>
              <w:rPr>
                <w:rFonts w:ascii="宋体" w:hAnsi="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30FCD39F">
            <w:pPr>
              <w:snapToGrid w:val="0"/>
              <w:spacing w:before="120" w:beforeLines="50" w:after="50" w:line="360" w:lineRule="auto"/>
              <w:rPr>
                <w:rFonts w:ascii="宋体" w:hAnsi="宋体"/>
                <w:color w:val="auto"/>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5950B448">
            <w:pPr>
              <w:snapToGrid w:val="0"/>
              <w:spacing w:before="120" w:beforeLines="50" w:after="50" w:line="360" w:lineRule="auto"/>
              <w:rPr>
                <w:rFonts w:ascii="宋体" w:hAnsi="宋体"/>
                <w:color w:val="auto"/>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02740866">
            <w:pPr>
              <w:snapToGrid w:val="0"/>
              <w:spacing w:before="120" w:beforeLines="50" w:after="50" w:line="360" w:lineRule="auto"/>
              <w:rPr>
                <w:rFonts w:ascii="宋体" w:hAnsi="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74F32D96">
            <w:pPr>
              <w:snapToGrid w:val="0"/>
              <w:spacing w:before="120" w:beforeLines="50" w:after="50" w:line="360" w:lineRule="auto"/>
              <w:rPr>
                <w:rFonts w:ascii="宋体" w:hAnsi="宋体"/>
                <w:color w:val="auto"/>
                <w:sz w:val="21"/>
                <w:szCs w:val="21"/>
                <w:highlight w:val="none"/>
              </w:rPr>
            </w:pPr>
          </w:p>
        </w:tc>
      </w:tr>
      <w:tr w14:paraId="7085B6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0C5D6A09">
            <w:pPr>
              <w:snapToGrid w:val="0"/>
              <w:spacing w:before="120" w:beforeLines="50" w:after="50" w:line="360" w:lineRule="auto"/>
              <w:rPr>
                <w:rFonts w:ascii="宋体" w:hAnsi="宋体"/>
                <w:color w:val="auto"/>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60C87055">
            <w:pPr>
              <w:snapToGrid w:val="0"/>
              <w:spacing w:before="120" w:beforeLines="50" w:after="50" w:line="360" w:lineRule="auto"/>
              <w:rPr>
                <w:rFonts w:ascii="宋体" w:hAnsi="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76100061">
            <w:pPr>
              <w:snapToGrid w:val="0"/>
              <w:spacing w:before="120" w:beforeLines="50" w:after="50" w:line="360" w:lineRule="auto"/>
              <w:rPr>
                <w:rFonts w:ascii="宋体" w:hAnsi="宋体"/>
                <w:color w:val="auto"/>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0EED2283">
            <w:pPr>
              <w:snapToGrid w:val="0"/>
              <w:spacing w:before="120" w:beforeLines="50" w:after="50" w:line="360" w:lineRule="auto"/>
              <w:rPr>
                <w:rFonts w:ascii="宋体" w:hAnsi="宋体"/>
                <w:color w:val="auto"/>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5A0FA789">
            <w:pPr>
              <w:snapToGrid w:val="0"/>
              <w:spacing w:before="120" w:beforeLines="50" w:after="50" w:line="360" w:lineRule="auto"/>
              <w:rPr>
                <w:rFonts w:ascii="宋体" w:hAnsi="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591AFB03">
            <w:pPr>
              <w:snapToGrid w:val="0"/>
              <w:spacing w:before="120" w:beforeLines="50" w:after="50" w:line="360" w:lineRule="auto"/>
              <w:rPr>
                <w:rFonts w:ascii="宋体" w:hAnsi="宋体"/>
                <w:color w:val="auto"/>
                <w:sz w:val="21"/>
                <w:szCs w:val="21"/>
                <w:highlight w:val="none"/>
              </w:rPr>
            </w:pPr>
          </w:p>
        </w:tc>
      </w:tr>
      <w:tr w14:paraId="66ABA7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3DB7342B">
            <w:pPr>
              <w:snapToGrid w:val="0"/>
              <w:spacing w:before="120" w:beforeLines="50" w:after="50" w:line="360" w:lineRule="auto"/>
              <w:rPr>
                <w:rFonts w:ascii="宋体" w:hAnsi="宋体"/>
                <w:color w:val="auto"/>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1A027F68">
            <w:pPr>
              <w:snapToGrid w:val="0"/>
              <w:spacing w:before="120" w:beforeLines="50" w:after="50" w:line="360" w:lineRule="auto"/>
              <w:rPr>
                <w:rFonts w:ascii="宋体" w:hAnsi="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646D6038">
            <w:pPr>
              <w:snapToGrid w:val="0"/>
              <w:spacing w:before="120" w:beforeLines="50" w:after="50" w:line="360" w:lineRule="auto"/>
              <w:rPr>
                <w:rFonts w:ascii="宋体" w:hAnsi="宋体"/>
                <w:color w:val="auto"/>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1480970A">
            <w:pPr>
              <w:snapToGrid w:val="0"/>
              <w:spacing w:before="120" w:beforeLines="50" w:after="50" w:line="360" w:lineRule="auto"/>
              <w:rPr>
                <w:rFonts w:ascii="宋体" w:hAnsi="宋体"/>
                <w:color w:val="auto"/>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571CCAF3">
            <w:pPr>
              <w:snapToGrid w:val="0"/>
              <w:spacing w:before="120" w:beforeLines="50" w:after="50" w:line="360" w:lineRule="auto"/>
              <w:rPr>
                <w:rFonts w:ascii="宋体" w:hAnsi="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153C4D5F">
            <w:pPr>
              <w:snapToGrid w:val="0"/>
              <w:spacing w:before="120" w:beforeLines="50" w:after="50" w:line="360" w:lineRule="auto"/>
              <w:rPr>
                <w:rFonts w:ascii="宋体" w:hAnsi="宋体"/>
                <w:color w:val="auto"/>
                <w:sz w:val="21"/>
                <w:szCs w:val="21"/>
                <w:highlight w:val="none"/>
              </w:rPr>
            </w:pPr>
          </w:p>
        </w:tc>
      </w:tr>
      <w:tr w14:paraId="07E250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7FBEA8E3">
            <w:pPr>
              <w:snapToGrid w:val="0"/>
              <w:spacing w:before="120" w:beforeLines="50" w:after="50" w:line="360" w:lineRule="auto"/>
              <w:rPr>
                <w:rFonts w:ascii="宋体" w:hAnsi="宋体"/>
                <w:color w:val="auto"/>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1F70B5A4">
            <w:pPr>
              <w:snapToGrid w:val="0"/>
              <w:spacing w:before="120" w:beforeLines="50" w:after="50" w:line="360" w:lineRule="auto"/>
              <w:rPr>
                <w:rFonts w:ascii="宋体" w:hAnsi="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52BB84F2">
            <w:pPr>
              <w:snapToGrid w:val="0"/>
              <w:spacing w:before="120" w:beforeLines="50" w:after="50" w:line="360" w:lineRule="auto"/>
              <w:rPr>
                <w:rFonts w:ascii="宋体" w:hAnsi="宋体"/>
                <w:color w:val="auto"/>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1408788B">
            <w:pPr>
              <w:snapToGrid w:val="0"/>
              <w:spacing w:before="120" w:beforeLines="50" w:after="50" w:line="360" w:lineRule="auto"/>
              <w:rPr>
                <w:rFonts w:ascii="宋体" w:hAnsi="宋体"/>
                <w:color w:val="auto"/>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10C864FB">
            <w:pPr>
              <w:snapToGrid w:val="0"/>
              <w:spacing w:before="120" w:beforeLines="50" w:after="50" w:line="360" w:lineRule="auto"/>
              <w:rPr>
                <w:rFonts w:ascii="宋体" w:hAnsi="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1E5D7B2E">
            <w:pPr>
              <w:snapToGrid w:val="0"/>
              <w:spacing w:before="120" w:beforeLines="50" w:after="50" w:line="360" w:lineRule="auto"/>
              <w:rPr>
                <w:rFonts w:ascii="宋体" w:hAnsi="宋体"/>
                <w:color w:val="auto"/>
                <w:sz w:val="21"/>
                <w:szCs w:val="21"/>
                <w:highlight w:val="none"/>
              </w:rPr>
            </w:pPr>
          </w:p>
        </w:tc>
      </w:tr>
      <w:tr w14:paraId="475D1D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2D9E15BB">
            <w:pPr>
              <w:snapToGrid w:val="0"/>
              <w:spacing w:before="120" w:beforeLines="50" w:after="50" w:line="360" w:lineRule="auto"/>
              <w:rPr>
                <w:rFonts w:ascii="宋体" w:hAnsi="宋体"/>
                <w:color w:val="auto"/>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3A3AAC9A">
            <w:pPr>
              <w:snapToGrid w:val="0"/>
              <w:spacing w:before="120" w:beforeLines="50" w:after="50" w:line="360" w:lineRule="auto"/>
              <w:rPr>
                <w:rFonts w:ascii="宋体" w:hAnsi="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6F9E2199">
            <w:pPr>
              <w:snapToGrid w:val="0"/>
              <w:spacing w:before="120" w:beforeLines="50" w:after="50" w:line="360" w:lineRule="auto"/>
              <w:rPr>
                <w:rFonts w:ascii="宋体" w:hAnsi="宋体"/>
                <w:color w:val="auto"/>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28768895">
            <w:pPr>
              <w:snapToGrid w:val="0"/>
              <w:spacing w:before="120" w:beforeLines="50" w:after="50" w:line="360" w:lineRule="auto"/>
              <w:rPr>
                <w:rFonts w:ascii="宋体" w:hAnsi="宋体"/>
                <w:color w:val="auto"/>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224CBC46">
            <w:pPr>
              <w:snapToGrid w:val="0"/>
              <w:spacing w:before="120" w:beforeLines="50" w:after="50" w:line="360" w:lineRule="auto"/>
              <w:rPr>
                <w:rFonts w:ascii="宋体" w:hAnsi="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1275172A">
            <w:pPr>
              <w:snapToGrid w:val="0"/>
              <w:spacing w:before="120" w:beforeLines="50" w:after="50" w:line="360" w:lineRule="auto"/>
              <w:rPr>
                <w:rFonts w:ascii="宋体" w:hAnsi="宋体"/>
                <w:color w:val="auto"/>
                <w:sz w:val="21"/>
                <w:szCs w:val="21"/>
                <w:highlight w:val="none"/>
              </w:rPr>
            </w:pPr>
          </w:p>
        </w:tc>
      </w:tr>
    </w:tbl>
    <w:p w14:paraId="05856B62">
      <w:pPr>
        <w:snapToGrid w:val="0"/>
        <w:spacing w:before="120" w:beforeLines="50" w:after="50" w:line="480" w:lineRule="auto"/>
        <w:rPr>
          <w:rFonts w:ascii="宋体" w:hAnsi="宋体"/>
          <w:bCs/>
          <w:color w:val="auto"/>
          <w:sz w:val="21"/>
          <w:szCs w:val="21"/>
          <w:highlight w:val="none"/>
        </w:rPr>
      </w:pPr>
    </w:p>
    <w:p w14:paraId="3824EBBC">
      <w:pPr>
        <w:pStyle w:val="30"/>
        <w:snapToGrid w:val="0"/>
        <w:spacing w:beforeLines="0" w:afterLines="0" w:line="240" w:lineRule="auto"/>
        <w:rPr>
          <w:rFonts w:hint="eastAsia" w:ascii="宋体" w:hAnsi="宋体"/>
          <w:b/>
          <w:bCs/>
          <w:color w:val="auto"/>
          <w:sz w:val="21"/>
          <w:szCs w:val="21"/>
          <w:highlight w:val="none"/>
        </w:rPr>
      </w:pPr>
      <w:r>
        <w:rPr>
          <w:rFonts w:hint="eastAsia" w:ascii="宋体" w:hAnsi="宋体"/>
          <w:b/>
          <w:bCs/>
          <w:color w:val="auto"/>
          <w:sz w:val="21"/>
          <w:szCs w:val="21"/>
          <w:highlight w:val="none"/>
        </w:rPr>
        <w:t>注：在填写时，如本表格不适合投标人的实际情况，可根据本表格式自行划表填写。</w:t>
      </w:r>
    </w:p>
    <w:p w14:paraId="67CC2919">
      <w:pPr>
        <w:pStyle w:val="31"/>
        <w:rPr>
          <w:rFonts w:hint="eastAsia" w:ascii="宋体" w:hAnsi="宋体"/>
          <w:b/>
          <w:bCs/>
          <w:color w:val="auto"/>
          <w:sz w:val="21"/>
          <w:szCs w:val="21"/>
          <w:highlight w:val="none"/>
        </w:rPr>
      </w:pPr>
    </w:p>
    <w:p w14:paraId="09194D48">
      <w:pPr>
        <w:rPr>
          <w:rFonts w:hint="eastAsia" w:ascii="宋体" w:hAnsi="宋体"/>
          <w:b/>
          <w:bCs/>
          <w:color w:val="auto"/>
          <w:sz w:val="21"/>
          <w:szCs w:val="21"/>
          <w:highlight w:val="none"/>
        </w:rPr>
      </w:pPr>
    </w:p>
    <w:p w14:paraId="73EB591B">
      <w:pPr>
        <w:pStyle w:val="30"/>
        <w:rPr>
          <w:rFonts w:hint="eastAsia" w:ascii="宋体" w:hAnsi="宋体"/>
          <w:b/>
          <w:bCs/>
          <w:color w:val="auto"/>
          <w:sz w:val="21"/>
          <w:szCs w:val="21"/>
          <w:highlight w:val="none"/>
        </w:rPr>
      </w:pPr>
    </w:p>
    <w:p w14:paraId="37690425">
      <w:pPr>
        <w:snapToGrid w:val="0"/>
        <w:spacing w:before="50" w:after="120" w:afterLines="50"/>
        <w:jc w:val="left"/>
        <w:rPr>
          <w:rFonts w:ascii="宋体" w:hAnsi="宋体"/>
          <w:color w:val="auto"/>
          <w:spacing w:val="20"/>
          <w:sz w:val="24"/>
          <w:highlight w:val="none"/>
        </w:rPr>
      </w:pPr>
      <w:r>
        <w:rPr>
          <w:rFonts w:hint="eastAsia" w:ascii="宋体" w:hAnsi="宋体"/>
          <w:color w:val="auto"/>
          <w:spacing w:val="20"/>
          <w:sz w:val="24"/>
          <w:highlight w:val="none"/>
        </w:rPr>
        <w:t>法定代表人签字（或盖章）：            投标人（盖章）：</w:t>
      </w:r>
    </w:p>
    <w:p w14:paraId="579C3677">
      <w:pPr>
        <w:snapToGrid w:val="0"/>
        <w:spacing w:before="50" w:after="120" w:afterLines="50"/>
        <w:jc w:val="left"/>
        <w:rPr>
          <w:rFonts w:ascii="宋体" w:hAnsi="宋体"/>
          <w:color w:val="auto"/>
          <w:sz w:val="24"/>
          <w:highlight w:val="none"/>
        </w:rPr>
      </w:pPr>
      <w:r>
        <w:rPr>
          <w:rFonts w:hint="eastAsia" w:ascii="宋体" w:hAnsi="宋体"/>
          <w:color w:val="auto"/>
          <w:sz w:val="24"/>
          <w:szCs w:val="20"/>
          <w:highlight w:val="none"/>
        </w:rPr>
        <w:t>日期：</w:t>
      </w:r>
    </w:p>
    <w:p w14:paraId="5ECC6CA6">
      <w:pPr>
        <w:pStyle w:val="31"/>
        <w:rPr>
          <w:rFonts w:hint="eastAsia"/>
          <w:color w:val="auto"/>
          <w:highlight w:val="none"/>
        </w:rPr>
        <w:sectPr>
          <w:pgSz w:w="11906" w:h="16838"/>
          <w:pgMar w:top="1361" w:right="1361" w:bottom="1361" w:left="1361" w:header="567" w:footer="454" w:gutter="0"/>
          <w:pgNumType w:fmt="decimal"/>
          <w:cols w:space="720" w:num="1"/>
          <w:rtlGutter w:val="0"/>
          <w:docGrid w:linePitch="286" w:charSpace="0"/>
        </w:sectPr>
      </w:pPr>
    </w:p>
    <w:p w14:paraId="4BBD98EE">
      <w:pPr>
        <w:snapToGrid w:val="0"/>
        <w:spacing w:before="50" w:after="120" w:afterLines="50"/>
        <w:ind w:firstLine="360" w:firstLineChars="150"/>
        <w:jc w:val="left"/>
        <w:outlineLvl w:val="1"/>
        <w:rPr>
          <w:rFonts w:hint="eastAsia" w:ascii="宋体" w:hAnsi="宋体" w:eastAsia="宋体" w:cs="宋体"/>
          <w:color w:val="auto"/>
          <w:sz w:val="24"/>
          <w:highlight w:val="none"/>
          <w:shd w:val="clear" w:color="auto" w:fill="auto"/>
        </w:rPr>
      </w:pPr>
      <w:bookmarkStart w:id="263" w:name="_Toc8696"/>
      <w:bookmarkStart w:id="264" w:name="_Toc569"/>
      <w:r>
        <w:rPr>
          <w:rFonts w:hint="eastAsia" w:ascii="宋体" w:hAnsi="宋体" w:cs="宋体"/>
          <w:color w:val="auto"/>
          <w:sz w:val="24"/>
          <w:highlight w:val="none"/>
          <w:shd w:val="clear" w:color="auto" w:fill="auto"/>
          <w:lang w:val="en-US" w:eastAsia="zh-CN"/>
        </w:rPr>
        <w:t>9</w:t>
      </w:r>
      <w:r>
        <w:rPr>
          <w:rFonts w:hint="eastAsia" w:ascii="宋体" w:hAnsi="宋体" w:eastAsia="宋体" w:cs="宋体"/>
          <w:color w:val="auto"/>
          <w:sz w:val="24"/>
          <w:highlight w:val="none"/>
          <w:shd w:val="clear" w:color="auto" w:fill="auto"/>
        </w:rPr>
        <w:t>.投标人类似合同案例一览表</w:t>
      </w:r>
      <w:r>
        <w:rPr>
          <w:rFonts w:hint="eastAsia" w:ascii="宋体" w:hAnsi="宋体" w:cs="宋体"/>
          <w:color w:val="auto"/>
          <w:sz w:val="24"/>
          <w:highlight w:val="none"/>
          <w:shd w:val="clear" w:color="auto" w:fill="auto"/>
          <w:lang w:val="en-US" w:eastAsia="zh-CN"/>
        </w:rPr>
        <w:t>格式</w:t>
      </w:r>
      <w:r>
        <w:rPr>
          <w:rFonts w:hint="eastAsia" w:ascii="宋体" w:hAnsi="宋体" w:eastAsia="宋体" w:cs="宋体"/>
          <w:color w:val="auto"/>
          <w:sz w:val="24"/>
          <w:highlight w:val="none"/>
          <w:shd w:val="clear" w:color="auto" w:fill="auto"/>
        </w:rPr>
        <w:t>：</w:t>
      </w:r>
      <w:bookmarkEnd w:id="263"/>
      <w:bookmarkEnd w:id="264"/>
    </w:p>
    <w:p w14:paraId="1F6D5DF3">
      <w:pPr>
        <w:snapToGrid w:val="0"/>
        <w:spacing w:before="50" w:after="120" w:afterLines="50"/>
        <w:jc w:val="center"/>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投标人类似合同案例一览表</w:t>
      </w:r>
    </w:p>
    <w:p w14:paraId="2A8581B8">
      <w:pPr>
        <w:snapToGrid w:val="0"/>
        <w:spacing w:before="120" w:beforeLines="50" w:after="50" w:line="480" w:lineRule="auto"/>
        <w:ind w:firstLine="1068" w:firstLineChars="445"/>
        <w:rPr>
          <w:rFonts w:hint="eastAsia" w:ascii="宋体" w:hAnsi="宋体" w:eastAsia="宋体" w:cs="宋体"/>
          <w:bCs/>
          <w:color w:val="auto"/>
          <w:sz w:val="24"/>
          <w:highlight w:val="none"/>
          <w:shd w:val="clear" w:color="auto" w:fill="auto"/>
        </w:rPr>
      </w:pPr>
    </w:p>
    <w:p w14:paraId="6017844E">
      <w:pPr>
        <w:snapToGrid w:val="0"/>
        <w:spacing w:before="120" w:beforeLines="50" w:after="50" w:line="480" w:lineRule="auto"/>
        <w:ind w:firstLine="1068" w:firstLineChars="445"/>
        <w:rPr>
          <w:rFonts w:hint="eastAsia" w:ascii="宋体" w:hAnsi="宋体" w:eastAsia="宋体" w:cs="宋体"/>
          <w:bCs/>
          <w:color w:val="auto"/>
          <w:sz w:val="24"/>
          <w:szCs w:val="20"/>
          <w:highlight w:val="none"/>
          <w:shd w:val="clear" w:color="auto" w:fill="auto"/>
        </w:rPr>
      </w:pPr>
      <w:r>
        <w:rPr>
          <w:rFonts w:hint="eastAsia" w:ascii="宋体" w:hAnsi="宋体" w:eastAsia="宋体" w:cs="宋体"/>
          <w:bCs/>
          <w:color w:val="auto"/>
          <w:sz w:val="24"/>
          <w:highlight w:val="none"/>
          <w:shd w:val="clear" w:color="auto" w:fill="auto"/>
        </w:rPr>
        <w:t xml:space="preserve">项目名称：                                            </w:t>
      </w:r>
      <w:r>
        <w:rPr>
          <w:rFonts w:hint="eastAsia" w:ascii="宋体" w:hAnsi="宋体" w:eastAsia="宋体" w:cs="宋体"/>
          <w:color w:val="auto"/>
          <w:sz w:val="24"/>
          <w:highlight w:val="none"/>
          <w:shd w:val="clear" w:color="auto" w:fill="auto"/>
        </w:rPr>
        <w:t>项目编号：</w:t>
      </w:r>
    </w:p>
    <w:tbl>
      <w:tblPr>
        <w:tblStyle w:val="53"/>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049D42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noWrap w:val="0"/>
            <w:vAlign w:val="center"/>
          </w:tcPr>
          <w:p w14:paraId="4C9502BD">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招标人名称</w:t>
            </w:r>
          </w:p>
        </w:tc>
        <w:tc>
          <w:tcPr>
            <w:tcW w:w="2835" w:type="dxa"/>
            <w:tcBorders>
              <w:top w:val="single" w:color="auto" w:sz="4" w:space="0"/>
              <w:left w:val="single" w:color="auto" w:sz="4" w:space="0"/>
              <w:bottom w:val="single" w:color="auto" w:sz="4" w:space="0"/>
              <w:right w:val="single" w:color="auto" w:sz="4" w:space="0"/>
            </w:tcBorders>
            <w:noWrap w:val="0"/>
            <w:vAlign w:val="center"/>
          </w:tcPr>
          <w:p w14:paraId="554E20F6">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项目名称</w:t>
            </w:r>
          </w:p>
        </w:tc>
        <w:tc>
          <w:tcPr>
            <w:tcW w:w="2003" w:type="dxa"/>
            <w:tcBorders>
              <w:top w:val="single" w:color="auto" w:sz="4" w:space="0"/>
              <w:left w:val="single" w:color="auto" w:sz="4" w:space="0"/>
              <w:bottom w:val="single" w:color="auto" w:sz="4" w:space="0"/>
              <w:right w:val="single" w:color="auto" w:sz="4" w:space="0"/>
            </w:tcBorders>
            <w:noWrap w:val="0"/>
            <w:vAlign w:val="center"/>
          </w:tcPr>
          <w:p w14:paraId="637FE86B">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合同金额（万元）</w:t>
            </w:r>
          </w:p>
        </w:tc>
        <w:tc>
          <w:tcPr>
            <w:tcW w:w="1843" w:type="dxa"/>
            <w:tcBorders>
              <w:top w:val="single" w:color="auto" w:sz="4" w:space="0"/>
              <w:left w:val="single" w:color="auto" w:sz="4" w:space="0"/>
              <w:right w:val="single" w:color="auto" w:sz="4" w:space="0"/>
            </w:tcBorders>
            <w:noWrap w:val="0"/>
            <w:vAlign w:val="center"/>
          </w:tcPr>
          <w:p w14:paraId="17819B11">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合同签订时间</w:t>
            </w:r>
          </w:p>
        </w:tc>
        <w:tc>
          <w:tcPr>
            <w:tcW w:w="1764" w:type="dxa"/>
            <w:tcBorders>
              <w:top w:val="single" w:color="auto" w:sz="4" w:space="0"/>
              <w:left w:val="single" w:color="auto" w:sz="4" w:space="0"/>
              <w:bottom w:val="single" w:color="auto" w:sz="4" w:space="0"/>
              <w:right w:val="single" w:color="auto" w:sz="4" w:space="0"/>
            </w:tcBorders>
            <w:noWrap w:val="0"/>
            <w:vAlign w:val="center"/>
          </w:tcPr>
          <w:p w14:paraId="4ACC7EC2">
            <w:pPr>
              <w:snapToGrid w:val="0"/>
              <w:spacing w:line="400" w:lineRule="exac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合同完成时间</w:t>
            </w:r>
          </w:p>
        </w:tc>
        <w:tc>
          <w:tcPr>
            <w:tcW w:w="1921" w:type="dxa"/>
            <w:tcBorders>
              <w:top w:val="single" w:color="auto" w:sz="4" w:space="0"/>
              <w:left w:val="single" w:color="auto" w:sz="4" w:space="0"/>
              <w:bottom w:val="single" w:color="auto" w:sz="4" w:space="0"/>
              <w:right w:val="single" w:color="auto" w:sz="4" w:space="0"/>
            </w:tcBorders>
            <w:noWrap w:val="0"/>
            <w:vAlign w:val="center"/>
          </w:tcPr>
          <w:p w14:paraId="3FD6219E">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招标人联系人</w:t>
            </w:r>
          </w:p>
        </w:tc>
        <w:tc>
          <w:tcPr>
            <w:tcW w:w="1399" w:type="dxa"/>
            <w:tcBorders>
              <w:top w:val="single" w:color="auto" w:sz="4" w:space="0"/>
              <w:left w:val="single" w:color="auto" w:sz="4" w:space="0"/>
              <w:bottom w:val="single" w:color="auto" w:sz="4" w:space="0"/>
              <w:right w:val="single" w:color="auto" w:sz="4" w:space="0"/>
            </w:tcBorders>
            <w:noWrap w:val="0"/>
            <w:vAlign w:val="center"/>
          </w:tcPr>
          <w:p w14:paraId="3F2CB4C0">
            <w:pPr>
              <w:widowControl/>
              <w:spacing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联系电话</w:t>
            </w:r>
          </w:p>
        </w:tc>
      </w:tr>
      <w:tr w14:paraId="549425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noWrap w:val="0"/>
            <w:vAlign w:val="top"/>
          </w:tcPr>
          <w:p w14:paraId="253DC6FB">
            <w:pPr>
              <w:snapToGrid w:val="0"/>
              <w:spacing w:line="240" w:lineRule="exact"/>
              <w:jc w:val="left"/>
              <w:rPr>
                <w:rFonts w:hint="eastAsia" w:ascii="宋体" w:hAnsi="宋体" w:eastAsia="宋体" w:cs="宋体"/>
                <w:color w:val="auto"/>
                <w:sz w:val="24"/>
                <w:highlight w:val="none"/>
                <w:shd w:val="clear" w:color="auto" w:fill="auto"/>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7AE31FF1">
            <w:pPr>
              <w:snapToGrid w:val="0"/>
              <w:spacing w:line="240" w:lineRule="exact"/>
              <w:jc w:val="left"/>
              <w:rPr>
                <w:rFonts w:hint="eastAsia" w:ascii="宋体" w:hAnsi="宋体" w:eastAsia="宋体" w:cs="宋体"/>
                <w:color w:val="auto"/>
                <w:sz w:val="24"/>
                <w:highlight w:val="none"/>
                <w:shd w:val="clear" w:color="auto" w:fill="auto"/>
              </w:rPr>
            </w:pPr>
          </w:p>
        </w:tc>
        <w:tc>
          <w:tcPr>
            <w:tcW w:w="2003" w:type="dxa"/>
            <w:tcBorders>
              <w:top w:val="single" w:color="auto" w:sz="4" w:space="0"/>
              <w:left w:val="single" w:color="auto" w:sz="4" w:space="0"/>
              <w:bottom w:val="single" w:color="auto" w:sz="4" w:space="0"/>
              <w:right w:val="single" w:color="auto" w:sz="4" w:space="0"/>
            </w:tcBorders>
            <w:noWrap w:val="0"/>
            <w:vAlign w:val="top"/>
          </w:tcPr>
          <w:p w14:paraId="11719E80">
            <w:pPr>
              <w:snapToGrid w:val="0"/>
              <w:spacing w:line="240" w:lineRule="exact"/>
              <w:jc w:val="left"/>
              <w:rPr>
                <w:rFonts w:hint="eastAsia" w:ascii="宋体" w:hAnsi="宋体" w:eastAsia="宋体" w:cs="宋体"/>
                <w:color w:val="auto"/>
                <w:sz w:val="24"/>
                <w:highlight w:val="none"/>
                <w:shd w:val="clear" w:color="auto" w:fill="auto"/>
              </w:rPr>
            </w:pPr>
          </w:p>
        </w:tc>
        <w:tc>
          <w:tcPr>
            <w:tcW w:w="1843" w:type="dxa"/>
            <w:tcBorders>
              <w:top w:val="single" w:color="auto" w:sz="4" w:space="0"/>
              <w:left w:val="single" w:color="auto" w:sz="4" w:space="0"/>
              <w:bottom w:val="single" w:color="auto" w:sz="4" w:space="0"/>
              <w:right w:val="single" w:color="auto" w:sz="4" w:space="0"/>
            </w:tcBorders>
            <w:noWrap w:val="0"/>
            <w:vAlign w:val="top"/>
          </w:tcPr>
          <w:p w14:paraId="404B7552">
            <w:pPr>
              <w:snapToGrid w:val="0"/>
              <w:spacing w:line="240" w:lineRule="exact"/>
              <w:jc w:val="left"/>
              <w:rPr>
                <w:rFonts w:hint="eastAsia" w:ascii="宋体" w:hAnsi="宋体" w:eastAsia="宋体" w:cs="宋体"/>
                <w:color w:val="auto"/>
                <w:sz w:val="24"/>
                <w:highlight w:val="none"/>
                <w:shd w:val="clear" w:color="auto" w:fill="auto"/>
              </w:rPr>
            </w:pPr>
          </w:p>
        </w:tc>
        <w:tc>
          <w:tcPr>
            <w:tcW w:w="1764" w:type="dxa"/>
            <w:tcBorders>
              <w:top w:val="single" w:color="auto" w:sz="4" w:space="0"/>
              <w:left w:val="single" w:color="auto" w:sz="4" w:space="0"/>
              <w:bottom w:val="single" w:color="auto" w:sz="4" w:space="0"/>
              <w:right w:val="single" w:color="auto" w:sz="4" w:space="0"/>
            </w:tcBorders>
            <w:noWrap w:val="0"/>
            <w:vAlign w:val="top"/>
          </w:tcPr>
          <w:p w14:paraId="337A8294">
            <w:pPr>
              <w:snapToGrid w:val="0"/>
              <w:spacing w:line="240" w:lineRule="exact"/>
              <w:jc w:val="left"/>
              <w:rPr>
                <w:rFonts w:hint="eastAsia" w:ascii="宋体" w:hAnsi="宋体" w:eastAsia="宋体" w:cs="宋体"/>
                <w:color w:val="auto"/>
                <w:sz w:val="24"/>
                <w:highlight w:val="none"/>
                <w:shd w:val="clear" w:color="auto" w:fill="auto"/>
              </w:rPr>
            </w:pPr>
          </w:p>
        </w:tc>
        <w:tc>
          <w:tcPr>
            <w:tcW w:w="1921" w:type="dxa"/>
            <w:tcBorders>
              <w:top w:val="single" w:color="auto" w:sz="4" w:space="0"/>
              <w:left w:val="single" w:color="auto" w:sz="4" w:space="0"/>
              <w:bottom w:val="single" w:color="auto" w:sz="4" w:space="0"/>
              <w:right w:val="single" w:color="auto" w:sz="4" w:space="0"/>
            </w:tcBorders>
            <w:noWrap w:val="0"/>
            <w:vAlign w:val="top"/>
          </w:tcPr>
          <w:p w14:paraId="29D34DC9">
            <w:pPr>
              <w:snapToGrid w:val="0"/>
              <w:spacing w:line="240" w:lineRule="exact"/>
              <w:jc w:val="left"/>
              <w:rPr>
                <w:rFonts w:hint="eastAsia" w:ascii="宋体" w:hAnsi="宋体" w:eastAsia="宋体" w:cs="宋体"/>
                <w:color w:val="auto"/>
                <w:sz w:val="24"/>
                <w:highlight w:val="none"/>
                <w:shd w:val="clear" w:color="auto" w:fill="auto"/>
              </w:rPr>
            </w:pPr>
          </w:p>
        </w:tc>
        <w:tc>
          <w:tcPr>
            <w:tcW w:w="1399" w:type="dxa"/>
            <w:tcBorders>
              <w:top w:val="single" w:color="auto" w:sz="4" w:space="0"/>
              <w:left w:val="single" w:color="auto" w:sz="4" w:space="0"/>
              <w:bottom w:val="single" w:color="auto" w:sz="4" w:space="0"/>
              <w:right w:val="single" w:color="auto" w:sz="4" w:space="0"/>
            </w:tcBorders>
            <w:noWrap w:val="0"/>
            <w:vAlign w:val="top"/>
          </w:tcPr>
          <w:p w14:paraId="3EC76C40">
            <w:pPr>
              <w:snapToGrid w:val="0"/>
              <w:spacing w:line="240" w:lineRule="exact"/>
              <w:jc w:val="left"/>
              <w:rPr>
                <w:rFonts w:hint="eastAsia" w:ascii="宋体" w:hAnsi="宋体" w:eastAsia="宋体" w:cs="宋体"/>
                <w:color w:val="auto"/>
                <w:sz w:val="24"/>
                <w:highlight w:val="none"/>
                <w:shd w:val="clear" w:color="auto" w:fill="auto"/>
              </w:rPr>
            </w:pPr>
          </w:p>
        </w:tc>
      </w:tr>
      <w:tr w14:paraId="770A84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noWrap w:val="0"/>
            <w:vAlign w:val="top"/>
          </w:tcPr>
          <w:p w14:paraId="3A7937A6">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7699B254">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2003" w:type="dxa"/>
            <w:tcBorders>
              <w:top w:val="single" w:color="auto" w:sz="4" w:space="0"/>
              <w:left w:val="single" w:color="auto" w:sz="4" w:space="0"/>
              <w:bottom w:val="single" w:color="auto" w:sz="4" w:space="0"/>
              <w:right w:val="single" w:color="auto" w:sz="4" w:space="0"/>
            </w:tcBorders>
            <w:noWrap w:val="0"/>
            <w:vAlign w:val="top"/>
          </w:tcPr>
          <w:p w14:paraId="612DE746">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843" w:type="dxa"/>
            <w:tcBorders>
              <w:top w:val="single" w:color="auto" w:sz="4" w:space="0"/>
              <w:left w:val="single" w:color="auto" w:sz="4" w:space="0"/>
              <w:bottom w:val="single" w:color="auto" w:sz="4" w:space="0"/>
              <w:right w:val="single" w:color="auto" w:sz="4" w:space="0"/>
            </w:tcBorders>
            <w:noWrap w:val="0"/>
            <w:vAlign w:val="top"/>
          </w:tcPr>
          <w:p w14:paraId="30BB6234">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764" w:type="dxa"/>
            <w:tcBorders>
              <w:top w:val="single" w:color="auto" w:sz="4" w:space="0"/>
              <w:left w:val="single" w:color="auto" w:sz="4" w:space="0"/>
              <w:bottom w:val="single" w:color="auto" w:sz="4" w:space="0"/>
              <w:right w:val="single" w:color="auto" w:sz="4" w:space="0"/>
            </w:tcBorders>
            <w:noWrap w:val="0"/>
            <w:vAlign w:val="top"/>
          </w:tcPr>
          <w:p w14:paraId="079E496C">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921" w:type="dxa"/>
            <w:tcBorders>
              <w:top w:val="single" w:color="auto" w:sz="4" w:space="0"/>
              <w:left w:val="single" w:color="auto" w:sz="4" w:space="0"/>
              <w:bottom w:val="single" w:color="auto" w:sz="4" w:space="0"/>
              <w:right w:val="single" w:color="auto" w:sz="4" w:space="0"/>
            </w:tcBorders>
            <w:noWrap w:val="0"/>
            <w:vAlign w:val="top"/>
          </w:tcPr>
          <w:p w14:paraId="75275299">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399" w:type="dxa"/>
            <w:tcBorders>
              <w:top w:val="single" w:color="auto" w:sz="4" w:space="0"/>
              <w:left w:val="single" w:color="auto" w:sz="4" w:space="0"/>
              <w:bottom w:val="single" w:color="auto" w:sz="4" w:space="0"/>
              <w:right w:val="single" w:color="auto" w:sz="4" w:space="0"/>
            </w:tcBorders>
            <w:noWrap w:val="0"/>
            <w:vAlign w:val="top"/>
          </w:tcPr>
          <w:p w14:paraId="3F734A31">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r>
      <w:tr w14:paraId="0B44B7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noWrap w:val="0"/>
            <w:vAlign w:val="top"/>
          </w:tcPr>
          <w:p w14:paraId="010F8708">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53E15E09">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2003" w:type="dxa"/>
            <w:tcBorders>
              <w:top w:val="single" w:color="auto" w:sz="4" w:space="0"/>
              <w:left w:val="single" w:color="auto" w:sz="4" w:space="0"/>
              <w:bottom w:val="single" w:color="auto" w:sz="4" w:space="0"/>
              <w:right w:val="single" w:color="auto" w:sz="4" w:space="0"/>
            </w:tcBorders>
            <w:noWrap w:val="0"/>
            <w:vAlign w:val="top"/>
          </w:tcPr>
          <w:p w14:paraId="4E2D7739">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843" w:type="dxa"/>
            <w:tcBorders>
              <w:top w:val="single" w:color="auto" w:sz="4" w:space="0"/>
              <w:left w:val="single" w:color="auto" w:sz="4" w:space="0"/>
              <w:bottom w:val="single" w:color="auto" w:sz="4" w:space="0"/>
              <w:right w:val="single" w:color="auto" w:sz="4" w:space="0"/>
            </w:tcBorders>
            <w:noWrap w:val="0"/>
            <w:vAlign w:val="top"/>
          </w:tcPr>
          <w:p w14:paraId="3EEF8144">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764" w:type="dxa"/>
            <w:tcBorders>
              <w:top w:val="single" w:color="auto" w:sz="4" w:space="0"/>
              <w:left w:val="single" w:color="auto" w:sz="4" w:space="0"/>
              <w:bottom w:val="single" w:color="auto" w:sz="4" w:space="0"/>
              <w:right w:val="single" w:color="auto" w:sz="4" w:space="0"/>
            </w:tcBorders>
            <w:noWrap w:val="0"/>
            <w:vAlign w:val="top"/>
          </w:tcPr>
          <w:p w14:paraId="78599D4C">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921" w:type="dxa"/>
            <w:tcBorders>
              <w:top w:val="single" w:color="auto" w:sz="4" w:space="0"/>
              <w:left w:val="single" w:color="auto" w:sz="4" w:space="0"/>
              <w:bottom w:val="single" w:color="auto" w:sz="4" w:space="0"/>
              <w:right w:val="single" w:color="auto" w:sz="4" w:space="0"/>
            </w:tcBorders>
            <w:noWrap w:val="0"/>
            <w:vAlign w:val="top"/>
          </w:tcPr>
          <w:p w14:paraId="1692967E">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399" w:type="dxa"/>
            <w:tcBorders>
              <w:top w:val="single" w:color="auto" w:sz="4" w:space="0"/>
              <w:left w:val="single" w:color="auto" w:sz="4" w:space="0"/>
              <w:bottom w:val="single" w:color="auto" w:sz="4" w:space="0"/>
              <w:right w:val="single" w:color="auto" w:sz="4" w:space="0"/>
            </w:tcBorders>
            <w:noWrap w:val="0"/>
            <w:vAlign w:val="top"/>
          </w:tcPr>
          <w:p w14:paraId="7E84FF21">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r>
      <w:tr w14:paraId="5E7C9F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noWrap w:val="0"/>
            <w:vAlign w:val="top"/>
          </w:tcPr>
          <w:p w14:paraId="47BA728A">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348297A2">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2003" w:type="dxa"/>
            <w:tcBorders>
              <w:top w:val="single" w:color="auto" w:sz="4" w:space="0"/>
              <w:left w:val="single" w:color="auto" w:sz="4" w:space="0"/>
              <w:bottom w:val="single" w:color="auto" w:sz="4" w:space="0"/>
              <w:right w:val="single" w:color="auto" w:sz="4" w:space="0"/>
            </w:tcBorders>
            <w:noWrap w:val="0"/>
            <w:vAlign w:val="top"/>
          </w:tcPr>
          <w:p w14:paraId="14B1901D">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843" w:type="dxa"/>
            <w:tcBorders>
              <w:top w:val="single" w:color="auto" w:sz="4" w:space="0"/>
              <w:left w:val="single" w:color="auto" w:sz="4" w:space="0"/>
              <w:bottom w:val="single" w:color="auto" w:sz="4" w:space="0"/>
              <w:right w:val="single" w:color="auto" w:sz="4" w:space="0"/>
            </w:tcBorders>
            <w:noWrap w:val="0"/>
            <w:vAlign w:val="top"/>
          </w:tcPr>
          <w:p w14:paraId="46D590AE">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764" w:type="dxa"/>
            <w:tcBorders>
              <w:top w:val="single" w:color="auto" w:sz="4" w:space="0"/>
              <w:left w:val="single" w:color="auto" w:sz="4" w:space="0"/>
              <w:bottom w:val="single" w:color="auto" w:sz="4" w:space="0"/>
              <w:right w:val="single" w:color="auto" w:sz="4" w:space="0"/>
            </w:tcBorders>
            <w:noWrap w:val="0"/>
            <w:vAlign w:val="top"/>
          </w:tcPr>
          <w:p w14:paraId="40E6A18F">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921" w:type="dxa"/>
            <w:tcBorders>
              <w:top w:val="single" w:color="auto" w:sz="4" w:space="0"/>
              <w:left w:val="single" w:color="auto" w:sz="4" w:space="0"/>
              <w:bottom w:val="single" w:color="auto" w:sz="4" w:space="0"/>
              <w:right w:val="single" w:color="auto" w:sz="4" w:space="0"/>
            </w:tcBorders>
            <w:noWrap w:val="0"/>
            <w:vAlign w:val="top"/>
          </w:tcPr>
          <w:p w14:paraId="65FFD614">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399" w:type="dxa"/>
            <w:tcBorders>
              <w:top w:val="single" w:color="auto" w:sz="4" w:space="0"/>
              <w:left w:val="single" w:color="auto" w:sz="4" w:space="0"/>
              <w:bottom w:val="single" w:color="auto" w:sz="4" w:space="0"/>
              <w:right w:val="single" w:color="auto" w:sz="4" w:space="0"/>
            </w:tcBorders>
            <w:noWrap w:val="0"/>
            <w:vAlign w:val="top"/>
          </w:tcPr>
          <w:p w14:paraId="268716BE">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r>
      <w:tr w14:paraId="3C957A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noWrap w:val="0"/>
            <w:vAlign w:val="top"/>
          </w:tcPr>
          <w:p w14:paraId="317DC636">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28FE22FE">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2003" w:type="dxa"/>
            <w:tcBorders>
              <w:top w:val="single" w:color="auto" w:sz="4" w:space="0"/>
              <w:left w:val="single" w:color="auto" w:sz="4" w:space="0"/>
              <w:bottom w:val="single" w:color="auto" w:sz="4" w:space="0"/>
              <w:right w:val="single" w:color="auto" w:sz="4" w:space="0"/>
            </w:tcBorders>
            <w:noWrap w:val="0"/>
            <w:vAlign w:val="top"/>
          </w:tcPr>
          <w:p w14:paraId="671126F9">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843" w:type="dxa"/>
            <w:tcBorders>
              <w:top w:val="single" w:color="auto" w:sz="4" w:space="0"/>
              <w:left w:val="single" w:color="auto" w:sz="4" w:space="0"/>
              <w:bottom w:val="single" w:color="auto" w:sz="4" w:space="0"/>
              <w:right w:val="single" w:color="auto" w:sz="4" w:space="0"/>
            </w:tcBorders>
            <w:noWrap w:val="0"/>
            <w:vAlign w:val="top"/>
          </w:tcPr>
          <w:p w14:paraId="61E0809D">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764" w:type="dxa"/>
            <w:tcBorders>
              <w:top w:val="single" w:color="auto" w:sz="4" w:space="0"/>
              <w:left w:val="single" w:color="auto" w:sz="4" w:space="0"/>
              <w:bottom w:val="single" w:color="auto" w:sz="4" w:space="0"/>
              <w:right w:val="single" w:color="auto" w:sz="4" w:space="0"/>
            </w:tcBorders>
            <w:noWrap w:val="0"/>
            <w:vAlign w:val="top"/>
          </w:tcPr>
          <w:p w14:paraId="51842A66">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921" w:type="dxa"/>
            <w:tcBorders>
              <w:top w:val="single" w:color="auto" w:sz="4" w:space="0"/>
              <w:left w:val="single" w:color="auto" w:sz="4" w:space="0"/>
              <w:bottom w:val="single" w:color="auto" w:sz="4" w:space="0"/>
              <w:right w:val="single" w:color="auto" w:sz="4" w:space="0"/>
            </w:tcBorders>
            <w:noWrap w:val="0"/>
            <w:vAlign w:val="top"/>
          </w:tcPr>
          <w:p w14:paraId="4012229E">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399" w:type="dxa"/>
            <w:tcBorders>
              <w:top w:val="single" w:color="auto" w:sz="4" w:space="0"/>
              <w:left w:val="single" w:color="auto" w:sz="4" w:space="0"/>
              <w:bottom w:val="single" w:color="auto" w:sz="4" w:space="0"/>
              <w:right w:val="single" w:color="auto" w:sz="4" w:space="0"/>
            </w:tcBorders>
            <w:noWrap w:val="0"/>
            <w:vAlign w:val="top"/>
          </w:tcPr>
          <w:p w14:paraId="336E5C83">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r>
    </w:tbl>
    <w:p w14:paraId="57439E39">
      <w:pPr>
        <w:pStyle w:val="15"/>
        <w:snapToGrid w:val="0"/>
        <w:ind w:firstLine="960" w:firstLineChars="4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p>
    <w:p w14:paraId="031B6C85">
      <w:pPr>
        <w:pStyle w:val="15"/>
        <w:snapToGrid w:val="0"/>
        <w:ind w:firstLine="361" w:firstLineChars="150"/>
        <w:rPr>
          <w:rFonts w:hint="eastAsia" w:ascii="宋体" w:hAnsi="宋体" w:eastAsia="宋体" w:cs="宋体"/>
          <w:b/>
          <w:color w:val="auto"/>
          <w:sz w:val="24"/>
          <w:szCs w:val="24"/>
          <w:highlight w:val="none"/>
          <w:shd w:val="clear" w:color="auto" w:fill="auto"/>
        </w:rPr>
      </w:pPr>
    </w:p>
    <w:p w14:paraId="7C4B5080">
      <w:pPr>
        <w:pStyle w:val="15"/>
        <w:snapToGrid w:val="0"/>
        <w:ind w:firstLine="482" w:firstLineChars="200"/>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法定代表人签字（或盖章）：                            投标人（盖章）：    </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b/>
          <w:color w:val="auto"/>
          <w:sz w:val="24"/>
          <w:szCs w:val="24"/>
          <w:highlight w:val="none"/>
          <w:shd w:val="clear" w:color="auto" w:fill="auto"/>
        </w:rPr>
        <w:t>日期：  _____年___月___日</w:t>
      </w:r>
    </w:p>
    <w:p w14:paraId="45E8B430">
      <w:pPr>
        <w:pStyle w:val="15"/>
        <w:snapToGrid w:val="0"/>
        <w:rPr>
          <w:rFonts w:hint="eastAsia" w:ascii="宋体" w:hAnsi="宋体" w:eastAsia="宋体" w:cs="宋体"/>
          <w:color w:val="auto"/>
          <w:sz w:val="24"/>
          <w:szCs w:val="24"/>
          <w:highlight w:val="none"/>
          <w:shd w:val="clear" w:color="auto" w:fill="auto"/>
        </w:rPr>
        <w:sectPr>
          <w:pgSz w:w="16838" w:h="11906" w:orient="landscape"/>
          <w:pgMar w:top="1361" w:right="1361" w:bottom="1361" w:left="1361" w:header="567" w:footer="454" w:gutter="0"/>
          <w:pgNumType w:fmt="decimal"/>
          <w:cols w:space="720" w:num="1"/>
          <w:rtlGutter w:val="0"/>
          <w:docGrid w:linePitch="1" w:charSpace="0"/>
        </w:sectPr>
      </w:pPr>
    </w:p>
    <w:p w14:paraId="60D00334">
      <w:pPr>
        <w:snapToGrid w:val="0"/>
        <w:spacing w:before="50"/>
        <w:jc w:val="left"/>
        <w:outlineLvl w:val="1"/>
        <w:rPr>
          <w:rFonts w:hint="eastAsia" w:ascii="宋体" w:hAnsi="宋体" w:eastAsia="宋体" w:cs="宋体"/>
          <w:color w:val="auto"/>
          <w:sz w:val="24"/>
          <w:highlight w:val="none"/>
          <w:shd w:val="clear" w:color="auto" w:fill="auto"/>
        </w:rPr>
      </w:pPr>
      <w:bookmarkStart w:id="265" w:name="_Toc10522"/>
      <w:bookmarkStart w:id="266" w:name="_Toc21566"/>
      <w:bookmarkStart w:id="267" w:name="_Hlk77588362"/>
      <w:r>
        <w:rPr>
          <w:rFonts w:hint="eastAsia" w:ascii="宋体" w:hAnsi="宋体" w:cs="宋体"/>
          <w:color w:val="auto"/>
          <w:sz w:val="24"/>
          <w:highlight w:val="none"/>
          <w:shd w:val="clear" w:color="auto" w:fill="auto"/>
          <w:lang w:val="en-US" w:eastAsia="zh-CN"/>
        </w:rPr>
        <w:t>10</w:t>
      </w:r>
      <w:r>
        <w:rPr>
          <w:rFonts w:hint="eastAsia" w:ascii="宋体" w:hAnsi="宋体" w:eastAsia="宋体" w:cs="宋体"/>
          <w:color w:val="auto"/>
          <w:sz w:val="24"/>
          <w:highlight w:val="none"/>
          <w:shd w:val="clear" w:color="auto" w:fill="auto"/>
        </w:rPr>
        <w:t>.商务及技术响应表格式：</w:t>
      </w:r>
      <w:bookmarkEnd w:id="265"/>
      <w:bookmarkEnd w:id="266"/>
      <w:bookmarkEnd w:id="267"/>
    </w:p>
    <w:p w14:paraId="1880099B">
      <w:pPr>
        <w:snapToGrid w:val="0"/>
        <w:spacing w:before="50"/>
        <w:jc w:val="left"/>
        <w:rPr>
          <w:rFonts w:hint="eastAsia" w:ascii="宋体" w:hAnsi="宋体" w:eastAsia="宋体" w:cs="宋体"/>
          <w:color w:val="auto"/>
          <w:sz w:val="24"/>
          <w:highlight w:val="none"/>
          <w:shd w:val="clear" w:color="auto" w:fill="auto"/>
        </w:rPr>
      </w:pPr>
    </w:p>
    <w:p w14:paraId="353E095D">
      <w:pPr>
        <w:snapToGrid w:val="0"/>
        <w:spacing w:before="50"/>
        <w:jc w:val="center"/>
        <w:rPr>
          <w:rFonts w:hint="eastAsia" w:ascii="宋体" w:hAnsi="宋体" w:eastAsia="宋体" w:cs="宋体"/>
          <w:bCs/>
          <w:color w:val="auto"/>
          <w:sz w:val="24"/>
          <w:highlight w:val="none"/>
          <w:shd w:val="clear" w:color="auto" w:fill="auto"/>
        </w:rPr>
      </w:pPr>
      <w:r>
        <w:rPr>
          <w:rFonts w:hint="eastAsia" w:ascii="宋体" w:hAnsi="宋体" w:eastAsia="宋体" w:cs="宋体"/>
          <w:b/>
          <w:color w:val="auto"/>
          <w:sz w:val="24"/>
          <w:highlight w:val="none"/>
          <w:shd w:val="clear" w:color="auto" w:fill="auto"/>
        </w:rPr>
        <w:t>商务及技术响应表</w:t>
      </w:r>
    </w:p>
    <w:p w14:paraId="73995452">
      <w:pPr>
        <w:snapToGrid w:val="0"/>
        <w:spacing w:before="120" w:beforeLines="50" w:after="50" w:line="480" w:lineRule="auto"/>
        <w:rPr>
          <w:rFonts w:hint="eastAsia" w:ascii="宋体" w:hAnsi="宋体" w:eastAsia="宋体" w:cs="宋体"/>
          <w:color w:val="auto"/>
          <w:sz w:val="24"/>
          <w:highlight w:val="none"/>
          <w:shd w:val="clear" w:color="auto" w:fill="auto"/>
        </w:rPr>
      </w:pPr>
      <w:r>
        <w:rPr>
          <w:rFonts w:hint="eastAsia" w:ascii="宋体" w:hAnsi="宋体" w:eastAsia="宋体" w:cs="宋体"/>
          <w:bCs/>
          <w:color w:val="auto"/>
          <w:sz w:val="24"/>
          <w:highlight w:val="none"/>
          <w:shd w:val="clear" w:color="auto" w:fill="auto"/>
        </w:rPr>
        <w:t>项目名称：</w:t>
      </w:r>
    </w:p>
    <w:p w14:paraId="74CFAF5D">
      <w:pPr>
        <w:snapToGrid w:val="0"/>
        <w:spacing w:before="120" w:beforeLines="50" w:after="50" w:line="480" w:lineRule="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项目编号：</w:t>
      </w:r>
    </w:p>
    <w:tbl>
      <w:tblPr>
        <w:tblStyle w:val="53"/>
        <w:tblW w:w="1035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79"/>
        <w:gridCol w:w="4063"/>
        <w:gridCol w:w="1232"/>
        <w:gridCol w:w="3083"/>
      </w:tblGrid>
      <w:tr w14:paraId="665CB1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74" w:hRule="atLeast"/>
          <w:jc w:val="center"/>
        </w:trPr>
        <w:tc>
          <w:tcPr>
            <w:tcW w:w="1979" w:type="dxa"/>
            <w:tcBorders>
              <w:top w:val="single" w:color="auto" w:sz="4" w:space="0"/>
              <w:left w:val="single" w:color="auto" w:sz="4" w:space="0"/>
              <w:bottom w:val="single" w:color="auto" w:sz="4" w:space="0"/>
              <w:right w:val="single" w:color="auto" w:sz="4" w:space="0"/>
            </w:tcBorders>
            <w:noWrap w:val="0"/>
            <w:vAlign w:val="top"/>
          </w:tcPr>
          <w:p w14:paraId="127B09A5">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宋体" w:hAnsi="宋体" w:eastAsia="宋体"/>
                <w:b/>
                <w:color w:val="auto"/>
                <w:sz w:val="21"/>
                <w:szCs w:val="21"/>
                <w:highlight w:val="none"/>
                <w:lang w:val="en-US" w:eastAsia="zh-CN"/>
              </w:rPr>
            </w:pPr>
            <w:r>
              <w:rPr>
                <w:rFonts w:hint="eastAsia" w:ascii="宋体" w:hAnsi="宋体" w:eastAsia="宋体"/>
                <w:b/>
                <w:color w:val="auto"/>
                <w:sz w:val="21"/>
                <w:szCs w:val="21"/>
                <w:highlight w:val="none"/>
                <w:lang w:val="en-US" w:eastAsia="zh-CN"/>
              </w:rPr>
              <w:t>名称</w:t>
            </w:r>
          </w:p>
        </w:tc>
        <w:tc>
          <w:tcPr>
            <w:tcW w:w="4063" w:type="dxa"/>
            <w:tcBorders>
              <w:top w:val="single" w:color="auto" w:sz="4" w:space="0"/>
              <w:left w:val="single" w:color="auto" w:sz="4" w:space="0"/>
              <w:bottom w:val="single" w:color="auto" w:sz="4" w:space="0"/>
              <w:right w:val="single" w:color="auto" w:sz="4" w:space="0"/>
            </w:tcBorders>
            <w:noWrap w:val="0"/>
            <w:vAlign w:val="top"/>
          </w:tcPr>
          <w:p w14:paraId="50A85BAA">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ascii="宋体" w:hAnsi="宋体" w:eastAsia="宋体"/>
                <w:b/>
                <w:color w:val="auto"/>
                <w:sz w:val="21"/>
                <w:szCs w:val="21"/>
                <w:highlight w:val="none"/>
              </w:rPr>
            </w:pPr>
            <w:r>
              <w:rPr>
                <w:rFonts w:hint="eastAsia" w:ascii="宋体" w:hAnsi="宋体" w:eastAsia="宋体"/>
                <w:b/>
                <w:color w:val="auto"/>
                <w:sz w:val="21"/>
                <w:szCs w:val="21"/>
                <w:highlight w:val="none"/>
              </w:rPr>
              <w:t>招标文件要求</w:t>
            </w:r>
          </w:p>
        </w:tc>
        <w:tc>
          <w:tcPr>
            <w:tcW w:w="1232" w:type="dxa"/>
            <w:tcBorders>
              <w:top w:val="single" w:color="auto" w:sz="4" w:space="0"/>
              <w:left w:val="single" w:color="auto" w:sz="4" w:space="0"/>
              <w:bottom w:val="single" w:color="auto" w:sz="4" w:space="0"/>
              <w:right w:val="single" w:color="auto" w:sz="4" w:space="0"/>
            </w:tcBorders>
            <w:noWrap w:val="0"/>
            <w:vAlign w:val="top"/>
          </w:tcPr>
          <w:p w14:paraId="136E99F3">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ascii="宋体" w:hAnsi="宋体" w:eastAsia="宋体"/>
                <w:b/>
                <w:color w:val="auto"/>
                <w:sz w:val="21"/>
                <w:szCs w:val="21"/>
                <w:highlight w:val="none"/>
              </w:rPr>
            </w:pPr>
            <w:r>
              <w:rPr>
                <w:rFonts w:hint="eastAsia" w:ascii="宋体" w:hAnsi="宋体" w:eastAsia="宋体"/>
                <w:b/>
                <w:color w:val="auto"/>
                <w:sz w:val="21"/>
                <w:szCs w:val="21"/>
                <w:highlight w:val="none"/>
              </w:rPr>
              <w:t>是否响应</w:t>
            </w:r>
          </w:p>
        </w:tc>
        <w:tc>
          <w:tcPr>
            <w:tcW w:w="3083" w:type="dxa"/>
            <w:tcBorders>
              <w:top w:val="single" w:color="auto" w:sz="4" w:space="0"/>
              <w:left w:val="single" w:color="auto" w:sz="4" w:space="0"/>
              <w:bottom w:val="single" w:color="auto" w:sz="4" w:space="0"/>
              <w:right w:val="single" w:color="auto" w:sz="4" w:space="0"/>
            </w:tcBorders>
            <w:noWrap w:val="0"/>
            <w:vAlign w:val="top"/>
          </w:tcPr>
          <w:p w14:paraId="016A77C9">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ascii="宋体" w:hAnsi="宋体" w:eastAsia="宋体"/>
                <w:b/>
                <w:color w:val="auto"/>
                <w:sz w:val="21"/>
                <w:szCs w:val="21"/>
                <w:highlight w:val="none"/>
              </w:rPr>
            </w:pPr>
            <w:r>
              <w:rPr>
                <w:rFonts w:hint="eastAsia" w:ascii="宋体" w:hAnsi="宋体" w:eastAsia="宋体"/>
                <w:b/>
                <w:color w:val="auto"/>
                <w:sz w:val="21"/>
                <w:szCs w:val="21"/>
                <w:highlight w:val="none"/>
              </w:rPr>
              <w:t>投标人的承诺或说明</w:t>
            </w:r>
          </w:p>
        </w:tc>
      </w:tr>
      <w:tr w14:paraId="6B5129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5" w:hRule="atLeast"/>
          <w:jc w:val="center"/>
        </w:trPr>
        <w:tc>
          <w:tcPr>
            <w:tcW w:w="1979" w:type="dxa"/>
            <w:tcBorders>
              <w:top w:val="single" w:color="auto" w:sz="4" w:space="0"/>
              <w:left w:val="single" w:color="auto" w:sz="4" w:space="0"/>
              <w:bottom w:val="single" w:color="auto" w:sz="4" w:space="0"/>
              <w:right w:val="single" w:color="auto" w:sz="4" w:space="0"/>
            </w:tcBorders>
            <w:noWrap w:val="0"/>
            <w:vAlign w:val="top"/>
          </w:tcPr>
          <w:p w14:paraId="45ABBC20">
            <w:pPr>
              <w:keepNext w:val="0"/>
              <w:keepLines w:val="0"/>
              <w:pageBreakBefore w:val="0"/>
              <w:widowControl w:val="0"/>
              <w:kinsoku/>
              <w:wordWrap/>
              <w:overflowPunct/>
              <w:topLinePunct w:val="0"/>
              <w:autoSpaceDE/>
              <w:autoSpaceDN/>
              <w:bidi w:val="0"/>
              <w:adjustRightInd/>
              <w:snapToGrid w:val="0"/>
              <w:spacing w:line="360" w:lineRule="exact"/>
              <w:ind w:left="86" w:leftChars="0"/>
              <w:textAlignment w:val="auto"/>
              <w:rPr>
                <w:rFonts w:ascii="宋体" w:hAnsi="宋体" w:eastAsia="宋体"/>
                <w:color w:val="auto"/>
                <w:sz w:val="21"/>
                <w:szCs w:val="21"/>
                <w:highlight w:val="none"/>
              </w:rPr>
            </w:pPr>
          </w:p>
        </w:tc>
        <w:tc>
          <w:tcPr>
            <w:tcW w:w="4063" w:type="dxa"/>
            <w:tcBorders>
              <w:top w:val="single" w:color="auto" w:sz="4" w:space="0"/>
              <w:left w:val="single" w:color="auto" w:sz="4" w:space="0"/>
              <w:bottom w:val="single" w:color="auto" w:sz="4" w:space="0"/>
              <w:right w:val="single" w:color="auto" w:sz="4" w:space="0"/>
            </w:tcBorders>
            <w:noWrap w:val="0"/>
            <w:vAlign w:val="top"/>
          </w:tcPr>
          <w:p w14:paraId="0A838B69">
            <w:pPr>
              <w:keepNext w:val="0"/>
              <w:keepLines w:val="0"/>
              <w:pageBreakBefore w:val="0"/>
              <w:widowControl w:val="0"/>
              <w:kinsoku/>
              <w:wordWrap/>
              <w:overflowPunct/>
              <w:topLinePunct w:val="0"/>
              <w:autoSpaceDE/>
              <w:autoSpaceDN/>
              <w:bidi w:val="0"/>
              <w:adjustRightInd/>
              <w:snapToGrid w:val="0"/>
              <w:spacing w:line="360" w:lineRule="exact"/>
              <w:ind w:left="86" w:leftChars="0"/>
              <w:textAlignment w:val="auto"/>
              <w:rPr>
                <w:rFonts w:ascii="宋体" w:hAnsi="宋体" w:eastAsia="宋体"/>
                <w:color w:val="auto"/>
                <w:sz w:val="21"/>
                <w:szCs w:val="21"/>
                <w:highlight w:val="none"/>
              </w:rPr>
            </w:pPr>
          </w:p>
        </w:tc>
        <w:tc>
          <w:tcPr>
            <w:tcW w:w="1232" w:type="dxa"/>
            <w:tcBorders>
              <w:top w:val="single" w:color="auto" w:sz="4" w:space="0"/>
              <w:left w:val="single" w:color="auto" w:sz="4" w:space="0"/>
              <w:bottom w:val="single" w:color="auto" w:sz="4" w:space="0"/>
              <w:right w:val="single" w:color="auto" w:sz="4" w:space="0"/>
            </w:tcBorders>
            <w:noWrap w:val="0"/>
            <w:vAlign w:val="top"/>
          </w:tcPr>
          <w:p w14:paraId="6033C753">
            <w:pPr>
              <w:keepNext w:val="0"/>
              <w:keepLines w:val="0"/>
              <w:pageBreakBefore w:val="0"/>
              <w:widowControl w:val="0"/>
              <w:kinsoku/>
              <w:wordWrap/>
              <w:overflowPunct/>
              <w:topLinePunct w:val="0"/>
              <w:autoSpaceDE/>
              <w:autoSpaceDN/>
              <w:bidi w:val="0"/>
              <w:adjustRightInd/>
              <w:snapToGrid w:val="0"/>
              <w:spacing w:line="360" w:lineRule="exact"/>
              <w:ind w:left="86"/>
              <w:textAlignment w:val="auto"/>
              <w:rPr>
                <w:rFonts w:ascii="宋体" w:hAnsi="宋体" w:eastAsia="宋体"/>
                <w:color w:val="auto"/>
                <w:sz w:val="21"/>
                <w:szCs w:val="21"/>
                <w:highlight w:val="none"/>
              </w:rPr>
            </w:pPr>
          </w:p>
        </w:tc>
        <w:tc>
          <w:tcPr>
            <w:tcW w:w="3083" w:type="dxa"/>
            <w:tcBorders>
              <w:top w:val="single" w:color="auto" w:sz="4" w:space="0"/>
              <w:left w:val="single" w:color="auto" w:sz="4" w:space="0"/>
              <w:bottom w:val="single" w:color="auto" w:sz="4" w:space="0"/>
              <w:right w:val="single" w:color="auto" w:sz="4" w:space="0"/>
            </w:tcBorders>
            <w:noWrap w:val="0"/>
            <w:vAlign w:val="top"/>
          </w:tcPr>
          <w:p w14:paraId="186FD580">
            <w:pPr>
              <w:keepNext w:val="0"/>
              <w:keepLines w:val="0"/>
              <w:pageBreakBefore w:val="0"/>
              <w:widowControl w:val="0"/>
              <w:kinsoku/>
              <w:wordWrap/>
              <w:overflowPunct/>
              <w:topLinePunct w:val="0"/>
              <w:autoSpaceDE/>
              <w:autoSpaceDN/>
              <w:bidi w:val="0"/>
              <w:adjustRightInd/>
              <w:snapToGrid w:val="0"/>
              <w:spacing w:line="360" w:lineRule="exact"/>
              <w:ind w:left="86"/>
              <w:textAlignment w:val="auto"/>
              <w:rPr>
                <w:rFonts w:ascii="宋体" w:hAnsi="宋体" w:eastAsia="宋体"/>
                <w:color w:val="auto"/>
                <w:sz w:val="21"/>
                <w:szCs w:val="21"/>
                <w:highlight w:val="none"/>
              </w:rPr>
            </w:pPr>
          </w:p>
        </w:tc>
      </w:tr>
      <w:tr w14:paraId="1D7743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8" w:hRule="atLeast"/>
          <w:jc w:val="center"/>
        </w:trPr>
        <w:tc>
          <w:tcPr>
            <w:tcW w:w="1979" w:type="dxa"/>
            <w:tcBorders>
              <w:top w:val="single" w:color="auto" w:sz="4" w:space="0"/>
              <w:left w:val="single" w:color="auto" w:sz="4" w:space="0"/>
              <w:right w:val="single" w:color="auto" w:sz="4" w:space="0"/>
            </w:tcBorders>
            <w:noWrap w:val="0"/>
            <w:vAlign w:val="top"/>
          </w:tcPr>
          <w:p w14:paraId="3C46DA3C">
            <w:pPr>
              <w:keepNext w:val="0"/>
              <w:keepLines w:val="0"/>
              <w:pageBreakBefore w:val="0"/>
              <w:widowControl w:val="0"/>
              <w:kinsoku/>
              <w:wordWrap/>
              <w:overflowPunct/>
              <w:topLinePunct w:val="0"/>
              <w:autoSpaceDE/>
              <w:autoSpaceDN/>
              <w:bidi w:val="0"/>
              <w:adjustRightInd/>
              <w:snapToGrid w:val="0"/>
              <w:spacing w:line="360" w:lineRule="exact"/>
              <w:textAlignment w:val="auto"/>
              <w:rPr>
                <w:rFonts w:ascii="宋体" w:hAnsi="宋体" w:eastAsia="宋体"/>
                <w:color w:val="auto"/>
                <w:sz w:val="21"/>
                <w:szCs w:val="21"/>
                <w:highlight w:val="none"/>
              </w:rPr>
            </w:pPr>
          </w:p>
        </w:tc>
        <w:tc>
          <w:tcPr>
            <w:tcW w:w="4063" w:type="dxa"/>
            <w:tcBorders>
              <w:top w:val="single" w:color="auto" w:sz="4" w:space="0"/>
              <w:left w:val="single" w:color="auto" w:sz="4" w:space="0"/>
              <w:bottom w:val="single" w:color="auto" w:sz="4" w:space="0"/>
              <w:right w:val="single" w:color="auto" w:sz="4" w:space="0"/>
            </w:tcBorders>
            <w:noWrap w:val="0"/>
            <w:vAlign w:val="top"/>
          </w:tcPr>
          <w:p w14:paraId="23B3BAB2">
            <w:pPr>
              <w:keepNext w:val="0"/>
              <w:keepLines w:val="0"/>
              <w:pageBreakBefore w:val="0"/>
              <w:widowControl w:val="0"/>
              <w:kinsoku/>
              <w:wordWrap/>
              <w:overflowPunct/>
              <w:topLinePunct w:val="0"/>
              <w:autoSpaceDE/>
              <w:autoSpaceDN/>
              <w:bidi w:val="0"/>
              <w:adjustRightInd/>
              <w:snapToGrid w:val="0"/>
              <w:spacing w:line="360" w:lineRule="exact"/>
              <w:textAlignment w:val="auto"/>
              <w:rPr>
                <w:rFonts w:ascii="宋体" w:hAnsi="宋体" w:eastAsia="宋体" w:cs="Times New Roman"/>
                <w:color w:val="auto"/>
                <w:kern w:val="0"/>
                <w:sz w:val="21"/>
                <w:szCs w:val="21"/>
                <w:highlight w:val="none"/>
                <w:lang w:val="en-US" w:eastAsia="zh-CN" w:bidi="ar-SA"/>
              </w:rPr>
            </w:pPr>
          </w:p>
        </w:tc>
        <w:tc>
          <w:tcPr>
            <w:tcW w:w="1232" w:type="dxa"/>
            <w:tcBorders>
              <w:top w:val="single" w:color="auto" w:sz="4" w:space="0"/>
              <w:left w:val="single" w:color="auto" w:sz="4" w:space="0"/>
              <w:bottom w:val="single" w:color="auto" w:sz="4" w:space="0"/>
              <w:right w:val="single" w:color="auto" w:sz="4" w:space="0"/>
            </w:tcBorders>
            <w:noWrap w:val="0"/>
            <w:vAlign w:val="top"/>
          </w:tcPr>
          <w:p w14:paraId="5C823473">
            <w:pPr>
              <w:keepNext w:val="0"/>
              <w:keepLines w:val="0"/>
              <w:pageBreakBefore w:val="0"/>
              <w:widowControl w:val="0"/>
              <w:kinsoku/>
              <w:wordWrap/>
              <w:overflowPunct/>
              <w:topLinePunct w:val="0"/>
              <w:autoSpaceDE/>
              <w:autoSpaceDN/>
              <w:bidi w:val="0"/>
              <w:adjustRightInd/>
              <w:snapToGrid w:val="0"/>
              <w:spacing w:line="360" w:lineRule="exact"/>
              <w:textAlignment w:val="auto"/>
              <w:rPr>
                <w:rFonts w:ascii="宋体" w:hAnsi="宋体" w:eastAsia="宋体"/>
                <w:color w:val="auto"/>
                <w:sz w:val="21"/>
                <w:szCs w:val="21"/>
                <w:highlight w:val="none"/>
              </w:rPr>
            </w:pPr>
          </w:p>
        </w:tc>
        <w:tc>
          <w:tcPr>
            <w:tcW w:w="3083" w:type="dxa"/>
            <w:tcBorders>
              <w:top w:val="single" w:color="auto" w:sz="4" w:space="0"/>
              <w:left w:val="single" w:color="auto" w:sz="4" w:space="0"/>
              <w:bottom w:val="single" w:color="auto" w:sz="4" w:space="0"/>
              <w:right w:val="single" w:color="auto" w:sz="4" w:space="0"/>
            </w:tcBorders>
            <w:noWrap w:val="0"/>
            <w:vAlign w:val="top"/>
          </w:tcPr>
          <w:p w14:paraId="102FD23C">
            <w:pPr>
              <w:keepNext w:val="0"/>
              <w:keepLines w:val="0"/>
              <w:pageBreakBefore w:val="0"/>
              <w:widowControl w:val="0"/>
              <w:kinsoku/>
              <w:wordWrap/>
              <w:overflowPunct/>
              <w:topLinePunct w:val="0"/>
              <w:autoSpaceDE/>
              <w:autoSpaceDN/>
              <w:bidi w:val="0"/>
              <w:adjustRightInd/>
              <w:snapToGrid w:val="0"/>
              <w:spacing w:line="360" w:lineRule="exact"/>
              <w:textAlignment w:val="auto"/>
              <w:rPr>
                <w:rFonts w:ascii="宋体" w:hAnsi="宋体" w:eastAsia="宋体"/>
                <w:color w:val="auto"/>
                <w:sz w:val="21"/>
                <w:szCs w:val="21"/>
                <w:highlight w:val="none"/>
              </w:rPr>
            </w:pPr>
          </w:p>
        </w:tc>
      </w:tr>
      <w:tr w14:paraId="713601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1" w:hRule="atLeast"/>
          <w:jc w:val="center"/>
        </w:trPr>
        <w:tc>
          <w:tcPr>
            <w:tcW w:w="1979" w:type="dxa"/>
            <w:tcBorders>
              <w:top w:val="single" w:color="auto" w:sz="4" w:space="0"/>
              <w:left w:val="single" w:color="auto" w:sz="4" w:space="0"/>
              <w:bottom w:val="single" w:color="auto" w:sz="4" w:space="0"/>
              <w:right w:val="single" w:color="auto" w:sz="4" w:space="0"/>
            </w:tcBorders>
            <w:noWrap w:val="0"/>
            <w:vAlign w:val="top"/>
          </w:tcPr>
          <w:p w14:paraId="0A6A8EF9">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2"/>
                <w:sz w:val="21"/>
                <w:szCs w:val="21"/>
                <w:highlight w:val="none"/>
                <w:lang w:val="en-US" w:eastAsia="zh-CN" w:bidi="ar-SA"/>
              </w:rPr>
            </w:pPr>
          </w:p>
        </w:tc>
        <w:tc>
          <w:tcPr>
            <w:tcW w:w="4063" w:type="dxa"/>
            <w:tcBorders>
              <w:top w:val="single" w:color="auto" w:sz="4" w:space="0"/>
              <w:left w:val="single" w:color="auto" w:sz="4" w:space="0"/>
              <w:bottom w:val="single" w:color="auto" w:sz="4" w:space="0"/>
              <w:right w:val="single" w:color="auto" w:sz="4" w:space="0"/>
            </w:tcBorders>
            <w:noWrap w:val="0"/>
            <w:vAlign w:val="top"/>
          </w:tcPr>
          <w:p w14:paraId="658F5D5A">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2"/>
                <w:sz w:val="21"/>
                <w:szCs w:val="21"/>
                <w:highlight w:val="none"/>
                <w:lang w:val="en-US" w:eastAsia="zh-CN" w:bidi="ar-SA"/>
              </w:rPr>
            </w:pPr>
          </w:p>
        </w:tc>
        <w:tc>
          <w:tcPr>
            <w:tcW w:w="1232" w:type="dxa"/>
            <w:tcBorders>
              <w:top w:val="single" w:color="auto" w:sz="4" w:space="0"/>
              <w:left w:val="single" w:color="auto" w:sz="4" w:space="0"/>
              <w:bottom w:val="single" w:color="auto" w:sz="4" w:space="0"/>
              <w:right w:val="single" w:color="auto" w:sz="4" w:space="0"/>
            </w:tcBorders>
            <w:noWrap w:val="0"/>
            <w:vAlign w:val="top"/>
          </w:tcPr>
          <w:p w14:paraId="53108D02">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ascii="宋体" w:hAnsi="宋体" w:eastAsia="宋体"/>
                <w:color w:val="auto"/>
                <w:sz w:val="21"/>
                <w:szCs w:val="21"/>
                <w:highlight w:val="none"/>
              </w:rPr>
            </w:pPr>
          </w:p>
        </w:tc>
        <w:tc>
          <w:tcPr>
            <w:tcW w:w="3083" w:type="dxa"/>
            <w:tcBorders>
              <w:top w:val="single" w:color="auto" w:sz="4" w:space="0"/>
              <w:left w:val="single" w:color="auto" w:sz="4" w:space="0"/>
              <w:bottom w:val="single" w:color="auto" w:sz="4" w:space="0"/>
              <w:right w:val="single" w:color="auto" w:sz="4" w:space="0"/>
            </w:tcBorders>
            <w:noWrap w:val="0"/>
            <w:vAlign w:val="top"/>
          </w:tcPr>
          <w:p w14:paraId="7C6AB4EE">
            <w:pPr>
              <w:keepNext w:val="0"/>
              <w:keepLines w:val="0"/>
              <w:pageBreakBefore w:val="0"/>
              <w:widowControl w:val="0"/>
              <w:kinsoku/>
              <w:wordWrap/>
              <w:overflowPunct/>
              <w:topLinePunct w:val="0"/>
              <w:autoSpaceDE/>
              <w:autoSpaceDN/>
              <w:bidi w:val="0"/>
              <w:adjustRightInd/>
              <w:snapToGrid w:val="0"/>
              <w:spacing w:line="360" w:lineRule="exact"/>
              <w:textAlignment w:val="auto"/>
              <w:rPr>
                <w:rFonts w:ascii="宋体" w:hAnsi="宋体" w:eastAsia="宋体"/>
                <w:color w:val="auto"/>
                <w:sz w:val="21"/>
                <w:szCs w:val="21"/>
                <w:highlight w:val="none"/>
              </w:rPr>
            </w:pPr>
          </w:p>
        </w:tc>
      </w:tr>
      <w:tr w14:paraId="05E525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1" w:hRule="atLeast"/>
          <w:jc w:val="center"/>
        </w:trPr>
        <w:tc>
          <w:tcPr>
            <w:tcW w:w="1979" w:type="dxa"/>
            <w:tcBorders>
              <w:top w:val="single" w:color="auto" w:sz="4" w:space="0"/>
              <w:left w:val="single" w:color="auto" w:sz="4" w:space="0"/>
              <w:bottom w:val="single" w:color="auto" w:sz="4" w:space="0"/>
              <w:right w:val="single" w:color="auto" w:sz="4" w:space="0"/>
            </w:tcBorders>
            <w:noWrap w:val="0"/>
            <w:vAlign w:val="top"/>
          </w:tcPr>
          <w:p w14:paraId="6B9493F9">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2"/>
                <w:sz w:val="21"/>
                <w:szCs w:val="21"/>
                <w:highlight w:val="none"/>
                <w:lang w:val="en-US" w:eastAsia="zh-CN" w:bidi="ar-SA"/>
              </w:rPr>
            </w:pPr>
          </w:p>
        </w:tc>
        <w:tc>
          <w:tcPr>
            <w:tcW w:w="4063" w:type="dxa"/>
            <w:tcBorders>
              <w:top w:val="single" w:color="auto" w:sz="4" w:space="0"/>
              <w:left w:val="single" w:color="auto" w:sz="4" w:space="0"/>
              <w:bottom w:val="single" w:color="auto" w:sz="4" w:space="0"/>
              <w:right w:val="single" w:color="auto" w:sz="4" w:space="0"/>
            </w:tcBorders>
            <w:noWrap w:val="0"/>
            <w:vAlign w:val="top"/>
          </w:tcPr>
          <w:p w14:paraId="7F305A98">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2"/>
                <w:sz w:val="21"/>
                <w:szCs w:val="21"/>
                <w:highlight w:val="none"/>
                <w:lang w:val="en-US" w:eastAsia="zh-CN" w:bidi="ar-SA"/>
              </w:rPr>
            </w:pPr>
          </w:p>
        </w:tc>
        <w:tc>
          <w:tcPr>
            <w:tcW w:w="1232" w:type="dxa"/>
            <w:tcBorders>
              <w:top w:val="single" w:color="auto" w:sz="4" w:space="0"/>
              <w:left w:val="single" w:color="auto" w:sz="4" w:space="0"/>
              <w:bottom w:val="single" w:color="auto" w:sz="4" w:space="0"/>
              <w:right w:val="single" w:color="auto" w:sz="4" w:space="0"/>
            </w:tcBorders>
            <w:noWrap w:val="0"/>
            <w:vAlign w:val="top"/>
          </w:tcPr>
          <w:p w14:paraId="040D77EF">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ascii="宋体" w:hAnsi="宋体" w:eastAsia="宋体"/>
                <w:color w:val="auto"/>
                <w:sz w:val="21"/>
                <w:szCs w:val="21"/>
                <w:highlight w:val="none"/>
              </w:rPr>
            </w:pPr>
          </w:p>
        </w:tc>
        <w:tc>
          <w:tcPr>
            <w:tcW w:w="3083" w:type="dxa"/>
            <w:tcBorders>
              <w:top w:val="single" w:color="auto" w:sz="4" w:space="0"/>
              <w:left w:val="single" w:color="auto" w:sz="4" w:space="0"/>
              <w:bottom w:val="single" w:color="auto" w:sz="4" w:space="0"/>
              <w:right w:val="single" w:color="auto" w:sz="4" w:space="0"/>
            </w:tcBorders>
            <w:noWrap w:val="0"/>
            <w:vAlign w:val="top"/>
          </w:tcPr>
          <w:p w14:paraId="68712FD8">
            <w:pPr>
              <w:keepNext w:val="0"/>
              <w:keepLines w:val="0"/>
              <w:pageBreakBefore w:val="0"/>
              <w:widowControl w:val="0"/>
              <w:kinsoku/>
              <w:wordWrap/>
              <w:overflowPunct/>
              <w:topLinePunct w:val="0"/>
              <w:autoSpaceDE/>
              <w:autoSpaceDN/>
              <w:bidi w:val="0"/>
              <w:adjustRightInd/>
              <w:snapToGrid w:val="0"/>
              <w:spacing w:line="360" w:lineRule="exact"/>
              <w:textAlignment w:val="auto"/>
              <w:rPr>
                <w:rFonts w:ascii="宋体" w:hAnsi="宋体" w:eastAsia="宋体"/>
                <w:color w:val="auto"/>
                <w:sz w:val="21"/>
                <w:szCs w:val="21"/>
                <w:highlight w:val="none"/>
              </w:rPr>
            </w:pPr>
          </w:p>
        </w:tc>
      </w:tr>
      <w:tr w14:paraId="221727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1" w:hRule="atLeast"/>
          <w:jc w:val="center"/>
        </w:trPr>
        <w:tc>
          <w:tcPr>
            <w:tcW w:w="1979" w:type="dxa"/>
            <w:tcBorders>
              <w:top w:val="single" w:color="auto" w:sz="4" w:space="0"/>
              <w:left w:val="single" w:color="auto" w:sz="4" w:space="0"/>
              <w:bottom w:val="single" w:color="auto" w:sz="4" w:space="0"/>
              <w:right w:val="single" w:color="auto" w:sz="4" w:space="0"/>
            </w:tcBorders>
            <w:noWrap w:val="0"/>
            <w:vAlign w:val="top"/>
          </w:tcPr>
          <w:p w14:paraId="1A9FAB2F">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2"/>
                <w:sz w:val="21"/>
                <w:szCs w:val="21"/>
                <w:highlight w:val="none"/>
                <w:lang w:val="en-US" w:eastAsia="zh-CN" w:bidi="ar-SA"/>
              </w:rPr>
            </w:pPr>
          </w:p>
        </w:tc>
        <w:tc>
          <w:tcPr>
            <w:tcW w:w="4063" w:type="dxa"/>
            <w:tcBorders>
              <w:top w:val="single" w:color="auto" w:sz="4" w:space="0"/>
              <w:left w:val="single" w:color="auto" w:sz="4" w:space="0"/>
              <w:bottom w:val="single" w:color="auto" w:sz="4" w:space="0"/>
              <w:right w:val="single" w:color="auto" w:sz="4" w:space="0"/>
            </w:tcBorders>
            <w:noWrap w:val="0"/>
            <w:vAlign w:val="top"/>
          </w:tcPr>
          <w:p w14:paraId="62A67D22">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2"/>
                <w:sz w:val="21"/>
                <w:szCs w:val="21"/>
                <w:highlight w:val="none"/>
                <w:lang w:val="en-US" w:eastAsia="zh-CN" w:bidi="ar-SA"/>
              </w:rPr>
            </w:pPr>
          </w:p>
        </w:tc>
        <w:tc>
          <w:tcPr>
            <w:tcW w:w="1232" w:type="dxa"/>
            <w:tcBorders>
              <w:top w:val="single" w:color="auto" w:sz="4" w:space="0"/>
              <w:left w:val="single" w:color="auto" w:sz="4" w:space="0"/>
              <w:bottom w:val="single" w:color="auto" w:sz="4" w:space="0"/>
              <w:right w:val="single" w:color="auto" w:sz="4" w:space="0"/>
            </w:tcBorders>
            <w:noWrap w:val="0"/>
            <w:vAlign w:val="top"/>
          </w:tcPr>
          <w:p w14:paraId="13D2A09B">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ascii="宋体" w:hAnsi="宋体" w:eastAsia="宋体"/>
                <w:color w:val="auto"/>
                <w:sz w:val="21"/>
                <w:szCs w:val="21"/>
                <w:highlight w:val="none"/>
              </w:rPr>
            </w:pPr>
          </w:p>
        </w:tc>
        <w:tc>
          <w:tcPr>
            <w:tcW w:w="3083" w:type="dxa"/>
            <w:tcBorders>
              <w:top w:val="single" w:color="auto" w:sz="4" w:space="0"/>
              <w:left w:val="single" w:color="auto" w:sz="4" w:space="0"/>
              <w:bottom w:val="single" w:color="auto" w:sz="4" w:space="0"/>
              <w:right w:val="single" w:color="auto" w:sz="4" w:space="0"/>
            </w:tcBorders>
            <w:noWrap w:val="0"/>
            <w:vAlign w:val="top"/>
          </w:tcPr>
          <w:p w14:paraId="5FB4F4AD">
            <w:pPr>
              <w:keepNext w:val="0"/>
              <w:keepLines w:val="0"/>
              <w:pageBreakBefore w:val="0"/>
              <w:widowControl w:val="0"/>
              <w:kinsoku/>
              <w:wordWrap/>
              <w:overflowPunct/>
              <w:topLinePunct w:val="0"/>
              <w:autoSpaceDE/>
              <w:autoSpaceDN/>
              <w:bidi w:val="0"/>
              <w:adjustRightInd/>
              <w:snapToGrid w:val="0"/>
              <w:spacing w:line="360" w:lineRule="exact"/>
              <w:textAlignment w:val="auto"/>
              <w:rPr>
                <w:rFonts w:ascii="宋体" w:hAnsi="宋体" w:eastAsia="宋体"/>
                <w:color w:val="auto"/>
                <w:sz w:val="21"/>
                <w:szCs w:val="21"/>
                <w:highlight w:val="none"/>
              </w:rPr>
            </w:pPr>
          </w:p>
        </w:tc>
      </w:tr>
      <w:tr w14:paraId="156FD5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1" w:hRule="atLeast"/>
          <w:jc w:val="center"/>
        </w:trPr>
        <w:tc>
          <w:tcPr>
            <w:tcW w:w="1979" w:type="dxa"/>
            <w:tcBorders>
              <w:top w:val="single" w:color="auto" w:sz="4" w:space="0"/>
              <w:left w:val="single" w:color="auto" w:sz="4" w:space="0"/>
              <w:bottom w:val="single" w:color="auto" w:sz="4" w:space="0"/>
              <w:right w:val="single" w:color="auto" w:sz="4" w:space="0"/>
            </w:tcBorders>
            <w:noWrap w:val="0"/>
            <w:vAlign w:val="top"/>
          </w:tcPr>
          <w:p w14:paraId="36E3AE73">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2"/>
                <w:sz w:val="21"/>
                <w:szCs w:val="21"/>
                <w:highlight w:val="none"/>
                <w:lang w:val="en-US" w:eastAsia="zh-CN" w:bidi="ar-SA"/>
              </w:rPr>
            </w:pPr>
          </w:p>
        </w:tc>
        <w:tc>
          <w:tcPr>
            <w:tcW w:w="4063" w:type="dxa"/>
            <w:tcBorders>
              <w:top w:val="single" w:color="auto" w:sz="4" w:space="0"/>
              <w:left w:val="single" w:color="auto" w:sz="4" w:space="0"/>
              <w:bottom w:val="single" w:color="auto" w:sz="4" w:space="0"/>
              <w:right w:val="single" w:color="auto" w:sz="4" w:space="0"/>
            </w:tcBorders>
            <w:noWrap w:val="0"/>
            <w:vAlign w:val="top"/>
          </w:tcPr>
          <w:p w14:paraId="43DF76E6">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2"/>
                <w:sz w:val="21"/>
                <w:szCs w:val="21"/>
                <w:highlight w:val="none"/>
                <w:lang w:val="en-US" w:eastAsia="zh-CN" w:bidi="ar-SA"/>
              </w:rPr>
            </w:pPr>
          </w:p>
        </w:tc>
        <w:tc>
          <w:tcPr>
            <w:tcW w:w="1232" w:type="dxa"/>
            <w:tcBorders>
              <w:top w:val="single" w:color="auto" w:sz="4" w:space="0"/>
              <w:left w:val="single" w:color="auto" w:sz="4" w:space="0"/>
              <w:bottom w:val="single" w:color="auto" w:sz="4" w:space="0"/>
              <w:right w:val="single" w:color="auto" w:sz="4" w:space="0"/>
            </w:tcBorders>
            <w:noWrap w:val="0"/>
            <w:vAlign w:val="top"/>
          </w:tcPr>
          <w:p w14:paraId="2C524F4F">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ascii="宋体" w:hAnsi="宋体" w:eastAsia="宋体"/>
                <w:color w:val="auto"/>
                <w:sz w:val="21"/>
                <w:szCs w:val="21"/>
                <w:highlight w:val="none"/>
              </w:rPr>
            </w:pPr>
          </w:p>
        </w:tc>
        <w:tc>
          <w:tcPr>
            <w:tcW w:w="3083" w:type="dxa"/>
            <w:tcBorders>
              <w:top w:val="single" w:color="auto" w:sz="4" w:space="0"/>
              <w:left w:val="single" w:color="auto" w:sz="4" w:space="0"/>
              <w:bottom w:val="single" w:color="auto" w:sz="4" w:space="0"/>
              <w:right w:val="single" w:color="auto" w:sz="4" w:space="0"/>
            </w:tcBorders>
            <w:noWrap w:val="0"/>
            <w:vAlign w:val="top"/>
          </w:tcPr>
          <w:p w14:paraId="4C5CAE34">
            <w:pPr>
              <w:keepNext w:val="0"/>
              <w:keepLines w:val="0"/>
              <w:pageBreakBefore w:val="0"/>
              <w:widowControl w:val="0"/>
              <w:kinsoku/>
              <w:wordWrap/>
              <w:overflowPunct/>
              <w:topLinePunct w:val="0"/>
              <w:autoSpaceDE/>
              <w:autoSpaceDN/>
              <w:bidi w:val="0"/>
              <w:adjustRightInd/>
              <w:snapToGrid w:val="0"/>
              <w:spacing w:line="360" w:lineRule="exact"/>
              <w:textAlignment w:val="auto"/>
              <w:rPr>
                <w:rFonts w:ascii="宋体" w:hAnsi="宋体" w:eastAsia="宋体"/>
                <w:color w:val="auto"/>
                <w:sz w:val="21"/>
                <w:szCs w:val="21"/>
                <w:highlight w:val="none"/>
              </w:rPr>
            </w:pPr>
          </w:p>
        </w:tc>
      </w:tr>
      <w:tr w14:paraId="59A1B8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1" w:hRule="atLeast"/>
          <w:jc w:val="center"/>
        </w:trPr>
        <w:tc>
          <w:tcPr>
            <w:tcW w:w="1979" w:type="dxa"/>
            <w:tcBorders>
              <w:top w:val="single" w:color="auto" w:sz="4" w:space="0"/>
              <w:left w:val="single" w:color="auto" w:sz="4" w:space="0"/>
              <w:bottom w:val="single" w:color="auto" w:sz="4" w:space="0"/>
              <w:right w:val="single" w:color="auto" w:sz="4" w:space="0"/>
            </w:tcBorders>
            <w:noWrap w:val="0"/>
            <w:vAlign w:val="top"/>
          </w:tcPr>
          <w:p w14:paraId="12F3D431">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2"/>
                <w:sz w:val="21"/>
                <w:szCs w:val="21"/>
                <w:highlight w:val="none"/>
                <w:lang w:val="en-US" w:eastAsia="zh-CN" w:bidi="ar-SA"/>
              </w:rPr>
            </w:pPr>
          </w:p>
        </w:tc>
        <w:tc>
          <w:tcPr>
            <w:tcW w:w="4063" w:type="dxa"/>
            <w:tcBorders>
              <w:top w:val="single" w:color="auto" w:sz="4" w:space="0"/>
              <w:left w:val="single" w:color="auto" w:sz="4" w:space="0"/>
              <w:bottom w:val="single" w:color="auto" w:sz="4" w:space="0"/>
              <w:right w:val="single" w:color="auto" w:sz="4" w:space="0"/>
            </w:tcBorders>
            <w:noWrap w:val="0"/>
            <w:vAlign w:val="top"/>
          </w:tcPr>
          <w:p w14:paraId="29FCE36D">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2"/>
                <w:sz w:val="21"/>
                <w:szCs w:val="21"/>
                <w:highlight w:val="none"/>
                <w:lang w:val="en-US" w:eastAsia="zh-CN" w:bidi="ar-SA"/>
              </w:rPr>
            </w:pPr>
          </w:p>
        </w:tc>
        <w:tc>
          <w:tcPr>
            <w:tcW w:w="1232" w:type="dxa"/>
            <w:tcBorders>
              <w:top w:val="single" w:color="auto" w:sz="4" w:space="0"/>
              <w:left w:val="single" w:color="auto" w:sz="4" w:space="0"/>
              <w:bottom w:val="single" w:color="auto" w:sz="4" w:space="0"/>
              <w:right w:val="single" w:color="auto" w:sz="4" w:space="0"/>
            </w:tcBorders>
            <w:noWrap w:val="0"/>
            <w:vAlign w:val="top"/>
          </w:tcPr>
          <w:p w14:paraId="5FF2780A">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ascii="宋体" w:hAnsi="宋体" w:eastAsia="宋体"/>
                <w:color w:val="auto"/>
                <w:sz w:val="21"/>
                <w:szCs w:val="21"/>
                <w:highlight w:val="none"/>
              </w:rPr>
            </w:pPr>
          </w:p>
        </w:tc>
        <w:tc>
          <w:tcPr>
            <w:tcW w:w="3083" w:type="dxa"/>
            <w:tcBorders>
              <w:top w:val="single" w:color="auto" w:sz="4" w:space="0"/>
              <w:left w:val="single" w:color="auto" w:sz="4" w:space="0"/>
              <w:bottom w:val="single" w:color="auto" w:sz="4" w:space="0"/>
              <w:right w:val="single" w:color="auto" w:sz="4" w:space="0"/>
            </w:tcBorders>
            <w:noWrap w:val="0"/>
            <w:vAlign w:val="top"/>
          </w:tcPr>
          <w:p w14:paraId="06437B53">
            <w:pPr>
              <w:keepNext w:val="0"/>
              <w:keepLines w:val="0"/>
              <w:pageBreakBefore w:val="0"/>
              <w:widowControl w:val="0"/>
              <w:kinsoku/>
              <w:wordWrap/>
              <w:overflowPunct/>
              <w:topLinePunct w:val="0"/>
              <w:autoSpaceDE/>
              <w:autoSpaceDN/>
              <w:bidi w:val="0"/>
              <w:adjustRightInd/>
              <w:snapToGrid w:val="0"/>
              <w:spacing w:line="360" w:lineRule="exact"/>
              <w:textAlignment w:val="auto"/>
              <w:rPr>
                <w:rFonts w:ascii="宋体" w:hAnsi="宋体" w:eastAsia="宋体"/>
                <w:color w:val="auto"/>
                <w:sz w:val="21"/>
                <w:szCs w:val="21"/>
                <w:highlight w:val="none"/>
              </w:rPr>
            </w:pPr>
          </w:p>
        </w:tc>
      </w:tr>
      <w:tr w14:paraId="3A7783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40" w:hRule="atLeast"/>
          <w:jc w:val="center"/>
        </w:trPr>
        <w:tc>
          <w:tcPr>
            <w:tcW w:w="1979" w:type="dxa"/>
            <w:tcBorders>
              <w:top w:val="single" w:color="auto" w:sz="4" w:space="0"/>
              <w:left w:val="single" w:color="auto" w:sz="4" w:space="0"/>
              <w:bottom w:val="single" w:color="auto" w:sz="4" w:space="0"/>
              <w:right w:val="single" w:color="auto" w:sz="4" w:space="0"/>
            </w:tcBorders>
            <w:noWrap w:val="0"/>
            <w:vAlign w:val="top"/>
          </w:tcPr>
          <w:p w14:paraId="344F2B0D">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2"/>
                <w:sz w:val="21"/>
                <w:szCs w:val="21"/>
                <w:highlight w:val="none"/>
                <w:lang w:val="en-US" w:eastAsia="zh-CN" w:bidi="ar-SA"/>
              </w:rPr>
            </w:pPr>
          </w:p>
        </w:tc>
        <w:tc>
          <w:tcPr>
            <w:tcW w:w="4063" w:type="dxa"/>
            <w:tcBorders>
              <w:top w:val="single" w:color="auto" w:sz="4" w:space="0"/>
              <w:left w:val="single" w:color="auto" w:sz="4" w:space="0"/>
              <w:bottom w:val="single" w:color="auto" w:sz="4" w:space="0"/>
              <w:right w:val="single" w:color="auto" w:sz="4" w:space="0"/>
            </w:tcBorders>
            <w:noWrap w:val="0"/>
            <w:vAlign w:val="top"/>
          </w:tcPr>
          <w:p w14:paraId="0DF0F39E">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2"/>
                <w:sz w:val="21"/>
                <w:szCs w:val="21"/>
                <w:highlight w:val="none"/>
                <w:lang w:val="en-US" w:eastAsia="zh-CN" w:bidi="ar-SA"/>
              </w:rPr>
            </w:pPr>
          </w:p>
        </w:tc>
        <w:tc>
          <w:tcPr>
            <w:tcW w:w="1232" w:type="dxa"/>
            <w:tcBorders>
              <w:top w:val="single" w:color="auto" w:sz="4" w:space="0"/>
              <w:left w:val="single" w:color="auto" w:sz="4" w:space="0"/>
              <w:bottom w:val="single" w:color="auto" w:sz="4" w:space="0"/>
              <w:right w:val="single" w:color="auto" w:sz="4" w:space="0"/>
            </w:tcBorders>
            <w:noWrap w:val="0"/>
            <w:vAlign w:val="top"/>
          </w:tcPr>
          <w:p w14:paraId="69621EDD">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ascii="宋体" w:hAnsi="宋体" w:eastAsia="宋体"/>
                <w:color w:val="auto"/>
                <w:sz w:val="21"/>
                <w:szCs w:val="21"/>
                <w:highlight w:val="none"/>
              </w:rPr>
            </w:pPr>
          </w:p>
        </w:tc>
        <w:tc>
          <w:tcPr>
            <w:tcW w:w="3083" w:type="dxa"/>
            <w:tcBorders>
              <w:top w:val="single" w:color="auto" w:sz="4" w:space="0"/>
              <w:left w:val="single" w:color="auto" w:sz="4" w:space="0"/>
              <w:bottom w:val="single" w:color="auto" w:sz="4" w:space="0"/>
              <w:right w:val="single" w:color="auto" w:sz="4" w:space="0"/>
            </w:tcBorders>
            <w:noWrap w:val="0"/>
            <w:vAlign w:val="top"/>
          </w:tcPr>
          <w:p w14:paraId="391283C9">
            <w:pPr>
              <w:keepNext w:val="0"/>
              <w:keepLines w:val="0"/>
              <w:pageBreakBefore w:val="0"/>
              <w:widowControl w:val="0"/>
              <w:kinsoku/>
              <w:wordWrap/>
              <w:overflowPunct/>
              <w:topLinePunct w:val="0"/>
              <w:autoSpaceDE/>
              <w:autoSpaceDN/>
              <w:bidi w:val="0"/>
              <w:adjustRightInd/>
              <w:snapToGrid w:val="0"/>
              <w:spacing w:line="360" w:lineRule="exact"/>
              <w:textAlignment w:val="auto"/>
              <w:rPr>
                <w:rFonts w:ascii="宋体" w:hAnsi="宋体" w:eastAsia="宋体"/>
                <w:color w:val="auto"/>
                <w:sz w:val="21"/>
                <w:szCs w:val="21"/>
                <w:highlight w:val="none"/>
              </w:rPr>
            </w:pPr>
          </w:p>
        </w:tc>
      </w:tr>
    </w:tbl>
    <w:p w14:paraId="705C5F9F">
      <w:pPr>
        <w:snapToGrid w:val="0"/>
        <w:spacing w:line="400" w:lineRule="exact"/>
        <w:rPr>
          <w:rFonts w:ascii="宋体" w:hAnsi="宋体" w:cs="宋体"/>
          <w:b/>
          <w:color w:val="auto"/>
          <w:sz w:val="24"/>
          <w:szCs w:val="20"/>
          <w:highlight w:val="none"/>
          <w:u w:val="single"/>
        </w:rPr>
      </w:pPr>
      <w:r>
        <w:rPr>
          <w:rFonts w:hint="eastAsia" w:ascii="宋体" w:hAnsi="宋体" w:cs="宋体"/>
          <w:b/>
          <w:color w:val="auto"/>
          <w:sz w:val="24"/>
          <w:szCs w:val="20"/>
          <w:highlight w:val="none"/>
          <w:u w:val="single"/>
        </w:rPr>
        <w:t>特别说明：</w:t>
      </w:r>
    </w:p>
    <w:p w14:paraId="0806A4D0">
      <w:pPr>
        <w:snapToGrid w:val="0"/>
        <w:spacing w:before="120" w:beforeLines="50"/>
        <w:rPr>
          <w:rFonts w:ascii="宋体" w:hAnsi="宋体" w:eastAsia="宋体"/>
          <w:b/>
          <w:color w:val="auto"/>
          <w:sz w:val="24"/>
          <w:szCs w:val="20"/>
          <w:highlight w:val="none"/>
          <w:u w:val="single"/>
          <w:shd w:val="pct10" w:color="auto" w:fill="FFFFFF"/>
        </w:rPr>
      </w:pPr>
      <w:r>
        <w:rPr>
          <w:rFonts w:hint="eastAsia" w:ascii="宋体" w:hAnsi="宋体" w:cs="宋体"/>
          <w:b/>
          <w:color w:val="auto"/>
          <w:sz w:val="24"/>
          <w:highlight w:val="none"/>
          <w:u w:val="single"/>
          <w:lang w:eastAsia="zh-CN"/>
        </w:rPr>
        <w:t>1、投标人应在此表中将招标文件中列明的商务要求和技术参数要求的正偏离或负偏离的应标内容详细写明，特别是勿遗漏招标文件中打▲的商务和技术要求的应标内容。如果投标人在本响应表中缺失部分招标文件中打▲的商务和技术要求的应标内容，同时在评标委员会对其进行询标时，投标人未能在规定时间内提供出其投标文件中有该项响应内容，其投标文件将会被判定为无效。</w:t>
      </w:r>
    </w:p>
    <w:p w14:paraId="5D7ECD06">
      <w:pPr>
        <w:widowControl w:val="0"/>
        <w:snapToGrid w:val="0"/>
        <w:spacing w:after="120"/>
        <w:jc w:val="both"/>
        <w:rPr>
          <w:rFonts w:hint="eastAsia" w:ascii="宋体" w:hAnsi="宋体" w:eastAsia="宋体" w:cs="宋体"/>
          <w:b/>
          <w:color w:val="auto"/>
          <w:kern w:val="0"/>
          <w:sz w:val="24"/>
          <w:szCs w:val="24"/>
          <w:highlight w:val="none"/>
          <w:shd w:val="clear" w:color="auto" w:fill="auto"/>
          <w:lang w:val="en-US" w:eastAsia="zh-CN" w:bidi="ar-SA"/>
        </w:rPr>
      </w:pPr>
      <w:bookmarkStart w:id="268" w:name="_Toc265669851"/>
      <w:r>
        <w:rPr>
          <w:rFonts w:hint="eastAsia" w:ascii="宋体" w:hAnsi="宋体" w:eastAsia="宋体" w:cs="宋体"/>
          <w:b/>
          <w:color w:val="auto"/>
          <w:spacing w:val="20"/>
          <w:kern w:val="0"/>
          <w:sz w:val="24"/>
          <w:szCs w:val="24"/>
          <w:highlight w:val="none"/>
          <w:shd w:val="clear" w:color="auto" w:fill="auto"/>
          <w:lang w:val="en-US" w:eastAsia="zh-CN" w:bidi="ar-SA"/>
        </w:rPr>
        <w:t xml:space="preserve">法定代表人签字（或盖章）：            投标人（盖章）： </w:t>
      </w:r>
      <w:r>
        <w:rPr>
          <w:rFonts w:hint="eastAsia" w:ascii="宋体" w:hAnsi="宋体" w:eastAsia="宋体" w:cs="宋体"/>
          <w:b/>
          <w:color w:val="auto"/>
          <w:kern w:val="0"/>
          <w:sz w:val="24"/>
          <w:szCs w:val="24"/>
          <w:highlight w:val="none"/>
          <w:shd w:val="clear" w:color="auto" w:fill="auto"/>
          <w:lang w:val="en-US" w:eastAsia="zh-CN" w:bidi="ar-SA"/>
        </w:rPr>
        <w:t xml:space="preserve">           　 </w:t>
      </w:r>
    </w:p>
    <w:p w14:paraId="28BC3EF4">
      <w:pPr>
        <w:snapToGrid w:val="0"/>
        <w:spacing w:before="50" w:after="120" w:afterLines="50"/>
        <w:jc w:val="left"/>
        <w:rPr>
          <w:rFonts w:hint="eastAsia" w:ascii="宋体" w:hAnsi="宋体" w:eastAsia="宋体" w:cs="宋体"/>
          <w:b/>
          <w:color w:val="auto"/>
          <w:sz w:val="24"/>
          <w:szCs w:val="20"/>
          <w:highlight w:val="none"/>
          <w:shd w:val="clear" w:color="auto" w:fill="auto"/>
        </w:rPr>
      </w:pPr>
      <w:r>
        <w:rPr>
          <w:rFonts w:hint="eastAsia" w:ascii="宋体" w:hAnsi="宋体" w:eastAsia="宋体" w:cs="宋体"/>
          <w:b/>
          <w:color w:val="auto"/>
          <w:kern w:val="0"/>
          <w:sz w:val="24"/>
          <w:highlight w:val="none"/>
          <w:shd w:val="clear" w:color="auto" w:fill="auto"/>
        </w:rPr>
        <w:t>日期：  _____年___月___日</w:t>
      </w:r>
    </w:p>
    <w:p w14:paraId="295385B9">
      <w:pPr>
        <w:snapToGrid w:val="0"/>
        <w:spacing w:line="400" w:lineRule="exact"/>
        <w:jc w:val="left"/>
        <w:outlineLvl w:val="1"/>
        <w:rPr>
          <w:rFonts w:hint="eastAsia" w:ascii="宋体" w:hAnsi="宋体" w:cs="宋体"/>
          <w:color w:val="auto"/>
          <w:sz w:val="24"/>
          <w:highlight w:val="none"/>
        </w:rPr>
      </w:pPr>
      <w:bookmarkStart w:id="269" w:name="_Toc17246"/>
      <w:bookmarkStart w:id="270" w:name="_Toc6942"/>
      <w:r>
        <w:rPr>
          <w:rFonts w:hint="eastAsia" w:ascii="宋体" w:hAnsi="宋体" w:cs="宋体"/>
          <w:color w:val="auto"/>
          <w:sz w:val="24"/>
          <w:highlight w:val="none"/>
          <w:lang w:val="en-US" w:eastAsia="zh-CN"/>
        </w:rPr>
        <w:t>11.</w:t>
      </w:r>
      <w:r>
        <w:rPr>
          <w:rFonts w:hint="eastAsia" w:ascii="宋体" w:hAnsi="宋体" w:cs="宋体"/>
          <w:color w:val="auto"/>
          <w:sz w:val="24"/>
          <w:highlight w:val="none"/>
        </w:rPr>
        <w:t>误差率承诺函格式：</w:t>
      </w:r>
      <w:bookmarkEnd w:id="269"/>
      <w:bookmarkEnd w:id="270"/>
    </w:p>
    <w:p w14:paraId="23FB071A">
      <w:pPr>
        <w:pStyle w:val="62"/>
        <w:rPr>
          <w:rFonts w:hint="eastAsia"/>
          <w:color w:val="auto"/>
          <w:highlight w:val="none"/>
        </w:rPr>
      </w:pPr>
    </w:p>
    <w:p w14:paraId="6449390B">
      <w:pPr>
        <w:pStyle w:val="62"/>
        <w:rPr>
          <w:rFonts w:hint="eastAsia"/>
          <w:color w:val="auto"/>
          <w:highlight w:val="none"/>
        </w:rPr>
      </w:pPr>
    </w:p>
    <w:p w14:paraId="0F41F0CD">
      <w:pPr>
        <w:widowControl/>
        <w:jc w:val="center"/>
        <w:outlineLvl w:val="2"/>
        <w:rPr>
          <w:rFonts w:ascii="宋体" w:hAnsi="宋体" w:eastAsia="宋体" w:cs="Times New Roman"/>
          <w:b/>
          <w:bCs/>
          <w:color w:val="auto"/>
          <w:sz w:val="32"/>
          <w:szCs w:val="32"/>
          <w:highlight w:val="none"/>
        </w:rPr>
      </w:pPr>
      <w:bookmarkStart w:id="271" w:name="_Toc6214"/>
      <w:bookmarkStart w:id="272" w:name="_Toc3356"/>
      <w:r>
        <w:rPr>
          <w:rFonts w:hint="eastAsia" w:ascii="宋体" w:hAnsi="宋体" w:eastAsia="宋体" w:cs="Times New Roman"/>
          <w:b/>
          <w:bCs/>
          <w:color w:val="auto"/>
          <w:sz w:val="32"/>
          <w:szCs w:val="32"/>
          <w:highlight w:val="none"/>
          <w:lang w:eastAsia="zh-CN"/>
        </w:rPr>
        <w:t>预算审核误差率承诺函</w:t>
      </w:r>
      <w:bookmarkEnd w:id="271"/>
      <w:bookmarkEnd w:id="272"/>
    </w:p>
    <w:p w14:paraId="2DCA8FC9">
      <w:pPr>
        <w:widowControl/>
        <w:jc w:val="center"/>
        <w:rPr>
          <w:rFonts w:ascii="宋体" w:hAnsi="宋体" w:eastAsia="宋体" w:cs="Times New Roman"/>
          <w:b/>
          <w:bCs/>
          <w:color w:val="auto"/>
          <w:sz w:val="32"/>
          <w:szCs w:val="32"/>
          <w:highlight w:val="none"/>
        </w:rPr>
      </w:pPr>
    </w:p>
    <w:p w14:paraId="351BFFD9">
      <w:pPr>
        <w:snapToGrid w:val="0"/>
        <w:spacing w:before="120" w:beforeLines="50" w:after="50" w:line="480" w:lineRule="auto"/>
        <w:rPr>
          <w:rFonts w:ascii="宋体" w:hAnsi="宋体" w:eastAsia="宋体" w:cs="Times New Roman"/>
          <w:b/>
          <w:bCs/>
          <w:color w:val="auto"/>
          <w:sz w:val="32"/>
          <w:szCs w:val="32"/>
          <w:highlight w:val="none"/>
        </w:rPr>
      </w:pPr>
      <w:r>
        <w:rPr>
          <w:rFonts w:hint="eastAsia" w:ascii="宋体" w:hAnsi="宋体" w:eastAsia="宋体" w:cs="Times New Roman"/>
          <w:bCs/>
          <w:color w:val="auto"/>
          <w:sz w:val="24"/>
          <w:highlight w:val="none"/>
        </w:rPr>
        <w:t>项目名称：</w:t>
      </w:r>
    </w:p>
    <w:tbl>
      <w:tblPr>
        <w:tblStyle w:val="53"/>
        <w:tblpPr w:leftFromText="180" w:rightFromText="180" w:vertAnchor="text" w:horzAnchor="margin" w:tblpY="66"/>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26"/>
        <w:gridCol w:w="6471"/>
      </w:tblGrid>
      <w:tr w14:paraId="03ED33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1" w:hRule="atLeast"/>
        </w:trPr>
        <w:tc>
          <w:tcPr>
            <w:tcW w:w="2426" w:type="dxa"/>
            <w:tcBorders>
              <w:top w:val="single" w:color="auto" w:sz="4" w:space="0"/>
              <w:left w:val="single" w:color="auto" w:sz="4" w:space="0"/>
              <w:bottom w:val="single" w:color="auto" w:sz="4" w:space="0"/>
              <w:right w:val="single" w:color="auto" w:sz="4" w:space="0"/>
            </w:tcBorders>
            <w:noWrap w:val="0"/>
            <w:vAlign w:val="center"/>
          </w:tcPr>
          <w:p w14:paraId="64F99D24">
            <w:pPr>
              <w:snapToGrid w:val="0"/>
              <w:spacing w:before="120" w:beforeLines="50" w:after="50" w:line="360" w:lineRule="auto"/>
              <w:jc w:val="center"/>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类 </w:t>
            </w:r>
            <w:r>
              <w:rPr>
                <w:rFonts w:ascii="宋体" w:hAnsi="宋体" w:eastAsia="宋体" w:cs="Times New Roman"/>
                <w:b/>
                <w:bCs/>
                <w:color w:val="auto"/>
                <w:sz w:val="24"/>
                <w:highlight w:val="none"/>
              </w:rPr>
              <w:t xml:space="preserve"> </w:t>
            </w:r>
            <w:r>
              <w:rPr>
                <w:rFonts w:hint="eastAsia" w:ascii="宋体" w:hAnsi="宋体" w:eastAsia="宋体" w:cs="Times New Roman"/>
                <w:b/>
                <w:bCs/>
                <w:color w:val="auto"/>
                <w:sz w:val="24"/>
                <w:highlight w:val="none"/>
              </w:rPr>
              <w:t>别</w:t>
            </w:r>
          </w:p>
        </w:tc>
        <w:tc>
          <w:tcPr>
            <w:tcW w:w="6471" w:type="dxa"/>
            <w:tcBorders>
              <w:top w:val="single" w:color="auto" w:sz="4" w:space="0"/>
              <w:left w:val="single" w:color="auto" w:sz="4" w:space="0"/>
              <w:bottom w:val="single" w:color="auto" w:sz="4" w:space="0"/>
              <w:right w:val="single" w:color="auto" w:sz="2" w:space="0"/>
            </w:tcBorders>
            <w:noWrap w:val="0"/>
            <w:vAlign w:val="center"/>
          </w:tcPr>
          <w:p w14:paraId="4F6FAA1B">
            <w:pPr>
              <w:snapToGrid w:val="0"/>
              <w:spacing w:before="120" w:beforeLines="50" w:after="50"/>
              <w:jc w:val="center"/>
              <w:rPr>
                <w:rFonts w:hint="eastAsia" w:ascii="宋体" w:hAnsi="宋体" w:eastAsia="宋体" w:cs="Times New Roman"/>
                <w:b/>
                <w:bCs/>
                <w:color w:val="auto"/>
                <w:sz w:val="24"/>
                <w:highlight w:val="none"/>
                <w:lang w:eastAsia="zh-CN"/>
              </w:rPr>
            </w:pPr>
            <w:r>
              <w:rPr>
                <w:rFonts w:hint="eastAsia" w:ascii="宋体" w:hAnsi="宋体" w:eastAsia="宋体" w:cs="Times New Roman"/>
                <w:b/>
                <w:bCs/>
                <w:color w:val="auto"/>
                <w:sz w:val="24"/>
                <w:highlight w:val="none"/>
                <w:lang w:eastAsia="zh-CN"/>
              </w:rPr>
              <w:t>承诺内容</w:t>
            </w:r>
          </w:p>
        </w:tc>
      </w:tr>
      <w:tr w14:paraId="7A078B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62" w:hRule="atLeast"/>
        </w:trPr>
        <w:tc>
          <w:tcPr>
            <w:tcW w:w="2426" w:type="dxa"/>
            <w:tcBorders>
              <w:top w:val="single" w:color="auto" w:sz="4" w:space="0"/>
              <w:left w:val="single" w:color="auto" w:sz="4" w:space="0"/>
              <w:bottom w:val="single" w:color="auto" w:sz="4" w:space="0"/>
              <w:right w:val="single" w:color="auto" w:sz="4" w:space="0"/>
            </w:tcBorders>
            <w:noWrap w:val="0"/>
            <w:vAlign w:val="center"/>
          </w:tcPr>
          <w:p w14:paraId="7FB3F610">
            <w:pPr>
              <w:snapToGrid w:val="0"/>
              <w:spacing w:before="50" w:after="120" w:afterLines="50" w:line="360" w:lineRule="auto"/>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预算审核误差率</w:t>
            </w:r>
          </w:p>
        </w:tc>
        <w:tc>
          <w:tcPr>
            <w:tcW w:w="6471" w:type="dxa"/>
            <w:tcBorders>
              <w:top w:val="single" w:color="auto" w:sz="4" w:space="0"/>
              <w:left w:val="single" w:color="auto" w:sz="4" w:space="0"/>
              <w:bottom w:val="single" w:color="auto" w:sz="4" w:space="0"/>
              <w:right w:val="single" w:color="auto" w:sz="2" w:space="0"/>
            </w:tcBorders>
            <w:noWrap w:val="0"/>
            <w:vAlign w:val="center"/>
          </w:tcPr>
          <w:p w14:paraId="4426AFBD">
            <w:pPr>
              <w:snapToGrid w:val="0"/>
              <w:spacing w:before="50" w:after="120" w:afterLines="50" w:line="360" w:lineRule="auto"/>
              <w:jc w:val="center"/>
              <w:rPr>
                <w:rFonts w:hint="default" w:ascii="宋体" w:hAnsi="宋体" w:eastAsia="宋体" w:cs="Times New Roman"/>
                <w:color w:val="auto"/>
                <w:sz w:val="24"/>
                <w:szCs w:val="20"/>
                <w:highlight w:val="none"/>
                <w:u w:val="single"/>
                <w:lang w:val="en-US" w:eastAsia="zh-CN"/>
              </w:rPr>
            </w:pPr>
            <w:r>
              <w:rPr>
                <w:rFonts w:hint="eastAsia" w:ascii="宋体" w:hAnsi="宋体" w:eastAsia="宋体" w:cs="Times New Roman"/>
                <w:color w:val="auto"/>
                <w:sz w:val="24"/>
                <w:szCs w:val="20"/>
                <w:highlight w:val="none"/>
                <w:lang w:val="en-US" w:eastAsia="zh-CN"/>
              </w:rPr>
              <w:t>我单位承诺本项目</w:t>
            </w:r>
            <w:r>
              <w:rPr>
                <w:rFonts w:hint="eastAsia" w:ascii="宋体" w:hAnsi="宋体" w:eastAsia="宋体" w:cs="Times New Roman"/>
                <w:color w:val="auto"/>
                <w:sz w:val="24"/>
                <w:szCs w:val="20"/>
                <w:highlight w:val="none"/>
                <w:lang w:eastAsia="zh-CN"/>
              </w:rPr>
              <w:t>预算审核误差率不超过</w:t>
            </w:r>
            <w:r>
              <w:rPr>
                <w:rFonts w:hint="eastAsia" w:ascii="宋体" w:hAnsi="宋体" w:eastAsia="宋体" w:cs="Times New Roman"/>
                <w:color w:val="auto"/>
                <w:sz w:val="24"/>
                <w:highlight w:val="none"/>
              </w:rPr>
              <w:t>____</w:t>
            </w:r>
            <w:r>
              <w:rPr>
                <w:rFonts w:hint="eastAsia" w:ascii="宋体" w:hAnsi="宋体" w:eastAsia="宋体" w:cs="Times New Roman"/>
                <w:color w:val="auto"/>
                <w:sz w:val="24"/>
                <w:highlight w:val="none"/>
                <w:lang w:val="en-US" w:eastAsia="zh-CN"/>
              </w:rPr>
              <w:t>%。</w:t>
            </w:r>
          </w:p>
        </w:tc>
      </w:tr>
    </w:tbl>
    <w:p w14:paraId="56189138">
      <w:pPr>
        <w:widowControl/>
        <w:jc w:val="center"/>
        <w:rPr>
          <w:rFonts w:ascii="宋体" w:hAnsi="宋体" w:eastAsia="宋体" w:cs="Times New Roman"/>
          <w:b/>
          <w:bCs/>
          <w:color w:val="auto"/>
          <w:sz w:val="32"/>
          <w:szCs w:val="32"/>
          <w:highlight w:val="none"/>
        </w:rPr>
      </w:pPr>
    </w:p>
    <w:p w14:paraId="15EEE739">
      <w:pPr>
        <w:spacing w:line="440" w:lineRule="exact"/>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说明：</w:t>
      </w:r>
    </w:p>
    <w:p w14:paraId="211162CF">
      <w:pPr>
        <w:spacing w:line="440" w:lineRule="exact"/>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1.预算审核误差率不得超过3%。</w:t>
      </w:r>
    </w:p>
    <w:p w14:paraId="3DB96EE1">
      <w:pPr>
        <w:spacing w:line="440" w:lineRule="exact"/>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2.</w:t>
      </w:r>
      <w:r>
        <w:rPr>
          <w:rFonts w:hint="eastAsia" w:ascii="宋体" w:hAnsi="宋体" w:eastAsia="宋体" w:cs="Times New Roman"/>
          <w:b/>
          <w:bCs/>
          <w:color w:val="auto"/>
          <w:sz w:val="24"/>
          <w:highlight w:val="none"/>
          <w:lang w:val="en-US" w:eastAsia="zh-CN"/>
        </w:rPr>
        <w:t>误差率：造价成果文件中查找出（包括施工过程阶段、结算审核阶段等过程中所发现的）的编制错误的累计金额与最终修正后造价总额的比率；a.错误的累计金额以绝对值计算，出现正负值不相互抵消；b.无价材料、措施费的差错额计入误差率；c.施工阶段及结算审核阶段发现的预算审核差错额计入误差率。</w:t>
      </w:r>
    </w:p>
    <w:p w14:paraId="54C91145">
      <w:pPr>
        <w:widowControl/>
        <w:jc w:val="center"/>
        <w:rPr>
          <w:rFonts w:ascii="宋体" w:hAnsi="宋体" w:eastAsia="宋体" w:cs="Times New Roman"/>
          <w:b/>
          <w:bCs/>
          <w:color w:val="auto"/>
          <w:sz w:val="32"/>
          <w:szCs w:val="32"/>
          <w:highlight w:val="none"/>
        </w:rPr>
      </w:pPr>
    </w:p>
    <w:p w14:paraId="3396BB91">
      <w:pPr>
        <w:widowControl/>
        <w:jc w:val="center"/>
        <w:rPr>
          <w:rFonts w:ascii="宋体" w:hAnsi="宋体" w:eastAsia="宋体" w:cs="Times New Roman"/>
          <w:b/>
          <w:bCs/>
          <w:color w:val="auto"/>
          <w:sz w:val="32"/>
          <w:szCs w:val="32"/>
          <w:highlight w:val="none"/>
        </w:rPr>
      </w:pPr>
    </w:p>
    <w:p w14:paraId="3FBC634F">
      <w:pPr>
        <w:widowControl/>
        <w:jc w:val="center"/>
        <w:rPr>
          <w:rFonts w:ascii="宋体" w:hAnsi="宋体" w:eastAsia="宋体" w:cs="Times New Roman"/>
          <w:b/>
          <w:bCs/>
          <w:color w:val="auto"/>
          <w:sz w:val="32"/>
          <w:szCs w:val="32"/>
          <w:highlight w:val="none"/>
        </w:rPr>
      </w:pPr>
    </w:p>
    <w:p w14:paraId="4D0496DB">
      <w:pPr>
        <w:widowControl/>
        <w:jc w:val="center"/>
        <w:rPr>
          <w:rFonts w:ascii="宋体" w:hAnsi="宋体" w:eastAsia="宋体" w:cs="Times New Roman"/>
          <w:b/>
          <w:bCs/>
          <w:color w:val="auto"/>
          <w:sz w:val="32"/>
          <w:szCs w:val="32"/>
          <w:highlight w:val="none"/>
        </w:rPr>
      </w:pPr>
    </w:p>
    <w:p w14:paraId="06492247">
      <w:pPr>
        <w:widowControl/>
        <w:rPr>
          <w:rFonts w:hint="eastAsia" w:ascii="宋体" w:hAnsi="宋体" w:eastAsia="宋体" w:cs="Times New Roman"/>
          <w:b/>
          <w:bCs/>
          <w:color w:val="auto"/>
          <w:sz w:val="32"/>
          <w:szCs w:val="32"/>
          <w:highlight w:val="none"/>
        </w:rPr>
      </w:pPr>
    </w:p>
    <w:p w14:paraId="10A69ED9">
      <w:pPr>
        <w:widowControl w:val="0"/>
        <w:snapToGrid w:val="0"/>
        <w:spacing w:after="120"/>
        <w:jc w:val="both"/>
        <w:rPr>
          <w:rFonts w:ascii="宋体" w:hAnsi="宋体" w:eastAsia="宋体" w:cs="Times New Roman"/>
          <w:color w:val="auto"/>
          <w:kern w:val="0"/>
          <w:sz w:val="24"/>
          <w:szCs w:val="24"/>
          <w:highlight w:val="none"/>
          <w:lang w:val="en-US" w:eastAsia="zh-CN" w:bidi="ar-SA"/>
        </w:rPr>
      </w:pPr>
      <w:r>
        <w:rPr>
          <w:rFonts w:hint="eastAsia" w:ascii="宋体" w:hAnsi="宋体" w:eastAsia="宋体" w:cs="Times New Roman"/>
          <w:color w:val="auto"/>
          <w:spacing w:val="20"/>
          <w:kern w:val="0"/>
          <w:sz w:val="24"/>
          <w:szCs w:val="24"/>
          <w:highlight w:val="none"/>
          <w:lang w:val="en-US" w:eastAsia="zh-CN" w:bidi="ar-SA"/>
        </w:rPr>
        <w:t xml:space="preserve">法定代表人签字（或盖章）：            供应商（盖章）： </w:t>
      </w:r>
      <w:r>
        <w:rPr>
          <w:rFonts w:hint="eastAsia" w:ascii="宋体" w:hAnsi="宋体" w:eastAsia="宋体" w:cs="Times New Roman"/>
          <w:color w:val="auto"/>
          <w:kern w:val="0"/>
          <w:sz w:val="24"/>
          <w:szCs w:val="24"/>
          <w:highlight w:val="none"/>
          <w:lang w:val="en-US" w:eastAsia="zh-CN" w:bidi="ar-SA"/>
        </w:rPr>
        <w:t xml:space="preserve">           　 </w:t>
      </w:r>
    </w:p>
    <w:p w14:paraId="7ED04820">
      <w:pPr>
        <w:snapToGrid w:val="0"/>
        <w:spacing w:before="50" w:after="120" w:afterLines="50"/>
        <w:jc w:val="left"/>
        <w:rPr>
          <w:rFonts w:ascii="宋体" w:hAnsi="宋体" w:eastAsia="宋体" w:cs="Times New Roman"/>
          <w:color w:val="auto"/>
          <w:sz w:val="24"/>
          <w:highlight w:val="none"/>
        </w:rPr>
      </w:pPr>
    </w:p>
    <w:p w14:paraId="4D79ED48">
      <w:pPr>
        <w:snapToGrid w:val="0"/>
        <w:spacing w:before="50" w:after="120" w:afterLines="5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日期：</w:t>
      </w: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_____年___月___日</w:t>
      </w:r>
    </w:p>
    <w:p w14:paraId="34198123">
      <w:pPr>
        <w:snapToGrid w:val="0"/>
        <w:spacing w:before="50" w:after="120" w:afterLines="50"/>
        <w:jc w:val="both"/>
        <w:outlineLvl w:val="9"/>
        <w:rPr>
          <w:rFonts w:hint="eastAsia" w:ascii="宋体" w:hAnsi="宋体" w:eastAsia="宋体" w:cs="宋体"/>
          <w:b/>
          <w:color w:val="auto"/>
          <w:sz w:val="24"/>
          <w:highlight w:val="none"/>
          <w:shd w:val="clear" w:color="auto" w:fill="auto"/>
        </w:rPr>
      </w:pPr>
      <w:r>
        <w:rPr>
          <w:rFonts w:hint="eastAsia" w:ascii="宋体" w:hAnsi="宋体" w:cs="宋体"/>
          <w:color w:val="auto"/>
          <w:sz w:val="24"/>
          <w:highlight w:val="none"/>
        </w:rPr>
        <w:br w:type="page"/>
      </w:r>
    </w:p>
    <w:p w14:paraId="78E1C3FA">
      <w:pPr>
        <w:snapToGrid w:val="0"/>
        <w:spacing w:before="50" w:after="120" w:afterLines="50"/>
        <w:jc w:val="center"/>
        <w:outlineLvl w:val="0"/>
        <w:rPr>
          <w:rFonts w:hint="eastAsia" w:ascii="宋体" w:hAnsi="宋体" w:eastAsia="宋体" w:cs="宋体"/>
          <w:b/>
          <w:color w:val="auto"/>
          <w:sz w:val="30"/>
          <w:szCs w:val="30"/>
          <w:highlight w:val="none"/>
          <w:shd w:val="clear" w:color="auto" w:fill="auto"/>
        </w:rPr>
      </w:pPr>
      <w:bookmarkStart w:id="273" w:name="_Toc16395"/>
      <w:bookmarkStart w:id="274" w:name="_Toc466534754"/>
      <w:bookmarkStart w:id="275" w:name="_Toc23517"/>
      <w:bookmarkStart w:id="276" w:name="_Toc11354"/>
      <w:bookmarkStart w:id="277" w:name="_Toc16787"/>
      <w:r>
        <w:rPr>
          <w:rFonts w:hint="eastAsia" w:ascii="宋体" w:hAnsi="宋体" w:eastAsia="宋体" w:cs="宋体"/>
          <w:b/>
          <w:color w:val="auto"/>
          <w:sz w:val="30"/>
          <w:szCs w:val="30"/>
          <w:highlight w:val="none"/>
          <w:shd w:val="clear" w:color="auto" w:fill="auto"/>
        </w:rPr>
        <w:t>三、报价文件格式</w:t>
      </w:r>
      <w:bookmarkEnd w:id="268"/>
      <w:bookmarkEnd w:id="273"/>
      <w:bookmarkEnd w:id="274"/>
      <w:bookmarkEnd w:id="275"/>
      <w:bookmarkEnd w:id="276"/>
      <w:bookmarkEnd w:id="277"/>
    </w:p>
    <w:p w14:paraId="4E6E97A6">
      <w:pPr>
        <w:snapToGrid w:val="0"/>
        <w:spacing w:before="120" w:beforeLines="50" w:after="50"/>
        <w:ind w:firstLine="645"/>
        <w:jc w:val="center"/>
        <w:rPr>
          <w:rFonts w:hint="eastAsia" w:ascii="宋体" w:hAnsi="宋体" w:eastAsia="宋体" w:cs="宋体"/>
          <w:color w:val="auto"/>
          <w:sz w:val="24"/>
          <w:szCs w:val="20"/>
          <w:highlight w:val="none"/>
          <w:shd w:val="clear" w:color="auto" w:fill="auto"/>
        </w:rPr>
      </w:pPr>
      <w:r>
        <w:rPr>
          <w:rFonts w:hint="eastAsia" w:ascii="宋体" w:hAnsi="宋体" w:eastAsia="宋体" w:cs="宋体"/>
          <w:bCs/>
          <w:color w:val="auto"/>
          <w:sz w:val="24"/>
          <w:highlight w:val="none"/>
          <w:shd w:val="clear" w:color="auto" w:fill="auto"/>
        </w:rPr>
        <w:t xml:space="preserve"> </w:t>
      </w:r>
    </w:p>
    <w:p w14:paraId="74B0E2EC">
      <w:pPr>
        <w:snapToGrid w:val="0"/>
        <w:spacing w:before="120" w:beforeLines="50" w:after="50"/>
        <w:rPr>
          <w:rFonts w:hint="eastAsia" w:ascii="宋体" w:hAnsi="宋体" w:eastAsia="宋体" w:cs="宋体"/>
          <w:color w:val="auto"/>
          <w:sz w:val="24"/>
          <w:szCs w:val="20"/>
          <w:highlight w:val="none"/>
          <w:shd w:val="clear" w:color="auto" w:fill="auto"/>
        </w:rPr>
      </w:pPr>
    </w:p>
    <w:p w14:paraId="28B5A670">
      <w:pPr>
        <w:snapToGrid w:val="0"/>
        <w:spacing w:before="120" w:beforeLines="50" w:after="50"/>
        <w:rPr>
          <w:rFonts w:hint="eastAsia" w:ascii="宋体" w:hAnsi="宋体" w:eastAsia="宋体" w:cs="宋体"/>
          <w:color w:val="auto"/>
          <w:sz w:val="24"/>
          <w:szCs w:val="20"/>
          <w:highlight w:val="none"/>
          <w:shd w:val="clear" w:color="auto" w:fill="auto"/>
        </w:rPr>
      </w:pPr>
    </w:p>
    <w:p w14:paraId="69EFE896">
      <w:pPr>
        <w:snapToGrid w:val="0"/>
        <w:spacing w:before="120" w:beforeLines="50" w:after="50"/>
        <w:ind w:firstLine="560" w:firstLineChars="200"/>
        <w:outlineLvl w:val="1"/>
        <w:rPr>
          <w:rFonts w:hint="eastAsia" w:ascii="宋体" w:hAnsi="宋体" w:eastAsia="宋体" w:cs="宋体"/>
          <w:color w:val="auto"/>
          <w:sz w:val="28"/>
          <w:szCs w:val="28"/>
          <w:highlight w:val="none"/>
          <w:shd w:val="clear" w:color="auto" w:fill="auto"/>
        </w:rPr>
      </w:pPr>
      <w:bookmarkStart w:id="278" w:name="_Toc4105"/>
      <w:bookmarkStart w:id="279" w:name="_Toc23194"/>
      <w:r>
        <w:rPr>
          <w:rFonts w:hint="eastAsia" w:ascii="宋体" w:hAnsi="宋体" w:cs="宋体"/>
          <w:color w:val="auto"/>
          <w:sz w:val="28"/>
          <w:szCs w:val="28"/>
          <w:highlight w:val="none"/>
          <w:shd w:val="clear" w:color="auto" w:fill="auto"/>
          <w:lang w:val="en-US" w:eastAsia="zh-CN"/>
        </w:rPr>
        <w:t>12</w:t>
      </w:r>
      <w:r>
        <w:rPr>
          <w:rFonts w:hint="eastAsia" w:ascii="宋体" w:hAnsi="宋体" w:eastAsia="宋体" w:cs="宋体"/>
          <w:color w:val="auto"/>
          <w:sz w:val="28"/>
          <w:szCs w:val="28"/>
          <w:highlight w:val="none"/>
          <w:shd w:val="clear" w:color="auto" w:fill="auto"/>
        </w:rPr>
        <w:t>.报价文件封面格式：</w:t>
      </w:r>
      <w:bookmarkEnd w:id="278"/>
      <w:bookmarkEnd w:id="279"/>
      <w:r>
        <w:rPr>
          <w:rFonts w:hint="eastAsia" w:ascii="宋体" w:hAnsi="宋体" w:eastAsia="宋体" w:cs="宋体"/>
          <w:color w:val="auto"/>
          <w:sz w:val="28"/>
          <w:szCs w:val="28"/>
          <w:highlight w:val="none"/>
          <w:shd w:val="clear" w:color="auto" w:fill="auto"/>
        </w:rPr>
        <w:t xml:space="preserve"> </w:t>
      </w:r>
    </w:p>
    <w:p w14:paraId="4ED0A39E">
      <w:pPr>
        <w:snapToGrid w:val="0"/>
        <w:spacing w:before="120" w:beforeLines="50" w:after="50"/>
        <w:jc w:val="center"/>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报 价 文 件</w:t>
      </w:r>
    </w:p>
    <w:p w14:paraId="7906F4BF">
      <w:pPr>
        <w:snapToGrid w:val="0"/>
        <w:spacing w:before="120" w:beforeLines="50" w:after="50"/>
        <w:jc w:val="center"/>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 xml:space="preserve"> </w:t>
      </w:r>
    </w:p>
    <w:p w14:paraId="7AAC6D04">
      <w:pPr>
        <w:snapToGrid w:val="0"/>
        <w:spacing w:before="120" w:beforeLines="50" w:after="50" w:line="360" w:lineRule="auto"/>
        <w:jc w:val="center"/>
        <w:rPr>
          <w:rFonts w:hint="eastAsia" w:ascii="宋体" w:hAnsi="宋体" w:eastAsia="宋体" w:cs="宋体"/>
          <w:bCs/>
          <w:color w:val="auto"/>
          <w:sz w:val="28"/>
          <w:szCs w:val="28"/>
          <w:highlight w:val="none"/>
          <w:shd w:val="clear" w:color="auto" w:fill="auto"/>
        </w:rPr>
      </w:pPr>
    </w:p>
    <w:p w14:paraId="1C1420EA">
      <w:pPr>
        <w:snapToGrid w:val="0"/>
        <w:spacing w:before="120" w:beforeLines="50" w:after="50" w:line="360" w:lineRule="auto"/>
        <w:ind w:firstLine="1246" w:firstLineChars="445"/>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项目名称：</w:t>
      </w:r>
    </w:p>
    <w:p w14:paraId="08A00722">
      <w:pPr>
        <w:snapToGrid w:val="0"/>
        <w:spacing w:before="120" w:beforeLines="50" w:after="50" w:line="360" w:lineRule="auto"/>
        <w:ind w:firstLine="560" w:firstLineChars="200"/>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 xml:space="preserve">     项目编号：</w:t>
      </w:r>
    </w:p>
    <w:p w14:paraId="05019FD9">
      <w:pPr>
        <w:pStyle w:val="14"/>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p>
    <w:p w14:paraId="56DD9019">
      <w:pPr>
        <w:pStyle w:val="14"/>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投标人名称：</w:t>
      </w:r>
    </w:p>
    <w:p w14:paraId="10827919">
      <w:pPr>
        <w:pStyle w:val="14"/>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投标人地址：</w:t>
      </w:r>
    </w:p>
    <w:p w14:paraId="1FDFAA39">
      <w:pPr>
        <w:snapToGrid w:val="0"/>
        <w:spacing w:before="120" w:beforeLines="50" w:after="50" w:line="360" w:lineRule="auto"/>
        <w:jc w:val="center"/>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                        </w:t>
      </w:r>
    </w:p>
    <w:p w14:paraId="0EC40CDE">
      <w:pPr>
        <w:snapToGrid w:val="0"/>
        <w:spacing w:before="120" w:beforeLines="50" w:after="50" w:line="360" w:lineRule="auto"/>
        <w:jc w:val="center"/>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年  月  日</w:t>
      </w:r>
    </w:p>
    <w:p w14:paraId="4DE818D3">
      <w:pPr>
        <w:pStyle w:val="30"/>
        <w:snapToGrid w:val="0"/>
        <w:spacing w:beforeLines="0" w:afterLines="0" w:line="240" w:lineRule="auto"/>
        <w:outlineLvl w:val="1"/>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br w:type="page"/>
      </w:r>
      <w:bookmarkStart w:id="280" w:name="_Toc15598"/>
      <w:bookmarkStart w:id="281" w:name="_Toc941"/>
      <w:r>
        <w:rPr>
          <w:rFonts w:hint="eastAsia" w:ascii="宋体" w:hAnsi="宋体" w:eastAsia="宋体" w:cs="宋体"/>
          <w:color w:val="auto"/>
          <w:highlight w:val="none"/>
          <w:shd w:val="clear" w:color="auto" w:fill="auto"/>
        </w:rPr>
        <w:t>1</w:t>
      </w:r>
      <w:r>
        <w:rPr>
          <w:rFonts w:hint="eastAsia" w:hAnsi="宋体" w:cs="宋体"/>
          <w:color w:val="auto"/>
          <w:highlight w:val="none"/>
          <w:shd w:val="clear" w:color="auto" w:fill="auto"/>
          <w:lang w:val="en-US" w:eastAsia="zh-CN"/>
        </w:rPr>
        <w:t>3</w:t>
      </w:r>
      <w:r>
        <w:rPr>
          <w:rFonts w:hint="eastAsia" w:ascii="宋体" w:hAnsi="宋体" w:eastAsia="宋体" w:cs="宋体"/>
          <w:color w:val="auto"/>
          <w:highlight w:val="none"/>
          <w:shd w:val="clear" w:color="auto" w:fill="auto"/>
        </w:rPr>
        <w:t>.开标一览表格式：</w:t>
      </w:r>
      <w:bookmarkEnd w:id="280"/>
      <w:bookmarkEnd w:id="281"/>
    </w:p>
    <w:p w14:paraId="5C1D30A7">
      <w:pPr>
        <w:pStyle w:val="30"/>
        <w:snapToGrid w:val="0"/>
        <w:spacing w:beforeLines="0" w:afterLines="0" w:line="240" w:lineRule="auto"/>
        <w:jc w:val="center"/>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开标一览表</w:t>
      </w:r>
    </w:p>
    <w:p w14:paraId="60502BED">
      <w:pPr>
        <w:snapToGrid w:val="0"/>
        <w:spacing w:before="120" w:beforeLines="50" w:after="50" w:line="480" w:lineRule="auto"/>
        <w:rPr>
          <w:rFonts w:hint="eastAsia" w:ascii="宋体" w:hAnsi="宋体" w:eastAsia="宋体" w:cs="宋体"/>
          <w:b/>
          <w:color w:val="auto"/>
          <w:sz w:val="24"/>
          <w:highlight w:val="none"/>
          <w:shd w:val="clear" w:color="auto" w:fill="auto"/>
        </w:rPr>
      </w:pPr>
    </w:p>
    <w:p w14:paraId="47E99396">
      <w:pPr>
        <w:snapToGrid w:val="0"/>
        <w:spacing w:before="120" w:beforeLines="50" w:after="50" w:line="480" w:lineRule="auto"/>
        <w:ind w:firstLine="480" w:firstLineChars="200"/>
        <w:rPr>
          <w:rFonts w:hint="eastAsia" w:ascii="宋体" w:hAnsi="宋体" w:eastAsia="宋体" w:cs="宋体"/>
          <w:bCs/>
          <w:color w:val="auto"/>
          <w:sz w:val="24"/>
          <w:szCs w:val="20"/>
          <w:highlight w:val="none"/>
          <w:shd w:val="clear" w:color="auto" w:fill="auto"/>
        </w:rPr>
      </w:pPr>
      <w:r>
        <w:rPr>
          <w:rFonts w:hint="eastAsia" w:ascii="宋体" w:hAnsi="宋体" w:eastAsia="宋体" w:cs="宋体"/>
          <w:bCs/>
          <w:color w:val="auto"/>
          <w:sz w:val="24"/>
          <w:highlight w:val="none"/>
          <w:shd w:val="clear" w:color="auto" w:fill="auto"/>
        </w:rPr>
        <w:t>项目名称：</w:t>
      </w:r>
    </w:p>
    <w:p w14:paraId="6D4D7EAE">
      <w:pPr>
        <w:snapToGrid w:val="0"/>
        <w:spacing w:before="120" w:beforeLines="50" w:after="50" w:line="480" w:lineRule="auto"/>
        <w:ind w:firstLine="480" w:firstLineChars="200"/>
        <w:rPr>
          <w:rFonts w:hint="eastAsia" w:ascii="宋体" w:hAnsi="宋体" w:eastAsia="宋体" w:cs="宋体"/>
          <w:b/>
          <w:color w:val="auto"/>
          <w:sz w:val="24"/>
          <w:highlight w:val="none"/>
          <w:shd w:val="clear" w:color="auto" w:fill="auto"/>
        </w:rPr>
      </w:pPr>
      <w:r>
        <w:rPr>
          <w:rFonts w:hint="eastAsia" w:ascii="宋体" w:hAnsi="宋体" w:eastAsia="宋体" w:cs="宋体"/>
          <w:color w:val="auto"/>
          <w:sz w:val="24"/>
          <w:highlight w:val="none"/>
          <w:shd w:val="clear" w:color="auto" w:fill="auto"/>
        </w:rPr>
        <w:t>项目编号：</w:t>
      </w:r>
    </w:p>
    <w:tbl>
      <w:tblPr>
        <w:tblStyle w:val="53"/>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526"/>
        <w:gridCol w:w="1854"/>
      </w:tblGrid>
      <w:tr w14:paraId="4C85A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0"/>
            <w:vAlign w:val="top"/>
          </w:tcPr>
          <w:p w14:paraId="73EFEEFF">
            <w:pPr>
              <w:pStyle w:val="30"/>
              <w:snapToGrid w:val="0"/>
              <w:spacing w:before="120" w:after="120" w:line="240" w:lineRule="auto"/>
              <w:jc w:val="center"/>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名称</w:t>
            </w:r>
          </w:p>
        </w:tc>
        <w:tc>
          <w:tcPr>
            <w:tcW w:w="5526" w:type="dxa"/>
            <w:noWrap w:val="0"/>
            <w:vAlign w:val="top"/>
          </w:tcPr>
          <w:p w14:paraId="1164FA47">
            <w:pPr>
              <w:pStyle w:val="30"/>
              <w:snapToGrid w:val="0"/>
              <w:spacing w:before="120" w:after="120" w:line="240" w:lineRule="auto"/>
              <w:jc w:val="center"/>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内容</w:t>
            </w:r>
          </w:p>
        </w:tc>
        <w:tc>
          <w:tcPr>
            <w:tcW w:w="1854" w:type="dxa"/>
            <w:noWrap w:val="0"/>
            <w:vAlign w:val="top"/>
          </w:tcPr>
          <w:p w14:paraId="7880E53B">
            <w:pPr>
              <w:pStyle w:val="30"/>
              <w:snapToGrid w:val="0"/>
              <w:spacing w:before="120" w:after="120" w:line="240" w:lineRule="auto"/>
              <w:jc w:val="center"/>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备注</w:t>
            </w:r>
          </w:p>
        </w:tc>
      </w:tr>
      <w:tr w14:paraId="035B6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0"/>
            <w:vAlign w:val="center"/>
          </w:tcPr>
          <w:p w14:paraId="52A119C7">
            <w:pPr>
              <w:pStyle w:val="30"/>
              <w:snapToGrid w:val="0"/>
              <w:spacing w:before="120" w:after="120" w:line="240" w:lineRule="auto"/>
              <w:jc w:val="center"/>
              <w:rPr>
                <w:rFonts w:hint="eastAsia" w:ascii="宋体" w:hAnsi="宋体" w:eastAsia="宋体" w:cs="宋体"/>
                <w:b/>
                <w:color w:val="auto"/>
                <w:highlight w:val="none"/>
                <w:shd w:val="clear" w:color="auto" w:fill="auto"/>
              </w:rPr>
            </w:pPr>
          </w:p>
          <w:p w14:paraId="39E7725F">
            <w:pPr>
              <w:pStyle w:val="30"/>
              <w:snapToGrid w:val="0"/>
              <w:spacing w:beforeLines="0" w:afterLines="0" w:line="240" w:lineRule="auto"/>
              <w:jc w:val="center"/>
              <w:rPr>
                <w:rFonts w:hAnsi="宋体"/>
                <w:color w:val="auto"/>
                <w:kern w:val="2"/>
                <w:highlight w:val="none"/>
              </w:rPr>
            </w:pPr>
            <w:r>
              <w:rPr>
                <w:rFonts w:hint="eastAsia" w:hAnsi="宋体"/>
                <w:color w:val="auto"/>
                <w:kern w:val="2"/>
                <w:highlight w:val="none"/>
              </w:rPr>
              <w:t>投标总报价</w:t>
            </w:r>
          </w:p>
          <w:p w14:paraId="569C6320">
            <w:pPr>
              <w:pStyle w:val="30"/>
              <w:snapToGrid w:val="0"/>
              <w:spacing w:before="120" w:after="120" w:line="240" w:lineRule="auto"/>
              <w:jc w:val="center"/>
              <w:rPr>
                <w:rFonts w:hint="eastAsia" w:ascii="宋体" w:hAnsi="宋体" w:eastAsia="宋体" w:cs="宋体"/>
                <w:b/>
                <w:color w:val="auto"/>
                <w:highlight w:val="none"/>
                <w:shd w:val="clear" w:color="auto" w:fill="auto"/>
              </w:rPr>
            </w:pPr>
          </w:p>
          <w:p w14:paraId="3169E175">
            <w:pPr>
              <w:pStyle w:val="30"/>
              <w:snapToGrid w:val="0"/>
              <w:spacing w:before="120" w:after="120" w:line="240" w:lineRule="auto"/>
              <w:jc w:val="center"/>
              <w:rPr>
                <w:rFonts w:hint="eastAsia" w:ascii="宋体" w:hAnsi="宋体" w:eastAsia="宋体" w:cs="宋体"/>
                <w:b/>
                <w:color w:val="auto"/>
                <w:highlight w:val="none"/>
                <w:shd w:val="clear" w:color="auto" w:fill="auto"/>
              </w:rPr>
            </w:pPr>
          </w:p>
        </w:tc>
        <w:tc>
          <w:tcPr>
            <w:tcW w:w="5526" w:type="dxa"/>
            <w:noWrap w:val="0"/>
            <w:vAlign w:val="center"/>
          </w:tcPr>
          <w:p w14:paraId="1D459590">
            <w:pPr>
              <w:pStyle w:val="30"/>
              <w:snapToGrid w:val="0"/>
              <w:spacing w:before="120" w:after="120" w:line="240" w:lineRule="auto"/>
              <w:rPr>
                <w:rFonts w:hint="eastAsia" w:ascii="宋体" w:hAnsi="宋体" w:eastAsia="宋体" w:cs="宋体"/>
                <w:color w:val="auto"/>
                <w:highlight w:val="none"/>
                <w:shd w:val="clear" w:color="auto" w:fill="auto"/>
              </w:rPr>
            </w:pPr>
          </w:p>
          <w:p w14:paraId="1B3AFAAC">
            <w:pPr>
              <w:widowControl w:val="0"/>
              <w:snapToGrid w:val="0"/>
              <w:spacing w:beforeLines="0" w:afterLines="0" w:line="240" w:lineRule="auto"/>
              <w:ind w:left="240" w:hanging="240" w:hangingChars="100"/>
              <w:jc w:val="both"/>
              <w:rPr>
                <w:rFonts w:ascii="宋体" w:hAnsi="宋体" w:eastAsia="宋体" w:cs="Times New Roman"/>
                <w:color w:val="auto"/>
                <w:kern w:val="2"/>
                <w:sz w:val="24"/>
                <w:szCs w:val="24"/>
                <w:highlight w:val="none"/>
                <w:lang w:val="en-US" w:eastAsia="zh-CN" w:bidi="ar-SA"/>
              </w:rPr>
            </w:pPr>
            <w:r>
              <w:rPr>
                <w:rFonts w:hint="eastAsia" w:ascii="宋体" w:hAnsi="宋体" w:eastAsia="宋体" w:cs="宋体"/>
                <w:color w:val="auto"/>
                <w:kern w:val="2"/>
                <w:sz w:val="24"/>
                <w:szCs w:val="24"/>
                <w:highlight w:val="none"/>
                <w:shd w:val="clear" w:color="auto" w:fill="auto"/>
                <w:lang w:val="en-US" w:eastAsia="zh-CN" w:bidi="ar-SA"/>
              </w:rPr>
              <w:t>大写：人民币</w:t>
            </w:r>
            <w:r>
              <w:rPr>
                <w:rFonts w:hint="eastAsia" w:ascii="宋体" w:hAnsi="宋体" w:eastAsia="宋体" w:cs="宋体"/>
                <w:color w:val="auto"/>
                <w:kern w:val="2"/>
                <w:sz w:val="24"/>
                <w:szCs w:val="24"/>
                <w:highlight w:val="none"/>
                <w:u w:val="single"/>
                <w:shd w:val="clear" w:color="auto" w:fill="auto"/>
                <w:lang w:val="en-US" w:eastAsia="zh-CN" w:bidi="ar-SA"/>
              </w:rPr>
              <w:t xml:space="preserve">    </w:t>
            </w:r>
            <w:r>
              <w:rPr>
                <w:rFonts w:hint="eastAsia" w:ascii="宋体" w:hAnsi="宋体" w:eastAsia="宋体" w:cs="宋体"/>
                <w:color w:val="auto"/>
                <w:kern w:val="2"/>
                <w:sz w:val="24"/>
                <w:szCs w:val="24"/>
                <w:highlight w:val="none"/>
                <w:shd w:val="clear" w:color="auto" w:fill="auto"/>
                <w:lang w:val="en-US" w:eastAsia="zh-CN" w:bidi="ar-SA"/>
              </w:rPr>
              <w:t>拾</w:t>
            </w:r>
            <w:r>
              <w:rPr>
                <w:rFonts w:hint="eastAsia" w:ascii="宋体" w:hAnsi="宋体" w:eastAsia="宋体" w:cs="宋体"/>
                <w:color w:val="auto"/>
                <w:kern w:val="2"/>
                <w:sz w:val="24"/>
                <w:szCs w:val="24"/>
                <w:highlight w:val="none"/>
                <w:u w:val="single"/>
                <w:shd w:val="clear" w:color="auto" w:fill="auto"/>
                <w:lang w:val="en-US" w:eastAsia="zh-CN" w:bidi="ar-SA"/>
              </w:rPr>
              <w:t xml:space="preserve">   </w:t>
            </w:r>
            <w:r>
              <w:rPr>
                <w:rFonts w:hint="eastAsia" w:ascii="宋体" w:hAnsi="宋体" w:eastAsia="宋体" w:cs="宋体"/>
                <w:color w:val="auto"/>
                <w:kern w:val="2"/>
                <w:sz w:val="24"/>
                <w:szCs w:val="24"/>
                <w:highlight w:val="none"/>
                <w:shd w:val="clear" w:color="auto" w:fill="auto"/>
                <w:lang w:val="en-US" w:eastAsia="zh-CN" w:bidi="ar-SA"/>
              </w:rPr>
              <w:t>万</w:t>
            </w:r>
            <w:r>
              <w:rPr>
                <w:rFonts w:hint="eastAsia" w:ascii="宋体" w:hAnsi="宋体" w:eastAsia="宋体" w:cs="宋体"/>
                <w:color w:val="auto"/>
                <w:kern w:val="2"/>
                <w:sz w:val="24"/>
                <w:szCs w:val="24"/>
                <w:highlight w:val="none"/>
                <w:u w:val="single"/>
                <w:shd w:val="clear" w:color="auto" w:fill="auto"/>
                <w:lang w:val="en-US" w:eastAsia="zh-CN" w:bidi="ar-SA"/>
              </w:rPr>
              <w:t xml:space="preserve">   </w:t>
            </w:r>
            <w:r>
              <w:rPr>
                <w:rFonts w:hint="eastAsia" w:ascii="宋体" w:hAnsi="宋体" w:eastAsia="宋体" w:cs="宋体"/>
                <w:color w:val="auto"/>
                <w:kern w:val="2"/>
                <w:sz w:val="24"/>
                <w:szCs w:val="24"/>
                <w:highlight w:val="none"/>
                <w:shd w:val="clear" w:color="auto" w:fill="auto"/>
                <w:lang w:val="en-US" w:eastAsia="zh-CN" w:bidi="ar-SA"/>
              </w:rPr>
              <w:t>仟</w:t>
            </w:r>
            <w:r>
              <w:rPr>
                <w:rFonts w:hint="eastAsia" w:ascii="宋体" w:hAnsi="宋体" w:eastAsia="宋体" w:cs="宋体"/>
                <w:color w:val="auto"/>
                <w:kern w:val="2"/>
                <w:sz w:val="24"/>
                <w:szCs w:val="24"/>
                <w:highlight w:val="none"/>
                <w:u w:val="single"/>
                <w:shd w:val="clear" w:color="auto" w:fill="auto"/>
                <w:lang w:val="en-US" w:eastAsia="zh-CN" w:bidi="ar-SA"/>
              </w:rPr>
              <w:t xml:space="preserve">  </w:t>
            </w:r>
            <w:r>
              <w:rPr>
                <w:rFonts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佰</w:t>
            </w:r>
            <w:r>
              <w:rPr>
                <w:rFonts w:hint="eastAsia" w:ascii="宋体" w:hAnsi="宋体" w:eastAsia="宋体" w:cs="Times New Roman"/>
                <w:color w:val="auto"/>
                <w:kern w:val="2"/>
                <w:sz w:val="24"/>
                <w:szCs w:val="24"/>
                <w:highlight w:val="none"/>
                <w:u w:val="single"/>
                <w:lang w:val="en-US" w:eastAsia="zh-CN" w:bidi="ar-SA"/>
              </w:rPr>
              <w:t xml:space="preserve"> </w:t>
            </w:r>
            <w:r>
              <w:rPr>
                <w:rFonts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拾</w:t>
            </w:r>
          </w:p>
          <w:p w14:paraId="3F943547">
            <w:pPr>
              <w:pStyle w:val="30"/>
              <w:snapToGrid w:val="0"/>
              <w:spacing w:beforeLines="0" w:afterLines="0" w:line="240" w:lineRule="auto"/>
              <w:ind w:firstLine="720" w:firstLineChars="300"/>
              <w:rPr>
                <w:rFonts w:hint="eastAsia" w:ascii="宋体" w:hAnsi="宋体" w:eastAsia="宋体" w:cs="宋体"/>
                <w:color w:val="auto"/>
                <w:kern w:val="2"/>
                <w:highlight w:val="none"/>
                <w:shd w:val="clear" w:color="auto" w:fill="auto"/>
              </w:rPr>
            </w:pPr>
            <w:r>
              <w:rPr>
                <w:rFonts w:hint="eastAsia" w:ascii="宋体" w:hAnsi="宋体" w:eastAsia="宋体" w:cs="Times New Roman"/>
                <w:color w:val="auto"/>
                <w:kern w:val="2"/>
                <w:sz w:val="24"/>
                <w:szCs w:val="24"/>
                <w:highlight w:val="none"/>
                <w:u w:val="single"/>
                <w:lang w:val="en-US" w:eastAsia="zh-CN" w:bidi="ar-SA"/>
              </w:rPr>
              <w:t xml:space="preserve"> </w:t>
            </w:r>
            <w:r>
              <w:rPr>
                <w:rFonts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元</w:t>
            </w:r>
            <w:r>
              <w:rPr>
                <w:rFonts w:ascii="宋体" w:hAnsi="宋体" w:eastAsia="宋体" w:cs="Times New Roman"/>
                <w:color w:val="auto"/>
                <w:kern w:val="2"/>
                <w:sz w:val="24"/>
                <w:szCs w:val="24"/>
                <w:highlight w:val="none"/>
                <w:lang w:val="en-US" w:eastAsia="zh-CN" w:bidi="ar-SA"/>
              </w:rPr>
              <w:t xml:space="preserve"> </w:t>
            </w:r>
            <w:r>
              <w:rPr>
                <w:rFonts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u w:val="single"/>
                <w:lang w:val="en-US" w:eastAsia="zh-CN" w:bidi="ar-SA"/>
              </w:rPr>
              <w:t xml:space="preserve"> </w:t>
            </w:r>
            <w:r>
              <w:rPr>
                <w:rFonts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角</w:t>
            </w:r>
            <w:r>
              <w:rPr>
                <w:rFonts w:hint="eastAsia" w:ascii="宋体" w:hAnsi="宋体" w:eastAsia="宋体" w:cs="Times New Roman"/>
                <w:color w:val="auto"/>
                <w:kern w:val="2"/>
                <w:sz w:val="24"/>
                <w:szCs w:val="24"/>
                <w:highlight w:val="none"/>
                <w:u w:val="single"/>
                <w:lang w:val="en-US" w:eastAsia="zh-CN" w:bidi="ar-SA"/>
              </w:rPr>
              <w:t xml:space="preserve"> </w:t>
            </w:r>
            <w:r>
              <w:rPr>
                <w:rFonts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分</w:t>
            </w:r>
          </w:p>
          <w:p w14:paraId="60D1944C">
            <w:pPr>
              <w:pStyle w:val="30"/>
              <w:snapToGrid w:val="0"/>
              <w:spacing w:beforeLines="0" w:afterLines="0" w:line="240" w:lineRule="auto"/>
              <w:rPr>
                <w:rFonts w:hint="eastAsia" w:ascii="宋体" w:hAnsi="宋体" w:eastAsia="宋体" w:cs="宋体"/>
                <w:color w:val="auto"/>
                <w:kern w:val="2"/>
                <w:highlight w:val="none"/>
                <w:shd w:val="clear" w:color="auto" w:fill="auto"/>
              </w:rPr>
            </w:pPr>
          </w:p>
          <w:p w14:paraId="6C7A82D4">
            <w:pPr>
              <w:pStyle w:val="30"/>
              <w:snapToGrid w:val="0"/>
              <w:spacing w:beforeLines="0" w:afterLines="0" w:line="240" w:lineRule="auto"/>
              <w:rPr>
                <w:rFonts w:hint="eastAsia" w:ascii="宋体" w:hAnsi="宋体" w:eastAsia="宋体" w:cs="宋体"/>
                <w:color w:val="auto"/>
                <w:kern w:val="2"/>
                <w:highlight w:val="none"/>
                <w:shd w:val="clear" w:color="auto" w:fill="auto"/>
              </w:rPr>
            </w:pPr>
            <w:r>
              <w:rPr>
                <w:rFonts w:hint="eastAsia" w:ascii="宋体" w:hAnsi="宋体" w:eastAsia="宋体" w:cs="宋体"/>
                <w:color w:val="auto"/>
                <w:kern w:val="2"/>
                <w:highlight w:val="none"/>
                <w:shd w:val="clear" w:color="auto" w:fill="auto"/>
              </w:rPr>
              <w:t>小写：</w:t>
            </w:r>
            <w:r>
              <w:rPr>
                <w:rFonts w:hint="eastAsia" w:ascii="宋体" w:hAnsi="宋体" w:eastAsia="宋体" w:cs="宋体"/>
                <w:color w:val="auto"/>
                <w:kern w:val="2"/>
                <w:highlight w:val="none"/>
                <w:u w:val="none"/>
                <w:shd w:val="clear" w:color="auto" w:fill="auto"/>
              </w:rPr>
              <w:t>￥_________________</w:t>
            </w:r>
          </w:p>
          <w:p w14:paraId="16813439">
            <w:pPr>
              <w:rPr>
                <w:rFonts w:hint="eastAsia" w:ascii="宋体" w:hAnsi="宋体" w:eastAsia="宋体" w:cs="宋体"/>
                <w:color w:val="auto"/>
                <w:highlight w:val="none"/>
                <w:shd w:val="clear" w:color="auto" w:fill="auto"/>
              </w:rPr>
            </w:pPr>
          </w:p>
          <w:p w14:paraId="7F83D184">
            <w:pPr>
              <w:pStyle w:val="30"/>
              <w:snapToGrid w:val="0"/>
              <w:spacing w:before="120" w:after="120" w:line="240" w:lineRule="auto"/>
              <w:rPr>
                <w:rFonts w:hint="eastAsia" w:ascii="宋体" w:hAnsi="宋体" w:eastAsia="宋体" w:cs="宋体"/>
                <w:b/>
                <w:color w:val="auto"/>
                <w:highlight w:val="none"/>
                <w:shd w:val="clear" w:color="auto" w:fill="auto"/>
              </w:rPr>
            </w:pPr>
          </w:p>
        </w:tc>
        <w:tc>
          <w:tcPr>
            <w:tcW w:w="1854" w:type="dxa"/>
            <w:noWrap w:val="0"/>
            <w:vAlign w:val="top"/>
          </w:tcPr>
          <w:p w14:paraId="65EC1D40">
            <w:pPr>
              <w:rPr>
                <w:rFonts w:hint="eastAsia" w:ascii="宋体" w:hAnsi="宋体" w:eastAsia="宋体" w:cs="宋体"/>
                <w:color w:val="auto"/>
                <w:highlight w:val="none"/>
                <w:shd w:val="clear" w:color="auto" w:fill="auto"/>
                <w:lang w:val="en-US" w:eastAsia="zh-CN"/>
              </w:rPr>
            </w:pPr>
          </w:p>
        </w:tc>
      </w:tr>
    </w:tbl>
    <w:p w14:paraId="4426C317">
      <w:pPr>
        <w:pStyle w:val="30"/>
        <w:spacing w:before="120" w:after="120" w:line="240" w:lineRule="auto"/>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注：1、报价一经涂改，应在涂改处加盖单位公章或者由法定代表人签字或盖章，否则其投标作无效标处理。</w:t>
      </w:r>
    </w:p>
    <w:p w14:paraId="63F3C226">
      <w:pPr>
        <w:pStyle w:val="30"/>
        <w:numPr>
          <w:ilvl w:val="0"/>
          <w:numId w:val="0"/>
        </w:numPr>
        <w:snapToGrid w:val="0"/>
        <w:spacing w:before="120" w:beforeLines="0" w:after="120" w:afterLines="0" w:line="240" w:lineRule="auto"/>
        <w:rPr>
          <w:rFonts w:hint="eastAsia" w:ascii="宋体" w:hAnsi="宋体" w:eastAsia="宋体" w:cs="宋体"/>
          <w:b/>
          <w:color w:val="auto"/>
          <w:highlight w:val="none"/>
          <w:shd w:val="clear" w:color="auto" w:fill="auto"/>
        </w:rPr>
      </w:pPr>
    </w:p>
    <w:p w14:paraId="46C64BEB">
      <w:pPr>
        <w:pStyle w:val="30"/>
        <w:snapToGrid w:val="0"/>
        <w:spacing w:beforeLines="0" w:afterLines="0" w:line="240" w:lineRule="auto"/>
        <w:rPr>
          <w:rFonts w:hint="eastAsia" w:ascii="宋体" w:hAnsi="宋体" w:eastAsia="宋体" w:cs="宋体"/>
          <w:color w:val="auto"/>
          <w:spacing w:val="20"/>
          <w:highlight w:val="none"/>
          <w:shd w:val="clear" w:color="auto" w:fill="auto"/>
        </w:rPr>
      </w:pPr>
    </w:p>
    <w:p w14:paraId="6309F86F">
      <w:pPr>
        <w:pStyle w:val="30"/>
        <w:snapToGrid w:val="0"/>
        <w:spacing w:beforeLines="0" w:afterLines="0" w:line="240" w:lineRule="auto"/>
        <w:rPr>
          <w:rFonts w:hint="eastAsia" w:ascii="宋体" w:hAnsi="宋体" w:eastAsia="宋体" w:cs="宋体"/>
          <w:color w:val="auto"/>
          <w:spacing w:val="20"/>
          <w:highlight w:val="none"/>
          <w:shd w:val="clear" w:color="auto" w:fill="auto"/>
        </w:rPr>
      </w:pPr>
    </w:p>
    <w:p w14:paraId="69571375">
      <w:pPr>
        <w:pStyle w:val="30"/>
        <w:snapToGrid w:val="0"/>
        <w:spacing w:beforeLines="0" w:afterLines="0" w:line="240" w:lineRule="auto"/>
        <w:rPr>
          <w:rFonts w:hint="eastAsia" w:ascii="宋体" w:hAnsi="宋体" w:eastAsia="宋体" w:cs="宋体"/>
          <w:b/>
          <w:color w:val="auto"/>
          <w:spacing w:val="20"/>
          <w:highlight w:val="none"/>
          <w:shd w:val="clear" w:color="auto" w:fill="auto"/>
        </w:rPr>
      </w:pPr>
      <w:r>
        <w:rPr>
          <w:rFonts w:hint="eastAsia" w:ascii="宋体" w:hAnsi="宋体" w:eastAsia="宋体" w:cs="宋体"/>
          <w:b/>
          <w:color w:val="auto"/>
          <w:spacing w:val="20"/>
          <w:highlight w:val="none"/>
          <w:shd w:val="clear" w:color="auto" w:fill="auto"/>
        </w:rPr>
        <w:t xml:space="preserve">法定代表人签字（或盖章）：            投标人（盖章）：  </w:t>
      </w:r>
    </w:p>
    <w:p w14:paraId="2A0176F2">
      <w:pPr>
        <w:pStyle w:val="30"/>
        <w:snapToGrid w:val="0"/>
        <w:spacing w:beforeLines="0" w:afterLines="0" w:line="240" w:lineRule="auto"/>
        <w:rPr>
          <w:rFonts w:hint="eastAsia" w:ascii="宋体" w:hAnsi="宋体" w:eastAsia="宋体" w:cs="宋体"/>
          <w:b/>
          <w:color w:val="auto"/>
          <w:highlight w:val="none"/>
          <w:shd w:val="clear" w:color="auto" w:fill="auto"/>
        </w:rPr>
      </w:pPr>
    </w:p>
    <w:p w14:paraId="0F392886">
      <w:pPr>
        <w:snapToGrid w:val="0"/>
        <w:spacing w:before="50" w:after="120" w:afterLines="50"/>
        <w:jc w:val="left"/>
        <w:rPr>
          <w:rFonts w:hint="eastAsia" w:ascii="宋体" w:hAnsi="宋体" w:eastAsia="宋体" w:cs="宋体"/>
          <w:b/>
          <w:color w:val="auto"/>
          <w:kern w:val="0"/>
          <w:sz w:val="24"/>
          <w:highlight w:val="none"/>
          <w:shd w:val="clear" w:color="auto" w:fill="auto"/>
        </w:rPr>
      </w:pPr>
    </w:p>
    <w:p w14:paraId="7A721C14">
      <w:pPr>
        <w:snapToGrid w:val="0"/>
        <w:spacing w:before="50" w:after="120" w:afterLines="50"/>
        <w:jc w:val="left"/>
        <w:rPr>
          <w:rFonts w:hint="eastAsia" w:ascii="宋体" w:hAnsi="宋体" w:eastAsia="宋体" w:cs="宋体"/>
          <w:b/>
          <w:color w:val="auto"/>
          <w:sz w:val="24"/>
          <w:szCs w:val="20"/>
          <w:highlight w:val="none"/>
          <w:shd w:val="clear" w:color="auto" w:fill="auto"/>
        </w:rPr>
      </w:pPr>
      <w:r>
        <w:rPr>
          <w:rFonts w:hint="eastAsia" w:ascii="宋体" w:hAnsi="宋体" w:eastAsia="宋体" w:cs="宋体"/>
          <w:b/>
          <w:color w:val="auto"/>
          <w:kern w:val="0"/>
          <w:sz w:val="24"/>
          <w:highlight w:val="none"/>
          <w:shd w:val="clear" w:color="auto" w:fill="auto"/>
        </w:rPr>
        <w:t>日期：  _____年___月___日</w:t>
      </w:r>
    </w:p>
    <w:p w14:paraId="07239E2B">
      <w:pPr>
        <w:pStyle w:val="30"/>
        <w:snapToGrid w:val="0"/>
        <w:spacing w:beforeLines="0" w:afterLines="0" w:line="240" w:lineRule="auto"/>
        <w:rPr>
          <w:rFonts w:hint="eastAsia" w:ascii="宋体" w:hAnsi="宋体" w:eastAsia="宋体" w:cs="宋体"/>
          <w:color w:val="auto"/>
          <w:highlight w:val="none"/>
          <w:shd w:val="clear" w:color="auto" w:fill="auto"/>
        </w:rPr>
      </w:pPr>
    </w:p>
    <w:p w14:paraId="231CF7ED">
      <w:pPr>
        <w:pStyle w:val="30"/>
        <w:snapToGrid w:val="0"/>
        <w:spacing w:beforeLines="0" w:afterLines="0" w:line="240" w:lineRule="auto"/>
        <w:rPr>
          <w:rFonts w:hint="eastAsia" w:ascii="宋体" w:hAnsi="宋体" w:eastAsia="宋体" w:cs="宋体"/>
          <w:color w:val="auto"/>
          <w:highlight w:val="none"/>
          <w:shd w:val="clear" w:color="auto" w:fill="auto"/>
        </w:rPr>
      </w:pPr>
    </w:p>
    <w:p w14:paraId="1B9710B7">
      <w:pPr>
        <w:pStyle w:val="14"/>
        <w:rPr>
          <w:rFonts w:hint="eastAsia" w:ascii="宋体" w:hAnsi="宋体" w:eastAsia="宋体" w:cs="宋体"/>
          <w:color w:val="auto"/>
          <w:highlight w:val="none"/>
          <w:shd w:val="clear" w:color="auto" w:fill="auto"/>
        </w:rPr>
      </w:pPr>
    </w:p>
    <w:p w14:paraId="2738DE6F">
      <w:pPr>
        <w:pStyle w:val="14"/>
        <w:rPr>
          <w:rFonts w:hint="eastAsia" w:ascii="宋体" w:hAnsi="宋体" w:eastAsia="宋体" w:cs="宋体"/>
          <w:color w:val="auto"/>
          <w:highlight w:val="none"/>
          <w:shd w:val="clear" w:color="auto" w:fill="auto"/>
        </w:rPr>
      </w:pPr>
    </w:p>
    <w:p w14:paraId="43FE487E">
      <w:pPr>
        <w:pStyle w:val="14"/>
        <w:rPr>
          <w:rFonts w:hint="eastAsia" w:ascii="宋体" w:hAnsi="宋体" w:eastAsia="宋体" w:cs="宋体"/>
          <w:color w:val="auto"/>
          <w:highlight w:val="none"/>
          <w:shd w:val="clear" w:color="auto" w:fill="auto"/>
        </w:rPr>
      </w:pPr>
    </w:p>
    <w:p w14:paraId="3D242BB4">
      <w:pPr>
        <w:pStyle w:val="14"/>
        <w:rPr>
          <w:rFonts w:hint="eastAsia" w:ascii="宋体" w:hAnsi="宋体" w:eastAsia="宋体" w:cs="宋体"/>
          <w:color w:val="auto"/>
          <w:highlight w:val="none"/>
          <w:shd w:val="clear" w:color="auto" w:fill="auto"/>
        </w:rPr>
      </w:pPr>
    </w:p>
    <w:p w14:paraId="644C5EF4">
      <w:pPr>
        <w:pStyle w:val="14"/>
        <w:rPr>
          <w:rFonts w:hint="eastAsia" w:ascii="宋体" w:hAnsi="宋体" w:eastAsia="宋体" w:cs="宋体"/>
          <w:color w:val="auto"/>
          <w:highlight w:val="none"/>
          <w:shd w:val="clear" w:color="auto" w:fill="auto"/>
        </w:rPr>
      </w:pPr>
    </w:p>
    <w:p w14:paraId="5EC64385">
      <w:pPr>
        <w:pStyle w:val="14"/>
        <w:rPr>
          <w:rFonts w:hint="eastAsia" w:ascii="宋体" w:hAnsi="宋体" w:eastAsia="宋体" w:cs="宋体"/>
          <w:color w:val="auto"/>
          <w:highlight w:val="none"/>
          <w:shd w:val="clear" w:color="auto" w:fill="auto"/>
        </w:rPr>
      </w:pPr>
    </w:p>
    <w:p w14:paraId="138B34CD">
      <w:pPr>
        <w:pStyle w:val="14"/>
        <w:rPr>
          <w:rFonts w:hint="eastAsia" w:ascii="宋体" w:hAnsi="宋体" w:eastAsia="宋体" w:cs="宋体"/>
          <w:color w:val="auto"/>
          <w:highlight w:val="none"/>
          <w:shd w:val="clear" w:color="auto" w:fill="auto"/>
        </w:rPr>
      </w:pPr>
    </w:p>
    <w:p w14:paraId="4E7F2EC9">
      <w:pPr>
        <w:pStyle w:val="14"/>
        <w:rPr>
          <w:rFonts w:hint="eastAsia" w:ascii="宋体" w:hAnsi="宋体" w:eastAsia="宋体" w:cs="宋体"/>
          <w:color w:val="auto"/>
          <w:highlight w:val="none"/>
          <w:shd w:val="clear" w:color="auto" w:fill="auto"/>
        </w:rPr>
      </w:pPr>
    </w:p>
    <w:p w14:paraId="7227E7AC">
      <w:pPr>
        <w:pStyle w:val="14"/>
        <w:rPr>
          <w:rFonts w:hint="eastAsia" w:ascii="宋体" w:hAnsi="宋体" w:eastAsia="宋体" w:cs="宋体"/>
          <w:color w:val="auto"/>
          <w:highlight w:val="none"/>
          <w:shd w:val="clear" w:color="auto" w:fill="auto"/>
        </w:rPr>
      </w:pPr>
    </w:p>
    <w:p w14:paraId="0DE93171">
      <w:pPr>
        <w:pStyle w:val="14"/>
        <w:rPr>
          <w:rFonts w:hint="eastAsia" w:ascii="宋体" w:hAnsi="宋体" w:eastAsia="宋体" w:cs="宋体"/>
          <w:color w:val="auto"/>
          <w:highlight w:val="none"/>
          <w:shd w:val="clear" w:color="auto" w:fill="auto"/>
        </w:rPr>
      </w:pPr>
    </w:p>
    <w:p w14:paraId="17131E33">
      <w:pPr>
        <w:pStyle w:val="14"/>
        <w:rPr>
          <w:rFonts w:hint="eastAsia" w:ascii="宋体" w:hAnsi="宋体" w:eastAsia="宋体" w:cs="宋体"/>
          <w:color w:val="auto"/>
          <w:highlight w:val="none"/>
          <w:shd w:val="clear" w:color="auto" w:fill="auto"/>
        </w:rPr>
      </w:pPr>
    </w:p>
    <w:p w14:paraId="4E8AB2D7">
      <w:pPr>
        <w:pStyle w:val="14"/>
        <w:rPr>
          <w:rFonts w:hint="eastAsia" w:ascii="宋体" w:hAnsi="宋体" w:eastAsia="宋体" w:cs="宋体"/>
          <w:color w:val="auto"/>
          <w:highlight w:val="none"/>
          <w:shd w:val="clear" w:color="auto" w:fill="auto"/>
        </w:rPr>
      </w:pPr>
    </w:p>
    <w:p w14:paraId="74EB2B40">
      <w:pPr>
        <w:pStyle w:val="14"/>
        <w:rPr>
          <w:rFonts w:hint="eastAsia" w:ascii="宋体" w:hAnsi="宋体" w:eastAsia="宋体" w:cs="宋体"/>
          <w:color w:val="auto"/>
          <w:highlight w:val="none"/>
          <w:shd w:val="clear" w:color="auto" w:fill="auto"/>
        </w:rPr>
      </w:pPr>
    </w:p>
    <w:p w14:paraId="6C664827">
      <w:pPr>
        <w:pStyle w:val="14"/>
        <w:rPr>
          <w:rFonts w:hint="eastAsia" w:ascii="宋体" w:hAnsi="宋体" w:eastAsia="宋体" w:cs="宋体"/>
          <w:color w:val="auto"/>
          <w:highlight w:val="none"/>
          <w:shd w:val="clear" w:color="auto" w:fill="auto"/>
        </w:rPr>
      </w:pPr>
    </w:p>
    <w:p w14:paraId="60C074F3">
      <w:pPr>
        <w:pStyle w:val="14"/>
        <w:rPr>
          <w:rFonts w:hint="eastAsia" w:ascii="宋体" w:hAnsi="宋体" w:eastAsia="宋体" w:cs="宋体"/>
          <w:color w:val="auto"/>
          <w:highlight w:val="none"/>
          <w:shd w:val="clear" w:color="auto" w:fill="auto"/>
        </w:rPr>
      </w:pPr>
    </w:p>
    <w:sectPr>
      <w:footerReference r:id="rId11" w:type="default"/>
      <w:footerReference r:id="rId12" w:type="even"/>
      <w:pgSz w:w="11906" w:h="16838"/>
      <w:pgMar w:top="1361" w:right="1361" w:bottom="1361" w:left="1361" w:header="567" w:footer="454" w:gutter="0"/>
      <w:pgNumType w:fmt="decimal"/>
      <w:cols w:space="720" w:num="1"/>
      <w:rtlGutter w:val="0"/>
      <w:docGrid w:linePitch="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03" w:usb1="288F0000" w:usb2="00000006" w:usb3="00000000" w:csb0="00040001" w:csb1="00000000"/>
  </w:font>
  <w:font w:name="Helvetica">
    <w:panose1 w:val="020B0604020202020204"/>
    <w:charset w:val="00"/>
    <w:family w:val="swiss"/>
    <w:pitch w:val="default"/>
    <w:sig w:usb0="00000000" w:usb1="00000000" w:usb2="00000000" w:usb3="00000000" w:csb0="00000000" w:csb1="00000000"/>
  </w:font>
  <w:font w:name="Arial Unicode MS">
    <w:panose1 w:val="020B0604020202020204"/>
    <w:charset w:val="86"/>
    <w:family w:val="roman"/>
    <w:pitch w:val="default"/>
    <w:sig w:usb0="FFFFFFFF" w:usb1="E9FFFFFF" w:usb2="0000003F" w:usb3="00000000" w:csb0="603F01FF" w:csb1="FFFF0000"/>
  </w:font>
  <w:font w:name="Swis721 Lt BT">
    <w:panose1 w:val="020B0403020202020204"/>
    <w:charset w:val="00"/>
    <w:family w:val="swiss"/>
    <w:pitch w:val="default"/>
    <w:sig w:usb0="00000000" w:usb1="00000000" w:usb2="00000000" w:usb3="00000000" w:csb0="00000000" w:csb1="00000000"/>
  </w:font>
  <w:font w:name="Garamond">
    <w:panose1 w:val="02020404030301010803"/>
    <w:charset w:val="00"/>
    <w:family w:val="roman"/>
    <w:pitch w:val="default"/>
    <w:sig w:usb0="00000287" w:usb1="00000000" w:usb2="00000000" w:usb3="00000000" w:csb0="0000009F" w:csb1="DFD7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华文新魏">
    <w:panose1 w:val="02010800040101010101"/>
    <w:charset w:val="86"/>
    <w:family w:val="auto"/>
    <w:pitch w:val="default"/>
    <w:sig w:usb0="00000001" w:usb1="080F0000" w:usb2="00000000" w:usb3="00000000" w:csb0="00040000" w:csb1="0000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4569DC">
    <w:pPr>
      <w:pStyle w:val="35"/>
      <w:framePr w:wrap="around" w:vAnchor="text" w:hAnchor="margin" w:xAlign="right" w:y="1"/>
      <w:rPr>
        <w:rStyle w:val="57"/>
      </w:rPr>
    </w:pPr>
    <w:r>
      <w:fldChar w:fldCharType="begin"/>
    </w:r>
    <w:r>
      <w:rPr>
        <w:rStyle w:val="57"/>
      </w:rPr>
      <w:instrText xml:space="preserve">PAGE  </w:instrText>
    </w:r>
    <w:r>
      <w:fldChar w:fldCharType="end"/>
    </w:r>
  </w:p>
  <w:p w14:paraId="69087DD7">
    <w:pPr>
      <w:pStyle w:val="3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F817C0">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04DA74">
    <w:pPr>
      <w:pStyle w:val="35"/>
      <w:framePr w:wrap="around" w:vAnchor="text" w:hAnchor="margin" w:xAlign="right" w:y="1"/>
      <w:rPr>
        <w:rStyle w:val="57"/>
      </w:rPr>
    </w:pPr>
    <w:r>
      <w:fldChar w:fldCharType="begin"/>
    </w:r>
    <w:r>
      <w:rPr>
        <w:rStyle w:val="57"/>
      </w:rPr>
      <w:instrText xml:space="preserve">PAGE  </w:instrText>
    </w:r>
    <w:r>
      <w:fldChar w:fldCharType="end"/>
    </w:r>
  </w:p>
  <w:p w14:paraId="0B6B68A6">
    <w:pPr>
      <w:pStyle w:val="35"/>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7381C4">
    <w:pPr>
      <w:pStyle w:val="35"/>
      <w:ind w:right="360" w:firstLine="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1D5ACB">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41D5ACB">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5F93F9">
    <w:pPr>
      <w:spacing w:line="236" w:lineRule="auto"/>
      <w:ind w:left="4822"/>
      <w:rPr>
        <w:rFonts w:ascii="Calibri" w:hAnsi="Calibri" w:eastAsia="Calibri" w:cs="Calibri"/>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AC81BD3">
                          <w:pPr>
                            <w:pStyle w:val="35"/>
                          </w:pPr>
                          <w:r>
                            <w:fldChar w:fldCharType="begin"/>
                          </w:r>
                          <w:r>
                            <w:instrText xml:space="preserve"> PAGE  \* MERGEFORMAT </w:instrText>
                          </w:r>
                          <w:r>
                            <w:fldChar w:fldCharType="separate"/>
                          </w:r>
                          <w:r>
                            <w:t>32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2AC81BD3">
                    <w:pPr>
                      <w:pStyle w:val="35"/>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04B6C4">
    <w:pPr>
      <w:pStyle w:val="35"/>
      <w:ind w:right="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67B4C0">
                          <w:pPr>
                            <w:pStyle w:val="35"/>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2867B4C0">
                    <w:pPr>
                      <w:pStyle w:val="35"/>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826DA7">
    <w:pPr>
      <w:pStyle w:val="35"/>
      <w:ind w:right="36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45320E">
                          <w:pPr>
                            <w:pStyle w:val="35"/>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045320E">
                    <w:pPr>
                      <w:pStyle w:val="35"/>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B90B18">
    <w:pPr>
      <w:pStyle w:val="35"/>
      <w:framePr w:wrap="around" w:vAnchor="text" w:hAnchor="margin" w:xAlign="right" w:y="1"/>
      <w:rPr>
        <w:rStyle w:val="57"/>
      </w:rPr>
    </w:pPr>
    <w:r>
      <w:fldChar w:fldCharType="begin"/>
    </w:r>
    <w:r>
      <w:rPr>
        <w:rStyle w:val="57"/>
      </w:rPr>
      <w:instrText xml:space="preserve">PAGE  </w:instrText>
    </w:r>
    <w:r>
      <w:fldChar w:fldCharType="separate"/>
    </w:r>
    <w:r>
      <w:rPr>
        <w:rStyle w:val="57"/>
      </w:rPr>
      <w:t>53</w:t>
    </w:r>
    <w:r>
      <w:fldChar w:fldCharType="end"/>
    </w:r>
  </w:p>
  <w:p w14:paraId="6EFA9362">
    <w:pPr>
      <w:pStyle w:val="3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B5D10A">
    <w:pPr>
      <w:pStyle w:val="3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834C37">
    <w:pPr>
      <w:pStyle w:val="36"/>
      <w:pBdr>
        <w:bottom w:val="none" w:color="auto" w:sz="0" w:space="1"/>
      </w:pBdr>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370DAD"/>
    <w:multiLevelType w:val="singleLevel"/>
    <w:tmpl w:val="BD370DAD"/>
    <w:lvl w:ilvl="0" w:tentative="0">
      <w:start w:val="5"/>
      <w:numFmt w:val="chineseCounting"/>
      <w:suff w:val="space"/>
      <w:lvlText w:val="第%1章"/>
      <w:lvlJc w:val="left"/>
      <w:rPr>
        <w:rFonts w:hint="eastAsia"/>
      </w:rPr>
    </w:lvl>
  </w:abstractNum>
  <w:abstractNum w:abstractNumId="1">
    <w:nsid w:val="FFFFFFFE"/>
    <w:multiLevelType w:val="singleLevel"/>
    <w:tmpl w:val="FFFFFFFE"/>
    <w:lvl w:ilvl="0" w:tentative="0">
      <w:start w:val="0"/>
      <w:numFmt w:val="bullet"/>
      <w:lvlText w:val="*"/>
      <w:lvlJc w:val="left"/>
    </w:lvl>
  </w:abstractNum>
  <w:abstractNum w:abstractNumId="2">
    <w:nsid w:val="00000003"/>
    <w:multiLevelType w:val="multilevel"/>
    <w:tmpl w:val="00000003"/>
    <w:lvl w:ilvl="0" w:tentative="0">
      <w:start w:val="1"/>
      <w:numFmt w:val="bullet"/>
      <w:pStyle w:val="369"/>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01D92129"/>
    <w:multiLevelType w:val="multilevel"/>
    <w:tmpl w:val="01D92129"/>
    <w:lvl w:ilvl="0" w:tentative="0">
      <w:start w:val="1"/>
      <w:numFmt w:val="bullet"/>
      <w:pStyle w:val="248"/>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4">
    <w:nsid w:val="08DC24F3"/>
    <w:multiLevelType w:val="singleLevel"/>
    <w:tmpl w:val="08DC24F3"/>
    <w:lvl w:ilvl="0" w:tentative="0">
      <w:start w:val="1"/>
      <w:numFmt w:val="chineseCounting"/>
      <w:suff w:val="nothing"/>
      <w:lvlText w:val="（%1）"/>
      <w:lvlJc w:val="left"/>
      <w:rPr>
        <w:rFonts w:hint="eastAsia"/>
      </w:rPr>
    </w:lvl>
  </w:abstractNum>
  <w:abstractNum w:abstractNumId="5">
    <w:nsid w:val="2A0F73DB"/>
    <w:multiLevelType w:val="singleLevel"/>
    <w:tmpl w:val="2A0F73DB"/>
    <w:lvl w:ilvl="0" w:tentative="0">
      <w:start w:val="1"/>
      <w:numFmt w:val="chineseCounting"/>
      <w:suff w:val="nothing"/>
      <w:lvlText w:val="%1、"/>
      <w:lvlJc w:val="left"/>
      <w:rPr>
        <w:rFonts w:hint="eastAsia"/>
      </w:rPr>
    </w:lvl>
  </w:abstractNum>
  <w:num w:numId="1">
    <w:abstractNumId w:val="3"/>
  </w:num>
  <w:num w:numId="2">
    <w:abstractNumId w:val="1"/>
    <w:lvlOverride w:ilvl="0">
      <w:lvl w:ilvl="0" w:tentative="1">
        <w:start w:val="0"/>
        <w:numFmt w:val="bullet"/>
        <w:pStyle w:val="333"/>
        <w:lvlText w:val=""/>
        <w:legacy w:legacy="1" w:legacySpace="0" w:legacyIndent="360"/>
        <w:lvlJc w:val="left"/>
        <w:rPr>
          <w:rFonts w:hint="default" w:ascii="Symbol" w:hAnsi="Symbol"/>
        </w:rPr>
      </w:lvl>
    </w:lvlOverride>
  </w:num>
  <w:num w:numId="3">
    <w:abstractNumId w:val="2"/>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IzYzI4YjVkMTIzOWI2NjEzZTU1Njc5ZmY4NDM5MjUifQ=="/>
    <w:docVar w:name="KSO_WPS_MARK_KEY" w:val="f2bdfa10-d1b6-45cb-8ce9-77823097af2d"/>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46CA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490"/>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2A93"/>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5A1"/>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22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798"/>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5234"/>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0C59"/>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237EC1"/>
    <w:rsid w:val="012A0989"/>
    <w:rsid w:val="01800ECB"/>
    <w:rsid w:val="01865798"/>
    <w:rsid w:val="01A30E5C"/>
    <w:rsid w:val="01A819DB"/>
    <w:rsid w:val="01CC7C92"/>
    <w:rsid w:val="01E32CC3"/>
    <w:rsid w:val="01E50D53"/>
    <w:rsid w:val="02217FDE"/>
    <w:rsid w:val="02867E41"/>
    <w:rsid w:val="028D5045"/>
    <w:rsid w:val="02D52EEC"/>
    <w:rsid w:val="02E84657"/>
    <w:rsid w:val="02E903CF"/>
    <w:rsid w:val="03537505"/>
    <w:rsid w:val="03B573ED"/>
    <w:rsid w:val="03FF6272"/>
    <w:rsid w:val="04001E75"/>
    <w:rsid w:val="04AD32F0"/>
    <w:rsid w:val="04C609C8"/>
    <w:rsid w:val="04D550AF"/>
    <w:rsid w:val="04F32B96"/>
    <w:rsid w:val="050A5E85"/>
    <w:rsid w:val="050B74B8"/>
    <w:rsid w:val="05287477"/>
    <w:rsid w:val="05543C20"/>
    <w:rsid w:val="05A94843"/>
    <w:rsid w:val="05C50C80"/>
    <w:rsid w:val="05F132AE"/>
    <w:rsid w:val="06110369"/>
    <w:rsid w:val="06272969"/>
    <w:rsid w:val="064C15F1"/>
    <w:rsid w:val="06691F53"/>
    <w:rsid w:val="06872F1A"/>
    <w:rsid w:val="068F128E"/>
    <w:rsid w:val="06A460D4"/>
    <w:rsid w:val="06B64A6C"/>
    <w:rsid w:val="06CA5CAD"/>
    <w:rsid w:val="07F910B5"/>
    <w:rsid w:val="084D71E9"/>
    <w:rsid w:val="0865499C"/>
    <w:rsid w:val="08C416C3"/>
    <w:rsid w:val="08F32F05"/>
    <w:rsid w:val="09041F23"/>
    <w:rsid w:val="09102B5A"/>
    <w:rsid w:val="091B371D"/>
    <w:rsid w:val="095C7B4D"/>
    <w:rsid w:val="097A7FD3"/>
    <w:rsid w:val="09811362"/>
    <w:rsid w:val="099537FB"/>
    <w:rsid w:val="099E2B2A"/>
    <w:rsid w:val="09CB6A81"/>
    <w:rsid w:val="09E2523A"/>
    <w:rsid w:val="0AC534D0"/>
    <w:rsid w:val="0AF92FFD"/>
    <w:rsid w:val="0B1219E8"/>
    <w:rsid w:val="0B1B7594"/>
    <w:rsid w:val="0B5B1581"/>
    <w:rsid w:val="0B632407"/>
    <w:rsid w:val="0B73122A"/>
    <w:rsid w:val="0B7C5483"/>
    <w:rsid w:val="0B901D30"/>
    <w:rsid w:val="0BF32E7C"/>
    <w:rsid w:val="0BF7590B"/>
    <w:rsid w:val="0C095733"/>
    <w:rsid w:val="0C2C32DA"/>
    <w:rsid w:val="0C3202AF"/>
    <w:rsid w:val="0C3E353A"/>
    <w:rsid w:val="0C4E2658"/>
    <w:rsid w:val="0CA535B9"/>
    <w:rsid w:val="0CBB34BE"/>
    <w:rsid w:val="0CFA3905"/>
    <w:rsid w:val="0CFE2CC9"/>
    <w:rsid w:val="0D077942"/>
    <w:rsid w:val="0D464D9C"/>
    <w:rsid w:val="0D643B3E"/>
    <w:rsid w:val="0D975D53"/>
    <w:rsid w:val="0DC67C8B"/>
    <w:rsid w:val="0DDC300B"/>
    <w:rsid w:val="0E0A588C"/>
    <w:rsid w:val="0E1D07D8"/>
    <w:rsid w:val="0E456E02"/>
    <w:rsid w:val="0E522CE9"/>
    <w:rsid w:val="0E8B3D95"/>
    <w:rsid w:val="0EAB3CCD"/>
    <w:rsid w:val="0EAF071F"/>
    <w:rsid w:val="0EC56195"/>
    <w:rsid w:val="0EED6CF0"/>
    <w:rsid w:val="0F9D3669"/>
    <w:rsid w:val="0FA74132"/>
    <w:rsid w:val="0FB155D7"/>
    <w:rsid w:val="0FE4089C"/>
    <w:rsid w:val="101E5B5C"/>
    <w:rsid w:val="102313C5"/>
    <w:rsid w:val="107B45B1"/>
    <w:rsid w:val="109E6C9D"/>
    <w:rsid w:val="10B4201D"/>
    <w:rsid w:val="10FE14EA"/>
    <w:rsid w:val="11264206"/>
    <w:rsid w:val="118F5238"/>
    <w:rsid w:val="11E5626B"/>
    <w:rsid w:val="122279C7"/>
    <w:rsid w:val="12906AB9"/>
    <w:rsid w:val="12922832"/>
    <w:rsid w:val="12AF3329"/>
    <w:rsid w:val="1307652B"/>
    <w:rsid w:val="13337B71"/>
    <w:rsid w:val="134F24D1"/>
    <w:rsid w:val="135D4BEE"/>
    <w:rsid w:val="139E738B"/>
    <w:rsid w:val="13C0517C"/>
    <w:rsid w:val="13E16B2F"/>
    <w:rsid w:val="13ED41C3"/>
    <w:rsid w:val="14203805"/>
    <w:rsid w:val="14552EB1"/>
    <w:rsid w:val="146C3ABA"/>
    <w:rsid w:val="149F4DFA"/>
    <w:rsid w:val="152564B7"/>
    <w:rsid w:val="152F4368"/>
    <w:rsid w:val="162C517E"/>
    <w:rsid w:val="165B2F3A"/>
    <w:rsid w:val="1662251B"/>
    <w:rsid w:val="167B55F1"/>
    <w:rsid w:val="168A5F69"/>
    <w:rsid w:val="173C2D6C"/>
    <w:rsid w:val="17737498"/>
    <w:rsid w:val="179C5026"/>
    <w:rsid w:val="17A10E21"/>
    <w:rsid w:val="17A82CCF"/>
    <w:rsid w:val="17AE3C6A"/>
    <w:rsid w:val="17E01949"/>
    <w:rsid w:val="18062C2E"/>
    <w:rsid w:val="180715CC"/>
    <w:rsid w:val="18300B23"/>
    <w:rsid w:val="18475E6C"/>
    <w:rsid w:val="18980367"/>
    <w:rsid w:val="19202945"/>
    <w:rsid w:val="19B5443A"/>
    <w:rsid w:val="19C257AA"/>
    <w:rsid w:val="19F426B6"/>
    <w:rsid w:val="19FB3557"/>
    <w:rsid w:val="1A78700C"/>
    <w:rsid w:val="1AB772D9"/>
    <w:rsid w:val="1AC83294"/>
    <w:rsid w:val="1AFF2141"/>
    <w:rsid w:val="1B6B1E72"/>
    <w:rsid w:val="1BC1164B"/>
    <w:rsid w:val="1BC7354C"/>
    <w:rsid w:val="1BF00C42"/>
    <w:rsid w:val="1C3C1772"/>
    <w:rsid w:val="1C551074"/>
    <w:rsid w:val="1C6B4331"/>
    <w:rsid w:val="1C8603FC"/>
    <w:rsid w:val="1CC15591"/>
    <w:rsid w:val="1CC161ED"/>
    <w:rsid w:val="1CE36C5D"/>
    <w:rsid w:val="1CF656E2"/>
    <w:rsid w:val="1D1C313C"/>
    <w:rsid w:val="1D206F87"/>
    <w:rsid w:val="1D497F91"/>
    <w:rsid w:val="1D905BC0"/>
    <w:rsid w:val="1D935D50"/>
    <w:rsid w:val="1DC85359"/>
    <w:rsid w:val="1DDC0675"/>
    <w:rsid w:val="1E264301"/>
    <w:rsid w:val="1E3124CB"/>
    <w:rsid w:val="1E4E4B81"/>
    <w:rsid w:val="1E546BED"/>
    <w:rsid w:val="1E5F6569"/>
    <w:rsid w:val="1E9D67E6"/>
    <w:rsid w:val="1EBF77D9"/>
    <w:rsid w:val="1EC9504A"/>
    <w:rsid w:val="1EE44415"/>
    <w:rsid w:val="1F446E0A"/>
    <w:rsid w:val="1F5E479D"/>
    <w:rsid w:val="1FA95A3A"/>
    <w:rsid w:val="1FB1244B"/>
    <w:rsid w:val="1FC35CE1"/>
    <w:rsid w:val="1FD07C4B"/>
    <w:rsid w:val="1FEB076F"/>
    <w:rsid w:val="200908B3"/>
    <w:rsid w:val="2010196E"/>
    <w:rsid w:val="204D1B46"/>
    <w:rsid w:val="206A7056"/>
    <w:rsid w:val="2080479F"/>
    <w:rsid w:val="20855784"/>
    <w:rsid w:val="208B2EBB"/>
    <w:rsid w:val="20AA6F98"/>
    <w:rsid w:val="20B7497A"/>
    <w:rsid w:val="20E95D13"/>
    <w:rsid w:val="211D59BC"/>
    <w:rsid w:val="214747E7"/>
    <w:rsid w:val="214F2931"/>
    <w:rsid w:val="21817CF9"/>
    <w:rsid w:val="21B156BE"/>
    <w:rsid w:val="222A5153"/>
    <w:rsid w:val="22AB790B"/>
    <w:rsid w:val="22CC769A"/>
    <w:rsid w:val="22E2371F"/>
    <w:rsid w:val="22EE0B0E"/>
    <w:rsid w:val="22F4274D"/>
    <w:rsid w:val="22FB342C"/>
    <w:rsid w:val="2375388E"/>
    <w:rsid w:val="238C5C8C"/>
    <w:rsid w:val="24156E1F"/>
    <w:rsid w:val="243F6376"/>
    <w:rsid w:val="24612AB0"/>
    <w:rsid w:val="249144EA"/>
    <w:rsid w:val="250A6257"/>
    <w:rsid w:val="250C0222"/>
    <w:rsid w:val="251B29B3"/>
    <w:rsid w:val="25501972"/>
    <w:rsid w:val="2556149D"/>
    <w:rsid w:val="25922659"/>
    <w:rsid w:val="25D23219"/>
    <w:rsid w:val="26502BE0"/>
    <w:rsid w:val="26970113"/>
    <w:rsid w:val="26F12634"/>
    <w:rsid w:val="274139B2"/>
    <w:rsid w:val="2778394C"/>
    <w:rsid w:val="27912588"/>
    <w:rsid w:val="27982FF0"/>
    <w:rsid w:val="27B0631D"/>
    <w:rsid w:val="27C0506B"/>
    <w:rsid w:val="27FA0D7D"/>
    <w:rsid w:val="28090A48"/>
    <w:rsid w:val="281D0247"/>
    <w:rsid w:val="283F41D5"/>
    <w:rsid w:val="285F2D5E"/>
    <w:rsid w:val="28685C6C"/>
    <w:rsid w:val="287953DF"/>
    <w:rsid w:val="28A765E0"/>
    <w:rsid w:val="28C606E7"/>
    <w:rsid w:val="2928518D"/>
    <w:rsid w:val="292E1EA9"/>
    <w:rsid w:val="293164B2"/>
    <w:rsid w:val="295757E3"/>
    <w:rsid w:val="295E64D6"/>
    <w:rsid w:val="299E3CAD"/>
    <w:rsid w:val="29D84B76"/>
    <w:rsid w:val="29E503DA"/>
    <w:rsid w:val="29F936CA"/>
    <w:rsid w:val="2A033781"/>
    <w:rsid w:val="2A21651D"/>
    <w:rsid w:val="2A2C6C70"/>
    <w:rsid w:val="2A6401B8"/>
    <w:rsid w:val="2A773A23"/>
    <w:rsid w:val="2A777809"/>
    <w:rsid w:val="2A7D7F8A"/>
    <w:rsid w:val="2A81520E"/>
    <w:rsid w:val="2A8B1BE9"/>
    <w:rsid w:val="2A9E64BF"/>
    <w:rsid w:val="2ADE7F6A"/>
    <w:rsid w:val="2B1A4D1A"/>
    <w:rsid w:val="2B1D5B8C"/>
    <w:rsid w:val="2B376D5B"/>
    <w:rsid w:val="2B6761B2"/>
    <w:rsid w:val="2B694BCF"/>
    <w:rsid w:val="2BB053A2"/>
    <w:rsid w:val="2BD4204E"/>
    <w:rsid w:val="2C182496"/>
    <w:rsid w:val="2C2A2F60"/>
    <w:rsid w:val="2C4712B1"/>
    <w:rsid w:val="2C576226"/>
    <w:rsid w:val="2CA945A8"/>
    <w:rsid w:val="2CAE377A"/>
    <w:rsid w:val="2CD86C3B"/>
    <w:rsid w:val="2CE54D5A"/>
    <w:rsid w:val="2CE7345E"/>
    <w:rsid w:val="2D0637A8"/>
    <w:rsid w:val="2D1265F1"/>
    <w:rsid w:val="2D1C2D62"/>
    <w:rsid w:val="2D1C6AC3"/>
    <w:rsid w:val="2D1E4F96"/>
    <w:rsid w:val="2D512439"/>
    <w:rsid w:val="2D5524DE"/>
    <w:rsid w:val="2DDC17E9"/>
    <w:rsid w:val="2E157DB0"/>
    <w:rsid w:val="2E1741E1"/>
    <w:rsid w:val="2E2C36E3"/>
    <w:rsid w:val="2E8B665B"/>
    <w:rsid w:val="2F204FF5"/>
    <w:rsid w:val="2F33417F"/>
    <w:rsid w:val="2F3407C1"/>
    <w:rsid w:val="2F80208A"/>
    <w:rsid w:val="2F813E2A"/>
    <w:rsid w:val="2F86751E"/>
    <w:rsid w:val="2FA539B8"/>
    <w:rsid w:val="2FAE38ED"/>
    <w:rsid w:val="2FC242FE"/>
    <w:rsid w:val="2FD8767E"/>
    <w:rsid w:val="2FE34275"/>
    <w:rsid w:val="2FEA5603"/>
    <w:rsid w:val="2FFF5007"/>
    <w:rsid w:val="307B44AD"/>
    <w:rsid w:val="307F0D4E"/>
    <w:rsid w:val="30FF50DE"/>
    <w:rsid w:val="311F3303"/>
    <w:rsid w:val="312608BD"/>
    <w:rsid w:val="313D3E93"/>
    <w:rsid w:val="31456F95"/>
    <w:rsid w:val="31CA1248"/>
    <w:rsid w:val="326C0551"/>
    <w:rsid w:val="32700B80"/>
    <w:rsid w:val="327F2033"/>
    <w:rsid w:val="32AC6BA0"/>
    <w:rsid w:val="32B837C2"/>
    <w:rsid w:val="32BB5EE4"/>
    <w:rsid w:val="32C179C2"/>
    <w:rsid w:val="32D43FFF"/>
    <w:rsid w:val="332901F1"/>
    <w:rsid w:val="339715FE"/>
    <w:rsid w:val="33A52EB7"/>
    <w:rsid w:val="33EB2DC4"/>
    <w:rsid w:val="34572B3B"/>
    <w:rsid w:val="3491604D"/>
    <w:rsid w:val="349408B3"/>
    <w:rsid w:val="34B23E72"/>
    <w:rsid w:val="34D0517A"/>
    <w:rsid w:val="35031B63"/>
    <w:rsid w:val="35605EF6"/>
    <w:rsid w:val="357134D2"/>
    <w:rsid w:val="35B0451D"/>
    <w:rsid w:val="35CC4F2D"/>
    <w:rsid w:val="35ED19A9"/>
    <w:rsid w:val="360C07A2"/>
    <w:rsid w:val="360C62D3"/>
    <w:rsid w:val="360D5590"/>
    <w:rsid w:val="3627310D"/>
    <w:rsid w:val="36681034"/>
    <w:rsid w:val="36BD5820"/>
    <w:rsid w:val="36CD1F52"/>
    <w:rsid w:val="36E80182"/>
    <w:rsid w:val="36FF6CC6"/>
    <w:rsid w:val="370704DF"/>
    <w:rsid w:val="378C0D4E"/>
    <w:rsid w:val="378D4986"/>
    <w:rsid w:val="378E6313"/>
    <w:rsid w:val="37B502A5"/>
    <w:rsid w:val="37B7226F"/>
    <w:rsid w:val="37B83B13"/>
    <w:rsid w:val="37E31D20"/>
    <w:rsid w:val="37E868CC"/>
    <w:rsid w:val="37EB5E6C"/>
    <w:rsid w:val="38451629"/>
    <w:rsid w:val="38481119"/>
    <w:rsid w:val="384F4255"/>
    <w:rsid w:val="38953BEA"/>
    <w:rsid w:val="391F631E"/>
    <w:rsid w:val="39223B2B"/>
    <w:rsid w:val="393022D9"/>
    <w:rsid w:val="39812B34"/>
    <w:rsid w:val="39AC0688"/>
    <w:rsid w:val="39B23C85"/>
    <w:rsid w:val="3A15327D"/>
    <w:rsid w:val="3A4B4344"/>
    <w:rsid w:val="3A67294A"/>
    <w:rsid w:val="3B286FE0"/>
    <w:rsid w:val="3BC65829"/>
    <w:rsid w:val="3BCF7C71"/>
    <w:rsid w:val="3BE35347"/>
    <w:rsid w:val="3C203934"/>
    <w:rsid w:val="3C616874"/>
    <w:rsid w:val="3C740F3C"/>
    <w:rsid w:val="3C961511"/>
    <w:rsid w:val="3CE30BD6"/>
    <w:rsid w:val="3CE5162C"/>
    <w:rsid w:val="3D0859EE"/>
    <w:rsid w:val="3D103A6D"/>
    <w:rsid w:val="3D371D90"/>
    <w:rsid w:val="3E060BAA"/>
    <w:rsid w:val="3E296A78"/>
    <w:rsid w:val="3E2E2B5F"/>
    <w:rsid w:val="3E3C527C"/>
    <w:rsid w:val="3E5161CE"/>
    <w:rsid w:val="3E8F3986"/>
    <w:rsid w:val="3E940439"/>
    <w:rsid w:val="3F275F2C"/>
    <w:rsid w:val="3F907EC4"/>
    <w:rsid w:val="3FA052A1"/>
    <w:rsid w:val="3FEF631E"/>
    <w:rsid w:val="40961988"/>
    <w:rsid w:val="40D0614F"/>
    <w:rsid w:val="41321954"/>
    <w:rsid w:val="4148307E"/>
    <w:rsid w:val="4153338C"/>
    <w:rsid w:val="420B07D3"/>
    <w:rsid w:val="42627860"/>
    <w:rsid w:val="426A21ED"/>
    <w:rsid w:val="428B0580"/>
    <w:rsid w:val="42CD3359"/>
    <w:rsid w:val="42EB54C2"/>
    <w:rsid w:val="42F535F3"/>
    <w:rsid w:val="42FD6B7E"/>
    <w:rsid w:val="42FE5862"/>
    <w:rsid w:val="433429C6"/>
    <w:rsid w:val="43670FED"/>
    <w:rsid w:val="43693E4C"/>
    <w:rsid w:val="43841508"/>
    <w:rsid w:val="43895CD4"/>
    <w:rsid w:val="43B9111D"/>
    <w:rsid w:val="440355FB"/>
    <w:rsid w:val="441E067C"/>
    <w:rsid w:val="442C7B41"/>
    <w:rsid w:val="443169CB"/>
    <w:rsid w:val="445B0426"/>
    <w:rsid w:val="44BF1FC6"/>
    <w:rsid w:val="44D426B2"/>
    <w:rsid w:val="44EE18B1"/>
    <w:rsid w:val="44EE2822"/>
    <w:rsid w:val="45440EBA"/>
    <w:rsid w:val="454964D0"/>
    <w:rsid w:val="455522F9"/>
    <w:rsid w:val="45575091"/>
    <w:rsid w:val="455E0D9D"/>
    <w:rsid w:val="45752CFC"/>
    <w:rsid w:val="4605689B"/>
    <w:rsid w:val="4622744D"/>
    <w:rsid w:val="467779B3"/>
    <w:rsid w:val="46D36999"/>
    <w:rsid w:val="473F5DDD"/>
    <w:rsid w:val="475C073D"/>
    <w:rsid w:val="476E4DA2"/>
    <w:rsid w:val="4791488A"/>
    <w:rsid w:val="47946129"/>
    <w:rsid w:val="47CC4581"/>
    <w:rsid w:val="47D429C9"/>
    <w:rsid w:val="47DB78B4"/>
    <w:rsid w:val="47E0136E"/>
    <w:rsid w:val="47F9690C"/>
    <w:rsid w:val="482451BB"/>
    <w:rsid w:val="484B616F"/>
    <w:rsid w:val="48C07928"/>
    <w:rsid w:val="48EB7FCA"/>
    <w:rsid w:val="4901159C"/>
    <w:rsid w:val="492B30FB"/>
    <w:rsid w:val="495C057F"/>
    <w:rsid w:val="496269DF"/>
    <w:rsid w:val="496A3391"/>
    <w:rsid w:val="49802FDD"/>
    <w:rsid w:val="498307A5"/>
    <w:rsid w:val="49A25AAA"/>
    <w:rsid w:val="49F7474D"/>
    <w:rsid w:val="4A32668B"/>
    <w:rsid w:val="4A595408"/>
    <w:rsid w:val="4AC62A9D"/>
    <w:rsid w:val="4B397388"/>
    <w:rsid w:val="4BAF645E"/>
    <w:rsid w:val="4BD81A64"/>
    <w:rsid w:val="4C9A7D78"/>
    <w:rsid w:val="4D16313C"/>
    <w:rsid w:val="4E125FF9"/>
    <w:rsid w:val="4E49741B"/>
    <w:rsid w:val="4E4F6905"/>
    <w:rsid w:val="4E633603"/>
    <w:rsid w:val="4E9B5FEF"/>
    <w:rsid w:val="4EB70E3E"/>
    <w:rsid w:val="4EC616DF"/>
    <w:rsid w:val="4EDD03B5"/>
    <w:rsid w:val="4EDE4D96"/>
    <w:rsid w:val="4EFD5288"/>
    <w:rsid w:val="4F0B3174"/>
    <w:rsid w:val="4F2117B1"/>
    <w:rsid w:val="4F276736"/>
    <w:rsid w:val="4F495A4B"/>
    <w:rsid w:val="4F543F63"/>
    <w:rsid w:val="4F642884"/>
    <w:rsid w:val="4FBD30E5"/>
    <w:rsid w:val="50742C8A"/>
    <w:rsid w:val="508E604F"/>
    <w:rsid w:val="50D95147"/>
    <w:rsid w:val="50DF0465"/>
    <w:rsid w:val="510F5A92"/>
    <w:rsid w:val="51226A29"/>
    <w:rsid w:val="51281690"/>
    <w:rsid w:val="51396D1F"/>
    <w:rsid w:val="514A4146"/>
    <w:rsid w:val="517A013D"/>
    <w:rsid w:val="51E446C2"/>
    <w:rsid w:val="51F60427"/>
    <w:rsid w:val="51FB0B52"/>
    <w:rsid w:val="51FD247F"/>
    <w:rsid w:val="52047F6F"/>
    <w:rsid w:val="52292F71"/>
    <w:rsid w:val="525556A2"/>
    <w:rsid w:val="527F6385"/>
    <w:rsid w:val="52E8557B"/>
    <w:rsid w:val="53536E98"/>
    <w:rsid w:val="5358625C"/>
    <w:rsid w:val="539F3E8B"/>
    <w:rsid w:val="53A76FD8"/>
    <w:rsid w:val="53D61678"/>
    <w:rsid w:val="54196611"/>
    <w:rsid w:val="541A79B6"/>
    <w:rsid w:val="5423620A"/>
    <w:rsid w:val="543427E1"/>
    <w:rsid w:val="544F350F"/>
    <w:rsid w:val="54C17E31"/>
    <w:rsid w:val="5535763A"/>
    <w:rsid w:val="55416659"/>
    <w:rsid w:val="55472A2C"/>
    <w:rsid w:val="555D0733"/>
    <w:rsid w:val="5563713A"/>
    <w:rsid w:val="556750F5"/>
    <w:rsid w:val="557058FB"/>
    <w:rsid w:val="55812D9D"/>
    <w:rsid w:val="559430BC"/>
    <w:rsid w:val="55A21A11"/>
    <w:rsid w:val="55CB4D49"/>
    <w:rsid w:val="55D42BDF"/>
    <w:rsid w:val="55FC07CB"/>
    <w:rsid w:val="563A1DB1"/>
    <w:rsid w:val="567D422C"/>
    <w:rsid w:val="56B04287"/>
    <w:rsid w:val="56C34335"/>
    <w:rsid w:val="56CB2EF7"/>
    <w:rsid w:val="56E86247"/>
    <w:rsid w:val="56F75D8C"/>
    <w:rsid w:val="570B0827"/>
    <w:rsid w:val="57497744"/>
    <w:rsid w:val="574B60D8"/>
    <w:rsid w:val="57603931"/>
    <w:rsid w:val="57923D07"/>
    <w:rsid w:val="57BB325E"/>
    <w:rsid w:val="57C6006F"/>
    <w:rsid w:val="57C6377C"/>
    <w:rsid w:val="58B6516E"/>
    <w:rsid w:val="58CF42E3"/>
    <w:rsid w:val="58EB0979"/>
    <w:rsid w:val="59075E18"/>
    <w:rsid w:val="594352B9"/>
    <w:rsid w:val="59561AE4"/>
    <w:rsid w:val="59A94009"/>
    <w:rsid w:val="59E17BDA"/>
    <w:rsid w:val="5B2300A3"/>
    <w:rsid w:val="5B2C01D0"/>
    <w:rsid w:val="5B5B0AC8"/>
    <w:rsid w:val="5B6A42B7"/>
    <w:rsid w:val="5BE10DB9"/>
    <w:rsid w:val="5C0D7E00"/>
    <w:rsid w:val="5C3B671B"/>
    <w:rsid w:val="5C6519EA"/>
    <w:rsid w:val="5C8D6B99"/>
    <w:rsid w:val="5C981DBF"/>
    <w:rsid w:val="5CFE60C6"/>
    <w:rsid w:val="5D192F00"/>
    <w:rsid w:val="5D2800D6"/>
    <w:rsid w:val="5D995DEF"/>
    <w:rsid w:val="5DC42740"/>
    <w:rsid w:val="5DD448CE"/>
    <w:rsid w:val="5DDB05A0"/>
    <w:rsid w:val="5DF6697B"/>
    <w:rsid w:val="5E0B036F"/>
    <w:rsid w:val="5E453A8B"/>
    <w:rsid w:val="5E5B4E53"/>
    <w:rsid w:val="5E8B0A0A"/>
    <w:rsid w:val="5EF83EC5"/>
    <w:rsid w:val="5EFF7ED4"/>
    <w:rsid w:val="5F074FDA"/>
    <w:rsid w:val="5F3F4774"/>
    <w:rsid w:val="5F49114F"/>
    <w:rsid w:val="5F5D4BFA"/>
    <w:rsid w:val="601B4AB2"/>
    <w:rsid w:val="6024250D"/>
    <w:rsid w:val="60536729"/>
    <w:rsid w:val="608D3733"/>
    <w:rsid w:val="60C874D3"/>
    <w:rsid w:val="612C3CB4"/>
    <w:rsid w:val="615C3CC1"/>
    <w:rsid w:val="6187432A"/>
    <w:rsid w:val="61946A44"/>
    <w:rsid w:val="61EC22BE"/>
    <w:rsid w:val="61F84B2E"/>
    <w:rsid w:val="625E4788"/>
    <w:rsid w:val="62D376AD"/>
    <w:rsid w:val="630518DD"/>
    <w:rsid w:val="63130C63"/>
    <w:rsid w:val="632443AD"/>
    <w:rsid w:val="633914DA"/>
    <w:rsid w:val="63472010"/>
    <w:rsid w:val="63A159FD"/>
    <w:rsid w:val="63AD6150"/>
    <w:rsid w:val="63E63C3B"/>
    <w:rsid w:val="63E92F01"/>
    <w:rsid w:val="63FD6D48"/>
    <w:rsid w:val="6408782B"/>
    <w:rsid w:val="640D306A"/>
    <w:rsid w:val="64370110"/>
    <w:rsid w:val="64524F4A"/>
    <w:rsid w:val="648C5E1B"/>
    <w:rsid w:val="64E060B2"/>
    <w:rsid w:val="64E536C8"/>
    <w:rsid w:val="64F7641F"/>
    <w:rsid w:val="64F810B6"/>
    <w:rsid w:val="64F92697"/>
    <w:rsid w:val="65476131"/>
    <w:rsid w:val="657333CA"/>
    <w:rsid w:val="657B3DDC"/>
    <w:rsid w:val="65A05841"/>
    <w:rsid w:val="65A30C5E"/>
    <w:rsid w:val="65BF6F8A"/>
    <w:rsid w:val="65DE7124"/>
    <w:rsid w:val="65EE2A50"/>
    <w:rsid w:val="65F31E15"/>
    <w:rsid w:val="661B7749"/>
    <w:rsid w:val="66285A6C"/>
    <w:rsid w:val="663970B5"/>
    <w:rsid w:val="66815672"/>
    <w:rsid w:val="66B05E07"/>
    <w:rsid w:val="66D63C10"/>
    <w:rsid w:val="67493C85"/>
    <w:rsid w:val="674F3B08"/>
    <w:rsid w:val="67574E92"/>
    <w:rsid w:val="67995CC7"/>
    <w:rsid w:val="67BD2221"/>
    <w:rsid w:val="67E81E4D"/>
    <w:rsid w:val="6840762F"/>
    <w:rsid w:val="684C5258"/>
    <w:rsid w:val="685A178B"/>
    <w:rsid w:val="68801506"/>
    <w:rsid w:val="689478DF"/>
    <w:rsid w:val="68B63CF9"/>
    <w:rsid w:val="69090DB8"/>
    <w:rsid w:val="69245976"/>
    <w:rsid w:val="69272501"/>
    <w:rsid w:val="69287950"/>
    <w:rsid w:val="692C3FBB"/>
    <w:rsid w:val="696574CD"/>
    <w:rsid w:val="697A2F79"/>
    <w:rsid w:val="69B0688F"/>
    <w:rsid w:val="69BF1FE0"/>
    <w:rsid w:val="69C77840"/>
    <w:rsid w:val="6A33350C"/>
    <w:rsid w:val="6A5135AE"/>
    <w:rsid w:val="6A5901AF"/>
    <w:rsid w:val="6A617C95"/>
    <w:rsid w:val="6A743356"/>
    <w:rsid w:val="6A9C6F1F"/>
    <w:rsid w:val="6AB24566"/>
    <w:rsid w:val="6AE64B81"/>
    <w:rsid w:val="6B293075"/>
    <w:rsid w:val="6B614F53"/>
    <w:rsid w:val="6BA37E39"/>
    <w:rsid w:val="6BCB40B0"/>
    <w:rsid w:val="6BD6356F"/>
    <w:rsid w:val="6BF47849"/>
    <w:rsid w:val="6C0905E4"/>
    <w:rsid w:val="6C5F6456"/>
    <w:rsid w:val="6C833BE9"/>
    <w:rsid w:val="6C8C0278"/>
    <w:rsid w:val="6CC14A1B"/>
    <w:rsid w:val="6CC17839"/>
    <w:rsid w:val="6CD97293"/>
    <w:rsid w:val="6CDF7BCE"/>
    <w:rsid w:val="6CE67B50"/>
    <w:rsid w:val="6CEE3336"/>
    <w:rsid w:val="6D177796"/>
    <w:rsid w:val="6D3B2A1F"/>
    <w:rsid w:val="6D4D34C7"/>
    <w:rsid w:val="6D83764B"/>
    <w:rsid w:val="6DAA1953"/>
    <w:rsid w:val="6E140DBB"/>
    <w:rsid w:val="6E3336F6"/>
    <w:rsid w:val="6E8421A4"/>
    <w:rsid w:val="6E922B12"/>
    <w:rsid w:val="6EAD16FA"/>
    <w:rsid w:val="6F134DCC"/>
    <w:rsid w:val="6F392F8E"/>
    <w:rsid w:val="6F506B3A"/>
    <w:rsid w:val="6F8B4487"/>
    <w:rsid w:val="6FA2709F"/>
    <w:rsid w:val="6FF3138F"/>
    <w:rsid w:val="701742F3"/>
    <w:rsid w:val="702340C2"/>
    <w:rsid w:val="703A6FBE"/>
    <w:rsid w:val="705009C9"/>
    <w:rsid w:val="70530BB4"/>
    <w:rsid w:val="709D085A"/>
    <w:rsid w:val="70A266F9"/>
    <w:rsid w:val="70AD714D"/>
    <w:rsid w:val="70D016D0"/>
    <w:rsid w:val="71086545"/>
    <w:rsid w:val="71456753"/>
    <w:rsid w:val="714A76D4"/>
    <w:rsid w:val="71793279"/>
    <w:rsid w:val="717E1D28"/>
    <w:rsid w:val="71CA2779"/>
    <w:rsid w:val="71EC36AF"/>
    <w:rsid w:val="727928AC"/>
    <w:rsid w:val="72A51148"/>
    <w:rsid w:val="72B630BC"/>
    <w:rsid w:val="72D27981"/>
    <w:rsid w:val="733E6DC5"/>
    <w:rsid w:val="73577E87"/>
    <w:rsid w:val="73641E2E"/>
    <w:rsid w:val="73B70925"/>
    <w:rsid w:val="740A4EF9"/>
    <w:rsid w:val="742C11FC"/>
    <w:rsid w:val="742D0BE7"/>
    <w:rsid w:val="74940C67"/>
    <w:rsid w:val="74DB4EF0"/>
    <w:rsid w:val="74EF5B6E"/>
    <w:rsid w:val="750B756A"/>
    <w:rsid w:val="75311A84"/>
    <w:rsid w:val="75412D70"/>
    <w:rsid w:val="754E2671"/>
    <w:rsid w:val="755060BC"/>
    <w:rsid w:val="75B90985"/>
    <w:rsid w:val="75D75094"/>
    <w:rsid w:val="75DF2C54"/>
    <w:rsid w:val="75EF43A6"/>
    <w:rsid w:val="762B1157"/>
    <w:rsid w:val="76897EF9"/>
    <w:rsid w:val="76BC7F4E"/>
    <w:rsid w:val="770036C2"/>
    <w:rsid w:val="775961CA"/>
    <w:rsid w:val="776B5CAF"/>
    <w:rsid w:val="777059BB"/>
    <w:rsid w:val="777E1892"/>
    <w:rsid w:val="77CA50CB"/>
    <w:rsid w:val="78450BF6"/>
    <w:rsid w:val="789E0306"/>
    <w:rsid w:val="78B3646B"/>
    <w:rsid w:val="78C95383"/>
    <w:rsid w:val="78CC6C21"/>
    <w:rsid w:val="790970F9"/>
    <w:rsid w:val="79140E10"/>
    <w:rsid w:val="79492020"/>
    <w:rsid w:val="798017B9"/>
    <w:rsid w:val="79B02EFD"/>
    <w:rsid w:val="79CC49FF"/>
    <w:rsid w:val="79F20407"/>
    <w:rsid w:val="7A0D74F1"/>
    <w:rsid w:val="7A112210"/>
    <w:rsid w:val="7A3562E4"/>
    <w:rsid w:val="7A4B1DC7"/>
    <w:rsid w:val="7A743A9B"/>
    <w:rsid w:val="7A7607F4"/>
    <w:rsid w:val="7A8D40C1"/>
    <w:rsid w:val="7ACA7190"/>
    <w:rsid w:val="7AE149BD"/>
    <w:rsid w:val="7AE44B93"/>
    <w:rsid w:val="7B087AFD"/>
    <w:rsid w:val="7B6B0973"/>
    <w:rsid w:val="7B833AE5"/>
    <w:rsid w:val="7BB01BB8"/>
    <w:rsid w:val="7BBA04B4"/>
    <w:rsid w:val="7BD657F1"/>
    <w:rsid w:val="7C370855"/>
    <w:rsid w:val="7CB11F49"/>
    <w:rsid w:val="7D2A2168"/>
    <w:rsid w:val="7D3D3F06"/>
    <w:rsid w:val="7D44147C"/>
    <w:rsid w:val="7D935CBD"/>
    <w:rsid w:val="7DA97531"/>
    <w:rsid w:val="7DF60F6D"/>
    <w:rsid w:val="7E505D25"/>
    <w:rsid w:val="7E6A640B"/>
    <w:rsid w:val="7EDC5EA7"/>
    <w:rsid w:val="7EF34866"/>
    <w:rsid w:val="7F3D764C"/>
    <w:rsid w:val="7F6525D9"/>
    <w:rsid w:val="7FBB354B"/>
    <w:rsid w:val="7FE74340"/>
    <w:rsid w:val="7FF8479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64"/>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65"/>
    <w:qFormat/>
    <w:uiPriority w:val="9"/>
    <w:pPr>
      <w:keepNext/>
      <w:keepLines/>
      <w:spacing w:before="260" w:after="260" w:line="415" w:lineRule="auto"/>
      <w:outlineLvl w:val="1"/>
    </w:pPr>
    <w:rPr>
      <w:rFonts w:ascii="Arial" w:hAnsi="Arial" w:eastAsia="黑体"/>
      <w:b/>
      <w:bCs/>
      <w:kern w:val="0"/>
      <w:sz w:val="32"/>
      <w:szCs w:val="32"/>
    </w:rPr>
  </w:style>
  <w:style w:type="paragraph" w:styleId="5">
    <w:name w:val="heading 3"/>
    <w:basedOn w:val="1"/>
    <w:next w:val="1"/>
    <w:link w:val="66"/>
    <w:qFormat/>
    <w:uiPriority w:val="0"/>
    <w:pPr>
      <w:keepNext/>
      <w:keepLines/>
      <w:spacing w:before="260" w:after="260" w:line="416" w:lineRule="auto"/>
      <w:jc w:val="center"/>
      <w:outlineLvl w:val="2"/>
    </w:pPr>
    <w:rPr>
      <w:rFonts w:eastAsia="楷体_GB2312"/>
      <w:b/>
      <w:bCs/>
      <w:kern w:val="0"/>
      <w:sz w:val="32"/>
      <w:szCs w:val="32"/>
    </w:rPr>
  </w:style>
  <w:style w:type="paragraph" w:styleId="6">
    <w:name w:val="heading 4"/>
    <w:basedOn w:val="1"/>
    <w:next w:val="1"/>
    <w:link w:val="67"/>
    <w:qFormat/>
    <w:uiPriority w:val="0"/>
    <w:pPr>
      <w:keepNext/>
      <w:keepLines/>
      <w:spacing w:before="280" w:after="290" w:line="376" w:lineRule="auto"/>
      <w:outlineLvl w:val="3"/>
    </w:pPr>
    <w:rPr>
      <w:rFonts w:ascii="Arial" w:hAnsi="Arial" w:eastAsia="黑体"/>
      <w:b/>
      <w:bCs/>
      <w:kern w:val="0"/>
      <w:sz w:val="28"/>
      <w:szCs w:val="28"/>
    </w:rPr>
  </w:style>
  <w:style w:type="paragraph" w:styleId="7">
    <w:name w:val="heading 5"/>
    <w:basedOn w:val="1"/>
    <w:next w:val="1"/>
    <w:link w:val="68"/>
    <w:qFormat/>
    <w:uiPriority w:val="9"/>
    <w:pPr>
      <w:keepNext/>
      <w:keepLines/>
      <w:spacing w:before="280" w:after="290" w:line="376" w:lineRule="auto"/>
      <w:outlineLvl w:val="4"/>
    </w:pPr>
    <w:rPr>
      <w:b/>
      <w:bCs/>
      <w:kern w:val="0"/>
      <w:sz w:val="28"/>
      <w:szCs w:val="28"/>
    </w:rPr>
  </w:style>
  <w:style w:type="paragraph" w:styleId="8">
    <w:name w:val="heading 6"/>
    <w:basedOn w:val="1"/>
    <w:next w:val="1"/>
    <w:link w:val="69"/>
    <w:qFormat/>
    <w:uiPriority w:val="0"/>
    <w:pPr>
      <w:keepNext/>
      <w:keepLines/>
      <w:spacing w:before="240" w:after="64" w:line="320" w:lineRule="auto"/>
      <w:outlineLvl w:val="5"/>
    </w:pPr>
    <w:rPr>
      <w:rFonts w:ascii="Arial" w:hAnsi="Arial" w:eastAsia="黑体"/>
      <w:b/>
      <w:bCs/>
      <w:kern w:val="0"/>
      <w:sz w:val="24"/>
    </w:rPr>
  </w:style>
  <w:style w:type="paragraph" w:styleId="9">
    <w:name w:val="heading 7"/>
    <w:basedOn w:val="1"/>
    <w:next w:val="1"/>
    <w:link w:val="70"/>
    <w:autoRedefine/>
    <w:qFormat/>
    <w:uiPriority w:val="0"/>
    <w:pPr>
      <w:keepNext/>
      <w:keepLines/>
      <w:spacing w:before="240" w:after="64" w:line="320" w:lineRule="auto"/>
      <w:outlineLvl w:val="6"/>
    </w:pPr>
    <w:rPr>
      <w:b/>
      <w:bCs/>
      <w:kern w:val="0"/>
      <w:sz w:val="24"/>
    </w:rPr>
  </w:style>
  <w:style w:type="paragraph" w:styleId="10">
    <w:name w:val="heading 8"/>
    <w:basedOn w:val="1"/>
    <w:next w:val="1"/>
    <w:link w:val="71"/>
    <w:autoRedefine/>
    <w:qFormat/>
    <w:uiPriority w:val="0"/>
    <w:pPr>
      <w:keepNext/>
      <w:keepLines/>
      <w:spacing w:before="240" w:after="64" w:line="320" w:lineRule="auto"/>
      <w:outlineLvl w:val="7"/>
    </w:pPr>
    <w:rPr>
      <w:rFonts w:ascii="Arial" w:hAnsi="Arial" w:eastAsia="黑体"/>
      <w:kern w:val="0"/>
      <w:sz w:val="24"/>
    </w:rPr>
  </w:style>
  <w:style w:type="paragraph" w:styleId="11">
    <w:name w:val="heading 9"/>
    <w:basedOn w:val="1"/>
    <w:next w:val="1"/>
    <w:link w:val="72"/>
    <w:autoRedefine/>
    <w:qFormat/>
    <w:uiPriority w:val="0"/>
    <w:pPr>
      <w:keepNext/>
      <w:keepLines/>
      <w:spacing w:before="240" w:after="64" w:line="320" w:lineRule="auto"/>
      <w:outlineLvl w:val="8"/>
    </w:pPr>
    <w:rPr>
      <w:rFonts w:ascii="Arial" w:hAnsi="Arial" w:eastAsia="黑体"/>
      <w:kern w:val="0"/>
      <w:sz w:val="20"/>
      <w:szCs w:val="21"/>
    </w:rPr>
  </w:style>
  <w:style w:type="character" w:default="1" w:styleId="55">
    <w:name w:val="Default Paragraph Font"/>
    <w:autoRedefine/>
    <w:unhideWhenUsed/>
    <w:qFormat/>
    <w:uiPriority w:val="1"/>
  </w:style>
  <w:style w:type="table" w:default="1" w:styleId="53">
    <w:name w:val="Normal Table"/>
    <w:autoRedefine/>
    <w:unhideWhenUsed/>
    <w:qFormat/>
    <w:uiPriority w:val="99"/>
    <w:tblPr>
      <w:tblCellMar>
        <w:top w:w="0" w:type="dxa"/>
        <w:left w:w="108" w:type="dxa"/>
        <w:bottom w:w="0" w:type="dxa"/>
        <w:right w:w="108" w:type="dxa"/>
      </w:tblCellMar>
    </w:tblPr>
  </w:style>
  <w:style w:type="paragraph" w:customStyle="1" w:styleId="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styleId="12">
    <w:name w:val="toc 7"/>
    <w:basedOn w:val="1"/>
    <w:next w:val="1"/>
    <w:autoRedefine/>
    <w:qFormat/>
    <w:uiPriority w:val="39"/>
    <w:pPr>
      <w:ind w:left="2520" w:leftChars="1200"/>
    </w:pPr>
  </w:style>
  <w:style w:type="paragraph" w:styleId="13">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4">
    <w:name w:val="Normal Indent"/>
    <w:basedOn w:val="1"/>
    <w:next w:val="1"/>
    <w:link w:val="73"/>
    <w:autoRedefine/>
    <w:qFormat/>
    <w:uiPriority w:val="0"/>
    <w:pPr>
      <w:ind w:firstLine="420"/>
    </w:pPr>
    <w:rPr>
      <w:kern w:val="0"/>
      <w:sz w:val="20"/>
      <w:szCs w:val="20"/>
    </w:rPr>
  </w:style>
  <w:style w:type="paragraph" w:styleId="15">
    <w:name w:val="caption"/>
    <w:basedOn w:val="1"/>
    <w:next w:val="1"/>
    <w:qFormat/>
    <w:uiPriority w:val="0"/>
    <w:pPr>
      <w:spacing w:before="152" w:after="160"/>
    </w:pPr>
    <w:rPr>
      <w:rFonts w:ascii="Arial" w:hAnsi="Arial" w:eastAsia="黑体" w:cs="Arial"/>
      <w:sz w:val="20"/>
      <w:szCs w:val="20"/>
    </w:rPr>
  </w:style>
  <w:style w:type="paragraph" w:styleId="16">
    <w:name w:val="List Bullet"/>
    <w:basedOn w:val="1"/>
    <w:autoRedefine/>
    <w:qFormat/>
    <w:uiPriority w:val="0"/>
    <w:pPr>
      <w:spacing w:line="360" w:lineRule="auto"/>
      <w:jc w:val="left"/>
    </w:pPr>
    <w:rPr>
      <w:rFonts w:ascii="宋体"/>
      <w:b/>
      <w:sz w:val="24"/>
    </w:rPr>
  </w:style>
  <w:style w:type="paragraph" w:styleId="17">
    <w:name w:val="Document Map"/>
    <w:basedOn w:val="1"/>
    <w:link w:val="74"/>
    <w:autoRedefine/>
    <w:qFormat/>
    <w:uiPriority w:val="99"/>
    <w:pPr>
      <w:shd w:val="clear" w:color="auto" w:fill="000080"/>
    </w:pPr>
    <w:rPr>
      <w:kern w:val="0"/>
      <w:sz w:val="20"/>
    </w:rPr>
  </w:style>
  <w:style w:type="paragraph" w:styleId="18">
    <w:name w:val="toa heading"/>
    <w:basedOn w:val="1"/>
    <w:next w:val="1"/>
    <w:link w:val="75"/>
    <w:autoRedefine/>
    <w:qFormat/>
    <w:uiPriority w:val="0"/>
    <w:pPr>
      <w:tabs>
        <w:tab w:val="left" w:pos="0"/>
      </w:tabs>
      <w:spacing w:before="120" w:line="360" w:lineRule="auto"/>
    </w:pPr>
    <w:rPr>
      <w:rFonts w:ascii="Arial" w:hAnsi="Arial"/>
      <w:kern w:val="0"/>
      <w:sz w:val="24"/>
      <w:szCs w:val="20"/>
    </w:rPr>
  </w:style>
  <w:style w:type="paragraph" w:styleId="19">
    <w:name w:val="annotation text"/>
    <w:basedOn w:val="1"/>
    <w:link w:val="76"/>
    <w:autoRedefine/>
    <w:qFormat/>
    <w:uiPriority w:val="0"/>
    <w:pPr>
      <w:jc w:val="left"/>
    </w:pPr>
    <w:rPr>
      <w:kern w:val="0"/>
      <w:sz w:val="20"/>
    </w:rPr>
  </w:style>
  <w:style w:type="paragraph" w:styleId="20">
    <w:name w:val="Body Text 3"/>
    <w:basedOn w:val="1"/>
    <w:link w:val="77"/>
    <w:autoRedefine/>
    <w:qFormat/>
    <w:uiPriority w:val="0"/>
    <w:pPr>
      <w:snapToGrid w:val="0"/>
      <w:spacing w:before="50" w:after="50"/>
    </w:pPr>
    <w:rPr>
      <w:rFonts w:hAnsi="宋体" w:eastAsia="仿宋_GB2312"/>
      <w:b/>
      <w:bCs/>
      <w:kern w:val="0"/>
      <w:sz w:val="24"/>
      <w:szCs w:val="20"/>
    </w:rPr>
  </w:style>
  <w:style w:type="paragraph" w:styleId="21">
    <w:name w:val="Body Text"/>
    <w:basedOn w:val="1"/>
    <w:link w:val="78"/>
    <w:autoRedefine/>
    <w:qFormat/>
    <w:uiPriority w:val="0"/>
    <w:pPr>
      <w:spacing w:after="120"/>
    </w:pPr>
    <w:rPr>
      <w:kern w:val="0"/>
      <w:sz w:val="28"/>
    </w:rPr>
  </w:style>
  <w:style w:type="paragraph" w:styleId="22">
    <w:name w:val="Body Text Indent"/>
    <w:basedOn w:val="1"/>
    <w:link w:val="63"/>
    <w:autoRedefine/>
    <w:qFormat/>
    <w:uiPriority w:val="0"/>
    <w:pPr>
      <w:spacing w:line="200" w:lineRule="exact"/>
      <w:ind w:firstLine="301"/>
    </w:pPr>
    <w:rPr>
      <w:rFonts w:ascii="宋体" w:hAnsi="Courier New"/>
      <w:spacing w:val="-4"/>
      <w:kern w:val="0"/>
      <w:sz w:val="18"/>
      <w:szCs w:val="20"/>
    </w:rPr>
  </w:style>
  <w:style w:type="paragraph" w:styleId="23">
    <w:name w:val="List Number 3"/>
    <w:basedOn w:val="1"/>
    <w:autoRedefine/>
    <w:qFormat/>
    <w:uiPriority w:val="0"/>
    <w:pPr>
      <w:tabs>
        <w:tab w:val="left" w:pos="1200"/>
      </w:tabs>
      <w:ind w:left="1200" w:hanging="360"/>
    </w:pPr>
  </w:style>
  <w:style w:type="paragraph" w:styleId="24">
    <w:name w:val="List 2"/>
    <w:basedOn w:val="1"/>
    <w:autoRedefine/>
    <w:qFormat/>
    <w:uiPriority w:val="0"/>
    <w:pPr>
      <w:ind w:left="100" w:leftChars="200" w:hanging="200" w:hangingChars="200"/>
    </w:pPr>
    <w:rPr>
      <w:sz w:val="28"/>
    </w:rPr>
  </w:style>
  <w:style w:type="paragraph" w:styleId="25">
    <w:name w:val="List Bullet 2"/>
    <w:basedOn w:val="1"/>
    <w:autoRedefine/>
    <w:qFormat/>
    <w:uiPriority w:val="0"/>
    <w:pPr>
      <w:tabs>
        <w:tab w:val="left" w:pos="840"/>
      </w:tabs>
      <w:spacing w:line="360" w:lineRule="auto"/>
      <w:ind w:left="989" w:leftChars="471" w:firstLine="2" w:firstLineChars="1"/>
    </w:pPr>
    <w:rPr>
      <w:rFonts w:ascii="宋体"/>
      <w:sz w:val="24"/>
    </w:rPr>
  </w:style>
  <w:style w:type="paragraph" w:styleId="26">
    <w:name w:val="HTML Address"/>
    <w:basedOn w:val="1"/>
    <w:autoRedefine/>
    <w:qFormat/>
    <w:uiPriority w:val="0"/>
    <w:pPr>
      <w:widowControl/>
      <w:spacing w:before="100" w:beforeAutospacing="1" w:after="100" w:afterAutospacing="1"/>
      <w:jc w:val="left"/>
    </w:pPr>
    <w:rPr>
      <w:rFonts w:ascii="宋体" w:hAnsi="宋体" w:eastAsia="宋体" w:cs="宋体"/>
      <w:kern w:val="0"/>
      <w:sz w:val="24"/>
    </w:rPr>
  </w:style>
  <w:style w:type="paragraph" w:styleId="27">
    <w:name w:val="index 4"/>
    <w:basedOn w:val="1"/>
    <w:next w:val="1"/>
    <w:autoRedefine/>
    <w:semiHidden/>
    <w:qFormat/>
    <w:uiPriority w:val="0"/>
    <w:pPr>
      <w:ind w:left="600" w:leftChars="600"/>
    </w:pPr>
  </w:style>
  <w:style w:type="paragraph" w:styleId="28">
    <w:name w:val="toc 5"/>
    <w:basedOn w:val="1"/>
    <w:next w:val="1"/>
    <w:autoRedefine/>
    <w:qFormat/>
    <w:uiPriority w:val="39"/>
    <w:pPr>
      <w:ind w:left="1680" w:leftChars="800"/>
    </w:pPr>
  </w:style>
  <w:style w:type="paragraph" w:styleId="29">
    <w:name w:val="toc 3"/>
    <w:basedOn w:val="1"/>
    <w:next w:val="1"/>
    <w:autoRedefine/>
    <w:qFormat/>
    <w:uiPriority w:val="39"/>
    <w:pPr>
      <w:ind w:left="840" w:leftChars="400"/>
    </w:pPr>
  </w:style>
  <w:style w:type="paragraph" w:styleId="30">
    <w:name w:val="Plain Text"/>
    <w:basedOn w:val="1"/>
    <w:next w:val="31"/>
    <w:link w:val="80"/>
    <w:autoRedefine/>
    <w:qFormat/>
    <w:uiPriority w:val="0"/>
    <w:pPr>
      <w:spacing w:beforeLines="50" w:afterLines="50" w:line="400" w:lineRule="exact"/>
    </w:pPr>
    <w:rPr>
      <w:rFonts w:ascii="宋体" w:hAnsi="Courier New"/>
      <w:kern w:val="0"/>
      <w:sz w:val="24"/>
    </w:rPr>
  </w:style>
  <w:style w:type="paragraph" w:styleId="31">
    <w:name w:val="Date"/>
    <w:basedOn w:val="1"/>
    <w:next w:val="1"/>
    <w:link w:val="81"/>
    <w:autoRedefine/>
    <w:qFormat/>
    <w:uiPriority w:val="0"/>
    <w:pPr>
      <w:ind w:left="2500" w:leftChars="2500"/>
    </w:pPr>
    <w:rPr>
      <w:rFonts w:eastAsia="楷体_GB2312"/>
      <w:kern w:val="0"/>
      <w:sz w:val="32"/>
      <w:szCs w:val="20"/>
    </w:rPr>
  </w:style>
  <w:style w:type="paragraph" w:styleId="32">
    <w:name w:val="toc 8"/>
    <w:basedOn w:val="1"/>
    <w:next w:val="1"/>
    <w:autoRedefine/>
    <w:unhideWhenUsed/>
    <w:qFormat/>
    <w:uiPriority w:val="39"/>
    <w:pPr>
      <w:ind w:left="2940" w:leftChars="1400"/>
    </w:pPr>
    <w:rPr>
      <w:rFonts w:ascii="Calibri" w:hAnsi="Calibri"/>
      <w:szCs w:val="22"/>
    </w:rPr>
  </w:style>
  <w:style w:type="paragraph" w:styleId="33">
    <w:name w:val="Body Text Indent 2"/>
    <w:basedOn w:val="1"/>
    <w:link w:val="82"/>
    <w:autoRedefine/>
    <w:qFormat/>
    <w:uiPriority w:val="0"/>
    <w:pPr>
      <w:snapToGrid w:val="0"/>
      <w:ind w:firstLine="542" w:firstLineChars="225"/>
    </w:pPr>
    <w:rPr>
      <w:rFonts w:ascii="仿宋_GB2312" w:hAnsi="宋体"/>
      <w:b/>
      <w:bCs/>
      <w:color w:val="000000"/>
      <w:kern w:val="0"/>
      <w:sz w:val="24"/>
    </w:rPr>
  </w:style>
  <w:style w:type="paragraph" w:styleId="34">
    <w:name w:val="Balloon Text"/>
    <w:basedOn w:val="1"/>
    <w:link w:val="83"/>
    <w:autoRedefine/>
    <w:qFormat/>
    <w:uiPriority w:val="99"/>
    <w:rPr>
      <w:kern w:val="0"/>
      <w:sz w:val="18"/>
      <w:szCs w:val="18"/>
    </w:rPr>
  </w:style>
  <w:style w:type="paragraph" w:styleId="35">
    <w:name w:val="footer"/>
    <w:basedOn w:val="1"/>
    <w:link w:val="84"/>
    <w:autoRedefine/>
    <w:qFormat/>
    <w:uiPriority w:val="99"/>
    <w:pPr>
      <w:tabs>
        <w:tab w:val="center" w:pos="4153"/>
        <w:tab w:val="right" w:pos="8306"/>
      </w:tabs>
      <w:snapToGrid w:val="0"/>
      <w:jc w:val="left"/>
    </w:pPr>
    <w:rPr>
      <w:rFonts w:eastAsia="黑体"/>
      <w:kern w:val="0"/>
      <w:sz w:val="18"/>
      <w:szCs w:val="18"/>
    </w:rPr>
  </w:style>
  <w:style w:type="paragraph" w:styleId="36">
    <w:name w:val="header"/>
    <w:basedOn w:val="1"/>
    <w:link w:val="85"/>
    <w:autoRedefine/>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7">
    <w:name w:val="toc 1"/>
    <w:basedOn w:val="1"/>
    <w:next w:val="1"/>
    <w:autoRedefine/>
    <w:qFormat/>
    <w:uiPriority w:val="39"/>
  </w:style>
  <w:style w:type="paragraph" w:styleId="38">
    <w:name w:val="toc 4"/>
    <w:basedOn w:val="1"/>
    <w:next w:val="1"/>
    <w:autoRedefine/>
    <w:unhideWhenUsed/>
    <w:qFormat/>
    <w:uiPriority w:val="39"/>
    <w:pPr>
      <w:ind w:left="1260" w:leftChars="600"/>
    </w:pPr>
    <w:rPr>
      <w:rFonts w:ascii="Calibri" w:hAnsi="Calibri"/>
      <w:szCs w:val="22"/>
    </w:rPr>
  </w:style>
  <w:style w:type="paragraph" w:styleId="39">
    <w:name w:val="List"/>
    <w:basedOn w:val="1"/>
    <w:autoRedefine/>
    <w:qFormat/>
    <w:uiPriority w:val="0"/>
    <w:pPr>
      <w:ind w:left="200" w:hanging="200" w:hangingChars="200"/>
    </w:pPr>
    <w:rPr>
      <w:sz w:val="28"/>
    </w:rPr>
  </w:style>
  <w:style w:type="paragraph" w:styleId="40">
    <w:name w:val="toc 6"/>
    <w:basedOn w:val="1"/>
    <w:next w:val="1"/>
    <w:autoRedefine/>
    <w:unhideWhenUsed/>
    <w:qFormat/>
    <w:uiPriority w:val="39"/>
    <w:pPr>
      <w:ind w:left="2100" w:leftChars="1000"/>
    </w:pPr>
    <w:rPr>
      <w:rFonts w:ascii="Calibri" w:hAnsi="Calibri"/>
      <w:szCs w:val="22"/>
    </w:rPr>
  </w:style>
  <w:style w:type="paragraph" w:styleId="41">
    <w:name w:val="Body Text Indent 3"/>
    <w:basedOn w:val="1"/>
    <w:link w:val="86"/>
    <w:autoRedefine/>
    <w:qFormat/>
    <w:uiPriority w:val="0"/>
    <w:pPr>
      <w:snapToGrid w:val="0"/>
      <w:ind w:firstLine="480" w:firstLineChars="200"/>
      <w:jc w:val="left"/>
    </w:pPr>
    <w:rPr>
      <w:rFonts w:ascii="仿宋_GB2312" w:hAnsi="宋体" w:eastAsia="仿宋_GB2312"/>
      <w:color w:val="000000"/>
      <w:kern w:val="0"/>
      <w:sz w:val="24"/>
    </w:rPr>
  </w:style>
  <w:style w:type="paragraph" w:styleId="42">
    <w:name w:val="table of figures"/>
    <w:basedOn w:val="1"/>
    <w:next w:val="1"/>
    <w:autoRedefine/>
    <w:unhideWhenUsed/>
    <w:qFormat/>
    <w:uiPriority w:val="0"/>
    <w:pPr>
      <w:spacing w:line="360" w:lineRule="auto"/>
      <w:ind w:left="480" w:hanging="480"/>
      <w:jc w:val="left"/>
    </w:pPr>
    <w:rPr>
      <w:rFonts w:ascii="Calibri" w:hAnsi="Calibri" w:cs="Calibri"/>
      <w:smallCaps/>
      <w:sz w:val="20"/>
      <w:szCs w:val="20"/>
    </w:rPr>
  </w:style>
  <w:style w:type="paragraph" w:styleId="43">
    <w:name w:val="toc 2"/>
    <w:basedOn w:val="1"/>
    <w:next w:val="1"/>
    <w:autoRedefine/>
    <w:qFormat/>
    <w:uiPriority w:val="39"/>
    <w:pPr>
      <w:ind w:left="420" w:leftChars="200"/>
    </w:pPr>
  </w:style>
  <w:style w:type="paragraph" w:styleId="44">
    <w:name w:val="toc 9"/>
    <w:basedOn w:val="1"/>
    <w:next w:val="1"/>
    <w:autoRedefine/>
    <w:unhideWhenUsed/>
    <w:qFormat/>
    <w:uiPriority w:val="39"/>
    <w:pPr>
      <w:ind w:left="3360" w:leftChars="1600"/>
    </w:pPr>
    <w:rPr>
      <w:rFonts w:ascii="Calibri" w:hAnsi="Calibri"/>
      <w:szCs w:val="22"/>
    </w:rPr>
  </w:style>
  <w:style w:type="paragraph" w:styleId="45">
    <w:name w:val="Body Text 2"/>
    <w:basedOn w:val="1"/>
    <w:link w:val="87"/>
    <w:autoRedefine/>
    <w:qFormat/>
    <w:uiPriority w:val="99"/>
    <w:pPr>
      <w:widowControl/>
      <w:snapToGrid w:val="0"/>
      <w:spacing w:before="50" w:afterLines="50" w:line="400" w:lineRule="exact"/>
      <w:jc w:val="left"/>
    </w:pPr>
    <w:rPr>
      <w:rFonts w:ascii="宋体" w:hAnsi="宋体"/>
      <w:color w:val="000000"/>
      <w:kern w:val="0"/>
      <w:sz w:val="24"/>
    </w:rPr>
  </w:style>
  <w:style w:type="paragraph" w:styleId="46">
    <w:name w:val="Normal (Web)"/>
    <w:basedOn w:val="1"/>
    <w:link w:val="88"/>
    <w:autoRedefine/>
    <w:qFormat/>
    <w:uiPriority w:val="0"/>
    <w:pPr>
      <w:widowControl/>
      <w:spacing w:before="100" w:beforeAutospacing="1" w:after="100" w:afterAutospacing="1"/>
      <w:jc w:val="left"/>
    </w:pPr>
    <w:rPr>
      <w:rFonts w:ascii="宋体" w:hAnsi="宋体"/>
      <w:kern w:val="0"/>
      <w:sz w:val="24"/>
    </w:rPr>
  </w:style>
  <w:style w:type="paragraph" w:styleId="47">
    <w:name w:val="index 1"/>
    <w:basedOn w:val="1"/>
    <w:next w:val="1"/>
    <w:autoRedefine/>
    <w:qFormat/>
    <w:uiPriority w:val="0"/>
    <w:pPr>
      <w:spacing w:line="360" w:lineRule="auto"/>
      <w:jc w:val="center"/>
    </w:pPr>
    <w:rPr>
      <w:rFonts w:ascii="宋体" w:hAnsi="宋体"/>
      <w:bCs/>
    </w:rPr>
  </w:style>
  <w:style w:type="paragraph" w:styleId="48">
    <w:name w:val="Title"/>
    <w:basedOn w:val="1"/>
    <w:next w:val="1"/>
    <w:link w:val="89"/>
    <w:autoRedefine/>
    <w:qFormat/>
    <w:uiPriority w:val="0"/>
    <w:pPr>
      <w:spacing w:before="240" w:after="60"/>
      <w:jc w:val="center"/>
      <w:outlineLvl w:val="0"/>
    </w:pPr>
    <w:rPr>
      <w:rFonts w:ascii="Cambria" w:hAnsi="Cambria"/>
      <w:b/>
      <w:bCs/>
      <w:kern w:val="0"/>
      <w:sz w:val="32"/>
      <w:szCs w:val="32"/>
    </w:rPr>
  </w:style>
  <w:style w:type="paragraph" w:styleId="49">
    <w:name w:val="annotation subject"/>
    <w:basedOn w:val="19"/>
    <w:next w:val="19"/>
    <w:link w:val="90"/>
    <w:autoRedefine/>
    <w:qFormat/>
    <w:uiPriority w:val="99"/>
    <w:rPr>
      <w:b/>
      <w:bCs/>
    </w:rPr>
  </w:style>
  <w:style w:type="paragraph" w:styleId="50">
    <w:name w:val="Body Text First Indent"/>
    <w:basedOn w:val="21"/>
    <w:next w:val="1"/>
    <w:link w:val="79"/>
    <w:qFormat/>
    <w:uiPriority w:val="0"/>
    <w:pPr>
      <w:spacing w:beforeLines="50" w:afterLines="50" w:line="360" w:lineRule="auto"/>
      <w:ind w:firstLine="480" w:firstLineChars="200"/>
    </w:pPr>
    <w:rPr>
      <w:sz w:val="24"/>
    </w:rPr>
  </w:style>
  <w:style w:type="paragraph" w:styleId="51">
    <w:name w:val="Body Text First Indent 2"/>
    <w:basedOn w:val="22"/>
    <w:next w:val="52"/>
    <w:autoRedefine/>
    <w:unhideWhenUsed/>
    <w:qFormat/>
    <w:uiPriority w:val="99"/>
    <w:pPr>
      <w:ind w:firstLine="420"/>
      <w:jc w:val="left"/>
    </w:pPr>
    <w:rPr>
      <w:rFonts w:ascii="Times New Roman" w:hAnsi="Times New Roman"/>
      <w:sz w:val="24"/>
    </w:rPr>
  </w:style>
  <w:style w:type="paragraph" w:customStyle="1" w:styleId="52">
    <w:name w:val="xl53"/>
    <w:basedOn w:val="1"/>
    <w:next w:val="1"/>
    <w:autoRedefine/>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table" w:styleId="54">
    <w:name w:val="Table Grid"/>
    <w:basedOn w:val="53"/>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6">
    <w:name w:val="Strong"/>
    <w:autoRedefine/>
    <w:qFormat/>
    <w:uiPriority w:val="0"/>
    <w:rPr>
      <w:b/>
      <w:bCs/>
      <w:color w:val="000000"/>
    </w:rPr>
  </w:style>
  <w:style w:type="character" w:styleId="57">
    <w:name w:val="page number"/>
    <w:autoRedefine/>
    <w:qFormat/>
    <w:uiPriority w:val="0"/>
  </w:style>
  <w:style w:type="character" w:styleId="58">
    <w:name w:val="FollowedHyperlink"/>
    <w:autoRedefine/>
    <w:qFormat/>
    <w:uiPriority w:val="99"/>
    <w:rPr>
      <w:color w:val="800080"/>
      <w:u w:val="single"/>
    </w:rPr>
  </w:style>
  <w:style w:type="character" w:styleId="59">
    <w:name w:val="Emphasis"/>
    <w:qFormat/>
    <w:uiPriority w:val="0"/>
  </w:style>
  <w:style w:type="character" w:styleId="60">
    <w:name w:val="Hyperlink"/>
    <w:qFormat/>
    <w:uiPriority w:val="99"/>
    <w:rPr>
      <w:color w:val="0000FF"/>
      <w:u w:val="single"/>
    </w:rPr>
  </w:style>
  <w:style w:type="character" w:styleId="61">
    <w:name w:val="annotation reference"/>
    <w:qFormat/>
    <w:uiPriority w:val="0"/>
    <w:rPr>
      <w:sz w:val="21"/>
      <w:szCs w:val="21"/>
    </w:rPr>
  </w:style>
  <w:style w:type="paragraph" w:customStyle="1" w:styleId="62">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63">
    <w:name w:val="正文文本缩进 字符1"/>
    <w:link w:val="22"/>
    <w:qFormat/>
    <w:uiPriority w:val="0"/>
    <w:rPr>
      <w:rFonts w:ascii="宋体" w:hAnsi="Courier New"/>
      <w:spacing w:val="-4"/>
      <w:sz w:val="18"/>
    </w:rPr>
  </w:style>
  <w:style w:type="character" w:customStyle="1" w:styleId="64">
    <w:name w:val="标题 1 字符1"/>
    <w:link w:val="3"/>
    <w:qFormat/>
    <w:uiPriority w:val="9"/>
    <w:rPr>
      <w:rFonts w:ascii="Times New Roman" w:hAnsi="Times New Roman" w:eastAsia="宋体" w:cs="Times New Roman"/>
      <w:b/>
      <w:bCs/>
      <w:kern w:val="44"/>
      <w:sz w:val="44"/>
      <w:szCs w:val="44"/>
    </w:rPr>
  </w:style>
  <w:style w:type="character" w:customStyle="1" w:styleId="65">
    <w:name w:val="标题 2 字符"/>
    <w:link w:val="4"/>
    <w:qFormat/>
    <w:uiPriority w:val="9"/>
    <w:rPr>
      <w:rFonts w:ascii="Arial" w:hAnsi="Arial" w:eastAsia="黑体" w:cs="Times New Roman"/>
      <w:b/>
      <w:bCs/>
      <w:kern w:val="0"/>
      <w:sz w:val="32"/>
      <w:szCs w:val="32"/>
    </w:rPr>
  </w:style>
  <w:style w:type="character" w:customStyle="1" w:styleId="66">
    <w:name w:val="标题 3 字符"/>
    <w:link w:val="5"/>
    <w:autoRedefine/>
    <w:qFormat/>
    <w:uiPriority w:val="0"/>
    <w:rPr>
      <w:rFonts w:ascii="Times New Roman" w:hAnsi="Times New Roman" w:eastAsia="楷体_GB2312" w:cs="Times New Roman"/>
      <w:b/>
      <w:bCs/>
      <w:kern w:val="0"/>
      <w:sz w:val="32"/>
      <w:szCs w:val="32"/>
    </w:rPr>
  </w:style>
  <w:style w:type="character" w:customStyle="1" w:styleId="67">
    <w:name w:val="标题 4 字符"/>
    <w:link w:val="6"/>
    <w:qFormat/>
    <w:uiPriority w:val="0"/>
    <w:rPr>
      <w:rFonts w:ascii="Arial" w:hAnsi="Arial" w:eastAsia="黑体" w:cs="Times New Roman"/>
      <w:b/>
      <w:bCs/>
      <w:kern w:val="0"/>
      <w:sz w:val="28"/>
      <w:szCs w:val="28"/>
    </w:rPr>
  </w:style>
  <w:style w:type="character" w:customStyle="1" w:styleId="68">
    <w:name w:val="标题 5 字符"/>
    <w:link w:val="7"/>
    <w:qFormat/>
    <w:uiPriority w:val="9"/>
    <w:rPr>
      <w:rFonts w:ascii="Times New Roman" w:hAnsi="Times New Roman" w:eastAsia="宋体" w:cs="Times New Roman"/>
      <w:b/>
      <w:bCs/>
      <w:kern w:val="0"/>
      <w:sz w:val="28"/>
      <w:szCs w:val="28"/>
    </w:rPr>
  </w:style>
  <w:style w:type="character" w:customStyle="1" w:styleId="69">
    <w:name w:val="标题 6 字符"/>
    <w:link w:val="8"/>
    <w:qFormat/>
    <w:uiPriority w:val="0"/>
    <w:rPr>
      <w:rFonts w:ascii="Arial" w:hAnsi="Arial" w:eastAsia="黑体" w:cs="Times New Roman"/>
      <w:b/>
      <w:bCs/>
      <w:kern w:val="0"/>
      <w:sz w:val="24"/>
      <w:szCs w:val="24"/>
    </w:rPr>
  </w:style>
  <w:style w:type="character" w:customStyle="1" w:styleId="70">
    <w:name w:val="标题 7 字符"/>
    <w:link w:val="9"/>
    <w:qFormat/>
    <w:uiPriority w:val="0"/>
    <w:rPr>
      <w:rFonts w:ascii="Times New Roman" w:hAnsi="Times New Roman" w:eastAsia="宋体" w:cs="Times New Roman"/>
      <w:b/>
      <w:bCs/>
      <w:kern w:val="0"/>
      <w:sz w:val="24"/>
      <w:szCs w:val="24"/>
    </w:rPr>
  </w:style>
  <w:style w:type="character" w:customStyle="1" w:styleId="71">
    <w:name w:val="标题 8 字符"/>
    <w:link w:val="10"/>
    <w:autoRedefine/>
    <w:qFormat/>
    <w:uiPriority w:val="0"/>
    <w:rPr>
      <w:rFonts w:ascii="Arial" w:hAnsi="Arial" w:eastAsia="黑体" w:cs="Times New Roman"/>
      <w:kern w:val="0"/>
      <w:sz w:val="24"/>
      <w:szCs w:val="24"/>
    </w:rPr>
  </w:style>
  <w:style w:type="character" w:customStyle="1" w:styleId="72">
    <w:name w:val="标题 9 字符"/>
    <w:link w:val="11"/>
    <w:qFormat/>
    <w:uiPriority w:val="0"/>
    <w:rPr>
      <w:rFonts w:ascii="Arial" w:hAnsi="Arial" w:eastAsia="黑体" w:cs="Times New Roman"/>
      <w:kern w:val="0"/>
      <w:sz w:val="20"/>
      <w:szCs w:val="21"/>
    </w:rPr>
  </w:style>
  <w:style w:type="character" w:customStyle="1" w:styleId="73">
    <w:name w:val="正文缩进 字符1"/>
    <w:link w:val="14"/>
    <w:qFormat/>
    <w:uiPriority w:val="0"/>
    <w:rPr>
      <w:rFonts w:eastAsia="宋体"/>
    </w:rPr>
  </w:style>
  <w:style w:type="character" w:customStyle="1" w:styleId="74">
    <w:name w:val="文档结构图 字符"/>
    <w:link w:val="17"/>
    <w:qFormat/>
    <w:uiPriority w:val="99"/>
    <w:rPr>
      <w:szCs w:val="24"/>
      <w:shd w:val="clear" w:color="auto" w:fill="000080"/>
    </w:rPr>
  </w:style>
  <w:style w:type="character" w:customStyle="1" w:styleId="75">
    <w:name w:val="引文目录标题 字符"/>
    <w:link w:val="18"/>
    <w:qFormat/>
    <w:uiPriority w:val="0"/>
    <w:rPr>
      <w:rFonts w:ascii="Arial" w:hAnsi="Arial" w:eastAsia="宋体" w:cs="Times New Roman"/>
      <w:kern w:val="0"/>
      <w:sz w:val="24"/>
      <w:szCs w:val="20"/>
    </w:rPr>
  </w:style>
  <w:style w:type="character" w:customStyle="1" w:styleId="76">
    <w:name w:val="批注文字 字符"/>
    <w:link w:val="19"/>
    <w:qFormat/>
    <w:uiPriority w:val="0"/>
    <w:rPr>
      <w:szCs w:val="24"/>
    </w:rPr>
  </w:style>
  <w:style w:type="character" w:customStyle="1" w:styleId="77">
    <w:name w:val="正文文本 3 字符"/>
    <w:link w:val="20"/>
    <w:qFormat/>
    <w:uiPriority w:val="0"/>
    <w:rPr>
      <w:rFonts w:hAnsi="宋体" w:eastAsia="仿宋_GB2312"/>
      <w:b/>
      <w:bCs/>
      <w:sz w:val="24"/>
    </w:rPr>
  </w:style>
  <w:style w:type="character" w:customStyle="1" w:styleId="78">
    <w:name w:val="正文文本 字符1"/>
    <w:link w:val="21"/>
    <w:qFormat/>
    <w:uiPriority w:val="0"/>
    <w:rPr>
      <w:rFonts w:ascii="Times New Roman" w:hAnsi="Times New Roman" w:eastAsia="宋体" w:cs="Times New Roman"/>
      <w:kern w:val="0"/>
      <w:sz w:val="28"/>
      <w:szCs w:val="24"/>
    </w:rPr>
  </w:style>
  <w:style w:type="character" w:customStyle="1" w:styleId="79">
    <w:name w:val="正文首行缩进 字符"/>
    <w:link w:val="50"/>
    <w:qFormat/>
    <w:uiPriority w:val="0"/>
    <w:rPr>
      <w:sz w:val="24"/>
      <w:szCs w:val="24"/>
    </w:rPr>
  </w:style>
  <w:style w:type="character" w:customStyle="1" w:styleId="80">
    <w:name w:val="纯文本 字符2"/>
    <w:link w:val="30"/>
    <w:qFormat/>
    <w:uiPriority w:val="0"/>
    <w:rPr>
      <w:rFonts w:ascii="宋体" w:hAnsi="Courier New" w:eastAsia="宋体"/>
      <w:sz w:val="24"/>
      <w:szCs w:val="24"/>
    </w:rPr>
  </w:style>
  <w:style w:type="character" w:customStyle="1" w:styleId="81">
    <w:name w:val="日期 字符"/>
    <w:link w:val="31"/>
    <w:qFormat/>
    <w:uiPriority w:val="0"/>
    <w:rPr>
      <w:rFonts w:eastAsia="楷体_GB2312"/>
      <w:sz w:val="32"/>
    </w:rPr>
  </w:style>
  <w:style w:type="character" w:customStyle="1" w:styleId="82">
    <w:name w:val="正文文本缩进 2 字符"/>
    <w:link w:val="33"/>
    <w:qFormat/>
    <w:uiPriority w:val="0"/>
    <w:rPr>
      <w:rFonts w:ascii="仿宋_GB2312" w:hAnsi="宋体" w:cs="Arial"/>
      <w:b/>
      <w:bCs/>
      <w:color w:val="000000"/>
      <w:sz w:val="24"/>
      <w:szCs w:val="24"/>
    </w:rPr>
  </w:style>
  <w:style w:type="character" w:customStyle="1" w:styleId="83">
    <w:name w:val="批注框文本 字符"/>
    <w:link w:val="34"/>
    <w:qFormat/>
    <w:uiPriority w:val="99"/>
    <w:rPr>
      <w:sz w:val="18"/>
      <w:szCs w:val="18"/>
    </w:rPr>
  </w:style>
  <w:style w:type="character" w:customStyle="1" w:styleId="84">
    <w:name w:val="页脚 字符"/>
    <w:link w:val="35"/>
    <w:qFormat/>
    <w:uiPriority w:val="99"/>
    <w:rPr>
      <w:rFonts w:eastAsia="黑体"/>
      <w:sz w:val="18"/>
      <w:szCs w:val="18"/>
    </w:rPr>
  </w:style>
  <w:style w:type="character" w:customStyle="1" w:styleId="85">
    <w:name w:val="页眉 字符"/>
    <w:link w:val="36"/>
    <w:qFormat/>
    <w:uiPriority w:val="99"/>
    <w:rPr>
      <w:rFonts w:eastAsia="仿宋_GB2312"/>
      <w:sz w:val="18"/>
    </w:rPr>
  </w:style>
  <w:style w:type="character" w:customStyle="1" w:styleId="86">
    <w:name w:val="正文文本缩进 3 字符"/>
    <w:link w:val="41"/>
    <w:qFormat/>
    <w:uiPriority w:val="0"/>
    <w:rPr>
      <w:rFonts w:ascii="仿宋_GB2312" w:hAnsi="宋体" w:eastAsia="仿宋_GB2312"/>
      <w:color w:val="000000"/>
      <w:sz w:val="24"/>
      <w:szCs w:val="24"/>
    </w:rPr>
  </w:style>
  <w:style w:type="character" w:customStyle="1" w:styleId="87">
    <w:name w:val="正文文本 2 字符"/>
    <w:link w:val="45"/>
    <w:qFormat/>
    <w:uiPriority w:val="99"/>
    <w:rPr>
      <w:rFonts w:ascii="宋体" w:hAnsi="宋体"/>
      <w:color w:val="000000"/>
      <w:sz w:val="24"/>
      <w:szCs w:val="24"/>
    </w:rPr>
  </w:style>
  <w:style w:type="character" w:customStyle="1" w:styleId="88">
    <w:name w:val="普通(网站) 字符"/>
    <w:link w:val="46"/>
    <w:qFormat/>
    <w:uiPriority w:val="0"/>
    <w:rPr>
      <w:rFonts w:ascii="宋体" w:hAnsi="宋体"/>
      <w:sz w:val="24"/>
      <w:szCs w:val="24"/>
    </w:rPr>
  </w:style>
  <w:style w:type="character" w:customStyle="1" w:styleId="89">
    <w:name w:val="标题 字符"/>
    <w:link w:val="48"/>
    <w:qFormat/>
    <w:uiPriority w:val="0"/>
    <w:rPr>
      <w:rFonts w:ascii="Cambria" w:hAnsi="Cambria"/>
      <w:b/>
      <w:bCs/>
      <w:sz w:val="32"/>
      <w:szCs w:val="32"/>
    </w:rPr>
  </w:style>
  <w:style w:type="character" w:customStyle="1" w:styleId="90">
    <w:name w:val="批注主题 字符"/>
    <w:link w:val="49"/>
    <w:qFormat/>
    <w:uiPriority w:val="99"/>
    <w:rPr>
      <w:b/>
      <w:bCs/>
      <w:szCs w:val="24"/>
    </w:rPr>
  </w:style>
  <w:style w:type="paragraph" w:customStyle="1" w:styleId="91">
    <w:name w:val="[Normal]"/>
    <w:qFormat/>
    <w:uiPriority w:val="0"/>
    <w:rPr>
      <w:rFonts w:ascii="宋体" w:hAnsi="宋体" w:eastAsia="宋体" w:cs="Times New Roman"/>
      <w:sz w:val="24"/>
      <w:szCs w:val="22"/>
      <w:lang w:val="zh-CN" w:eastAsia="zh-CN" w:bidi="ar-SA"/>
    </w:rPr>
  </w:style>
  <w:style w:type="character" w:customStyle="1" w:styleId="92">
    <w:name w:val="标题 1 字符"/>
    <w:qFormat/>
    <w:uiPriority w:val="9"/>
    <w:rPr>
      <w:b/>
      <w:bCs/>
      <w:kern w:val="44"/>
      <w:sz w:val="30"/>
      <w:szCs w:val="44"/>
    </w:rPr>
  </w:style>
  <w:style w:type="character" w:customStyle="1" w:styleId="93">
    <w:name w:val="页眉 Char1"/>
    <w:semiHidden/>
    <w:qFormat/>
    <w:uiPriority w:val="99"/>
    <w:rPr>
      <w:rFonts w:ascii="Times New Roman" w:hAnsi="Times New Roman" w:eastAsia="宋体" w:cs="Times New Roman"/>
      <w:sz w:val="18"/>
      <w:szCs w:val="18"/>
    </w:rPr>
  </w:style>
  <w:style w:type="character" w:customStyle="1" w:styleId="94">
    <w:name w:val="H2 Char"/>
    <w:qFormat/>
    <w:uiPriority w:val="0"/>
    <w:rPr>
      <w:rFonts w:ascii="Cambria" w:hAnsi="Cambria" w:eastAsia="宋体" w:cs="Times New Roman"/>
      <w:b/>
      <w:bCs/>
      <w:sz w:val="32"/>
      <w:szCs w:val="32"/>
    </w:rPr>
  </w:style>
  <w:style w:type="character" w:customStyle="1" w:styleId="95">
    <w:name w:val="* table text Char"/>
    <w:link w:val="96"/>
    <w:qFormat/>
    <w:locked/>
    <w:uiPriority w:val="0"/>
    <w:rPr>
      <w:rFonts w:ascii="Arial" w:hAnsi="Arial" w:eastAsia="宋体"/>
      <w:color w:val="333333"/>
      <w:sz w:val="18"/>
      <w:szCs w:val="18"/>
      <w:lang w:bidi="ar-SA"/>
    </w:rPr>
  </w:style>
  <w:style w:type="paragraph" w:customStyle="1" w:styleId="96">
    <w:name w:val="* table text"/>
    <w:basedOn w:val="1"/>
    <w:link w:val="95"/>
    <w:qFormat/>
    <w:uiPriority w:val="0"/>
    <w:pPr>
      <w:widowControl/>
    </w:pPr>
    <w:rPr>
      <w:rFonts w:ascii="Arial" w:hAnsi="Arial"/>
      <w:color w:val="333333"/>
      <w:kern w:val="0"/>
      <w:sz w:val="18"/>
      <w:szCs w:val="18"/>
    </w:rPr>
  </w:style>
  <w:style w:type="character" w:customStyle="1" w:styleId="97">
    <w:name w:val="Char Char12"/>
    <w:qFormat/>
    <w:uiPriority w:val="0"/>
    <w:rPr>
      <w:rFonts w:ascii="仿宋_GB2312" w:hAnsi="宋体" w:eastAsia="仿宋_GB2312"/>
      <w:color w:val="000000"/>
      <w:kern w:val="2"/>
      <w:sz w:val="24"/>
      <w:szCs w:val="24"/>
    </w:rPr>
  </w:style>
  <w:style w:type="character" w:customStyle="1" w:styleId="98">
    <w:name w:val="Char Char23"/>
    <w:qFormat/>
    <w:uiPriority w:val="0"/>
    <w:rPr>
      <w:b/>
      <w:bCs/>
      <w:kern w:val="2"/>
      <w:sz w:val="28"/>
      <w:szCs w:val="28"/>
    </w:rPr>
  </w:style>
  <w:style w:type="character" w:customStyle="1" w:styleId="99">
    <w:name w:val="Char Char27"/>
    <w:qFormat/>
    <w:uiPriority w:val="0"/>
    <w:rPr>
      <w:b/>
      <w:bCs/>
      <w:kern w:val="44"/>
      <w:sz w:val="44"/>
      <w:szCs w:val="44"/>
    </w:rPr>
  </w:style>
  <w:style w:type="character" w:customStyle="1" w:styleId="100">
    <w:name w:val="Char Char1111"/>
    <w:qFormat/>
    <w:uiPriority w:val="0"/>
    <w:rPr>
      <w:kern w:val="2"/>
      <w:sz w:val="28"/>
      <w:szCs w:val="24"/>
    </w:rPr>
  </w:style>
  <w:style w:type="character" w:customStyle="1" w:styleId="101">
    <w:name w:val="正文文本 字符"/>
    <w:qFormat/>
    <w:uiPriority w:val="0"/>
    <w:rPr>
      <w:rFonts w:ascii="Times New Roman" w:hAnsi="Times New Roman" w:eastAsia="宋体" w:cs="Times New Roman"/>
      <w:kern w:val="0"/>
      <w:sz w:val="28"/>
      <w:szCs w:val="24"/>
    </w:rPr>
  </w:style>
  <w:style w:type="character" w:customStyle="1" w:styleId="102">
    <w:name w:val="无格式标题 Char"/>
    <w:link w:val="103"/>
    <w:qFormat/>
    <w:uiPriority w:val="0"/>
    <w:rPr>
      <w:rFonts w:ascii="微软雅黑" w:hAnsi="微软雅黑" w:eastAsia="微软雅黑"/>
      <w:b/>
      <w:szCs w:val="24"/>
      <w:lang w:bidi="ar-SA"/>
    </w:rPr>
  </w:style>
  <w:style w:type="paragraph" w:customStyle="1" w:styleId="103">
    <w:name w:val="无格式标题"/>
    <w:basedOn w:val="1"/>
    <w:link w:val="102"/>
    <w:qFormat/>
    <w:uiPriority w:val="0"/>
    <w:pPr>
      <w:spacing w:line="360" w:lineRule="auto"/>
    </w:pPr>
    <w:rPr>
      <w:rFonts w:ascii="微软雅黑" w:hAnsi="微软雅黑" w:eastAsia="微软雅黑"/>
      <w:b/>
      <w:kern w:val="0"/>
      <w:sz w:val="20"/>
    </w:rPr>
  </w:style>
  <w:style w:type="character" w:customStyle="1" w:styleId="104">
    <w:name w:val="标题 3 Char1"/>
    <w:autoRedefine/>
    <w:qFormat/>
    <w:uiPriority w:val="0"/>
    <w:rPr>
      <w:rFonts w:ascii="Times New Roman" w:hAnsi="Times New Roman" w:eastAsia="宋体" w:cs="Times New Roman"/>
      <w:b/>
      <w:bCs/>
      <w:sz w:val="32"/>
      <w:szCs w:val="32"/>
    </w:rPr>
  </w:style>
  <w:style w:type="character" w:customStyle="1" w:styleId="105">
    <w:name w:val="Heading 9 Char"/>
    <w:semiHidden/>
    <w:qFormat/>
    <w:locked/>
    <w:uiPriority w:val="0"/>
    <w:rPr>
      <w:rFonts w:ascii="Cambria" w:hAnsi="Cambria" w:eastAsia="宋体" w:cs="Times New Roman"/>
      <w:kern w:val="0"/>
      <w:sz w:val="21"/>
      <w:szCs w:val="21"/>
    </w:rPr>
  </w:style>
  <w:style w:type="character" w:customStyle="1" w:styleId="106">
    <w:name w:val="中等深浅网格 2 字符"/>
    <w:link w:val="107"/>
    <w:qFormat/>
    <w:uiPriority w:val="1"/>
    <w:rPr>
      <w:kern w:val="2"/>
      <w:sz w:val="21"/>
      <w:szCs w:val="24"/>
      <w:lang w:val="en-US" w:eastAsia="zh-CN" w:bidi="ar-SA"/>
    </w:rPr>
  </w:style>
  <w:style w:type="paragraph" w:customStyle="1" w:styleId="107">
    <w:name w:val="中等深浅网格 21"/>
    <w:link w:val="106"/>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108">
    <w:name w:val="段落文本 Char"/>
    <w:link w:val="109"/>
    <w:qFormat/>
    <w:uiPriority w:val="0"/>
    <w:rPr>
      <w:rFonts w:eastAsia="宋体"/>
      <w:szCs w:val="21"/>
      <w:lang w:bidi="ar-SA"/>
    </w:rPr>
  </w:style>
  <w:style w:type="paragraph" w:customStyle="1" w:styleId="109">
    <w:name w:val="段落文本"/>
    <w:basedOn w:val="1"/>
    <w:link w:val="108"/>
    <w:qFormat/>
    <w:uiPriority w:val="0"/>
    <w:pPr>
      <w:spacing w:line="360" w:lineRule="auto"/>
      <w:ind w:firstLine="420"/>
    </w:pPr>
    <w:rPr>
      <w:kern w:val="0"/>
      <w:sz w:val="20"/>
      <w:szCs w:val="21"/>
    </w:rPr>
  </w:style>
  <w:style w:type="character" w:customStyle="1" w:styleId="110">
    <w:name w:val="批注文字 Char1"/>
    <w:semiHidden/>
    <w:qFormat/>
    <w:uiPriority w:val="99"/>
    <w:rPr>
      <w:rFonts w:ascii="Times New Roman" w:hAnsi="Times New Roman" w:eastAsia="宋体" w:cs="Times New Roman"/>
      <w:szCs w:val="24"/>
    </w:rPr>
  </w:style>
  <w:style w:type="character" w:customStyle="1" w:styleId="111">
    <w:name w:val="￥正文 Char Char"/>
    <w:qFormat/>
    <w:uiPriority w:val="0"/>
    <w:rPr>
      <w:rFonts w:ascii="Calibri" w:hAnsi="Calibri"/>
      <w:sz w:val="24"/>
    </w:rPr>
  </w:style>
  <w:style w:type="character" w:customStyle="1" w:styleId="112">
    <w:name w:val="Char Char5"/>
    <w:qFormat/>
    <w:uiPriority w:val="0"/>
    <w:rPr>
      <w:rFonts w:ascii="宋体" w:hAnsi="宋体"/>
      <w:sz w:val="24"/>
      <w:szCs w:val="24"/>
    </w:rPr>
  </w:style>
  <w:style w:type="character" w:customStyle="1" w:styleId="113">
    <w:name w:val="Heading 3 Char"/>
    <w:semiHidden/>
    <w:qFormat/>
    <w:locked/>
    <w:uiPriority w:val="0"/>
    <w:rPr>
      <w:rFonts w:cs="Times New Roman"/>
      <w:b/>
      <w:bCs/>
      <w:kern w:val="0"/>
      <w:sz w:val="32"/>
      <w:szCs w:val="32"/>
    </w:rPr>
  </w:style>
  <w:style w:type="character" w:customStyle="1" w:styleId="114">
    <w:name w:val="Char Char21"/>
    <w:autoRedefine/>
    <w:qFormat/>
    <w:uiPriority w:val="0"/>
    <w:rPr>
      <w:b/>
      <w:bCs/>
      <w:kern w:val="2"/>
      <w:sz w:val="24"/>
      <w:szCs w:val="24"/>
    </w:rPr>
  </w:style>
  <w:style w:type="character" w:customStyle="1" w:styleId="115">
    <w:name w:val="正文样式 Char"/>
    <w:link w:val="116"/>
    <w:qFormat/>
    <w:uiPriority w:val="0"/>
    <w:rPr>
      <w:rFonts w:ascii="宋体" w:hAnsi="Calibri" w:eastAsia="宋体" w:cs="宋体"/>
      <w:sz w:val="24"/>
      <w:szCs w:val="24"/>
      <w:lang w:val="zh-CN" w:eastAsia="en-US" w:bidi="he-IL"/>
    </w:rPr>
  </w:style>
  <w:style w:type="paragraph" w:customStyle="1" w:styleId="116">
    <w:name w:val="正文样式"/>
    <w:basedOn w:val="1"/>
    <w:link w:val="115"/>
    <w:autoRedefine/>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117">
    <w:name w:val="Heading 8 Char"/>
    <w:autoRedefine/>
    <w:semiHidden/>
    <w:qFormat/>
    <w:locked/>
    <w:uiPriority w:val="0"/>
    <w:rPr>
      <w:rFonts w:ascii="Cambria" w:hAnsi="Cambria" w:eastAsia="宋体" w:cs="Times New Roman"/>
      <w:kern w:val="0"/>
      <w:sz w:val="24"/>
      <w:szCs w:val="24"/>
    </w:rPr>
  </w:style>
  <w:style w:type="character" w:customStyle="1" w:styleId="118">
    <w:name w:val="内容文本 Char"/>
    <w:link w:val="119"/>
    <w:qFormat/>
    <w:uiPriority w:val="0"/>
    <w:rPr>
      <w:rFonts w:ascii="宋体" w:hAnsi="宋体" w:eastAsia="宋体"/>
      <w:kern w:val="2"/>
      <w:sz w:val="24"/>
      <w:szCs w:val="24"/>
      <w:lang w:bidi="ar-SA"/>
    </w:rPr>
  </w:style>
  <w:style w:type="paragraph" w:customStyle="1" w:styleId="119">
    <w:name w:val="内容文本"/>
    <w:basedOn w:val="1"/>
    <w:link w:val="118"/>
    <w:autoRedefine/>
    <w:qFormat/>
    <w:uiPriority w:val="0"/>
    <w:pPr>
      <w:spacing w:line="360" w:lineRule="auto"/>
      <w:ind w:firstLine="480" w:firstLineChars="200"/>
    </w:pPr>
    <w:rPr>
      <w:rFonts w:ascii="宋体" w:hAnsi="宋体"/>
      <w:sz w:val="24"/>
    </w:rPr>
  </w:style>
  <w:style w:type="character" w:customStyle="1" w:styleId="120">
    <w:name w:val="Char Char3"/>
    <w:autoRedefine/>
    <w:qFormat/>
    <w:uiPriority w:val="0"/>
    <w:rPr>
      <w:kern w:val="2"/>
      <w:sz w:val="24"/>
      <w:szCs w:val="24"/>
    </w:rPr>
  </w:style>
  <w:style w:type="character" w:customStyle="1" w:styleId="121">
    <w:name w:val="Char Char8"/>
    <w:qFormat/>
    <w:uiPriority w:val="0"/>
    <w:rPr>
      <w:rFonts w:eastAsia="楷体_GB2312"/>
      <w:kern w:val="2"/>
      <w:sz w:val="32"/>
    </w:rPr>
  </w:style>
  <w:style w:type="character" w:customStyle="1" w:styleId="122">
    <w:name w:val="Char Char18"/>
    <w:autoRedefine/>
    <w:qFormat/>
    <w:uiPriority w:val="0"/>
    <w:rPr>
      <w:rFonts w:eastAsia="黑体"/>
      <w:sz w:val="18"/>
      <w:szCs w:val="18"/>
    </w:rPr>
  </w:style>
  <w:style w:type="character" w:customStyle="1" w:styleId="123">
    <w:name w:val="h Char"/>
    <w:autoRedefine/>
    <w:qFormat/>
    <w:uiPriority w:val="0"/>
    <w:rPr>
      <w:rFonts w:ascii="Times New Roman" w:hAnsi="Times New Roman" w:eastAsia="宋体" w:cs="Times New Roman"/>
      <w:sz w:val="18"/>
      <w:szCs w:val="18"/>
    </w:rPr>
  </w:style>
  <w:style w:type="character" w:customStyle="1" w:styleId="124">
    <w:name w:val="Heading 4 Char"/>
    <w:autoRedefine/>
    <w:qFormat/>
    <w:locked/>
    <w:uiPriority w:val="0"/>
    <w:rPr>
      <w:rFonts w:cs="Times New Roman"/>
      <w:b/>
      <w:sz w:val="21"/>
    </w:rPr>
  </w:style>
  <w:style w:type="character" w:customStyle="1" w:styleId="125">
    <w:name w:val="zhenwen14"/>
    <w:autoRedefine/>
    <w:qFormat/>
    <w:uiPriority w:val="0"/>
    <w:rPr>
      <w:color w:val="085994"/>
      <w:sz w:val="18"/>
      <w:szCs w:val="18"/>
    </w:rPr>
  </w:style>
  <w:style w:type="character" w:customStyle="1" w:styleId="126">
    <w:name w:val="中等深浅网格 1 - 强调文字颜色 2 Char"/>
    <w:link w:val="127"/>
    <w:autoRedefine/>
    <w:qFormat/>
    <w:uiPriority w:val="0"/>
    <w:rPr>
      <w:rFonts w:ascii="Calibri" w:hAnsi="Calibri" w:eastAsia="宋体"/>
      <w:sz w:val="24"/>
      <w:lang w:bidi="ar-SA"/>
    </w:rPr>
  </w:style>
  <w:style w:type="paragraph" w:customStyle="1" w:styleId="127">
    <w:name w:val="中等深浅网格 1 - 强调文字颜色 21"/>
    <w:basedOn w:val="1"/>
    <w:link w:val="126"/>
    <w:autoRedefine/>
    <w:qFormat/>
    <w:uiPriority w:val="0"/>
    <w:pPr>
      <w:spacing w:line="360" w:lineRule="auto"/>
      <w:ind w:firstLine="420" w:firstLineChars="200"/>
    </w:pPr>
    <w:rPr>
      <w:rFonts w:ascii="Calibri" w:hAnsi="Calibri"/>
      <w:kern w:val="0"/>
      <w:sz w:val="24"/>
      <w:szCs w:val="20"/>
    </w:rPr>
  </w:style>
  <w:style w:type="character" w:customStyle="1" w:styleId="128">
    <w:name w:val="Char Char2"/>
    <w:autoRedefine/>
    <w:qFormat/>
    <w:uiPriority w:val="0"/>
    <w:rPr>
      <w:rFonts w:ascii="宋体" w:hAnsi="宋体"/>
      <w:color w:val="000000"/>
      <w:kern w:val="2"/>
      <w:sz w:val="24"/>
      <w:szCs w:val="24"/>
    </w:rPr>
  </w:style>
  <w:style w:type="character" w:customStyle="1" w:styleId="129">
    <w:name w:val="Char Char24"/>
    <w:autoRedefine/>
    <w:qFormat/>
    <w:uiPriority w:val="0"/>
    <w:rPr>
      <w:rFonts w:ascii="Arial" w:hAnsi="Arial" w:eastAsia="黑体"/>
      <w:b/>
      <w:bCs/>
      <w:kern w:val="2"/>
      <w:sz w:val="28"/>
      <w:szCs w:val="28"/>
    </w:rPr>
  </w:style>
  <w:style w:type="character" w:customStyle="1" w:styleId="130">
    <w:name w:val="样式 (中文) 放宋 小四号"/>
    <w:autoRedefine/>
    <w:qFormat/>
    <w:uiPriority w:val="0"/>
    <w:rPr>
      <w:rFonts w:eastAsia="仿宋_GB2312"/>
      <w:sz w:val="24"/>
    </w:rPr>
  </w:style>
  <w:style w:type="character" w:customStyle="1" w:styleId="131">
    <w:name w:val="日期 Char1"/>
    <w:autoRedefine/>
    <w:semiHidden/>
    <w:qFormat/>
    <w:uiPriority w:val="99"/>
    <w:rPr>
      <w:rFonts w:ascii="Times New Roman" w:hAnsi="Times New Roman" w:eastAsia="宋体" w:cs="Times New Roman"/>
      <w:szCs w:val="24"/>
    </w:rPr>
  </w:style>
  <w:style w:type="character" w:customStyle="1" w:styleId="132">
    <w:name w:val="font31"/>
    <w:autoRedefine/>
    <w:qFormat/>
    <w:uiPriority w:val="0"/>
    <w:rPr>
      <w:rFonts w:hint="default" w:ascii="Times New Roman" w:hAnsi="Times New Roman" w:cs="Times New Roman"/>
      <w:color w:val="000000"/>
      <w:sz w:val="20"/>
      <w:szCs w:val="20"/>
      <w:u w:val="none"/>
    </w:rPr>
  </w:style>
  <w:style w:type="character" w:customStyle="1" w:styleId="133">
    <w:name w:val="样式 加粗"/>
    <w:autoRedefine/>
    <w:qFormat/>
    <w:uiPriority w:val="0"/>
    <w:rPr>
      <w:rFonts w:eastAsia="仿宋_GB2312"/>
      <w:b/>
      <w:bCs/>
      <w:sz w:val="24"/>
    </w:rPr>
  </w:style>
  <w:style w:type="character" w:customStyle="1" w:styleId="134">
    <w:name w:val="常规 Char"/>
    <w:link w:val="135"/>
    <w:autoRedefine/>
    <w:qFormat/>
    <w:uiPriority w:val="0"/>
    <w:rPr>
      <w:rFonts w:eastAsia="宋体"/>
      <w:szCs w:val="21"/>
      <w:lang w:bidi="ar-SA"/>
    </w:rPr>
  </w:style>
  <w:style w:type="paragraph" w:customStyle="1" w:styleId="135">
    <w:name w:val="常规"/>
    <w:basedOn w:val="1"/>
    <w:link w:val="134"/>
    <w:autoRedefine/>
    <w:qFormat/>
    <w:uiPriority w:val="0"/>
    <w:pPr>
      <w:spacing w:beforeLines="100" w:afterLines="100"/>
      <w:ind w:left="1134"/>
    </w:pPr>
    <w:rPr>
      <w:kern w:val="0"/>
      <w:sz w:val="20"/>
      <w:szCs w:val="21"/>
    </w:rPr>
  </w:style>
  <w:style w:type="character" w:customStyle="1" w:styleId="136">
    <w:name w:val="普通 (Web) Char1"/>
    <w:autoRedefine/>
    <w:qFormat/>
    <w:locked/>
    <w:uiPriority w:val="0"/>
    <w:rPr>
      <w:rFonts w:ascii="宋体" w:hAnsi="宋体" w:eastAsia="宋体"/>
      <w:sz w:val="24"/>
      <w:szCs w:val="24"/>
      <w:lang w:val="en-US" w:eastAsia="zh-CN" w:bidi="ar-SA"/>
    </w:rPr>
  </w:style>
  <w:style w:type="character" w:customStyle="1" w:styleId="137">
    <w:name w:val="Heading 2 Char"/>
    <w:autoRedefine/>
    <w:semiHidden/>
    <w:qFormat/>
    <w:locked/>
    <w:uiPriority w:val="0"/>
    <w:rPr>
      <w:rFonts w:ascii="Cambria" w:hAnsi="Cambria" w:eastAsia="宋体" w:cs="Times New Roman"/>
      <w:b/>
      <w:bCs/>
      <w:kern w:val="0"/>
      <w:sz w:val="32"/>
      <w:szCs w:val="32"/>
    </w:rPr>
  </w:style>
  <w:style w:type="character" w:customStyle="1" w:styleId="138">
    <w:name w:val="Body Text Char"/>
    <w:autoRedefine/>
    <w:semiHidden/>
    <w:qFormat/>
    <w:locked/>
    <w:uiPriority w:val="0"/>
    <w:rPr>
      <w:rFonts w:cs="Times New Roman"/>
      <w:kern w:val="0"/>
      <w:sz w:val="21"/>
      <w:szCs w:val="21"/>
    </w:rPr>
  </w:style>
  <w:style w:type="character" w:customStyle="1" w:styleId="139">
    <w:name w:val="正文首行缩进1 Char"/>
    <w:autoRedefine/>
    <w:qFormat/>
    <w:uiPriority w:val="0"/>
    <w:rPr>
      <w:rFonts w:ascii="Arial" w:hAnsi="Arial" w:eastAsia="宋体"/>
      <w:sz w:val="24"/>
      <w:szCs w:val="21"/>
      <w:lang w:bidi="ar-SA"/>
    </w:rPr>
  </w:style>
  <w:style w:type="character" w:customStyle="1" w:styleId="140">
    <w:name w:val="Char Char6"/>
    <w:autoRedefine/>
    <w:qFormat/>
    <w:uiPriority w:val="0"/>
    <w:rPr>
      <w:rFonts w:ascii="Cambria" w:hAnsi="Cambria"/>
      <w:b/>
      <w:bCs/>
      <w:kern w:val="2"/>
      <w:sz w:val="32"/>
      <w:szCs w:val="32"/>
    </w:rPr>
  </w:style>
  <w:style w:type="character" w:customStyle="1" w:styleId="141">
    <w:name w:val="style171"/>
    <w:autoRedefine/>
    <w:qFormat/>
    <w:uiPriority w:val="0"/>
    <w:rPr>
      <w:sz w:val="20"/>
      <w:szCs w:val="20"/>
    </w:rPr>
  </w:style>
  <w:style w:type="character" w:customStyle="1" w:styleId="142">
    <w:name w:val="newscontent1"/>
    <w:autoRedefine/>
    <w:qFormat/>
    <w:uiPriority w:val="0"/>
    <w:rPr>
      <w:rFonts w:hint="default" w:ascii="Verdana" w:hAnsi="Verdana"/>
      <w:color w:val="333333"/>
      <w:sz w:val="18"/>
      <w:szCs w:val="18"/>
    </w:rPr>
  </w:style>
  <w:style w:type="character" w:customStyle="1" w:styleId="143">
    <w:name w:val="H1 Char"/>
    <w:autoRedefine/>
    <w:qFormat/>
    <w:uiPriority w:val="0"/>
    <w:rPr>
      <w:rFonts w:ascii="Times New Roman" w:hAnsi="Times New Roman" w:eastAsia="宋体" w:cs="Times New Roman"/>
      <w:b/>
      <w:bCs/>
      <w:kern w:val="44"/>
      <w:sz w:val="44"/>
      <w:szCs w:val="44"/>
    </w:rPr>
  </w:style>
  <w:style w:type="character" w:customStyle="1" w:styleId="144">
    <w:name w:val="style211"/>
    <w:autoRedefine/>
    <w:qFormat/>
    <w:uiPriority w:val="0"/>
    <w:rPr>
      <w:color w:val="0000FF"/>
    </w:rPr>
  </w:style>
  <w:style w:type="character" w:customStyle="1" w:styleId="145">
    <w:name w:val="con-all2"/>
    <w:autoRedefine/>
    <w:qFormat/>
    <w:uiPriority w:val="0"/>
  </w:style>
  <w:style w:type="character" w:customStyle="1" w:styleId="146">
    <w:name w:val="!标题3 Ctrl+3 Char"/>
    <w:link w:val="147"/>
    <w:autoRedefine/>
    <w:qFormat/>
    <w:locked/>
    <w:uiPriority w:val="0"/>
    <w:rPr>
      <w:rFonts w:ascii="Arial" w:hAnsi="Arial" w:eastAsia="黑体"/>
      <w:b/>
      <w:kern w:val="2"/>
      <w:sz w:val="32"/>
      <w:szCs w:val="32"/>
    </w:rPr>
  </w:style>
  <w:style w:type="paragraph" w:customStyle="1" w:styleId="147">
    <w:name w:val="!标题3 Ctrl+3"/>
    <w:basedOn w:val="5"/>
    <w:next w:val="1"/>
    <w:link w:val="146"/>
    <w:autoRedefine/>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48">
    <w:name w:val="font61"/>
    <w:autoRedefine/>
    <w:qFormat/>
    <w:uiPriority w:val="0"/>
    <w:rPr>
      <w:rFonts w:hint="eastAsia" w:ascii="宋体" w:hAnsi="宋体" w:eastAsia="宋体" w:cs="宋体"/>
      <w:color w:val="000000"/>
      <w:sz w:val="24"/>
      <w:szCs w:val="24"/>
      <w:u w:val="none"/>
    </w:rPr>
  </w:style>
  <w:style w:type="character" w:customStyle="1" w:styleId="149">
    <w:name w:val="正文文本缩进 Char1"/>
    <w:autoRedefine/>
    <w:semiHidden/>
    <w:qFormat/>
    <w:uiPriority w:val="99"/>
    <w:rPr>
      <w:rFonts w:ascii="Times New Roman" w:hAnsi="Times New Roman" w:eastAsia="宋体" w:cs="Times New Roman"/>
      <w:szCs w:val="24"/>
    </w:rPr>
  </w:style>
  <w:style w:type="character" w:customStyle="1" w:styleId="150">
    <w:name w:val="Char Char25"/>
    <w:autoRedefine/>
    <w:qFormat/>
    <w:uiPriority w:val="0"/>
    <w:rPr>
      <w:rFonts w:eastAsia="楷体_GB2312"/>
      <w:b/>
      <w:bCs/>
      <w:kern w:val="2"/>
      <w:sz w:val="32"/>
      <w:szCs w:val="32"/>
    </w:rPr>
  </w:style>
  <w:style w:type="character" w:customStyle="1" w:styleId="151">
    <w:name w:val="Char Char14"/>
    <w:autoRedefine/>
    <w:qFormat/>
    <w:uiPriority w:val="0"/>
    <w:rPr>
      <w:kern w:val="2"/>
      <w:sz w:val="18"/>
      <w:szCs w:val="18"/>
    </w:rPr>
  </w:style>
  <w:style w:type="character" w:customStyle="1" w:styleId="152">
    <w:name w:val="unnamed21"/>
    <w:autoRedefine/>
    <w:qFormat/>
    <w:uiPriority w:val="0"/>
    <w:rPr>
      <w:b/>
      <w:bCs/>
      <w:spacing w:val="330"/>
      <w:sz w:val="21"/>
      <w:szCs w:val="21"/>
    </w:rPr>
  </w:style>
  <w:style w:type="character" w:customStyle="1" w:styleId="153">
    <w:name w:val="body1"/>
    <w:autoRedefine/>
    <w:qFormat/>
    <w:uiPriority w:val="0"/>
    <w:rPr>
      <w:rFonts w:hint="default"/>
      <w:sz w:val="18"/>
    </w:rPr>
  </w:style>
  <w:style w:type="character" w:customStyle="1" w:styleId="154">
    <w:name w:val="表格文本 Char Char"/>
    <w:link w:val="155"/>
    <w:autoRedefine/>
    <w:qFormat/>
    <w:uiPriority w:val="0"/>
    <w:rPr>
      <w:rFonts w:ascii="Arial" w:hAnsi="Arial"/>
      <w:kern w:val="2"/>
      <w:sz w:val="21"/>
      <w:szCs w:val="21"/>
      <w:lang w:val="en-US" w:eastAsia="zh-CN" w:bidi="ar-SA"/>
    </w:rPr>
  </w:style>
  <w:style w:type="paragraph" w:customStyle="1" w:styleId="155">
    <w:name w:val="表格文本 Char"/>
    <w:link w:val="154"/>
    <w:autoRedefine/>
    <w:qFormat/>
    <w:uiPriority w:val="0"/>
    <w:pPr>
      <w:tabs>
        <w:tab w:val="decimal" w:pos="0"/>
      </w:tabs>
    </w:pPr>
    <w:rPr>
      <w:rFonts w:ascii="Arial" w:hAnsi="Arial" w:eastAsia="宋体" w:cs="Times New Roman"/>
      <w:kern w:val="2"/>
      <w:sz w:val="21"/>
      <w:szCs w:val="21"/>
      <w:lang w:val="en-US" w:eastAsia="zh-CN" w:bidi="ar-SA"/>
    </w:rPr>
  </w:style>
  <w:style w:type="character" w:customStyle="1" w:styleId="156">
    <w:name w:val="批注主题 Char1"/>
    <w:autoRedefine/>
    <w:semiHidden/>
    <w:qFormat/>
    <w:uiPriority w:val="99"/>
    <w:rPr>
      <w:rFonts w:ascii="Times New Roman" w:hAnsi="Times New Roman" w:eastAsia="宋体" w:cs="Times New Roman"/>
      <w:b/>
      <w:bCs/>
      <w:szCs w:val="24"/>
    </w:rPr>
  </w:style>
  <w:style w:type="character" w:customStyle="1" w:styleId="157">
    <w:name w:val="页脚 Char1"/>
    <w:autoRedefine/>
    <w:semiHidden/>
    <w:qFormat/>
    <w:uiPriority w:val="99"/>
    <w:rPr>
      <w:rFonts w:ascii="Times New Roman" w:hAnsi="Times New Roman" w:eastAsia="宋体" w:cs="Times New Roman"/>
      <w:sz w:val="18"/>
      <w:szCs w:val="18"/>
    </w:rPr>
  </w:style>
  <w:style w:type="character" w:customStyle="1" w:styleId="158">
    <w:name w:val="Heading 5 Char"/>
    <w:autoRedefine/>
    <w:semiHidden/>
    <w:qFormat/>
    <w:locked/>
    <w:uiPriority w:val="0"/>
    <w:rPr>
      <w:rFonts w:cs="Times New Roman"/>
      <w:b/>
      <w:bCs/>
      <w:kern w:val="0"/>
      <w:sz w:val="28"/>
      <w:szCs w:val="28"/>
    </w:rPr>
  </w:style>
  <w:style w:type="character" w:customStyle="1" w:styleId="159">
    <w:name w:val="Char Char26"/>
    <w:autoRedefine/>
    <w:qFormat/>
    <w:uiPriority w:val="0"/>
    <w:rPr>
      <w:rFonts w:ascii="Arial" w:hAnsi="Arial" w:eastAsia="黑体"/>
      <w:b/>
      <w:bCs/>
      <w:kern w:val="2"/>
      <w:sz w:val="32"/>
      <w:szCs w:val="32"/>
    </w:rPr>
  </w:style>
  <w:style w:type="character" w:customStyle="1" w:styleId="160">
    <w:name w:val="正文文本 2 Char1"/>
    <w:autoRedefine/>
    <w:semiHidden/>
    <w:qFormat/>
    <w:uiPriority w:val="99"/>
    <w:rPr>
      <w:rFonts w:ascii="Times New Roman" w:hAnsi="Times New Roman" w:eastAsia="宋体" w:cs="Times New Roman"/>
      <w:szCs w:val="24"/>
    </w:rPr>
  </w:style>
  <w:style w:type="character" w:customStyle="1" w:styleId="161">
    <w:name w:val="font41"/>
    <w:autoRedefine/>
    <w:qFormat/>
    <w:uiPriority w:val="0"/>
    <w:rPr>
      <w:rFonts w:hint="eastAsia" w:ascii="宋体" w:hAnsi="宋体" w:eastAsia="宋体" w:cs="宋体"/>
      <w:color w:val="000000"/>
      <w:sz w:val="20"/>
      <w:szCs w:val="20"/>
      <w:u w:val="none"/>
    </w:rPr>
  </w:style>
  <w:style w:type="character" w:customStyle="1" w:styleId="162">
    <w:name w:val="BOD 4 Char Char"/>
    <w:autoRedefine/>
    <w:qFormat/>
    <w:uiPriority w:val="0"/>
    <w:rPr>
      <w:rFonts w:ascii="Arial" w:hAnsi="Arial" w:eastAsia="黑体" w:cs="Times New Roman"/>
      <w:b/>
      <w:bCs/>
      <w:sz w:val="24"/>
      <w:szCs w:val="24"/>
    </w:rPr>
  </w:style>
  <w:style w:type="character" w:customStyle="1" w:styleId="163">
    <w:name w:val="Heading 1 Char"/>
    <w:autoRedefine/>
    <w:qFormat/>
    <w:locked/>
    <w:uiPriority w:val="0"/>
    <w:rPr>
      <w:rFonts w:cs="Times New Roman"/>
      <w:b/>
      <w:bCs/>
      <w:kern w:val="44"/>
      <w:sz w:val="44"/>
      <w:szCs w:val="44"/>
    </w:rPr>
  </w:style>
  <w:style w:type="character" w:customStyle="1" w:styleId="164">
    <w:name w:val="txt1"/>
    <w:autoRedefine/>
    <w:qFormat/>
    <w:uiPriority w:val="0"/>
    <w:rPr>
      <w:rFonts w:hint="default" w:ascii="ˎ̥" w:hAnsi="ˎ̥"/>
      <w:sz w:val="18"/>
      <w:szCs w:val="18"/>
    </w:rPr>
  </w:style>
  <w:style w:type="character" w:customStyle="1" w:styleId="165">
    <w:name w:val="Plain Text Char"/>
    <w:autoRedefine/>
    <w:semiHidden/>
    <w:qFormat/>
    <w:locked/>
    <w:uiPriority w:val="0"/>
    <w:rPr>
      <w:rFonts w:ascii="宋体" w:hAnsi="Courier New" w:cs="Courier New"/>
      <w:kern w:val="0"/>
      <w:sz w:val="21"/>
      <w:szCs w:val="21"/>
    </w:rPr>
  </w:style>
  <w:style w:type="character" w:customStyle="1" w:styleId="166">
    <w:name w:val="Char Char1"/>
    <w:autoRedefine/>
    <w:qFormat/>
    <w:uiPriority w:val="0"/>
    <w:rPr>
      <w:kern w:val="2"/>
      <w:sz w:val="21"/>
      <w:szCs w:val="24"/>
    </w:rPr>
  </w:style>
  <w:style w:type="character" w:customStyle="1" w:styleId="167">
    <w:name w:val="￥正文 Char"/>
    <w:link w:val="168"/>
    <w:autoRedefine/>
    <w:qFormat/>
    <w:uiPriority w:val="0"/>
    <w:rPr>
      <w:rFonts w:ascii="Calibri" w:hAnsi="Calibri" w:eastAsia="宋体"/>
      <w:sz w:val="24"/>
      <w:lang w:bidi="ar-SA"/>
    </w:rPr>
  </w:style>
  <w:style w:type="paragraph" w:customStyle="1" w:styleId="168">
    <w:name w:val="￥正文"/>
    <w:basedOn w:val="1"/>
    <w:link w:val="167"/>
    <w:autoRedefine/>
    <w:qFormat/>
    <w:uiPriority w:val="0"/>
    <w:pPr>
      <w:spacing w:line="360" w:lineRule="auto"/>
      <w:ind w:firstLine="200" w:firstLineChars="200"/>
    </w:pPr>
    <w:rPr>
      <w:rFonts w:ascii="Calibri" w:hAnsi="Calibri"/>
      <w:kern w:val="0"/>
      <w:sz w:val="24"/>
      <w:szCs w:val="20"/>
    </w:rPr>
  </w:style>
  <w:style w:type="character" w:customStyle="1" w:styleId="169">
    <w:name w:val="Char Char22"/>
    <w:autoRedefine/>
    <w:qFormat/>
    <w:uiPriority w:val="0"/>
    <w:rPr>
      <w:rFonts w:ascii="Arial" w:hAnsi="Arial" w:eastAsia="黑体"/>
      <w:b/>
      <w:bCs/>
      <w:kern w:val="2"/>
      <w:sz w:val="24"/>
      <w:szCs w:val="24"/>
    </w:rPr>
  </w:style>
  <w:style w:type="character" w:customStyle="1" w:styleId="170">
    <w:name w:val="标题 1 Char Char"/>
    <w:autoRedefine/>
    <w:qFormat/>
    <w:uiPriority w:val="0"/>
    <w:rPr>
      <w:rFonts w:eastAsia="宋体"/>
      <w:b/>
      <w:spacing w:val="-2"/>
      <w:sz w:val="24"/>
      <w:lang w:val="en-US" w:eastAsia="zh-CN" w:bidi="ar-SA"/>
    </w:rPr>
  </w:style>
  <w:style w:type="character" w:customStyle="1" w:styleId="171">
    <w:name w:val="Char Char20"/>
    <w:autoRedefine/>
    <w:qFormat/>
    <w:uiPriority w:val="0"/>
    <w:rPr>
      <w:rFonts w:ascii="Arial" w:hAnsi="Arial" w:eastAsia="黑体"/>
      <w:kern w:val="2"/>
      <w:sz w:val="24"/>
      <w:szCs w:val="24"/>
    </w:rPr>
  </w:style>
  <w:style w:type="character" w:customStyle="1" w:styleId="172">
    <w:name w:val="wj1"/>
    <w:autoRedefine/>
    <w:qFormat/>
    <w:uiPriority w:val="0"/>
    <w:rPr>
      <w:color w:val="000000"/>
      <w:sz w:val="18"/>
      <w:szCs w:val="18"/>
      <w:u w:val="none"/>
    </w:rPr>
  </w:style>
  <w:style w:type="character" w:customStyle="1" w:styleId="173">
    <w:name w:val="font91"/>
    <w:autoRedefine/>
    <w:qFormat/>
    <w:uiPriority w:val="0"/>
    <w:rPr>
      <w:rFonts w:hint="default" w:ascii="Arial" w:hAnsi="Arial" w:cs="Arial"/>
      <w:b/>
      <w:color w:val="auto"/>
      <w:sz w:val="20"/>
      <w:szCs w:val="20"/>
      <w:u w:val="none"/>
    </w:rPr>
  </w:style>
  <w:style w:type="character" w:customStyle="1" w:styleId="174">
    <w:name w:val="Char Char17"/>
    <w:autoRedefine/>
    <w:qFormat/>
    <w:uiPriority w:val="0"/>
    <w:rPr>
      <w:rFonts w:ascii="仿宋_GB2312" w:hAnsi="宋体" w:cs="Arial"/>
      <w:b/>
      <w:bCs/>
      <w:color w:val="000000"/>
      <w:kern w:val="2"/>
      <w:sz w:val="24"/>
      <w:szCs w:val="24"/>
    </w:rPr>
  </w:style>
  <w:style w:type="character" w:customStyle="1" w:styleId="175">
    <w:name w:val="font11"/>
    <w:autoRedefine/>
    <w:qFormat/>
    <w:uiPriority w:val="0"/>
    <w:rPr>
      <w:rFonts w:hint="default" w:ascii="Times New Roman" w:hAnsi="Times New Roman" w:cs="Times New Roman"/>
      <w:color w:val="000000"/>
      <w:sz w:val="20"/>
      <w:szCs w:val="20"/>
      <w:u w:val="none"/>
    </w:rPr>
  </w:style>
  <w:style w:type="character" w:customStyle="1" w:styleId="176">
    <w:name w:val="Normal Indent Char"/>
    <w:autoRedefine/>
    <w:qFormat/>
    <w:locked/>
    <w:uiPriority w:val="0"/>
    <w:rPr>
      <w:sz w:val="20"/>
    </w:rPr>
  </w:style>
  <w:style w:type="character" w:customStyle="1" w:styleId="177">
    <w:name w:val="正文文本 3 Char1"/>
    <w:autoRedefine/>
    <w:semiHidden/>
    <w:qFormat/>
    <w:uiPriority w:val="99"/>
    <w:rPr>
      <w:rFonts w:ascii="Times New Roman" w:hAnsi="Times New Roman" w:eastAsia="宋体" w:cs="Times New Roman"/>
      <w:sz w:val="16"/>
      <w:szCs w:val="16"/>
    </w:rPr>
  </w:style>
  <w:style w:type="character" w:customStyle="1" w:styleId="178">
    <w:name w:val="表正文 Char"/>
    <w:autoRedefine/>
    <w:qFormat/>
    <w:uiPriority w:val="0"/>
    <w:rPr>
      <w:rFonts w:ascii="Times New Roman" w:hAnsi="Times New Roman" w:eastAsia="宋体" w:cs="Times New Roman"/>
      <w:szCs w:val="24"/>
    </w:rPr>
  </w:style>
  <w:style w:type="character" w:customStyle="1" w:styleId="179">
    <w:name w:val="Header Char"/>
    <w:autoRedefine/>
    <w:qFormat/>
    <w:locked/>
    <w:uiPriority w:val="0"/>
    <w:rPr>
      <w:rFonts w:ascii="Calibri" w:hAnsi="Calibri" w:eastAsia="宋体" w:cs="Times New Roman"/>
      <w:sz w:val="18"/>
      <w:szCs w:val="18"/>
    </w:rPr>
  </w:style>
  <w:style w:type="character" w:customStyle="1" w:styleId="180">
    <w:name w:val="cn1"/>
    <w:autoRedefine/>
    <w:qFormat/>
    <w:uiPriority w:val="0"/>
  </w:style>
  <w:style w:type="character" w:customStyle="1" w:styleId="181">
    <w:name w:val="样式7 Char"/>
    <w:autoRedefine/>
    <w:qFormat/>
    <w:uiPriority w:val="0"/>
    <w:rPr>
      <w:rFonts w:eastAsia="宋体" w:cs="宋体"/>
      <w:kern w:val="2"/>
      <w:sz w:val="24"/>
      <w:szCs w:val="24"/>
      <w:lang w:val="en-US" w:eastAsia="zh-CN" w:bidi="ar-SA"/>
    </w:rPr>
  </w:style>
  <w:style w:type="character" w:customStyle="1" w:styleId="182">
    <w:name w:val="彩色列表 - 强调文字颜色 1 Char"/>
    <w:link w:val="183"/>
    <w:autoRedefine/>
    <w:qFormat/>
    <w:uiPriority w:val="0"/>
    <w:rPr>
      <w:rFonts w:ascii="微软雅黑" w:hAnsi="微软雅黑" w:eastAsia="微软雅黑" w:cs="宋体"/>
      <w:kern w:val="2"/>
      <w:sz w:val="24"/>
      <w:szCs w:val="21"/>
      <w:lang w:val="en-US" w:eastAsia="zh-CN" w:bidi="ar-SA"/>
    </w:rPr>
  </w:style>
  <w:style w:type="paragraph" w:customStyle="1" w:styleId="183">
    <w:name w:val="列出段落2"/>
    <w:basedOn w:val="1"/>
    <w:link w:val="182"/>
    <w:autoRedefine/>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84">
    <w:name w:val="Char Char13"/>
    <w:autoRedefine/>
    <w:qFormat/>
    <w:uiPriority w:val="0"/>
    <w:rPr>
      <w:b/>
      <w:bCs/>
      <w:kern w:val="2"/>
      <w:sz w:val="21"/>
      <w:szCs w:val="24"/>
    </w:rPr>
  </w:style>
  <w:style w:type="character" w:customStyle="1" w:styleId="185">
    <w:name w:val="纯文本 Char2"/>
    <w:autoRedefine/>
    <w:semiHidden/>
    <w:qFormat/>
    <w:uiPriority w:val="99"/>
    <w:rPr>
      <w:rFonts w:ascii="宋体" w:hAnsi="Courier New" w:eastAsia="宋体" w:cs="Courier New"/>
      <w:szCs w:val="21"/>
    </w:rPr>
  </w:style>
  <w:style w:type="character" w:customStyle="1" w:styleId="186">
    <w:name w:val="Char Char10"/>
    <w:autoRedefine/>
    <w:qFormat/>
    <w:uiPriority w:val="0"/>
    <w:rPr>
      <w:kern w:val="2"/>
      <w:sz w:val="21"/>
      <w:szCs w:val="24"/>
      <w:shd w:val="clear" w:color="auto" w:fill="000080"/>
    </w:rPr>
  </w:style>
  <w:style w:type="character" w:customStyle="1" w:styleId="187">
    <w:name w:val="未处理的提及"/>
    <w:autoRedefine/>
    <w:unhideWhenUsed/>
    <w:qFormat/>
    <w:uiPriority w:val="99"/>
    <w:rPr>
      <w:color w:val="605E5C"/>
      <w:shd w:val="clear" w:color="auto" w:fill="E1DFDD"/>
    </w:rPr>
  </w:style>
  <w:style w:type="character" w:customStyle="1" w:styleId="188">
    <w:name w:val="普通段落 Char"/>
    <w:link w:val="189"/>
    <w:autoRedefine/>
    <w:qFormat/>
    <w:uiPriority w:val="0"/>
    <w:rPr>
      <w:rFonts w:ascii="Arial" w:hAnsi="Arial" w:eastAsia="宋体"/>
      <w:lang w:bidi="ar-SA"/>
    </w:rPr>
  </w:style>
  <w:style w:type="paragraph" w:customStyle="1" w:styleId="189">
    <w:name w:val="普通段落"/>
    <w:basedOn w:val="1"/>
    <w:link w:val="188"/>
    <w:autoRedefine/>
    <w:qFormat/>
    <w:uiPriority w:val="0"/>
    <w:pPr>
      <w:spacing w:after="240" w:line="276" w:lineRule="auto"/>
    </w:pPr>
    <w:rPr>
      <w:rFonts w:ascii="Arial" w:hAnsi="Arial"/>
      <w:kern w:val="0"/>
      <w:sz w:val="20"/>
      <w:szCs w:val="20"/>
    </w:rPr>
  </w:style>
  <w:style w:type="character" w:customStyle="1" w:styleId="190">
    <w:name w:val="纯文本 Char1"/>
    <w:autoRedefine/>
    <w:qFormat/>
    <w:uiPriority w:val="0"/>
    <w:rPr>
      <w:rFonts w:ascii="宋体" w:hAnsi="Courier New" w:eastAsia="宋体"/>
      <w:kern w:val="2"/>
      <w:sz w:val="24"/>
      <w:szCs w:val="24"/>
      <w:lang w:val="en-US" w:eastAsia="zh-CN" w:bidi="ar-SA"/>
    </w:rPr>
  </w:style>
  <w:style w:type="character" w:customStyle="1" w:styleId="191">
    <w:name w:val="页脚 Char"/>
    <w:autoRedefine/>
    <w:qFormat/>
    <w:uiPriority w:val="99"/>
    <w:rPr>
      <w:rFonts w:eastAsia="Calibri"/>
      <w:sz w:val="21"/>
    </w:rPr>
  </w:style>
  <w:style w:type="character" w:customStyle="1" w:styleId="192">
    <w:name w:val="正文文字缩进4字符 Char"/>
    <w:autoRedefine/>
    <w:qFormat/>
    <w:uiPriority w:val="0"/>
    <w:rPr>
      <w:rFonts w:ascii="Times New Roman" w:hAnsi="Times New Roman" w:eastAsia="宋体" w:cs="Times New Roman"/>
      <w:sz w:val="24"/>
      <w:szCs w:val="24"/>
    </w:rPr>
  </w:style>
  <w:style w:type="character" w:customStyle="1" w:styleId="193">
    <w:name w:val="正文文本缩进 字符"/>
    <w:autoRedefine/>
    <w:qFormat/>
    <w:uiPriority w:val="0"/>
    <w:rPr>
      <w:rFonts w:ascii="宋体" w:hAnsi="Courier New"/>
      <w:spacing w:val="-4"/>
      <w:sz w:val="18"/>
    </w:rPr>
  </w:style>
  <w:style w:type="character" w:customStyle="1" w:styleId="194">
    <w:name w:val="Heading 3 - old Char"/>
    <w:autoRedefine/>
    <w:qFormat/>
    <w:uiPriority w:val="0"/>
    <w:rPr>
      <w:rFonts w:ascii="Times New Roman" w:hAnsi="Times New Roman" w:eastAsia="宋体" w:cs="Times New Roman"/>
      <w:b/>
      <w:bCs/>
      <w:sz w:val="32"/>
      <w:szCs w:val="32"/>
    </w:rPr>
  </w:style>
  <w:style w:type="character" w:customStyle="1" w:styleId="195">
    <w:name w:val="H4 Char"/>
    <w:autoRedefine/>
    <w:qFormat/>
    <w:uiPriority w:val="0"/>
    <w:rPr>
      <w:rFonts w:ascii="Arial" w:hAnsi="Arial" w:eastAsia="黑体" w:cs="Times New Roman"/>
      <w:b/>
      <w:bCs/>
      <w:sz w:val="28"/>
      <w:szCs w:val="28"/>
    </w:rPr>
  </w:style>
  <w:style w:type="character" w:customStyle="1" w:styleId="196">
    <w:name w:val="纯文本 字符"/>
    <w:autoRedefine/>
    <w:qFormat/>
    <w:uiPriority w:val="0"/>
    <w:rPr>
      <w:rFonts w:ascii="宋体" w:hAnsi="Courier New"/>
      <w:sz w:val="24"/>
      <w:szCs w:val="24"/>
    </w:rPr>
  </w:style>
  <w:style w:type="character" w:customStyle="1" w:styleId="197">
    <w:name w:val="Char Char15"/>
    <w:autoRedefine/>
    <w:qFormat/>
    <w:uiPriority w:val="0"/>
    <w:rPr>
      <w:rFonts w:hAnsi="宋体" w:eastAsia="仿宋_GB2312"/>
      <w:b/>
      <w:bCs/>
      <w:kern w:val="2"/>
      <w:sz w:val="24"/>
    </w:rPr>
  </w:style>
  <w:style w:type="character" w:customStyle="1" w:styleId="198">
    <w:name w:val="Footer Char"/>
    <w:autoRedefine/>
    <w:qFormat/>
    <w:locked/>
    <w:uiPriority w:val="0"/>
    <w:rPr>
      <w:rFonts w:ascii="Calibri" w:hAnsi="Calibri" w:eastAsia="宋体" w:cs="Times New Roman"/>
      <w:sz w:val="18"/>
      <w:szCs w:val="18"/>
    </w:rPr>
  </w:style>
  <w:style w:type="character" w:customStyle="1" w:styleId="199">
    <w:name w:val="def正文 Char Char"/>
    <w:link w:val="200"/>
    <w:autoRedefine/>
    <w:qFormat/>
    <w:uiPriority w:val="0"/>
    <w:rPr>
      <w:sz w:val="24"/>
      <w:szCs w:val="24"/>
    </w:rPr>
  </w:style>
  <w:style w:type="paragraph" w:customStyle="1" w:styleId="200">
    <w:name w:val="def正文"/>
    <w:basedOn w:val="21"/>
    <w:link w:val="199"/>
    <w:autoRedefine/>
    <w:qFormat/>
    <w:uiPriority w:val="0"/>
    <w:pPr>
      <w:widowControl/>
      <w:spacing w:after="0" w:line="360" w:lineRule="auto"/>
      <w:ind w:firstLine="510"/>
      <w:jc w:val="left"/>
    </w:pPr>
    <w:rPr>
      <w:sz w:val="24"/>
    </w:rPr>
  </w:style>
  <w:style w:type="character" w:customStyle="1" w:styleId="201">
    <w:name w:val="font51"/>
    <w:autoRedefine/>
    <w:qFormat/>
    <w:uiPriority w:val="0"/>
    <w:rPr>
      <w:rFonts w:hint="eastAsia" w:ascii="宋体" w:hAnsi="宋体" w:eastAsia="宋体" w:cs="宋体"/>
      <w:color w:val="auto"/>
      <w:sz w:val="18"/>
      <w:szCs w:val="18"/>
      <w:u w:val="none"/>
    </w:rPr>
  </w:style>
  <w:style w:type="character" w:customStyle="1" w:styleId="202">
    <w:name w:val="普通文字 Char Char"/>
    <w:autoRedefine/>
    <w:qFormat/>
    <w:uiPriority w:val="0"/>
    <w:rPr>
      <w:rFonts w:ascii="宋体" w:hAnsi="Courier New" w:eastAsia="宋体" w:cs="Times New Roman"/>
      <w:szCs w:val="20"/>
    </w:rPr>
  </w:style>
  <w:style w:type="character" w:customStyle="1" w:styleId="203">
    <w:name w:val="正文文本 Char"/>
    <w:autoRedefine/>
    <w:qFormat/>
    <w:uiPriority w:val="0"/>
    <w:rPr>
      <w:rFonts w:ascii="Times New Roman" w:hAnsi="Times New Roman" w:eastAsia="宋体" w:cs="Times New Roman"/>
      <w:szCs w:val="24"/>
    </w:rPr>
  </w:style>
  <w:style w:type="character" w:customStyle="1" w:styleId="204">
    <w:name w:val="3zw"/>
    <w:autoRedefine/>
    <w:qFormat/>
    <w:uiPriority w:val="0"/>
  </w:style>
  <w:style w:type="character" w:customStyle="1" w:styleId="205">
    <w:name w:val="font71"/>
    <w:autoRedefine/>
    <w:qFormat/>
    <w:uiPriority w:val="0"/>
    <w:rPr>
      <w:rFonts w:hint="default" w:ascii="Arial" w:hAnsi="Arial" w:cs="Arial"/>
      <w:color w:val="auto"/>
      <w:sz w:val="20"/>
      <w:szCs w:val="20"/>
      <w:u w:val="none"/>
    </w:rPr>
  </w:style>
  <w:style w:type="character" w:customStyle="1" w:styleId="206">
    <w:name w:val="标题 Char1"/>
    <w:autoRedefine/>
    <w:qFormat/>
    <w:uiPriority w:val="10"/>
    <w:rPr>
      <w:rFonts w:ascii="Cambria" w:hAnsi="Cambria" w:eastAsia="宋体" w:cs="Times New Roman"/>
      <w:b/>
      <w:bCs/>
      <w:sz w:val="32"/>
      <w:szCs w:val="32"/>
    </w:rPr>
  </w:style>
  <w:style w:type="character" w:customStyle="1" w:styleId="207">
    <w:name w:val="标书正文格式 Char"/>
    <w:link w:val="208"/>
    <w:autoRedefine/>
    <w:qFormat/>
    <w:uiPriority w:val="0"/>
    <w:rPr>
      <w:rFonts w:eastAsia="楷体_GB2312"/>
      <w:kern w:val="2"/>
      <w:sz w:val="24"/>
      <w:szCs w:val="24"/>
      <w:lang w:val="en-US" w:eastAsia="zh-CN" w:bidi="ar-SA"/>
    </w:rPr>
  </w:style>
  <w:style w:type="paragraph" w:customStyle="1" w:styleId="208">
    <w:name w:val="标书正文格式"/>
    <w:link w:val="207"/>
    <w:autoRedefine/>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9">
    <w:name w:val="正文缩进 字符"/>
    <w:autoRedefine/>
    <w:qFormat/>
    <w:uiPriority w:val="0"/>
    <w:rPr>
      <w:rFonts w:eastAsia="宋体"/>
    </w:rPr>
  </w:style>
  <w:style w:type="character" w:customStyle="1" w:styleId="210">
    <w:name w:val="A7"/>
    <w:autoRedefine/>
    <w:qFormat/>
    <w:uiPriority w:val="0"/>
    <w:rPr>
      <w:rFonts w:ascii="HelveticaNeueLT Std Lt" w:eastAsia="HelveticaNeueLT Std Lt" w:cs="HelveticaNeueLT Std Lt"/>
      <w:color w:val="000000"/>
      <w:sz w:val="20"/>
      <w:szCs w:val="20"/>
    </w:rPr>
  </w:style>
  <w:style w:type="character" w:customStyle="1" w:styleId="211">
    <w:name w:val="Balloon Text Char"/>
    <w:autoRedefine/>
    <w:qFormat/>
    <w:locked/>
    <w:uiPriority w:val="0"/>
    <w:rPr>
      <w:rFonts w:cs="Times New Roman"/>
      <w:sz w:val="18"/>
      <w:szCs w:val="18"/>
    </w:rPr>
  </w:style>
  <w:style w:type="character" w:customStyle="1" w:styleId="212">
    <w:name w:val="批注框文本 Char1"/>
    <w:autoRedefine/>
    <w:semiHidden/>
    <w:qFormat/>
    <w:uiPriority w:val="99"/>
    <w:rPr>
      <w:rFonts w:ascii="Times New Roman" w:hAnsi="Times New Roman" w:eastAsia="宋体" w:cs="Times New Roman"/>
      <w:sz w:val="18"/>
      <w:szCs w:val="18"/>
    </w:rPr>
  </w:style>
  <w:style w:type="character" w:customStyle="1" w:styleId="213">
    <w:name w:val="彩色列表 - 着色 1 字符"/>
    <w:link w:val="214"/>
    <w:autoRedefine/>
    <w:qFormat/>
    <w:locked/>
    <w:uiPriority w:val="34"/>
    <w:rPr>
      <w:rFonts w:ascii="Times New Roman" w:hAnsi="Times New Roman"/>
      <w:kern w:val="2"/>
      <w:sz w:val="21"/>
      <w:szCs w:val="24"/>
    </w:rPr>
  </w:style>
  <w:style w:type="paragraph" w:customStyle="1" w:styleId="214">
    <w:name w:val="彩色列表 - 着色 11"/>
    <w:basedOn w:val="1"/>
    <w:link w:val="213"/>
    <w:autoRedefine/>
    <w:qFormat/>
    <w:uiPriority w:val="34"/>
    <w:pPr>
      <w:ind w:firstLine="420" w:firstLineChars="200"/>
    </w:pPr>
  </w:style>
  <w:style w:type="character" w:customStyle="1" w:styleId="215">
    <w:name w:val="正文文本缩进 2 Char1"/>
    <w:autoRedefine/>
    <w:semiHidden/>
    <w:qFormat/>
    <w:uiPriority w:val="99"/>
    <w:rPr>
      <w:rFonts w:ascii="Times New Roman" w:hAnsi="Times New Roman" w:eastAsia="宋体" w:cs="Times New Roman"/>
      <w:szCs w:val="24"/>
    </w:rPr>
  </w:style>
  <w:style w:type="character" w:customStyle="1" w:styleId="216">
    <w:name w:val="普通 (Web) Char"/>
    <w:autoRedefine/>
    <w:qFormat/>
    <w:uiPriority w:val="0"/>
    <w:rPr>
      <w:rFonts w:ascii="宋体" w:hAnsi="宋体" w:eastAsia="宋体" w:cs="Times New Roman"/>
      <w:kern w:val="0"/>
      <w:sz w:val="24"/>
      <w:szCs w:val="24"/>
    </w:rPr>
  </w:style>
  <w:style w:type="character" w:customStyle="1" w:styleId="217">
    <w:name w:val="纯文本 Char3"/>
    <w:autoRedefine/>
    <w:qFormat/>
    <w:uiPriority w:val="0"/>
    <w:rPr>
      <w:rFonts w:ascii="宋体" w:hAnsi="Courier New" w:eastAsia="宋体"/>
      <w:sz w:val="24"/>
      <w:szCs w:val="24"/>
    </w:rPr>
  </w:style>
  <w:style w:type="character" w:customStyle="1" w:styleId="218">
    <w:name w:val="正文首行缩进 Char1"/>
    <w:autoRedefine/>
    <w:semiHidden/>
    <w:qFormat/>
    <w:uiPriority w:val="99"/>
    <w:rPr>
      <w:rFonts w:ascii="Times New Roman" w:hAnsi="Times New Roman" w:eastAsia="宋体" w:cs="Times New Roman"/>
      <w:szCs w:val="24"/>
    </w:rPr>
  </w:style>
  <w:style w:type="character" w:customStyle="1" w:styleId="219">
    <w:name w:val="style551"/>
    <w:autoRedefine/>
    <w:qFormat/>
    <w:uiPriority w:val="0"/>
    <w:rPr>
      <w:rFonts w:hint="default" w:ascii="Arial" w:hAnsi="Arial" w:cs="Arial"/>
      <w:color w:val="333333"/>
      <w:sz w:val="18"/>
      <w:szCs w:val="18"/>
    </w:rPr>
  </w:style>
  <w:style w:type="character" w:customStyle="1" w:styleId="220">
    <w:name w:val="文章正文 Char Char"/>
    <w:link w:val="221"/>
    <w:autoRedefine/>
    <w:qFormat/>
    <w:uiPriority w:val="0"/>
    <w:rPr>
      <w:rFonts w:ascii="宋体" w:hAnsi="宋体"/>
      <w:sz w:val="24"/>
      <w:szCs w:val="24"/>
    </w:rPr>
  </w:style>
  <w:style w:type="paragraph" w:customStyle="1" w:styleId="221">
    <w:name w:val="文章正文"/>
    <w:basedOn w:val="1"/>
    <w:link w:val="220"/>
    <w:autoRedefine/>
    <w:qFormat/>
    <w:uiPriority w:val="0"/>
    <w:pPr>
      <w:spacing w:line="360" w:lineRule="auto"/>
      <w:ind w:firstLine="200" w:firstLineChars="200"/>
      <w:jc w:val="left"/>
    </w:pPr>
    <w:rPr>
      <w:rFonts w:ascii="宋体" w:hAnsi="宋体"/>
      <w:kern w:val="0"/>
      <w:sz w:val="24"/>
    </w:rPr>
  </w:style>
  <w:style w:type="character" w:customStyle="1" w:styleId="222">
    <w:name w:val="font81"/>
    <w:autoRedefine/>
    <w:qFormat/>
    <w:uiPriority w:val="0"/>
    <w:rPr>
      <w:rFonts w:hint="eastAsia" w:ascii="宋体" w:hAnsi="宋体" w:eastAsia="宋体" w:cs="宋体"/>
      <w:color w:val="000000"/>
      <w:sz w:val="20"/>
      <w:szCs w:val="20"/>
      <w:u w:val="none"/>
      <w:vertAlign w:val="superscript"/>
    </w:rPr>
  </w:style>
  <w:style w:type="character" w:customStyle="1" w:styleId="223">
    <w:name w:val="Body Text Indent 3 Char"/>
    <w:autoRedefine/>
    <w:qFormat/>
    <w:locked/>
    <w:uiPriority w:val="0"/>
    <w:rPr>
      <w:rFonts w:cs="Times New Roman"/>
      <w:kern w:val="2"/>
      <w:sz w:val="16"/>
      <w:szCs w:val="16"/>
    </w:rPr>
  </w:style>
  <w:style w:type="character" w:customStyle="1" w:styleId="224">
    <w:name w:val="Char Char16"/>
    <w:autoRedefine/>
    <w:qFormat/>
    <w:uiPriority w:val="0"/>
    <w:rPr>
      <w:rFonts w:ascii="宋体" w:hAnsi="Courier New"/>
      <w:spacing w:val="-4"/>
      <w:kern w:val="2"/>
      <w:sz w:val="18"/>
    </w:rPr>
  </w:style>
  <w:style w:type="character" w:customStyle="1" w:styleId="225">
    <w:name w:val="Char Char4"/>
    <w:autoRedefine/>
    <w:qFormat/>
    <w:uiPriority w:val="0"/>
    <w:rPr>
      <w:rFonts w:ascii="宋体" w:hAnsi="Courier New" w:eastAsia="宋体"/>
      <w:kern w:val="2"/>
      <w:sz w:val="24"/>
      <w:szCs w:val="24"/>
      <w:lang w:val="en-US" w:eastAsia="zh-CN" w:bidi="ar-SA"/>
    </w:rPr>
  </w:style>
  <w:style w:type="character" w:customStyle="1" w:styleId="226">
    <w:name w:val="正文文本缩进 3 Char1"/>
    <w:autoRedefine/>
    <w:semiHidden/>
    <w:qFormat/>
    <w:uiPriority w:val="99"/>
    <w:rPr>
      <w:rFonts w:ascii="Times New Roman" w:hAnsi="Times New Roman" w:eastAsia="宋体" w:cs="Times New Roman"/>
      <w:sz w:val="16"/>
      <w:szCs w:val="16"/>
    </w:rPr>
  </w:style>
  <w:style w:type="character" w:customStyle="1" w:styleId="227">
    <w:name w:val="Char Char7"/>
    <w:autoRedefine/>
    <w:qFormat/>
    <w:uiPriority w:val="0"/>
    <w:rPr>
      <w:rFonts w:eastAsia="宋体"/>
      <w:kern w:val="2"/>
      <w:sz w:val="21"/>
      <w:lang w:val="en-US" w:eastAsia="zh-CN" w:bidi="ar-SA"/>
    </w:rPr>
  </w:style>
  <w:style w:type="character" w:customStyle="1" w:styleId="228">
    <w:name w:val="A正文 Char"/>
    <w:link w:val="229"/>
    <w:autoRedefine/>
    <w:qFormat/>
    <w:uiPriority w:val="0"/>
    <w:rPr>
      <w:szCs w:val="24"/>
    </w:rPr>
  </w:style>
  <w:style w:type="paragraph" w:customStyle="1" w:styleId="229">
    <w:name w:val="A正文"/>
    <w:basedOn w:val="1"/>
    <w:link w:val="228"/>
    <w:autoRedefine/>
    <w:qFormat/>
    <w:uiPriority w:val="0"/>
    <w:pPr>
      <w:spacing w:line="360" w:lineRule="auto"/>
      <w:ind w:firstLine="200" w:firstLineChars="200"/>
    </w:pPr>
    <w:rPr>
      <w:kern w:val="0"/>
      <w:sz w:val="20"/>
    </w:rPr>
  </w:style>
  <w:style w:type="character" w:customStyle="1" w:styleId="230">
    <w:name w:val="正文1 Char Char"/>
    <w:link w:val="231"/>
    <w:autoRedefine/>
    <w:qFormat/>
    <w:uiPriority w:val="0"/>
    <w:rPr>
      <w:rFonts w:ascii="宋体" w:hAnsi="宋体" w:eastAsia="宋体"/>
      <w:color w:val="000000"/>
      <w:sz w:val="24"/>
    </w:rPr>
  </w:style>
  <w:style w:type="paragraph" w:customStyle="1" w:styleId="231">
    <w:name w:val="正文1"/>
    <w:basedOn w:val="1"/>
    <w:link w:val="230"/>
    <w:autoRedefine/>
    <w:qFormat/>
    <w:uiPriority w:val="0"/>
    <w:pPr>
      <w:spacing w:line="360" w:lineRule="auto"/>
      <w:ind w:firstLine="200" w:firstLineChars="200"/>
      <w:jc w:val="left"/>
    </w:pPr>
    <w:rPr>
      <w:rFonts w:ascii="宋体" w:hAnsi="宋体"/>
      <w:color w:val="000000"/>
      <w:kern w:val="0"/>
      <w:sz w:val="24"/>
      <w:szCs w:val="20"/>
    </w:rPr>
  </w:style>
  <w:style w:type="character" w:customStyle="1" w:styleId="232">
    <w:name w:val="Char Char111"/>
    <w:autoRedefine/>
    <w:qFormat/>
    <w:uiPriority w:val="0"/>
    <w:rPr>
      <w:kern w:val="2"/>
      <w:sz w:val="28"/>
      <w:szCs w:val="24"/>
    </w:rPr>
  </w:style>
  <w:style w:type="character" w:customStyle="1" w:styleId="233">
    <w:name w:val="粘贴正文 Char"/>
    <w:link w:val="234"/>
    <w:autoRedefine/>
    <w:qFormat/>
    <w:uiPriority w:val="0"/>
    <w:rPr>
      <w:kern w:val="2"/>
      <w:sz w:val="24"/>
      <w:szCs w:val="21"/>
      <w:lang w:val="en-US" w:eastAsia="zh-CN" w:bidi="ar-SA"/>
    </w:rPr>
  </w:style>
  <w:style w:type="paragraph" w:customStyle="1" w:styleId="234">
    <w:name w:val="粘贴正文"/>
    <w:link w:val="233"/>
    <w:autoRedefine/>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5">
    <w:name w:val="缺省文本 Char"/>
    <w:link w:val="236"/>
    <w:autoRedefine/>
    <w:qFormat/>
    <w:uiPriority w:val="0"/>
    <w:rPr>
      <w:rFonts w:ascii="Arial" w:hAnsi="Arial"/>
      <w:szCs w:val="21"/>
    </w:rPr>
  </w:style>
  <w:style w:type="paragraph" w:customStyle="1" w:styleId="236">
    <w:name w:val="缺省文本"/>
    <w:basedOn w:val="1"/>
    <w:link w:val="235"/>
    <w:autoRedefine/>
    <w:qFormat/>
    <w:uiPriority w:val="0"/>
    <w:pPr>
      <w:autoSpaceDE w:val="0"/>
      <w:autoSpaceDN w:val="0"/>
      <w:adjustRightInd w:val="0"/>
      <w:spacing w:line="360" w:lineRule="auto"/>
      <w:jc w:val="left"/>
    </w:pPr>
    <w:rPr>
      <w:rFonts w:ascii="Arial" w:hAnsi="Arial"/>
      <w:kern w:val="0"/>
      <w:sz w:val="20"/>
      <w:szCs w:val="21"/>
    </w:rPr>
  </w:style>
  <w:style w:type="character" w:customStyle="1" w:styleId="237">
    <w:name w:val="Heading 7 Char"/>
    <w:autoRedefine/>
    <w:semiHidden/>
    <w:qFormat/>
    <w:locked/>
    <w:uiPriority w:val="0"/>
    <w:rPr>
      <w:rFonts w:cs="Times New Roman"/>
      <w:b/>
      <w:bCs/>
      <w:kern w:val="0"/>
      <w:sz w:val="24"/>
      <w:szCs w:val="24"/>
    </w:rPr>
  </w:style>
  <w:style w:type="character" w:customStyle="1" w:styleId="238">
    <w:name w:val="font21"/>
    <w:autoRedefine/>
    <w:qFormat/>
    <w:uiPriority w:val="0"/>
    <w:rPr>
      <w:rFonts w:hint="eastAsia" w:ascii="宋体" w:hAnsi="宋体" w:eastAsia="宋体" w:cs="宋体"/>
      <w:color w:val="000000"/>
      <w:sz w:val="20"/>
      <w:szCs w:val="20"/>
      <w:u w:val="none"/>
    </w:rPr>
  </w:style>
  <w:style w:type="character" w:customStyle="1" w:styleId="239">
    <w:name w:val="文档结构图 Char1"/>
    <w:autoRedefine/>
    <w:semiHidden/>
    <w:qFormat/>
    <w:uiPriority w:val="99"/>
    <w:rPr>
      <w:rFonts w:ascii="宋体" w:hAnsi="Times New Roman" w:eastAsia="宋体" w:cs="Times New Roman"/>
      <w:sz w:val="18"/>
      <w:szCs w:val="18"/>
    </w:rPr>
  </w:style>
  <w:style w:type="character" w:customStyle="1" w:styleId="240">
    <w:name w:val="纯文本 字符1"/>
    <w:autoRedefine/>
    <w:semiHidden/>
    <w:qFormat/>
    <w:locked/>
    <w:uiPriority w:val="0"/>
    <w:rPr>
      <w:rFonts w:ascii="宋体" w:hAnsi="Courier New"/>
      <w:sz w:val="24"/>
      <w:szCs w:val="24"/>
    </w:rPr>
  </w:style>
  <w:style w:type="character" w:customStyle="1" w:styleId="241">
    <w:name w:val="Char Char19"/>
    <w:autoRedefine/>
    <w:qFormat/>
    <w:uiPriority w:val="0"/>
    <w:rPr>
      <w:rFonts w:ascii="Arial" w:hAnsi="Arial" w:eastAsia="黑体"/>
      <w:kern w:val="2"/>
      <w:sz w:val="21"/>
      <w:szCs w:val="21"/>
    </w:rPr>
  </w:style>
  <w:style w:type="character" w:customStyle="1" w:styleId="242">
    <w:name w:val="Item List Char"/>
    <w:link w:val="243"/>
    <w:autoRedefine/>
    <w:qFormat/>
    <w:uiPriority w:val="0"/>
    <w:rPr>
      <w:rFonts w:cs="Arial"/>
      <w:kern w:val="2"/>
      <w:sz w:val="21"/>
      <w:szCs w:val="21"/>
      <w:lang w:val="en-US" w:eastAsia="zh-CN" w:bidi="ar-SA"/>
    </w:rPr>
  </w:style>
  <w:style w:type="paragraph" w:customStyle="1" w:styleId="243">
    <w:name w:val="Item List"/>
    <w:link w:val="242"/>
    <w:autoRedefine/>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4">
    <w:name w:val="Char Char9"/>
    <w:autoRedefine/>
    <w:qFormat/>
    <w:uiPriority w:val="0"/>
    <w:rPr>
      <w:rFonts w:eastAsia="仿宋_GB2312"/>
      <w:kern w:val="2"/>
      <w:sz w:val="18"/>
    </w:rPr>
  </w:style>
  <w:style w:type="character" w:customStyle="1" w:styleId="245">
    <w:name w:val="Heading 6 Char"/>
    <w:autoRedefine/>
    <w:semiHidden/>
    <w:qFormat/>
    <w:locked/>
    <w:uiPriority w:val="0"/>
    <w:rPr>
      <w:rFonts w:ascii="Cambria" w:hAnsi="Cambria" w:eastAsia="宋体" w:cs="Times New Roman"/>
      <w:b/>
      <w:bCs/>
      <w:kern w:val="0"/>
      <w:sz w:val="24"/>
      <w:szCs w:val="24"/>
    </w:rPr>
  </w:style>
  <w:style w:type="paragraph" w:customStyle="1" w:styleId="246">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7">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48">
    <w:name w:val="Item Step"/>
    <w:basedOn w:val="1"/>
    <w:qFormat/>
    <w:uiPriority w:val="0"/>
    <w:pPr>
      <w:widowControl/>
      <w:numPr>
        <w:ilvl w:val="0"/>
        <w:numId w:val="1"/>
      </w:numPr>
      <w:spacing w:afterLines="50"/>
      <w:jc w:val="left"/>
    </w:pPr>
  </w:style>
  <w:style w:type="paragraph" w:customStyle="1" w:styleId="249">
    <w:name w:val="Char11"/>
    <w:basedOn w:val="1"/>
    <w:qFormat/>
    <w:uiPriority w:val="0"/>
    <w:rPr>
      <w:rFonts w:ascii="仿宋_GB2312" w:hAnsi="宋体" w:eastAsia="仿宋_GB2312" w:cs="宋体"/>
      <w:b/>
      <w:sz w:val="32"/>
      <w:szCs w:val="32"/>
    </w:rPr>
  </w:style>
  <w:style w:type="paragraph" w:customStyle="1" w:styleId="250">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1">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2">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3">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4">
    <w:name w:val="Block"/>
    <w:basedOn w:val="1"/>
    <w:next w:val="135"/>
    <w:qFormat/>
    <w:uiPriority w:val="0"/>
    <w:pPr>
      <w:tabs>
        <w:tab w:val="left" w:pos="0"/>
      </w:tabs>
    </w:pPr>
    <w:rPr>
      <w:rFonts w:ascii="Arial" w:hAnsi="Arial" w:eastAsia="楷体_GB2312"/>
      <w:color w:val="000080"/>
      <w:sz w:val="28"/>
      <w:szCs w:val="28"/>
    </w:rPr>
  </w:style>
  <w:style w:type="paragraph" w:customStyle="1" w:styleId="255">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6">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7">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58">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59">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0">
    <w:name w:val="样式 标题 2H2子系统子系统1子系统2子系统3子系统4子系统11子系统21子系统31子系统5子系统12...1"/>
    <w:basedOn w:val="4"/>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1">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2">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3">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4">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5">
    <w:name w:val="正文首行缩进2字"/>
    <w:basedOn w:val="1"/>
    <w:qFormat/>
    <w:uiPriority w:val="0"/>
    <w:pPr>
      <w:spacing w:line="360" w:lineRule="auto"/>
      <w:ind w:firstLine="412" w:firstLineChars="196"/>
    </w:pPr>
    <w:rPr>
      <w:rFonts w:ascii="宋体" w:hAnsi="宋体"/>
      <w:kern w:val="0"/>
      <w:szCs w:val="21"/>
    </w:rPr>
  </w:style>
  <w:style w:type="paragraph" w:customStyle="1" w:styleId="266">
    <w:name w:val="列出段落1"/>
    <w:basedOn w:val="1"/>
    <w:qFormat/>
    <w:uiPriority w:val="34"/>
    <w:pPr>
      <w:ind w:firstLine="420" w:firstLineChars="200"/>
    </w:pPr>
  </w:style>
  <w:style w:type="paragraph" w:customStyle="1" w:styleId="267">
    <w:name w:val="列出段落11"/>
    <w:basedOn w:val="1"/>
    <w:qFormat/>
    <w:uiPriority w:val="0"/>
    <w:pPr>
      <w:spacing w:line="360" w:lineRule="auto"/>
      <w:ind w:firstLine="420" w:firstLineChars="200"/>
    </w:pPr>
    <w:rPr>
      <w:rFonts w:ascii="宋体" w:hAnsi="宋体"/>
      <w:sz w:val="24"/>
    </w:rPr>
  </w:style>
  <w:style w:type="paragraph" w:customStyle="1" w:styleId="268">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69">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70">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1">
    <w:name w:val="简单回函地址"/>
    <w:basedOn w:val="1"/>
    <w:qFormat/>
    <w:uiPriority w:val="0"/>
    <w:rPr>
      <w:szCs w:val="20"/>
    </w:rPr>
  </w:style>
  <w:style w:type="paragraph" w:customStyle="1" w:styleId="272">
    <w:name w:val="样式23"/>
    <w:basedOn w:val="273"/>
    <w:qFormat/>
    <w:uiPriority w:val="0"/>
    <w:pPr>
      <w:tabs>
        <w:tab w:val="left" w:pos="420"/>
      </w:tabs>
      <w:adjustRightInd w:val="0"/>
      <w:snapToGrid w:val="0"/>
      <w:spacing w:after="0" w:line="240" w:lineRule="auto"/>
    </w:pPr>
    <w:rPr>
      <w:szCs w:val="20"/>
    </w:rPr>
  </w:style>
  <w:style w:type="paragraph" w:customStyle="1" w:styleId="273">
    <w:name w:val="小点说明"/>
    <w:basedOn w:val="1"/>
    <w:qFormat/>
    <w:uiPriority w:val="0"/>
    <w:pPr>
      <w:tabs>
        <w:tab w:val="left" w:pos="420"/>
      </w:tabs>
      <w:spacing w:after="80" w:line="360" w:lineRule="auto"/>
      <w:ind w:left="420" w:hanging="420"/>
    </w:pPr>
    <w:rPr>
      <w:sz w:val="24"/>
    </w:rPr>
  </w:style>
  <w:style w:type="paragraph" w:customStyle="1" w:styleId="274">
    <w:name w:val="样式 正文文本正文文字 + 首行缩进:  2 字符"/>
    <w:basedOn w:val="21"/>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5">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6">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77">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78">
    <w:name w:val="Pa5"/>
    <w:basedOn w:val="1"/>
    <w:next w:val="1"/>
    <w:qFormat/>
    <w:uiPriority w:val="0"/>
    <w:pPr>
      <w:spacing w:line="241" w:lineRule="auto"/>
      <w:ind w:firstLine="1680" w:firstLineChars="200"/>
    </w:pPr>
    <w:rPr>
      <w:rFonts w:ascii="EtGsHeiBold" w:eastAsia="EtGsHeiBold"/>
      <w:sz w:val="24"/>
    </w:rPr>
  </w:style>
  <w:style w:type="paragraph" w:customStyle="1" w:styleId="279">
    <w:name w:val="首行缩进"/>
    <w:basedOn w:val="1"/>
    <w:qFormat/>
    <w:uiPriority w:val="0"/>
    <w:pPr>
      <w:spacing w:line="360" w:lineRule="auto"/>
      <w:ind w:firstLine="720"/>
    </w:pPr>
    <w:rPr>
      <w:szCs w:val="21"/>
    </w:rPr>
  </w:style>
  <w:style w:type="paragraph" w:customStyle="1" w:styleId="280">
    <w:name w:val="正文段"/>
    <w:basedOn w:val="1"/>
    <w:qFormat/>
    <w:uiPriority w:val="0"/>
    <w:pPr>
      <w:widowControl/>
      <w:snapToGrid w:val="0"/>
      <w:spacing w:afterLines="50"/>
      <w:ind w:firstLine="200" w:firstLineChars="200"/>
    </w:pPr>
    <w:rPr>
      <w:kern w:val="0"/>
      <w:sz w:val="24"/>
      <w:szCs w:val="20"/>
    </w:rPr>
  </w:style>
  <w:style w:type="paragraph" w:customStyle="1" w:styleId="281">
    <w:name w:val="样式 A正文 + 首行缩进:  0 字符"/>
    <w:basedOn w:val="229"/>
    <w:qFormat/>
    <w:uiPriority w:val="0"/>
    <w:pPr>
      <w:spacing w:line="240" w:lineRule="auto"/>
      <w:ind w:firstLine="0" w:firstLineChars="0"/>
    </w:pPr>
    <w:rPr>
      <w:rFonts w:cs="宋体"/>
      <w:szCs w:val="20"/>
    </w:rPr>
  </w:style>
  <w:style w:type="paragraph" w:customStyle="1" w:styleId="282">
    <w:name w:val="TOC 标题1"/>
    <w:basedOn w:val="3"/>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3">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4">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5">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6">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87">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88">
    <w:name w:val="网格表 31"/>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89">
    <w:name w:val="二级编号"/>
    <w:basedOn w:val="1"/>
    <w:qFormat/>
    <w:uiPriority w:val="0"/>
    <w:pPr>
      <w:tabs>
        <w:tab w:val="left" w:pos="851"/>
      </w:tabs>
      <w:spacing w:line="360" w:lineRule="auto"/>
      <w:jc w:val="left"/>
    </w:pPr>
    <w:rPr>
      <w:rFonts w:cs="宋体"/>
      <w:sz w:val="24"/>
      <w:szCs w:val="20"/>
    </w:rPr>
  </w:style>
  <w:style w:type="paragraph" w:customStyle="1" w:styleId="290">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1">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2">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3">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4">
    <w:name w:val="p0"/>
    <w:basedOn w:val="1"/>
    <w:qFormat/>
    <w:uiPriority w:val="0"/>
    <w:pPr>
      <w:widowControl/>
      <w:jc w:val="left"/>
    </w:pPr>
    <w:rPr>
      <w:rFonts w:ascii="宋体" w:hAnsi="宋体"/>
      <w:kern w:val="0"/>
      <w:sz w:val="20"/>
      <w:szCs w:val="20"/>
    </w:rPr>
  </w:style>
  <w:style w:type="paragraph" w:customStyle="1" w:styleId="295">
    <w:name w:val="Char Char"/>
    <w:basedOn w:val="1"/>
    <w:qFormat/>
    <w:uiPriority w:val="0"/>
    <w:pPr>
      <w:jc w:val="center"/>
    </w:pPr>
    <w:rPr>
      <w:rFonts w:ascii="仿宋_GB2312" w:eastAsia="仿宋_GB2312"/>
      <w:b/>
      <w:kern w:val="0"/>
      <w:sz w:val="32"/>
      <w:szCs w:val="32"/>
      <w:lang w:val="en-GB"/>
    </w:rPr>
  </w:style>
  <w:style w:type="paragraph" w:customStyle="1" w:styleId="296">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97">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98">
    <w:name w:val="正文首行缩进11"/>
    <w:basedOn w:val="21"/>
    <w:qFormat/>
    <w:uiPriority w:val="0"/>
    <w:pPr>
      <w:spacing w:line="360" w:lineRule="auto"/>
      <w:ind w:firstLine="420" w:firstLineChars="100"/>
    </w:pPr>
    <w:rPr>
      <w:rFonts w:ascii="Courier New" w:hAnsi="Courier New" w:eastAsia="仿宋_GB2312"/>
      <w:szCs w:val="22"/>
    </w:rPr>
  </w:style>
  <w:style w:type="paragraph" w:customStyle="1" w:styleId="299">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0">
    <w:name w:val="p16"/>
    <w:basedOn w:val="1"/>
    <w:qFormat/>
    <w:uiPriority w:val="0"/>
    <w:pPr>
      <w:widowControl/>
    </w:pPr>
    <w:rPr>
      <w:rFonts w:ascii="Arial" w:hAnsi="Arial" w:cs="Arial"/>
      <w:color w:val="333333"/>
      <w:kern w:val="0"/>
      <w:sz w:val="18"/>
      <w:szCs w:val="18"/>
    </w:rPr>
  </w:style>
  <w:style w:type="paragraph" w:customStyle="1" w:styleId="301">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3">
    <w:name w:val="默认段落字体 Para Char Char Char Char Char Char Char Char Char1 Char Char Char Char"/>
    <w:basedOn w:val="1"/>
    <w:qFormat/>
    <w:uiPriority w:val="0"/>
    <w:rPr>
      <w:rFonts w:ascii="Tahoma" w:hAnsi="Tahoma"/>
      <w:sz w:val="24"/>
      <w:szCs w:val="20"/>
    </w:rPr>
  </w:style>
  <w:style w:type="paragraph" w:customStyle="1" w:styleId="304">
    <w:name w:val="样式26"/>
    <w:basedOn w:val="305"/>
    <w:qFormat/>
    <w:uiPriority w:val="0"/>
    <w:pPr>
      <w:tabs>
        <w:tab w:val="left" w:pos="180"/>
        <w:tab w:val="left" w:pos="1580"/>
      </w:tabs>
      <w:ind w:left="1603" w:hanging="363"/>
    </w:pPr>
  </w:style>
  <w:style w:type="paragraph" w:customStyle="1" w:styleId="305">
    <w:name w:val="样式25"/>
    <w:basedOn w:val="1"/>
    <w:qFormat/>
    <w:uiPriority w:val="0"/>
    <w:pPr>
      <w:tabs>
        <w:tab w:val="left" w:pos="180"/>
      </w:tabs>
      <w:ind w:left="1260" w:hanging="720"/>
    </w:pPr>
    <w:rPr>
      <w:sz w:val="24"/>
      <w:szCs w:val="20"/>
    </w:rPr>
  </w:style>
  <w:style w:type="paragraph" w:customStyle="1" w:styleId="306">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07">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08">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09">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0">
    <w:name w:val="Char Char Char Char Char Char"/>
    <w:basedOn w:val="1"/>
    <w:qFormat/>
    <w:uiPriority w:val="0"/>
    <w:pPr>
      <w:ind w:firstLine="200" w:firstLineChars="200"/>
    </w:pPr>
    <w:rPr>
      <w:szCs w:val="20"/>
    </w:rPr>
  </w:style>
  <w:style w:type="paragraph" w:customStyle="1" w:styleId="311">
    <w:name w:val="样式 标题 3列表编号3h33rd level + 段前: 1 行"/>
    <w:basedOn w:val="5"/>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2">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3">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4">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5">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6">
    <w:name w:val="样式 正文缩进 + 首行缩进:  2 字符"/>
    <w:basedOn w:val="14"/>
    <w:qFormat/>
    <w:uiPriority w:val="0"/>
    <w:pPr>
      <w:spacing w:after="80" w:line="360" w:lineRule="auto"/>
      <w:ind w:firstLine="480" w:firstLineChars="200"/>
    </w:pPr>
    <w:rPr>
      <w:sz w:val="24"/>
    </w:rPr>
  </w:style>
  <w:style w:type="paragraph" w:customStyle="1" w:styleId="317">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18">
    <w:name w:val="样式22"/>
    <w:basedOn w:val="5"/>
    <w:qFormat/>
    <w:uiPriority w:val="0"/>
    <w:pPr>
      <w:tabs>
        <w:tab w:val="left" w:pos="1080"/>
      </w:tabs>
      <w:spacing w:before="0" w:after="0" w:line="240" w:lineRule="auto"/>
      <w:ind w:left="1260" w:hanging="420"/>
      <w:jc w:val="both"/>
    </w:pPr>
    <w:rPr>
      <w:rFonts w:eastAsia="宋体"/>
      <w:sz w:val="28"/>
    </w:rPr>
  </w:style>
  <w:style w:type="paragraph" w:customStyle="1" w:styleId="319">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0">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1">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2">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3">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4">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5">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6">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7">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28">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29">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0">
    <w:name w:val="Char"/>
    <w:basedOn w:val="1"/>
    <w:qFormat/>
    <w:uiPriority w:val="0"/>
    <w:rPr>
      <w:rFonts w:ascii="仿宋_GB2312" w:eastAsia="仿宋_GB2312"/>
      <w:b/>
      <w:sz w:val="32"/>
      <w:szCs w:val="32"/>
    </w:rPr>
  </w:style>
  <w:style w:type="paragraph" w:customStyle="1" w:styleId="33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2">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3">
    <w:name w:val="标题1"/>
    <w:basedOn w:val="3"/>
    <w:next w:val="1"/>
    <w:qFormat/>
    <w:uiPriority w:val="0"/>
    <w:pPr>
      <w:numPr>
        <w:ilvl w:val="0"/>
        <w:numId w:val="2"/>
      </w:numPr>
      <w:spacing w:before="0" w:after="0" w:line="360" w:lineRule="auto"/>
      <w:jc w:val="left"/>
    </w:pPr>
    <w:rPr>
      <w:rFonts w:ascii="华文中宋" w:hAnsi="华文中宋" w:eastAsia="华文中宋"/>
      <w:szCs w:val="36"/>
    </w:rPr>
  </w:style>
  <w:style w:type="paragraph" w:customStyle="1" w:styleId="334">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5">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6">
    <w:name w:val="Figure"/>
    <w:basedOn w:val="1"/>
    <w:next w:val="337"/>
    <w:qFormat/>
    <w:uiPriority w:val="0"/>
    <w:pPr>
      <w:keepNext/>
      <w:keepLines/>
      <w:ind w:left="1134"/>
      <w:jc w:val="center"/>
    </w:pPr>
  </w:style>
  <w:style w:type="paragraph" w:customStyle="1" w:styleId="337">
    <w:name w:val="Figure Description"/>
    <w:basedOn w:val="336"/>
    <w:next w:val="135"/>
    <w:qFormat/>
    <w:uiPriority w:val="0"/>
    <w:pPr>
      <w:tabs>
        <w:tab w:val="left" w:pos="680"/>
      </w:tabs>
      <w:spacing w:afterLines="100"/>
    </w:pPr>
    <w:rPr>
      <w:sz w:val="18"/>
    </w:rPr>
  </w:style>
  <w:style w:type="paragraph" w:customStyle="1" w:styleId="338">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39">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0">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41">
    <w:name w:val="p19"/>
    <w:basedOn w:val="1"/>
    <w:qFormat/>
    <w:uiPriority w:val="0"/>
    <w:pPr>
      <w:widowControl/>
      <w:spacing w:beforeLines="100" w:afterLines="100"/>
      <w:ind w:left="1134"/>
    </w:pPr>
    <w:rPr>
      <w:kern w:val="0"/>
      <w:szCs w:val="21"/>
    </w:rPr>
  </w:style>
  <w:style w:type="paragraph" w:customStyle="1" w:styleId="342">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3">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4">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5">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6">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7">
    <w:name w:val="Char Char11"/>
    <w:basedOn w:val="1"/>
    <w:qFormat/>
    <w:uiPriority w:val="0"/>
    <w:pPr>
      <w:widowControl/>
      <w:jc w:val="left"/>
    </w:pPr>
    <w:rPr>
      <w:sz w:val="36"/>
    </w:rPr>
  </w:style>
  <w:style w:type="paragraph" w:customStyle="1" w:styleId="348">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49">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0">
    <w:name w:val="正文符号1"/>
    <w:basedOn w:val="265"/>
    <w:qFormat/>
    <w:uiPriority w:val="0"/>
    <w:pPr>
      <w:tabs>
        <w:tab w:val="left" w:pos="1080"/>
      </w:tabs>
      <w:ind w:left="1134" w:firstLine="0" w:firstLineChars="0"/>
    </w:pPr>
  </w:style>
  <w:style w:type="paragraph" w:customStyle="1" w:styleId="351">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2">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3">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4">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5">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6">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57">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58">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59">
    <w:name w:val="图片"/>
    <w:basedOn w:val="1"/>
    <w:next w:val="1"/>
    <w:qFormat/>
    <w:uiPriority w:val="0"/>
    <w:pPr>
      <w:jc w:val="center"/>
    </w:pPr>
  </w:style>
  <w:style w:type="paragraph" w:customStyle="1" w:styleId="360">
    <w:name w:val="Item Step in Table"/>
    <w:basedOn w:val="1"/>
    <w:qFormat/>
    <w:uiPriority w:val="0"/>
    <w:pPr>
      <w:tabs>
        <w:tab w:val="left" w:pos="420"/>
      </w:tabs>
      <w:ind w:left="420" w:hanging="420"/>
      <w:jc w:val="left"/>
    </w:pPr>
  </w:style>
  <w:style w:type="paragraph" w:customStyle="1" w:styleId="361">
    <w:name w:val="默认段落字体 Para Char"/>
    <w:basedOn w:val="1"/>
    <w:qFormat/>
    <w:uiPriority w:val="0"/>
    <w:rPr>
      <w:szCs w:val="20"/>
    </w:rPr>
  </w:style>
  <w:style w:type="paragraph" w:customStyle="1" w:styleId="362">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3">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4">
    <w:name w:val="5"/>
    <w:qFormat/>
    <w:uiPriority w:val="0"/>
    <w:rPr>
      <w:rFonts w:ascii="Times New Roman" w:hAnsi="Times New Roman" w:eastAsia="宋体" w:cs="Times New Roman"/>
      <w:kern w:val="2"/>
      <w:sz w:val="21"/>
      <w:szCs w:val="22"/>
      <w:lang w:val="en-US" w:eastAsia="zh-CN" w:bidi="ar-SA"/>
    </w:rPr>
  </w:style>
  <w:style w:type="paragraph" w:customStyle="1" w:styleId="365">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6">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67">
    <w:name w:val="Char111"/>
    <w:basedOn w:val="1"/>
    <w:qFormat/>
    <w:uiPriority w:val="0"/>
    <w:rPr>
      <w:rFonts w:ascii="仿宋_GB2312" w:hAnsi="宋体" w:eastAsia="仿宋_GB2312" w:cs="宋体"/>
      <w:b/>
      <w:sz w:val="32"/>
      <w:szCs w:val="32"/>
    </w:rPr>
  </w:style>
  <w:style w:type="paragraph" w:customStyle="1" w:styleId="368">
    <w:name w:val="正文缩进2"/>
    <w:basedOn w:val="1"/>
    <w:autoRedefine/>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69">
    <w:name w:val="Item List in Table"/>
    <w:basedOn w:val="1"/>
    <w:qFormat/>
    <w:uiPriority w:val="0"/>
    <w:pPr>
      <w:numPr>
        <w:ilvl w:val="0"/>
        <w:numId w:val="3"/>
      </w:numPr>
      <w:jc w:val="left"/>
    </w:pPr>
  </w:style>
  <w:style w:type="paragraph" w:customStyle="1" w:styleId="370">
    <w:name w:val="Table Heading"/>
    <w:basedOn w:val="1"/>
    <w:qFormat/>
    <w:uiPriority w:val="0"/>
    <w:pPr>
      <w:jc w:val="center"/>
    </w:pPr>
    <w:rPr>
      <w:rFonts w:ascii="Arial" w:hAnsi="Arial" w:eastAsia="黑体"/>
      <w:b/>
    </w:rPr>
  </w:style>
  <w:style w:type="paragraph" w:customStyle="1" w:styleId="371">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2">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3">
    <w:name w:val="_Style 3"/>
    <w:basedOn w:val="1"/>
    <w:qFormat/>
    <w:uiPriority w:val="34"/>
    <w:pPr>
      <w:spacing w:line="360" w:lineRule="auto"/>
      <w:ind w:firstLine="420" w:firstLineChars="200"/>
    </w:pPr>
    <w:rPr>
      <w:rFonts w:ascii="Calibri" w:hAnsi="Calibri"/>
      <w:szCs w:val="22"/>
    </w:rPr>
  </w:style>
  <w:style w:type="paragraph" w:customStyle="1" w:styleId="374">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5">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6">
    <w:name w:val="Table Text"/>
    <w:basedOn w:val="1"/>
    <w:qFormat/>
    <w:uiPriority w:val="0"/>
    <w:rPr>
      <w:sz w:val="18"/>
    </w:rPr>
  </w:style>
  <w:style w:type="paragraph" w:customStyle="1" w:styleId="377">
    <w:name w:val="次小点说明"/>
    <w:basedOn w:val="14"/>
    <w:qFormat/>
    <w:uiPriority w:val="0"/>
    <w:pPr>
      <w:tabs>
        <w:tab w:val="left" w:pos="720"/>
      </w:tabs>
      <w:spacing w:line="360" w:lineRule="auto"/>
      <w:ind w:left="777" w:hanging="417"/>
    </w:pPr>
    <w:rPr>
      <w:sz w:val="24"/>
    </w:rPr>
  </w:style>
  <w:style w:type="paragraph" w:customStyle="1" w:styleId="378">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9">
    <w:name w:val="此正文"/>
    <w:basedOn w:val="1"/>
    <w:qFormat/>
    <w:uiPriority w:val="0"/>
    <w:pPr>
      <w:spacing w:line="360" w:lineRule="auto"/>
      <w:ind w:firstLine="200" w:firstLineChars="200"/>
    </w:pPr>
    <w:rPr>
      <w:sz w:val="24"/>
    </w:rPr>
  </w:style>
  <w:style w:type="paragraph" w:customStyle="1" w:styleId="380">
    <w:name w:val="方案标题4"/>
    <w:basedOn w:val="6"/>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1">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2">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3">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4">
    <w:name w:val="项目正文"/>
    <w:basedOn w:val="1"/>
    <w:qFormat/>
    <w:uiPriority w:val="0"/>
    <w:pPr>
      <w:ind w:left="420" w:hanging="420"/>
    </w:pPr>
    <w:rPr>
      <w:sz w:val="28"/>
      <w:szCs w:val="20"/>
    </w:rPr>
  </w:style>
  <w:style w:type="paragraph" w:customStyle="1" w:styleId="385">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6">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7">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88">
    <w:name w:val="段落正文 Char Char"/>
    <w:basedOn w:val="1"/>
    <w:qFormat/>
    <w:uiPriority w:val="0"/>
    <w:pPr>
      <w:spacing w:line="360" w:lineRule="auto"/>
      <w:ind w:firstLine="461" w:firstLineChars="192"/>
    </w:pPr>
    <w:rPr>
      <w:rFonts w:ascii="宋体" w:hAnsi="宋体"/>
      <w:sz w:val="24"/>
    </w:rPr>
  </w:style>
  <w:style w:type="paragraph" w:customStyle="1" w:styleId="389">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0">
    <w:name w:val="p18"/>
    <w:basedOn w:val="1"/>
    <w:qFormat/>
    <w:uiPriority w:val="0"/>
    <w:pPr>
      <w:widowControl/>
      <w:spacing w:afterLines="100"/>
      <w:ind w:left="1134"/>
      <w:jc w:val="center"/>
    </w:pPr>
    <w:rPr>
      <w:kern w:val="0"/>
      <w:sz w:val="18"/>
      <w:szCs w:val="18"/>
    </w:rPr>
  </w:style>
  <w:style w:type="paragraph" w:customStyle="1" w:styleId="391">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2">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3">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4">
    <w:name w:val="Char2"/>
    <w:basedOn w:val="1"/>
    <w:qFormat/>
    <w:uiPriority w:val="0"/>
    <w:pPr>
      <w:spacing w:line="240" w:lineRule="atLeast"/>
      <w:ind w:left="420" w:firstLine="420"/>
    </w:pPr>
  </w:style>
  <w:style w:type="paragraph" w:customStyle="1" w:styleId="395">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6">
    <w:name w:val="网格型1"/>
    <w:basedOn w:val="53"/>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97">
    <w:name w:val="NormalCharacter"/>
    <w:semiHidden/>
    <w:qFormat/>
    <w:uiPriority w:val="0"/>
    <w:rPr>
      <w:kern w:val="2"/>
      <w:sz w:val="21"/>
      <w:szCs w:val="24"/>
      <w:lang w:val="en-US" w:eastAsia="zh-CN" w:bidi="ar-SA"/>
    </w:rPr>
  </w:style>
  <w:style w:type="character" w:customStyle="1" w:styleId="398">
    <w:name w:val="font121"/>
    <w:basedOn w:val="55"/>
    <w:qFormat/>
    <w:uiPriority w:val="0"/>
    <w:rPr>
      <w:rFonts w:hint="eastAsia" w:ascii="微软雅黑" w:hAnsi="微软雅黑" w:eastAsia="微软雅黑" w:cs="微软雅黑"/>
      <w:color w:val="000000"/>
      <w:sz w:val="20"/>
      <w:szCs w:val="20"/>
      <w:u w:val="none"/>
    </w:rPr>
  </w:style>
  <w:style w:type="paragraph" w:customStyle="1" w:styleId="399">
    <w:name w:val="表格文字"/>
    <w:basedOn w:val="1"/>
    <w:next w:val="21"/>
    <w:qFormat/>
    <w:uiPriority w:val="0"/>
    <w:pPr>
      <w:autoSpaceDE w:val="0"/>
      <w:autoSpaceDN w:val="0"/>
      <w:adjustRightInd w:val="0"/>
      <w:spacing w:line="420" w:lineRule="atLeast"/>
      <w:textAlignment w:val="baseline"/>
    </w:pPr>
    <w:rPr>
      <w:color w:val="000000"/>
      <w:kern w:val="0"/>
    </w:rPr>
  </w:style>
  <w:style w:type="paragraph" w:customStyle="1" w:styleId="400">
    <w:name w:val="List Paragraph"/>
    <w:basedOn w:val="1"/>
    <w:qFormat/>
    <w:uiPriority w:val="34"/>
    <w:pPr>
      <w:ind w:firstLine="420" w:firstLineChars="200"/>
    </w:pPr>
  </w:style>
  <w:style w:type="table" w:customStyle="1" w:styleId="401">
    <w:name w:val="Table Normal"/>
    <w:unhideWhenUsed/>
    <w:qFormat/>
    <w:uiPriority w:val="0"/>
    <w:tblPr>
      <w:tblCellMar>
        <w:top w:w="0" w:type="dxa"/>
        <w:left w:w="0" w:type="dxa"/>
        <w:bottom w:w="0" w:type="dxa"/>
        <w:right w:w="0" w:type="dxa"/>
      </w:tblCellMar>
    </w:tblPr>
  </w:style>
  <w:style w:type="paragraph" w:customStyle="1" w:styleId="402">
    <w:name w:val="_Style 1"/>
    <w:qFormat/>
    <w:uiPriority w:val="99"/>
    <w:rPr>
      <w:rFonts w:ascii="Times New Roman" w:hAnsi="Times New Roman" w:eastAsia="宋体" w:cs="Times New Roman"/>
      <w:kern w:val="2"/>
      <w:sz w:val="28"/>
      <w:szCs w:val="22"/>
      <w:lang w:val="en-US" w:eastAsia="zh-CN" w:bidi="ar-SA"/>
    </w:rPr>
  </w:style>
  <w:style w:type="paragraph" w:customStyle="1" w:styleId="403">
    <w:name w:val="_Style 2"/>
    <w:basedOn w:val="1"/>
    <w:qFormat/>
    <w:uiPriority w:val="99"/>
    <w:pPr>
      <w:spacing w:line="360" w:lineRule="auto"/>
      <w:ind w:firstLine="420" w:firstLineChars="200"/>
    </w:pPr>
  </w:style>
  <w:style w:type="paragraph" w:customStyle="1" w:styleId="404">
    <w:name w:val="正文 "/>
    <w:basedOn w:val="1"/>
    <w:qFormat/>
    <w:uiPriority w:val="0"/>
    <w:pPr>
      <w:adjustRightInd w:val="0"/>
      <w:spacing w:line="318" w:lineRule="atLeast"/>
      <w:ind w:left="369" w:firstLine="369"/>
      <w:textAlignment w:val="baseline"/>
    </w:pPr>
    <w:rPr>
      <w:rFonts w:hint="eastAsia" w:ascii="宋体" w:hAnsi="Times New Roman"/>
    </w:rPr>
  </w:style>
  <w:style w:type="paragraph" w:customStyle="1" w:styleId="405">
    <w:name w:val="正文_4"/>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58</Pages>
  <Words>17735</Words>
  <Characters>18363</Characters>
  <Lines>265</Lines>
  <Paragraphs>74</Paragraphs>
  <TotalTime>6</TotalTime>
  <ScaleCrop>false</ScaleCrop>
  <LinksUpToDate>false</LinksUpToDate>
  <CharactersWithSpaces>18490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2020-10-07T05:12:00Z</dcterms:created>
  <dc:creator>Sky123.Org</dc:creator>
  <cp:lastModifiedBy>陈漂亮</cp:lastModifiedBy>
  <cp:lastPrinted>2026-06-23T03:43:00Z</cp:lastPrinted>
  <dcterms:modified xsi:type="dcterms:W3CDTF">2026-07-06T01:04:02Z</dcterms:modified>
  <dc:title>临海市政府采购</dc:title>
  <cp:revision>879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D1429C14993F4D10A6A57B7FB79C12F9_13</vt:lpwstr>
  </property>
  <property fmtid="{D5CDD505-2E9C-101B-9397-08002B2CF9AE}" pid="4" name="KSOTemplateDocerSaveRecord">
    <vt:lpwstr>eyJoZGlkIjoiODU4OTVjZDhmYzgxMTA4ZDk5NThmYTI5ODgwYmNlZDciLCJ1c2VySWQiOiIyNzgwMzQ1MDgifQ==</vt:lpwstr>
  </property>
</Properties>
</file>