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10DD8B49">
      <w:pPr>
        <w:spacing w:before="140" w:line="656" w:lineRule="exact"/>
        <w:ind w:left="2276"/>
        <w:rPr>
          <w:rFonts w:ascii="宋体" w:hAnsi="宋体" w:eastAsia="宋体" w:cs="宋体"/>
          <w:b/>
          <w:bCs/>
          <w:spacing w:val="-3"/>
          <w:position w:val="16"/>
          <w:sz w:val="43"/>
          <w:szCs w:val="43"/>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6135558">
      <w:pPr>
        <w:spacing w:line="254" w:lineRule="auto"/>
        <w:rPr>
          <w:rFonts w:ascii="Arial"/>
          <w:sz w:val="21"/>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19CB5653">
      <w:pPr>
        <w:spacing w:before="277" w:line="219" w:lineRule="auto"/>
        <w:ind w:firstLine="588" w:firstLineChars="200"/>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回浦实验小学教学楼改造工程</w:t>
      </w:r>
    </w:p>
    <w:p w14:paraId="4AEACDA0">
      <w:pPr>
        <w:spacing w:before="277" w:line="219" w:lineRule="auto"/>
        <w:ind w:firstLine="588" w:firstLineChars="200"/>
        <w:rPr>
          <w:rFonts w:ascii="宋体" w:hAnsi="宋体" w:eastAsia="宋体" w:cs="宋体"/>
          <w:spacing w:val="7"/>
          <w:sz w:val="28"/>
          <w:szCs w:val="28"/>
        </w:rPr>
      </w:pPr>
    </w:p>
    <w:p w14:paraId="01DEC7A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临海市回浦实验小学</w:t>
      </w:r>
      <w:r>
        <w:rPr>
          <w:rFonts w:ascii="宋体" w:hAnsi="宋体" w:eastAsia="宋体" w:cs="宋体"/>
          <w:spacing w:val="7"/>
          <w:sz w:val="28"/>
          <w:szCs w:val="28"/>
        </w:rPr>
        <w:t>(盖章)</w:t>
      </w:r>
    </w:p>
    <w:p w14:paraId="080C5DA8">
      <w:pPr>
        <w:spacing w:before="277" w:line="219" w:lineRule="auto"/>
        <w:ind w:firstLine="588" w:firstLineChars="200"/>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sz w:val="28"/>
          <w:highlight w:val="none"/>
          <w:lang w:val="en-US" w:eastAsia="zh-CN"/>
        </w:rPr>
        <w:t xml:space="preserve"> 李先生</w:t>
      </w:r>
      <w:r>
        <w:rPr>
          <w:rFonts w:hint="eastAsia" w:ascii="宋体" w:hAnsi="宋体" w:eastAsia="宋体" w:cs="宋体"/>
          <w:color w:val="auto"/>
          <w:spacing w:val="7"/>
          <w:sz w:val="28"/>
          <w:szCs w:val="28"/>
          <w:highlight w:val="none"/>
          <w:lang w:val="en-US" w:eastAsia="zh-CN"/>
        </w:rPr>
        <w:t xml:space="preserve">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13586157736</w:t>
      </w:r>
      <w:r>
        <w:rPr>
          <w:rFonts w:hint="eastAsia" w:ascii="宋体" w:hAnsi="宋体" w:eastAsia="宋体"/>
          <w:sz w:val="28"/>
          <w:highlight w:val="none"/>
          <w:lang w:val="en-US" w:eastAsia="zh-CN"/>
        </w:rPr>
        <w:t xml:space="preserve">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浙江广通工程咨询有限公司</w:t>
      </w:r>
      <w:r>
        <w:rPr>
          <w:rFonts w:ascii="宋体" w:hAnsi="宋体" w:eastAsia="宋体" w:cs="宋体"/>
          <w:spacing w:val="7"/>
          <w:sz w:val="28"/>
          <w:szCs w:val="28"/>
        </w:rPr>
        <w:t>(盖章)</w:t>
      </w:r>
    </w:p>
    <w:p w14:paraId="7E3CCF32">
      <w:pPr>
        <w:spacing w:before="277" w:line="219" w:lineRule="auto"/>
        <w:ind w:firstLine="560" w:firstLineChars="200"/>
        <w:rPr>
          <w:rFonts w:hint="eastAsia" w:ascii="宋体" w:hAnsi="宋体" w:eastAsia="宋体" w:cs="宋体"/>
          <w:spacing w:val="7"/>
          <w:sz w:val="28"/>
          <w:szCs w:val="28"/>
          <w:lang w:val="en-US" w:eastAsia="zh-CN"/>
        </w:rPr>
      </w:pPr>
      <w:r>
        <w:rPr>
          <w:rFonts w:hint="eastAsia" w:ascii="宋体" w:hAnsi="宋体" w:eastAsia="宋体"/>
          <w:bCs/>
          <w:sz w:val="28"/>
          <w:highlight w:val="none"/>
        </w:rPr>
        <w:t>代理项目负责人</w:t>
      </w:r>
      <w:r>
        <w:rPr>
          <w:rFonts w:ascii="宋体" w:hAnsi="宋体" w:eastAsia="宋体" w:cs="宋体"/>
          <w:spacing w:val="7"/>
          <w:sz w:val="28"/>
          <w:szCs w:val="28"/>
        </w:rPr>
        <w:t>：</w:t>
      </w:r>
      <w:r>
        <w:rPr>
          <w:rFonts w:hint="eastAsia" w:ascii="宋体" w:hAnsi="宋体" w:eastAsia="宋体" w:cs="宋体"/>
          <w:spacing w:val="7"/>
          <w:sz w:val="28"/>
          <w:szCs w:val="28"/>
          <w:lang w:val="en-US" w:eastAsia="zh-CN"/>
        </w:rPr>
        <w:t>顾先生    联系电话：</w:t>
      </w:r>
      <w:r>
        <w:rPr>
          <w:rFonts w:hint="eastAsia" w:ascii="宋体" w:hAnsi="宋体" w:eastAsia="宋体" w:cs="宋体"/>
          <w:spacing w:val="7"/>
          <w:sz w:val="28"/>
          <w:szCs w:val="28"/>
          <w:lang w:eastAsia="zh-CN"/>
        </w:rPr>
        <w:t>13819675833</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14BC2BED">
      <w:pPr>
        <w:jc w:val="center"/>
        <w:rPr>
          <w:rFonts w:hint="eastAsia" w:ascii="宋体" w:hAnsi="宋体" w:eastAsia="宋体" w:cs="宋体"/>
          <w:b/>
          <w:bCs/>
          <w:sz w:val="48"/>
          <w:szCs w:val="48"/>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43</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46</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4</w:t>
      </w:r>
    </w:p>
    <w:p w14:paraId="1ADC2AAA">
      <w:pPr>
        <w:keepNext/>
        <w:keepLines/>
        <w:spacing w:before="120" w:after="120"/>
        <w:jc w:val="center"/>
        <w:outlineLvl w:val="0"/>
        <w:rPr>
          <w:rFonts w:ascii="黑体" w:hAnsi="黑体" w:eastAsia="黑体"/>
          <w:b/>
          <w:kern w:val="44"/>
          <w:sz w:val="30"/>
        </w:rPr>
      </w:pPr>
      <w:bookmarkStart w:id="0" w:name="_Toc1787"/>
      <w:bookmarkStart w:id="1" w:name="_Toc22713"/>
      <w:bookmarkStart w:id="2" w:name="_Toc5497"/>
      <w:bookmarkStart w:id="3" w:name="_Toc386121751"/>
      <w:bookmarkStart w:id="4" w:name="_Toc386121562"/>
      <w:bookmarkStart w:id="5" w:name="_Toc500208499"/>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回浦实验小学教学楼改造工程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val="en-US" w:eastAsia="zh-CN"/>
              </w:rPr>
              <w:t>回浦实验小学</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06DB4003">
            <w:pPr>
              <w:adjustRightInd w:val="0"/>
              <w:snapToGrid w:val="0"/>
              <w:rPr>
                <w:rFonts w:hint="default" w:eastAsia="宋体"/>
                <w:lang w:val="en-US"/>
              </w:rPr>
            </w:pPr>
            <w:r>
              <w:rPr>
                <w:rFonts w:hint="eastAsia" w:ascii="宋体" w:hAnsi="宋体" w:eastAsia="宋体" w:cs="Times New Roman"/>
                <w:bCs/>
                <w:sz w:val="21"/>
                <w:lang w:val="en-US" w:eastAsia="zh-CN"/>
              </w:rPr>
              <w:t>本工程为教学楼一层、二层完整走廊系统及休息间。包含地面翻新、顶面天花及灯具、非遗手工主题展示柜体，课间休憩坐凳、二楼断桥窗更换、墙面瓷砖、冰火板等；</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491267</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rPr>
            </w:pPr>
            <w:r>
              <w:rPr>
                <w:rFonts w:hint="eastAsia" w:ascii="宋体" w:hAnsi="宋体" w:eastAsia="宋体"/>
                <w:sz w:val="21"/>
              </w:rPr>
              <w:t>7</w:t>
            </w:r>
          </w:p>
        </w:tc>
        <w:tc>
          <w:tcPr>
            <w:tcW w:w="861" w:type="dxa"/>
            <w:tcBorders>
              <w:bottom w:val="single" w:color="auto" w:sz="4" w:space="0"/>
            </w:tcBorders>
            <w:vAlign w:val="center"/>
          </w:tcPr>
          <w:p w14:paraId="34878A5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29941D6D">
            <w:pPr>
              <w:jc w:val="center"/>
              <w:rPr>
                <w:rFonts w:ascii="宋体" w:hAnsi="宋体" w:eastAsia="宋体"/>
                <w:sz w:val="21"/>
              </w:rPr>
            </w:pPr>
            <w:r>
              <w:rPr>
                <w:rFonts w:hint="eastAsia" w:ascii="宋体" w:hAnsi="宋体" w:eastAsia="宋体"/>
                <w:sz w:val="21"/>
              </w:rPr>
              <w:t>工期要求</w:t>
            </w:r>
          </w:p>
        </w:tc>
        <w:tc>
          <w:tcPr>
            <w:tcW w:w="5919" w:type="dxa"/>
            <w:tcBorders>
              <w:bottom w:val="single" w:color="auto" w:sz="4" w:space="0"/>
            </w:tcBorders>
            <w:vAlign w:val="center"/>
          </w:tcPr>
          <w:p w14:paraId="6A45862E">
            <w:pPr>
              <w:rPr>
                <w:rFonts w:ascii="宋体" w:hAnsi="宋体" w:eastAsia="宋体"/>
                <w:sz w:val="21"/>
              </w:rPr>
            </w:pPr>
            <w:r>
              <w:rPr>
                <w:rFonts w:hint="eastAsia" w:ascii="宋体" w:hAnsi="宋体" w:eastAsia="宋体"/>
                <w:sz w:val="21"/>
                <w:highlight w:val="none"/>
              </w:rPr>
              <w:t>不超过</w:t>
            </w:r>
            <w:r>
              <w:rPr>
                <w:rFonts w:hint="eastAsia" w:ascii="宋体" w:hAnsi="宋体" w:eastAsia="宋体"/>
                <w:sz w:val="21"/>
                <w:highlight w:val="none"/>
                <w:lang w:val="en-US" w:eastAsia="zh-CN"/>
              </w:rPr>
              <w:t>30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回浦实验小学教学楼改造工程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财政</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szCs w:val="22"/>
                <w:highlight w:val="none"/>
                <w:lang w:eastAsia="zh-CN"/>
              </w:rPr>
              <w:t>全国范围内建筑装饰装修工程专业承包二级及以上</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ascii="宋体" w:hAnsi="宋体" w:eastAsia="宋体"/>
                <w:sz w:val="21"/>
              </w:rPr>
            </w:pPr>
            <w:r>
              <w:rPr>
                <w:rFonts w:hint="eastAsia" w:ascii="宋体" w:hAnsi="宋体" w:eastAsia="宋体"/>
                <w:sz w:val="21"/>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10"/>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491267</w:t>
            </w:r>
            <w:r>
              <w:rPr>
                <w:rFonts w:hint="eastAsia" w:cs="宋体"/>
                <w:b w:val="0"/>
                <w:bCs w:val="0"/>
                <w:szCs w:val="21"/>
                <w:highlight w:val="none"/>
              </w:rPr>
              <w:t>元；</w:t>
            </w:r>
          </w:p>
          <w:p w14:paraId="2274408B">
            <w:pPr>
              <w:pStyle w:val="10"/>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417577</w:t>
            </w:r>
            <w:r>
              <w:rPr>
                <w:rFonts w:hint="eastAsia" w:cs="宋体"/>
                <w:b w:val="0"/>
                <w:bCs w:val="0"/>
                <w:szCs w:val="21"/>
                <w:highlight w:val="none"/>
              </w:rPr>
              <w:t>元。(招标控制价×</w:t>
            </w:r>
            <w:r>
              <w:rPr>
                <w:rFonts w:hint="eastAsia" w:cs="宋体"/>
                <w:b w:val="0"/>
                <w:bCs w:val="0"/>
                <w:szCs w:val="21"/>
                <w:highlight w:val="none"/>
                <w:lang w:val="en-US" w:eastAsia="zh-CN"/>
              </w:rPr>
              <w:t>85</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9000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(1) 担保形式：</w:t>
            </w:r>
            <w:r>
              <w:rPr>
                <w:rFonts w:hint="eastAsia" w:ascii="宋体" w:hAnsi="宋体" w:eastAsia="宋体" w:cs="宋体"/>
                <w:b w:val="0"/>
                <w:bCs w:val="0"/>
                <w:sz w:val="21"/>
                <w:szCs w:val="21"/>
                <w:highlight w:val="none"/>
              </w:rPr>
              <w:t>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u w:val="single"/>
                <w:lang w:val="en-US" w:eastAsia="zh-CN"/>
              </w:rPr>
              <w:t>临海市回浦实验小学</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①用工程电子保函形式：</w:t>
            </w:r>
            <w:r>
              <w:rPr>
                <w:rFonts w:hint="eastAsia" w:ascii="宋体" w:hAnsi="宋体" w:eastAsia="宋体" w:cs="宋体"/>
                <w:b w:val="0"/>
                <w:bCs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b w:val="0"/>
                <w:bCs w:val="0"/>
                <w:sz w:val="21"/>
                <w:szCs w:val="21"/>
                <w:highlight w:val="none"/>
              </w:rPr>
              <w:t>保费应一函一付，通过企业基本账户支付。投标人须在投标截止时间前在</w:t>
            </w:r>
            <w:r>
              <w:rPr>
                <w:rFonts w:hint="eastAsia" w:ascii="宋体" w:hAnsi="宋体" w:eastAsia="宋体" w:cs="宋体"/>
                <w:b/>
                <w:bCs/>
                <w:sz w:val="21"/>
                <w:szCs w:val="21"/>
                <w:highlight w:val="none"/>
              </w:rPr>
              <w:t>开标现场递交</w:t>
            </w:r>
            <w:r>
              <w:rPr>
                <w:rFonts w:hint="eastAsia" w:ascii="宋体" w:hAnsi="宋体" w:eastAsia="宋体" w:cs="宋体"/>
                <w:b w:val="0"/>
                <w:bCs w:val="0"/>
                <w:sz w:val="21"/>
                <w:szCs w:val="21"/>
                <w:highlight w:val="none"/>
              </w:rPr>
              <w:t>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递交方式：开标现场递交；</w:t>
            </w:r>
            <w:r>
              <w:rPr>
                <w:rFonts w:hint="eastAsia" w:ascii="宋体" w:hAnsi="宋体" w:eastAsia="宋体" w:cs="宋体"/>
                <w:b w:val="0"/>
                <w:bCs w:val="0"/>
                <w:sz w:val="21"/>
                <w:szCs w:val="21"/>
                <w:highlight w:val="none"/>
              </w:rPr>
              <w:t xml:space="preserve">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浙江广通工程咨询有限公司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接收人联系方式：</w:t>
            </w:r>
            <w:r>
              <w:rPr>
                <w:rFonts w:hint="eastAsia" w:ascii="宋体" w:hAnsi="宋体" w:eastAsia="宋体" w:cs="宋体"/>
                <w:b w:val="0"/>
                <w:bCs w:val="0"/>
                <w:sz w:val="21"/>
                <w:szCs w:val="21"/>
                <w:highlight w:val="none"/>
                <w:lang w:val="en-US" w:eastAsia="zh-CN"/>
              </w:rPr>
              <w:t>13819675833</w:t>
            </w:r>
            <w:r>
              <w:rPr>
                <w:rFonts w:hint="eastAsia" w:ascii="宋体" w:hAnsi="宋体" w:eastAsia="宋体" w:cs="宋体"/>
                <w:b w:val="0"/>
                <w:bCs w:val="0"/>
                <w:sz w:val="21"/>
                <w:szCs w:val="21"/>
                <w:highlight w:val="none"/>
              </w:rPr>
              <w:t xml:space="preserve">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hint="default" w:ascii="宋体" w:hAnsi="宋体" w:eastAsia="宋体"/>
                <w:sz w:val="21"/>
                <w:lang w:val="en-US"/>
              </w:rPr>
            </w:pPr>
            <w:r>
              <w:rPr>
                <w:rFonts w:hint="eastAsia" w:ascii="宋体" w:hAnsi="宋体" w:eastAsia="宋体"/>
                <w:sz w:val="21"/>
              </w:rPr>
              <w:t>开标地点：</w:t>
            </w:r>
            <w:r>
              <w:rPr>
                <w:rFonts w:hint="eastAsia" w:ascii="宋体" w:hAnsi="宋体" w:eastAsia="宋体"/>
                <w:sz w:val="21"/>
                <w:lang w:eastAsia="zh-CN"/>
              </w:rPr>
              <w:t>江南街道春和路下岙余村新办公楼二楼开标室</w:t>
            </w:r>
            <w:r>
              <w:rPr>
                <w:rFonts w:hint="eastAsia" w:ascii="宋体" w:hAnsi="宋体" w:eastAsia="宋体"/>
                <w:sz w:val="21"/>
                <w:lang w:val="en-US" w:eastAsia="zh-CN"/>
              </w:rPr>
              <w:t xml:space="preserve"> 1 </w:t>
            </w:r>
            <w:r>
              <w:rPr>
                <w:rFonts w:hint="eastAsia" w:ascii="宋体" w:hAnsi="宋体" w:eastAsia="宋体"/>
                <w:sz w:val="21"/>
                <w:lang w:eastAsia="zh-CN"/>
              </w:rPr>
              <w:t>（不见面开标大厅）</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sz w:val="21"/>
              </w:rPr>
            </w:pPr>
            <w:r>
              <w:rPr>
                <w:rFonts w:hint="eastAsia" w:ascii="宋体" w:hAnsi="宋体" w:eastAsia="宋体"/>
                <w:sz w:val="21"/>
              </w:rPr>
              <w:t>投标文件提交截止时间与开标</w:t>
            </w:r>
          </w:p>
          <w:p w14:paraId="7845DF94">
            <w:pPr>
              <w:jc w:val="center"/>
              <w:rPr>
                <w:rFonts w:ascii="宋体" w:hAnsi="宋体" w:eastAsia="宋体"/>
                <w:sz w:val="21"/>
              </w:rPr>
            </w:pPr>
            <w:r>
              <w:rPr>
                <w:rFonts w:hint="eastAsia" w:ascii="宋体" w:hAnsi="宋体" w:eastAsia="宋体"/>
                <w:sz w:val="21"/>
              </w:rPr>
              <w:t>时间</w:t>
            </w:r>
          </w:p>
        </w:tc>
        <w:tc>
          <w:tcPr>
            <w:tcW w:w="5919" w:type="dxa"/>
            <w:vAlign w:val="center"/>
          </w:tcPr>
          <w:p w14:paraId="70681E31">
            <w:pPr>
              <w:rPr>
                <w:rFonts w:ascii="宋体" w:hAnsi="宋体" w:eastAsia="宋体"/>
                <w:sz w:val="21"/>
              </w:rPr>
            </w:pPr>
            <w:r>
              <w:rPr>
                <w:rFonts w:hint="eastAsia" w:ascii="宋体" w:hAnsi="宋体" w:eastAsia="宋体"/>
                <w:sz w:val="21"/>
                <w:highlight w:val="none"/>
                <w:u w:val="none"/>
              </w:rPr>
              <w:t>202</w:t>
            </w:r>
            <w:r>
              <w:rPr>
                <w:rFonts w:hint="eastAsia" w:ascii="宋体" w:hAnsi="宋体" w:eastAsia="宋体"/>
                <w:sz w:val="21"/>
                <w:highlight w:val="none"/>
                <w:u w:val="none"/>
                <w:lang w:val="en-US" w:eastAsia="zh-CN"/>
              </w:rPr>
              <w:t>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7</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16</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15</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00</w:t>
            </w:r>
            <w:r>
              <w:rPr>
                <w:rFonts w:hint="eastAsia" w:ascii="宋体" w:hAnsi="宋体" w:eastAsia="宋体"/>
                <w:sz w:val="21"/>
                <w:highlight w:val="none"/>
                <w:u w:val="none"/>
              </w:rPr>
              <w:t>分</w:t>
            </w:r>
            <w:r>
              <w:rPr>
                <w:rFonts w:hint="eastAsia" w:ascii="宋体" w:hAnsi="宋体" w:eastAsia="宋体"/>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1"/>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10"/>
              <w:rPr>
                <w:rFonts w:cs="宋体"/>
                <w:kern w:val="0"/>
                <w:szCs w:val="21"/>
              </w:rPr>
            </w:pPr>
            <w:r>
              <w:rPr>
                <w:rFonts w:hint="eastAsia" w:cs="宋体"/>
                <w:kern w:val="0"/>
                <w:szCs w:val="21"/>
              </w:rPr>
              <w:t>项目金额50万元以下收费100元，50万元以上收费150元。</w:t>
            </w:r>
          </w:p>
          <w:p w14:paraId="190C4DB5">
            <w:pPr>
              <w:pStyle w:val="10"/>
              <w:rPr>
                <w:rFonts w:cs="宋体"/>
                <w:kern w:val="0"/>
                <w:szCs w:val="21"/>
              </w:rPr>
            </w:pPr>
            <w:r>
              <w:rPr>
                <w:rFonts w:hint="eastAsia" w:cs="宋体"/>
                <w:kern w:val="0"/>
                <w:szCs w:val="21"/>
              </w:rPr>
              <w:t>开户名：临海市产权交易所有限公司</w:t>
            </w:r>
          </w:p>
          <w:p w14:paraId="24EFACCC">
            <w:pPr>
              <w:pStyle w:val="10"/>
              <w:rPr>
                <w:rFonts w:cs="宋体"/>
                <w:kern w:val="0"/>
                <w:szCs w:val="21"/>
              </w:rPr>
            </w:pPr>
            <w:r>
              <w:rPr>
                <w:rFonts w:hint="eastAsia" w:cs="宋体"/>
                <w:kern w:val="0"/>
                <w:szCs w:val="21"/>
              </w:rPr>
              <w:t>开户行：浙江临海农村商业银行股份有限公司科技支行；</w:t>
            </w:r>
          </w:p>
          <w:p w14:paraId="24DF5637">
            <w:pPr>
              <w:pStyle w:val="10"/>
              <w:rPr>
                <w:rFonts w:cs="宋体"/>
                <w:kern w:val="0"/>
                <w:szCs w:val="21"/>
              </w:rPr>
            </w:pPr>
            <w:r>
              <w:rPr>
                <w:rFonts w:hint="eastAsia" w:cs="宋体"/>
                <w:kern w:val="0"/>
                <w:szCs w:val="21"/>
              </w:rPr>
              <w:t>平台使用费账号：201000105503123000003</w:t>
            </w:r>
          </w:p>
          <w:p w14:paraId="02C7CC35">
            <w:pPr>
              <w:pStyle w:val="10"/>
              <w:rPr>
                <w:rFonts w:cs="宋体"/>
                <w:kern w:val="0"/>
                <w:szCs w:val="21"/>
              </w:rPr>
            </w:pPr>
            <w:r>
              <w:rPr>
                <w:rFonts w:hint="eastAsia" w:cs="宋体"/>
                <w:kern w:val="0"/>
                <w:szCs w:val="21"/>
              </w:rPr>
              <w:t>临海市产权交易所有限公司财务咨询电话：0576-85407100。</w:t>
            </w:r>
          </w:p>
          <w:p w14:paraId="2CF60B40">
            <w:pPr>
              <w:pStyle w:val="10"/>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10"/>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10"/>
              <w:rPr>
                <w:rFonts w:cs="宋体"/>
                <w:kern w:val="0"/>
                <w:szCs w:val="21"/>
              </w:rPr>
            </w:pPr>
            <w:r>
              <w:rPr>
                <w:rFonts w:hint="eastAsia" w:cs="宋体"/>
                <w:kern w:val="0"/>
                <w:szCs w:val="21"/>
              </w:rPr>
              <w:t>开户名：临海市产权交易所有限公司</w:t>
            </w:r>
          </w:p>
          <w:p w14:paraId="2CC599A9">
            <w:pPr>
              <w:pStyle w:val="10"/>
              <w:rPr>
                <w:rFonts w:cs="宋体"/>
                <w:kern w:val="0"/>
                <w:szCs w:val="21"/>
              </w:rPr>
            </w:pPr>
            <w:r>
              <w:rPr>
                <w:rFonts w:hint="eastAsia" w:cs="宋体"/>
                <w:kern w:val="0"/>
                <w:szCs w:val="21"/>
              </w:rPr>
              <w:t>开户行：浙江临海农村商业银行股份有限公司科技支行；</w:t>
            </w:r>
          </w:p>
          <w:p w14:paraId="70B2DAEA">
            <w:pPr>
              <w:pStyle w:val="10"/>
              <w:rPr>
                <w:rFonts w:cs="宋体"/>
                <w:kern w:val="0"/>
                <w:szCs w:val="21"/>
              </w:rPr>
            </w:pPr>
            <w:r>
              <w:rPr>
                <w:rFonts w:hint="eastAsia" w:cs="宋体"/>
                <w:kern w:val="0"/>
                <w:szCs w:val="21"/>
              </w:rPr>
              <w:t>中标服务费账号：201000105503123000004</w:t>
            </w:r>
          </w:p>
          <w:p w14:paraId="69243375">
            <w:pPr>
              <w:pStyle w:val="10"/>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47B1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trPr>
        <w:tc>
          <w:tcPr>
            <w:tcW w:w="1543" w:type="dxa"/>
            <w:gridSpan w:val="2"/>
            <w:shd w:val="clear" w:color="auto" w:fill="auto"/>
            <w:vAlign w:val="center"/>
          </w:tcPr>
          <w:p w14:paraId="47CD5701">
            <w:pPr>
              <w:jc w:val="center"/>
              <w:rPr>
                <w:rFonts w:hint="eastAsia" w:ascii="宋体" w:hAnsi="宋体" w:eastAsia="宋体" w:cs="Times New Roman"/>
                <w:b/>
                <w:bCs/>
                <w:color w:val="FF0000"/>
                <w:kern w:val="2"/>
                <w:sz w:val="24"/>
                <w:szCs w:val="24"/>
                <w:highlight w:val="none"/>
                <w:lang w:val="en-US" w:eastAsia="zh-CN" w:bidi="ar-SA"/>
              </w:rPr>
            </w:pPr>
            <w:r>
              <w:rPr>
                <w:rFonts w:hint="eastAsia" w:ascii="Calibri" w:hAnsi="宋体" w:eastAsia="宋体" w:cs="Times New Roman"/>
                <w:b/>
                <w:bCs/>
                <w:color w:val="FF0000"/>
                <w:kern w:val="0"/>
                <w:sz w:val="24"/>
                <w:szCs w:val="24"/>
                <w:highlight w:val="none"/>
                <w:lang w:val="en-US" w:eastAsia="zh-CN" w:bidi="ar-SA"/>
              </w:rPr>
              <w:t>温馨提示</w:t>
            </w:r>
          </w:p>
        </w:tc>
        <w:tc>
          <w:tcPr>
            <w:tcW w:w="7641" w:type="dxa"/>
            <w:gridSpan w:val="2"/>
            <w:shd w:val="clear" w:color="auto" w:fill="auto"/>
            <w:vAlign w:val="center"/>
          </w:tcPr>
          <w:p w14:paraId="1F243D24">
            <w:pPr>
              <w:pStyle w:val="30"/>
              <w:spacing w:line="260" w:lineRule="exact"/>
              <w:rPr>
                <w:rFonts w:hint="eastAsia" w:ascii="宋体" w:hAnsi="宋体" w:eastAsia="宋体" w:cs="宋体"/>
                <w:b/>
                <w:bCs/>
                <w:color w:val="FF0000"/>
                <w:kern w:val="0"/>
                <w:sz w:val="24"/>
                <w:szCs w:val="24"/>
                <w:highlight w:val="none"/>
                <w:lang w:val="en-US" w:eastAsia="zh-CN" w:bidi="ar-SA"/>
              </w:rPr>
            </w:pPr>
            <w:r>
              <w:rPr>
                <w:rFonts w:hint="eastAsia" w:ascii="Calibri" w:hAnsi="宋体" w:eastAsia="宋体" w:cs="Times New Roman"/>
                <w:b/>
                <w:bCs/>
                <w:color w:val="FF0000"/>
                <w:sz w:val="24"/>
                <w:szCs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A4F6C5A">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9614"/>
      <w:bookmarkStart w:id="9" w:name="_Toc10147"/>
      <w:bookmarkStart w:id="10" w:name="_Toc26109"/>
      <w:bookmarkStart w:id="11" w:name="_Toc500208463"/>
      <w:bookmarkStart w:id="12" w:name="_Toc500209412"/>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32149"/>
      <w:bookmarkStart w:id="14" w:name="_Toc4837"/>
      <w:bookmarkStart w:id="15" w:name="_Toc500208464"/>
      <w:bookmarkStart w:id="16" w:name="_Toc500209413"/>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43300581">
      <w:pPr>
        <w:pStyle w:val="10"/>
        <w:numPr>
          <w:ilvl w:val="1"/>
          <w:numId w:val="4"/>
        </w:numPr>
        <w:ind w:firstLine="420" w:firstLineChars="200"/>
      </w:pPr>
      <w:bookmarkStart w:id="22" w:name="_Toc500208466"/>
      <w:r>
        <w:rPr>
          <w:rFonts w:hint="eastAsia"/>
        </w:rPr>
        <w:t>本招标工程项目的招标方式详见本须知前附表第8项。</w:t>
      </w:r>
    </w:p>
    <w:p w14:paraId="4466B9FE">
      <w:pPr>
        <w:pStyle w:val="10"/>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6EAD255E">
      <w:pPr>
        <w:pStyle w:val="10"/>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4E41CF4A">
      <w:pPr>
        <w:pStyle w:val="10"/>
        <w:ind w:firstLine="420" w:firstLineChars="200"/>
        <w:rPr>
          <w:szCs w:val="22"/>
        </w:rPr>
      </w:pPr>
      <w:r>
        <w:rPr>
          <w:rFonts w:hint="eastAsia"/>
          <w:szCs w:val="22"/>
        </w:rPr>
        <w:t>4.1投标人与项目负责人资格要求详见本须知前附表第11项和第12项。</w:t>
      </w:r>
    </w:p>
    <w:p w14:paraId="101CFCD4">
      <w:pPr>
        <w:pStyle w:val="10"/>
        <w:ind w:firstLine="420" w:firstLineChars="200"/>
        <w:rPr>
          <w:szCs w:val="22"/>
        </w:rPr>
      </w:pPr>
      <w:r>
        <w:rPr>
          <w:rFonts w:hint="eastAsia"/>
          <w:szCs w:val="22"/>
        </w:rPr>
        <w:t>4.2投标人确定方式详见本须知前附表第13项。投标人应按规定取得交易席位资格。</w:t>
      </w:r>
    </w:p>
    <w:p w14:paraId="46267CF4">
      <w:pPr>
        <w:pStyle w:val="10"/>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10"/>
        <w:ind w:firstLine="420" w:firstLineChars="200"/>
        <w:rPr>
          <w:szCs w:val="22"/>
        </w:rPr>
      </w:pPr>
      <w:r>
        <w:rPr>
          <w:rFonts w:hint="eastAsia"/>
          <w:szCs w:val="22"/>
        </w:rPr>
        <w:t>（1）同一工程相邻分段发包或分期施工的；</w:t>
      </w:r>
    </w:p>
    <w:p w14:paraId="211E8E80">
      <w:pPr>
        <w:pStyle w:val="10"/>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10"/>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10"/>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10"/>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10"/>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10"/>
        <w:ind w:firstLine="420" w:firstLineChars="200"/>
        <w:rPr>
          <w:szCs w:val="22"/>
        </w:rPr>
      </w:pPr>
      <w:r>
        <w:rPr>
          <w:rFonts w:hint="eastAsia"/>
          <w:szCs w:val="22"/>
        </w:rPr>
        <w:t>4.4投标人有以下情形之一的，不得参加本项目投标：</w:t>
      </w:r>
    </w:p>
    <w:p w14:paraId="5765D841">
      <w:pPr>
        <w:pStyle w:val="10"/>
        <w:ind w:firstLine="315" w:firstLineChars="150"/>
        <w:rPr>
          <w:szCs w:val="22"/>
        </w:rPr>
      </w:pPr>
      <w:r>
        <w:rPr>
          <w:rFonts w:hint="eastAsia"/>
          <w:szCs w:val="22"/>
        </w:rPr>
        <w:t xml:space="preserve">（1）为招标人不具有独立法人资格的附属机构（单位）； </w:t>
      </w:r>
    </w:p>
    <w:p w14:paraId="1E347D21">
      <w:pPr>
        <w:pStyle w:val="10"/>
        <w:ind w:firstLine="315" w:firstLineChars="150"/>
        <w:rPr>
          <w:szCs w:val="22"/>
        </w:rPr>
      </w:pPr>
      <w:r>
        <w:rPr>
          <w:rFonts w:hint="eastAsia"/>
          <w:szCs w:val="22"/>
        </w:rPr>
        <w:t xml:space="preserve">（2）为本工程前期准备提供设计或咨询服务的，但设计施工总承包的除外； </w:t>
      </w:r>
    </w:p>
    <w:p w14:paraId="423D9CE8">
      <w:pPr>
        <w:pStyle w:val="10"/>
        <w:ind w:firstLine="315" w:firstLineChars="150"/>
        <w:rPr>
          <w:szCs w:val="22"/>
        </w:rPr>
      </w:pPr>
      <w:r>
        <w:rPr>
          <w:rFonts w:hint="eastAsia"/>
          <w:szCs w:val="22"/>
        </w:rPr>
        <w:t>（3）为本工程的监理人；</w:t>
      </w:r>
    </w:p>
    <w:p w14:paraId="067C2AB2">
      <w:pPr>
        <w:pStyle w:val="10"/>
        <w:ind w:firstLine="315" w:firstLineChars="150"/>
        <w:rPr>
          <w:szCs w:val="22"/>
        </w:rPr>
      </w:pPr>
      <w:r>
        <w:rPr>
          <w:rFonts w:hint="eastAsia"/>
          <w:szCs w:val="22"/>
        </w:rPr>
        <w:t xml:space="preserve">（4）为本工程的代建人； </w:t>
      </w:r>
    </w:p>
    <w:p w14:paraId="61C1995B">
      <w:pPr>
        <w:pStyle w:val="10"/>
        <w:ind w:firstLine="315" w:firstLineChars="150"/>
        <w:rPr>
          <w:szCs w:val="22"/>
        </w:rPr>
      </w:pPr>
      <w:r>
        <w:rPr>
          <w:rFonts w:hint="eastAsia"/>
          <w:szCs w:val="22"/>
        </w:rPr>
        <w:t xml:space="preserve">（5）为本工程提供招标代理服务的； </w:t>
      </w:r>
    </w:p>
    <w:p w14:paraId="1A664D6A">
      <w:pPr>
        <w:pStyle w:val="10"/>
        <w:ind w:firstLine="315" w:firstLineChars="150"/>
        <w:rPr>
          <w:szCs w:val="22"/>
        </w:rPr>
      </w:pPr>
      <w:r>
        <w:rPr>
          <w:rFonts w:hint="eastAsia"/>
          <w:szCs w:val="22"/>
        </w:rPr>
        <w:t>（6）与本工程的监理人或代建人或招标代理机构同为一个法定代表人的；</w:t>
      </w:r>
    </w:p>
    <w:p w14:paraId="69C17A97">
      <w:pPr>
        <w:pStyle w:val="10"/>
        <w:ind w:firstLine="315" w:firstLineChars="150"/>
        <w:rPr>
          <w:szCs w:val="22"/>
        </w:rPr>
      </w:pPr>
      <w:r>
        <w:rPr>
          <w:rFonts w:hint="eastAsia"/>
          <w:szCs w:val="22"/>
        </w:rPr>
        <w:t>（7）与本工程的监理人或代建人或招标代理机构相互控股或参股的；</w:t>
      </w:r>
    </w:p>
    <w:p w14:paraId="2A6487D1">
      <w:pPr>
        <w:pStyle w:val="10"/>
        <w:ind w:firstLine="315" w:firstLineChars="150"/>
        <w:rPr>
          <w:szCs w:val="22"/>
        </w:rPr>
      </w:pPr>
      <w:r>
        <w:rPr>
          <w:rFonts w:hint="eastAsia"/>
          <w:szCs w:val="22"/>
        </w:rPr>
        <w:t>（8）与本工程的监理人或代建人或招标代理机构相互任职或工作的；</w:t>
      </w:r>
    </w:p>
    <w:p w14:paraId="73FBAF22">
      <w:pPr>
        <w:pStyle w:val="10"/>
        <w:ind w:firstLine="315" w:firstLineChars="150"/>
        <w:rPr>
          <w:szCs w:val="22"/>
        </w:rPr>
      </w:pPr>
      <w:r>
        <w:rPr>
          <w:rFonts w:hint="eastAsia"/>
          <w:szCs w:val="22"/>
        </w:rPr>
        <w:t xml:space="preserve">（9）被责令停业的； </w:t>
      </w:r>
    </w:p>
    <w:p w14:paraId="5E6254B8">
      <w:pPr>
        <w:pStyle w:val="10"/>
        <w:ind w:firstLine="315" w:firstLineChars="150"/>
        <w:rPr>
          <w:szCs w:val="22"/>
        </w:rPr>
      </w:pPr>
      <w:r>
        <w:rPr>
          <w:rFonts w:hint="eastAsia"/>
          <w:szCs w:val="22"/>
        </w:rPr>
        <w:t xml:space="preserve">（10）被暂停或取消投标资格的（包括项目负责人）； </w:t>
      </w:r>
    </w:p>
    <w:p w14:paraId="62C883BC">
      <w:pPr>
        <w:pStyle w:val="10"/>
        <w:ind w:firstLine="315" w:firstLineChars="150"/>
        <w:rPr>
          <w:szCs w:val="22"/>
        </w:rPr>
      </w:pPr>
      <w:r>
        <w:rPr>
          <w:rFonts w:hint="eastAsia"/>
          <w:szCs w:val="22"/>
        </w:rPr>
        <w:t>（11）安全生产许可证超出有效期或处于暂扣时限内的；</w:t>
      </w:r>
    </w:p>
    <w:p w14:paraId="26FF2842">
      <w:pPr>
        <w:pStyle w:val="10"/>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10"/>
        <w:ind w:firstLine="315" w:firstLineChars="150"/>
        <w:rPr>
          <w:szCs w:val="22"/>
        </w:rPr>
      </w:pPr>
      <w:r>
        <w:rPr>
          <w:rFonts w:hint="eastAsia"/>
          <w:szCs w:val="22"/>
        </w:rPr>
        <w:t>（13）投标人及相关管理人员（包括项目负责人）安全生产任职资格不符合相关规定；</w:t>
      </w:r>
    </w:p>
    <w:p w14:paraId="424D4EC9">
      <w:pPr>
        <w:pStyle w:val="10"/>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10"/>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61198C57">
      <w:pPr>
        <w:pStyle w:val="10"/>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6EDC9419">
      <w:pPr>
        <w:pStyle w:val="10"/>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10"/>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10"/>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24275"/>
      <w:bookmarkStart w:id="32" w:name="_Toc500208467"/>
      <w:bookmarkStart w:id="33" w:name="_Toc500209414"/>
      <w:bookmarkStart w:id="34" w:name="_Toc20890"/>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500208468"/>
      <w:bookmarkStart w:id="37" w:name="_Toc155342536"/>
      <w:r>
        <w:rPr>
          <w:rFonts w:hint="eastAsia" w:ascii="黑体" w:hAnsi="宋体" w:eastAsia="黑体"/>
          <w:b/>
          <w:sz w:val="21"/>
        </w:rPr>
        <w:t>招标文件的组成</w:t>
      </w:r>
      <w:bookmarkEnd w:id="35"/>
      <w:bookmarkEnd w:id="36"/>
      <w:bookmarkEnd w:id="37"/>
    </w:p>
    <w:p w14:paraId="632C88BC">
      <w:pPr>
        <w:pStyle w:val="10"/>
        <w:numPr>
          <w:ilvl w:val="1"/>
          <w:numId w:val="4"/>
        </w:numPr>
        <w:ind w:firstLine="420" w:firstLineChars="200"/>
      </w:pPr>
      <w:r>
        <w:rPr>
          <w:rFonts w:hint="eastAsia"/>
        </w:rPr>
        <w:t>招标文件包括下列内容：</w:t>
      </w:r>
    </w:p>
    <w:p w14:paraId="7970A8FA">
      <w:pPr>
        <w:pStyle w:val="10"/>
        <w:ind w:firstLine="420" w:firstLineChars="200"/>
      </w:pPr>
      <w:r>
        <w:rPr>
          <w:rFonts w:hint="eastAsia"/>
        </w:rPr>
        <w:t>第一章 投标须知及投标须知前附表；</w:t>
      </w:r>
    </w:p>
    <w:p w14:paraId="58630693">
      <w:pPr>
        <w:pStyle w:val="10"/>
        <w:ind w:firstLine="420" w:firstLineChars="200"/>
      </w:pPr>
      <w:r>
        <w:rPr>
          <w:rFonts w:hint="eastAsia"/>
        </w:rPr>
        <w:t>第二章 合同条款；</w:t>
      </w:r>
    </w:p>
    <w:p w14:paraId="4C08E461">
      <w:pPr>
        <w:pStyle w:val="10"/>
        <w:ind w:firstLine="420" w:firstLineChars="200"/>
      </w:pPr>
      <w:r>
        <w:rPr>
          <w:rFonts w:hint="eastAsia"/>
        </w:rPr>
        <w:t>第三章 评标办法；</w:t>
      </w:r>
    </w:p>
    <w:p w14:paraId="2F72814B">
      <w:pPr>
        <w:pStyle w:val="10"/>
        <w:ind w:firstLine="422" w:firstLineChars="200"/>
        <w:rPr>
          <w:b/>
        </w:rPr>
      </w:pPr>
      <w:r>
        <w:rPr>
          <w:rFonts w:hint="eastAsia"/>
          <w:b/>
        </w:rPr>
        <w:t>第四章 投标文件格式；</w:t>
      </w:r>
    </w:p>
    <w:p w14:paraId="24A68877">
      <w:pPr>
        <w:pStyle w:val="10"/>
        <w:ind w:firstLine="422" w:firstLineChars="200"/>
        <w:rPr>
          <w:b/>
        </w:rPr>
      </w:pPr>
      <w:r>
        <w:rPr>
          <w:rFonts w:hint="eastAsia"/>
          <w:b/>
        </w:rPr>
        <w:t>其他附件材料：</w:t>
      </w:r>
    </w:p>
    <w:p w14:paraId="5E7D6ABF">
      <w:pPr>
        <w:pStyle w:val="10"/>
        <w:ind w:firstLine="422" w:firstLineChars="200"/>
        <w:rPr>
          <w:b/>
        </w:rPr>
      </w:pPr>
      <w:r>
        <w:rPr>
          <w:rFonts w:hint="eastAsia"/>
          <w:b/>
        </w:rPr>
        <w:t>（1）预算书（以下简称招标人预算书）；</w:t>
      </w:r>
    </w:p>
    <w:p w14:paraId="15000CFC">
      <w:pPr>
        <w:pStyle w:val="10"/>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10"/>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10"/>
        <w:numPr>
          <w:ilvl w:val="1"/>
          <w:numId w:val="4"/>
        </w:numPr>
        <w:ind w:firstLine="420" w:firstLineChars="200"/>
      </w:pPr>
      <w:r>
        <w:rPr>
          <w:rFonts w:hint="eastAsia"/>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69487786"/>
      <w:bookmarkStart w:id="43" w:name="_Toc155342538"/>
      <w:r>
        <w:rPr>
          <w:rFonts w:hint="eastAsia" w:ascii="黑体" w:hAnsi="宋体" w:eastAsia="黑体"/>
          <w:b/>
          <w:sz w:val="21"/>
        </w:rPr>
        <w:t>招标文件的修改</w:t>
      </w:r>
      <w:bookmarkEnd w:id="41"/>
      <w:bookmarkEnd w:id="42"/>
      <w:bookmarkEnd w:id="43"/>
    </w:p>
    <w:p w14:paraId="7A4B3B48">
      <w:pPr>
        <w:pStyle w:val="10"/>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10"/>
        <w:spacing w:line="360" w:lineRule="exact"/>
        <w:ind w:left="425"/>
      </w:pPr>
      <w:r>
        <w:rPr>
          <w:rFonts w:hint="eastAsia"/>
        </w:rPr>
        <w:t>10.2在投标截止日期前，招标人可能以补充通知的方式修改招标文件。</w:t>
      </w:r>
    </w:p>
    <w:p w14:paraId="02D4E9DC">
      <w:pPr>
        <w:pStyle w:val="10"/>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10"/>
        <w:ind w:left="421"/>
      </w:pPr>
      <w:r>
        <w:rPr>
          <w:rFonts w:hint="eastAsia"/>
        </w:rPr>
        <w:t>10.4招标文件的澄清、修改、补充等内容将发布在交易场所（发布招标公告的媒体上），这些内容作为招标文件的组成部分，对投标人起约束作用。</w:t>
      </w:r>
    </w:p>
    <w:p w14:paraId="053AA06E">
      <w:pPr>
        <w:pStyle w:val="10"/>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10"/>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314D3623">
      <w:pPr>
        <w:pStyle w:val="10"/>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20604"/>
      <w:bookmarkStart w:id="49" w:name="_Toc500209416"/>
      <w:bookmarkStart w:id="50" w:name="_Toc500208475"/>
      <w:bookmarkStart w:id="51" w:name="_Toc7036"/>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55342542"/>
      <w:bookmarkStart w:id="53" w:name="_Toc169487790"/>
      <w:bookmarkStart w:id="54" w:name="_Toc69095786"/>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65E5E954">
      <w:pPr>
        <w:pStyle w:val="10"/>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4E3176FB">
      <w:pPr>
        <w:pStyle w:val="10"/>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232C19D2">
      <w:pPr>
        <w:pStyle w:val="10"/>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10"/>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5D1E1E28">
      <w:pPr>
        <w:pStyle w:val="10"/>
        <w:numPr>
          <w:ilvl w:val="1"/>
          <w:numId w:val="4"/>
        </w:numPr>
        <w:ind w:firstLine="420" w:firstLineChars="200"/>
      </w:pPr>
      <w:r>
        <w:rPr>
          <w:rFonts w:hint="eastAsia"/>
        </w:rPr>
        <w:t>招标人预算书按照</w:t>
      </w:r>
      <w:r>
        <w:rPr>
          <w:rFonts w:hint="eastAsia" w:ascii="宋体" w:hAnsi="宋体"/>
          <w:color w:val="auto"/>
          <w:kern w:val="28"/>
          <w:lang w:val="zh-CN"/>
        </w:rPr>
        <w:t>《浙江省建设工程计价规则》（2018版）、</w:t>
      </w:r>
      <w:r>
        <w:rPr>
          <w:rFonts w:hint="eastAsia" w:ascii="宋体" w:hAnsi="宋体" w:eastAsia="宋体" w:cs="宋体"/>
          <w:sz w:val="21"/>
          <w:szCs w:val="21"/>
          <w:u w:val="none"/>
          <w:lang w:eastAsia="zh-CN"/>
        </w:rPr>
        <w:t>《</w:t>
      </w:r>
      <w:r>
        <w:rPr>
          <w:rFonts w:hint="eastAsia"/>
          <w:color w:val="auto"/>
          <w:kern w:val="28"/>
          <w:lang w:val="zh-CN"/>
        </w:rPr>
        <w:t>浙江省房屋建筑与装饰工程预算定额》（2018版）</w:t>
      </w:r>
      <w:r>
        <w:rPr>
          <w:rFonts w:hint="eastAsia" w:ascii="宋体" w:hAnsi="宋体"/>
          <w:color w:val="auto"/>
          <w:kern w:val="28"/>
          <w:lang w:val="zh-CN"/>
        </w:rPr>
        <w:t>、</w:t>
      </w:r>
      <w:r>
        <w:rPr>
          <w:rFonts w:hint="eastAsia" w:ascii="宋体" w:hAnsi="宋体" w:eastAsia="宋体" w:cs="宋体"/>
          <w:sz w:val="21"/>
          <w:szCs w:val="21"/>
          <w:u w:val="none"/>
          <w:lang w:eastAsia="zh-CN"/>
        </w:rPr>
        <w:t>《浙江省通用安装工程预算定额》（2018版）、</w:t>
      </w:r>
      <w:r>
        <w:rPr>
          <w:rFonts w:hint="eastAsia" w:ascii="宋体" w:hAnsi="宋体"/>
          <w:color w:val="auto"/>
          <w:kern w:val="28"/>
          <w:lang w:val="zh-CN"/>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color w:val="auto"/>
          <w:kern w:val="28"/>
          <w:lang w:val="zh-CN" w:eastAsia="zh-CN"/>
        </w:rPr>
        <w:t>。</w:t>
      </w:r>
      <w:r>
        <w:rPr>
          <w:rFonts w:hint="eastAsia"/>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10"/>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10"/>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10"/>
        <w:numPr>
          <w:ilvl w:val="1"/>
          <w:numId w:val="4"/>
        </w:numPr>
        <w:ind w:firstLine="420" w:firstLineChars="200"/>
      </w:pPr>
      <w:r>
        <w:rPr>
          <w:rFonts w:hint="eastAsia"/>
        </w:rPr>
        <w:t>投标人在递交投标文件的同时，应按投标人须知前附表规定递交担保。</w:t>
      </w:r>
    </w:p>
    <w:p w14:paraId="21ECC178">
      <w:pPr>
        <w:pStyle w:val="10"/>
        <w:numPr>
          <w:ilvl w:val="1"/>
          <w:numId w:val="4"/>
        </w:numPr>
        <w:ind w:firstLine="420" w:firstLineChars="200"/>
      </w:pPr>
      <w:r>
        <w:rPr>
          <w:rFonts w:hint="eastAsia"/>
        </w:rPr>
        <w:t>投标人未能按本章17.1项要求提交投标担保的，招标人将视为不响应投标而予以拒绝。</w:t>
      </w:r>
    </w:p>
    <w:p w14:paraId="61A2D76A">
      <w:pPr>
        <w:pStyle w:val="10"/>
        <w:numPr>
          <w:ilvl w:val="1"/>
          <w:numId w:val="4"/>
        </w:numPr>
        <w:ind w:firstLine="420" w:firstLineChars="200"/>
      </w:pPr>
      <w:r>
        <w:rPr>
          <w:rFonts w:hint="eastAsia"/>
        </w:rPr>
        <w:t>投标担保按以下方式退还：</w:t>
      </w:r>
    </w:p>
    <w:p w14:paraId="53D5FDA1">
      <w:pPr>
        <w:pStyle w:val="10"/>
        <w:ind w:firstLine="420" w:firstLineChars="200"/>
      </w:pPr>
      <w:r>
        <w:rPr>
          <w:rFonts w:hint="eastAsia"/>
        </w:rPr>
        <w:t>（1）未中标人投标保证金在中标公告发布后可退回；</w:t>
      </w:r>
    </w:p>
    <w:p w14:paraId="56937923">
      <w:pPr>
        <w:pStyle w:val="10"/>
        <w:ind w:firstLine="420" w:firstLineChars="200"/>
      </w:pPr>
      <w:r>
        <w:rPr>
          <w:rFonts w:hint="eastAsia"/>
        </w:rPr>
        <w:t>（2）中标人的投标保证金在缴纳履约保证金和签订合同后退回。</w:t>
      </w:r>
    </w:p>
    <w:p w14:paraId="3F4A539E">
      <w:pPr>
        <w:pStyle w:val="10"/>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410D32C1">
      <w:pPr>
        <w:pStyle w:val="10"/>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10"/>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0EE5FED6">
      <w:pPr>
        <w:pStyle w:val="10"/>
        <w:numPr>
          <w:ilvl w:val="1"/>
          <w:numId w:val="4"/>
        </w:numPr>
        <w:ind w:firstLine="420" w:firstLineChars="200"/>
      </w:pPr>
      <w:r>
        <w:rPr>
          <w:rFonts w:hint="eastAsia"/>
        </w:rPr>
        <w:t>投标人按本须知前附表第20项规定的份数递交投标文件。</w:t>
      </w:r>
    </w:p>
    <w:p w14:paraId="6B3DFECC">
      <w:pPr>
        <w:pStyle w:val="10"/>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500209417"/>
      <w:bookmarkStart w:id="74" w:name="_Toc500208480"/>
      <w:bookmarkStart w:id="75" w:name="_Toc21258"/>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投标文件的递交</w:t>
      </w:r>
      <w:bookmarkEnd w:id="76"/>
      <w:bookmarkEnd w:id="77"/>
    </w:p>
    <w:p w14:paraId="038E1273">
      <w:pPr>
        <w:pStyle w:val="10"/>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5DAA1DB8">
      <w:pPr>
        <w:pStyle w:val="10"/>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10"/>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10"/>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9012"/>
      <w:bookmarkStart w:id="82" w:name="_Toc500209418"/>
      <w:bookmarkStart w:id="83" w:name="_Toc500208484"/>
      <w:bookmarkStart w:id="84" w:name="_Toc1579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155342556"/>
      <w:bookmarkStart w:id="87" w:name="_Toc500208485"/>
      <w:r>
        <w:rPr>
          <w:rFonts w:hint="eastAsia" w:ascii="黑体" w:hAnsi="宋体" w:eastAsia="黑体"/>
          <w:b/>
          <w:sz w:val="21"/>
        </w:rPr>
        <w:t>开标</w:t>
      </w:r>
      <w:bookmarkEnd w:id="85"/>
      <w:bookmarkEnd w:id="86"/>
      <w:bookmarkEnd w:id="87"/>
    </w:p>
    <w:p w14:paraId="6AD95578">
      <w:pPr>
        <w:pStyle w:val="10"/>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10"/>
        <w:numPr>
          <w:ilvl w:val="1"/>
          <w:numId w:val="4"/>
        </w:numPr>
        <w:ind w:firstLine="420" w:firstLineChars="200"/>
      </w:pPr>
      <w:r>
        <w:rPr>
          <w:rFonts w:hint="eastAsia"/>
        </w:rPr>
        <w:t>开标会议由招标人组织并主持。</w:t>
      </w:r>
    </w:p>
    <w:p w14:paraId="4015B3F5">
      <w:pPr>
        <w:pStyle w:val="10"/>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10"/>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500209419"/>
      <w:bookmarkStart w:id="91" w:name="_Toc15849"/>
      <w:bookmarkStart w:id="92" w:name="_Toc500208488"/>
      <w:bookmarkStart w:id="93" w:name="_Toc31728"/>
      <w:bookmarkStart w:id="94" w:name="_Toc500209420"/>
      <w:bookmarkStart w:id="95" w:name="_Toc500208495"/>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500208489"/>
      <w:bookmarkStart w:id="98" w:name="_Toc169487806"/>
      <w:r>
        <w:rPr>
          <w:rFonts w:hint="eastAsia" w:ascii="黑体" w:hAnsi="宋体" w:eastAsia="黑体"/>
          <w:b/>
          <w:sz w:val="21"/>
        </w:rPr>
        <w:t>评标会议</w:t>
      </w:r>
      <w:bookmarkEnd w:id="96"/>
      <w:bookmarkEnd w:id="97"/>
      <w:bookmarkEnd w:id="98"/>
    </w:p>
    <w:p w14:paraId="1A89329D">
      <w:pPr>
        <w:pStyle w:val="10"/>
        <w:numPr>
          <w:ilvl w:val="1"/>
          <w:numId w:val="4"/>
        </w:numPr>
        <w:ind w:firstLine="420" w:firstLineChars="200"/>
      </w:pPr>
      <w:r>
        <w:t>评标委员会由招标人依法组建，负责评标活动。</w:t>
      </w:r>
    </w:p>
    <w:p w14:paraId="0070B080">
      <w:pPr>
        <w:pStyle w:val="10"/>
        <w:numPr>
          <w:ilvl w:val="1"/>
          <w:numId w:val="4"/>
        </w:numPr>
        <w:ind w:firstLine="420" w:firstLineChars="200"/>
      </w:pPr>
      <w:r>
        <w:t>开标结束后，开始评标，评标采用保密方式进行。</w:t>
      </w:r>
    </w:p>
    <w:p w14:paraId="46C781F5">
      <w:pPr>
        <w:pStyle w:val="10"/>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10"/>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10"/>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10"/>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7146916A">
      <w:pPr>
        <w:pStyle w:val="10"/>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10"/>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10"/>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10"/>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84B07F6">
      <w:pPr>
        <w:pStyle w:val="10"/>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10"/>
        <w:ind w:firstLine="420" w:firstLineChars="200"/>
      </w:pPr>
      <w:r>
        <w:rPr>
          <w:rFonts w:hint="eastAsia"/>
          <w:bCs/>
        </w:rPr>
        <w:t>（1）经商务标修正后，属招标文件报价要求或商务标的修正中规定</w:t>
      </w:r>
      <w:r>
        <w:rPr>
          <w:rFonts w:hint="eastAsia"/>
        </w:rPr>
        <w:t>作无效标处理的；</w:t>
      </w:r>
    </w:p>
    <w:p w14:paraId="0F649975">
      <w:pPr>
        <w:pStyle w:val="10"/>
        <w:ind w:firstLine="420" w:firstLineChars="200"/>
      </w:pPr>
      <w:r>
        <w:rPr>
          <w:rFonts w:hint="eastAsia"/>
          <w:bCs/>
        </w:rPr>
        <w:t>（2）招标文件中</w:t>
      </w:r>
      <w:r>
        <w:rPr>
          <w:rFonts w:hint="eastAsia"/>
        </w:rPr>
        <w:t>其他内容明确规定作无效标的。</w:t>
      </w:r>
    </w:p>
    <w:p w14:paraId="764825F2">
      <w:pPr>
        <w:pStyle w:val="10"/>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E105C79">
      <w:pPr>
        <w:pStyle w:val="10"/>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10"/>
        <w:numPr>
          <w:ilvl w:val="1"/>
          <w:numId w:val="4"/>
        </w:numPr>
        <w:ind w:firstLine="420" w:firstLineChars="200"/>
      </w:pPr>
      <w:bookmarkStart w:id="116" w:name="_Toc169487815"/>
      <w:bookmarkStart w:id="117" w:name="_Toc155342568"/>
      <w:r>
        <w:rPr>
          <w:rFonts w:hint="eastAsia"/>
        </w:rPr>
        <w:t>招标人应当将评标委员会推荐的中标候选人在交易场所（发布招标公告的媒体上）进行公示，公示期不得少于1个工作日。</w:t>
      </w:r>
    </w:p>
    <w:p w14:paraId="7B0769C2">
      <w:pPr>
        <w:pStyle w:val="10"/>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10"/>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10"/>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10"/>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10"/>
        <w:numPr>
          <w:ilvl w:val="1"/>
          <w:numId w:val="4"/>
        </w:numPr>
        <w:ind w:firstLine="420" w:firstLineChars="200"/>
      </w:pPr>
      <w:r>
        <w:rPr>
          <w:rFonts w:hint="eastAsia"/>
          <w:szCs w:val="32"/>
        </w:rPr>
        <w:t>中标人确定后，招标人应当向中标人发出《建设工程中标通知书》。</w:t>
      </w:r>
    </w:p>
    <w:p w14:paraId="3728C25F">
      <w:pPr>
        <w:pStyle w:val="10"/>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10"/>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10"/>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10"/>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10"/>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10"/>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169487823"/>
      <w:bookmarkStart w:id="124" w:name="_Toc386121568"/>
      <w:bookmarkStart w:id="125" w:name="_Toc386121757"/>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9"/>
        <w:outlineLvl w:val="0"/>
        <w:rPr>
          <w:rFonts w:ascii="黑体" w:hAnsi="黑体" w:eastAsia="黑体"/>
          <w:b/>
          <w:sz w:val="32"/>
          <w:szCs w:val="32"/>
        </w:rPr>
      </w:pPr>
      <w:bookmarkStart w:id="126" w:name="_Toc20217"/>
      <w:bookmarkStart w:id="127" w:name="_Toc484683196"/>
      <w:bookmarkStart w:id="128" w:name="_Toc561"/>
    </w:p>
    <w:p w14:paraId="209CC9B4">
      <w:pPr>
        <w:pStyle w:val="9"/>
        <w:outlineLvl w:val="0"/>
        <w:rPr>
          <w:rFonts w:ascii="黑体" w:hAnsi="黑体" w:eastAsia="黑体"/>
          <w:b/>
          <w:sz w:val="32"/>
          <w:szCs w:val="32"/>
        </w:rPr>
      </w:pPr>
    </w:p>
    <w:p w14:paraId="1D914C2A">
      <w:pPr>
        <w:pStyle w:val="9"/>
        <w:outlineLvl w:val="0"/>
        <w:rPr>
          <w:rFonts w:ascii="黑体" w:hAnsi="黑体" w:eastAsia="黑体"/>
          <w:b/>
          <w:sz w:val="32"/>
          <w:szCs w:val="32"/>
        </w:rPr>
      </w:pPr>
    </w:p>
    <w:p w14:paraId="4202E450">
      <w:pPr>
        <w:pStyle w:val="9"/>
        <w:outlineLvl w:val="0"/>
        <w:rPr>
          <w:rFonts w:ascii="黑体" w:hAnsi="黑体" w:eastAsia="黑体"/>
          <w:b/>
          <w:sz w:val="32"/>
          <w:szCs w:val="32"/>
        </w:rPr>
      </w:pPr>
    </w:p>
    <w:p w14:paraId="24171D8C">
      <w:pPr>
        <w:pStyle w:val="9"/>
        <w:outlineLvl w:val="0"/>
        <w:rPr>
          <w:rFonts w:ascii="黑体" w:hAnsi="黑体" w:eastAsia="黑体"/>
          <w:b/>
          <w:sz w:val="32"/>
          <w:szCs w:val="32"/>
        </w:rPr>
      </w:pPr>
    </w:p>
    <w:bookmarkEnd w:id="126"/>
    <w:bookmarkEnd w:id="127"/>
    <w:p w14:paraId="77A785CB">
      <w:pPr>
        <w:pStyle w:val="9"/>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1"/>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511741122"/>
      <w:bookmarkStart w:id="130" w:name="_Toc267580969"/>
      <w:bookmarkStart w:id="131" w:name="_Toc239477934"/>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临海市回浦实验小学</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回浦实验小学教学楼改造工程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回浦实验小学教学楼改造工程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val="en-US" w:eastAsia="zh-CN"/>
        </w:rPr>
        <w:t>临海市回浦实验小学</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w:t>
      </w:r>
    </w:p>
    <w:p w14:paraId="2352348A">
      <w:pPr>
        <w:spacing w:line="440" w:lineRule="exact"/>
        <w:ind w:firstLine="404" w:firstLineChars="196"/>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val="en-US" w:eastAsia="zh-CN"/>
        </w:rPr>
        <w:t>本工程为教学楼一层、二层完整走廊系统及休息间。包含地面翻新、顶面天花及灯具、非遗手工主题展示柜体，课间休憩坐凳、二楼断桥窗更换、墙面瓷砖、冰火板等。</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回浦实验小学教学楼改造工程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3E3F2370">
      <w:pPr>
        <w:autoSpaceDE w:val="0"/>
        <w:autoSpaceDN w:val="0"/>
        <w:adjustRightInd w:val="0"/>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rPr>
        <w:t>《浙江省建设工程计价规则》（2018版）、</w:t>
      </w:r>
      <w:r>
        <w:rPr>
          <w:rFonts w:hint="eastAsia" w:ascii="宋体" w:hAnsi="宋体" w:eastAsia="宋体" w:cs="宋体"/>
          <w:sz w:val="21"/>
          <w:szCs w:val="21"/>
          <w:u w:val="single"/>
          <w:lang w:eastAsia="zh-CN"/>
        </w:rPr>
        <w:t>《浙江省房屋建筑与装饰工程预算定额》（2018版）</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《浙江省通用安装工程预算定额》（2018版）、</w:t>
      </w:r>
      <w:r>
        <w:rPr>
          <w:rFonts w:hint="eastAsia" w:ascii="宋体" w:hAnsi="宋体" w:eastAsia="宋体" w:cs="宋体"/>
          <w:sz w:val="21"/>
          <w:szCs w:val="21"/>
          <w:u w:val="single"/>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u w:val="single"/>
          <w:lang w:eastAsia="zh-CN"/>
        </w:rPr>
        <w:t>。</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（1）材料品牌、规格和使用要求：按招标文件（相应）技术标准和要求执行。</w:t>
      </w:r>
    </w:p>
    <w:p w14:paraId="73F099C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rPr>
        <w:t>（2）本工程已确定承包价的建筑材料均由承包人自行询价、采购、运输和保管。</w:t>
      </w:r>
      <w:r>
        <w:rPr>
          <w:rFonts w:hint="eastAsia" w:ascii="宋体" w:hAnsi="宋体" w:eastAsia="宋体" w:cs="宋体"/>
          <w:color w:val="auto"/>
          <w:sz w:val="21"/>
          <w:szCs w:val="21"/>
          <w:highlight w:val="none"/>
          <w:u w:val="single"/>
        </w:rPr>
        <w:t>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lang w:val="en-US" w:eastAsia="zh-CN"/>
        </w:rPr>
        <w:t>人工、材料结算价格按以下方法调整。本条约定的调整时间均为在施工工期范围内。人工（含机上人工）调整的差价部分只计取税金及民工工伤保险费。</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2"/>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76265601">
      <w:pPr>
        <w:pStyle w:val="12"/>
        <w:widowControl/>
        <w:numPr>
          <w:ilvl w:val="0"/>
          <w:numId w:val="8"/>
        </w:numPr>
        <w:adjustRightInd w:val="0"/>
        <w:spacing w:line="400" w:lineRule="exact"/>
        <w:ind w:firstLine="412" w:firstLineChars="200"/>
        <w:rPr>
          <w:rFonts w:hint="eastAsia" w:hAnsi="宋体" w:eastAsia="宋体" w:cs="宋体"/>
          <w:kern w:val="0"/>
          <w:sz w:val="21"/>
          <w:szCs w:val="21"/>
          <w:highlight w:val="none"/>
          <w:u w:val="single"/>
        </w:rPr>
      </w:pPr>
      <w:r>
        <w:rPr>
          <w:rFonts w:hint="eastAsia" w:ascii="宋体" w:hAnsi="宋体" w:eastAsia="宋体" w:cs="宋体"/>
          <w:sz w:val="21"/>
          <w:szCs w:val="21"/>
          <w:highlight w:val="none"/>
          <w:u w:val="single"/>
        </w:rPr>
        <w:t>《浙江省建设工程计价规则》（2018版）、《</w:t>
      </w:r>
      <w:r>
        <w:rPr>
          <w:rFonts w:hint="eastAsia" w:hAnsi="宋体" w:eastAsia="宋体" w:cs="宋体"/>
          <w:sz w:val="21"/>
          <w:szCs w:val="21"/>
          <w:highlight w:val="none"/>
          <w:u w:val="single"/>
          <w:lang w:eastAsia="zh-CN"/>
        </w:rPr>
        <w:t>浙江省房屋建筑与装饰工程预算定额》（2018版）</w:t>
      </w:r>
      <w:r>
        <w:rPr>
          <w:rFonts w:hint="eastAsia" w:ascii="宋体" w:hAnsi="宋体" w:eastAsia="宋体" w:cs="宋体"/>
          <w:sz w:val="21"/>
          <w:szCs w:val="21"/>
          <w:highlight w:val="none"/>
          <w:u w:val="single"/>
        </w:rPr>
        <w:t>、</w:t>
      </w:r>
      <w:r>
        <w:rPr>
          <w:rFonts w:hint="eastAsia" w:ascii="宋体" w:hAnsi="宋体" w:eastAsia="宋体" w:cs="宋体"/>
          <w:sz w:val="21"/>
          <w:szCs w:val="21"/>
          <w:u w:val="single"/>
          <w:lang w:eastAsia="zh-CN"/>
        </w:rPr>
        <w:t>《浙江省通用安装工程预算定额》（2018版）、</w:t>
      </w:r>
      <w:r>
        <w:rPr>
          <w:rFonts w:hint="eastAsia" w:ascii="宋体" w:hAnsi="宋体" w:eastAsia="宋体" w:cs="宋体"/>
          <w:sz w:val="21"/>
          <w:szCs w:val="21"/>
          <w:highlight w:val="none"/>
          <w:u w:val="single"/>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highlight w:val="none"/>
          <w:u w:val="single"/>
          <w:lang w:eastAsia="zh-CN"/>
        </w:rPr>
        <w:t>。</w:t>
      </w:r>
      <w:r>
        <w:rPr>
          <w:rFonts w:hint="eastAsia" w:hAnsi="宋体" w:eastAsia="宋体" w:cs="宋体"/>
          <w:kern w:val="0"/>
          <w:sz w:val="21"/>
          <w:szCs w:val="21"/>
          <w:highlight w:val="none"/>
          <w:u w:val="single"/>
        </w:rPr>
        <w:t>采用定额清单(浙江2018版) 计算工程造价，及工程所在地现行的有关工程造价方面规定及发包人提供的预算编制说明中规定的工程量计算规则计算，由承包人计量、发包人及有关部门审核。</w:t>
      </w:r>
    </w:p>
    <w:p w14:paraId="3C195D72">
      <w:pPr>
        <w:pStyle w:val="12"/>
        <w:widowControl/>
        <w:numPr>
          <w:ilvl w:val="0"/>
          <w:numId w:val="0"/>
        </w:numPr>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（2）工程结算率：           ；</w:t>
      </w:r>
    </w:p>
    <w:p w14:paraId="54A92501">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（3）施工组织措施项目内容及对应费率：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09CDBB79">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（4）规费费率：</w:t>
      </w:r>
      <w:r>
        <w:rPr>
          <w:rFonts w:hint="eastAsia" w:hAnsi="宋体" w:eastAsia="宋体"/>
          <w:color w:val="000000"/>
          <w:sz w:val="21"/>
          <w:u w:val="single"/>
        </w:rPr>
        <w:t>按预算书相应费率</w:t>
      </w:r>
      <w:r>
        <w:rPr>
          <w:rFonts w:hint="eastAsia" w:hAnsi="宋体" w:eastAsia="宋体" w:cs="宋体"/>
          <w:kern w:val="0"/>
          <w:sz w:val="21"/>
          <w:szCs w:val="21"/>
          <w:u w:val="single"/>
        </w:rPr>
        <w:t>；税金税率：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382591B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（5）企业管理费、利润、施工组织措施费、规费的计算基数为人工及机械台班费，基数中单价按人工、机械台班的定额单价计算；</w:t>
      </w:r>
    </w:p>
    <w:p w14:paraId="0C59155B">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（6）签证确定的某个施工内容的施工价（或工料机完全价）仅计算税金及工伤保险费，不纳入工程下浮率（或结算率计算）。</w:t>
      </w:r>
    </w:p>
    <w:p w14:paraId="7DA75BD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无承包价（暂定价）或工程变更新增的单项材料、设备、专业分包工程由发包人签证或招标确定的价格，不纳入工程下浮率（或结算率）计算；</w:t>
      </w:r>
    </w:p>
    <w:p w14:paraId="5073D440">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（7）计日工综合单价（工数经发包人签证，综合单价按技术工260元/工日、普工180元/工日计取）；该项费用仅另计算税金。</w:t>
      </w:r>
    </w:p>
    <w:p w14:paraId="125457E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（8）其他可能发生的费用：</w:t>
      </w:r>
    </w:p>
    <w:p w14:paraId="3F8BADCE">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2"/>
        <w:widowControl/>
        <w:adjustRightInd w:val="0"/>
        <w:spacing w:line="400" w:lineRule="exact"/>
        <w:ind w:firstLine="412" w:firstLineChars="200"/>
        <w:rPr>
          <w:rFonts w:hint="eastAsia" w:hAnsi="宋体" w:eastAsia="宋体" w:cs="宋体"/>
          <w:kern w:val="0"/>
          <w:sz w:val="21"/>
          <w:szCs w:val="21"/>
          <w:u w:val="single"/>
        </w:rPr>
      </w:pPr>
      <w:r>
        <w:rPr>
          <w:rFonts w:hint="eastAsia" w:hAnsi="宋体" w:eastAsia="宋体" w:cs="宋体"/>
          <w:kern w:val="0"/>
          <w:sz w:val="21"/>
          <w:szCs w:val="21"/>
          <w:u w:val="single"/>
        </w:rPr>
        <w:t>b.实际施工中可能发生街道管理费、干扰费、环保费、占道押金等其它管理费。</w:t>
      </w:r>
    </w:p>
    <w:p w14:paraId="2B00F686">
      <w:pPr>
        <w:spacing w:line="400" w:lineRule="exact"/>
        <w:ind w:firstLine="412" w:firstLineChars="200"/>
        <w:rPr>
          <w:rFonts w:hint="eastAsia"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lang w:val="en-US" w:eastAsia="zh-CN"/>
        </w:rPr>
        <w:t>c.本工程的垃圾清理外运，工程量按实计，由承包人按招标控制价编制依据计算综合单价，乘以工程结算率结算。</w:t>
      </w:r>
    </w:p>
    <w:p w14:paraId="34D9918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sz w:val="21"/>
          <w:szCs w:val="21"/>
          <w:highlight w:val="lightGray"/>
          <w:u w:val="single"/>
        </w:rPr>
      </w:pPr>
      <w:r>
        <w:rPr>
          <w:rFonts w:hint="eastAsia" w:ascii="宋体" w:hAnsi="宋体" w:eastAsia="宋体" w:cs="宋体"/>
          <w:sz w:val="21"/>
          <w:szCs w:val="21"/>
          <w:highlight w:val="none"/>
          <w:u w:val="single"/>
          <w:lang w:val="zh-CN"/>
        </w:rPr>
        <w:t>（1）工程量按照专用合同条款12.3.1条规定</w:t>
      </w:r>
      <w:r>
        <w:rPr>
          <w:rFonts w:hint="eastAsia" w:ascii="宋体" w:hAnsi="宋体" w:eastAsia="宋体" w:cs="宋体"/>
          <w:sz w:val="21"/>
          <w:szCs w:val="21"/>
          <w:highlight w:val="none"/>
          <w:u w:val="single"/>
        </w:rPr>
        <w:t>，由承包人计量、发包人及有关部门审核。</w:t>
      </w:r>
    </w:p>
    <w:p w14:paraId="61163057">
      <w:pPr>
        <w:autoSpaceDE w:val="0"/>
        <w:autoSpaceDN w:val="0"/>
        <w:spacing w:line="400" w:lineRule="exact"/>
        <w:ind w:firstLine="412" w:firstLineChars="200"/>
        <w:rPr>
          <w:rFonts w:ascii="宋体" w:hAnsi="宋体" w:eastAsia="宋体" w:cs="宋体"/>
          <w:sz w:val="21"/>
          <w:szCs w:val="21"/>
          <w:u w:val="single"/>
          <w:lang w:val="zh-CN"/>
        </w:rPr>
      </w:pPr>
      <w:r>
        <w:rPr>
          <w:rFonts w:hint="eastAsia" w:ascii="宋体" w:hAnsi="宋体" w:eastAsia="宋体" w:cs="宋体"/>
          <w:sz w:val="21"/>
          <w:szCs w:val="21"/>
          <w:u w:val="single"/>
        </w:rPr>
        <w:t>（2）</w:t>
      </w:r>
      <w:r>
        <w:rPr>
          <w:rFonts w:hint="eastAsia" w:ascii="宋体" w:hAnsi="宋体" w:eastAsia="宋体" w:cs="宋体"/>
          <w:kern w:val="0"/>
          <w:sz w:val="21"/>
          <w:szCs w:val="21"/>
          <w:u w:val="single"/>
        </w:rPr>
        <w:t>因市场价格波动引起人工、材料价格变化的调整，按</w:t>
      </w:r>
      <w:r>
        <w:rPr>
          <w:rFonts w:hint="eastAsia" w:ascii="宋体" w:hAnsi="宋体" w:eastAsia="宋体" w:cs="宋体"/>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（3）未在投标价中包含的专项施工方案的施工及论证费用，根据施工现场实际按照合同约定方法确定费用或签证。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lang w:val="en-US" w:eastAsia="zh-CN"/>
        </w:rPr>
        <w:t>/</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lang w:val="en-US" w:eastAsia="zh-CN"/>
        </w:rPr>
        <w:t>/</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29CF6C9E">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hint="eastAsia" w:ascii="宋体" w:hAnsi="宋体" w:eastAsia="宋体" w:cs="宋体"/>
          <w:sz w:val="21"/>
          <w:szCs w:val="21"/>
          <w:lang w:eastAsia="zh-CN"/>
        </w:rPr>
      </w:pPr>
      <w:r>
        <w:rPr>
          <w:rFonts w:hint="eastAsia" w:ascii="宋体" w:hAnsi="宋体" w:eastAsia="宋体" w:cs="宋体"/>
          <w:sz w:val="21"/>
          <w:szCs w:val="21"/>
        </w:rPr>
        <w:t>关于计量周期的约定：</w:t>
      </w:r>
      <w:r>
        <w:rPr>
          <w:rFonts w:hint="eastAsia" w:ascii="宋体" w:hAnsi="宋体" w:eastAsia="宋体" w:cs="宋体"/>
          <w:sz w:val="21"/>
          <w:szCs w:val="21"/>
          <w:u w:val="single"/>
          <w:lang w:val="en-US" w:eastAsia="zh-CN"/>
        </w:rPr>
        <w:t>/</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360EE642">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rPr>
        <w:t>关于付款周期的约定：</w:t>
      </w:r>
      <w:r>
        <w:rPr>
          <w:rFonts w:hint="eastAsia" w:ascii="宋体" w:hAnsi="宋体" w:eastAsia="宋体" w:cs="宋体"/>
          <w:sz w:val="21"/>
          <w:szCs w:val="21"/>
          <w:u w:val="single"/>
          <w:lang w:val="en-US" w:eastAsia="zh-CN"/>
        </w:rPr>
        <w:t>竣工验收合格后一次性付款</w:t>
      </w:r>
      <w:r>
        <w:rPr>
          <w:rFonts w:hint="eastAsia" w:ascii="宋体" w:hAnsi="宋体" w:eastAsia="宋体" w:cs="宋体"/>
          <w:sz w:val="21"/>
          <w:szCs w:val="21"/>
          <w:u w:val="single"/>
        </w:rPr>
        <w:t>。</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7FD01BB8">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合同范围内施工内容施工完成，参建各方（建设、监理、施工、勘察、设计单位等）对工程验收并签署工程质量合格文件，且资金到位后，支付至工程量价款的85%</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工程结算审定并出具结算报告，</w:t>
      </w:r>
      <w:r>
        <w:rPr>
          <w:rFonts w:hint="eastAsia" w:ascii="宋体" w:hAnsi="宋体" w:eastAsia="宋体" w:cs="宋体"/>
          <w:sz w:val="21"/>
          <w:szCs w:val="21"/>
          <w:highlight w:val="none"/>
          <w:u w:val="single"/>
          <w:lang w:val="en-US" w:eastAsia="zh-CN"/>
        </w:rPr>
        <w:t>且乙方质量保证金保函提交给甲方后，</w:t>
      </w:r>
      <w:r>
        <w:rPr>
          <w:rFonts w:hint="eastAsia" w:ascii="宋体" w:hAnsi="宋体" w:eastAsia="宋体" w:cs="宋体"/>
          <w:sz w:val="21"/>
          <w:szCs w:val="21"/>
          <w:highlight w:val="none"/>
          <w:u w:val="single"/>
        </w:rPr>
        <w:t>付至结算价的</w:t>
      </w:r>
      <w:r>
        <w:rPr>
          <w:rFonts w:hint="eastAsia" w:ascii="宋体" w:hAnsi="宋体" w:eastAsia="宋体" w:cs="宋体"/>
          <w:sz w:val="21"/>
          <w:szCs w:val="21"/>
          <w:highlight w:val="none"/>
          <w:u w:val="single"/>
          <w:lang w:val="en-US" w:eastAsia="zh-CN"/>
        </w:rPr>
        <w:t>100</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w:t>
      </w:r>
      <w:bookmarkStart w:id="211" w:name="_GoBack"/>
      <w:bookmarkEnd w:id="211"/>
    </w:p>
    <w:p w14:paraId="2B74104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 xml:space="preserve">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缺陷责任期终止后，质量保证金保函自动失效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18F3CC01">
      <w:pPr>
        <w:spacing w:line="400" w:lineRule="exact"/>
        <w:ind w:firstLine="412" w:firstLineChars="200"/>
        <w:rPr>
          <w:rFonts w:ascii="宋体" w:hAnsi="宋体" w:eastAsia="宋体" w:cs="宋体"/>
          <w:sz w:val="21"/>
          <w:szCs w:val="21"/>
        </w:rPr>
      </w:pP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临海市回浦实验小学</w:t>
      </w:r>
    </w:p>
    <w:p w14:paraId="156282BA">
      <w:pPr>
        <w:spacing w:line="400" w:lineRule="exact"/>
        <w:ind w:firstLine="420"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回浦实验小学教学楼改造工程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18169"/>
      <w:bookmarkStart w:id="133" w:name="_Toc6352"/>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9"/>
        <w:spacing w:line="400" w:lineRule="exact"/>
        <w:jc w:val="left"/>
        <w:rPr>
          <w:rFonts w:cs="宋体"/>
          <w:szCs w:val="21"/>
        </w:rPr>
      </w:pPr>
    </w:p>
    <w:p w14:paraId="08AE1A81">
      <w:pPr>
        <w:pStyle w:val="9"/>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回浦实验小学教学楼改造工程</w:t>
      </w:r>
    </w:p>
    <w:p w14:paraId="0E5FD146">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val="en-US" w:eastAsia="zh-CN"/>
        </w:rPr>
        <w:t>临海市回浦实验小学</w:t>
      </w:r>
    </w:p>
    <w:p w14:paraId="481FFA7C">
      <w:pPr>
        <w:pStyle w:val="9"/>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临海市回浦实验小学</w:t>
      </w:r>
    </w:p>
    <w:p w14:paraId="01B8C268">
      <w:pPr>
        <w:pStyle w:val="9"/>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9"/>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9"/>
        <w:spacing w:line="400" w:lineRule="exact"/>
        <w:jc w:val="left"/>
        <w:rPr>
          <w:rFonts w:cs="宋体"/>
          <w:szCs w:val="21"/>
        </w:rPr>
      </w:pPr>
      <w:r>
        <w:rPr>
          <w:rFonts w:hint="eastAsia" w:cs="宋体"/>
          <w:szCs w:val="21"/>
        </w:rPr>
        <w:t>　　第一条 甲乙双方的责任</w:t>
      </w:r>
    </w:p>
    <w:p w14:paraId="70380AF6">
      <w:pPr>
        <w:pStyle w:val="9"/>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9"/>
        <w:spacing w:line="400" w:lineRule="exact"/>
        <w:jc w:val="left"/>
        <w:rPr>
          <w:rFonts w:cs="宋体"/>
          <w:szCs w:val="21"/>
        </w:rPr>
      </w:pPr>
      <w:r>
        <w:rPr>
          <w:rFonts w:hint="eastAsia" w:cs="宋体"/>
          <w:szCs w:val="21"/>
        </w:rPr>
        <w:t>　　（二）严格执行建设工程项目承发包合同文件，自觉按合同办事。</w:t>
      </w:r>
    </w:p>
    <w:p w14:paraId="272E4C2F">
      <w:pPr>
        <w:pStyle w:val="9"/>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9"/>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9"/>
        <w:spacing w:line="400" w:lineRule="exact"/>
        <w:jc w:val="left"/>
        <w:rPr>
          <w:rFonts w:cs="宋体"/>
          <w:szCs w:val="21"/>
        </w:rPr>
      </w:pPr>
      <w:r>
        <w:rPr>
          <w:rFonts w:hint="eastAsia" w:cs="宋体"/>
          <w:szCs w:val="21"/>
        </w:rPr>
        <w:t>　　第二条 甲方的责任</w:t>
      </w:r>
    </w:p>
    <w:p w14:paraId="266E671B">
      <w:pPr>
        <w:pStyle w:val="9"/>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9"/>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9"/>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9"/>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9"/>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9"/>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9"/>
        <w:spacing w:line="400" w:lineRule="exact"/>
        <w:jc w:val="left"/>
        <w:rPr>
          <w:rFonts w:cs="宋体"/>
          <w:szCs w:val="21"/>
        </w:rPr>
      </w:pPr>
      <w:r>
        <w:rPr>
          <w:rFonts w:hint="eastAsia" w:cs="宋体"/>
          <w:szCs w:val="21"/>
        </w:rPr>
        <w:t>　　第三条 乙方的责任</w:t>
      </w:r>
    </w:p>
    <w:p w14:paraId="217AD74A">
      <w:pPr>
        <w:pStyle w:val="9"/>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9"/>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9"/>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9"/>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9"/>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9"/>
        <w:spacing w:line="400" w:lineRule="exact"/>
        <w:jc w:val="left"/>
        <w:rPr>
          <w:rFonts w:cs="宋体"/>
          <w:szCs w:val="21"/>
        </w:rPr>
      </w:pPr>
      <w:r>
        <w:rPr>
          <w:rFonts w:hint="eastAsia" w:cs="宋体"/>
          <w:szCs w:val="21"/>
        </w:rPr>
        <w:t>　　第四条 违约责任</w:t>
      </w:r>
    </w:p>
    <w:p w14:paraId="69C406B2">
      <w:pPr>
        <w:pStyle w:val="9"/>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9"/>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9"/>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9"/>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9"/>
        <w:spacing w:line="400" w:lineRule="exact"/>
        <w:jc w:val="left"/>
        <w:rPr>
          <w:rFonts w:cs="宋体"/>
          <w:szCs w:val="21"/>
        </w:rPr>
      </w:pPr>
      <w:r>
        <w:rPr>
          <w:rFonts w:hint="eastAsia" w:cs="宋体"/>
          <w:szCs w:val="21"/>
        </w:rPr>
        <w:t>　　第七条 本责任书一式八份。</w:t>
      </w:r>
    </w:p>
    <w:p w14:paraId="1F5E21C6">
      <w:pPr>
        <w:pStyle w:val="9"/>
        <w:spacing w:line="400" w:lineRule="exact"/>
        <w:jc w:val="left"/>
        <w:rPr>
          <w:rFonts w:cs="宋体"/>
          <w:szCs w:val="21"/>
        </w:rPr>
      </w:pPr>
    </w:p>
    <w:p w14:paraId="1A5DE543">
      <w:pPr>
        <w:pStyle w:val="9"/>
        <w:spacing w:line="400" w:lineRule="exact"/>
        <w:jc w:val="left"/>
        <w:rPr>
          <w:rFonts w:cs="宋体"/>
          <w:szCs w:val="21"/>
        </w:rPr>
      </w:pPr>
    </w:p>
    <w:p w14:paraId="2B456D2A">
      <w:pPr>
        <w:pStyle w:val="9"/>
        <w:spacing w:line="400" w:lineRule="exact"/>
        <w:jc w:val="left"/>
        <w:rPr>
          <w:rFonts w:cs="宋体"/>
          <w:szCs w:val="21"/>
        </w:rPr>
      </w:pPr>
    </w:p>
    <w:p w14:paraId="00AAF0DC">
      <w:pPr>
        <w:pStyle w:val="9"/>
        <w:spacing w:line="400" w:lineRule="exact"/>
        <w:jc w:val="left"/>
        <w:rPr>
          <w:rFonts w:cs="宋体"/>
          <w:szCs w:val="21"/>
        </w:rPr>
      </w:pPr>
      <w:r>
        <w:rPr>
          <w:rFonts w:hint="eastAsia" w:cs="宋体"/>
          <w:szCs w:val="21"/>
        </w:rPr>
        <w:t xml:space="preserve">甲方单位（公章）：　　　　　　                          　乙方单位（公章）： </w:t>
      </w:r>
    </w:p>
    <w:p w14:paraId="162869D3">
      <w:pPr>
        <w:pStyle w:val="9"/>
        <w:spacing w:line="400" w:lineRule="exact"/>
        <w:jc w:val="left"/>
        <w:rPr>
          <w:rFonts w:cs="宋体"/>
          <w:szCs w:val="21"/>
        </w:rPr>
      </w:pPr>
      <w:r>
        <w:rPr>
          <w:rFonts w:hint="eastAsia" w:cs="宋体"/>
          <w:szCs w:val="21"/>
        </w:rPr>
        <w:t>法定代表人（签字）：　　　　                              法定代表人（签字）：</w:t>
      </w:r>
    </w:p>
    <w:p w14:paraId="25078A8A">
      <w:pPr>
        <w:pStyle w:val="9"/>
        <w:spacing w:line="400" w:lineRule="exact"/>
        <w:jc w:val="left"/>
        <w:rPr>
          <w:rFonts w:cs="宋体"/>
          <w:szCs w:val="21"/>
        </w:rPr>
      </w:pPr>
      <w:r>
        <w:rPr>
          <w:rFonts w:hint="eastAsia" w:cs="宋体"/>
          <w:szCs w:val="21"/>
        </w:rPr>
        <w:t>或委托代理人（签字）：                                    或委托代理人（签字）：</w:t>
      </w:r>
    </w:p>
    <w:p w14:paraId="7383D1F3">
      <w:pPr>
        <w:pStyle w:val="9"/>
        <w:spacing w:line="400" w:lineRule="exact"/>
        <w:jc w:val="left"/>
        <w:rPr>
          <w:rFonts w:cs="宋体"/>
          <w:szCs w:val="21"/>
        </w:rPr>
      </w:pPr>
      <w:r>
        <w:rPr>
          <w:rFonts w:hint="eastAsia" w:cs="宋体"/>
          <w:szCs w:val="21"/>
        </w:rPr>
        <w:t>地址：　　　　　　　　　　　　　                          地址：</w:t>
      </w:r>
    </w:p>
    <w:p w14:paraId="2DEBAA6B">
      <w:pPr>
        <w:pStyle w:val="9"/>
        <w:spacing w:line="400" w:lineRule="exact"/>
        <w:jc w:val="left"/>
        <w:rPr>
          <w:rFonts w:cs="宋体"/>
          <w:szCs w:val="21"/>
        </w:rPr>
      </w:pPr>
      <w:r>
        <w:rPr>
          <w:rFonts w:hint="eastAsia" w:cs="宋体"/>
          <w:szCs w:val="21"/>
        </w:rPr>
        <w:t>电话：　　　　　　　　　　　　　                          电话：</w:t>
      </w:r>
    </w:p>
    <w:p w14:paraId="1337147B">
      <w:pPr>
        <w:pStyle w:val="9"/>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1"/>
      </w:pPr>
    </w:p>
    <w:p w14:paraId="4F521F6B"/>
    <w:p w14:paraId="747E1003">
      <w:pPr>
        <w:pStyle w:val="21"/>
      </w:pPr>
    </w:p>
    <w:p w14:paraId="2BD1BB55"/>
    <w:p w14:paraId="0678FE8A">
      <w:pPr>
        <w:pStyle w:val="21"/>
      </w:pPr>
    </w:p>
    <w:p w14:paraId="2B9145D6"/>
    <w:bookmarkEnd w:id="123"/>
    <w:bookmarkEnd w:id="124"/>
    <w:bookmarkEnd w:id="125"/>
    <w:p w14:paraId="57C03F2C">
      <w:pPr>
        <w:pStyle w:val="2"/>
        <w:spacing w:beforeLines="50" w:afterLines="50"/>
        <w:rPr>
          <w:color w:val="auto"/>
        </w:rPr>
      </w:pPr>
      <w:bookmarkStart w:id="134" w:name="_Toc386121569"/>
      <w:bookmarkStart w:id="135" w:name="_Toc386121758"/>
      <w:bookmarkStart w:id="136" w:name="_Toc21472"/>
      <w:bookmarkStart w:id="137" w:name="_Toc9900"/>
      <w:bookmarkStart w:id="138" w:name="_Toc106012814"/>
      <w:bookmarkStart w:id="139" w:name="_Toc155342575"/>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1"/>
      </w:pPr>
    </w:p>
    <w:p w14:paraId="0C91976B"/>
    <w:p w14:paraId="723DBDD4">
      <w:pPr>
        <w:pStyle w:val="21"/>
      </w:pPr>
    </w:p>
    <w:p w14:paraId="31BD26DB"/>
    <w:p w14:paraId="7BC1DCA5">
      <w:pPr>
        <w:pStyle w:val="21"/>
      </w:pPr>
    </w:p>
    <w:p w14:paraId="0E5E12C4"/>
    <w:p w14:paraId="6588E843">
      <w:pPr>
        <w:pStyle w:val="21"/>
      </w:pPr>
    </w:p>
    <w:p w14:paraId="50278E33"/>
    <w:p w14:paraId="0D813C16"/>
    <w:p w14:paraId="37B5A268"/>
    <w:p w14:paraId="189B9531"/>
    <w:p w14:paraId="7015F082">
      <w:pPr>
        <w:pStyle w:val="21"/>
      </w:pPr>
    </w:p>
    <w:p w14:paraId="6A9FF2BE"/>
    <w:p w14:paraId="2AF3DD30">
      <w:pPr>
        <w:pStyle w:val="21"/>
      </w:pPr>
    </w:p>
    <w:p w14:paraId="3EF8F432"/>
    <w:p w14:paraId="15185CBD">
      <w:pPr>
        <w:pStyle w:val="21"/>
      </w:pPr>
    </w:p>
    <w:p w14:paraId="74AA8F92"/>
    <w:p w14:paraId="288C5232">
      <w:pPr>
        <w:pStyle w:val="21"/>
      </w:pPr>
    </w:p>
    <w:p w14:paraId="74CE103A"/>
    <w:p w14:paraId="1732C02B">
      <w:pPr>
        <w:pStyle w:val="3"/>
        <w:numPr>
          <w:ilvl w:val="0"/>
          <w:numId w:val="0"/>
        </w:numPr>
        <w:spacing w:before="0" w:afterLines="0" w:line="360" w:lineRule="exact"/>
        <w:jc w:val="both"/>
        <w:rPr>
          <w:b w:val="0"/>
          <w:sz w:val="28"/>
          <w:szCs w:val="28"/>
        </w:rPr>
      </w:pPr>
      <w:bookmarkStart w:id="141" w:name="_Toc386122456"/>
      <w:bookmarkStart w:id="142" w:name="_Toc386121759"/>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回浦实验小学教学楼改造工程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8"/>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临海市回浦实验小学</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回浦实验小学教学楼改造工程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06553077"/>
      <w:bookmarkStart w:id="148" w:name="_Toc144975208"/>
      <w:bookmarkStart w:id="149" w:name="_Toc155342580"/>
      <w:bookmarkStart w:id="150" w:name="_Toc169487830"/>
      <w:bookmarkStart w:id="151" w:name="_Toc106012815"/>
    </w:p>
    <w:p w14:paraId="6F59148D">
      <w:pPr>
        <w:pStyle w:val="3"/>
        <w:numPr>
          <w:ilvl w:val="0"/>
          <w:numId w:val="0"/>
        </w:numPr>
        <w:spacing w:afterLines="0" w:line="360" w:lineRule="exact"/>
        <w:jc w:val="both"/>
        <w:rPr>
          <w:b w:val="0"/>
          <w:sz w:val="28"/>
          <w:szCs w:val="28"/>
        </w:rPr>
      </w:pPr>
      <w:bookmarkStart w:id="152" w:name="_Toc23377"/>
      <w:bookmarkStart w:id="153" w:name="_Toc386121760"/>
      <w:bookmarkStart w:id="154" w:name="_Toc386122457"/>
      <w:bookmarkStart w:id="155" w:name="_Toc24432"/>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回浦实验小学教学楼改造工程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55342584"/>
      <w:bookmarkStart w:id="157" w:name="_Toc106553078"/>
      <w:bookmarkStart w:id="158" w:name="_Toc106012816"/>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1761"/>
      <w:bookmarkStart w:id="160" w:name="_Toc386122458"/>
      <w:bookmarkStart w:id="161" w:name="_Toc30036"/>
      <w:bookmarkStart w:id="162" w:name="_Toc14753"/>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回浦实验小学教学楼改造工程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55342585"/>
      <w:bookmarkStart w:id="164" w:name="_Toc106012817"/>
      <w:bookmarkStart w:id="165" w:name="_Toc106553079"/>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2459"/>
      <w:bookmarkStart w:id="167" w:name="_Toc386121762"/>
      <w:bookmarkStart w:id="168" w:name="_Toc20785"/>
      <w:bookmarkStart w:id="169" w:name="_Toc581"/>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回浦实验小学教学楼改造工程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06012818"/>
      <w:bookmarkStart w:id="171" w:name="_Toc106553080"/>
      <w:bookmarkStart w:id="172" w:name="_Toc155342586"/>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4216"/>
      <w:bookmarkStart w:id="174" w:name="_Toc386209083"/>
      <w:bookmarkStart w:id="175" w:name="_Toc386208332"/>
      <w:bookmarkStart w:id="176" w:name="_Toc26311"/>
      <w:bookmarkStart w:id="177" w:name="_Toc24065"/>
      <w:bookmarkStart w:id="178" w:name="_Toc386207774"/>
      <w:bookmarkStart w:id="179" w:name="_Toc386207867"/>
      <w:bookmarkStart w:id="180" w:name="_Toc386207588"/>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回浦实验小学教学楼改造工程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2460"/>
      <w:bookmarkStart w:id="182" w:name="_Toc386121763"/>
      <w:bookmarkStart w:id="183" w:name="_Toc25896"/>
      <w:bookmarkStart w:id="184" w:name="_Toc1356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回浦实验小学教学楼改造工程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155342588"/>
      <w:bookmarkStart w:id="186" w:name="_Toc386122461"/>
      <w:bookmarkStart w:id="187" w:name="_Toc169487834"/>
      <w:bookmarkStart w:id="188" w:name="_Toc386121764"/>
      <w:bookmarkStart w:id="189" w:name="_Toc28874"/>
      <w:bookmarkStart w:id="190" w:name="_Toc20350"/>
      <w:bookmarkStart w:id="191" w:name="_Toc147380660"/>
      <w:bookmarkStart w:id="192" w:name="_Toc118710617"/>
      <w:bookmarkStart w:id="193" w:name="_Toc155342587"/>
      <w:bookmarkStart w:id="194" w:name="_Toc106553081"/>
      <w:bookmarkStart w:id="195" w:name="_Toc136335625"/>
      <w:bookmarkStart w:id="196" w:name="_Toc76292000"/>
      <w:bookmarkStart w:id="197" w:name="_Toc118275606"/>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回浦实验小学教学楼改造工程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6440177"/>
      <w:bookmarkStart w:id="199" w:name="_Toc155322974"/>
      <w:bookmarkStart w:id="200" w:name="_Toc141242988"/>
      <w:bookmarkStart w:id="201" w:name="_Toc143319553"/>
      <w:bookmarkStart w:id="202" w:name="_Toc143318918"/>
      <w:bookmarkStart w:id="203" w:name="_Toc148157964"/>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2BE93F59">
      <w:pPr>
        <w:pStyle w:val="3"/>
        <w:numPr>
          <w:ilvl w:val="0"/>
          <w:numId w:val="0"/>
        </w:numPr>
        <w:spacing w:before="0" w:afterLines="0" w:line="240" w:lineRule="auto"/>
        <w:jc w:val="both"/>
        <w:rPr>
          <w:b w:val="0"/>
          <w:sz w:val="28"/>
          <w:szCs w:val="28"/>
        </w:rPr>
      </w:pPr>
      <w:bookmarkStart w:id="206" w:name="_Toc11522"/>
      <w:bookmarkStart w:id="207" w:name="_Toc386121765"/>
      <w:bookmarkStart w:id="208" w:name="_Toc386122462"/>
      <w:bookmarkStart w:id="209" w:name="_Toc18290"/>
    </w:p>
    <w:bookmarkEnd w:id="204"/>
    <w:bookmarkEnd w:id="205"/>
    <w:bookmarkEnd w:id="206"/>
    <w:bookmarkEnd w:id="207"/>
    <w:bookmarkEnd w:id="208"/>
    <w:bookmarkEnd w:id="209"/>
    <w:p w14:paraId="3F4673CA">
      <w:pPr>
        <w:spacing w:before="231" w:line="222" w:lineRule="auto"/>
        <w:ind w:left="26"/>
        <w:rPr>
          <w:rFonts w:ascii="黑体" w:hAnsi="黑体" w:eastAsia="黑体" w:cs="黑体"/>
          <w:b/>
          <w:bCs/>
          <w:szCs w:val="32"/>
        </w:rPr>
      </w:pPr>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2"/>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1"/>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3"/>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小标宋">
    <w:altName w:val="黑体"/>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99387">
    <w:pPr>
      <w:pStyle w:val="14"/>
      <w:jc w:val="center"/>
    </w:pPr>
    <w:r>
      <w:fldChar w:fldCharType="begin"/>
    </w:r>
    <w:r>
      <w:instrText xml:space="preserve">PAGE   \* MERGEFORMAT</w:instrText>
    </w:r>
    <w:r>
      <w:fldChar w:fldCharType="separate"/>
    </w:r>
    <w:r>
      <w:rPr>
        <w:lang w:val="zh-CN"/>
      </w:rPr>
      <w:t>3</w:t>
    </w:r>
    <w:r>
      <w:fldChar w:fldCharType="end"/>
    </w:r>
  </w:p>
  <w:p w14:paraId="120D8D7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4"/>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4"/>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4"/>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4"/>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4"/>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5"/>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桃渚中学心理辅导站及宿舍电力改造工程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204E27E1"/>
    <w:multiLevelType w:val="singleLevel"/>
    <w:tmpl w:val="204E27E1"/>
    <w:lvl w:ilvl="0" w:tentative="0">
      <w:start w:val="1"/>
      <w:numFmt w:val="decimal"/>
      <w:suff w:val="nothing"/>
      <w:lvlText w:val="（%1）"/>
      <w:lvlJc w:val="left"/>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1E5A"/>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910A08"/>
    <w:rsid w:val="01D45EE2"/>
    <w:rsid w:val="01E00CE2"/>
    <w:rsid w:val="02377887"/>
    <w:rsid w:val="029C1412"/>
    <w:rsid w:val="02B97AC8"/>
    <w:rsid w:val="02CE4475"/>
    <w:rsid w:val="032F189F"/>
    <w:rsid w:val="033A4BEF"/>
    <w:rsid w:val="0350212E"/>
    <w:rsid w:val="037203C5"/>
    <w:rsid w:val="039E1C60"/>
    <w:rsid w:val="03B51FD0"/>
    <w:rsid w:val="04367644"/>
    <w:rsid w:val="05235E1B"/>
    <w:rsid w:val="05646570"/>
    <w:rsid w:val="05685F23"/>
    <w:rsid w:val="058A7C48"/>
    <w:rsid w:val="05966E33"/>
    <w:rsid w:val="059B6658"/>
    <w:rsid w:val="05D44316"/>
    <w:rsid w:val="05ED1A1A"/>
    <w:rsid w:val="05FF5E80"/>
    <w:rsid w:val="066F6E3E"/>
    <w:rsid w:val="067B3A34"/>
    <w:rsid w:val="06D56948"/>
    <w:rsid w:val="06F02F69"/>
    <w:rsid w:val="07235607"/>
    <w:rsid w:val="072E4E50"/>
    <w:rsid w:val="07426CE9"/>
    <w:rsid w:val="075A189C"/>
    <w:rsid w:val="07746A18"/>
    <w:rsid w:val="078801B7"/>
    <w:rsid w:val="079E79DA"/>
    <w:rsid w:val="07FD6DF7"/>
    <w:rsid w:val="088A7F5F"/>
    <w:rsid w:val="089115EB"/>
    <w:rsid w:val="08E74E15"/>
    <w:rsid w:val="08F9325E"/>
    <w:rsid w:val="08FD6983"/>
    <w:rsid w:val="09446B26"/>
    <w:rsid w:val="09510A7C"/>
    <w:rsid w:val="095A42B5"/>
    <w:rsid w:val="095C6BA4"/>
    <w:rsid w:val="096E7880"/>
    <w:rsid w:val="097D0D2A"/>
    <w:rsid w:val="098350DA"/>
    <w:rsid w:val="098B3F8E"/>
    <w:rsid w:val="09AF75D6"/>
    <w:rsid w:val="09BC05EC"/>
    <w:rsid w:val="09C51CFC"/>
    <w:rsid w:val="09E33DCA"/>
    <w:rsid w:val="09F22179"/>
    <w:rsid w:val="0A757D75"/>
    <w:rsid w:val="0A854E82"/>
    <w:rsid w:val="0A951600"/>
    <w:rsid w:val="0A9A7472"/>
    <w:rsid w:val="0A9B46A5"/>
    <w:rsid w:val="0ACF500E"/>
    <w:rsid w:val="0B446AEB"/>
    <w:rsid w:val="0B470389"/>
    <w:rsid w:val="0B6F2E99"/>
    <w:rsid w:val="0B7516D2"/>
    <w:rsid w:val="0B8D5483"/>
    <w:rsid w:val="0B950884"/>
    <w:rsid w:val="0BF433FF"/>
    <w:rsid w:val="0C1464BD"/>
    <w:rsid w:val="0C1C748A"/>
    <w:rsid w:val="0C686809"/>
    <w:rsid w:val="0C6A432F"/>
    <w:rsid w:val="0C831895"/>
    <w:rsid w:val="0CB8153E"/>
    <w:rsid w:val="0CC86BDD"/>
    <w:rsid w:val="0CDA66F1"/>
    <w:rsid w:val="0D375B4A"/>
    <w:rsid w:val="0D4E1EA3"/>
    <w:rsid w:val="0D505C1B"/>
    <w:rsid w:val="0D78530F"/>
    <w:rsid w:val="0D815DD4"/>
    <w:rsid w:val="0DDC74AE"/>
    <w:rsid w:val="0E00562E"/>
    <w:rsid w:val="0E036230"/>
    <w:rsid w:val="0E107158"/>
    <w:rsid w:val="0E8826CF"/>
    <w:rsid w:val="0E9C279A"/>
    <w:rsid w:val="0EA224A6"/>
    <w:rsid w:val="0EE52393"/>
    <w:rsid w:val="0EEC7088"/>
    <w:rsid w:val="0F5F2145"/>
    <w:rsid w:val="0FED5C47"/>
    <w:rsid w:val="100D7DF3"/>
    <w:rsid w:val="1032785A"/>
    <w:rsid w:val="105F761E"/>
    <w:rsid w:val="108B3885"/>
    <w:rsid w:val="10E75D7D"/>
    <w:rsid w:val="10FC5772"/>
    <w:rsid w:val="120025CD"/>
    <w:rsid w:val="124503E0"/>
    <w:rsid w:val="12C0739F"/>
    <w:rsid w:val="12E91DF8"/>
    <w:rsid w:val="1319260B"/>
    <w:rsid w:val="132B305E"/>
    <w:rsid w:val="136A0639"/>
    <w:rsid w:val="137F578F"/>
    <w:rsid w:val="13BA5B9C"/>
    <w:rsid w:val="13C44C6D"/>
    <w:rsid w:val="13CF716E"/>
    <w:rsid w:val="13D4745C"/>
    <w:rsid w:val="141F36D1"/>
    <w:rsid w:val="145A112D"/>
    <w:rsid w:val="1463768D"/>
    <w:rsid w:val="14A63F07"/>
    <w:rsid w:val="150C0477"/>
    <w:rsid w:val="1528122B"/>
    <w:rsid w:val="15436065"/>
    <w:rsid w:val="15981F0D"/>
    <w:rsid w:val="16886279"/>
    <w:rsid w:val="16905AFB"/>
    <w:rsid w:val="16F75359"/>
    <w:rsid w:val="170C07F6"/>
    <w:rsid w:val="172B6DB1"/>
    <w:rsid w:val="17460EB9"/>
    <w:rsid w:val="185B5474"/>
    <w:rsid w:val="18AB7C3A"/>
    <w:rsid w:val="18AC12E8"/>
    <w:rsid w:val="18B36797"/>
    <w:rsid w:val="18E12580"/>
    <w:rsid w:val="18EE0096"/>
    <w:rsid w:val="18FC3FD7"/>
    <w:rsid w:val="193B5FBC"/>
    <w:rsid w:val="19BA2262"/>
    <w:rsid w:val="19FE75B4"/>
    <w:rsid w:val="1A8E1B30"/>
    <w:rsid w:val="1B1262BE"/>
    <w:rsid w:val="1B167A44"/>
    <w:rsid w:val="1B5D4132"/>
    <w:rsid w:val="1B6F0B5F"/>
    <w:rsid w:val="1B811695"/>
    <w:rsid w:val="1BAD0D5C"/>
    <w:rsid w:val="1BBC6831"/>
    <w:rsid w:val="1BC177F6"/>
    <w:rsid w:val="1BF97D30"/>
    <w:rsid w:val="1BFF59B1"/>
    <w:rsid w:val="1C4C3A51"/>
    <w:rsid w:val="1C98187E"/>
    <w:rsid w:val="1CB05D8E"/>
    <w:rsid w:val="1DAF6046"/>
    <w:rsid w:val="1DE74563"/>
    <w:rsid w:val="1DF47EFC"/>
    <w:rsid w:val="1E002D45"/>
    <w:rsid w:val="1E363CE9"/>
    <w:rsid w:val="1E3E73CA"/>
    <w:rsid w:val="1ECC2C27"/>
    <w:rsid w:val="1F160D12"/>
    <w:rsid w:val="1F1B770B"/>
    <w:rsid w:val="1F3C4445"/>
    <w:rsid w:val="1F3E1D77"/>
    <w:rsid w:val="1F4F35DE"/>
    <w:rsid w:val="1F505606"/>
    <w:rsid w:val="1F705CA9"/>
    <w:rsid w:val="1F8606E6"/>
    <w:rsid w:val="1FC96B63"/>
    <w:rsid w:val="1FF80AF3"/>
    <w:rsid w:val="201B4916"/>
    <w:rsid w:val="20517888"/>
    <w:rsid w:val="20626089"/>
    <w:rsid w:val="20670BCA"/>
    <w:rsid w:val="20745325"/>
    <w:rsid w:val="207D248D"/>
    <w:rsid w:val="20854889"/>
    <w:rsid w:val="209E4F35"/>
    <w:rsid w:val="210950AC"/>
    <w:rsid w:val="21415B4F"/>
    <w:rsid w:val="21A954A2"/>
    <w:rsid w:val="21D15FB5"/>
    <w:rsid w:val="21F04E7F"/>
    <w:rsid w:val="2261799D"/>
    <w:rsid w:val="228A0E2F"/>
    <w:rsid w:val="229642D7"/>
    <w:rsid w:val="22B10AB2"/>
    <w:rsid w:val="22BE176E"/>
    <w:rsid w:val="23636EA1"/>
    <w:rsid w:val="23853A79"/>
    <w:rsid w:val="23893479"/>
    <w:rsid w:val="239361D0"/>
    <w:rsid w:val="23A0402B"/>
    <w:rsid w:val="23C30E3B"/>
    <w:rsid w:val="23F52C20"/>
    <w:rsid w:val="241E3F25"/>
    <w:rsid w:val="247C4FA9"/>
    <w:rsid w:val="24D01EEA"/>
    <w:rsid w:val="24EE5273"/>
    <w:rsid w:val="24F44C86"/>
    <w:rsid w:val="251A36F0"/>
    <w:rsid w:val="25364C57"/>
    <w:rsid w:val="2536704D"/>
    <w:rsid w:val="254C7652"/>
    <w:rsid w:val="25554E0E"/>
    <w:rsid w:val="25563DFB"/>
    <w:rsid w:val="25983B4F"/>
    <w:rsid w:val="259A3A7F"/>
    <w:rsid w:val="25A75047"/>
    <w:rsid w:val="25B975C5"/>
    <w:rsid w:val="25D41EB7"/>
    <w:rsid w:val="26892F9B"/>
    <w:rsid w:val="26967876"/>
    <w:rsid w:val="26E47778"/>
    <w:rsid w:val="26EE76EF"/>
    <w:rsid w:val="27230FF2"/>
    <w:rsid w:val="27653651"/>
    <w:rsid w:val="277B2C7C"/>
    <w:rsid w:val="27873B8F"/>
    <w:rsid w:val="278E6684"/>
    <w:rsid w:val="27AA3332"/>
    <w:rsid w:val="27E77AE7"/>
    <w:rsid w:val="281139FD"/>
    <w:rsid w:val="285C40CB"/>
    <w:rsid w:val="28893DB5"/>
    <w:rsid w:val="28C240ED"/>
    <w:rsid w:val="28C941E4"/>
    <w:rsid w:val="28D9666D"/>
    <w:rsid w:val="290811E8"/>
    <w:rsid w:val="291B76E3"/>
    <w:rsid w:val="29323FCF"/>
    <w:rsid w:val="29F92152"/>
    <w:rsid w:val="2A0475B6"/>
    <w:rsid w:val="2A3C6EB3"/>
    <w:rsid w:val="2A6A4A33"/>
    <w:rsid w:val="2A755A69"/>
    <w:rsid w:val="2A815E10"/>
    <w:rsid w:val="2AB27175"/>
    <w:rsid w:val="2AD402FC"/>
    <w:rsid w:val="2AF92FF6"/>
    <w:rsid w:val="2B057D63"/>
    <w:rsid w:val="2B1B11BE"/>
    <w:rsid w:val="2B547697"/>
    <w:rsid w:val="2C357894"/>
    <w:rsid w:val="2C4C1CFB"/>
    <w:rsid w:val="2C536736"/>
    <w:rsid w:val="2C5B55EB"/>
    <w:rsid w:val="2C675EBB"/>
    <w:rsid w:val="2C963E6F"/>
    <w:rsid w:val="2CC338BC"/>
    <w:rsid w:val="2CCB6C14"/>
    <w:rsid w:val="2CF239DF"/>
    <w:rsid w:val="2CF77A09"/>
    <w:rsid w:val="2D4D7629"/>
    <w:rsid w:val="2D5371F7"/>
    <w:rsid w:val="2D602A71"/>
    <w:rsid w:val="2D7A0785"/>
    <w:rsid w:val="2D8D7A26"/>
    <w:rsid w:val="2D95262C"/>
    <w:rsid w:val="2DC40DDD"/>
    <w:rsid w:val="2DD6761F"/>
    <w:rsid w:val="2DDC09C5"/>
    <w:rsid w:val="2DE43C18"/>
    <w:rsid w:val="2E7F3812"/>
    <w:rsid w:val="2F053687"/>
    <w:rsid w:val="2F132647"/>
    <w:rsid w:val="2F266FDE"/>
    <w:rsid w:val="2F725A55"/>
    <w:rsid w:val="2F7353A9"/>
    <w:rsid w:val="2F7D2448"/>
    <w:rsid w:val="2F8A6623"/>
    <w:rsid w:val="2FDA531F"/>
    <w:rsid w:val="2FED3283"/>
    <w:rsid w:val="3017524C"/>
    <w:rsid w:val="30286891"/>
    <w:rsid w:val="3048098A"/>
    <w:rsid w:val="3070588D"/>
    <w:rsid w:val="314B0641"/>
    <w:rsid w:val="315106C0"/>
    <w:rsid w:val="316E7B6E"/>
    <w:rsid w:val="31737A6D"/>
    <w:rsid w:val="31750EFD"/>
    <w:rsid w:val="31861B3A"/>
    <w:rsid w:val="323D5EBE"/>
    <w:rsid w:val="32755658"/>
    <w:rsid w:val="32BE3742"/>
    <w:rsid w:val="32F7239B"/>
    <w:rsid w:val="3337290D"/>
    <w:rsid w:val="337A6C9E"/>
    <w:rsid w:val="33D51112"/>
    <w:rsid w:val="33F46A50"/>
    <w:rsid w:val="33FA6465"/>
    <w:rsid w:val="3400345F"/>
    <w:rsid w:val="34063C6D"/>
    <w:rsid w:val="341669C7"/>
    <w:rsid w:val="344D23DC"/>
    <w:rsid w:val="34806E53"/>
    <w:rsid w:val="34A22351"/>
    <w:rsid w:val="34B41D3C"/>
    <w:rsid w:val="34BA1A48"/>
    <w:rsid w:val="34C16191"/>
    <w:rsid w:val="34C208FD"/>
    <w:rsid w:val="34E063F6"/>
    <w:rsid w:val="350B742E"/>
    <w:rsid w:val="352D4B6B"/>
    <w:rsid w:val="358C5B68"/>
    <w:rsid w:val="35B35442"/>
    <w:rsid w:val="35D01CDE"/>
    <w:rsid w:val="361E4A07"/>
    <w:rsid w:val="361F02B5"/>
    <w:rsid w:val="36254176"/>
    <w:rsid w:val="36E20676"/>
    <w:rsid w:val="371158BC"/>
    <w:rsid w:val="371569D0"/>
    <w:rsid w:val="37260FD5"/>
    <w:rsid w:val="372926AA"/>
    <w:rsid w:val="375A3F9B"/>
    <w:rsid w:val="3770061D"/>
    <w:rsid w:val="37BB1D08"/>
    <w:rsid w:val="37BE1059"/>
    <w:rsid w:val="380134EA"/>
    <w:rsid w:val="381F1BC2"/>
    <w:rsid w:val="38202807"/>
    <w:rsid w:val="3820356C"/>
    <w:rsid w:val="382B1748"/>
    <w:rsid w:val="3840221A"/>
    <w:rsid w:val="3886386B"/>
    <w:rsid w:val="389C7D64"/>
    <w:rsid w:val="38C551F3"/>
    <w:rsid w:val="38F31085"/>
    <w:rsid w:val="39024127"/>
    <w:rsid w:val="3938118D"/>
    <w:rsid w:val="395B2504"/>
    <w:rsid w:val="39C90037"/>
    <w:rsid w:val="3A4339F6"/>
    <w:rsid w:val="3A660B39"/>
    <w:rsid w:val="3A7D30CD"/>
    <w:rsid w:val="3A964E20"/>
    <w:rsid w:val="3AAD7959"/>
    <w:rsid w:val="3ACA2AA9"/>
    <w:rsid w:val="3AE07D2F"/>
    <w:rsid w:val="3B005CDB"/>
    <w:rsid w:val="3B302256"/>
    <w:rsid w:val="3B8E3C86"/>
    <w:rsid w:val="3BAC51D5"/>
    <w:rsid w:val="3BE610FE"/>
    <w:rsid w:val="3C0D6901"/>
    <w:rsid w:val="3C5F6722"/>
    <w:rsid w:val="3C7324DC"/>
    <w:rsid w:val="3C926F85"/>
    <w:rsid w:val="3CC571DC"/>
    <w:rsid w:val="3CCF40AD"/>
    <w:rsid w:val="3CE8002B"/>
    <w:rsid w:val="3CED7900"/>
    <w:rsid w:val="3D0C1996"/>
    <w:rsid w:val="3D0D4F35"/>
    <w:rsid w:val="3D74475E"/>
    <w:rsid w:val="3D9170BE"/>
    <w:rsid w:val="3E986179"/>
    <w:rsid w:val="3EA7436E"/>
    <w:rsid w:val="3ED43706"/>
    <w:rsid w:val="3F0459F8"/>
    <w:rsid w:val="3F122481"/>
    <w:rsid w:val="3F165ACD"/>
    <w:rsid w:val="3F265D57"/>
    <w:rsid w:val="3F357653"/>
    <w:rsid w:val="3F732F1F"/>
    <w:rsid w:val="3F76656C"/>
    <w:rsid w:val="3FE037A4"/>
    <w:rsid w:val="401819D8"/>
    <w:rsid w:val="4037416C"/>
    <w:rsid w:val="40FE0657"/>
    <w:rsid w:val="41041A64"/>
    <w:rsid w:val="41370B10"/>
    <w:rsid w:val="41456B3D"/>
    <w:rsid w:val="415C326C"/>
    <w:rsid w:val="41647178"/>
    <w:rsid w:val="41B45A71"/>
    <w:rsid w:val="41E77BF5"/>
    <w:rsid w:val="42442951"/>
    <w:rsid w:val="429F136A"/>
    <w:rsid w:val="42EC3BCF"/>
    <w:rsid w:val="43030A5E"/>
    <w:rsid w:val="4345654F"/>
    <w:rsid w:val="439247CC"/>
    <w:rsid w:val="43D877F5"/>
    <w:rsid w:val="43FA4F55"/>
    <w:rsid w:val="440A3726"/>
    <w:rsid w:val="440B3462"/>
    <w:rsid w:val="443D58AA"/>
    <w:rsid w:val="445058BB"/>
    <w:rsid w:val="448C6831"/>
    <w:rsid w:val="44A46D82"/>
    <w:rsid w:val="44A91605"/>
    <w:rsid w:val="44C053DC"/>
    <w:rsid w:val="44EA62E2"/>
    <w:rsid w:val="45196317"/>
    <w:rsid w:val="45394A3E"/>
    <w:rsid w:val="45437449"/>
    <w:rsid w:val="45585CB2"/>
    <w:rsid w:val="46103A90"/>
    <w:rsid w:val="464A2500"/>
    <w:rsid w:val="46B1257F"/>
    <w:rsid w:val="46D06EA9"/>
    <w:rsid w:val="4780267D"/>
    <w:rsid w:val="478B0E64"/>
    <w:rsid w:val="47FB1D04"/>
    <w:rsid w:val="47FE7A46"/>
    <w:rsid w:val="483328BE"/>
    <w:rsid w:val="4879626E"/>
    <w:rsid w:val="488A12DA"/>
    <w:rsid w:val="48C84646"/>
    <w:rsid w:val="48C9729F"/>
    <w:rsid w:val="48F13107"/>
    <w:rsid w:val="491D3EFC"/>
    <w:rsid w:val="493C6D00"/>
    <w:rsid w:val="49A34401"/>
    <w:rsid w:val="49E0612F"/>
    <w:rsid w:val="4A527BD5"/>
    <w:rsid w:val="4A590F64"/>
    <w:rsid w:val="4A6F08EE"/>
    <w:rsid w:val="4A787945"/>
    <w:rsid w:val="4AD4683C"/>
    <w:rsid w:val="4AEB42B2"/>
    <w:rsid w:val="4B06733D"/>
    <w:rsid w:val="4B0C247A"/>
    <w:rsid w:val="4B651398"/>
    <w:rsid w:val="4B9A7A86"/>
    <w:rsid w:val="4BC32B39"/>
    <w:rsid w:val="4BE40D01"/>
    <w:rsid w:val="4BF06E35"/>
    <w:rsid w:val="4C2044CF"/>
    <w:rsid w:val="4C2A1804"/>
    <w:rsid w:val="4C411A42"/>
    <w:rsid w:val="4C4874E2"/>
    <w:rsid w:val="4C854292"/>
    <w:rsid w:val="4C92075D"/>
    <w:rsid w:val="4C955312"/>
    <w:rsid w:val="4CAE161C"/>
    <w:rsid w:val="4CD238E8"/>
    <w:rsid w:val="4CE0596C"/>
    <w:rsid w:val="4D0452B9"/>
    <w:rsid w:val="4D3006A2"/>
    <w:rsid w:val="4D43040D"/>
    <w:rsid w:val="4D64034B"/>
    <w:rsid w:val="4D697710"/>
    <w:rsid w:val="4D746B23"/>
    <w:rsid w:val="4E013DEC"/>
    <w:rsid w:val="4E640FD8"/>
    <w:rsid w:val="4E676345"/>
    <w:rsid w:val="4E734184"/>
    <w:rsid w:val="4EC15329"/>
    <w:rsid w:val="4ECE03CB"/>
    <w:rsid w:val="4EF43951"/>
    <w:rsid w:val="4F13669E"/>
    <w:rsid w:val="4F964D9C"/>
    <w:rsid w:val="4F9815BA"/>
    <w:rsid w:val="4FE43A21"/>
    <w:rsid w:val="5012695A"/>
    <w:rsid w:val="508B3E41"/>
    <w:rsid w:val="508B5BEF"/>
    <w:rsid w:val="509F79E6"/>
    <w:rsid w:val="50E84DEF"/>
    <w:rsid w:val="51731944"/>
    <w:rsid w:val="517D5E7F"/>
    <w:rsid w:val="51A67B22"/>
    <w:rsid w:val="51B66C9C"/>
    <w:rsid w:val="51D05FAF"/>
    <w:rsid w:val="51E07D46"/>
    <w:rsid w:val="51E27A91"/>
    <w:rsid w:val="52A511EA"/>
    <w:rsid w:val="52DF7FD7"/>
    <w:rsid w:val="536410A5"/>
    <w:rsid w:val="53B844C3"/>
    <w:rsid w:val="53BF62DB"/>
    <w:rsid w:val="541C7EC3"/>
    <w:rsid w:val="541E33F9"/>
    <w:rsid w:val="548824CF"/>
    <w:rsid w:val="54993F60"/>
    <w:rsid w:val="54B576DE"/>
    <w:rsid w:val="54C635B3"/>
    <w:rsid w:val="54D975B7"/>
    <w:rsid w:val="54EF357C"/>
    <w:rsid w:val="55684751"/>
    <w:rsid w:val="556A04C9"/>
    <w:rsid w:val="5597283F"/>
    <w:rsid w:val="55A02470"/>
    <w:rsid w:val="55BF2A09"/>
    <w:rsid w:val="563E3F56"/>
    <w:rsid w:val="564156CE"/>
    <w:rsid w:val="565C6BA3"/>
    <w:rsid w:val="56756FEF"/>
    <w:rsid w:val="567D5022"/>
    <w:rsid w:val="568C5381"/>
    <w:rsid w:val="56BF79F3"/>
    <w:rsid w:val="56ED7603"/>
    <w:rsid w:val="573477D9"/>
    <w:rsid w:val="5737087F"/>
    <w:rsid w:val="576553EC"/>
    <w:rsid w:val="57AA2DFF"/>
    <w:rsid w:val="57C355C8"/>
    <w:rsid w:val="587201E4"/>
    <w:rsid w:val="589870FB"/>
    <w:rsid w:val="58ED71F5"/>
    <w:rsid w:val="591946E0"/>
    <w:rsid w:val="593E7AE5"/>
    <w:rsid w:val="59735C70"/>
    <w:rsid w:val="59A26483"/>
    <w:rsid w:val="5AD07020"/>
    <w:rsid w:val="5B465534"/>
    <w:rsid w:val="5B8027F4"/>
    <w:rsid w:val="5B9F0DEB"/>
    <w:rsid w:val="5BB16FB8"/>
    <w:rsid w:val="5BB63711"/>
    <w:rsid w:val="5BE43388"/>
    <w:rsid w:val="5BEE5961"/>
    <w:rsid w:val="5C294C3A"/>
    <w:rsid w:val="5C2971E1"/>
    <w:rsid w:val="5CB32755"/>
    <w:rsid w:val="5CD22745"/>
    <w:rsid w:val="5CF27722"/>
    <w:rsid w:val="5D353719"/>
    <w:rsid w:val="5D4F1A89"/>
    <w:rsid w:val="5D607907"/>
    <w:rsid w:val="5DA057D6"/>
    <w:rsid w:val="5DC56BE4"/>
    <w:rsid w:val="5E0A6506"/>
    <w:rsid w:val="5E7E4A0C"/>
    <w:rsid w:val="5F074717"/>
    <w:rsid w:val="5F21609C"/>
    <w:rsid w:val="5F3202A9"/>
    <w:rsid w:val="5F617DC3"/>
    <w:rsid w:val="5F6B70B6"/>
    <w:rsid w:val="5F742670"/>
    <w:rsid w:val="5FC133DB"/>
    <w:rsid w:val="60163727"/>
    <w:rsid w:val="601C4F4D"/>
    <w:rsid w:val="60A15015"/>
    <w:rsid w:val="60C30678"/>
    <w:rsid w:val="61037A48"/>
    <w:rsid w:val="610D1D89"/>
    <w:rsid w:val="611361AA"/>
    <w:rsid w:val="6130435D"/>
    <w:rsid w:val="614257A1"/>
    <w:rsid w:val="616F6362"/>
    <w:rsid w:val="62173103"/>
    <w:rsid w:val="62556728"/>
    <w:rsid w:val="62884DB8"/>
    <w:rsid w:val="62BE7217"/>
    <w:rsid w:val="62E82877"/>
    <w:rsid w:val="630E2DDB"/>
    <w:rsid w:val="631C0807"/>
    <w:rsid w:val="63350763"/>
    <w:rsid w:val="635C4F62"/>
    <w:rsid w:val="63DC4C88"/>
    <w:rsid w:val="63F32E9F"/>
    <w:rsid w:val="641C50CD"/>
    <w:rsid w:val="64432729"/>
    <w:rsid w:val="648C1DD2"/>
    <w:rsid w:val="64A15589"/>
    <w:rsid w:val="64B417CF"/>
    <w:rsid w:val="64BF0549"/>
    <w:rsid w:val="64E005EF"/>
    <w:rsid w:val="65197815"/>
    <w:rsid w:val="65361F96"/>
    <w:rsid w:val="65BB2684"/>
    <w:rsid w:val="65C84EAB"/>
    <w:rsid w:val="65E676F8"/>
    <w:rsid w:val="65EA46A0"/>
    <w:rsid w:val="65ED7D25"/>
    <w:rsid w:val="65F95E0A"/>
    <w:rsid w:val="65FB28CA"/>
    <w:rsid w:val="65FB7547"/>
    <w:rsid w:val="660D625F"/>
    <w:rsid w:val="668C2539"/>
    <w:rsid w:val="669752AF"/>
    <w:rsid w:val="66A03BE2"/>
    <w:rsid w:val="66B0141D"/>
    <w:rsid w:val="66BD2ECA"/>
    <w:rsid w:val="66E40F2D"/>
    <w:rsid w:val="66E8749F"/>
    <w:rsid w:val="66ED2D08"/>
    <w:rsid w:val="66F92416"/>
    <w:rsid w:val="66FE3079"/>
    <w:rsid w:val="670F2C7E"/>
    <w:rsid w:val="674D0EC5"/>
    <w:rsid w:val="674F7309"/>
    <w:rsid w:val="678A1D25"/>
    <w:rsid w:val="678C279B"/>
    <w:rsid w:val="67A94E81"/>
    <w:rsid w:val="67AC2BC3"/>
    <w:rsid w:val="67B6759E"/>
    <w:rsid w:val="67CB0101"/>
    <w:rsid w:val="67CD3358"/>
    <w:rsid w:val="67CE0D8B"/>
    <w:rsid w:val="67D22DC6"/>
    <w:rsid w:val="68016A6B"/>
    <w:rsid w:val="6807225A"/>
    <w:rsid w:val="681811A0"/>
    <w:rsid w:val="68295FC1"/>
    <w:rsid w:val="68362F29"/>
    <w:rsid w:val="685A617B"/>
    <w:rsid w:val="68B97345"/>
    <w:rsid w:val="68C81038"/>
    <w:rsid w:val="69097887"/>
    <w:rsid w:val="690B3A0D"/>
    <w:rsid w:val="6911480D"/>
    <w:rsid w:val="6937322A"/>
    <w:rsid w:val="69394B60"/>
    <w:rsid w:val="697414BE"/>
    <w:rsid w:val="69995F28"/>
    <w:rsid w:val="699D6C67"/>
    <w:rsid w:val="699D75EA"/>
    <w:rsid w:val="69BD2E65"/>
    <w:rsid w:val="69DA7573"/>
    <w:rsid w:val="6A9F1EAC"/>
    <w:rsid w:val="6AF547D3"/>
    <w:rsid w:val="6B194AB8"/>
    <w:rsid w:val="6B223378"/>
    <w:rsid w:val="6B2505AD"/>
    <w:rsid w:val="6BB04562"/>
    <w:rsid w:val="6BDC13B6"/>
    <w:rsid w:val="6C007039"/>
    <w:rsid w:val="6C4B33B4"/>
    <w:rsid w:val="6D0408D4"/>
    <w:rsid w:val="6D46205C"/>
    <w:rsid w:val="6D8A12B0"/>
    <w:rsid w:val="6E0A419F"/>
    <w:rsid w:val="6E214E39"/>
    <w:rsid w:val="6E2A65EF"/>
    <w:rsid w:val="6E865B4B"/>
    <w:rsid w:val="6EB42D97"/>
    <w:rsid w:val="6EC627BC"/>
    <w:rsid w:val="6F067EF3"/>
    <w:rsid w:val="6F2B261F"/>
    <w:rsid w:val="6F40256E"/>
    <w:rsid w:val="6F435BBB"/>
    <w:rsid w:val="6F7777FC"/>
    <w:rsid w:val="701D01BA"/>
    <w:rsid w:val="702A1C8F"/>
    <w:rsid w:val="70534653"/>
    <w:rsid w:val="705F4C76"/>
    <w:rsid w:val="70B52AE8"/>
    <w:rsid w:val="70CC10D4"/>
    <w:rsid w:val="70EB475C"/>
    <w:rsid w:val="710B6E6E"/>
    <w:rsid w:val="71222661"/>
    <w:rsid w:val="71245578"/>
    <w:rsid w:val="71267D67"/>
    <w:rsid w:val="71395DE7"/>
    <w:rsid w:val="715C7408"/>
    <w:rsid w:val="71AA5770"/>
    <w:rsid w:val="71D445CE"/>
    <w:rsid w:val="72430EED"/>
    <w:rsid w:val="72720E38"/>
    <w:rsid w:val="72B839D1"/>
    <w:rsid w:val="731735E6"/>
    <w:rsid w:val="733E6F30"/>
    <w:rsid w:val="736E1C16"/>
    <w:rsid w:val="73722F12"/>
    <w:rsid w:val="73A34E7A"/>
    <w:rsid w:val="73F01C50"/>
    <w:rsid w:val="74135A7F"/>
    <w:rsid w:val="74463A57"/>
    <w:rsid w:val="745B379C"/>
    <w:rsid w:val="74711D5E"/>
    <w:rsid w:val="74736F42"/>
    <w:rsid w:val="74784559"/>
    <w:rsid w:val="74C96B62"/>
    <w:rsid w:val="74DD43BC"/>
    <w:rsid w:val="74EF6293"/>
    <w:rsid w:val="74EF6A2D"/>
    <w:rsid w:val="75087C7C"/>
    <w:rsid w:val="758B5C42"/>
    <w:rsid w:val="75D237F5"/>
    <w:rsid w:val="75E02C94"/>
    <w:rsid w:val="75FB0C71"/>
    <w:rsid w:val="762348A3"/>
    <w:rsid w:val="76604F4D"/>
    <w:rsid w:val="767429A8"/>
    <w:rsid w:val="76D83F17"/>
    <w:rsid w:val="76EC11F8"/>
    <w:rsid w:val="76FE2D0E"/>
    <w:rsid w:val="776939F2"/>
    <w:rsid w:val="7769462C"/>
    <w:rsid w:val="77E441F4"/>
    <w:rsid w:val="780D3F5F"/>
    <w:rsid w:val="782425AC"/>
    <w:rsid w:val="78313A5E"/>
    <w:rsid w:val="783415DF"/>
    <w:rsid w:val="783C5DCD"/>
    <w:rsid w:val="78E01A48"/>
    <w:rsid w:val="78F65A4C"/>
    <w:rsid w:val="790E0E19"/>
    <w:rsid w:val="79615903"/>
    <w:rsid w:val="796E4E17"/>
    <w:rsid w:val="797D26A4"/>
    <w:rsid w:val="797F3C93"/>
    <w:rsid w:val="79A166DA"/>
    <w:rsid w:val="79DB4509"/>
    <w:rsid w:val="7AD361E3"/>
    <w:rsid w:val="7AD80C87"/>
    <w:rsid w:val="7B33470A"/>
    <w:rsid w:val="7B8F3F36"/>
    <w:rsid w:val="7CA22418"/>
    <w:rsid w:val="7CE06C19"/>
    <w:rsid w:val="7CEC5A5F"/>
    <w:rsid w:val="7D474714"/>
    <w:rsid w:val="7D6C405F"/>
    <w:rsid w:val="7D6C6CC6"/>
    <w:rsid w:val="7DF92F90"/>
    <w:rsid w:val="7E071A44"/>
    <w:rsid w:val="7E324F08"/>
    <w:rsid w:val="7E4F2BA1"/>
    <w:rsid w:val="7E5020A2"/>
    <w:rsid w:val="7F503B7C"/>
    <w:rsid w:val="7F7930A4"/>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table of authorities"/>
    <w:basedOn w:val="1"/>
    <w:next w:val="1"/>
    <w:qFormat/>
    <w:uiPriority w:val="0"/>
    <w:pPr>
      <w:ind w:left="420" w:leftChars="20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qFormat/>
    <w:uiPriority w:val="0"/>
    <w:pPr>
      <w:tabs>
        <w:tab w:val="left" w:pos="574"/>
      </w:tabs>
      <w:spacing w:line="288" w:lineRule="auto"/>
    </w:pPr>
    <w:rPr>
      <w:rFonts w:ascii="宋体" w:hAnsi="宋体" w:eastAsia="宋体"/>
      <w:sz w:val="21"/>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4"/>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paragraph" w:styleId="22">
    <w:name w:val="Body Text First Indent"/>
    <w:basedOn w:val="10"/>
    <w:next w:val="1"/>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3"/>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12368</Words>
  <Characters>12935</Characters>
  <Lines>309</Lines>
  <Paragraphs>87</Paragraphs>
  <TotalTime>6</TotalTime>
  <ScaleCrop>false</ScaleCrop>
  <LinksUpToDate>false</LinksUpToDate>
  <CharactersWithSpaces>13137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2026-06-30T03:31:00Z</cp:lastPrinted>
  <dcterms:modified xsi:type="dcterms:W3CDTF">2026-07-09T06:45:52Z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C9D2D7BFECFF448C9466DE4A7C94137B_13</vt:lpwstr>
  </property>
  <property fmtid="{D5CDD505-2E9C-101B-9397-08002B2CF9AE}" pid="4" name="KSOTemplateDocerSaveRecord">
    <vt:lpwstr>eyJoZGlkIjoiYzhmMWRiMzViOTZmYmVjNzU2MzYzZTdhNzY5ZGM5YjMiLCJ1c2VySWQiOiIyOTA5NDI3NDUifQ==</vt:lpwstr>
  </property>
</Properties>
</file>