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lang w:val="en-US" w:eastAsia="zh-CN"/>
        </w:rPr>
      </w:pPr>
    </w:p>
    <w:p w14:paraId="10DD8B49">
      <w:pPr>
        <w:spacing w:before="140" w:line="240" w:lineRule="auto"/>
        <w:ind w:left="2276"/>
        <w:rPr>
          <w:rFonts w:hint="eastAsia" w:ascii="宋体" w:hAnsi="宋体" w:eastAsia="宋体" w:cs="宋体"/>
          <w:b/>
          <w:bCs/>
          <w:spacing w:val="-3"/>
          <w:position w:val="16"/>
          <w:sz w:val="43"/>
          <w:szCs w:val="43"/>
          <w:lang w:eastAsia="zh-CN"/>
        </w:rPr>
      </w:pPr>
      <w:r>
        <w:rPr>
          <w:rFonts w:hint="eastAsia" w:asciiTheme="minorEastAsia" w:hAnsiTheme="minorEastAsia" w:eastAsiaTheme="minorEastAsia" w:cstheme="minorEastAsia"/>
          <w:bCs/>
          <w:sz w:val="44"/>
          <w:szCs w:val="44"/>
        </w:rPr>
        <w:drawing>
          <wp:anchor distT="0" distB="0" distL="114300" distR="114300" simplePos="0" relativeHeight="251663360" behindDoc="0" locked="0" layoutInCell="1" allowOverlap="1">
            <wp:simplePos x="0" y="0"/>
            <wp:positionH relativeFrom="column">
              <wp:posOffset>-114300</wp:posOffset>
            </wp:positionH>
            <wp:positionV relativeFrom="paragraph">
              <wp:posOffset>252730</wp:posOffset>
            </wp:positionV>
            <wp:extent cx="6047105" cy="8023860"/>
            <wp:effectExtent l="0" t="0" r="10795" b="15240"/>
            <wp:wrapNone/>
            <wp:docPr id="5" name="图片 5" descr="doc10972620260708093447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oc10972620260708093447_001"/>
                    <pic:cNvPicPr>
                      <a:picLocks noChangeAspect="1"/>
                    </pic:cNvPicPr>
                  </pic:nvPicPr>
                  <pic:blipFill>
                    <a:blip r:embed="rId13"/>
                    <a:srcRect l="6537" t="9215" r="10765" b="13191"/>
                    <a:stretch>
                      <a:fillRect/>
                    </a:stretch>
                  </pic:blipFill>
                  <pic:spPr>
                    <a:xfrm>
                      <a:off x="0" y="0"/>
                      <a:ext cx="6047105" cy="8023860"/>
                    </a:xfrm>
                    <a:prstGeom prst="rect">
                      <a:avLst/>
                    </a:prstGeom>
                  </pic:spPr>
                </pic:pic>
              </a:graphicData>
            </a:graphic>
          </wp:anchor>
        </w:drawing>
      </w: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7FB66DAE">
      <w:pPr>
        <w:spacing w:line="255" w:lineRule="auto"/>
        <w:rPr>
          <w:rFonts w:ascii="Arial"/>
          <w:sz w:val="21"/>
        </w:rPr>
      </w:pPr>
    </w:p>
    <w:p w14:paraId="0259DFAE">
      <w:pPr>
        <w:spacing w:line="255" w:lineRule="auto"/>
        <w:rPr>
          <w:rFonts w:ascii="Arial"/>
          <w:sz w:val="21"/>
        </w:rPr>
      </w:pPr>
    </w:p>
    <w:p w14:paraId="6F4D38A8">
      <w:pPr>
        <w:spacing w:before="277" w:line="219" w:lineRule="auto"/>
        <w:ind w:left="929"/>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lang w:eastAsia="zh-CN"/>
        </w:rPr>
        <w:t>上盘中学教学楼及厕所门窗改造工程</w:t>
      </w:r>
    </w:p>
    <w:p w14:paraId="01DEC7A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临海市上盘中学</w:t>
      </w:r>
      <w:r>
        <w:rPr>
          <w:rFonts w:ascii="宋体" w:hAnsi="宋体" w:eastAsia="宋体" w:cs="宋体"/>
          <w:spacing w:val="7"/>
          <w:sz w:val="28"/>
          <w:szCs w:val="28"/>
        </w:rPr>
        <w:t>(盖章)</w:t>
      </w:r>
    </w:p>
    <w:p w14:paraId="080C5DA8">
      <w:pPr>
        <w:spacing w:before="277" w:line="219" w:lineRule="auto"/>
        <w:ind w:left="929"/>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cs="宋体"/>
          <w:color w:val="auto"/>
          <w:spacing w:val="7"/>
          <w:sz w:val="28"/>
          <w:szCs w:val="28"/>
          <w:highlight w:val="none"/>
          <w:lang w:val="en-US" w:eastAsia="zh-CN"/>
        </w:rPr>
        <w:t>包老师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 xml:space="preserve">0576-89118308  </w:t>
      </w:r>
    </w:p>
    <w:p w14:paraId="157142EE">
      <w:pPr>
        <w:spacing w:line="244" w:lineRule="auto"/>
        <w:rPr>
          <w:rFonts w:ascii="Arial"/>
          <w:sz w:val="21"/>
          <w:highlight w:val="none"/>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left="929"/>
        <w:rPr>
          <w:rFonts w:ascii="宋体" w:hAnsi="宋体" w:eastAsia="宋体" w:cs="宋体"/>
          <w:spacing w:val="7"/>
          <w:sz w:val="28"/>
          <w:szCs w:val="28"/>
        </w:rPr>
      </w:pPr>
      <w:r>
        <w:rPr>
          <w:rFonts w:ascii="宋体" w:hAnsi="宋体" w:eastAsia="宋体" w:cs="宋体"/>
          <w:spacing w:val="7"/>
          <w:sz w:val="28"/>
          <w:szCs w:val="28"/>
        </w:rPr>
        <w:t>招标代理机构：浙江厚德工程管理有限公司(盖章)</w:t>
      </w:r>
    </w:p>
    <w:p w14:paraId="77585CB6">
      <w:pPr>
        <w:ind w:firstLine="882" w:firstLineChars="300"/>
        <w:rPr>
          <w:rFonts w:ascii="宋体" w:hAnsi="宋体" w:eastAsia="宋体" w:cs="宋体"/>
          <w:spacing w:val="7"/>
          <w:sz w:val="28"/>
          <w:szCs w:val="28"/>
        </w:rPr>
      </w:pPr>
    </w:p>
    <w:p w14:paraId="7E3CCF32">
      <w:pPr>
        <w:ind w:firstLine="882" w:firstLineChars="300"/>
        <w:rPr>
          <w:rFonts w:hint="eastAsia" w:ascii="宋体" w:hAnsi="宋体" w:eastAsia="宋体" w:cs="宋体"/>
          <w:spacing w:val="7"/>
          <w:sz w:val="28"/>
          <w:szCs w:val="28"/>
          <w:lang w:val="en-US" w:eastAsia="zh-CN"/>
        </w:rPr>
      </w:pPr>
      <w:r>
        <w:rPr>
          <w:rFonts w:ascii="宋体" w:hAnsi="宋体" w:eastAsia="宋体" w:cs="宋体"/>
          <w:spacing w:val="7"/>
          <w:sz w:val="28"/>
          <w:szCs w:val="28"/>
        </w:rPr>
        <w:t>联系人：</w:t>
      </w:r>
      <w:r>
        <w:rPr>
          <w:rFonts w:hint="eastAsia" w:ascii="宋体" w:hAnsi="宋体" w:eastAsia="宋体" w:cs="宋体"/>
          <w:spacing w:val="7"/>
          <w:sz w:val="28"/>
          <w:szCs w:val="28"/>
          <w:lang w:val="en-US" w:eastAsia="zh-CN"/>
        </w:rPr>
        <w:t>林</w:t>
      </w:r>
      <w:r>
        <w:rPr>
          <w:rFonts w:ascii="宋体" w:hAnsi="宋体" w:eastAsia="宋体" w:cs="宋体"/>
          <w:spacing w:val="7"/>
          <w:sz w:val="28"/>
          <w:szCs w:val="28"/>
        </w:rPr>
        <w:t>先生</w:t>
      </w:r>
      <w:r>
        <w:rPr>
          <w:rFonts w:hint="eastAsia" w:ascii="宋体" w:hAnsi="宋体" w:eastAsia="宋体" w:cs="宋体"/>
          <w:spacing w:val="7"/>
          <w:sz w:val="28"/>
          <w:szCs w:val="28"/>
          <w:lang w:val="en-US" w:eastAsia="zh-CN"/>
        </w:rPr>
        <w:t xml:space="preserve">        联系电话：</w:t>
      </w:r>
      <w:r>
        <w:rPr>
          <w:rFonts w:hint="eastAsia" w:ascii="宋体" w:hAnsi="宋体" w:eastAsia="宋体" w:cs="宋体"/>
          <w:spacing w:val="-2"/>
          <w:sz w:val="28"/>
          <w:szCs w:val="28"/>
          <w:lang w:eastAsia="zh-CN"/>
        </w:rPr>
        <w:t>0576-85516715</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706B424A">
      <w:pPr>
        <w:jc w:val="center"/>
        <w:rPr>
          <w:rFonts w:hint="eastAsia" w:ascii="宋体" w:hAnsi="宋体" w:eastAsia="宋体" w:cs="宋体"/>
          <w:b/>
          <w:bCs/>
          <w:sz w:val="48"/>
          <w:szCs w:val="48"/>
        </w:rPr>
      </w:pPr>
    </w:p>
    <w:p w14:paraId="684AB9D0">
      <w:pPr>
        <w:jc w:val="center"/>
        <w:rPr>
          <w:rFonts w:hint="eastAsia" w:ascii="宋体" w:hAnsi="宋体" w:eastAsia="宋体" w:cs="宋体"/>
          <w:b/>
          <w:bCs/>
          <w:sz w:val="48"/>
          <w:szCs w:val="48"/>
        </w:r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44</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53</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w:t>
      </w:r>
      <w:bookmarkStart w:id="211" w:name="_GoBack"/>
      <w:bookmarkEnd w:id="211"/>
      <w:r>
        <w:rPr>
          <w:rFonts w:hint="eastAsia" w:ascii="宋体" w:hAnsi="宋体" w:cs="宋体"/>
          <w:sz w:val="28"/>
          <w:szCs w:val="28"/>
        </w:rPr>
        <w:t>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5</w:t>
      </w:r>
    </w:p>
    <w:p w14:paraId="1ADC2AAA">
      <w:pPr>
        <w:keepNext/>
        <w:keepLines/>
        <w:spacing w:before="120" w:after="120"/>
        <w:jc w:val="center"/>
        <w:outlineLvl w:val="0"/>
        <w:rPr>
          <w:rFonts w:ascii="黑体" w:hAnsi="黑体" w:eastAsia="黑体"/>
          <w:b/>
          <w:kern w:val="44"/>
          <w:sz w:val="30"/>
        </w:rPr>
      </w:pPr>
      <w:bookmarkStart w:id="0" w:name="_Toc5497"/>
      <w:bookmarkStart w:id="1" w:name="_Toc1787"/>
      <w:bookmarkStart w:id="2" w:name="_Toc22713"/>
      <w:bookmarkStart w:id="3" w:name="_Toc386121562"/>
      <w:bookmarkStart w:id="4" w:name="_Toc500209421"/>
      <w:bookmarkStart w:id="5" w:name="_Toc500208499"/>
      <w:bookmarkStart w:id="6" w:name="_Toc38612175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sz w:val="21"/>
              </w:rPr>
            </w:pPr>
            <w:r>
              <w:rPr>
                <w:rFonts w:hint="eastAsia" w:ascii="宋体" w:hAnsi="宋体" w:eastAsia="宋体"/>
                <w:sz w:val="21"/>
              </w:rPr>
              <w:t>序号</w:t>
            </w:r>
          </w:p>
        </w:tc>
        <w:tc>
          <w:tcPr>
            <w:tcW w:w="861" w:type="dxa"/>
            <w:vAlign w:val="center"/>
          </w:tcPr>
          <w:p w14:paraId="4F0501B5">
            <w:pPr>
              <w:jc w:val="center"/>
              <w:rPr>
                <w:rFonts w:ascii="宋体" w:hAnsi="宋体" w:eastAsia="宋体"/>
                <w:sz w:val="21"/>
              </w:rPr>
            </w:pPr>
            <w:r>
              <w:rPr>
                <w:rFonts w:hint="eastAsia" w:ascii="宋体" w:hAnsi="宋体" w:eastAsia="宋体"/>
                <w:sz w:val="21"/>
              </w:rPr>
              <w:t>条款号</w:t>
            </w:r>
          </w:p>
        </w:tc>
        <w:tc>
          <w:tcPr>
            <w:tcW w:w="1722" w:type="dxa"/>
            <w:vAlign w:val="center"/>
          </w:tcPr>
          <w:p w14:paraId="49D0BF34">
            <w:pPr>
              <w:jc w:val="center"/>
              <w:rPr>
                <w:rFonts w:ascii="宋体" w:hAnsi="宋体" w:eastAsia="宋体"/>
                <w:sz w:val="21"/>
              </w:rPr>
            </w:pPr>
            <w:r>
              <w:rPr>
                <w:rFonts w:hint="eastAsia" w:ascii="宋体" w:hAnsi="宋体" w:eastAsia="宋体"/>
                <w:sz w:val="21"/>
              </w:rPr>
              <w:t>内  容</w:t>
            </w:r>
          </w:p>
        </w:tc>
        <w:tc>
          <w:tcPr>
            <w:tcW w:w="5919" w:type="dxa"/>
            <w:vAlign w:val="center"/>
          </w:tcPr>
          <w:p w14:paraId="325C81C5">
            <w:pPr>
              <w:jc w:val="center"/>
              <w:rPr>
                <w:rFonts w:ascii="宋体" w:hAnsi="宋体" w:eastAsia="宋体"/>
                <w:sz w:val="21"/>
              </w:rPr>
            </w:pPr>
            <w:r>
              <w:rPr>
                <w:rFonts w:hint="eastAsia" w:ascii="宋体" w:hAnsi="宋体" w:eastAsia="宋体"/>
                <w:sz w:val="21"/>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0272F11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373C36CE">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lang w:eastAsia="zh-CN"/>
              </w:rPr>
            </w:pPr>
            <w:r>
              <w:rPr>
                <w:rFonts w:hint="eastAsia" w:ascii="宋体" w:hAnsi="宋体" w:eastAsia="宋体"/>
                <w:bCs/>
                <w:sz w:val="21"/>
                <w:lang w:eastAsia="zh-CN"/>
              </w:rPr>
              <w:t>上盘中学教学楼及厕所门窗改造工程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228F9741">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D5660D">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lang w:eastAsia="zh-CN"/>
              </w:rPr>
            </w:pPr>
            <w:r>
              <w:rPr>
                <w:rFonts w:hint="eastAsia" w:ascii="宋体" w:hAnsi="宋体" w:eastAsia="宋体"/>
                <w:bCs/>
                <w:sz w:val="21"/>
                <w:lang w:val="en-US" w:eastAsia="zh-CN"/>
              </w:rPr>
              <w:t>临海市上盘中学学校内</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682" w:type="dxa"/>
            <w:tcBorders>
              <w:bottom w:val="single" w:color="auto" w:sz="4" w:space="0"/>
            </w:tcBorders>
            <w:vAlign w:val="center"/>
          </w:tcPr>
          <w:p w14:paraId="5B2D6F8D">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23EE162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786CFF56">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vAlign w:val="center"/>
          </w:tcPr>
          <w:p w14:paraId="2683CE11">
            <w:pPr>
              <w:adjustRightInd w:val="0"/>
              <w:snapToGrid w:val="0"/>
              <w:rPr>
                <w:rFonts w:eastAsia="宋体"/>
              </w:rPr>
            </w:pPr>
            <w:r>
              <w:rPr>
                <w:rFonts w:hint="eastAsia" w:ascii="宋体" w:hAnsi="宋体" w:eastAsia="宋体" w:cs="Times New Roman"/>
                <w:bCs/>
                <w:sz w:val="21"/>
                <w:lang w:val="en-US" w:eastAsia="zh-CN"/>
              </w:rPr>
              <w:t>本次改造范围共两栋楼，其中求知楼为三层砖混结构，建筑消防高度为11.6米；树人楼为四层砖混结构，建筑消防高度为15.2米。改造内容：更换求知楼教室窗户、门；更换树人楼教室、办公室窗户；树人楼教室办公室新增玻璃隔断；窗户拆除后窗户四周墙体破损位置修补。</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34CBE8F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EDF575D">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vAlign w:val="center"/>
          </w:tcPr>
          <w:p w14:paraId="0D1CD4E5">
            <w:pPr>
              <w:widowControl/>
              <w:jc w:val="left"/>
              <w:rPr>
                <w:rFonts w:ascii="宋体" w:hAnsi="宋体" w:eastAsia="宋体"/>
                <w:sz w:val="21"/>
              </w:rPr>
            </w:pPr>
            <w:r>
              <w:rPr>
                <w:rFonts w:hint="eastAsia" w:ascii="宋体" w:hAnsi="宋体" w:eastAsia="宋体"/>
                <w:sz w:val="21"/>
                <w:lang w:val="en-US" w:eastAsia="zh-CN"/>
              </w:rPr>
              <w:t>449293</w:t>
            </w:r>
            <w:r>
              <w:rPr>
                <w:rFonts w:hint="eastAsia" w:ascii="宋体" w:hAnsi="宋体" w:eastAsia="宋体"/>
                <w:sz w:val="21"/>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43A162FC">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474C01">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rPr>
            </w:pPr>
            <w:r>
              <w:rPr>
                <w:rFonts w:hint="eastAsia" w:ascii="宋体" w:hAnsi="宋体" w:eastAsia="宋体"/>
                <w:sz w:val="21"/>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6AE4DD04">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FA91FD3">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rPr>
            </w:pPr>
            <w:r>
              <w:rPr>
                <w:rFonts w:hint="eastAsia" w:ascii="宋体" w:hAnsi="宋体" w:eastAsia="宋体"/>
                <w:sz w:val="21"/>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34878A52">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941D6D">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6A45862E">
            <w:pPr>
              <w:rPr>
                <w:rFonts w:ascii="宋体" w:hAnsi="宋体" w:eastAsia="宋体"/>
                <w:sz w:val="21"/>
                <w:highlight w:val="none"/>
              </w:rPr>
            </w:pPr>
            <w:r>
              <w:rPr>
                <w:rFonts w:hint="eastAsia" w:ascii="宋体" w:hAnsi="宋体" w:eastAsia="宋体"/>
                <w:sz w:val="21"/>
                <w:highlight w:val="none"/>
              </w:rPr>
              <w:t>不超过</w:t>
            </w:r>
            <w:r>
              <w:rPr>
                <w:rFonts w:hint="eastAsia" w:ascii="宋体" w:hAnsi="宋体" w:eastAsia="宋体"/>
                <w:sz w:val="21"/>
                <w:highlight w:val="none"/>
                <w:lang w:val="en-US" w:eastAsia="zh-CN"/>
              </w:rPr>
              <w:t>30</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rPr>
            </w:pPr>
            <w:r>
              <w:rPr>
                <w:rFonts w:hint="eastAsia" w:ascii="宋体" w:hAnsi="宋体" w:eastAsia="宋体"/>
                <w:sz w:val="21"/>
              </w:rPr>
              <w:t>8</w:t>
            </w:r>
          </w:p>
        </w:tc>
        <w:tc>
          <w:tcPr>
            <w:tcW w:w="861" w:type="dxa"/>
            <w:vAlign w:val="center"/>
          </w:tcPr>
          <w:p w14:paraId="74E5CCFF">
            <w:pPr>
              <w:jc w:val="center"/>
              <w:rPr>
                <w:rFonts w:ascii="宋体" w:hAnsi="宋体" w:eastAsia="宋体"/>
                <w:sz w:val="21"/>
              </w:rPr>
            </w:pPr>
            <w:r>
              <w:rPr>
                <w:rFonts w:hint="eastAsia" w:ascii="宋体" w:hAnsi="宋体" w:eastAsia="宋体"/>
                <w:sz w:val="21"/>
              </w:rPr>
              <w:t>2.1</w:t>
            </w:r>
          </w:p>
        </w:tc>
        <w:tc>
          <w:tcPr>
            <w:tcW w:w="1722" w:type="dxa"/>
            <w:vAlign w:val="center"/>
          </w:tcPr>
          <w:p w14:paraId="6F714273">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631DC75">
            <w:pPr>
              <w:rPr>
                <w:rFonts w:ascii="宋体" w:hAnsi="宋体" w:eastAsia="宋体"/>
                <w:sz w:val="21"/>
              </w:rPr>
            </w:pPr>
            <w:r>
              <w:rPr>
                <w:rFonts w:hint="eastAsia" w:ascii="宋体" w:hAnsi="宋体" w:eastAsia="宋体"/>
                <w:sz w:val="21"/>
                <w:lang w:val="en-US" w:eastAsia="zh-CN"/>
              </w:rPr>
              <w:t>公开</w:t>
            </w:r>
            <w:r>
              <w:rPr>
                <w:rFonts w:hint="eastAsia" w:ascii="宋体" w:hAnsi="宋体" w:eastAsia="宋体"/>
                <w:sz w:val="21"/>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2" w:hRule="atLeast"/>
        </w:trPr>
        <w:tc>
          <w:tcPr>
            <w:tcW w:w="682" w:type="dxa"/>
            <w:tcBorders>
              <w:bottom w:val="single" w:color="auto" w:sz="4" w:space="0"/>
            </w:tcBorders>
            <w:vAlign w:val="center"/>
          </w:tcPr>
          <w:p w14:paraId="72F685A8">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461EF425">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vAlign w:val="center"/>
          </w:tcPr>
          <w:p w14:paraId="05F849A8">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rPr>
            </w:pPr>
            <w:r>
              <w:rPr>
                <w:rFonts w:hint="eastAsia" w:ascii="宋体" w:hAnsi="宋体" w:eastAsia="宋体"/>
                <w:sz w:val="21"/>
              </w:rPr>
              <w:t>招标人</w:t>
            </w:r>
            <w:r>
              <w:rPr>
                <w:rFonts w:hint="eastAsia" w:ascii="宋体" w:hAnsi="宋体" w:eastAsia="宋体"/>
                <w:sz w:val="21"/>
                <w:lang w:val="en-US" w:eastAsia="zh-CN"/>
              </w:rPr>
              <w:t>提供的图纸范围内</w:t>
            </w:r>
            <w:r>
              <w:rPr>
                <w:rFonts w:hint="eastAsia" w:ascii="宋体" w:hAnsi="宋体" w:eastAsia="宋体"/>
                <w:sz w:val="21"/>
              </w:rPr>
              <w:t>所包含的</w:t>
            </w:r>
            <w:r>
              <w:rPr>
                <w:rFonts w:hint="eastAsia" w:ascii="宋体" w:hAnsi="宋体" w:eastAsia="宋体"/>
                <w:sz w:val="21"/>
                <w:lang w:eastAsia="zh-CN"/>
              </w:rPr>
              <w:t>上盘中学教学楼及厕所门窗改造工程</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sz w:val="21"/>
                <w:highlight w:val="none"/>
                <w:lang w:val="en-US" w:eastAsia="zh-CN"/>
              </w:rPr>
            </w:pPr>
            <w:r>
              <w:rPr>
                <w:rFonts w:hint="eastAsia" w:ascii="宋体" w:hAnsi="宋体" w:eastAsia="宋体"/>
                <w:color w:val="auto"/>
                <w:sz w:val="21"/>
                <w:highlight w:val="none"/>
                <w:lang w:val="en-US" w:eastAsia="zh-CN"/>
              </w:rPr>
              <w:t>上级拨款</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ascii="宋体" w:hAnsi="宋体" w:eastAsia="宋体"/>
                <w:sz w:val="21"/>
                <w:highlight w:val="none"/>
              </w:rPr>
            </w:pPr>
            <w:r>
              <w:rPr>
                <w:rFonts w:hint="eastAsia" w:ascii="宋体" w:hAnsi="宋体" w:eastAsia="宋体"/>
                <w:sz w:val="21"/>
                <w:highlight w:val="none"/>
                <w:lang w:eastAsia="zh-CN"/>
              </w:rPr>
              <w:t>全国范围内具有建筑</w:t>
            </w:r>
            <w:r>
              <w:rPr>
                <w:rFonts w:hint="eastAsia" w:ascii="宋体" w:hAnsi="宋体" w:eastAsia="宋体"/>
                <w:sz w:val="21"/>
                <w:highlight w:val="none"/>
                <w:lang w:val="en-US" w:eastAsia="zh-CN"/>
              </w:rPr>
              <w:t>装修装饰工程专业承包二</w:t>
            </w:r>
            <w:r>
              <w:rPr>
                <w:rFonts w:hint="eastAsia" w:ascii="宋体" w:hAnsi="宋体" w:eastAsia="宋体"/>
                <w:sz w:val="21"/>
                <w:highlight w:val="none"/>
                <w:lang w:eastAsia="zh-CN"/>
              </w:rPr>
              <w:t>级及以上资质</w:t>
            </w:r>
            <w:r>
              <w:rPr>
                <w:rFonts w:hint="eastAsia" w:ascii="宋体" w:hAnsi="宋体" w:eastAsia="宋体"/>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rPr>
            </w:pPr>
            <w:r>
              <w:rPr>
                <w:rFonts w:hint="eastAsia" w:ascii="宋体" w:hAnsi="宋体" w:eastAsia="宋体"/>
                <w:sz w:val="21"/>
              </w:rPr>
              <w:t>12</w:t>
            </w:r>
          </w:p>
        </w:tc>
        <w:tc>
          <w:tcPr>
            <w:tcW w:w="861" w:type="dxa"/>
            <w:vAlign w:val="center"/>
          </w:tcPr>
          <w:p w14:paraId="071C2032">
            <w:pPr>
              <w:jc w:val="center"/>
              <w:rPr>
                <w:rFonts w:ascii="宋体" w:hAnsi="宋体" w:eastAsia="宋体"/>
                <w:sz w:val="21"/>
              </w:rPr>
            </w:pPr>
            <w:r>
              <w:rPr>
                <w:rFonts w:hint="eastAsia" w:ascii="宋体" w:hAnsi="宋体" w:eastAsia="宋体"/>
                <w:sz w:val="21"/>
              </w:rPr>
              <w:t>4.1</w:t>
            </w:r>
          </w:p>
        </w:tc>
        <w:tc>
          <w:tcPr>
            <w:tcW w:w="1722" w:type="dxa"/>
            <w:vAlign w:val="center"/>
          </w:tcPr>
          <w:p w14:paraId="2F8262A5">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6D6D9A2C">
            <w:pPr>
              <w:rPr>
                <w:rFonts w:ascii="宋体" w:hAnsi="宋体" w:eastAsia="宋体"/>
                <w:sz w:val="21"/>
              </w:rPr>
            </w:pPr>
            <w:r>
              <w:rPr>
                <w:rFonts w:hint="eastAsia" w:ascii="宋体" w:hAnsi="宋体" w:eastAsia="宋体"/>
                <w:sz w:val="21"/>
                <w:lang w:eastAsia="zh-CN"/>
              </w:rPr>
              <w:t>注册建造师（建筑工程）二级及以上</w:t>
            </w:r>
            <w:r>
              <w:rPr>
                <w:rFonts w:hint="eastAsia" w:ascii="宋体" w:hAnsi="宋体" w:eastAsia="宋体"/>
                <w:sz w:val="21"/>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rPr>
            </w:pPr>
            <w:r>
              <w:rPr>
                <w:rFonts w:hint="eastAsia" w:ascii="宋体" w:hAnsi="宋体" w:eastAsia="宋体"/>
                <w:sz w:val="21"/>
              </w:rPr>
              <w:t>13</w:t>
            </w:r>
          </w:p>
        </w:tc>
        <w:tc>
          <w:tcPr>
            <w:tcW w:w="861" w:type="dxa"/>
            <w:vAlign w:val="center"/>
          </w:tcPr>
          <w:p w14:paraId="50F815BB">
            <w:pPr>
              <w:jc w:val="center"/>
              <w:rPr>
                <w:rFonts w:ascii="宋体" w:hAnsi="宋体" w:eastAsia="宋体"/>
                <w:sz w:val="21"/>
              </w:rPr>
            </w:pPr>
            <w:r>
              <w:rPr>
                <w:rFonts w:hint="eastAsia" w:ascii="宋体" w:hAnsi="宋体" w:eastAsia="宋体"/>
                <w:sz w:val="21"/>
              </w:rPr>
              <w:t>4.2</w:t>
            </w:r>
          </w:p>
        </w:tc>
        <w:tc>
          <w:tcPr>
            <w:tcW w:w="1722" w:type="dxa"/>
            <w:vAlign w:val="center"/>
          </w:tcPr>
          <w:p w14:paraId="6C6785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1721969B">
            <w:pPr>
              <w:rPr>
                <w:rFonts w:ascii="宋体" w:hAnsi="宋体" w:eastAsia="宋体"/>
                <w:sz w:val="21"/>
              </w:rPr>
            </w:pPr>
            <w:r>
              <w:rPr>
                <w:rFonts w:hint="eastAsia" w:ascii="宋体" w:hAnsi="宋体" w:eastAsia="宋体"/>
                <w:sz w:val="21"/>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rPr>
            </w:pPr>
            <w:r>
              <w:rPr>
                <w:rFonts w:hint="eastAsia" w:ascii="宋体" w:hAnsi="宋体" w:eastAsia="宋体"/>
                <w:sz w:val="21"/>
              </w:rPr>
              <w:t>14</w:t>
            </w:r>
          </w:p>
        </w:tc>
        <w:tc>
          <w:tcPr>
            <w:tcW w:w="861" w:type="dxa"/>
            <w:vAlign w:val="center"/>
          </w:tcPr>
          <w:p w14:paraId="6A58A026">
            <w:pPr>
              <w:jc w:val="center"/>
              <w:rPr>
                <w:rFonts w:ascii="宋体" w:hAnsi="宋体" w:eastAsia="宋体"/>
                <w:sz w:val="21"/>
              </w:rPr>
            </w:pPr>
            <w:r>
              <w:rPr>
                <w:rFonts w:hint="eastAsia" w:ascii="宋体" w:hAnsi="宋体" w:eastAsia="宋体"/>
                <w:sz w:val="21"/>
              </w:rPr>
              <w:t>13.1</w:t>
            </w:r>
          </w:p>
        </w:tc>
        <w:tc>
          <w:tcPr>
            <w:tcW w:w="1722" w:type="dxa"/>
            <w:vAlign w:val="center"/>
          </w:tcPr>
          <w:p w14:paraId="6AC4ECB0">
            <w:pPr>
              <w:jc w:val="center"/>
              <w:rPr>
                <w:rFonts w:ascii="宋体" w:hAnsi="宋体" w:eastAsia="宋体"/>
                <w:sz w:val="21"/>
              </w:rPr>
            </w:pPr>
            <w:r>
              <w:rPr>
                <w:rFonts w:hint="eastAsia" w:ascii="宋体" w:hAnsi="宋体" w:eastAsia="宋体"/>
                <w:sz w:val="21"/>
              </w:rPr>
              <w:t>电子投标文件组成</w:t>
            </w:r>
          </w:p>
        </w:tc>
        <w:tc>
          <w:tcPr>
            <w:tcW w:w="5919" w:type="dxa"/>
          </w:tcPr>
          <w:p w14:paraId="7B2D3224">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1E1DB9D0">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56208308">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64A57215">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7F16832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D19BC3E">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6E7D4F6">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601F8915">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4465D35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78EE9B">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01503978">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（7）法定代表人授权委托书（投标文件格式八）或法定代表人身份证明（投标文件格式九）</w:t>
            </w:r>
            <w:r>
              <w:rPr>
                <w:rFonts w:hint="eastAsia" w:ascii="宋体" w:hAnsi="宋体" w:eastAsia="宋体" w:cs="宋体"/>
                <w:sz w:val="21"/>
                <w:szCs w:val="21"/>
              </w:rPr>
              <w:t>；</w:t>
            </w:r>
          </w:p>
          <w:p w14:paraId="42505C56">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73253C09">
            <w:pPr>
              <w:pStyle w:val="5"/>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3DF445B2">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6249413E">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rPr>
            </w:pPr>
            <w:r>
              <w:rPr>
                <w:rFonts w:hint="eastAsia" w:ascii="宋体" w:hAnsi="宋体" w:eastAsia="宋体"/>
                <w:sz w:val="21"/>
              </w:rPr>
              <w:t>15</w:t>
            </w:r>
          </w:p>
        </w:tc>
        <w:tc>
          <w:tcPr>
            <w:tcW w:w="861" w:type="dxa"/>
            <w:vAlign w:val="center"/>
          </w:tcPr>
          <w:p w14:paraId="6F2D755E">
            <w:pPr>
              <w:jc w:val="center"/>
              <w:rPr>
                <w:rFonts w:ascii="宋体" w:hAnsi="宋体" w:eastAsia="宋体"/>
                <w:sz w:val="21"/>
              </w:rPr>
            </w:pPr>
            <w:r>
              <w:rPr>
                <w:rFonts w:hint="eastAsia" w:ascii="宋体" w:hAnsi="宋体" w:eastAsia="宋体"/>
                <w:sz w:val="21"/>
              </w:rPr>
              <w:t>14.1</w:t>
            </w:r>
          </w:p>
        </w:tc>
        <w:tc>
          <w:tcPr>
            <w:tcW w:w="1722" w:type="dxa"/>
            <w:vAlign w:val="center"/>
          </w:tcPr>
          <w:p w14:paraId="5EB7E243">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0A63B847">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322270C5">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rPr>
            </w:pPr>
            <w:r>
              <w:rPr>
                <w:rFonts w:hint="eastAsia" w:ascii="宋体" w:hAnsi="宋体" w:eastAsia="宋体"/>
                <w:sz w:val="21"/>
              </w:rPr>
              <w:t>16</w:t>
            </w:r>
          </w:p>
        </w:tc>
        <w:tc>
          <w:tcPr>
            <w:tcW w:w="861" w:type="dxa"/>
            <w:vAlign w:val="center"/>
          </w:tcPr>
          <w:p w14:paraId="260B3FD5">
            <w:pPr>
              <w:jc w:val="center"/>
              <w:rPr>
                <w:rFonts w:ascii="宋体" w:hAnsi="宋体" w:eastAsia="宋体"/>
                <w:sz w:val="21"/>
              </w:rPr>
            </w:pPr>
            <w:r>
              <w:rPr>
                <w:rFonts w:hint="eastAsia" w:ascii="宋体" w:hAnsi="宋体" w:eastAsia="宋体"/>
                <w:sz w:val="21"/>
              </w:rPr>
              <w:t>15.1</w:t>
            </w:r>
          </w:p>
        </w:tc>
        <w:tc>
          <w:tcPr>
            <w:tcW w:w="1722" w:type="dxa"/>
            <w:vAlign w:val="center"/>
          </w:tcPr>
          <w:p w14:paraId="593C2FE3">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2C52EBE7">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rPr>
            </w:pPr>
            <w:r>
              <w:rPr>
                <w:rFonts w:hint="eastAsia" w:ascii="宋体" w:hAnsi="宋体" w:eastAsia="宋体"/>
                <w:sz w:val="21"/>
              </w:rPr>
              <w:t>17</w:t>
            </w:r>
          </w:p>
        </w:tc>
        <w:tc>
          <w:tcPr>
            <w:tcW w:w="861" w:type="dxa"/>
            <w:vAlign w:val="center"/>
          </w:tcPr>
          <w:p w14:paraId="5760DCFA">
            <w:pPr>
              <w:jc w:val="center"/>
              <w:rPr>
                <w:rFonts w:ascii="宋体" w:hAnsi="宋体" w:eastAsia="宋体"/>
                <w:sz w:val="21"/>
              </w:rPr>
            </w:pPr>
            <w:r>
              <w:rPr>
                <w:rFonts w:hint="eastAsia" w:ascii="宋体" w:hAnsi="宋体" w:eastAsia="宋体"/>
                <w:sz w:val="21"/>
              </w:rPr>
              <w:t>16.3</w:t>
            </w:r>
          </w:p>
        </w:tc>
        <w:tc>
          <w:tcPr>
            <w:tcW w:w="1722" w:type="dxa"/>
            <w:vAlign w:val="center"/>
          </w:tcPr>
          <w:p w14:paraId="214C5788">
            <w:pPr>
              <w:jc w:val="center"/>
              <w:rPr>
                <w:rFonts w:ascii="宋体" w:hAnsi="宋体" w:eastAsia="宋体"/>
                <w:sz w:val="21"/>
              </w:rPr>
            </w:pPr>
            <w:r>
              <w:rPr>
                <w:rFonts w:hint="eastAsia" w:ascii="宋体" w:hAnsi="宋体" w:eastAsia="宋体"/>
                <w:sz w:val="21"/>
              </w:rPr>
              <w:t>投标报价要求</w:t>
            </w:r>
          </w:p>
        </w:tc>
        <w:tc>
          <w:tcPr>
            <w:tcW w:w="5919" w:type="dxa"/>
            <w:vAlign w:val="center"/>
          </w:tcPr>
          <w:p w14:paraId="68767A99">
            <w:pPr>
              <w:pStyle w:val="9"/>
              <w:rPr>
                <w:rFonts w:hint="eastAsia" w:cs="宋体"/>
                <w:b w:val="0"/>
                <w:bCs w:val="0"/>
                <w:szCs w:val="21"/>
                <w:highlight w:val="none"/>
              </w:rPr>
            </w:pPr>
            <w:r>
              <w:rPr>
                <w:rFonts w:hint="eastAsia" w:cs="宋体"/>
                <w:b w:val="0"/>
                <w:bCs w:val="0"/>
                <w:szCs w:val="21"/>
                <w:highlight w:val="none"/>
              </w:rPr>
              <w:t>招标控制价：</w:t>
            </w:r>
            <w:r>
              <w:rPr>
                <w:rFonts w:hint="eastAsia" w:cs="宋体"/>
                <w:b w:val="0"/>
                <w:bCs w:val="0"/>
                <w:szCs w:val="21"/>
                <w:highlight w:val="none"/>
                <w:u w:val="single"/>
                <w:lang w:val="en-US" w:eastAsia="zh-CN"/>
              </w:rPr>
              <w:t>449293</w:t>
            </w:r>
            <w:r>
              <w:rPr>
                <w:rFonts w:hint="eastAsia" w:cs="宋体"/>
                <w:b w:val="0"/>
                <w:bCs w:val="0"/>
                <w:szCs w:val="21"/>
                <w:highlight w:val="none"/>
              </w:rPr>
              <w:t>元；</w:t>
            </w:r>
          </w:p>
          <w:p w14:paraId="2274408B">
            <w:pPr>
              <w:pStyle w:val="9"/>
              <w:rPr>
                <w:b/>
                <w:sz w:val="24"/>
                <w:szCs w:val="24"/>
                <w:highlight w:val="none"/>
              </w:rPr>
            </w:pPr>
            <w:r>
              <w:rPr>
                <w:rFonts w:hint="eastAsia" w:cs="宋体"/>
                <w:b w:val="0"/>
                <w:bCs w:val="0"/>
                <w:szCs w:val="21"/>
                <w:highlight w:val="none"/>
              </w:rPr>
              <w:t>最高投标限价：</w:t>
            </w:r>
            <w:r>
              <w:rPr>
                <w:rFonts w:hint="eastAsia" w:cs="宋体"/>
                <w:b w:val="0"/>
                <w:bCs w:val="0"/>
                <w:szCs w:val="21"/>
                <w:highlight w:val="none"/>
                <w:u w:val="single"/>
                <w:lang w:val="en-US" w:eastAsia="zh-CN"/>
              </w:rPr>
              <w:t>390885</w:t>
            </w:r>
            <w:r>
              <w:rPr>
                <w:rFonts w:hint="eastAsia" w:cs="宋体"/>
                <w:b w:val="0"/>
                <w:bCs w:val="0"/>
                <w:szCs w:val="21"/>
                <w:highlight w:val="none"/>
              </w:rPr>
              <w:t>元。(招标控制价×</w:t>
            </w:r>
            <w:r>
              <w:rPr>
                <w:rFonts w:hint="eastAsia" w:cs="宋体"/>
                <w:b w:val="0"/>
                <w:bCs w:val="0"/>
                <w:szCs w:val="21"/>
                <w:highlight w:val="none"/>
                <w:lang w:val="en-US" w:eastAsia="zh-CN"/>
              </w:rPr>
              <w:t>87</w:t>
            </w:r>
            <w:r>
              <w:rPr>
                <w:rFonts w:hint="eastAsia" w:cs="宋体"/>
                <w:b w:val="0"/>
                <w:bCs w:val="0"/>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rPr>
            </w:pPr>
            <w:r>
              <w:rPr>
                <w:rFonts w:hint="eastAsia" w:ascii="宋体" w:hAnsi="宋体" w:eastAsia="宋体"/>
                <w:sz w:val="21"/>
              </w:rPr>
              <w:t>18</w:t>
            </w:r>
          </w:p>
        </w:tc>
        <w:tc>
          <w:tcPr>
            <w:tcW w:w="861" w:type="dxa"/>
            <w:vAlign w:val="center"/>
          </w:tcPr>
          <w:p w14:paraId="3E497359">
            <w:pPr>
              <w:jc w:val="center"/>
              <w:rPr>
                <w:rFonts w:ascii="宋体" w:hAnsi="宋体" w:eastAsia="宋体"/>
                <w:sz w:val="21"/>
              </w:rPr>
            </w:pPr>
            <w:r>
              <w:rPr>
                <w:rFonts w:hint="eastAsia" w:ascii="宋体" w:hAnsi="宋体" w:eastAsia="宋体"/>
                <w:sz w:val="21"/>
              </w:rPr>
              <w:t>17.1</w:t>
            </w:r>
          </w:p>
        </w:tc>
        <w:tc>
          <w:tcPr>
            <w:tcW w:w="1722" w:type="dxa"/>
            <w:vAlign w:val="center"/>
          </w:tcPr>
          <w:p w14:paraId="153FF640">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lang w:val="en-US" w:eastAsia="zh-CN"/>
              </w:rPr>
              <w:t>7000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 担保形式：网上银行转账。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lang w:val="en-US" w:eastAsia="zh-CN"/>
              </w:rPr>
              <w:t>临海市上盘中学</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①用工程电子保函形式：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②用工程纸质保函形式：保费应一函一付，通过企业基本账户支付。投标人须在投标截止时间前在开标现场递交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递交方式：开标现场递交；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接收人：浙江厚德工程管理有限公司（代理机构）；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接收人联系方式：0576-885516715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rPr>
            </w:pPr>
            <w:r>
              <w:rPr>
                <w:rFonts w:hint="eastAsia" w:ascii="宋体" w:hAnsi="宋体" w:eastAsia="宋体"/>
                <w:sz w:val="21"/>
              </w:rPr>
              <w:t xml:space="preserve"> 19</w:t>
            </w:r>
          </w:p>
        </w:tc>
        <w:tc>
          <w:tcPr>
            <w:tcW w:w="861" w:type="dxa"/>
            <w:vAlign w:val="center"/>
          </w:tcPr>
          <w:p w14:paraId="5D935A27">
            <w:pPr>
              <w:jc w:val="center"/>
              <w:rPr>
                <w:rFonts w:ascii="宋体" w:hAnsi="宋体" w:eastAsia="宋体"/>
                <w:sz w:val="21"/>
              </w:rPr>
            </w:pPr>
            <w:r>
              <w:rPr>
                <w:rFonts w:hint="eastAsia" w:ascii="宋体" w:hAnsi="宋体" w:eastAsia="宋体"/>
                <w:sz w:val="21"/>
              </w:rPr>
              <w:t>18.1</w:t>
            </w:r>
          </w:p>
        </w:tc>
        <w:tc>
          <w:tcPr>
            <w:tcW w:w="1722" w:type="dxa"/>
            <w:vAlign w:val="center"/>
          </w:tcPr>
          <w:p w14:paraId="5AE30DBF">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6251B109">
            <w:pPr>
              <w:rPr>
                <w:rFonts w:ascii="宋体" w:hAnsi="宋体" w:eastAsia="宋体"/>
                <w:sz w:val="21"/>
              </w:rPr>
            </w:pPr>
            <w:r>
              <w:rPr>
                <w:rFonts w:hint="eastAsia" w:ascii="宋体" w:hAnsi="宋体" w:eastAsia="宋体"/>
                <w:sz w:val="21"/>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rPr>
            </w:pPr>
            <w:r>
              <w:rPr>
                <w:rFonts w:hint="eastAsia" w:ascii="宋体" w:hAnsi="宋体" w:eastAsia="宋体"/>
                <w:sz w:val="21"/>
              </w:rPr>
              <w:t>20</w:t>
            </w:r>
          </w:p>
        </w:tc>
        <w:tc>
          <w:tcPr>
            <w:tcW w:w="861" w:type="dxa"/>
            <w:vAlign w:val="center"/>
          </w:tcPr>
          <w:p w14:paraId="6EE3A336">
            <w:pPr>
              <w:jc w:val="center"/>
              <w:rPr>
                <w:rFonts w:ascii="宋体" w:hAnsi="宋体" w:eastAsia="宋体"/>
                <w:sz w:val="21"/>
              </w:rPr>
            </w:pPr>
            <w:r>
              <w:rPr>
                <w:rFonts w:hint="eastAsia" w:ascii="宋体" w:hAnsi="宋体" w:eastAsia="宋体"/>
                <w:sz w:val="21"/>
              </w:rPr>
              <w:t>19.1</w:t>
            </w:r>
          </w:p>
        </w:tc>
        <w:tc>
          <w:tcPr>
            <w:tcW w:w="1722" w:type="dxa"/>
            <w:vAlign w:val="center"/>
          </w:tcPr>
          <w:p w14:paraId="43CA6A94">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212E18F7">
            <w:pPr>
              <w:rPr>
                <w:rFonts w:ascii="宋体" w:hAnsi="宋体" w:eastAsia="宋体"/>
                <w:sz w:val="21"/>
              </w:rPr>
            </w:pPr>
            <w:r>
              <w:rPr>
                <w:rFonts w:hint="eastAsia" w:ascii="宋体" w:hAnsi="宋体" w:eastAsia="宋体"/>
                <w:sz w:val="21"/>
              </w:rPr>
              <w:t>投标文件份数：</w:t>
            </w:r>
          </w:p>
          <w:p w14:paraId="17959D66">
            <w:pPr>
              <w:rPr>
                <w:rFonts w:ascii="宋体" w:hAnsi="宋体" w:eastAsia="宋体"/>
                <w:b/>
                <w:sz w:val="21"/>
              </w:rPr>
            </w:pPr>
            <w:r>
              <w:rPr>
                <w:rFonts w:hint="eastAsia" w:ascii="宋体" w:hAnsi="宋体" w:eastAsia="宋体"/>
                <w:sz w:val="21"/>
              </w:rPr>
              <w:t>a加密电子投标文件（.投标文件）一份（上传至交易平台），作为投标文件正本。</w:t>
            </w:r>
          </w:p>
          <w:p w14:paraId="496621D1">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rPr>
            </w:pPr>
            <w:r>
              <w:rPr>
                <w:rFonts w:hint="eastAsia" w:ascii="宋体" w:hAnsi="宋体" w:eastAsia="宋体"/>
                <w:sz w:val="21"/>
              </w:rPr>
              <w:t>21</w:t>
            </w:r>
          </w:p>
        </w:tc>
        <w:tc>
          <w:tcPr>
            <w:tcW w:w="861" w:type="dxa"/>
            <w:vAlign w:val="center"/>
          </w:tcPr>
          <w:p w14:paraId="7A6BEB9F">
            <w:pPr>
              <w:jc w:val="center"/>
              <w:rPr>
                <w:rFonts w:ascii="宋体" w:hAnsi="宋体" w:eastAsia="宋体"/>
                <w:sz w:val="21"/>
              </w:rPr>
            </w:pPr>
            <w:r>
              <w:rPr>
                <w:rFonts w:hint="eastAsia" w:ascii="宋体" w:hAnsi="宋体" w:eastAsia="宋体"/>
                <w:sz w:val="21"/>
              </w:rPr>
              <w:t>20.1</w:t>
            </w:r>
          </w:p>
        </w:tc>
        <w:tc>
          <w:tcPr>
            <w:tcW w:w="1722" w:type="dxa"/>
            <w:vAlign w:val="center"/>
          </w:tcPr>
          <w:p w14:paraId="438BAA4C">
            <w:pPr>
              <w:jc w:val="center"/>
              <w:rPr>
                <w:rFonts w:ascii="宋体" w:hAnsi="宋体" w:eastAsia="宋体"/>
                <w:sz w:val="21"/>
              </w:rPr>
            </w:pPr>
            <w:r>
              <w:rPr>
                <w:rFonts w:hint="eastAsia" w:ascii="宋体" w:hAnsi="宋体" w:eastAsia="宋体"/>
                <w:sz w:val="21"/>
              </w:rPr>
              <w:t>投标文件递交</w:t>
            </w:r>
          </w:p>
          <w:p w14:paraId="0AF40002">
            <w:pPr>
              <w:jc w:val="center"/>
              <w:rPr>
                <w:rFonts w:ascii="宋体" w:hAnsi="宋体" w:eastAsia="宋体"/>
                <w:sz w:val="21"/>
              </w:rPr>
            </w:pPr>
            <w:r>
              <w:rPr>
                <w:rFonts w:hint="eastAsia" w:ascii="宋体" w:hAnsi="宋体" w:eastAsia="宋体"/>
                <w:sz w:val="21"/>
              </w:rPr>
              <w:t>要求</w:t>
            </w:r>
          </w:p>
        </w:tc>
        <w:tc>
          <w:tcPr>
            <w:tcW w:w="5919" w:type="dxa"/>
            <w:vAlign w:val="center"/>
          </w:tcPr>
          <w:p w14:paraId="0DB7A503">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rPr>
            </w:pPr>
            <w:r>
              <w:rPr>
                <w:rFonts w:hint="eastAsia" w:ascii="宋体" w:hAnsi="宋体" w:eastAsia="宋体"/>
                <w:sz w:val="21"/>
              </w:rPr>
              <w:t>22</w:t>
            </w:r>
          </w:p>
        </w:tc>
        <w:tc>
          <w:tcPr>
            <w:tcW w:w="861" w:type="dxa"/>
            <w:vAlign w:val="center"/>
          </w:tcPr>
          <w:p w14:paraId="08971923">
            <w:pPr>
              <w:jc w:val="center"/>
              <w:rPr>
                <w:rFonts w:ascii="宋体" w:hAnsi="宋体" w:eastAsia="宋体"/>
                <w:sz w:val="21"/>
              </w:rPr>
            </w:pPr>
            <w:r>
              <w:rPr>
                <w:rFonts w:hint="eastAsia" w:ascii="宋体" w:hAnsi="宋体" w:eastAsia="宋体"/>
                <w:sz w:val="21"/>
              </w:rPr>
              <w:t>20.3</w:t>
            </w:r>
          </w:p>
        </w:tc>
        <w:tc>
          <w:tcPr>
            <w:tcW w:w="1722" w:type="dxa"/>
            <w:vAlign w:val="center"/>
          </w:tcPr>
          <w:p w14:paraId="70769A6E">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vAlign w:val="center"/>
          </w:tcPr>
          <w:p w14:paraId="36AB0374">
            <w:pPr>
              <w:jc w:val="left"/>
              <w:rPr>
                <w:rFonts w:ascii="宋体" w:hAnsi="宋体" w:eastAsia="宋体"/>
                <w:sz w:val="21"/>
                <w:u w:val="single"/>
              </w:rPr>
            </w:pPr>
            <w:r>
              <w:rPr>
                <w:rFonts w:hint="eastAsia" w:ascii="宋体" w:hAnsi="宋体" w:eastAsia="宋体"/>
                <w:b/>
                <w:bCs/>
                <w:sz w:val="21"/>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rPr>
            </w:pPr>
            <w:r>
              <w:rPr>
                <w:rFonts w:hint="eastAsia" w:ascii="宋体" w:hAnsi="宋体" w:eastAsia="宋体"/>
                <w:sz w:val="21"/>
              </w:rPr>
              <w:t>23</w:t>
            </w:r>
          </w:p>
        </w:tc>
        <w:tc>
          <w:tcPr>
            <w:tcW w:w="861" w:type="dxa"/>
            <w:vAlign w:val="center"/>
          </w:tcPr>
          <w:p w14:paraId="323BCF34">
            <w:pPr>
              <w:jc w:val="center"/>
              <w:rPr>
                <w:rFonts w:ascii="宋体" w:hAnsi="宋体" w:eastAsia="宋体"/>
                <w:sz w:val="21"/>
              </w:rPr>
            </w:pPr>
            <w:r>
              <w:rPr>
                <w:rFonts w:hint="eastAsia" w:ascii="宋体" w:hAnsi="宋体" w:eastAsia="宋体"/>
                <w:sz w:val="21"/>
              </w:rPr>
              <w:t>21.1</w:t>
            </w:r>
          </w:p>
        </w:tc>
        <w:tc>
          <w:tcPr>
            <w:tcW w:w="1722" w:type="dxa"/>
            <w:vAlign w:val="center"/>
          </w:tcPr>
          <w:p w14:paraId="0CDED522">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5004C4A2">
            <w:pPr>
              <w:rPr>
                <w:rFonts w:ascii="宋体" w:hAnsi="宋体" w:eastAsia="宋体"/>
                <w:sz w:val="21"/>
              </w:rPr>
            </w:pPr>
            <w:r>
              <w:rPr>
                <w:rFonts w:hint="eastAsia" w:ascii="宋体" w:hAnsi="宋体" w:eastAsia="宋体"/>
                <w:sz w:val="21"/>
              </w:rPr>
              <w:t>开标时间：同投标截止时间</w:t>
            </w:r>
          </w:p>
          <w:p w14:paraId="1CE7993C">
            <w:pPr>
              <w:rPr>
                <w:rFonts w:ascii="宋体" w:hAnsi="宋体" w:eastAsia="宋体"/>
                <w:sz w:val="21"/>
              </w:rPr>
            </w:pPr>
            <w:r>
              <w:rPr>
                <w:rFonts w:hint="eastAsia" w:ascii="宋体" w:hAnsi="宋体" w:eastAsia="宋体"/>
                <w:sz w:val="21"/>
              </w:rPr>
              <w:t>开标地点：</w:t>
            </w:r>
            <w:r>
              <w:rPr>
                <w:rFonts w:ascii="Arial" w:hAnsi="Arial" w:eastAsia="宋体" w:cs="Arial"/>
                <w:color w:val="333333"/>
                <w:sz w:val="21"/>
                <w:szCs w:val="21"/>
                <w:shd w:val="clear" w:color="auto" w:fill="FFFFFF"/>
              </w:rPr>
              <w:t>临海市限额以下公共资源交易区域平台</w:t>
            </w:r>
            <w:r>
              <w:rPr>
                <w:rFonts w:hint="eastAsia" w:ascii="Arial" w:hAnsi="Arial" w:eastAsia="宋体" w:cs="Arial"/>
                <w:color w:val="333333"/>
                <w:sz w:val="21"/>
                <w:szCs w:val="21"/>
                <w:shd w:val="clear" w:color="auto" w:fill="FFFFFF"/>
              </w:rPr>
              <w:t>东</w:t>
            </w:r>
            <w:r>
              <w:rPr>
                <w:rFonts w:ascii="Arial" w:hAnsi="Arial" w:eastAsia="宋体" w:cs="Arial"/>
                <w:color w:val="333333"/>
                <w:sz w:val="21"/>
                <w:szCs w:val="21"/>
                <w:shd w:val="clear" w:color="auto" w:fill="FFFFFF"/>
              </w:rPr>
              <w:t>部开标室（</w:t>
            </w:r>
            <w:r>
              <w:rPr>
                <w:rFonts w:hint="eastAsia" w:ascii="Arial" w:hAnsi="Arial" w:eastAsia="宋体" w:cs="Arial"/>
                <w:color w:val="333333"/>
                <w:sz w:val="21"/>
                <w:szCs w:val="21"/>
                <w:shd w:val="clear" w:color="auto" w:fill="FFFFFF"/>
              </w:rPr>
              <w:t>临海市住房和城乡建设局东部分局6楼</w:t>
            </w:r>
            <w:r>
              <w:rPr>
                <w:rFonts w:ascii="Arial" w:hAnsi="Arial" w:eastAsia="宋体" w:cs="Arial"/>
                <w:color w:val="333333"/>
                <w:sz w:val="21"/>
                <w:szCs w:val="21"/>
                <w:shd w:val="clear" w:color="auto" w:fill="FFFFFF"/>
              </w:rPr>
              <w:t>）</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rPr>
            </w:pPr>
            <w:r>
              <w:rPr>
                <w:rFonts w:hint="eastAsia" w:ascii="宋体" w:hAnsi="宋体" w:eastAsia="宋体"/>
                <w:sz w:val="21"/>
              </w:rPr>
              <w:t>24</w:t>
            </w:r>
          </w:p>
        </w:tc>
        <w:tc>
          <w:tcPr>
            <w:tcW w:w="861" w:type="dxa"/>
            <w:vAlign w:val="center"/>
          </w:tcPr>
          <w:p w14:paraId="1A7CEFA0">
            <w:pPr>
              <w:jc w:val="center"/>
              <w:rPr>
                <w:rFonts w:ascii="宋体" w:hAnsi="宋体" w:eastAsia="宋体"/>
                <w:sz w:val="21"/>
              </w:rPr>
            </w:pPr>
            <w:r>
              <w:rPr>
                <w:rFonts w:hint="eastAsia" w:ascii="宋体" w:hAnsi="宋体" w:eastAsia="宋体"/>
                <w:sz w:val="21"/>
              </w:rPr>
              <w:t>21.1</w:t>
            </w:r>
          </w:p>
        </w:tc>
        <w:tc>
          <w:tcPr>
            <w:tcW w:w="1722" w:type="dxa"/>
            <w:vAlign w:val="center"/>
          </w:tcPr>
          <w:p w14:paraId="76402D32">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845DF94">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70681E31">
            <w:pPr>
              <w:rPr>
                <w:rFonts w:ascii="宋体" w:hAnsi="宋体" w:eastAsia="宋体"/>
                <w:sz w:val="21"/>
                <w:highlight w:val="none"/>
              </w:rPr>
            </w:pPr>
            <w:r>
              <w:rPr>
                <w:rFonts w:hint="eastAsia" w:ascii="宋体" w:hAnsi="宋体" w:eastAsia="宋体"/>
                <w:sz w:val="21"/>
                <w:highlight w:val="none"/>
                <w:u w:val="none"/>
              </w:rPr>
              <w:t>20</w:t>
            </w:r>
            <w:r>
              <w:rPr>
                <w:rFonts w:hint="eastAsia" w:ascii="宋体" w:hAnsi="宋体" w:eastAsia="宋体"/>
                <w:sz w:val="21"/>
                <w:highlight w:val="none"/>
                <w:u w:val="none"/>
                <w:lang w:val="en-US" w:eastAsia="zh-CN"/>
              </w:rPr>
              <w:t>26</w:t>
            </w:r>
            <w:r>
              <w:rPr>
                <w:rFonts w:hint="eastAsia" w:ascii="宋体" w:hAnsi="宋体" w:eastAsia="宋体"/>
                <w:sz w:val="21"/>
                <w:highlight w:val="none"/>
                <w:u w:val="none"/>
              </w:rPr>
              <w:t>年</w:t>
            </w:r>
            <w:r>
              <w:rPr>
                <w:rFonts w:hint="eastAsia" w:ascii="宋体" w:hAnsi="宋体" w:eastAsia="宋体"/>
                <w:sz w:val="21"/>
                <w:highlight w:val="none"/>
                <w:u w:val="none"/>
                <w:lang w:val="en-US" w:eastAsia="zh-CN"/>
              </w:rPr>
              <w:t xml:space="preserve">7 </w:t>
            </w:r>
            <w:r>
              <w:rPr>
                <w:rFonts w:hint="eastAsia" w:ascii="宋体" w:hAnsi="宋体" w:eastAsia="宋体"/>
                <w:sz w:val="21"/>
                <w:highlight w:val="none"/>
                <w:u w:val="none"/>
              </w:rPr>
              <w:t>月</w:t>
            </w:r>
            <w:r>
              <w:rPr>
                <w:rFonts w:hint="eastAsia" w:ascii="宋体" w:hAnsi="宋体" w:eastAsia="宋体"/>
                <w:sz w:val="21"/>
                <w:highlight w:val="none"/>
                <w:u w:val="none"/>
                <w:lang w:val="en-US" w:eastAsia="zh-CN"/>
              </w:rPr>
              <w:t>13</w:t>
            </w:r>
            <w:r>
              <w:rPr>
                <w:rFonts w:hint="eastAsia" w:ascii="宋体" w:hAnsi="宋体" w:eastAsia="宋体"/>
                <w:sz w:val="21"/>
                <w:highlight w:val="none"/>
                <w:u w:val="none"/>
              </w:rPr>
              <w:t>日</w:t>
            </w:r>
            <w:r>
              <w:rPr>
                <w:rFonts w:hint="eastAsia" w:ascii="宋体" w:hAnsi="宋体" w:eastAsia="宋体"/>
                <w:sz w:val="21"/>
                <w:highlight w:val="none"/>
                <w:u w:val="none"/>
                <w:lang w:val="en-US" w:eastAsia="zh-CN"/>
              </w:rPr>
              <w:t>15</w:t>
            </w:r>
            <w:r>
              <w:rPr>
                <w:rFonts w:hint="eastAsia" w:ascii="宋体" w:hAnsi="宋体" w:eastAsia="宋体"/>
                <w:sz w:val="21"/>
                <w:highlight w:val="none"/>
                <w:u w:val="none"/>
              </w:rPr>
              <w:t>时</w:t>
            </w:r>
            <w:r>
              <w:rPr>
                <w:rFonts w:hint="eastAsia" w:ascii="宋体" w:hAnsi="宋体" w:eastAsia="宋体"/>
                <w:sz w:val="21"/>
                <w:highlight w:val="none"/>
                <w:u w:val="none"/>
                <w:lang w:val="en-US" w:eastAsia="zh-CN"/>
              </w:rPr>
              <w:t>00</w:t>
            </w:r>
            <w:r>
              <w:rPr>
                <w:rFonts w:hint="eastAsia" w:ascii="宋体" w:hAnsi="宋体" w:eastAsia="宋体"/>
                <w:sz w:val="21"/>
                <w:highlight w:val="none"/>
                <w:u w:val="none"/>
              </w:rPr>
              <w:t>分</w:t>
            </w:r>
            <w:r>
              <w:rPr>
                <w:rFonts w:hint="eastAsia" w:ascii="宋体" w:hAnsi="宋体" w:eastAsia="宋体"/>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rPr>
            </w:pPr>
            <w:r>
              <w:rPr>
                <w:rFonts w:hint="eastAsia" w:ascii="宋体" w:hAnsi="宋体" w:eastAsia="宋体"/>
                <w:sz w:val="21"/>
              </w:rPr>
              <w:t>25</w:t>
            </w:r>
          </w:p>
        </w:tc>
        <w:tc>
          <w:tcPr>
            <w:tcW w:w="861" w:type="dxa"/>
            <w:vAlign w:val="center"/>
          </w:tcPr>
          <w:p w14:paraId="4D5B9A5D">
            <w:pPr>
              <w:jc w:val="center"/>
              <w:rPr>
                <w:rFonts w:ascii="宋体" w:hAnsi="宋体" w:eastAsia="宋体"/>
                <w:sz w:val="21"/>
              </w:rPr>
            </w:pPr>
            <w:r>
              <w:rPr>
                <w:rFonts w:hint="eastAsia" w:ascii="宋体" w:hAnsi="宋体" w:eastAsia="宋体"/>
                <w:sz w:val="21"/>
              </w:rPr>
              <w:t>22.3</w:t>
            </w:r>
          </w:p>
        </w:tc>
        <w:tc>
          <w:tcPr>
            <w:tcW w:w="1722" w:type="dxa"/>
            <w:vAlign w:val="center"/>
          </w:tcPr>
          <w:p w14:paraId="05066CB9">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sz w:val="21"/>
                <w:szCs w:val="21"/>
              </w:rPr>
              <w:t>开标顺序</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rPr>
            </w:pPr>
            <w:r>
              <w:rPr>
                <w:rFonts w:hint="eastAsia" w:ascii="宋体" w:hAnsi="宋体" w:eastAsia="宋体"/>
                <w:sz w:val="21"/>
              </w:rPr>
              <w:t>26</w:t>
            </w:r>
          </w:p>
        </w:tc>
        <w:tc>
          <w:tcPr>
            <w:tcW w:w="861" w:type="dxa"/>
            <w:vAlign w:val="center"/>
          </w:tcPr>
          <w:p w14:paraId="4E39B10B">
            <w:pPr>
              <w:jc w:val="center"/>
              <w:rPr>
                <w:rFonts w:ascii="宋体" w:hAnsi="宋体" w:eastAsia="宋体"/>
                <w:sz w:val="21"/>
              </w:rPr>
            </w:pPr>
            <w:r>
              <w:rPr>
                <w:rFonts w:hint="eastAsia" w:ascii="宋体" w:hAnsi="宋体" w:eastAsia="宋体"/>
                <w:sz w:val="21"/>
              </w:rPr>
              <w:t>31.1</w:t>
            </w:r>
          </w:p>
        </w:tc>
        <w:tc>
          <w:tcPr>
            <w:tcW w:w="1722" w:type="dxa"/>
            <w:vAlign w:val="center"/>
          </w:tcPr>
          <w:p w14:paraId="3B190F65">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2FA461EB">
            <w:pPr>
              <w:rPr>
                <w:rFonts w:ascii="宋体" w:hAnsi="宋体" w:eastAsia="宋体"/>
                <w:sz w:val="21"/>
              </w:rPr>
            </w:pPr>
            <w:r>
              <w:rPr>
                <w:rFonts w:hint="eastAsia" w:ascii="宋体" w:hAnsi="宋体" w:eastAsia="宋体"/>
                <w:sz w:val="21"/>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rPr>
            </w:pPr>
            <w:r>
              <w:rPr>
                <w:rFonts w:hint="eastAsia" w:ascii="宋体" w:hAnsi="宋体" w:eastAsia="宋体"/>
                <w:sz w:val="21"/>
              </w:rPr>
              <w:t>27</w:t>
            </w:r>
          </w:p>
        </w:tc>
        <w:tc>
          <w:tcPr>
            <w:tcW w:w="861" w:type="dxa"/>
            <w:vAlign w:val="center"/>
          </w:tcPr>
          <w:p w14:paraId="198CC3F7">
            <w:pPr>
              <w:jc w:val="center"/>
              <w:rPr>
                <w:rFonts w:ascii="宋体" w:hAnsi="宋体" w:eastAsia="宋体"/>
                <w:sz w:val="21"/>
              </w:rPr>
            </w:pPr>
            <w:r>
              <w:rPr>
                <w:rFonts w:hint="eastAsia" w:ascii="宋体" w:hAnsi="宋体" w:eastAsia="宋体"/>
                <w:sz w:val="21"/>
              </w:rPr>
              <w:t>34.1</w:t>
            </w:r>
          </w:p>
        </w:tc>
        <w:tc>
          <w:tcPr>
            <w:tcW w:w="1722" w:type="dxa"/>
            <w:vAlign w:val="center"/>
          </w:tcPr>
          <w:p w14:paraId="2544571A">
            <w:pPr>
              <w:jc w:val="center"/>
              <w:rPr>
                <w:rFonts w:ascii="宋体" w:hAnsi="宋体" w:eastAsia="宋体"/>
                <w:sz w:val="21"/>
              </w:rPr>
            </w:pPr>
            <w:r>
              <w:rPr>
                <w:rFonts w:hint="eastAsia" w:ascii="宋体" w:hAnsi="宋体" w:eastAsia="宋体"/>
                <w:sz w:val="21"/>
              </w:rPr>
              <w:t>工程担保</w:t>
            </w:r>
          </w:p>
        </w:tc>
        <w:tc>
          <w:tcPr>
            <w:tcW w:w="5919" w:type="dxa"/>
            <w:vAlign w:val="center"/>
          </w:tcPr>
          <w:p w14:paraId="7CDD7EA3">
            <w:pPr>
              <w:jc w:val="left"/>
            </w:pPr>
            <w:r>
              <w:rPr>
                <w:rFonts w:hint="eastAsia" w:ascii="宋体" w:hAnsi="宋体" w:eastAsia="宋体"/>
                <w:sz w:val="21"/>
                <w:szCs w:val="22"/>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0"/>
              <w:ind w:left="0" w:leftChars="0"/>
            </w:pPr>
            <w:r>
              <w:rPr>
                <w:rFonts w:hint="eastAsia" w:ascii="宋体" w:hAnsi="宋体" w:eastAsia="宋体"/>
                <w:b/>
                <w:sz w:val="21"/>
              </w:rPr>
              <w:t>注：本项目无需报名，潜在投标人自行在</w:t>
            </w:r>
            <w:r>
              <w:rPr>
                <w:rFonts w:hint="eastAsia" w:ascii="宋体" w:hAnsi="宋体" w:eastAsia="宋体"/>
                <w:b/>
                <w:color w:val="auto"/>
                <w:sz w:val="21"/>
              </w:rPr>
              <w:t>临海市限额以下公共资源交易区域平台</w:t>
            </w:r>
            <w:r>
              <w:rPr>
                <w:rFonts w:hint="eastAsia" w:ascii="宋体" w:hAnsi="宋体" w:eastAsia="宋体"/>
                <w:b/>
                <w:sz w:val="21"/>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A7C06F4">
            <w:pPr>
              <w:pStyle w:val="9"/>
              <w:rPr>
                <w:rFonts w:cs="宋体"/>
                <w:kern w:val="0"/>
                <w:szCs w:val="21"/>
              </w:rPr>
            </w:pPr>
            <w:r>
              <w:rPr>
                <w:rFonts w:hint="eastAsia" w:cs="宋体"/>
                <w:kern w:val="0"/>
                <w:szCs w:val="21"/>
              </w:rPr>
              <w:t>项目金额50万元以下收费100元，50万元以上收费150元。</w:t>
            </w:r>
          </w:p>
          <w:p w14:paraId="190C4DB5">
            <w:pPr>
              <w:pStyle w:val="9"/>
              <w:rPr>
                <w:rFonts w:cs="宋体"/>
                <w:kern w:val="0"/>
                <w:szCs w:val="21"/>
              </w:rPr>
            </w:pPr>
            <w:r>
              <w:rPr>
                <w:rFonts w:hint="eastAsia" w:cs="宋体"/>
                <w:kern w:val="0"/>
                <w:szCs w:val="21"/>
              </w:rPr>
              <w:t>开户名：临海市产权交易所有限公司</w:t>
            </w:r>
          </w:p>
          <w:p w14:paraId="24EFACCC">
            <w:pPr>
              <w:pStyle w:val="9"/>
              <w:rPr>
                <w:rFonts w:cs="宋体"/>
                <w:kern w:val="0"/>
                <w:szCs w:val="21"/>
              </w:rPr>
            </w:pPr>
            <w:r>
              <w:rPr>
                <w:rFonts w:hint="eastAsia" w:cs="宋体"/>
                <w:kern w:val="0"/>
                <w:szCs w:val="21"/>
              </w:rPr>
              <w:t>开户行：浙江临海农村商业银行股份有限公司科技支行；</w:t>
            </w:r>
          </w:p>
          <w:p w14:paraId="24DF5637">
            <w:pPr>
              <w:pStyle w:val="9"/>
              <w:rPr>
                <w:rFonts w:cs="宋体"/>
                <w:kern w:val="0"/>
                <w:szCs w:val="21"/>
              </w:rPr>
            </w:pPr>
            <w:r>
              <w:rPr>
                <w:rFonts w:hint="eastAsia" w:cs="宋体"/>
                <w:kern w:val="0"/>
                <w:szCs w:val="21"/>
              </w:rPr>
              <w:t>平台使用费账号：201000105503123000003</w:t>
            </w:r>
          </w:p>
          <w:p w14:paraId="02C7CC35">
            <w:pPr>
              <w:pStyle w:val="9"/>
              <w:rPr>
                <w:rFonts w:cs="宋体"/>
                <w:kern w:val="0"/>
                <w:szCs w:val="21"/>
              </w:rPr>
            </w:pPr>
            <w:r>
              <w:rPr>
                <w:rFonts w:hint="eastAsia" w:cs="宋体"/>
                <w:kern w:val="0"/>
                <w:szCs w:val="21"/>
              </w:rPr>
              <w:t>临海市产权交易所有限公司财务咨询电话：0576-85407100。</w:t>
            </w:r>
          </w:p>
          <w:p w14:paraId="2CF60B40">
            <w:pPr>
              <w:pStyle w:val="9"/>
              <w:rPr>
                <w:rFonts w:cs="宋体"/>
                <w:szCs w:val="21"/>
              </w:rPr>
            </w:pPr>
            <w:r>
              <w:rPr>
                <w:rFonts w:hint="eastAsia" w:cs="宋体"/>
                <w:kern w:val="0"/>
                <w:szCs w:val="21"/>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2E829A88">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78D226E2">
            <w:pPr>
              <w:pStyle w:val="9"/>
              <w:rPr>
                <w:rFonts w:cs="宋体"/>
                <w:kern w:val="0"/>
                <w:szCs w:val="21"/>
              </w:rPr>
            </w:pPr>
            <w:r>
              <w:rPr>
                <w:rFonts w:hint="eastAsia" w:cs="宋体"/>
                <w:kern w:val="0"/>
                <w:szCs w:val="21"/>
              </w:rPr>
              <w:t>开户名：临海市产权交易所有限公司</w:t>
            </w:r>
          </w:p>
          <w:p w14:paraId="2CC599A9">
            <w:pPr>
              <w:pStyle w:val="9"/>
              <w:rPr>
                <w:rFonts w:cs="宋体"/>
                <w:kern w:val="0"/>
                <w:szCs w:val="21"/>
              </w:rPr>
            </w:pPr>
            <w:r>
              <w:rPr>
                <w:rFonts w:hint="eastAsia" w:cs="宋体"/>
                <w:kern w:val="0"/>
                <w:szCs w:val="21"/>
              </w:rPr>
              <w:t>开户行：浙江临海农村商业银行股份有限公司科技支行；</w:t>
            </w:r>
          </w:p>
          <w:p w14:paraId="70B2DAEA">
            <w:pPr>
              <w:pStyle w:val="9"/>
              <w:rPr>
                <w:rFonts w:cs="宋体"/>
                <w:kern w:val="0"/>
                <w:szCs w:val="21"/>
              </w:rPr>
            </w:pPr>
            <w:r>
              <w:rPr>
                <w:rFonts w:hint="eastAsia" w:cs="宋体"/>
                <w:kern w:val="0"/>
                <w:szCs w:val="21"/>
              </w:rPr>
              <w:t>中标服务费账号：201000105503123000004</w:t>
            </w:r>
          </w:p>
          <w:p w14:paraId="69243375">
            <w:pPr>
              <w:pStyle w:val="9"/>
              <w:rPr>
                <w:rFonts w:cs="宋体"/>
                <w:szCs w:val="21"/>
              </w:rPr>
            </w:pPr>
            <w:r>
              <w:rPr>
                <w:rFonts w:hint="eastAsia" w:cs="宋体"/>
                <w:kern w:val="0"/>
                <w:szCs w:val="21"/>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5219A25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4354E0C7">
            <w:pPr>
              <w:pStyle w:val="30"/>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pPr>
            <w:r>
              <w:rPr>
                <w:rFonts w:hint="eastAsia" w:ascii="Calibri" w:hAnsi="宋体"/>
                <w:sz w:val="21"/>
                <w:szCs w:val="21"/>
              </w:rPr>
              <w:t>软件技术支持电话：15267291759（同微信）。</w:t>
            </w:r>
          </w:p>
        </w:tc>
      </w:tr>
      <w:tr w14:paraId="7BA3E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1543" w:type="dxa"/>
            <w:gridSpan w:val="2"/>
            <w:vAlign w:val="center"/>
          </w:tcPr>
          <w:p w14:paraId="01536C9A">
            <w:pPr>
              <w:jc w:val="center"/>
              <w:rPr>
                <w:rFonts w:hint="eastAsia" w:ascii="宋体" w:hAnsi="宋体" w:eastAsia="宋体"/>
                <w:sz w:val="21"/>
              </w:rPr>
            </w:pPr>
          </w:p>
        </w:tc>
        <w:tc>
          <w:tcPr>
            <w:tcW w:w="7641" w:type="dxa"/>
            <w:gridSpan w:val="2"/>
            <w:vAlign w:val="center"/>
          </w:tcPr>
          <w:p w14:paraId="49F6948F">
            <w:pPr>
              <w:pStyle w:val="30"/>
              <w:spacing w:line="260" w:lineRule="exact"/>
              <w:ind w:firstLine="274" w:firstLineChars="130"/>
              <w:rPr>
                <w:rFonts w:hint="eastAsia" w:ascii="Calibri" w:hAnsi="宋体"/>
                <w:sz w:val="21"/>
                <w:szCs w:val="21"/>
              </w:rPr>
            </w:pPr>
            <w:r>
              <w:rPr>
                <w:rFonts w:hint="eastAsia" w:ascii="Calibri" w:hAnsi="宋体"/>
                <w:b/>
                <w:bCs/>
                <w:color w:val="FF0000"/>
                <w:sz w:val="21"/>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90997A2">
      <w:pPr>
        <w:jc w:val="center"/>
        <w:rPr>
          <w:rFonts w:ascii="宋体" w:hAnsi="宋体"/>
          <w:highlight w:val="yellow"/>
        </w:rPr>
        <w:sectPr>
          <w:headerReference r:id="rId4" w:type="first"/>
          <w:footerReference r:id="rId6" w:type="first"/>
          <w:footerReference r:id="rId5"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500208463"/>
      <w:bookmarkStart w:id="9" w:name="_Toc500209412"/>
      <w:bookmarkStart w:id="10" w:name="_Toc26109"/>
      <w:bookmarkStart w:id="11" w:name="_Toc10147"/>
      <w:bookmarkStart w:id="12" w:name="_Toc9614"/>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32149"/>
      <w:bookmarkStart w:id="14" w:name="_Toc4837"/>
      <w:bookmarkStart w:id="15" w:name="_Toc500208464"/>
      <w:bookmarkStart w:id="16" w:name="_Toc500209413"/>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43300581">
      <w:pPr>
        <w:pStyle w:val="9"/>
        <w:numPr>
          <w:ilvl w:val="1"/>
          <w:numId w:val="4"/>
        </w:numPr>
        <w:ind w:firstLine="420" w:firstLineChars="200"/>
      </w:pPr>
      <w:bookmarkStart w:id="22" w:name="_Toc500208466"/>
      <w:r>
        <w:rPr>
          <w:rFonts w:hint="eastAsia"/>
        </w:rPr>
        <w:t>本招标工程项目的招标方式详见本须知前附表第8项。</w:t>
      </w:r>
    </w:p>
    <w:p w14:paraId="4466B9FE">
      <w:pPr>
        <w:pStyle w:val="9"/>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6EAD255E">
      <w:pPr>
        <w:pStyle w:val="9"/>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4E41CF4A">
      <w:pPr>
        <w:pStyle w:val="9"/>
        <w:ind w:firstLine="420" w:firstLineChars="200"/>
        <w:rPr>
          <w:szCs w:val="22"/>
        </w:rPr>
      </w:pPr>
      <w:r>
        <w:rPr>
          <w:rFonts w:hint="eastAsia"/>
          <w:szCs w:val="22"/>
        </w:rPr>
        <w:t>4.1投标人与项目负责人资格要求详见本须知前附表第11项和第12项。</w:t>
      </w:r>
    </w:p>
    <w:p w14:paraId="101CFCD4">
      <w:pPr>
        <w:pStyle w:val="9"/>
        <w:ind w:firstLine="420" w:firstLineChars="200"/>
        <w:rPr>
          <w:szCs w:val="22"/>
        </w:rPr>
      </w:pPr>
      <w:r>
        <w:rPr>
          <w:rFonts w:hint="eastAsia"/>
          <w:szCs w:val="22"/>
        </w:rPr>
        <w:t>4.2投标人确定方式详见本须知前附表第13项。投标人应按规定取得交易席位资格。</w:t>
      </w:r>
    </w:p>
    <w:p w14:paraId="46267CF4">
      <w:pPr>
        <w:pStyle w:val="9"/>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9"/>
        <w:ind w:firstLine="420" w:firstLineChars="200"/>
        <w:rPr>
          <w:szCs w:val="22"/>
        </w:rPr>
      </w:pPr>
      <w:r>
        <w:rPr>
          <w:rFonts w:hint="eastAsia"/>
          <w:szCs w:val="22"/>
        </w:rPr>
        <w:t>（1）同一工程相邻分段发包或分期施工的；</w:t>
      </w:r>
    </w:p>
    <w:p w14:paraId="211E8E80">
      <w:pPr>
        <w:pStyle w:val="9"/>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9"/>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9"/>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9"/>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9"/>
        <w:ind w:firstLine="420" w:firstLineChars="200"/>
        <w:rPr>
          <w:szCs w:val="22"/>
        </w:rPr>
      </w:pPr>
      <w:r>
        <w:rPr>
          <w:rFonts w:hint="eastAsia"/>
          <w:szCs w:val="22"/>
        </w:rPr>
        <w:t>4.4投标人有以下情形之一的，不得参加本项目投标：</w:t>
      </w:r>
    </w:p>
    <w:p w14:paraId="5765D841">
      <w:pPr>
        <w:pStyle w:val="9"/>
        <w:ind w:firstLine="315" w:firstLineChars="150"/>
        <w:rPr>
          <w:szCs w:val="22"/>
        </w:rPr>
      </w:pPr>
      <w:r>
        <w:rPr>
          <w:rFonts w:hint="eastAsia"/>
          <w:szCs w:val="22"/>
        </w:rPr>
        <w:t xml:space="preserve">（1）为招标人不具有独立法人资格的附属机构（单位）； </w:t>
      </w:r>
    </w:p>
    <w:p w14:paraId="1E347D21">
      <w:pPr>
        <w:pStyle w:val="9"/>
        <w:ind w:firstLine="315" w:firstLineChars="150"/>
        <w:rPr>
          <w:szCs w:val="22"/>
        </w:rPr>
      </w:pPr>
      <w:r>
        <w:rPr>
          <w:rFonts w:hint="eastAsia"/>
          <w:szCs w:val="22"/>
        </w:rPr>
        <w:t xml:space="preserve">（2）为本工程前期准备提供设计或咨询服务的，但设计施工总承包的除外； </w:t>
      </w:r>
    </w:p>
    <w:p w14:paraId="423D9CE8">
      <w:pPr>
        <w:pStyle w:val="9"/>
        <w:ind w:firstLine="315" w:firstLineChars="150"/>
        <w:rPr>
          <w:szCs w:val="22"/>
        </w:rPr>
      </w:pPr>
      <w:r>
        <w:rPr>
          <w:rFonts w:hint="eastAsia"/>
          <w:szCs w:val="22"/>
        </w:rPr>
        <w:t>（3）为本工程的监理人；</w:t>
      </w:r>
    </w:p>
    <w:p w14:paraId="067C2AB2">
      <w:pPr>
        <w:pStyle w:val="9"/>
        <w:ind w:firstLine="315" w:firstLineChars="150"/>
        <w:rPr>
          <w:szCs w:val="22"/>
        </w:rPr>
      </w:pPr>
      <w:r>
        <w:rPr>
          <w:rFonts w:hint="eastAsia"/>
          <w:szCs w:val="22"/>
        </w:rPr>
        <w:t xml:space="preserve">（4）为本工程的代建人； </w:t>
      </w:r>
    </w:p>
    <w:p w14:paraId="61C1995B">
      <w:pPr>
        <w:pStyle w:val="9"/>
        <w:ind w:firstLine="315" w:firstLineChars="150"/>
        <w:rPr>
          <w:szCs w:val="22"/>
        </w:rPr>
      </w:pPr>
      <w:r>
        <w:rPr>
          <w:rFonts w:hint="eastAsia"/>
          <w:szCs w:val="22"/>
        </w:rPr>
        <w:t xml:space="preserve">（5）为本工程提供招标代理服务的； </w:t>
      </w:r>
    </w:p>
    <w:p w14:paraId="1A664D6A">
      <w:pPr>
        <w:pStyle w:val="9"/>
        <w:ind w:firstLine="315" w:firstLineChars="150"/>
        <w:rPr>
          <w:szCs w:val="22"/>
        </w:rPr>
      </w:pPr>
      <w:r>
        <w:rPr>
          <w:rFonts w:hint="eastAsia"/>
          <w:szCs w:val="22"/>
        </w:rPr>
        <w:t>（6）与本工程的监理人或代建人或招标代理机构同为一个法定代表人的；</w:t>
      </w:r>
    </w:p>
    <w:p w14:paraId="69C17A97">
      <w:pPr>
        <w:pStyle w:val="9"/>
        <w:ind w:firstLine="315" w:firstLineChars="150"/>
        <w:rPr>
          <w:szCs w:val="22"/>
        </w:rPr>
      </w:pPr>
      <w:r>
        <w:rPr>
          <w:rFonts w:hint="eastAsia"/>
          <w:szCs w:val="22"/>
        </w:rPr>
        <w:t>（7）与本工程的监理人或代建人或招标代理机构相互控股或参股的；</w:t>
      </w:r>
    </w:p>
    <w:p w14:paraId="2A6487D1">
      <w:pPr>
        <w:pStyle w:val="9"/>
        <w:ind w:firstLine="315" w:firstLineChars="150"/>
        <w:rPr>
          <w:szCs w:val="22"/>
        </w:rPr>
      </w:pPr>
      <w:r>
        <w:rPr>
          <w:rFonts w:hint="eastAsia"/>
          <w:szCs w:val="22"/>
        </w:rPr>
        <w:t>（8）与本工程的监理人或代建人或招标代理机构相互任职或工作的；</w:t>
      </w:r>
    </w:p>
    <w:p w14:paraId="73FBAF22">
      <w:pPr>
        <w:pStyle w:val="9"/>
        <w:ind w:firstLine="315" w:firstLineChars="150"/>
        <w:rPr>
          <w:szCs w:val="22"/>
        </w:rPr>
      </w:pPr>
      <w:r>
        <w:rPr>
          <w:rFonts w:hint="eastAsia"/>
          <w:szCs w:val="22"/>
        </w:rPr>
        <w:t xml:space="preserve">（9）被责令停业的； </w:t>
      </w:r>
    </w:p>
    <w:p w14:paraId="5E6254B8">
      <w:pPr>
        <w:pStyle w:val="9"/>
        <w:ind w:firstLine="315" w:firstLineChars="150"/>
        <w:rPr>
          <w:szCs w:val="22"/>
        </w:rPr>
      </w:pPr>
      <w:r>
        <w:rPr>
          <w:rFonts w:hint="eastAsia"/>
          <w:szCs w:val="22"/>
        </w:rPr>
        <w:t xml:space="preserve">（10）被暂停或取消投标资格的（包括项目负责人）； </w:t>
      </w:r>
    </w:p>
    <w:p w14:paraId="62C883BC">
      <w:pPr>
        <w:pStyle w:val="9"/>
        <w:ind w:firstLine="315" w:firstLineChars="150"/>
        <w:rPr>
          <w:szCs w:val="22"/>
        </w:rPr>
      </w:pPr>
      <w:r>
        <w:rPr>
          <w:rFonts w:hint="eastAsia"/>
          <w:szCs w:val="22"/>
        </w:rPr>
        <w:t>（11）安全生产许可证超出有效期或处于暂扣时限内的；</w:t>
      </w:r>
    </w:p>
    <w:p w14:paraId="26FF2842">
      <w:pPr>
        <w:pStyle w:val="9"/>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9"/>
        <w:ind w:firstLine="315" w:firstLineChars="150"/>
        <w:rPr>
          <w:szCs w:val="22"/>
        </w:rPr>
      </w:pPr>
      <w:r>
        <w:rPr>
          <w:rFonts w:hint="eastAsia"/>
          <w:szCs w:val="22"/>
        </w:rPr>
        <w:t>（13）投标人及相关管理人员（包括项目负责人）安全生产任职资格不符合相关规定；</w:t>
      </w:r>
    </w:p>
    <w:p w14:paraId="424D4EC9">
      <w:pPr>
        <w:pStyle w:val="9"/>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9"/>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61198C57">
      <w:pPr>
        <w:pStyle w:val="9"/>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6EDC9419">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500208467"/>
      <w:bookmarkStart w:id="32" w:name="_Toc24275"/>
      <w:bookmarkStart w:id="33" w:name="_Toc20890"/>
      <w:bookmarkStart w:id="34" w:name="_Toc500209414"/>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169487784"/>
      <w:bookmarkStart w:id="36" w:name="_Toc155342536"/>
      <w:bookmarkStart w:id="37" w:name="_Toc500208468"/>
      <w:r>
        <w:rPr>
          <w:rFonts w:hint="eastAsia" w:ascii="黑体" w:hAnsi="宋体" w:eastAsia="黑体"/>
          <w:b/>
          <w:sz w:val="21"/>
        </w:rPr>
        <w:t>招标文件的组成</w:t>
      </w:r>
      <w:bookmarkEnd w:id="35"/>
      <w:bookmarkEnd w:id="36"/>
      <w:bookmarkEnd w:id="37"/>
    </w:p>
    <w:p w14:paraId="632C88BC">
      <w:pPr>
        <w:pStyle w:val="9"/>
        <w:numPr>
          <w:ilvl w:val="1"/>
          <w:numId w:val="4"/>
        </w:numPr>
        <w:ind w:firstLine="420" w:firstLineChars="200"/>
      </w:pPr>
      <w:r>
        <w:rPr>
          <w:rFonts w:hint="eastAsia"/>
        </w:rPr>
        <w:t>招标文件包括下列内容：</w:t>
      </w:r>
    </w:p>
    <w:p w14:paraId="7970A8FA">
      <w:pPr>
        <w:pStyle w:val="9"/>
        <w:ind w:firstLine="420" w:firstLineChars="200"/>
      </w:pPr>
      <w:r>
        <w:rPr>
          <w:rFonts w:hint="eastAsia"/>
        </w:rPr>
        <w:t>第一章 投标须知及投标须知前附表；</w:t>
      </w:r>
    </w:p>
    <w:p w14:paraId="58630693">
      <w:pPr>
        <w:pStyle w:val="9"/>
        <w:ind w:firstLine="420" w:firstLineChars="200"/>
      </w:pPr>
      <w:r>
        <w:rPr>
          <w:rFonts w:hint="eastAsia"/>
        </w:rPr>
        <w:t>第二章 合同条款；</w:t>
      </w:r>
    </w:p>
    <w:p w14:paraId="4C08E461">
      <w:pPr>
        <w:pStyle w:val="9"/>
        <w:ind w:firstLine="420" w:firstLineChars="200"/>
      </w:pPr>
      <w:r>
        <w:rPr>
          <w:rFonts w:hint="eastAsia"/>
        </w:rPr>
        <w:t>第三章 评标办法；</w:t>
      </w:r>
    </w:p>
    <w:p w14:paraId="2F72814B">
      <w:pPr>
        <w:pStyle w:val="9"/>
        <w:ind w:firstLine="422" w:firstLineChars="200"/>
        <w:rPr>
          <w:b/>
        </w:rPr>
      </w:pPr>
      <w:r>
        <w:rPr>
          <w:rFonts w:hint="eastAsia"/>
          <w:b/>
        </w:rPr>
        <w:t>第四章 投标文件格式；</w:t>
      </w:r>
    </w:p>
    <w:p w14:paraId="24A68877">
      <w:pPr>
        <w:pStyle w:val="9"/>
        <w:ind w:firstLine="422" w:firstLineChars="200"/>
        <w:rPr>
          <w:b/>
        </w:rPr>
      </w:pPr>
      <w:r>
        <w:rPr>
          <w:rFonts w:hint="eastAsia"/>
          <w:b/>
        </w:rPr>
        <w:t>其他附件材料：</w:t>
      </w:r>
    </w:p>
    <w:p w14:paraId="5E7D6ABF">
      <w:pPr>
        <w:pStyle w:val="9"/>
        <w:ind w:firstLine="422" w:firstLineChars="200"/>
        <w:rPr>
          <w:b/>
        </w:rPr>
      </w:pPr>
      <w:r>
        <w:rPr>
          <w:rFonts w:hint="eastAsia"/>
          <w:b/>
        </w:rPr>
        <w:t>（1）预算书（以下简称招标人预算书）；</w:t>
      </w:r>
    </w:p>
    <w:p w14:paraId="15000CFC">
      <w:pPr>
        <w:pStyle w:val="9"/>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9"/>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9"/>
        <w:numPr>
          <w:ilvl w:val="1"/>
          <w:numId w:val="4"/>
        </w:numPr>
        <w:ind w:firstLine="420" w:firstLineChars="200"/>
      </w:pPr>
      <w:r>
        <w:rPr>
          <w:rFonts w:hint="eastAsia"/>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55342538"/>
      <w:bookmarkStart w:id="43" w:name="_Toc169487786"/>
      <w:r>
        <w:rPr>
          <w:rFonts w:hint="eastAsia" w:ascii="黑体" w:hAnsi="宋体" w:eastAsia="黑体"/>
          <w:b/>
          <w:sz w:val="21"/>
        </w:rPr>
        <w:t>招标文件的修改</w:t>
      </w:r>
      <w:bookmarkEnd w:id="41"/>
      <w:bookmarkEnd w:id="42"/>
      <w:bookmarkEnd w:id="43"/>
    </w:p>
    <w:p w14:paraId="7A4B3B48">
      <w:pPr>
        <w:pStyle w:val="9"/>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9"/>
        <w:spacing w:line="360" w:lineRule="exact"/>
        <w:ind w:left="425"/>
      </w:pPr>
      <w:r>
        <w:rPr>
          <w:rFonts w:hint="eastAsia"/>
        </w:rPr>
        <w:t>10.2在在投标截止日期前，招标人可能以补充通知的方式修改招标文件。</w:t>
      </w:r>
    </w:p>
    <w:p w14:paraId="02D4E9DC">
      <w:pPr>
        <w:pStyle w:val="9"/>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9"/>
        <w:ind w:left="421"/>
      </w:pPr>
      <w:r>
        <w:rPr>
          <w:rFonts w:hint="eastAsia"/>
        </w:rPr>
        <w:t>10.4招标文件的澄清、修改、补充等内容将发布在交易场所（发布招标公告的媒体上），这些内容作为招标文件的组成部分，对投标人起约束作用。</w:t>
      </w:r>
    </w:p>
    <w:p w14:paraId="053AA06E">
      <w:pPr>
        <w:pStyle w:val="9"/>
      </w:pPr>
    </w:p>
    <w:p w14:paraId="7976C987">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16FF8CDC">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314D3623">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703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155342542"/>
      <w:bookmarkStart w:id="53" w:name="_Toc169487790"/>
      <w:bookmarkStart w:id="54" w:name="_Toc69095786"/>
      <w:bookmarkStart w:id="55" w:name="_Toc500208476"/>
      <w:bookmarkStart w:id="56" w:name="_Toc500208477"/>
      <w:r>
        <w:rPr>
          <w:rFonts w:hint="eastAsia" w:ascii="黑体" w:hAnsi="宋体" w:eastAsia="黑体"/>
          <w:b/>
          <w:sz w:val="21"/>
        </w:rPr>
        <w:t>投标文件的组成</w:t>
      </w:r>
      <w:bookmarkEnd w:id="52"/>
      <w:bookmarkEnd w:id="53"/>
      <w:bookmarkEnd w:id="54"/>
      <w:bookmarkEnd w:id="55"/>
    </w:p>
    <w:p w14:paraId="65E5E954">
      <w:pPr>
        <w:pStyle w:val="9"/>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4E3176FB">
      <w:pPr>
        <w:pStyle w:val="9"/>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69487792"/>
      <w:bookmarkStart w:id="60" w:name="_Toc155342545"/>
      <w:r>
        <w:rPr>
          <w:rFonts w:hint="eastAsia" w:ascii="黑体" w:hAnsi="宋体" w:eastAsia="黑体"/>
          <w:b/>
          <w:sz w:val="21"/>
        </w:rPr>
        <w:t>投标报价组成</w:t>
      </w:r>
      <w:bookmarkEnd w:id="59"/>
      <w:bookmarkEnd w:id="60"/>
    </w:p>
    <w:p w14:paraId="232C19D2">
      <w:pPr>
        <w:pStyle w:val="9"/>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5D1E1E28">
      <w:pPr>
        <w:pStyle w:val="9"/>
        <w:numPr>
          <w:ilvl w:val="1"/>
          <w:numId w:val="4"/>
        </w:numPr>
        <w:ind w:firstLine="420" w:firstLineChars="200"/>
      </w:pPr>
      <w:r>
        <w:rPr>
          <w:rFonts w:hint="eastAsia"/>
        </w:rPr>
        <w:t>招标人预算书按照</w:t>
      </w:r>
      <w:r>
        <w:rPr>
          <w:rFonts w:hint="eastAsia"/>
          <w:lang w:val="zh-CN"/>
        </w:rPr>
        <w:t>《浙江省房屋建筑与装饰工程预算定额》(2018)、《浙江省房屋建筑安装工程修缮预算定额》(2018)、《浙江省建设工程施工机械台班费用定额》(2018),取费套用《浙江省建设工程计价规则》（2018版）及浙建建发[2019]92号等文件</w:t>
      </w:r>
      <w:r>
        <w:rPr>
          <w:rFonts w:hint="eastAsia"/>
        </w:rPr>
        <w:t>及有关工程造价方面规定，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9"/>
        <w:numPr>
          <w:ilvl w:val="1"/>
          <w:numId w:val="4"/>
        </w:numPr>
        <w:ind w:firstLine="420" w:firstLineChars="200"/>
      </w:pPr>
      <w:r>
        <w:rPr>
          <w:rFonts w:hint="eastAsia"/>
        </w:rPr>
        <w:t>投标人在递交投标文件的同时，应按投标人须知前附表规定递交担保。</w:t>
      </w:r>
    </w:p>
    <w:p w14:paraId="21ECC178">
      <w:pPr>
        <w:pStyle w:val="9"/>
        <w:numPr>
          <w:ilvl w:val="1"/>
          <w:numId w:val="4"/>
        </w:numPr>
        <w:ind w:firstLine="420" w:firstLineChars="200"/>
      </w:pPr>
      <w:r>
        <w:rPr>
          <w:rFonts w:hint="eastAsia"/>
        </w:rPr>
        <w:t>投标人未能按本章17.1项要求提交投标担保的，招标人将视为不响应投标而予以拒绝。</w:t>
      </w:r>
    </w:p>
    <w:p w14:paraId="61A2D76A">
      <w:pPr>
        <w:pStyle w:val="9"/>
        <w:numPr>
          <w:ilvl w:val="1"/>
          <w:numId w:val="4"/>
        </w:numPr>
        <w:ind w:firstLine="420" w:firstLineChars="200"/>
      </w:pPr>
      <w:r>
        <w:rPr>
          <w:rFonts w:hint="eastAsia"/>
        </w:rPr>
        <w:t>投标担保按以下方式退还：</w:t>
      </w:r>
    </w:p>
    <w:p w14:paraId="53D5FDA1">
      <w:pPr>
        <w:pStyle w:val="9"/>
        <w:ind w:firstLine="420" w:firstLineChars="200"/>
      </w:pPr>
      <w:r>
        <w:rPr>
          <w:rFonts w:hint="eastAsia"/>
        </w:rPr>
        <w:t>（1）未中标人投标保证金在中标公告发布后可退回；</w:t>
      </w:r>
    </w:p>
    <w:p w14:paraId="56937923">
      <w:pPr>
        <w:pStyle w:val="9"/>
        <w:ind w:firstLine="420" w:firstLineChars="200"/>
      </w:pPr>
      <w:r>
        <w:rPr>
          <w:rFonts w:hint="eastAsia"/>
        </w:rPr>
        <w:t>（2）中标人的投标保证金在缴纳履约保证金和签订合同后退回。</w:t>
      </w:r>
    </w:p>
    <w:p w14:paraId="3F4A539E">
      <w:pPr>
        <w:pStyle w:val="9"/>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410D32C1">
      <w:pPr>
        <w:pStyle w:val="9"/>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155342549"/>
      <w:bookmarkStart w:id="70" w:name="_Toc500208479"/>
      <w:bookmarkStart w:id="71" w:name="_Toc169487796"/>
      <w:r>
        <w:rPr>
          <w:rFonts w:hint="eastAsia" w:ascii="黑体" w:hAnsi="宋体" w:eastAsia="黑体"/>
          <w:b/>
          <w:sz w:val="21"/>
        </w:rPr>
        <w:t>投标文件的份数和签署</w:t>
      </w:r>
      <w:bookmarkEnd w:id="69"/>
      <w:bookmarkEnd w:id="70"/>
      <w:bookmarkEnd w:id="71"/>
    </w:p>
    <w:p w14:paraId="0EE5FED6">
      <w:pPr>
        <w:pStyle w:val="9"/>
        <w:numPr>
          <w:ilvl w:val="1"/>
          <w:numId w:val="4"/>
        </w:numPr>
        <w:ind w:firstLine="420" w:firstLineChars="200"/>
      </w:pPr>
      <w:r>
        <w:rPr>
          <w:rFonts w:hint="eastAsia"/>
        </w:rPr>
        <w:t>投标人按本须知前附表第20项规定的份数递交投标文件。</w:t>
      </w:r>
    </w:p>
    <w:p w14:paraId="6B3DFECC">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21258"/>
      <w:bookmarkStart w:id="74" w:name="_Toc500209417"/>
      <w:bookmarkStart w:id="75" w:name="_Toc500208480"/>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55342552"/>
      <w:bookmarkStart w:id="77" w:name="_Toc169487799"/>
      <w:bookmarkStart w:id="78" w:name="_Toc500208482"/>
      <w:r>
        <w:rPr>
          <w:rFonts w:hint="eastAsia" w:ascii="黑体" w:hAnsi="宋体" w:eastAsia="黑体"/>
          <w:b/>
          <w:sz w:val="21"/>
        </w:rPr>
        <w:t>投标文件的递交</w:t>
      </w:r>
      <w:bookmarkEnd w:id="76"/>
      <w:bookmarkEnd w:id="77"/>
    </w:p>
    <w:p w14:paraId="038E1273">
      <w:pPr>
        <w:pStyle w:val="9"/>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5DAA1DB8">
      <w:pPr>
        <w:pStyle w:val="9"/>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9"/>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9"/>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500209418"/>
      <w:bookmarkStart w:id="82" w:name="_Toc500208484"/>
      <w:bookmarkStart w:id="83" w:name="_Toc9012"/>
      <w:bookmarkStart w:id="84" w:name="_Toc15794"/>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500208485"/>
      <w:bookmarkStart w:id="86" w:name="_Toc169487803"/>
      <w:bookmarkStart w:id="87" w:name="_Toc155342556"/>
      <w:r>
        <w:rPr>
          <w:rFonts w:hint="eastAsia" w:ascii="黑体" w:hAnsi="宋体" w:eastAsia="黑体"/>
          <w:b/>
          <w:sz w:val="21"/>
        </w:rPr>
        <w:t>开标</w:t>
      </w:r>
      <w:bookmarkEnd w:id="85"/>
      <w:bookmarkEnd w:id="86"/>
      <w:bookmarkEnd w:id="87"/>
    </w:p>
    <w:p w14:paraId="6AD95578">
      <w:pPr>
        <w:pStyle w:val="9"/>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9"/>
        <w:numPr>
          <w:ilvl w:val="1"/>
          <w:numId w:val="4"/>
        </w:numPr>
        <w:ind w:firstLine="420" w:firstLineChars="200"/>
      </w:pPr>
      <w:r>
        <w:rPr>
          <w:rFonts w:hint="eastAsia"/>
        </w:rPr>
        <w:t>开标会议由招标人组织并主持。</w:t>
      </w:r>
    </w:p>
    <w:p w14:paraId="4015B3F5">
      <w:pPr>
        <w:pStyle w:val="9"/>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9"/>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500208488"/>
      <w:bookmarkStart w:id="91" w:name="_Toc31728"/>
      <w:bookmarkStart w:id="92" w:name="_Toc15849"/>
      <w:bookmarkStart w:id="93" w:name="_Toc500209419"/>
      <w:bookmarkStart w:id="94" w:name="_Toc500208495"/>
      <w:bookmarkStart w:id="95" w:name="_Toc500209420"/>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500208489"/>
      <w:bookmarkStart w:id="98" w:name="_Toc169487806"/>
      <w:r>
        <w:rPr>
          <w:rFonts w:hint="eastAsia" w:ascii="黑体" w:hAnsi="宋体" w:eastAsia="黑体"/>
          <w:b/>
          <w:sz w:val="21"/>
        </w:rPr>
        <w:t>评标会议</w:t>
      </w:r>
      <w:bookmarkEnd w:id="96"/>
      <w:bookmarkEnd w:id="97"/>
      <w:bookmarkEnd w:id="98"/>
    </w:p>
    <w:p w14:paraId="1A89329D">
      <w:pPr>
        <w:pStyle w:val="9"/>
        <w:numPr>
          <w:ilvl w:val="1"/>
          <w:numId w:val="4"/>
        </w:numPr>
        <w:ind w:firstLine="420" w:firstLineChars="200"/>
      </w:pPr>
      <w:r>
        <w:t>评标委员会由招标人依法组建，负责评标活动。</w:t>
      </w:r>
    </w:p>
    <w:p w14:paraId="0070B080">
      <w:pPr>
        <w:pStyle w:val="9"/>
        <w:numPr>
          <w:ilvl w:val="1"/>
          <w:numId w:val="4"/>
        </w:numPr>
        <w:ind w:firstLine="420" w:firstLineChars="200"/>
      </w:pPr>
      <w:r>
        <w:t>开标结束后，开始评标，评标采用保密方式进行。</w:t>
      </w:r>
    </w:p>
    <w:p w14:paraId="46C781F5">
      <w:pPr>
        <w:pStyle w:val="9"/>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69487807"/>
      <w:bookmarkStart w:id="100" w:name="_Toc155342560"/>
      <w:r>
        <w:rPr>
          <w:rFonts w:hint="eastAsia" w:ascii="黑体" w:hAnsi="宋体" w:eastAsia="黑体"/>
          <w:b/>
          <w:sz w:val="21"/>
        </w:rPr>
        <w:t>评标过程的保密</w:t>
      </w:r>
      <w:bookmarkEnd w:id="99"/>
      <w:bookmarkEnd w:id="100"/>
    </w:p>
    <w:p w14:paraId="6E513B99">
      <w:pPr>
        <w:pStyle w:val="9"/>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9"/>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9"/>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7146916A">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5FE3EDC8">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84B07F6">
      <w:pPr>
        <w:pStyle w:val="9"/>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9"/>
        <w:ind w:firstLine="420" w:firstLineChars="200"/>
      </w:pPr>
      <w:r>
        <w:rPr>
          <w:rFonts w:hint="eastAsia"/>
          <w:bCs/>
        </w:rPr>
        <w:t>（1）经商务标修正后，属招标文件报价要求或商务标的修正中规定</w:t>
      </w:r>
      <w:r>
        <w:rPr>
          <w:rFonts w:hint="eastAsia"/>
        </w:rPr>
        <w:t>作无效标处理的；</w:t>
      </w:r>
    </w:p>
    <w:p w14:paraId="0F649975">
      <w:pPr>
        <w:pStyle w:val="9"/>
        <w:ind w:firstLine="420" w:firstLineChars="200"/>
      </w:pPr>
      <w:r>
        <w:rPr>
          <w:rFonts w:hint="eastAsia"/>
          <w:bCs/>
        </w:rPr>
        <w:t>（2）招标文件中</w:t>
      </w:r>
      <w:r>
        <w:rPr>
          <w:rFonts w:hint="eastAsia"/>
        </w:rPr>
        <w:t>其他内容明确规定作无效标的。</w:t>
      </w:r>
    </w:p>
    <w:p w14:paraId="764825F2">
      <w:pPr>
        <w:pStyle w:val="9"/>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E105C79">
      <w:pPr>
        <w:pStyle w:val="9"/>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5A7595CE">
      <w:pPr>
        <w:pStyle w:val="9"/>
        <w:numPr>
          <w:ilvl w:val="1"/>
          <w:numId w:val="4"/>
        </w:numPr>
        <w:ind w:firstLine="420" w:firstLineChars="200"/>
      </w:pPr>
      <w:bookmarkStart w:id="116" w:name="_Toc155342568"/>
      <w:bookmarkStart w:id="117" w:name="_Toc169487815"/>
      <w:r>
        <w:rPr>
          <w:rFonts w:hint="eastAsia"/>
        </w:rPr>
        <w:t>招标人应当将评标委员会推荐的中标候选人在交易场所（发布招标公告的媒体上）进行公示，公示期不得少于1个工作日。</w:t>
      </w:r>
    </w:p>
    <w:p w14:paraId="7B0769C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9"/>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9"/>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1D80214B">
      <w:pPr>
        <w:pStyle w:val="9"/>
        <w:numPr>
          <w:ilvl w:val="1"/>
          <w:numId w:val="4"/>
        </w:numPr>
        <w:ind w:firstLine="420" w:firstLineChars="200"/>
      </w:pPr>
      <w:r>
        <w:rPr>
          <w:rFonts w:hint="eastAsia"/>
          <w:szCs w:val="32"/>
        </w:rPr>
        <w:t>中标人确定后，招标人应当向中标人发出《建设工程中标通知书》。</w:t>
      </w:r>
    </w:p>
    <w:p w14:paraId="3728C25F">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9"/>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9"/>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9"/>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9"/>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169487823"/>
      <w:bookmarkStart w:id="124" w:name="_Toc386121568"/>
      <w:bookmarkStart w:id="125" w:name="_Toc386121757"/>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4B720315">
      <w:pPr>
        <w:pStyle w:val="8"/>
        <w:outlineLvl w:val="0"/>
        <w:rPr>
          <w:rFonts w:ascii="黑体" w:hAnsi="黑体" w:eastAsia="黑体"/>
          <w:b/>
          <w:sz w:val="32"/>
          <w:szCs w:val="32"/>
        </w:rPr>
      </w:pPr>
      <w:bookmarkStart w:id="126" w:name="_Toc484683196"/>
      <w:bookmarkStart w:id="127" w:name="_Toc20217"/>
      <w:bookmarkStart w:id="128" w:name="_Toc561"/>
    </w:p>
    <w:p w14:paraId="209CC9B4">
      <w:pPr>
        <w:pStyle w:val="8"/>
        <w:outlineLvl w:val="0"/>
        <w:rPr>
          <w:rFonts w:ascii="黑体" w:hAnsi="黑体" w:eastAsia="黑体"/>
          <w:b/>
          <w:sz w:val="32"/>
          <w:szCs w:val="32"/>
        </w:rPr>
      </w:pPr>
    </w:p>
    <w:p w14:paraId="1D914C2A">
      <w:pPr>
        <w:pStyle w:val="8"/>
        <w:outlineLvl w:val="0"/>
        <w:rPr>
          <w:rFonts w:ascii="黑体" w:hAnsi="黑体" w:eastAsia="黑体"/>
          <w:b/>
          <w:sz w:val="32"/>
          <w:szCs w:val="32"/>
        </w:rPr>
      </w:pPr>
    </w:p>
    <w:bookmarkEnd w:id="126"/>
    <w:bookmarkEnd w:id="127"/>
    <w:p w14:paraId="77A785CB">
      <w:pPr>
        <w:pStyle w:val="8"/>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0"/>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511741122"/>
      <w:bookmarkStart w:id="130" w:name="_Toc239477934"/>
      <w:bookmarkStart w:id="131" w:name="_Toc267580969"/>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临海市上盘中学</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上盘中学教学楼及厕所门窗改造工程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上盘中学教学楼及厕所门窗改造工程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bCs/>
          <w:sz w:val="21"/>
          <w:szCs w:val="21"/>
          <w:highlight w:val="none"/>
          <w:u w:val="single"/>
          <w:lang w:val="en-US" w:eastAsia="zh-CN"/>
        </w:rPr>
        <w:t>临海市上盘中学学校内</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上级拨款</w:t>
      </w:r>
    </w:p>
    <w:p w14:paraId="2352348A">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val="en-US" w:eastAsia="zh-CN"/>
        </w:rPr>
        <w:t>本次改造范围共两栋楼，其中求知楼为三层砖混结构，建筑消防高度为11.6米；树人楼为四层砖混结构，建筑消防高度为15.2米。改造内容：更换求知楼教室窗户、门；更换树人楼教室、办公室窗户；树人楼教室办公室新增玻璃隔断；窗户拆除后窗户四周墙体破损位置修补</w:t>
      </w:r>
      <w:r>
        <w:rPr>
          <w:rFonts w:hint="eastAsia" w:ascii="宋体" w:hAnsi="宋体" w:eastAsia="宋体" w:cs="宋体"/>
          <w:bCs/>
          <w:sz w:val="21"/>
          <w:szCs w:val="21"/>
          <w:highlight w:val="none"/>
          <w:u w:val="single"/>
          <w:lang w:eastAsia="zh-CN"/>
        </w:rPr>
        <w:t>。</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上盘中学教学楼及厕所门窗改造工程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 词语定义</w:t>
      </w:r>
    </w:p>
    <w:p w14:paraId="792325A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1.1.2.4监理人：</w:t>
      </w:r>
    </w:p>
    <w:p w14:paraId="48DCDC2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1.1.2.5设计人：</w:t>
      </w:r>
    </w:p>
    <w:p w14:paraId="75AFBFD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1.1.3工程和设备</w:t>
      </w:r>
    </w:p>
    <w:p w14:paraId="12EFDCD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1.3 法律</w:t>
      </w:r>
    </w:p>
    <w:p w14:paraId="471FAF23">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sz w:val="21"/>
          <w:szCs w:val="21"/>
          <w:highlight w:val="none"/>
          <w:u w:val="single"/>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lang w:val="zh-CN"/>
        </w:rPr>
        <w:t>《浙江省房屋建筑与装饰工程预算定额》(2018)、《浙江省房屋建筑安装工程修缮预算定额》(2018)、《浙江省建设工程施工机械台班费用定额》(2018),取费套用《浙江省建设工程计价规则》（2018版）及浙建建发[2019]92号等文件</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工程所在地现行的有关工程造价方面规定原则进行计算工程造价。以上规定的工程量计算规则中没有的子目，其工程量按照有合同约束力的图纸所标示尺寸的理论净量计算。计量采用中华人民共和国法定的基本计量单位。</w:t>
      </w:r>
    </w:p>
    <w:p w14:paraId="019C9B8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1.4 标准和规范</w:t>
      </w:r>
    </w:p>
    <w:p w14:paraId="3CC7C75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keepNext w:val="0"/>
        <w:keepLines w:val="0"/>
        <w:pageBreakBefore w:val="0"/>
        <w:kinsoku/>
        <w:wordWrap/>
        <w:overflowPunct/>
        <w:topLinePunct w:val="0"/>
        <w:bidi w:val="0"/>
        <w:snapToGrid/>
        <w:spacing w:line="380" w:lineRule="exact"/>
        <w:textAlignment w:val="auto"/>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1.5 合同文件的优先顺序</w:t>
      </w:r>
    </w:p>
    <w:p w14:paraId="4454AFA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1.6.1图纸的提供</w:t>
      </w:r>
    </w:p>
    <w:p w14:paraId="395B1A9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1.6.4承包人文件</w:t>
      </w:r>
    </w:p>
    <w:p w14:paraId="0F7B1BB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1.6.5现场图纸准备</w:t>
      </w:r>
    </w:p>
    <w:p w14:paraId="468C9EA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1.7 联络</w:t>
      </w:r>
    </w:p>
    <w:p w14:paraId="48C4DE8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1.10 交通运输</w:t>
      </w:r>
    </w:p>
    <w:p w14:paraId="52E5FDC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1.10.1出入现场的权利</w:t>
      </w:r>
    </w:p>
    <w:p w14:paraId="6FD57F6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1.10.3场内交通</w:t>
      </w:r>
    </w:p>
    <w:p w14:paraId="7F52661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1.11 知识产权</w:t>
      </w:r>
    </w:p>
    <w:p w14:paraId="4B2081D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2．发包人</w:t>
      </w:r>
    </w:p>
    <w:p w14:paraId="6833B6D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2.2 发包人代表</w:t>
      </w:r>
    </w:p>
    <w:p w14:paraId="73623E2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发包人代表：</w:t>
      </w:r>
    </w:p>
    <w:p w14:paraId="1746F5D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keepNext w:val="0"/>
        <w:keepLines w:val="0"/>
        <w:pageBreakBefore w:val="0"/>
        <w:kinsoku/>
        <w:wordWrap/>
        <w:overflowPunct/>
        <w:topLinePunct w:val="0"/>
        <w:bidi w:val="0"/>
        <w:snapToGrid/>
        <w:spacing w:line="380" w:lineRule="exact"/>
        <w:ind w:firstLine="200"/>
        <w:textAlignment w:val="auto"/>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2.4.1提供施工现场</w:t>
      </w:r>
    </w:p>
    <w:p w14:paraId="6C8D622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2.4.2提供施工条件</w:t>
      </w:r>
    </w:p>
    <w:p w14:paraId="4D75567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2.6 支付合同价款</w:t>
      </w:r>
    </w:p>
    <w:p w14:paraId="782FDE2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2.7 组织竣工验收</w:t>
      </w:r>
    </w:p>
    <w:p w14:paraId="545CC16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3．承包人</w:t>
      </w:r>
    </w:p>
    <w:p w14:paraId="24F442F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3.1 承包人的一般义务</w:t>
      </w:r>
    </w:p>
    <w:p w14:paraId="1DB2E68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keepNext w:val="0"/>
        <w:keepLines w:val="0"/>
        <w:pageBreakBefore w:val="0"/>
        <w:numPr>
          <w:ilvl w:val="0"/>
          <w:numId w:val="6"/>
        </w:numPr>
        <w:kinsoku/>
        <w:wordWrap/>
        <w:overflowPunct/>
        <w:topLinePunct w:val="0"/>
        <w:bidi w:val="0"/>
        <w:snapToGrid/>
        <w:spacing w:line="380" w:lineRule="exact"/>
        <w:textAlignment w:val="auto"/>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keepNext w:val="0"/>
        <w:keepLines w:val="0"/>
        <w:pageBreakBefore w:val="0"/>
        <w:kinsoku/>
        <w:wordWrap/>
        <w:overflowPunct/>
        <w:topLinePunct w:val="0"/>
        <w:bidi w:val="0"/>
        <w:snapToGrid/>
        <w:spacing w:line="380" w:lineRule="exact"/>
        <w:textAlignment w:val="auto"/>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keepNext w:val="0"/>
        <w:keepLines w:val="0"/>
        <w:pageBreakBefore w:val="0"/>
        <w:kinsoku/>
        <w:wordWrap/>
        <w:overflowPunct/>
        <w:topLinePunct w:val="0"/>
        <w:bidi w:val="0"/>
        <w:snapToGrid/>
        <w:spacing w:line="380" w:lineRule="exact"/>
        <w:textAlignment w:val="auto"/>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3.2 项目经理</w:t>
      </w:r>
    </w:p>
    <w:p w14:paraId="28363F3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keepNext w:val="0"/>
        <w:keepLines w:val="0"/>
        <w:pageBreakBefore w:val="0"/>
        <w:kinsoku/>
        <w:wordWrap/>
        <w:overflowPunct/>
        <w:topLinePunct w:val="0"/>
        <w:bidi w:val="0"/>
        <w:snapToGrid/>
        <w:spacing w:line="380" w:lineRule="exact"/>
        <w:ind w:firstLine="436" w:firstLineChars="200"/>
        <w:textAlignment w:val="auto"/>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  遇有工程检查、验收或参观等活动时，无特殊原因不得离开施工现场 </w:t>
      </w:r>
      <w:r>
        <w:rPr>
          <w:rFonts w:hint="eastAsia" w:ascii="宋体" w:hAnsi="宋体" w:eastAsia="宋体" w:cs="宋体"/>
          <w:sz w:val="21"/>
          <w:szCs w:val="21"/>
        </w:rPr>
        <w:t>。</w:t>
      </w:r>
    </w:p>
    <w:p w14:paraId="22DBCC09">
      <w:pPr>
        <w:keepNext w:val="0"/>
        <w:keepLines w:val="0"/>
        <w:pageBreakBefore w:val="0"/>
        <w:kinsoku/>
        <w:wordWrap/>
        <w:overflowPunct/>
        <w:topLinePunct w:val="0"/>
        <w:autoSpaceDE w:val="0"/>
        <w:autoSpaceDN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3.3 承包人人员</w:t>
      </w:r>
    </w:p>
    <w:p w14:paraId="5829411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3.5 分包</w:t>
      </w:r>
    </w:p>
    <w:p w14:paraId="13FCC87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3.5.1分包的一般约定</w:t>
      </w:r>
    </w:p>
    <w:p w14:paraId="2C37D44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3.5.2分包的确定</w:t>
      </w:r>
    </w:p>
    <w:p w14:paraId="438337D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3.5.4分包合同价款</w:t>
      </w:r>
    </w:p>
    <w:p w14:paraId="39F06D3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3.7 履约担保</w:t>
      </w:r>
    </w:p>
    <w:p w14:paraId="1C2B048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4．监理人</w:t>
      </w:r>
    </w:p>
    <w:p w14:paraId="39CB21E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4.1 监理人的一般规定</w:t>
      </w:r>
    </w:p>
    <w:p w14:paraId="7FB4C09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4.2 监理人员</w:t>
      </w:r>
    </w:p>
    <w:p w14:paraId="40A0388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4.4 商定或确定</w:t>
      </w:r>
    </w:p>
    <w:p w14:paraId="503D96C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5.1 质量要求</w:t>
      </w:r>
    </w:p>
    <w:p w14:paraId="12101CE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5.3 隐蔽工程检查</w:t>
      </w:r>
    </w:p>
    <w:p w14:paraId="6E5C015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6.1 安全文明施工</w:t>
      </w:r>
    </w:p>
    <w:p w14:paraId="155951F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6.1.5文明施工</w:t>
      </w:r>
    </w:p>
    <w:p w14:paraId="2C9C291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67BCACA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7.1 施工组织设计</w:t>
      </w:r>
    </w:p>
    <w:p w14:paraId="5274AAEB">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7.2 施工进度计划</w:t>
      </w:r>
    </w:p>
    <w:p w14:paraId="546EF86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7.2.2施工进度计划的修订</w:t>
      </w:r>
    </w:p>
    <w:p w14:paraId="7B63B53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7.3 开工</w:t>
      </w:r>
    </w:p>
    <w:p w14:paraId="5941192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7.3.1开工准备</w:t>
      </w:r>
    </w:p>
    <w:p w14:paraId="23B42A1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7.3.2开工通知</w:t>
      </w:r>
    </w:p>
    <w:p w14:paraId="61170CD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7.4 测量放线</w:t>
      </w:r>
    </w:p>
    <w:p w14:paraId="32A7333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7.5 工期延误</w:t>
      </w:r>
    </w:p>
    <w:p w14:paraId="4A30A5B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7.6 不利物质条件</w:t>
      </w:r>
    </w:p>
    <w:p w14:paraId="13B5E63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7.7 异常恶劣的气候条件</w:t>
      </w:r>
    </w:p>
    <w:p w14:paraId="38C25C0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7.9 提前竣工的奖励</w:t>
      </w:r>
    </w:p>
    <w:p w14:paraId="6C57DF3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lang w:val="en-US" w:eastAsia="zh-CN"/>
        </w:rPr>
        <w:t>门窗推荐品牌兴发，凤铝，伟业或相当于，采购前需发包人确定。</w:t>
      </w:r>
    </w:p>
    <w:p w14:paraId="12759DC0">
      <w:pPr>
        <w:keepNext w:val="0"/>
        <w:keepLines w:val="0"/>
        <w:pageBreakBefore w:val="0"/>
        <w:kinsoku/>
        <w:wordWrap/>
        <w:overflowPunct/>
        <w:topLinePunct w:val="0"/>
        <w:bidi w:val="0"/>
        <w:snapToGrid/>
        <w:spacing w:line="380" w:lineRule="exact"/>
        <w:ind w:firstLine="412" w:firstLineChars="200"/>
        <w:textAlignment w:val="auto"/>
        <w:rPr>
          <w:rFonts w:hint="eastAsia" w:ascii="宋体" w:hAnsi="宋体" w:eastAsia="宋体" w:cs="宋体"/>
          <w:sz w:val="21"/>
          <w:szCs w:val="21"/>
          <w:u w:val="single"/>
        </w:rPr>
      </w:pPr>
      <w:r>
        <w:rPr>
          <w:rFonts w:hint="eastAsia" w:ascii="宋体" w:hAnsi="宋体" w:eastAsia="宋体" w:cs="宋体"/>
          <w:sz w:val="21"/>
          <w:szCs w:val="21"/>
          <w:u w:val="single"/>
        </w:rPr>
        <w:t>（2）本工程已确定承包价的建筑材料均由承包人自行询价、采购、运输和保管。散装水泥及新型墙体材料的使用须符合相关规定，否则相关押金由承包人承担。</w:t>
      </w:r>
    </w:p>
    <w:p w14:paraId="3637E64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8.6 样品</w:t>
      </w:r>
    </w:p>
    <w:p w14:paraId="7F3B174C">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8.8 施工设备和临时设施</w:t>
      </w:r>
    </w:p>
    <w:p w14:paraId="50D56CAE">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9.1 试验设备与试验人员</w:t>
      </w:r>
    </w:p>
    <w:p w14:paraId="5C0A5FB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9.1.2试验设备</w:t>
      </w:r>
    </w:p>
    <w:p w14:paraId="314A1E3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0DAD37D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22F012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 xml:space="preserve"> 按规范及（当地）建设行政主管部门要求配置</w:t>
      </w:r>
      <w:r>
        <w:rPr>
          <w:rFonts w:hint="eastAsia" w:ascii="宋体" w:hAnsi="宋体" w:eastAsia="宋体" w:cs="宋体"/>
          <w:sz w:val="21"/>
          <w:szCs w:val="21"/>
        </w:rPr>
        <w:t>。</w:t>
      </w:r>
    </w:p>
    <w:p w14:paraId="1BE8A15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9.4 现场工艺试验</w:t>
      </w:r>
    </w:p>
    <w:p w14:paraId="7CFA1C5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pageBreakBefore w:val="0"/>
        <w:numPr>
          <w:ilvl w:val="0"/>
          <w:numId w:val="7"/>
        </w:numPr>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变更</w:t>
      </w:r>
    </w:p>
    <w:p w14:paraId="44F5FF6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10.1 变更的范围</w:t>
      </w:r>
    </w:p>
    <w:p w14:paraId="74B04DD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10.4 变更估价</w:t>
      </w:r>
    </w:p>
    <w:p w14:paraId="41A962D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10.4.1变更估价原则</w:t>
      </w:r>
    </w:p>
    <w:p w14:paraId="4003554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10.4.2变更估价程序</w:t>
      </w:r>
    </w:p>
    <w:p w14:paraId="2A6EB44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10.7 暂估价</w:t>
      </w:r>
    </w:p>
    <w:p w14:paraId="664423B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lang w:eastAsia="zh-CN"/>
        </w:rPr>
        <w:t>无预算价</w:t>
      </w:r>
      <w:r>
        <w:rPr>
          <w:rFonts w:hint="eastAsia" w:ascii="宋体" w:hAnsi="宋体" w:eastAsia="宋体" w:cs="宋体"/>
          <w:sz w:val="21"/>
          <w:szCs w:val="21"/>
          <w:u w:val="single"/>
        </w:rPr>
        <w:t>（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10.8 暂列金额</w:t>
      </w:r>
    </w:p>
    <w:p w14:paraId="42FCAAD7">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rPr>
        <w:t>人工、材料、机械结算价格按预算书不做调整。</w:t>
      </w:r>
    </w:p>
    <w:p w14:paraId="0E44B7E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1"/>
        <w:keepNext w:val="0"/>
        <w:keepLines w:val="0"/>
        <w:pageBreakBefore w:val="0"/>
        <w:kinsoku/>
        <w:wordWrap/>
        <w:overflowPunct/>
        <w:topLinePunct w:val="0"/>
        <w:bidi w:val="0"/>
        <w:adjustRightInd w:val="0"/>
        <w:snapToGrid/>
        <w:spacing w:line="380" w:lineRule="exact"/>
        <w:ind w:firstLine="412" w:firstLineChars="200"/>
        <w:textAlignment w:val="auto"/>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keepNext w:val="0"/>
        <w:keepLines w:val="0"/>
        <w:pageBreakBefore w:val="0"/>
        <w:tabs>
          <w:tab w:val="left" w:pos="0"/>
        </w:tabs>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keepNext w:val="0"/>
        <w:keepLines w:val="0"/>
        <w:pageBreakBefore w:val="0"/>
        <w:tabs>
          <w:tab w:val="left" w:pos="0"/>
        </w:tabs>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ED7EF8E">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color w:val="auto"/>
          <w:kern w:val="0"/>
          <w:sz w:val="21"/>
          <w:szCs w:val="21"/>
          <w:u w:val="single"/>
        </w:rPr>
      </w:pPr>
      <w:r>
        <w:rPr>
          <w:rFonts w:hint="eastAsia" w:hAnsi="宋体" w:eastAsia="宋体" w:cs="宋体"/>
          <w:color w:val="auto"/>
          <w:kern w:val="0"/>
          <w:sz w:val="21"/>
          <w:szCs w:val="21"/>
          <w:u w:val="single"/>
        </w:rPr>
        <w:t>（1）</w:t>
      </w:r>
      <w:r>
        <w:rPr>
          <w:rFonts w:hint="eastAsia" w:hAnsi="宋体" w:eastAsia="宋体" w:cs="宋体"/>
          <w:color w:val="auto"/>
          <w:kern w:val="0"/>
          <w:sz w:val="21"/>
          <w:szCs w:val="21"/>
          <w:u w:val="single"/>
          <w:lang w:val="zh-CN"/>
        </w:rPr>
        <w:t>《浙江省房屋建筑与装饰工程预算定额》(2018)、《浙江省房屋建筑安装工程修缮预算定额》(2018)、《浙江省建设工程施工机械台班费用定额》(2018),取费套用《浙江省建设工程计价规则》（2018版）及浙建建发[2019]92号等文件</w:t>
      </w:r>
      <w:r>
        <w:rPr>
          <w:rFonts w:hint="eastAsia" w:hAnsi="宋体" w:eastAsia="宋体" w:cs="宋体"/>
          <w:color w:val="auto"/>
          <w:kern w:val="0"/>
          <w:sz w:val="21"/>
          <w:szCs w:val="21"/>
          <w:highlight w:val="none"/>
          <w:u w:val="single"/>
          <w:lang w:eastAsia="zh-CN"/>
        </w:rPr>
        <w:t>，</w:t>
      </w:r>
      <w:r>
        <w:rPr>
          <w:rFonts w:hint="eastAsia" w:hAnsi="宋体" w:eastAsia="宋体" w:cs="宋体"/>
          <w:color w:val="auto"/>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3C195D72">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color w:val="auto"/>
          <w:kern w:val="0"/>
          <w:sz w:val="21"/>
          <w:szCs w:val="21"/>
          <w:u w:val="single"/>
        </w:rPr>
      </w:pPr>
      <w:r>
        <w:rPr>
          <w:rFonts w:hint="eastAsia" w:hAnsi="宋体" w:eastAsia="宋体" w:cs="宋体"/>
          <w:color w:val="auto"/>
          <w:kern w:val="0"/>
          <w:sz w:val="21"/>
          <w:szCs w:val="21"/>
          <w:u w:val="single"/>
        </w:rPr>
        <w:t>（2）工程结算率：           ；</w:t>
      </w:r>
    </w:p>
    <w:p w14:paraId="54A92501">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color w:val="auto"/>
          <w:kern w:val="0"/>
          <w:sz w:val="21"/>
          <w:szCs w:val="21"/>
          <w:u w:val="single"/>
        </w:rPr>
      </w:pPr>
      <w:r>
        <w:rPr>
          <w:rFonts w:hint="eastAsia" w:hAnsi="宋体" w:eastAsia="宋体" w:cs="宋体"/>
          <w:color w:val="auto"/>
          <w:kern w:val="0"/>
          <w:sz w:val="21"/>
          <w:szCs w:val="21"/>
          <w:u w:val="single"/>
        </w:rPr>
        <w:t>（3）施工组织措施项目内容及对应费率：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09CDBB79">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color w:val="auto"/>
          <w:kern w:val="0"/>
          <w:sz w:val="21"/>
          <w:szCs w:val="21"/>
          <w:u w:val="single"/>
        </w:rPr>
      </w:pPr>
      <w:r>
        <w:rPr>
          <w:rFonts w:hint="eastAsia" w:hAnsi="宋体" w:eastAsia="宋体" w:cs="宋体"/>
          <w:color w:val="auto"/>
          <w:kern w:val="0"/>
          <w:sz w:val="21"/>
          <w:szCs w:val="21"/>
          <w:u w:val="single"/>
        </w:rPr>
        <w:t>（4）规费费率：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；税金税率：</w:t>
      </w:r>
      <w:r>
        <w:rPr>
          <w:rFonts w:hint="eastAsia" w:hAnsi="宋体" w:eastAsia="宋体"/>
          <w:color w:val="auto"/>
          <w:sz w:val="21"/>
          <w:u w:val="single"/>
        </w:rPr>
        <w:t>按预算书相应费率</w:t>
      </w:r>
      <w:r>
        <w:rPr>
          <w:rFonts w:hint="eastAsia" w:hAnsi="宋体" w:eastAsia="宋体" w:cs="宋体"/>
          <w:color w:val="auto"/>
          <w:kern w:val="0"/>
          <w:sz w:val="21"/>
          <w:szCs w:val="21"/>
          <w:u w:val="single"/>
        </w:rPr>
        <w:t>；</w:t>
      </w:r>
    </w:p>
    <w:p w14:paraId="382591B7">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color w:val="auto"/>
          <w:kern w:val="0"/>
          <w:sz w:val="21"/>
          <w:szCs w:val="21"/>
          <w:u w:val="single"/>
        </w:rPr>
      </w:pPr>
      <w:r>
        <w:rPr>
          <w:rFonts w:hint="eastAsia" w:hAnsi="宋体" w:eastAsia="宋体" w:cs="宋体"/>
          <w:color w:val="auto"/>
          <w:kern w:val="0"/>
          <w:sz w:val="21"/>
          <w:szCs w:val="21"/>
          <w:u w:val="single"/>
        </w:rPr>
        <w:t>（5）企业管理费、利润、施工组织措施费、规费的计算基数为人工及机械台班费，基数中单价按人工、机械台班的定额单价计算；</w:t>
      </w:r>
    </w:p>
    <w:p w14:paraId="0C59155B">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color w:val="auto"/>
          <w:kern w:val="0"/>
          <w:sz w:val="21"/>
          <w:szCs w:val="21"/>
          <w:u w:val="single"/>
        </w:rPr>
      </w:pPr>
      <w:r>
        <w:rPr>
          <w:rFonts w:hint="eastAsia" w:hAnsi="宋体" w:eastAsia="宋体" w:cs="宋体"/>
          <w:color w:val="auto"/>
          <w:kern w:val="0"/>
          <w:sz w:val="21"/>
          <w:szCs w:val="21"/>
          <w:u w:val="single"/>
        </w:rPr>
        <w:t>（6）签证确定的某个施工内容的施工价（或工料机完全价）仅计算税金及工伤保险费，不纳入工程下浮率（或结算率计算）。</w:t>
      </w:r>
    </w:p>
    <w:p w14:paraId="7DA75BD7">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color w:val="auto"/>
          <w:kern w:val="0"/>
          <w:sz w:val="21"/>
          <w:szCs w:val="21"/>
          <w:u w:val="single"/>
        </w:rPr>
      </w:pPr>
      <w:r>
        <w:rPr>
          <w:rFonts w:hint="eastAsia" w:hAnsi="宋体" w:eastAsia="宋体" w:cs="宋体"/>
          <w:color w:val="auto"/>
          <w:kern w:val="0"/>
          <w:sz w:val="21"/>
          <w:szCs w:val="21"/>
          <w:u w:val="single"/>
          <w:lang w:eastAsia="zh-CN"/>
        </w:rPr>
        <w:t>无预算价</w:t>
      </w:r>
      <w:r>
        <w:rPr>
          <w:rFonts w:hint="eastAsia" w:hAnsi="宋体" w:eastAsia="宋体" w:cs="宋体"/>
          <w:color w:val="auto"/>
          <w:kern w:val="0"/>
          <w:sz w:val="21"/>
          <w:szCs w:val="21"/>
          <w:u w:val="single"/>
        </w:rPr>
        <w:t>（暂定价）或工程变更新增的单项材料、设备、专业分包工程由发包人签证或招标确定的价格，不纳入工程下浮率（或结算率）计算；</w:t>
      </w:r>
    </w:p>
    <w:p w14:paraId="5073D440">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color w:val="auto"/>
          <w:kern w:val="0"/>
          <w:sz w:val="21"/>
          <w:szCs w:val="21"/>
          <w:u w:val="single"/>
        </w:rPr>
      </w:pPr>
      <w:r>
        <w:rPr>
          <w:rFonts w:hint="eastAsia" w:hAnsi="宋体" w:eastAsia="宋体" w:cs="宋体"/>
          <w:color w:val="auto"/>
          <w:kern w:val="0"/>
          <w:sz w:val="21"/>
          <w:szCs w:val="21"/>
          <w:u w:val="single"/>
        </w:rPr>
        <w:t>（7）计日工综合单价（工数经发包人签证，综合单价按技术工260元/工日、普工180元/工日计取）；该项费用仅另计算税金。</w:t>
      </w:r>
    </w:p>
    <w:p w14:paraId="125457E2">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color w:val="auto"/>
          <w:kern w:val="0"/>
          <w:sz w:val="21"/>
          <w:szCs w:val="21"/>
          <w:u w:val="single"/>
        </w:rPr>
      </w:pPr>
      <w:r>
        <w:rPr>
          <w:rFonts w:hint="eastAsia" w:hAnsi="宋体" w:eastAsia="宋体" w:cs="宋体"/>
          <w:color w:val="auto"/>
          <w:kern w:val="0"/>
          <w:sz w:val="21"/>
          <w:szCs w:val="21"/>
          <w:u w:val="single"/>
        </w:rPr>
        <w:t>（8）其他可能发生的费用：</w:t>
      </w:r>
    </w:p>
    <w:p w14:paraId="3F8BADCE">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Ansi="宋体" w:eastAsia="宋体" w:cs="宋体"/>
          <w:color w:val="auto"/>
          <w:kern w:val="0"/>
          <w:sz w:val="21"/>
          <w:szCs w:val="21"/>
          <w:u w:val="single"/>
        </w:rPr>
      </w:pPr>
      <w:r>
        <w:rPr>
          <w:rFonts w:hint="eastAsia" w:hAnsi="宋体" w:eastAsia="宋体" w:cs="宋体"/>
          <w:color w:val="auto"/>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int="eastAsia" w:hAnsi="宋体" w:eastAsia="宋体" w:cs="宋体"/>
          <w:color w:val="auto"/>
          <w:kern w:val="0"/>
          <w:sz w:val="21"/>
          <w:szCs w:val="21"/>
          <w:u w:val="single"/>
        </w:rPr>
      </w:pPr>
      <w:r>
        <w:rPr>
          <w:rFonts w:hint="eastAsia" w:hAnsi="宋体" w:eastAsia="宋体" w:cs="宋体"/>
          <w:color w:val="auto"/>
          <w:kern w:val="0"/>
          <w:sz w:val="21"/>
          <w:szCs w:val="21"/>
          <w:u w:val="single"/>
        </w:rPr>
        <w:t>b.实际施工中可能发生街道管理费、干扰费、环保费、占道押金等其它管理费。</w:t>
      </w:r>
    </w:p>
    <w:p w14:paraId="2BB72AB6">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根据《省建设厅关于开展房屋市政工程建筑垃圾减量化专项治理行动的通知》浙建质安函〔2025)366号规定，承包人须编制施工现场建筑垃圾减量化专项方案，明确建筑垃圾减量化目标、职责分工和具体措施，并与建筑垃圾处理方案内容做好衔接：加强与设计人的衔接沟通，减少施工过程设计变更。承包人须按照相关文件办理好相关备案手续。相关费用由承包人在投标报价时综合考虑，结算时不再另行计取；</w:t>
      </w:r>
    </w:p>
    <w:p w14:paraId="620C49DF">
      <w:pPr>
        <w:pStyle w:val="11"/>
        <w:keepNext w:val="0"/>
        <w:keepLines w:val="0"/>
        <w:pageBreakBefore w:val="0"/>
        <w:widowControl/>
        <w:kinsoku/>
        <w:wordWrap/>
        <w:overflowPunct/>
        <w:topLinePunct w:val="0"/>
        <w:bidi w:val="0"/>
        <w:adjustRightInd w:val="0"/>
        <w:snapToGrid/>
        <w:spacing w:line="380" w:lineRule="exact"/>
        <w:ind w:firstLine="412" w:firstLineChars="200"/>
        <w:textAlignment w:val="auto"/>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d.因施工需要搬移办公桌椅的费用已包含在合同价内，由承包人综合考虑；</w:t>
      </w:r>
    </w:p>
    <w:p w14:paraId="34D9918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7BDB719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p>
    <w:p w14:paraId="5B7A0836">
      <w:pPr>
        <w:keepNext w:val="0"/>
        <w:keepLines w:val="0"/>
        <w:pageBreakBefore w:val="0"/>
        <w:kinsoku/>
        <w:wordWrap/>
        <w:overflowPunct/>
        <w:topLinePunct w:val="0"/>
        <w:autoSpaceDE w:val="0"/>
        <w:autoSpaceDN w:val="0"/>
        <w:bidi w:val="0"/>
        <w:snapToGrid/>
        <w:spacing w:line="380" w:lineRule="exact"/>
        <w:ind w:firstLine="412" w:firstLineChars="200"/>
        <w:textAlignment w:val="auto"/>
        <w:rPr>
          <w:rFonts w:ascii="宋体" w:hAnsi="宋体" w:eastAsia="宋体" w:cs="宋体"/>
          <w:color w:val="auto"/>
          <w:sz w:val="21"/>
          <w:szCs w:val="21"/>
          <w:highlight w:val="lightGray"/>
          <w:u w:val="single"/>
        </w:rPr>
      </w:pPr>
      <w:r>
        <w:rPr>
          <w:rFonts w:hint="eastAsia" w:ascii="宋体" w:hAnsi="宋体" w:eastAsia="宋体" w:cs="宋体"/>
          <w:color w:val="auto"/>
          <w:sz w:val="21"/>
          <w:szCs w:val="21"/>
          <w:u w:val="single"/>
          <w:lang w:val="zh-CN"/>
        </w:rPr>
        <w:t>（1）</w:t>
      </w:r>
      <w:r>
        <w:rPr>
          <w:rFonts w:hint="eastAsia" w:ascii="宋体" w:hAnsi="宋体" w:eastAsia="宋体" w:cs="宋体"/>
          <w:color w:val="auto"/>
          <w:sz w:val="21"/>
          <w:szCs w:val="21"/>
          <w:highlight w:val="none"/>
          <w:u w:val="single"/>
        </w:rPr>
        <w:t>工程量按照</w:t>
      </w:r>
      <w:r>
        <w:rPr>
          <w:rFonts w:hint="eastAsia" w:ascii="宋体" w:hAnsi="宋体" w:eastAsia="宋体" w:cs="宋体"/>
          <w:color w:val="auto"/>
          <w:sz w:val="21"/>
          <w:szCs w:val="21"/>
          <w:highlight w:val="none"/>
          <w:u w:val="single"/>
          <w:lang w:val="zh-CN"/>
        </w:rPr>
        <w:t>《浙江省建设工程计价规则》（2018版）、《浙江省建设工程施工机械台班费用定额》（2018版）、《浙江省市政工程预算定额》（2018版）、《浙江省</w:t>
      </w:r>
      <w:r>
        <w:rPr>
          <w:rFonts w:hint="eastAsia" w:ascii="宋体" w:hAnsi="宋体" w:eastAsia="宋体" w:cs="宋体"/>
          <w:color w:val="auto"/>
          <w:sz w:val="21"/>
          <w:szCs w:val="21"/>
          <w:highlight w:val="none"/>
          <w:u w:val="single"/>
          <w:lang w:val="en-US" w:eastAsia="zh-CN"/>
        </w:rPr>
        <w:t>房屋建筑与装饰工程</w:t>
      </w:r>
      <w:r>
        <w:rPr>
          <w:rFonts w:hint="eastAsia" w:ascii="宋体" w:hAnsi="宋体" w:eastAsia="宋体" w:cs="宋体"/>
          <w:color w:val="auto"/>
          <w:sz w:val="21"/>
          <w:szCs w:val="21"/>
          <w:highlight w:val="none"/>
          <w:u w:val="single"/>
          <w:lang w:val="zh-CN"/>
        </w:rPr>
        <w:t>预算定额》（2018版）、《</w:t>
      </w:r>
      <w:r>
        <w:rPr>
          <w:rFonts w:hint="eastAsia" w:ascii="宋体" w:hAnsi="宋体" w:eastAsia="宋体" w:cs="宋体"/>
          <w:color w:val="auto"/>
          <w:sz w:val="21"/>
          <w:szCs w:val="21"/>
          <w:highlight w:val="none"/>
          <w:u w:val="single"/>
          <w:lang w:val="zh-CN" w:eastAsia="zh-CN"/>
        </w:rPr>
        <w:t>建设工程工程量清单计价规范</w:t>
      </w:r>
      <w:r>
        <w:rPr>
          <w:rFonts w:hint="eastAsia" w:ascii="宋体" w:hAnsi="宋体" w:eastAsia="宋体" w:cs="宋体"/>
          <w:color w:val="auto"/>
          <w:sz w:val="21"/>
          <w:szCs w:val="21"/>
          <w:highlight w:val="none"/>
          <w:u w:val="single"/>
          <w:lang w:val="zh-CN"/>
        </w:rPr>
        <w:t>》（201</w:t>
      </w:r>
      <w:r>
        <w:rPr>
          <w:rFonts w:hint="eastAsia" w:ascii="宋体" w:hAnsi="宋体" w:eastAsia="宋体" w:cs="宋体"/>
          <w:color w:val="auto"/>
          <w:sz w:val="21"/>
          <w:szCs w:val="21"/>
          <w:highlight w:val="none"/>
          <w:u w:val="single"/>
          <w:lang w:val="zh-CN" w:eastAsia="zh-CN"/>
        </w:rPr>
        <w:t>3</w:t>
      </w:r>
      <w:r>
        <w:rPr>
          <w:rFonts w:hint="eastAsia" w:ascii="宋体" w:hAnsi="宋体" w:eastAsia="宋体" w:cs="宋体"/>
          <w:color w:val="auto"/>
          <w:sz w:val="21"/>
          <w:szCs w:val="21"/>
          <w:highlight w:val="none"/>
          <w:u w:val="single"/>
          <w:lang w:val="zh-CN"/>
        </w:rPr>
        <w:t>版）</w:t>
      </w:r>
      <w:r>
        <w:rPr>
          <w:rFonts w:hint="eastAsia" w:ascii="宋体" w:hAnsi="宋体" w:eastAsia="宋体" w:cs="宋体"/>
          <w:color w:val="auto"/>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61163057">
      <w:pPr>
        <w:keepNext w:val="0"/>
        <w:keepLines w:val="0"/>
        <w:pageBreakBefore w:val="0"/>
        <w:kinsoku/>
        <w:wordWrap/>
        <w:overflowPunct/>
        <w:topLinePunct w:val="0"/>
        <w:autoSpaceDE w:val="0"/>
        <w:autoSpaceDN w:val="0"/>
        <w:bidi w:val="0"/>
        <w:snapToGrid/>
        <w:spacing w:line="380" w:lineRule="exact"/>
        <w:ind w:firstLine="412" w:firstLineChars="200"/>
        <w:textAlignment w:val="auto"/>
        <w:rPr>
          <w:rFonts w:ascii="宋体" w:hAnsi="宋体" w:eastAsia="宋体" w:cs="宋体"/>
          <w:color w:val="auto"/>
          <w:sz w:val="21"/>
          <w:szCs w:val="21"/>
          <w:u w:val="single"/>
          <w:lang w:val="zh-CN"/>
        </w:rPr>
      </w:pPr>
      <w:r>
        <w:rPr>
          <w:rFonts w:hint="eastAsia" w:ascii="宋体" w:hAnsi="宋体" w:eastAsia="宋体" w:cs="宋体"/>
          <w:color w:val="auto"/>
          <w:sz w:val="21"/>
          <w:szCs w:val="21"/>
          <w:u w:val="single"/>
        </w:rPr>
        <w:t>（2）</w:t>
      </w:r>
      <w:r>
        <w:rPr>
          <w:rFonts w:hint="eastAsia" w:ascii="宋体" w:hAnsi="宋体" w:eastAsia="宋体" w:cs="宋体"/>
          <w:color w:val="auto"/>
          <w:kern w:val="0"/>
          <w:sz w:val="21"/>
          <w:szCs w:val="21"/>
          <w:u w:val="single"/>
        </w:rPr>
        <w:t>因市场价格波动引起人工、材料价格变化的调整，按</w:t>
      </w:r>
      <w:r>
        <w:rPr>
          <w:rFonts w:hint="eastAsia" w:ascii="宋体" w:hAnsi="宋体" w:eastAsia="宋体" w:cs="宋体"/>
          <w:color w:val="auto"/>
          <w:sz w:val="21"/>
          <w:szCs w:val="21"/>
          <w:u w:val="single"/>
        </w:rPr>
        <w:t>本专用合同条款第11.1款约定调整。</w:t>
      </w:r>
    </w:p>
    <w:p w14:paraId="3AA34371">
      <w:pPr>
        <w:keepNext w:val="0"/>
        <w:keepLines w:val="0"/>
        <w:pageBreakBefore w:val="0"/>
        <w:kinsoku/>
        <w:wordWrap/>
        <w:overflowPunct/>
        <w:topLinePunct w:val="0"/>
        <w:autoSpaceDE w:val="0"/>
        <w:autoSpaceDN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color w:val="auto"/>
          <w:sz w:val="21"/>
          <w:szCs w:val="21"/>
          <w:u w:val="single"/>
        </w:rPr>
        <w:t>（3）未在投标价中包含的专项施工方案的施工及论证费用，根据施工现场实</w:t>
      </w:r>
      <w:r>
        <w:rPr>
          <w:rFonts w:hint="eastAsia" w:ascii="宋体" w:hAnsi="宋体" w:eastAsia="宋体" w:cs="宋体"/>
          <w:sz w:val="21"/>
          <w:szCs w:val="21"/>
          <w:u w:val="single"/>
        </w:rPr>
        <w:t>际按照合同约定方法确定费用或签证。</w:t>
      </w:r>
    </w:p>
    <w:p w14:paraId="7E76E563">
      <w:pPr>
        <w:keepNext w:val="0"/>
        <w:keepLines w:val="0"/>
        <w:pageBreakBefore w:val="0"/>
        <w:kinsoku/>
        <w:wordWrap/>
        <w:overflowPunct/>
        <w:topLinePunct w:val="0"/>
        <w:autoSpaceDE w:val="0"/>
        <w:autoSpaceDN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12.2 预付款</w:t>
      </w:r>
    </w:p>
    <w:p w14:paraId="4DB84A0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12.2.1预付款的支付</w:t>
      </w:r>
    </w:p>
    <w:p w14:paraId="5CF3443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rPr>
        <w:t>签约合同价的10%，金额（    ）元，包含专用条款6.1.6条所列的安全文明施工费</w:t>
      </w:r>
      <w:r>
        <w:rPr>
          <w:rFonts w:hint="eastAsia" w:ascii="宋体" w:hAnsi="宋体" w:eastAsia="宋体" w:cs="宋体"/>
          <w:sz w:val="21"/>
          <w:szCs w:val="21"/>
          <w:highlight w:val="none"/>
          <w:u w:val="single"/>
        </w:rPr>
        <w:t>。</w:t>
      </w:r>
    </w:p>
    <w:p w14:paraId="24FE243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197A8AA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44814D9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12.2.2预付款担保</w:t>
      </w:r>
    </w:p>
    <w:p w14:paraId="7BCDBEA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w:t>
      </w:r>
    </w:p>
    <w:p w14:paraId="7EA5167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12.3 计量</w:t>
      </w:r>
    </w:p>
    <w:p w14:paraId="08BEB4F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12.3.1计量原则</w:t>
      </w:r>
    </w:p>
    <w:p w14:paraId="772EDF1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12.3.2计量周期：</w:t>
      </w:r>
    </w:p>
    <w:p w14:paraId="0683BFE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关于计量周期的约定：</w:t>
      </w:r>
      <w:r>
        <w:rPr>
          <w:rFonts w:hint="eastAsia" w:ascii="宋体" w:hAnsi="宋体" w:eastAsia="宋体" w:cs="宋体"/>
          <w:sz w:val="21"/>
          <w:szCs w:val="21"/>
          <w:u w:val="single"/>
        </w:rPr>
        <w:t>按月计量。</w:t>
      </w:r>
    </w:p>
    <w:p w14:paraId="5B609E3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12.3.3单价合同的计量</w:t>
      </w:r>
    </w:p>
    <w:p w14:paraId="20C3B56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12.3.4总价合同的计量</w:t>
      </w:r>
    </w:p>
    <w:p w14:paraId="303B30B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12.4 工程进度款支付</w:t>
      </w:r>
    </w:p>
    <w:p w14:paraId="59D9773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12.4.1付款周期</w:t>
      </w:r>
    </w:p>
    <w:p w14:paraId="6754E59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关于付款周期的约定：</w:t>
      </w:r>
      <w:r>
        <w:rPr>
          <w:rFonts w:hint="eastAsia" w:ascii="宋体" w:hAnsi="宋体" w:eastAsia="宋体" w:cs="宋体"/>
          <w:sz w:val="21"/>
          <w:szCs w:val="21"/>
          <w:u w:val="single"/>
        </w:rPr>
        <w:t>承包人必须每月25日前将当月实际完成的各部位的已完工程量报告送交工程师。</w:t>
      </w:r>
    </w:p>
    <w:p w14:paraId="10E65B6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12.4.2进度付款申请单的编制</w:t>
      </w:r>
    </w:p>
    <w:p w14:paraId="2FBC52C6">
      <w:pPr>
        <w:keepNext w:val="0"/>
        <w:keepLines w:val="0"/>
        <w:pageBreakBefore w:val="0"/>
        <w:kinsoku/>
        <w:wordWrap/>
        <w:overflowPunct/>
        <w:topLinePunct w:val="0"/>
        <w:bidi w:val="0"/>
        <w:snapToGrid/>
        <w:spacing w:line="380" w:lineRule="exact"/>
        <w:ind w:firstLine="412" w:firstLineChars="200"/>
        <w:textAlignment w:val="auto"/>
        <w:rPr>
          <w:rFonts w:hint="eastAsia" w:ascii="宋体" w:hAnsi="宋体" w:eastAsia="宋体" w:cs="宋体"/>
          <w:sz w:val="21"/>
          <w:szCs w:val="21"/>
          <w:u w:val="single"/>
          <w:lang w:eastAsia="zh-CN"/>
        </w:rPr>
      </w:pPr>
      <w:r>
        <w:rPr>
          <w:rFonts w:hint="eastAsia" w:ascii="宋体" w:hAnsi="宋体" w:eastAsia="宋体" w:cs="宋体"/>
          <w:sz w:val="21"/>
          <w:szCs w:val="21"/>
        </w:rPr>
        <w:t>关于进度付款申请单编制的约定：</w:t>
      </w:r>
      <w:r>
        <w:rPr>
          <w:rFonts w:hint="eastAsia" w:ascii="宋体" w:hAnsi="宋体" w:eastAsia="宋体" w:cs="宋体"/>
          <w:sz w:val="21"/>
          <w:szCs w:val="21"/>
          <w:u w:val="single"/>
          <w:lang w:val="en-US" w:eastAsia="zh-CN"/>
        </w:rPr>
        <w:t>/</w:t>
      </w:r>
    </w:p>
    <w:p w14:paraId="5E864109">
      <w:pPr>
        <w:keepNext w:val="0"/>
        <w:keepLines w:val="0"/>
        <w:pageBreakBefore w:val="0"/>
        <w:kinsoku/>
        <w:wordWrap/>
        <w:overflowPunct/>
        <w:topLinePunct w:val="0"/>
        <w:bidi w:val="0"/>
        <w:snapToGrid/>
        <w:spacing w:line="380" w:lineRule="exact"/>
        <w:ind w:firstLine="412" w:firstLineChars="200"/>
        <w:textAlignment w:val="auto"/>
        <w:rPr>
          <w:rFonts w:hint="eastAsia" w:ascii="宋体" w:hAnsi="宋体" w:eastAsia="宋体" w:cs="宋体"/>
          <w:sz w:val="21"/>
          <w:szCs w:val="21"/>
          <w:u w:val="single"/>
          <w:lang w:eastAsia="zh-CN"/>
        </w:rPr>
      </w:pPr>
      <w:r>
        <w:rPr>
          <w:rFonts w:hint="eastAsia" w:ascii="宋体" w:hAnsi="宋体" w:eastAsia="宋体" w:cs="宋体"/>
          <w:sz w:val="21"/>
          <w:szCs w:val="21"/>
          <w:u w:val="single"/>
        </w:rPr>
        <w:t>合同范围内的施工内容施工完成，参建各方（建设、监理、施工、勘察、设计单位等）对工程验收并签署工程质量合格文件后，支付至进度款审核汇总的合同价格的85%</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结算审核后</w:t>
      </w:r>
      <w:r>
        <w:rPr>
          <w:rFonts w:hint="eastAsia" w:ascii="宋体" w:hAnsi="宋体" w:eastAsia="宋体" w:cs="宋体"/>
          <w:sz w:val="21"/>
          <w:szCs w:val="21"/>
          <w:u w:val="single"/>
          <w:lang w:eastAsia="zh-CN"/>
        </w:rPr>
        <w:t>支付至审核价款的</w:t>
      </w:r>
      <w:r>
        <w:rPr>
          <w:rFonts w:hint="eastAsia" w:ascii="宋体" w:hAnsi="宋体" w:eastAsia="宋体" w:cs="宋体"/>
          <w:sz w:val="21"/>
          <w:szCs w:val="21"/>
          <w:u w:val="single"/>
          <w:lang w:val="en-US" w:eastAsia="zh-CN"/>
        </w:rPr>
        <w:t>100%</w:t>
      </w:r>
      <w:r>
        <w:rPr>
          <w:rFonts w:hint="eastAsia" w:ascii="宋体" w:hAnsi="宋体" w:eastAsia="宋体" w:cs="宋体"/>
          <w:sz w:val="21"/>
          <w:szCs w:val="21"/>
          <w:u w:val="single"/>
          <w:lang w:eastAsia="zh-CN"/>
        </w:rPr>
        <w:t>。</w:t>
      </w:r>
    </w:p>
    <w:p w14:paraId="7CC28A6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u w:val="single"/>
        </w:rPr>
        <w:t>其余按合同通用条款</w:t>
      </w:r>
      <w:r>
        <w:rPr>
          <w:rFonts w:hint="eastAsia" w:ascii="宋体" w:hAnsi="宋体" w:eastAsia="宋体" w:cs="宋体"/>
          <w:sz w:val="21"/>
          <w:szCs w:val="21"/>
        </w:rPr>
        <w:t>。</w:t>
      </w:r>
    </w:p>
    <w:p w14:paraId="31FBC9F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12.4.4进度款审核和支付</w:t>
      </w:r>
    </w:p>
    <w:p w14:paraId="0482C48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keepNext w:val="0"/>
        <w:keepLines w:val="0"/>
        <w:pageBreakBefore w:val="0"/>
        <w:kinsoku/>
        <w:wordWrap/>
        <w:overflowPunct/>
        <w:topLinePunct w:val="0"/>
        <w:bidi w:val="0"/>
        <w:snapToGrid/>
        <w:spacing w:line="380" w:lineRule="exact"/>
        <w:ind w:firstLine="412" w:firstLineChars="200"/>
        <w:jc w:val="left"/>
        <w:textAlignment w:val="auto"/>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12.4.6支付分解表的编制</w:t>
      </w:r>
    </w:p>
    <w:p w14:paraId="79A01D2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12.5 支付帐户</w:t>
      </w:r>
    </w:p>
    <w:p w14:paraId="6A6D9BC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13.1 分部分项工程验收</w:t>
      </w:r>
    </w:p>
    <w:p w14:paraId="7E1377E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13.2 竣工验收</w:t>
      </w:r>
    </w:p>
    <w:p w14:paraId="7DCA0B9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13.2.2竣工验收程序</w:t>
      </w:r>
    </w:p>
    <w:p w14:paraId="1A128D1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sz w:val="21"/>
          <w:szCs w:val="21"/>
        </w:rPr>
        <w:t>。</w:t>
      </w:r>
      <w:r>
        <w:rPr>
          <w:rFonts w:hint="eastAsia" w:ascii="宋体" w:hAnsi="宋体" w:eastAsia="宋体" w:cs="宋体"/>
          <w:sz w:val="21"/>
          <w:szCs w:val="21"/>
          <w:u w:val="single"/>
        </w:rPr>
        <w:t>承包人须配合发包人进行工程竣工验收。</w:t>
      </w:r>
    </w:p>
    <w:p w14:paraId="6FA0FF1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13.2.3竣工日期</w:t>
      </w:r>
    </w:p>
    <w:p w14:paraId="2D1E429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（2）其余按合同通用条款。</w:t>
      </w:r>
    </w:p>
    <w:p w14:paraId="782D878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13.3 工程试车</w:t>
      </w:r>
    </w:p>
    <w:p w14:paraId="06F09F8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13.6 竣工退场</w:t>
      </w:r>
    </w:p>
    <w:p w14:paraId="3A99C12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14.1 竣工结算申请</w:t>
      </w:r>
    </w:p>
    <w:p w14:paraId="3976A8C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14.2 竣工结算审核</w:t>
      </w:r>
    </w:p>
    <w:p w14:paraId="488A407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（1）发包人结算审核时间：</w:t>
      </w:r>
    </w:p>
    <w:p w14:paraId="54E8616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14.4 最终结清</w:t>
      </w:r>
    </w:p>
    <w:p w14:paraId="72939C8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15.2 缺陷责任期</w:t>
      </w:r>
    </w:p>
    <w:p w14:paraId="3A3F58F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15.3 质量保证金</w:t>
      </w:r>
    </w:p>
    <w:p w14:paraId="26A0DF3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3  </w:t>
      </w:r>
      <w:r>
        <w:rPr>
          <w:rFonts w:hint="eastAsia" w:ascii="宋体" w:hAnsi="宋体" w:eastAsia="宋体" w:cs="宋体"/>
          <w:sz w:val="21"/>
          <w:szCs w:val="21"/>
        </w:rPr>
        <w:t>种方式：</w:t>
      </w:r>
    </w:p>
    <w:p w14:paraId="1868D67A">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15.3.3质量保证金的退还</w:t>
      </w:r>
    </w:p>
    <w:p w14:paraId="398C936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keepNext w:val="0"/>
        <w:keepLines w:val="0"/>
        <w:pageBreakBefore w:val="0"/>
        <w:kinsoku/>
        <w:wordWrap/>
        <w:overflowPunct/>
        <w:topLinePunct w:val="0"/>
        <w:bidi w:val="0"/>
        <w:adjustRightInd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keepNext w:val="0"/>
        <w:keepLines w:val="0"/>
        <w:pageBreakBefore w:val="0"/>
        <w:kinsoku/>
        <w:wordWrap/>
        <w:overflowPunct/>
        <w:topLinePunct w:val="0"/>
        <w:bidi w:val="0"/>
        <w:adjustRightInd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                        </w:t>
      </w:r>
    </w:p>
    <w:p w14:paraId="12629D5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15.4 保修</w:t>
      </w:r>
    </w:p>
    <w:p w14:paraId="15B16AB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15.4.1保修责任</w:t>
      </w:r>
    </w:p>
    <w:p w14:paraId="1408545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15.4.3修复通知</w:t>
      </w:r>
    </w:p>
    <w:p w14:paraId="783665E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16．违约</w:t>
      </w:r>
    </w:p>
    <w:p w14:paraId="51B4390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16.1 发包人违约</w:t>
      </w:r>
    </w:p>
    <w:p w14:paraId="326379D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16.1.1发包人违约的情形</w:t>
      </w:r>
    </w:p>
    <w:p w14:paraId="2597750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16.2 承包人违约</w:t>
      </w:r>
    </w:p>
    <w:p w14:paraId="4364C98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keepNext w:val="0"/>
        <w:keepLines w:val="0"/>
        <w:pageBreakBefore w:val="0"/>
        <w:kinsoku/>
        <w:wordWrap/>
        <w:overflowPunct/>
        <w:topLinePunct w:val="0"/>
        <w:autoSpaceDE w:val="0"/>
        <w:autoSpaceDN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17.1 不可抗力的确认</w:t>
      </w:r>
    </w:p>
    <w:p w14:paraId="2682E632">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18．保险</w:t>
      </w:r>
    </w:p>
    <w:p w14:paraId="7962775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18.1 工程保险</w:t>
      </w:r>
    </w:p>
    <w:p w14:paraId="594B783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18.3 其他保险</w:t>
      </w:r>
    </w:p>
    <w:p w14:paraId="13866D99">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18.7 通知义务</w:t>
      </w:r>
    </w:p>
    <w:p w14:paraId="1030943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pageBreakBefore w:val="0"/>
        <w:kinsoku/>
        <w:wordWrap/>
        <w:overflowPunct/>
        <w:topLinePunct w:val="0"/>
        <w:bidi w:val="0"/>
        <w:snapToGrid/>
        <w:spacing w:line="380" w:lineRule="exact"/>
        <w:textAlignment w:val="auto"/>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20.3 争议评审</w:t>
      </w:r>
    </w:p>
    <w:p w14:paraId="32946CF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keepNext w:val="0"/>
        <w:keepLines w:val="0"/>
        <w:pageBreakBefore w:val="0"/>
        <w:kinsoku/>
        <w:wordWrap/>
        <w:overflowPunct/>
        <w:topLinePunct w:val="0"/>
        <w:autoSpaceDE w:val="0"/>
        <w:autoSpaceDN w:val="0"/>
        <w:bidi w:val="0"/>
        <w:adjustRightInd w:val="0"/>
        <w:snapToGrid/>
        <w:spacing w:line="380" w:lineRule="exact"/>
        <w:ind w:firstLine="412" w:firstLineChars="200"/>
        <w:textAlignment w:val="auto"/>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20.4 仲裁或诉讼</w:t>
      </w:r>
    </w:p>
    <w:p w14:paraId="71FF98B8">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44E241EB">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地  址：                                 地  址：</w:t>
      </w:r>
    </w:p>
    <w:p w14:paraId="4B6AF72F">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keepNext w:val="0"/>
        <w:keepLines w:val="0"/>
        <w:pageBreakBefore w:val="0"/>
        <w:kinsoku/>
        <w:wordWrap/>
        <w:overflowPunct/>
        <w:topLinePunct w:val="0"/>
        <w:bidi w:val="0"/>
        <w:snapToGrid/>
        <w:spacing w:line="380" w:lineRule="exact"/>
        <w:ind w:firstLine="412" w:firstLineChars="200"/>
        <w:textAlignment w:val="auto"/>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keepNext w:val="0"/>
        <w:keepLines w:val="0"/>
        <w:pageBreakBefore w:val="0"/>
        <w:kinsoku/>
        <w:wordWrap/>
        <w:overflowPunct/>
        <w:topLinePunct w:val="0"/>
        <w:bidi w:val="0"/>
        <w:snapToGrid/>
        <w:spacing w:line="380" w:lineRule="exact"/>
        <w:textAlignment w:val="auto"/>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8" w:type="default"/>
          <w:headerReference r:id="rId7" w:type="even"/>
          <w:footerReference r:id="rId9"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临海市上盘中学</w:t>
      </w:r>
    </w:p>
    <w:p w14:paraId="156282BA">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上盘中学教学楼及厕所门窗改造工程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0"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18169"/>
      <w:bookmarkStart w:id="133" w:name="_Toc6352"/>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8"/>
        <w:spacing w:line="400" w:lineRule="exact"/>
        <w:jc w:val="left"/>
        <w:rPr>
          <w:rFonts w:cs="宋体"/>
          <w:szCs w:val="21"/>
        </w:rPr>
      </w:pPr>
    </w:p>
    <w:p w14:paraId="08AE1A81">
      <w:pPr>
        <w:pStyle w:val="8"/>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上盘中学教学楼及厕所门窗改造工程</w:t>
      </w:r>
    </w:p>
    <w:p w14:paraId="0E5FD14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临海市上盘中学</w:t>
      </w:r>
      <w:r>
        <w:rPr>
          <w:rFonts w:hint="eastAsia" w:cs="宋体"/>
          <w:szCs w:val="21"/>
          <w:highlight w:val="none"/>
          <w:u w:val="single"/>
          <w:lang w:val="en-US" w:eastAsia="zh-CN"/>
        </w:rPr>
        <w:t>学校内</w:t>
      </w:r>
    </w:p>
    <w:p w14:paraId="481FFA7C">
      <w:pPr>
        <w:pStyle w:val="8"/>
        <w:spacing w:line="400" w:lineRule="exact"/>
        <w:ind w:firstLine="420" w:firstLineChars="200"/>
        <w:jc w:val="left"/>
        <w:rPr>
          <w:rFonts w:hint="default" w:eastAsia="宋体" w:cs="宋体"/>
          <w:szCs w:val="21"/>
          <w:highlight w:val="none"/>
          <w:lang w:val="en-US" w:eastAsia="zh-CN"/>
        </w:rPr>
      </w:pPr>
      <w:r>
        <w:rPr>
          <w:rFonts w:hint="eastAsia" w:cs="宋体"/>
          <w:szCs w:val="21"/>
          <w:highlight w:val="none"/>
        </w:rPr>
        <w:t>建设单位（甲方）：</w:t>
      </w:r>
      <w:r>
        <w:rPr>
          <w:rFonts w:hint="eastAsia" w:cs="宋体"/>
          <w:szCs w:val="21"/>
          <w:highlight w:val="none"/>
          <w:u w:val="single"/>
          <w:lang w:val="en-US" w:eastAsia="zh-CN"/>
        </w:rPr>
        <w:t>临海市上盘中学</w:t>
      </w:r>
    </w:p>
    <w:p w14:paraId="01B8C268">
      <w:pPr>
        <w:pStyle w:val="8"/>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8"/>
        <w:spacing w:line="400" w:lineRule="exact"/>
        <w:jc w:val="left"/>
        <w:rPr>
          <w:rFonts w:cs="宋体"/>
          <w:szCs w:val="21"/>
        </w:rPr>
      </w:pPr>
      <w:r>
        <w:rPr>
          <w:rFonts w:hint="eastAsia" w:cs="宋体"/>
          <w:szCs w:val="21"/>
        </w:rPr>
        <w:t>　　第一条 甲乙双方的责任</w:t>
      </w:r>
    </w:p>
    <w:p w14:paraId="70380AF6">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8"/>
        <w:spacing w:line="400" w:lineRule="exact"/>
        <w:jc w:val="left"/>
        <w:rPr>
          <w:rFonts w:cs="宋体"/>
          <w:szCs w:val="21"/>
        </w:rPr>
      </w:pPr>
      <w:r>
        <w:rPr>
          <w:rFonts w:hint="eastAsia" w:cs="宋体"/>
          <w:szCs w:val="21"/>
        </w:rPr>
        <w:t>　　（二）严格执行建设工程项目承发包合同文件，自觉按合同办事。</w:t>
      </w:r>
    </w:p>
    <w:p w14:paraId="272E4C2F">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8"/>
        <w:spacing w:line="400" w:lineRule="exact"/>
        <w:jc w:val="left"/>
        <w:rPr>
          <w:rFonts w:cs="宋体"/>
          <w:szCs w:val="21"/>
        </w:rPr>
      </w:pPr>
      <w:r>
        <w:rPr>
          <w:rFonts w:hint="eastAsia" w:cs="宋体"/>
          <w:szCs w:val="21"/>
        </w:rPr>
        <w:t>　　第二条 甲方的责任</w:t>
      </w:r>
    </w:p>
    <w:p w14:paraId="266E671B">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8"/>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8"/>
        <w:spacing w:line="400" w:lineRule="exact"/>
        <w:jc w:val="left"/>
        <w:rPr>
          <w:rFonts w:cs="宋体"/>
          <w:szCs w:val="21"/>
        </w:rPr>
      </w:pPr>
      <w:r>
        <w:rPr>
          <w:rFonts w:hint="eastAsia" w:cs="宋体"/>
          <w:szCs w:val="21"/>
        </w:rPr>
        <w:t>　　第三条 乙方的责任</w:t>
      </w:r>
    </w:p>
    <w:p w14:paraId="217AD74A">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8"/>
        <w:spacing w:line="400" w:lineRule="exact"/>
        <w:jc w:val="left"/>
        <w:rPr>
          <w:rFonts w:cs="宋体"/>
          <w:szCs w:val="21"/>
        </w:rPr>
      </w:pPr>
      <w:r>
        <w:rPr>
          <w:rFonts w:hint="eastAsia" w:cs="宋体"/>
          <w:szCs w:val="21"/>
        </w:rPr>
        <w:t>　　第四条 违约责任</w:t>
      </w:r>
    </w:p>
    <w:p w14:paraId="69C406B2">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8"/>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8"/>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8"/>
        <w:spacing w:line="400" w:lineRule="exact"/>
        <w:jc w:val="left"/>
        <w:rPr>
          <w:rFonts w:cs="宋体"/>
          <w:szCs w:val="21"/>
        </w:rPr>
      </w:pPr>
      <w:r>
        <w:rPr>
          <w:rFonts w:hint="eastAsia" w:cs="宋体"/>
          <w:szCs w:val="21"/>
        </w:rPr>
        <w:t>　　第七条 本责任书一式八份。</w:t>
      </w:r>
    </w:p>
    <w:p w14:paraId="1F5E21C6">
      <w:pPr>
        <w:pStyle w:val="8"/>
        <w:spacing w:line="400" w:lineRule="exact"/>
        <w:jc w:val="left"/>
        <w:rPr>
          <w:rFonts w:cs="宋体"/>
          <w:szCs w:val="21"/>
        </w:rPr>
      </w:pPr>
    </w:p>
    <w:p w14:paraId="1A5DE543">
      <w:pPr>
        <w:pStyle w:val="8"/>
        <w:spacing w:line="400" w:lineRule="exact"/>
        <w:jc w:val="left"/>
        <w:rPr>
          <w:rFonts w:cs="宋体"/>
          <w:szCs w:val="21"/>
        </w:rPr>
      </w:pPr>
    </w:p>
    <w:p w14:paraId="2B456D2A">
      <w:pPr>
        <w:pStyle w:val="8"/>
        <w:spacing w:line="400" w:lineRule="exact"/>
        <w:jc w:val="left"/>
        <w:rPr>
          <w:rFonts w:cs="宋体"/>
          <w:szCs w:val="21"/>
        </w:rPr>
      </w:pPr>
    </w:p>
    <w:p w14:paraId="00AAF0DC">
      <w:pPr>
        <w:pStyle w:val="8"/>
        <w:spacing w:line="400" w:lineRule="exact"/>
        <w:jc w:val="left"/>
        <w:rPr>
          <w:rFonts w:cs="宋体"/>
          <w:szCs w:val="21"/>
        </w:rPr>
      </w:pPr>
      <w:r>
        <w:rPr>
          <w:rFonts w:hint="eastAsia" w:cs="宋体"/>
          <w:szCs w:val="21"/>
        </w:rPr>
        <w:t xml:space="preserve">甲方单位（公章）：　　　　　　                          　乙方单位（公章）： </w:t>
      </w:r>
    </w:p>
    <w:p w14:paraId="162869D3">
      <w:pPr>
        <w:pStyle w:val="8"/>
        <w:spacing w:line="400" w:lineRule="exact"/>
        <w:jc w:val="left"/>
        <w:rPr>
          <w:rFonts w:cs="宋体"/>
          <w:szCs w:val="21"/>
        </w:rPr>
      </w:pPr>
      <w:r>
        <w:rPr>
          <w:rFonts w:hint="eastAsia" w:cs="宋体"/>
          <w:szCs w:val="21"/>
        </w:rPr>
        <w:t>法定代表人（签字）：　　　　                              法定代表人（签字）：</w:t>
      </w:r>
    </w:p>
    <w:p w14:paraId="25078A8A">
      <w:pPr>
        <w:pStyle w:val="8"/>
        <w:spacing w:line="400" w:lineRule="exact"/>
        <w:jc w:val="left"/>
        <w:rPr>
          <w:rFonts w:cs="宋体"/>
          <w:szCs w:val="21"/>
        </w:rPr>
      </w:pPr>
      <w:r>
        <w:rPr>
          <w:rFonts w:hint="eastAsia" w:cs="宋体"/>
          <w:szCs w:val="21"/>
        </w:rPr>
        <w:t>或委托代理人（签字）：                                    或委托代理人（签字）：</w:t>
      </w:r>
    </w:p>
    <w:p w14:paraId="7383D1F3">
      <w:pPr>
        <w:pStyle w:val="8"/>
        <w:spacing w:line="400" w:lineRule="exact"/>
        <w:jc w:val="left"/>
        <w:rPr>
          <w:rFonts w:cs="宋体"/>
          <w:szCs w:val="21"/>
        </w:rPr>
      </w:pPr>
      <w:r>
        <w:rPr>
          <w:rFonts w:hint="eastAsia" w:cs="宋体"/>
          <w:szCs w:val="21"/>
        </w:rPr>
        <w:t>地址：　　　　　　　　　　　　　                          地址：</w:t>
      </w:r>
    </w:p>
    <w:p w14:paraId="2DEBAA6B">
      <w:pPr>
        <w:pStyle w:val="8"/>
        <w:spacing w:line="400" w:lineRule="exact"/>
        <w:jc w:val="left"/>
        <w:rPr>
          <w:rFonts w:cs="宋体"/>
          <w:szCs w:val="21"/>
        </w:rPr>
      </w:pPr>
      <w:r>
        <w:rPr>
          <w:rFonts w:hint="eastAsia" w:cs="宋体"/>
          <w:szCs w:val="21"/>
        </w:rPr>
        <w:t>电话：　　　　　　　　　　　　　                          电话：</w:t>
      </w:r>
    </w:p>
    <w:p w14:paraId="1337147B">
      <w:pPr>
        <w:pStyle w:val="8"/>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0"/>
      </w:pPr>
    </w:p>
    <w:p w14:paraId="4F521F6B"/>
    <w:p w14:paraId="747E1003">
      <w:pPr>
        <w:pStyle w:val="20"/>
      </w:pPr>
    </w:p>
    <w:p w14:paraId="2BD1BB55"/>
    <w:p w14:paraId="0678FE8A">
      <w:pPr>
        <w:pStyle w:val="20"/>
      </w:pPr>
    </w:p>
    <w:p w14:paraId="2B9145D6"/>
    <w:bookmarkEnd w:id="123"/>
    <w:bookmarkEnd w:id="124"/>
    <w:bookmarkEnd w:id="125"/>
    <w:p w14:paraId="57C03F2C">
      <w:pPr>
        <w:pStyle w:val="2"/>
        <w:spacing w:beforeLines="50" w:afterLines="50"/>
        <w:rPr>
          <w:color w:val="auto"/>
        </w:rPr>
      </w:pPr>
      <w:bookmarkStart w:id="134" w:name="_Toc386121569"/>
      <w:bookmarkStart w:id="135" w:name="_Toc386121758"/>
      <w:bookmarkStart w:id="136" w:name="_Toc9900"/>
      <w:bookmarkStart w:id="137" w:name="_Toc21472"/>
      <w:bookmarkStart w:id="138" w:name="_Toc106012814"/>
      <w:bookmarkStart w:id="139" w:name="_Toc155342575"/>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0"/>
      </w:pPr>
    </w:p>
    <w:p w14:paraId="0C91976B"/>
    <w:p w14:paraId="723DBDD4">
      <w:pPr>
        <w:pStyle w:val="20"/>
      </w:pPr>
    </w:p>
    <w:p w14:paraId="31BD26DB"/>
    <w:p w14:paraId="7BC1DCA5">
      <w:pPr>
        <w:pStyle w:val="20"/>
      </w:pPr>
    </w:p>
    <w:p w14:paraId="0E5E12C4"/>
    <w:p w14:paraId="6588E843">
      <w:pPr>
        <w:pStyle w:val="20"/>
      </w:pPr>
    </w:p>
    <w:p w14:paraId="50278E33"/>
    <w:p w14:paraId="0D813C16"/>
    <w:p w14:paraId="37B5A268"/>
    <w:p w14:paraId="189B9531"/>
    <w:p w14:paraId="7015F082">
      <w:pPr>
        <w:pStyle w:val="20"/>
      </w:pPr>
    </w:p>
    <w:p w14:paraId="6A9FF2BE"/>
    <w:p w14:paraId="2AF3DD30">
      <w:pPr>
        <w:pStyle w:val="20"/>
      </w:pPr>
    </w:p>
    <w:p w14:paraId="3EF8F432"/>
    <w:p w14:paraId="15185CBD">
      <w:pPr>
        <w:pStyle w:val="20"/>
      </w:pPr>
    </w:p>
    <w:p w14:paraId="74AA8F92"/>
    <w:p w14:paraId="288C5232">
      <w:pPr>
        <w:pStyle w:val="20"/>
      </w:pPr>
    </w:p>
    <w:p w14:paraId="74CE103A"/>
    <w:p w14:paraId="1732C02B">
      <w:pPr>
        <w:pStyle w:val="3"/>
        <w:numPr>
          <w:ilvl w:val="0"/>
          <w:numId w:val="0"/>
        </w:numPr>
        <w:spacing w:before="0" w:afterLines="0" w:line="360" w:lineRule="exact"/>
        <w:jc w:val="both"/>
        <w:rPr>
          <w:b w:val="0"/>
          <w:sz w:val="28"/>
          <w:szCs w:val="28"/>
        </w:rPr>
      </w:pPr>
      <w:bookmarkStart w:id="141" w:name="_Toc386122456"/>
      <w:bookmarkStart w:id="142" w:name="_Toc386121759"/>
      <w:bookmarkStart w:id="143" w:name="_Toc30668"/>
      <w:bookmarkStart w:id="144" w:name="_Toc30925"/>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上盘中学教学楼及厕所门窗改造工程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7"/>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临海市上盘中学</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上盘中学教学楼及厕所门窗改造工程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44975208"/>
      <w:bookmarkStart w:id="148" w:name="_Toc106012815"/>
      <w:bookmarkStart w:id="149" w:name="_Toc106553077"/>
      <w:bookmarkStart w:id="150" w:name="_Toc169487830"/>
      <w:bookmarkStart w:id="151" w:name="_Toc155342580"/>
    </w:p>
    <w:p w14:paraId="6F59148D">
      <w:pPr>
        <w:pStyle w:val="3"/>
        <w:numPr>
          <w:ilvl w:val="0"/>
          <w:numId w:val="0"/>
        </w:numPr>
        <w:spacing w:afterLines="0" w:line="360" w:lineRule="exact"/>
        <w:jc w:val="both"/>
        <w:rPr>
          <w:b w:val="0"/>
          <w:sz w:val="28"/>
          <w:szCs w:val="28"/>
        </w:rPr>
      </w:pPr>
      <w:bookmarkStart w:id="152" w:name="_Toc386121760"/>
      <w:bookmarkStart w:id="153" w:name="_Toc23377"/>
      <w:bookmarkStart w:id="154" w:name="_Toc24432"/>
      <w:bookmarkStart w:id="155" w:name="_Toc386122457"/>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上盘中学教学楼及厕所门窗改造工程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55342584"/>
      <w:bookmarkStart w:id="157" w:name="_Toc106012816"/>
      <w:bookmarkStart w:id="158" w:name="_Toc106553078"/>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2458"/>
      <w:bookmarkStart w:id="160" w:name="_Toc386121761"/>
      <w:bookmarkStart w:id="161" w:name="_Toc30036"/>
      <w:bookmarkStart w:id="162" w:name="_Toc14753"/>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上盘中学教学楼及厕所门窗改造工程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06012817"/>
      <w:bookmarkStart w:id="164" w:name="_Toc155342585"/>
      <w:bookmarkStart w:id="165" w:name="_Toc106553079"/>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1762"/>
      <w:bookmarkStart w:id="167" w:name="_Toc386122459"/>
      <w:bookmarkStart w:id="168" w:name="_Toc20785"/>
      <w:bookmarkStart w:id="169" w:name="_Toc581"/>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上盘中学教学楼及厕所门窗改造工程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55342586"/>
      <w:bookmarkStart w:id="171" w:name="_Toc106553080"/>
      <w:bookmarkStart w:id="172" w:name="_Toc106012818"/>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386207774"/>
      <w:bookmarkStart w:id="174" w:name="_Toc24065"/>
      <w:bookmarkStart w:id="175" w:name="_Toc26311"/>
      <w:bookmarkStart w:id="176" w:name="_Toc386208332"/>
      <w:bookmarkStart w:id="177" w:name="_Toc386209083"/>
      <w:bookmarkStart w:id="178" w:name="_Toc386207588"/>
      <w:bookmarkStart w:id="179" w:name="_Toc4216"/>
      <w:bookmarkStart w:id="180" w:name="_Toc386207867"/>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上盘中学教学楼及厕所门窗改造工程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2460"/>
      <w:bookmarkStart w:id="182" w:name="_Toc386121763"/>
      <w:bookmarkStart w:id="183" w:name="_Toc13566"/>
      <w:bookmarkStart w:id="184" w:name="_Toc2589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上盘中学教学楼及厕所门窗改造工程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386122461"/>
      <w:bookmarkStart w:id="186" w:name="_Toc155342588"/>
      <w:bookmarkStart w:id="187" w:name="_Toc169487834"/>
      <w:bookmarkStart w:id="188" w:name="_Toc386121764"/>
      <w:bookmarkStart w:id="189" w:name="_Toc28874"/>
      <w:bookmarkStart w:id="190" w:name="_Toc20350"/>
      <w:bookmarkStart w:id="191" w:name="_Toc147380660"/>
      <w:bookmarkStart w:id="192" w:name="_Toc118275606"/>
      <w:bookmarkStart w:id="193" w:name="_Toc106553081"/>
      <w:bookmarkStart w:id="194" w:name="_Toc76292000"/>
      <w:bookmarkStart w:id="195" w:name="_Toc136335625"/>
      <w:bookmarkStart w:id="196" w:name="_Toc155342587"/>
      <w:bookmarkStart w:id="197" w:name="_Toc118710617"/>
    </w:p>
    <w:p w14:paraId="6C7CED29">
      <w:pPr>
        <w:pStyle w:val="3"/>
        <w:numPr>
          <w:ilvl w:val="0"/>
          <w:numId w:val="0"/>
        </w:numPr>
        <w:spacing w:before="0" w:afterLines="0" w:line="240" w:lineRule="auto"/>
        <w:jc w:val="both"/>
        <w:rPr>
          <w:b w:val="0"/>
          <w:sz w:val="28"/>
          <w:szCs w:val="28"/>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上盘中学教学楼及厕所门窗改造工程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43318918"/>
      <w:bookmarkStart w:id="199" w:name="_Toc146440177"/>
      <w:bookmarkStart w:id="200" w:name="_Toc155322974"/>
      <w:bookmarkStart w:id="201" w:name="_Toc143319553"/>
      <w:bookmarkStart w:id="202" w:name="_Toc148157964"/>
      <w:bookmarkStart w:id="203" w:name="_Toc141242988"/>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2BE93F59">
      <w:pPr>
        <w:pStyle w:val="3"/>
        <w:numPr>
          <w:ilvl w:val="0"/>
          <w:numId w:val="0"/>
        </w:numPr>
        <w:spacing w:before="0" w:afterLines="0" w:line="240" w:lineRule="auto"/>
        <w:jc w:val="both"/>
        <w:rPr>
          <w:b w:val="0"/>
          <w:sz w:val="28"/>
          <w:szCs w:val="28"/>
        </w:rPr>
      </w:pPr>
      <w:bookmarkStart w:id="206" w:name="_Toc386122462"/>
      <w:bookmarkStart w:id="207" w:name="_Toc11522"/>
      <w:bookmarkStart w:id="208" w:name="_Toc386121765"/>
      <w:bookmarkStart w:id="209" w:name="_Toc18290"/>
    </w:p>
    <w:p w14:paraId="00A8D0C6">
      <w:pPr>
        <w:pStyle w:val="3"/>
        <w:numPr>
          <w:ilvl w:val="0"/>
          <w:numId w:val="0"/>
        </w:numPr>
        <w:spacing w:before="0" w:afterLines="0" w:line="240" w:lineRule="auto"/>
        <w:jc w:val="both"/>
        <w:rPr>
          <w:b w:val="0"/>
          <w:sz w:val="28"/>
          <w:szCs w:val="28"/>
        </w:rPr>
      </w:pPr>
    </w:p>
    <w:p w14:paraId="3F4673CA">
      <w:pPr>
        <w:rPr>
          <w:rFonts w:ascii="黑体" w:hAnsi="黑体" w:eastAsia="黑体" w:cs="黑体"/>
          <w:b/>
          <w:bCs/>
          <w:szCs w:val="32"/>
        </w:rPr>
      </w:pPr>
      <w:r>
        <w:rPr>
          <w:rFonts w:hint="eastAsia"/>
          <w:sz w:val="28"/>
          <w:szCs w:val="28"/>
        </w:rPr>
        <w:br w:type="page"/>
      </w:r>
      <w:bookmarkEnd w:id="204"/>
      <w:bookmarkEnd w:id="205"/>
      <w:bookmarkEnd w:id="206"/>
      <w:bookmarkEnd w:id="207"/>
      <w:bookmarkEnd w:id="208"/>
      <w:bookmarkEnd w:id="209"/>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1"/>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0"/>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2"/>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F80F903-BDA2-428B-A7C5-A6C190A4CA65}"/>
  </w:font>
  <w:font w:name="黑体">
    <w:panose1 w:val="02010609060101010101"/>
    <w:charset w:val="86"/>
    <w:family w:val="auto"/>
    <w:pitch w:val="default"/>
    <w:sig w:usb0="800002BF" w:usb1="38CF7CFA" w:usb2="00000016" w:usb3="00000000" w:csb0="00040001" w:csb1="00000000"/>
    <w:embedRegular r:id="rId2" w:fontKey="{1D2E30D6-2244-46FC-8BCA-9682C7570C9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0CAD6AE-072D-4304-A6E9-4B03104E122F}"/>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503F46FF-A556-43D2-AB61-E805FB1A2501}"/>
  </w:font>
  <w:font w:name="小标宋">
    <w:altName w:val="黑体"/>
    <w:panose1 w:val="00000000000000000000"/>
    <w:charset w:val="86"/>
    <w:family w:val="script"/>
    <w:pitch w:val="default"/>
    <w:sig w:usb0="00000000" w:usb1="00000000" w:usb2="00000010" w:usb3="00000000" w:csb0="00040000" w:csb1="00000000"/>
    <w:embedRegular r:id="rId5" w:fontKey="{0AC784C1-6FB3-4DA8-BEAB-3A854C9FF6CC}"/>
  </w:font>
  <w:font w:name="新宋体">
    <w:panose1 w:val="02010609030101010101"/>
    <w:charset w:val="86"/>
    <w:family w:val="modern"/>
    <w:pitch w:val="default"/>
    <w:sig w:usb0="00000283" w:usb1="288F0000" w:usb2="00000006" w:usb3="00000000" w:csb0="00040001" w:csb1="00000000"/>
    <w:embedRegular r:id="rId6" w:fontKey="{07EAD041-5637-4EFD-B4B2-A8B16DE7610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3"/>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3"/>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3"/>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3"/>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3"/>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3"/>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4"/>
      <w:pBdr>
        <w:bottom w:val="single" w:color="auto" w:sz="4" w:space="1"/>
      </w:pBdr>
      <w:jc w:val="right"/>
      <w:rPr>
        <w:rFonts w:hint="default"/>
        <w:lang w:val="en-US"/>
      </w:rPr>
    </w:pPr>
    <w:r>
      <w:rPr>
        <w:rFonts w:hint="eastAsia" w:ascii="宋体" w:hAnsi="宋体" w:eastAsia="宋体"/>
        <w:bCs/>
        <w:sz w:val="21"/>
        <w:lang w:eastAsia="zh-CN"/>
      </w:rPr>
      <w:t xml:space="preserve"> 上盘中学教学楼及厕所门窗改造工程招标文件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上盘中学教学楼及厕所门窗改造工程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D45EE2"/>
    <w:rsid w:val="01E00CE2"/>
    <w:rsid w:val="02377887"/>
    <w:rsid w:val="02CE4475"/>
    <w:rsid w:val="03833AF4"/>
    <w:rsid w:val="039E1C60"/>
    <w:rsid w:val="03B51FD0"/>
    <w:rsid w:val="04367644"/>
    <w:rsid w:val="043927ED"/>
    <w:rsid w:val="04D669EA"/>
    <w:rsid w:val="05646570"/>
    <w:rsid w:val="058A7C48"/>
    <w:rsid w:val="058E0A61"/>
    <w:rsid w:val="05966E33"/>
    <w:rsid w:val="05D44316"/>
    <w:rsid w:val="05F77117"/>
    <w:rsid w:val="05FF5E80"/>
    <w:rsid w:val="067B3A34"/>
    <w:rsid w:val="06F02F69"/>
    <w:rsid w:val="07235607"/>
    <w:rsid w:val="072E4E50"/>
    <w:rsid w:val="07426CE9"/>
    <w:rsid w:val="084E21E6"/>
    <w:rsid w:val="088A7F5F"/>
    <w:rsid w:val="08F9325E"/>
    <w:rsid w:val="09446B26"/>
    <w:rsid w:val="095A42B5"/>
    <w:rsid w:val="095C6BA4"/>
    <w:rsid w:val="097D0D2A"/>
    <w:rsid w:val="098B3F8E"/>
    <w:rsid w:val="09AF75D6"/>
    <w:rsid w:val="09BC05EC"/>
    <w:rsid w:val="09C51CFC"/>
    <w:rsid w:val="09F22179"/>
    <w:rsid w:val="0A1C1A0A"/>
    <w:rsid w:val="0A757D75"/>
    <w:rsid w:val="0B446AEB"/>
    <w:rsid w:val="0B6F2E99"/>
    <w:rsid w:val="0B8D5483"/>
    <w:rsid w:val="0B950884"/>
    <w:rsid w:val="0C1464BD"/>
    <w:rsid w:val="0C1C748A"/>
    <w:rsid w:val="0C831895"/>
    <w:rsid w:val="0CB8153E"/>
    <w:rsid w:val="0CC86BDD"/>
    <w:rsid w:val="0CDA66F1"/>
    <w:rsid w:val="0D110C4F"/>
    <w:rsid w:val="0D375B4A"/>
    <w:rsid w:val="0D78530F"/>
    <w:rsid w:val="0E00562E"/>
    <w:rsid w:val="0E036230"/>
    <w:rsid w:val="0E107158"/>
    <w:rsid w:val="0E8826CF"/>
    <w:rsid w:val="0EE52393"/>
    <w:rsid w:val="0F5F2145"/>
    <w:rsid w:val="0FED5C47"/>
    <w:rsid w:val="105F761E"/>
    <w:rsid w:val="108B3885"/>
    <w:rsid w:val="10E75D7D"/>
    <w:rsid w:val="120025CD"/>
    <w:rsid w:val="12AC6026"/>
    <w:rsid w:val="12E91DF8"/>
    <w:rsid w:val="1319260B"/>
    <w:rsid w:val="132B305E"/>
    <w:rsid w:val="136A0639"/>
    <w:rsid w:val="137F578F"/>
    <w:rsid w:val="13BA5B9C"/>
    <w:rsid w:val="141F36D1"/>
    <w:rsid w:val="1463768D"/>
    <w:rsid w:val="1465438C"/>
    <w:rsid w:val="14A63F07"/>
    <w:rsid w:val="150C0477"/>
    <w:rsid w:val="15436065"/>
    <w:rsid w:val="16886279"/>
    <w:rsid w:val="16905AFB"/>
    <w:rsid w:val="16ED6288"/>
    <w:rsid w:val="17AA3CB7"/>
    <w:rsid w:val="18AB7C3A"/>
    <w:rsid w:val="18E12580"/>
    <w:rsid w:val="18EE0096"/>
    <w:rsid w:val="18FC3FD7"/>
    <w:rsid w:val="193B5FBC"/>
    <w:rsid w:val="19BA2262"/>
    <w:rsid w:val="19FE75B4"/>
    <w:rsid w:val="1B1262BE"/>
    <w:rsid w:val="1B167A44"/>
    <w:rsid w:val="1B5D4132"/>
    <w:rsid w:val="1B6F0B5F"/>
    <w:rsid w:val="1BAD0D5C"/>
    <w:rsid w:val="1BC177F6"/>
    <w:rsid w:val="1BF97D30"/>
    <w:rsid w:val="1BFF59B1"/>
    <w:rsid w:val="1C1C0C9C"/>
    <w:rsid w:val="1C482DD9"/>
    <w:rsid w:val="1C4C3A51"/>
    <w:rsid w:val="1C98187E"/>
    <w:rsid w:val="1CB05D8E"/>
    <w:rsid w:val="1E363CE9"/>
    <w:rsid w:val="1ECC2C27"/>
    <w:rsid w:val="1F0B0BE6"/>
    <w:rsid w:val="1F160D12"/>
    <w:rsid w:val="1F1B770B"/>
    <w:rsid w:val="1F3C4445"/>
    <w:rsid w:val="1F4F35DE"/>
    <w:rsid w:val="1F505606"/>
    <w:rsid w:val="1F705CA9"/>
    <w:rsid w:val="1F8606E6"/>
    <w:rsid w:val="1FC96B63"/>
    <w:rsid w:val="1FF80AF3"/>
    <w:rsid w:val="201B4916"/>
    <w:rsid w:val="20517888"/>
    <w:rsid w:val="20626089"/>
    <w:rsid w:val="20670BCA"/>
    <w:rsid w:val="207D248D"/>
    <w:rsid w:val="209E4F35"/>
    <w:rsid w:val="210950AC"/>
    <w:rsid w:val="21415B4F"/>
    <w:rsid w:val="21926D73"/>
    <w:rsid w:val="221F101F"/>
    <w:rsid w:val="22274D44"/>
    <w:rsid w:val="2261799D"/>
    <w:rsid w:val="229642D7"/>
    <w:rsid w:val="23636EA1"/>
    <w:rsid w:val="23853A79"/>
    <w:rsid w:val="23893479"/>
    <w:rsid w:val="238C4028"/>
    <w:rsid w:val="239361D0"/>
    <w:rsid w:val="23A0402B"/>
    <w:rsid w:val="24D01EEA"/>
    <w:rsid w:val="24EE5273"/>
    <w:rsid w:val="24F44C86"/>
    <w:rsid w:val="25164BFC"/>
    <w:rsid w:val="251A36F0"/>
    <w:rsid w:val="2536704D"/>
    <w:rsid w:val="25554E0E"/>
    <w:rsid w:val="25563DFB"/>
    <w:rsid w:val="25983B4F"/>
    <w:rsid w:val="25A75047"/>
    <w:rsid w:val="25D41EB7"/>
    <w:rsid w:val="26892F9B"/>
    <w:rsid w:val="26967876"/>
    <w:rsid w:val="26E47778"/>
    <w:rsid w:val="27230FF2"/>
    <w:rsid w:val="27653651"/>
    <w:rsid w:val="277B2C7C"/>
    <w:rsid w:val="278E6684"/>
    <w:rsid w:val="27AA3332"/>
    <w:rsid w:val="27E77AE7"/>
    <w:rsid w:val="283221E6"/>
    <w:rsid w:val="285C40CB"/>
    <w:rsid w:val="28893DB5"/>
    <w:rsid w:val="28C941E4"/>
    <w:rsid w:val="291B76E3"/>
    <w:rsid w:val="29F92152"/>
    <w:rsid w:val="2A0475B6"/>
    <w:rsid w:val="2A3C6EB3"/>
    <w:rsid w:val="2A6952D3"/>
    <w:rsid w:val="2A755453"/>
    <w:rsid w:val="2A755A69"/>
    <w:rsid w:val="2A815E10"/>
    <w:rsid w:val="2AD402FC"/>
    <w:rsid w:val="2B547697"/>
    <w:rsid w:val="2C201C60"/>
    <w:rsid w:val="2C357894"/>
    <w:rsid w:val="2C4C1CFB"/>
    <w:rsid w:val="2C536736"/>
    <w:rsid w:val="2C963E6F"/>
    <w:rsid w:val="2CC338BC"/>
    <w:rsid w:val="2CCB6C14"/>
    <w:rsid w:val="2CD93A7E"/>
    <w:rsid w:val="2CF239DF"/>
    <w:rsid w:val="2CF77A09"/>
    <w:rsid w:val="2D5371F7"/>
    <w:rsid w:val="2D602A71"/>
    <w:rsid w:val="2D8D7A26"/>
    <w:rsid w:val="2D95262C"/>
    <w:rsid w:val="2DC40DDD"/>
    <w:rsid w:val="2DD6761F"/>
    <w:rsid w:val="2DDC09C5"/>
    <w:rsid w:val="2DE43C18"/>
    <w:rsid w:val="2E7F3812"/>
    <w:rsid w:val="2EED30B6"/>
    <w:rsid w:val="2F132647"/>
    <w:rsid w:val="2F266FDE"/>
    <w:rsid w:val="2F725A55"/>
    <w:rsid w:val="2F7353A9"/>
    <w:rsid w:val="2F7D2448"/>
    <w:rsid w:val="2F8A6623"/>
    <w:rsid w:val="2FAF6379"/>
    <w:rsid w:val="2FDA531F"/>
    <w:rsid w:val="2FED3283"/>
    <w:rsid w:val="3048098A"/>
    <w:rsid w:val="314B0641"/>
    <w:rsid w:val="31737A6D"/>
    <w:rsid w:val="31861B3A"/>
    <w:rsid w:val="323D5EBE"/>
    <w:rsid w:val="325045F0"/>
    <w:rsid w:val="32BE3742"/>
    <w:rsid w:val="32F7239B"/>
    <w:rsid w:val="337A6C9E"/>
    <w:rsid w:val="33A04957"/>
    <w:rsid w:val="33D51112"/>
    <w:rsid w:val="33FA6465"/>
    <w:rsid w:val="34063C6D"/>
    <w:rsid w:val="341669C7"/>
    <w:rsid w:val="34806E53"/>
    <w:rsid w:val="34BA1A48"/>
    <w:rsid w:val="352D4B6B"/>
    <w:rsid w:val="35586B6B"/>
    <w:rsid w:val="358C5B68"/>
    <w:rsid w:val="35B35442"/>
    <w:rsid w:val="35D01CDE"/>
    <w:rsid w:val="36254176"/>
    <w:rsid w:val="36E20676"/>
    <w:rsid w:val="371158BC"/>
    <w:rsid w:val="371569D0"/>
    <w:rsid w:val="37260FD5"/>
    <w:rsid w:val="372926AA"/>
    <w:rsid w:val="37BB1D08"/>
    <w:rsid w:val="37BE1059"/>
    <w:rsid w:val="380134EA"/>
    <w:rsid w:val="381F1BC2"/>
    <w:rsid w:val="38202807"/>
    <w:rsid w:val="3820356C"/>
    <w:rsid w:val="382B1748"/>
    <w:rsid w:val="3840221A"/>
    <w:rsid w:val="3886386B"/>
    <w:rsid w:val="389C7D64"/>
    <w:rsid w:val="38C551F3"/>
    <w:rsid w:val="39024127"/>
    <w:rsid w:val="395B2504"/>
    <w:rsid w:val="3A4339F6"/>
    <w:rsid w:val="3A660B39"/>
    <w:rsid w:val="3A7D30CD"/>
    <w:rsid w:val="3AAD7959"/>
    <w:rsid w:val="3ACA2AA9"/>
    <w:rsid w:val="3AE07D2F"/>
    <w:rsid w:val="3B8E3C86"/>
    <w:rsid w:val="3BAC51D5"/>
    <w:rsid w:val="3BE610FE"/>
    <w:rsid w:val="3C5F6722"/>
    <w:rsid w:val="3C926F85"/>
    <w:rsid w:val="3CCF40AD"/>
    <w:rsid w:val="3CED7900"/>
    <w:rsid w:val="3D0C1996"/>
    <w:rsid w:val="3D0D4F35"/>
    <w:rsid w:val="3D74475E"/>
    <w:rsid w:val="3D9170BE"/>
    <w:rsid w:val="3EA7436E"/>
    <w:rsid w:val="3F0459F8"/>
    <w:rsid w:val="3F165ACD"/>
    <w:rsid w:val="3F265D57"/>
    <w:rsid w:val="3F357653"/>
    <w:rsid w:val="3F76656C"/>
    <w:rsid w:val="3FE037A4"/>
    <w:rsid w:val="4037416C"/>
    <w:rsid w:val="40FE0657"/>
    <w:rsid w:val="415C326C"/>
    <w:rsid w:val="41E77BF5"/>
    <w:rsid w:val="429F136A"/>
    <w:rsid w:val="42EC3BCF"/>
    <w:rsid w:val="43030A5E"/>
    <w:rsid w:val="4345654F"/>
    <w:rsid w:val="439247CC"/>
    <w:rsid w:val="43D877F5"/>
    <w:rsid w:val="43EE7018"/>
    <w:rsid w:val="43FA4F55"/>
    <w:rsid w:val="440B3462"/>
    <w:rsid w:val="443939E4"/>
    <w:rsid w:val="448C6831"/>
    <w:rsid w:val="44A46D82"/>
    <w:rsid w:val="44A91605"/>
    <w:rsid w:val="44EA62E2"/>
    <w:rsid w:val="45196317"/>
    <w:rsid w:val="45394A3E"/>
    <w:rsid w:val="45437449"/>
    <w:rsid w:val="45585CB2"/>
    <w:rsid w:val="46103A90"/>
    <w:rsid w:val="46B1257F"/>
    <w:rsid w:val="478B0E64"/>
    <w:rsid w:val="483328BE"/>
    <w:rsid w:val="48390566"/>
    <w:rsid w:val="48C9729F"/>
    <w:rsid w:val="48F13107"/>
    <w:rsid w:val="491D3EFC"/>
    <w:rsid w:val="493C6D00"/>
    <w:rsid w:val="49E0612F"/>
    <w:rsid w:val="4A590F64"/>
    <w:rsid w:val="4A6F08EE"/>
    <w:rsid w:val="4A787945"/>
    <w:rsid w:val="4AD4683C"/>
    <w:rsid w:val="4AEE20D6"/>
    <w:rsid w:val="4B651398"/>
    <w:rsid w:val="4B9A7A86"/>
    <w:rsid w:val="4BE40D01"/>
    <w:rsid w:val="4BF06E35"/>
    <w:rsid w:val="4C411A42"/>
    <w:rsid w:val="4C854292"/>
    <w:rsid w:val="4C955312"/>
    <w:rsid w:val="4CAE161C"/>
    <w:rsid w:val="4CD238E8"/>
    <w:rsid w:val="4CE0596C"/>
    <w:rsid w:val="4D3006A2"/>
    <w:rsid w:val="4D43040D"/>
    <w:rsid w:val="4D746B23"/>
    <w:rsid w:val="4E013DEC"/>
    <w:rsid w:val="4E676345"/>
    <w:rsid w:val="4E734184"/>
    <w:rsid w:val="4EC15329"/>
    <w:rsid w:val="4ECE03CB"/>
    <w:rsid w:val="4EF43951"/>
    <w:rsid w:val="4F13669E"/>
    <w:rsid w:val="4F964D9C"/>
    <w:rsid w:val="4F9815BA"/>
    <w:rsid w:val="5012695A"/>
    <w:rsid w:val="50382716"/>
    <w:rsid w:val="508B3E41"/>
    <w:rsid w:val="509F79E6"/>
    <w:rsid w:val="517D5E7F"/>
    <w:rsid w:val="51A67B22"/>
    <w:rsid w:val="51D05FAF"/>
    <w:rsid w:val="51E07D46"/>
    <w:rsid w:val="52A511EA"/>
    <w:rsid w:val="52DF7FD7"/>
    <w:rsid w:val="536410A5"/>
    <w:rsid w:val="53BF62DB"/>
    <w:rsid w:val="541E33F9"/>
    <w:rsid w:val="548824CF"/>
    <w:rsid w:val="54993F60"/>
    <w:rsid w:val="54C635B3"/>
    <w:rsid w:val="54EF357C"/>
    <w:rsid w:val="5597283F"/>
    <w:rsid w:val="55A02470"/>
    <w:rsid w:val="55BF2A09"/>
    <w:rsid w:val="563E3F56"/>
    <w:rsid w:val="565C6BA3"/>
    <w:rsid w:val="568C5381"/>
    <w:rsid w:val="56BF79F3"/>
    <w:rsid w:val="56D6025A"/>
    <w:rsid w:val="56ED7603"/>
    <w:rsid w:val="573477D9"/>
    <w:rsid w:val="57C355C8"/>
    <w:rsid w:val="587201E4"/>
    <w:rsid w:val="589870FB"/>
    <w:rsid w:val="591946E0"/>
    <w:rsid w:val="59735C70"/>
    <w:rsid w:val="5B465534"/>
    <w:rsid w:val="5B890E60"/>
    <w:rsid w:val="5B9F0DEB"/>
    <w:rsid w:val="5BB16FB8"/>
    <w:rsid w:val="5BB63711"/>
    <w:rsid w:val="5BE43388"/>
    <w:rsid w:val="5BEE5961"/>
    <w:rsid w:val="5C294C3A"/>
    <w:rsid w:val="5C2971E1"/>
    <w:rsid w:val="5D353719"/>
    <w:rsid w:val="5D4F1A89"/>
    <w:rsid w:val="5DA057D6"/>
    <w:rsid w:val="5E0A6506"/>
    <w:rsid w:val="5EF4077E"/>
    <w:rsid w:val="5F21609C"/>
    <w:rsid w:val="5F617DC3"/>
    <w:rsid w:val="5F6B70B6"/>
    <w:rsid w:val="5F742670"/>
    <w:rsid w:val="601C4F4D"/>
    <w:rsid w:val="60A15015"/>
    <w:rsid w:val="60C30678"/>
    <w:rsid w:val="610D1D89"/>
    <w:rsid w:val="611361AA"/>
    <w:rsid w:val="6130435D"/>
    <w:rsid w:val="614257A1"/>
    <w:rsid w:val="616F6362"/>
    <w:rsid w:val="61DD09C6"/>
    <w:rsid w:val="62173103"/>
    <w:rsid w:val="62884DB8"/>
    <w:rsid w:val="62E82877"/>
    <w:rsid w:val="630E2DDB"/>
    <w:rsid w:val="63350763"/>
    <w:rsid w:val="635C4F62"/>
    <w:rsid w:val="63DC4C88"/>
    <w:rsid w:val="63F32E9F"/>
    <w:rsid w:val="64432729"/>
    <w:rsid w:val="648C1B70"/>
    <w:rsid w:val="648C1DD2"/>
    <w:rsid w:val="64B417CF"/>
    <w:rsid w:val="64BF0549"/>
    <w:rsid w:val="64E005EF"/>
    <w:rsid w:val="65BB2684"/>
    <w:rsid w:val="65EA46A0"/>
    <w:rsid w:val="65ED7D25"/>
    <w:rsid w:val="65F95E0A"/>
    <w:rsid w:val="65FB28CA"/>
    <w:rsid w:val="660D625F"/>
    <w:rsid w:val="668C2539"/>
    <w:rsid w:val="669752AF"/>
    <w:rsid w:val="66A03BE2"/>
    <w:rsid w:val="66B0141D"/>
    <w:rsid w:val="66BD2ECA"/>
    <w:rsid w:val="66ED2D08"/>
    <w:rsid w:val="66F92416"/>
    <w:rsid w:val="66FE3079"/>
    <w:rsid w:val="67AC2BC3"/>
    <w:rsid w:val="67CB0101"/>
    <w:rsid w:val="67CE0D8B"/>
    <w:rsid w:val="67D22DC6"/>
    <w:rsid w:val="67EE6886"/>
    <w:rsid w:val="681811A0"/>
    <w:rsid w:val="68362F29"/>
    <w:rsid w:val="685A617B"/>
    <w:rsid w:val="68C81038"/>
    <w:rsid w:val="69097887"/>
    <w:rsid w:val="690B3A0D"/>
    <w:rsid w:val="6911480D"/>
    <w:rsid w:val="6937322A"/>
    <w:rsid w:val="69394B60"/>
    <w:rsid w:val="69995F28"/>
    <w:rsid w:val="699D75EA"/>
    <w:rsid w:val="6A9F1EAC"/>
    <w:rsid w:val="6B194AB8"/>
    <w:rsid w:val="6B2505AD"/>
    <w:rsid w:val="6BDC13B6"/>
    <w:rsid w:val="6C4B33B4"/>
    <w:rsid w:val="6D0408D4"/>
    <w:rsid w:val="6D46205C"/>
    <w:rsid w:val="6D5C46FD"/>
    <w:rsid w:val="6E865B4B"/>
    <w:rsid w:val="6EC627BC"/>
    <w:rsid w:val="6F067EF3"/>
    <w:rsid w:val="6F2B261F"/>
    <w:rsid w:val="6F7777FC"/>
    <w:rsid w:val="6F98316F"/>
    <w:rsid w:val="70027824"/>
    <w:rsid w:val="70534653"/>
    <w:rsid w:val="705F4C76"/>
    <w:rsid w:val="70B52AE8"/>
    <w:rsid w:val="70CC10D4"/>
    <w:rsid w:val="70EB475C"/>
    <w:rsid w:val="710B6E6E"/>
    <w:rsid w:val="71267D67"/>
    <w:rsid w:val="71395DE7"/>
    <w:rsid w:val="715C7408"/>
    <w:rsid w:val="71AA5770"/>
    <w:rsid w:val="71D445CE"/>
    <w:rsid w:val="72086C0C"/>
    <w:rsid w:val="72430EED"/>
    <w:rsid w:val="72720E38"/>
    <w:rsid w:val="72B839D1"/>
    <w:rsid w:val="733E6F30"/>
    <w:rsid w:val="734815AD"/>
    <w:rsid w:val="74135A7F"/>
    <w:rsid w:val="74463A57"/>
    <w:rsid w:val="745B379C"/>
    <w:rsid w:val="74784559"/>
    <w:rsid w:val="74807329"/>
    <w:rsid w:val="74C96B62"/>
    <w:rsid w:val="74EF6293"/>
    <w:rsid w:val="74EF6A2D"/>
    <w:rsid w:val="75087C7C"/>
    <w:rsid w:val="75D237F5"/>
    <w:rsid w:val="75E02C94"/>
    <w:rsid w:val="762348A3"/>
    <w:rsid w:val="76604F4D"/>
    <w:rsid w:val="767429A8"/>
    <w:rsid w:val="76EC11F8"/>
    <w:rsid w:val="76FE2D0E"/>
    <w:rsid w:val="780D3F5F"/>
    <w:rsid w:val="782425AC"/>
    <w:rsid w:val="78313A5E"/>
    <w:rsid w:val="783C5DCD"/>
    <w:rsid w:val="78E01A48"/>
    <w:rsid w:val="790E0E19"/>
    <w:rsid w:val="796E4E17"/>
    <w:rsid w:val="797D26A4"/>
    <w:rsid w:val="797F3C93"/>
    <w:rsid w:val="79A166DA"/>
    <w:rsid w:val="79DB4509"/>
    <w:rsid w:val="7A28296C"/>
    <w:rsid w:val="7AD361E3"/>
    <w:rsid w:val="7AD80C87"/>
    <w:rsid w:val="7B33470A"/>
    <w:rsid w:val="7B8F3F36"/>
    <w:rsid w:val="7CA22418"/>
    <w:rsid w:val="7CE06C19"/>
    <w:rsid w:val="7CEC5A5F"/>
    <w:rsid w:val="7D474714"/>
    <w:rsid w:val="7D6C405F"/>
    <w:rsid w:val="7DF92F90"/>
    <w:rsid w:val="7E071A44"/>
    <w:rsid w:val="7E324F08"/>
    <w:rsid w:val="7E4F2BA1"/>
    <w:rsid w:val="7E5020A2"/>
    <w:rsid w:val="7F503B7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4"/>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page number"/>
    <w:basedOn w:val="24"/>
    <w:qFormat/>
    <w:uiPriority w:val="0"/>
  </w:style>
  <w:style w:type="character" w:styleId="27">
    <w:name w:val="line number"/>
    <w:basedOn w:val="24"/>
    <w:qFormat/>
    <w:uiPriority w:val="0"/>
  </w:style>
  <w:style w:type="character" w:styleId="28">
    <w:name w:val="Hyperlink"/>
    <w:qFormat/>
    <w:uiPriority w:val="99"/>
    <w:rPr>
      <w:color w:val="0000FF"/>
      <w:u w:val="single"/>
    </w:rPr>
  </w:style>
  <w:style w:type="character" w:styleId="29">
    <w:name w:val="annotation reference"/>
    <w:basedOn w:val="24"/>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4"/>
    <w:link w:val="12"/>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1389</Words>
  <Characters>1504</Characters>
  <Lines>309</Lines>
  <Paragraphs>87</Paragraphs>
  <TotalTime>12</TotalTime>
  <ScaleCrop>false</ScaleCrop>
  <LinksUpToDate>false</LinksUpToDate>
  <CharactersWithSpaces>1557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思考</cp:lastModifiedBy>
  <cp:lastPrinted>2026-06-30T02:12:00Z</cp:lastPrinted>
  <dcterms:modified xsi:type="dcterms:W3CDTF">2026-07-08T01:42:53Z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5635A0DE4B08452EBAAD97CB5F2A6BD2_13</vt:lpwstr>
  </property>
  <property fmtid="{D5CDD505-2E9C-101B-9397-08002B2CF9AE}" pid="4" name="KSOTemplateDocerSaveRecord">
    <vt:lpwstr>eyJoZGlkIjoiMjAwZjViYzU5ZTcwMmU1MWY1YTVmYzg2ZTRlZWRmZTkiLCJ1c2VySWQiOiI5NzE5NjYxMzIifQ==</vt:lpwstr>
  </property>
</Properties>
</file>