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642840C7">
      <w:pPr>
        <w:spacing w:line="660" w:lineRule="exact"/>
        <w:ind w:firstLine="1120" w:firstLineChars="400"/>
        <w:rPr>
          <w:rFonts w:hint="eastAsia" w:ascii="宋体" w:hAnsi="宋体" w:eastAsia="宋体"/>
          <w:sz w:val="28"/>
        </w:rPr>
      </w:pPr>
      <w:r>
        <w:rPr>
          <w:rFonts w:hint="eastAsia" w:ascii="宋体" w:hAnsi="宋体" w:eastAsia="宋体"/>
          <w:sz w:val="28"/>
        </w:rPr>
        <w:t>招标项目：白水洋镇中心校教学楼、食堂及双港小学电源双</w:t>
      </w:r>
    </w:p>
    <w:p w14:paraId="36280F1F">
      <w:pPr>
        <w:spacing w:line="660" w:lineRule="exact"/>
        <w:ind w:firstLine="2520" w:firstLineChars="900"/>
        <w:rPr>
          <w:rFonts w:hint="eastAsia" w:ascii="宋体" w:hAnsi="宋体" w:eastAsia="宋体"/>
          <w:sz w:val="28"/>
          <w:lang w:eastAsia="zh-CN"/>
        </w:rPr>
      </w:pPr>
      <w:r>
        <w:rPr>
          <w:rFonts w:hint="eastAsia" w:ascii="宋体" w:hAnsi="宋体" w:eastAsia="宋体"/>
          <w:sz w:val="28"/>
        </w:rPr>
        <w:t>回路改造工程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 临海市白水洋镇中心校（盖章）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罗先生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rPr>
        <w:t>：</w:t>
      </w:r>
      <w:r>
        <w:rPr>
          <w:rFonts w:hint="eastAsia" w:ascii="宋体" w:hAnsi="宋体" w:eastAsia="宋体"/>
          <w:sz w:val="28"/>
          <w:szCs w:val="22"/>
          <w:lang w:val="en-US" w:eastAsia="zh-CN"/>
        </w:rPr>
        <w:t>13958563808</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480CD987">
      <w:pPr>
        <w:pStyle w:val="29"/>
      </w:pPr>
    </w:p>
    <w:p w14:paraId="6F70AF61">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招标代理机构：隆耀（浙江）工程咨询有限公司  （盖章）</w:t>
      </w: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代理项目负责人：</w:t>
      </w:r>
      <w:r>
        <w:rPr>
          <w:rFonts w:hint="eastAsia" w:ascii="宋体" w:hAnsi="宋体" w:eastAsia="宋体"/>
          <w:bCs/>
          <w:sz w:val="28"/>
          <w:lang w:val="en-US" w:eastAsia="zh-CN"/>
        </w:rPr>
        <w:t>朱崇健</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val="en-US" w:eastAsia="zh-CN"/>
        </w:rPr>
        <w:t>罗</w:t>
      </w:r>
      <w:r>
        <w:rPr>
          <w:rFonts w:hint="eastAsia" w:ascii="宋体" w:hAnsi="宋体" w:eastAsia="宋体"/>
          <w:bCs/>
          <w:sz w:val="28"/>
          <w:lang w:eastAsia="zh-CN"/>
        </w:rPr>
        <w:t>女士</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0576-853</w:t>
      </w:r>
      <w:r>
        <w:rPr>
          <w:rFonts w:hint="eastAsia" w:ascii="宋体" w:hAnsi="宋体" w:eastAsia="宋体"/>
          <w:color w:val="0D0D0D"/>
          <w:sz w:val="28"/>
          <w:lang w:val="en-US" w:eastAsia="zh-CN"/>
        </w:rPr>
        <w:t>18816</w:t>
      </w:r>
    </w:p>
    <w:p w14:paraId="2E349B33">
      <w:pPr>
        <w:spacing w:line="360" w:lineRule="auto"/>
        <w:rPr>
          <w:rFonts w:ascii="宋体" w:hAnsi="宋体" w:eastAsia="宋体"/>
          <w:sz w:val="28"/>
        </w:rPr>
      </w:pPr>
    </w:p>
    <w:p w14:paraId="33C17717">
      <w:pPr>
        <w:pStyle w:val="29"/>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29"/>
      </w:pPr>
    </w:p>
    <w:p w14:paraId="29E0283D">
      <w:pPr>
        <w:spacing w:line="360" w:lineRule="auto"/>
        <w:ind w:firstLine="1120" w:firstLineChars="400"/>
        <w:rPr>
          <w:rFonts w:ascii="宋体" w:hAnsi="宋体" w:eastAsia="宋体"/>
          <w:sz w:val="28"/>
        </w:rPr>
      </w:pPr>
      <w:r>
        <w:rPr>
          <w:rFonts w:hint="eastAsia" w:ascii="宋体" w:hAnsi="宋体" w:eastAsia="宋体"/>
          <w:sz w:val="28"/>
        </w:rPr>
        <w:t>招标监管机构：临海市白水洋镇中心校（盖章）</w:t>
      </w:r>
    </w:p>
    <w:p w14:paraId="491A9C91">
      <w:pPr>
        <w:spacing w:line="288" w:lineRule="auto"/>
        <w:rPr>
          <w:rFonts w:ascii="宋体" w:hAnsi="宋体" w:eastAsia="宋体"/>
          <w:sz w:val="28"/>
        </w:rPr>
      </w:pPr>
      <w:r>
        <w:rPr>
          <w:rFonts w:ascii="宋体" w:hAnsi="宋体" w:eastAsia="宋体"/>
          <w:sz w:val="28"/>
          <w:szCs w:val="22"/>
        </w:rPr>
        <w:t xml:space="preserve"> </w:t>
      </w:r>
    </w:p>
    <w:p w14:paraId="1B3ECA45">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5"/>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5"/>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5"/>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5"/>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5"/>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5"/>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5"/>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51</w:t>
      </w:r>
      <w:r>
        <w:rPr>
          <w:rFonts w:ascii="宋体" w:hAnsi="宋体" w:cs="宋体"/>
          <w:sz w:val="28"/>
          <w:szCs w:val="28"/>
        </w:rPr>
        <w:fldChar w:fldCharType="end"/>
      </w:r>
      <w:r>
        <w:rPr>
          <w:rFonts w:ascii="宋体" w:hAnsi="宋体" w:cs="宋体"/>
          <w:sz w:val="28"/>
          <w:szCs w:val="28"/>
        </w:rPr>
        <w:fldChar w:fldCharType="end"/>
      </w:r>
    </w:p>
    <w:p w14:paraId="237EE2B3">
      <w:pPr>
        <w:pStyle w:val="45"/>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595AE0C8">
      <w:pPr>
        <w:pStyle w:val="45"/>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72AC428">
      <w:pPr>
        <w:pStyle w:val="45"/>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437FAEE">
      <w:pPr>
        <w:pStyle w:val="45"/>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6612182E">
      <w:pPr>
        <w:pStyle w:val="45"/>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416A8EFF">
      <w:pPr>
        <w:pStyle w:val="45"/>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0015D0C9">
      <w:pPr>
        <w:pStyle w:val="45"/>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76F9F826">
      <w:pPr>
        <w:pStyle w:val="45"/>
        <w:tabs>
          <w:tab w:val="right" w:leader="dot" w:pos="9185"/>
        </w:tabs>
        <w:spacing w:line="360" w:lineRule="auto"/>
        <w:rPr>
          <w:rFonts w:hint="eastAsia" w:ascii="宋体" w:eastAsia="宋体" w:cs="宋体"/>
          <w:sz w:val="28"/>
          <w:szCs w:val="28"/>
          <w:lang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w:t>
      </w:r>
      <w:r>
        <w:rPr>
          <w:rFonts w:hint="eastAsia" w:ascii="宋体" w:hAnsi="宋体" w:cs="宋体"/>
          <w:sz w:val="28"/>
          <w:szCs w:val="28"/>
          <w:lang w:val="en-US" w:eastAsia="zh-CN"/>
        </w:rPr>
        <w:t>9</w:t>
      </w:r>
    </w:p>
    <w:p w14:paraId="2E451F2B">
      <w:pPr>
        <w:keepNext/>
        <w:keepLines/>
        <w:spacing w:before="120" w:after="120"/>
        <w:jc w:val="center"/>
        <w:outlineLvl w:val="0"/>
        <w:rPr>
          <w:rFonts w:ascii="黑体" w:hAnsi="黑体" w:eastAsia="黑体"/>
          <w:b/>
          <w:kern w:val="44"/>
          <w:sz w:val="30"/>
        </w:rPr>
      </w:pPr>
      <w:bookmarkStart w:id="0" w:name="_Toc5497"/>
      <w:bookmarkStart w:id="1" w:name="_Toc22713"/>
      <w:bookmarkStart w:id="2" w:name="_Toc1787"/>
      <w:bookmarkStart w:id="3" w:name="_Toc500209421"/>
      <w:bookmarkStart w:id="4" w:name="_Toc500208499"/>
      <w:bookmarkStart w:id="5" w:name="_Toc386121751"/>
      <w:bookmarkStart w:id="6" w:name="_Toc386121562"/>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18E2B137">
            <w:pPr>
              <w:adjustRightInd w:val="0"/>
              <w:snapToGrid w:val="0"/>
              <w:rPr>
                <w:rFonts w:hint="eastAsia" w:ascii="宋体" w:hAnsi="宋体" w:eastAsia="宋体"/>
                <w:bCs/>
                <w:sz w:val="21"/>
                <w:lang w:eastAsia="zh-CN"/>
              </w:rPr>
            </w:pPr>
            <w:r>
              <w:rPr>
                <w:rFonts w:hint="eastAsia" w:ascii="宋体" w:hAnsi="宋体" w:eastAsia="宋体"/>
                <w:bCs/>
                <w:sz w:val="21"/>
                <w:lang w:eastAsia="zh-CN"/>
              </w:rPr>
              <w:t>白水洋镇中心校教学楼、食堂及双港小学电源双回路改造工程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rPr>
              <w:t>临海市白水洋镇中心校</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highlight w:val="none"/>
                <w:lang w:eastAsia="zh-CN"/>
              </w:rPr>
            </w:pPr>
            <w:r>
              <w:rPr>
                <w:rFonts w:hint="eastAsia" w:ascii="宋体" w:hAnsi="宋体" w:eastAsia="宋体"/>
                <w:bCs/>
                <w:sz w:val="21"/>
                <w:highlight w:val="none"/>
                <w:lang w:eastAsia="zh-CN"/>
              </w:rPr>
              <w:t>招标人提供的施工图纸所包含的白水洋镇中心校教学楼、食堂及双港小学电源双回路改造工程。</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highlight w:val="none"/>
              </w:rPr>
            </w:pPr>
            <w:r>
              <w:rPr>
                <w:rFonts w:hint="eastAsia" w:ascii="宋体" w:hAnsi="宋体" w:eastAsia="宋体"/>
                <w:sz w:val="21"/>
                <w:highlight w:val="none"/>
              </w:rPr>
              <w:t>588763元（详见招标人预算书）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rPr>
            </w:pPr>
            <w:r>
              <w:rPr>
                <w:rFonts w:hint="eastAsia" w:ascii="宋体" w:hAnsi="宋体" w:eastAsia="宋体"/>
                <w:sz w:val="21"/>
              </w:rPr>
              <w:t>工期要求</w:t>
            </w:r>
          </w:p>
        </w:tc>
        <w:tc>
          <w:tcPr>
            <w:tcW w:w="5919" w:type="dxa"/>
            <w:vAlign w:val="center"/>
          </w:tcPr>
          <w:p w14:paraId="56102507">
            <w:pPr>
              <w:pStyle w:val="29"/>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rPr>
            </w:pPr>
            <w:r>
              <w:rPr>
                <w:rFonts w:hint="eastAsia" w:ascii="宋体" w:hAnsi="宋体" w:eastAsia="宋体"/>
                <w:sz w:val="21"/>
              </w:rPr>
              <w:t>招标范围</w:t>
            </w:r>
          </w:p>
        </w:tc>
        <w:tc>
          <w:tcPr>
            <w:tcW w:w="5919" w:type="dxa"/>
            <w:vAlign w:val="center"/>
          </w:tcPr>
          <w:p w14:paraId="0FE7C170">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招标人提供的施工图纸所包含的白水洋镇中心校教学楼、食堂及双港小学电源双回路改造工程，具体内容以招标人提供的预算书为准。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rPr>
            </w:pPr>
            <w:r>
              <w:rPr>
                <w:rFonts w:hint="eastAsia" w:ascii="宋体" w:hAnsi="宋体" w:eastAsia="宋体"/>
                <w:sz w:val="21"/>
              </w:rPr>
              <w:t>资金来源</w:t>
            </w:r>
          </w:p>
        </w:tc>
        <w:tc>
          <w:tcPr>
            <w:tcW w:w="5919" w:type="dxa"/>
            <w:vAlign w:val="center"/>
          </w:tcPr>
          <w:p w14:paraId="49E3C9E8">
            <w:pPr>
              <w:adjustRightInd w:val="0"/>
              <w:snapToGrid w:val="0"/>
              <w:rPr>
                <w:rFonts w:ascii="宋体" w:hAnsi="宋体" w:eastAsia="宋体"/>
                <w:sz w:val="21"/>
                <w:highlight w:val="none"/>
              </w:rPr>
            </w:pPr>
            <w:r>
              <w:rPr>
                <w:rFonts w:hint="eastAsia" w:ascii="宋体" w:hAnsi="宋体" w:eastAsia="宋体"/>
                <w:color w:val="auto"/>
                <w:sz w:val="21"/>
                <w:highlight w:val="none"/>
                <w:lang w:val="en-US" w:eastAsia="zh-CN"/>
              </w:rPr>
              <w:t>财政100%</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rPr>
            </w:pPr>
            <w:r>
              <w:rPr>
                <w:rFonts w:hint="eastAsia" w:ascii="宋体" w:hAnsi="宋体" w:eastAsia="宋体"/>
                <w:sz w:val="21"/>
              </w:rPr>
              <w:t>投标人要求</w:t>
            </w:r>
          </w:p>
        </w:tc>
        <w:tc>
          <w:tcPr>
            <w:tcW w:w="5919" w:type="dxa"/>
            <w:vAlign w:val="center"/>
          </w:tcPr>
          <w:p w14:paraId="3A7EA55B">
            <w:pPr>
              <w:rPr>
                <w:rFonts w:ascii="宋体" w:hAnsi="宋体" w:eastAsia="宋体"/>
                <w:sz w:val="21"/>
                <w:highlight w:val="none"/>
              </w:rPr>
            </w:pPr>
            <w:r>
              <w:rPr>
                <w:rFonts w:hint="eastAsia" w:ascii="宋体" w:hAnsi="宋体" w:eastAsia="宋体"/>
                <w:sz w:val="21"/>
                <w:highlight w:val="none"/>
              </w:rPr>
              <w:t>全国范围内建筑装修装饰工程专业承包二级及</w:t>
            </w:r>
            <w:r>
              <w:rPr>
                <w:rFonts w:hint="eastAsia" w:ascii="宋体" w:hAnsi="宋体" w:eastAsia="宋体"/>
                <w:sz w:val="21"/>
                <w:highlight w:val="none"/>
                <w:lang w:val="en-US" w:eastAsia="zh-CN"/>
              </w:rPr>
              <w:t>以上</w:t>
            </w:r>
            <w:r>
              <w:rPr>
                <w:rFonts w:hint="eastAsia" w:ascii="宋体" w:hAnsi="宋体" w:eastAsia="宋体"/>
                <w:sz w:val="21"/>
                <w:highlight w:val="none"/>
              </w:rPr>
              <w:t>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rPr>
            </w:pPr>
            <w:r>
              <w:rPr>
                <w:rFonts w:hint="eastAsia" w:ascii="宋体" w:hAnsi="宋体" w:eastAsia="宋体"/>
                <w:sz w:val="21"/>
              </w:rPr>
              <w:t>项目负责人要求</w:t>
            </w:r>
          </w:p>
        </w:tc>
        <w:tc>
          <w:tcPr>
            <w:tcW w:w="5919" w:type="dxa"/>
            <w:vAlign w:val="center"/>
          </w:tcPr>
          <w:p w14:paraId="2D4055D1">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yellow"/>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588763</w:t>
            </w:r>
            <w:r>
              <w:rPr>
                <w:rFonts w:hint="eastAsia"/>
                <w:b/>
                <w:color w:val="auto"/>
                <w:sz w:val="21"/>
                <w:szCs w:val="21"/>
                <w:highlight w:val="none"/>
              </w:rPr>
              <w:t>元；</w:t>
            </w:r>
          </w:p>
          <w:p w14:paraId="304662D1">
            <w:pPr>
              <w:pStyle w:val="9"/>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500449</w:t>
            </w:r>
            <w:r>
              <w:rPr>
                <w:rFonts w:hint="eastAsia"/>
                <w:b/>
                <w:color w:val="auto"/>
                <w:sz w:val="21"/>
                <w:szCs w:val="21"/>
                <w:highlight w:val="none"/>
              </w:rPr>
              <w:t>元（招标控制价×</w:t>
            </w:r>
            <w:r>
              <w:rPr>
                <w:rFonts w:hint="eastAsia"/>
                <w:b/>
                <w:color w:val="auto"/>
                <w:sz w:val="21"/>
                <w:szCs w:val="21"/>
                <w:highlight w:val="none"/>
                <w:lang w:val="en-US" w:eastAsia="zh-CN"/>
              </w:rPr>
              <w:t>85</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rPr>
            </w:pPr>
            <w:r>
              <w:rPr>
                <w:rFonts w:hint="eastAsia" w:ascii="宋体" w:hAnsi="宋体" w:eastAsia="宋体"/>
                <w:sz w:val="21"/>
              </w:rPr>
              <w:t>投标担保要求</w:t>
            </w:r>
          </w:p>
        </w:tc>
        <w:tc>
          <w:tcPr>
            <w:tcW w:w="5919" w:type="dxa"/>
            <w:vAlign w:val="center"/>
          </w:tcPr>
          <w:p w14:paraId="46F3A256">
            <w:pPr>
              <w:rPr>
                <w:rFonts w:ascii="宋体" w:hAnsi="宋体" w:eastAsia="宋体"/>
                <w:color w:val="FF0000"/>
                <w:sz w:val="21"/>
                <w:highlight w:val="none"/>
              </w:rPr>
            </w:pPr>
            <w:r>
              <w:rPr>
                <w:rFonts w:ascii="宋体" w:hAnsi="宋体" w:eastAsia="宋体"/>
                <w:color w:val="FF0000"/>
                <w:sz w:val="21"/>
                <w:highlight w:val="none"/>
              </w:rPr>
              <w:t>1.</w:t>
            </w:r>
            <w:r>
              <w:rPr>
                <w:rFonts w:hint="eastAsia" w:ascii="宋体" w:hAnsi="宋体" w:eastAsia="宋体"/>
                <w:color w:val="FF0000"/>
                <w:sz w:val="21"/>
                <w:highlight w:val="none"/>
              </w:rPr>
              <w:t>投标保证金金额：</w:t>
            </w:r>
            <w:r>
              <w:rPr>
                <w:rFonts w:hint="eastAsia" w:ascii="宋体" w:hAnsi="宋体" w:eastAsia="宋体"/>
                <w:color w:val="FF0000"/>
                <w:sz w:val="21"/>
                <w:highlight w:val="none"/>
                <w:u w:val="single"/>
                <w:lang w:val="en-US" w:eastAsia="zh-CN"/>
              </w:rPr>
              <w:t>10000</w:t>
            </w:r>
            <w:r>
              <w:rPr>
                <w:rFonts w:hint="eastAsia" w:ascii="宋体" w:hAnsi="宋体" w:eastAsia="宋体"/>
                <w:color w:val="FF0000"/>
                <w:sz w:val="21"/>
                <w:highlight w:val="none"/>
                <w:u w:val="single"/>
              </w:rPr>
              <w:t>元</w:t>
            </w:r>
            <w:r>
              <w:rPr>
                <w:rFonts w:hint="eastAsia" w:ascii="宋体" w:hAnsi="宋体" w:eastAsia="宋体"/>
                <w:color w:val="FF0000"/>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临海市白水洋镇中心校</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隆耀（浙江）工程咨询有限公司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0576-85318816</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rPr>
            </w:pPr>
            <w:r>
              <w:rPr>
                <w:rFonts w:hint="eastAsia" w:ascii="宋体" w:hAnsi="宋体" w:eastAsia="宋体"/>
                <w:sz w:val="21"/>
              </w:rPr>
              <w:t>开标时间和地点</w:t>
            </w:r>
          </w:p>
        </w:tc>
        <w:tc>
          <w:tcPr>
            <w:tcW w:w="5919" w:type="dxa"/>
            <w:vAlign w:val="center"/>
          </w:tcPr>
          <w:p w14:paraId="433DC13F">
            <w:pPr>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开标时间：同投标截止时间</w:t>
            </w:r>
          </w:p>
          <w:p w14:paraId="01384FFF">
            <w:pPr>
              <w:ind w:left="210" w:hanging="210" w:hangingChars="100"/>
              <w:rPr>
                <w:rFonts w:hint="eastAsia" w:ascii="宋体" w:hAnsi="宋体" w:eastAsia="宋体"/>
                <w:color w:val="000000" w:themeColor="text1"/>
                <w:sz w:val="21"/>
                <w:highlight w:val="none"/>
                <w:lang w:val="en-US" w:eastAsia="zh-CN"/>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开标地点：</w:t>
            </w:r>
            <w:r>
              <w:rPr>
                <w:rFonts w:hint="eastAsia" w:ascii="宋体" w:hAnsi="宋体" w:eastAsia="宋体"/>
                <w:color w:val="000000" w:themeColor="text1"/>
                <w:sz w:val="21"/>
                <w:highlight w:val="none"/>
                <w14:textFill>
                  <w14:solidFill>
                    <w14:schemeClr w14:val="tx1"/>
                  </w14:solidFill>
                </w14:textFill>
              </w:rPr>
              <w:t>临海市限额以下公共资源交易区域平台西部</w:t>
            </w:r>
            <w:r>
              <w:rPr>
                <w:rFonts w:hint="eastAsia" w:ascii="宋体" w:hAnsi="宋体" w:eastAsia="宋体"/>
                <w:color w:val="000000" w:themeColor="text1"/>
                <w:sz w:val="21"/>
                <w:highlight w:val="none"/>
                <w:lang w:eastAsia="zh-CN"/>
                <w14:textFill>
                  <w14:solidFill>
                    <w14:schemeClr w14:val="tx1"/>
                  </w14:solidFill>
                </w14:textFill>
              </w:rPr>
              <w:t>（</w:t>
            </w:r>
            <w:r>
              <w:rPr>
                <w:rFonts w:hint="eastAsia" w:ascii="宋体" w:hAnsi="宋体" w:eastAsia="宋体"/>
                <w:color w:val="000000" w:themeColor="text1"/>
                <w:sz w:val="21"/>
                <w:highlight w:val="none"/>
                <w14:textFill>
                  <w14:solidFill>
                    <w14:schemeClr w14:val="tx1"/>
                  </w14:solidFill>
                </w14:textFill>
              </w:rPr>
              <w:t>临海市永丰镇人民政府对面开标室</w:t>
            </w:r>
            <w:r>
              <w:rPr>
                <w:rFonts w:hint="eastAsia" w:ascii="宋体" w:hAnsi="宋体" w:eastAsia="宋体"/>
                <w:color w:val="000000" w:themeColor="text1"/>
                <w:sz w:val="21"/>
                <w:highlight w:val="none"/>
                <w:lang w:val="en-US" w:eastAsia="zh-CN"/>
                <w14:textFill>
                  <w14:solidFill>
                    <w14:schemeClr w14:val="tx1"/>
                  </w14:solidFill>
                </w14:textFill>
              </w:rPr>
              <w:t>2）</w:t>
            </w:r>
            <w:r>
              <w:rPr>
                <w:rFonts w:hint="eastAsia" w:ascii="宋体" w:hAnsi="宋体" w:eastAsia="宋体"/>
                <w:color w:val="000000" w:themeColor="text1"/>
                <w:sz w:val="21"/>
                <w:highlight w:val="none"/>
                <w14:textFill>
                  <w14:solidFill>
                    <w14:schemeClr w14:val="tx1"/>
                  </w14:solidFill>
                </w14:textFill>
              </w:rPr>
              <w:t>。</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rPr>
            </w:pPr>
            <w:r>
              <w:rPr>
                <w:rFonts w:hint="eastAsia" w:ascii="宋体" w:hAnsi="宋体" w:eastAsia="宋体"/>
                <w:sz w:val="21"/>
              </w:rPr>
              <w:t>投标文件提交截止时间与开标</w:t>
            </w:r>
          </w:p>
          <w:p w14:paraId="26424A90">
            <w:pPr>
              <w:jc w:val="center"/>
              <w:rPr>
                <w:rFonts w:ascii="宋体" w:hAnsi="宋体" w:eastAsia="宋体"/>
                <w:sz w:val="21"/>
              </w:rPr>
            </w:pPr>
            <w:r>
              <w:rPr>
                <w:rFonts w:hint="eastAsia" w:ascii="宋体" w:hAnsi="宋体" w:eastAsia="宋体"/>
                <w:sz w:val="21"/>
              </w:rPr>
              <w:t>时间</w:t>
            </w:r>
          </w:p>
        </w:tc>
        <w:tc>
          <w:tcPr>
            <w:tcW w:w="5919" w:type="dxa"/>
            <w:vAlign w:val="center"/>
          </w:tcPr>
          <w:p w14:paraId="20CB317E">
            <w:pPr>
              <w:rPr>
                <w:rFonts w:ascii="宋体" w:hAnsi="宋体" w:eastAsia="宋体"/>
                <w:color w:val="000000" w:themeColor="text1"/>
                <w:sz w:val="21"/>
                <w:highlight w:val="none"/>
                <w14:textFill>
                  <w14:solidFill>
                    <w14:schemeClr w14:val="tx1"/>
                  </w14:solidFill>
                </w14:textFill>
              </w:rPr>
            </w:pPr>
            <w:r>
              <w:rPr>
                <w:rFonts w:ascii="Arial" w:hAnsi="Arial" w:eastAsia="宋体" w:cs="Arial"/>
                <w:color w:val="000000" w:themeColor="text1"/>
                <w:sz w:val="21"/>
                <w:szCs w:val="21"/>
                <w:highlight w:val="none"/>
                <w:u w:val="single"/>
                <w:shd w:val="clear" w:color="auto" w:fill="FFFFFF"/>
                <w14:textFill>
                  <w14:solidFill>
                    <w14:schemeClr w14:val="tx1"/>
                  </w14:solidFill>
                </w14:textFill>
              </w:rPr>
              <w:t>202</w:t>
            </w:r>
            <w:r>
              <w:rPr>
                <w:rFonts w:hint="eastAsia" w:ascii="Arial" w:hAnsi="Arial" w:eastAsia="宋体" w:cs="Arial"/>
                <w:color w:val="000000" w:themeColor="text1"/>
                <w:sz w:val="21"/>
                <w:szCs w:val="21"/>
                <w:highlight w:val="none"/>
                <w:u w:val="single"/>
                <w:shd w:val="clear" w:color="auto" w:fill="FFFFFF"/>
                <w:lang w:val="en-US" w:eastAsia="zh-CN"/>
                <w14:textFill>
                  <w14:solidFill>
                    <w14:schemeClr w14:val="tx1"/>
                  </w14:solidFill>
                </w14:textFill>
              </w:rPr>
              <w:t>6</w:t>
            </w:r>
            <w:r>
              <w:rPr>
                <w:rFonts w:hint="eastAsia" w:ascii="Arial" w:hAnsi="Arial" w:eastAsia="宋体" w:cs="Arial"/>
                <w:color w:val="000000" w:themeColor="text1"/>
                <w:sz w:val="21"/>
                <w:szCs w:val="21"/>
                <w:highlight w:val="none"/>
                <w:u w:val="single"/>
                <w:shd w:val="clear" w:color="auto" w:fill="FFFFFF"/>
                <w14:textFill>
                  <w14:solidFill>
                    <w14:schemeClr w14:val="tx1"/>
                  </w14:solidFill>
                </w14:textFill>
              </w:rPr>
              <w:t>年</w:t>
            </w:r>
            <w:r>
              <w:rPr>
                <w:rFonts w:hint="eastAsia" w:ascii="Arial" w:hAnsi="Arial" w:eastAsia="宋体" w:cs="Arial"/>
                <w:color w:val="000000" w:themeColor="text1"/>
                <w:sz w:val="21"/>
                <w:szCs w:val="21"/>
                <w:highlight w:val="none"/>
                <w:u w:val="single"/>
                <w:shd w:val="clear" w:color="auto" w:fill="FFFFFF"/>
                <w:lang w:val="en-US" w:eastAsia="zh-CN"/>
                <w14:textFill>
                  <w14:solidFill>
                    <w14:schemeClr w14:val="tx1"/>
                  </w14:solidFill>
                </w14:textFill>
              </w:rPr>
              <w:t>7</w:t>
            </w:r>
            <w:r>
              <w:rPr>
                <w:rFonts w:hint="eastAsia" w:ascii="Arial" w:hAnsi="Arial" w:eastAsia="宋体" w:cs="Arial"/>
                <w:color w:val="000000" w:themeColor="text1"/>
                <w:sz w:val="21"/>
                <w:szCs w:val="21"/>
                <w:highlight w:val="none"/>
                <w:u w:val="single"/>
                <w:shd w:val="clear" w:color="auto" w:fill="FFFFFF"/>
                <w14:textFill>
                  <w14:solidFill>
                    <w14:schemeClr w14:val="tx1"/>
                  </w14:solidFill>
                </w14:textFill>
              </w:rPr>
              <w:t>月</w:t>
            </w:r>
            <w:r>
              <w:rPr>
                <w:rFonts w:hint="eastAsia" w:ascii="Arial" w:hAnsi="Arial" w:eastAsia="宋体" w:cs="Arial"/>
                <w:color w:val="000000" w:themeColor="text1"/>
                <w:sz w:val="21"/>
                <w:szCs w:val="21"/>
                <w:highlight w:val="none"/>
                <w:u w:val="single"/>
                <w:shd w:val="clear" w:color="auto" w:fill="FFFFFF"/>
                <w:lang w:val="en-US" w:eastAsia="zh-CN"/>
                <w14:textFill>
                  <w14:solidFill>
                    <w14:schemeClr w14:val="tx1"/>
                  </w14:solidFill>
                </w14:textFill>
              </w:rPr>
              <w:t>16</w:t>
            </w:r>
            <w:r>
              <w:rPr>
                <w:rFonts w:hint="eastAsia" w:ascii="Arial" w:hAnsi="Arial" w:eastAsia="宋体" w:cs="Arial"/>
                <w:color w:val="000000" w:themeColor="text1"/>
                <w:sz w:val="21"/>
                <w:szCs w:val="21"/>
                <w:highlight w:val="none"/>
                <w:u w:val="single"/>
                <w:shd w:val="clear" w:color="auto" w:fill="FFFFFF"/>
                <w14:textFill>
                  <w14:solidFill>
                    <w14:schemeClr w14:val="tx1"/>
                  </w14:solidFill>
                </w14:textFill>
              </w:rPr>
              <w:t>日</w:t>
            </w:r>
            <w:r>
              <w:rPr>
                <w:rFonts w:hint="eastAsia" w:ascii="Arial" w:hAnsi="Arial" w:eastAsia="宋体" w:cs="Arial"/>
                <w:color w:val="000000" w:themeColor="text1"/>
                <w:sz w:val="21"/>
                <w:szCs w:val="21"/>
                <w:highlight w:val="none"/>
                <w:u w:val="single"/>
                <w:shd w:val="clear" w:color="auto" w:fill="FFFFFF"/>
                <w:lang w:val="en-US" w:eastAsia="zh-CN"/>
                <w14:textFill>
                  <w14:solidFill>
                    <w14:schemeClr w14:val="tx1"/>
                  </w14:solidFill>
                </w14:textFill>
              </w:rPr>
              <w:t>8</w:t>
            </w:r>
            <w:r>
              <w:rPr>
                <w:rFonts w:hint="eastAsia" w:ascii="Arial" w:hAnsi="Arial" w:eastAsia="宋体" w:cs="Arial"/>
                <w:color w:val="000000" w:themeColor="text1"/>
                <w:sz w:val="21"/>
                <w:szCs w:val="21"/>
                <w:highlight w:val="none"/>
                <w:u w:val="single"/>
                <w:shd w:val="clear" w:color="auto" w:fill="FFFFFF"/>
                <w14:textFill>
                  <w14:solidFill>
                    <w14:schemeClr w14:val="tx1"/>
                  </w14:solidFill>
                </w14:textFill>
              </w:rPr>
              <w:t>时</w:t>
            </w:r>
            <w:r>
              <w:rPr>
                <w:rFonts w:hint="eastAsia" w:ascii="Arial" w:hAnsi="Arial" w:eastAsia="宋体" w:cs="Arial"/>
                <w:color w:val="000000" w:themeColor="text1"/>
                <w:sz w:val="21"/>
                <w:szCs w:val="21"/>
                <w:highlight w:val="none"/>
                <w:u w:val="single"/>
                <w:shd w:val="clear" w:color="auto" w:fill="FFFFFF"/>
                <w:lang w:val="en-US" w:eastAsia="zh-CN"/>
                <w14:textFill>
                  <w14:solidFill>
                    <w14:schemeClr w14:val="tx1"/>
                  </w14:solidFill>
                </w14:textFill>
              </w:rPr>
              <w:t>30</w:t>
            </w:r>
            <w:r>
              <w:rPr>
                <w:rFonts w:hint="eastAsia" w:ascii="Arial" w:hAnsi="Arial" w:eastAsia="宋体" w:cs="Arial"/>
                <w:color w:val="000000" w:themeColor="text1"/>
                <w:sz w:val="21"/>
                <w:szCs w:val="21"/>
                <w:highlight w:val="none"/>
                <w:u w:val="single"/>
                <w:shd w:val="clear" w:color="auto" w:fill="FFFFFF"/>
                <w14:textFill>
                  <w14:solidFill>
                    <w14:schemeClr w14:val="tx1"/>
                  </w14:solidFill>
                </w14:textFill>
              </w:rPr>
              <w:t>分</w:t>
            </w:r>
            <w:r>
              <w:rPr>
                <w:rFonts w:hint="eastAsia" w:ascii="Arial" w:hAnsi="Arial" w:eastAsia="宋体" w:cs="Arial"/>
                <w:color w:val="000000" w:themeColor="text1"/>
                <w:sz w:val="21"/>
                <w:szCs w:val="21"/>
                <w:highlight w:val="none"/>
                <w:shd w:val="clear" w:color="auto" w:fill="FFFFFF"/>
                <w14:textFill>
                  <w14:solidFill>
                    <w14:schemeClr w14:val="tx1"/>
                  </w14:solidFill>
                </w14:textFill>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29"/>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29"/>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29"/>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29"/>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7720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trPr>
        <w:tc>
          <w:tcPr>
            <w:tcW w:w="1543" w:type="dxa"/>
            <w:gridSpan w:val="2"/>
            <w:vAlign w:val="center"/>
          </w:tcPr>
          <w:p w14:paraId="40E8C743">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2DDF63F2">
            <w:pPr>
              <w:pStyle w:val="29"/>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DB80B5E">
      <w:pPr>
        <w:jc w:val="center"/>
        <w:rPr>
          <w:rFonts w:ascii="宋体" w:eastAsia="宋体"/>
          <w:highlight w:val="yellow"/>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10147"/>
      <w:bookmarkStart w:id="9" w:name="_Toc9614"/>
      <w:bookmarkStart w:id="10" w:name="_Toc500208463"/>
      <w:bookmarkStart w:id="11" w:name="_Toc500209412"/>
      <w:bookmarkStart w:id="12" w:name="_Toc26109"/>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500209413"/>
      <w:bookmarkStart w:id="15" w:name="_Toc4837"/>
      <w:bookmarkStart w:id="16" w:name="_Toc32149"/>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55342528"/>
      <w:bookmarkStart w:id="18" w:name="_Toc169487776"/>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69487782"/>
      <w:bookmarkStart w:id="30" w:name="_Toc155342534"/>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500208467"/>
      <w:bookmarkStart w:id="32" w:name="_Toc24275"/>
      <w:bookmarkStart w:id="33" w:name="_Toc20890"/>
      <w:bookmarkStart w:id="34" w:name="_Toc500209414"/>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55342536"/>
      <w:bookmarkStart w:id="37" w:name="_Toc169487784"/>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55342538"/>
      <w:bookmarkStart w:id="43" w:name="_Toc169487786"/>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69487788"/>
      <w:bookmarkStart w:id="47" w:name="_Toc155342540"/>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500209416"/>
      <w:bookmarkStart w:id="49" w:name="_Toc20604"/>
      <w:bookmarkStart w:id="50" w:name="_Toc7036"/>
      <w:bookmarkStart w:id="51" w:name="_Toc500208475"/>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500208476"/>
      <w:bookmarkStart w:id="53" w:name="_Toc69095786"/>
      <w:bookmarkStart w:id="54" w:name="_Toc169487790"/>
      <w:bookmarkStart w:id="55" w:name="_Toc155342542"/>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55342546"/>
      <w:bookmarkStart w:id="63" w:name="_Toc169487793"/>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人预算书按照《浙江省建设工程计价规则》（2018版）</w:t>
      </w:r>
      <w:r>
        <w:rPr>
          <w:rFonts w:hint="eastAsia"/>
          <w:highlight w:val="none"/>
          <w:lang w:eastAsia="zh-CN"/>
        </w:rPr>
        <w:t>、</w:t>
      </w:r>
      <w:r>
        <w:rPr>
          <w:rFonts w:hint="eastAsia"/>
          <w:highlight w:val="none"/>
        </w:rPr>
        <w:t>浙建建发[2019]92号通知</w:t>
      </w:r>
      <w:r>
        <w:rPr>
          <w:rFonts w:hint="eastAsia"/>
          <w:highlight w:val="none"/>
          <w:lang w:eastAsia="zh-CN"/>
        </w:rPr>
        <w:t>、浙建建发[20</w:t>
      </w:r>
      <w:r>
        <w:rPr>
          <w:rFonts w:hint="eastAsia"/>
          <w:highlight w:val="none"/>
          <w:lang w:val="en-US" w:eastAsia="zh-CN"/>
        </w:rPr>
        <w:t>25</w:t>
      </w:r>
      <w:r>
        <w:rPr>
          <w:rFonts w:hint="eastAsia"/>
          <w:highlight w:val="none"/>
          <w:lang w:eastAsia="zh-CN"/>
        </w:rPr>
        <w:t>]</w:t>
      </w:r>
      <w:r>
        <w:rPr>
          <w:rFonts w:hint="eastAsia"/>
          <w:highlight w:val="none"/>
          <w:lang w:val="en-US" w:eastAsia="zh-CN"/>
        </w:rPr>
        <w:t>320</w:t>
      </w:r>
      <w:r>
        <w:rPr>
          <w:rFonts w:hint="eastAsia"/>
          <w:highlight w:val="none"/>
          <w:lang w:eastAsia="zh-CN"/>
        </w:rPr>
        <w:t>号通知、《浙江省房屋建筑与装饰工程预算定额》（2018版）、《浙江省通用安装工程预算定额》（2018版）</w:t>
      </w:r>
      <w:r>
        <w:rPr>
          <w:rFonts w:hint="eastAsia"/>
          <w:highlight w:val="none"/>
        </w:rPr>
        <w:t>及有关工程造价方面规定，采用定额清单</w:t>
      </w:r>
      <w:r>
        <w:rPr>
          <w:highlight w:val="none"/>
        </w:rPr>
        <w:t>(</w:t>
      </w:r>
      <w:r>
        <w:rPr>
          <w:rFonts w:hint="eastAsia"/>
          <w:highlight w:val="none"/>
        </w:rPr>
        <w:t>浙江</w:t>
      </w:r>
      <w:r>
        <w:rPr>
          <w:highlight w:val="none"/>
        </w:rPr>
        <w:t>2018</w:t>
      </w:r>
      <w:r>
        <w:rPr>
          <w:rFonts w:hint="eastAsia"/>
          <w:highlight w:val="none"/>
        </w:rPr>
        <w:t>版</w:t>
      </w:r>
      <w:r>
        <w:rPr>
          <w:highlight w:val="none"/>
        </w:rPr>
        <w:t xml:space="preserve">) </w:t>
      </w:r>
      <w:r>
        <w:rPr>
          <w:rFonts w:hint="eastAsia"/>
          <w:highlight w:val="none"/>
        </w:rPr>
        <w:t>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后自主确定报价，招标人预算书中相对应的费用仅供投标人参考。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69487795"/>
      <w:bookmarkStart w:id="67" w:name="_Toc155342548"/>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21258"/>
      <w:bookmarkStart w:id="73" w:name="_Toc500209417"/>
      <w:bookmarkStart w:id="74" w:name="_Toc21898"/>
      <w:bookmarkStart w:id="75" w:name="_Toc500208480"/>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69487799"/>
      <w:bookmarkStart w:id="77" w:name="_Toc155342552"/>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69487800"/>
      <w:bookmarkStart w:id="80" w:name="_Toc155342553"/>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9418"/>
      <w:bookmarkStart w:id="82" w:name="_Toc9012"/>
      <w:bookmarkStart w:id="83" w:name="_Toc500208484"/>
      <w:bookmarkStart w:id="84" w:name="_Toc15794"/>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500208485"/>
      <w:bookmarkStart w:id="86" w:name="_Toc169487803"/>
      <w:bookmarkStart w:id="87" w:name="_Toc155342556"/>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69487804"/>
      <w:bookmarkStart w:id="89" w:name="_Toc155342557"/>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31728"/>
      <w:bookmarkStart w:id="91" w:name="_Toc500208488"/>
      <w:bookmarkStart w:id="92" w:name="_Toc500209419"/>
      <w:bookmarkStart w:id="93" w:name="_Toc15849"/>
      <w:bookmarkStart w:id="94" w:name="_Toc500209420"/>
      <w:bookmarkStart w:id="95" w:name="_Toc500208495"/>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155342559"/>
      <w:bookmarkStart w:id="97" w:name="_Toc169487806"/>
      <w:bookmarkStart w:id="98" w:name="_Toc50020848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69487808"/>
      <w:bookmarkStart w:id="102" w:name="_Toc155342561"/>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55342562"/>
      <w:bookmarkStart w:id="104" w:name="_Toc169487809"/>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55342565"/>
      <w:bookmarkStart w:id="110" w:name="_Toc169487812"/>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799"/>
      <w:bookmarkStart w:id="112" w:name="_Toc15646"/>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spacing w:line="288" w:lineRule="auto"/>
        <w:ind w:left="300"/>
        <w:outlineLvl w:val="9"/>
        <w:rPr>
          <w:rFonts w:ascii="宋体" w:eastAsia="宋体"/>
          <w:b w:val="0"/>
          <w:bCs/>
          <w:color w:val="auto"/>
          <w:sz w:val="44"/>
        </w:rPr>
      </w:pPr>
      <w:bookmarkStart w:id="122" w:name="_Toc511741120"/>
      <w:bookmarkStart w:id="123" w:name="_Toc169487823"/>
      <w:bookmarkStart w:id="124" w:name="_Toc386121757"/>
      <w:bookmarkStart w:id="125" w:name="_Toc386121568"/>
    </w:p>
    <w:p w14:paraId="660FC288">
      <w:pPr>
        <w:outlineLvl w:val="9"/>
        <w:rPr>
          <w:rFonts w:ascii="宋体" w:eastAsia="宋体"/>
          <w:bCs/>
          <w:sz w:val="44"/>
        </w:rPr>
      </w:pPr>
    </w:p>
    <w:p w14:paraId="3878AA1A">
      <w:pPr>
        <w:outlineLvl w:val="9"/>
        <w:rPr>
          <w:rFonts w:ascii="宋体" w:eastAsia="宋体"/>
          <w:bCs/>
          <w:sz w:val="44"/>
        </w:rPr>
      </w:pPr>
    </w:p>
    <w:p w14:paraId="0E5F62B6">
      <w:pPr>
        <w:outlineLvl w:val="9"/>
        <w:rPr>
          <w:rFonts w:ascii="宋体" w:eastAsia="宋体"/>
          <w:bCs/>
          <w:sz w:val="44"/>
        </w:rPr>
      </w:pPr>
    </w:p>
    <w:p w14:paraId="3C23B8CC">
      <w:pPr>
        <w:outlineLvl w:val="9"/>
        <w:rPr>
          <w:rFonts w:ascii="宋体" w:eastAsia="宋体"/>
          <w:bCs/>
          <w:sz w:val="44"/>
        </w:rPr>
      </w:pPr>
    </w:p>
    <w:p w14:paraId="2C0CA3E5">
      <w:pPr>
        <w:outlineLvl w:val="9"/>
        <w:rPr>
          <w:rFonts w:ascii="宋体" w:eastAsia="宋体"/>
          <w:bCs/>
          <w:sz w:val="44"/>
        </w:rPr>
      </w:pPr>
    </w:p>
    <w:p w14:paraId="42281D85">
      <w:pPr>
        <w:outlineLvl w:val="9"/>
        <w:rPr>
          <w:rFonts w:ascii="宋体" w:eastAsia="宋体"/>
          <w:bCs/>
          <w:sz w:val="44"/>
        </w:rPr>
      </w:pPr>
    </w:p>
    <w:p w14:paraId="19C14817">
      <w:pPr>
        <w:outlineLvl w:val="9"/>
        <w:rPr>
          <w:rFonts w:ascii="宋体" w:eastAsia="宋体"/>
          <w:bCs/>
          <w:sz w:val="44"/>
        </w:rPr>
      </w:pPr>
    </w:p>
    <w:p w14:paraId="1BE72C66">
      <w:pPr>
        <w:outlineLvl w:val="9"/>
        <w:rPr>
          <w:rFonts w:ascii="宋体" w:eastAsia="宋体"/>
          <w:bCs/>
          <w:sz w:val="44"/>
        </w:rPr>
      </w:pPr>
    </w:p>
    <w:p w14:paraId="78CD3DB0">
      <w:pPr>
        <w:pStyle w:val="8"/>
        <w:outlineLvl w:val="9"/>
        <w:rPr>
          <w:rFonts w:ascii="黑体" w:hAnsi="黑体" w:eastAsia="黑体"/>
          <w:b/>
          <w:sz w:val="32"/>
          <w:szCs w:val="32"/>
        </w:rPr>
      </w:pPr>
      <w:bookmarkStart w:id="126" w:name="_Toc484683196"/>
      <w:bookmarkStart w:id="127" w:name="_Toc20217"/>
      <w:bookmarkStart w:id="128" w:name="_Toc561"/>
    </w:p>
    <w:p w14:paraId="05F80D96">
      <w:pPr>
        <w:pStyle w:val="8"/>
        <w:outlineLvl w:val="9"/>
        <w:rPr>
          <w:rFonts w:ascii="黑体" w:hAnsi="黑体" w:eastAsia="黑体"/>
          <w:b/>
          <w:sz w:val="32"/>
          <w:szCs w:val="32"/>
        </w:rPr>
      </w:pPr>
    </w:p>
    <w:p w14:paraId="459D965B">
      <w:pPr>
        <w:pStyle w:val="8"/>
        <w:outlineLvl w:val="9"/>
        <w:rPr>
          <w:rFonts w:ascii="黑体" w:hAnsi="黑体" w:eastAsia="黑体"/>
          <w:b/>
          <w:sz w:val="32"/>
          <w:szCs w:val="32"/>
        </w:rPr>
      </w:pPr>
    </w:p>
    <w:p w14:paraId="11424917">
      <w:pPr>
        <w:pStyle w:val="8"/>
        <w:outlineLvl w:val="9"/>
        <w:rPr>
          <w:rFonts w:ascii="黑体" w:hAnsi="黑体" w:eastAsia="黑体"/>
          <w:b/>
          <w:sz w:val="32"/>
          <w:szCs w:val="32"/>
        </w:rPr>
      </w:pPr>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综合评估法（房建市政）</w:t>
      </w:r>
    </w:p>
    <w:p w14:paraId="4814ED01">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评标顺序</w:t>
      </w:r>
    </w:p>
    <w:p w14:paraId="76599C60">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（一）商务标评审</w:t>
      </w:r>
    </w:p>
    <w:p w14:paraId="1DBD4503">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（二）资信标评审</w:t>
      </w:r>
    </w:p>
    <w:p w14:paraId="679B35A7">
      <w:pPr>
        <w:pStyle w:val="51"/>
        <w:snapToGrid w:val="0"/>
        <w:spacing w:line="360" w:lineRule="auto"/>
        <w:ind w:firstLine="600" w:firstLineChars="250"/>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29"/>
        <w:ind w:firstLine="420" w:firstLineChars="200"/>
        <w:rPr>
          <w:rFonts w:hint="eastAsia" w:ascii="宋体" w:hAnsi="宋体" w:eastAsia="宋体" w:cs="宋体"/>
          <w:color w:val="auto"/>
          <w:sz w:val="24"/>
          <w:szCs w:val="24"/>
          <w:lang w:val="en-US" w:eastAsia="zh-CN"/>
        </w:rPr>
      </w:pPr>
      <w:r>
        <w:rPr>
          <w:rFonts w:hint="eastAsia" w:ascii="宋体" w:hAnsi="宋体" w:eastAsia="宋体" w:cs="宋体"/>
          <w:sz w:val="21"/>
          <w:szCs w:val="21"/>
        </w:rPr>
        <w:t>（二）抽签确定。</w:t>
      </w: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6"/>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outlineLvl w:val="9"/>
        <w:rPr>
          <w:rFonts w:ascii="宋体" w:eastAsia="宋体"/>
          <w:color w:val="auto"/>
        </w:rPr>
      </w:pPr>
    </w:p>
    <w:p w14:paraId="542E2ECF">
      <w:pPr>
        <w:spacing w:line="360" w:lineRule="exact"/>
        <w:ind w:firstLine="640" w:firstLineChars="200"/>
        <w:outlineLvl w:val="9"/>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67580969"/>
      <w:bookmarkStart w:id="130" w:name="_Toc239477934"/>
      <w:bookmarkStart w:id="131" w:name="_Toc511741122"/>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临海市白水洋镇中心校</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hint="eastAsia" w:ascii="宋体" w:hAnsi="宋体" w:eastAsia="宋体" w:cs="宋体"/>
          <w:b/>
          <w:bCs/>
          <w:sz w:val="21"/>
          <w:szCs w:val="21"/>
          <w:u w:val="single"/>
          <w:lang w:eastAsia="zh-CN"/>
        </w:rPr>
        <w:t>白水洋镇中心校教学楼、食堂及双港小学电源双回路改造工程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白水洋镇中心校教学楼、食堂及双港小学电源双回路改造工程</w:t>
      </w:r>
    </w:p>
    <w:p w14:paraId="4C4D3F66">
      <w:pPr>
        <w:spacing w:line="440" w:lineRule="exact"/>
        <w:ind w:firstLine="404" w:firstLineChars="196"/>
        <w:rPr>
          <w:rFonts w:hint="default" w:ascii="宋体" w:hAnsi="宋体" w:eastAsia="宋体" w:cs="宋体"/>
          <w:bCs/>
          <w:sz w:val="21"/>
          <w:szCs w:val="21"/>
          <w:u w:val="single"/>
          <w:lang w:val="en-US"/>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临海市白水洋镇中心校</w:t>
      </w:r>
    </w:p>
    <w:p w14:paraId="191FD775">
      <w:pPr>
        <w:spacing w:line="440" w:lineRule="exact"/>
        <w:ind w:firstLine="404" w:firstLineChars="196"/>
        <w:rPr>
          <w:rFonts w:hint="eastAsia"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临财行[2026]8号</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bCs/>
          <w:sz w:val="21"/>
          <w:szCs w:val="21"/>
          <w:highlight w:val="none"/>
          <w:u w:val="single"/>
        </w:rPr>
        <w:t>财政</w:t>
      </w:r>
      <w:r>
        <w:rPr>
          <w:rFonts w:hint="eastAsia" w:ascii="宋体" w:hAnsi="宋体" w:eastAsia="宋体" w:cs="宋体"/>
          <w:bCs/>
          <w:sz w:val="21"/>
          <w:szCs w:val="21"/>
          <w:highlight w:val="none"/>
          <w:u w:val="single"/>
          <w:lang w:val="en-US" w:eastAsia="zh-CN"/>
        </w:rPr>
        <w:t>100%</w:t>
      </w:r>
      <w:r>
        <w:rPr>
          <w:rFonts w:hint="eastAsia" w:ascii="宋体" w:hAnsi="宋体" w:eastAsia="宋体" w:cs="宋体"/>
          <w:bCs/>
          <w:sz w:val="21"/>
          <w:szCs w:val="21"/>
          <w:highlight w:val="none"/>
        </w:rPr>
        <w:t>。</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招标人提供的施工图纸所包含的</w:t>
      </w:r>
      <w:r>
        <w:rPr>
          <w:rFonts w:hint="eastAsia" w:ascii="宋体" w:hAnsi="宋体" w:eastAsia="宋体" w:cs="宋体"/>
          <w:sz w:val="21"/>
          <w:szCs w:val="21"/>
          <w:u w:val="single"/>
          <w:lang w:eastAsia="zh-CN"/>
        </w:rPr>
        <w:t>白水洋镇中心校教学楼、食堂及双港小学电源双回路改造工程</w:t>
      </w:r>
      <w:r>
        <w:rPr>
          <w:rFonts w:hint="eastAsia" w:ascii="宋体" w:hAnsi="宋体" w:eastAsia="宋体" w:cs="宋体"/>
          <w:bCs/>
          <w:sz w:val="21"/>
          <w:szCs w:val="21"/>
          <w:u w:val="single"/>
          <w:lang w:eastAsia="zh-CN"/>
        </w:rPr>
        <w:t>。</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招标人提供的施工图纸所包含的白水洋镇中心校教学楼、食堂及双港小学电源双回路改造工程，具体内容以招标人提供的预算书为准。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《浙江省建设工程计价规则》（2018版），浙建建发[2019]92号通知</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浙建建发[20</w:t>
      </w:r>
      <w:r>
        <w:rPr>
          <w:rFonts w:hint="eastAsia" w:ascii="宋体" w:hAnsi="宋体" w:eastAsia="宋体" w:cs="宋体"/>
          <w:color w:val="auto"/>
          <w:sz w:val="21"/>
          <w:szCs w:val="21"/>
          <w:u w:val="single"/>
          <w:lang w:val="en-US" w:eastAsia="zh-CN"/>
        </w:rPr>
        <w:t>25</w:t>
      </w:r>
      <w:r>
        <w:rPr>
          <w:rFonts w:hint="eastAsia" w:ascii="宋体" w:hAnsi="宋体" w:eastAsia="宋体" w:cs="宋体"/>
          <w:color w:val="auto"/>
          <w:sz w:val="21"/>
          <w:szCs w:val="21"/>
          <w:u w:val="single"/>
        </w:rPr>
        <w:t>]</w:t>
      </w:r>
      <w:r>
        <w:rPr>
          <w:rFonts w:hint="eastAsia" w:ascii="宋体" w:hAnsi="宋体" w:eastAsia="宋体" w:cs="宋体"/>
          <w:color w:val="auto"/>
          <w:sz w:val="21"/>
          <w:szCs w:val="21"/>
          <w:u w:val="single"/>
          <w:lang w:val="en-US" w:eastAsia="zh-CN"/>
        </w:rPr>
        <w:t>320</w:t>
      </w:r>
      <w:r>
        <w:rPr>
          <w:rFonts w:hint="eastAsia" w:ascii="宋体" w:hAnsi="宋体" w:eastAsia="宋体" w:cs="宋体"/>
          <w:color w:val="auto"/>
          <w:sz w:val="21"/>
          <w:szCs w:val="21"/>
          <w:u w:val="single"/>
        </w:rPr>
        <w:t>号通知</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《浙江省房屋建筑与装饰工程预算定额》（2018版）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《浙江省通用安装工程预算定额》（2018版）</w:t>
      </w:r>
      <w:r>
        <w:rPr>
          <w:rFonts w:hint="eastAsia" w:ascii="宋体" w:hAnsi="宋体" w:eastAsia="宋体" w:cs="宋体"/>
          <w:color w:val="auto"/>
          <w:sz w:val="21"/>
          <w:szCs w:val="21"/>
          <w:u w:val="single"/>
          <w:lang w:val="en-US" w:eastAsia="zh-CN"/>
        </w:rPr>
        <w:t>及</w:t>
      </w:r>
      <w:r>
        <w:rPr>
          <w:rFonts w:hint="eastAsia" w:ascii="宋体" w:hAnsi="宋体" w:eastAsia="宋体" w:cs="宋体"/>
          <w:color w:val="auto"/>
          <w:sz w:val="21"/>
          <w:szCs w:val="21"/>
          <w:u w:val="single"/>
        </w:rPr>
        <w:t>工程所在地现行的有关工程造价方面规定，采用定额清单(浙江2018版)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29"/>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keepNext w:val="0"/>
        <w:keepLines w:val="0"/>
        <w:spacing w:line="400" w:lineRule="exact"/>
        <w:outlineLvl w:val="9"/>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keepNext w:val="0"/>
        <w:keepLines w:val="0"/>
        <w:spacing w:line="400" w:lineRule="exact"/>
        <w:ind w:firstLine="412" w:firstLineChars="200"/>
        <w:outlineLvl w:val="9"/>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keepNext w:val="0"/>
        <w:keepLines w:val="0"/>
        <w:spacing w:line="400" w:lineRule="exact"/>
        <w:ind w:firstLine="412" w:firstLineChars="200"/>
        <w:outlineLvl w:val="9"/>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）《浙江省建设工程计价规则》（2018版）</w:t>
      </w:r>
      <w:r>
        <w:rPr>
          <w:rFonts w:hint="eastAsia" w:hAnsi="宋体" w:eastAsia="宋体" w:cs="宋体"/>
          <w:kern w:val="0"/>
          <w:sz w:val="21"/>
          <w:szCs w:val="21"/>
          <w:u w:val="single"/>
          <w:lang w:eastAsia="zh-CN"/>
        </w:rPr>
        <w:t>，</w:t>
      </w:r>
      <w:r>
        <w:rPr>
          <w:rFonts w:hint="eastAsia" w:hAnsi="宋体" w:eastAsia="宋体" w:cs="宋体"/>
          <w:kern w:val="0"/>
          <w:sz w:val="21"/>
          <w:szCs w:val="21"/>
          <w:u w:val="single"/>
        </w:rPr>
        <w:t>浙建建发[2019]92号通知,《浙江省通用安装工程预算定额》（2018版），有关补充定额、定额解释及工程所在地现行的有关工程造价方面规定及发包人提供的预算编制说明中规定的工程量计算规则计算，由承包人计量、发包人及有关部门审核。</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326F9994">
      <w:pPr>
        <w:spacing w:line="400" w:lineRule="exact"/>
        <w:ind w:firstLine="412" w:firstLineChars="200"/>
        <w:rPr>
          <w:rFonts w:hint="default" w:hAnsi="宋体" w:eastAsia="宋体" w:cs="宋体"/>
          <w:color w:val="000000" w:themeColor="text1"/>
          <w:kern w:val="0"/>
          <w:sz w:val="21"/>
          <w:szCs w:val="21"/>
          <w:highlight w:val="none"/>
          <w:u w:val="single"/>
          <w:lang w:val="en-US"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d.预拌砂浆运距按15km一次性包定，结算时不作调整。</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）《浙江省建设工程计价规则》（2018版），浙建建发[2019]92号通知</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浙建建发[20</w:t>
      </w:r>
      <w:r>
        <w:rPr>
          <w:rFonts w:hint="eastAsia" w:ascii="宋体" w:hAnsi="宋体" w:eastAsia="宋体" w:cs="宋体"/>
          <w:sz w:val="21"/>
          <w:szCs w:val="21"/>
          <w:highlight w:val="none"/>
          <w:u w:val="single"/>
          <w:lang w:val="zh-CN" w:eastAsia="zh-CN"/>
        </w:rPr>
        <w:t>25</w:t>
      </w:r>
      <w:r>
        <w:rPr>
          <w:rFonts w:hint="eastAsia" w:ascii="宋体" w:hAnsi="宋体" w:eastAsia="宋体" w:cs="宋体"/>
          <w:sz w:val="21"/>
          <w:szCs w:val="21"/>
          <w:highlight w:val="none"/>
          <w:u w:val="single"/>
          <w:lang w:val="zh-CN"/>
        </w:rPr>
        <w:t>]</w:t>
      </w:r>
      <w:r>
        <w:rPr>
          <w:rFonts w:hint="eastAsia" w:ascii="宋体" w:hAnsi="宋体" w:eastAsia="宋体" w:cs="宋体"/>
          <w:sz w:val="21"/>
          <w:szCs w:val="21"/>
          <w:highlight w:val="none"/>
          <w:u w:val="single"/>
          <w:lang w:val="zh-CN" w:eastAsia="zh-CN"/>
        </w:rPr>
        <w:t>320</w:t>
      </w:r>
      <w:r>
        <w:rPr>
          <w:rFonts w:hint="eastAsia" w:ascii="宋体" w:hAnsi="宋体" w:eastAsia="宋体" w:cs="宋体"/>
          <w:sz w:val="21"/>
          <w:szCs w:val="21"/>
          <w:highlight w:val="none"/>
          <w:u w:val="single"/>
          <w:lang w:val="zh-CN"/>
        </w:rPr>
        <w:t>号通知</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《浙江省房屋建筑与装饰工程预算定额》（2018版）</w:t>
      </w:r>
      <w:r>
        <w:rPr>
          <w:rFonts w:hint="eastAsia" w:ascii="宋体" w:hAnsi="宋体" w:eastAsia="宋体" w:cs="宋体"/>
          <w:sz w:val="21"/>
          <w:szCs w:val="21"/>
          <w:highlight w:val="none"/>
          <w:u w:val="single"/>
          <w:lang w:val="zh-CN" w:eastAsia="zh-CN"/>
        </w:rPr>
        <w:t>、</w:t>
      </w:r>
      <w:r>
        <w:rPr>
          <w:rFonts w:hint="eastAsia" w:ascii="宋体" w:hAnsi="宋体" w:eastAsia="宋体" w:cs="宋体"/>
          <w:sz w:val="21"/>
          <w:szCs w:val="21"/>
          <w:highlight w:val="none"/>
          <w:u w:val="single"/>
          <w:lang w:val="zh-CN"/>
        </w:rPr>
        <w:t>《浙江省通用安装工程预算定额》（2018版）</w:t>
      </w:r>
      <w:r>
        <w:rPr>
          <w:rFonts w:hint="eastAsia" w:ascii="宋体" w:hAnsi="宋体" w:eastAsia="宋体" w:cs="宋体"/>
          <w:sz w:val="21"/>
          <w:szCs w:val="21"/>
          <w:highlight w:val="none"/>
          <w:u w:val="single"/>
          <w:lang w:val="zh-CN" w:eastAsia="zh-CN"/>
        </w:rPr>
        <w:t>及</w:t>
      </w:r>
      <w:r>
        <w:rPr>
          <w:rFonts w:hint="eastAsia" w:ascii="宋体" w:hAnsi="宋体" w:eastAsia="宋体" w:cs="宋体"/>
          <w:sz w:val="21"/>
          <w:szCs w:val="21"/>
          <w:highlight w:val="none"/>
          <w:u w:val="single"/>
          <w:lang w:val="zh-CN"/>
        </w:rPr>
        <w:t>工程所在地现行的有关工程造价方面规定，采用定额清单(浙江2018版) 计算工程造价</w:t>
      </w:r>
      <w:r>
        <w:rPr>
          <w:rFonts w:hint="eastAsia" w:ascii="宋体" w:hAnsi="宋体" w:eastAsia="宋体" w:cs="宋体"/>
          <w:sz w:val="21"/>
          <w:szCs w:val="21"/>
          <w:highlight w:val="none"/>
          <w:u w:val="single"/>
        </w:rPr>
        <w:t>，由承包人计量、发包人及有关部门审核。</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rPr>
        <w:t>签约合同价的10%，包含专用条款6.1.6条所列的安全文明施工费。</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rPr>
        <w:t>按投标时承诺的人员、机械设备进场开工后7天内。</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rPr>
        <w:t>不扣回。作为工程款，不抵扣每期应付进度款</w:t>
      </w:r>
      <w:r>
        <w:rPr>
          <w:rFonts w:hint="eastAsia" w:ascii="宋体" w:hAnsi="宋体" w:eastAsia="宋体" w:cs="宋体"/>
          <w:sz w:val="21"/>
          <w:szCs w:val="21"/>
          <w:highlight w:val="none"/>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7180D9B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1F783E0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合同范围内的施工内容施工完成，参建各方对工程验收并签署工程质量合格文件后，支付至进度款审核汇总的合同价格的85%。</w:t>
      </w:r>
    </w:p>
    <w:p w14:paraId="189DA0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0B185A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pStyle w:val="29"/>
        <w:rPr>
          <w:color w:val="auto"/>
        </w:rPr>
      </w:pPr>
      <w:r>
        <w:rPr>
          <w:rFonts w:ascii="宋体" w:hAnsi="宋体" w:cs="宋体"/>
          <w:color w:val="auto"/>
          <w:sz w:val="21"/>
          <w:szCs w:val="21"/>
        </w:rPr>
        <w:t xml:space="preserve">    </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临海市白水洋镇中心校</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白水洋镇中心校教学楼、食堂及双港小学电源双回路改造工程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白水洋镇中心校教学楼、食堂及双港小学电源双回路改造工程</w:t>
      </w:r>
    </w:p>
    <w:p w14:paraId="33769CDF">
      <w:pPr>
        <w:pStyle w:val="8"/>
        <w:spacing w:line="400" w:lineRule="exact"/>
        <w:ind w:firstLine="420" w:firstLineChars="200"/>
        <w:jc w:val="left"/>
        <w:rPr>
          <w:rFonts w:hint="default" w:cs="宋体"/>
          <w:szCs w:val="21"/>
          <w:lang w:val="en-US"/>
        </w:rPr>
      </w:pPr>
      <w:r>
        <w:rPr>
          <w:rFonts w:hint="eastAsia" w:cs="宋体"/>
          <w:szCs w:val="21"/>
        </w:rPr>
        <w:t>工程项目地址：</w:t>
      </w:r>
      <w:r>
        <w:rPr>
          <w:rFonts w:hint="eastAsia" w:cs="宋体"/>
          <w:szCs w:val="21"/>
          <w:u w:val="single"/>
          <w:lang w:eastAsia="zh-CN"/>
        </w:rPr>
        <w:t>临海市白水洋镇中心校</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临海市白水洋镇中心校</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252470F4">
      <w:pPr>
        <w:pStyle w:val="20"/>
        <w:outlineLvl w:val="9"/>
      </w:pPr>
    </w:p>
    <w:p w14:paraId="330C7CBB">
      <w:pPr>
        <w:outlineLvl w:val="9"/>
      </w:pPr>
    </w:p>
    <w:p w14:paraId="7D3A43A0">
      <w:pPr>
        <w:pStyle w:val="20"/>
        <w:outlineLvl w:val="9"/>
      </w:pPr>
    </w:p>
    <w:p w14:paraId="37B40F5C">
      <w:pPr>
        <w:outlineLvl w:val="9"/>
      </w:pPr>
    </w:p>
    <w:p w14:paraId="128E3EE0">
      <w:pPr>
        <w:pStyle w:val="20"/>
        <w:outlineLvl w:val="9"/>
      </w:pPr>
    </w:p>
    <w:p w14:paraId="5AFEE7DC">
      <w:pPr>
        <w:outlineLvl w:val="9"/>
      </w:pPr>
    </w:p>
    <w:bookmarkEnd w:id="123"/>
    <w:bookmarkEnd w:id="124"/>
    <w:bookmarkEnd w:id="125"/>
    <w:p w14:paraId="6C63FF43">
      <w:pPr>
        <w:spacing w:beforeLines="50" w:afterLines="50"/>
        <w:outlineLvl w:val="9"/>
        <w:rPr>
          <w:color w:val="auto"/>
        </w:rPr>
      </w:pPr>
      <w:bookmarkStart w:id="134" w:name="_Toc21472"/>
      <w:bookmarkStart w:id="135" w:name="_Toc386121569"/>
      <w:bookmarkStart w:id="136" w:name="_Toc386121758"/>
      <w:bookmarkStart w:id="137" w:name="_Toc9900"/>
      <w:bookmarkStart w:id="138" w:name="_Toc155342575"/>
      <w:bookmarkStart w:id="139" w:name="_Toc106012814"/>
    </w:p>
    <w:p w14:paraId="368C1B51">
      <w:pPr>
        <w:outlineLvl w:val="9"/>
      </w:pPr>
    </w:p>
    <w:p w14:paraId="563EB82C">
      <w:pPr>
        <w:spacing w:beforeLines="50" w:afterLines="50"/>
        <w:outlineLvl w:val="9"/>
        <w:rPr>
          <w:rFonts w:hint="eastAsia"/>
          <w:color w:val="auto"/>
        </w:rPr>
      </w:pPr>
    </w:p>
    <w:p w14:paraId="0BD894E8">
      <w:pPr>
        <w:spacing w:beforeLines="50" w:afterLines="50"/>
        <w:outlineLvl w:val="9"/>
        <w:rPr>
          <w:rFonts w:hint="eastAsia"/>
          <w:color w:val="auto"/>
        </w:rPr>
      </w:pPr>
    </w:p>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pPr>
        <w:outlineLvl w:val="9"/>
      </w:pPr>
      <w:bookmarkStart w:id="140" w:name="_Toc169487825"/>
    </w:p>
    <w:p w14:paraId="4FE89203">
      <w:pPr>
        <w:outlineLvl w:val="9"/>
      </w:pPr>
    </w:p>
    <w:p w14:paraId="4D31134A">
      <w:pPr>
        <w:outlineLvl w:val="9"/>
      </w:pPr>
    </w:p>
    <w:p w14:paraId="050F40CF">
      <w:pPr>
        <w:outlineLvl w:val="9"/>
      </w:pPr>
    </w:p>
    <w:p w14:paraId="53509D8D">
      <w:pPr>
        <w:outlineLvl w:val="9"/>
      </w:pPr>
    </w:p>
    <w:p w14:paraId="07AB6DA4">
      <w:pPr>
        <w:outlineLvl w:val="9"/>
      </w:pPr>
    </w:p>
    <w:p w14:paraId="58D73CCE">
      <w:pPr>
        <w:outlineLvl w:val="9"/>
      </w:pPr>
    </w:p>
    <w:p w14:paraId="6D06A24C">
      <w:pPr>
        <w:outlineLvl w:val="9"/>
      </w:pPr>
    </w:p>
    <w:p w14:paraId="12ED5EDB">
      <w:pPr>
        <w:outlineLvl w:val="9"/>
      </w:pPr>
    </w:p>
    <w:p w14:paraId="1F9FBB54">
      <w:pPr>
        <w:outlineLvl w:val="9"/>
      </w:pPr>
    </w:p>
    <w:p w14:paraId="2F42932D">
      <w:pPr>
        <w:outlineLvl w:val="9"/>
      </w:pPr>
    </w:p>
    <w:p w14:paraId="798105FD">
      <w:pPr>
        <w:outlineLvl w:val="9"/>
      </w:pPr>
    </w:p>
    <w:p w14:paraId="273A2E64">
      <w:pPr>
        <w:pStyle w:val="20"/>
        <w:outlineLvl w:val="9"/>
      </w:pPr>
    </w:p>
    <w:p w14:paraId="4EB8D0A9">
      <w:pPr>
        <w:outlineLvl w:val="9"/>
      </w:pPr>
    </w:p>
    <w:p w14:paraId="123DD7F6">
      <w:pPr>
        <w:pStyle w:val="20"/>
        <w:outlineLvl w:val="9"/>
      </w:pPr>
    </w:p>
    <w:p w14:paraId="00DD673A">
      <w:pPr>
        <w:outlineLvl w:val="9"/>
      </w:pPr>
    </w:p>
    <w:p w14:paraId="4226AC96">
      <w:pPr>
        <w:pStyle w:val="20"/>
        <w:outlineLvl w:val="9"/>
      </w:pPr>
    </w:p>
    <w:p w14:paraId="145DDC13">
      <w:pPr>
        <w:outlineLvl w:val="9"/>
      </w:pPr>
    </w:p>
    <w:p w14:paraId="2BDA32BD">
      <w:pPr>
        <w:pStyle w:val="20"/>
        <w:outlineLvl w:val="9"/>
      </w:pPr>
    </w:p>
    <w:p w14:paraId="06145257">
      <w:pPr>
        <w:outlineLvl w:val="9"/>
      </w:pPr>
    </w:p>
    <w:p w14:paraId="2E949E17">
      <w:pPr>
        <w:outlineLvl w:val="9"/>
      </w:pPr>
    </w:p>
    <w:p w14:paraId="771FAEAF">
      <w:pPr>
        <w:outlineLvl w:val="9"/>
      </w:pPr>
    </w:p>
    <w:p w14:paraId="54775C3D">
      <w:pPr>
        <w:outlineLvl w:val="9"/>
      </w:pPr>
    </w:p>
    <w:p w14:paraId="4160B297">
      <w:pPr>
        <w:pStyle w:val="20"/>
        <w:outlineLvl w:val="9"/>
      </w:pPr>
    </w:p>
    <w:p w14:paraId="4DCD168F">
      <w:pPr>
        <w:outlineLvl w:val="9"/>
      </w:pPr>
    </w:p>
    <w:p w14:paraId="6D53155D">
      <w:pPr>
        <w:pStyle w:val="20"/>
        <w:outlineLvl w:val="9"/>
      </w:pPr>
    </w:p>
    <w:p w14:paraId="74DE1384">
      <w:pPr>
        <w:outlineLvl w:val="9"/>
      </w:pPr>
    </w:p>
    <w:p w14:paraId="0A53CD9E">
      <w:pPr>
        <w:pStyle w:val="20"/>
        <w:outlineLvl w:val="9"/>
      </w:pPr>
    </w:p>
    <w:p w14:paraId="6498149E">
      <w:pPr>
        <w:outlineLvl w:val="9"/>
      </w:pPr>
    </w:p>
    <w:p w14:paraId="5ED135E7">
      <w:pPr>
        <w:pStyle w:val="20"/>
        <w:outlineLvl w:val="9"/>
      </w:pPr>
    </w:p>
    <w:p w14:paraId="61EE04E7"/>
    <w:p w14:paraId="47C5B7C7">
      <w:pPr>
        <w:pStyle w:val="3"/>
        <w:numPr>
          <w:ilvl w:val="0"/>
          <w:numId w:val="0"/>
        </w:numPr>
        <w:spacing w:before="0" w:afterLines="0" w:line="360" w:lineRule="exact"/>
        <w:jc w:val="both"/>
        <w:rPr>
          <w:b w:val="0"/>
          <w:sz w:val="28"/>
          <w:szCs w:val="28"/>
        </w:rPr>
      </w:pPr>
      <w:bookmarkStart w:id="141" w:name="_Toc386121759"/>
      <w:bookmarkStart w:id="142" w:name="_Toc386122456"/>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白水洋镇中心校教学楼、食堂及双港小学电源双回路改造工程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临海市白水洋镇中心校</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白水洋镇中心校教学楼、食堂及双港小学电源双回路改造工程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k465759066"/>
      <w:bookmarkEnd w:id="145"/>
      <w:bookmarkStart w:id="146" w:name="_Hlt465761988"/>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55342580"/>
      <w:bookmarkStart w:id="148" w:name="_Toc106553077"/>
      <w:bookmarkStart w:id="149" w:name="_Toc144975208"/>
      <w:bookmarkStart w:id="150" w:name="_Toc106012815"/>
      <w:bookmarkStart w:id="151" w:name="_Toc169487830"/>
    </w:p>
    <w:p w14:paraId="3585B9C8">
      <w:pPr>
        <w:pStyle w:val="3"/>
        <w:numPr>
          <w:ilvl w:val="0"/>
          <w:numId w:val="0"/>
        </w:numPr>
        <w:spacing w:afterLines="0" w:line="360" w:lineRule="exact"/>
        <w:jc w:val="both"/>
        <w:rPr>
          <w:b w:val="0"/>
          <w:sz w:val="28"/>
          <w:szCs w:val="28"/>
        </w:rPr>
      </w:pPr>
      <w:bookmarkStart w:id="152" w:name="_Toc24432"/>
      <w:bookmarkStart w:id="153" w:name="_Toc386121760"/>
      <w:bookmarkStart w:id="154" w:name="_Toc386122457"/>
      <w:bookmarkStart w:id="155" w:name="_Toc23377"/>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白水洋镇中心校教学楼、食堂及双港小学电源双回路改造工程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55342584"/>
      <w:bookmarkStart w:id="157" w:name="_Toc106012816"/>
      <w:bookmarkStart w:id="158" w:name="_Toc106553078"/>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2458"/>
      <w:bookmarkStart w:id="160" w:name="_Toc386121761"/>
      <w:bookmarkStart w:id="161" w:name="_Toc30036"/>
      <w:bookmarkStart w:id="162" w:name="_Toc14753"/>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白水洋镇中心校教学楼、食堂及双港小学电源双回路改造工程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06553079"/>
      <w:bookmarkStart w:id="164" w:name="_Toc155342585"/>
      <w:bookmarkStart w:id="165" w:name="_Toc106012817"/>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numPr>
          <w:ilvl w:val="0"/>
          <w:numId w:val="0"/>
        </w:numPr>
        <w:tabs>
          <w:tab w:val="left" w:pos="2159"/>
        </w:tabs>
        <w:spacing w:before="0" w:afterLines="0" w:line="240" w:lineRule="auto"/>
        <w:jc w:val="both"/>
        <w:outlineLvl w:val="9"/>
        <w:rPr>
          <w:b w:val="0"/>
          <w:sz w:val="28"/>
          <w:szCs w:val="28"/>
        </w:rPr>
      </w:pPr>
      <w:bookmarkStart w:id="166" w:name="_Toc386121762"/>
      <w:bookmarkStart w:id="167" w:name="_Toc386122459"/>
      <w:bookmarkStart w:id="168" w:name="_Toc581"/>
      <w:bookmarkStart w:id="169" w:name="_Toc20785"/>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白水洋镇中心校教学楼、食堂及双港小学电源双回路改造工程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4216"/>
      <w:bookmarkStart w:id="174" w:name="_Toc26311"/>
      <w:bookmarkStart w:id="175" w:name="_Toc24065"/>
      <w:bookmarkStart w:id="176" w:name="_Toc386209083"/>
      <w:bookmarkStart w:id="177" w:name="_Toc386207774"/>
      <w:bookmarkStart w:id="178" w:name="_Toc386208332"/>
      <w:bookmarkStart w:id="179" w:name="_Toc386207588"/>
      <w:bookmarkStart w:id="180" w:name="_Toc386207867"/>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白水洋镇中心校教学楼、食堂及双港小学电源双回路改造工程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numPr>
          <w:ilvl w:val="0"/>
          <w:numId w:val="0"/>
        </w:numPr>
        <w:tabs>
          <w:tab w:val="left" w:pos="2159"/>
        </w:tabs>
        <w:spacing w:before="0" w:afterLines="0" w:line="240" w:lineRule="auto"/>
        <w:jc w:val="both"/>
        <w:outlineLvl w:val="9"/>
        <w:rPr>
          <w:b w:val="0"/>
          <w:sz w:val="28"/>
          <w:szCs w:val="28"/>
        </w:rPr>
      </w:pPr>
      <w:bookmarkStart w:id="181" w:name="_Toc386122460"/>
      <w:bookmarkStart w:id="182" w:name="_Toc386121763"/>
      <w:bookmarkStart w:id="183" w:name="_Toc13566"/>
      <w:bookmarkStart w:id="184"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白水洋镇中心校教学楼、食堂及双港小学电源双回路改造工程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2461"/>
      <w:bookmarkStart w:id="186" w:name="_Toc155342588"/>
      <w:bookmarkStart w:id="187" w:name="_Toc169487834"/>
      <w:bookmarkStart w:id="188" w:name="_Toc386121764"/>
      <w:bookmarkStart w:id="189" w:name="_Toc28874"/>
      <w:bookmarkStart w:id="190" w:name="_Toc20350"/>
      <w:bookmarkStart w:id="191" w:name="_Toc118710617"/>
      <w:bookmarkStart w:id="192" w:name="_Toc106553081"/>
      <w:bookmarkStart w:id="193" w:name="_Toc76292000"/>
      <w:bookmarkStart w:id="194" w:name="_Toc155342587"/>
      <w:bookmarkStart w:id="195" w:name="_Toc136335625"/>
      <w:bookmarkStart w:id="196" w:name="_Toc118275606"/>
      <w:bookmarkStart w:id="197" w:name="_Toc147380660"/>
    </w:p>
    <w:p w14:paraId="6EFF9DC4">
      <w:pPr>
        <w:pStyle w:val="3"/>
        <w:numPr>
          <w:ilvl w:val="0"/>
          <w:numId w:val="0"/>
        </w:numPr>
        <w:spacing w:before="0" w:afterLines="0" w:line="240" w:lineRule="auto"/>
        <w:jc w:val="both"/>
        <w:rPr>
          <w:b w:val="0"/>
          <w:sz w:val="28"/>
          <w:szCs w:val="28"/>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白水洋镇中心校教学楼、食堂及双港小学电源双回路改造工程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29"/>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43318918"/>
      <w:bookmarkStart w:id="199" w:name="_Toc146440177"/>
      <w:bookmarkStart w:id="200" w:name="_Toc155322974"/>
      <w:bookmarkStart w:id="201" w:name="_Toc143319553"/>
      <w:bookmarkStart w:id="202" w:name="_Toc141242988"/>
      <w:bookmarkStart w:id="203" w:name="_Toc148157964"/>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358C92FD">
      <w:pPr>
        <w:numPr>
          <w:ilvl w:val="0"/>
          <w:numId w:val="0"/>
        </w:numPr>
        <w:tabs>
          <w:tab w:val="left" w:pos="2159"/>
        </w:tabs>
        <w:spacing w:before="0" w:afterLines="0" w:line="240" w:lineRule="auto"/>
        <w:jc w:val="both"/>
        <w:outlineLvl w:val="9"/>
        <w:rPr>
          <w:b w:val="0"/>
          <w:sz w:val="28"/>
          <w:szCs w:val="28"/>
        </w:rPr>
      </w:pPr>
      <w:bookmarkStart w:id="206" w:name="_Toc18290"/>
      <w:bookmarkStart w:id="207" w:name="_Toc386122462"/>
      <w:bookmarkStart w:id="208" w:name="_Toc11522"/>
      <w:bookmarkStart w:id="209" w:name="_Toc386121765"/>
    </w:p>
    <w:p w14:paraId="3B1474C9">
      <w:pPr>
        <w:numPr>
          <w:ilvl w:val="0"/>
          <w:numId w:val="0"/>
        </w:numPr>
        <w:tabs>
          <w:tab w:val="left" w:pos="2159"/>
        </w:tabs>
        <w:spacing w:before="0" w:afterLines="0" w:line="240" w:lineRule="auto"/>
        <w:jc w:val="both"/>
        <w:outlineLvl w:val="9"/>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42587767"/>
      <w:bookmarkStart w:id="211" w:name="_Toc234382962"/>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outlineLvl w:val="9"/>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9"/>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2"/>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29"/>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B0D9389-1016-4647-9A46-68221CE95A9E}"/>
  </w:font>
  <w:font w:name="黑体">
    <w:panose1 w:val="02010609060101010101"/>
    <w:charset w:val="86"/>
    <w:family w:val="auto"/>
    <w:pitch w:val="default"/>
    <w:sig w:usb0="800002BF" w:usb1="38CF7CFA" w:usb2="00000016" w:usb3="00000000" w:csb0="00040001" w:csb1="00000000"/>
    <w:embedRegular r:id="rId2" w:fontKey="{DC852637-0EBF-48C6-9FCB-9BEF5AB856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4186E6B-D505-4D20-888C-6363973B8115}"/>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embedRegular r:id="rId4" w:fontKey="{F708F307-3C0F-45D8-AE2B-27AA169AB96B}"/>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embedRegular r:id="rId5" w:fontKey="{E6C2DA40-E66E-4D2A-92B7-9509D9615DBC}"/>
  </w:font>
  <w:font w:name="方正小标宋简体">
    <w:panose1 w:val="03000509000000000000"/>
    <w:charset w:val="86"/>
    <w:family w:val="auto"/>
    <w:pitch w:val="default"/>
    <w:sig w:usb0="00000001" w:usb1="080E0000" w:usb2="00000000" w:usb3="00000000" w:csb0="00040000" w:csb1="00000000"/>
    <w:embedRegular r:id="rId6" w:fontKey="{6522E36E-220F-4823-AFBA-2D2ADB413E53}"/>
  </w:font>
  <w:font w:name="新宋体">
    <w:panose1 w:val="02010609030101010101"/>
    <w:charset w:val="86"/>
    <w:family w:val="modern"/>
    <w:pitch w:val="default"/>
    <w:sig w:usb0="00000203" w:usb1="288F0000" w:usb2="00000006" w:usb3="00000000" w:csb0="00040001" w:csb1="00000000"/>
    <w:embedRegular r:id="rId7" w:fontKey="{45FBC6E2-A511-4129-9843-49A8B7A7A65A}"/>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5"/>
        <w:sz w:val="28"/>
      </w:rPr>
    </w:pPr>
    <w:r>
      <w:rPr>
        <w:rStyle w:val="25"/>
        <w:sz w:val="28"/>
      </w:rPr>
      <w:fldChar w:fldCharType="begin"/>
    </w:r>
    <w:r>
      <w:rPr>
        <w:rStyle w:val="25"/>
        <w:sz w:val="28"/>
      </w:rPr>
      <w:instrText xml:space="preserve">PAGE  </w:instrText>
    </w:r>
    <w:r>
      <w:rPr>
        <w:rStyle w:val="25"/>
        <w:sz w:val="28"/>
      </w:rPr>
      <w:fldChar w:fldCharType="separate"/>
    </w:r>
    <w:r>
      <w:rPr>
        <w:rStyle w:val="25"/>
        <w:sz w:val="28"/>
      </w:rPr>
      <w:t>2</w:t>
    </w:r>
    <w:r>
      <w:rPr>
        <w:rStyle w:val="25"/>
        <w:sz w:val="28"/>
      </w:rPr>
      <w:fldChar w:fldCharType="end"/>
    </w:r>
  </w:p>
  <w:p w14:paraId="493F7096">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rPr>
      <w:t>白水洋镇中心校教学楼、食堂及双港小学电源双回路改造工程招标文件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临海市中心幼儿园实验园区二楼教室及托班教室改造工程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1EF23D3"/>
    <w:rsid w:val="02353C98"/>
    <w:rsid w:val="02377887"/>
    <w:rsid w:val="03127926"/>
    <w:rsid w:val="03923B86"/>
    <w:rsid w:val="039E1C60"/>
    <w:rsid w:val="03B51FD0"/>
    <w:rsid w:val="05646570"/>
    <w:rsid w:val="05966E33"/>
    <w:rsid w:val="05A40BCB"/>
    <w:rsid w:val="05CA097C"/>
    <w:rsid w:val="05FC5C36"/>
    <w:rsid w:val="05FF5E80"/>
    <w:rsid w:val="072E4E50"/>
    <w:rsid w:val="07426CE9"/>
    <w:rsid w:val="082A74C0"/>
    <w:rsid w:val="088A7F5F"/>
    <w:rsid w:val="08AB0AD8"/>
    <w:rsid w:val="08F9325E"/>
    <w:rsid w:val="097D0D2A"/>
    <w:rsid w:val="098B3F8E"/>
    <w:rsid w:val="09AF75D6"/>
    <w:rsid w:val="09C51CFC"/>
    <w:rsid w:val="09DB1B2A"/>
    <w:rsid w:val="09F22179"/>
    <w:rsid w:val="0B950884"/>
    <w:rsid w:val="0C1C748A"/>
    <w:rsid w:val="0C93580B"/>
    <w:rsid w:val="0CDA66F1"/>
    <w:rsid w:val="0D26335C"/>
    <w:rsid w:val="0D375B4A"/>
    <w:rsid w:val="0D55735F"/>
    <w:rsid w:val="0D7A5E25"/>
    <w:rsid w:val="0E036230"/>
    <w:rsid w:val="0E8826CF"/>
    <w:rsid w:val="0ED25607"/>
    <w:rsid w:val="0FBF1572"/>
    <w:rsid w:val="0FED5C47"/>
    <w:rsid w:val="100B3B2F"/>
    <w:rsid w:val="108B3885"/>
    <w:rsid w:val="10C31162"/>
    <w:rsid w:val="10E63B48"/>
    <w:rsid w:val="10E75D7D"/>
    <w:rsid w:val="115C0E41"/>
    <w:rsid w:val="1169368F"/>
    <w:rsid w:val="11B9797F"/>
    <w:rsid w:val="120025CD"/>
    <w:rsid w:val="120D3332"/>
    <w:rsid w:val="12E91DF8"/>
    <w:rsid w:val="1319260B"/>
    <w:rsid w:val="137F578F"/>
    <w:rsid w:val="141F36D1"/>
    <w:rsid w:val="150C0477"/>
    <w:rsid w:val="154A25A1"/>
    <w:rsid w:val="15C47D64"/>
    <w:rsid w:val="15FA0112"/>
    <w:rsid w:val="1687240B"/>
    <w:rsid w:val="16905AFB"/>
    <w:rsid w:val="16C314C4"/>
    <w:rsid w:val="16FC472C"/>
    <w:rsid w:val="179F2284"/>
    <w:rsid w:val="18032032"/>
    <w:rsid w:val="18AB7C3A"/>
    <w:rsid w:val="18E12580"/>
    <w:rsid w:val="18FC3FD7"/>
    <w:rsid w:val="192D0BBE"/>
    <w:rsid w:val="193B5FBC"/>
    <w:rsid w:val="19BA2262"/>
    <w:rsid w:val="19FE75B4"/>
    <w:rsid w:val="1A4223DF"/>
    <w:rsid w:val="1AFF68A9"/>
    <w:rsid w:val="1B167A44"/>
    <w:rsid w:val="1B4641B9"/>
    <w:rsid w:val="1B6F0B5F"/>
    <w:rsid w:val="1BAD0D5C"/>
    <w:rsid w:val="1BC177F6"/>
    <w:rsid w:val="1BF97D30"/>
    <w:rsid w:val="1C246DDD"/>
    <w:rsid w:val="1C98187E"/>
    <w:rsid w:val="1D0C6137"/>
    <w:rsid w:val="1D8D0320"/>
    <w:rsid w:val="1DBF1832"/>
    <w:rsid w:val="1E105FAA"/>
    <w:rsid w:val="1E363CE9"/>
    <w:rsid w:val="1EBB4FB1"/>
    <w:rsid w:val="1F160D12"/>
    <w:rsid w:val="1F5B2578"/>
    <w:rsid w:val="1F8606E6"/>
    <w:rsid w:val="1F8921DC"/>
    <w:rsid w:val="1FC96B63"/>
    <w:rsid w:val="1FF80AF3"/>
    <w:rsid w:val="201B4916"/>
    <w:rsid w:val="20670BCA"/>
    <w:rsid w:val="209D0D1F"/>
    <w:rsid w:val="210950AC"/>
    <w:rsid w:val="213A5CD1"/>
    <w:rsid w:val="21914646"/>
    <w:rsid w:val="21991C54"/>
    <w:rsid w:val="21B11C13"/>
    <w:rsid w:val="23636EA1"/>
    <w:rsid w:val="23853A79"/>
    <w:rsid w:val="239361D0"/>
    <w:rsid w:val="23A0402B"/>
    <w:rsid w:val="249D695F"/>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7353A9"/>
    <w:rsid w:val="2FC00586"/>
    <w:rsid w:val="2FDA531F"/>
    <w:rsid w:val="2FE32B88"/>
    <w:rsid w:val="300140D2"/>
    <w:rsid w:val="3013439E"/>
    <w:rsid w:val="3048098A"/>
    <w:rsid w:val="31737A6D"/>
    <w:rsid w:val="31861B3A"/>
    <w:rsid w:val="31C070B4"/>
    <w:rsid w:val="3213095A"/>
    <w:rsid w:val="32BE3742"/>
    <w:rsid w:val="32D925D4"/>
    <w:rsid w:val="32DD3B30"/>
    <w:rsid w:val="33471607"/>
    <w:rsid w:val="33D51112"/>
    <w:rsid w:val="33FA6465"/>
    <w:rsid w:val="34CC09A8"/>
    <w:rsid w:val="353000FD"/>
    <w:rsid w:val="358C5B68"/>
    <w:rsid w:val="35FA5EA8"/>
    <w:rsid w:val="36254176"/>
    <w:rsid w:val="36AD6823"/>
    <w:rsid w:val="36E20676"/>
    <w:rsid w:val="371158BC"/>
    <w:rsid w:val="37BB1D08"/>
    <w:rsid w:val="37BE1059"/>
    <w:rsid w:val="38202807"/>
    <w:rsid w:val="3820356C"/>
    <w:rsid w:val="3886386B"/>
    <w:rsid w:val="38C42CE8"/>
    <w:rsid w:val="38D47D49"/>
    <w:rsid w:val="39024127"/>
    <w:rsid w:val="3907025B"/>
    <w:rsid w:val="395B2504"/>
    <w:rsid w:val="3A232618"/>
    <w:rsid w:val="3A2B2857"/>
    <w:rsid w:val="3A660B39"/>
    <w:rsid w:val="3ACA2AA9"/>
    <w:rsid w:val="3AEC08F1"/>
    <w:rsid w:val="3B567E53"/>
    <w:rsid w:val="3B81506E"/>
    <w:rsid w:val="3B8E3C86"/>
    <w:rsid w:val="3BAC51D5"/>
    <w:rsid w:val="3BAF4ECE"/>
    <w:rsid w:val="3BE610FE"/>
    <w:rsid w:val="3C1C3D9E"/>
    <w:rsid w:val="3E9417B6"/>
    <w:rsid w:val="3EA7436E"/>
    <w:rsid w:val="3F0459F8"/>
    <w:rsid w:val="3F165ACD"/>
    <w:rsid w:val="3F265D57"/>
    <w:rsid w:val="3F357653"/>
    <w:rsid w:val="3F89585D"/>
    <w:rsid w:val="3FBE03E9"/>
    <w:rsid w:val="40FE0657"/>
    <w:rsid w:val="41051F9C"/>
    <w:rsid w:val="415C326C"/>
    <w:rsid w:val="418F63A1"/>
    <w:rsid w:val="41E77BF5"/>
    <w:rsid w:val="42C235E8"/>
    <w:rsid w:val="4345654F"/>
    <w:rsid w:val="439247CC"/>
    <w:rsid w:val="43FA4F55"/>
    <w:rsid w:val="44A46D82"/>
    <w:rsid w:val="44C1472D"/>
    <w:rsid w:val="45437449"/>
    <w:rsid w:val="45585CB2"/>
    <w:rsid w:val="463C75A2"/>
    <w:rsid w:val="464B5726"/>
    <w:rsid w:val="470D0401"/>
    <w:rsid w:val="474612E7"/>
    <w:rsid w:val="478B0E64"/>
    <w:rsid w:val="47AC5F90"/>
    <w:rsid w:val="48C9729F"/>
    <w:rsid w:val="491D3EFC"/>
    <w:rsid w:val="493C6D00"/>
    <w:rsid w:val="49E0612F"/>
    <w:rsid w:val="4A6F08EE"/>
    <w:rsid w:val="4A9F75E0"/>
    <w:rsid w:val="4B651398"/>
    <w:rsid w:val="4BE40D01"/>
    <w:rsid w:val="4C1A4486"/>
    <w:rsid w:val="4C411A42"/>
    <w:rsid w:val="4C854292"/>
    <w:rsid w:val="4D43040D"/>
    <w:rsid w:val="4E734184"/>
    <w:rsid w:val="4ECE03CB"/>
    <w:rsid w:val="4EED611E"/>
    <w:rsid w:val="4F964D9C"/>
    <w:rsid w:val="5012695A"/>
    <w:rsid w:val="503B0721"/>
    <w:rsid w:val="50D67C98"/>
    <w:rsid w:val="51A67B22"/>
    <w:rsid w:val="51E07D46"/>
    <w:rsid w:val="51EC2AD6"/>
    <w:rsid w:val="52DF7FD7"/>
    <w:rsid w:val="541E33F9"/>
    <w:rsid w:val="541F49D3"/>
    <w:rsid w:val="54C635B3"/>
    <w:rsid w:val="54E564CE"/>
    <w:rsid w:val="54EF357C"/>
    <w:rsid w:val="5597283F"/>
    <w:rsid w:val="55BF2A09"/>
    <w:rsid w:val="55D0766F"/>
    <w:rsid w:val="561A1EEF"/>
    <w:rsid w:val="563E3F56"/>
    <w:rsid w:val="565C6BA3"/>
    <w:rsid w:val="568C5381"/>
    <w:rsid w:val="56907DB2"/>
    <w:rsid w:val="56BF79F3"/>
    <w:rsid w:val="57C355C8"/>
    <w:rsid w:val="58FE79E1"/>
    <w:rsid w:val="5ABF328C"/>
    <w:rsid w:val="5B9F0DEB"/>
    <w:rsid w:val="5BB16FB8"/>
    <w:rsid w:val="5BB63711"/>
    <w:rsid w:val="5BE663CF"/>
    <w:rsid w:val="5BEE5961"/>
    <w:rsid w:val="5C2971E1"/>
    <w:rsid w:val="5C671E77"/>
    <w:rsid w:val="5D1432DE"/>
    <w:rsid w:val="5D971A89"/>
    <w:rsid w:val="5D9E7542"/>
    <w:rsid w:val="5DA057D6"/>
    <w:rsid w:val="5DCC10C8"/>
    <w:rsid w:val="5E0A6506"/>
    <w:rsid w:val="5F6B70B6"/>
    <w:rsid w:val="600A4B56"/>
    <w:rsid w:val="601C4F4D"/>
    <w:rsid w:val="606D70BF"/>
    <w:rsid w:val="60B66D05"/>
    <w:rsid w:val="611361AA"/>
    <w:rsid w:val="6130435D"/>
    <w:rsid w:val="614257A1"/>
    <w:rsid w:val="616F6362"/>
    <w:rsid w:val="62173103"/>
    <w:rsid w:val="62B30F38"/>
    <w:rsid w:val="635C4F62"/>
    <w:rsid w:val="63F32E9F"/>
    <w:rsid w:val="645F6823"/>
    <w:rsid w:val="648C1DD2"/>
    <w:rsid w:val="64B417CF"/>
    <w:rsid w:val="64CF1B21"/>
    <w:rsid w:val="65ED7D25"/>
    <w:rsid w:val="66A03BE2"/>
    <w:rsid w:val="66B0141D"/>
    <w:rsid w:val="66BD2ECA"/>
    <w:rsid w:val="66F92416"/>
    <w:rsid w:val="66FE3079"/>
    <w:rsid w:val="68524B21"/>
    <w:rsid w:val="687D1679"/>
    <w:rsid w:val="689E69AF"/>
    <w:rsid w:val="68A31588"/>
    <w:rsid w:val="68C81038"/>
    <w:rsid w:val="6911480D"/>
    <w:rsid w:val="69995F28"/>
    <w:rsid w:val="699D75EA"/>
    <w:rsid w:val="6A1707C7"/>
    <w:rsid w:val="6A6B28F8"/>
    <w:rsid w:val="6A70135A"/>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720E38"/>
    <w:rsid w:val="72895FDA"/>
    <w:rsid w:val="733E6F30"/>
    <w:rsid w:val="736101AA"/>
    <w:rsid w:val="73B032CD"/>
    <w:rsid w:val="73B452D9"/>
    <w:rsid w:val="740819EA"/>
    <w:rsid w:val="74135A7F"/>
    <w:rsid w:val="745B379C"/>
    <w:rsid w:val="74D44721"/>
    <w:rsid w:val="74EF6293"/>
    <w:rsid w:val="74EF6A2D"/>
    <w:rsid w:val="75087C7C"/>
    <w:rsid w:val="762348A3"/>
    <w:rsid w:val="767429A8"/>
    <w:rsid w:val="76EC11F8"/>
    <w:rsid w:val="78523558"/>
    <w:rsid w:val="78E01A48"/>
    <w:rsid w:val="78FF6FF6"/>
    <w:rsid w:val="794B58BC"/>
    <w:rsid w:val="796E4E17"/>
    <w:rsid w:val="79A166DA"/>
    <w:rsid w:val="79A67472"/>
    <w:rsid w:val="79DB4509"/>
    <w:rsid w:val="79FF63AA"/>
    <w:rsid w:val="7A5C6203"/>
    <w:rsid w:val="7AD361E3"/>
    <w:rsid w:val="7B6067B5"/>
    <w:rsid w:val="7BE451FE"/>
    <w:rsid w:val="7C075710"/>
    <w:rsid w:val="7C83695A"/>
    <w:rsid w:val="7CEC5A5F"/>
    <w:rsid w:val="7D342FE7"/>
    <w:rsid w:val="7DB72EBC"/>
    <w:rsid w:val="7DF92F90"/>
    <w:rsid w:val="7E094473"/>
    <w:rsid w:val="7E324F08"/>
    <w:rsid w:val="7E4F2BA1"/>
    <w:rsid w:val="7E806AE7"/>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4"/>
    <w:autoRedefine/>
    <w:semiHidden/>
    <w:qFormat/>
    <w:uiPriority w:val="99"/>
    <w:pPr>
      <w:jc w:val="left"/>
    </w:pPr>
  </w:style>
  <w:style w:type="paragraph" w:styleId="8">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6"/>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38"/>
    <w:autoRedefine/>
    <w:qFormat/>
    <w:uiPriority w:val="99"/>
    <w:rPr>
      <w:rFonts w:ascii="宋体" w:hAnsi="Courier New"/>
    </w:rPr>
  </w:style>
  <w:style w:type="paragraph" w:styleId="12">
    <w:name w:val="Balloon Text"/>
    <w:basedOn w:val="1"/>
    <w:link w:val="39"/>
    <w:autoRedefine/>
    <w:qFormat/>
    <w:uiPriority w:val="99"/>
    <w:rPr>
      <w:sz w:val="18"/>
      <w:szCs w:val="18"/>
    </w:rPr>
  </w:style>
  <w:style w:type="paragraph" w:styleId="13">
    <w:name w:val="footer"/>
    <w:basedOn w:val="1"/>
    <w:link w:val="40"/>
    <w:autoRedefine/>
    <w:qFormat/>
    <w:uiPriority w:val="99"/>
    <w:pPr>
      <w:tabs>
        <w:tab w:val="center" w:pos="4153"/>
        <w:tab w:val="right" w:pos="8306"/>
      </w:tabs>
      <w:snapToGrid w:val="0"/>
      <w:jc w:val="left"/>
    </w:pPr>
    <w:rPr>
      <w:sz w:val="18"/>
    </w:rPr>
  </w:style>
  <w:style w:type="paragraph" w:styleId="14">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2"/>
    <w:autoRedefine/>
    <w:qFormat/>
    <w:uiPriority w:val="99"/>
    <w:pPr>
      <w:ind w:firstLine="600"/>
    </w:pPr>
    <w:rPr>
      <w:sz w:val="28"/>
    </w:rPr>
  </w:style>
  <w:style w:type="paragraph" w:styleId="18">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4"/>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37"/>
    <w:autoRedefine/>
    <w:qFormat/>
    <w:uiPriority w:val="99"/>
    <w:pPr>
      <w:spacing w:after="120" w:line="240" w:lineRule="auto"/>
      <w:ind w:firstLine="420" w:firstLineChars="100"/>
    </w:pPr>
    <w:rPr>
      <w:rFonts w:ascii="Times New Roman" w:hAnsi="Times New Roman"/>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2"/>
    <w:autoRedefine/>
    <w:qFormat/>
    <w:uiPriority w:val="9"/>
    <w:rPr>
      <w:rFonts w:ascii="Calibri" w:hAnsi="Calibri" w:eastAsia="仿宋_GB2312"/>
      <w:b/>
      <w:bCs/>
      <w:kern w:val="44"/>
      <w:sz w:val="44"/>
      <w:szCs w:val="44"/>
    </w:rPr>
  </w:style>
  <w:style w:type="character" w:customStyle="1" w:styleId="31">
    <w:name w:val="Heading 2 Char"/>
    <w:basedOn w:val="24"/>
    <w:link w:val="3"/>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4"/>
    <w:autoRedefine/>
    <w:semiHidden/>
    <w:qFormat/>
    <w:uiPriority w:val="9"/>
    <w:rPr>
      <w:rFonts w:ascii="Calibri" w:hAnsi="Calibri" w:eastAsia="仿宋_GB2312"/>
      <w:b/>
      <w:bCs/>
      <w:sz w:val="32"/>
      <w:szCs w:val="32"/>
    </w:rPr>
  </w:style>
  <w:style w:type="character" w:customStyle="1" w:styleId="33">
    <w:name w:val="Heading 4 Char"/>
    <w:basedOn w:val="24"/>
    <w:link w:val="6"/>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7"/>
    <w:autoRedefine/>
    <w:semiHidden/>
    <w:qFormat/>
    <w:uiPriority w:val="99"/>
    <w:rPr>
      <w:rFonts w:ascii="Calibri" w:hAnsi="Calibri" w:eastAsia="仿宋_GB2312"/>
      <w:sz w:val="32"/>
      <w:szCs w:val="20"/>
    </w:rPr>
  </w:style>
  <w:style w:type="character" w:customStyle="1" w:styleId="35">
    <w:name w:val="Body Text 3 Char"/>
    <w:basedOn w:val="24"/>
    <w:link w:val="8"/>
    <w:autoRedefine/>
    <w:semiHidden/>
    <w:qFormat/>
    <w:uiPriority w:val="99"/>
    <w:rPr>
      <w:rFonts w:ascii="Calibri" w:hAnsi="Calibri" w:eastAsia="仿宋_GB2312"/>
      <w:sz w:val="16"/>
      <w:szCs w:val="16"/>
    </w:rPr>
  </w:style>
  <w:style w:type="character" w:customStyle="1" w:styleId="36">
    <w:name w:val="Body Text Char"/>
    <w:basedOn w:val="24"/>
    <w:link w:val="9"/>
    <w:autoRedefine/>
    <w:semiHidden/>
    <w:qFormat/>
    <w:uiPriority w:val="99"/>
    <w:rPr>
      <w:rFonts w:ascii="Calibri" w:hAnsi="Calibri" w:eastAsia="仿宋_GB2312"/>
      <w:sz w:val="32"/>
      <w:szCs w:val="20"/>
    </w:rPr>
  </w:style>
  <w:style w:type="character" w:customStyle="1" w:styleId="37">
    <w:name w:val="Body Text First Indent Char"/>
    <w:basedOn w:val="36"/>
    <w:link w:val="21"/>
    <w:autoRedefine/>
    <w:semiHidden/>
    <w:qFormat/>
    <w:uiPriority w:val="99"/>
  </w:style>
  <w:style w:type="character" w:customStyle="1" w:styleId="38">
    <w:name w:val="Plain Text Char"/>
    <w:basedOn w:val="24"/>
    <w:link w:val="11"/>
    <w:autoRedefine/>
    <w:semiHidden/>
    <w:qFormat/>
    <w:uiPriority w:val="99"/>
    <w:rPr>
      <w:rFonts w:ascii="宋体" w:hAnsi="Courier New" w:cs="Courier New"/>
      <w:szCs w:val="21"/>
    </w:rPr>
  </w:style>
  <w:style w:type="character" w:customStyle="1" w:styleId="39">
    <w:name w:val="Balloon Text Char"/>
    <w:basedOn w:val="24"/>
    <w:link w:val="12"/>
    <w:autoRedefine/>
    <w:qFormat/>
    <w:locked/>
    <w:uiPriority w:val="99"/>
    <w:rPr>
      <w:rFonts w:ascii="Calibri" w:hAnsi="Calibri" w:eastAsia="仿宋_GB2312" w:cs="Times New Roman"/>
      <w:kern w:val="2"/>
      <w:sz w:val="18"/>
      <w:szCs w:val="18"/>
    </w:rPr>
  </w:style>
  <w:style w:type="character" w:customStyle="1" w:styleId="40">
    <w:name w:val="Footer Char"/>
    <w:basedOn w:val="24"/>
    <w:link w:val="13"/>
    <w:autoRedefine/>
    <w:semiHidden/>
    <w:qFormat/>
    <w:uiPriority w:val="99"/>
    <w:rPr>
      <w:rFonts w:ascii="Calibri" w:hAnsi="Calibri" w:eastAsia="仿宋_GB2312"/>
      <w:sz w:val="18"/>
      <w:szCs w:val="18"/>
    </w:rPr>
  </w:style>
  <w:style w:type="character" w:customStyle="1" w:styleId="41">
    <w:name w:val="Header Char"/>
    <w:basedOn w:val="24"/>
    <w:link w:val="14"/>
    <w:autoRedefine/>
    <w:semiHidden/>
    <w:qFormat/>
    <w:uiPriority w:val="99"/>
    <w:rPr>
      <w:rFonts w:ascii="Calibri" w:hAnsi="Calibri" w:eastAsia="仿宋_GB2312"/>
      <w:sz w:val="18"/>
      <w:szCs w:val="18"/>
    </w:rPr>
  </w:style>
  <w:style w:type="character" w:customStyle="1" w:styleId="42">
    <w:name w:val="Body Text Indent 3 Char"/>
    <w:basedOn w:val="24"/>
    <w:link w:val="17"/>
    <w:autoRedefine/>
    <w:semiHidden/>
    <w:qFormat/>
    <w:uiPriority w:val="99"/>
    <w:rPr>
      <w:rFonts w:ascii="Calibri" w:hAnsi="Calibri" w:eastAsia="仿宋_GB2312"/>
      <w:sz w:val="16"/>
      <w:szCs w:val="16"/>
    </w:rPr>
  </w:style>
  <w:style w:type="character" w:customStyle="1" w:styleId="43">
    <w:name w:val="HTML Preformatted Char"/>
    <w:basedOn w:val="24"/>
    <w:link w:val="18"/>
    <w:autoRedefine/>
    <w:semiHidden/>
    <w:qFormat/>
    <w:uiPriority w:val="99"/>
    <w:rPr>
      <w:rFonts w:ascii="Courier New" w:hAnsi="Courier New" w:eastAsia="仿宋_GB2312" w:cs="Courier New"/>
      <w:sz w:val="20"/>
      <w:szCs w:val="20"/>
    </w:rPr>
  </w:style>
  <w:style w:type="character" w:customStyle="1" w:styleId="44">
    <w:name w:val="Title Char"/>
    <w:basedOn w:val="24"/>
    <w:link w:val="20"/>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61</Pages>
  <Words>26044</Words>
  <Characters>27207</Characters>
  <Lines>0</Lines>
  <Paragraphs>0</Paragraphs>
  <TotalTime>0</TotalTime>
  <ScaleCrop>false</ScaleCrop>
  <LinksUpToDate>false</LinksUpToDate>
  <CharactersWithSpaces>29465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Wang</cp:lastModifiedBy>
  <cp:lastPrinted>2023-09-26T07:56:00Z</cp:lastPrinted>
  <dcterms:modified xsi:type="dcterms:W3CDTF">2026-07-03T08:13:33Z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97A8D0DBE46A4ABCA4A95335A173029F_13</vt:lpwstr>
  </property>
  <property fmtid="{D5CDD505-2E9C-101B-9397-08002B2CF9AE}" pid="4" name="KSOTemplateDocerSaveRecord">
    <vt:lpwstr>eyJoZGlkIjoiMGE5MzU1Nzg2ODM4Y2JhNWZjNGFhMzE2ZjEzZTZlMDQiLCJ1c2VySWQiOiI0OTg3MDQxOTYifQ==</vt:lpwstr>
  </property>
</Properties>
</file>