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1E3C28">
      <w:pPr>
        <w:pStyle w:val="22"/>
        <w:rPr>
          <w:color w:val="auto"/>
          <w:highlight w:val="none"/>
        </w:rPr>
      </w:pPr>
    </w:p>
    <w:p w14:paraId="5D7E3943">
      <w:pPr>
        <w:rPr>
          <w:color w:val="auto"/>
          <w:highlight w:val="none"/>
        </w:rPr>
      </w:pPr>
    </w:p>
    <w:p w14:paraId="1C8C55BD">
      <w:pPr>
        <w:rPr>
          <w:color w:val="auto"/>
          <w:highlight w:val="none"/>
        </w:rPr>
      </w:pPr>
    </w:p>
    <w:p w14:paraId="51C81848">
      <w:pPr>
        <w:rPr>
          <w:color w:val="auto"/>
          <w:highlight w:val="none"/>
        </w:rPr>
      </w:pPr>
    </w:p>
    <w:p w14:paraId="4FD429F6">
      <w:pPr>
        <w:jc w:val="center"/>
        <w:rPr>
          <w:rFonts w:ascii="宋体" w:hAnsi="宋体"/>
          <w:bCs/>
          <w:color w:val="auto"/>
          <w:sz w:val="48"/>
          <w:highlight w:val="none"/>
        </w:rPr>
      </w:pPr>
      <w:r>
        <w:rPr>
          <w:rFonts w:hint="eastAsia" w:ascii="宋体" w:hAnsi="宋体" w:eastAsia="宋体"/>
          <w:bCs/>
          <w:color w:val="auto"/>
          <w:sz w:val="48"/>
          <w:highlight w:val="none"/>
        </w:rPr>
        <w:t>临海市限额以下建设工程</w:t>
      </w:r>
    </w:p>
    <w:p w14:paraId="2002BAA3">
      <w:pPr>
        <w:jc w:val="center"/>
        <w:rPr>
          <w:rFonts w:ascii="宋体" w:hAnsi="宋体"/>
          <w:color w:val="auto"/>
          <w:sz w:val="72"/>
          <w:highlight w:val="none"/>
        </w:rPr>
      </w:pPr>
      <w:r>
        <w:rPr>
          <w:rFonts w:hint="eastAsia" w:ascii="宋体" w:hAnsi="宋体" w:eastAsia="宋体"/>
          <w:b/>
          <w:color w:val="auto"/>
          <w:sz w:val="84"/>
          <w:highlight w:val="none"/>
        </w:rPr>
        <w:t>招 标 文 件</w:t>
      </w:r>
    </w:p>
    <w:p w14:paraId="005BDC18">
      <w:pPr>
        <w:spacing w:line="440" w:lineRule="exact"/>
        <w:ind w:left="1148"/>
        <w:rPr>
          <w:rFonts w:ascii="宋体" w:hAnsi="宋体" w:eastAsia="宋体"/>
          <w:b/>
          <w:bCs/>
          <w:color w:val="auto"/>
          <w:sz w:val="28"/>
          <w:highlight w:val="none"/>
        </w:rPr>
      </w:pPr>
    </w:p>
    <w:p w14:paraId="4EC07096">
      <w:pPr>
        <w:spacing w:line="660" w:lineRule="exact"/>
        <w:rPr>
          <w:rFonts w:ascii="宋体" w:hAnsi="宋体" w:eastAsia="宋体"/>
          <w:bCs/>
          <w:color w:val="auto"/>
          <w:sz w:val="28"/>
          <w:highlight w:val="none"/>
        </w:rPr>
      </w:pPr>
    </w:p>
    <w:p w14:paraId="4CF60799">
      <w:pPr>
        <w:spacing w:line="660" w:lineRule="exact"/>
        <w:ind w:firstLine="1120" w:firstLineChars="400"/>
        <w:rPr>
          <w:rFonts w:ascii="宋体" w:hAnsi="宋体" w:eastAsia="宋体"/>
          <w:bCs/>
          <w:color w:val="auto"/>
          <w:sz w:val="28"/>
          <w:highlight w:val="none"/>
        </w:rPr>
      </w:pPr>
    </w:p>
    <w:p w14:paraId="31BAB530">
      <w:pPr>
        <w:spacing w:line="288" w:lineRule="auto"/>
        <w:rPr>
          <w:rFonts w:ascii="宋体" w:hAnsi="宋体" w:eastAsia="宋体"/>
          <w:color w:val="auto"/>
          <w:sz w:val="28"/>
          <w:highlight w:val="none"/>
        </w:rPr>
      </w:pPr>
    </w:p>
    <w:p w14:paraId="59B2C8E0">
      <w:pPr>
        <w:spacing w:line="660" w:lineRule="exact"/>
        <w:ind w:left="2510" w:leftChars="522" w:hanging="840" w:hangingChars="300"/>
        <w:rPr>
          <w:rFonts w:hint="eastAsia" w:ascii="Times New Roman" w:hAnsi="Times New Roman" w:eastAsia="宋体"/>
          <w:color w:val="auto"/>
          <w:sz w:val="28"/>
          <w:highlight w:val="none"/>
          <w:u w:val="none"/>
          <w:lang w:eastAsia="zh-CN"/>
        </w:rPr>
      </w:pPr>
      <w:r>
        <w:rPr>
          <w:rFonts w:hint="eastAsia" w:ascii="宋体" w:hAnsi="宋体" w:eastAsia="宋体"/>
          <w:bCs/>
          <w:color w:val="auto"/>
          <w:sz w:val="28"/>
          <w:highlight w:val="none"/>
        </w:rPr>
        <w:t>招标项</w:t>
      </w:r>
      <w:r>
        <w:rPr>
          <w:rFonts w:hint="eastAsia" w:ascii="宋体" w:hAnsi="宋体" w:eastAsia="宋体"/>
          <w:bCs/>
          <w:color w:val="auto"/>
          <w:sz w:val="28"/>
          <w:highlight w:val="none"/>
          <w:u w:val="none"/>
        </w:rPr>
        <w:t>目：</w:t>
      </w:r>
      <w:r>
        <w:rPr>
          <w:rFonts w:hint="eastAsia" w:ascii="Times New Roman" w:hAnsi="Times New Roman" w:eastAsia="宋体"/>
          <w:color w:val="auto"/>
          <w:sz w:val="28"/>
          <w:highlight w:val="none"/>
          <w:u w:val="none"/>
          <w:lang w:eastAsia="zh-CN"/>
        </w:rPr>
        <w:t>运动场地改造工程</w:t>
      </w:r>
    </w:p>
    <w:p w14:paraId="42F0E0AF">
      <w:pPr>
        <w:pStyle w:val="11"/>
        <w:ind w:left="0" w:leftChars="0" w:firstLine="0" w:firstLineChars="0"/>
        <w:rPr>
          <w:rFonts w:hint="eastAsia" w:ascii="Times New Roman" w:hAnsi="Times New Roman" w:eastAsia="宋体"/>
          <w:color w:val="auto"/>
          <w:sz w:val="28"/>
          <w:highlight w:val="none"/>
          <w:u w:val="none"/>
          <w:lang w:eastAsia="zh-CN"/>
        </w:rPr>
      </w:pPr>
    </w:p>
    <w:p w14:paraId="4C4CD3A8">
      <w:pPr>
        <w:spacing w:line="660" w:lineRule="exact"/>
        <w:ind w:left="2510" w:leftChars="522" w:hanging="840" w:hangingChars="300"/>
        <w:rPr>
          <w:rFonts w:ascii="宋体" w:hAnsi="宋体" w:eastAsia="宋体"/>
          <w:bCs/>
          <w:color w:val="auto"/>
          <w:sz w:val="28"/>
          <w:highlight w:val="none"/>
          <w:u w:val="none"/>
        </w:rPr>
      </w:pPr>
      <w:r>
        <w:rPr>
          <w:rFonts w:hint="eastAsia" w:ascii="宋体" w:hAnsi="宋体" w:eastAsia="宋体"/>
          <w:bCs/>
          <w:color w:val="auto"/>
          <w:sz w:val="28"/>
          <w:highlight w:val="none"/>
          <w:u w:val="none"/>
        </w:rPr>
        <w:t>招标代理机构：</w:t>
      </w:r>
      <w:r>
        <w:rPr>
          <w:rFonts w:hint="eastAsia" w:ascii="宋体" w:hAnsi="宋体" w:eastAsia="宋体"/>
          <w:bCs/>
          <w:color w:val="auto"/>
          <w:sz w:val="28"/>
          <w:highlight w:val="none"/>
          <w:u w:val="none"/>
          <w:lang w:eastAsia="zh-CN"/>
        </w:rPr>
        <w:t>欧邦工程管理集团有限公司</w:t>
      </w:r>
      <w:r>
        <w:rPr>
          <w:rFonts w:hint="eastAsia" w:ascii="宋体" w:hAnsi="宋体" w:eastAsia="宋体"/>
          <w:bCs/>
          <w:color w:val="auto"/>
          <w:sz w:val="28"/>
          <w:highlight w:val="none"/>
          <w:u w:val="none"/>
        </w:rPr>
        <w:t xml:space="preserve">（盖章）   </w:t>
      </w:r>
    </w:p>
    <w:p w14:paraId="52B47066">
      <w:pPr>
        <w:spacing w:line="660" w:lineRule="exact"/>
        <w:ind w:left="2510" w:leftChars="522" w:hanging="840" w:hangingChars="300"/>
        <w:rPr>
          <w:rFonts w:hint="default" w:ascii="宋体" w:hAnsi="宋体" w:eastAsia="宋体"/>
          <w:bCs/>
          <w:color w:val="auto"/>
          <w:sz w:val="28"/>
          <w:highlight w:val="none"/>
          <w:u w:val="none"/>
          <w:lang w:val="en-US" w:eastAsia="zh-CN"/>
        </w:rPr>
      </w:pPr>
      <w:r>
        <w:rPr>
          <w:rFonts w:hint="eastAsia" w:ascii="宋体" w:hAnsi="宋体" w:eastAsia="宋体"/>
          <w:bCs/>
          <w:color w:val="auto"/>
          <w:sz w:val="28"/>
          <w:highlight w:val="none"/>
          <w:u w:val="none"/>
        </w:rPr>
        <w:t>联 系 人：</w:t>
      </w:r>
      <w:r>
        <w:rPr>
          <w:rFonts w:hint="eastAsia" w:ascii="宋体" w:hAnsi="宋体" w:eastAsia="宋体"/>
          <w:bCs/>
          <w:color w:val="auto"/>
          <w:sz w:val="28"/>
          <w:highlight w:val="none"/>
          <w:u w:val="none"/>
          <w:lang w:val="en-US" w:eastAsia="zh-CN"/>
        </w:rPr>
        <w:t>董先生</w:t>
      </w:r>
      <w:r>
        <w:rPr>
          <w:rFonts w:hint="eastAsia" w:ascii="宋体" w:hAnsi="宋体" w:eastAsia="宋体"/>
          <w:bCs/>
          <w:color w:val="auto"/>
          <w:sz w:val="28"/>
          <w:highlight w:val="none"/>
          <w:u w:val="none"/>
        </w:rPr>
        <w:t xml:space="preserve">          联系电话：</w:t>
      </w:r>
      <w:r>
        <w:rPr>
          <w:rFonts w:hint="eastAsia" w:ascii="宋体" w:hAnsi="宋体" w:eastAsia="宋体"/>
          <w:bCs/>
          <w:color w:val="auto"/>
          <w:sz w:val="28"/>
          <w:highlight w:val="none"/>
          <w:u w:val="none"/>
          <w:lang w:val="en-US" w:eastAsia="zh-CN"/>
        </w:rPr>
        <w:t>0576-89399062</w:t>
      </w:r>
    </w:p>
    <w:p w14:paraId="1A8DEDEB">
      <w:pPr>
        <w:pStyle w:val="11"/>
        <w:rPr>
          <w:rFonts w:hint="eastAsia" w:ascii="Times New Roman" w:hAnsi="Times New Roman" w:eastAsia="宋体"/>
          <w:color w:val="auto"/>
          <w:sz w:val="28"/>
          <w:highlight w:val="none"/>
          <w:u w:val="none"/>
          <w:lang w:eastAsia="zh-CN"/>
        </w:rPr>
      </w:pPr>
    </w:p>
    <w:p w14:paraId="4C33A649">
      <w:pPr>
        <w:pStyle w:val="11"/>
        <w:rPr>
          <w:rFonts w:hint="eastAsia" w:ascii="Times New Roman" w:hAnsi="Times New Roman" w:eastAsia="宋体"/>
          <w:color w:val="auto"/>
          <w:sz w:val="28"/>
          <w:highlight w:val="none"/>
          <w:u w:val="none"/>
          <w:lang w:eastAsia="zh-CN"/>
        </w:rPr>
      </w:pPr>
    </w:p>
    <w:p w14:paraId="5FA3C6A2">
      <w:pPr>
        <w:pStyle w:val="11"/>
        <w:ind w:left="0" w:leftChars="0" w:firstLine="0" w:firstLineChars="0"/>
        <w:rPr>
          <w:rFonts w:hint="eastAsia" w:ascii="Times New Roman" w:hAnsi="Times New Roman" w:eastAsia="宋体"/>
          <w:color w:val="auto"/>
          <w:sz w:val="28"/>
          <w:highlight w:val="none"/>
          <w:u w:val="none"/>
          <w:lang w:eastAsia="zh-CN"/>
        </w:rPr>
      </w:pPr>
    </w:p>
    <w:p w14:paraId="772D6545">
      <w:pPr>
        <w:spacing w:line="660" w:lineRule="exact"/>
        <w:ind w:firstLine="1680" w:firstLineChars="600"/>
        <w:rPr>
          <w:rFonts w:ascii="宋体" w:hAnsi="宋体" w:eastAsia="宋体"/>
          <w:color w:val="auto"/>
          <w:sz w:val="28"/>
          <w:szCs w:val="22"/>
          <w:highlight w:val="none"/>
          <w:u w:val="none"/>
        </w:rPr>
      </w:pPr>
      <w:r>
        <w:rPr>
          <w:rFonts w:hint="eastAsia" w:ascii="宋体" w:hAnsi="宋体" w:eastAsia="宋体"/>
          <w:color w:val="auto"/>
          <w:sz w:val="28"/>
          <w:highlight w:val="none"/>
          <w:u w:val="none"/>
        </w:rPr>
        <w:t>招 标 人</w:t>
      </w:r>
      <w:r>
        <w:rPr>
          <w:rFonts w:hint="eastAsia" w:ascii="宋体" w:hAnsi="宋体" w:eastAsia="宋体"/>
          <w:color w:val="auto"/>
          <w:sz w:val="28"/>
          <w:szCs w:val="22"/>
          <w:highlight w:val="none"/>
          <w:u w:val="none"/>
        </w:rPr>
        <w:t>：</w:t>
      </w:r>
      <w:r>
        <w:rPr>
          <w:rFonts w:hint="eastAsia" w:ascii="宋体" w:hAnsi="宋体" w:eastAsia="宋体"/>
          <w:color w:val="auto"/>
          <w:sz w:val="28"/>
          <w:szCs w:val="22"/>
          <w:highlight w:val="none"/>
          <w:u w:val="none"/>
          <w:lang w:val="en-US" w:eastAsia="zh-CN"/>
        </w:rPr>
        <w:t>台州初级中学</w:t>
      </w:r>
      <w:r>
        <w:rPr>
          <w:rFonts w:hint="eastAsia" w:ascii="宋体" w:hAnsi="宋体" w:eastAsia="宋体"/>
          <w:color w:val="auto"/>
          <w:sz w:val="28"/>
          <w:szCs w:val="22"/>
          <w:highlight w:val="none"/>
          <w:u w:val="none"/>
        </w:rPr>
        <w:t>（盖章）</w:t>
      </w:r>
    </w:p>
    <w:p w14:paraId="09EEE001">
      <w:pPr>
        <w:spacing w:line="660" w:lineRule="exact"/>
        <w:ind w:firstLine="1705" w:firstLineChars="609"/>
        <w:rPr>
          <w:rFonts w:hint="default" w:ascii="宋体" w:hAnsi="宋体" w:eastAsia="宋体"/>
          <w:color w:val="auto"/>
          <w:sz w:val="28"/>
          <w:highlight w:val="yellow"/>
          <w:lang w:val="en-US"/>
        </w:rPr>
      </w:pPr>
      <w:r>
        <w:rPr>
          <w:rFonts w:hint="eastAsia" w:ascii="宋体" w:hAnsi="宋体" w:eastAsia="宋体"/>
          <w:color w:val="auto"/>
          <w:sz w:val="28"/>
          <w:highlight w:val="none"/>
          <w:u w:val="none"/>
        </w:rPr>
        <w:t>联 系 人：</w:t>
      </w:r>
      <w:r>
        <w:rPr>
          <w:rFonts w:hint="eastAsia" w:ascii="宋体" w:hAnsi="宋体" w:eastAsia="宋体"/>
          <w:color w:val="auto"/>
          <w:sz w:val="28"/>
          <w:highlight w:val="none"/>
          <w:u w:val="none"/>
          <w:lang w:eastAsia="zh-CN"/>
        </w:rPr>
        <w:t>李</w:t>
      </w:r>
      <w:r>
        <w:rPr>
          <w:rFonts w:hint="eastAsia" w:ascii="宋体" w:hAnsi="宋体" w:eastAsia="宋体"/>
          <w:color w:val="auto"/>
          <w:sz w:val="28"/>
          <w:highlight w:val="none"/>
          <w:lang w:val="en-US" w:eastAsia="zh-CN"/>
        </w:rPr>
        <w:t>先生</w:t>
      </w:r>
      <w:r>
        <w:rPr>
          <w:rFonts w:hint="eastAsia" w:ascii="宋体" w:hAnsi="宋体" w:eastAsia="宋体"/>
          <w:color w:val="auto"/>
          <w:sz w:val="28"/>
          <w:highlight w:val="none"/>
          <w:u w:val="none"/>
        </w:rPr>
        <w:t xml:space="preserve">          联系电话：</w:t>
      </w:r>
      <w:r>
        <w:rPr>
          <w:rFonts w:hint="eastAsia" w:ascii="宋体" w:hAnsi="宋体" w:eastAsia="宋体"/>
          <w:color w:val="auto"/>
          <w:sz w:val="28"/>
          <w:highlight w:val="none"/>
          <w:lang w:val="en-US" w:eastAsia="zh-CN"/>
        </w:rPr>
        <w:t>13958555237</w:t>
      </w:r>
    </w:p>
    <w:p w14:paraId="7CF1E641">
      <w:pPr>
        <w:spacing w:line="288" w:lineRule="auto"/>
        <w:rPr>
          <w:rFonts w:ascii="宋体" w:hAnsi="宋体" w:eastAsia="宋体"/>
          <w:color w:val="auto"/>
          <w:sz w:val="28"/>
          <w:highlight w:val="none"/>
        </w:rPr>
      </w:pPr>
    </w:p>
    <w:p w14:paraId="7F63E1C3">
      <w:pPr>
        <w:spacing w:line="288" w:lineRule="auto"/>
        <w:rPr>
          <w:rFonts w:ascii="宋体" w:hAnsi="宋体" w:eastAsia="宋体"/>
          <w:color w:val="auto"/>
          <w:sz w:val="28"/>
          <w:highlight w:val="none"/>
        </w:rPr>
      </w:pPr>
    </w:p>
    <w:p w14:paraId="4E290E5B">
      <w:pPr>
        <w:spacing w:line="288" w:lineRule="auto"/>
        <w:rPr>
          <w:rFonts w:ascii="宋体" w:hAnsi="宋体" w:eastAsia="宋体"/>
          <w:color w:val="auto"/>
          <w:sz w:val="28"/>
          <w:szCs w:val="22"/>
          <w:highlight w:val="none"/>
        </w:rPr>
      </w:pPr>
    </w:p>
    <w:p w14:paraId="1EFA073C">
      <w:pPr>
        <w:spacing w:line="288" w:lineRule="auto"/>
        <w:rPr>
          <w:rFonts w:ascii="宋体" w:hAnsi="宋体" w:eastAsia="宋体"/>
          <w:color w:val="auto"/>
          <w:sz w:val="28"/>
          <w:szCs w:val="22"/>
          <w:highlight w:val="none"/>
        </w:rPr>
      </w:pPr>
    </w:p>
    <w:p w14:paraId="1A4BE2EB">
      <w:pPr>
        <w:spacing w:line="288" w:lineRule="auto"/>
        <w:jc w:val="center"/>
        <w:rPr>
          <w:rFonts w:ascii="宋体" w:hAnsi="宋体" w:eastAsia="宋体"/>
          <w:b/>
          <w:color w:val="auto"/>
          <w:sz w:val="48"/>
          <w:highlight w:val="none"/>
        </w:rPr>
        <w:sectPr>
          <w:headerReference r:id="rId5" w:type="first"/>
          <w:headerReference r:id="rId3" w:type="default"/>
          <w:headerReference r:id="rId4" w:type="even"/>
          <w:footerReference r:id="rId6" w:type="even"/>
          <w:footnotePr>
            <w:numRestart w:val="eachPage"/>
          </w:footnotePr>
          <w:endnotePr>
            <w:numRestart w:val="eachSect"/>
          </w:endnotePr>
          <w:pgSz w:w="11907" w:h="16840"/>
          <w:pgMar w:top="1440" w:right="1080" w:bottom="1440" w:left="1080" w:header="851" w:footer="992" w:gutter="0"/>
          <w:pgNumType w:start="1"/>
          <w:cols w:space="720" w:num="1"/>
          <w:titlePg/>
          <w:docGrid w:linePitch="435" w:charSpace="-6554"/>
        </w:sectPr>
      </w:pPr>
      <w:r>
        <w:rPr>
          <w:rFonts w:hint="eastAsia" w:ascii="宋体" w:hAnsi="宋体" w:eastAsia="宋体"/>
          <w:color w:val="auto"/>
          <w:sz w:val="28"/>
          <w:szCs w:val="22"/>
          <w:highlight w:val="none"/>
        </w:rPr>
        <w:t xml:space="preserve"> 202</w:t>
      </w:r>
      <w:r>
        <w:rPr>
          <w:rFonts w:hint="eastAsia" w:ascii="宋体" w:hAnsi="宋体" w:eastAsia="宋体"/>
          <w:color w:val="auto"/>
          <w:sz w:val="28"/>
          <w:szCs w:val="22"/>
          <w:highlight w:val="none"/>
          <w:lang w:val="en-US" w:eastAsia="zh-CN"/>
        </w:rPr>
        <w:t>6</w:t>
      </w:r>
      <w:r>
        <w:rPr>
          <w:rFonts w:hint="eastAsia" w:ascii="宋体" w:hAnsi="宋体" w:eastAsia="宋体"/>
          <w:color w:val="auto"/>
          <w:sz w:val="28"/>
          <w:szCs w:val="22"/>
          <w:highlight w:val="none"/>
        </w:rPr>
        <w:t>年</w:t>
      </w:r>
      <w:r>
        <w:rPr>
          <w:rFonts w:hint="eastAsia" w:ascii="宋体" w:hAnsi="宋体" w:eastAsia="宋体"/>
          <w:color w:val="auto"/>
          <w:sz w:val="28"/>
          <w:szCs w:val="22"/>
          <w:highlight w:val="none"/>
          <w:lang w:val="en-US" w:eastAsia="zh-CN"/>
        </w:rPr>
        <w:t>7</w:t>
      </w:r>
      <w:r>
        <w:rPr>
          <w:rFonts w:hint="eastAsia" w:ascii="宋体" w:hAnsi="宋体" w:eastAsia="宋体"/>
          <w:color w:val="auto"/>
          <w:sz w:val="28"/>
          <w:szCs w:val="22"/>
          <w:highlight w:val="none"/>
        </w:rPr>
        <w:t>月</w:t>
      </w:r>
    </w:p>
    <w:p w14:paraId="6AE85332">
      <w:pPr>
        <w:jc w:val="center"/>
        <w:rPr>
          <w:rFonts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目录</w:t>
      </w:r>
    </w:p>
    <w:p w14:paraId="39629F0C">
      <w:pPr>
        <w:jc w:val="center"/>
        <w:rPr>
          <w:rFonts w:ascii="宋体" w:hAnsi="宋体" w:eastAsia="宋体" w:cs="宋体"/>
          <w:b/>
          <w:bCs/>
          <w:color w:val="auto"/>
          <w:sz w:val="48"/>
          <w:szCs w:val="48"/>
          <w:highlight w:val="none"/>
        </w:rPr>
      </w:pPr>
    </w:p>
    <w:p w14:paraId="5336CD38">
      <w:pPr>
        <w:pStyle w:val="31"/>
        <w:tabs>
          <w:tab w:val="right" w:leader="dot" w:pos="9185"/>
        </w:tabs>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"_Toc5497" </w:instrText>
      </w:r>
      <w:r>
        <w:rPr>
          <w:color w:val="auto"/>
          <w:highlight w:val="none"/>
        </w:rPr>
        <w:fldChar w:fldCharType="separate"/>
      </w:r>
      <w:r>
        <w:rPr>
          <w:rFonts w:hint="eastAsia" w:ascii="宋体" w:hAnsi="宋体" w:cs="宋体"/>
          <w:color w:val="auto"/>
          <w:sz w:val="28"/>
          <w:szCs w:val="28"/>
          <w:highlight w:val="none"/>
        </w:rPr>
        <w:t>投标须知前附表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_Toc5497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6B863317">
      <w:pPr>
        <w:pStyle w:val="31"/>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"_Toc9614" </w:instrText>
      </w:r>
      <w:r>
        <w:rPr>
          <w:color w:val="auto"/>
          <w:highlight w:val="none"/>
        </w:rPr>
        <w:fldChar w:fldCharType="separate"/>
      </w:r>
      <w:r>
        <w:rPr>
          <w:rFonts w:hint="eastAsia" w:ascii="宋体" w:hAnsi="宋体" w:cs="宋体"/>
          <w:color w:val="auto"/>
          <w:sz w:val="28"/>
          <w:szCs w:val="28"/>
          <w:highlight w:val="none"/>
        </w:rPr>
        <w:t>第一章  投标须知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_Toc9614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5689F0DF">
      <w:pPr>
        <w:pStyle w:val="31"/>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"_Toc20217" </w:instrText>
      </w:r>
      <w:r>
        <w:rPr>
          <w:color w:val="auto"/>
          <w:highlight w:val="none"/>
        </w:rPr>
        <w:fldChar w:fldCharType="separate"/>
      </w:r>
      <w:r>
        <w:rPr>
          <w:rFonts w:hint="eastAsia" w:ascii="宋体" w:hAnsi="宋体" w:cs="宋体"/>
          <w:color w:val="auto"/>
          <w:sz w:val="28"/>
          <w:szCs w:val="28"/>
          <w:highlight w:val="none"/>
        </w:rPr>
        <w:t>第二章  评标办法</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_Toc20217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1D99DFFE">
      <w:pPr>
        <w:pStyle w:val="31"/>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"_Toc26088" </w:instrText>
      </w:r>
      <w:r>
        <w:rPr>
          <w:color w:val="auto"/>
          <w:highlight w:val="none"/>
        </w:rPr>
        <w:fldChar w:fldCharType="separate"/>
      </w:r>
      <w:r>
        <w:rPr>
          <w:rFonts w:hint="eastAsia" w:ascii="宋体" w:hAnsi="宋体" w:cs="宋体"/>
          <w:color w:val="auto"/>
          <w:sz w:val="28"/>
          <w:szCs w:val="28"/>
          <w:highlight w:val="none"/>
        </w:rPr>
        <w:t>第三章  合同条款</w:t>
      </w:r>
      <w:r>
        <w:rPr>
          <w:rFonts w:hint="eastAsia" w:ascii="宋体" w:hAnsi="宋体" w:cs="宋体"/>
          <w:color w:val="auto"/>
          <w:sz w:val="28"/>
          <w:szCs w:val="28"/>
          <w:highlight w:val="none"/>
        </w:rPr>
        <w:tab/>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7</w:t>
      </w:r>
    </w:p>
    <w:p w14:paraId="5A2641D4">
      <w:pPr>
        <w:pStyle w:val="31"/>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"_Toc21472" </w:instrText>
      </w:r>
      <w:r>
        <w:rPr>
          <w:color w:val="auto"/>
          <w:highlight w:val="none"/>
        </w:rPr>
        <w:fldChar w:fldCharType="separate"/>
      </w:r>
      <w:r>
        <w:rPr>
          <w:rFonts w:hint="eastAsia" w:ascii="宋体" w:hAnsi="宋体" w:cs="宋体"/>
          <w:color w:val="auto"/>
          <w:sz w:val="28"/>
          <w:szCs w:val="28"/>
          <w:highlight w:val="none"/>
        </w:rPr>
        <w:t>第四章 投标文件格式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0</w:t>
      </w:r>
    </w:p>
    <w:p w14:paraId="3978F9B9">
      <w:pPr>
        <w:pStyle w:val="31"/>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"_Toc30668" </w:instrText>
      </w:r>
      <w:r>
        <w:rPr>
          <w:color w:val="auto"/>
          <w:highlight w:val="none"/>
        </w:rPr>
        <w:fldChar w:fldCharType="separate"/>
      </w:r>
      <w:r>
        <w:rPr>
          <w:rFonts w:hint="eastAsia" w:ascii="宋体" w:hAnsi="宋体" w:cs="宋体"/>
          <w:color w:val="auto"/>
          <w:sz w:val="28"/>
          <w:szCs w:val="28"/>
          <w:highlight w:val="none"/>
        </w:rPr>
        <w:t>附件一：投标函</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_Toc30668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544CD807">
      <w:pPr>
        <w:pStyle w:val="31"/>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"_Toc23377" </w:instrText>
      </w:r>
      <w:r>
        <w:rPr>
          <w:color w:val="auto"/>
          <w:highlight w:val="none"/>
        </w:rPr>
        <w:fldChar w:fldCharType="separate"/>
      </w:r>
      <w:r>
        <w:rPr>
          <w:rFonts w:hint="eastAsia" w:ascii="宋体" w:hAnsi="宋体" w:cs="宋体"/>
          <w:color w:val="auto"/>
          <w:sz w:val="28"/>
          <w:szCs w:val="28"/>
          <w:highlight w:val="none"/>
        </w:rPr>
        <w:t>附件二：临海市建设工程安全生产任职资格承诺书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_Toc23377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174D7A49">
      <w:pPr>
        <w:pStyle w:val="31"/>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"_Toc30036" </w:instrText>
      </w:r>
      <w:r>
        <w:rPr>
          <w:color w:val="auto"/>
          <w:highlight w:val="none"/>
        </w:rPr>
        <w:fldChar w:fldCharType="separate"/>
      </w:r>
      <w:r>
        <w:rPr>
          <w:rFonts w:hint="eastAsia" w:ascii="宋体" w:hAnsi="宋体" w:cs="宋体"/>
          <w:color w:val="auto"/>
          <w:sz w:val="28"/>
          <w:szCs w:val="28"/>
          <w:highlight w:val="none"/>
        </w:rPr>
        <w:t>附件三：项目负责人简历表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_Toc30036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269342C7">
      <w:pPr>
        <w:pStyle w:val="31"/>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"_Toc581" </w:instrText>
      </w:r>
      <w:r>
        <w:rPr>
          <w:color w:val="auto"/>
          <w:highlight w:val="none"/>
        </w:rPr>
        <w:fldChar w:fldCharType="separate"/>
      </w:r>
      <w:r>
        <w:rPr>
          <w:rFonts w:hint="eastAsia" w:ascii="宋体" w:hAnsi="宋体" w:cs="宋体"/>
          <w:color w:val="auto"/>
          <w:sz w:val="28"/>
          <w:szCs w:val="28"/>
          <w:highlight w:val="none"/>
        </w:rPr>
        <w:t>附件四：技术负责人简历表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_Toc581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074D7704">
      <w:pPr>
        <w:pStyle w:val="31"/>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"_Toc4216" </w:instrText>
      </w:r>
      <w:r>
        <w:rPr>
          <w:color w:val="auto"/>
          <w:highlight w:val="none"/>
        </w:rPr>
        <w:fldChar w:fldCharType="separate"/>
      </w:r>
      <w:r>
        <w:rPr>
          <w:rFonts w:hint="eastAsia" w:ascii="宋体" w:hAnsi="宋体" w:cs="宋体"/>
          <w:color w:val="auto"/>
          <w:sz w:val="28"/>
          <w:szCs w:val="28"/>
          <w:highlight w:val="none"/>
        </w:rPr>
        <w:t>附件五：项目负责人在建项目承诺书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5</w:t>
      </w:r>
    </w:p>
    <w:p w14:paraId="637835FB">
      <w:pPr>
        <w:pStyle w:val="31"/>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"_Toc13566" </w:instrText>
      </w:r>
      <w:r>
        <w:rPr>
          <w:color w:val="auto"/>
          <w:highlight w:val="none"/>
        </w:rPr>
        <w:fldChar w:fldCharType="separate"/>
      </w:r>
      <w:r>
        <w:rPr>
          <w:rFonts w:hint="eastAsia" w:ascii="宋体" w:hAnsi="宋体" w:cs="宋体"/>
          <w:color w:val="auto"/>
          <w:sz w:val="28"/>
          <w:szCs w:val="28"/>
          <w:highlight w:val="none"/>
        </w:rPr>
        <w:t>附件六：主要施工机械设备表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6</w:t>
      </w:r>
    </w:p>
    <w:p w14:paraId="46480C75">
      <w:pPr>
        <w:pStyle w:val="31"/>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"_Toc20350" </w:instrText>
      </w:r>
      <w:r>
        <w:rPr>
          <w:color w:val="auto"/>
          <w:highlight w:val="none"/>
        </w:rPr>
        <w:fldChar w:fldCharType="separate"/>
      </w:r>
      <w:r>
        <w:rPr>
          <w:rFonts w:hint="eastAsia" w:ascii="宋体" w:hAnsi="宋体" w:cs="宋体"/>
          <w:color w:val="auto"/>
          <w:sz w:val="28"/>
          <w:szCs w:val="28"/>
          <w:highlight w:val="none"/>
        </w:rPr>
        <w:t>附件七：临海市建设工程诚信投标承诺书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7</w:t>
      </w:r>
    </w:p>
    <w:p w14:paraId="6705D157">
      <w:pPr>
        <w:pStyle w:val="31"/>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"_Toc18290" </w:instrText>
      </w:r>
      <w:r>
        <w:rPr>
          <w:color w:val="auto"/>
          <w:highlight w:val="none"/>
        </w:rPr>
        <w:fldChar w:fldCharType="separate"/>
      </w:r>
      <w:r>
        <w:rPr>
          <w:rFonts w:hint="eastAsia" w:ascii="宋体" w:hAnsi="宋体" w:cs="宋体"/>
          <w:color w:val="auto"/>
          <w:sz w:val="28"/>
          <w:szCs w:val="28"/>
          <w:highlight w:val="none"/>
        </w:rPr>
        <w:t>附件八：法定代表人授权委托书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8</w:t>
      </w:r>
    </w:p>
    <w:p w14:paraId="1C7E4B34">
      <w:pPr>
        <w:pStyle w:val="31"/>
        <w:tabs>
          <w:tab w:val="right" w:leader="dot" w:pos="9185"/>
        </w:tabs>
        <w:spacing w:line="360" w:lineRule="auto"/>
        <w:rPr>
          <w:rFonts w:ascii="宋体" w:hAnsi="宋体" w:cs="宋体"/>
          <w:color w:val="auto"/>
          <w:sz w:val="28"/>
          <w:szCs w:val="28"/>
          <w:highlight w:val="none"/>
        </w:rPr>
        <w:sectPr>
          <w:headerReference r:id="rId7" w:type="default"/>
          <w:footerReference r:id="rId8"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color w:val="auto"/>
          <w:sz w:val="28"/>
          <w:szCs w:val="28"/>
          <w:highlight w:val="none"/>
        </w:rPr>
        <w:t>附</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件九：法定代表人身份证明......................................59</w:t>
      </w:r>
    </w:p>
    <w:p w14:paraId="075DD915">
      <w:pPr>
        <w:keepNext/>
        <w:keepLines/>
        <w:spacing w:before="120" w:after="120"/>
        <w:jc w:val="center"/>
        <w:outlineLvl w:val="0"/>
        <w:rPr>
          <w:rFonts w:ascii="黑体" w:hAnsi="黑体" w:eastAsia="黑体"/>
          <w:b/>
          <w:color w:val="auto"/>
          <w:kern w:val="44"/>
          <w:sz w:val="30"/>
          <w:highlight w:val="none"/>
        </w:rPr>
      </w:pPr>
      <w:bookmarkStart w:id="0" w:name="_Toc5497"/>
      <w:bookmarkStart w:id="1" w:name="_Toc1787"/>
      <w:bookmarkStart w:id="2" w:name="_Toc22713"/>
      <w:bookmarkStart w:id="3" w:name="_Toc500209421"/>
      <w:bookmarkStart w:id="4" w:name="_Toc386121562"/>
      <w:bookmarkStart w:id="5" w:name="_Toc500208499"/>
      <w:bookmarkStart w:id="6" w:name="_Toc386121751"/>
      <w:r>
        <w:rPr>
          <w:rFonts w:hint="eastAsia" w:ascii="黑体" w:hAnsi="黑体" w:eastAsia="黑体"/>
          <w:b/>
          <w:color w:val="auto"/>
          <w:kern w:val="44"/>
          <w:sz w:val="30"/>
          <w:highlight w:val="none"/>
        </w:rPr>
        <w:t>投标须知</w:t>
      </w:r>
      <w:bookmarkStart w:id="7" w:name="_Toc1731"/>
      <w:r>
        <w:rPr>
          <w:rFonts w:hint="eastAsia" w:ascii="黑体" w:hAnsi="黑体" w:eastAsia="黑体"/>
          <w:b/>
          <w:color w:val="auto"/>
          <w:kern w:val="44"/>
          <w:sz w:val="30"/>
          <w:highlight w:val="none"/>
        </w:rPr>
        <w:t>前附表</w:t>
      </w:r>
      <w:bookmarkEnd w:id="0"/>
      <w:bookmarkEnd w:id="1"/>
      <w:bookmarkEnd w:id="2"/>
      <w:bookmarkEnd w:id="7"/>
    </w:p>
    <w:tbl>
      <w:tblPr>
        <w:tblStyle w:val="23"/>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05005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70B63CBE">
            <w:pPr>
              <w:jc w:val="center"/>
              <w:rPr>
                <w:rFonts w:ascii="宋体" w:hAnsi="宋体" w:eastAsia="宋体"/>
                <w:color w:val="auto"/>
                <w:sz w:val="21"/>
                <w:highlight w:val="none"/>
              </w:rPr>
            </w:pPr>
            <w:r>
              <w:rPr>
                <w:rFonts w:hint="eastAsia" w:ascii="宋体" w:hAnsi="宋体" w:eastAsia="宋体"/>
                <w:color w:val="auto"/>
                <w:sz w:val="21"/>
                <w:highlight w:val="none"/>
              </w:rPr>
              <w:t>序号</w:t>
            </w:r>
          </w:p>
        </w:tc>
        <w:tc>
          <w:tcPr>
            <w:tcW w:w="861" w:type="dxa"/>
            <w:vAlign w:val="center"/>
          </w:tcPr>
          <w:p w14:paraId="0AC8E685">
            <w:pPr>
              <w:jc w:val="center"/>
              <w:rPr>
                <w:rFonts w:ascii="宋体" w:hAnsi="宋体" w:eastAsia="宋体"/>
                <w:color w:val="auto"/>
                <w:sz w:val="21"/>
                <w:highlight w:val="none"/>
              </w:rPr>
            </w:pPr>
            <w:r>
              <w:rPr>
                <w:rFonts w:hint="eastAsia" w:ascii="宋体" w:hAnsi="宋体" w:eastAsia="宋体"/>
                <w:color w:val="auto"/>
                <w:sz w:val="21"/>
                <w:highlight w:val="none"/>
              </w:rPr>
              <w:t>条款号</w:t>
            </w:r>
          </w:p>
        </w:tc>
        <w:tc>
          <w:tcPr>
            <w:tcW w:w="1722" w:type="dxa"/>
            <w:vAlign w:val="center"/>
          </w:tcPr>
          <w:p w14:paraId="69464A56">
            <w:pPr>
              <w:jc w:val="center"/>
              <w:rPr>
                <w:rFonts w:ascii="宋体" w:hAnsi="宋体" w:eastAsia="宋体"/>
                <w:color w:val="auto"/>
                <w:sz w:val="21"/>
                <w:highlight w:val="none"/>
              </w:rPr>
            </w:pPr>
            <w:r>
              <w:rPr>
                <w:rFonts w:hint="eastAsia" w:ascii="宋体" w:hAnsi="宋体" w:eastAsia="宋体"/>
                <w:color w:val="auto"/>
                <w:sz w:val="21"/>
                <w:highlight w:val="none"/>
              </w:rPr>
              <w:t>内  容</w:t>
            </w:r>
          </w:p>
        </w:tc>
        <w:tc>
          <w:tcPr>
            <w:tcW w:w="5919" w:type="dxa"/>
            <w:vAlign w:val="center"/>
          </w:tcPr>
          <w:p w14:paraId="472C4A14">
            <w:pPr>
              <w:jc w:val="center"/>
              <w:rPr>
                <w:rFonts w:ascii="宋体" w:hAnsi="宋体" w:eastAsia="宋体"/>
                <w:color w:val="auto"/>
                <w:sz w:val="21"/>
                <w:highlight w:val="none"/>
              </w:rPr>
            </w:pPr>
            <w:r>
              <w:rPr>
                <w:rFonts w:hint="eastAsia" w:ascii="宋体" w:hAnsi="宋体" w:eastAsia="宋体"/>
                <w:color w:val="auto"/>
                <w:sz w:val="21"/>
                <w:highlight w:val="none"/>
              </w:rPr>
              <w:t>说明与要求</w:t>
            </w:r>
          </w:p>
        </w:tc>
      </w:tr>
      <w:tr w14:paraId="22882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45FDB222">
            <w:pPr>
              <w:jc w:val="center"/>
              <w:rPr>
                <w:rFonts w:ascii="宋体" w:hAnsi="宋体" w:eastAsia="宋体"/>
                <w:color w:val="auto"/>
                <w:sz w:val="21"/>
                <w:highlight w:val="none"/>
              </w:rPr>
            </w:pPr>
            <w:r>
              <w:rPr>
                <w:rFonts w:hint="eastAsia" w:ascii="宋体" w:hAnsi="宋体" w:eastAsia="宋体"/>
                <w:color w:val="auto"/>
                <w:sz w:val="21"/>
                <w:highlight w:val="none"/>
              </w:rPr>
              <w:t>1</w:t>
            </w:r>
          </w:p>
        </w:tc>
        <w:tc>
          <w:tcPr>
            <w:tcW w:w="861" w:type="dxa"/>
            <w:tcBorders>
              <w:bottom w:val="single" w:color="auto" w:sz="4" w:space="0"/>
            </w:tcBorders>
            <w:vAlign w:val="center"/>
          </w:tcPr>
          <w:p w14:paraId="1E10327D">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209AE420">
            <w:pPr>
              <w:jc w:val="center"/>
              <w:rPr>
                <w:rFonts w:ascii="宋体" w:hAnsi="宋体" w:eastAsia="宋体"/>
                <w:color w:val="auto"/>
                <w:sz w:val="21"/>
                <w:highlight w:val="none"/>
              </w:rPr>
            </w:pPr>
            <w:r>
              <w:rPr>
                <w:rFonts w:hint="eastAsia" w:ascii="宋体" w:hAnsi="宋体" w:eastAsia="宋体"/>
                <w:color w:val="auto"/>
                <w:sz w:val="21"/>
                <w:highlight w:val="none"/>
              </w:rPr>
              <w:t>工程名称</w:t>
            </w:r>
          </w:p>
        </w:tc>
        <w:tc>
          <w:tcPr>
            <w:tcW w:w="5919" w:type="dxa"/>
            <w:tcBorders>
              <w:bottom w:val="single" w:color="auto" w:sz="4" w:space="0"/>
            </w:tcBorders>
            <w:vAlign w:val="center"/>
          </w:tcPr>
          <w:p w14:paraId="1AD17117">
            <w:pPr>
              <w:adjustRightInd w:val="0"/>
              <w:snapToGrid w:val="0"/>
              <w:rPr>
                <w:rFonts w:hint="eastAsia" w:ascii="宋体" w:hAnsi="宋体" w:eastAsia="宋体"/>
                <w:bCs/>
                <w:color w:val="auto"/>
                <w:sz w:val="21"/>
                <w:highlight w:val="none"/>
                <w:lang w:eastAsia="zh-CN"/>
              </w:rPr>
            </w:pPr>
            <w:r>
              <w:rPr>
                <w:rFonts w:hint="eastAsia" w:ascii="宋体" w:hAnsi="宋体" w:eastAsia="宋体"/>
                <w:bCs/>
                <w:color w:val="auto"/>
                <w:sz w:val="21"/>
                <w:highlight w:val="none"/>
                <w:lang w:eastAsia="zh-CN"/>
              </w:rPr>
              <w:t>运动场地改造工程</w:t>
            </w:r>
          </w:p>
        </w:tc>
      </w:tr>
      <w:tr w14:paraId="6751C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52B5C562">
            <w:pPr>
              <w:jc w:val="center"/>
              <w:rPr>
                <w:rFonts w:ascii="宋体" w:hAnsi="宋体" w:eastAsia="宋体"/>
                <w:color w:val="auto"/>
                <w:sz w:val="21"/>
                <w:highlight w:val="none"/>
              </w:rPr>
            </w:pPr>
            <w:r>
              <w:rPr>
                <w:rFonts w:hint="eastAsia" w:ascii="宋体" w:hAnsi="宋体" w:eastAsia="宋体"/>
                <w:color w:val="auto"/>
                <w:sz w:val="21"/>
                <w:highlight w:val="none"/>
              </w:rPr>
              <w:t>2</w:t>
            </w:r>
          </w:p>
        </w:tc>
        <w:tc>
          <w:tcPr>
            <w:tcW w:w="861" w:type="dxa"/>
            <w:tcBorders>
              <w:bottom w:val="single" w:color="auto" w:sz="4" w:space="0"/>
            </w:tcBorders>
            <w:vAlign w:val="center"/>
          </w:tcPr>
          <w:p w14:paraId="406AD5B8">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495C4A8F">
            <w:pPr>
              <w:jc w:val="center"/>
              <w:rPr>
                <w:rFonts w:ascii="宋体" w:hAnsi="宋体" w:eastAsia="宋体"/>
                <w:color w:val="auto"/>
                <w:sz w:val="21"/>
                <w:highlight w:val="none"/>
              </w:rPr>
            </w:pPr>
            <w:r>
              <w:rPr>
                <w:rFonts w:hint="eastAsia" w:ascii="宋体" w:hAnsi="宋体" w:eastAsia="宋体"/>
                <w:color w:val="auto"/>
                <w:sz w:val="21"/>
                <w:highlight w:val="none"/>
              </w:rPr>
              <w:t>建设地点</w:t>
            </w:r>
          </w:p>
        </w:tc>
        <w:tc>
          <w:tcPr>
            <w:tcW w:w="5919" w:type="dxa"/>
            <w:tcBorders>
              <w:bottom w:val="single" w:color="auto" w:sz="4" w:space="0"/>
            </w:tcBorders>
            <w:vAlign w:val="center"/>
          </w:tcPr>
          <w:p w14:paraId="417F01C7">
            <w:pPr>
              <w:adjustRightInd w:val="0"/>
              <w:snapToGrid w:val="0"/>
              <w:rPr>
                <w:rFonts w:hint="default" w:ascii="宋体" w:hAnsi="宋体" w:eastAsia="宋体"/>
                <w:bCs/>
                <w:color w:val="auto"/>
                <w:sz w:val="21"/>
                <w:highlight w:val="none"/>
                <w:lang w:val="en-US" w:eastAsia="zh-CN"/>
              </w:rPr>
            </w:pPr>
            <w:r>
              <w:rPr>
                <w:rFonts w:hint="eastAsia" w:ascii="宋体" w:hAnsi="宋体" w:eastAsia="宋体"/>
                <w:bCs/>
                <w:color w:val="auto"/>
                <w:sz w:val="21"/>
                <w:highlight w:val="none"/>
                <w:lang w:val="en-US" w:eastAsia="zh-CN"/>
              </w:rPr>
              <w:t>台州初级中学</w:t>
            </w:r>
          </w:p>
        </w:tc>
      </w:tr>
      <w:tr w14:paraId="3458D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1" w:hRule="atLeast"/>
        </w:trPr>
        <w:tc>
          <w:tcPr>
            <w:tcW w:w="682" w:type="dxa"/>
            <w:tcBorders>
              <w:bottom w:val="single" w:color="auto" w:sz="4" w:space="0"/>
            </w:tcBorders>
            <w:vAlign w:val="center"/>
          </w:tcPr>
          <w:p w14:paraId="04247CA4">
            <w:pPr>
              <w:jc w:val="center"/>
              <w:rPr>
                <w:rFonts w:ascii="宋体" w:hAnsi="宋体" w:eastAsia="宋体"/>
                <w:color w:val="auto"/>
                <w:sz w:val="21"/>
                <w:highlight w:val="none"/>
              </w:rPr>
            </w:pPr>
            <w:r>
              <w:rPr>
                <w:rFonts w:hint="eastAsia" w:ascii="宋体" w:hAnsi="宋体" w:eastAsia="宋体"/>
                <w:color w:val="auto"/>
                <w:sz w:val="21"/>
                <w:highlight w:val="none"/>
              </w:rPr>
              <w:t>3</w:t>
            </w:r>
          </w:p>
        </w:tc>
        <w:tc>
          <w:tcPr>
            <w:tcW w:w="861" w:type="dxa"/>
            <w:tcBorders>
              <w:bottom w:val="single" w:color="auto" w:sz="4" w:space="0"/>
            </w:tcBorders>
            <w:vAlign w:val="center"/>
          </w:tcPr>
          <w:p w14:paraId="0539D848">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0FECA05E">
            <w:pPr>
              <w:jc w:val="center"/>
              <w:rPr>
                <w:rFonts w:ascii="宋体" w:hAnsi="宋体" w:eastAsia="宋体"/>
                <w:color w:val="auto"/>
                <w:sz w:val="21"/>
                <w:highlight w:val="none"/>
              </w:rPr>
            </w:pPr>
            <w:r>
              <w:rPr>
                <w:rFonts w:hint="eastAsia" w:ascii="宋体" w:hAnsi="宋体" w:eastAsia="宋体"/>
                <w:color w:val="auto"/>
                <w:sz w:val="21"/>
                <w:highlight w:val="none"/>
              </w:rPr>
              <w:t>建设规模</w:t>
            </w:r>
          </w:p>
        </w:tc>
        <w:tc>
          <w:tcPr>
            <w:tcW w:w="5919" w:type="dxa"/>
            <w:tcBorders>
              <w:bottom w:val="single" w:color="auto" w:sz="4" w:space="0"/>
            </w:tcBorders>
            <w:vAlign w:val="center"/>
          </w:tcPr>
          <w:p w14:paraId="603814E2">
            <w:pPr>
              <w:adjustRightInd w:val="0"/>
              <w:snapToGrid w:val="0"/>
              <w:rPr>
                <w:rFonts w:hint="default" w:eastAsia="宋体"/>
                <w:color w:val="auto"/>
                <w:highlight w:val="none"/>
                <w:lang w:val="en-US" w:eastAsia="zh-CN"/>
              </w:rPr>
            </w:pPr>
            <w:r>
              <w:rPr>
                <w:rFonts w:hint="eastAsia" w:ascii="宋体" w:hAnsi="宋体" w:eastAsia="宋体" w:cs="Times New Roman"/>
                <w:bCs/>
                <w:color w:val="auto"/>
                <w:sz w:val="21"/>
                <w:highlight w:val="none"/>
                <w:lang w:val="en-US" w:eastAsia="zh-CN"/>
              </w:rPr>
              <w:t>本工程内容为台州初级中学校园内围墙及部分花坛拆除新建、器械活动区及篮球场地运动地板铺装等，具体详见施工图</w:t>
            </w:r>
          </w:p>
        </w:tc>
      </w:tr>
      <w:tr w14:paraId="7CE38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tcBorders>
              <w:bottom w:val="single" w:color="auto" w:sz="4" w:space="0"/>
            </w:tcBorders>
            <w:vAlign w:val="center"/>
          </w:tcPr>
          <w:p w14:paraId="6642C86D">
            <w:pPr>
              <w:jc w:val="center"/>
              <w:rPr>
                <w:rFonts w:ascii="宋体" w:hAnsi="宋体" w:eastAsia="宋体"/>
                <w:color w:val="auto"/>
                <w:sz w:val="21"/>
                <w:highlight w:val="none"/>
              </w:rPr>
            </w:pPr>
            <w:r>
              <w:rPr>
                <w:rFonts w:hint="eastAsia" w:ascii="宋体" w:hAnsi="宋体" w:eastAsia="宋体"/>
                <w:color w:val="auto"/>
                <w:sz w:val="21"/>
                <w:highlight w:val="none"/>
              </w:rPr>
              <w:t>4</w:t>
            </w:r>
          </w:p>
        </w:tc>
        <w:tc>
          <w:tcPr>
            <w:tcW w:w="861" w:type="dxa"/>
            <w:tcBorders>
              <w:bottom w:val="single" w:color="auto" w:sz="4" w:space="0"/>
            </w:tcBorders>
            <w:vAlign w:val="center"/>
          </w:tcPr>
          <w:p w14:paraId="02D3A687">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4B75D058">
            <w:pPr>
              <w:jc w:val="center"/>
              <w:rPr>
                <w:rFonts w:ascii="宋体" w:hAnsi="宋体" w:eastAsia="宋体"/>
                <w:color w:val="auto"/>
                <w:sz w:val="21"/>
                <w:highlight w:val="none"/>
              </w:rPr>
            </w:pPr>
            <w:r>
              <w:rPr>
                <w:rFonts w:hint="eastAsia" w:ascii="宋体" w:hAnsi="宋体" w:eastAsia="宋体"/>
                <w:color w:val="auto"/>
                <w:sz w:val="21"/>
                <w:highlight w:val="none"/>
              </w:rPr>
              <w:t>预算造价</w:t>
            </w:r>
          </w:p>
        </w:tc>
        <w:tc>
          <w:tcPr>
            <w:tcW w:w="5919" w:type="dxa"/>
            <w:tcBorders>
              <w:bottom w:val="single" w:color="auto" w:sz="4" w:space="0"/>
            </w:tcBorders>
            <w:vAlign w:val="center"/>
          </w:tcPr>
          <w:p w14:paraId="39E6384E">
            <w:pPr>
              <w:widowControl/>
              <w:jc w:val="left"/>
              <w:rPr>
                <w:rFonts w:ascii="宋体" w:hAnsi="宋体" w:eastAsia="宋体"/>
                <w:color w:val="auto"/>
                <w:sz w:val="21"/>
                <w:highlight w:val="none"/>
              </w:rPr>
            </w:pPr>
            <w:r>
              <w:rPr>
                <w:rFonts w:hint="eastAsia" w:ascii="宋体" w:hAnsi="宋体" w:eastAsia="宋体"/>
                <w:color w:val="auto"/>
                <w:sz w:val="21"/>
                <w:highlight w:val="none"/>
                <w:lang w:val="en-US" w:eastAsia="zh-CN"/>
              </w:rPr>
              <w:t>498900</w:t>
            </w:r>
            <w:r>
              <w:rPr>
                <w:rFonts w:hint="eastAsia" w:ascii="宋体" w:hAnsi="宋体" w:eastAsia="宋体"/>
                <w:color w:val="auto"/>
                <w:sz w:val="21"/>
                <w:highlight w:val="none"/>
              </w:rPr>
              <w:t>元（详见招标人预算书）</w:t>
            </w:r>
          </w:p>
        </w:tc>
      </w:tr>
      <w:tr w14:paraId="2A797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0065FA8A">
            <w:pPr>
              <w:jc w:val="center"/>
              <w:rPr>
                <w:rFonts w:ascii="宋体" w:hAnsi="宋体" w:eastAsia="宋体"/>
                <w:color w:val="auto"/>
                <w:sz w:val="21"/>
                <w:highlight w:val="none"/>
              </w:rPr>
            </w:pPr>
            <w:r>
              <w:rPr>
                <w:rFonts w:hint="eastAsia" w:ascii="宋体" w:hAnsi="宋体" w:eastAsia="宋体"/>
                <w:color w:val="auto"/>
                <w:sz w:val="21"/>
                <w:highlight w:val="none"/>
              </w:rPr>
              <w:t>5</w:t>
            </w:r>
          </w:p>
        </w:tc>
        <w:tc>
          <w:tcPr>
            <w:tcW w:w="861" w:type="dxa"/>
            <w:tcBorders>
              <w:bottom w:val="single" w:color="auto" w:sz="4" w:space="0"/>
            </w:tcBorders>
            <w:vAlign w:val="center"/>
          </w:tcPr>
          <w:p w14:paraId="3BABEC44">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3808D5AD">
            <w:pPr>
              <w:jc w:val="center"/>
              <w:rPr>
                <w:rFonts w:ascii="宋体" w:hAnsi="宋体" w:eastAsia="宋体"/>
                <w:color w:val="auto"/>
                <w:sz w:val="21"/>
                <w:highlight w:val="none"/>
              </w:rPr>
            </w:pPr>
            <w:r>
              <w:rPr>
                <w:rFonts w:hint="eastAsia" w:ascii="宋体" w:hAnsi="宋体" w:eastAsia="宋体"/>
                <w:color w:val="auto"/>
                <w:sz w:val="21"/>
                <w:highlight w:val="none"/>
              </w:rPr>
              <w:t>承包方式</w:t>
            </w:r>
          </w:p>
        </w:tc>
        <w:tc>
          <w:tcPr>
            <w:tcW w:w="5919" w:type="dxa"/>
            <w:tcBorders>
              <w:bottom w:val="single" w:color="auto" w:sz="4" w:space="0"/>
            </w:tcBorders>
            <w:vAlign w:val="center"/>
          </w:tcPr>
          <w:p w14:paraId="4B8ED676">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包工包料</w:t>
            </w:r>
          </w:p>
        </w:tc>
      </w:tr>
      <w:tr w14:paraId="46134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2DACBD24">
            <w:pPr>
              <w:jc w:val="center"/>
              <w:rPr>
                <w:rFonts w:ascii="宋体" w:hAnsi="宋体" w:eastAsia="宋体"/>
                <w:color w:val="auto"/>
                <w:sz w:val="21"/>
                <w:highlight w:val="none"/>
              </w:rPr>
            </w:pPr>
            <w:r>
              <w:rPr>
                <w:rFonts w:hint="eastAsia" w:ascii="宋体" w:hAnsi="宋体" w:eastAsia="宋体"/>
                <w:color w:val="auto"/>
                <w:sz w:val="21"/>
                <w:highlight w:val="none"/>
              </w:rPr>
              <w:t>6</w:t>
            </w:r>
          </w:p>
        </w:tc>
        <w:tc>
          <w:tcPr>
            <w:tcW w:w="861" w:type="dxa"/>
            <w:tcBorders>
              <w:bottom w:val="single" w:color="auto" w:sz="4" w:space="0"/>
            </w:tcBorders>
            <w:vAlign w:val="center"/>
          </w:tcPr>
          <w:p w14:paraId="56DBFE1E">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72046F44">
            <w:pPr>
              <w:jc w:val="center"/>
              <w:rPr>
                <w:rFonts w:ascii="宋体" w:hAnsi="宋体" w:eastAsia="宋体"/>
                <w:color w:val="auto"/>
                <w:sz w:val="21"/>
                <w:highlight w:val="none"/>
              </w:rPr>
            </w:pPr>
            <w:r>
              <w:rPr>
                <w:rFonts w:hint="eastAsia" w:ascii="宋体" w:hAnsi="宋体" w:eastAsia="宋体"/>
                <w:color w:val="auto"/>
                <w:sz w:val="21"/>
                <w:highlight w:val="none"/>
              </w:rPr>
              <w:t>质量标准</w:t>
            </w:r>
          </w:p>
        </w:tc>
        <w:tc>
          <w:tcPr>
            <w:tcW w:w="5919" w:type="dxa"/>
            <w:tcBorders>
              <w:bottom w:val="single" w:color="auto" w:sz="4" w:space="0"/>
            </w:tcBorders>
            <w:vAlign w:val="center"/>
          </w:tcPr>
          <w:p w14:paraId="04AA3730">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合格</w:t>
            </w:r>
          </w:p>
        </w:tc>
      </w:tr>
      <w:tr w14:paraId="547FF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7C7E0773">
            <w:pPr>
              <w:jc w:val="center"/>
              <w:rPr>
                <w:rFonts w:ascii="宋体" w:hAnsi="宋体" w:eastAsia="宋体"/>
                <w:color w:val="auto"/>
                <w:sz w:val="21"/>
                <w:highlight w:val="none"/>
              </w:rPr>
            </w:pPr>
            <w:r>
              <w:rPr>
                <w:rFonts w:hint="eastAsia" w:ascii="宋体" w:hAnsi="宋体" w:eastAsia="宋体"/>
                <w:color w:val="auto"/>
                <w:sz w:val="21"/>
                <w:highlight w:val="none"/>
              </w:rPr>
              <w:t>7</w:t>
            </w:r>
          </w:p>
        </w:tc>
        <w:tc>
          <w:tcPr>
            <w:tcW w:w="861" w:type="dxa"/>
            <w:tcBorders>
              <w:bottom w:val="single" w:color="auto" w:sz="4" w:space="0"/>
            </w:tcBorders>
            <w:vAlign w:val="center"/>
          </w:tcPr>
          <w:p w14:paraId="795B22DE">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00AA3A44">
            <w:pPr>
              <w:jc w:val="center"/>
              <w:rPr>
                <w:rFonts w:ascii="宋体" w:hAnsi="宋体" w:eastAsia="宋体"/>
                <w:color w:val="auto"/>
                <w:sz w:val="21"/>
                <w:highlight w:val="none"/>
              </w:rPr>
            </w:pPr>
            <w:r>
              <w:rPr>
                <w:rFonts w:hint="eastAsia" w:ascii="宋体" w:hAnsi="宋体" w:eastAsia="宋体"/>
                <w:color w:val="auto"/>
                <w:sz w:val="21"/>
                <w:highlight w:val="none"/>
              </w:rPr>
              <w:t>工期要求</w:t>
            </w:r>
          </w:p>
        </w:tc>
        <w:tc>
          <w:tcPr>
            <w:tcW w:w="5919" w:type="dxa"/>
            <w:tcBorders>
              <w:bottom w:val="single" w:color="auto" w:sz="4" w:space="0"/>
            </w:tcBorders>
            <w:vAlign w:val="center"/>
          </w:tcPr>
          <w:p w14:paraId="1B6ED44E">
            <w:pPr>
              <w:rPr>
                <w:rFonts w:ascii="宋体" w:hAnsi="宋体" w:eastAsia="宋体"/>
                <w:color w:val="auto"/>
                <w:sz w:val="21"/>
                <w:highlight w:val="none"/>
              </w:rPr>
            </w:pPr>
            <w:r>
              <w:rPr>
                <w:rFonts w:hint="eastAsia" w:ascii="宋体" w:hAnsi="宋体" w:eastAsia="宋体"/>
                <w:color w:val="auto"/>
                <w:sz w:val="21"/>
                <w:highlight w:val="none"/>
              </w:rPr>
              <w:t>不超过</w:t>
            </w:r>
            <w:r>
              <w:rPr>
                <w:rFonts w:hint="eastAsia" w:ascii="宋体" w:hAnsi="宋体" w:eastAsia="宋体"/>
                <w:color w:val="auto"/>
                <w:sz w:val="21"/>
                <w:highlight w:val="none"/>
                <w:u w:val="single"/>
                <w:lang w:val="en-US" w:eastAsia="zh-CN"/>
              </w:rPr>
              <w:t xml:space="preserve"> 25</w:t>
            </w:r>
            <w:r>
              <w:rPr>
                <w:rFonts w:hint="eastAsia" w:ascii="宋体" w:hAnsi="宋体" w:eastAsia="宋体"/>
                <w:color w:val="auto"/>
                <w:sz w:val="21"/>
                <w:highlight w:val="none"/>
              </w:rPr>
              <w:t>日历天</w:t>
            </w:r>
          </w:p>
        </w:tc>
      </w:tr>
      <w:tr w14:paraId="0751F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14EA143B">
            <w:pPr>
              <w:jc w:val="center"/>
              <w:rPr>
                <w:rFonts w:ascii="宋体" w:hAnsi="宋体" w:eastAsia="宋体"/>
                <w:color w:val="auto"/>
                <w:sz w:val="21"/>
                <w:highlight w:val="none"/>
              </w:rPr>
            </w:pPr>
            <w:r>
              <w:rPr>
                <w:rFonts w:hint="eastAsia" w:ascii="宋体" w:hAnsi="宋体" w:eastAsia="宋体"/>
                <w:color w:val="auto"/>
                <w:sz w:val="21"/>
                <w:highlight w:val="none"/>
              </w:rPr>
              <w:t>8</w:t>
            </w:r>
          </w:p>
        </w:tc>
        <w:tc>
          <w:tcPr>
            <w:tcW w:w="861" w:type="dxa"/>
            <w:vAlign w:val="center"/>
          </w:tcPr>
          <w:p w14:paraId="52365069">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1722" w:type="dxa"/>
            <w:vAlign w:val="center"/>
          </w:tcPr>
          <w:p w14:paraId="64C36C9B">
            <w:pPr>
              <w:jc w:val="center"/>
              <w:rPr>
                <w:rFonts w:ascii="宋体" w:hAnsi="宋体" w:eastAsia="宋体"/>
                <w:color w:val="auto"/>
                <w:sz w:val="21"/>
                <w:highlight w:val="none"/>
              </w:rPr>
            </w:pPr>
            <w:r>
              <w:rPr>
                <w:rFonts w:hint="eastAsia" w:ascii="宋体" w:hAnsi="宋体" w:eastAsia="宋体"/>
                <w:color w:val="auto"/>
                <w:sz w:val="21"/>
                <w:highlight w:val="none"/>
              </w:rPr>
              <w:t>招标方式</w:t>
            </w:r>
          </w:p>
        </w:tc>
        <w:tc>
          <w:tcPr>
            <w:tcW w:w="5919" w:type="dxa"/>
            <w:vAlign w:val="center"/>
          </w:tcPr>
          <w:p w14:paraId="55B2D4FE">
            <w:pPr>
              <w:rPr>
                <w:rFonts w:ascii="宋体" w:hAnsi="宋体" w:eastAsia="宋体"/>
                <w:color w:val="auto"/>
                <w:sz w:val="21"/>
                <w:highlight w:val="none"/>
              </w:rPr>
            </w:pPr>
            <w:r>
              <w:rPr>
                <w:rFonts w:hint="eastAsia" w:ascii="宋体" w:hAnsi="宋体" w:eastAsia="宋体"/>
                <w:color w:val="auto"/>
                <w:sz w:val="21"/>
                <w:highlight w:val="none"/>
              </w:rPr>
              <w:t>公开招标</w:t>
            </w:r>
          </w:p>
        </w:tc>
      </w:tr>
      <w:tr w14:paraId="476F4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0" w:hRule="atLeast"/>
        </w:trPr>
        <w:tc>
          <w:tcPr>
            <w:tcW w:w="682" w:type="dxa"/>
            <w:tcBorders>
              <w:bottom w:val="single" w:color="auto" w:sz="4" w:space="0"/>
            </w:tcBorders>
            <w:vAlign w:val="center"/>
          </w:tcPr>
          <w:p w14:paraId="3D83B667">
            <w:pPr>
              <w:jc w:val="center"/>
              <w:rPr>
                <w:rFonts w:ascii="宋体" w:hAnsi="宋体" w:eastAsia="宋体"/>
                <w:color w:val="auto"/>
                <w:sz w:val="21"/>
                <w:highlight w:val="none"/>
              </w:rPr>
            </w:pPr>
            <w:r>
              <w:rPr>
                <w:rFonts w:hint="eastAsia" w:ascii="宋体" w:hAnsi="宋体" w:eastAsia="宋体"/>
                <w:color w:val="auto"/>
                <w:sz w:val="21"/>
                <w:highlight w:val="none"/>
              </w:rPr>
              <w:t>9</w:t>
            </w:r>
          </w:p>
        </w:tc>
        <w:tc>
          <w:tcPr>
            <w:tcW w:w="861" w:type="dxa"/>
            <w:tcBorders>
              <w:bottom w:val="single" w:color="auto" w:sz="4" w:space="0"/>
            </w:tcBorders>
            <w:vAlign w:val="center"/>
          </w:tcPr>
          <w:p w14:paraId="4B3DB28E">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1722" w:type="dxa"/>
            <w:tcBorders>
              <w:bottom w:val="single" w:color="auto" w:sz="4" w:space="0"/>
            </w:tcBorders>
            <w:vAlign w:val="center"/>
          </w:tcPr>
          <w:p w14:paraId="7178848F">
            <w:pPr>
              <w:jc w:val="center"/>
              <w:rPr>
                <w:rFonts w:ascii="宋体" w:hAnsi="宋体" w:eastAsia="宋体"/>
                <w:color w:val="auto"/>
                <w:sz w:val="21"/>
                <w:highlight w:val="none"/>
              </w:rPr>
            </w:pPr>
            <w:r>
              <w:rPr>
                <w:rFonts w:hint="eastAsia" w:ascii="宋体" w:hAnsi="宋体" w:eastAsia="宋体"/>
                <w:color w:val="auto"/>
                <w:sz w:val="21"/>
                <w:highlight w:val="none"/>
              </w:rPr>
              <w:t>招标范围</w:t>
            </w:r>
          </w:p>
        </w:tc>
        <w:tc>
          <w:tcPr>
            <w:tcW w:w="5919" w:type="dxa"/>
            <w:tcBorders>
              <w:bottom w:val="single" w:color="auto" w:sz="4" w:space="0"/>
            </w:tcBorders>
            <w:vAlign w:val="center"/>
          </w:tcPr>
          <w:p w14:paraId="5B0FE838">
            <w:pPr>
              <w:adjustRightInd w:val="0"/>
              <w:snapToGrid w:val="0"/>
              <w:rPr>
                <w:rFonts w:ascii="宋体" w:hAnsi="宋体" w:eastAsia="宋体"/>
                <w:color w:val="auto"/>
                <w:sz w:val="21"/>
                <w:highlight w:val="none"/>
              </w:rPr>
            </w:pPr>
            <w:r>
              <w:rPr>
                <w:rFonts w:hint="eastAsia" w:ascii="宋体" w:hAnsi="宋体" w:eastAsia="宋体"/>
                <w:color w:val="auto"/>
                <w:sz w:val="21"/>
                <w:highlight w:val="none"/>
                <w:lang w:eastAsia="zh-CN"/>
              </w:rPr>
              <w:t>施工图纸及预算书范围内所包含的台州初级中学校园内围墙及部分花坛拆除新建、器械活动区及篮球场地运动地板铺装等</w:t>
            </w:r>
            <w:r>
              <w:rPr>
                <w:rFonts w:hint="eastAsia" w:ascii="宋体" w:hAnsi="宋体" w:eastAsia="宋体"/>
                <w:color w:val="auto"/>
                <w:sz w:val="21"/>
                <w:highlight w:val="none"/>
              </w:rPr>
              <w:t>，具体内容以招标人提供的</w:t>
            </w:r>
            <w:r>
              <w:rPr>
                <w:rFonts w:hint="eastAsia" w:ascii="宋体" w:hAnsi="宋体" w:eastAsia="宋体"/>
                <w:color w:val="auto"/>
                <w:sz w:val="21"/>
                <w:szCs w:val="22"/>
                <w:highlight w:val="none"/>
              </w:rPr>
              <w:t>预算书</w:t>
            </w:r>
            <w:r>
              <w:rPr>
                <w:rFonts w:hint="eastAsia" w:ascii="宋体" w:hAnsi="宋体" w:eastAsia="宋体"/>
                <w:color w:val="auto"/>
                <w:sz w:val="21"/>
                <w:highlight w:val="none"/>
              </w:rPr>
              <w:t>为准。</w:t>
            </w:r>
          </w:p>
        </w:tc>
      </w:tr>
      <w:tr w14:paraId="79167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tcBorders>
              <w:bottom w:val="single" w:color="auto" w:sz="4" w:space="0"/>
            </w:tcBorders>
            <w:vAlign w:val="center"/>
          </w:tcPr>
          <w:p w14:paraId="4332911E">
            <w:pPr>
              <w:jc w:val="center"/>
              <w:rPr>
                <w:rFonts w:ascii="宋体" w:hAnsi="宋体" w:eastAsia="宋体"/>
                <w:color w:val="auto"/>
                <w:sz w:val="21"/>
                <w:highlight w:val="none"/>
              </w:rPr>
            </w:pPr>
            <w:r>
              <w:rPr>
                <w:rFonts w:hint="eastAsia" w:ascii="宋体" w:hAnsi="宋体" w:eastAsia="宋体"/>
                <w:color w:val="auto"/>
                <w:sz w:val="21"/>
                <w:highlight w:val="none"/>
              </w:rPr>
              <w:t>10</w:t>
            </w:r>
          </w:p>
        </w:tc>
        <w:tc>
          <w:tcPr>
            <w:tcW w:w="861" w:type="dxa"/>
            <w:tcBorders>
              <w:bottom w:val="single" w:color="auto" w:sz="4" w:space="0"/>
            </w:tcBorders>
            <w:vAlign w:val="center"/>
          </w:tcPr>
          <w:p w14:paraId="0B455A51">
            <w:pPr>
              <w:jc w:val="center"/>
              <w:rPr>
                <w:rFonts w:ascii="宋体" w:hAnsi="宋体" w:eastAsia="宋体"/>
                <w:color w:val="auto"/>
                <w:sz w:val="21"/>
                <w:highlight w:val="none"/>
              </w:rPr>
            </w:pPr>
            <w:r>
              <w:rPr>
                <w:rFonts w:hint="eastAsia" w:ascii="宋体" w:hAnsi="宋体" w:eastAsia="宋体"/>
                <w:color w:val="auto"/>
                <w:sz w:val="21"/>
                <w:highlight w:val="none"/>
              </w:rPr>
              <w:t>3.1</w:t>
            </w:r>
          </w:p>
        </w:tc>
        <w:tc>
          <w:tcPr>
            <w:tcW w:w="1722" w:type="dxa"/>
            <w:tcBorders>
              <w:bottom w:val="single" w:color="auto" w:sz="4" w:space="0"/>
            </w:tcBorders>
            <w:vAlign w:val="center"/>
          </w:tcPr>
          <w:p w14:paraId="7A2CBC7B">
            <w:pPr>
              <w:jc w:val="center"/>
              <w:rPr>
                <w:rFonts w:ascii="宋体" w:hAnsi="宋体" w:eastAsia="宋体"/>
                <w:color w:val="auto"/>
                <w:sz w:val="21"/>
                <w:highlight w:val="none"/>
              </w:rPr>
            </w:pPr>
            <w:r>
              <w:rPr>
                <w:rFonts w:hint="eastAsia" w:ascii="宋体" w:hAnsi="宋体" w:eastAsia="宋体"/>
                <w:color w:val="auto"/>
                <w:sz w:val="21"/>
                <w:highlight w:val="none"/>
              </w:rPr>
              <w:t>资金来源</w:t>
            </w:r>
          </w:p>
        </w:tc>
        <w:tc>
          <w:tcPr>
            <w:tcW w:w="5919" w:type="dxa"/>
            <w:tcBorders>
              <w:bottom w:val="single" w:color="auto" w:sz="4" w:space="0"/>
            </w:tcBorders>
            <w:vAlign w:val="center"/>
          </w:tcPr>
          <w:p w14:paraId="53806051">
            <w:pPr>
              <w:adjustRightInd w:val="0"/>
              <w:snapToGrid w:val="0"/>
              <w:rPr>
                <w:rFonts w:hint="eastAsia" w:ascii="宋体" w:hAnsi="宋体" w:eastAsia="宋体"/>
                <w:color w:val="auto"/>
                <w:sz w:val="21"/>
                <w:highlight w:val="none"/>
                <w:lang w:eastAsia="zh-CN"/>
              </w:rPr>
            </w:pPr>
            <w:r>
              <w:rPr>
                <w:rFonts w:hint="eastAsia" w:ascii="宋体" w:hAnsi="宋体" w:eastAsia="宋体"/>
                <w:color w:val="auto"/>
                <w:sz w:val="21"/>
                <w:highlight w:val="none"/>
                <w:lang w:eastAsia="zh-CN"/>
              </w:rPr>
              <w:t>财政</w:t>
            </w:r>
          </w:p>
        </w:tc>
      </w:tr>
      <w:tr w14:paraId="0785F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tcBorders>
              <w:bottom w:val="single" w:color="auto" w:sz="4" w:space="0"/>
            </w:tcBorders>
            <w:vAlign w:val="center"/>
          </w:tcPr>
          <w:p w14:paraId="3AB80E4C">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861" w:type="dxa"/>
            <w:tcBorders>
              <w:bottom w:val="single" w:color="auto" w:sz="4" w:space="0"/>
            </w:tcBorders>
            <w:vAlign w:val="center"/>
          </w:tcPr>
          <w:p w14:paraId="1DA71500">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722" w:type="dxa"/>
            <w:tcBorders>
              <w:bottom w:val="single" w:color="auto" w:sz="4" w:space="0"/>
            </w:tcBorders>
            <w:vAlign w:val="center"/>
          </w:tcPr>
          <w:p w14:paraId="43939D77">
            <w:pPr>
              <w:jc w:val="center"/>
              <w:rPr>
                <w:rFonts w:ascii="宋体" w:hAnsi="宋体" w:eastAsia="宋体"/>
                <w:color w:val="auto"/>
                <w:sz w:val="21"/>
                <w:highlight w:val="none"/>
              </w:rPr>
            </w:pPr>
            <w:r>
              <w:rPr>
                <w:rFonts w:hint="eastAsia" w:ascii="宋体" w:hAnsi="宋体" w:eastAsia="宋体"/>
                <w:color w:val="auto"/>
                <w:sz w:val="21"/>
                <w:highlight w:val="none"/>
              </w:rPr>
              <w:t>投标人要求</w:t>
            </w:r>
          </w:p>
        </w:tc>
        <w:tc>
          <w:tcPr>
            <w:tcW w:w="5919" w:type="dxa"/>
            <w:tcBorders>
              <w:bottom w:val="single" w:color="auto" w:sz="4" w:space="0"/>
            </w:tcBorders>
            <w:vAlign w:val="center"/>
          </w:tcPr>
          <w:p w14:paraId="63D31A86">
            <w:pPr>
              <w:rPr>
                <w:rFonts w:ascii="宋体" w:hAnsi="宋体" w:eastAsia="宋体"/>
                <w:color w:val="auto"/>
                <w:sz w:val="21"/>
                <w:highlight w:val="none"/>
              </w:rPr>
            </w:pPr>
            <w:r>
              <w:rPr>
                <w:rFonts w:hint="eastAsia" w:ascii="宋体" w:hAnsi="宋体" w:eastAsia="宋体"/>
                <w:color w:val="auto"/>
                <w:sz w:val="21"/>
                <w:highlight w:val="none"/>
              </w:rPr>
              <w:t>全国范围内市政公用工程施工总承包三级及以上资质；</w:t>
            </w:r>
          </w:p>
        </w:tc>
      </w:tr>
      <w:tr w14:paraId="254B6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462AF599">
            <w:pPr>
              <w:jc w:val="center"/>
              <w:rPr>
                <w:rFonts w:ascii="宋体" w:hAnsi="宋体" w:eastAsia="宋体"/>
                <w:color w:val="auto"/>
                <w:sz w:val="21"/>
                <w:highlight w:val="none"/>
              </w:rPr>
            </w:pPr>
            <w:r>
              <w:rPr>
                <w:rFonts w:hint="eastAsia" w:ascii="宋体" w:hAnsi="宋体" w:eastAsia="宋体"/>
                <w:color w:val="auto"/>
                <w:sz w:val="21"/>
                <w:highlight w:val="none"/>
              </w:rPr>
              <w:t>12</w:t>
            </w:r>
          </w:p>
        </w:tc>
        <w:tc>
          <w:tcPr>
            <w:tcW w:w="861" w:type="dxa"/>
            <w:vAlign w:val="center"/>
          </w:tcPr>
          <w:p w14:paraId="7DC650AB">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722" w:type="dxa"/>
            <w:vAlign w:val="center"/>
          </w:tcPr>
          <w:p w14:paraId="6E943D13">
            <w:pPr>
              <w:jc w:val="center"/>
              <w:rPr>
                <w:rFonts w:ascii="宋体" w:hAnsi="宋体" w:eastAsia="宋体"/>
                <w:color w:val="auto"/>
                <w:sz w:val="21"/>
                <w:highlight w:val="none"/>
              </w:rPr>
            </w:pPr>
            <w:r>
              <w:rPr>
                <w:rFonts w:hint="eastAsia" w:ascii="宋体" w:hAnsi="宋体" w:eastAsia="宋体"/>
                <w:color w:val="auto"/>
                <w:sz w:val="21"/>
                <w:highlight w:val="none"/>
              </w:rPr>
              <w:t>项目负责人要求</w:t>
            </w:r>
          </w:p>
        </w:tc>
        <w:tc>
          <w:tcPr>
            <w:tcW w:w="5919" w:type="dxa"/>
            <w:vAlign w:val="center"/>
          </w:tcPr>
          <w:p w14:paraId="4BB0F634">
            <w:pPr>
              <w:rPr>
                <w:rFonts w:ascii="宋体" w:hAnsi="宋体" w:eastAsia="宋体"/>
                <w:color w:val="auto"/>
                <w:sz w:val="21"/>
                <w:highlight w:val="none"/>
              </w:rPr>
            </w:pPr>
            <w:r>
              <w:rPr>
                <w:rFonts w:hint="eastAsia" w:ascii="宋体" w:hAnsi="宋体" w:eastAsia="宋体"/>
                <w:color w:val="auto"/>
                <w:sz w:val="21"/>
                <w:highlight w:val="none"/>
              </w:rPr>
              <w:t>注册建造师（市政公用工程）二级及以上；</w:t>
            </w:r>
          </w:p>
        </w:tc>
      </w:tr>
      <w:tr w14:paraId="41B8B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82" w:type="dxa"/>
            <w:vAlign w:val="center"/>
          </w:tcPr>
          <w:p w14:paraId="6030B2CE">
            <w:pPr>
              <w:jc w:val="center"/>
              <w:rPr>
                <w:rFonts w:ascii="宋体" w:hAnsi="宋体" w:eastAsia="宋体"/>
                <w:color w:val="auto"/>
                <w:sz w:val="21"/>
                <w:highlight w:val="none"/>
              </w:rPr>
            </w:pPr>
            <w:r>
              <w:rPr>
                <w:rFonts w:hint="eastAsia" w:ascii="宋体" w:hAnsi="宋体" w:eastAsia="宋体"/>
                <w:color w:val="auto"/>
                <w:sz w:val="21"/>
                <w:highlight w:val="none"/>
              </w:rPr>
              <w:t>13</w:t>
            </w:r>
          </w:p>
        </w:tc>
        <w:tc>
          <w:tcPr>
            <w:tcW w:w="861" w:type="dxa"/>
            <w:vAlign w:val="center"/>
          </w:tcPr>
          <w:p w14:paraId="2450C54B">
            <w:pPr>
              <w:jc w:val="center"/>
              <w:rPr>
                <w:rFonts w:ascii="宋体" w:hAnsi="宋体" w:eastAsia="宋体"/>
                <w:color w:val="auto"/>
                <w:sz w:val="21"/>
                <w:highlight w:val="none"/>
              </w:rPr>
            </w:pPr>
            <w:r>
              <w:rPr>
                <w:rFonts w:hint="eastAsia" w:ascii="宋体" w:hAnsi="宋体" w:eastAsia="宋体"/>
                <w:color w:val="auto"/>
                <w:sz w:val="21"/>
                <w:highlight w:val="none"/>
              </w:rPr>
              <w:t>4.2</w:t>
            </w:r>
          </w:p>
        </w:tc>
        <w:tc>
          <w:tcPr>
            <w:tcW w:w="1722" w:type="dxa"/>
            <w:vAlign w:val="center"/>
          </w:tcPr>
          <w:p w14:paraId="227904D8">
            <w:pPr>
              <w:jc w:val="center"/>
              <w:rPr>
                <w:rFonts w:ascii="宋体" w:hAnsi="宋体" w:eastAsia="宋体"/>
                <w:color w:val="auto"/>
                <w:sz w:val="21"/>
                <w:highlight w:val="none"/>
              </w:rPr>
            </w:pPr>
            <w:r>
              <w:rPr>
                <w:rFonts w:hint="eastAsia" w:ascii="宋体" w:hAnsi="宋体" w:eastAsia="宋体"/>
                <w:color w:val="auto"/>
                <w:sz w:val="21"/>
                <w:highlight w:val="none"/>
              </w:rPr>
              <w:t>投标人确定方式</w:t>
            </w:r>
          </w:p>
        </w:tc>
        <w:tc>
          <w:tcPr>
            <w:tcW w:w="5919" w:type="dxa"/>
            <w:vAlign w:val="center"/>
          </w:tcPr>
          <w:p w14:paraId="3DAD9D92">
            <w:pPr>
              <w:rPr>
                <w:rFonts w:ascii="宋体" w:hAnsi="宋体" w:eastAsia="宋体"/>
                <w:color w:val="auto"/>
                <w:sz w:val="21"/>
                <w:highlight w:val="none"/>
              </w:rPr>
            </w:pPr>
            <w:r>
              <w:rPr>
                <w:rFonts w:hint="eastAsia" w:ascii="宋体" w:hAnsi="宋体" w:eastAsia="宋体"/>
                <w:color w:val="auto"/>
                <w:sz w:val="21"/>
                <w:highlight w:val="none"/>
              </w:rPr>
              <w:t>资格后审</w:t>
            </w:r>
          </w:p>
        </w:tc>
      </w:tr>
      <w:tr w14:paraId="06BA6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7B628321">
            <w:pPr>
              <w:jc w:val="center"/>
              <w:rPr>
                <w:rFonts w:ascii="宋体" w:hAnsi="宋体" w:eastAsia="宋体"/>
                <w:color w:val="auto"/>
                <w:sz w:val="21"/>
                <w:highlight w:val="none"/>
              </w:rPr>
            </w:pPr>
            <w:r>
              <w:rPr>
                <w:rFonts w:hint="eastAsia" w:ascii="宋体" w:hAnsi="宋体" w:eastAsia="宋体"/>
                <w:color w:val="auto"/>
                <w:sz w:val="21"/>
                <w:highlight w:val="none"/>
              </w:rPr>
              <w:t>14</w:t>
            </w:r>
          </w:p>
        </w:tc>
        <w:tc>
          <w:tcPr>
            <w:tcW w:w="861" w:type="dxa"/>
            <w:vAlign w:val="center"/>
          </w:tcPr>
          <w:p w14:paraId="555B38DB">
            <w:pPr>
              <w:jc w:val="center"/>
              <w:rPr>
                <w:rFonts w:ascii="宋体" w:hAnsi="宋体" w:eastAsia="宋体"/>
                <w:color w:val="auto"/>
                <w:sz w:val="21"/>
                <w:highlight w:val="none"/>
              </w:rPr>
            </w:pPr>
            <w:r>
              <w:rPr>
                <w:rFonts w:hint="eastAsia" w:ascii="宋体" w:hAnsi="宋体" w:eastAsia="宋体"/>
                <w:color w:val="auto"/>
                <w:sz w:val="21"/>
                <w:highlight w:val="none"/>
              </w:rPr>
              <w:t>13.1</w:t>
            </w:r>
          </w:p>
        </w:tc>
        <w:tc>
          <w:tcPr>
            <w:tcW w:w="1722" w:type="dxa"/>
            <w:vAlign w:val="center"/>
          </w:tcPr>
          <w:p w14:paraId="4E43D4FE">
            <w:pPr>
              <w:jc w:val="center"/>
              <w:rPr>
                <w:rFonts w:ascii="宋体" w:hAnsi="宋体" w:eastAsia="宋体"/>
                <w:color w:val="auto"/>
                <w:sz w:val="21"/>
                <w:highlight w:val="none"/>
              </w:rPr>
            </w:pPr>
            <w:r>
              <w:rPr>
                <w:rFonts w:hint="eastAsia" w:ascii="宋体" w:hAnsi="宋体" w:eastAsia="宋体"/>
                <w:color w:val="auto"/>
                <w:sz w:val="21"/>
                <w:highlight w:val="none"/>
              </w:rPr>
              <w:t>电子投标文件组成</w:t>
            </w:r>
          </w:p>
        </w:tc>
        <w:tc>
          <w:tcPr>
            <w:tcW w:w="5919" w:type="dxa"/>
          </w:tcPr>
          <w:p w14:paraId="2CB2B9FE">
            <w:pPr>
              <w:adjustRightInd w:val="0"/>
              <w:snapToGrid w:val="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电子投标文件包括商务标和资信标。</w:t>
            </w:r>
          </w:p>
          <w:p w14:paraId="5E691665">
            <w:pPr>
              <w:ind w:left="-5"/>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（一）、商务标包括以下内容：</w:t>
            </w:r>
          </w:p>
          <w:p w14:paraId="622BD5C0">
            <w:pPr>
              <w:ind w:left="-5" w:firstLine="420" w:firstLineChars="200"/>
              <w:rPr>
                <w:rFonts w:ascii="宋体" w:hAnsi="宋体" w:eastAsia="宋体" w:cs="宋体"/>
                <w:color w:val="auto"/>
                <w:sz w:val="21"/>
                <w:szCs w:val="21"/>
                <w:highlight w:val="none"/>
              </w:rPr>
            </w:pPr>
            <w:r>
              <w:rPr>
                <w:rFonts w:hint="eastAsia" w:ascii="宋体" w:hAnsi="宋体" w:eastAsia="宋体"/>
                <w:color w:val="auto"/>
                <w:sz w:val="21"/>
                <w:szCs w:val="22"/>
                <w:highlight w:val="none"/>
              </w:rPr>
              <w:t>（1）</w:t>
            </w:r>
            <w:r>
              <w:rPr>
                <w:rFonts w:hint="eastAsia" w:ascii="宋体" w:hAnsi="宋体" w:eastAsia="宋体"/>
                <w:color w:val="auto"/>
                <w:sz w:val="21"/>
                <w:highlight w:val="none"/>
              </w:rPr>
              <w:t>投标函（附件一）。</w:t>
            </w:r>
          </w:p>
          <w:p w14:paraId="530339C5">
            <w:pPr>
              <w:rPr>
                <w:rFonts w:ascii="宋体" w:hAnsi="宋体" w:eastAsia="宋体"/>
                <w:b/>
                <w:color w:val="auto"/>
                <w:sz w:val="21"/>
                <w:highlight w:val="none"/>
              </w:rPr>
            </w:pPr>
            <w:r>
              <w:rPr>
                <w:rFonts w:hint="eastAsia" w:ascii="宋体" w:hAnsi="宋体" w:eastAsia="宋体"/>
                <w:b/>
                <w:color w:val="auto"/>
                <w:sz w:val="21"/>
                <w:highlight w:val="none"/>
              </w:rPr>
              <w:t>（二）、</w:t>
            </w:r>
            <w:r>
              <w:rPr>
                <w:rFonts w:hint="eastAsia" w:ascii="宋体" w:hAnsi="宋体" w:eastAsia="宋体" w:cs="宋体"/>
                <w:b/>
                <w:color w:val="auto"/>
                <w:sz w:val="21"/>
                <w:szCs w:val="21"/>
                <w:highlight w:val="none"/>
              </w:rPr>
              <w:t>资信标包括以下内容</w:t>
            </w:r>
            <w:r>
              <w:rPr>
                <w:rFonts w:hint="eastAsia" w:ascii="宋体" w:hAnsi="宋体" w:eastAsia="宋体"/>
                <w:b/>
                <w:color w:val="auto"/>
                <w:sz w:val="21"/>
                <w:highlight w:val="none"/>
              </w:rPr>
              <w:t>：</w:t>
            </w:r>
          </w:p>
          <w:p w14:paraId="5FC6F000">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olor w:val="auto"/>
                <w:sz w:val="21"/>
                <w:szCs w:val="22"/>
                <w:highlight w:val="none"/>
              </w:rPr>
              <w:t>临海市建设工程安全生产任职资格承诺书</w:t>
            </w:r>
            <w:r>
              <w:rPr>
                <w:rFonts w:hint="eastAsia" w:ascii="宋体" w:hAnsi="宋体" w:eastAsia="宋体" w:cs="宋体"/>
                <w:color w:val="auto"/>
                <w:sz w:val="21"/>
                <w:szCs w:val="21"/>
                <w:highlight w:val="none"/>
              </w:rPr>
              <w:t>（附件二）；</w:t>
            </w:r>
          </w:p>
          <w:p w14:paraId="4C3E3A66">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color w:val="auto"/>
                <w:sz w:val="21"/>
                <w:szCs w:val="21"/>
                <w:highlight w:val="none"/>
              </w:rPr>
              <w:t>项目负责人简历表（附件三）；</w:t>
            </w:r>
          </w:p>
          <w:p w14:paraId="27494A74">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（3）技术负责人简历表（附件四）；</w:t>
            </w:r>
          </w:p>
          <w:p w14:paraId="00E1B01D">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（4）项目负责人在建项目承诺书（附件五）；</w:t>
            </w:r>
          </w:p>
          <w:p w14:paraId="59383D75">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（5）主要施工机械设备表（附件六）；</w:t>
            </w:r>
          </w:p>
          <w:p w14:paraId="2D652B56">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（6）</w:t>
            </w:r>
            <w:r>
              <w:rPr>
                <w:rFonts w:hint="eastAsia" w:ascii="宋体" w:hAnsi="宋体" w:eastAsia="宋体" w:cs="宋体"/>
                <w:color w:val="auto"/>
                <w:sz w:val="21"/>
                <w:szCs w:val="21"/>
                <w:highlight w:val="none"/>
              </w:rPr>
              <w:t>临海市建设工程诚信投标承诺书（投标文件格式七）；</w:t>
            </w:r>
          </w:p>
          <w:p w14:paraId="17F72D7F">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（7）法定代表人授权委托书（投标文件格式八）或法定代表人身份证明（投标文件格式九）</w:t>
            </w:r>
            <w:r>
              <w:rPr>
                <w:rFonts w:hint="eastAsia" w:ascii="宋体" w:hAnsi="宋体" w:eastAsia="宋体" w:cs="宋体"/>
                <w:color w:val="auto"/>
                <w:sz w:val="21"/>
                <w:szCs w:val="21"/>
                <w:highlight w:val="none"/>
              </w:rPr>
              <w:t>；</w:t>
            </w:r>
          </w:p>
          <w:p w14:paraId="139CBCBF">
            <w:pPr>
              <w:spacing w:line="300" w:lineRule="exact"/>
              <w:ind w:firstLine="420" w:firstLineChars="200"/>
              <w:rPr>
                <w:rFonts w:ascii="宋体" w:hAnsi="宋体" w:eastAsia="宋体"/>
                <w:b/>
                <w:color w:val="auto"/>
                <w:sz w:val="21"/>
                <w:highlight w:val="none"/>
              </w:rPr>
            </w:pPr>
            <w:r>
              <w:rPr>
                <w:rFonts w:hint="eastAsia" w:ascii="宋体" w:hAnsi="宋体" w:eastAsia="宋体" w:cs="宋体"/>
                <w:color w:val="auto"/>
                <w:sz w:val="21"/>
                <w:szCs w:val="21"/>
                <w:highlight w:val="none"/>
              </w:rPr>
              <w:t>（8）证书材料（仅提供证书扫描件或电子证书）：</w:t>
            </w:r>
            <w:r>
              <w:rPr>
                <w:rFonts w:ascii="宋体" w:hAnsi="宋体" w:eastAsia="宋体"/>
                <w:b/>
                <w:color w:val="auto"/>
                <w:sz w:val="21"/>
                <w:highlight w:val="none"/>
              </w:rPr>
              <w:t xml:space="preserve"> </w:t>
            </w:r>
          </w:p>
          <w:p w14:paraId="629D2408">
            <w:pPr>
              <w:spacing w:line="288" w:lineRule="auto"/>
              <w:ind w:right="200" w:firstLine="420" w:firstLineChars="200"/>
              <w:rPr>
                <w:rFonts w:ascii="宋体" w:hAnsi="宋体" w:eastAsia="宋体"/>
                <w:b/>
                <w:color w:val="auto"/>
                <w:sz w:val="21"/>
                <w:highlight w:val="none"/>
              </w:rPr>
            </w:pPr>
            <w:r>
              <w:rPr>
                <w:rFonts w:hint="eastAsia" w:ascii="宋体" w:hAnsi="宋体" w:eastAsia="宋体"/>
                <w:color w:val="auto"/>
                <w:sz w:val="21"/>
                <w:highlight w:val="none"/>
              </w:rPr>
              <w:t>①《建筑业企业资质证书》</w:t>
            </w:r>
            <w:r>
              <w:rPr>
                <w:rFonts w:hint="eastAsia" w:ascii="宋体" w:hAnsi="宋体" w:eastAsia="宋体"/>
                <w:b/>
                <w:color w:val="auto"/>
                <w:sz w:val="21"/>
                <w:highlight w:val="none"/>
              </w:rPr>
              <w:t>；（若为住房和城乡建设部同意企业资质电子化试点的省、市可提供企业电子资质证书），投标人提供的《建筑业企业资质证书》上的有关内容真实性均以全国建筑市场监管公共服务平台查询网址：</w:t>
            </w:r>
            <w:r>
              <w:rPr>
                <w:color w:val="auto"/>
                <w:highlight w:val="none"/>
              </w:rPr>
              <w:fldChar w:fldCharType="begin"/>
            </w:r>
            <w:r>
              <w:rPr>
                <w:color w:val="auto"/>
                <w:highlight w:val="none"/>
              </w:rPr>
              <w:instrText xml:space="preserve"> HYPERLINK "http://jzsc.mohurd.gov.cn/（或省、直辖市相应平台）中查询结果为准。" </w:instrText>
            </w:r>
            <w:r>
              <w:rPr>
                <w:color w:val="auto"/>
                <w:highlight w:val="none"/>
              </w:rPr>
              <w:fldChar w:fldCharType="separate"/>
            </w:r>
            <w:r>
              <w:rPr>
                <w:rFonts w:hint="eastAsia" w:ascii="宋体" w:hAnsi="宋体" w:eastAsia="宋体"/>
                <w:b/>
                <w:color w:val="auto"/>
                <w:sz w:val="21"/>
                <w:highlight w:val="none"/>
              </w:rPr>
              <w:t>http://jzsc.mohurd.gov.cn/（或省、直辖市相应平台）中查询结果为准</w:t>
            </w:r>
            <w:r>
              <w:rPr>
                <w:rFonts w:hint="eastAsia" w:ascii="宋体" w:hAnsi="宋体" w:eastAsia="宋体"/>
                <w:b/>
                <w:color w:val="auto"/>
                <w:sz w:val="21"/>
                <w:highlight w:val="none"/>
              </w:rPr>
              <w:fldChar w:fldCharType="end"/>
            </w:r>
            <w:r>
              <w:rPr>
                <w:rFonts w:hint="eastAsia" w:ascii="宋体" w:hAnsi="宋体" w:eastAsia="宋体"/>
                <w:b/>
                <w:color w:val="auto"/>
                <w:sz w:val="21"/>
                <w:highlight w:val="none"/>
              </w:rPr>
              <w:t>；</w:t>
            </w:r>
          </w:p>
          <w:p w14:paraId="4492B3CF">
            <w:pPr>
              <w:pStyle w:val="5"/>
              <w:adjustRightInd w:val="0"/>
              <w:ind w:firstLine="422"/>
              <w:rPr>
                <w:rFonts w:ascii="宋体" w:hAnsi="宋体" w:eastAsia="宋体" w:cs="宋体"/>
                <w:color w:val="auto"/>
                <w:sz w:val="21"/>
                <w:szCs w:val="21"/>
                <w:highlight w:val="none"/>
              </w:rPr>
            </w:pPr>
            <w:r>
              <w:rPr>
                <w:rFonts w:hint="eastAsia" w:ascii="宋体" w:hAnsi="宋体" w:eastAsia="宋体"/>
                <w:color w:val="auto"/>
                <w:sz w:val="21"/>
                <w:szCs w:val="22"/>
                <w:highlight w:val="none"/>
              </w:rPr>
              <w:t>②</w:t>
            </w:r>
            <w:r>
              <w:rPr>
                <w:rFonts w:ascii="宋体" w:hAnsi="宋体" w:eastAsia="宋体" w:cs="宋体"/>
                <w:color w:val="auto"/>
                <w:sz w:val="21"/>
                <w:szCs w:val="21"/>
                <w:highlight w:val="none"/>
              </w:rPr>
              <w:t>企业</w:t>
            </w:r>
            <w:r>
              <w:rPr>
                <w:rFonts w:hint="eastAsia" w:ascii="宋体" w:hAnsi="宋体" w:eastAsia="宋体" w:cs="宋体"/>
                <w:color w:val="auto"/>
                <w:sz w:val="21"/>
                <w:szCs w:val="21"/>
                <w:highlight w:val="none"/>
              </w:rPr>
              <w:t>法定代表人、项目负责人身份证扫描件；</w:t>
            </w:r>
          </w:p>
          <w:p w14:paraId="4B8A438C">
            <w:pPr>
              <w:pStyle w:val="5"/>
              <w:adjustRightInd w:val="0"/>
              <w:ind w:firstLine="422"/>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投标文件中注明签署或盖章的，投标人均应按要求进行电子签署或盖章。</w:t>
            </w:r>
          </w:p>
          <w:p w14:paraId="430FFA2D">
            <w:pPr>
              <w:spacing w:line="300" w:lineRule="exact"/>
              <w:ind w:firstLine="420" w:firstLineChars="200"/>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③项目负责人的《建造师注册证书》。投标人拟派项目负责人的建造师证书须采用电子证书打印件扫描上传。其中一级建造师电子证书须执行住房和城乡建设部的文件（建办市〔2021〕40号）的相关规定。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color w:val="auto"/>
                <w:sz w:val="21"/>
                <w:szCs w:val="21"/>
                <w:highlight w:val="none"/>
              </w:rPr>
              <w:t>一级建造师电子证书打印后，应在个人签名处手写本人签名，未手写签名或与签名图像笔迹不一致的，该电子证书无效。</w:t>
            </w:r>
          </w:p>
          <w:p w14:paraId="58608E79">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④《省外企业进浙承接业务备案证明》或“浙江省建筑市场监管公共服务系统”对外发布的通过审核形成的备案信息网页截图（仅指浙江省省外企业）；</w:t>
            </w:r>
          </w:p>
          <w:p w14:paraId="4CEF592A">
            <w:pPr>
              <w:spacing w:line="300" w:lineRule="exact"/>
              <w:ind w:firstLine="422" w:firstLineChars="20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投标文件中注明签署或盖章的，投标人均应按要求进行电子签署或盖章。</w:t>
            </w:r>
          </w:p>
          <w:p w14:paraId="302FDC4F">
            <w:pPr>
              <w:spacing w:beforeLines="50"/>
              <w:ind w:firstLine="420"/>
              <w:rPr>
                <w:rFonts w:ascii="宋体" w:hAnsi="宋体" w:eastAsia="宋体" w:cs="宋体"/>
                <w:color w:val="auto"/>
                <w:sz w:val="21"/>
                <w:szCs w:val="21"/>
                <w:highlight w:val="none"/>
              </w:rPr>
            </w:pPr>
            <w:r>
              <w:rPr>
                <w:rFonts w:hint="eastAsia" w:ascii="宋体" w:hAnsi="宋体" w:eastAsia="宋体"/>
                <w:b/>
                <w:color w:val="auto"/>
                <w:sz w:val="21"/>
                <w:szCs w:val="21"/>
                <w:highlight w:val="none"/>
              </w:rPr>
              <w:t>资料不全（模糊不清者视为不全），资格审查不予通过。资格审查未通过，无资格进入下阶段评审。</w:t>
            </w:r>
          </w:p>
        </w:tc>
      </w:tr>
      <w:tr w14:paraId="7A9C1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3E9AA487">
            <w:pPr>
              <w:jc w:val="center"/>
              <w:rPr>
                <w:rFonts w:ascii="宋体" w:hAnsi="宋体" w:eastAsia="宋体"/>
                <w:color w:val="auto"/>
                <w:sz w:val="21"/>
                <w:highlight w:val="none"/>
              </w:rPr>
            </w:pPr>
            <w:r>
              <w:rPr>
                <w:rFonts w:hint="eastAsia" w:ascii="宋体" w:hAnsi="宋体" w:eastAsia="宋体"/>
                <w:color w:val="auto"/>
                <w:sz w:val="21"/>
                <w:highlight w:val="none"/>
              </w:rPr>
              <w:t>15</w:t>
            </w:r>
          </w:p>
        </w:tc>
        <w:tc>
          <w:tcPr>
            <w:tcW w:w="861" w:type="dxa"/>
            <w:vAlign w:val="center"/>
          </w:tcPr>
          <w:p w14:paraId="664295F7">
            <w:pPr>
              <w:jc w:val="center"/>
              <w:rPr>
                <w:rFonts w:ascii="宋体" w:hAnsi="宋体" w:eastAsia="宋体"/>
                <w:color w:val="auto"/>
                <w:sz w:val="21"/>
                <w:highlight w:val="none"/>
              </w:rPr>
            </w:pPr>
            <w:r>
              <w:rPr>
                <w:rFonts w:hint="eastAsia" w:ascii="宋体" w:hAnsi="宋体" w:eastAsia="宋体"/>
                <w:color w:val="auto"/>
                <w:sz w:val="21"/>
                <w:highlight w:val="none"/>
              </w:rPr>
              <w:t>14.1</w:t>
            </w:r>
          </w:p>
        </w:tc>
        <w:tc>
          <w:tcPr>
            <w:tcW w:w="1722" w:type="dxa"/>
            <w:vAlign w:val="center"/>
          </w:tcPr>
          <w:p w14:paraId="0DF7FED6">
            <w:pPr>
              <w:jc w:val="center"/>
              <w:rPr>
                <w:rFonts w:ascii="宋体" w:hAnsi="宋体" w:eastAsia="宋体"/>
                <w:color w:val="auto"/>
                <w:sz w:val="21"/>
                <w:highlight w:val="none"/>
              </w:rPr>
            </w:pPr>
            <w:r>
              <w:rPr>
                <w:rFonts w:hint="eastAsia" w:ascii="宋体" w:hAnsi="宋体" w:eastAsia="宋体"/>
                <w:color w:val="auto"/>
                <w:sz w:val="21"/>
                <w:highlight w:val="none"/>
              </w:rPr>
              <w:t>投标文件格式</w:t>
            </w:r>
          </w:p>
        </w:tc>
        <w:tc>
          <w:tcPr>
            <w:tcW w:w="5919" w:type="dxa"/>
            <w:vAlign w:val="center"/>
          </w:tcPr>
          <w:p w14:paraId="5FE0D43B">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1、投标人应使用招标文件中提供的附件格式。表格如不够用时，可以按同样格式扩展。</w:t>
            </w:r>
          </w:p>
          <w:p w14:paraId="16CABE13">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2、投标人投标文件所用的纸张建议采用</w:t>
            </w:r>
            <w:r>
              <w:rPr>
                <w:rFonts w:ascii="宋体" w:hAnsi="宋体" w:eastAsia="宋体"/>
                <w:color w:val="auto"/>
                <w:sz w:val="21"/>
                <w:highlight w:val="none"/>
              </w:rPr>
              <w:t>A4</w:t>
            </w:r>
            <w:r>
              <w:rPr>
                <w:rFonts w:hint="eastAsia" w:ascii="宋体" w:hAnsi="宋体" w:eastAsia="宋体"/>
                <w:color w:val="auto"/>
                <w:sz w:val="21"/>
                <w:highlight w:val="none"/>
              </w:rPr>
              <w:t>型纸，图表可根据需要作适当扩展。</w:t>
            </w:r>
          </w:p>
        </w:tc>
      </w:tr>
      <w:tr w14:paraId="6BF08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trPr>
        <w:tc>
          <w:tcPr>
            <w:tcW w:w="682" w:type="dxa"/>
            <w:vAlign w:val="center"/>
          </w:tcPr>
          <w:p w14:paraId="3E16665A">
            <w:pPr>
              <w:jc w:val="center"/>
              <w:rPr>
                <w:rFonts w:ascii="宋体" w:hAnsi="宋体" w:eastAsia="宋体"/>
                <w:color w:val="auto"/>
                <w:sz w:val="21"/>
                <w:highlight w:val="none"/>
              </w:rPr>
            </w:pPr>
            <w:r>
              <w:rPr>
                <w:rFonts w:hint="eastAsia" w:ascii="宋体" w:hAnsi="宋体" w:eastAsia="宋体"/>
                <w:color w:val="auto"/>
                <w:sz w:val="21"/>
                <w:highlight w:val="none"/>
              </w:rPr>
              <w:t>16</w:t>
            </w:r>
          </w:p>
        </w:tc>
        <w:tc>
          <w:tcPr>
            <w:tcW w:w="861" w:type="dxa"/>
            <w:vAlign w:val="center"/>
          </w:tcPr>
          <w:p w14:paraId="7DEE143A">
            <w:pPr>
              <w:jc w:val="center"/>
              <w:rPr>
                <w:rFonts w:ascii="宋体" w:hAnsi="宋体" w:eastAsia="宋体"/>
                <w:color w:val="auto"/>
                <w:sz w:val="21"/>
                <w:highlight w:val="none"/>
              </w:rPr>
            </w:pPr>
            <w:r>
              <w:rPr>
                <w:rFonts w:hint="eastAsia" w:ascii="宋体" w:hAnsi="宋体" w:eastAsia="宋体"/>
                <w:color w:val="auto"/>
                <w:sz w:val="21"/>
                <w:highlight w:val="none"/>
              </w:rPr>
              <w:t>15.1</w:t>
            </w:r>
          </w:p>
        </w:tc>
        <w:tc>
          <w:tcPr>
            <w:tcW w:w="1722" w:type="dxa"/>
            <w:vAlign w:val="center"/>
          </w:tcPr>
          <w:p w14:paraId="58C5B9CB">
            <w:pPr>
              <w:jc w:val="center"/>
              <w:rPr>
                <w:rFonts w:ascii="宋体" w:hAnsi="宋体" w:eastAsia="宋体"/>
                <w:color w:val="auto"/>
                <w:sz w:val="21"/>
                <w:highlight w:val="none"/>
              </w:rPr>
            </w:pPr>
            <w:r>
              <w:rPr>
                <w:rFonts w:hint="eastAsia" w:ascii="宋体" w:hAnsi="宋体" w:eastAsia="宋体"/>
                <w:color w:val="auto"/>
                <w:sz w:val="21"/>
                <w:highlight w:val="none"/>
              </w:rPr>
              <w:t>报价方式</w:t>
            </w:r>
          </w:p>
        </w:tc>
        <w:tc>
          <w:tcPr>
            <w:tcW w:w="5919" w:type="dxa"/>
            <w:vAlign w:val="center"/>
          </w:tcPr>
          <w:p w14:paraId="351F15E2">
            <w:pPr>
              <w:rPr>
                <w:rFonts w:ascii="宋体" w:hAnsi="宋体" w:eastAsia="宋体"/>
                <w:color w:val="auto"/>
                <w:sz w:val="21"/>
                <w:highlight w:val="none"/>
              </w:rPr>
            </w:pPr>
            <w:r>
              <w:rPr>
                <w:rFonts w:hint="eastAsia" w:ascii="宋体" w:hAnsi="宋体" w:eastAsia="宋体"/>
                <w:color w:val="auto"/>
                <w:sz w:val="21"/>
                <w:highlight w:val="none"/>
              </w:rPr>
              <w:t>报价方式采用明标暗投的方式进行报价。各投标人根据现场堪踏和自身情况、市场风险因素，在最高投标限价内报价，超过此价格的按无效标处理。</w:t>
            </w:r>
          </w:p>
        </w:tc>
      </w:tr>
      <w:tr w14:paraId="3C12C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82" w:type="dxa"/>
            <w:vAlign w:val="center"/>
          </w:tcPr>
          <w:p w14:paraId="5197F041">
            <w:pPr>
              <w:jc w:val="center"/>
              <w:rPr>
                <w:rFonts w:ascii="宋体" w:hAnsi="宋体" w:eastAsia="宋体"/>
                <w:color w:val="auto"/>
                <w:sz w:val="21"/>
                <w:highlight w:val="none"/>
              </w:rPr>
            </w:pPr>
            <w:r>
              <w:rPr>
                <w:rFonts w:hint="eastAsia" w:ascii="宋体" w:hAnsi="宋体" w:eastAsia="宋体"/>
                <w:color w:val="auto"/>
                <w:sz w:val="21"/>
                <w:highlight w:val="none"/>
              </w:rPr>
              <w:t>17</w:t>
            </w:r>
          </w:p>
        </w:tc>
        <w:tc>
          <w:tcPr>
            <w:tcW w:w="861" w:type="dxa"/>
            <w:vAlign w:val="center"/>
          </w:tcPr>
          <w:p w14:paraId="1A708B7D">
            <w:pPr>
              <w:jc w:val="center"/>
              <w:rPr>
                <w:rFonts w:ascii="宋体" w:hAnsi="宋体" w:eastAsia="宋体"/>
                <w:color w:val="auto"/>
                <w:sz w:val="21"/>
                <w:highlight w:val="none"/>
              </w:rPr>
            </w:pPr>
            <w:r>
              <w:rPr>
                <w:rFonts w:hint="eastAsia" w:ascii="宋体" w:hAnsi="宋体" w:eastAsia="宋体"/>
                <w:color w:val="auto"/>
                <w:sz w:val="21"/>
                <w:highlight w:val="none"/>
              </w:rPr>
              <w:t>16.3</w:t>
            </w:r>
          </w:p>
        </w:tc>
        <w:tc>
          <w:tcPr>
            <w:tcW w:w="1722" w:type="dxa"/>
            <w:vAlign w:val="center"/>
          </w:tcPr>
          <w:p w14:paraId="1C3E7458">
            <w:pPr>
              <w:jc w:val="center"/>
              <w:rPr>
                <w:rFonts w:ascii="宋体" w:hAnsi="宋体" w:eastAsia="宋体"/>
                <w:color w:val="auto"/>
                <w:sz w:val="21"/>
                <w:highlight w:val="none"/>
              </w:rPr>
            </w:pPr>
            <w:r>
              <w:rPr>
                <w:rFonts w:hint="eastAsia" w:ascii="宋体" w:hAnsi="宋体" w:eastAsia="宋体" w:cs="宋体"/>
                <w:color w:val="auto"/>
                <w:sz w:val="21"/>
                <w:szCs w:val="21"/>
                <w:highlight w:val="none"/>
              </w:rPr>
              <w:t>招标控制价及最高投标限价</w:t>
            </w:r>
          </w:p>
        </w:tc>
        <w:tc>
          <w:tcPr>
            <w:tcW w:w="5919" w:type="dxa"/>
            <w:vAlign w:val="center"/>
          </w:tcPr>
          <w:p w14:paraId="617D682E">
            <w:pPr>
              <w:rPr>
                <w:rFonts w:ascii="宋体" w:hAnsi="宋体" w:eastAsia="宋体" w:cs="宋体"/>
                <w:color w:val="0000FF"/>
                <w:sz w:val="21"/>
                <w:szCs w:val="21"/>
                <w:highlight w:val="none"/>
              </w:rPr>
            </w:pPr>
            <w:r>
              <w:rPr>
                <w:rFonts w:hint="eastAsia" w:ascii="宋体" w:hAnsi="宋体" w:eastAsia="宋体" w:cs="宋体"/>
                <w:color w:val="0000FF"/>
                <w:sz w:val="21"/>
                <w:szCs w:val="21"/>
                <w:highlight w:val="none"/>
              </w:rPr>
              <w:t>招标控制价：</w:t>
            </w:r>
            <w:r>
              <w:rPr>
                <w:rFonts w:hint="eastAsia" w:ascii="宋体" w:hAnsi="宋体" w:eastAsia="宋体" w:cs="宋体"/>
                <w:color w:val="0000FF"/>
                <w:sz w:val="21"/>
                <w:szCs w:val="21"/>
                <w:highlight w:val="none"/>
                <w:u w:val="single"/>
                <w:lang w:val="en-US" w:eastAsia="zh-CN"/>
              </w:rPr>
              <w:t>498900</w:t>
            </w:r>
            <w:r>
              <w:rPr>
                <w:rFonts w:hint="eastAsia" w:ascii="宋体" w:hAnsi="宋体" w:eastAsia="宋体" w:cs="宋体"/>
                <w:color w:val="0000FF"/>
                <w:sz w:val="21"/>
                <w:szCs w:val="21"/>
                <w:highlight w:val="none"/>
              </w:rPr>
              <w:t>元；</w:t>
            </w:r>
          </w:p>
          <w:p w14:paraId="20DEBAAA">
            <w:pPr>
              <w:rPr>
                <w:rFonts w:ascii="宋体" w:hAnsi="宋体" w:eastAsia="宋体" w:cs="宋体"/>
                <w:color w:val="0000FF"/>
                <w:sz w:val="21"/>
                <w:szCs w:val="21"/>
                <w:highlight w:val="none"/>
              </w:rPr>
            </w:pPr>
            <w:r>
              <w:rPr>
                <w:rFonts w:hint="eastAsia" w:ascii="宋体" w:hAnsi="宋体" w:eastAsia="宋体" w:cs="宋体"/>
                <w:color w:val="0000FF"/>
                <w:sz w:val="21"/>
                <w:szCs w:val="21"/>
                <w:highlight w:val="none"/>
              </w:rPr>
              <w:t>最高投标限价：</w:t>
            </w:r>
            <w:r>
              <w:rPr>
                <w:rFonts w:hint="eastAsia" w:ascii="宋体" w:hAnsi="宋体" w:eastAsia="宋体" w:cs="宋体"/>
                <w:color w:val="0000FF"/>
                <w:sz w:val="21"/>
                <w:szCs w:val="21"/>
                <w:highlight w:val="none"/>
                <w:u w:val="single"/>
                <w:lang w:val="en-US" w:eastAsia="zh-CN"/>
              </w:rPr>
              <w:t xml:space="preserve"> 429054 </w:t>
            </w:r>
            <w:r>
              <w:rPr>
                <w:rFonts w:hint="eastAsia" w:ascii="宋体" w:hAnsi="宋体" w:eastAsia="宋体" w:cs="宋体"/>
                <w:color w:val="0000FF"/>
                <w:sz w:val="21"/>
                <w:szCs w:val="21"/>
                <w:highlight w:val="none"/>
              </w:rPr>
              <w:t xml:space="preserve">元   </w:t>
            </w:r>
          </w:p>
          <w:p w14:paraId="378D6718">
            <w:pPr>
              <w:pStyle w:val="10"/>
              <w:rPr>
                <w:b/>
                <w:color w:val="auto"/>
                <w:sz w:val="24"/>
                <w:szCs w:val="24"/>
                <w:highlight w:val="none"/>
              </w:rPr>
            </w:pPr>
            <w:r>
              <w:rPr>
                <w:rFonts w:hint="eastAsia" w:cs="宋体"/>
                <w:color w:val="0000FF"/>
                <w:szCs w:val="21"/>
                <w:highlight w:val="none"/>
              </w:rPr>
              <w:t>最高投标限价=招标控制价</w:t>
            </w:r>
            <w:r>
              <w:rPr>
                <w:rFonts w:hint="eastAsia" w:cs="宋体"/>
                <w:color w:val="0000FF"/>
                <w:szCs w:val="21"/>
                <w:highlight w:val="none"/>
                <w:lang w:val="en-US" w:eastAsia="zh-CN"/>
              </w:rPr>
              <w:t>*</w:t>
            </w:r>
            <w:r>
              <w:rPr>
                <w:rFonts w:hint="eastAsia" w:cs="宋体"/>
                <w:color w:val="0000FF"/>
                <w:szCs w:val="21"/>
                <w:highlight w:val="none"/>
                <w:u w:val="single"/>
                <w:lang w:val="en-US" w:eastAsia="zh-CN"/>
              </w:rPr>
              <w:t>86</w:t>
            </w:r>
            <w:r>
              <w:rPr>
                <w:rFonts w:hint="eastAsia" w:cs="宋体"/>
                <w:color w:val="0000FF"/>
                <w:szCs w:val="21"/>
                <w:highlight w:val="none"/>
                <w:u w:val="single"/>
              </w:rPr>
              <w:t>%</w:t>
            </w:r>
          </w:p>
        </w:tc>
      </w:tr>
      <w:tr w14:paraId="780A2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498DF232">
            <w:pPr>
              <w:jc w:val="center"/>
              <w:rPr>
                <w:rFonts w:ascii="宋体" w:hAnsi="宋体" w:eastAsia="宋体"/>
                <w:color w:val="auto"/>
                <w:sz w:val="21"/>
                <w:highlight w:val="none"/>
              </w:rPr>
            </w:pPr>
            <w:r>
              <w:rPr>
                <w:rFonts w:hint="eastAsia" w:ascii="宋体" w:hAnsi="宋体" w:eastAsia="宋体"/>
                <w:color w:val="auto"/>
                <w:sz w:val="21"/>
                <w:highlight w:val="none"/>
              </w:rPr>
              <w:t>18</w:t>
            </w:r>
          </w:p>
        </w:tc>
        <w:tc>
          <w:tcPr>
            <w:tcW w:w="861" w:type="dxa"/>
            <w:vAlign w:val="center"/>
          </w:tcPr>
          <w:p w14:paraId="07C08D5D">
            <w:pPr>
              <w:jc w:val="center"/>
              <w:rPr>
                <w:rFonts w:ascii="宋体" w:hAnsi="宋体" w:eastAsia="宋体"/>
                <w:color w:val="auto"/>
                <w:sz w:val="21"/>
                <w:highlight w:val="none"/>
              </w:rPr>
            </w:pPr>
            <w:r>
              <w:rPr>
                <w:rFonts w:hint="eastAsia" w:ascii="宋体" w:hAnsi="宋体" w:eastAsia="宋体"/>
                <w:color w:val="auto"/>
                <w:sz w:val="21"/>
                <w:highlight w:val="none"/>
              </w:rPr>
              <w:t>17.1</w:t>
            </w:r>
          </w:p>
        </w:tc>
        <w:tc>
          <w:tcPr>
            <w:tcW w:w="1722" w:type="dxa"/>
            <w:vAlign w:val="center"/>
          </w:tcPr>
          <w:p w14:paraId="5248E662">
            <w:pPr>
              <w:jc w:val="center"/>
              <w:rPr>
                <w:rFonts w:ascii="宋体" w:hAnsi="宋体" w:eastAsia="宋体"/>
                <w:color w:val="auto"/>
                <w:sz w:val="21"/>
                <w:highlight w:val="none"/>
              </w:rPr>
            </w:pPr>
            <w:r>
              <w:rPr>
                <w:rFonts w:hint="eastAsia" w:ascii="宋体" w:hAnsi="宋体" w:eastAsia="宋体"/>
                <w:color w:val="auto"/>
                <w:sz w:val="21"/>
                <w:highlight w:val="none"/>
              </w:rPr>
              <w:t>投标担保要求</w:t>
            </w:r>
          </w:p>
        </w:tc>
        <w:tc>
          <w:tcPr>
            <w:tcW w:w="5919" w:type="dxa"/>
            <w:vAlign w:val="center"/>
          </w:tcPr>
          <w:p w14:paraId="5A712D30">
            <w:pPr>
              <w:rPr>
                <w:rFonts w:ascii="宋体" w:hAnsi="宋体" w:eastAsia="宋体"/>
                <w:b/>
                <w:bCs/>
                <w:color w:val="auto"/>
                <w:sz w:val="21"/>
                <w:highlight w:val="none"/>
              </w:rPr>
            </w:pPr>
            <w:r>
              <w:rPr>
                <w:rFonts w:hint="eastAsia" w:ascii="宋体" w:hAnsi="宋体" w:eastAsia="宋体"/>
                <w:b/>
                <w:bCs/>
                <w:color w:val="auto"/>
                <w:sz w:val="21"/>
                <w:highlight w:val="none"/>
              </w:rPr>
              <w:t>1、投标保证金金额：</w:t>
            </w:r>
            <w:r>
              <w:rPr>
                <w:rFonts w:hint="eastAsia" w:ascii="宋体" w:hAnsi="宋体" w:eastAsia="宋体"/>
                <w:b/>
                <w:bCs/>
                <w:color w:val="auto"/>
                <w:sz w:val="21"/>
                <w:highlight w:val="none"/>
                <w:u w:val="single"/>
                <w:lang w:val="en-US" w:eastAsia="zh-CN"/>
              </w:rPr>
              <w:t xml:space="preserve"> 8000</w:t>
            </w:r>
            <w:r>
              <w:rPr>
                <w:rFonts w:hint="eastAsia" w:ascii="宋体" w:hAnsi="宋体" w:eastAsia="宋体"/>
                <w:b/>
                <w:bCs/>
                <w:color w:val="auto"/>
                <w:sz w:val="21"/>
                <w:highlight w:val="none"/>
              </w:rPr>
              <w:t>元。</w:t>
            </w:r>
          </w:p>
          <w:p w14:paraId="4A024947">
            <w:pPr>
              <w:pStyle w:val="30"/>
              <w:rPr>
                <w:color w:val="auto"/>
                <w:highlight w:val="none"/>
              </w:rPr>
            </w:pPr>
            <w:r>
              <w:rPr>
                <w:rFonts w:hint="eastAsia" w:ascii="宋体" w:hAnsi="宋体" w:cs="宋体"/>
                <w:color w:val="auto"/>
                <w:spacing w:val="13"/>
                <w:sz w:val="21"/>
                <w:szCs w:val="21"/>
                <w:highlight w:val="none"/>
              </w:rPr>
              <w:t>2、投标保证金缴纳方式：网上银行转账或工程保函。</w:t>
            </w:r>
          </w:p>
          <w:p w14:paraId="6529F79E">
            <w:pPr>
              <w:spacing w:line="320" w:lineRule="exact"/>
              <w:rPr>
                <w:rFonts w:ascii="宋体" w:hAnsi="宋体" w:eastAsia="宋体" w:cs="宋体"/>
                <w:color w:val="auto"/>
                <w:spacing w:val="13"/>
                <w:kern w:val="0"/>
                <w:sz w:val="21"/>
                <w:szCs w:val="21"/>
                <w:highlight w:val="none"/>
              </w:rPr>
            </w:pPr>
            <w:r>
              <w:rPr>
                <w:rStyle w:val="39"/>
                <w:rFonts w:hint="eastAsia" w:ascii="宋体" w:hAnsi="宋体"/>
                <w:b/>
                <w:color w:val="auto"/>
                <w:sz w:val="24"/>
                <w:highlight w:val="none"/>
              </w:rPr>
              <w:t>(1)</w:t>
            </w:r>
            <w:r>
              <w:rPr>
                <w:rStyle w:val="39"/>
                <w:rFonts w:hint="eastAsia" w:ascii="宋体" w:hAnsi="宋体" w:eastAsia="宋体" w:cs="宋体"/>
                <w:b/>
                <w:color w:val="auto"/>
                <w:sz w:val="24"/>
                <w:highlight w:val="none"/>
              </w:rPr>
              <w:t xml:space="preserve"> 担保形式</w:t>
            </w:r>
            <w:r>
              <w:rPr>
                <w:rStyle w:val="39"/>
                <w:rFonts w:hint="eastAsia" w:ascii="宋体" w:hAnsi="宋体"/>
                <w:b/>
                <w:color w:val="auto"/>
                <w:sz w:val="24"/>
                <w:highlight w:val="none"/>
              </w:rPr>
              <w:t>：</w:t>
            </w:r>
            <w:r>
              <w:rPr>
                <w:rFonts w:hint="eastAsia" w:ascii="宋体" w:hAnsi="宋体" w:eastAsia="宋体" w:cs="宋体"/>
                <w:color w:val="auto"/>
                <w:spacing w:val="13"/>
                <w:kern w:val="0"/>
                <w:sz w:val="21"/>
                <w:szCs w:val="21"/>
                <w:highlight w:val="none"/>
              </w:rPr>
              <w:t>网上银行转账。</w:t>
            </w:r>
          </w:p>
          <w:p w14:paraId="086D8CF4">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开户名：临海市产权交易所有限公司</w:t>
            </w:r>
          </w:p>
          <w:p w14:paraId="151AB96E">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开户行：浙江临海农村商业银行股份有限公司科技支行；</w:t>
            </w:r>
          </w:p>
          <w:p w14:paraId="49F61F79">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投标保证金账号：201000105503123000001</w:t>
            </w:r>
          </w:p>
          <w:p w14:paraId="103487BB">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投标保证金应在投标截止时间前到达指定账户；</w:t>
            </w:r>
          </w:p>
          <w:p w14:paraId="07B83FA3">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投标单位汇出账号必须是企业基本账户。</w:t>
            </w:r>
          </w:p>
          <w:p w14:paraId="225BB13E">
            <w:pPr>
              <w:jc w:val="left"/>
              <w:rPr>
                <w:rFonts w:ascii="宋体" w:hAnsi="宋体" w:eastAsia="宋体" w:cs="宋体"/>
                <w:b/>
                <w:color w:val="auto"/>
                <w:sz w:val="24"/>
                <w:highlight w:val="none"/>
              </w:rPr>
            </w:pPr>
            <w:r>
              <w:rPr>
                <w:rStyle w:val="39"/>
                <w:rFonts w:hint="eastAsia" w:ascii="宋体" w:hAnsi="宋体"/>
                <w:b/>
                <w:color w:val="auto"/>
                <w:sz w:val="24"/>
                <w:highlight w:val="none"/>
              </w:rPr>
              <w:t>(2)</w:t>
            </w:r>
            <w:r>
              <w:rPr>
                <w:rStyle w:val="39"/>
                <w:rFonts w:hint="eastAsia" w:ascii="宋体" w:hAnsi="宋体" w:eastAsia="宋体" w:cs="宋体"/>
                <w:b/>
                <w:color w:val="auto"/>
                <w:sz w:val="24"/>
                <w:highlight w:val="none"/>
              </w:rPr>
              <w:t>担保</w:t>
            </w:r>
            <w:r>
              <w:rPr>
                <w:rFonts w:hint="eastAsia" w:ascii="宋体" w:hAnsi="宋体" w:eastAsia="宋体" w:cs="宋体"/>
                <w:b/>
                <w:color w:val="auto"/>
                <w:sz w:val="24"/>
                <w:highlight w:val="none"/>
              </w:rPr>
              <w:t>形式：工程保函</w:t>
            </w:r>
          </w:p>
          <w:p w14:paraId="51DF6D69">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保函形式：须为银行保函、保险机构保证保险保单或融资担保公司保函。</w:t>
            </w:r>
          </w:p>
          <w:p w14:paraId="62AEE856">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工程保函的受益人：</w:t>
            </w:r>
            <w:r>
              <w:rPr>
                <w:rFonts w:hint="eastAsia" w:ascii="宋体" w:hAnsi="宋体" w:eastAsia="宋体" w:cs="宋体"/>
                <w:color w:val="auto"/>
                <w:spacing w:val="13"/>
                <w:kern w:val="0"/>
                <w:sz w:val="21"/>
                <w:szCs w:val="21"/>
                <w:highlight w:val="none"/>
                <w:u w:val="single"/>
                <w:lang w:eastAsia="zh-CN"/>
              </w:rPr>
              <w:t>台州初级中学</w:t>
            </w:r>
            <w:r>
              <w:rPr>
                <w:rFonts w:hint="eastAsia" w:ascii="宋体" w:hAnsi="宋体" w:eastAsia="宋体" w:cs="宋体"/>
                <w:color w:val="auto"/>
                <w:spacing w:val="13"/>
                <w:kern w:val="0"/>
                <w:sz w:val="21"/>
                <w:szCs w:val="21"/>
                <w:highlight w:val="none"/>
              </w:rPr>
              <w:t>（招标人名称）；</w:t>
            </w:r>
          </w:p>
          <w:p w14:paraId="74DC3F45">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工程保函的有效期为1年（工程保函有效期起始时间最早为招标公告发布之日，最迟为投标截止日）；</w:t>
            </w:r>
          </w:p>
          <w:p w14:paraId="201D79CB">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pacing w:val="13"/>
                <w:kern w:val="0"/>
                <w:sz w:val="21"/>
                <w:szCs w:val="21"/>
                <w:highlight w:val="none"/>
              </w:rPr>
              <w:t>保函递交方式：工程电子保函形式或工程纸质保函形式</w:t>
            </w:r>
            <w:r>
              <w:rPr>
                <w:rFonts w:hint="eastAsia" w:ascii="宋体" w:hAnsi="宋体" w:eastAsia="宋体" w:cs="宋体"/>
                <w:color w:val="auto"/>
                <w:spacing w:val="13"/>
                <w:kern w:val="0"/>
                <w:sz w:val="21"/>
                <w:szCs w:val="21"/>
                <w:highlight w:val="none"/>
              </w:rPr>
              <w:t>。</w:t>
            </w:r>
          </w:p>
          <w:p w14:paraId="3DF00F68">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pacing w:val="13"/>
                <w:kern w:val="0"/>
                <w:sz w:val="21"/>
                <w:szCs w:val="21"/>
                <w:highlight w:val="none"/>
              </w:rPr>
              <w:t>①用工程电子保函形式</w:t>
            </w:r>
            <w:r>
              <w:rPr>
                <w:rFonts w:hint="eastAsia" w:ascii="宋体" w:hAnsi="宋体" w:eastAsia="宋体" w:cs="宋体"/>
                <w:color w:val="auto"/>
                <w:spacing w:val="13"/>
                <w:kern w:val="0"/>
                <w:sz w:val="21"/>
                <w:szCs w:val="21"/>
                <w:highlight w:val="none"/>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0075B377">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z w:val="24"/>
                <w:highlight w:val="none"/>
              </w:rPr>
              <w:t>②</w:t>
            </w:r>
            <w:r>
              <w:rPr>
                <w:rFonts w:hint="eastAsia" w:ascii="宋体" w:hAnsi="宋体" w:eastAsia="宋体" w:cs="宋体"/>
                <w:b/>
                <w:bCs/>
                <w:color w:val="auto"/>
                <w:spacing w:val="13"/>
                <w:kern w:val="0"/>
                <w:sz w:val="21"/>
                <w:szCs w:val="21"/>
                <w:highlight w:val="none"/>
              </w:rPr>
              <w:t>用工程纸质保函形式</w:t>
            </w:r>
            <w:r>
              <w:rPr>
                <w:rFonts w:hint="eastAsia" w:ascii="宋体" w:hAnsi="宋体" w:eastAsia="宋体" w:cs="宋体"/>
                <w:color w:val="auto"/>
                <w:spacing w:val="13"/>
                <w:kern w:val="0"/>
                <w:sz w:val="21"/>
                <w:szCs w:val="21"/>
                <w:highlight w:val="none"/>
              </w:rPr>
              <w:t>：保费应一函一付，通过企业基本账户支付。投标人须在投标截止时间前在开标现场递交工程保函纸质原件、基本账户证明、保费支付的银行回单（以上资料均需加盖投标人公章）等保函相关资料。</w:t>
            </w:r>
          </w:p>
          <w:p w14:paraId="3A7B93E6">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pacing w:val="13"/>
                <w:kern w:val="0"/>
                <w:sz w:val="21"/>
                <w:szCs w:val="21"/>
                <w:highlight w:val="none"/>
              </w:rPr>
              <w:t>递交方式：开标现场递交；</w:t>
            </w:r>
            <w:r>
              <w:rPr>
                <w:rFonts w:hint="eastAsia" w:ascii="宋体" w:hAnsi="宋体" w:eastAsia="宋体" w:cs="宋体"/>
                <w:color w:val="auto"/>
                <w:spacing w:val="13"/>
                <w:kern w:val="0"/>
                <w:sz w:val="21"/>
                <w:szCs w:val="21"/>
                <w:highlight w:val="none"/>
              </w:rPr>
              <w:t xml:space="preserve"> </w:t>
            </w:r>
          </w:p>
          <w:p w14:paraId="0BA9290B">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566E6B72">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pacing w:val="13"/>
                <w:kern w:val="0"/>
                <w:sz w:val="21"/>
                <w:szCs w:val="21"/>
                <w:highlight w:val="none"/>
              </w:rPr>
              <w:t>递交时间及地点：详见招标公告或招标文件；</w:t>
            </w:r>
            <w:r>
              <w:rPr>
                <w:rFonts w:hint="eastAsia" w:ascii="宋体" w:hAnsi="宋体" w:eastAsia="宋体" w:cs="宋体"/>
                <w:color w:val="auto"/>
                <w:spacing w:val="13"/>
                <w:kern w:val="0"/>
                <w:sz w:val="21"/>
                <w:szCs w:val="21"/>
                <w:highlight w:val="none"/>
              </w:rPr>
              <w:t xml:space="preserve"> </w:t>
            </w:r>
          </w:p>
          <w:p w14:paraId="1D1CCA65">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接收人：</w:t>
            </w:r>
            <w:r>
              <w:rPr>
                <w:rFonts w:hint="eastAsia" w:ascii="宋体" w:hAnsi="宋体" w:eastAsia="宋体" w:cs="宋体"/>
                <w:color w:val="auto"/>
                <w:spacing w:val="13"/>
                <w:kern w:val="0"/>
                <w:sz w:val="21"/>
                <w:szCs w:val="21"/>
                <w:highlight w:val="none"/>
                <w:u w:val="single"/>
                <w:lang w:eastAsia="zh-CN"/>
              </w:rPr>
              <w:t>欧邦工程管理集团有限公司</w:t>
            </w:r>
            <w:r>
              <w:rPr>
                <w:rFonts w:hint="eastAsia" w:ascii="宋体" w:hAnsi="宋体" w:eastAsia="宋体" w:cs="宋体"/>
                <w:color w:val="auto"/>
                <w:spacing w:val="13"/>
                <w:kern w:val="0"/>
                <w:sz w:val="21"/>
                <w:szCs w:val="21"/>
                <w:highlight w:val="none"/>
              </w:rPr>
              <w:t xml:space="preserve">  （代理机构）； </w:t>
            </w:r>
          </w:p>
          <w:p w14:paraId="7ED82D3F">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接收人联系方式：</w:t>
            </w:r>
            <w:r>
              <w:rPr>
                <w:rFonts w:hint="eastAsia" w:ascii="宋体" w:hAnsi="宋体" w:eastAsia="宋体" w:cs="宋体"/>
                <w:color w:val="auto"/>
                <w:spacing w:val="13"/>
                <w:kern w:val="0"/>
                <w:sz w:val="21"/>
                <w:szCs w:val="21"/>
                <w:highlight w:val="none"/>
                <w:u w:val="single"/>
                <w:lang w:val="en-US" w:eastAsia="zh-CN"/>
              </w:rPr>
              <w:t>15068600798</w:t>
            </w:r>
            <w:r>
              <w:rPr>
                <w:rFonts w:hint="eastAsia" w:ascii="宋体" w:hAnsi="宋体" w:eastAsia="宋体" w:cs="宋体"/>
                <w:color w:val="auto"/>
                <w:spacing w:val="13"/>
                <w:kern w:val="0"/>
                <w:sz w:val="21"/>
                <w:szCs w:val="21"/>
                <w:highlight w:val="none"/>
              </w:rPr>
              <w:t xml:space="preserve">  （代理机构联系方式）； </w:t>
            </w:r>
          </w:p>
          <w:p w14:paraId="5E335266">
            <w:pPr>
              <w:snapToGrid w:val="0"/>
              <w:textAlignment w:val="baseline"/>
              <w:rPr>
                <w:rFonts w:ascii="宋体" w:hAnsi="宋体" w:eastAsia="宋体" w:cs="宋体"/>
                <w:color w:val="auto"/>
                <w:spacing w:val="13"/>
                <w:kern w:val="0"/>
                <w:sz w:val="21"/>
                <w:szCs w:val="21"/>
                <w:highlight w:val="none"/>
              </w:rPr>
            </w:pPr>
          </w:p>
          <w:p w14:paraId="1CA3F800">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3、若招标文件允许联合体投标且投标人以联合体身份投标的，由联合体牵头人提交工程投标保证金。</w:t>
            </w:r>
          </w:p>
          <w:p w14:paraId="1633C446">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4、投标人投标保证金未满足上述要求的，按无效标处理。</w:t>
            </w:r>
          </w:p>
          <w:p w14:paraId="75374E42">
            <w:pPr>
              <w:snapToGrid w:val="0"/>
              <w:textAlignment w:val="baseline"/>
              <w:rPr>
                <w:rFonts w:ascii="宋体" w:hAnsi="宋体" w:eastAsia="宋体" w:cs="宋体"/>
                <w:color w:val="auto"/>
                <w:spacing w:val="13"/>
                <w:kern w:val="0"/>
                <w:sz w:val="21"/>
                <w:szCs w:val="21"/>
                <w:highlight w:val="none"/>
              </w:rPr>
            </w:pPr>
          </w:p>
          <w:p w14:paraId="5086F260">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咨询电话：</w:t>
            </w:r>
          </w:p>
          <w:p w14:paraId="0E912F57">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招天下公司技术服务电话：0576-85407095。</w:t>
            </w:r>
          </w:p>
          <w:p w14:paraId="1F123430">
            <w:pPr>
              <w:rPr>
                <w:rFonts w:ascii="黑体" w:hAnsi="宋体" w:eastAsia="黑体"/>
                <w:b/>
                <w:color w:val="auto"/>
                <w:sz w:val="24"/>
                <w:szCs w:val="24"/>
                <w:highlight w:val="none"/>
              </w:rPr>
            </w:pPr>
            <w:r>
              <w:rPr>
                <w:rFonts w:hint="eastAsia" w:ascii="宋体" w:hAnsi="宋体" w:eastAsia="宋体" w:cs="宋体"/>
                <w:color w:val="auto"/>
                <w:spacing w:val="13"/>
                <w:kern w:val="0"/>
                <w:sz w:val="21"/>
                <w:szCs w:val="21"/>
                <w:highlight w:val="none"/>
              </w:rPr>
              <w:t>平台财务咨询电话：0576-85407100。</w:t>
            </w:r>
          </w:p>
        </w:tc>
      </w:tr>
      <w:tr w14:paraId="214EA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1ECDD083">
            <w:pPr>
              <w:jc w:val="center"/>
              <w:rPr>
                <w:rFonts w:ascii="宋体" w:hAnsi="宋体" w:eastAsia="宋体"/>
                <w:color w:val="auto"/>
                <w:sz w:val="21"/>
                <w:highlight w:val="none"/>
              </w:rPr>
            </w:pPr>
            <w:r>
              <w:rPr>
                <w:rFonts w:hint="eastAsia" w:ascii="宋体" w:hAnsi="宋体" w:eastAsia="宋体"/>
                <w:color w:val="auto"/>
                <w:sz w:val="21"/>
                <w:highlight w:val="none"/>
              </w:rPr>
              <w:t xml:space="preserve"> 19</w:t>
            </w:r>
          </w:p>
        </w:tc>
        <w:tc>
          <w:tcPr>
            <w:tcW w:w="861" w:type="dxa"/>
            <w:vAlign w:val="center"/>
          </w:tcPr>
          <w:p w14:paraId="169DEC58">
            <w:pPr>
              <w:jc w:val="center"/>
              <w:rPr>
                <w:rFonts w:ascii="宋体" w:hAnsi="宋体" w:eastAsia="宋体"/>
                <w:color w:val="auto"/>
                <w:sz w:val="21"/>
                <w:highlight w:val="none"/>
              </w:rPr>
            </w:pPr>
            <w:r>
              <w:rPr>
                <w:rFonts w:hint="eastAsia" w:ascii="宋体" w:hAnsi="宋体" w:eastAsia="宋体"/>
                <w:color w:val="auto"/>
                <w:sz w:val="21"/>
                <w:highlight w:val="none"/>
              </w:rPr>
              <w:t>18.1</w:t>
            </w:r>
          </w:p>
        </w:tc>
        <w:tc>
          <w:tcPr>
            <w:tcW w:w="1722" w:type="dxa"/>
            <w:vAlign w:val="center"/>
          </w:tcPr>
          <w:p w14:paraId="7777F211">
            <w:pPr>
              <w:jc w:val="center"/>
              <w:rPr>
                <w:rFonts w:ascii="宋体" w:hAnsi="宋体" w:eastAsia="宋体"/>
                <w:color w:val="auto"/>
                <w:sz w:val="21"/>
                <w:highlight w:val="none"/>
              </w:rPr>
            </w:pPr>
            <w:r>
              <w:rPr>
                <w:rFonts w:hint="eastAsia" w:ascii="宋体" w:hAnsi="宋体" w:eastAsia="宋体"/>
                <w:color w:val="auto"/>
                <w:sz w:val="21"/>
                <w:highlight w:val="none"/>
              </w:rPr>
              <w:t>投标有效期</w:t>
            </w:r>
          </w:p>
        </w:tc>
        <w:tc>
          <w:tcPr>
            <w:tcW w:w="5919" w:type="dxa"/>
            <w:vAlign w:val="center"/>
          </w:tcPr>
          <w:p w14:paraId="1FDE928C">
            <w:pPr>
              <w:rPr>
                <w:rFonts w:ascii="宋体" w:hAnsi="宋体" w:eastAsia="宋体"/>
                <w:color w:val="auto"/>
                <w:sz w:val="21"/>
                <w:highlight w:val="none"/>
              </w:rPr>
            </w:pPr>
            <w:r>
              <w:rPr>
                <w:rFonts w:hint="eastAsia" w:ascii="宋体" w:hAnsi="宋体" w:eastAsia="宋体"/>
                <w:color w:val="auto"/>
                <w:sz w:val="21"/>
                <w:highlight w:val="none"/>
              </w:rPr>
              <w:t>60日历天（自投标截止日起计算）</w:t>
            </w:r>
          </w:p>
        </w:tc>
      </w:tr>
      <w:tr w14:paraId="7D5D5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5F792E6C">
            <w:pPr>
              <w:jc w:val="center"/>
              <w:rPr>
                <w:rFonts w:ascii="宋体" w:hAnsi="宋体" w:eastAsia="宋体"/>
                <w:color w:val="auto"/>
                <w:sz w:val="21"/>
                <w:highlight w:val="none"/>
              </w:rPr>
            </w:pPr>
            <w:r>
              <w:rPr>
                <w:rFonts w:hint="eastAsia" w:ascii="宋体" w:hAnsi="宋体" w:eastAsia="宋体"/>
                <w:color w:val="auto"/>
                <w:sz w:val="21"/>
                <w:highlight w:val="none"/>
              </w:rPr>
              <w:t>20</w:t>
            </w:r>
          </w:p>
        </w:tc>
        <w:tc>
          <w:tcPr>
            <w:tcW w:w="861" w:type="dxa"/>
            <w:vAlign w:val="center"/>
          </w:tcPr>
          <w:p w14:paraId="7BA102BE">
            <w:pPr>
              <w:jc w:val="center"/>
              <w:rPr>
                <w:rFonts w:ascii="宋体" w:hAnsi="宋体" w:eastAsia="宋体"/>
                <w:color w:val="auto"/>
                <w:sz w:val="21"/>
                <w:highlight w:val="none"/>
              </w:rPr>
            </w:pPr>
            <w:r>
              <w:rPr>
                <w:rFonts w:hint="eastAsia" w:ascii="宋体" w:hAnsi="宋体" w:eastAsia="宋体"/>
                <w:color w:val="auto"/>
                <w:sz w:val="21"/>
                <w:highlight w:val="none"/>
              </w:rPr>
              <w:t>19.1</w:t>
            </w:r>
          </w:p>
        </w:tc>
        <w:tc>
          <w:tcPr>
            <w:tcW w:w="1722" w:type="dxa"/>
            <w:vAlign w:val="center"/>
          </w:tcPr>
          <w:p w14:paraId="743A1C57">
            <w:pPr>
              <w:jc w:val="center"/>
              <w:rPr>
                <w:rFonts w:ascii="宋体" w:hAnsi="宋体" w:eastAsia="宋体"/>
                <w:color w:val="auto"/>
                <w:sz w:val="21"/>
                <w:highlight w:val="none"/>
              </w:rPr>
            </w:pPr>
            <w:r>
              <w:rPr>
                <w:rFonts w:hint="eastAsia" w:ascii="宋体" w:hAnsi="宋体" w:eastAsia="宋体"/>
                <w:color w:val="auto"/>
                <w:sz w:val="21"/>
                <w:highlight w:val="none"/>
              </w:rPr>
              <w:t>投标文件份数</w:t>
            </w:r>
          </w:p>
        </w:tc>
        <w:tc>
          <w:tcPr>
            <w:tcW w:w="5919" w:type="dxa"/>
            <w:vAlign w:val="center"/>
          </w:tcPr>
          <w:p w14:paraId="3CEECCF8">
            <w:pPr>
              <w:rPr>
                <w:rFonts w:ascii="宋体" w:hAnsi="宋体" w:eastAsia="宋体"/>
                <w:color w:val="auto"/>
                <w:sz w:val="21"/>
                <w:highlight w:val="none"/>
              </w:rPr>
            </w:pPr>
            <w:r>
              <w:rPr>
                <w:rFonts w:hint="eastAsia" w:ascii="宋体" w:hAnsi="宋体" w:eastAsia="宋体"/>
                <w:color w:val="auto"/>
                <w:sz w:val="21"/>
                <w:highlight w:val="none"/>
              </w:rPr>
              <w:t>投标文件份数：</w:t>
            </w:r>
          </w:p>
          <w:p w14:paraId="0CE63651">
            <w:pPr>
              <w:rPr>
                <w:rFonts w:ascii="宋体" w:hAnsi="宋体" w:eastAsia="宋体"/>
                <w:b/>
                <w:color w:val="auto"/>
                <w:sz w:val="21"/>
                <w:highlight w:val="none"/>
              </w:rPr>
            </w:pPr>
            <w:r>
              <w:rPr>
                <w:rFonts w:hint="eastAsia" w:ascii="宋体" w:hAnsi="宋体" w:eastAsia="宋体"/>
                <w:color w:val="auto"/>
                <w:sz w:val="21"/>
                <w:highlight w:val="none"/>
              </w:rPr>
              <w:t>a加密电子投标文件（.投标文件）一份（上传至交易平台），作为投标文件正本。</w:t>
            </w:r>
          </w:p>
          <w:p w14:paraId="4858210B">
            <w:pPr>
              <w:rPr>
                <w:rFonts w:ascii="宋体" w:hAnsi="宋体" w:eastAsia="宋体"/>
                <w:color w:val="auto"/>
                <w:sz w:val="21"/>
                <w:highlight w:val="none"/>
              </w:rPr>
            </w:pPr>
            <w:r>
              <w:rPr>
                <w:rFonts w:hint="eastAsia" w:ascii="宋体" w:hAnsi="宋体" w:eastAsia="宋体" w:cs="宋体"/>
                <w:b/>
                <w:bCs/>
                <w:snapToGrid w:val="0"/>
                <w:color w:val="auto"/>
                <w:sz w:val="21"/>
                <w:szCs w:val="21"/>
                <w:highlight w:val="none"/>
              </w:rPr>
              <w:t>（</w:t>
            </w:r>
            <w:r>
              <w:rPr>
                <w:rFonts w:hint="eastAsia" w:ascii="宋体" w:hAnsi="宋体" w:eastAsia="宋体" w:cs="宋体"/>
                <w:b/>
                <w:bCs/>
                <w:color w:val="auto"/>
                <w:sz w:val="21"/>
                <w:szCs w:val="21"/>
                <w:highlight w:val="none"/>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color w:val="auto"/>
                <w:sz w:val="21"/>
                <w:szCs w:val="21"/>
                <w:highlight w:val="none"/>
              </w:rPr>
              <w:t>）。</w:t>
            </w:r>
          </w:p>
        </w:tc>
      </w:tr>
      <w:tr w14:paraId="6F0BF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23C3F781">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861" w:type="dxa"/>
            <w:vAlign w:val="center"/>
          </w:tcPr>
          <w:p w14:paraId="64F2E2B5">
            <w:pPr>
              <w:jc w:val="center"/>
              <w:rPr>
                <w:rFonts w:ascii="宋体" w:hAnsi="宋体" w:eastAsia="宋体"/>
                <w:color w:val="auto"/>
                <w:sz w:val="21"/>
                <w:highlight w:val="none"/>
              </w:rPr>
            </w:pPr>
            <w:r>
              <w:rPr>
                <w:rFonts w:hint="eastAsia" w:ascii="宋体" w:hAnsi="宋体" w:eastAsia="宋体"/>
                <w:color w:val="auto"/>
                <w:sz w:val="21"/>
                <w:highlight w:val="none"/>
              </w:rPr>
              <w:t>20.1</w:t>
            </w:r>
          </w:p>
        </w:tc>
        <w:tc>
          <w:tcPr>
            <w:tcW w:w="1722" w:type="dxa"/>
            <w:vAlign w:val="center"/>
          </w:tcPr>
          <w:p w14:paraId="4973CF44">
            <w:pPr>
              <w:jc w:val="center"/>
              <w:rPr>
                <w:rFonts w:ascii="宋体" w:hAnsi="宋体" w:eastAsia="宋体"/>
                <w:color w:val="auto"/>
                <w:sz w:val="21"/>
                <w:highlight w:val="none"/>
              </w:rPr>
            </w:pPr>
            <w:r>
              <w:rPr>
                <w:rFonts w:hint="eastAsia" w:ascii="宋体" w:hAnsi="宋体" w:eastAsia="宋体"/>
                <w:color w:val="auto"/>
                <w:sz w:val="21"/>
                <w:highlight w:val="none"/>
              </w:rPr>
              <w:t>投标文件递交</w:t>
            </w:r>
          </w:p>
          <w:p w14:paraId="741E6883">
            <w:pPr>
              <w:jc w:val="center"/>
              <w:rPr>
                <w:rFonts w:ascii="宋体" w:hAnsi="宋体" w:eastAsia="宋体"/>
                <w:color w:val="auto"/>
                <w:sz w:val="21"/>
                <w:highlight w:val="none"/>
              </w:rPr>
            </w:pPr>
            <w:r>
              <w:rPr>
                <w:rFonts w:hint="eastAsia" w:ascii="宋体" w:hAnsi="宋体" w:eastAsia="宋体"/>
                <w:color w:val="auto"/>
                <w:sz w:val="21"/>
                <w:highlight w:val="none"/>
              </w:rPr>
              <w:t>要求</w:t>
            </w:r>
          </w:p>
        </w:tc>
        <w:tc>
          <w:tcPr>
            <w:tcW w:w="5919" w:type="dxa"/>
            <w:vAlign w:val="center"/>
          </w:tcPr>
          <w:p w14:paraId="274ED895">
            <w:pPr>
              <w:jc w:val="left"/>
              <w:rPr>
                <w:rFonts w:ascii="宋体" w:hAnsi="宋体" w:eastAsia="宋体" w:cs="宋体"/>
                <w:b/>
                <w:bCs/>
                <w:snapToGrid w:val="0"/>
                <w:color w:val="auto"/>
                <w:sz w:val="21"/>
                <w:szCs w:val="21"/>
                <w:highlight w:val="none"/>
              </w:rPr>
            </w:pPr>
            <w:r>
              <w:rPr>
                <w:rFonts w:hint="eastAsia" w:ascii="宋体" w:hAnsi="宋体" w:eastAsia="宋体" w:cs="宋体"/>
                <w:b/>
                <w:color w:val="auto"/>
                <w:sz w:val="21"/>
                <w:szCs w:val="21"/>
                <w:highlight w:val="none"/>
              </w:rPr>
              <w:t>投标人应将由投标文件编制工具制作生成的加密投标文件（.投标文件）在投标截止时间前（以上传完成时间为准）上传至“电子交易平台”。并在开启解密通道后60分钟内解密。未满足上述条件的投标人，其投标文件作无效标处理。</w:t>
            </w:r>
          </w:p>
        </w:tc>
      </w:tr>
      <w:tr w14:paraId="75010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0CFB5221">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861" w:type="dxa"/>
            <w:vAlign w:val="center"/>
          </w:tcPr>
          <w:p w14:paraId="20E481E7">
            <w:pPr>
              <w:jc w:val="center"/>
              <w:rPr>
                <w:rFonts w:ascii="宋体" w:hAnsi="宋体" w:eastAsia="宋体"/>
                <w:color w:val="auto"/>
                <w:sz w:val="21"/>
                <w:highlight w:val="none"/>
              </w:rPr>
            </w:pPr>
            <w:r>
              <w:rPr>
                <w:rFonts w:hint="eastAsia" w:ascii="宋体" w:hAnsi="宋体" w:eastAsia="宋体"/>
                <w:color w:val="auto"/>
                <w:sz w:val="21"/>
                <w:highlight w:val="none"/>
              </w:rPr>
              <w:t>20.3</w:t>
            </w:r>
          </w:p>
        </w:tc>
        <w:tc>
          <w:tcPr>
            <w:tcW w:w="1722" w:type="dxa"/>
            <w:vAlign w:val="center"/>
          </w:tcPr>
          <w:p w14:paraId="14E1568E">
            <w:pPr>
              <w:jc w:val="center"/>
              <w:rPr>
                <w:rFonts w:ascii="宋体" w:hAnsi="宋体" w:eastAsia="宋体"/>
                <w:color w:val="auto"/>
                <w:sz w:val="21"/>
                <w:highlight w:val="none"/>
              </w:rPr>
            </w:pPr>
            <w:r>
              <w:rPr>
                <w:rFonts w:hint="eastAsia" w:ascii="宋体" w:hAnsi="宋体" w:eastAsia="宋体"/>
                <w:color w:val="auto"/>
                <w:sz w:val="21"/>
                <w:highlight w:val="none"/>
              </w:rPr>
              <w:t>现场人员签到</w:t>
            </w:r>
            <w:r>
              <w:rPr>
                <w:rFonts w:ascii="宋体" w:hAnsi="宋体" w:eastAsia="宋体"/>
                <w:color w:val="auto"/>
                <w:sz w:val="21"/>
                <w:highlight w:val="none"/>
              </w:rPr>
              <w:t>地点</w:t>
            </w:r>
          </w:p>
        </w:tc>
        <w:tc>
          <w:tcPr>
            <w:tcW w:w="5919" w:type="dxa"/>
            <w:vAlign w:val="center"/>
          </w:tcPr>
          <w:p w14:paraId="1267D824">
            <w:pPr>
              <w:jc w:val="left"/>
              <w:rPr>
                <w:rFonts w:hint="eastAsia" w:ascii="宋体" w:hAnsi="宋体" w:eastAsia="宋体"/>
                <w:color w:val="auto"/>
                <w:sz w:val="21"/>
                <w:highlight w:val="none"/>
                <w:u w:val="single"/>
                <w:lang w:eastAsia="zh-CN"/>
              </w:rPr>
            </w:pPr>
            <w:r>
              <w:rPr>
                <w:rFonts w:hint="eastAsia" w:ascii="宋体" w:hAnsi="宋体" w:eastAsia="宋体"/>
                <w:b/>
                <w:bCs/>
                <w:color w:val="auto"/>
                <w:sz w:val="21"/>
                <w:highlight w:val="none"/>
              </w:rPr>
              <w:t>投标人无需现场签到、递交资料</w:t>
            </w:r>
            <w:r>
              <w:rPr>
                <w:rFonts w:hint="eastAsia" w:ascii="宋体" w:hAnsi="宋体" w:eastAsia="宋体"/>
                <w:b/>
                <w:bCs/>
                <w:color w:val="auto"/>
                <w:sz w:val="21"/>
                <w:highlight w:val="none"/>
                <w:lang w:eastAsia="zh-CN"/>
              </w:rPr>
              <w:t>（工程纸质保函除外）</w:t>
            </w:r>
          </w:p>
        </w:tc>
      </w:tr>
      <w:tr w14:paraId="00322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682" w:type="dxa"/>
            <w:vAlign w:val="center"/>
          </w:tcPr>
          <w:p w14:paraId="49F33F06">
            <w:pPr>
              <w:jc w:val="center"/>
              <w:rPr>
                <w:rFonts w:ascii="宋体" w:hAnsi="宋体" w:eastAsia="宋体"/>
                <w:color w:val="auto"/>
                <w:sz w:val="21"/>
                <w:highlight w:val="none"/>
              </w:rPr>
            </w:pPr>
            <w:r>
              <w:rPr>
                <w:rFonts w:hint="eastAsia" w:ascii="宋体" w:hAnsi="宋体" w:eastAsia="宋体"/>
                <w:color w:val="auto"/>
                <w:sz w:val="21"/>
                <w:highlight w:val="none"/>
              </w:rPr>
              <w:t>23</w:t>
            </w:r>
          </w:p>
        </w:tc>
        <w:tc>
          <w:tcPr>
            <w:tcW w:w="861" w:type="dxa"/>
            <w:vAlign w:val="center"/>
          </w:tcPr>
          <w:p w14:paraId="23E3E049">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722" w:type="dxa"/>
            <w:vAlign w:val="center"/>
          </w:tcPr>
          <w:p w14:paraId="06DCCB17">
            <w:pPr>
              <w:jc w:val="center"/>
              <w:rPr>
                <w:rFonts w:ascii="宋体" w:hAnsi="宋体" w:eastAsia="宋体"/>
                <w:color w:val="auto"/>
                <w:sz w:val="21"/>
                <w:highlight w:val="none"/>
              </w:rPr>
            </w:pPr>
            <w:r>
              <w:rPr>
                <w:rFonts w:hint="eastAsia" w:ascii="宋体" w:hAnsi="宋体" w:eastAsia="宋体"/>
                <w:color w:val="auto"/>
                <w:sz w:val="21"/>
                <w:highlight w:val="none"/>
              </w:rPr>
              <w:t>开标时间和地点</w:t>
            </w:r>
          </w:p>
        </w:tc>
        <w:tc>
          <w:tcPr>
            <w:tcW w:w="5919" w:type="dxa"/>
            <w:vAlign w:val="center"/>
          </w:tcPr>
          <w:p w14:paraId="128A62ED">
            <w:pPr>
              <w:rPr>
                <w:rFonts w:ascii="宋体" w:hAnsi="宋体" w:eastAsia="宋体"/>
                <w:color w:val="auto"/>
                <w:sz w:val="21"/>
                <w:highlight w:val="yellow"/>
              </w:rPr>
            </w:pPr>
            <w:bookmarkStart w:id="214" w:name="_GoBack"/>
            <w:r>
              <w:rPr>
                <w:rFonts w:hint="eastAsia" w:ascii="宋体" w:hAnsi="宋体" w:eastAsia="宋体"/>
                <w:color w:val="auto"/>
                <w:sz w:val="21"/>
                <w:highlight w:val="yellow"/>
              </w:rPr>
              <w:t>开标时间</w:t>
            </w:r>
            <w:bookmarkEnd w:id="214"/>
            <w:r>
              <w:rPr>
                <w:rFonts w:hint="eastAsia" w:ascii="宋体" w:hAnsi="宋体" w:eastAsia="宋体"/>
                <w:color w:val="auto"/>
                <w:sz w:val="21"/>
                <w:highlight w:val="yellow"/>
              </w:rPr>
              <w:t>：同投标截止时间</w:t>
            </w:r>
          </w:p>
          <w:p w14:paraId="74E675DD">
            <w:pPr>
              <w:rPr>
                <w:rFonts w:ascii="宋体" w:hAnsi="宋体" w:eastAsia="宋体"/>
                <w:color w:val="auto"/>
                <w:sz w:val="21"/>
                <w:highlight w:val="yellow"/>
              </w:rPr>
            </w:pPr>
            <w:r>
              <w:rPr>
                <w:rFonts w:hint="eastAsia" w:ascii="宋体" w:hAnsi="宋体" w:eastAsia="宋体"/>
                <w:color w:val="auto"/>
                <w:sz w:val="21"/>
                <w:highlight w:val="yellow"/>
              </w:rPr>
              <w:t>开标地点：</w:t>
            </w:r>
            <w:r>
              <w:rPr>
                <w:rFonts w:ascii="Arial" w:hAnsi="Arial" w:eastAsia="宋体" w:cs="Arial"/>
                <w:color w:val="0000FF"/>
                <w:sz w:val="21"/>
                <w:szCs w:val="21"/>
                <w:highlight w:val="yellow"/>
                <w:shd w:val="clear" w:color="auto" w:fill="FFFFFF"/>
              </w:rPr>
              <w:t>临海市限额以下公共资源交易区域平台</w:t>
            </w:r>
            <w:r>
              <w:rPr>
                <w:rFonts w:hint="eastAsia" w:ascii="Arial" w:hAnsi="Arial" w:eastAsia="宋体" w:cs="Arial"/>
                <w:color w:val="0000FF"/>
                <w:sz w:val="21"/>
                <w:szCs w:val="21"/>
                <w:highlight w:val="yellow"/>
                <w:shd w:val="clear" w:color="auto" w:fill="FFFFFF"/>
                <w:lang w:val="en-US" w:eastAsia="zh-CN"/>
              </w:rPr>
              <w:t>西</w:t>
            </w:r>
            <w:r>
              <w:rPr>
                <w:rFonts w:hint="eastAsia" w:ascii="Arial" w:hAnsi="Arial" w:eastAsia="宋体" w:cs="Arial"/>
                <w:color w:val="0000FF"/>
                <w:sz w:val="21"/>
                <w:szCs w:val="21"/>
                <w:highlight w:val="yellow"/>
                <w:shd w:val="clear" w:color="auto" w:fill="FFFFFF"/>
              </w:rPr>
              <w:t>部</w:t>
            </w:r>
            <w:r>
              <w:rPr>
                <w:rFonts w:hint="eastAsia" w:ascii="Arial" w:hAnsi="Arial" w:eastAsia="宋体" w:cs="Arial"/>
                <w:color w:val="0000FF"/>
                <w:sz w:val="21"/>
                <w:szCs w:val="21"/>
                <w:highlight w:val="yellow"/>
                <w:u w:val="single"/>
                <w:shd w:val="clear" w:color="auto" w:fill="FFFFFF"/>
                <w:lang w:val="en-US" w:eastAsia="zh-CN"/>
              </w:rPr>
              <w:t xml:space="preserve"> 2号   </w:t>
            </w:r>
            <w:r>
              <w:rPr>
                <w:rFonts w:ascii="Arial" w:hAnsi="Arial" w:eastAsia="宋体" w:cs="Arial"/>
                <w:color w:val="0000FF"/>
                <w:sz w:val="21"/>
                <w:szCs w:val="21"/>
                <w:highlight w:val="yellow"/>
                <w:shd w:val="clear" w:color="auto" w:fill="FFFFFF"/>
              </w:rPr>
              <w:t>开标室</w:t>
            </w:r>
          </w:p>
        </w:tc>
      </w:tr>
      <w:tr w14:paraId="54433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682" w:type="dxa"/>
            <w:vAlign w:val="center"/>
          </w:tcPr>
          <w:p w14:paraId="34CF275B">
            <w:pPr>
              <w:jc w:val="center"/>
              <w:rPr>
                <w:rFonts w:ascii="宋体" w:hAnsi="宋体" w:eastAsia="宋体"/>
                <w:color w:val="auto"/>
                <w:sz w:val="21"/>
                <w:highlight w:val="none"/>
              </w:rPr>
            </w:pPr>
            <w:r>
              <w:rPr>
                <w:rFonts w:hint="eastAsia" w:ascii="宋体" w:hAnsi="宋体" w:eastAsia="宋体"/>
                <w:color w:val="auto"/>
                <w:sz w:val="21"/>
                <w:highlight w:val="none"/>
              </w:rPr>
              <w:t>24</w:t>
            </w:r>
          </w:p>
        </w:tc>
        <w:tc>
          <w:tcPr>
            <w:tcW w:w="861" w:type="dxa"/>
            <w:vAlign w:val="center"/>
          </w:tcPr>
          <w:p w14:paraId="613F6E68">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722" w:type="dxa"/>
            <w:vAlign w:val="center"/>
          </w:tcPr>
          <w:p w14:paraId="6DF4E5C1">
            <w:pPr>
              <w:jc w:val="center"/>
              <w:rPr>
                <w:rFonts w:ascii="宋体" w:hAnsi="宋体" w:eastAsia="宋体"/>
                <w:color w:val="auto"/>
                <w:sz w:val="21"/>
                <w:highlight w:val="none"/>
              </w:rPr>
            </w:pPr>
            <w:r>
              <w:rPr>
                <w:rFonts w:hint="eastAsia" w:ascii="宋体" w:hAnsi="宋体" w:eastAsia="宋体"/>
                <w:color w:val="auto"/>
                <w:sz w:val="21"/>
                <w:highlight w:val="none"/>
              </w:rPr>
              <w:t>投标文件提交截止时间与开标</w:t>
            </w:r>
          </w:p>
          <w:p w14:paraId="7BCBF305">
            <w:pPr>
              <w:jc w:val="center"/>
              <w:rPr>
                <w:rFonts w:ascii="宋体" w:hAnsi="宋体" w:eastAsia="宋体"/>
                <w:color w:val="auto"/>
                <w:sz w:val="21"/>
                <w:highlight w:val="none"/>
              </w:rPr>
            </w:pPr>
            <w:r>
              <w:rPr>
                <w:rFonts w:hint="eastAsia" w:ascii="宋体" w:hAnsi="宋体" w:eastAsia="宋体"/>
                <w:color w:val="auto"/>
                <w:sz w:val="21"/>
                <w:highlight w:val="none"/>
              </w:rPr>
              <w:t>时间</w:t>
            </w:r>
          </w:p>
        </w:tc>
        <w:tc>
          <w:tcPr>
            <w:tcW w:w="5919" w:type="dxa"/>
            <w:vAlign w:val="center"/>
          </w:tcPr>
          <w:p w14:paraId="30B6D61F">
            <w:pPr>
              <w:rPr>
                <w:rFonts w:ascii="宋体" w:hAnsi="宋体" w:eastAsia="宋体"/>
                <w:color w:val="auto"/>
                <w:sz w:val="21"/>
                <w:highlight w:val="yellow"/>
              </w:rPr>
            </w:pPr>
            <w:r>
              <w:rPr>
                <w:rFonts w:hint="eastAsia" w:ascii="宋体" w:hAnsi="宋体" w:eastAsia="宋体"/>
                <w:color w:val="auto"/>
                <w:sz w:val="21"/>
                <w:highlight w:val="yellow"/>
                <w:u w:val="single"/>
              </w:rPr>
              <w:t>202</w:t>
            </w:r>
            <w:r>
              <w:rPr>
                <w:rFonts w:hint="eastAsia" w:ascii="宋体" w:hAnsi="宋体" w:eastAsia="宋体"/>
                <w:color w:val="auto"/>
                <w:sz w:val="21"/>
                <w:highlight w:val="yellow"/>
                <w:u w:val="single"/>
                <w:lang w:val="en-US" w:eastAsia="zh-CN"/>
              </w:rPr>
              <w:t>6</w:t>
            </w:r>
            <w:r>
              <w:rPr>
                <w:rFonts w:hint="eastAsia" w:ascii="宋体" w:hAnsi="宋体" w:eastAsia="宋体"/>
                <w:color w:val="auto"/>
                <w:sz w:val="21"/>
                <w:highlight w:val="yellow"/>
                <w:u w:val="single"/>
              </w:rPr>
              <w:t>年</w:t>
            </w:r>
            <w:r>
              <w:rPr>
                <w:rFonts w:hint="eastAsia" w:ascii="宋体" w:hAnsi="宋体" w:eastAsia="宋体"/>
                <w:color w:val="auto"/>
                <w:sz w:val="21"/>
                <w:highlight w:val="yellow"/>
                <w:u w:val="single"/>
                <w:lang w:val="en-US" w:eastAsia="zh-CN"/>
              </w:rPr>
              <w:t xml:space="preserve"> 7 </w:t>
            </w:r>
            <w:r>
              <w:rPr>
                <w:rFonts w:hint="eastAsia" w:ascii="宋体" w:hAnsi="宋体" w:eastAsia="宋体"/>
                <w:color w:val="auto"/>
                <w:sz w:val="21"/>
                <w:highlight w:val="yellow"/>
                <w:u w:val="single"/>
              </w:rPr>
              <w:t>月</w:t>
            </w:r>
            <w:r>
              <w:rPr>
                <w:rFonts w:hint="eastAsia" w:ascii="宋体" w:hAnsi="宋体" w:eastAsia="宋体"/>
                <w:color w:val="auto"/>
                <w:sz w:val="21"/>
                <w:highlight w:val="yellow"/>
                <w:u w:val="single"/>
                <w:lang w:val="en-US" w:eastAsia="zh-CN"/>
              </w:rPr>
              <w:t xml:space="preserve"> 17 </w:t>
            </w:r>
            <w:r>
              <w:rPr>
                <w:rFonts w:hint="eastAsia" w:ascii="宋体" w:hAnsi="宋体" w:eastAsia="宋体"/>
                <w:color w:val="auto"/>
                <w:sz w:val="21"/>
                <w:highlight w:val="yellow"/>
                <w:u w:val="single"/>
              </w:rPr>
              <w:t>日</w:t>
            </w:r>
            <w:r>
              <w:rPr>
                <w:rFonts w:hint="eastAsia" w:ascii="宋体" w:hAnsi="宋体" w:eastAsia="宋体"/>
                <w:color w:val="auto"/>
                <w:sz w:val="21"/>
                <w:highlight w:val="yellow"/>
                <w:u w:val="single"/>
                <w:lang w:val="en-US" w:eastAsia="zh-CN"/>
              </w:rPr>
              <w:t xml:space="preserve"> 8 </w:t>
            </w:r>
            <w:r>
              <w:rPr>
                <w:rFonts w:hint="eastAsia" w:ascii="宋体" w:hAnsi="宋体" w:eastAsia="宋体"/>
                <w:color w:val="auto"/>
                <w:sz w:val="21"/>
                <w:highlight w:val="yellow"/>
                <w:u w:val="single"/>
              </w:rPr>
              <w:t>时</w:t>
            </w:r>
            <w:r>
              <w:rPr>
                <w:rFonts w:hint="eastAsia" w:ascii="宋体" w:hAnsi="宋体" w:eastAsia="宋体"/>
                <w:color w:val="auto"/>
                <w:sz w:val="21"/>
                <w:highlight w:val="yellow"/>
                <w:u w:val="single"/>
                <w:lang w:val="en-US" w:eastAsia="zh-CN"/>
              </w:rPr>
              <w:t xml:space="preserve"> 30</w:t>
            </w:r>
            <w:r>
              <w:rPr>
                <w:rFonts w:hint="eastAsia" w:ascii="宋体" w:hAnsi="宋体" w:eastAsia="宋体"/>
                <w:color w:val="auto"/>
                <w:sz w:val="21"/>
                <w:highlight w:val="yellow"/>
                <w:u w:val="single"/>
              </w:rPr>
              <w:t>分</w:t>
            </w:r>
            <w:r>
              <w:rPr>
                <w:rFonts w:hint="eastAsia" w:ascii="宋体" w:hAnsi="宋体" w:eastAsia="宋体"/>
                <w:color w:val="auto"/>
                <w:sz w:val="21"/>
                <w:highlight w:val="yellow"/>
              </w:rPr>
              <w:t>；</w:t>
            </w:r>
          </w:p>
        </w:tc>
      </w:tr>
      <w:tr w14:paraId="0F074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682" w:type="dxa"/>
            <w:vAlign w:val="center"/>
          </w:tcPr>
          <w:p w14:paraId="4F45E468">
            <w:pPr>
              <w:jc w:val="center"/>
              <w:rPr>
                <w:rFonts w:ascii="宋体" w:hAnsi="宋体" w:eastAsia="宋体"/>
                <w:color w:val="auto"/>
                <w:sz w:val="21"/>
                <w:highlight w:val="none"/>
              </w:rPr>
            </w:pPr>
            <w:r>
              <w:rPr>
                <w:rFonts w:hint="eastAsia" w:ascii="宋体" w:hAnsi="宋体" w:eastAsia="宋体"/>
                <w:color w:val="auto"/>
                <w:sz w:val="21"/>
                <w:highlight w:val="none"/>
              </w:rPr>
              <w:t>25</w:t>
            </w:r>
          </w:p>
        </w:tc>
        <w:tc>
          <w:tcPr>
            <w:tcW w:w="861" w:type="dxa"/>
            <w:vAlign w:val="center"/>
          </w:tcPr>
          <w:p w14:paraId="0AE30BD3">
            <w:pPr>
              <w:jc w:val="center"/>
              <w:rPr>
                <w:rFonts w:ascii="宋体" w:hAnsi="宋体" w:eastAsia="宋体"/>
                <w:color w:val="auto"/>
                <w:sz w:val="21"/>
                <w:highlight w:val="none"/>
              </w:rPr>
            </w:pPr>
            <w:r>
              <w:rPr>
                <w:rFonts w:hint="eastAsia" w:ascii="宋体" w:hAnsi="宋体" w:eastAsia="宋体"/>
                <w:color w:val="auto"/>
                <w:sz w:val="21"/>
                <w:highlight w:val="none"/>
              </w:rPr>
              <w:t>22.3</w:t>
            </w:r>
          </w:p>
        </w:tc>
        <w:tc>
          <w:tcPr>
            <w:tcW w:w="1722" w:type="dxa"/>
            <w:vAlign w:val="center"/>
          </w:tcPr>
          <w:p w14:paraId="3A8A5D6E">
            <w:pPr>
              <w:jc w:val="center"/>
              <w:rPr>
                <w:rFonts w:ascii="宋体" w:hAnsi="宋体" w:eastAsia="宋体"/>
                <w:color w:val="auto"/>
                <w:sz w:val="21"/>
                <w:highlight w:val="none"/>
              </w:rPr>
            </w:pPr>
            <w:r>
              <w:rPr>
                <w:rFonts w:hint="eastAsia" w:ascii="宋体" w:hAnsi="宋体" w:eastAsia="宋体"/>
                <w:color w:val="auto"/>
                <w:sz w:val="21"/>
                <w:highlight w:val="none"/>
              </w:rPr>
              <w:t>开标顺序</w:t>
            </w:r>
          </w:p>
        </w:tc>
        <w:tc>
          <w:tcPr>
            <w:tcW w:w="5919" w:type="dxa"/>
            <w:vAlign w:val="center"/>
          </w:tcPr>
          <w:p w14:paraId="30723E2F">
            <w:pPr>
              <w:ind w:firstLine="422" w:firstLineChars="200"/>
              <w:rPr>
                <w:rFonts w:ascii="宋体" w:hAnsi="宋体" w:eastAsia="宋体"/>
                <w:color w:val="auto"/>
                <w:sz w:val="21"/>
                <w:szCs w:val="22"/>
                <w:highlight w:val="none"/>
              </w:rPr>
            </w:pPr>
            <w:r>
              <w:rPr>
                <w:rFonts w:hint="eastAsia" w:ascii="宋体" w:hAnsi="宋体" w:eastAsia="宋体" w:cs="宋体"/>
                <w:b/>
                <w:color w:val="auto"/>
                <w:sz w:val="21"/>
                <w:szCs w:val="21"/>
                <w:highlight w:val="none"/>
              </w:rPr>
              <w:t>开标顺序</w:t>
            </w:r>
            <w:r>
              <w:rPr>
                <w:rFonts w:hint="eastAsia" w:ascii="宋体" w:hAnsi="宋体" w:eastAsia="宋体"/>
                <w:i/>
                <w:color w:val="auto"/>
                <w:sz w:val="21"/>
                <w:highlight w:val="none"/>
              </w:rPr>
              <w:t>：</w:t>
            </w:r>
            <w:r>
              <w:rPr>
                <w:rFonts w:hint="eastAsia" w:ascii="宋体" w:hAnsi="宋体" w:eastAsia="宋体"/>
                <w:color w:val="auto"/>
                <w:sz w:val="21"/>
                <w:szCs w:val="22"/>
                <w:highlight w:val="none"/>
              </w:rPr>
              <w:t>各投标人首先在投标截止时间后对各自网上提交的电子投标文件解密。解密后先进行D值抽取，然后按评标顺序分别开启各单位的标书，并由评标委员会进行评审，最后宣布评审结果。</w:t>
            </w:r>
          </w:p>
          <w:p w14:paraId="70B9838D">
            <w:pPr>
              <w:rPr>
                <w:rFonts w:ascii="宋体" w:hAnsi="宋体" w:eastAsia="宋体"/>
                <w:i/>
                <w:color w:val="auto"/>
                <w:sz w:val="21"/>
                <w:highlight w:val="none"/>
              </w:rPr>
            </w:pPr>
            <w:r>
              <w:rPr>
                <w:rFonts w:hint="eastAsia" w:ascii="宋体" w:hAnsi="宋体" w:eastAsia="宋体"/>
                <w:color w:val="auto"/>
                <w:sz w:val="21"/>
                <w:szCs w:val="22"/>
                <w:highlight w:val="none"/>
              </w:rPr>
              <w:t>投标人对开标有异议的，应该在开标时通过电话提出、招标人（招标代理机构）应当当场通过电话作出答复，并制作记录。</w:t>
            </w:r>
          </w:p>
        </w:tc>
      </w:tr>
      <w:tr w14:paraId="747ED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682" w:type="dxa"/>
            <w:vAlign w:val="center"/>
          </w:tcPr>
          <w:p w14:paraId="7BFF90B1">
            <w:pPr>
              <w:jc w:val="center"/>
              <w:rPr>
                <w:rFonts w:ascii="宋体" w:hAnsi="宋体" w:eastAsia="宋体"/>
                <w:color w:val="auto"/>
                <w:sz w:val="21"/>
                <w:highlight w:val="none"/>
              </w:rPr>
            </w:pPr>
            <w:r>
              <w:rPr>
                <w:rFonts w:hint="eastAsia" w:ascii="宋体" w:hAnsi="宋体" w:eastAsia="宋体"/>
                <w:color w:val="auto"/>
                <w:sz w:val="21"/>
                <w:highlight w:val="none"/>
              </w:rPr>
              <w:t>26</w:t>
            </w:r>
          </w:p>
        </w:tc>
        <w:tc>
          <w:tcPr>
            <w:tcW w:w="861" w:type="dxa"/>
            <w:vAlign w:val="center"/>
          </w:tcPr>
          <w:p w14:paraId="0815775B">
            <w:pPr>
              <w:jc w:val="center"/>
              <w:rPr>
                <w:rFonts w:ascii="宋体" w:hAnsi="宋体" w:eastAsia="宋体"/>
                <w:color w:val="auto"/>
                <w:sz w:val="21"/>
                <w:highlight w:val="none"/>
              </w:rPr>
            </w:pPr>
            <w:r>
              <w:rPr>
                <w:rFonts w:hint="eastAsia" w:ascii="宋体" w:hAnsi="宋体" w:eastAsia="宋体"/>
                <w:color w:val="auto"/>
                <w:sz w:val="21"/>
                <w:highlight w:val="none"/>
              </w:rPr>
              <w:t>31.1</w:t>
            </w:r>
          </w:p>
        </w:tc>
        <w:tc>
          <w:tcPr>
            <w:tcW w:w="1722" w:type="dxa"/>
            <w:vAlign w:val="center"/>
          </w:tcPr>
          <w:p w14:paraId="08A4E2DC">
            <w:pPr>
              <w:jc w:val="center"/>
              <w:rPr>
                <w:rFonts w:ascii="宋体" w:hAnsi="宋体" w:eastAsia="宋体"/>
                <w:color w:val="auto"/>
                <w:sz w:val="21"/>
                <w:highlight w:val="none"/>
              </w:rPr>
            </w:pPr>
            <w:r>
              <w:rPr>
                <w:rFonts w:hint="eastAsia" w:ascii="宋体" w:hAnsi="宋体" w:eastAsia="宋体"/>
                <w:color w:val="auto"/>
                <w:sz w:val="21"/>
                <w:highlight w:val="none"/>
              </w:rPr>
              <w:t>评标办法</w:t>
            </w:r>
          </w:p>
        </w:tc>
        <w:tc>
          <w:tcPr>
            <w:tcW w:w="5919" w:type="dxa"/>
            <w:vAlign w:val="center"/>
          </w:tcPr>
          <w:p w14:paraId="769F12C1">
            <w:pPr>
              <w:rPr>
                <w:rFonts w:ascii="宋体" w:hAnsi="宋体" w:eastAsia="宋体"/>
                <w:color w:val="auto"/>
                <w:sz w:val="21"/>
                <w:highlight w:val="none"/>
              </w:rPr>
            </w:pPr>
            <w:r>
              <w:rPr>
                <w:rFonts w:hint="eastAsia" w:ascii="宋体" w:hAnsi="宋体" w:eastAsia="宋体"/>
                <w:color w:val="auto"/>
                <w:sz w:val="21"/>
                <w:szCs w:val="22"/>
                <w:highlight w:val="none"/>
              </w:rPr>
              <w:t>临海市限额以下公共资源交易工程建设项目(房建市政项目评标办法)</w:t>
            </w:r>
          </w:p>
        </w:tc>
      </w:tr>
      <w:tr w14:paraId="35EDD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544B83CC">
            <w:pPr>
              <w:jc w:val="center"/>
              <w:rPr>
                <w:rFonts w:ascii="宋体" w:hAnsi="宋体" w:eastAsia="宋体"/>
                <w:color w:val="auto"/>
                <w:sz w:val="21"/>
                <w:highlight w:val="none"/>
              </w:rPr>
            </w:pPr>
            <w:r>
              <w:rPr>
                <w:rFonts w:hint="eastAsia" w:ascii="宋体" w:hAnsi="宋体" w:eastAsia="宋体"/>
                <w:color w:val="auto"/>
                <w:sz w:val="21"/>
                <w:highlight w:val="none"/>
              </w:rPr>
              <w:t>27</w:t>
            </w:r>
          </w:p>
        </w:tc>
        <w:tc>
          <w:tcPr>
            <w:tcW w:w="861" w:type="dxa"/>
            <w:vAlign w:val="center"/>
          </w:tcPr>
          <w:p w14:paraId="2A3B7089">
            <w:pPr>
              <w:jc w:val="center"/>
              <w:rPr>
                <w:rFonts w:ascii="宋体" w:hAnsi="宋体" w:eastAsia="宋体"/>
                <w:color w:val="auto"/>
                <w:sz w:val="21"/>
                <w:highlight w:val="none"/>
              </w:rPr>
            </w:pPr>
            <w:r>
              <w:rPr>
                <w:rFonts w:hint="eastAsia" w:ascii="宋体" w:hAnsi="宋体" w:eastAsia="宋体"/>
                <w:color w:val="auto"/>
                <w:sz w:val="21"/>
                <w:highlight w:val="none"/>
              </w:rPr>
              <w:t>34.1</w:t>
            </w:r>
          </w:p>
        </w:tc>
        <w:tc>
          <w:tcPr>
            <w:tcW w:w="1722" w:type="dxa"/>
            <w:vAlign w:val="center"/>
          </w:tcPr>
          <w:p w14:paraId="6D7EFE97">
            <w:pPr>
              <w:jc w:val="center"/>
              <w:rPr>
                <w:rFonts w:ascii="宋体" w:hAnsi="宋体" w:eastAsia="宋体"/>
                <w:color w:val="auto"/>
                <w:sz w:val="21"/>
                <w:highlight w:val="none"/>
              </w:rPr>
            </w:pPr>
            <w:r>
              <w:rPr>
                <w:rFonts w:hint="eastAsia" w:ascii="宋体" w:hAnsi="宋体" w:eastAsia="宋体"/>
                <w:color w:val="auto"/>
                <w:sz w:val="21"/>
                <w:highlight w:val="none"/>
              </w:rPr>
              <w:t>工程担保</w:t>
            </w:r>
          </w:p>
        </w:tc>
        <w:tc>
          <w:tcPr>
            <w:tcW w:w="5919" w:type="dxa"/>
            <w:vAlign w:val="center"/>
          </w:tcPr>
          <w:p w14:paraId="758FA4A7">
            <w:pPr>
              <w:jc w:val="left"/>
              <w:rPr>
                <w:color w:val="auto"/>
                <w:highlight w:val="none"/>
              </w:rPr>
            </w:pPr>
            <w:r>
              <w:rPr>
                <w:rFonts w:hint="eastAsia" w:ascii="宋体" w:hAnsi="宋体" w:eastAsia="宋体"/>
                <w:color w:val="auto"/>
                <w:sz w:val="21"/>
                <w:szCs w:val="22"/>
                <w:highlight w:val="none"/>
              </w:rPr>
              <w:t>履约担保金额为中标价的2%。</w:t>
            </w:r>
          </w:p>
        </w:tc>
      </w:tr>
      <w:tr w14:paraId="29E55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184" w:type="dxa"/>
            <w:gridSpan w:val="4"/>
            <w:vAlign w:val="center"/>
          </w:tcPr>
          <w:p w14:paraId="44E5511E">
            <w:pPr>
              <w:pStyle w:val="12"/>
              <w:ind w:left="0" w:leftChars="0"/>
              <w:rPr>
                <w:color w:val="auto"/>
                <w:highlight w:val="none"/>
              </w:rPr>
            </w:pPr>
            <w:r>
              <w:rPr>
                <w:rFonts w:hint="eastAsia" w:ascii="宋体" w:hAnsi="宋体" w:eastAsia="宋体"/>
                <w:b/>
                <w:color w:val="auto"/>
                <w:sz w:val="21"/>
                <w:highlight w:val="none"/>
              </w:rPr>
              <w:t>注：本项目无需报名，潜在投标人自行在临海市限额以下公共资源交易区域平台自行下载招标文件。</w:t>
            </w:r>
          </w:p>
        </w:tc>
      </w:tr>
      <w:tr w14:paraId="06AC9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trPr>
        <w:tc>
          <w:tcPr>
            <w:tcW w:w="1543" w:type="dxa"/>
            <w:gridSpan w:val="2"/>
            <w:vAlign w:val="center"/>
          </w:tcPr>
          <w:p w14:paraId="0A7717E1">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投标人平台使用费</w:t>
            </w:r>
          </w:p>
        </w:tc>
        <w:tc>
          <w:tcPr>
            <w:tcW w:w="7641" w:type="dxa"/>
            <w:gridSpan w:val="2"/>
            <w:vAlign w:val="center"/>
          </w:tcPr>
          <w:p w14:paraId="3606D73F">
            <w:pPr>
              <w:pStyle w:val="10"/>
              <w:rPr>
                <w:rFonts w:cs="宋体"/>
                <w:color w:val="auto"/>
                <w:kern w:val="0"/>
                <w:szCs w:val="21"/>
                <w:highlight w:val="none"/>
              </w:rPr>
            </w:pPr>
            <w:r>
              <w:rPr>
                <w:rFonts w:hint="eastAsia" w:cs="宋体"/>
                <w:color w:val="auto"/>
                <w:kern w:val="0"/>
                <w:szCs w:val="21"/>
                <w:highlight w:val="none"/>
              </w:rPr>
              <w:t>项目金额50万元以下收费100元，50万元以上收费150元。</w:t>
            </w:r>
          </w:p>
          <w:p w14:paraId="2FEE7E49">
            <w:pPr>
              <w:pStyle w:val="10"/>
              <w:rPr>
                <w:rFonts w:cs="宋体"/>
                <w:color w:val="auto"/>
                <w:kern w:val="0"/>
                <w:szCs w:val="21"/>
                <w:highlight w:val="none"/>
              </w:rPr>
            </w:pPr>
            <w:r>
              <w:rPr>
                <w:rFonts w:hint="eastAsia" w:cs="宋体"/>
                <w:color w:val="auto"/>
                <w:kern w:val="0"/>
                <w:szCs w:val="21"/>
                <w:highlight w:val="none"/>
              </w:rPr>
              <w:t>开户名：临海市产权交易所有限公司</w:t>
            </w:r>
          </w:p>
          <w:p w14:paraId="781B19BF">
            <w:pPr>
              <w:pStyle w:val="10"/>
              <w:rPr>
                <w:rFonts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7CDEED32">
            <w:pPr>
              <w:pStyle w:val="10"/>
              <w:rPr>
                <w:rFonts w:cs="宋体"/>
                <w:color w:val="auto"/>
                <w:kern w:val="0"/>
                <w:szCs w:val="21"/>
                <w:highlight w:val="none"/>
              </w:rPr>
            </w:pPr>
            <w:r>
              <w:rPr>
                <w:rFonts w:hint="eastAsia" w:cs="宋体"/>
                <w:color w:val="auto"/>
                <w:kern w:val="0"/>
                <w:szCs w:val="21"/>
                <w:highlight w:val="none"/>
              </w:rPr>
              <w:t>平台使用费账号：201000105503123000003</w:t>
            </w:r>
          </w:p>
          <w:p w14:paraId="29A4713D">
            <w:pPr>
              <w:pStyle w:val="10"/>
              <w:rPr>
                <w:rFonts w:cs="宋体"/>
                <w:color w:val="auto"/>
                <w:kern w:val="0"/>
                <w:szCs w:val="21"/>
                <w:highlight w:val="none"/>
              </w:rPr>
            </w:pPr>
            <w:r>
              <w:rPr>
                <w:rFonts w:hint="eastAsia" w:cs="宋体"/>
                <w:color w:val="auto"/>
                <w:kern w:val="0"/>
                <w:szCs w:val="21"/>
                <w:highlight w:val="none"/>
              </w:rPr>
              <w:t>临海市产权交易所有限公司财务咨询电话：0576-85407100。</w:t>
            </w:r>
          </w:p>
          <w:p w14:paraId="53E09042">
            <w:pPr>
              <w:pStyle w:val="10"/>
              <w:rPr>
                <w:rFonts w:cs="宋体"/>
                <w:color w:val="auto"/>
                <w:szCs w:val="21"/>
                <w:highlight w:val="none"/>
              </w:rPr>
            </w:pPr>
            <w:r>
              <w:rPr>
                <w:rFonts w:hint="eastAsia" w:cs="宋体"/>
                <w:color w:val="auto"/>
                <w:kern w:val="0"/>
                <w:szCs w:val="21"/>
                <w:highlight w:val="none"/>
              </w:rPr>
              <w:t>注意：请提前缴纳相关费用，以防影响正常投标。</w:t>
            </w:r>
          </w:p>
        </w:tc>
      </w:tr>
      <w:tr w14:paraId="24248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1543" w:type="dxa"/>
            <w:gridSpan w:val="2"/>
            <w:vAlign w:val="center"/>
          </w:tcPr>
          <w:p w14:paraId="043ADE86">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交易服务费</w:t>
            </w:r>
          </w:p>
        </w:tc>
        <w:tc>
          <w:tcPr>
            <w:tcW w:w="7641" w:type="dxa"/>
            <w:gridSpan w:val="2"/>
            <w:vAlign w:val="center"/>
          </w:tcPr>
          <w:p w14:paraId="31AC8D06">
            <w:pPr>
              <w:pStyle w:val="10"/>
              <w:rPr>
                <w:rFonts w:cs="宋体"/>
                <w:color w:val="auto"/>
                <w:kern w:val="0"/>
                <w:szCs w:val="21"/>
                <w:highlight w:val="none"/>
              </w:rPr>
            </w:pPr>
            <w:r>
              <w:rPr>
                <w:rFonts w:hint="eastAsia" w:cs="宋体"/>
                <w:color w:val="auto"/>
                <w:kern w:val="0"/>
                <w:szCs w:val="21"/>
                <w:highlight w:val="none"/>
              </w:rPr>
              <w:t>交易服务费根据台州市公共资源交易机构（含分支机构）工程建设项目交易服务收费标准收取。</w:t>
            </w:r>
          </w:p>
          <w:p w14:paraId="16FF00ED">
            <w:pPr>
              <w:pStyle w:val="10"/>
              <w:rPr>
                <w:rFonts w:cs="宋体"/>
                <w:color w:val="auto"/>
                <w:kern w:val="0"/>
                <w:szCs w:val="21"/>
                <w:highlight w:val="none"/>
              </w:rPr>
            </w:pPr>
            <w:r>
              <w:rPr>
                <w:rFonts w:hint="eastAsia" w:cs="宋体"/>
                <w:color w:val="auto"/>
                <w:kern w:val="0"/>
                <w:szCs w:val="21"/>
                <w:highlight w:val="none"/>
              </w:rPr>
              <w:t>开户名：临海市产权交易所有限公司</w:t>
            </w:r>
          </w:p>
          <w:p w14:paraId="41C9960F">
            <w:pPr>
              <w:pStyle w:val="10"/>
              <w:rPr>
                <w:rFonts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0EDA0E48">
            <w:pPr>
              <w:pStyle w:val="10"/>
              <w:rPr>
                <w:rFonts w:cs="宋体"/>
                <w:color w:val="auto"/>
                <w:kern w:val="0"/>
                <w:szCs w:val="21"/>
                <w:highlight w:val="none"/>
              </w:rPr>
            </w:pPr>
            <w:r>
              <w:rPr>
                <w:rFonts w:hint="eastAsia" w:cs="宋体"/>
                <w:color w:val="auto"/>
                <w:kern w:val="0"/>
                <w:szCs w:val="21"/>
                <w:highlight w:val="none"/>
              </w:rPr>
              <w:t>中标服务费账号：201000105503123000004</w:t>
            </w:r>
          </w:p>
          <w:p w14:paraId="55411A1E">
            <w:pPr>
              <w:pStyle w:val="10"/>
              <w:rPr>
                <w:rFonts w:cs="宋体"/>
                <w:color w:val="auto"/>
                <w:szCs w:val="21"/>
                <w:highlight w:val="none"/>
              </w:rPr>
            </w:pPr>
            <w:r>
              <w:rPr>
                <w:rFonts w:hint="eastAsia" w:cs="宋体"/>
                <w:color w:val="auto"/>
                <w:kern w:val="0"/>
                <w:szCs w:val="21"/>
                <w:highlight w:val="none"/>
              </w:rPr>
              <w:t>临海市产权交易所有限公司财务咨询电话：0576-85407100。</w:t>
            </w:r>
          </w:p>
        </w:tc>
      </w:tr>
      <w:tr w14:paraId="5338F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543" w:type="dxa"/>
            <w:gridSpan w:val="2"/>
            <w:vAlign w:val="center"/>
          </w:tcPr>
          <w:p w14:paraId="7AD8D03B">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电子发票开具方式</w:t>
            </w:r>
          </w:p>
        </w:tc>
        <w:tc>
          <w:tcPr>
            <w:tcW w:w="7641" w:type="dxa"/>
            <w:gridSpan w:val="2"/>
            <w:vAlign w:val="center"/>
          </w:tcPr>
          <w:p w14:paraId="2ADA5BBE">
            <w:pPr>
              <w:rPr>
                <w:rFonts w:ascii="宋体" w:hAnsi="宋体" w:eastAsia="宋体" w:cs="宋体"/>
                <w:color w:val="auto"/>
                <w:sz w:val="21"/>
                <w:szCs w:val="21"/>
                <w:highlight w:val="none"/>
              </w:rPr>
            </w:pPr>
            <w:r>
              <w:rPr>
                <w:rFonts w:hint="eastAsia" w:hAnsi="宋体" w:eastAsia="宋体"/>
                <w:color w:val="auto"/>
                <w:kern w:val="0"/>
                <w:sz w:val="21"/>
                <w:szCs w:val="21"/>
                <w:highlight w:val="none"/>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76611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7" w:hRule="atLeast"/>
        </w:trPr>
        <w:tc>
          <w:tcPr>
            <w:tcW w:w="1543" w:type="dxa"/>
            <w:gridSpan w:val="2"/>
            <w:vAlign w:val="center"/>
          </w:tcPr>
          <w:p w14:paraId="4E43C723">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其他说明</w:t>
            </w:r>
          </w:p>
        </w:tc>
        <w:tc>
          <w:tcPr>
            <w:tcW w:w="7641" w:type="dxa"/>
            <w:gridSpan w:val="2"/>
            <w:vAlign w:val="center"/>
          </w:tcPr>
          <w:p w14:paraId="2D5A7387">
            <w:pPr>
              <w:pStyle w:val="30"/>
              <w:spacing w:line="260" w:lineRule="exact"/>
              <w:rPr>
                <w:rFonts w:ascii="Calibri" w:hAnsi="宋体"/>
                <w:color w:val="auto"/>
                <w:sz w:val="21"/>
                <w:szCs w:val="21"/>
                <w:highlight w:val="none"/>
              </w:rPr>
            </w:pPr>
            <w:r>
              <w:rPr>
                <w:rFonts w:hint="eastAsia" w:ascii="Calibri" w:hAnsi="宋体"/>
                <w:color w:val="auto"/>
                <w:sz w:val="21"/>
                <w:szCs w:val="21"/>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42E4C886">
            <w:pPr>
              <w:pStyle w:val="30"/>
              <w:spacing w:line="260" w:lineRule="exact"/>
              <w:ind w:firstLine="273" w:firstLineChars="130"/>
              <w:rPr>
                <w:rFonts w:ascii="Calibri" w:hAnsi="宋体"/>
                <w:color w:val="auto"/>
                <w:sz w:val="21"/>
                <w:szCs w:val="21"/>
                <w:highlight w:val="none"/>
              </w:rPr>
            </w:pPr>
            <w:r>
              <w:rPr>
                <w:rFonts w:hint="eastAsia" w:ascii="Calibri" w:hAnsi="宋体"/>
                <w:color w:val="auto"/>
                <w:sz w:val="21"/>
                <w:szCs w:val="21"/>
                <w:highlight w:val="none"/>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04C573D1">
            <w:pPr>
              <w:pStyle w:val="30"/>
              <w:spacing w:line="260" w:lineRule="exact"/>
              <w:ind w:firstLine="273" w:firstLineChars="130"/>
              <w:rPr>
                <w:rFonts w:ascii="Calibri" w:hAnsi="宋体"/>
                <w:color w:val="auto"/>
                <w:sz w:val="21"/>
                <w:szCs w:val="21"/>
                <w:highlight w:val="none"/>
              </w:rPr>
            </w:pPr>
            <w:r>
              <w:rPr>
                <w:rFonts w:hint="eastAsia" w:ascii="Calibri" w:hAnsi="宋体"/>
                <w:color w:val="auto"/>
                <w:sz w:val="21"/>
                <w:szCs w:val="21"/>
                <w:highlight w:val="none"/>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269028F1">
            <w:pPr>
              <w:pStyle w:val="30"/>
              <w:spacing w:line="260" w:lineRule="exact"/>
              <w:ind w:firstLine="273" w:firstLineChars="130"/>
              <w:rPr>
                <w:rFonts w:hint="eastAsia" w:ascii="Calibri" w:hAnsi="宋体"/>
                <w:color w:val="auto"/>
                <w:sz w:val="21"/>
                <w:szCs w:val="21"/>
                <w:highlight w:val="none"/>
              </w:rPr>
            </w:pPr>
            <w:r>
              <w:rPr>
                <w:rFonts w:hint="eastAsia" w:ascii="Calibri" w:hAnsi="宋体"/>
                <w:color w:val="auto"/>
                <w:sz w:val="21"/>
                <w:szCs w:val="21"/>
                <w:highlight w:val="none"/>
              </w:rPr>
              <w:t>软件技术支持电话：15267291759（同微信）。</w:t>
            </w:r>
          </w:p>
          <w:p w14:paraId="3ABA5F9D">
            <w:pPr>
              <w:pStyle w:val="10"/>
              <w:ind w:firstLine="210" w:firstLineChars="100"/>
              <w:jc w:val="both"/>
              <w:rPr>
                <w:rFonts w:hint="eastAsia" w:cs="宋体"/>
                <w:color w:val="auto"/>
                <w:kern w:val="0"/>
                <w:szCs w:val="21"/>
                <w:highlight w:val="none"/>
                <w:lang w:eastAsia="zh-CN"/>
              </w:rPr>
            </w:pPr>
            <w:r>
              <w:rPr>
                <w:rFonts w:hint="eastAsia" w:ascii="Calibri" w:hAnsi="宋体"/>
                <w:color w:val="auto"/>
                <w:sz w:val="21"/>
                <w:szCs w:val="21"/>
                <w:highlight w:val="none"/>
                <w:lang w:val="en-US" w:eastAsia="zh-CN"/>
              </w:rPr>
              <w:t>3、</w:t>
            </w:r>
            <w:r>
              <w:rPr>
                <w:rFonts w:hint="eastAsia" w:cs="宋体"/>
                <w:color w:val="auto"/>
                <w:kern w:val="0"/>
                <w:szCs w:val="21"/>
                <w:highlight w:val="none"/>
                <w:lang w:eastAsia="zh-CN"/>
              </w:rPr>
              <w:t>招标监管机构：临海市建设工程招标投标事务中心</w:t>
            </w:r>
          </w:p>
          <w:p w14:paraId="513F4D62">
            <w:pPr>
              <w:pStyle w:val="30"/>
              <w:spacing w:line="260" w:lineRule="exact"/>
              <w:ind w:firstLine="273" w:firstLineChars="130"/>
              <w:rPr>
                <w:rFonts w:hint="eastAsia" w:ascii="Calibri" w:hAnsi="宋体"/>
                <w:color w:val="auto"/>
                <w:sz w:val="21"/>
                <w:szCs w:val="21"/>
                <w:highlight w:val="none"/>
              </w:rPr>
            </w:pPr>
            <w:r>
              <w:rPr>
                <w:rFonts w:hint="eastAsia" w:ascii="宋体" w:hAnsi="宋体" w:eastAsia="宋体" w:cs="宋体"/>
                <w:color w:val="auto"/>
                <w:kern w:val="0"/>
                <w:sz w:val="21"/>
                <w:szCs w:val="21"/>
                <w:highlight w:val="none"/>
                <w:lang w:val="en-US" w:eastAsia="zh-CN" w:bidi="ar-SA"/>
              </w:rPr>
              <w:t>联系电话：0576-85280256</w:t>
            </w:r>
          </w:p>
        </w:tc>
      </w:tr>
      <w:tr w14:paraId="77B3A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3" w:hRule="atLeast"/>
        </w:trPr>
        <w:tc>
          <w:tcPr>
            <w:tcW w:w="1543" w:type="dxa"/>
            <w:gridSpan w:val="2"/>
            <w:vAlign w:val="center"/>
          </w:tcPr>
          <w:p w14:paraId="70F70626">
            <w:pPr>
              <w:jc w:val="center"/>
              <w:rPr>
                <w:rFonts w:hint="eastAsia" w:ascii="宋体" w:hAnsi="宋体" w:eastAsia="宋体"/>
                <w:color w:val="auto"/>
                <w:sz w:val="21"/>
                <w:highlight w:val="none"/>
              </w:rPr>
            </w:pPr>
          </w:p>
        </w:tc>
        <w:tc>
          <w:tcPr>
            <w:tcW w:w="7641" w:type="dxa"/>
            <w:gridSpan w:val="2"/>
            <w:vAlign w:val="center"/>
          </w:tcPr>
          <w:p w14:paraId="593FA7EF">
            <w:pPr>
              <w:pStyle w:val="30"/>
              <w:spacing w:line="260" w:lineRule="exact"/>
              <w:ind w:firstLine="274" w:firstLineChars="130"/>
              <w:rPr>
                <w:rFonts w:hint="eastAsia" w:ascii="宋体" w:hAnsi="宋体" w:eastAsia="宋体" w:cs="宋体"/>
                <w:color w:val="auto"/>
                <w:kern w:val="0"/>
                <w:sz w:val="21"/>
                <w:szCs w:val="21"/>
                <w:highlight w:val="none"/>
                <w:lang w:val="en-US" w:eastAsia="zh-CN" w:bidi="ar-SA"/>
              </w:rPr>
            </w:pPr>
            <w:r>
              <w:rPr>
                <w:rFonts w:hint="eastAsia" w:ascii="Calibri" w:hAnsi="宋体"/>
                <w:b/>
                <w:bCs/>
                <w:color w:val="FF0000"/>
                <w:sz w:val="21"/>
                <w:szCs w:val="21"/>
                <w:highlight w:val="none"/>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087A5EC3">
      <w:pPr>
        <w:jc w:val="center"/>
        <w:rPr>
          <w:rFonts w:ascii="宋体" w:hAnsi="宋体"/>
          <w:color w:val="auto"/>
          <w:highlight w:val="none"/>
        </w:rPr>
        <w:sectPr>
          <w:headerReference r:id="rId9" w:type="first"/>
          <w:footerReference r:id="rId11" w:type="first"/>
          <w:footerReference r:id="rId10"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3C707BDE">
      <w:pPr>
        <w:keepNext/>
        <w:keepLines/>
        <w:spacing w:before="120" w:after="120"/>
        <w:jc w:val="center"/>
        <w:outlineLvl w:val="0"/>
        <w:rPr>
          <w:rFonts w:ascii="黑体" w:hAnsi="黑体" w:eastAsia="黑体"/>
          <w:b/>
          <w:color w:val="auto"/>
          <w:kern w:val="44"/>
          <w:sz w:val="30"/>
          <w:highlight w:val="none"/>
        </w:rPr>
      </w:pPr>
      <w:bookmarkStart w:id="8" w:name="_Toc26109"/>
      <w:bookmarkStart w:id="9" w:name="_Toc9614"/>
      <w:bookmarkStart w:id="10" w:name="_Toc10147"/>
      <w:bookmarkStart w:id="11" w:name="_Toc500209412"/>
      <w:bookmarkStart w:id="12" w:name="_Toc500208463"/>
      <w:r>
        <w:rPr>
          <w:rFonts w:hint="eastAsia" w:ascii="黑体" w:hAnsi="黑体" w:eastAsia="黑体"/>
          <w:b/>
          <w:color w:val="auto"/>
          <w:kern w:val="44"/>
          <w:sz w:val="30"/>
          <w:highlight w:val="none"/>
        </w:rPr>
        <w:t>第一章  投标须知</w:t>
      </w:r>
      <w:bookmarkEnd w:id="8"/>
      <w:bookmarkEnd w:id="9"/>
      <w:bookmarkEnd w:id="10"/>
      <w:bookmarkEnd w:id="11"/>
      <w:bookmarkEnd w:id="12"/>
    </w:p>
    <w:p w14:paraId="46CC462A">
      <w:pPr>
        <w:spacing w:before="360" w:afterLines="50" w:line="320" w:lineRule="exact"/>
        <w:ind w:left="839"/>
        <w:jc w:val="left"/>
        <w:outlineLvl w:val="1"/>
        <w:rPr>
          <w:rFonts w:ascii="Arial" w:hAnsi="Arial" w:eastAsia="黑体" w:cs="Arial"/>
          <w:b/>
          <w:color w:val="auto"/>
          <w:szCs w:val="24"/>
          <w:highlight w:val="none"/>
        </w:rPr>
      </w:pPr>
      <w:bookmarkStart w:id="13" w:name="_Toc4837"/>
      <w:bookmarkStart w:id="14" w:name="_Toc32149"/>
      <w:bookmarkStart w:id="15" w:name="_Toc500209413"/>
      <w:bookmarkStart w:id="16" w:name="_Toc500208464"/>
      <w:r>
        <w:rPr>
          <w:rFonts w:hint="eastAsia" w:ascii="Arial" w:hAnsi="Arial" w:eastAsia="黑体" w:cs="Arial"/>
          <w:b/>
          <w:color w:val="auto"/>
          <w:szCs w:val="24"/>
          <w:highlight w:val="none"/>
        </w:rPr>
        <w:t xml:space="preserve">                 第一节  总  则</w:t>
      </w:r>
      <w:bookmarkEnd w:id="13"/>
      <w:bookmarkEnd w:id="14"/>
      <w:bookmarkEnd w:id="15"/>
      <w:bookmarkEnd w:id="16"/>
    </w:p>
    <w:p w14:paraId="4815D270">
      <w:pPr>
        <w:keepNext/>
        <w:keepLines/>
        <w:numPr>
          <w:ilvl w:val="0"/>
          <w:numId w:val="3"/>
        </w:numPr>
        <w:spacing w:before="360" w:line="288" w:lineRule="auto"/>
        <w:jc w:val="left"/>
        <w:outlineLvl w:val="2"/>
        <w:rPr>
          <w:rFonts w:ascii="黑体" w:hAnsi="宋体" w:eastAsia="黑体"/>
          <w:b/>
          <w:color w:val="auto"/>
          <w:sz w:val="21"/>
          <w:highlight w:val="none"/>
        </w:rPr>
      </w:pPr>
      <w:bookmarkStart w:id="17" w:name="_Toc155342528"/>
      <w:bookmarkStart w:id="18" w:name="_Toc169487776"/>
      <w:bookmarkStart w:id="19" w:name="_Toc500208465"/>
      <w:r>
        <w:rPr>
          <w:rFonts w:hint="eastAsia" w:ascii="黑体" w:hAnsi="宋体" w:eastAsia="黑体"/>
          <w:b/>
          <w:color w:val="auto"/>
          <w:sz w:val="21"/>
          <w:highlight w:val="none"/>
        </w:rPr>
        <w:t>工程说明</w:t>
      </w:r>
      <w:bookmarkEnd w:id="17"/>
      <w:bookmarkEnd w:id="18"/>
    </w:p>
    <w:p w14:paraId="6A5E6B0D">
      <w:pPr>
        <w:ind w:firstLine="420"/>
        <w:rPr>
          <w:rFonts w:ascii="宋体" w:hAnsi="宋体" w:eastAsia="宋体"/>
          <w:color w:val="auto"/>
          <w:sz w:val="21"/>
          <w:highlight w:val="none"/>
        </w:rPr>
      </w:pPr>
      <w:r>
        <w:rPr>
          <w:rFonts w:hint="eastAsia" w:ascii="宋体" w:hAnsi="宋体" w:eastAsia="宋体"/>
          <w:color w:val="auto"/>
          <w:sz w:val="21"/>
          <w:highlight w:val="none"/>
        </w:rPr>
        <w:t>1.1本招标工程项目说明详见本须知前附表第1项～第7项。</w:t>
      </w:r>
    </w:p>
    <w:p w14:paraId="7AC256D6">
      <w:pPr>
        <w:keepNext/>
        <w:keepLines/>
        <w:numPr>
          <w:ilvl w:val="0"/>
          <w:numId w:val="3"/>
        </w:numPr>
        <w:spacing w:before="360" w:line="288" w:lineRule="auto"/>
        <w:jc w:val="left"/>
        <w:outlineLvl w:val="2"/>
        <w:rPr>
          <w:rFonts w:ascii="黑体" w:hAnsi="宋体" w:eastAsia="黑体"/>
          <w:b/>
          <w:color w:val="auto"/>
          <w:sz w:val="21"/>
          <w:highlight w:val="none"/>
        </w:rPr>
      </w:pPr>
      <w:bookmarkStart w:id="20" w:name="_Toc169487777"/>
      <w:bookmarkStart w:id="21" w:name="_Toc155342529"/>
      <w:r>
        <w:rPr>
          <w:rFonts w:hint="eastAsia" w:ascii="黑体" w:hAnsi="宋体" w:eastAsia="黑体"/>
          <w:b/>
          <w:color w:val="auto"/>
          <w:sz w:val="21"/>
          <w:highlight w:val="none"/>
        </w:rPr>
        <w:t>招标范围</w:t>
      </w:r>
      <w:bookmarkEnd w:id="19"/>
      <w:bookmarkEnd w:id="20"/>
      <w:bookmarkEnd w:id="21"/>
    </w:p>
    <w:p w14:paraId="30D3B9CE">
      <w:pPr>
        <w:pStyle w:val="10"/>
        <w:numPr>
          <w:ilvl w:val="1"/>
          <w:numId w:val="3"/>
        </w:numPr>
        <w:ind w:firstLine="420" w:firstLineChars="200"/>
        <w:rPr>
          <w:color w:val="auto"/>
          <w:highlight w:val="none"/>
        </w:rPr>
      </w:pPr>
      <w:bookmarkStart w:id="22" w:name="_Toc500208466"/>
      <w:r>
        <w:rPr>
          <w:rFonts w:hint="eastAsia"/>
          <w:color w:val="auto"/>
          <w:highlight w:val="none"/>
        </w:rPr>
        <w:t>本招标工程项目的招标方式详见本须知前附表第8项。</w:t>
      </w:r>
    </w:p>
    <w:p w14:paraId="2FE02CD9">
      <w:pPr>
        <w:pStyle w:val="10"/>
        <w:numPr>
          <w:ilvl w:val="1"/>
          <w:numId w:val="3"/>
        </w:numPr>
        <w:ind w:firstLine="420" w:firstLineChars="200"/>
        <w:rPr>
          <w:color w:val="auto"/>
          <w:highlight w:val="none"/>
        </w:rPr>
      </w:pPr>
      <w:r>
        <w:rPr>
          <w:rFonts w:hint="eastAsia"/>
          <w:color w:val="auto"/>
          <w:highlight w:val="none"/>
        </w:rPr>
        <w:t>本招标工程项目的招标范围详见本须知前附表第9项。</w:t>
      </w:r>
    </w:p>
    <w:p w14:paraId="45D3B814">
      <w:pPr>
        <w:keepNext/>
        <w:keepLines/>
        <w:numPr>
          <w:ilvl w:val="0"/>
          <w:numId w:val="3"/>
        </w:numPr>
        <w:spacing w:before="360" w:line="288" w:lineRule="auto"/>
        <w:jc w:val="left"/>
        <w:outlineLvl w:val="2"/>
        <w:rPr>
          <w:rFonts w:ascii="黑体" w:hAnsi="宋体" w:eastAsia="黑体"/>
          <w:b/>
          <w:color w:val="auto"/>
          <w:sz w:val="21"/>
          <w:highlight w:val="none"/>
        </w:rPr>
      </w:pPr>
      <w:bookmarkStart w:id="23" w:name="_Toc169487778"/>
      <w:bookmarkStart w:id="24" w:name="_Toc155342530"/>
      <w:r>
        <w:rPr>
          <w:rFonts w:hint="eastAsia" w:ascii="黑体" w:hAnsi="宋体" w:eastAsia="黑体"/>
          <w:b/>
          <w:color w:val="auto"/>
          <w:sz w:val="21"/>
          <w:highlight w:val="none"/>
        </w:rPr>
        <w:t>资金来源</w:t>
      </w:r>
      <w:bookmarkEnd w:id="22"/>
      <w:bookmarkEnd w:id="23"/>
      <w:bookmarkEnd w:id="24"/>
    </w:p>
    <w:p w14:paraId="361F13B3">
      <w:pPr>
        <w:pStyle w:val="10"/>
        <w:numPr>
          <w:ilvl w:val="1"/>
          <w:numId w:val="3"/>
        </w:numPr>
        <w:ind w:firstLine="420" w:firstLineChars="200"/>
        <w:rPr>
          <w:color w:val="auto"/>
          <w:highlight w:val="none"/>
        </w:rPr>
      </w:pPr>
      <w:r>
        <w:rPr>
          <w:rFonts w:hint="eastAsia"/>
          <w:color w:val="auto"/>
          <w:highlight w:val="none"/>
        </w:rPr>
        <w:t>本招标工程项目资金来源详见本须知前附表第10项，其中部分资金用于本工程项目合同项下的合格支付。</w:t>
      </w:r>
    </w:p>
    <w:p w14:paraId="20B5EA7B">
      <w:pPr>
        <w:keepNext/>
        <w:keepLines/>
        <w:numPr>
          <w:ilvl w:val="0"/>
          <w:numId w:val="3"/>
        </w:numPr>
        <w:spacing w:before="360" w:line="288" w:lineRule="auto"/>
        <w:jc w:val="left"/>
        <w:outlineLvl w:val="2"/>
        <w:rPr>
          <w:rFonts w:ascii="黑体" w:hAnsi="宋体" w:eastAsia="黑体"/>
          <w:b/>
          <w:color w:val="auto"/>
          <w:sz w:val="21"/>
          <w:szCs w:val="22"/>
          <w:highlight w:val="none"/>
        </w:rPr>
      </w:pPr>
      <w:bookmarkStart w:id="25" w:name="_Toc169487780"/>
      <w:bookmarkStart w:id="26" w:name="_Toc155342532"/>
      <w:r>
        <w:rPr>
          <w:rFonts w:hint="eastAsia" w:ascii="黑体" w:hAnsi="宋体" w:eastAsia="黑体"/>
          <w:b/>
          <w:color w:val="auto"/>
          <w:sz w:val="21"/>
          <w:szCs w:val="22"/>
          <w:highlight w:val="none"/>
        </w:rPr>
        <w:t>投标人资格</w:t>
      </w:r>
    </w:p>
    <w:p w14:paraId="3BE1B84A">
      <w:pPr>
        <w:pStyle w:val="10"/>
        <w:ind w:firstLine="420" w:firstLineChars="200"/>
        <w:rPr>
          <w:color w:val="auto"/>
          <w:szCs w:val="22"/>
          <w:highlight w:val="none"/>
        </w:rPr>
      </w:pPr>
      <w:r>
        <w:rPr>
          <w:rFonts w:hint="eastAsia"/>
          <w:color w:val="auto"/>
          <w:szCs w:val="22"/>
          <w:highlight w:val="none"/>
        </w:rPr>
        <w:t>4.1投标人与项目负责人资格要求详见本须知前附表第11项和第12项。</w:t>
      </w:r>
    </w:p>
    <w:p w14:paraId="5B2A8CD1">
      <w:pPr>
        <w:pStyle w:val="10"/>
        <w:ind w:firstLine="420" w:firstLineChars="200"/>
        <w:rPr>
          <w:color w:val="auto"/>
          <w:szCs w:val="22"/>
          <w:highlight w:val="none"/>
        </w:rPr>
      </w:pPr>
      <w:r>
        <w:rPr>
          <w:rFonts w:hint="eastAsia"/>
          <w:color w:val="auto"/>
          <w:szCs w:val="22"/>
          <w:highlight w:val="none"/>
        </w:rPr>
        <w:t>4.2投标人确定方式详见本须知前附表第13项。投标人应按规定取得交易席位资格。</w:t>
      </w:r>
    </w:p>
    <w:p w14:paraId="1CD8D4F7">
      <w:pPr>
        <w:pStyle w:val="10"/>
        <w:ind w:firstLine="420" w:firstLineChars="200"/>
        <w:rPr>
          <w:rFonts w:hint="eastAsia"/>
          <w:color w:val="auto"/>
          <w:szCs w:val="22"/>
          <w:highlight w:val="none"/>
        </w:rPr>
      </w:pPr>
      <w:r>
        <w:rPr>
          <w:rFonts w:hint="eastAsia"/>
          <w:color w:val="auto"/>
          <w:szCs w:val="22"/>
          <w:highlight w:val="none"/>
        </w:rPr>
        <w:t>4.3对项目负责人“有在建合同工程”的认定标准：</w:t>
      </w:r>
    </w:p>
    <w:p w14:paraId="282D2880">
      <w:pPr>
        <w:pStyle w:val="10"/>
        <w:ind w:firstLine="630" w:firstLineChars="300"/>
        <w:rPr>
          <w:rFonts w:hint="eastAsia"/>
          <w:color w:val="auto"/>
          <w:szCs w:val="22"/>
          <w:highlight w:val="none"/>
        </w:rPr>
      </w:pPr>
      <w:r>
        <w:rPr>
          <w:rFonts w:hint="eastAsia"/>
          <w:color w:val="auto"/>
          <w:szCs w:val="22"/>
          <w:highlight w:val="none"/>
        </w:rPr>
        <w:t>（1）拟派项目负责人以注册建造师身份承接工程建设项目的。</w:t>
      </w:r>
    </w:p>
    <w:p w14:paraId="7E28A8C8">
      <w:pPr>
        <w:pStyle w:val="10"/>
        <w:ind w:firstLine="630" w:firstLineChars="300"/>
        <w:rPr>
          <w:rFonts w:hint="eastAsia"/>
          <w:color w:val="auto"/>
          <w:szCs w:val="22"/>
          <w:highlight w:val="none"/>
        </w:rPr>
      </w:pPr>
      <w:r>
        <w:rPr>
          <w:rFonts w:hint="eastAsia"/>
          <w:color w:val="auto"/>
          <w:szCs w:val="22"/>
          <w:highlight w:val="none"/>
        </w:rPr>
        <w:t>（2）拟派项目负责人在投标截止时间尚有在中华人民共和国境内其他在建合同工程建设项目中担任项目负责人的情形为“有在建合同工程”。</w:t>
      </w:r>
    </w:p>
    <w:p w14:paraId="60ECD88A">
      <w:pPr>
        <w:pStyle w:val="10"/>
        <w:ind w:firstLine="630" w:firstLineChars="300"/>
        <w:rPr>
          <w:rFonts w:hint="eastAsia"/>
          <w:color w:val="auto"/>
          <w:szCs w:val="22"/>
          <w:highlight w:val="none"/>
        </w:rPr>
      </w:pPr>
      <w:r>
        <w:rPr>
          <w:rFonts w:hint="eastAsia"/>
          <w:color w:val="auto"/>
          <w:szCs w:val="22"/>
          <w:highlight w:val="none"/>
        </w:rPr>
        <w:t>（3）在建合同工程的时间界定：在建合同工程的开始时间为合同工程中标通知书发出日期，或者不通过招标方式的则以合同签订日期为开始时间，结束时间为该合同工程验收合格或合同解除日期）。</w:t>
      </w:r>
    </w:p>
    <w:p w14:paraId="604A6317">
      <w:pPr>
        <w:pStyle w:val="10"/>
        <w:ind w:firstLine="630" w:firstLineChars="300"/>
        <w:rPr>
          <w:rFonts w:hint="eastAsia"/>
          <w:color w:val="auto"/>
          <w:szCs w:val="22"/>
          <w:highlight w:val="none"/>
        </w:rPr>
      </w:pPr>
      <w:r>
        <w:rPr>
          <w:rFonts w:hint="eastAsia"/>
          <w:color w:val="auto"/>
          <w:szCs w:val="22"/>
          <w:highlight w:val="none"/>
        </w:rPr>
        <w:t>以下情形视为“有在建合同工程”：</w:t>
      </w:r>
    </w:p>
    <w:p w14:paraId="07638D0F">
      <w:pPr>
        <w:pStyle w:val="10"/>
        <w:ind w:firstLine="630" w:firstLineChars="300"/>
        <w:rPr>
          <w:rFonts w:hint="eastAsia"/>
          <w:color w:val="auto"/>
          <w:szCs w:val="22"/>
          <w:highlight w:val="none"/>
        </w:rPr>
      </w:pPr>
      <w:r>
        <w:rPr>
          <w:rFonts w:hint="eastAsia"/>
          <w:color w:val="auto"/>
          <w:szCs w:val="22"/>
          <w:highlight w:val="none"/>
        </w:rPr>
        <w:t>拟派项目负责人在投标截止期前承接的原项目（中标通知书或合同协议书中载明项目负责人的项目）中发生项目负责人变更的，并在投标截止时间前未通过工程竣工验收的，视为“有在建合同工程”。</w:t>
      </w:r>
    </w:p>
    <w:p w14:paraId="71B4268B">
      <w:pPr>
        <w:pStyle w:val="10"/>
        <w:ind w:firstLine="630" w:firstLineChars="300"/>
        <w:rPr>
          <w:rFonts w:hint="eastAsia"/>
          <w:color w:val="auto"/>
          <w:szCs w:val="22"/>
          <w:highlight w:val="none"/>
        </w:rPr>
      </w:pPr>
      <w:r>
        <w:rPr>
          <w:rFonts w:hint="eastAsia"/>
          <w:color w:val="auto"/>
          <w:szCs w:val="22"/>
          <w:highlight w:val="none"/>
        </w:rPr>
        <w:t>发生下列情形之一的除外：</w:t>
      </w:r>
    </w:p>
    <w:p w14:paraId="37CB895B">
      <w:pPr>
        <w:pStyle w:val="10"/>
        <w:ind w:firstLine="630" w:firstLineChars="300"/>
        <w:rPr>
          <w:rFonts w:hint="eastAsia"/>
          <w:color w:val="auto"/>
          <w:szCs w:val="22"/>
          <w:highlight w:val="none"/>
        </w:rPr>
      </w:pPr>
      <w:r>
        <w:rPr>
          <w:rFonts w:hint="eastAsia"/>
          <w:color w:val="auto"/>
          <w:szCs w:val="22"/>
          <w:highlight w:val="none"/>
        </w:rPr>
        <w:t>a.原承接的项目与本工程属于同一工程相邻分段发包或分期施工的；</w:t>
      </w:r>
    </w:p>
    <w:p w14:paraId="07F7392C">
      <w:pPr>
        <w:pStyle w:val="10"/>
        <w:ind w:firstLine="630" w:firstLineChars="300"/>
        <w:rPr>
          <w:rFonts w:hint="eastAsia"/>
          <w:color w:val="auto"/>
          <w:szCs w:val="22"/>
          <w:highlight w:val="none"/>
        </w:rPr>
      </w:pPr>
      <w:r>
        <w:rPr>
          <w:rFonts w:hint="eastAsia"/>
          <w:color w:val="auto"/>
          <w:szCs w:val="22"/>
          <w:highlight w:val="none"/>
        </w:rPr>
        <w:t>b.因非承包方原因致使工程项目停工超过120天（含），经原建设单位同意的；</w:t>
      </w:r>
    </w:p>
    <w:p w14:paraId="7823C10F">
      <w:pPr>
        <w:pStyle w:val="10"/>
        <w:ind w:firstLine="630" w:firstLineChars="300"/>
        <w:rPr>
          <w:rFonts w:hint="eastAsia"/>
          <w:color w:val="auto"/>
          <w:szCs w:val="22"/>
          <w:highlight w:val="none"/>
        </w:rPr>
      </w:pPr>
      <w:r>
        <w:rPr>
          <w:rFonts w:hint="eastAsia"/>
          <w:color w:val="auto"/>
          <w:szCs w:val="22"/>
          <w:highlight w:val="none"/>
        </w:rPr>
        <w:t>c.合同约定的工程已完工，承包方向建设单位提交竣工报告时间已超过120天（含），经原建设单位同意的。</w:t>
      </w:r>
    </w:p>
    <w:p w14:paraId="6B62C15B">
      <w:pPr>
        <w:pStyle w:val="10"/>
        <w:ind w:firstLine="630" w:firstLineChars="300"/>
        <w:rPr>
          <w:rFonts w:hint="eastAsia"/>
          <w:color w:val="auto"/>
          <w:szCs w:val="22"/>
          <w:highlight w:val="none"/>
        </w:rPr>
      </w:pPr>
      <w:r>
        <w:rPr>
          <w:rFonts w:hint="eastAsia"/>
          <w:color w:val="auto"/>
          <w:szCs w:val="22"/>
          <w:highlight w:val="none"/>
        </w:rPr>
        <w:t>如发生以上a、b、c情形的，投标人应在投标文件中提交有关书面证明材料（以电子文档形式随资格标上传，招标文件提供证明格式的须按照该格式提交），投标截止时间后提供的证明材料视为瞒报、漏报，将不予认可。</w:t>
      </w:r>
    </w:p>
    <w:p w14:paraId="3F8545B2">
      <w:pPr>
        <w:pStyle w:val="10"/>
        <w:ind w:firstLine="630" w:firstLineChars="300"/>
        <w:rPr>
          <w:rFonts w:hint="eastAsia"/>
          <w:color w:val="auto"/>
          <w:szCs w:val="22"/>
          <w:highlight w:val="none"/>
        </w:rPr>
      </w:pPr>
      <w:r>
        <w:rPr>
          <w:rFonts w:hint="eastAsia"/>
          <w:color w:val="auto"/>
          <w:szCs w:val="22"/>
          <w:highlight w:val="none"/>
        </w:rPr>
        <w:t>若是年度招标项目则以具体项目的承接作为是否已承接该项目的判断依据。</w:t>
      </w:r>
    </w:p>
    <w:p w14:paraId="32552565">
      <w:pPr>
        <w:pStyle w:val="10"/>
        <w:ind w:firstLine="630" w:firstLineChars="300"/>
        <w:rPr>
          <w:b/>
          <w:bCs/>
          <w:color w:val="auto"/>
          <w:szCs w:val="22"/>
          <w:highlight w:val="none"/>
        </w:rPr>
      </w:pPr>
      <w:r>
        <w:rPr>
          <w:rFonts w:hint="eastAsia"/>
          <w:color w:val="auto"/>
          <w:szCs w:val="22"/>
          <w:highlight w:val="none"/>
        </w:rPr>
        <w:t>（</w:t>
      </w:r>
      <w:r>
        <w:rPr>
          <w:rFonts w:hint="eastAsia"/>
          <w:color w:val="auto"/>
          <w:szCs w:val="22"/>
          <w:highlight w:val="none"/>
          <w:lang w:val="en-US" w:eastAsia="zh-CN"/>
        </w:rPr>
        <w:t>4</w:t>
      </w:r>
      <w:r>
        <w:rPr>
          <w:rFonts w:hint="eastAsia"/>
          <w:color w:val="auto"/>
          <w:szCs w:val="22"/>
          <w:highlight w:val="none"/>
        </w:rPr>
        <w:t>）在建合同工程和人员信息可参照全国和浙江省建筑市场监管公共服务系统发布的信息。若全国或浙江省建筑市场监管公共服务系统上的工程和人员信息为在建状态但该工程已通过工程竣工验收的：a.已取得《工程竣工验收备案表》的，需提供由该工程备案机关在《工程竣工验收备案表》复印件上盖章确认，随资格标上传；b.未取得《工程竣工验收备案表》的，需按附件格式随资格标上传工程竣工验收证明。投标截止时间后提供的证明材料视为瞒报、漏报，将不予认可。</w:t>
      </w:r>
    </w:p>
    <w:p w14:paraId="57E8C1F3">
      <w:pPr>
        <w:pStyle w:val="10"/>
        <w:ind w:firstLine="422" w:firstLineChars="200"/>
        <w:rPr>
          <w:b/>
          <w:bCs/>
          <w:color w:val="auto"/>
          <w:szCs w:val="22"/>
          <w:highlight w:val="none"/>
        </w:rPr>
      </w:pPr>
      <w:r>
        <w:rPr>
          <w:rFonts w:hint="eastAsia"/>
          <w:b/>
          <w:bCs/>
          <w:color w:val="auto"/>
          <w:szCs w:val="22"/>
          <w:highlight w:val="none"/>
        </w:rPr>
        <w:t xml:space="preserve"> 项目负责人不得同时在两个或者两个以上单位受聘或者执业（仅指项目负责人不得同时是其他单位的公务员或者事业单位在编人员，涉及到其他情形的，投标资格不受影响）。</w:t>
      </w:r>
    </w:p>
    <w:p w14:paraId="54C6158B">
      <w:pPr>
        <w:pStyle w:val="10"/>
        <w:ind w:firstLine="420" w:firstLineChars="200"/>
        <w:rPr>
          <w:color w:val="auto"/>
          <w:szCs w:val="22"/>
          <w:highlight w:val="none"/>
        </w:rPr>
      </w:pPr>
      <w:r>
        <w:rPr>
          <w:rFonts w:hint="eastAsia"/>
          <w:color w:val="auto"/>
          <w:szCs w:val="22"/>
          <w:highlight w:val="none"/>
        </w:rPr>
        <w:t>4.4投标人有以下情形之一的，不得参加本项目投标：</w:t>
      </w:r>
    </w:p>
    <w:p w14:paraId="7EF466D4">
      <w:pPr>
        <w:pStyle w:val="10"/>
        <w:ind w:firstLine="315" w:firstLineChars="150"/>
        <w:rPr>
          <w:color w:val="auto"/>
          <w:szCs w:val="22"/>
          <w:highlight w:val="none"/>
        </w:rPr>
      </w:pPr>
      <w:r>
        <w:rPr>
          <w:rFonts w:hint="eastAsia"/>
          <w:color w:val="auto"/>
          <w:szCs w:val="22"/>
          <w:highlight w:val="none"/>
        </w:rPr>
        <w:t xml:space="preserve">（1）为招标人不具有独立法人资格的附属机构（单位）； </w:t>
      </w:r>
    </w:p>
    <w:p w14:paraId="19D0E164">
      <w:pPr>
        <w:pStyle w:val="10"/>
        <w:ind w:firstLine="315" w:firstLineChars="150"/>
        <w:rPr>
          <w:color w:val="auto"/>
          <w:szCs w:val="22"/>
          <w:highlight w:val="none"/>
        </w:rPr>
      </w:pPr>
      <w:r>
        <w:rPr>
          <w:rFonts w:hint="eastAsia"/>
          <w:color w:val="auto"/>
          <w:szCs w:val="22"/>
          <w:highlight w:val="none"/>
        </w:rPr>
        <w:t xml:space="preserve">（2）为本工程前期准备提供设计或咨询服务的，但设计施工总承包的除外； </w:t>
      </w:r>
    </w:p>
    <w:p w14:paraId="6F81D32A">
      <w:pPr>
        <w:pStyle w:val="10"/>
        <w:ind w:firstLine="315" w:firstLineChars="150"/>
        <w:rPr>
          <w:color w:val="auto"/>
          <w:szCs w:val="22"/>
          <w:highlight w:val="none"/>
        </w:rPr>
      </w:pPr>
      <w:r>
        <w:rPr>
          <w:rFonts w:hint="eastAsia"/>
          <w:color w:val="auto"/>
          <w:szCs w:val="22"/>
          <w:highlight w:val="none"/>
        </w:rPr>
        <w:t>（3）为本工程的监理人；</w:t>
      </w:r>
    </w:p>
    <w:p w14:paraId="34BF6299">
      <w:pPr>
        <w:pStyle w:val="10"/>
        <w:ind w:firstLine="315" w:firstLineChars="150"/>
        <w:rPr>
          <w:color w:val="auto"/>
          <w:szCs w:val="22"/>
          <w:highlight w:val="none"/>
        </w:rPr>
      </w:pPr>
      <w:r>
        <w:rPr>
          <w:rFonts w:hint="eastAsia"/>
          <w:color w:val="auto"/>
          <w:szCs w:val="22"/>
          <w:highlight w:val="none"/>
        </w:rPr>
        <w:t xml:space="preserve">（4）为本工程的代建人； </w:t>
      </w:r>
    </w:p>
    <w:p w14:paraId="73CD52F2">
      <w:pPr>
        <w:pStyle w:val="10"/>
        <w:ind w:firstLine="315" w:firstLineChars="150"/>
        <w:rPr>
          <w:color w:val="auto"/>
          <w:szCs w:val="22"/>
          <w:highlight w:val="none"/>
        </w:rPr>
      </w:pPr>
      <w:r>
        <w:rPr>
          <w:rFonts w:hint="eastAsia"/>
          <w:color w:val="auto"/>
          <w:szCs w:val="22"/>
          <w:highlight w:val="none"/>
        </w:rPr>
        <w:t xml:space="preserve">（5）为本工程提供招标代理服务的； </w:t>
      </w:r>
    </w:p>
    <w:p w14:paraId="4CD0B33F">
      <w:pPr>
        <w:pStyle w:val="10"/>
        <w:ind w:firstLine="315" w:firstLineChars="150"/>
        <w:rPr>
          <w:color w:val="auto"/>
          <w:szCs w:val="22"/>
          <w:highlight w:val="none"/>
        </w:rPr>
      </w:pPr>
      <w:r>
        <w:rPr>
          <w:rFonts w:hint="eastAsia"/>
          <w:color w:val="auto"/>
          <w:szCs w:val="22"/>
          <w:highlight w:val="none"/>
        </w:rPr>
        <w:t>（6）与本工程的监理人或代建人或招标代理机构同为一个法定代表人的；</w:t>
      </w:r>
    </w:p>
    <w:p w14:paraId="44FBB97B">
      <w:pPr>
        <w:pStyle w:val="10"/>
        <w:ind w:firstLine="315" w:firstLineChars="150"/>
        <w:rPr>
          <w:color w:val="auto"/>
          <w:szCs w:val="22"/>
          <w:highlight w:val="none"/>
        </w:rPr>
      </w:pPr>
      <w:r>
        <w:rPr>
          <w:rFonts w:hint="eastAsia"/>
          <w:color w:val="auto"/>
          <w:szCs w:val="22"/>
          <w:highlight w:val="none"/>
        </w:rPr>
        <w:t>（7）与本工程的监理人或代建人或招标代理机构相互控股或参股的；</w:t>
      </w:r>
    </w:p>
    <w:p w14:paraId="37A683B2">
      <w:pPr>
        <w:pStyle w:val="10"/>
        <w:ind w:firstLine="315" w:firstLineChars="150"/>
        <w:rPr>
          <w:color w:val="auto"/>
          <w:szCs w:val="22"/>
          <w:highlight w:val="none"/>
        </w:rPr>
      </w:pPr>
      <w:r>
        <w:rPr>
          <w:rFonts w:hint="eastAsia"/>
          <w:color w:val="auto"/>
          <w:szCs w:val="22"/>
          <w:highlight w:val="none"/>
        </w:rPr>
        <w:t>（8）与本工程的监理人或代建人或招标代理机构相互任职或工作的；</w:t>
      </w:r>
    </w:p>
    <w:p w14:paraId="64697F49">
      <w:pPr>
        <w:pStyle w:val="10"/>
        <w:ind w:firstLine="315" w:firstLineChars="150"/>
        <w:rPr>
          <w:color w:val="auto"/>
          <w:szCs w:val="22"/>
          <w:highlight w:val="none"/>
        </w:rPr>
      </w:pPr>
      <w:r>
        <w:rPr>
          <w:rFonts w:hint="eastAsia"/>
          <w:color w:val="auto"/>
          <w:szCs w:val="22"/>
          <w:highlight w:val="none"/>
        </w:rPr>
        <w:t xml:space="preserve">（9）被责令停业的； </w:t>
      </w:r>
    </w:p>
    <w:p w14:paraId="7BAD81DF">
      <w:pPr>
        <w:pStyle w:val="10"/>
        <w:ind w:firstLine="315" w:firstLineChars="150"/>
        <w:rPr>
          <w:color w:val="auto"/>
          <w:szCs w:val="22"/>
          <w:highlight w:val="none"/>
        </w:rPr>
      </w:pPr>
      <w:r>
        <w:rPr>
          <w:rFonts w:hint="eastAsia"/>
          <w:color w:val="auto"/>
          <w:szCs w:val="22"/>
          <w:highlight w:val="none"/>
        </w:rPr>
        <w:t xml:space="preserve">（10）被暂停或取消投标资格的（包括项目负责人）； </w:t>
      </w:r>
    </w:p>
    <w:p w14:paraId="41F5BAAB">
      <w:pPr>
        <w:pStyle w:val="10"/>
        <w:ind w:firstLine="315" w:firstLineChars="150"/>
        <w:rPr>
          <w:color w:val="auto"/>
          <w:szCs w:val="22"/>
          <w:highlight w:val="none"/>
        </w:rPr>
      </w:pPr>
      <w:r>
        <w:rPr>
          <w:rFonts w:hint="eastAsia"/>
          <w:color w:val="auto"/>
          <w:szCs w:val="22"/>
          <w:highlight w:val="none"/>
        </w:rPr>
        <w:t>（11）安全生产许可证超出有效期或处于暂扣时限内的；</w:t>
      </w:r>
    </w:p>
    <w:p w14:paraId="08A9DEE2">
      <w:pPr>
        <w:pStyle w:val="10"/>
        <w:ind w:firstLine="315" w:firstLineChars="150"/>
        <w:rPr>
          <w:color w:val="auto"/>
          <w:szCs w:val="22"/>
          <w:highlight w:val="none"/>
        </w:rPr>
      </w:pPr>
      <w:r>
        <w:rPr>
          <w:rFonts w:hint="eastAsia"/>
          <w:color w:val="auto"/>
          <w:szCs w:val="22"/>
          <w:highlight w:val="none"/>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42948FFC">
      <w:pPr>
        <w:pStyle w:val="10"/>
        <w:ind w:firstLine="315" w:firstLineChars="150"/>
        <w:rPr>
          <w:color w:val="auto"/>
          <w:szCs w:val="22"/>
          <w:highlight w:val="none"/>
        </w:rPr>
      </w:pPr>
      <w:r>
        <w:rPr>
          <w:rFonts w:hint="eastAsia"/>
          <w:color w:val="auto"/>
          <w:szCs w:val="22"/>
          <w:highlight w:val="none"/>
        </w:rPr>
        <w:t>（13）投标人及相关管理人员（包括项目负责人）安全生产任职资格不符合相关规定；</w:t>
      </w:r>
    </w:p>
    <w:p w14:paraId="3661D951">
      <w:pPr>
        <w:pStyle w:val="10"/>
        <w:ind w:firstLine="420" w:firstLineChars="200"/>
        <w:rPr>
          <w:color w:val="auto"/>
          <w:szCs w:val="22"/>
          <w:highlight w:val="none"/>
        </w:rPr>
      </w:pPr>
      <w:r>
        <w:rPr>
          <w:rFonts w:hint="eastAsia"/>
          <w:color w:val="auto"/>
          <w:szCs w:val="22"/>
          <w:highlight w:val="none"/>
        </w:rPr>
        <w:t xml:space="preserve">4.5如投标人系联合体，则联合体的组成及联合体各方的权利、义务须符合有关法律、法规、规章的要求。 </w:t>
      </w:r>
    </w:p>
    <w:p w14:paraId="1BFE9C27">
      <w:pPr>
        <w:keepNext/>
        <w:keepLines/>
        <w:numPr>
          <w:ilvl w:val="0"/>
          <w:numId w:val="3"/>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投标费用</w:t>
      </w:r>
      <w:bookmarkEnd w:id="25"/>
      <w:bookmarkEnd w:id="26"/>
    </w:p>
    <w:p w14:paraId="36906A97">
      <w:pPr>
        <w:pStyle w:val="10"/>
        <w:numPr>
          <w:ilvl w:val="1"/>
          <w:numId w:val="3"/>
        </w:numPr>
        <w:ind w:firstLine="420" w:firstLineChars="200"/>
        <w:rPr>
          <w:color w:val="auto"/>
          <w:highlight w:val="none"/>
        </w:rPr>
      </w:pPr>
      <w:r>
        <w:rPr>
          <w:rFonts w:hint="eastAsia"/>
          <w:color w:val="auto"/>
          <w:highlight w:val="none"/>
        </w:rPr>
        <w:t>投标人应自行承担其参加投标活动自身发生的费用。</w:t>
      </w:r>
    </w:p>
    <w:p w14:paraId="17C43881">
      <w:pPr>
        <w:keepNext/>
        <w:keepLines/>
        <w:numPr>
          <w:ilvl w:val="0"/>
          <w:numId w:val="3"/>
        </w:numPr>
        <w:spacing w:before="360" w:line="288" w:lineRule="auto"/>
        <w:jc w:val="left"/>
        <w:outlineLvl w:val="2"/>
        <w:rPr>
          <w:rFonts w:ascii="黑体" w:hAnsi="宋体" w:eastAsia="黑体"/>
          <w:b/>
          <w:color w:val="auto"/>
          <w:sz w:val="21"/>
          <w:highlight w:val="none"/>
        </w:rPr>
      </w:pPr>
      <w:bookmarkStart w:id="27" w:name="_Toc169487781"/>
      <w:bookmarkStart w:id="28" w:name="_Toc155342533"/>
      <w:r>
        <w:rPr>
          <w:rFonts w:hint="eastAsia" w:ascii="黑体" w:hAnsi="宋体" w:eastAsia="黑体"/>
          <w:b/>
          <w:color w:val="auto"/>
          <w:sz w:val="21"/>
          <w:highlight w:val="none"/>
        </w:rPr>
        <w:t>现场条件</w:t>
      </w:r>
      <w:bookmarkEnd w:id="27"/>
      <w:bookmarkEnd w:id="28"/>
    </w:p>
    <w:p w14:paraId="76B617EE">
      <w:pPr>
        <w:pStyle w:val="10"/>
        <w:numPr>
          <w:ilvl w:val="1"/>
          <w:numId w:val="3"/>
        </w:numPr>
        <w:ind w:firstLine="420" w:firstLineChars="200"/>
        <w:rPr>
          <w:color w:val="auto"/>
          <w:highlight w:val="none"/>
        </w:rPr>
      </w:pPr>
      <w:r>
        <w:rPr>
          <w:rFonts w:hint="eastAsia"/>
          <w:color w:val="auto"/>
          <w:highlight w:val="none"/>
        </w:rPr>
        <w:t>施工现场“三通一平”已经完成。</w:t>
      </w:r>
    </w:p>
    <w:p w14:paraId="7814239F">
      <w:pPr>
        <w:keepNext/>
        <w:keepLines/>
        <w:numPr>
          <w:ilvl w:val="0"/>
          <w:numId w:val="3"/>
        </w:numPr>
        <w:spacing w:before="360" w:line="288" w:lineRule="auto"/>
        <w:jc w:val="left"/>
        <w:outlineLvl w:val="2"/>
        <w:rPr>
          <w:rFonts w:ascii="黑体" w:hAnsi="宋体" w:eastAsia="黑体"/>
          <w:b/>
          <w:color w:val="auto"/>
          <w:sz w:val="21"/>
          <w:highlight w:val="none"/>
        </w:rPr>
      </w:pPr>
      <w:bookmarkStart w:id="29" w:name="_Toc155342534"/>
      <w:bookmarkStart w:id="30" w:name="_Toc169487782"/>
      <w:r>
        <w:rPr>
          <w:rFonts w:hint="eastAsia" w:ascii="黑体" w:hAnsi="宋体" w:eastAsia="黑体"/>
          <w:b/>
          <w:color w:val="auto"/>
          <w:sz w:val="21"/>
          <w:highlight w:val="none"/>
        </w:rPr>
        <w:t>踏勘现场</w:t>
      </w:r>
      <w:bookmarkEnd w:id="29"/>
      <w:bookmarkEnd w:id="30"/>
    </w:p>
    <w:p w14:paraId="3CF23C52">
      <w:pPr>
        <w:pStyle w:val="10"/>
        <w:numPr>
          <w:ilvl w:val="1"/>
          <w:numId w:val="3"/>
        </w:numPr>
        <w:ind w:firstLine="420" w:firstLineChars="200"/>
        <w:rPr>
          <w:color w:val="auto"/>
          <w:highlight w:val="none"/>
        </w:rPr>
      </w:pPr>
      <w:r>
        <w:rPr>
          <w:rFonts w:hint="eastAsia"/>
          <w:color w:val="auto"/>
          <w:highlight w:val="none"/>
        </w:rPr>
        <w:t>投标人可对工程施工现场和周围环境进行踏勘，以获取编制投标文件和签署合同所需的资料。踏勘现场所发生的费用由投标人自己承担。</w:t>
      </w:r>
    </w:p>
    <w:p w14:paraId="6AE5A6D8">
      <w:pPr>
        <w:pStyle w:val="10"/>
        <w:numPr>
          <w:ilvl w:val="1"/>
          <w:numId w:val="3"/>
        </w:numPr>
        <w:ind w:firstLine="420" w:firstLineChars="200"/>
        <w:rPr>
          <w:color w:val="auto"/>
          <w:highlight w:val="none"/>
        </w:rPr>
      </w:pPr>
      <w:r>
        <w:rPr>
          <w:rFonts w:hint="eastAsia"/>
          <w:color w:val="auto"/>
          <w:highlight w:val="none"/>
        </w:rPr>
        <w:t>招标人向投标人提供的有关施工现场的资料和数据，是招标人现有的能使投标人利用的资料。招标人对投标人由此而作出的推论、理解、结论概不负责。</w:t>
      </w:r>
    </w:p>
    <w:p w14:paraId="5A5DA37E">
      <w:pPr>
        <w:pStyle w:val="10"/>
        <w:numPr>
          <w:ilvl w:val="1"/>
          <w:numId w:val="3"/>
        </w:numPr>
        <w:ind w:firstLine="420" w:firstLineChars="200"/>
        <w:rPr>
          <w:color w:val="auto"/>
          <w:highlight w:val="none"/>
        </w:rPr>
      </w:pPr>
      <w:r>
        <w:rPr>
          <w:rFonts w:hint="eastAsia"/>
          <w:color w:val="auto"/>
          <w:highlight w:val="none"/>
        </w:rPr>
        <w:t>除招标人向投标人提供本工程有关的情况外，投标人应通过自行调查取得与本工程施工承包可能发生的费用等有关的全部情况，包括交通、环保、治安等规定和要求。</w:t>
      </w:r>
    </w:p>
    <w:p w14:paraId="1CC5E913">
      <w:pPr>
        <w:spacing w:before="360" w:afterLines="50" w:line="320" w:lineRule="exact"/>
        <w:ind w:left="2159" w:hanging="1320"/>
        <w:jc w:val="center"/>
        <w:outlineLvl w:val="1"/>
        <w:rPr>
          <w:rFonts w:ascii="Arial" w:hAnsi="Arial" w:eastAsia="黑体" w:cs="Arial"/>
          <w:b/>
          <w:color w:val="auto"/>
          <w:szCs w:val="24"/>
          <w:highlight w:val="none"/>
        </w:rPr>
      </w:pPr>
      <w:bookmarkStart w:id="31" w:name="_Toc24275"/>
      <w:bookmarkStart w:id="32" w:name="_Toc20890"/>
      <w:bookmarkStart w:id="33" w:name="_Toc500209414"/>
      <w:bookmarkStart w:id="34" w:name="_Toc500208467"/>
      <w:r>
        <w:rPr>
          <w:rFonts w:hint="eastAsia" w:ascii="Arial" w:hAnsi="Arial" w:eastAsia="黑体" w:cs="Arial"/>
          <w:b/>
          <w:color w:val="auto"/>
          <w:szCs w:val="24"/>
          <w:highlight w:val="none"/>
        </w:rPr>
        <w:t>第二节  招标文件</w:t>
      </w:r>
      <w:bookmarkEnd w:id="31"/>
      <w:bookmarkEnd w:id="32"/>
      <w:bookmarkEnd w:id="33"/>
      <w:bookmarkEnd w:id="34"/>
    </w:p>
    <w:p w14:paraId="15806D7E">
      <w:pPr>
        <w:keepNext/>
        <w:keepLines/>
        <w:numPr>
          <w:ilvl w:val="0"/>
          <w:numId w:val="3"/>
        </w:numPr>
        <w:spacing w:before="360" w:line="288" w:lineRule="auto"/>
        <w:jc w:val="left"/>
        <w:outlineLvl w:val="2"/>
        <w:rPr>
          <w:rFonts w:ascii="黑体" w:hAnsi="宋体" w:eastAsia="黑体"/>
          <w:b/>
          <w:color w:val="auto"/>
          <w:sz w:val="21"/>
          <w:highlight w:val="none"/>
        </w:rPr>
      </w:pPr>
      <w:bookmarkStart w:id="35" w:name="_Toc169487784"/>
      <w:bookmarkStart w:id="36" w:name="_Toc500208468"/>
      <w:bookmarkStart w:id="37" w:name="_Toc155342536"/>
      <w:r>
        <w:rPr>
          <w:rFonts w:hint="eastAsia" w:ascii="黑体" w:hAnsi="宋体" w:eastAsia="黑体"/>
          <w:b/>
          <w:color w:val="auto"/>
          <w:sz w:val="21"/>
          <w:highlight w:val="none"/>
        </w:rPr>
        <w:t>招标文件的组成</w:t>
      </w:r>
      <w:bookmarkEnd w:id="35"/>
      <w:bookmarkEnd w:id="36"/>
      <w:bookmarkEnd w:id="37"/>
    </w:p>
    <w:p w14:paraId="1878FFC1">
      <w:pPr>
        <w:pStyle w:val="10"/>
        <w:numPr>
          <w:ilvl w:val="1"/>
          <w:numId w:val="3"/>
        </w:numPr>
        <w:ind w:firstLine="420" w:firstLineChars="200"/>
        <w:rPr>
          <w:color w:val="auto"/>
          <w:highlight w:val="none"/>
        </w:rPr>
      </w:pPr>
      <w:r>
        <w:rPr>
          <w:rFonts w:hint="eastAsia"/>
          <w:color w:val="auto"/>
          <w:highlight w:val="none"/>
        </w:rPr>
        <w:t>招标文件包括下列内容：</w:t>
      </w:r>
    </w:p>
    <w:p w14:paraId="6489E592">
      <w:pPr>
        <w:pStyle w:val="10"/>
        <w:ind w:firstLine="420" w:firstLineChars="200"/>
        <w:rPr>
          <w:color w:val="auto"/>
          <w:highlight w:val="none"/>
        </w:rPr>
      </w:pPr>
      <w:r>
        <w:rPr>
          <w:rFonts w:hint="eastAsia"/>
          <w:color w:val="auto"/>
          <w:highlight w:val="none"/>
        </w:rPr>
        <w:t>第一章 投标须知及投标须知前附表；</w:t>
      </w:r>
    </w:p>
    <w:p w14:paraId="237DAC32">
      <w:pPr>
        <w:pStyle w:val="10"/>
        <w:ind w:firstLine="420" w:firstLineChars="200"/>
        <w:rPr>
          <w:color w:val="auto"/>
          <w:highlight w:val="none"/>
        </w:rPr>
      </w:pPr>
      <w:r>
        <w:rPr>
          <w:rFonts w:hint="eastAsia"/>
          <w:color w:val="auto"/>
          <w:highlight w:val="none"/>
        </w:rPr>
        <w:t>第二章 合同条款；</w:t>
      </w:r>
    </w:p>
    <w:p w14:paraId="1551E9E8">
      <w:pPr>
        <w:pStyle w:val="10"/>
        <w:ind w:firstLine="420" w:firstLineChars="200"/>
        <w:rPr>
          <w:color w:val="auto"/>
          <w:highlight w:val="none"/>
        </w:rPr>
      </w:pPr>
      <w:r>
        <w:rPr>
          <w:rFonts w:hint="eastAsia"/>
          <w:color w:val="auto"/>
          <w:highlight w:val="none"/>
        </w:rPr>
        <w:t>第三章 评标办法；</w:t>
      </w:r>
    </w:p>
    <w:p w14:paraId="7403F4A7">
      <w:pPr>
        <w:pStyle w:val="10"/>
        <w:ind w:firstLine="422" w:firstLineChars="200"/>
        <w:rPr>
          <w:b/>
          <w:color w:val="auto"/>
          <w:highlight w:val="none"/>
        </w:rPr>
      </w:pPr>
      <w:r>
        <w:rPr>
          <w:rFonts w:hint="eastAsia"/>
          <w:b/>
          <w:color w:val="auto"/>
          <w:highlight w:val="none"/>
        </w:rPr>
        <w:t>第四章 投标文件格式；</w:t>
      </w:r>
    </w:p>
    <w:p w14:paraId="40A81D49">
      <w:pPr>
        <w:pStyle w:val="10"/>
        <w:ind w:firstLine="422" w:firstLineChars="200"/>
        <w:rPr>
          <w:b/>
          <w:color w:val="auto"/>
          <w:highlight w:val="none"/>
        </w:rPr>
      </w:pPr>
      <w:r>
        <w:rPr>
          <w:rFonts w:hint="eastAsia"/>
          <w:b/>
          <w:color w:val="auto"/>
          <w:highlight w:val="none"/>
        </w:rPr>
        <w:t>其他附件材料：</w:t>
      </w:r>
    </w:p>
    <w:p w14:paraId="1892CE48">
      <w:pPr>
        <w:pStyle w:val="10"/>
        <w:ind w:firstLine="422" w:firstLineChars="200"/>
        <w:rPr>
          <w:b/>
          <w:color w:val="auto"/>
          <w:highlight w:val="none"/>
        </w:rPr>
      </w:pPr>
      <w:r>
        <w:rPr>
          <w:rFonts w:hint="eastAsia"/>
          <w:b/>
          <w:color w:val="auto"/>
          <w:highlight w:val="none"/>
        </w:rPr>
        <w:t>（1）施工图预算书（以下简称招标人预算书）；</w:t>
      </w:r>
    </w:p>
    <w:p w14:paraId="61DC7538">
      <w:pPr>
        <w:pStyle w:val="10"/>
        <w:ind w:firstLine="422" w:firstLineChars="200"/>
        <w:rPr>
          <w:b/>
          <w:color w:val="auto"/>
          <w:highlight w:val="none"/>
        </w:rPr>
      </w:pPr>
      <w:r>
        <w:rPr>
          <w:rFonts w:hint="eastAsia"/>
          <w:b/>
          <w:color w:val="auto"/>
          <w:highlight w:val="none"/>
        </w:rPr>
        <w:t>（2）施工图纸。</w:t>
      </w:r>
    </w:p>
    <w:p w14:paraId="24345718">
      <w:pPr>
        <w:pStyle w:val="10"/>
        <w:numPr>
          <w:ilvl w:val="1"/>
          <w:numId w:val="3"/>
        </w:numPr>
        <w:ind w:firstLine="420" w:firstLineChars="200"/>
        <w:rPr>
          <w:color w:val="auto"/>
          <w:highlight w:val="none"/>
        </w:rPr>
      </w:pPr>
      <w:r>
        <w:rPr>
          <w:color w:val="auto"/>
          <w:highlight w:val="none"/>
        </w:rPr>
        <w:t>除</w:t>
      </w:r>
      <w:r>
        <w:rPr>
          <w:rFonts w:hint="eastAsia"/>
          <w:color w:val="auto"/>
          <w:highlight w:val="none"/>
        </w:rPr>
        <w:t>上款</w:t>
      </w:r>
      <w:r>
        <w:rPr>
          <w:color w:val="auto"/>
          <w:highlight w:val="none"/>
        </w:rPr>
        <w:t>内容外，招标人在提交投标文件截止时间</w:t>
      </w:r>
      <w:r>
        <w:rPr>
          <w:rFonts w:hint="eastAsia"/>
          <w:color w:val="auto"/>
          <w:highlight w:val="none"/>
        </w:rPr>
        <w:t>前，在交易场所（发布招标公告的媒体上）发布的对招标文件的澄清或修改内容，均为招标文件的组成部分，对招标人和投标人起约束作用。</w:t>
      </w:r>
    </w:p>
    <w:p w14:paraId="7064E06B">
      <w:pPr>
        <w:pStyle w:val="10"/>
        <w:numPr>
          <w:ilvl w:val="1"/>
          <w:numId w:val="3"/>
        </w:numPr>
        <w:ind w:firstLine="420"/>
        <w:rPr>
          <w:color w:val="auto"/>
          <w:highlight w:val="none"/>
        </w:rPr>
      </w:pPr>
      <w:r>
        <w:rPr>
          <w:color w:val="auto"/>
          <w:highlight w:val="none"/>
        </w:rPr>
        <w:t>投标人</w:t>
      </w:r>
      <w:r>
        <w:rPr>
          <w:rFonts w:hint="eastAsia"/>
          <w:color w:val="auto"/>
          <w:highlight w:val="none"/>
        </w:rPr>
        <w:t>通过在交易场所（发布招标公告的媒体上）自行下载的方式获取招标文件及相关附件。投标人在</w:t>
      </w:r>
      <w:r>
        <w:rPr>
          <w:color w:val="auto"/>
          <w:highlight w:val="none"/>
        </w:rPr>
        <w:t>获取招标文件后，应仔细检查招标文件的所有内容，如有残缺等问题应</w:t>
      </w:r>
      <w:r>
        <w:rPr>
          <w:rFonts w:hint="eastAsia"/>
          <w:color w:val="auto"/>
          <w:highlight w:val="none"/>
        </w:rPr>
        <w:t>自招标文件发布在交易场所（发布招标公告的媒体上）2日内</w:t>
      </w:r>
      <w:r>
        <w:rPr>
          <w:color w:val="auto"/>
          <w:highlight w:val="none"/>
        </w:rP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42081AE9">
      <w:pPr>
        <w:keepNext/>
        <w:keepLines/>
        <w:numPr>
          <w:ilvl w:val="0"/>
          <w:numId w:val="3"/>
        </w:numPr>
        <w:spacing w:before="360" w:line="288" w:lineRule="auto"/>
        <w:jc w:val="left"/>
        <w:outlineLvl w:val="2"/>
        <w:rPr>
          <w:rFonts w:ascii="黑体" w:hAnsi="宋体" w:eastAsia="黑体"/>
          <w:b/>
          <w:color w:val="auto"/>
          <w:sz w:val="21"/>
          <w:highlight w:val="none"/>
        </w:rPr>
      </w:pPr>
      <w:bookmarkStart w:id="38" w:name="_Toc500208469"/>
      <w:bookmarkStart w:id="39" w:name="_Toc155342537"/>
      <w:bookmarkStart w:id="40" w:name="_Toc169487785"/>
      <w:r>
        <w:rPr>
          <w:rFonts w:hint="eastAsia" w:ascii="黑体" w:hAnsi="宋体" w:eastAsia="黑体"/>
          <w:b/>
          <w:color w:val="auto"/>
          <w:sz w:val="21"/>
          <w:highlight w:val="none"/>
        </w:rPr>
        <w:t>招标文件的</w:t>
      </w:r>
      <w:bookmarkEnd w:id="38"/>
      <w:r>
        <w:rPr>
          <w:rFonts w:hint="eastAsia" w:ascii="黑体" w:hAnsi="宋体" w:eastAsia="黑体"/>
          <w:b/>
          <w:color w:val="auto"/>
          <w:sz w:val="21"/>
          <w:highlight w:val="none"/>
        </w:rPr>
        <w:t>澄清</w:t>
      </w:r>
      <w:bookmarkEnd w:id="39"/>
      <w:bookmarkEnd w:id="40"/>
    </w:p>
    <w:p w14:paraId="7FACC4C3">
      <w:pPr>
        <w:pStyle w:val="10"/>
        <w:numPr>
          <w:ilvl w:val="1"/>
          <w:numId w:val="3"/>
        </w:numPr>
        <w:ind w:firstLine="420" w:firstLineChars="200"/>
        <w:rPr>
          <w:color w:val="auto"/>
          <w:highlight w:val="none"/>
        </w:rPr>
      </w:pPr>
      <w:r>
        <w:rPr>
          <w:rFonts w:hint="eastAsia"/>
          <w:color w:val="auto"/>
          <w:highlight w:val="none"/>
        </w:rPr>
        <w:t>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2742E108">
      <w:pPr>
        <w:keepNext/>
        <w:keepLines/>
        <w:numPr>
          <w:ilvl w:val="0"/>
          <w:numId w:val="3"/>
        </w:numPr>
        <w:spacing w:before="360" w:line="288" w:lineRule="auto"/>
        <w:jc w:val="left"/>
        <w:outlineLvl w:val="2"/>
        <w:rPr>
          <w:rFonts w:ascii="黑体" w:hAnsi="宋体" w:eastAsia="黑体"/>
          <w:b/>
          <w:color w:val="auto"/>
          <w:sz w:val="21"/>
          <w:highlight w:val="none"/>
        </w:rPr>
      </w:pPr>
      <w:bookmarkStart w:id="41" w:name="_Toc500208470"/>
      <w:bookmarkStart w:id="42" w:name="_Toc155342538"/>
      <w:bookmarkStart w:id="43" w:name="_Toc169487786"/>
      <w:r>
        <w:rPr>
          <w:rFonts w:hint="eastAsia" w:ascii="黑体" w:hAnsi="宋体" w:eastAsia="黑体"/>
          <w:b/>
          <w:color w:val="auto"/>
          <w:sz w:val="21"/>
          <w:highlight w:val="none"/>
        </w:rPr>
        <w:t>招标文件的修改</w:t>
      </w:r>
      <w:bookmarkEnd w:id="41"/>
      <w:bookmarkEnd w:id="42"/>
      <w:bookmarkEnd w:id="43"/>
    </w:p>
    <w:p w14:paraId="28DCE30A">
      <w:pPr>
        <w:pStyle w:val="10"/>
        <w:numPr>
          <w:ilvl w:val="1"/>
          <w:numId w:val="3"/>
        </w:numPr>
        <w:ind w:firstLine="420" w:firstLineChars="200"/>
        <w:rPr>
          <w:color w:val="auto"/>
          <w:highlight w:val="none"/>
        </w:rPr>
      </w:pPr>
      <w:r>
        <w:rPr>
          <w:rFonts w:hint="eastAsia"/>
          <w:color w:val="auto"/>
          <w:highlight w:val="none"/>
        </w:rPr>
        <w:t>在投标截止时间2天前，招标人可以书面形式修改招标文件，并发布在交易场所（发布招标公告的媒体上）。如果修改招标文件的时间距投标截止时间不足2天，相应延长投标截止时间。</w:t>
      </w:r>
    </w:p>
    <w:p w14:paraId="0CE3E71E">
      <w:pPr>
        <w:pStyle w:val="10"/>
        <w:spacing w:line="360" w:lineRule="exact"/>
        <w:ind w:left="425"/>
        <w:rPr>
          <w:color w:val="auto"/>
          <w:highlight w:val="none"/>
        </w:rPr>
      </w:pPr>
      <w:r>
        <w:rPr>
          <w:rFonts w:hint="eastAsia"/>
          <w:color w:val="auto"/>
          <w:highlight w:val="none"/>
        </w:rPr>
        <w:t>10.2在在投标截止日期前，招标人可能以补充通知的方式修改招标文件。</w:t>
      </w:r>
    </w:p>
    <w:p w14:paraId="002A2C4D">
      <w:pPr>
        <w:pStyle w:val="10"/>
        <w:spacing w:line="360" w:lineRule="exact"/>
        <w:ind w:left="425"/>
        <w:rPr>
          <w:color w:val="auto"/>
          <w:highlight w:val="none"/>
        </w:rPr>
      </w:pPr>
      <w:r>
        <w:rPr>
          <w:rFonts w:hint="eastAsia"/>
          <w:color w:val="auto"/>
          <w:highlight w:val="none"/>
        </w:rPr>
        <w:t>10.3</w:t>
      </w:r>
      <w:r>
        <w:rPr>
          <w:color w:val="auto"/>
          <w:highlight w:val="none"/>
        </w:rPr>
        <w:t>招标文件的澄清、修改、补充等内容均以</w:t>
      </w:r>
      <w:r>
        <w:rPr>
          <w:rFonts w:hint="eastAsia"/>
          <w:color w:val="auto"/>
          <w:highlight w:val="none"/>
        </w:rPr>
        <w:t>发布在交易场所（发布招标公告的媒体上）</w:t>
      </w:r>
      <w:r>
        <w:rPr>
          <w:color w:val="auto"/>
          <w:highlight w:val="none"/>
        </w:rPr>
        <w:t>的内容为准。当招标文件、招标文件的澄清、修改、补充等在同一内容的表述上不一致时，以最后发出的文件为准。</w:t>
      </w:r>
    </w:p>
    <w:p w14:paraId="406198B3">
      <w:pPr>
        <w:pStyle w:val="10"/>
        <w:ind w:left="421"/>
        <w:rPr>
          <w:color w:val="auto"/>
          <w:highlight w:val="none"/>
        </w:rPr>
      </w:pPr>
      <w:r>
        <w:rPr>
          <w:rFonts w:hint="eastAsia"/>
          <w:color w:val="auto"/>
          <w:highlight w:val="none"/>
        </w:rPr>
        <w:t>10.4招标文件的澄清、修改、补充等内容将发布在交易场所（发布招标公告的媒体上），这些内容作为招标文件的组成部分，对投标人起约束作用。</w:t>
      </w:r>
    </w:p>
    <w:p w14:paraId="56BF5FC9">
      <w:pPr>
        <w:keepNext/>
        <w:keepLines/>
        <w:numPr>
          <w:ilvl w:val="0"/>
          <w:numId w:val="3"/>
        </w:numPr>
        <w:spacing w:before="360" w:line="288" w:lineRule="auto"/>
        <w:jc w:val="left"/>
        <w:outlineLvl w:val="2"/>
        <w:rPr>
          <w:rFonts w:ascii="黑体" w:hAnsi="宋体" w:eastAsia="黑体"/>
          <w:b/>
          <w:color w:val="auto"/>
          <w:sz w:val="21"/>
          <w:highlight w:val="none"/>
        </w:rPr>
      </w:pPr>
      <w:bookmarkStart w:id="44" w:name="_Toc155342539"/>
      <w:bookmarkStart w:id="45" w:name="_Toc169487787"/>
      <w:r>
        <w:rPr>
          <w:rFonts w:hint="eastAsia" w:ascii="黑体" w:hAnsi="宋体" w:eastAsia="黑体"/>
          <w:b/>
          <w:color w:val="auto"/>
          <w:sz w:val="21"/>
          <w:highlight w:val="none"/>
        </w:rPr>
        <w:t>招标文件的备案</w:t>
      </w:r>
      <w:bookmarkEnd w:id="44"/>
      <w:bookmarkEnd w:id="45"/>
    </w:p>
    <w:p w14:paraId="34DC3445">
      <w:pPr>
        <w:pStyle w:val="10"/>
        <w:numPr>
          <w:ilvl w:val="1"/>
          <w:numId w:val="3"/>
        </w:numPr>
        <w:ind w:firstLine="420" w:firstLineChars="200"/>
        <w:rPr>
          <w:color w:val="auto"/>
          <w:highlight w:val="none"/>
        </w:rPr>
      </w:pPr>
      <w:r>
        <w:rPr>
          <w:rFonts w:hint="eastAsia"/>
          <w:color w:val="auto"/>
          <w:highlight w:val="none"/>
        </w:rPr>
        <w:t>本招标文件（包括澄清、修改、补充文件、答复等）未经</w:t>
      </w:r>
      <w:r>
        <w:rPr>
          <w:rFonts w:hint="eastAsia" w:cs="宋体"/>
          <w:color w:val="auto"/>
          <w:highlight w:val="none"/>
        </w:rPr>
        <w:t>招标监管机构</w:t>
      </w:r>
      <w:r>
        <w:rPr>
          <w:rFonts w:hint="eastAsia"/>
          <w:color w:val="auto"/>
          <w:highlight w:val="none"/>
        </w:rPr>
        <w:t>备案的一律无效。</w:t>
      </w:r>
    </w:p>
    <w:p w14:paraId="6DD0D1F2">
      <w:pPr>
        <w:keepNext/>
        <w:keepLines/>
        <w:numPr>
          <w:ilvl w:val="0"/>
          <w:numId w:val="3"/>
        </w:numPr>
        <w:spacing w:before="360" w:line="288" w:lineRule="auto"/>
        <w:jc w:val="left"/>
        <w:outlineLvl w:val="2"/>
        <w:rPr>
          <w:rFonts w:ascii="黑体" w:hAnsi="宋体" w:eastAsia="黑体"/>
          <w:b/>
          <w:color w:val="auto"/>
          <w:sz w:val="21"/>
          <w:highlight w:val="none"/>
        </w:rPr>
      </w:pPr>
      <w:bookmarkStart w:id="46" w:name="_Toc155342540"/>
      <w:bookmarkStart w:id="47" w:name="_Toc169487788"/>
      <w:r>
        <w:rPr>
          <w:rFonts w:hint="eastAsia" w:ascii="黑体" w:hAnsi="宋体" w:eastAsia="黑体"/>
          <w:b/>
          <w:color w:val="auto"/>
          <w:sz w:val="21"/>
          <w:highlight w:val="none"/>
        </w:rPr>
        <w:t>招标文件的解释权</w:t>
      </w:r>
      <w:bookmarkEnd w:id="46"/>
      <w:bookmarkEnd w:id="47"/>
    </w:p>
    <w:p w14:paraId="158DCA44">
      <w:pPr>
        <w:pStyle w:val="10"/>
        <w:numPr>
          <w:ilvl w:val="1"/>
          <w:numId w:val="3"/>
        </w:numPr>
        <w:ind w:firstLine="420" w:firstLineChars="200"/>
        <w:rPr>
          <w:color w:val="auto"/>
          <w:highlight w:val="none"/>
        </w:rPr>
      </w:pPr>
      <w:r>
        <w:rPr>
          <w:rFonts w:hint="eastAsia"/>
          <w:color w:val="auto"/>
          <w:highlight w:val="none"/>
        </w:rPr>
        <w:t>本招标文件（包括澄清、修改、补充文件、答复等）的解释权属</w:t>
      </w:r>
      <w:r>
        <w:rPr>
          <w:rFonts w:hint="eastAsia" w:cs="宋体"/>
          <w:color w:val="auto"/>
          <w:highlight w:val="none"/>
        </w:rPr>
        <w:t>招标人</w:t>
      </w:r>
      <w:r>
        <w:rPr>
          <w:rFonts w:hint="eastAsia"/>
          <w:color w:val="auto"/>
          <w:highlight w:val="none"/>
        </w:rPr>
        <w:t>。</w:t>
      </w:r>
    </w:p>
    <w:p w14:paraId="06F30084">
      <w:pPr>
        <w:spacing w:before="360" w:afterLines="50" w:line="320" w:lineRule="exact"/>
        <w:ind w:left="2159" w:hanging="1320"/>
        <w:jc w:val="center"/>
        <w:outlineLvl w:val="1"/>
        <w:rPr>
          <w:rFonts w:ascii="Arial" w:hAnsi="Arial" w:eastAsia="黑体" w:cs="Arial"/>
          <w:b/>
          <w:color w:val="auto"/>
          <w:szCs w:val="24"/>
          <w:highlight w:val="none"/>
        </w:rPr>
      </w:pPr>
      <w:bookmarkStart w:id="48" w:name="_Toc7036"/>
      <w:bookmarkStart w:id="49" w:name="_Toc500208475"/>
      <w:bookmarkStart w:id="50" w:name="_Toc20604"/>
      <w:bookmarkStart w:id="51" w:name="_Toc500209416"/>
      <w:r>
        <w:rPr>
          <w:rFonts w:hint="eastAsia" w:ascii="Arial" w:hAnsi="Arial" w:eastAsia="黑体" w:cs="Arial"/>
          <w:b/>
          <w:color w:val="auto"/>
          <w:szCs w:val="24"/>
          <w:highlight w:val="none"/>
        </w:rPr>
        <w:t>第三节  投标文件的编制</w:t>
      </w:r>
      <w:bookmarkEnd w:id="48"/>
      <w:bookmarkEnd w:id="49"/>
      <w:bookmarkEnd w:id="50"/>
      <w:bookmarkEnd w:id="51"/>
    </w:p>
    <w:p w14:paraId="1E276434">
      <w:pPr>
        <w:keepNext/>
        <w:keepLines/>
        <w:numPr>
          <w:ilvl w:val="0"/>
          <w:numId w:val="3"/>
        </w:numPr>
        <w:spacing w:before="360" w:line="288" w:lineRule="auto"/>
        <w:jc w:val="left"/>
        <w:outlineLvl w:val="2"/>
        <w:rPr>
          <w:rFonts w:ascii="黑体" w:hAnsi="宋体" w:eastAsia="黑体"/>
          <w:b/>
          <w:color w:val="auto"/>
          <w:sz w:val="21"/>
          <w:highlight w:val="none"/>
        </w:rPr>
      </w:pPr>
      <w:bookmarkStart w:id="52" w:name="_Toc69095786"/>
      <w:bookmarkStart w:id="53" w:name="_Toc500208476"/>
      <w:bookmarkStart w:id="54" w:name="_Toc169487790"/>
      <w:bookmarkStart w:id="55" w:name="_Toc155342542"/>
      <w:bookmarkStart w:id="56" w:name="_Toc500208477"/>
      <w:r>
        <w:rPr>
          <w:rFonts w:hint="eastAsia" w:ascii="黑体" w:hAnsi="宋体" w:eastAsia="黑体"/>
          <w:b/>
          <w:color w:val="auto"/>
          <w:sz w:val="21"/>
          <w:highlight w:val="none"/>
        </w:rPr>
        <w:t>投标文件的组成</w:t>
      </w:r>
      <w:bookmarkEnd w:id="52"/>
      <w:bookmarkEnd w:id="53"/>
      <w:bookmarkEnd w:id="54"/>
      <w:bookmarkEnd w:id="55"/>
    </w:p>
    <w:p w14:paraId="3789B8A3">
      <w:pPr>
        <w:pStyle w:val="10"/>
        <w:numPr>
          <w:ilvl w:val="1"/>
          <w:numId w:val="3"/>
        </w:numPr>
        <w:ind w:firstLine="420" w:firstLineChars="200"/>
        <w:rPr>
          <w:color w:val="auto"/>
          <w:highlight w:val="none"/>
        </w:rPr>
      </w:pPr>
      <w:r>
        <w:rPr>
          <w:rFonts w:hint="eastAsia"/>
          <w:color w:val="auto"/>
          <w:highlight w:val="none"/>
        </w:rPr>
        <w:t>本招标工程项目的投标文件组成详见本须知前附表第14项。</w:t>
      </w:r>
    </w:p>
    <w:p w14:paraId="6037F76D">
      <w:pPr>
        <w:keepNext/>
        <w:keepLines/>
        <w:numPr>
          <w:ilvl w:val="0"/>
          <w:numId w:val="3"/>
        </w:numPr>
        <w:spacing w:before="360" w:line="288" w:lineRule="auto"/>
        <w:jc w:val="left"/>
        <w:outlineLvl w:val="2"/>
        <w:rPr>
          <w:rFonts w:ascii="黑体" w:hAnsi="宋体" w:eastAsia="黑体"/>
          <w:b/>
          <w:color w:val="auto"/>
          <w:sz w:val="21"/>
          <w:highlight w:val="none"/>
        </w:rPr>
      </w:pPr>
      <w:bookmarkStart w:id="57" w:name="_Toc169487791"/>
      <w:bookmarkStart w:id="58" w:name="_Toc155342544"/>
      <w:r>
        <w:rPr>
          <w:rFonts w:hint="eastAsia" w:ascii="黑体" w:hAnsi="宋体" w:eastAsia="黑体"/>
          <w:b/>
          <w:color w:val="auto"/>
          <w:sz w:val="21"/>
          <w:highlight w:val="none"/>
        </w:rPr>
        <w:t>投标文件的格式</w:t>
      </w:r>
      <w:bookmarkEnd w:id="57"/>
      <w:bookmarkEnd w:id="58"/>
    </w:p>
    <w:p w14:paraId="32100D91">
      <w:pPr>
        <w:pStyle w:val="10"/>
        <w:numPr>
          <w:ilvl w:val="1"/>
          <w:numId w:val="3"/>
        </w:numPr>
        <w:ind w:firstLine="420" w:firstLineChars="200"/>
        <w:rPr>
          <w:color w:val="auto"/>
          <w:highlight w:val="none"/>
        </w:rPr>
      </w:pPr>
      <w:r>
        <w:rPr>
          <w:rFonts w:hint="eastAsia"/>
          <w:color w:val="auto"/>
          <w:highlight w:val="none"/>
        </w:rPr>
        <w:t>本招标工程项目的投标文件格式要求详见本须知前附表第15项。</w:t>
      </w:r>
    </w:p>
    <w:p w14:paraId="3728AA0C">
      <w:pPr>
        <w:keepNext/>
        <w:keepLines/>
        <w:numPr>
          <w:ilvl w:val="0"/>
          <w:numId w:val="3"/>
        </w:numPr>
        <w:spacing w:before="360" w:line="288" w:lineRule="auto"/>
        <w:jc w:val="left"/>
        <w:outlineLvl w:val="2"/>
        <w:rPr>
          <w:rFonts w:ascii="黑体" w:hAnsi="宋体" w:eastAsia="黑体"/>
          <w:b/>
          <w:color w:val="auto"/>
          <w:sz w:val="21"/>
          <w:highlight w:val="none"/>
        </w:rPr>
      </w:pPr>
      <w:bookmarkStart w:id="59" w:name="_Toc155342545"/>
      <w:bookmarkStart w:id="60" w:name="_Toc169487792"/>
      <w:r>
        <w:rPr>
          <w:rFonts w:hint="eastAsia" w:ascii="黑体" w:hAnsi="宋体" w:eastAsia="黑体"/>
          <w:b/>
          <w:color w:val="auto"/>
          <w:sz w:val="21"/>
          <w:highlight w:val="none"/>
        </w:rPr>
        <w:t>投标报价组成</w:t>
      </w:r>
      <w:bookmarkEnd w:id="59"/>
      <w:bookmarkEnd w:id="60"/>
    </w:p>
    <w:p w14:paraId="1756F897">
      <w:pPr>
        <w:pStyle w:val="10"/>
        <w:numPr>
          <w:ilvl w:val="1"/>
          <w:numId w:val="3"/>
        </w:numPr>
        <w:ind w:left="0" w:firstLine="420" w:firstLineChars="200"/>
        <w:rPr>
          <w:color w:val="auto"/>
          <w:highlight w:val="none"/>
        </w:rPr>
      </w:pPr>
      <w:r>
        <w:rPr>
          <w:rFonts w:hint="eastAsia"/>
          <w:color w:val="auto"/>
          <w:highlight w:val="none"/>
        </w:rPr>
        <w:t>报价方式：本工程项目报价方式详见本须知前附表第16项。</w:t>
      </w:r>
      <w:bookmarkStart w:id="61" w:name="_Toc500208474"/>
    </w:p>
    <w:p w14:paraId="609C37B6">
      <w:pPr>
        <w:pStyle w:val="10"/>
        <w:snapToGrid w:val="0"/>
        <w:spacing w:line="360" w:lineRule="auto"/>
        <w:ind w:firstLine="420" w:firstLineChars="200"/>
        <w:rPr>
          <w:color w:val="auto"/>
          <w:highlight w:val="none"/>
        </w:rPr>
      </w:pPr>
      <w:r>
        <w:rPr>
          <w:rFonts w:hint="eastAsia"/>
          <w:color w:val="auto"/>
          <w:szCs w:val="21"/>
          <w:highlight w:val="none"/>
        </w:rPr>
        <w:t>15.2 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w:t>
      </w:r>
      <w:r>
        <w:rPr>
          <w:rFonts w:hint="eastAsia"/>
          <w:color w:val="auto"/>
          <w:highlight w:val="none"/>
        </w:rPr>
        <w:t>在最高投标限价内报价，超过此价格的按无效标处理。</w:t>
      </w:r>
    </w:p>
    <w:p w14:paraId="31C48971">
      <w:pPr>
        <w:keepNext/>
        <w:keepLines/>
        <w:numPr>
          <w:ilvl w:val="0"/>
          <w:numId w:val="3"/>
        </w:numPr>
        <w:spacing w:before="360" w:line="288" w:lineRule="auto"/>
        <w:jc w:val="left"/>
        <w:outlineLvl w:val="2"/>
        <w:rPr>
          <w:rFonts w:ascii="黑体" w:hAnsi="宋体" w:eastAsia="黑体"/>
          <w:b/>
          <w:color w:val="auto"/>
          <w:sz w:val="21"/>
          <w:highlight w:val="none"/>
        </w:rPr>
      </w:pPr>
      <w:bookmarkStart w:id="62" w:name="_Toc169487793"/>
      <w:bookmarkStart w:id="63" w:name="_Toc155342546"/>
      <w:r>
        <w:rPr>
          <w:rFonts w:hint="eastAsia" w:ascii="黑体" w:hAnsi="宋体" w:eastAsia="黑体"/>
          <w:b/>
          <w:color w:val="auto"/>
          <w:sz w:val="21"/>
          <w:highlight w:val="none"/>
        </w:rPr>
        <w:t>投标报价要求</w:t>
      </w:r>
      <w:bookmarkEnd w:id="62"/>
      <w:bookmarkEnd w:id="63"/>
    </w:p>
    <w:p w14:paraId="3944BB54">
      <w:pPr>
        <w:pStyle w:val="10"/>
        <w:numPr>
          <w:ilvl w:val="1"/>
          <w:numId w:val="3"/>
        </w:numPr>
        <w:ind w:firstLine="420" w:firstLineChars="200"/>
        <w:rPr>
          <w:color w:val="auto"/>
          <w:highlight w:val="none"/>
        </w:rPr>
      </w:pPr>
      <w:r>
        <w:rPr>
          <w:rFonts w:hint="eastAsia"/>
          <w:color w:val="auto"/>
          <w:highlight w:val="none"/>
        </w:rPr>
        <w:t>招标人预算书</w:t>
      </w:r>
      <w:r>
        <w:rPr>
          <w:rFonts w:hint="eastAsia"/>
          <w:color w:val="auto"/>
          <w:highlight w:val="none"/>
          <w:lang w:val="en-US" w:eastAsia="zh-CN"/>
        </w:rPr>
        <w:t>采用2018年浙江省定额编制</w:t>
      </w:r>
      <w:r>
        <w:rPr>
          <w:rFonts w:hint="eastAsia" w:ascii="宋体" w:hAnsi="宋体" w:eastAsia="宋体"/>
          <w:color w:val="auto"/>
          <w:highlight w:val="none"/>
          <w:lang w:eastAsia="zh-CN"/>
        </w:rPr>
        <w:t>。</w:t>
      </w:r>
      <w:r>
        <w:rPr>
          <w:rFonts w:hint="eastAsia"/>
          <w:color w:val="auto"/>
          <w:highlight w:val="none"/>
        </w:rPr>
        <w:t>招标文件规定应由投标人自行确定的费用，投标人应根据报价要求，结合工程施工的实际情况、市场行情、技术方案和企业的管理水平，综合分析后自主确定报价，招标人预算书中相对应的费用仅供投标人参考。</w:t>
      </w:r>
    </w:p>
    <w:p w14:paraId="3162F852">
      <w:pPr>
        <w:pStyle w:val="10"/>
        <w:numPr>
          <w:ilvl w:val="1"/>
          <w:numId w:val="3"/>
        </w:numPr>
        <w:ind w:firstLine="420" w:firstLineChars="200"/>
        <w:rPr>
          <w:color w:val="auto"/>
          <w:highlight w:val="none"/>
        </w:rPr>
      </w:pPr>
      <w:r>
        <w:rPr>
          <w:rFonts w:hint="eastAsia"/>
          <w:color w:val="auto"/>
          <w:highlight w:val="none"/>
        </w:rPr>
        <w:t>附件中除空白部分由投标人自报外，其余内容作为投标报价的共同基础</w:t>
      </w:r>
      <w:r>
        <w:rPr>
          <w:rFonts w:hint="eastAsia" w:ascii="黑体" w:eastAsia="黑体"/>
          <w:color w:val="auto"/>
          <w:highlight w:val="none"/>
        </w:rPr>
        <w:t>。</w:t>
      </w:r>
    </w:p>
    <w:p w14:paraId="5998CFC6">
      <w:pPr>
        <w:pStyle w:val="10"/>
        <w:numPr>
          <w:ilvl w:val="1"/>
          <w:numId w:val="3"/>
        </w:numPr>
        <w:ind w:firstLine="422" w:firstLineChars="200"/>
        <w:rPr>
          <w:rFonts w:ascii="黑体" w:eastAsia="黑体"/>
          <w:b/>
          <w:color w:val="auto"/>
          <w:highlight w:val="none"/>
        </w:rPr>
      </w:pPr>
      <w:r>
        <w:rPr>
          <w:rFonts w:hint="eastAsia" w:ascii="黑体" w:eastAsia="黑体"/>
          <w:b/>
          <w:bCs/>
          <w:color w:val="auto"/>
          <w:highlight w:val="none"/>
        </w:rPr>
        <w:t>投标人的报价要求详见</w:t>
      </w:r>
      <w:r>
        <w:rPr>
          <w:rFonts w:hint="eastAsia" w:ascii="黑体" w:eastAsia="黑体"/>
          <w:b/>
          <w:color w:val="auto"/>
          <w:highlight w:val="none"/>
        </w:rPr>
        <w:t>本须知前附表第17项，未</w:t>
      </w:r>
      <w:r>
        <w:rPr>
          <w:rFonts w:hint="eastAsia" w:ascii="黑体" w:eastAsia="黑体"/>
          <w:b/>
          <w:bCs/>
          <w:color w:val="auto"/>
          <w:highlight w:val="none"/>
        </w:rPr>
        <w:t>按要求报价的，作无效标处理</w:t>
      </w:r>
      <w:r>
        <w:rPr>
          <w:rFonts w:hint="eastAsia" w:ascii="黑体" w:eastAsia="黑体"/>
          <w:b/>
          <w:color w:val="auto"/>
          <w:highlight w:val="none"/>
        </w:rPr>
        <w:t>。</w:t>
      </w:r>
    </w:p>
    <w:bookmarkEnd w:id="61"/>
    <w:p w14:paraId="35718EFB">
      <w:pPr>
        <w:keepNext/>
        <w:keepLines/>
        <w:numPr>
          <w:ilvl w:val="0"/>
          <w:numId w:val="3"/>
        </w:numPr>
        <w:spacing w:before="360" w:line="288" w:lineRule="auto"/>
        <w:jc w:val="left"/>
        <w:outlineLvl w:val="2"/>
        <w:rPr>
          <w:rFonts w:ascii="黑体" w:hAnsi="宋体" w:eastAsia="黑体"/>
          <w:b/>
          <w:color w:val="auto"/>
          <w:sz w:val="21"/>
          <w:highlight w:val="none"/>
        </w:rPr>
      </w:pPr>
      <w:bookmarkStart w:id="64" w:name="_Toc155342547"/>
      <w:bookmarkStart w:id="65" w:name="_Toc169487794"/>
      <w:r>
        <w:rPr>
          <w:rFonts w:hint="eastAsia" w:ascii="黑体" w:hAnsi="宋体" w:eastAsia="黑体"/>
          <w:b/>
          <w:color w:val="auto"/>
          <w:sz w:val="21"/>
          <w:highlight w:val="none"/>
        </w:rPr>
        <w:t>投标</w:t>
      </w:r>
      <w:bookmarkEnd w:id="56"/>
      <w:r>
        <w:rPr>
          <w:rFonts w:hint="eastAsia" w:ascii="黑体" w:hAnsi="宋体" w:eastAsia="黑体"/>
          <w:b/>
          <w:color w:val="auto"/>
          <w:sz w:val="21"/>
          <w:highlight w:val="none"/>
        </w:rPr>
        <w:t>担保</w:t>
      </w:r>
      <w:bookmarkEnd w:id="64"/>
      <w:bookmarkEnd w:id="65"/>
    </w:p>
    <w:p w14:paraId="5BB6DD50">
      <w:pPr>
        <w:pStyle w:val="10"/>
        <w:numPr>
          <w:ilvl w:val="1"/>
          <w:numId w:val="3"/>
        </w:numPr>
        <w:ind w:firstLine="420" w:firstLineChars="200"/>
        <w:rPr>
          <w:color w:val="auto"/>
          <w:highlight w:val="none"/>
        </w:rPr>
      </w:pPr>
      <w:r>
        <w:rPr>
          <w:rFonts w:hint="eastAsia"/>
          <w:color w:val="auto"/>
          <w:highlight w:val="none"/>
        </w:rPr>
        <w:t>投标人在递交投标文件的同时，应按投标人须知前附表规定递交担保。</w:t>
      </w:r>
    </w:p>
    <w:p w14:paraId="596F4540">
      <w:pPr>
        <w:pStyle w:val="10"/>
        <w:numPr>
          <w:ilvl w:val="1"/>
          <w:numId w:val="3"/>
        </w:numPr>
        <w:ind w:firstLine="420" w:firstLineChars="200"/>
        <w:rPr>
          <w:color w:val="auto"/>
          <w:highlight w:val="none"/>
        </w:rPr>
      </w:pPr>
      <w:r>
        <w:rPr>
          <w:rFonts w:hint="eastAsia"/>
          <w:color w:val="auto"/>
          <w:highlight w:val="none"/>
        </w:rPr>
        <w:t>投标人未能按本章17.1项要求提交投标担保的，招标人将视为不响应投标而予以拒绝。</w:t>
      </w:r>
    </w:p>
    <w:p w14:paraId="6322B766">
      <w:pPr>
        <w:pStyle w:val="10"/>
        <w:numPr>
          <w:ilvl w:val="1"/>
          <w:numId w:val="3"/>
        </w:numPr>
        <w:ind w:firstLine="420" w:firstLineChars="200"/>
        <w:rPr>
          <w:color w:val="auto"/>
          <w:highlight w:val="none"/>
        </w:rPr>
      </w:pPr>
      <w:r>
        <w:rPr>
          <w:rFonts w:hint="eastAsia"/>
          <w:color w:val="auto"/>
          <w:highlight w:val="none"/>
        </w:rPr>
        <w:t>投标担保按以下方式退还：</w:t>
      </w:r>
    </w:p>
    <w:p w14:paraId="00009BDD">
      <w:pPr>
        <w:pStyle w:val="10"/>
        <w:ind w:firstLine="420" w:firstLineChars="200"/>
        <w:rPr>
          <w:color w:val="auto"/>
          <w:highlight w:val="none"/>
        </w:rPr>
      </w:pPr>
      <w:r>
        <w:rPr>
          <w:rFonts w:hint="eastAsia"/>
          <w:color w:val="auto"/>
          <w:highlight w:val="none"/>
        </w:rPr>
        <w:t>（1）未中标人投标保证金在中标公告发布后可退回；</w:t>
      </w:r>
    </w:p>
    <w:p w14:paraId="77629DDD">
      <w:pPr>
        <w:pStyle w:val="10"/>
        <w:ind w:firstLine="420" w:firstLineChars="200"/>
        <w:rPr>
          <w:color w:val="auto"/>
          <w:highlight w:val="none"/>
        </w:rPr>
      </w:pPr>
      <w:r>
        <w:rPr>
          <w:rFonts w:hint="eastAsia"/>
          <w:color w:val="auto"/>
          <w:highlight w:val="none"/>
        </w:rPr>
        <w:t>（2）中标人的投标保证金在缴纳履约保证金和签订合同后退回。</w:t>
      </w:r>
    </w:p>
    <w:p w14:paraId="0F2BFB2B">
      <w:pPr>
        <w:pStyle w:val="10"/>
        <w:numPr>
          <w:ilvl w:val="1"/>
          <w:numId w:val="3"/>
        </w:numPr>
        <w:ind w:firstLine="420" w:firstLineChars="200"/>
        <w:rPr>
          <w:color w:val="auto"/>
          <w:highlight w:val="none"/>
        </w:rPr>
      </w:pPr>
      <w:r>
        <w:rPr>
          <w:rFonts w:hint="eastAsia"/>
          <w:color w:val="auto"/>
          <w:highlight w:val="none"/>
        </w:rPr>
        <w:t>如投标人有下列情况，投标担保将被没收：</w:t>
      </w:r>
    </w:p>
    <w:p w14:paraId="10F8AE62">
      <w:pPr>
        <w:spacing w:line="288" w:lineRule="auto"/>
        <w:ind w:left="-6" w:leftChars="-2" w:firstLine="420" w:firstLineChars="200"/>
        <w:rPr>
          <w:rFonts w:ascii="宋体" w:hAnsi="宋体" w:eastAsia="宋体"/>
          <w:color w:val="auto"/>
          <w:sz w:val="21"/>
          <w:highlight w:val="none"/>
        </w:rPr>
      </w:pPr>
      <w:r>
        <w:rPr>
          <w:rFonts w:hint="eastAsia" w:ascii="宋体" w:hAnsi="宋体" w:eastAsia="宋体"/>
          <w:color w:val="auto"/>
          <w:sz w:val="21"/>
          <w:highlight w:val="none"/>
        </w:rPr>
        <w:t>（1）投标人在投标有效期内撤销其投标文件；</w:t>
      </w:r>
    </w:p>
    <w:p w14:paraId="77FBEC22">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（2）中标人未能在规定期限内提交履约担保或签署合同协议；</w:t>
      </w:r>
    </w:p>
    <w:p w14:paraId="18A769B4">
      <w:pPr>
        <w:spacing w:line="288" w:lineRule="auto"/>
        <w:ind w:firstLine="420" w:firstLineChars="200"/>
        <w:rPr>
          <w:rFonts w:ascii="宋体" w:hAnsi="宋体" w:eastAsia="宋体"/>
          <w:color w:val="auto"/>
          <w:sz w:val="21"/>
          <w:szCs w:val="22"/>
          <w:highlight w:val="none"/>
        </w:rPr>
      </w:pPr>
      <w:r>
        <w:rPr>
          <w:rFonts w:hint="eastAsia" w:ascii="宋体" w:hAnsi="宋体" w:eastAsia="宋体"/>
          <w:color w:val="auto"/>
          <w:sz w:val="21"/>
          <w:szCs w:val="22"/>
          <w:highlight w:val="none"/>
        </w:rPr>
        <w:t>（3）投标人在投标期间内有串标、哄抬标价等违法违规行为；</w:t>
      </w:r>
    </w:p>
    <w:p w14:paraId="4B2D5D7D">
      <w:pPr>
        <w:spacing w:line="288" w:lineRule="auto"/>
        <w:ind w:firstLine="420" w:firstLineChars="200"/>
        <w:rPr>
          <w:rFonts w:hint="eastAsia" w:ascii="宋体" w:hAnsi="宋体" w:eastAsia="宋体"/>
          <w:color w:val="auto"/>
          <w:sz w:val="21"/>
          <w:szCs w:val="22"/>
          <w:highlight w:val="none"/>
        </w:rPr>
      </w:pPr>
      <w:r>
        <w:rPr>
          <w:rFonts w:hint="eastAsia" w:ascii="宋体" w:hAnsi="宋体" w:eastAsia="宋体"/>
          <w:color w:val="auto"/>
          <w:sz w:val="21"/>
          <w:szCs w:val="22"/>
          <w:highlight w:val="none"/>
        </w:rPr>
        <w:t>（4）投标人违反《临海市建设工程诚信投标承诺书》承诺内容的；</w:t>
      </w:r>
    </w:p>
    <w:p w14:paraId="3503818D">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szCs w:val="22"/>
          <w:highlight w:val="none"/>
        </w:rPr>
        <w:t>（5）投标人自动放弃中标候选人或中标资格的（没收的投标担保不能弥补由于其放弃中标权而给招标人造成报价的差额损失的，由放弃中标权的中标候选人承担）。</w:t>
      </w:r>
    </w:p>
    <w:p w14:paraId="144F6381">
      <w:pPr>
        <w:keepNext/>
        <w:keepLines/>
        <w:numPr>
          <w:ilvl w:val="0"/>
          <w:numId w:val="3"/>
        </w:numPr>
        <w:spacing w:before="360" w:line="288" w:lineRule="auto"/>
        <w:jc w:val="left"/>
        <w:outlineLvl w:val="2"/>
        <w:rPr>
          <w:rFonts w:ascii="黑体" w:hAnsi="宋体" w:eastAsia="黑体"/>
          <w:b/>
          <w:color w:val="auto"/>
          <w:sz w:val="21"/>
          <w:highlight w:val="none"/>
        </w:rPr>
      </w:pPr>
      <w:bookmarkStart w:id="66" w:name="_Toc169487795"/>
      <w:bookmarkStart w:id="67" w:name="_Toc155342548"/>
      <w:bookmarkStart w:id="68" w:name="_Toc500208478"/>
      <w:r>
        <w:rPr>
          <w:rFonts w:hint="eastAsia" w:ascii="黑体" w:hAnsi="宋体" w:eastAsia="黑体"/>
          <w:b/>
          <w:color w:val="auto"/>
          <w:sz w:val="21"/>
          <w:highlight w:val="none"/>
        </w:rPr>
        <w:t>投标有效期</w:t>
      </w:r>
      <w:bookmarkEnd w:id="66"/>
      <w:bookmarkEnd w:id="67"/>
    </w:p>
    <w:p w14:paraId="558020F9">
      <w:pPr>
        <w:pStyle w:val="10"/>
        <w:numPr>
          <w:ilvl w:val="1"/>
          <w:numId w:val="3"/>
        </w:numPr>
        <w:ind w:firstLine="420" w:firstLineChars="200"/>
        <w:rPr>
          <w:color w:val="auto"/>
          <w:highlight w:val="none"/>
        </w:rPr>
      </w:pPr>
      <w:r>
        <w:rPr>
          <w:color w:val="auto"/>
          <w:highlight w:val="none"/>
        </w:rPr>
        <w:t>投标有效期</w:t>
      </w:r>
      <w:r>
        <w:rPr>
          <w:rFonts w:hint="eastAsia"/>
          <w:color w:val="auto"/>
          <w:highlight w:val="none"/>
        </w:rPr>
        <w:t>详</w:t>
      </w:r>
      <w:r>
        <w:rPr>
          <w:color w:val="auto"/>
          <w:highlight w:val="none"/>
        </w:rPr>
        <w:t>见本须知前附表</w:t>
      </w:r>
      <w:r>
        <w:rPr>
          <w:rFonts w:hint="eastAsia"/>
          <w:color w:val="auto"/>
          <w:highlight w:val="none"/>
        </w:rPr>
        <w:t>第19项</w:t>
      </w:r>
      <w:r>
        <w:rPr>
          <w:color w:val="auto"/>
          <w:highlight w:val="none"/>
        </w:rPr>
        <w:t>，在此期限内，凡符合本招标文件要求的投标文件均保持有效。</w:t>
      </w:r>
    </w:p>
    <w:p w14:paraId="56A72F4E">
      <w:pPr>
        <w:pStyle w:val="10"/>
        <w:numPr>
          <w:ilvl w:val="1"/>
          <w:numId w:val="3"/>
        </w:numPr>
        <w:ind w:firstLine="420" w:firstLineChars="200"/>
        <w:rPr>
          <w:color w:val="auto"/>
          <w:highlight w:val="none"/>
        </w:rPr>
      </w:pPr>
      <w:r>
        <w:rPr>
          <w:rFonts w:hint="eastAsia"/>
          <w:color w:val="auto"/>
          <w:highlight w:val="none"/>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68"/>
    <w:p w14:paraId="62973204">
      <w:pPr>
        <w:keepNext/>
        <w:keepLines/>
        <w:numPr>
          <w:ilvl w:val="0"/>
          <w:numId w:val="3"/>
        </w:numPr>
        <w:spacing w:before="360" w:line="288" w:lineRule="auto"/>
        <w:jc w:val="left"/>
        <w:outlineLvl w:val="2"/>
        <w:rPr>
          <w:rFonts w:ascii="黑体" w:hAnsi="宋体" w:eastAsia="黑体"/>
          <w:b/>
          <w:color w:val="auto"/>
          <w:sz w:val="21"/>
          <w:highlight w:val="none"/>
        </w:rPr>
      </w:pPr>
      <w:bookmarkStart w:id="69" w:name="_Toc500208479"/>
      <w:bookmarkStart w:id="70" w:name="_Toc155342549"/>
      <w:bookmarkStart w:id="71" w:name="_Toc169487796"/>
      <w:r>
        <w:rPr>
          <w:rFonts w:hint="eastAsia" w:ascii="黑体" w:hAnsi="宋体" w:eastAsia="黑体"/>
          <w:b/>
          <w:color w:val="auto"/>
          <w:sz w:val="21"/>
          <w:highlight w:val="none"/>
        </w:rPr>
        <w:t>投标文件的份数和签署</w:t>
      </w:r>
      <w:bookmarkEnd w:id="69"/>
      <w:bookmarkEnd w:id="70"/>
      <w:bookmarkEnd w:id="71"/>
    </w:p>
    <w:p w14:paraId="2FB11FED">
      <w:pPr>
        <w:pStyle w:val="10"/>
        <w:numPr>
          <w:ilvl w:val="1"/>
          <w:numId w:val="3"/>
        </w:numPr>
        <w:ind w:firstLine="420" w:firstLineChars="200"/>
        <w:rPr>
          <w:color w:val="auto"/>
          <w:highlight w:val="none"/>
        </w:rPr>
      </w:pPr>
      <w:r>
        <w:rPr>
          <w:rFonts w:hint="eastAsia"/>
          <w:color w:val="auto"/>
          <w:highlight w:val="none"/>
        </w:rPr>
        <w:t>投标人按本须知前附表第20项规定的份数递交投标文件。</w:t>
      </w:r>
    </w:p>
    <w:p w14:paraId="06BC5ECD">
      <w:pPr>
        <w:pStyle w:val="10"/>
        <w:numPr>
          <w:ilvl w:val="1"/>
          <w:numId w:val="3"/>
        </w:numPr>
        <w:ind w:firstLine="420" w:firstLineChars="200"/>
        <w:rPr>
          <w:color w:val="auto"/>
          <w:highlight w:val="none"/>
        </w:rPr>
      </w:pPr>
      <w:r>
        <w:rPr>
          <w:rFonts w:hint="eastAsia"/>
          <w:color w:val="auto"/>
          <w:szCs w:val="22"/>
          <w:highlight w:val="none"/>
        </w:rPr>
        <w:t>投标文件以电子投标文件为准（若由于网络或停电等原因无法打开投标人的电子投标文件时，经市公管办(根据实际定)、市产权交易公司、行政监管机构认定后项目延期评审）。</w:t>
      </w:r>
    </w:p>
    <w:p w14:paraId="0D9A9EE9">
      <w:pPr>
        <w:spacing w:before="360" w:afterLines="50" w:line="320" w:lineRule="exact"/>
        <w:ind w:left="2159" w:hanging="1320"/>
        <w:jc w:val="center"/>
        <w:outlineLvl w:val="1"/>
        <w:rPr>
          <w:rFonts w:ascii="Arial" w:hAnsi="Arial" w:eastAsia="黑体" w:cs="Arial"/>
          <w:b/>
          <w:color w:val="auto"/>
          <w:szCs w:val="24"/>
          <w:highlight w:val="none"/>
        </w:rPr>
      </w:pPr>
      <w:bookmarkStart w:id="72" w:name="_Toc21898"/>
      <w:bookmarkStart w:id="73" w:name="_Toc500209417"/>
      <w:bookmarkStart w:id="74" w:name="_Toc21258"/>
      <w:bookmarkStart w:id="75" w:name="_Toc500208480"/>
      <w:r>
        <w:rPr>
          <w:rFonts w:hint="eastAsia" w:ascii="Arial" w:hAnsi="Arial" w:eastAsia="黑体" w:cs="Arial"/>
          <w:b/>
          <w:color w:val="auto"/>
          <w:szCs w:val="24"/>
          <w:highlight w:val="none"/>
        </w:rPr>
        <w:t>第四节  投标文件的递交</w:t>
      </w:r>
      <w:bookmarkEnd w:id="72"/>
      <w:bookmarkEnd w:id="73"/>
      <w:bookmarkEnd w:id="74"/>
      <w:bookmarkEnd w:id="75"/>
    </w:p>
    <w:p w14:paraId="3C08759D">
      <w:pPr>
        <w:keepNext/>
        <w:keepLines/>
        <w:numPr>
          <w:ilvl w:val="0"/>
          <w:numId w:val="3"/>
        </w:numPr>
        <w:spacing w:before="360" w:line="288" w:lineRule="auto"/>
        <w:jc w:val="left"/>
        <w:outlineLvl w:val="2"/>
        <w:rPr>
          <w:rFonts w:ascii="黑体" w:hAnsi="宋体" w:eastAsia="黑体"/>
          <w:b/>
          <w:color w:val="auto"/>
          <w:sz w:val="21"/>
          <w:highlight w:val="none"/>
        </w:rPr>
      </w:pPr>
      <w:bookmarkStart w:id="76" w:name="_Toc155342552"/>
      <w:bookmarkStart w:id="77" w:name="_Toc169487799"/>
      <w:bookmarkStart w:id="78" w:name="_Toc500208482"/>
      <w:r>
        <w:rPr>
          <w:rFonts w:hint="eastAsia" w:ascii="黑体" w:hAnsi="宋体" w:eastAsia="黑体"/>
          <w:b/>
          <w:color w:val="auto"/>
          <w:sz w:val="21"/>
          <w:highlight w:val="none"/>
        </w:rPr>
        <w:t>投标文件的递交</w:t>
      </w:r>
      <w:bookmarkEnd w:id="76"/>
      <w:bookmarkEnd w:id="77"/>
    </w:p>
    <w:p w14:paraId="507ECBBE">
      <w:pPr>
        <w:pStyle w:val="10"/>
        <w:numPr>
          <w:ilvl w:val="1"/>
          <w:numId w:val="3"/>
        </w:numPr>
        <w:ind w:firstLine="420" w:firstLineChars="200"/>
        <w:rPr>
          <w:color w:val="auto"/>
          <w:highlight w:val="none"/>
        </w:rPr>
      </w:pPr>
      <w:r>
        <w:rPr>
          <w:rStyle w:val="27"/>
          <w:rFonts w:hint="eastAsia"/>
          <w:color w:val="auto"/>
          <w:szCs w:val="21"/>
          <w:highlight w:val="none"/>
        </w:rPr>
        <w:t>投标人应按招标文件规定要求上传电子投标文件，未在投标截止时间前完成上传的电子投标文件均作无效处理。</w:t>
      </w:r>
    </w:p>
    <w:p w14:paraId="47E5DA2D">
      <w:pPr>
        <w:keepNext/>
        <w:keepLines/>
        <w:numPr>
          <w:ilvl w:val="0"/>
          <w:numId w:val="3"/>
        </w:numPr>
        <w:spacing w:before="360" w:line="288" w:lineRule="auto"/>
        <w:jc w:val="left"/>
        <w:outlineLvl w:val="2"/>
        <w:rPr>
          <w:rFonts w:ascii="黑体" w:hAnsi="宋体" w:eastAsia="黑体"/>
          <w:b/>
          <w:color w:val="auto"/>
          <w:sz w:val="21"/>
          <w:highlight w:val="none"/>
        </w:rPr>
      </w:pPr>
      <w:bookmarkStart w:id="79" w:name="_Toc155342553"/>
      <w:bookmarkStart w:id="80" w:name="_Toc169487800"/>
      <w:r>
        <w:rPr>
          <w:rFonts w:hint="eastAsia" w:ascii="黑体" w:hAnsi="宋体" w:eastAsia="黑体"/>
          <w:b/>
          <w:color w:val="auto"/>
          <w:sz w:val="21"/>
          <w:highlight w:val="none"/>
        </w:rPr>
        <w:t>投标截止期</w:t>
      </w:r>
      <w:bookmarkEnd w:id="78"/>
      <w:bookmarkEnd w:id="79"/>
      <w:bookmarkEnd w:id="80"/>
    </w:p>
    <w:p w14:paraId="466DB8A4">
      <w:pPr>
        <w:pStyle w:val="10"/>
        <w:numPr>
          <w:ilvl w:val="1"/>
          <w:numId w:val="3"/>
        </w:numPr>
        <w:ind w:firstLine="420" w:firstLineChars="200"/>
        <w:rPr>
          <w:color w:val="auto"/>
          <w:highlight w:val="none"/>
        </w:rPr>
      </w:pPr>
      <w:r>
        <w:rPr>
          <w:color w:val="auto"/>
          <w:highlight w:val="none"/>
        </w:rPr>
        <w:t>投标文件的截止时间</w:t>
      </w:r>
      <w:r>
        <w:rPr>
          <w:rFonts w:hint="eastAsia"/>
          <w:color w:val="auto"/>
          <w:highlight w:val="none"/>
        </w:rPr>
        <w:t>详见</w:t>
      </w:r>
      <w:r>
        <w:rPr>
          <w:color w:val="auto"/>
          <w:highlight w:val="none"/>
        </w:rPr>
        <w:t>本须知前附表</w:t>
      </w:r>
      <w:r>
        <w:rPr>
          <w:rFonts w:hint="eastAsia"/>
          <w:color w:val="auto"/>
          <w:highlight w:val="none"/>
        </w:rPr>
        <w:t>第24项</w:t>
      </w:r>
      <w:r>
        <w:rPr>
          <w:color w:val="auto"/>
          <w:highlight w:val="none"/>
        </w:rPr>
        <w:t>。</w:t>
      </w:r>
    </w:p>
    <w:p w14:paraId="72CBD3DA">
      <w:pPr>
        <w:pStyle w:val="10"/>
        <w:numPr>
          <w:ilvl w:val="1"/>
          <w:numId w:val="3"/>
        </w:numPr>
        <w:ind w:firstLine="420" w:firstLineChars="200"/>
        <w:rPr>
          <w:color w:val="auto"/>
          <w:highlight w:val="none"/>
        </w:rPr>
      </w:pPr>
      <w:r>
        <w:rPr>
          <w:color w:val="auto"/>
          <w:highlight w:val="none"/>
        </w:rPr>
        <w:t>招标人可以补充通知的方式，酌情延长提交投标文件的截止时间。在此情况下，投标人的所有权利和义务以及投标人受制约的截止时间，均以延长后新的投标截止时间为准。</w:t>
      </w:r>
    </w:p>
    <w:p w14:paraId="23D1E2CD">
      <w:pPr>
        <w:pStyle w:val="10"/>
        <w:numPr>
          <w:ilvl w:val="1"/>
          <w:numId w:val="3"/>
        </w:numPr>
        <w:ind w:firstLine="420" w:firstLineChars="200"/>
        <w:rPr>
          <w:color w:val="auto"/>
          <w:highlight w:val="none"/>
        </w:rPr>
      </w:pPr>
      <w:r>
        <w:rPr>
          <w:rFonts w:hint="eastAsia"/>
          <w:color w:val="auto"/>
          <w:highlight w:val="none"/>
        </w:rPr>
        <w:t>到投标截止时间止，招标人收到的投标文件少于3个的，招标人将依法重新组织招标。</w:t>
      </w:r>
    </w:p>
    <w:p w14:paraId="4754FE05">
      <w:pPr>
        <w:spacing w:before="360" w:afterLines="50" w:line="320" w:lineRule="exact"/>
        <w:ind w:left="2159" w:hanging="1320"/>
        <w:jc w:val="center"/>
        <w:outlineLvl w:val="1"/>
        <w:rPr>
          <w:rFonts w:ascii="Arial" w:hAnsi="Arial" w:eastAsia="黑体" w:cs="Arial"/>
          <w:b/>
          <w:color w:val="auto"/>
          <w:szCs w:val="24"/>
          <w:highlight w:val="none"/>
        </w:rPr>
      </w:pPr>
      <w:bookmarkStart w:id="81" w:name="_Toc15794"/>
      <w:bookmarkStart w:id="82" w:name="_Toc9012"/>
      <w:bookmarkStart w:id="83" w:name="_Toc500209418"/>
      <w:bookmarkStart w:id="84" w:name="_Toc500208484"/>
      <w:r>
        <w:rPr>
          <w:rFonts w:hint="eastAsia" w:ascii="Arial" w:hAnsi="Arial" w:eastAsia="黑体" w:cs="Arial"/>
          <w:b/>
          <w:color w:val="auto"/>
          <w:szCs w:val="24"/>
          <w:highlight w:val="none"/>
        </w:rPr>
        <w:t>第五节  开   标</w:t>
      </w:r>
      <w:bookmarkEnd w:id="81"/>
      <w:bookmarkEnd w:id="82"/>
      <w:bookmarkEnd w:id="83"/>
      <w:bookmarkEnd w:id="84"/>
    </w:p>
    <w:p w14:paraId="3DC3B1DC">
      <w:pPr>
        <w:keepNext/>
        <w:keepLines/>
        <w:numPr>
          <w:ilvl w:val="0"/>
          <w:numId w:val="3"/>
        </w:numPr>
        <w:spacing w:before="360" w:line="288" w:lineRule="auto"/>
        <w:jc w:val="left"/>
        <w:outlineLvl w:val="2"/>
        <w:rPr>
          <w:rFonts w:ascii="黑体" w:hAnsi="宋体" w:eastAsia="黑体"/>
          <w:b/>
          <w:color w:val="auto"/>
          <w:sz w:val="21"/>
          <w:highlight w:val="none"/>
        </w:rPr>
      </w:pPr>
      <w:bookmarkStart w:id="85" w:name="_Toc169487803"/>
      <w:bookmarkStart w:id="86" w:name="_Toc500208485"/>
      <w:bookmarkStart w:id="87" w:name="_Toc155342556"/>
      <w:r>
        <w:rPr>
          <w:rFonts w:hint="eastAsia" w:ascii="黑体" w:hAnsi="宋体" w:eastAsia="黑体"/>
          <w:b/>
          <w:color w:val="auto"/>
          <w:sz w:val="21"/>
          <w:highlight w:val="none"/>
        </w:rPr>
        <w:t>开标</w:t>
      </w:r>
      <w:bookmarkEnd w:id="85"/>
      <w:bookmarkEnd w:id="86"/>
      <w:bookmarkEnd w:id="87"/>
    </w:p>
    <w:p w14:paraId="7E665712">
      <w:pPr>
        <w:pStyle w:val="10"/>
        <w:numPr>
          <w:ilvl w:val="1"/>
          <w:numId w:val="3"/>
        </w:numPr>
        <w:ind w:firstLine="420" w:firstLineChars="200"/>
        <w:rPr>
          <w:color w:val="auto"/>
          <w:highlight w:val="none"/>
        </w:rPr>
      </w:pPr>
      <w:r>
        <w:rPr>
          <w:rFonts w:hint="eastAsia"/>
          <w:color w:val="auto"/>
          <w:highlight w:val="none"/>
        </w:rPr>
        <w:t>招标人将于投标截止期的同一时间按本须知前附表第23项所规定的地点公开举行开标会议。</w:t>
      </w:r>
    </w:p>
    <w:p w14:paraId="62C57081">
      <w:pPr>
        <w:pStyle w:val="10"/>
        <w:numPr>
          <w:ilvl w:val="1"/>
          <w:numId w:val="3"/>
        </w:numPr>
        <w:ind w:firstLine="420" w:firstLineChars="200"/>
        <w:rPr>
          <w:color w:val="auto"/>
          <w:highlight w:val="none"/>
        </w:rPr>
      </w:pPr>
      <w:r>
        <w:rPr>
          <w:rFonts w:hint="eastAsia"/>
          <w:color w:val="auto"/>
          <w:highlight w:val="none"/>
        </w:rPr>
        <w:t>开标会议由招标人组织并主持。</w:t>
      </w:r>
    </w:p>
    <w:p w14:paraId="39530648">
      <w:pPr>
        <w:pStyle w:val="10"/>
        <w:numPr>
          <w:ilvl w:val="1"/>
          <w:numId w:val="3"/>
        </w:numPr>
        <w:ind w:firstLine="420" w:firstLineChars="200"/>
        <w:rPr>
          <w:color w:val="auto"/>
          <w:highlight w:val="none"/>
        </w:rPr>
      </w:pPr>
      <w:r>
        <w:rPr>
          <w:rFonts w:hint="eastAsia"/>
          <w:color w:val="auto"/>
          <w:highlight w:val="none"/>
        </w:rPr>
        <w:t>开标顺序</w:t>
      </w:r>
      <w:r>
        <w:rPr>
          <w:rFonts w:hint="eastAsia"/>
          <w:bCs/>
          <w:color w:val="auto"/>
          <w:highlight w:val="none"/>
        </w:rPr>
        <w:t>详见本须知前附表第25项。</w:t>
      </w:r>
    </w:p>
    <w:p w14:paraId="439E94BE">
      <w:pPr>
        <w:keepNext/>
        <w:keepLines/>
        <w:numPr>
          <w:ilvl w:val="0"/>
          <w:numId w:val="3"/>
        </w:numPr>
        <w:spacing w:before="360" w:line="288" w:lineRule="auto"/>
        <w:jc w:val="left"/>
        <w:outlineLvl w:val="2"/>
        <w:rPr>
          <w:rFonts w:ascii="黑体" w:hAnsi="宋体" w:eastAsia="黑体"/>
          <w:b/>
          <w:color w:val="auto"/>
          <w:sz w:val="21"/>
          <w:highlight w:val="none"/>
        </w:rPr>
      </w:pPr>
      <w:bookmarkStart w:id="88" w:name="_Toc155342557"/>
      <w:bookmarkStart w:id="89" w:name="_Toc169487804"/>
      <w:r>
        <w:rPr>
          <w:rFonts w:hint="eastAsia" w:ascii="黑体" w:hAnsi="宋体" w:eastAsia="黑体"/>
          <w:b/>
          <w:color w:val="auto"/>
          <w:sz w:val="21"/>
          <w:highlight w:val="none"/>
        </w:rPr>
        <w:t>投标文件公布</w:t>
      </w:r>
      <w:bookmarkEnd w:id="88"/>
      <w:bookmarkEnd w:id="89"/>
    </w:p>
    <w:p w14:paraId="6573182F">
      <w:pPr>
        <w:pStyle w:val="10"/>
        <w:numPr>
          <w:ilvl w:val="1"/>
          <w:numId w:val="3"/>
        </w:numPr>
        <w:ind w:firstLine="420" w:firstLineChars="200"/>
        <w:rPr>
          <w:color w:val="auto"/>
          <w:highlight w:val="none"/>
        </w:rPr>
      </w:pPr>
      <w:r>
        <w:rPr>
          <w:rFonts w:hint="eastAsia"/>
          <w:color w:val="auto"/>
          <w:highlight w:val="none"/>
        </w:rPr>
        <w:t>招标人将对开标过程进行记录，以存档备查</w:t>
      </w:r>
      <w:r>
        <w:rPr>
          <w:color w:val="auto"/>
          <w:highlight w:val="none"/>
        </w:rPr>
        <w:t>。</w:t>
      </w:r>
    </w:p>
    <w:p w14:paraId="543F30E0">
      <w:pPr>
        <w:spacing w:before="360" w:afterLines="50" w:line="320" w:lineRule="exact"/>
        <w:ind w:left="2159" w:hanging="1320"/>
        <w:jc w:val="center"/>
        <w:outlineLvl w:val="1"/>
        <w:rPr>
          <w:rFonts w:ascii="Arial" w:hAnsi="Arial" w:eastAsia="黑体" w:cs="Arial"/>
          <w:b/>
          <w:color w:val="auto"/>
          <w:szCs w:val="24"/>
          <w:highlight w:val="none"/>
        </w:rPr>
      </w:pPr>
      <w:bookmarkStart w:id="90" w:name="_Toc15849"/>
      <w:bookmarkStart w:id="91" w:name="_Toc31728"/>
      <w:bookmarkStart w:id="92" w:name="_Toc500209419"/>
      <w:bookmarkStart w:id="93" w:name="_Toc500208488"/>
      <w:bookmarkStart w:id="94" w:name="_Toc500209420"/>
      <w:bookmarkStart w:id="95" w:name="_Toc500208495"/>
      <w:r>
        <w:rPr>
          <w:rFonts w:hint="eastAsia" w:ascii="Arial" w:hAnsi="Arial" w:eastAsia="黑体" w:cs="Arial"/>
          <w:b/>
          <w:color w:val="auto"/>
          <w:szCs w:val="24"/>
          <w:highlight w:val="none"/>
        </w:rPr>
        <w:t>第六节  评   标</w:t>
      </w:r>
      <w:bookmarkEnd w:id="90"/>
      <w:bookmarkEnd w:id="91"/>
      <w:bookmarkEnd w:id="92"/>
      <w:bookmarkEnd w:id="93"/>
    </w:p>
    <w:p w14:paraId="09D978B9">
      <w:pPr>
        <w:keepNext/>
        <w:keepLines/>
        <w:numPr>
          <w:ilvl w:val="0"/>
          <w:numId w:val="3"/>
        </w:numPr>
        <w:spacing w:before="360" w:line="288" w:lineRule="auto"/>
        <w:jc w:val="left"/>
        <w:outlineLvl w:val="2"/>
        <w:rPr>
          <w:rFonts w:ascii="黑体" w:hAnsi="宋体" w:eastAsia="黑体"/>
          <w:b/>
          <w:color w:val="auto"/>
          <w:sz w:val="21"/>
          <w:highlight w:val="none"/>
        </w:rPr>
      </w:pPr>
      <w:bookmarkStart w:id="96" w:name="_Toc500208489"/>
      <w:bookmarkStart w:id="97" w:name="_Toc169487806"/>
      <w:bookmarkStart w:id="98" w:name="_Toc155342559"/>
      <w:r>
        <w:rPr>
          <w:rFonts w:hint="eastAsia" w:ascii="黑体" w:hAnsi="宋体" w:eastAsia="黑体"/>
          <w:b/>
          <w:color w:val="auto"/>
          <w:sz w:val="21"/>
          <w:highlight w:val="none"/>
        </w:rPr>
        <w:t>评标会议</w:t>
      </w:r>
      <w:bookmarkEnd w:id="96"/>
      <w:bookmarkEnd w:id="97"/>
      <w:bookmarkEnd w:id="98"/>
    </w:p>
    <w:p w14:paraId="64453CA0">
      <w:pPr>
        <w:pStyle w:val="10"/>
        <w:numPr>
          <w:ilvl w:val="1"/>
          <w:numId w:val="3"/>
        </w:numPr>
        <w:ind w:firstLine="420" w:firstLineChars="200"/>
        <w:rPr>
          <w:color w:val="auto"/>
          <w:highlight w:val="none"/>
        </w:rPr>
      </w:pPr>
      <w:r>
        <w:rPr>
          <w:color w:val="auto"/>
          <w:highlight w:val="none"/>
        </w:rPr>
        <w:t>评标委员会由招标人依法组建，负责评标活动。</w:t>
      </w:r>
    </w:p>
    <w:p w14:paraId="42E0B90E">
      <w:pPr>
        <w:pStyle w:val="10"/>
        <w:numPr>
          <w:ilvl w:val="1"/>
          <w:numId w:val="3"/>
        </w:numPr>
        <w:ind w:firstLine="420" w:firstLineChars="200"/>
        <w:rPr>
          <w:color w:val="auto"/>
          <w:highlight w:val="none"/>
        </w:rPr>
      </w:pPr>
      <w:r>
        <w:rPr>
          <w:color w:val="auto"/>
          <w:highlight w:val="none"/>
        </w:rPr>
        <w:t>开标结束后，开始评标，评标采用保密方式进行。</w:t>
      </w:r>
    </w:p>
    <w:p w14:paraId="39657EEB">
      <w:pPr>
        <w:pStyle w:val="10"/>
        <w:numPr>
          <w:ilvl w:val="1"/>
          <w:numId w:val="3"/>
        </w:numPr>
        <w:ind w:firstLine="420" w:firstLineChars="200"/>
        <w:rPr>
          <w:color w:val="auto"/>
          <w:highlight w:val="none"/>
        </w:rPr>
      </w:pPr>
      <w:r>
        <w:rPr>
          <w:rFonts w:hint="eastAsia"/>
          <w:color w:val="auto"/>
          <w:highlight w:val="none"/>
        </w:rPr>
        <w:t>评标委员会在评标前须签订《临海市建设工程公正评标承诺书》。</w:t>
      </w:r>
    </w:p>
    <w:p w14:paraId="239FB9D4">
      <w:pPr>
        <w:keepNext/>
        <w:keepLines/>
        <w:numPr>
          <w:ilvl w:val="0"/>
          <w:numId w:val="3"/>
        </w:numPr>
        <w:spacing w:before="360" w:line="288" w:lineRule="auto"/>
        <w:jc w:val="left"/>
        <w:outlineLvl w:val="2"/>
        <w:rPr>
          <w:rFonts w:ascii="黑体" w:hAnsi="宋体" w:eastAsia="黑体"/>
          <w:b/>
          <w:color w:val="auto"/>
          <w:sz w:val="21"/>
          <w:highlight w:val="none"/>
        </w:rPr>
      </w:pPr>
      <w:bookmarkStart w:id="99" w:name="_Toc155342560"/>
      <w:bookmarkStart w:id="100" w:name="_Toc169487807"/>
      <w:r>
        <w:rPr>
          <w:rFonts w:hint="eastAsia" w:ascii="黑体" w:hAnsi="宋体" w:eastAsia="黑体"/>
          <w:b/>
          <w:color w:val="auto"/>
          <w:sz w:val="21"/>
          <w:highlight w:val="none"/>
        </w:rPr>
        <w:t>评标过程的保密</w:t>
      </w:r>
      <w:bookmarkEnd w:id="99"/>
      <w:bookmarkEnd w:id="100"/>
    </w:p>
    <w:p w14:paraId="078014EB">
      <w:pPr>
        <w:pStyle w:val="10"/>
        <w:numPr>
          <w:ilvl w:val="1"/>
          <w:numId w:val="3"/>
        </w:numPr>
        <w:ind w:firstLine="420" w:firstLineChars="200"/>
        <w:rPr>
          <w:color w:val="auto"/>
          <w:highlight w:val="none"/>
        </w:rPr>
      </w:pPr>
      <w:r>
        <w:rPr>
          <w:color w:val="auto"/>
          <w:highlight w:val="none"/>
        </w:rPr>
        <w:t>开标后，直至授予中标人合同为止，凡属于对投标文件的审查、澄清、评价和比较的有关资料以及中标候选人的推荐情况，与评标有关的其他任何情况均严格保密。</w:t>
      </w:r>
    </w:p>
    <w:p w14:paraId="7A38892B">
      <w:pPr>
        <w:pStyle w:val="10"/>
        <w:numPr>
          <w:ilvl w:val="1"/>
          <w:numId w:val="3"/>
        </w:numPr>
        <w:ind w:firstLine="420" w:firstLineChars="200"/>
        <w:rPr>
          <w:color w:val="auto"/>
          <w:highlight w:val="none"/>
        </w:rPr>
      </w:pPr>
      <w:r>
        <w:rPr>
          <w:color w:val="auto"/>
          <w:highlight w:val="none"/>
        </w:rPr>
        <w:t>在投标文件的评审和比较、中标候选人推荐以及授予合同的过程中，投标人向招标人和评标委员会施加影响的任何行为，都将会导致其投标被拒绝。</w:t>
      </w:r>
    </w:p>
    <w:p w14:paraId="7F40495F">
      <w:pPr>
        <w:pStyle w:val="10"/>
        <w:numPr>
          <w:ilvl w:val="1"/>
          <w:numId w:val="3"/>
        </w:numPr>
        <w:ind w:firstLine="420" w:firstLineChars="200"/>
        <w:rPr>
          <w:color w:val="auto"/>
          <w:highlight w:val="none"/>
        </w:rPr>
      </w:pPr>
      <w:r>
        <w:rPr>
          <w:color w:val="auto"/>
          <w:highlight w:val="none"/>
        </w:rPr>
        <w:t>中标人确定后，招标人不对未中标人就评标过程以及未能中标原因作出任何解释。未中标人不得向评标委员会组成人员或其他有关人员索问评标过程的情况和材料。</w:t>
      </w:r>
    </w:p>
    <w:p w14:paraId="1AF98175">
      <w:pPr>
        <w:keepNext/>
        <w:keepLines/>
        <w:numPr>
          <w:ilvl w:val="0"/>
          <w:numId w:val="3"/>
        </w:numPr>
        <w:spacing w:before="360" w:line="288" w:lineRule="auto"/>
        <w:jc w:val="left"/>
        <w:outlineLvl w:val="2"/>
        <w:rPr>
          <w:rFonts w:ascii="黑体" w:hAnsi="宋体" w:eastAsia="黑体"/>
          <w:b/>
          <w:color w:val="auto"/>
          <w:sz w:val="21"/>
          <w:highlight w:val="none"/>
        </w:rPr>
      </w:pPr>
      <w:bookmarkStart w:id="101" w:name="_Toc155342561"/>
      <w:bookmarkStart w:id="102" w:name="_Toc169487808"/>
      <w:r>
        <w:rPr>
          <w:rFonts w:hint="eastAsia" w:ascii="黑体" w:hAnsi="宋体" w:eastAsia="黑体"/>
          <w:b/>
          <w:color w:val="auto"/>
          <w:sz w:val="21"/>
          <w:highlight w:val="none"/>
        </w:rPr>
        <w:t>投标文件符合性鉴定</w:t>
      </w:r>
      <w:bookmarkEnd w:id="101"/>
      <w:bookmarkEnd w:id="102"/>
    </w:p>
    <w:p w14:paraId="6F16FF62">
      <w:pPr>
        <w:pStyle w:val="10"/>
        <w:numPr>
          <w:ilvl w:val="1"/>
          <w:numId w:val="3"/>
        </w:numPr>
        <w:ind w:left="149" w:firstLine="420" w:firstLineChars="200"/>
        <w:rPr>
          <w:color w:val="auto"/>
          <w:highlight w:val="none"/>
        </w:rPr>
      </w:pPr>
      <w:r>
        <w:rPr>
          <w:rFonts w:hint="eastAsia"/>
          <w:color w:val="auto"/>
          <w:highlight w:val="none"/>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6D3DADB6">
      <w:pPr>
        <w:pStyle w:val="10"/>
        <w:numPr>
          <w:ilvl w:val="1"/>
          <w:numId w:val="3"/>
        </w:numPr>
        <w:ind w:left="149" w:firstLine="420" w:firstLineChars="200"/>
        <w:rPr>
          <w:color w:val="auto"/>
          <w:highlight w:val="none"/>
        </w:rPr>
      </w:pPr>
      <w:r>
        <w:rPr>
          <w:rFonts w:hint="eastAsia"/>
          <w:color w:val="auto"/>
          <w:highlight w:val="none"/>
        </w:rPr>
        <w:t>如果投标文件实质上不响应招标文件各项要求，评标委员会将予以拒绝，并且不允许投标人通过修改或撤销其不符合要求的差异或保留，使之成为具有响应性的投标</w:t>
      </w:r>
      <w:r>
        <w:rPr>
          <w:color w:val="auto"/>
          <w:highlight w:val="none"/>
        </w:rPr>
        <w:t>。</w:t>
      </w:r>
    </w:p>
    <w:p w14:paraId="0D1C9762">
      <w:pPr>
        <w:keepNext/>
        <w:keepLines/>
        <w:numPr>
          <w:ilvl w:val="0"/>
          <w:numId w:val="3"/>
        </w:numPr>
        <w:spacing w:before="360" w:line="288" w:lineRule="auto"/>
        <w:jc w:val="left"/>
        <w:outlineLvl w:val="2"/>
        <w:rPr>
          <w:rFonts w:ascii="黑体" w:hAnsi="宋体" w:eastAsia="黑体"/>
          <w:b/>
          <w:color w:val="auto"/>
          <w:sz w:val="21"/>
          <w:highlight w:val="none"/>
        </w:rPr>
      </w:pPr>
      <w:bookmarkStart w:id="103" w:name="_Toc169487809"/>
      <w:bookmarkStart w:id="104" w:name="_Toc155342562"/>
      <w:r>
        <w:rPr>
          <w:rFonts w:hint="eastAsia" w:ascii="黑体" w:hAnsi="宋体" w:eastAsia="黑体"/>
          <w:b/>
          <w:color w:val="auto"/>
          <w:sz w:val="21"/>
          <w:highlight w:val="none"/>
        </w:rPr>
        <w:t>投标文件的澄清</w:t>
      </w:r>
      <w:bookmarkEnd w:id="103"/>
      <w:bookmarkEnd w:id="104"/>
    </w:p>
    <w:p w14:paraId="095674A8">
      <w:pPr>
        <w:pStyle w:val="10"/>
        <w:numPr>
          <w:ilvl w:val="1"/>
          <w:numId w:val="3"/>
        </w:numPr>
        <w:ind w:firstLine="420" w:firstLineChars="200"/>
        <w:rPr>
          <w:color w:val="auto"/>
          <w:highlight w:val="none"/>
        </w:rPr>
      </w:pPr>
      <w:r>
        <w:rPr>
          <w:rFonts w:hint="eastAsia"/>
          <w:color w:val="auto"/>
          <w:highlight w:val="none"/>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11220CE3">
      <w:pPr>
        <w:pStyle w:val="10"/>
        <w:numPr>
          <w:ilvl w:val="1"/>
          <w:numId w:val="3"/>
        </w:numPr>
        <w:ind w:firstLine="420" w:firstLineChars="200"/>
        <w:rPr>
          <w:color w:val="auto"/>
          <w:highlight w:val="none"/>
        </w:rPr>
      </w:pPr>
      <w:r>
        <w:rPr>
          <w:rFonts w:hint="eastAsia"/>
          <w:color w:val="auto"/>
          <w:highlight w:val="none"/>
        </w:rPr>
        <w:t>评审过程中，评标委员会可能以书面形式通知投标人要求投标人就投标文件中的内容进行</w:t>
      </w:r>
      <w:r>
        <w:rPr>
          <w:rFonts w:hint="eastAsia"/>
          <w:color w:val="auto"/>
          <w:szCs w:val="21"/>
          <w:highlight w:val="none"/>
        </w:rPr>
        <w:t>澄清或说明</w:t>
      </w:r>
      <w:r>
        <w:rPr>
          <w:rFonts w:hint="eastAsia"/>
          <w:color w:val="auto"/>
          <w:highlight w:val="none"/>
        </w:rPr>
        <w:t>。投标人应在接到询标通知后30分钟内作出答复，若在规定时间内未作出答复的，</w:t>
      </w:r>
      <w:r>
        <w:rPr>
          <w:rFonts w:hint="eastAsia"/>
          <w:color w:val="auto"/>
          <w:szCs w:val="21"/>
          <w:highlight w:val="none"/>
        </w:rPr>
        <w:t>可视作拒绝或放弃澄清或说明。</w:t>
      </w:r>
    </w:p>
    <w:p w14:paraId="5F6FFA3B">
      <w:pPr>
        <w:keepNext/>
        <w:keepLines/>
        <w:numPr>
          <w:ilvl w:val="0"/>
          <w:numId w:val="3"/>
        </w:numPr>
        <w:spacing w:before="360" w:line="288" w:lineRule="auto"/>
        <w:jc w:val="left"/>
        <w:outlineLvl w:val="2"/>
        <w:rPr>
          <w:rFonts w:ascii="黑体" w:hAnsi="宋体" w:eastAsia="黑体"/>
          <w:b/>
          <w:color w:val="auto"/>
          <w:sz w:val="21"/>
          <w:highlight w:val="none"/>
        </w:rPr>
      </w:pPr>
      <w:bookmarkStart w:id="105" w:name="_Toc155342563"/>
      <w:bookmarkStart w:id="106" w:name="_Toc169487810"/>
      <w:r>
        <w:rPr>
          <w:rFonts w:hint="eastAsia" w:ascii="黑体" w:hAnsi="宋体" w:eastAsia="黑体"/>
          <w:b/>
          <w:color w:val="auto"/>
          <w:sz w:val="21"/>
          <w:highlight w:val="none"/>
        </w:rPr>
        <w:t>投标文件的评审</w:t>
      </w:r>
      <w:bookmarkEnd w:id="105"/>
      <w:bookmarkEnd w:id="106"/>
    </w:p>
    <w:p w14:paraId="6A080C02">
      <w:pPr>
        <w:pStyle w:val="10"/>
        <w:adjustRightInd w:val="0"/>
        <w:snapToGrid w:val="0"/>
        <w:ind w:firstLine="422" w:firstLineChars="200"/>
        <w:rPr>
          <w:rFonts w:ascii="黑体" w:eastAsia="黑体"/>
          <w:b/>
          <w:color w:val="auto"/>
          <w:highlight w:val="none"/>
        </w:rPr>
      </w:pPr>
      <w:r>
        <w:rPr>
          <w:rFonts w:hint="eastAsia" w:ascii="黑体" w:eastAsia="黑体"/>
          <w:b/>
          <w:bCs/>
          <w:color w:val="auto"/>
          <w:highlight w:val="none"/>
        </w:rPr>
        <w:t>28.1</w:t>
      </w:r>
      <w:r>
        <w:rPr>
          <w:rFonts w:hint="eastAsia" w:ascii="黑体" w:eastAsia="黑体"/>
          <w:b/>
          <w:color w:val="auto"/>
          <w:highlight w:val="none"/>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28D218FA">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（1）投标文件内容存在错漏之处一致或异常雷同现象；</w:t>
      </w:r>
    </w:p>
    <w:p w14:paraId="0022B8D4">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（2）投标文件中载明的项目管理班子系有同一人担任；</w:t>
      </w:r>
    </w:p>
    <w:p w14:paraId="00FAD388">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（3）投标文件由同一台电脑编制或同一附属设备打印；</w:t>
      </w:r>
    </w:p>
    <w:p w14:paraId="599F376B">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（4）涉嫌故意拉高或压低投标报价；</w:t>
      </w:r>
    </w:p>
    <w:p w14:paraId="21B52BE8">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（5）不同投标人的投标文件由同一单位（或个人）编制或提供投标咨询服务；</w:t>
      </w:r>
    </w:p>
    <w:p w14:paraId="1777007E">
      <w:pPr>
        <w:spacing w:line="288" w:lineRule="auto"/>
        <w:ind w:firstLine="420"/>
        <w:rPr>
          <w:rFonts w:ascii="黑体" w:eastAsia="黑体"/>
          <w:b/>
          <w:color w:val="auto"/>
          <w:sz w:val="21"/>
          <w:highlight w:val="none"/>
        </w:rPr>
      </w:pPr>
      <w:r>
        <w:rPr>
          <w:rFonts w:hint="eastAsia" w:ascii="黑体" w:hAnsi="宋体" w:eastAsia="黑体"/>
          <w:b/>
          <w:color w:val="auto"/>
          <w:sz w:val="21"/>
          <w:highlight w:val="none"/>
        </w:rPr>
        <w:t>28.2投标文件有下列情形之一的，由评标委员会初审后按无效标处理：</w:t>
      </w:r>
    </w:p>
    <w:p w14:paraId="7F50B627">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（1）投标人递交两份或多份内容不同的投标文件，或在一份投标文件中对同一招标项目报有两个或多个报价，且未声明哪一个有效，按招标文件规定提交备选投标方案的除外；</w:t>
      </w:r>
    </w:p>
    <w:p w14:paraId="0653CF5C">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（2）投标文件未按招标文件签署条款要求签章的；</w:t>
      </w:r>
    </w:p>
    <w:p w14:paraId="54984FF5">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（3）投标文件份数不符合</w:t>
      </w:r>
      <w:r>
        <w:rPr>
          <w:rFonts w:ascii="宋体" w:hAnsi="宋体" w:eastAsia="宋体"/>
          <w:color w:val="auto"/>
          <w:sz w:val="21"/>
          <w:highlight w:val="none"/>
        </w:rPr>
        <w:t>招标文件</w:t>
      </w:r>
      <w:r>
        <w:rPr>
          <w:rFonts w:hint="eastAsia" w:ascii="宋体" w:hAnsi="宋体" w:eastAsia="宋体"/>
          <w:color w:val="auto"/>
          <w:sz w:val="21"/>
          <w:highlight w:val="none"/>
        </w:rPr>
        <w:t>前附表</w:t>
      </w:r>
      <w:r>
        <w:rPr>
          <w:rFonts w:ascii="宋体" w:hAnsi="宋体" w:eastAsia="宋体"/>
          <w:color w:val="auto"/>
          <w:sz w:val="21"/>
          <w:highlight w:val="none"/>
        </w:rPr>
        <w:t>要求的</w:t>
      </w:r>
      <w:r>
        <w:rPr>
          <w:rFonts w:hint="eastAsia" w:ascii="宋体" w:hAnsi="宋体" w:eastAsia="宋体"/>
          <w:color w:val="auto"/>
          <w:sz w:val="21"/>
          <w:highlight w:val="none"/>
        </w:rPr>
        <w:t>；</w:t>
      </w:r>
    </w:p>
    <w:p w14:paraId="1A199E9E">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（4）投标文件组成不符合招标文件要求的；</w:t>
      </w:r>
    </w:p>
    <w:p w14:paraId="5B394076">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（5）投标资格不符合招标文件要求的；</w:t>
      </w:r>
    </w:p>
    <w:p w14:paraId="2474A59F">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（6）联合体投标未附联合体各方共同投标协议的；</w:t>
      </w:r>
    </w:p>
    <w:p w14:paraId="4AD2D280">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（7）法律法规规定无效标的。</w:t>
      </w:r>
    </w:p>
    <w:p w14:paraId="7CE146CE">
      <w:pPr>
        <w:spacing w:line="288" w:lineRule="auto"/>
        <w:ind w:left="-6" w:leftChars="-2" w:firstLine="422" w:firstLineChars="200"/>
        <w:rPr>
          <w:rFonts w:ascii="黑体" w:hAnsi="宋体" w:eastAsia="黑体"/>
          <w:b/>
          <w:color w:val="auto"/>
          <w:sz w:val="21"/>
          <w:highlight w:val="none"/>
        </w:rPr>
      </w:pPr>
      <w:r>
        <w:rPr>
          <w:rFonts w:hint="eastAsia" w:ascii="黑体" w:hAnsi="宋体" w:eastAsia="黑体"/>
          <w:b/>
          <w:bCs/>
          <w:color w:val="auto"/>
          <w:sz w:val="21"/>
          <w:highlight w:val="none"/>
        </w:rPr>
        <w:t>28.3</w:t>
      </w:r>
      <w:r>
        <w:rPr>
          <w:rFonts w:hint="eastAsia" w:ascii="黑体" w:hAnsi="宋体" w:eastAsia="黑体"/>
          <w:b/>
          <w:color w:val="auto"/>
          <w:sz w:val="21"/>
          <w:highlight w:val="none"/>
        </w:rPr>
        <w:t>投标文件有下列情形之一的，由评标委员会进行实质性评审后按无效标处理：</w:t>
      </w:r>
    </w:p>
    <w:p w14:paraId="467EEB78">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（1）投标承诺的总报价、工期、质量、投标资格等不符合招标文件前附表要求的；</w:t>
      </w:r>
    </w:p>
    <w:p w14:paraId="292910ED">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（2）招标文件报价要求中规定作无效标的；</w:t>
      </w:r>
    </w:p>
    <w:p w14:paraId="63BB3844">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（3）违反招标文件其他实质性条款规定的。</w:t>
      </w:r>
    </w:p>
    <w:p w14:paraId="18A3E99D">
      <w:pPr>
        <w:spacing w:line="288" w:lineRule="auto"/>
        <w:ind w:left="-6" w:leftChars="-2" w:firstLine="422" w:firstLineChars="200"/>
        <w:rPr>
          <w:rFonts w:ascii="黑体" w:hAnsi="宋体" w:eastAsia="黑体"/>
          <w:b/>
          <w:color w:val="auto"/>
          <w:sz w:val="21"/>
          <w:szCs w:val="21"/>
          <w:highlight w:val="none"/>
        </w:rPr>
      </w:pPr>
      <w:r>
        <w:rPr>
          <w:rFonts w:hint="eastAsia" w:ascii="黑体" w:hAnsi="宋体" w:eastAsia="黑体"/>
          <w:b/>
          <w:bCs/>
          <w:color w:val="auto"/>
          <w:sz w:val="21"/>
          <w:highlight w:val="none"/>
        </w:rPr>
        <w:t>28.4</w:t>
      </w:r>
      <w:r>
        <w:rPr>
          <w:rFonts w:hint="eastAsia" w:ascii="黑体" w:hAnsi="宋体" w:eastAsia="黑体"/>
          <w:b/>
          <w:color w:val="auto"/>
          <w:sz w:val="21"/>
          <w:highlight w:val="none"/>
        </w:rPr>
        <w:t>投标文件有下列情形之一的，</w:t>
      </w:r>
      <w:r>
        <w:rPr>
          <w:rFonts w:hint="eastAsia" w:ascii="黑体" w:hAnsi="宋体" w:eastAsia="黑体"/>
          <w:b/>
          <w:color w:val="auto"/>
          <w:sz w:val="21"/>
          <w:szCs w:val="21"/>
          <w:highlight w:val="none"/>
        </w:rPr>
        <w:t>经评标委员会详细评审后认定该投标文件对招标文件要求存在重大偏离的，则该投标文件按无效标处理：</w:t>
      </w:r>
    </w:p>
    <w:p w14:paraId="2ABCE9D6">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（1）经商务标修正后，属招标文件报价要求或商务标的修正中规定作无效标处理的；</w:t>
      </w:r>
    </w:p>
    <w:p w14:paraId="5115EE30">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（2）招标文件中其他内容明确规定作无效标的。</w:t>
      </w:r>
    </w:p>
    <w:p w14:paraId="7B62A346">
      <w:pPr>
        <w:pStyle w:val="10"/>
        <w:ind w:firstLine="420" w:firstLineChars="200"/>
        <w:rPr>
          <w:color w:val="auto"/>
          <w:highlight w:val="none"/>
        </w:rPr>
      </w:pPr>
      <w:r>
        <w:rPr>
          <w:rFonts w:hint="eastAsia" w:ascii="黑体" w:eastAsia="黑体"/>
          <w:bCs/>
          <w:color w:val="auto"/>
          <w:highlight w:val="none"/>
        </w:rPr>
        <w:t>28.5</w:t>
      </w:r>
      <w:r>
        <w:rPr>
          <w:rFonts w:hint="eastAsia"/>
          <w:color w:val="auto"/>
          <w:highlight w:val="none"/>
        </w:rPr>
        <w:t>如有效标不足三家使得投标明显缺乏竞争的，评标委员会可以否决全部投标。所有投标被否决的，则本次招标失败，重新组织招标。</w:t>
      </w:r>
    </w:p>
    <w:p w14:paraId="44891F25">
      <w:pPr>
        <w:keepNext/>
        <w:keepLines/>
        <w:numPr>
          <w:ilvl w:val="0"/>
          <w:numId w:val="3"/>
        </w:numPr>
        <w:spacing w:before="360" w:line="288" w:lineRule="auto"/>
        <w:jc w:val="left"/>
        <w:outlineLvl w:val="2"/>
        <w:rPr>
          <w:rFonts w:ascii="黑体" w:hAnsi="宋体" w:eastAsia="黑体"/>
          <w:b/>
          <w:color w:val="auto"/>
          <w:sz w:val="21"/>
          <w:highlight w:val="none"/>
        </w:rPr>
      </w:pPr>
      <w:bookmarkStart w:id="107" w:name="_Toc155342564"/>
      <w:bookmarkStart w:id="108" w:name="_Toc169487811"/>
      <w:r>
        <w:rPr>
          <w:rFonts w:hint="eastAsia" w:ascii="黑体" w:hAnsi="宋体" w:eastAsia="黑体"/>
          <w:b/>
          <w:color w:val="auto"/>
          <w:sz w:val="21"/>
          <w:highlight w:val="none"/>
        </w:rPr>
        <w:t>商务标的修正</w:t>
      </w:r>
      <w:bookmarkEnd w:id="107"/>
      <w:bookmarkEnd w:id="108"/>
    </w:p>
    <w:p w14:paraId="0F634411">
      <w:pPr>
        <w:pStyle w:val="10"/>
        <w:ind w:left="106" w:leftChars="33" w:firstLine="420" w:firstLineChars="200"/>
        <w:rPr>
          <w:color w:val="auto"/>
          <w:highlight w:val="none"/>
        </w:rPr>
      </w:pPr>
      <w:r>
        <w:rPr>
          <w:rFonts w:hint="eastAsia"/>
          <w:color w:val="auto"/>
          <w:highlight w:val="none"/>
        </w:rPr>
        <w:t>评标委员会对确定为实质上响应招标文件要求的投标文件进行复核, 看其是否有表达上的错误。修正错误的顺序和原则如下：</w:t>
      </w:r>
    </w:p>
    <w:p w14:paraId="5573764A">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szCs w:val="21"/>
          <w:highlight w:val="none"/>
        </w:rPr>
        <w:t>（1）《投标函》中的文字表示的量和以数字表示的量不一致时，以文字表示的量为准。</w:t>
      </w:r>
    </w:p>
    <w:p w14:paraId="4B3E94C0">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szCs w:val="21"/>
          <w:highlight w:val="none"/>
        </w:rPr>
        <w:t>按上述修正错误的原则，调整或修正投标文件的投标报价，经投标人确认后，调整后的投标组价对投标人起约束作用</w:t>
      </w:r>
      <w:r>
        <w:rPr>
          <w:rFonts w:ascii="宋体" w:hAnsi="宋体" w:eastAsia="宋体"/>
          <w:color w:val="auto"/>
          <w:sz w:val="21"/>
          <w:szCs w:val="21"/>
          <w:highlight w:val="none"/>
        </w:rPr>
        <w:t>。</w:t>
      </w:r>
      <w:r>
        <w:rPr>
          <w:rFonts w:hint="eastAsia" w:ascii="宋体" w:hAnsi="宋体" w:eastAsia="宋体"/>
          <w:color w:val="auto"/>
          <w:sz w:val="21"/>
          <w:szCs w:val="21"/>
          <w:highlight w:val="none"/>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47390063">
      <w:pPr>
        <w:keepNext/>
        <w:keepLines/>
        <w:numPr>
          <w:ilvl w:val="0"/>
          <w:numId w:val="3"/>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报价范围</w:t>
      </w:r>
    </w:p>
    <w:p w14:paraId="02B9D5A1">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highlight w:val="none"/>
        </w:rPr>
        <w:t>30.1经商务标修正后，需对投标人的投标总报价进行报价范围界定。如有投标人的投标总报价超出报价范围的，其投标文件作无效标处理。</w:t>
      </w:r>
    </w:p>
    <w:p w14:paraId="3A88F36E">
      <w:pPr>
        <w:keepNext/>
        <w:keepLines/>
        <w:numPr>
          <w:ilvl w:val="0"/>
          <w:numId w:val="3"/>
        </w:numPr>
        <w:spacing w:before="360" w:line="288" w:lineRule="auto"/>
        <w:jc w:val="left"/>
        <w:outlineLvl w:val="2"/>
        <w:rPr>
          <w:rFonts w:ascii="黑体" w:hAnsi="宋体" w:eastAsia="黑体"/>
          <w:b/>
          <w:color w:val="auto"/>
          <w:sz w:val="21"/>
          <w:highlight w:val="none"/>
        </w:rPr>
      </w:pPr>
      <w:bookmarkStart w:id="109" w:name="_Toc169487812"/>
      <w:bookmarkStart w:id="110" w:name="_Toc155342565"/>
      <w:r>
        <w:rPr>
          <w:rFonts w:hint="eastAsia" w:ascii="黑体" w:hAnsi="宋体" w:eastAsia="黑体"/>
          <w:b/>
          <w:color w:val="auto"/>
          <w:sz w:val="21"/>
          <w:highlight w:val="none"/>
        </w:rPr>
        <w:t>评标办法</w:t>
      </w:r>
      <w:bookmarkEnd w:id="109"/>
      <w:bookmarkEnd w:id="110"/>
    </w:p>
    <w:p w14:paraId="1EDBB3F8">
      <w:pPr>
        <w:ind w:firstLine="420"/>
        <w:rPr>
          <w:rFonts w:ascii="宋体" w:hAnsi="宋体" w:eastAsia="宋体"/>
          <w:bCs/>
          <w:color w:val="auto"/>
          <w:sz w:val="21"/>
          <w:highlight w:val="none"/>
        </w:rPr>
      </w:pPr>
      <w:r>
        <w:rPr>
          <w:rFonts w:hint="eastAsia" w:ascii="宋体" w:hAnsi="宋体" w:eastAsia="宋体"/>
          <w:bCs/>
          <w:color w:val="auto"/>
          <w:sz w:val="21"/>
          <w:highlight w:val="none"/>
        </w:rPr>
        <w:t>31.1本工程项目采用的评标办法见本须知前附表第26项，具体内容详见本招标文件第二章。</w:t>
      </w:r>
    </w:p>
    <w:p w14:paraId="0A5A1114">
      <w:pPr>
        <w:spacing w:before="360" w:afterLines="50" w:line="320" w:lineRule="exact"/>
        <w:ind w:left="2159" w:hanging="1320"/>
        <w:jc w:val="center"/>
        <w:outlineLvl w:val="1"/>
        <w:rPr>
          <w:rFonts w:ascii="Arial" w:hAnsi="Arial" w:eastAsia="黑体" w:cs="Arial"/>
          <w:b/>
          <w:color w:val="auto"/>
          <w:szCs w:val="24"/>
          <w:highlight w:val="none"/>
        </w:rPr>
      </w:pPr>
      <w:bookmarkStart w:id="111" w:name="_Toc15646"/>
      <w:bookmarkStart w:id="112" w:name="_Toc1799"/>
      <w:r>
        <w:rPr>
          <w:rFonts w:hint="eastAsia" w:ascii="Arial" w:hAnsi="Arial" w:eastAsia="黑体" w:cs="Arial"/>
          <w:b/>
          <w:color w:val="auto"/>
          <w:szCs w:val="24"/>
          <w:highlight w:val="none"/>
        </w:rPr>
        <w:t>第七节  授予合同</w:t>
      </w:r>
      <w:bookmarkEnd w:id="94"/>
      <w:bookmarkEnd w:id="95"/>
      <w:bookmarkEnd w:id="111"/>
      <w:bookmarkEnd w:id="112"/>
    </w:p>
    <w:p w14:paraId="03FE95C5">
      <w:pPr>
        <w:keepNext/>
        <w:keepLines/>
        <w:numPr>
          <w:ilvl w:val="0"/>
          <w:numId w:val="3"/>
        </w:numPr>
        <w:spacing w:before="360" w:line="288" w:lineRule="auto"/>
        <w:jc w:val="left"/>
        <w:outlineLvl w:val="2"/>
        <w:rPr>
          <w:rFonts w:ascii="黑体" w:hAnsi="宋体" w:eastAsia="黑体"/>
          <w:b/>
          <w:color w:val="auto"/>
          <w:sz w:val="21"/>
          <w:highlight w:val="none"/>
        </w:rPr>
      </w:pPr>
      <w:bookmarkStart w:id="113" w:name="_Toc155342567"/>
      <w:bookmarkStart w:id="114" w:name="_Toc169487814"/>
      <w:bookmarkStart w:id="115" w:name="_Toc500208496"/>
      <w:r>
        <w:rPr>
          <w:rFonts w:hint="eastAsia" w:ascii="黑体" w:hAnsi="宋体" w:eastAsia="黑体"/>
          <w:b/>
          <w:color w:val="auto"/>
          <w:sz w:val="21"/>
          <w:highlight w:val="none"/>
        </w:rPr>
        <w:t>中标候选人公示</w:t>
      </w:r>
      <w:bookmarkEnd w:id="113"/>
      <w:bookmarkEnd w:id="114"/>
    </w:p>
    <w:p w14:paraId="76E235C4">
      <w:pPr>
        <w:pStyle w:val="10"/>
        <w:numPr>
          <w:ilvl w:val="1"/>
          <w:numId w:val="3"/>
        </w:numPr>
        <w:ind w:firstLine="420" w:firstLineChars="200"/>
        <w:rPr>
          <w:color w:val="auto"/>
          <w:highlight w:val="none"/>
        </w:rPr>
      </w:pPr>
      <w:bookmarkStart w:id="116" w:name="_Toc155342568"/>
      <w:bookmarkStart w:id="117" w:name="_Toc169487815"/>
      <w:r>
        <w:rPr>
          <w:rFonts w:hint="eastAsia"/>
          <w:color w:val="auto"/>
          <w:highlight w:val="none"/>
        </w:rPr>
        <w:t>招标人应当将评标委员会推荐的中标候选人在交易场所（发布招标公告的媒体上）进行公示，公示期不得少于1个工作日。</w:t>
      </w:r>
    </w:p>
    <w:p w14:paraId="09F6C0D4">
      <w:pPr>
        <w:pStyle w:val="10"/>
        <w:numPr>
          <w:ilvl w:val="1"/>
          <w:numId w:val="3"/>
        </w:numPr>
        <w:ind w:firstLine="420" w:firstLineChars="200"/>
        <w:rPr>
          <w:color w:val="auto"/>
          <w:highlight w:val="none"/>
        </w:rPr>
      </w:pPr>
      <w:r>
        <w:rPr>
          <w:rFonts w:hint="eastAsia"/>
          <w:color w:val="auto"/>
          <w:highlight w:val="none"/>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3F1B0253">
      <w:pPr>
        <w:pStyle w:val="10"/>
        <w:numPr>
          <w:ilvl w:val="1"/>
          <w:numId w:val="3"/>
        </w:numPr>
        <w:ind w:firstLine="420" w:firstLineChars="200"/>
        <w:rPr>
          <w:color w:val="auto"/>
          <w:highlight w:val="none"/>
        </w:rPr>
      </w:pPr>
      <w:r>
        <w:rPr>
          <w:rFonts w:hint="eastAsia"/>
          <w:color w:val="auto"/>
          <w:highlight w:val="none"/>
        </w:rPr>
        <w:t>涉及中标候选人投标资格等情形的，招标人（招标代理机构）可以书面形式要求其进行澄清或说明。中标候选人应自收到书面通知之日起3日内进行澄清或说明。</w:t>
      </w:r>
    </w:p>
    <w:p w14:paraId="54906286">
      <w:pPr>
        <w:pStyle w:val="10"/>
        <w:numPr>
          <w:ilvl w:val="1"/>
          <w:numId w:val="3"/>
        </w:numPr>
        <w:ind w:firstLine="420" w:firstLineChars="200"/>
        <w:rPr>
          <w:color w:val="auto"/>
          <w:highlight w:val="none"/>
        </w:rPr>
      </w:pPr>
      <w:r>
        <w:rPr>
          <w:rFonts w:hint="eastAsia"/>
          <w:color w:val="auto"/>
          <w:highlight w:val="none"/>
        </w:rPr>
        <w:t>中标候选人有以下情形之一的，其资格无效：</w:t>
      </w:r>
    </w:p>
    <w:p w14:paraId="1DA2E388">
      <w:pPr>
        <w:numPr>
          <w:ilvl w:val="0"/>
          <w:numId w:val="4"/>
        </w:num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投标资格不符合本章第4项规定的；</w:t>
      </w:r>
    </w:p>
    <w:p w14:paraId="1DF3AFA4">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（2）投标人提供虚假材料骗取投标资格的；</w:t>
      </w:r>
    </w:p>
    <w:p w14:paraId="356F0F80">
      <w:pPr>
        <w:spacing w:line="288" w:lineRule="auto"/>
        <w:ind w:firstLine="420" w:firstLineChars="200"/>
        <w:rPr>
          <w:color w:val="auto"/>
          <w:highlight w:val="none"/>
        </w:rPr>
      </w:pPr>
      <w:r>
        <w:rPr>
          <w:rFonts w:hint="eastAsia" w:ascii="宋体" w:hAnsi="宋体" w:eastAsia="宋体"/>
          <w:color w:val="auto"/>
          <w:sz w:val="21"/>
          <w:highlight w:val="none"/>
        </w:rPr>
        <w:t>（3）按本章第28项规定应作无效标处理的；</w:t>
      </w:r>
    </w:p>
    <w:p w14:paraId="79BE591D">
      <w:pPr>
        <w:spacing w:line="288" w:lineRule="auto"/>
        <w:ind w:firstLine="420" w:firstLineChars="200"/>
        <w:rPr>
          <w:color w:val="auto"/>
          <w:highlight w:val="none"/>
        </w:rPr>
      </w:pPr>
      <w:r>
        <w:rPr>
          <w:rFonts w:hint="eastAsia" w:ascii="宋体" w:hAnsi="宋体" w:eastAsia="宋体"/>
          <w:color w:val="auto"/>
          <w:sz w:val="21"/>
          <w:highlight w:val="none"/>
        </w:rPr>
        <w:t>（4）拒绝按本章第32.3款规定进行说明或不能合理说明理由的；</w:t>
      </w:r>
    </w:p>
    <w:p w14:paraId="52D1846C">
      <w:pPr>
        <w:spacing w:line="288" w:lineRule="auto"/>
        <w:ind w:firstLine="420"/>
        <w:rPr>
          <w:rFonts w:ascii="宋体" w:hAnsi="宋体" w:eastAsia="宋体"/>
          <w:color w:val="auto"/>
          <w:sz w:val="21"/>
          <w:highlight w:val="none"/>
        </w:rPr>
      </w:pPr>
      <w:r>
        <w:rPr>
          <w:rFonts w:hint="eastAsia" w:ascii="宋体" w:hAnsi="宋体" w:eastAsia="宋体"/>
          <w:color w:val="auto"/>
          <w:sz w:val="21"/>
          <w:highlight w:val="none"/>
        </w:rPr>
        <w:t>（5）法律法规规定作无效标处理的其它情形。</w:t>
      </w:r>
    </w:p>
    <w:bookmarkEnd w:id="115"/>
    <w:bookmarkEnd w:id="116"/>
    <w:bookmarkEnd w:id="117"/>
    <w:p w14:paraId="2A8B57C7">
      <w:pPr>
        <w:keepNext/>
        <w:keepLines/>
        <w:numPr>
          <w:ilvl w:val="0"/>
          <w:numId w:val="3"/>
        </w:numPr>
        <w:spacing w:before="360" w:line="288" w:lineRule="auto"/>
        <w:jc w:val="left"/>
        <w:outlineLvl w:val="2"/>
        <w:rPr>
          <w:rFonts w:ascii="黑体" w:hAnsi="宋体" w:eastAsia="黑体"/>
          <w:b/>
          <w:color w:val="auto"/>
          <w:sz w:val="21"/>
          <w:highlight w:val="none"/>
        </w:rPr>
      </w:pPr>
      <w:bookmarkStart w:id="118" w:name="_Toc169487816"/>
      <w:bookmarkStart w:id="119" w:name="_Toc500208498"/>
      <w:r>
        <w:rPr>
          <w:rFonts w:hint="eastAsia" w:ascii="黑体" w:hAnsi="宋体" w:eastAsia="黑体"/>
          <w:b/>
          <w:color w:val="auto"/>
          <w:sz w:val="21"/>
          <w:highlight w:val="none"/>
        </w:rPr>
        <w:t>中标通知书</w:t>
      </w:r>
      <w:bookmarkEnd w:id="118"/>
    </w:p>
    <w:p w14:paraId="199EAB44">
      <w:pPr>
        <w:pStyle w:val="10"/>
        <w:numPr>
          <w:ilvl w:val="1"/>
          <w:numId w:val="3"/>
        </w:numPr>
        <w:ind w:firstLine="420" w:firstLineChars="200"/>
        <w:rPr>
          <w:b/>
          <w:color w:val="auto"/>
          <w:highlight w:val="none"/>
        </w:rPr>
      </w:pPr>
      <w:bookmarkStart w:id="120" w:name="_Toc155342569"/>
      <w:bookmarkStart w:id="121" w:name="_Toc169487817"/>
      <w:r>
        <w:rPr>
          <w:rFonts w:hint="eastAsia"/>
          <w:color w:val="auto"/>
          <w:highlight w:val="none"/>
        </w:rPr>
        <w:t>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color w:val="auto"/>
          <w:szCs w:val="32"/>
          <w:highlight w:val="none"/>
        </w:rPr>
        <w:t>如涉及到其他投标人资格无效，则评标结果不作调整。</w:t>
      </w:r>
    </w:p>
    <w:p w14:paraId="7C199276">
      <w:pPr>
        <w:pStyle w:val="10"/>
        <w:numPr>
          <w:ilvl w:val="1"/>
          <w:numId w:val="3"/>
        </w:numPr>
        <w:ind w:firstLine="420" w:firstLineChars="200"/>
        <w:rPr>
          <w:color w:val="auto"/>
          <w:highlight w:val="none"/>
        </w:rPr>
      </w:pPr>
      <w:r>
        <w:rPr>
          <w:rFonts w:hint="eastAsia"/>
          <w:color w:val="auto"/>
          <w:szCs w:val="32"/>
          <w:highlight w:val="none"/>
        </w:rPr>
        <w:t>中标人确定后，招标人应当向中标人发出《建设工程中标通知书》。</w:t>
      </w:r>
    </w:p>
    <w:p w14:paraId="676B9715">
      <w:pPr>
        <w:pStyle w:val="10"/>
        <w:numPr>
          <w:ilvl w:val="1"/>
          <w:numId w:val="3"/>
        </w:numPr>
        <w:ind w:firstLine="420" w:firstLineChars="200"/>
        <w:rPr>
          <w:color w:val="auto"/>
          <w:szCs w:val="32"/>
          <w:highlight w:val="none"/>
        </w:rPr>
      </w:pPr>
      <w:r>
        <w:rPr>
          <w:rFonts w:hint="eastAsia"/>
          <w:color w:val="auto"/>
          <w:szCs w:val="32"/>
          <w:highlight w:val="none"/>
        </w:rPr>
        <w:t>招标人在发出《建设工程中标通知书》的同时，应当将中标结果发布在交易场所（发布招标公告的媒体上）。</w:t>
      </w:r>
    </w:p>
    <w:p w14:paraId="330DA2ED">
      <w:pPr>
        <w:pStyle w:val="10"/>
        <w:numPr>
          <w:ilvl w:val="1"/>
          <w:numId w:val="3"/>
        </w:numPr>
        <w:ind w:firstLine="420" w:firstLineChars="200"/>
        <w:rPr>
          <w:color w:val="auto"/>
          <w:highlight w:val="none"/>
        </w:rPr>
      </w:pPr>
      <w:r>
        <w:rPr>
          <w:rFonts w:hint="eastAsia"/>
          <w:color w:val="auto"/>
          <w:szCs w:val="32"/>
          <w:highlight w:val="none"/>
        </w:rPr>
        <w:t>《建设工程中标通知书》对招标人和中标人具有法律约束力。《建设工程中标通知书》发出后，如中标人违反法律法规规定而中标无效的，应承担相应的法律责任，本次招标失败，应重新组织招标。</w:t>
      </w:r>
    </w:p>
    <w:p w14:paraId="535A93BD">
      <w:pPr>
        <w:keepNext/>
        <w:keepLines/>
        <w:numPr>
          <w:ilvl w:val="0"/>
          <w:numId w:val="3"/>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合同签订</w:t>
      </w:r>
      <w:bookmarkEnd w:id="120"/>
      <w:bookmarkEnd w:id="121"/>
    </w:p>
    <w:p w14:paraId="3EF58CF6">
      <w:pPr>
        <w:pStyle w:val="10"/>
        <w:numPr>
          <w:ilvl w:val="1"/>
          <w:numId w:val="3"/>
        </w:numPr>
        <w:ind w:firstLine="420" w:firstLineChars="200"/>
        <w:rPr>
          <w:color w:val="auto"/>
          <w:highlight w:val="none"/>
        </w:rPr>
      </w:pPr>
      <w:r>
        <w:rPr>
          <w:color w:val="auto"/>
          <w:highlight w:val="none"/>
        </w:rPr>
        <w:t>中标人应在签订合同前向招标人提交履约担保，未提交履约担保的，不授予合同。履约担保额度详见投标人须知前附表，履约担保</w:t>
      </w:r>
      <w:r>
        <w:rPr>
          <w:rFonts w:hint="eastAsia"/>
          <w:color w:val="auto"/>
          <w:highlight w:val="none"/>
        </w:rPr>
        <w:t>可以</w:t>
      </w:r>
      <w:r>
        <w:rPr>
          <w:color w:val="auto"/>
          <w:highlight w:val="none"/>
        </w:rPr>
        <w:t>采用</w:t>
      </w:r>
      <w:r>
        <w:rPr>
          <w:rFonts w:hint="eastAsia"/>
          <w:b/>
          <w:color w:val="auto"/>
          <w:highlight w:val="none"/>
        </w:rPr>
        <w:t>工程保函（银行保函、保险机构保证保险保单和融资担保公司保函 ）</w:t>
      </w:r>
      <w:r>
        <w:rPr>
          <w:rFonts w:hint="eastAsia"/>
          <w:color w:val="auto"/>
          <w:highlight w:val="none"/>
        </w:rPr>
        <w:t xml:space="preserve"> 或现金形式</w:t>
      </w:r>
      <w:r>
        <w:rPr>
          <w:color w:val="auto"/>
          <w:highlight w:val="none"/>
        </w:rPr>
        <w:t>。</w:t>
      </w:r>
    </w:p>
    <w:p w14:paraId="6F031143">
      <w:pPr>
        <w:pStyle w:val="10"/>
        <w:numPr>
          <w:ilvl w:val="1"/>
          <w:numId w:val="3"/>
        </w:numPr>
        <w:ind w:firstLine="420" w:firstLineChars="200"/>
        <w:rPr>
          <w:color w:val="auto"/>
          <w:highlight w:val="none"/>
        </w:rPr>
      </w:pPr>
      <w:r>
        <w:rPr>
          <w:rFonts w:hint="eastAsia"/>
          <w:color w:val="auto"/>
          <w:szCs w:val="32"/>
          <w:highlight w:val="none"/>
        </w:rPr>
        <w:t>自《建设工程中标通知书》发出之日起30日内，招标人应当与中标人按照本招标文件和中标人的投标文件订立书面合同。招标人与中标人不得再行订立背离合同实质性内容的其他协议。</w:t>
      </w:r>
    </w:p>
    <w:p w14:paraId="2412AD9A">
      <w:pPr>
        <w:pStyle w:val="10"/>
        <w:numPr>
          <w:ilvl w:val="1"/>
          <w:numId w:val="3"/>
        </w:numPr>
        <w:ind w:firstLine="420" w:firstLineChars="200"/>
        <w:rPr>
          <w:color w:val="auto"/>
          <w:highlight w:val="none"/>
        </w:rPr>
      </w:pPr>
      <w:r>
        <w:rPr>
          <w:rFonts w:hint="eastAsia"/>
          <w:color w:val="auto"/>
          <w:szCs w:val="32"/>
          <w:highlight w:val="none"/>
        </w:rPr>
        <w:t>招标人与中标人须根据国家、省、市建设工程施工合同管理的规定及招标文件、投标文件，草签施工合同，待合同管理部门审查后正式签订。</w:t>
      </w:r>
    </w:p>
    <w:p w14:paraId="7AB35A91">
      <w:pPr>
        <w:pStyle w:val="10"/>
        <w:numPr>
          <w:ilvl w:val="1"/>
          <w:numId w:val="3"/>
        </w:numPr>
        <w:ind w:firstLine="420" w:firstLineChars="200"/>
        <w:rPr>
          <w:color w:val="auto"/>
          <w:highlight w:val="none"/>
        </w:rPr>
      </w:pPr>
      <w:r>
        <w:rPr>
          <w:rFonts w:hint="eastAsia"/>
          <w:color w:val="auto"/>
          <w:szCs w:val="32"/>
          <w:highlight w:val="none"/>
        </w:rPr>
        <w:t>招标人与中标人应当</w:t>
      </w:r>
      <w:r>
        <w:rPr>
          <w:rFonts w:hint="eastAsia"/>
          <w:color w:val="auto"/>
          <w:highlight w:val="none"/>
        </w:rPr>
        <w:t>按照《关于在我市工程建设领域推行廉政合同的通知》（台纪[2001]19号）的要求签订《廉政合同》。</w:t>
      </w:r>
      <w:bookmarkEnd w:id="119"/>
    </w:p>
    <w:bookmarkEnd w:id="3"/>
    <w:bookmarkEnd w:id="4"/>
    <w:bookmarkEnd w:id="5"/>
    <w:bookmarkEnd w:id="6"/>
    <w:p w14:paraId="030FB37E">
      <w:pPr>
        <w:pStyle w:val="2"/>
        <w:spacing w:line="288" w:lineRule="auto"/>
        <w:ind w:left="300"/>
        <w:rPr>
          <w:rFonts w:ascii="宋体" w:eastAsia="宋体"/>
          <w:b w:val="0"/>
          <w:bCs/>
          <w:color w:val="auto"/>
          <w:sz w:val="44"/>
          <w:highlight w:val="none"/>
        </w:rPr>
      </w:pPr>
      <w:bookmarkStart w:id="122" w:name="_Toc386121757"/>
      <w:bookmarkStart w:id="123" w:name="_Toc169487823"/>
      <w:bookmarkStart w:id="124" w:name="_Toc386121568"/>
      <w:bookmarkStart w:id="125" w:name="_Toc511741120"/>
    </w:p>
    <w:p w14:paraId="04F04442">
      <w:pPr>
        <w:rPr>
          <w:rFonts w:ascii="宋体" w:eastAsia="宋体"/>
          <w:bCs/>
          <w:color w:val="auto"/>
          <w:sz w:val="44"/>
          <w:highlight w:val="none"/>
        </w:rPr>
      </w:pPr>
    </w:p>
    <w:p w14:paraId="6F8CE88B">
      <w:pPr>
        <w:rPr>
          <w:rFonts w:ascii="宋体" w:eastAsia="宋体"/>
          <w:bCs/>
          <w:color w:val="auto"/>
          <w:sz w:val="44"/>
          <w:highlight w:val="none"/>
        </w:rPr>
      </w:pPr>
    </w:p>
    <w:p w14:paraId="4FD8DD78">
      <w:pPr>
        <w:rPr>
          <w:rFonts w:ascii="宋体" w:eastAsia="宋体"/>
          <w:bCs/>
          <w:color w:val="auto"/>
          <w:sz w:val="44"/>
          <w:highlight w:val="none"/>
        </w:rPr>
      </w:pPr>
    </w:p>
    <w:p w14:paraId="6B5DB20E">
      <w:pPr>
        <w:rPr>
          <w:rFonts w:ascii="宋体" w:eastAsia="宋体"/>
          <w:bCs/>
          <w:color w:val="auto"/>
          <w:sz w:val="44"/>
          <w:highlight w:val="none"/>
        </w:rPr>
      </w:pPr>
    </w:p>
    <w:p w14:paraId="046072F5">
      <w:pPr>
        <w:rPr>
          <w:rFonts w:ascii="宋体" w:eastAsia="宋体"/>
          <w:bCs/>
          <w:color w:val="auto"/>
          <w:sz w:val="44"/>
          <w:highlight w:val="none"/>
        </w:rPr>
      </w:pPr>
    </w:p>
    <w:p w14:paraId="23FEA7E9">
      <w:pPr>
        <w:rPr>
          <w:rFonts w:ascii="宋体" w:eastAsia="宋体"/>
          <w:bCs/>
          <w:color w:val="auto"/>
          <w:sz w:val="44"/>
          <w:highlight w:val="none"/>
        </w:rPr>
      </w:pPr>
    </w:p>
    <w:p w14:paraId="1B67D551">
      <w:pPr>
        <w:pStyle w:val="22"/>
        <w:rPr>
          <w:color w:val="auto"/>
          <w:highlight w:val="none"/>
        </w:rPr>
      </w:pPr>
    </w:p>
    <w:p w14:paraId="10C12EF1">
      <w:pPr>
        <w:rPr>
          <w:color w:val="auto"/>
          <w:highlight w:val="none"/>
        </w:rPr>
      </w:pPr>
    </w:p>
    <w:p w14:paraId="0D3E7572">
      <w:pPr>
        <w:pStyle w:val="9"/>
        <w:outlineLvl w:val="0"/>
        <w:rPr>
          <w:b/>
          <w:color w:val="auto"/>
          <w:highlight w:val="none"/>
        </w:rPr>
      </w:pPr>
      <w:bookmarkStart w:id="126" w:name="_Toc484683196"/>
      <w:bookmarkStart w:id="127" w:name="_Toc20217"/>
      <w:bookmarkStart w:id="128" w:name="_Toc561"/>
      <w:r>
        <w:rPr>
          <w:rFonts w:hint="eastAsia" w:ascii="黑体" w:hAnsi="黑体" w:eastAsia="黑体"/>
          <w:b/>
          <w:color w:val="auto"/>
          <w:sz w:val="32"/>
          <w:szCs w:val="32"/>
          <w:highlight w:val="none"/>
        </w:rPr>
        <w:t>第二章  评标办法</w:t>
      </w:r>
      <w:bookmarkEnd w:id="126"/>
      <w:bookmarkEnd w:id="127"/>
    </w:p>
    <w:p w14:paraId="26CD6D0A">
      <w:pPr>
        <w:spacing w:line="720" w:lineRule="exact"/>
        <w:jc w:val="center"/>
        <w:rPr>
          <w:rFonts w:ascii="方正小标宋简体" w:hAnsi="方正小标宋简体" w:eastAsia="方正小标宋简体" w:cs="方正小标宋简体"/>
          <w:color w:val="auto"/>
          <w:sz w:val="38"/>
          <w:szCs w:val="38"/>
          <w:highlight w:val="none"/>
        </w:rPr>
      </w:pPr>
      <w:r>
        <w:rPr>
          <w:rFonts w:hint="eastAsia" w:ascii="方正小标宋简体" w:hAnsi="方正小标宋简体" w:eastAsia="方正小标宋简体" w:cs="方正小标宋简体"/>
          <w:color w:val="auto"/>
          <w:sz w:val="38"/>
          <w:szCs w:val="38"/>
          <w:highlight w:val="none"/>
        </w:rPr>
        <w:t>临海市限额以下公共资源交易工程建设项目</w:t>
      </w:r>
    </w:p>
    <w:p w14:paraId="29A7290E">
      <w:pPr>
        <w:spacing w:line="720" w:lineRule="exact"/>
        <w:jc w:val="center"/>
        <w:rPr>
          <w:rFonts w:eastAsia="黑体"/>
          <w:color w:val="auto"/>
          <w:kern w:val="0"/>
          <w:szCs w:val="32"/>
          <w:highlight w:val="none"/>
        </w:rPr>
      </w:pPr>
      <w:r>
        <w:rPr>
          <w:rFonts w:ascii="方正小标宋简体" w:hAnsi="方正小标宋简体" w:eastAsia="方正小标宋简体" w:cs="方正小标宋简体"/>
          <w:color w:val="auto"/>
          <w:sz w:val="38"/>
          <w:szCs w:val="38"/>
          <w:highlight w:val="none"/>
        </w:rPr>
        <w:t>房建市政项目</w:t>
      </w:r>
      <w:r>
        <w:rPr>
          <w:rFonts w:hint="eastAsia" w:ascii="方正小标宋简体" w:hAnsi="方正小标宋简体" w:eastAsia="方正小标宋简体" w:cs="方正小标宋简体"/>
          <w:color w:val="auto"/>
          <w:sz w:val="38"/>
          <w:szCs w:val="38"/>
          <w:highlight w:val="none"/>
        </w:rPr>
        <w:t>评标办法</w:t>
      </w:r>
    </w:p>
    <w:p w14:paraId="173F5B3A">
      <w:pPr>
        <w:pStyle w:val="38"/>
        <w:snapToGrid w:val="0"/>
        <w:spacing w:line="360" w:lineRule="auto"/>
        <w:ind w:firstLine="420" w:firstLineChars="200"/>
        <w:jc w:val="both"/>
        <w:rPr>
          <w:rFonts w:ascii="宋体" w:hAnsi="宋体"/>
          <w:color w:val="auto"/>
          <w:sz w:val="21"/>
          <w:szCs w:val="21"/>
          <w:highlight w:val="none"/>
        </w:rPr>
      </w:pPr>
      <w:r>
        <w:rPr>
          <w:rFonts w:hint="eastAsia" w:ascii="宋体" w:hAnsi="宋体"/>
          <w:color w:val="auto"/>
          <w:sz w:val="21"/>
          <w:szCs w:val="21"/>
          <w:highlight w:val="none"/>
        </w:rPr>
        <w:t>评标顺序</w:t>
      </w:r>
    </w:p>
    <w:p w14:paraId="35C73135">
      <w:pPr>
        <w:pStyle w:val="38"/>
        <w:snapToGrid w:val="0"/>
        <w:spacing w:line="360" w:lineRule="auto"/>
        <w:ind w:firstLine="420" w:firstLineChars="200"/>
        <w:jc w:val="both"/>
        <w:rPr>
          <w:rFonts w:ascii="宋体" w:hAnsi="宋体"/>
          <w:color w:val="auto"/>
          <w:sz w:val="21"/>
          <w:szCs w:val="21"/>
          <w:highlight w:val="none"/>
        </w:rPr>
      </w:pPr>
      <w:r>
        <w:rPr>
          <w:rFonts w:hint="eastAsia" w:ascii="宋体" w:hAnsi="宋体"/>
          <w:color w:val="auto"/>
          <w:sz w:val="21"/>
          <w:szCs w:val="21"/>
          <w:highlight w:val="none"/>
        </w:rPr>
        <w:t>（一）商务标评审</w:t>
      </w:r>
    </w:p>
    <w:p w14:paraId="4A1BABEB">
      <w:pPr>
        <w:pStyle w:val="38"/>
        <w:snapToGrid w:val="0"/>
        <w:spacing w:line="360" w:lineRule="auto"/>
        <w:ind w:firstLine="420" w:firstLineChars="200"/>
        <w:jc w:val="both"/>
        <w:rPr>
          <w:rFonts w:ascii="宋体" w:hAnsi="宋体"/>
          <w:color w:val="auto"/>
          <w:sz w:val="21"/>
          <w:szCs w:val="21"/>
          <w:highlight w:val="none"/>
        </w:rPr>
      </w:pPr>
      <w:r>
        <w:rPr>
          <w:rFonts w:hint="eastAsia" w:ascii="宋体" w:hAnsi="宋体"/>
          <w:color w:val="auto"/>
          <w:sz w:val="21"/>
          <w:szCs w:val="21"/>
          <w:highlight w:val="none"/>
        </w:rPr>
        <w:t>（二）资信标评审</w:t>
      </w:r>
    </w:p>
    <w:p w14:paraId="42A06788">
      <w:pPr>
        <w:pStyle w:val="38"/>
        <w:snapToGrid w:val="0"/>
        <w:spacing w:line="360" w:lineRule="auto"/>
        <w:ind w:firstLine="630" w:firstLineChars="300"/>
        <w:jc w:val="both"/>
        <w:rPr>
          <w:rFonts w:ascii="宋体" w:hAnsi="宋体"/>
          <w:color w:val="auto"/>
          <w:sz w:val="21"/>
          <w:szCs w:val="21"/>
          <w:highlight w:val="none"/>
        </w:rPr>
      </w:pPr>
      <w:r>
        <w:rPr>
          <w:rFonts w:hint="eastAsia" w:ascii="宋体" w:hAnsi="宋体"/>
          <w:color w:val="auto"/>
          <w:sz w:val="21"/>
          <w:szCs w:val="21"/>
          <w:highlight w:val="none"/>
        </w:rPr>
        <w:t>(三)确定中标候选人</w:t>
      </w:r>
    </w:p>
    <w:p w14:paraId="592C64CD">
      <w:pPr>
        <w:snapToGrid w:val="0"/>
        <w:spacing w:line="360" w:lineRule="auto"/>
        <w:ind w:firstLine="422" w:firstLineChars="200"/>
        <w:outlineLvl w:val="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一、商务标评审（100分）</w:t>
      </w:r>
    </w:p>
    <w:p w14:paraId="3F647499">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（一）评标标底价</w:t>
      </w:r>
    </w:p>
    <w:p w14:paraId="2118A927">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最高投标限价乘以调整系数作为评标标底价，即评标标底价＝最高投标限价×调整系数。（以元为单位，保留整数，小数点后第1位四舍五入）</w:t>
      </w:r>
    </w:p>
    <w:p w14:paraId="16F240EE">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调整系数＝（100–D）%，D值在0.000～0.999范围内随机抽取产生。先从0～9中抽取十分位数字X，再从0～9中抽取百分位数字Y，再从0～9中抽取千分位数字Z，则抽取的D值即为0.XYZ。</w:t>
      </w:r>
    </w:p>
    <w:p w14:paraId="3C47B34F">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（二）商务标得分</w:t>
      </w:r>
    </w:p>
    <w:p w14:paraId="006458B2">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2A5C3B50">
      <w:pPr>
        <w:snapToGrid w:val="0"/>
        <w:spacing w:line="360" w:lineRule="auto"/>
        <w:ind w:firstLine="422"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二、资信标评审</w:t>
      </w:r>
    </w:p>
    <w:p w14:paraId="7A3F5EEF">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次类推，直至产生中标候选人。</w:t>
      </w:r>
    </w:p>
    <w:p w14:paraId="50B59315">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在必要情况下，评标委员会可对全部投标单位资信标进行核查。</w:t>
      </w:r>
    </w:p>
    <w:p w14:paraId="7483CCBA">
      <w:pPr>
        <w:snapToGrid w:val="0"/>
        <w:spacing w:line="360" w:lineRule="auto"/>
        <w:ind w:firstLine="420" w:firstLineChars="200"/>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三、</w:t>
      </w:r>
      <w:r>
        <w:rPr>
          <w:rFonts w:hint="eastAsia" w:ascii="宋体" w:hAnsi="宋体" w:eastAsia="宋体" w:cs="宋体"/>
          <w:b/>
          <w:bCs/>
          <w:color w:val="auto"/>
          <w:sz w:val="21"/>
          <w:szCs w:val="21"/>
          <w:highlight w:val="none"/>
        </w:rPr>
        <w:t>中标候选人的确定</w:t>
      </w:r>
    </w:p>
    <w:p w14:paraId="2006EB70">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30A57FC8">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（一）投标报价低者；</w:t>
      </w:r>
    </w:p>
    <w:p w14:paraId="529D5ACE">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（二）抽签确定。</w:t>
      </w:r>
    </w:p>
    <w:p w14:paraId="7BC68920">
      <w:pPr>
        <w:spacing w:line="288" w:lineRule="auto"/>
        <w:ind w:firstLine="525" w:firstLineChars="250"/>
        <w:rPr>
          <w:rFonts w:ascii="宋体" w:hAnsi="宋体" w:eastAsia="宋体"/>
          <w:color w:val="auto"/>
          <w:sz w:val="21"/>
          <w:highlight w:val="none"/>
        </w:rPr>
      </w:pPr>
    </w:p>
    <w:p w14:paraId="30F72DE9">
      <w:pPr>
        <w:pStyle w:val="2"/>
        <w:spacing w:line="288" w:lineRule="auto"/>
        <w:jc w:val="both"/>
        <w:rPr>
          <w:rFonts w:hAnsi="黑体"/>
          <w:color w:val="auto"/>
          <w:sz w:val="30"/>
          <w:szCs w:val="22"/>
          <w:highlight w:val="none"/>
        </w:rPr>
      </w:pPr>
    </w:p>
    <w:p w14:paraId="452DD19E">
      <w:pPr>
        <w:rPr>
          <w:rFonts w:hAnsi="黑体"/>
          <w:color w:val="auto"/>
          <w:sz w:val="30"/>
          <w:szCs w:val="22"/>
          <w:highlight w:val="none"/>
        </w:rPr>
      </w:pPr>
    </w:p>
    <w:p w14:paraId="4EB8A7FA">
      <w:pPr>
        <w:pStyle w:val="22"/>
        <w:rPr>
          <w:color w:val="auto"/>
          <w:highlight w:val="none"/>
        </w:rPr>
      </w:pPr>
    </w:p>
    <w:p w14:paraId="76C074F4">
      <w:pPr>
        <w:pStyle w:val="2"/>
        <w:spacing w:line="288" w:lineRule="auto"/>
        <w:rPr>
          <w:rFonts w:hAnsi="黑体"/>
          <w:color w:val="auto"/>
          <w:sz w:val="30"/>
          <w:szCs w:val="22"/>
          <w:highlight w:val="none"/>
        </w:rPr>
      </w:pPr>
      <w:r>
        <w:rPr>
          <w:rFonts w:hint="eastAsia" w:hAnsi="黑体"/>
          <w:color w:val="auto"/>
          <w:sz w:val="30"/>
          <w:szCs w:val="22"/>
          <w:highlight w:val="none"/>
        </w:rPr>
        <w:t>第三章  合同条款</w:t>
      </w:r>
    </w:p>
    <w:p w14:paraId="115BB305">
      <w:pPr>
        <w:pStyle w:val="32"/>
        <w:spacing w:line="288" w:lineRule="auto"/>
        <w:rPr>
          <w:rFonts w:ascii="宋体" w:hAnsi="宋体" w:eastAsia="宋体" w:cs="宋体"/>
          <w:color w:val="auto"/>
          <w:sz w:val="24"/>
          <w:szCs w:val="24"/>
          <w:highlight w:val="none"/>
        </w:rPr>
      </w:pPr>
    </w:p>
    <w:p w14:paraId="27850BDB">
      <w:pPr>
        <w:pStyle w:val="32"/>
        <w:spacing w:line="288" w:lineRule="auto"/>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合同文本采用</w:t>
      </w:r>
      <w:r>
        <w:rPr>
          <w:rFonts w:hint="eastAsia" w:ascii="宋体" w:hAnsi="宋体" w:eastAsia="宋体" w:cs="宋体"/>
          <w:b/>
          <w:bCs/>
          <w:color w:val="auto"/>
          <w:sz w:val="21"/>
          <w:szCs w:val="21"/>
          <w:highlight w:val="none"/>
        </w:rPr>
        <w:t>《建设工程施工合同（GF—2017—0201）专用条款台州示范文本（定额计价）》（台建〔2020〕120号）</w:t>
      </w:r>
      <w:r>
        <w:rPr>
          <w:rFonts w:hint="eastAsia" w:ascii="宋体" w:hAnsi="宋体" w:eastAsia="宋体" w:cs="宋体"/>
          <w:color w:val="auto"/>
          <w:sz w:val="21"/>
          <w:szCs w:val="21"/>
          <w:highlight w:val="none"/>
        </w:rPr>
        <w:t>。</w:t>
      </w:r>
    </w:p>
    <w:p w14:paraId="0E5CD398">
      <w:pPr>
        <w:spacing w:line="36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合同通用条款采用《台州市建设工程施工合同（示范文本）》的通用条款。</w:t>
      </w:r>
    </w:p>
    <w:p w14:paraId="1214B605">
      <w:pPr>
        <w:spacing w:line="36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合同专用条款中的主要条款将由招标人(发包人)与中标人(承包人)根据各具体工程的投标文件签订。</w:t>
      </w:r>
    </w:p>
    <w:p w14:paraId="4CA7B48D">
      <w:pPr>
        <w:pStyle w:val="12"/>
        <w:ind w:left="1920"/>
        <w:rPr>
          <w:color w:val="auto"/>
          <w:highlight w:val="none"/>
        </w:rPr>
        <w:sectPr>
          <w:footerReference r:id="rId12"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00D15B3E">
      <w:pPr>
        <w:pStyle w:val="4"/>
        <w:numPr>
          <w:ilvl w:val="0"/>
          <w:numId w:val="0"/>
        </w:numPr>
        <w:spacing w:line="400" w:lineRule="exact"/>
        <w:ind w:left="574"/>
        <w:jc w:val="center"/>
        <w:rPr>
          <w:rFonts w:ascii="宋体" w:eastAsia="宋体" w:cs="宋体"/>
          <w:color w:val="auto"/>
          <w:sz w:val="32"/>
          <w:szCs w:val="32"/>
          <w:highlight w:val="none"/>
        </w:rPr>
      </w:pPr>
      <w:bookmarkStart w:id="129" w:name="_Toc267580969"/>
      <w:bookmarkStart w:id="130" w:name="_Toc239477934"/>
      <w:bookmarkStart w:id="131" w:name="_Toc511741122"/>
      <w:r>
        <w:rPr>
          <w:rFonts w:hint="eastAsia" w:ascii="宋体" w:eastAsia="宋体" w:cs="宋体"/>
          <w:color w:val="auto"/>
          <w:sz w:val="32"/>
          <w:szCs w:val="32"/>
          <w:highlight w:val="none"/>
        </w:rPr>
        <w:t>第一部分  合同协议书</w:t>
      </w:r>
    </w:p>
    <w:p w14:paraId="2892D565">
      <w:pPr>
        <w:spacing w:line="400" w:lineRule="exact"/>
        <w:rPr>
          <w:rFonts w:ascii="宋体" w:hAnsi="宋体" w:eastAsia="宋体" w:cs="宋体"/>
          <w:color w:val="auto"/>
          <w:sz w:val="21"/>
          <w:szCs w:val="21"/>
          <w:highlight w:val="none"/>
        </w:rPr>
      </w:pPr>
    </w:p>
    <w:p w14:paraId="6DA9987C">
      <w:pPr>
        <w:spacing w:line="360" w:lineRule="exact"/>
        <w:rPr>
          <w:rFonts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发包人（全称）：</w:t>
      </w:r>
      <w:r>
        <w:rPr>
          <w:rFonts w:hint="eastAsia" w:ascii="宋体" w:hAnsi="宋体" w:eastAsia="宋体" w:cs="宋体"/>
          <w:b/>
          <w:bCs/>
          <w:color w:val="auto"/>
          <w:sz w:val="21"/>
          <w:szCs w:val="21"/>
          <w:highlight w:val="none"/>
          <w:u w:val="single"/>
          <w:lang w:val="en-US" w:eastAsia="zh-CN"/>
        </w:rPr>
        <w:t>台州初级中学</w:t>
      </w:r>
    </w:p>
    <w:p w14:paraId="12A30EE7">
      <w:pPr>
        <w:spacing w:line="360" w:lineRule="exact"/>
        <w:rPr>
          <w:rFonts w:hint="default" w:ascii="宋体" w:hAnsi="宋体" w:eastAsia="宋体" w:cs="宋体"/>
          <w:b/>
          <w:color w:val="auto"/>
          <w:sz w:val="21"/>
          <w:szCs w:val="21"/>
          <w:highlight w:val="none"/>
          <w:u w:val="single"/>
          <w:lang w:val="en-US" w:eastAsia="zh-CN"/>
        </w:rPr>
      </w:pPr>
      <w:r>
        <w:rPr>
          <w:rFonts w:hint="eastAsia" w:ascii="宋体" w:hAnsi="宋体" w:eastAsia="宋体" w:cs="宋体"/>
          <w:color w:val="auto"/>
          <w:sz w:val="21"/>
          <w:szCs w:val="21"/>
          <w:highlight w:val="none"/>
        </w:rPr>
        <w:t>承包人（全称）：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p>
    <w:p w14:paraId="058AAA22">
      <w:pPr>
        <w:spacing w:line="360" w:lineRule="exact"/>
        <w:ind w:firstLine="412" w:firstLineChars="20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根据《中华人民共和国民法典》、《中华人民共和国建筑法》及有关法律规定，遵循平等、自愿、公平和诚实信用的原则，双方就</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u w:val="single"/>
          <w:lang w:eastAsia="zh-CN"/>
        </w:rPr>
        <w:t>运动场地改造工程</w:t>
      </w:r>
      <w:r>
        <w:rPr>
          <w:rFonts w:hint="eastAsia" w:ascii="宋体" w:hAnsi="宋体" w:eastAsia="宋体" w:cs="宋体"/>
          <w:color w:val="auto"/>
          <w:sz w:val="21"/>
          <w:szCs w:val="21"/>
          <w:highlight w:val="none"/>
        </w:rPr>
        <w:t>工程施工及有关事项协商一致，共同达成如下协议：</w:t>
      </w:r>
    </w:p>
    <w:p w14:paraId="3CEBA9C3">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一、工程概况</w:t>
      </w:r>
    </w:p>
    <w:p w14:paraId="5BF3E069">
      <w:pPr>
        <w:spacing w:line="360" w:lineRule="exact"/>
        <w:ind w:firstLine="404" w:firstLineChars="196"/>
        <w:rPr>
          <w:rFonts w:hint="eastAsia" w:ascii="宋体" w:hAnsi="宋体" w:eastAsia="宋体" w:cs="宋体"/>
          <w:b/>
          <w:bCs/>
          <w:color w:val="auto"/>
          <w:sz w:val="21"/>
          <w:szCs w:val="21"/>
          <w:highlight w:val="none"/>
          <w:u w:val="single"/>
          <w:lang w:eastAsia="zh-CN"/>
        </w:rPr>
      </w:pPr>
      <w:r>
        <w:rPr>
          <w:rFonts w:hint="eastAsia" w:ascii="宋体" w:hAnsi="宋体" w:eastAsia="宋体" w:cs="宋体"/>
          <w:bCs/>
          <w:color w:val="auto"/>
          <w:sz w:val="21"/>
          <w:szCs w:val="21"/>
          <w:highlight w:val="none"/>
        </w:rPr>
        <w:t>1．工程名称</w:t>
      </w:r>
      <w:r>
        <w:rPr>
          <w:rFonts w:hint="eastAsia" w:ascii="宋体" w:hAnsi="宋体" w:eastAsia="宋体" w:cs="宋体"/>
          <w:color w:val="auto"/>
          <w:sz w:val="21"/>
          <w:szCs w:val="21"/>
          <w:highlight w:val="none"/>
        </w:rPr>
        <w:t>：</w:t>
      </w:r>
      <w:r>
        <w:rPr>
          <w:rFonts w:hint="eastAsia" w:ascii="宋体" w:hAnsi="宋体" w:eastAsia="宋体" w:cs="宋体"/>
          <w:b/>
          <w:bCs/>
          <w:color w:val="auto"/>
          <w:sz w:val="21"/>
          <w:szCs w:val="21"/>
          <w:highlight w:val="none"/>
          <w:u w:val="single"/>
          <w:lang w:eastAsia="zh-CN"/>
        </w:rPr>
        <w:t>运动场地改造工程</w:t>
      </w:r>
    </w:p>
    <w:p w14:paraId="16D3F3B8">
      <w:pPr>
        <w:spacing w:line="360" w:lineRule="exact"/>
        <w:ind w:firstLine="404" w:firstLineChars="196"/>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2．工程地点：</w:t>
      </w:r>
      <w:r>
        <w:rPr>
          <w:rFonts w:hint="eastAsia" w:ascii="宋体" w:hAnsi="宋体" w:eastAsia="宋体" w:cs="宋体"/>
          <w:b/>
          <w:bCs/>
          <w:color w:val="auto"/>
          <w:sz w:val="21"/>
          <w:szCs w:val="21"/>
          <w:highlight w:val="none"/>
          <w:u w:val="single"/>
          <w:lang w:eastAsia="zh-CN"/>
        </w:rPr>
        <w:t>台州初级中学</w:t>
      </w:r>
    </w:p>
    <w:p w14:paraId="5EF1255C">
      <w:pPr>
        <w:spacing w:line="360" w:lineRule="exact"/>
        <w:ind w:firstLine="404" w:firstLineChars="196"/>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3．工程立项批准文号：</w:t>
      </w:r>
      <w:r>
        <w:rPr>
          <w:rFonts w:hint="eastAsia" w:ascii="宋体" w:hAnsi="宋体" w:eastAsia="宋体" w:cs="宋体"/>
          <w:bCs/>
          <w:color w:val="auto"/>
          <w:sz w:val="21"/>
          <w:szCs w:val="21"/>
          <w:highlight w:val="none"/>
          <w:u w:val="single"/>
          <w:lang w:val="en-US" w:eastAsia="zh-CN"/>
        </w:rPr>
        <w:t xml:space="preserve">              </w:t>
      </w:r>
    </w:p>
    <w:p w14:paraId="20B817ED">
      <w:pPr>
        <w:spacing w:line="360" w:lineRule="exact"/>
        <w:ind w:firstLine="404" w:firstLineChars="196"/>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4．资金来源：</w:t>
      </w:r>
      <w:r>
        <w:rPr>
          <w:rFonts w:hint="eastAsia" w:ascii="宋体" w:hAnsi="宋体" w:eastAsia="宋体" w:cs="宋体"/>
          <w:bCs/>
          <w:color w:val="auto"/>
          <w:sz w:val="21"/>
          <w:szCs w:val="21"/>
          <w:highlight w:val="none"/>
          <w:u w:val="single"/>
          <w:lang w:val="en-US" w:eastAsia="zh-CN"/>
        </w:rPr>
        <w:t>财政</w:t>
      </w:r>
    </w:p>
    <w:p w14:paraId="323F87DA">
      <w:pPr>
        <w:spacing w:line="360" w:lineRule="exact"/>
        <w:ind w:firstLine="404" w:firstLineChars="196"/>
        <w:rPr>
          <w:rFonts w:hint="eastAsia" w:ascii="宋体" w:hAnsi="宋体" w:eastAsia="宋体"/>
          <w:color w:val="auto"/>
          <w:sz w:val="21"/>
          <w:highlight w:val="none"/>
          <w:lang w:eastAsia="zh-CN"/>
        </w:rPr>
      </w:pPr>
      <w:r>
        <w:rPr>
          <w:rFonts w:hint="eastAsia" w:ascii="宋体" w:hAnsi="宋体" w:eastAsia="宋体" w:cs="宋体"/>
          <w:bCs/>
          <w:color w:val="auto"/>
          <w:sz w:val="21"/>
          <w:szCs w:val="21"/>
          <w:highlight w:val="none"/>
        </w:rPr>
        <w:t>5．工程内容：</w:t>
      </w:r>
      <w:r>
        <w:rPr>
          <w:rFonts w:hint="eastAsia" w:ascii="宋体" w:hAnsi="宋体" w:eastAsia="宋体" w:cs="宋体"/>
          <w:bCs/>
          <w:color w:val="auto"/>
          <w:sz w:val="21"/>
          <w:szCs w:val="21"/>
          <w:highlight w:val="none"/>
          <w:u w:val="single"/>
          <w:lang w:eastAsia="zh-CN"/>
        </w:rPr>
        <w:t>本工程内容为台州初级中学校园内围墙及部分花坛拆除新建、器械活动区及篮球场地运动地板铺装等具体详见施工图</w:t>
      </w:r>
    </w:p>
    <w:p w14:paraId="761680CE">
      <w:pPr>
        <w:spacing w:line="360" w:lineRule="exact"/>
        <w:ind w:firstLine="404" w:firstLineChars="196"/>
        <w:rPr>
          <w:rFonts w:ascii="宋体" w:hAnsi="宋体" w:eastAsia="宋体" w:cs="宋体"/>
          <w:bCs/>
          <w:color w:val="auto"/>
          <w:sz w:val="21"/>
          <w:szCs w:val="21"/>
          <w:highlight w:val="none"/>
        </w:rPr>
      </w:pPr>
      <w:r>
        <w:rPr>
          <w:rFonts w:hint="eastAsia" w:ascii="宋体" w:hAnsi="宋体" w:eastAsia="宋体" w:cs="宋体"/>
          <w:color w:val="auto"/>
          <w:sz w:val="21"/>
          <w:szCs w:val="21"/>
          <w:highlight w:val="none"/>
        </w:rPr>
        <w:t>群体工程应附《承包人承揽工程项目一览表》（附件1）。</w:t>
      </w:r>
    </w:p>
    <w:p w14:paraId="3BB754FA">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6．工程承包范围：</w:t>
      </w:r>
    </w:p>
    <w:p w14:paraId="6DCAF1E8">
      <w:pPr>
        <w:spacing w:line="36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发包人提供的图纸范围内的</w:t>
      </w:r>
      <w:r>
        <w:rPr>
          <w:rFonts w:hint="eastAsia" w:ascii="宋体" w:hAnsi="宋体" w:eastAsia="宋体" w:cs="宋体"/>
          <w:b/>
          <w:bCs/>
          <w:color w:val="auto"/>
          <w:sz w:val="21"/>
          <w:szCs w:val="21"/>
          <w:highlight w:val="none"/>
          <w:u w:val="single"/>
          <w:lang w:eastAsia="zh-CN"/>
        </w:rPr>
        <w:t>运动场地改造工程</w:t>
      </w:r>
      <w:r>
        <w:rPr>
          <w:rFonts w:hint="eastAsia" w:ascii="宋体" w:hAnsi="宋体" w:eastAsia="宋体" w:cs="宋体"/>
          <w:color w:val="auto"/>
          <w:sz w:val="21"/>
          <w:szCs w:val="21"/>
          <w:highlight w:val="none"/>
          <w:u w:val="single"/>
        </w:rPr>
        <w:t xml:space="preserve"> ，具体内容以发包人提供的预算为准。</w:t>
      </w:r>
    </w:p>
    <w:p w14:paraId="6F4A944F">
      <w:pPr>
        <w:pStyle w:val="6"/>
        <w:keepNext w:val="0"/>
        <w:keepLines w:val="0"/>
        <w:spacing w:line="36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二、合同工期</w:t>
      </w:r>
    </w:p>
    <w:p w14:paraId="54A21CCA">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计划开工日期：</w:t>
      </w:r>
      <w:r>
        <w:rPr>
          <w:rFonts w:hint="eastAsia" w:ascii="宋体" w:hAnsi="宋体" w:eastAsia="宋体" w:cs="宋体"/>
          <w:color w:val="auto"/>
          <w:sz w:val="21"/>
          <w:szCs w:val="21"/>
          <w:highlight w:val="none"/>
          <w:u w:val="single"/>
        </w:rPr>
        <w:t>以发包人的开工通知为准。</w:t>
      </w:r>
    </w:p>
    <w:p w14:paraId="5C0A5C44">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计划竣工日期：</w:t>
      </w:r>
      <w:r>
        <w:rPr>
          <w:rFonts w:hint="eastAsia" w:ascii="宋体" w:hAnsi="宋体" w:eastAsia="宋体" w:cs="宋体"/>
          <w:color w:val="auto"/>
          <w:sz w:val="21"/>
          <w:szCs w:val="21"/>
          <w:highlight w:val="none"/>
          <w:u w:val="single"/>
        </w:rPr>
        <w:t>按合同工期顺推。</w:t>
      </w:r>
    </w:p>
    <w:p w14:paraId="5AD10890">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工期总日历天数：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天。工期总日历天数与根据前述计划开、竣工日期计算的工期天数不一致的，以工期总日历天数为准。</w:t>
      </w:r>
    </w:p>
    <w:p w14:paraId="7332D645">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三、质量标准</w:t>
      </w:r>
    </w:p>
    <w:p w14:paraId="09BAE418">
      <w:pPr>
        <w:spacing w:line="360" w:lineRule="exact"/>
        <w:ind w:firstLine="459"/>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工程质量符合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标准。</w:t>
      </w:r>
    </w:p>
    <w:p w14:paraId="000D4D2F">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四、签约合同价与合同价格形式</w:t>
      </w:r>
    </w:p>
    <w:p w14:paraId="590D825A">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1．签约合同价为：</w:t>
      </w:r>
    </w:p>
    <w:p w14:paraId="707DA41C">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
    <w:p w14:paraId="0E124ADC">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2．合同价格形式：</w:t>
      </w:r>
      <w:r>
        <w:rPr>
          <w:rFonts w:hint="eastAsia" w:ascii="宋体" w:hAnsi="宋体" w:eastAsia="宋体" w:cs="宋体"/>
          <w:color w:val="auto"/>
          <w:sz w:val="21"/>
          <w:szCs w:val="21"/>
          <w:highlight w:val="none"/>
          <w:u w:val="single"/>
        </w:rPr>
        <w:t>其他价格形式合同</w:t>
      </w:r>
      <w:r>
        <w:rPr>
          <w:rFonts w:hint="eastAsia" w:ascii="宋体" w:hAnsi="宋体" w:eastAsia="宋体" w:cs="宋体"/>
          <w:color w:val="auto"/>
          <w:sz w:val="21"/>
          <w:szCs w:val="21"/>
          <w:highlight w:val="none"/>
        </w:rPr>
        <w:t>。</w:t>
      </w:r>
    </w:p>
    <w:p w14:paraId="1C9F697E">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3．发包人向承包人支付工程价款及其他应当支付的款项均须汇入承包人合同协议书中的银行账户（先开票后付款）。</w:t>
      </w:r>
    </w:p>
    <w:p w14:paraId="4F7C948D">
      <w:pPr>
        <w:spacing w:line="360" w:lineRule="exact"/>
        <w:ind w:firstLine="346" w:firstLineChars="168"/>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承包人完成本合同项下应税行为的计税方式按</w:t>
      </w:r>
      <w:r>
        <w:rPr>
          <w:rFonts w:hint="eastAsia" w:ascii="宋体" w:hAnsi="宋体" w:eastAsia="宋体" w:cs="宋体"/>
          <w:color w:val="auto"/>
          <w:sz w:val="21"/>
          <w:szCs w:val="21"/>
          <w:highlight w:val="none"/>
        </w:rPr>
        <w:t>以下第</w:t>
      </w:r>
      <w:r>
        <w:rPr>
          <w:rFonts w:hint="eastAsia" w:ascii="宋体" w:hAnsi="宋体" w:eastAsia="宋体" w:cs="宋体"/>
          <w:color w:val="auto"/>
          <w:sz w:val="21"/>
          <w:szCs w:val="21"/>
          <w:highlight w:val="none"/>
          <w:u w:val="single"/>
          <w:shd w:val="clear" w:color="auto" w:fill="FFFFFF"/>
        </w:rPr>
        <w:t xml:space="preserve">  1  </w:t>
      </w:r>
      <w:r>
        <w:rPr>
          <w:rFonts w:hint="eastAsia" w:ascii="宋体" w:hAnsi="宋体" w:eastAsia="宋体" w:cs="宋体"/>
          <w:color w:val="auto"/>
          <w:sz w:val="21"/>
          <w:szCs w:val="21"/>
          <w:highlight w:val="none"/>
          <w:shd w:val="clear" w:color="auto" w:fill="FFFFFF"/>
        </w:rPr>
        <w:t>种方法，并与</w:t>
      </w:r>
      <w:r>
        <w:rPr>
          <w:rFonts w:hint="eastAsia" w:ascii="宋体" w:hAnsi="宋体" w:eastAsia="宋体" w:cs="宋体"/>
          <w:color w:val="auto"/>
          <w:sz w:val="21"/>
          <w:szCs w:val="21"/>
          <w:highlight w:val="none"/>
        </w:rPr>
        <w:t>工程计价时采用的计税方法一致。</w:t>
      </w:r>
    </w:p>
    <w:p w14:paraId="25F5239C">
      <w:pPr>
        <w:spacing w:line="360" w:lineRule="exact"/>
        <w:ind w:firstLine="346" w:firstLineChars="168"/>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（1）一般计税方法。</w:t>
      </w:r>
    </w:p>
    <w:p w14:paraId="264EA856">
      <w:pPr>
        <w:spacing w:line="360" w:lineRule="exact"/>
        <w:ind w:firstLine="346" w:firstLineChars="168"/>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shd w:val="clear" w:color="auto" w:fill="FFFFFF"/>
        </w:rPr>
        <w:t>简易计税方法。</w:t>
      </w:r>
    </w:p>
    <w:p w14:paraId="635E47AE">
      <w:pPr>
        <w:pStyle w:val="6"/>
        <w:keepNext w:val="0"/>
        <w:keepLines w:val="0"/>
        <w:spacing w:line="36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五、项目经理</w:t>
      </w:r>
    </w:p>
    <w:p w14:paraId="24101CA2">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承包人项目经理：</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17DF7909">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六、合同文件构成</w:t>
      </w:r>
    </w:p>
    <w:p w14:paraId="2BD39DE7">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本协议书与下列文件一起构成合同文件：</w:t>
      </w:r>
    </w:p>
    <w:p w14:paraId="7682F5B7">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（1）中标通知书（如果有）；</w:t>
      </w:r>
    </w:p>
    <w:p w14:paraId="58C488BF">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（2）投标函及其附录（如果有）；</w:t>
      </w:r>
    </w:p>
    <w:p w14:paraId="0533E620">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（3）专用合同条款及其附件；</w:t>
      </w:r>
    </w:p>
    <w:p w14:paraId="7ECB06DD">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（4）通用合同条款；</w:t>
      </w:r>
    </w:p>
    <w:p w14:paraId="3786BF05">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（5）技术标准和要求；</w:t>
      </w:r>
    </w:p>
    <w:p w14:paraId="7C78349A">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（6）图纸；</w:t>
      </w:r>
    </w:p>
    <w:p w14:paraId="419EE221">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（7）已标价工程量清单或预算书；</w:t>
      </w:r>
    </w:p>
    <w:p w14:paraId="1CCD5F0E">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（8）其他合同文件。</w:t>
      </w:r>
    </w:p>
    <w:p w14:paraId="2FAD279A">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在合同订立及履行过程中形成的与合同有关的文件均构成合同文件组成部分。</w:t>
      </w:r>
    </w:p>
    <w:p w14:paraId="6261B6B4">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4ABD07AC">
      <w:pPr>
        <w:pStyle w:val="6"/>
        <w:keepNext w:val="0"/>
        <w:keepLines w:val="0"/>
        <w:spacing w:line="36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七、创优目标</w:t>
      </w:r>
    </w:p>
    <w:p w14:paraId="1DDD64A8">
      <w:pPr>
        <w:pStyle w:val="6"/>
        <w:keepNext w:val="0"/>
        <w:keepLines w:val="0"/>
        <w:spacing w:line="360" w:lineRule="exact"/>
        <w:ind w:firstLine="412" w:firstLineChars="200"/>
        <w:rPr>
          <w:rFonts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rPr>
        <w:t>本工程</w:t>
      </w:r>
      <w:r>
        <w:rPr>
          <w:rFonts w:hint="eastAsia" w:ascii="宋体" w:hAnsi="宋体" w:eastAsia="宋体" w:cs="宋体"/>
          <w:b w:val="0"/>
          <w:bCs w:val="0"/>
          <w:color w:val="auto"/>
          <w:sz w:val="21"/>
          <w:szCs w:val="21"/>
          <w:highlight w:val="none"/>
          <w:u w:val="single"/>
        </w:rPr>
        <w:t>无创优质工程目标</w:t>
      </w:r>
      <w:r>
        <w:rPr>
          <w:rFonts w:hint="eastAsia" w:ascii="宋体" w:hAnsi="宋体" w:eastAsia="宋体" w:cs="宋体"/>
          <w:b w:val="0"/>
          <w:bCs w:val="0"/>
          <w:color w:val="auto"/>
          <w:sz w:val="21"/>
          <w:szCs w:val="21"/>
          <w:highlight w:val="none"/>
        </w:rPr>
        <w:t>。</w:t>
      </w:r>
    </w:p>
    <w:p w14:paraId="1439A8D8">
      <w:pPr>
        <w:pStyle w:val="6"/>
        <w:keepNext w:val="0"/>
        <w:keepLines w:val="0"/>
        <w:spacing w:line="360" w:lineRule="exact"/>
        <w:rPr>
          <w:rFonts w:ascii="宋体" w:hAnsi="宋体" w:eastAsia="宋体" w:cs="宋体"/>
          <w:b w:val="0"/>
          <w:bCs w:val="0"/>
          <w:color w:val="auto"/>
          <w:sz w:val="21"/>
          <w:szCs w:val="21"/>
          <w:highlight w:val="none"/>
        </w:rPr>
      </w:pPr>
      <w:r>
        <w:rPr>
          <w:rFonts w:hint="eastAsia" w:ascii="宋体" w:hAnsi="宋体" w:eastAsia="宋体" w:cs="宋体"/>
          <w:b w:val="0"/>
          <w:color w:val="auto"/>
          <w:sz w:val="21"/>
          <w:szCs w:val="21"/>
          <w:highlight w:val="none"/>
        </w:rPr>
        <w:t>八、承诺</w:t>
      </w:r>
    </w:p>
    <w:p w14:paraId="41BAF396">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1．发包人承诺按照法律规定履行项目审批手续、筹集工程建设资金并按照合同约定的期限和方式支付合同价款。</w:t>
      </w:r>
    </w:p>
    <w:p w14:paraId="38B67FC5">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2．承包人承诺按照法律规定及合同约定组织完成工程施工，确保工程质量和安全，不进行转包及违法分包，并在缺陷责任期及保修期内承担相应的工程维修责任。</w:t>
      </w:r>
    </w:p>
    <w:p w14:paraId="54BA93B7">
      <w:pPr>
        <w:tabs>
          <w:tab w:val="left" w:pos="0"/>
        </w:tabs>
        <w:spacing w:line="36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bCs/>
          <w:color w:val="auto"/>
          <w:sz w:val="21"/>
          <w:szCs w:val="21"/>
          <w:highlight w:val="none"/>
        </w:rPr>
        <w:t>3．</w:t>
      </w:r>
      <w:r>
        <w:rPr>
          <w:rFonts w:hint="eastAsia" w:ascii="宋体" w:hAnsi="宋体" w:eastAsia="宋体" w:cs="宋体"/>
          <w:color w:val="auto"/>
          <w:kern w:val="0"/>
          <w:sz w:val="21"/>
          <w:szCs w:val="21"/>
          <w:highlight w:val="none"/>
        </w:rPr>
        <w:t>承包人</w:t>
      </w:r>
      <w:r>
        <w:rPr>
          <w:rFonts w:hint="eastAsia" w:ascii="宋体" w:hAnsi="宋体" w:eastAsia="宋体" w:cs="宋体"/>
          <w:bCs/>
          <w:color w:val="auto"/>
          <w:sz w:val="21"/>
          <w:szCs w:val="21"/>
          <w:highlight w:val="none"/>
        </w:rPr>
        <w:t>承诺</w:t>
      </w:r>
      <w:r>
        <w:rPr>
          <w:rFonts w:hint="eastAsia" w:ascii="宋体" w:hAnsi="宋体" w:eastAsia="宋体" w:cs="宋体"/>
          <w:color w:val="auto"/>
          <w:kern w:val="0"/>
          <w:sz w:val="21"/>
          <w:szCs w:val="21"/>
          <w:highlight w:val="none"/>
        </w:rPr>
        <w:t>不拖欠工人工资，因拖欠工资造成的一切后果，均由承包人承担，发包人有权将应拔付的工程款，先代付工人工资。</w:t>
      </w:r>
    </w:p>
    <w:p w14:paraId="41754497">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4．发包人和承包人通过招投标形式签订合同的，双方理解并承诺不再就同一工程另行签订与合同实质性内容相背离的协议。</w:t>
      </w:r>
    </w:p>
    <w:p w14:paraId="5C46F0FE">
      <w:pPr>
        <w:spacing w:line="360" w:lineRule="exact"/>
        <w:rPr>
          <w:rFonts w:ascii="宋体" w:hAnsi="宋体" w:eastAsia="宋体" w:cs="宋体"/>
          <w:bCs/>
          <w:color w:val="auto"/>
          <w:sz w:val="21"/>
          <w:szCs w:val="21"/>
          <w:highlight w:val="none"/>
        </w:rPr>
      </w:pPr>
      <w:r>
        <w:rPr>
          <w:rFonts w:hint="eastAsia" w:ascii="宋体" w:hAnsi="宋体" w:eastAsia="宋体" w:cs="宋体"/>
          <w:color w:val="auto"/>
          <w:sz w:val="21"/>
          <w:szCs w:val="21"/>
          <w:highlight w:val="none"/>
        </w:rPr>
        <w:t>九、词语含义</w:t>
      </w:r>
    </w:p>
    <w:p w14:paraId="5155787F">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本协议书中词语含义与第二部分通用合同条款中赋予的含义相同。</w:t>
      </w:r>
    </w:p>
    <w:p w14:paraId="2840AD7A">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十、签订时间</w:t>
      </w:r>
    </w:p>
    <w:p w14:paraId="47563B7E">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本合同于</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年</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月</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日签订。</w:t>
      </w:r>
    </w:p>
    <w:p w14:paraId="211E48DA">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十一、签订地点</w:t>
      </w:r>
    </w:p>
    <w:p w14:paraId="06CE8E3C">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本合同在</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签订。</w:t>
      </w:r>
    </w:p>
    <w:p w14:paraId="3B6739B7">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十二、补充协议</w:t>
      </w:r>
    </w:p>
    <w:p w14:paraId="17EA3B10">
      <w:pPr>
        <w:spacing w:line="360" w:lineRule="exact"/>
        <w:ind w:firstLine="412" w:firstLineChars="200"/>
        <w:rPr>
          <w:rFonts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合同未尽事宜，合同当事人另行签订补充协议，补充协议是合同的组成部分。</w:t>
      </w:r>
    </w:p>
    <w:p w14:paraId="41867645">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十三、合同生效</w:t>
      </w:r>
    </w:p>
    <w:p w14:paraId="41A92E64">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本合同自</w:t>
      </w:r>
      <w:r>
        <w:rPr>
          <w:rFonts w:hint="eastAsia" w:ascii="宋体" w:hAnsi="宋体" w:eastAsia="宋体" w:cs="宋体"/>
          <w:bCs/>
          <w:color w:val="auto"/>
          <w:sz w:val="21"/>
          <w:szCs w:val="21"/>
          <w:highlight w:val="none"/>
          <w:u w:val="single"/>
        </w:rPr>
        <w:t xml:space="preserve"> 双方法定代表人或委托代理人签字并加盖公章后 </w:t>
      </w:r>
      <w:r>
        <w:rPr>
          <w:rFonts w:hint="eastAsia" w:ascii="宋体" w:hAnsi="宋体" w:eastAsia="宋体" w:cs="宋体"/>
          <w:bCs/>
          <w:color w:val="auto"/>
          <w:sz w:val="21"/>
          <w:szCs w:val="21"/>
          <w:highlight w:val="none"/>
        </w:rPr>
        <w:t>生效。</w:t>
      </w:r>
    </w:p>
    <w:p w14:paraId="3D9512B7">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十四、合同份数</w:t>
      </w:r>
    </w:p>
    <w:p w14:paraId="7DCD58AC">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本合同一式</w:t>
      </w:r>
      <w:r>
        <w:rPr>
          <w:rFonts w:hint="eastAsia" w:ascii="宋体" w:hAnsi="宋体" w:eastAsia="宋体" w:cs="宋体"/>
          <w:bCs/>
          <w:color w:val="auto"/>
          <w:sz w:val="21"/>
          <w:szCs w:val="21"/>
          <w:highlight w:val="none"/>
          <w:u w:val="single"/>
        </w:rPr>
        <w:t xml:space="preserve"> 捌 </w:t>
      </w:r>
      <w:r>
        <w:rPr>
          <w:rFonts w:hint="eastAsia" w:ascii="宋体" w:hAnsi="宋体" w:eastAsia="宋体" w:cs="宋体"/>
          <w:bCs/>
          <w:color w:val="auto"/>
          <w:sz w:val="21"/>
          <w:szCs w:val="21"/>
          <w:highlight w:val="none"/>
        </w:rPr>
        <w:t>份，均具有同等法律效力，发包人执</w:t>
      </w:r>
      <w:r>
        <w:rPr>
          <w:rFonts w:hint="eastAsia" w:ascii="宋体" w:hAnsi="宋体" w:eastAsia="宋体" w:cs="宋体"/>
          <w:bCs/>
          <w:color w:val="auto"/>
          <w:sz w:val="21"/>
          <w:szCs w:val="21"/>
          <w:highlight w:val="none"/>
          <w:u w:val="single"/>
        </w:rPr>
        <w:t xml:space="preserve"> 叁 </w:t>
      </w:r>
      <w:r>
        <w:rPr>
          <w:rFonts w:hint="eastAsia" w:ascii="宋体" w:hAnsi="宋体" w:eastAsia="宋体" w:cs="宋体"/>
          <w:bCs/>
          <w:color w:val="auto"/>
          <w:sz w:val="21"/>
          <w:szCs w:val="21"/>
          <w:highlight w:val="none"/>
        </w:rPr>
        <w:t>份，承包人执</w:t>
      </w:r>
      <w:r>
        <w:rPr>
          <w:rFonts w:hint="eastAsia" w:ascii="宋体" w:hAnsi="宋体" w:eastAsia="宋体" w:cs="宋体"/>
          <w:bCs/>
          <w:color w:val="auto"/>
          <w:sz w:val="21"/>
          <w:szCs w:val="21"/>
          <w:highlight w:val="none"/>
          <w:u w:val="single"/>
        </w:rPr>
        <w:t xml:space="preserve"> 叁 </w:t>
      </w:r>
      <w:r>
        <w:rPr>
          <w:rFonts w:hint="eastAsia" w:ascii="宋体" w:hAnsi="宋体" w:eastAsia="宋体" w:cs="宋体"/>
          <w:bCs/>
          <w:color w:val="auto"/>
          <w:sz w:val="21"/>
          <w:szCs w:val="21"/>
          <w:highlight w:val="none"/>
        </w:rPr>
        <w:t>份，招标代理机构执</w:t>
      </w:r>
      <w:r>
        <w:rPr>
          <w:rFonts w:hint="eastAsia" w:ascii="宋体" w:hAnsi="宋体" w:eastAsia="宋体" w:cs="宋体"/>
          <w:bCs/>
          <w:color w:val="auto"/>
          <w:sz w:val="21"/>
          <w:szCs w:val="21"/>
          <w:highlight w:val="none"/>
          <w:u w:val="single"/>
        </w:rPr>
        <w:t xml:space="preserve"> 贰 </w:t>
      </w:r>
      <w:r>
        <w:rPr>
          <w:rFonts w:hint="eastAsia" w:ascii="宋体" w:hAnsi="宋体" w:eastAsia="宋体" w:cs="宋体"/>
          <w:bCs/>
          <w:color w:val="auto"/>
          <w:sz w:val="21"/>
          <w:szCs w:val="21"/>
          <w:highlight w:val="none"/>
        </w:rPr>
        <w:t>份。</w:t>
      </w:r>
    </w:p>
    <w:p w14:paraId="060348CB">
      <w:pPr>
        <w:spacing w:line="360" w:lineRule="exact"/>
        <w:ind w:firstLine="412" w:firstLineChars="200"/>
        <w:rPr>
          <w:rFonts w:ascii="宋体" w:hAnsi="宋体" w:eastAsia="宋体" w:cs="宋体"/>
          <w:bCs/>
          <w:color w:val="auto"/>
          <w:sz w:val="21"/>
          <w:szCs w:val="21"/>
          <w:highlight w:val="none"/>
        </w:rPr>
      </w:pPr>
    </w:p>
    <w:tbl>
      <w:tblPr>
        <w:tblStyle w:val="23"/>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78DB5B1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05C4FB4C">
            <w:pPr>
              <w:spacing w:line="360" w:lineRule="exact"/>
              <w:ind w:firstLine="412" w:firstLineChars="200"/>
              <w:rPr>
                <w:rFonts w:ascii="宋体" w:hAnsi="宋体" w:eastAsia="宋体" w:cs="宋体"/>
                <w:bCs/>
                <w:color w:val="auto"/>
                <w:sz w:val="21"/>
                <w:szCs w:val="21"/>
                <w:highlight w:val="none"/>
              </w:rPr>
            </w:pPr>
          </w:p>
          <w:p w14:paraId="5AD44A2F">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发包人：（公章或合同专用章）</w:t>
            </w:r>
          </w:p>
          <w:p w14:paraId="1F8EB8B9">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住所：</w:t>
            </w:r>
          </w:p>
          <w:p w14:paraId="03122DB6">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法定代表人(签字)</w:t>
            </w:r>
          </w:p>
          <w:p w14:paraId="05D3DF14">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或委托代理人(签字)：</w:t>
            </w:r>
          </w:p>
          <w:p w14:paraId="072B2C83">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电话：</w:t>
            </w:r>
          </w:p>
          <w:p w14:paraId="77EAB3AD">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传真：</w:t>
            </w:r>
          </w:p>
          <w:p w14:paraId="7A463877">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开户银行：</w:t>
            </w:r>
          </w:p>
          <w:p w14:paraId="54A5CEAE">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账号：</w:t>
            </w:r>
          </w:p>
          <w:p w14:paraId="68940460">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邮政编码：</w:t>
            </w:r>
          </w:p>
          <w:p w14:paraId="0EE6BE5B">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电子邮箱：</w:t>
            </w:r>
          </w:p>
        </w:tc>
        <w:tc>
          <w:tcPr>
            <w:tcW w:w="4620" w:type="dxa"/>
          </w:tcPr>
          <w:p w14:paraId="551F3F9B">
            <w:pPr>
              <w:spacing w:line="360" w:lineRule="exact"/>
              <w:ind w:firstLine="412" w:firstLineChars="200"/>
              <w:rPr>
                <w:rFonts w:ascii="宋体" w:hAnsi="宋体" w:eastAsia="宋体" w:cs="宋体"/>
                <w:bCs/>
                <w:color w:val="auto"/>
                <w:sz w:val="21"/>
                <w:szCs w:val="21"/>
                <w:highlight w:val="none"/>
              </w:rPr>
            </w:pPr>
          </w:p>
          <w:p w14:paraId="6E5C20E3">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承包人：（公章或合同专用章）</w:t>
            </w:r>
          </w:p>
          <w:p w14:paraId="615F3EAA">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住所：</w:t>
            </w:r>
          </w:p>
          <w:p w14:paraId="7DA769BE">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法定代表人(签字)：</w:t>
            </w:r>
          </w:p>
          <w:p w14:paraId="16FC93CD">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或委托代理人(签字)：</w:t>
            </w:r>
          </w:p>
          <w:p w14:paraId="4A2D0086">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电话：</w:t>
            </w:r>
          </w:p>
          <w:p w14:paraId="54C81D4D">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传真：</w:t>
            </w:r>
          </w:p>
          <w:p w14:paraId="5645CB30">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开户银行：</w:t>
            </w:r>
          </w:p>
          <w:p w14:paraId="3746F876">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账号：</w:t>
            </w:r>
          </w:p>
          <w:p w14:paraId="49B1357F">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邮政编码：　　　　</w:t>
            </w:r>
          </w:p>
          <w:p w14:paraId="78C298E1">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电子邮箱：</w:t>
            </w:r>
          </w:p>
        </w:tc>
      </w:tr>
    </w:tbl>
    <w:p w14:paraId="134EFF28">
      <w:pPr>
        <w:pStyle w:val="4"/>
        <w:numPr>
          <w:ilvl w:val="0"/>
          <w:numId w:val="0"/>
        </w:numPr>
        <w:spacing w:line="400" w:lineRule="exact"/>
        <w:jc w:val="center"/>
        <w:rPr>
          <w:rFonts w:ascii="宋体" w:eastAsia="宋体" w:cs="宋体"/>
          <w:color w:val="auto"/>
          <w:sz w:val="32"/>
          <w:szCs w:val="32"/>
          <w:highlight w:val="none"/>
        </w:rPr>
      </w:pPr>
      <w:r>
        <w:rPr>
          <w:rFonts w:hint="eastAsia" w:ascii="宋体" w:eastAsia="宋体" w:cs="宋体"/>
          <w:color w:val="auto"/>
          <w:szCs w:val="21"/>
          <w:highlight w:val="none"/>
        </w:rPr>
        <w:br w:type="page"/>
      </w:r>
      <w:r>
        <w:rPr>
          <w:rFonts w:hint="eastAsia" w:ascii="宋体" w:eastAsia="宋体" w:cs="宋体"/>
          <w:color w:val="auto"/>
          <w:sz w:val="32"/>
          <w:szCs w:val="32"/>
          <w:highlight w:val="none"/>
        </w:rPr>
        <w:t>第二部分 通用条款（略）</w:t>
      </w:r>
    </w:p>
    <w:p w14:paraId="7969DBC4">
      <w:pPr>
        <w:rPr>
          <w:rFonts w:ascii="宋体" w:hAnsi="宋体" w:eastAsia="宋体" w:cs="宋体"/>
          <w:b/>
          <w:color w:val="auto"/>
          <w:sz w:val="28"/>
          <w:szCs w:val="28"/>
          <w:highlight w:val="none"/>
        </w:rPr>
      </w:pPr>
    </w:p>
    <w:p w14:paraId="73FA4231">
      <w:pPr>
        <w:rPr>
          <w:rFonts w:ascii="宋体" w:hAnsi="宋体" w:eastAsia="宋体" w:cs="宋体"/>
          <w:b/>
          <w:color w:val="auto"/>
          <w:sz w:val="21"/>
          <w:szCs w:val="21"/>
          <w:highlight w:val="none"/>
        </w:rPr>
      </w:pPr>
    </w:p>
    <w:p w14:paraId="4FABFE47">
      <w:pPr>
        <w:rPr>
          <w:rFonts w:ascii="宋体" w:hAnsi="宋体" w:eastAsia="宋体" w:cs="宋体"/>
          <w:b/>
          <w:color w:val="auto"/>
          <w:sz w:val="21"/>
          <w:szCs w:val="21"/>
          <w:highlight w:val="none"/>
        </w:rPr>
      </w:pPr>
    </w:p>
    <w:p w14:paraId="07C63803">
      <w:pPr>
        <w:rPr>
          <w:rFonts w:ascii="宋体" w:hAnsi="宋体" w:eastAsia="宋体" w:cs="宋体"/>
          <w:b/>
          <w:color w:val="auto"/>
          <w:sz w:val="21"/>
          <w:szCs w:val="21"/>
          <w:highlight w:val="none"/>
        </w:rPr>
      </w:pPr>
    </w:p>
    <w:p w14:paraId="7C6626BB">
      <w:pPr>
        <w:rPr>
          <w:rFonts w:ascii="宋体" w:hAnsi="宋体" w:eastAsia="宋体" w:cs="宋体"/>
          <w:b/>
          <w:color w:val="auto"/>
          <w:sz w:val="21"/>
          <w:szCs w:val="21"/>
          <w:highlight w:val="none"/>
        </w:rPr>
      </w:pPr>
    </w:p>
    <w:p w14:paraId="62A02A31">
      <w:pPr>
        <w:rPr>
          <w:rFonts w:ascii="宋体" w:hAnsi="宋体" w:eastAsia="宋体" w:cs="宋体"/>
          <w:b/>
          <w:color w:val="auto"/>
          <w:sz w:val="21"/>
          <w:szCs w:val="21"/>
          <w:highlight w:val="none"/>
        </w:rPr>
      </w:pPr>
    </w:p>
    <w:p w14:paraId="459DA755">
      <w:pPr>
        <w:rPr>
          <w:rFonts w:ascii="宋体" w:hAnsi="宋体" w:eastAsia="宋体" w:cs="宋体"/>
          <w:b/>
          <w:color w:val="auto"/>
          <w:sz w:val="21"/>
          <w:szCs w:val="21"/>
          <w:highlight w:val="none"/>
        </w:rPr>
      </w:pPr>
    </w:p>
    <w:p w14:paraId="4D7C8B7C">
      <w:pPr>
        <w:rPr>
          <w:rFonts w:ascii="宋体" w:hAnsi="宋体" w:eastAsia="宋体" w:cs="宋体"/>
          <w:b/>
          <w:color w:val="auto"/>
          <w:sz w:val="21"/>
          <w:szCs w:val="21"/>
          <w:highlight w:val="none"/>
        </w:rPr>
      </w:pPr>
    </w:p>
    <w:p w14:paraId="5B46581B">
      <w:pPr>
        <w:rPr>
          <w:rFonts w:ascii="宋体" w:hAnsi="宋体" w:eastAsia="宋体" w:cs="宋体"/>
          <w:b/>
          <w:color w:val="auto"/>
          <w:sz w:val="21"/>
          <w:szCs w:val="21"/>
          <w:highlight w:val="none"/>
        </w:rPr>
      </w:pPr>
    </w:p>
    <w:p w14:paraId="0BD7C1F4">
      <w:pPr>
        <w:rPr>
          <w:rFonts w:ascii="宋体" w:hAnsi="宋体" w:eastAsia="宋体" w:cs="宋体"/>
          <w:b/>
          <w:color w:val="auto"/>
          <w:sz w:val="21"/>
          <w:szCs w:val="21"/>
          <w:highlight w:val="none"/>
        </w:rPr>
      </w:pPr>
    </w:p>
    <w:p w14:paraId="4431194C">
      <w:pPr>
        <w:rPr>
          <w:rFonts w:ascii="宋体" w:hAnsi="宋体" w:eastAsia="宋体" w:cs="宋体"/>
          <w:b/>
          <w:color w:val="auto"/>
          <w:sz w:val="21"/>
          <w:szCs w:val="21"/>
          <w:highlight w:val="none"/>
        </w:rPr>
      </w:pPr>
    </w:p>
    <w:p w14:paraId="07CC3043">
      <w:pPr>
        <w:rPr>
          <w:rFonts w:ascii="宋体" w:hAnsi="宋体" w:eastAsia="宋体" w:cs="宋体"/>
          <w:b/>
          <w:color w:val="auto"/>
          <w:sz w:val="21"/>
          <w:szCs w:val="21"/>
          <w:highlight w:val="none"/>
        </w:rPr>
      </w:pPr>
    </w:p>
    <w:p w14:paraId="2D5CC43C">
      <w:pPr>
        <w:rPr>
          <w:rFonts w:ascii="宋体" w:hAnsi="宋体" w:eastAsia="宋体" w:cs="宋体"/>
          <w:b/>
          <w:color w:val="auto"/>
          <w:sz w:val="21"/>
          <w:szCs w:val="21"/>
          <w:highlight w:val="none"/>
        </w:rPr>
      </w:pPr>
    </w:p>
    <w:p w14:paraId="46146E50">
      <w:pPr>
        <w:rPr>
          <w:rFonts w:ascii="宋体" w:hAnsi="宋体" w:eastAsia="宋体" w:cs="宋体"/>
          <w:b/>
          <w:color w:val="auto"/>
          <w:sz w:val="21"/>
          <w:szCs w:val="21"/>
          <w:highlight w:val="none"/>
        </w:rPr>
      </w:pPr>
    </w:p>
    <w:p w14:paraId="217082B2">
      <w:pPr>
        <w:rPr>
          <w:rFonts w:ascii="宋体" w:hAnsi="宋体" w:eastAsia="宋体" w:cs="宋体"/>
          <w:b/>
          <w:color w:val="auto"/>
          <w:sz w:val="21"/>
          <w:szCs w:val="21"/>
          <w:highlight w:val="none"/>
        </w:rPr>
      </w:pPr>
    </w:p>
    <w:p w14:paraId="7585778F">
      <w:pPr>
        <w:rPr>
          <w:rFonts w:ascii="宋体" w:hAnsi="宋体" w:eastAsia="宋体" w:cs="宋体"/>
          <w:b/>
          <w:color w:val="auto"/>
          <w:sz w:val="21"/>
          <w:szCs w:val="21"/>
          <w:highlight w:val="none"/>
        </w:rPr>
      </w:pPr>
    </w:p>
    <w:p w14:paraId="57560F53">
      <w:pPr>
        <w:rPr>
          <w:rFonts w:ascii="宋体" w:hAnsi="宋体" w:eastAsia="宋体" w:cs="宋体"/>
          <w:b/>
          <w:color w:val="auto"/>
          <w:sz w:val="21"/>
          <w:szCs w:val="21"/>
          <w:highlight w:val="none"/>
        </w:rPr>
      </w:pPr>
    </w:p>
    <w:p w14:paraId="6AE7C3BC">
      <w:pPr>
        <w:rPr>
          <w:rFonts w:ascii="宋体" w:hAnsi="宋体" w:eastAsia="宋体" w:cs="宋体"/>
          <w:b/>
          <w:color w:val="auto"/>
          <w:sz w:val="21"/>
          <w:szCs w:val="21"/>
          <w:highlight w:val="none"/>
        </w:rPr>
      </w:pPr>
    </w:p>
    <w:p w14:paraId="189BE5ED">
      <w:pPr>
        <w:rPr>
          <w:rFonts w:ascii="宋体" w:hAnsi="宋体" w:eastAsia="宋体" w:cs="宋体"/>
          <w:b/>
          <w:color w:val="auto"/>
          <w:sz w:val="21"/>
          <w:szCs w:val="21"/>
          <w:highlight w:val="none"/>
        </w:rPr>
      </w:pPr>
    </w:p>
    <w:p w14:paraId="35705124">
      <w:pPr>
        <w:widowControl/>
        <w:jc w:val="left"/>
        <w:rPr>
          <w:rFonts w:ascii="宋体" w:hAnsi="宋体" w:eastAsia="宋体" w:cs="宋体"/>
          <w:b/>
          <w:color w:val="auto"/>
          <w:sz w:val="21"/>
          <w:szCs w:val="21"/>
          <w:highlight w:val="none"/>
        </w:rPr>
      </w:pPr>
      <w:r>
        <w:rPr>
          <w:rFonts w:ascii="宋体" w:hAnsi="宋体" w:eastAsia="宋体" w:cs="宋体"/>
          <w:b/>
          <w:color w:val="auto"/>
          <w:sz w:val="21"/>
          <w:szCs w:val="21"/>
          <w:highlight w:val="none"/>
        </w:rPr>
        <w:br w:type="page"/>
      </w:r>
    </w:p>
    <w:p w14:paraId="4F374A70">
      <w:pPr>
        <w:pStyle w:val="4"/>
        <w:numPr>
          <w:ilvl w:val="0"/>
          <w:numId w:val="0"/>
        </w:numPr>
        <w:spacing w:line="400" w:lineRule="exact"/>
        <w:jc w:val="center"/>
        <w:rPr>
          <w:rFonts w:ascii="宋体" w:eastAsia="宋体" w:cs="宋体"/>
          <w:color w:val="auto"/>
          <w:sz w:val="32"/>
          <w:szCs w:val="32"/>
          <w:highlight w:val="none"/>
        </w:rPr>
      </w:pPr>
      <w:r>
        <w:rPr>
          <w:rFonts w:hint="eastAsia" w:ascii="宋体" w:eastAsia="宋体" w:cs="宋体"/>
          <w:color w:val="auto"/>
          <w:sz w:val="32"/>
          <w:szCs w:val="32"/>
          <w:highlight w:val="none"/>
        </w:rPr>
        <w:t>第三部分  专用合同条款</w:t>
      </w:r>
    </w:p>
    <w:p w14:paraId="7CF6354A">
      <w:pPr>
        <w:spacing w:line="400" w:lineRule="exact"/>
        <w:rPr>
          <w:rFonts w:ascii="宋体" w:hAnsi="宋体" w:eastAsia="宋体" w:cs="宋体"/>
          <w:color w:val="auto"/>
          <w:sz w:val="21"/>
          <w:szCs w:val="21"/>
          <w:highlight w:val="none"/>
        </w:rPr>
      </w:pPr>
    </w:p>
    <w:p w14:paraId="77BF43B3">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1．一般约定</w:t>
      </w:r>
    </w:p>
    <w:p w14:paraId="368C31F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 词语定义</w:t>
      </w:r>
    </w:p>
    <w:p w14:paraId="11262AA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1.1.1合同</w:t>
      </w:r>
    </w:p>
    <w:p w14:paraId="542E376E">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1.1.1.10其他合同文件包括：</w:t>
      </w:r>
      <w:r>
        <w:rPr>
          <w:rFonts w:hint="eastAsia" w:ascii="宋体" w:hAnsi="宋体" w:eastAsia="宋体" w:cs="宋体"/>
          <w:color w:val="auto"/>
          <w:kern w:val="0"/>
          <w:sz w:val="21"/>
          <w:szCs w:val="21"/>
          <w:highlight w:val="none"/>
          <w:u w:val="single"/>
        </w:rPr>
        <w:t>工程招标文件、《关于进一步完善政府投资项目管理的若干意见》（临政办发〔2018〕167号）、除投标函及其附录和已标价工程量清单或预算书外的其它投标文件。</w:t>
      </w:r>
    </w:p>
    <w:p w14:paraId="008DA8E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1.1.2合同当事人及其他相关方</w:t>
      </w:r>
    </w:p>
    <w:p w14:paraId="0D3FCDF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1.1.2.4监理人：</w:t>
      </w:r>
    </w:p>
    <w:p w14:paraId="317A4AB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02CE223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资质类别和等级：</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194383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F20E35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3453B4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A229CC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1.1.2.5设计人：</w:t>
      </w:r>
    </w:p>
    <w:p w14:paraId="4ED2A8C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DA0475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资质类别和等级：</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3FD1955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4AF650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30843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C4909F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1.1.3工程和设备</w:t>
      </w:r>
    </w:p>
    <w:p w14:paraId="29C4C93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1.1.3.7作为施工现场组成部分的其他场所包括：</w:t>
      </w:r>
      <w:r>
        <w:rPr>
          <w:rFonts w:hint="eastAsia" w:ascii="宋体" w:hAnsi="宋体" w:eastAsia="宋体" w:cs="宋体"/>
          <w:color w:val="auto"/>
          <w:kern w:val="0"/>
          <w:sz w:val="21"/>
          <w:szCs w:val="21"/>
          <w:highlight w:val="none"/>
          <w:u w:val="single"/>
        </w:rPr>
        <w:t xml:space="preserve">                                        </w:t>
      </w:r>
    </w:p>
    <w:p w14:paraId="5603FF5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1.1.3.9永久占地包括：</w:t>
      </w:r>
      <w:r>
        <w:rPr>
          <w:rFonts w:hint="eastAsia" w:ascii="宋体" w:hAnsi="宋体" w:eastAsia="宋体" w:cs="宋体"/>
          <w:color w:val="auto"/>
          <w:kern w:val="0"/>
          <w:sz w:val="21"/>
          <w:szCs w:val="21"/>
          <w:highlight w:val="none"/>
          <w:u w:val="single"/>
        </w:rPr>
        <w:t xml:space="preserve">                                                             </w:t>
      </w:r>
    </w:p>
    <w:p w14:paraId="5C20B8A1">
      <w:pPr>
        <w:spacing w:line="400" w:lineRule="exact"/>
        <w:ind w:firstLine="412" w:firstLineChars="200"/>
        <w:rPr>
          <w:rFonts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1.1.3.10临时占地包括：</w:t>
      </w:r>
      <w:r>
        <w:rPr>
          <w:rFonts w:hint="eastAsia" w:ascii="宋体" w:hAnsi="宋体" w:eastAsia="宋体" w:cs="宋体"/>
          <w:color w:val="auto"/>
          <w:kern w:val="0"/>
          <w:sz w:val="21"/>
          <w:szCs w:val="21"/>
          <w:highlight w:val="none"/>
          <w:u w:val="single"/>
          <w:shd w:val="clear" w:color="auto" w:fill="auto"/>
        </w:rPr>
        <w:t xml:space="preserve">                                                            </w:t>
      </w:r>
    </w:p>
    <w:p w14:paraId="2857579E">
      <w:pPr>
        <w:spacing w:line="400" w:lineRule="exact"/>
        <w:ind w:firstLine="412" w:firstLineChars="200"/>
        <w:rPr>
          <w:rFonts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1.3 法律</w:t>
      </w:r>
    </w:p>
    <w:p w14:paraId="01781659">
      <w:pPr>
        <w:autoSpaceDE w:val="0"/>
        <w:autoSpaceDN w:val="0"/>
        <w:adjustRightInd w:val="0"/>
        <w:spacing w:line="400" w:lineRule="exact"/>
        <w:ind w:firstLine="412" w:firstLineChars="200"/>
        <w:rPr>
          <w:rFonts w:hint="eastAsia" w:ascii="宋体" w:hAnsi="宋体" w:eastAsia="宋体" w:cs="宋体"/>
          <w:color w:val="auto"/>
          <w:sz w:val="21"/>
          <w:szCs w:val="21"/>
          <w:highlight w:val="none"/>
          <w:u w:val="single"/>
          <w:shd w:val="clear" w:color="auto" w:fill="auto"/>
          <w:lang w:eastAsia="zh-CN"/>
        </w:rPr>
      </w:pPr>
      <w:r>
        <w:rPr>
          <w:rFonts w:hint="eastAsia" w:ascii="宋体" w:hAnsi="宋体" w:eastAsia="宋体" w:cs="宋体"/>
          <w:color w:val="auto"/>
          <w:sz w:val="21"/>
          <w:szCs w:val="21"/>
          <w:highlight w:val="none"/>
          <w:u w:val="single"/>
          <w:shd w:val="clear" w:color="auto" w:fill="auto"/>
        </w:rPr>
        <w:t>适用于合同的其他规范性文件：</w:t>
      </w:r>
      <w:r>
        <w:rPr>
          <w:rFonts w:hint="eastAsia" w:ascii="宋体" w:hAnsi="宋体" w:eastAsia="宋体" w:cs="宋体"/>
          <w:color w:val="auto"/>
          <w:sz w:val="21"/>
          <w:szCs w:val="21"/>
          <w:highlight w:val="none"/>
          <w:u w:val="single"/>
          <w:shd w:val="clear" w:color="auto" w:fill="auto"/>
          <w:lang w:val="en-US" w:eastAsia="zh-CN"/>
        </w:rPr>
        <w:t>工程所在地现行的有关工程造价方面规定文件等</w:t>
      </w:r>
      <w:r>
        <w:rPr>
          <w:rFonts w:hint="eastAsia" w:ascii="宋体" w:hAnsi="宋体" w:eastAsia="宋体" w:cs="宋体"/>
          <w:color w:val="auto"/>
          <w:sz w:val="21"/>
          <w:szCs w:val="21"/>
          <w:highlight w:val="none"/>
          <w:u w:val="single"/>
          <w:shd w:val="clear" w:color="auto" w:fill="auto"/>
          <w:lang w:eastAsia="zh-CN"/>
        </w:rPr>
        <w:t>。</w:t>
      </w:r>
    </w:p>
    <w:p w14:paraId="25246551">
      <w:pPr>
        <w:spacing w:line="400" w:lineRule="exact"/>
        <w:ind w:firstLine="412" w:firstLineChars="200"/>
        <w:rPr>
          <w:rFonts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1.4 标准和规范</w:t>
      </w:r>
    </w:p>
    <w:p w14:paraId="661EA1E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auto"/>
        </w:rPr>
        <w:t>1.4.1适用于工程的标准规范包括：</w:t>
      </w:r>
      <w:r>
        <w:rPr>
          <w:rFonts w:hint="eastAsia" w:ascii="宋体" w:hAnsi="宋体" w:eastAsia="宋体" w:cs="宋体"/>
          <w:color w:val="auto"/>
          <w:sz w:val="21"/>
          <w:szCs w:val="21"/>
          <w:highlight w:val="none"/>
          <w:u w:val="single"/>
          <w:shd w:val="clear" w:color="auto" w:fill="auto"/>
        </w:rPr>
        <w:t>现行的国家、省、市施工验收规范、质量评定标准及有关规定。合同工期内</w:t>
      </w:r>
      <w:r>
        <w:rPr>
          <w:rFonts w:hint="eastAsia" w:ascii="宋体" w:hAnsi="宋体" w:eastAsia="宋体" w:cs="宋体"/>
          <w:color w:val="auto"/>
          <w:sz w:val="21"/>
          <w:szCs w:val="21"/>
          <w:highlight w:val="none"/>
          <w:u w:val="single"/>
        </w:rPr>
        <w:t>的标准、规范，招标文件中的技术要求等</w:t>
      </w:r>
      <w:r>
        <w:rPr>
          <w:rFonts w:hint="eastAsia" w:ascii="宋体" w:hAnsi="宋体" w:eastAsia="宋体" w:cs="宋体"/>
          <w:color w:val="auto"/>
          <w:sz w:val="21"/>
          <w:szCs w:val="21"/>
          <w:highlight w:val="none"/>
        </w:rPr>
        <w:t>。</w:t>
      </w:r>
    </w:p>
    <w:p w14:paraId="575A4CB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1.4.2发包人提供国外标准、规范的名称：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3F1D80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发包人提供国外标准、规范的份数：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61B6ED1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发包人提供国外标准、规范的名称：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0AAD48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1.4.3发包人对工程的技术标准和功能要求的特殊要求：</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C6F0D20">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（国家没有相应标准、规范且不使用国外标准、规范时，按发包人和承包人商定的方案施工）</w:t>
      </w:r>
      <w:r>
        <w:rPr>
          <w:rFonts w:hint="eastAsia" w:ascii="宋体" w:hAnsi="宋体" w:eastAsia="宋体" w:cs="宋体"/>
          <w:color w:val="auto"/>
          <w:sz w:val="21"/>
          <w:szCs w:val="21"/>
          <w:highlight w:val="none"/>
        </w:rPr>
        <w:t>。</w:t>
      </w:r>
    </w:p>
    <w:p w14:paraId="7BCAC6E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 合同文件的优先顺序</w:t>
      </w:r>
    </w:p>
    <w:p w14:paraId="7ED3A7E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合同文件组成及优先顺序为：</w:t>
      </w:r>
      <w:r>
        <w:rPr>
          <w:rFonts w:hint="eastAsia" w:ascii="宋体" w:hAnsi="宋体" w:eastAsia="宋体" w:cs="宋体"/>
          <w:color w:val="auto"/>
          <w:sz w:val="21"/>
          <w:szCs w:val="21"/>
          <w:highlight w:val="none"/>
          <w:u w:val="single"/>
        </w:rPr>
        <w:t>按合同通用条款。</w:t>
      </w:r>
    </w:p>
    <w:p w14:paraId="599F0CD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 图纸和承包人文件</w:t>
      </w:r>
      <w:r>
        <w:rPr>
          <w:rFonts w:hint="eastAsia" w:ascii="宋体" w:hAnsi="宋体" w:eastAsia="宋体" w:cs="宋体"/>
          <w:color w:val="auto"/>
          <w:sz w:val="21"/>
          <w:szCs w:val="21"/>
          <w:highlight w:val="none"/>
        </w:rPr>
        <w:tab/>
      </w:r>
    </w:p>
    <w:p w14:paraId="49759D2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1.6.1图纸的提供</w:t>
      </w:r>
    </w:p>
    <w:p w14:paraId="1A96E00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发包人向承包人提供图纸的期限：</w:t>
      </w:r>
      <w:r>
        <w:rPr>
          <w:rFonts w:hint="eastAsia" w:ascii="宋体" w:hAnsi="宋体" w:eastAsia="宋体" w:cs="宋体"/>
          <w:color w:val="auto"/>
          <w:sz w:val="21"/>
          <w:szCs w:val="21"/>
          <w:highlight w:val="none"/>
          <w:u w:val="single"/>
        </w:rPr>
        <w:t>开工日期14天前</w:t>
      </w:r>
      <w:r>
        <w:rPr>
          <w:rFonts w:hint="eastAsia" w:ascii="宋体" w:hAnsi="宋体" w:eastAsia="宋体" w:cs="宋体"/>
          <w:color w:val="auto"/>
          <w:sz w:val="21"/>
          <w:szCs w:val="21"/>
          <w:highlight w:val="none"/>
        </w:rPr>
        <w:t>；</w:t>
      </w:r>
    </w:p>
    <w:p w14:paraId="18C1BC1D">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发包人向承包人提供图纸的数量：</w:t>
      </w:r>
      <w:r>
        <w:rPr>
          <w:rFonts w:hint="eastAsia" w:ascii="宋体" w:hAnsi="宋体" w:eastAsia="宋体" w:cs="宋体"/>
          <w:color w:val="auto"/>
          <w:sz w:val="21"/>
          <w:szCs w:val="21"/>
          <w:highlight w:val="none"/>
          <w:u w:val="single"/>
        </w:rPr>
        <w:t>纸质施工图叁套并附目录清单及与其一致的电子版施工图。</w:t>
      </w:r>
    </w:p>
    <w:p w14:paraId="6E4783A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发包人向承包人提供图纸的内容：</w:t>
      </w:r>
      <w:r>
        <w:rPr>
          <w:rFonts w:hint="eastAsia" w:ascii="宋体" w:hAnsi="宋体" w:eastAsia="宋体" w:cs="宋体"/>
          <w:color w:val="auto"/>
          <w:sz w:val="21"/>
          <w:szCs w:val="21"/>
          <w:highlight w:val="none"/>
          <w:u w:val="single"/>
        </w:rPr>
        <w:t>须载明施工图纸名称、工程号、版本、出图日期、目录、已有的变更联系单编号等</w:t>
      </w:r>
      <w:r>
        <w:rPr>
          <w:rFonts w:hint="eastAsia" w:ascii="宋体" w:hAnsi="宋体" w:eastAsia="宋体" w:cs="宋体"/>
          <w:color w:val="auto"/>
          <w:sz w:val="21"/>
          <w:szCs w:val="21"/>
          <w:highlight w:val="none"/>
        </w:rPr>
        <w:t>。</w:t>
      </w:r>
    </w:p>
    <w:p w14:paraId="010248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1.6.4承包人文件</w:t>
      </w:r>
    </w:p>
    <w:p w14:paraId="2114BA4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需要由承包人提供的文件，包括：</w:t>
      </w:r>
      <w:r>
        <w:rPr>
          <w:rFonts w:hint="eastAsia" w:ascii="宋体" w:hAnsi="宋体" w:eastAsia="宋体" w:cs="宋体"/>
          <w:color w:val="auto"/>
          <w:sz w:val="21"/>
          <w:szCs w:val="21"/>
          <w:highlight w:val="none"/>
          <w:u w:val="single"/>
        </w:rPr>
        <w:t>资金月使用计划，施工组织设计、专项施工方案、工程总进度计划、工程月进度计划表等</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承包人提交修正后的施工组织设计、专项施工方案等的技术标准不低于投标承诺或原承诺标准，且修改或优化后的施工组织设计、专项施工方案须报监理人、发包人批准</w:t>
      </w:r>
      <w:r>
        <w:rPr>
          <w:rFonts w:hint="eastAsia" w:ascii="宋体" w:hAnsi="宋体" w:eastAsia="宋体" w:cs="宋体"/>
          <w:color w:val="auto"/>
          <w:sz w:val="21"/>
          <w:szCs w:val="21"/>
          <w:highlight w:val="none"/>
        </w:rPr>
        <w:t>；</w:t>
      </w:r>
    </w:p>
    <w:p w14:paraId="1B76850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承包人提供的文件的期限为：</w:t>
      </w:r>
      <w:r>
        <w:rPr>
          <w:rFonts w:hint="eastAsia" w:ascii="宋体" w:hAnsi="宋体" w:eastAsia="宋体" w:cs="宋体"/>
          <w:color w:val="auto"/>
          <w:sz w:val="21"/>
          <w:szCs w:val="21"/>
          <w:highlight w:val="none"/>
          <w:u w:val="single"/>
        </w:rPr>
        <w:t>施工组织设计、进度计划在接到开工通知（或确定开工日期）后7天内，专项施工方案在相应部位施工前7天；发包人对承包人的施工组织设计（或方案）和进度计划提出质疑和合理修正时，承包人应7天内提供修正完成并重新提交；每月20日前向发包人提交下月进度计划和施工方案</w:t>
      </w:r>
      <w:r>
        <w:rPr>
          <w:rFonts w:hint="eastAsia" w:ascii="宋体" w:hAnsi="宋体" w:eastAsia="宋体" w:cs="宋体"/>
          <w:color w:val="auto"/>
          <w:sz w:val="21"/>
          <w:szCs w:val="21"/>
          <w:highlight w:val="none"/>
        </w:rPr>
        <w:t>；</w:t>
      </w:r>
    </w:p>
    <w:p w14:paraId="3353E4D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承包人提供的文件的数量为：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2019D0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承包人提供的文件的形式为：</w:t>
      </w:r>
      <w:r>
        <w:rPr>
          <w:rFonts w:hint="eastAsia" w:ascii="宋体" w:hAnsi="宋体" w:eastAsia="宋体" w:cs="宋体"/>
          <w:color w:val="auto"/>
          <w:sz w:val="21"/>
          <w:szCs w:val="21"/>
          <w:highlight w:val="none"/>
          <w:u w:val="single"/>
        </w:rPr>
        <w:t xml:space="preserve">       纸质及电子版本      </w:t>
      </w:r>
      <w:r>
        <w:rPr>
          <w:rFonts w:hint="eastAsia" w:ascii="宋体" w:hAnsi="宋体" w:eastAsia="宋体" w:cs="宋体"/>
          <w:color w:val="auto"/>
          <w:sz w:val="21"/>
          <w:szCs w:val="21"/>
          <w:highlight w:val="none"/>
        </w:rPr>
        <w:t>；</w:t>
      </w:r>
    </w:p>
    <w:p w14:paraId="364CC5A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发包人审批承包人文件的期限：</w:t>
      </w:r>
      <w:r>
        <w:rPr>
          <w:rFonts w:hint="eastAsia" w:ascii="宋体" w:hAnsi="宋体" w:eastAsia="宋体" w:cs="宋体"/>
          <w:color w:val="auto"/>
          <w:sz w:val="21"/>
          <w:szCs w:val="21"/>
          <w:highlight w:val="none"/>
          <w:u w:val="single"/>
        </w:rPr>
        <w:t xml:space="preserve">   收到相应文件后7天内  </w:t>
      </w:r>
      <w:r>
        <w:rPr>
          <w:rFonts w:hint="eastAsia" w:ascii="宋体" w:hAnsi="宋体" w:eastAsia="宋体" w:cs="宋体"/>
          <w:color w:val="auto"/>
          <w:sz w:val="21"/>
          <w:szCs w:val="21"/>
          <w:highlight w:val="none"/>
        </w:rPr>
        <w:t>。</w:t>
      </w:r>
    </w:p>
    <w:p w14:paraId="3AEF7AD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1.6.5现场图纸准备</w:t>
      </w:r>
    </w:p>
    <w:p w14:paraId="379E304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关于现场图纸准备的约定：</w:t>
      </w:r>
      <w:r>
        <w:rPr>
          <w:rFonts w:hint="eastAsia" w:ascii="宋体" w:hAnsi="宋体" w:eastAsia="宋体" w:cs="宋体"/>
          <w:color w:val="auto"/>
          <w:sz w:val="21"/>
          <w:szCs w:val="21"/>
          <w:highlight w:val="none"/>
          <w:u w:val="single"/>
        </w:rPr>
        <w:t>由监理人在现场保管一套完整施工图，供发包人、监理人及有关人员进行工程检查等活动时使用</w:t>
      </w:r>
      <w:r>
        <w:rPr>
          <w:rFonts w:hint="eastAsia" w:ascii="宋体" w:hAnsi="宋体" w:eastAsia="宋体" w:cs="宋体"/>
          <w:color w:val="auto"/>
          <w:sz w:val="21"/>
          <w:szCs w:val="21"/>
          <w:highlight w:val="none"/>
        </w:rPr>
        <w:t>。</w:t>
      </w:r>
    </w:p>
    <w:p w14:paraId="5800610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1.7 联络</w:t>
      </w:r>
    </w:p>
    <w:p w14:paraId="305359BC">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1.7.1发包人和承包人应当在</w:t>
      </w:r>
      <w:r>
        <w:rPr>
          <w:rFonts w:hint="eastAsia" w:ascii="宋体" w:hAnsi="宋体" w:eastAsia="宋体" w:cs="宋体"/>
          <w:color w:val="auto"/>
          <w:sz w:val="21"/>
          <w:szCs w:val="21"/>
          <w:highlight w:val="none"/>
          <w:u w:val="single"/>
        </w:rPr>
        <w:t xml:space="preserve">  7  </w:t>
      </w:r>
      <w:r>
        <w:rPr>
          <w:rFonts w:hint="eastAsia" w:ascii="宋体" w:hAnsi="宋体" w:eastAsia="宋体" w:cs="宋体"/>
          <w:color w:val="auto"/>
          <w:kern w:val="0"/>
          <w:sz w:val="21"/>
          <w:szCs w:val="21"/>
          <w:highlight w:val="none"/>
        </w:rPr>
        <w:t>天内将与合同有关的通知、批准、证明、证书、指示、指令、要求、请求、同意、意见、确定和决定等书面函件送达对方当事人。</w:t>
      </w:r>
    </w:p>
    <w:p w14:paraId="12ADBC5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1.7.2发包人接收文件的地点：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6525916">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发包人接收文件的电子</w:t>
      </w:r>
      <w:r>
        <w:rPr>
          <w:rFonts w:hint="eastAsia" w:ascii="宋体" w:hAnsi="宋体" w:eastAsia="宋体" w:cs="宋体"/>
          <w:color w:val="auto"/>
          <w:sz w:val="21"/>
          <w:szCs w:val="21"/>
          <w:highlight w:val="none"/>
        </w:rPr>
        <w:t>信箱</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57A707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发包人指定的接收人为：</w:t>
      </w:r>
      <w:r>
        <w:rPr>
          <w:rFonts w:hint="eastAsia" w:ascii="宋体" w:hAnsi="宋体" w:eastAsia="宋体" w:cs="宋体"/>
          <w:color w:val="auto"/>
          <w:sz w:val="21"/>
          <w:szCs w:val="21"/>
          <w:highlight w:val="none"/>
          <w:u w:val="single"/>
        </w:rPr>
        <w:t xml:space="preserve">       （2人以上及联系电话）       </w:t>
      </w:r>
      <w:r>
        <w:rPr>
          <w:rFonts w:hint="eastAsia" w:ascii="宋体" w:hAnsi="宋体" w:eastAsia="宋体" w:cs="宋体"/>
          <w:color w:val="auto"/>
          <w:kern w:val="0"/>
          <w:sz w:val="21"/>
          <w:szCs w:val="21"/>
          <w:highlight w:val="none"/>
        </w:rPr>
        <w:t>。</w:t>
      </w:r>
    </w:p>
    <w:p w14:paraId="72576CBD">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承包人接收文件的地点：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0A533E53">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承包人接收文件的电子</w:t>
      </w:r>
      <w:r>
        <w:rPr>
          <w:rFonts w:hint="eastAsia" w:ascii="宋体" w:hAnsi="宋体" w:eastAsia="宋体" w:cs="宋体"/>
          <w:color w:val="auto"/>
          <w:sz w:val="21"/>
          <w:szCs w:val="21"/>
          <w:highlight w:val="none"/>
        </w:rPr>
        <w:t>信箱</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E587DC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承包人指定的接收人为：</w:t>
      </w:r>
      <w:r>
        <w:rPr>
          <w:rFonts w:hint="eastAsia" w:ascii="宋体" w:hAnsi="宋体" w:eastAsia="宋体" w:cs="宋体"/>
          <w:color w:val="auto"/>
          <w:sz w:val="21"/>
          <w:szCs w:val="21"/>
          <w:highlight w:val="none"/>
          <w:u w:val="single"/>
        </w:rPr>
        <w:t xml:space="preserve">       （2人以上及联系电话）        </w:t>
      </w:r>
      <w:r>
        <w:rPr>
          <w:rFonts w:hint="eastAsia" w:ascii="宋体" w:hAnsi="宋体" w:eastAsia="宋体" w:cs="宋体"/>
          <w:color w:val="auto"/>
          <w:kern w:val="0"/>
          <w:sz w:val="21"/>
          <w:szCs w:val="21"/>
          <w:highlight w:val="none"/>
        </w:rPr>
        <w:t>。</w:t>
      </w:r>
    </w:p>
    <w:p w14:paraId="67B993B1">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监理人接收文件的地点：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A89D027">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监理人接收文件的电子</w:t>
      </w:r>
      <w:r>
        <w:rPr>
          <w:rFonts w:hint="eastAsia" w:ascii="宋体" w:hAnsi="宋体" w:eastAsia="宋体" w:cs="宋体"/>
          <w:color w:val="auto"/>
          <w:sz w:val="21"/>
          <w:szCs w:val="21"/>
          <w:highlight w:val="none"/>
        </w:rPr>
        <w:t>信箱</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AC2746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监理人指定的接收人为：</w:t>
      </w:r>
      <w:r>
        <w:rPr>
          <w:rFonts w:hint="eastAsia" w:ascii="宋体" w:hAnsi="宋体" w:eastAsia="宋体" w:cs="宋体"/>
          <w:color w:val="auto"/>
          <w:sz w:val="21"/>
          <w:szCs w:val="21"/>
          <w:highlight w:val="none"/>
          <w:u w:val="single"/>
        </w:rPr>
        <w:t xml:space="preserve">       （2人以上及联系电话）        </w:t>
      </w:r>
      <w:r>
        <w:rPr>
          <w:rFonts w:hint="eastAsia" w:ascii="宋体" w:hAnsi="宋体" w:eastAsia="宋体" w:cs="宋体"/>
          <w:color w:val="auto"/>
          <w:kern w:val="0"/>
          <w:sz w:val="21"/>
          <w:szCs w:val="21"/>
          <w:highlight w:val="none"/>
        </w:rPr>
        <w:t>。</w:t>
      </w:r>
    </w:p>
    <w:p w14:paraId="3A29E533">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发包人、承包人、监理人的文件接收地址、接收人（含联系电话）发生变动的，应提前3天通知各方。</w:t>
      </w:r>
    </w:p>
    <w:p w14:paraId="6DB33EF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1.10 交通运输</w:t>
      </w:r>
    </w:p>
    <w:p w14:paraId="5FCF203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1.10.1出入现场的权利</w:t>
      </w:r>
    </w:p>
    <w:p w14:paraId="5859E33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关于出入现场的权利的约定：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3B3A63D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1.10.3场内交通</w:t>
      </w:r>
    </w:p>
    <w:p w14:paraId="077AC7CF">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关于场外交通和场内交通的边界的约定：</w:t>
      </w:r>
      <w:r>
        <w:rPr>
          <w:rFonts w:hint="eastAsia" w:ascii="宋体" w:hAnsi="宋体" w:eastAsia="宋体" w:cs="宋体"/>
          <w:color w:val="auto"/>
          <w:spacing w:val="6"/>
          <w:kern w:val="0"/>
          <w:sz w:val="21"/>
          <w:szCs w:val="21"/>
          <w:highlight w:val="none"/>
          <w:u w:val="single"/>
        </w:rPr>
        <w:t>以现场实际施工条件为准</w:t>
      </w:r>
      <w:r>
        <w:rPr>
          <w:rFonts w:hint="eastAsia" w:ascii="宋体" w:hAnsi="宋体" w:eastAsia="宋体" w:cs="宋体"/>
          <w:color w:val="auto"/>
          <w:spacing w:val="6"/>
          <w:sz w:val="21"/>
          <w:szCs w:val="21"/>
          <w:highlight w:val="none"/>
          <w:u w:val="single"/>
        </w:rPr>
        <w:t>。</w:t>
      </w:r>
    </w:p>
    <w:p w14:paraId="6A40972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关于发包人向承包人免费提供满足工程施工需要的场内道路和交通设施的约定：</w:t>
      </w:r>
      <w:r>
        <w:rPr>
          <w:rFonts w:hint="eastAsia" w:ascii="宋体" w:hAnsi="宋体" w:eastAsia="宋体" w:cs="宋体"/>
          <w:color w:val="auto"/>
          <w:spacing w:val="6"/>
          <w:kern w:val="0"/>
          <w:sz w:val="21"/>
          <w:szCs w:val="21"/>
          <w:highlight w:val="none"/>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202E1CA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1.10.4超大件和超重件的运输</w:t>
      </w:r>
    </w:p>
    <w:p w14:paraId="1030AAC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运输超大件或超重件所需的道路和桥梁临时加固改造费用和其他有关费用</w:t>
      </w:r>
      <w:r>
        <w:rPr>
          <w:rFonts w:hint="eastAsia" w:ascii="宋体" w:hAnsi="宋体" w:eastAsia="宋体" w:cs="宋体"/>
          <w:color w:val="auto"/>
          <w:sz w:val="21"/>
          <w:szCs w:val="21"/>
          <w:highlight w:val="none"/>
          <w:u w:val="single"/>
        </w:rPr>
        <w:t>由承包人在报价中综合考虑并承担相关费用。</w:t>
      </w:r>
    </w:p>
    <w:p w14:paraId="6ADC24C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 知识产权</w:t>
      </w:r>
    </w:p>
    <w:p w14:paraId="0FCB735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 xml:space="preserve">  按合同通用条款  </w:t>
      </w:r>
      <w:r>
        <w:rPr>
          <w:rFonts w:hint="eastAsia" w:ascii="宋体" w:hAnsi="宋体" w:eastAsia="宋体" w:cs="宋体"/>
          <w:color w:val="auto"/>
          <w:sz w:val="21"/>
          <w:szCs w:val="21"/>
          <w:highlight w:val="none"/>
        </w:rPr>
        <w:t>。</w:t>
      </w:r>
    </w:p>
    <w:p w14:paraId="4CCB081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关于发包人提供的上述文件的使用限制的要求：</w:t>
      </w:r>
      <w:r>
        <w:rPr>
          <w:rFonts w:hint="eastAsia" w:ascii="宋体" w:hAnsi="宋体" w:eastAsia="宋体" w:cs="宋体"/>
          <w:color w:val="auto"/>
          <w:sz w:val="21"/>
          <w:szCs w:val="21"/>
          <w:highlight w:val="none"/>
          <w:u w:val="single"/>
        </w:rPr>
        <w:t xml:space="preserve"> 按合同通用条款 </w:t>
      </w:r>
      <w:r>
        <w:rPr>
          <w:rFonts w:hint="eastAsia" w:ascii="宋体" w:hAnsi="宋体" w:eastAsia="宋体" w:cs="宋体"/>
          <w:color w:val="auto"/>
          <w:sz w:val="21"/>
          <w:szCs w:val="21"/>
          <w:highlight w:val="none"/>
        </w:rPr>
        <w:t>。</w:t>
      </w:r>
    </w:p>
    <w:p w14:paraId="4DA0FC3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1.11.2关于承包人为实施工程所编制文件的著作权的归属：</w:t>
      </w:r>
      <w:r>
        <w:rPr>
          <w:rFonts w:hint="eastAsia" w:ascii="宋体" w:hAnsi="宋体" w:eastAsia="宋体" w:cs="宋体"/>
          <w:color w:val="auto"/>
          <w:sz w:val="21"/>
          <w:szCs w:val="21"/>
          <w:highlight w:val="none"/>
          <w:u w:val="single"/>
        </w:rPr>
        <w:t>发包人</w:t>
      </w:r>
      <w:r>
        <w:rPr>
          <w:rFonts w:hint="eastAsia" w:ascii="宋体" w:hAnsi="宋体" w:eastAsia="宋体" w:cs="宋体"/>
          <w:color w:val="auto"/>
          <w:sz w:val="21"/>
          <w:szCs w:val="21"/>
          <w:highlight w:val="none"/>
        </w:rPr>
        <w:t>。</w:t>
      </w:r>
    </w:p>
    <w:p w14:paraId="01DF9DE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关于承包人提供的上述文件的使用限制的要求：</w:t>
      </w:r>
      <w:r>
        <w:rPr>
          <w:rFonts w:hint="eastAsia" w:ascii="宋体" w:hAnsi="宋体" w:eastAsia="宋体" w:cs="宋体"/>
          <w:color w:val="auto"/>
          <w:sz w:val="21"/>
          <w:szCs w:val="21"/>
          <w:highlight w:val="none"/>
          <w:u w:val="single"/>
        </w:rPr>
        <w:t xml:space="preserve"> 按合同通用条款 </w:t>
      </w:r>
      <w:r>
        <w:rPr>
          <w:rFonts w:hint="eastAsia" w:ascii="宋体" w:hAnsi="宋体" w:eastAsia="宋体" w:cs="宋体"/>
          <w:color w:val="auto"/>
          <w:sz w:val="21"/>
          <w:szCs w:val="21"/>
          <w:highlight w:val="none"/>
        </w:rPr>
        <w:t>。</w:t>
      </w:r>
    </w:p>
    <w:p w14:paraId="75E03A3B">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1.11.4承包人在施工过程中所采用的专利、专有技术、技术秘密的使用费的承担方式：</w:t>
      </w:r>
      <w:r>
        <w:rPr>
          <w:rFonts w:hint="eastAsia" w:ascii="宋体" w:hAnsi="宋体" w:eastAsia="宋体" w:cs="宋体"/>
          <w:color w:val="auto"/>
          <w:sz w:val="21"/>
          <w:szCs w:val="21"/>
          <w:highlight w:val="none"/>
          <w:u w:val="single"/>
        </w:rPr>
        <w:t xml:space="preserve">  包含在签约合同价内  </w:t>
      </w:r>
      <w:r>
        <w:rPr>
          <w:rFonts w:hint="eastAsia" w:ascii="宋体" w:hAnsi="宋体" w:eastAsia="宋体" w:cs="宋体"/>
          <w:color w:val="auto"/>
          <w:kern w:val="0"/>
          <w:sz w:val="21"/>
          <w:szCs w:val="21"/>
          <w:highlight w:val="none"/>
        </w:rPr>
        <w:t>。</w:t>
      </w:r>
    </w:p>
    <w:p w14:paraId="6E47903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1.13 工程量清单错误的修正：</w:t>
      </w:r>
      <w:r>
        <w:rPr>
          <w:rFonts w:hint="eastAsia" w:ascii="宋体" w:hAnsi="宋体" w:eastAsia="宋体" w:cs="宋体"/>
          <w:color w:val="auto"/>
          <w:sz w:val="21"/>
          <w:szCs w:val="21"/>
          <w:highlight w:val="none"/>
          <w:u w:val="single"/>
        </w:rPr>
        <w:t>本工程按定额计价不涉及工程量清单相关规则。</w:t>
      </w:r>
    </w:p>
    <w:p w14:paraId="4EB2099E">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2．发包人</w:t>
      </w:r>
    </w:p>
    <w:p w14:paraId="17E41F5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2.2 发包人代表</w:t>
      </w:r>
    </w:p>
    <w:p w14:paraId="04ED574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发包人代表：</w:t>
      </w:r>
    </w:p>
    <w:p w14:paraId="0BC5B4D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F2ECB1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0F19F96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职    务：</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AE3117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3FF46E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3A5DF77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AFB2398">
      <w:pPr>
        <w:spacing w:line="400" w:lineRule="exact"/>
        <w:ind w:firstLine="200"/>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发包人对发包人代表的授权范围如下：</w:t>
      </w:r>
      <w:r>
        <w:rPr>
          <w:rFonts w:hint="eastAsia" w:ascii="宋体" w:hAnsi="宋体" w:eastAsia="宋体" w:cs="宋体"/>
          <w:color w:val="auto"/>
          <w:sz w:val="21"/>
          <w:szCs w:val="21"/>
          <w:highlight w:val="none"/>
          <w:u w:val="single"/>
        </w:rPr>
        <w:t xml:space="preserve"> 代表发包人对承包人的工程质量管理、安全文明施工和施工进度管理等进行监督，协调施工现场，配合完成验收，按有关规定办理接收手续 </w:t>
      </w:r>
      <w:r>
        <w:rPr>
          <w:rFonts w:hint="eastAsia" w:ascii="宋体" w:hAnsi="宋体" w:eastAsia="宋体" w:cs="宋体"/>
          <w:color w:val="auto"/>
          <w:sz w:val="21"/>
          <w:szCs w:val="21"/>
          <w:highlight w:val="none"/>
        </w:rPr>
        <w:t>。</w:t>
      </w:r>
    </w:p>
    <w:p w14:paraId="138A320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2.4 施工现场、施工条件和基础资料的提供</w:t>
      </w:r>
    </w:p>
    <w:p w14:paraId="5EC9FFC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2.4.1提供施工现场</w:t>
      </w:r>
    </w:p>
    <w:p w14:paraId="3AEB5F7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关于发包人移交施工现场的期限要求：</w:t>
      </w:r>
      <w:r>
        <w:rPr>
          <w:rFonts w:hint="eastAsia" w:ascii="宋体" w:hAnsi="宋体" w:eastAsia="宋体" w:cs="宋体"/>
          <w:color w:val="auto"/>
          <w:sz w:val="21"/>
          <w:szCs w:val="21"/>
          <w:highlight w:val="none"/>
          <w:u w:val="single"/>
        </w:rPr>
        <w:t xml:space="preserve">  开工日期7天前  </w:t>
      </w:r>
      <w:r>
        <w:rPr>
          <w:rFonts w:hint="eastAsia" w:ascii="宋体" w:hAnsi="宋体" w:eastAsia="宋体" w:cs="宋体"/>
          <w:color w:val="auto"/>
          <w:sz w:val="21"/>
          <w:szCs w:val="21"/>
          <w:highlight w:val="none"/>
        </w:rPr>
        <w:t>。</w:t>
      </w:r>
    </w:p>
    <w:p w14:paraId="4FC079F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2.4.2提供施工条件</w:t>
      </w:r>
    </w:p>
    <w:p w14:paraId="2073591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关于发包人应负责提供施工所需要的条件，包括：</w:t>
      </w:r>
      <w:r>
        <w:rPr>
          <w:rFonts w:hint="eastAsia" w:ascii="宋体" w:hAnsi="宋体" w:eastAsia="宋体" w:cs="宋体"/>
          <w:color w:val="auto"/>
          <w:sz w:val="21"/>
          <w:szCs w:val="21"/>
          <w:highlight w:val="none"/>
          <w:u w:val="single"/>
        </w:rPr>
        <w:t xml:space="preserve"> 发包人提供的施工条件为现状，承包人自行组织现场踏勘了解，涉及施工用电、用水等由承包人自行考虑，相关费用已含在合同价中不再另行计取 </w:t>
      </w:r>
      <w:r>
        <w:rPr>
          <w:rFonts w:hint="eastAsia" w:ascii="宋体" w:hAnsi="宋体" w:eastAsia="宋体" w:cs="宋体"/>
          <w:color w:val="auto"/>
          <w:sz w:val="21"/>
          <w:szCs w:val="21"/>
          <w:highlight w:val="none"/>
        </w:rPr>
        <w:t>。</w:t>
      </w:r>
    </w:p>
    <w:p w14:paraId="3915D74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2.5 资金来源证明及支付担保</w:t>
      </w:r>
    </w:p>
    <w:p w14:paraId="156BA19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发包人提供资金来源证明的期限要求：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8E1E4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发包人是否提供支付担保：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FDD45B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发包人提供支付担保的形式：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5DAA1E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2.6 支付合同价款</w:t>
      </w:r>
    </w:p>
    <w:p w14:paraId="598CA56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发包人应按合同约定向承包人及时支付合同价款。</w:t>
      </w:r>
    </w:p>
    <w:p w14:paraId="7694248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2.7 组织竣工验收</w:t>
      </w:r>
    </w:p>
    <w:p w14:paraId="6FB04D5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发包人应按合同约定及时组织竣工验收。</w:t>
      </w:r>
    </w:p>
    <w:p w14:paraId="14E11ED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承包人完成合同范围内工程内容，发包人应根据施工图纸、现行施工验收规范和质量验收标准及时组织工程质量验收。</w:t>
      </w:r>
    </w:p>
    <w:p w14:paraId="3346660A">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3．承包人</w:t>
      </w:r>
    </w:p>
    <w:p w14:paraId="7AD0B32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3.1 承包人的一般义务</w:t>
      </w:r>
    </w:p>
    <w:p w14:paraId="2342CEE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（9）</w:t>
      </w:r>
      <w:r>
        <w:rPr>
          <w:rFonts w:hint="eastAsia" w:ascii="宋体" w:hAnsi="宋体" w:eastAsia="宋体" w:cs="宋体"/>
          <w:color w:val="auto"/>
          <w:sz w:val="21"/>
          <w:szCs w:val="21"/>
          <w:highlight w:val="none"/>
        </w:rPr>
        <w:t>承包人提交的竣工资料的内容：</w:t>
      </w:r>
      <w:r>
        <w:rPr>
          <w:rFonts w:hint="eastAsia" w:ascii="宋体" w:hAnsi="宋体" w:eastAsia="宋体" w:cs="宋体"/>
          <w:color w:val="auto"/>
          <w:sz w:val="21"/>
          <w:szCs w:val="21"/>
          <w:highlight w:val="none"/>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color w:val="auto"/>
          <w:sz w:val="21"/>
          <w:szCs w:val="21"/>
          <w:highlight w:val="none"/>
        </w:rPr>
        <w:t>。</w:t>
      </w:r>
    </w:p>
    <w:p w14:paraId="2379FE8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承包人需要提交的竣工资料套数：</w:t>
      </w:r>
      <w:r>
        <w:rPr>
          <w:rFonts w:hint="eastAsia" w:ascii="宋体" w:hAnsi="宋体" w:eastAsia="宋体" w:cs="宋体"/>
          <w:color w:val="auto"/>
          <w:sz w:val="21"/>
          <w:szCs w:val="21"/>
          <w:highlight w:val="none"/>
          <w:u w:val="single"/>
        </w:rPr>
        <w:t xml:space="preserve">   满足发包人需求份数    </w:t>
      </w:r>
      <w:r>
        <w:rPr>
          <w:rFonts w:hint="eastAsia" w:ascii="宋体" w:hAnsi="宋体" w:eastAsia="宋体" w:cs="宋体"/>
          <w:color w:val="auto"/>
          <w:sz w:val="21"/>
          <w:szCs w:val="21"/>
          <w:highlight w:val="none"/>
        </w:rPr>
        <w:t>。</w:t>
      </w:r>
    </w:p>
    <w:p w14:paraId="69DF735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承包人提交的竣工资料的费用承担：</w:t>
      </w:r>
      <w:r>
        <w:rPr>
          <w:rFonts w:hint="eastAsia" w:ascii="宋体" w:hAnsi="宋体" w:eastAsia="宋体" w:cs="宋体"/>
          <w:color w:val="auto"/>
          <w:sz w:val="21"/>
          <w:szCs w:val="21"/>
          <w:highlight w:val="none"/>
          <w:u w:val="single"/>
        </w:rPr>
        <w:t xml:space="preserve"> 由承包人承担 </w:t>
      </w:r>
      <w:r>
        <w:rPr>
          <w:rFonts w:hint="eastAsia" w:ascii="宋体" w:hAnsi="宋体" w:eastAsia="宋体" w:cs="宋体"/>
          <w:color w:val="auto"/>
          <w:sz w:val="21"/>
          <w:szCs w:val="21"/>
          <w:highlight w:val="none"/>
        </w:rPr>
        <w:t>。</w:t>
      </w:r>
    </w:p>
    <w:p w14:paraId="7DE2226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承包人提交的竣工资料移交时间：</w:t>
      </w:r>
      <w:r>
        <w:rPr>
          <w:rFonts w:hint="eastAsia" w:ascii="宋体" w:hAnsi="宋体" w:eastAsia="宋体" w:cs="宋体"/>
          <w:color w:val="auto"/>
          <w:sz w:val="21"/>
          <w:szCs w:val="21"/>
          <w:highlight w:val="none"/>
          <w:u w:val="single"/>
        </w:rPr>
        <w:t>工程竣工验收合格后7天内</w:t>
      </w:r>
      <w:r>
        <w:rPr>
          <w:rFonts w:hint="eastAsia" w:ascii="宋体" w:hAnsi="宋体" w:eastAsia="宋体" w:cs="宋体"/>
          <w:color w:val="auto"/>
          <w:sz w:val="21"/>
          <w:szCs w:val="21"/>
          <w:highlight w:val="none"/>
        </w:rPr>
        <w:t>。</w:t>
      </w:r>
    </w:p>
    <w:p w14:paraId="73533F5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承包人提交的竣工资料形式要求：</w:t>
      </w:r>
      <w:r>
        <w:rPr>
          <w:rFonts w:hint="eastAsia" w:ascii="宋体" w:hAnsi="宋体" w:eastAsia="宋体" w:cs="宋体"/>
          <w:color w:val="auto"/>
          <w:sz w:val="21"/>
          <w:szCs w:val="21"/>
          <w:highlight w:val="none"/>
          <w:u w:val="single"/>
        </w:rPr>
        <w:t xml:space="preserve">   纸质及相关电子数据   </w:t>
      </w:r>
      <w:r>
        <w:rPr>
          <w:rFonts w:hint="eastAsia" w:ascii="宋体" w:hAnsi="宋体" w:eastAsia="宋体" w:cs="宋体"/>
          <w:color w:val="auto"/>
          <w:sz w:val="21"/>
          <w:szCs w:val="21"/>
          <w:highlight w:val="none"/>
        </w:rPr>
        <w:t>。</w:t>
      </w:r>
    </w:p>
    <w:p w14:paraId="52231424">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（10）承包人应履行的其他义务：</w:t>
      </w:r>
    </w:p>
    <w:p w14:paraId="0A3C3494">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a.向发包人、监理人提供施工现场办公室各1间免费使用。</w:t>
      </w:r>
    </w:p>
    <w:p w14:paraId="40DBCAE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b.在施工中必须严格按照规范操作，对不按规范要求施工或未采取防护措施，造成的损失由承包人承担。</w:t>
      </w:r>
    </w:p>
    <w:p w14:paraId="4A1B852F">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c.本项目施工安全由承包人负总责。</w:t>
      </w:r>
    </w:p>
    <w:p w14:paraId="578513EF">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sz w:val="21"/>
          <w:szCs w:val="21"/>
          <w:highlight w:val="none"/>
          <w:u w:val="single"/>
        </w:rPr>
        <w:t>d.按当地有关部门要求，</w:t>
      </w:r>
      <w:r>
        <w:rPr>
          <w:rFonts w:hint="eastAsia" w:ascii="宋体" w:hAnsi="宋体" w:eastAsia="宋体" w:cs="宋体"/>
          <w:color w:val="auto"/>
          <w:kern w:val="0"/>
          <w:sz w:val="21"/>
          <w:szCs w:val="21"/>
          <w:highlight w:val="none"/>
          <w:u w:val="single"/>
        </w:rPr>
        <w:t>由承包人办理有关施工场地交通、环卫和施工噪音排放等手续。</w:t>
      </w:r>
    </w:p>
    <w:p w14:paraId="1131F971">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e、承包人必须按台州市、临海市有关规定进行施工现场围护（全封闭围挡）及文明施工管理。</w:t>
      </w:r>
    </w:p>
    <w:p w14:paraId="1AD77549">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f. 其他：</w:t>
      </w:r>
    </w:p>
    <w:p w14:paraId="0A5F090E">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①不管投标时有无承诺，施工现场必须配备能满足停电时施工所需要的发电机组。承包人应充分考虑发包人提供电源容量与施工所需机器设备用电是否相匹配，并采取包括自备电源在内的必要措施解决施工用电的临时断电问题以保证施工的顺利进行。该笔费用已包含在合同价内，不再另行计取。</w:t>
      </w:r>
    </w:p>
    <w:p w14:paraId="65AB6CF9">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②承包人承担施工期间的水、电费用，承包人必须每月按水、电部门的计价标准，按所需缴纳金额及时足额向水、电部门缴纳，若承包人不按时缴纳，则发包人有权采取相应措施。</w:t>
      </w:r>
    </w:p>
    <w:p w14:paraId="3DF55738">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③对发包人的现场监督工作予以充分的配合与协助。承包人服从发包人、监理公司的管理，做好交叉施工事宜及其他与本工程施工相关的工作。</w:t>
      </w:r>
    </w:p>
    <w:p w14:paraId="2A6443D8">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④从合同生效之日起至工程通过竣工验收的期间内，承包人应承担合同规定的现场各项临时房屋、设施、设备的修建、购置、安装、管理、保养、维修及拆除工作，并提供必要的设施保洁服务。</w:t>
      </w:r>
    </w:p>
    <w:p w14:paraId="5BAD60F9">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⑤承包人必须遵守浙江省、台州市等的地方法规，服从行业主管部门的管理，凡涉及到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7234B2A8">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⑥重大活动期间以及发包人需要的时间段内，可能对施工做出某些限制和配合要求，承包人应按照要求做出必要的配合，并承担有可能因此而引起工效降低所需增加的费用。相关费用含在合同价款中。</w:t>
      </w:r>
    </w:p>
    <w:p w14:paraId="3A26FC0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⑦要加强工程施工车辆的管理，施工车辆不得无故堵塞道路交通，不得沿途抛洒丢弃。</w:t>
      </w:r>
    </w:p>
    <w:p w14:paraId="3FBF224E">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⑧承包人在施工期间配备专职安保人员，负责整个施工现场内外的保安、保卫工作；对工地出入口车辆、人员进出进行管理，工地出入口应24小时有人值守，相关费用含在合同价款中。</w:t>
      </w:r>
    </w:p>
    <w:p w14:paraId="2FB8114D">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⑨施工现场的标语、条幅和围挡图案、廉政文化宣传等制作，在悬挂和喷涂前应征得发包人同意，如发包人提出修改意见，承包人应无条件修改，直到符合要求为止，合同价款不予调整。</w:t>
      </w:r>
    </w:p>
    <w:p w14:paraId="2F4C2243">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⑩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378172C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⑪承包人进场后需对场地标高进行测量，测量过程应通知监理人及发包人代表到场，并提供测量成果，此结果在得到监理人及发包人代表确认后做为土方工程计量的依据。</w:t>
      </w:r>
    </w:p>
    <w:p w14:paraId="53A2AD1B">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⑫承包人在合同履行过程中，应严格遵守和执行发包人制定的各项管理制度和规定，严格执行发包人关于工程设计变更、签证等方面的审批程序及制度。</w:t>
      </w:r>
    </w:p>
    <w:p w14:paraId="4326114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⑬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5AD85821">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⑭承包人负责落实对施工现场安全文明施工的管理制度、交底，进行定期及不定期检查，并提出整改意见，承包人负责落实整个工地现场的保安、防盗工作。承包人应专人负责妥善处理因施工引起的、对相邻或周边的建筑物或环境的各种影响，并承担相关的索赔费用。</w:t>
      </w:r>
    </w:p>
    <w:p w14:paraId="20676B1D">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⑮承包人负责组织全部工程的移交工作，承包人负责编制或汇总移交方案、建筑产品使用说明书（内容包括建筑物主要使用功能、空间布局、使用注意事项、维保手册等，并提供给发包人），移交期间现场安全、成品保护、水电费等可能发生的其他费用由承包人承担。承包人应在移交前负责完成承包范围内的卫生清理、保洁工作，保洁标准应经发包人验收确认，费用含在合同价款中。</w:t>
      </w:r>
    </w:p>
    <w:p w14:paraId="5915104E">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⑯由承包人的质量安全职能部门每月对本工程施工现场的质量、安全文明、进度等进行全面督查，并将督查结果向发包人汇报。</w:t>
      </w:r>
    </w:p>
    <w:p w14:paraId="3E9EE496">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⑰承包人必须完成本合同规定的全部工作内容，如某项工作内容达不到相关相关要求，在监理方下达整改通知后仍不执行，则发包人有权委托第三方完成该项工作，并将相应费用从承包人的工程款中扣除，由此造成的损失和后果由承包人执行承担。</w:t>
      </w:r>
    </w:p>
    <w:p w14:paraId="5B893BFD">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⑱工程质量保修期间，承包人须设立电子邮箱，发包人的通知指令发送至承包人设立的电子邮箱，即视为承包人已收到发包人的相关通知。</w:t>
      </w:r>
    </w:p>
    <w:p w14:paraId="76796B4B">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⑲已竣工工程未交付之前，承包人按协议条款约定负责已完工程的保护工作，保护期间发生损坏，责任方自费予以修复至符合验收条件。</w:t>
      </w:r>
    </w:p>
    <w:p w14:paraId="1CC3647C">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⑳承包人应做好安全文明施工，确保施工现场封闭施工和安全隔离工作，相关费用含在合同价款中，不再另外计取。承包人在加固过程中应确保车辆通行，如有必要须封道的应提前通知发包人。</w:t>
      </w:r>
    </w:p>
    <w:p w14:paraId="3F589533">
      <w:pPr>
        <w:numPr>
          <w:ilvl w:val="0"/>
          <w:numId w:val="5"/>
        </w:numPr>
        <w:spacing w:line="400" w:lineRule="exac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承包人诚实信用的承诺：</w:t>
      </w:r>
      <w:r>
        <w:rPr>
          <w:rFonts w:hint="eastAsia" w:ascii="宋体" w:hAnsi="宋体" w:eastAsia="宋体" w:cs="宋体"/>
          <w:color w:val="auto"/>
          <w:kern w:val="0"/>
          <w:sz w:val="21"/>
          <w:szCs w:val="21"/>
          <w:highlight w:val="none"/>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color w:val="auto"/>
          <w:kern w:val="0"/>
          <w:sz w:val="21"/>
          <w:szCs w:val="21"/>
          <w:highlight w:val="none"/>
        </w:rPr>
        <w:t>。</w:t>
      </w:r>
    </w:p>
    <w:p w14:paraId="4BBC1AEF">
      <w:pPr>
        <w:pStyle w:val="30"/>
        <w:spacing w:line="400" w:lineRule="exact"/>
        <w:rPr>
          <w:rFonts w:ascii="宋体" w:hAnsi="宋体" w:cs="宋体"/>
          <w:color w:val="auto"/>
          <w:sz w:val="21"/>
          <w:szCs w:val="21"/>
          <w:highlight w:val="none"/>
          <w:u w:val="single"/>
        </w:rPr>
      </w:pPr>
      <w:r>
        <w:rPr>
          <w:rFonts w:hint="eastAsia" w:ascii="宋体" w:hAnsi="宋体" w:cs="宋体"/>
          <w:color w:val="auto"/>
          <w:sz w:val="21"/>
          <w:szCs w:val="21"/>
          <w:highlight w:val="none"/>
        </w:rPr>
        <w:t>（12）</w:t>
      </w:r>
      <w:r>
        <w:rPr>
          <w:rFonts w:hint="eastAsia" w:ascii="宋体" w:hAnsi="宋体" w:cs="宋体"/>
          <w:color w:val="auto"/>
          <w:sz w:val="21"/>
          <w:szCs w:val="21"/>
          <w:highlight w:val="none"/>
          <w:u w:val="single"/>
        </w:rPr>
        <w:t>施工过程中应注重安全文明施工及环境保护，施工过程中如有出现人员伤亡情况，责任均由施工方承担。</w:t>
      </w:r>
    </w:p>
    <w:p w14:paraId="54C90DFC">
      <w:pPr>
        <w:spacing w:line="400" w:lineRule="exact"/>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（13）承包人使用新技术、工法、工艺的承诺：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6B108B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3.2 项目经理</w:t>
      </w:r>
    </w:p>
    <w:p w14:paraId="4CE6B9A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3.2.1</w:t>
      </w:r>
      <w:r>
        <w:rPr>
          <w:rFonts w:hint="eastAsia" w:ascii="宋体" w:hAnsi="宋体" w:eastAsia="宋体" w:cs="宋体"/>
          <w:color w:val="auto"/>
          <w:sz w:val="21"/>
          <w:szCs w:val="21"/>
          <w:highlight w:val="none"/>
        </w:rPr>
        <w:t>项目经理：</w:t>
      </w:r>
    </w:p>
    <w:p w14:paraId="32572EC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6A26FA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A2F869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建造师执业资格等级：</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6CF14D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建造师注册证书号：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5E54B2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建造师执业印章号：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7F5D58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安全生产考核合格证书号：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DC50B1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C33B8F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339EB1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ABCD0F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承包人对项目经理的授权范围如下：</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375770E">
      <w:pPr>
        <w:spacing w:line="400" w:lineRule="exact"/>
        <w:ind w:firstLine="436" w:firstLineChars="200"/>
        <w:rPr>
          <w:rFonts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rPr>
        <w:t>关于项目经理每月在施工现场的时间要求</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月到岗须不少于24天。月到岗达不到约定天数，每不足一天扣1000元作为违约金，</w:t>
      </w:r>
      <w:r>
        <w:rPr>
          <w:rFonts w:hint="eastAsia" w:ascii="宋体" w:hAnsi="宋体" w:eastAsia="宋体" w:cs="宋体"/>
          <w:color w:val="auto"/>
          <w:sz w:val="21"/>
          <w:szCs w:val="21"/>
          <w:highlight w:val="none"/>
          <w:u w:val="single"/>
        </w:rPr>
        <w:t>在当期工程款支付时扣除</w:t>
      </w:r>
      <w:r>
        <w:rPr>
          <w:rFonts w:hint="eastAsia" w:ascii="宋体" w:hAnsi="宋体" w:eastAsia="宋体" w:cs="宋体"/>
          <w:color w:val="auto"/>
          <w:kern w:val="0"/>
          <w:sz w:val="21"/>
          <w:szCs w:val="21"/>
          <w:highlight w:val="none"/>
        </w:rPr>
        <w:t>。</w:t>
      </w:r>
    </w:p>
    <w:p w14:paraId="44C13B7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承包人未提交劳动合同，以及没有为项目经理缴纳社会保险证明的违约责任：</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4DE4D8A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项目经理未经批准，擅自离开施工现场的违约责任：</w:t>
      </w:r>
      <w:r>
        <w:rPr>
          <w:rFonts w:hint="eastAsia" w:ascii="宋体" w:hAnsi="宋体" w:eastAsia="宋体" w:cs="宋体"/>
          <w:color w:val="auto"/>
          <w:sz w:val="21"/>
          <w:szCs w:val="21"/>
          <w:highlight w:val="none"/>
          <w:u w:val="single"/>
        </w:rPr>
        <w:t xml:space="preserve">  遇有工程检查、验收或参观等活动时，无特殊原因不得离开施工现场 </w:t>
      </w:r>
      <w:r>
        <w:rPr>
          <w:rFonts w:hint="eastAsia" w:ascii="宋体" w:hAnsi="宋体" w:eastAsia="宋体" w:cs="宋体"/>
          <w:color w:val="auto"/>
          <w:sz w:val="21"/>
          <w:szCs w:val="21"/>
          <w:highlight w:val="none"/>
        </w:rPr>
        <w:t>。</w:t>
      </w:r>
    </w:p>
    <w:p w14:paraId="39484F19">
      <w:pPr>
        <w:autoSpaceDE w:val="0"/>
        <w:autoSpaceDN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3.2.3承包人擅自更换项目经理的违约责任：</w:t>
      </w:r>
      <w:r>
        <w:rPr>
          <w:rFonts w:hint="eastAsia" w:ascii="宋体" w:hAnsi="宋体" w:eastAsia="宋体" w:cs="宋体"/>
          <w:color w:val="auto"/>
          <w:sz w:val="21"/>
          <w:szCs w:val="21"/>
          <w:highlight w:val="none"/>
          <w:u w:val="single"/>
        </w:rPr>
        <w:t xml:space="preserve"> 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除上述情形外不允许更换，如承包人擅自更换，按每更换一人次扣除履约担保金额的20%；在当期工程款支付时扣除，及至发包人可通知承包人全部解除合同，所有履约担保金归发包人，在工程款支付时扣除，并赔偿发包人损失 </w:t>
      </w:r>
      <w:r>
        <w:rPr>
          <w:rFonts w:hint="eastAsia" w:ascii="宋体" w:hAnsi="宋体" w:eastAsia="宋体" w:cs="宋体"/>
          <w:color w:val="auto"/>
          <w:sz w:val="21"/>
          <w:szCs w:val="21"/>
          <w:highlight w:val="none"/>
        </w:rPr>
        <w:t>。</w:t>
      </w:r>
    </w:p>
    <w:p w14:paraId="1669B00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3.2.4承包人无正当理由拒绝更换项目经理的违约责任：</w:t>
      </w:r>
      <w:r>
        <w:rPr>
          <w:rFonts w:hint="eastAsia" w:ascii="宋体" w:hAnsi="宋体" w:eastAsia="宋体" w:cs="宋体"/>
          <w:color w:val="auto"/>
          <w:sz w:val="21"/>
          <w:szCs w:val="21"/>
          <w:highlight w:val="none"/>
          <w:u w:val="single"/>
        </w:rPr>
        <w:t>发包人可通知承包人解除合同，所有履约担保金不予返还。</w:t>
      </w:r>
    </w:p>
    <w:p w14:paraId="262B7FD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3.3 承包人人员</w:t>
      </w:r>
    </w:p>
    <w:p w14:paraId="41E5832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3.3.1承包人提交项目管理机构及施工现场管理人员安排报告的期限：</w:t>
      </w:r>
      <w:r>
        <w:rPr>
          <w:rFonts w:hint="eastAsia" w:ascii="宋体" w:hAnsi="宋体" w:eastAsia="宋体" w:cs="宋体"/>
          <w:color w:val="auto"/>
          <w:sz w:val="21"/>
          <w:szCs w:val="21"/>
          <w:highlight w:val="none"/>
          <w:u w:val="single"/>
        </w:rPr>
        <w:t xml:space="preserve"> 接到开工通知（或确定开工日期）后7天内 </w:t>
      </w:r>
      <w:r>
        <w:rPr>
          <w:rFonts w:hint="eastAsia" w:ascii="宋体" w:hAnsi="宋体" w:eastAsia="宋体" w:cs="宋体"/>
          <w:color w:val="auto"/>
          <w:sz w:val="21"/>
          <w:szCs w:val="21"/>
          <w:highlight w:val="none"/>
        </w:rPr>
        <w:t>。</w:t>
      </w:r>
    </w:p>
    <w:p w14:paraId="4F21D0EF">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3.3.3承包人无正当理由拒绝撤换主要施工管理人员的违约责任：</w:t>
      </w:r>
      <w:r>
        <w:rPr>
          <w:rFonts w:hint="eastAsia" w:ascii="宋体" w:hAnsi="宋体" w:eastAsia="宋体" w:cs="宋体"/>
          <w:color w:val="auto"/>
          <w:sz w:val="21"/>
          <w:szCs w:val="21"/>
          <w:highlight w:val="none"/>
          <w:u w:val="single"/>
        </w:rPr>
        <w:t>发包人可通知承包人全部解除合同，所有履约担保金不予返还，同时赔偿发包人损失。</w:t>
      </w:r>
    </w:p>
    <w:p w14:paraId="290CBC9D">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3.3.4承包人主要施工管理人员离开施工现场的批准要求：</w:t>
      </w:r>
      <w:r>
        <w:rPr>
          <w:rFonts w:hint="eastAsia" w:ascii="宋体" w:hAnsi="宋体" w:eastAsia="宋体" w:cs="宋体"/>
          <w:color w:val="auto"/>
          <w:sz w:val="21"/>
          <w:szCs w:val="21"/>
          <w:highlight w:val="none"/>
          <w:u w:val="single"/>
        </w:rPr>
        <w:t>按合同通用条款；按相关行业主管部发布的规定处理。另遇有工程检查、验收或参观等活动时，无特殊原因不得请假</w:t>
      </w:r>
      <w:r>
        <w:rPr>
          <w:rFonts w:hint="eastAsia" w:ascii="宋体" w:hAnsi="宋体" w:eastAsia="宋体" w:cs="宋体"/>
          <w:color w:val="auto"/>
          <w:sz w:val="21"/>
          <w:szCs w:val="21"/>
          <w:highlight w:val="none"/>
        </w:rPr>
        <w:t>。</w:t>
      </w:r>
    </w:p>
    <w:p w14:paraId="5DF3149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3.3.5承包人擅自更换主要施工管理人员的违约责任：</w:t>
      </w:r>
      <w:r>
        <w:rPr>
          <w:rFonts w:hint="eastAsia" w:ascii="宋体" w:hAnsi="宋体" w:eastAsia="宋体" w:cs="宋体"/>
          <w:color w:val="auto"/>
          <w:sz w:val="21"/>
          <w:szCs w:val="21"/>
          <w:highlight w:val="none"/>
          <w:u w:val="single"/>
        </w:rPr>
        <w:t xml:space="preserve"> 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履约担保金的10%；其他关键岗位人员每更换一人次扣除履约担保金额的5%，在当期工程款支付时扣除 ，同时赔偿发包人损失。</w:t>
      </w:r>
    </w:p>
    <w:p w14:paraId="09A75A0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承包人主要施工管理人员擅自离开施工现场的违约责任：</w:t>
      </w:r>
      <w:r>
        <w:rPr>
          <w:rFonts w:hint="eastAsia" w:ascii="宋体" w:hAnsi="宋体" w:eastAsia="宋体" w:cs="宋体"/>
          <w:color w:val="auto"/>
          <w:sz w:val="21"/>
          <w:szCs w:val="21"/>
          <w:highlight w:val="none"/>
          <w:u w:val="single"/>
        </w:rPr>
        <w:t>关键岗位人员到岗达不到24天的，不足天数每人次每天扣除300元，每月结算，在当期工程款支付时扣除，并一次性扣除履约担保金的5%，且发包人有权要求承包人更换该关键岗位人员</w:t>
      </w:r>
      <w:r>
        <w:rPr>
          <w:rFonts w:hint="eastAsia" w:ascii="宋体" w:hAnsi="宋体" w:eastAsia="宋体" w:cs="宋体"/>
          <w:color w:val="auto"/>
          <w:sz w:val="21"/>
          <w:szCs w:val="21"/>
          <w:highlight w:val="none"/>
        </w:rPr>
        <w:t>。</w:t>
      </w:r>
    </w:p>
    <w:p w14:paraId="757BA00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3.5 分包</w:t>
      </w:r>
    </w:p>
    <w:p w14:paraId="0A305D5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3.5.1分包的一般约定</w:t>
      </w:r>
    </w:p>
    <w:p w14:paraId="492A262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禁止分包的工程包括：</w:t>
      </w:r>
      <w:r>
        <w:rPr>
          <w:rFonts w:hint="eastAsia" w:ascii="宋体" w:hAnsi="宋体" w:eastAsia="宋体" w:cs="宋体"/>
          <w:color w:val="auto"/>
          <w:sz w:val="21"/>
          <w:szCs w:val="21"/>
          <w:highlight w:val="none"/>
          <w:u w:val="single"/>
        </w:rPr>
        <w:t xml:space="preserve">   工程主体结构、关键性工作   </w:t>
      </w:r>
      <w:r>
        <w:rPr>
          <w:rFonts w:hint="eastAsia" w:ascii="宋体" w:hAnsi="宋体" w:eastAsia="宋体" w:cs="宋体"/>
          <w:color w:val="auto"/>
          <w:sz w:val="21"/>
          <w:szCs w:val="21"/>
          <w:highlight w:val="none"/>
        </w:rPr>
        <w:t>。</w:t>
      </w:r>
    </w:p>
    <w:p w14:paraId="195157B3">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主体结构、关键性工作的范围：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B893BD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3.5.2分包的确定</w:t>
      </w:r>
    </w:p>
    <w:p w14:paraId="1E1B2B3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允许分包的专业工程包括：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B4FAA5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其他关于分包的约定：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8F1FC8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3.5.4分包合同价款</w:t>
      </w:r>
    </w:p>
    <w:p w14:paraId="2468458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关于分包合同价款支付的约定：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EFD0CB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3.6 工程照管与成品、半成品保护</w:t>
      </w:r>
    </w:p>
    <w:p w14:paraId="17BB4D5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承包人负责照管工程及工程相关的材料、工程设备的起始时间：</w:t>
      </w:r>
      <w:r>
        <w:rPr>
          <w:rFonts w:hint="eastAsia" w:ascii="宋体" w:hAnsi="宋体" w:eastAsia="宋体" w:cs="宋体"/>
          <w:color w:val="auto"/>
          <w:kern w:val="0"/>
          <w:sz w:val="21"/>
          <w:szCs w:val="21"/>
          <w:highlight w:val="none"/>
          <w:u w:val="single"/>
        </w:rPr>
        <w:t>按合同通用条款执行</w:t>
      </w:r>
      <w:r>
        <w:rPr>
          <w:rFonts w:hint="eastAsia" w:ascii="宋体" w:hAnsi="宋体" w:eastAsia="宋体" w:cs="宋体"/>
          <w:color w:val="auto"/>
          <w:kern w:val="0"/>
          <w:sz w:val="21"/>
          <w:szCs w:val="21"/>
          <w:highlight w:val="none"/>
        </w:rPr>
        <w:t>。</w:t>
      </w:r>
    </w:p>
    <w:p w14:paraId="104F543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3.7 履约担保</w:t>
      </w:r>
    </w:p>
    <w:p w14:paraId="0744A00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承包人是否提供履约担保：</w:t>
      </w:r>
      <w:r>
        <w:rPr>
          <w:rFonts w:hint="eastAsia" w:ascii="宋体" w:hAnsi="宋体" w:eastAsia="宋体" w:cs="宋体"/>
          <w:color w:val="auto"/>
          <w:sz w:val="21"/>
          <w:szCs w:val="21"/>
          <w:highlight w:val="none"/>
          <w:u w:val="single"/>
        </w:rPr>
        <w:t>提供履约担保</w:t>
      </w:r>
      <w:r>
        <w:rPr>
          <w:rFonts w:hint="eastAsia" w:ascii="宋体" w:hAnsi="宋体" w:eastAsia="宋体" w:cs="宋体"/>
          <w:color w:val="auto"/>
          <w:sz w:val="21"/>
          <w:szCs w:val="21"/>
          <w:highlight w:val="none"/>
        </w:rPr>
        <w:t>。</w:t>
      </w:r>
    </w:p>
    <w:p w14:paraId="32B21BB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承包人提供履约担保的形式、金额及期限：</w:t>
      </w:r>
      <w:r>
        <w:rPr>
          <w:rFonts w:hint="eastAsia" w:ascii="宋体" w:hAnsi="宋体" w:eastAsia="宋体" w:cs="宋体"/>
          <w:color w:val="auto"/>
          <w:sz w:val="21"/>
          <w:szCs w:val="21"/>
          <w:highlight w:val="none"/>
          <w:u w:val="single"/>
        </w:rPr>
        <w:t>按招标文件规定执行，履约担保金额为中标合同金额的2%。签订工程合同时提供履约保函，保函形式为工程保函（银行保函、保险机构保证保险保单和融资担保公司保函 ）</w:t>
      </w:r>
    </w:p>
    <w:p w14:paraId="4DC64E1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发包人在工程竣工验收后10天内，向承包人全额返还；承包人应保证履约担保在工程竣工验收前持续有效。</w:t>
      </w:r>
    </w:p>
    <w:p w14:paraId="7EC1A8D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非承包人原因导致的工期延长，承包人继续提供履约担保所增加的费用由发包人承担。</w:t>
      </w:r>
    </w:p>
    <w:p w14:paraId="13C22DE9">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4．监理人</w:t>
      </w:r>
    </w:p>
    <w:p w14:paraId="6E77870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4.1 监理人的一般规定</w:t>
      </w:r>
    </w:p>
    <w:p w14:paraId="3F812A3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关于监理人的监理内容：</w:t>
      </w:r>
      <w:r>
        <w:rPr>
          <w:rFonts w:hint="eastAsia" w:ascii="宋体" w:hAnsi="宋体" w:eastAsia="宋体" w:cs="宋体"/>
          <w:color w:val="auto"/>
          <w:sz w:val="21"/>
          <w:szCs w:val="21"/>
          <w:highlight w:val="none"/>
          <w:u w:val="single"/>
        </w:rPr>
        <w:t xml:space="preserve"> 按本工程监理合同约定内容</w:t>
      </w:r>
      <w:r>
        <w:rPr>
          <w:rFonts w:hint="eastAsia" w:ascii="宋体" w:hAnsi="宋体" w:eastAsia="宋体" w:cs="宋体"/>
          <w:color w:val="auto"/>
          <w:sz w:val="21"/>
          <w:szCs w:val="21"/>
          <w:highlight w:val="none"/>
        </w:rPr>
        <w:t>。</w:t>
      </w:r>
    </w:p>
    <w:p w14:paraId="22BF55D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关于监理人的监理权限：〔</w:t>
      </w:r>
      <w:r>
        <w:rPr>
          <w:rFonts w:hint="eastAsia" w:ascii="宋体" w:hAnsi="宋体" w:eastAsia="宋体" w:cs="宋体"/>
          <w:color w:val="auto"/>
          <w:sz w:val="21"/>
          <w:szCs w:val="21"/>
          <w:highlight w:val="none"/>
          <w:u w:val="single"/>
        </w:rPr>
        <w:t>按本工程监理合同约定内容，涉及工程变更（含设计变更等参建各方变更）均需报发包人审批后生效</w:t>
      </w:r>
      <w:r>
        <w:rPr>
          <w:rFonts w:hint="eastAsia" w:ascii="宋体" w:hAnsi="宋体" w:eastAsia="宋体" w:cs="宋体"/>
          <w:color w:val="auto"/>
          <w:sz w:val="21"/>
          <w:szCs w:val="21"/>
          <w:highlight w:val="none"/>
        </w:rPr>
        <w:t>〕。</w:t>
      </w:r>
    </w:p>
    <w:p w14:paraId="01E574D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关于监理人在施工现场的办公场所、生活场所的提供和费用承担的约定：</w:t>
      </w:r>
      <w:r>
        <w:rPr>
          <w:rFonts w:hint="eastAsia" w:ascii="宋体" w:hAnsi="宋体" w:eastAsia="宋体" w:cs="宋体"/>
          <w:color w:val="auto"/>
          <w:sz w:val="21"/>
          <w:szCs w:val="21"/>
          <w:highlight w:val="none"/>
          <w:u w:val="single"/>
        </w:rPr>
        <w:t xml:space="preserve"> 由承包人免费提供办公室1间使用。</w:t>
      </w:r>
    </w:p>
    <w:p w14:paraId="2814F86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4.2 监理人员</w:t>
      </w:r>
    </w:p>
    <w:p w14:paraId="0CECD26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总监理工程师：</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7D9992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B606E0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职    务：</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427ED8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监理工程师执业资格证书号：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B59DD0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3C0BCE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37E244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C89DF4C">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关于监理人的其他约定：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72DADD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（1）监理人授权超出合同约定，承包人有权提出异议，如监理人对于承包人合理的异议不予接受，则承包人可要求发包人就该事项作出处理决定；</w:t>
      </w:r>
    </w:p>
    <w:p w14:paraId="54DCAF9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（2）对于监理人更换其委派的监理人员，监理人在征得发包人同意后应当提前48小时书面通知承包人；</w:t>
      </w:r>
    </w:p>
    <w:p w14:paraId="3B90841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（3）监理人对其监理人员的任何授权，承包人均有权要求监理人提供书面的授权文件，否则，承包人有权拒绝接受监理人员的指示。</w:t>
      </w:r>
    </w:p>
    <w:p w14:paraId="440E9AF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4.4 商定或确定</w:t>
      </w:r>
    </w:p>
    <w:p w14:paraId="2E599A0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在发包人和承包人不能通过协商达成一致意见时，发包人授权监理人对以下事项进行确定：</w:t>
      </w:r>
    </w:p>
    <w:p w14:paraId="0E592793">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3984742E">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C5DA454">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7E5BC54">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5．工程质量</w:t>
      </w:r>
    </w:p>
    <w:p w14:paraId="4700073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5.1 质量要求</w:t>
      </w:r>
    </w:p>
    <w:p w14:paraId="4D1F69E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5.1.1特殊质量标准和要求：</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EDD348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关于工程质量奖项的约定：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B333DA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5.3 隐蔽工程检查</w:t>
      </w:r>
    </w:p>
    <w:p w14:paraId="7546A77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5.3.2承包人提前通知监理人隐蔽工程检查的期限的约定：</w:t>
      </w:r>
      <w:r>
        <w:rPr>
          <w:rFonts w:hint="eastAsia" w:ascii="宋体" w:hAnsi="宋体" w:eastAsia="宋体" w:cs="宋体"/>
          <w:color w:val="auto"/>
          <w:sz w:val="21"/>
          <w:szCs w:val="21"/>
          <w:highlight w:val="none"/>
          <w:u w:val="single"/>
        </w:rPr>
        <w:t xml:space="preserve"> 按合同通用条款执行。</w:t>
      </w:r>
    </w:p>
    <w:p w14:paraId="6FBEFC2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监理人不能按时进行检查时，应提前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小时提交书面延期要求。</w:t>
      </w:r>
    </w:p>
    <w:p w14:paraId="75D28E7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关于延期最长不得超过：</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小时，由此导致工期延误的，工期予以顺延。</w:t>
      </w:r>
    </w:p>
    <w:p w14:paraId="19A0FB0C">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重要节点的隐蔽工程验收过程、验收部位除办理纸质验收记录，承包人还应保留验收部位、验收过程、验收人员相片、影像等资料。</w:t>
      </w:r>
    </w:p>
    <w:p w14:paraId="2376EBAD">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6．安全文明施工与环境保护</w:t>
      </w:r>
    </w:p>
    <w:p w14:paraId="1CA4D35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 安全文明施工</w:t>
      </w:r>
    </w:p>
    <w:p w14:paraId="66BEEB5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6.1.1项目安全生产的达标目标及相应事项的约定：</w:t>
      </w:r>
      <w:r>
        <w:rPr>
          <w:rFonts w:hint="eastAsia" w:ascii="宋体" w:hAnsi="宋体" w:eastAsia="宋体" w:cs="宋体"/>
          <w:color w:val="auto"/>
          <w:sz w:val="21"/>
          <w:szCs w:val="21"/>
          <w:highlight w:val="none"/>
          <w:u w:val="single"/>
        </w:rPr>
        <w:t>按《浙江省建筑施工安全标准化管理规定》（浙建建〔2012〕54号），及工程所在地相关主管部门发布的有关施工现场安全文明施工（含扬尘防护、监测），门禁考勤管理，噪音、污水排放，视频监控等管理规定执行</w:t>
      </w:r>
      <w:r>
        <w:rPr>
          <w:rFonts w:hint="eastAsia" w:ascii="宋体" w:hAnsi="宋体" w:eastAsia="宋体" w:cs="宋体"/>
          <w:color w:val="auto"/>
          <w:sz w:val="21"/>
          <w:szCs w:val="21"/>
          <w:highlight w:val="none"/>
        </w:rPr>
        <w:t>。</w:t>
      </w:r>
    </w:p>
    <w:p w14:paraId="182B6B3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6.1.4关于治安保卫的特别约定：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232A527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关于编制施工场地治安管理计划的约定：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337B378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6.1.5文明施工</w:t>
      </w:r>
    </w:p>
    <w:p w14:paraId="094479E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合同当事人对文明施工的要求：</w:t>
      </w:r>
      <w:r>
        <w:rPr>
          <w:rFonts w:hint="eastAsia" w:ascii="宋体" w:hAnsi="宋体" w:eastAsia="宋体" w:cs="宋体"/>
          <w:color w:val="auto"/>
          <w:sz w:val="21"/>
          <w:szCs w:val="21"/>
          <w:highlight w:val="none"/>
          <w:u w:val="single"/>
        </w:rPr>
        <w:t>按省、市发有关文明施工管理规定执行</w:t>
      </w:r>
      <w:r>
        <w:rPr>
          <w:rFonts w:hint="eastAsia" w:ascii="宋体" w:hAnsi="宋体" w:eastAsia="宋体" w:cs="宋体"/>
          <w:color w:val="auto"/>
          <w:sz w:val="21"/>
          <w:szCs w:val="21"/>
          <w:highlight w:val="none"/>
        </w:rPr>
        <w:t>。</w:t>
      </w:r>
    </w:p>
    <w:p w14:paraId="27B65EF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6.1.6关于安全文明施工费支付比例和支付期限的约定：</w:t>
      </w:r>
      <w:r>
        <w:rPr>
          <w:rFonts w:hint="eastAsia" w:ascii="宋体" w:hAnsi="宋体" w:eastAsia="宋体" w:cs="宋体"/>
          <w:color w:val="auto"/>
          <w:sz w:val="21"/>
          <w:szCs w:val="21"/>
          <w:highlight w:val="none"/>
          <w:u w:val="single"/>
        </w:rPr>
        <w:t>安全文明施工费预付费用包含在工程预付款内，支付比例为安全文明施工费总额的100% ；安全文明施工费的使用按通用条款执行。</w:t>
      </w:r>
    </w:p>
    <w:p w14:paraId="5DBF619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安全文明施工费包含在合同价内。承包人经发包人同意采取合同以外的安全措施所产生的费用，由发、承包人协商处理；未经发包人同意，发包人可不承担由此增加费用；</w:t>
      </w:r>
    </w:p>
    <w:p w14:paraId="5694B7B8">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7．工期和进度</w:t>
      </w:r>
    </w:p>
    <w:p w14:paraId="08F13CC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7.1 施工组织设计</w:t>
      </w:r>
    </w:p>
    <w:p w14:paraId="6C2112A1">
      <w:pPr>
        <w:autoSpaceDE w:val="0"/>
        <w:autoSpaceDN w:val="0"/>
        <w:adjustRightInd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7.1.1合</w:t>
      </w:r>
      <w:r>
        <w:rPr>
          <w:rFonts w:hint="eastAsia" w:ascii="宋体" w:hAnsi="宋体" w:eastAsia="宋体" w:cs="宋体"/>
          <w:color w:val="auto"/>
          <w:kern w:val="0"/>
          <w:sz w:val="21"/>
          <w:szCs w:val="21"/>
          <w:highlight w:val="none"/>
        </w:rPr>
        <w:t>同当事人约定的施工组织设计应包括的其他内容：</w:t>
      </w:r>
      <w:r>
        <w:rPr>
          <w:rFonts w:hint="eastAsia" w:ascii="宋体" w:hAnsi="宋体" w:eastAsia="宋体" w:cs="宋体"/>
          <w:color w:val="auto"/>
          <w:sz w:val="21"/>
          <w:szCs w:val="21"/>
          <w:highlight w:val="none"/>
          <w:u w:val="single"/>
        </w:rPr>
        <w:t xml:space="preserve"> 对特殊工艺施工、危险性较大分部分项工程施工，应按规定办理审批手续和按当地建设行政主管部门要求组织专家论证。</w:t>
      </w:r>
    </w:p>
    <w:p w14:paraId="2993CB50">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7.1.2</w:t>
      </w:r>
      <w:r>
        <w:rPr>
          <w:rFonts w:hint="eastAsia" w:ascii="宋体" w:hAnsi="宋体" w:eastAsia="宋体" w:cs="宋体"/>
          <w:color w:val="auto"/>
          <w:kern w:val="0"/>
          <w:sz w:val="21"/>
          <w:szCs w:val="21"/>
          <w:highlight w:val="none"/>
        </w:rPr>
        <w:t>施工组织设计的提交和修改</w:t>
      </w:r>
    </w:p>
    <w:p w14:paraId="21A75A81">
      <w:pPr>
        <w:autoSpaceDE w:val="0"/>
        <w:autoSpaceDN w:val="0"/>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承包人提交详细施工组织设计的期限的约定：</w:t>
      </w:r>
      <w:r>
        <w:rPr>
          <w:rFonts w:hint="eastAsia" w:ascii="宋体" w:hAnsi="宋体" w:eastAsia="宋体" w:cs="宋体"/>
          <w:color w:val="auto"/>
          <w:sz w:val="21"/>
          <w:szCs w:val="21"/>
          <w:highlight w:val="none"/>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color w:val="auto"/>
          <w:sz w:val="21"/>
          <w:szCs w:val="21"/>
          <w:highlight w:val="none"/>
        </w:rPr>
        <w:t>；</w:t>
      </w:r>
    </w:p>
    <w:p w14:paraId="292FEF6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发包人和监理人在收到详细的施工组织设计后确认或提出修改意见的期限：</w:t>
      </w:r>
      <w:r>
        <w:rPr>
          <w:rFonts w:hint="eastAsia" w:ascii="宋体" w:hAnsi="宋体" w:eastAsia="宋体" w:cs="宋体"/>
          <w:color w:val="auto"/>
          <w:sz w:val="21"/>
          <w:szCs w:val="21"/>
          <w:highlight w:val="none"/>
          <w:u w:val="single"/>
        </w:rPr>
        <w:t>收到相应文件后7天内</w:t>
      </w:r>
      <w:r>
        <w:rPr>
          <w:rFonts w:hint="eastAsia" w:ascii="宋体" w:hAnsi="宋体" w:eastAsia="宋体" w:cs="宋体"/>
          <w:color w:val="auto"/>
          <w:sz w:val="21"/>
          <w:szCs w:val="21"/>
          <w:highlight w:val="none"/>
        </w:rPr>
        <w:t>。</w:t>
      </w:r>
    </w:p>
    <w:p w14:paraId="794C712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7.2 施工进度计划</w:t>
      </w:r>
    </w:p>
    <w:p w14:paraId="288328E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7.2.2施工进度计划的修订</w:t>
      </w:r>
    </w:p>
    <w:p w14:paraId="202629C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发包人和监理人在收到修订的施工进度计划后确认或提出修改意见的期限：</w:t>
      </w:r>
      <w:r>
        <w:rPr>
          <w:rFonts w:hint="eastAsia" w:ascii="宋体" w:hAnsi="宋体" w:eastAsia="宋体" w:cs="宋体"/>
          <w:color w:val="auto"/>
          <w:sz w:val="21"/>
          <w:szCs w:val="21"/>
          <w:highlight w:val="none"/>
          <w:u w:val="single"/>
        </w:rPr>
        <w:t xml:space="preserve"> 收到相应文件后7天内 </w:t>
      </w:r>
      <w:r>
        <w:rPr>
          <w:rFonts w:hint="eastAsia" w:ascii="宋体" w:hAnsi="宋体" w:eastAsia="宋体" w:cs="宋体"/>
          <w:color w:val="auto"/>
          <w:sz w:val="21"/>
          <w:szCs w:val="21"/>
          <w:highlight w:val="none"/>
        </w:rPr>
        <w:t>。</w:t>
      </w:r>
    </w:p>
    <w:p w14:paraId="506AF78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7.3 开工</w:t>
      </w:r>
    </w:p>
    <w:p w14:paraId="25F4F97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7.3.1开工准备</w:t>
      </w:r>
    </w:p>
    <w:p w14:paraId="580CC956">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关于承包人提交</w:t>
      </w:r>
      <w:r>
        <w:rPr>
          <w:rFonts w:hint="eastAsia" w:ascii="宋体" w:hAnsi="宋体" w:eastAsia="宋体" w:cs="宋体"/>
          <w:color w:val="auto"/>
          <w:kern w:val="0"/>
          <w:sz w:val="21"/>
          <w:szCs w:val="21"/>
          <w:highlight w:val="none"/>
        </w:rPr>
        <w:t>工程开工报审表的期限：</w:t>
      </w:r>
      <w:r>
        <w:rPr>
          <w:rFonts w:hint="eastAsia" w:ascii="宋体" w:hAnsi="宋体" w:eastAsia="宋体" w:cs="宋体"/>
          <w:color w:val="auto"/>
          <w:sz w:val="21"/>
          <w:szCs w:val="21"/>
          <w:highlight w:val="none"/>
          <w:u w:val="single"/>
        </w:rPr>
        <w:t>接到开工通知（或确定开工日期）后7天内</w:t>
      </w:r>
      <w:r>
        <w:rPr>
          <w:rFonts w:hint="eastAsia" w:ascii="宋体" w:hAnsi="宋体" w:eastAsia="宋体" w:cs="宋体"/>
          <w:color w:val="auto"/>
          <w:sz w:val="21"/>
          <w:szCs w:val="21"/>
          <w:highlight w:val="none"/>
        </w:rPr>
        <w:t>。</w:t>
      </w:r>
    </w:p>
    <w:p w14:paraId="4F34238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关于发包人应完成的其他开工准备工作及期限：</w:t>
      </w:r>
      <w:r>
        <w:rPr>
          <w:rFonts w:hint="eastAsia" w:ascii="宋体" w:hAnsi="宋体" w:eastAsia="宋体" w:cs="宋体"/>
          <w:color w:val="auto"/>
          <w:sz w:val="21"/>
          <w:szCs w:val="21"/>
          <w:highlight w:val="none"/>
          <w:u w:val="single"/>
        </w:rPr>
        <w:t>开工前7天</w:t>
      </w:r>
      <w:r>
        <w:rPr>
          <w:rFonts w:hint="eastAsia" w:ascii="宋体" w:hAnsi="宋体" w:eastAsia="宋体" w:cs="宋体"/>
          <w:color w:val="auto"/>
          <w:sz w:val="21"/>
          <w:szCs w:val="21"/>
          <w:highlight w:val="none"/>
        </w:rPr>
        <w:t>。</w:t>
      </w:r>
    </w:p>
    <w:p w14:paraId="12340AF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关于承包人应完成的其他开工准备工作及期限：</w:t>
      </w:r>
      <w:r>
        <w:rPr>
          <w:rFonts w:hint="eastAsia" w:ascii="宋体" w:hAnsi="宋体" w:eastAsia="宋体" w:cs="宋体"/>
          <w:color w:val="auto"/>
          <w:sz w:val="21"/>
          <w:szCs w:val="21"/>
          <w:highlight w:val="none"/>
          <w:u w:val="single"/>
        </w:rPr>
        <w:t>开工前。</w:t>
      </w:r>
    </w:p>
    <w:p w14:paraId="1D4F4B4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7.3.2开工通知</w:t>
      </w:r>
    </w:p>
    <w:p w14:paraId="156AECB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发包人（或监理人）在计划开工日期前7天向承包人发出开工通知，工期自开工通知中载明的开工日期起算。</w:t>
      </w:r>
    </w:p>
    <w:p w14:paraId="140E1E9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因发包人原因造成监理人未能在计划开工日期之日起90天内发出开工通知的，承包人有权提出价格调整要求，或者解除合同。发包人应当承担由此增加的费用或赔偿承包人的损失。</w:t>
      </w:r>
    </w:p>
    <w:p w14:paraId="6C56312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7.4 测量放线</w:t>
      </w:r>
    </w:p>
    <w:p w14:paraId="01393F6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7.4.1发包人通过监理人向承包人提供测量基准点、基准线和水准点及其书面资料的期限：</w:t>
      </w:r>
      <w:r>
        <w:rPr>
          <w:rFonts w:hint="eastAsia" w:ascii="宋体" w:hAnsi="宋体" w:eastAsia="宋体" w:cs="宋体"/>
          <w:color w:val="auto"/>
          <w:sz w:val="21"/>
          <w:szCs w:val="21"/>
          <w:highlight w:val="none"/>
          <w:u w:val="single"/>
        </w:rPr>
        <w:t xml:space="preserve"> 按合同通用条款执行 </w:t>
      </w:r>
      <w:r>
        <w:rPr>
          <w:rFonts w:hint="eastAsia" w:ascii="宋体" w:hAnsi="宋体" w:eastAsia="宋体" w:cs="宋体"/>
          <w:color w:val="auto"/>
          <w:sz w:val="21"/>
          <w:szCs w:val="21"/>
          <w:highlight w:val="none"/>
        </w:rPr>
        <w:t>。</w:t>
      </w:r>
    </w:p>
    <w:p w14:paraId="663B7AD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7.5 工期延误</w:t>
      </w:r>
    </w:p>
    <w:p w14:paraId="330ADBF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7.5.1因发包人原因导致工期延误</w:t>
      </w:r>
    </w:p>
    <w:p w14:paraId="56E7B5BD">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（7）因发包人原因导致工期延误的其他情形：</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473252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7.5.2因承包人原因导致工期延误</w:t>
      </w:r>
    </w:p>
    <w:p w14:paraId="4770C55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因承包人原因造成工期延误，逾期竣工违约金的计算方法为：</w:t>
      </w:r>
      <w:r>
        <w:rPr>
          <w:rFonts w:hint="eastAsia" w:ascii="宋体" w:hAnsi="宋体" w:eastAsia="宋体" w:cs="宋体"/>
          <w:color w:val="auto"/>
          <w:sz w:val="21"/>
          <w:szCs w:val="21"/>
          <w:highlight w:val="none"/>
          <w:u w:val="single"/>
        </w:rPr>
        <w:t>每天200元</w:t>
      </w:r>
      <w:r>
        <w:rPr>
          <w:rFonts w:hint="eastAsia" w:ascii="宋体" w:hAnsi="宋体" w:eastAsia="宋体" w:cs="宋体"/>
          <w:color w:val="auto"/>
          <w:sz w:val="21"/>
          <w:szCs w:val="21"/>
          <w:highlight w:val="none"/>
        </w:rPr>
        <w:t>。</w:t>
      </w:r>
    </w:p>
    <w:p w14:paraId="1D53FEE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因承包人原因造成工期延误，逾期竣工违约金的上限：</w:t>
      </w:r>
      <w:r>
        <w:rPr>
          <w:rFonts w:hint="eastAsia" w:ascii="宋体" w:hAnsi="宋体" w:eastAsia="宋体" w:cs="宋体"/>
          <w:color w:val="auto"/>
          <w:sz w:val="21"/>
          <w:szCs w:val="21"/>
          <w:highlight w:val="none"/>
          <w:u w:val="single"/>
        </w:rPr>
        <w:t>履约保证金额度，对发包人造成损失超过违约金的，除承担违约金外同时赔偿发包人损失</w:t>
      </w:r>
      <w:r>
        <w:rPr>
          <w:rFonts w:hint="eastAsia" w:ascii="宋体" w:hAnsi="宋体" w:eastAsia="宋体" w:cs="宋体"/>
          <w:color w:val="auto"/>
          <w:sz w:val="21"/>
          <w:szCs w:val="21"/>
          <w:highlight w:val="none"/>
        </w:rPr>
        <w:t>。</w:t>
      </w:r>
    </w:p>
    <w:p w14:paraId="5670218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7.6 不利物质条件</w:t>
      </w:r>
    </w:p>
    <w:p w14:paraId="2C6B8C6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不利物质条件的其他情形和有关约定：</w:t>
      </w:r>
    </w:p>
    <w:p w14:paraId="6EB7683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u w:val="single"/>
        </w:rPr>
        <w:t>每天连续停水、停电超过8小时以上。</w:t>
      </w:r>
    </w:p>
    <w:p w14:paraId="28BDA28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因政府行政命令（因承包人原因的除外）。</w:t>
      </w:r>
    </w:p>
    <w:p w14:paraId="477E06A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非因双方原因而无法控制的爆炸、火灾等事件。</w:t>
      </w:r>
    </w:p>
    <w:p w14:paraId="74EC971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u w:val="single"/>
        </w:rPr>
        <w:t>施工场地周围地下管线保护，地下障碍物和污染物排除，邻近建筑物、构筑物的保护要求。</w:t>
      </w:r>
    </w:p>
    <w:p w14:paraId="42FA63B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u w:val="single"/>
        </w:rPr>
        <w:t>地质勘探资料未涉及的地下管道、暗沟、岩层等。</w:t>
      </w:r>
    </w:p>
    <w:p w14:paraId="22F3D0F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承包人为克服不利物质条件，所采取合理措施而增加的费用和延误的工期由发包人承担；承包人虽然采取了合理的措施，但不利物质发生后，仍导致了工程现场损失，则参照通用合同条款17.3条处理。</w:t>
      </w:r>
    </w:p>
    <w:p w14:paraId="0AE3459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7.7 异常恶劣的气候条件</w:t>
      </w:r>
    </w:p>
    <w:p w14:paraId="63DA007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发包人和承包人同意以下情形视为异常恶劣的气候条件：</w:t>
      </w:r>
    </w:p>
    <w:p w14:paraId="5D19A0F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u w:val="single"/>
        </w:rPr>
        <w:t>8-10级（含10级）持续24小时的大风（台风）</w:t>
      </w:r>
      <w:r>
        <w:rPr>
          <w:rFonts w:hint="eastAsia" w:ascii="宋体" w:hAnsi="宋体" w:eastAsia="宋体" w:cs="宋体"/>
          <w:color w:val="auto"/>
          <w:sz w:val="21"/>
          <w:szCs w:val="21"/>
          <w:highlight w:val="none"/>
        </w:rPr>
        <w:t>；</w:t>
      </w:r>
    </w:p>
    <w:p w14:paraId="1EB9DFB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24小时内持续降雨且降水量为200mm以上</w:t>
      </w:r>
      <w:r>
        <w:rPr>
          <w:rFonts w:hint="eastAsia" w:ascii="宋体" w:hAnsi="宋体" w:eastAsia="宋体" w:cs="宋体"/>
          <w:color w:val="auto"/>
          <w:sz w:val="21"/>
          <w:szCs w:val="21"/>
          <w:highlight w:val="none"/>
        </w:rPr>
        <w:t>；</w:t>
      </w:r>
    </w:p>
    <w:p w14:paraId="4511139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40摄氏度及以上且持续2天以上的高温天气</w:t>
      </w:r>
      <w:r>
        <w:rPr>
          <w:rFonts w:hint="eastAsia" w:ascii="宋体" w:hAnsi="宋体" w:eastAsia="宋体" w:cs="宋体"/>
          <w:color w:val="auto"/>
          <w:sz w:val="21"/>
          <w:szCs w:val="21"/>
          <w:highlight w:val="none"/>
        </w:rPr>
        <w:t>。</w:t>
      </w:r>
    </w:p>
    <w:p w14:paraId="419D391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p>
    <w:p w14:paraId="260EF7D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7.9 提前竣工的奖励</w:t>
      </w:r>
    </w:p>
    <w:p w14:paraId="5652C0C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7.9.2提前竣工的奖励：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0A2D9278">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8．材料与设备</w:t>
      </w:r>
    </w:p>
    <w:p w14:paraId="1A2D75D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8.1 发包人供应材料与工程设备</w:t>
      </w:r>
    </w:p>
    <w:p w14:paraId="15FDA53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本工程中</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材料由发包人提供。</w:t>
      </w:r>
    </w:p>
    <w:p w14:paraId="6A3872A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发包人提供的</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材料费用（除税价款）在每期应付工程款（或竣工结算）的税前工程造价中扣回。（适用一般计税方法）</w:t>
      </w:r>
    </w:p>
    <w:p w14:paraId="2AB65DE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8.2 承包人采购材料与工程设备</w:t>
      </w:r>
    </w:p>
    <w:p w14:paraId="353A8B75">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（1）材料品牌、规格和使用要求：按招标文件（相应）技术标准和要求执行。</w:t>
      </w:r>
    </w:p>
    <w:p w14:paraId="3BCBB1D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（2）本工程已确定承包价的建筑材料均由承包人自行询价、采购、运输和保管。散装水泥及新型墙体材料的使用须符合相关规定，否则相关押金由承包人承担。</w:t>
      </w:r>
    </w:p>
    <w:p w14:paraId="2504228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（3）本工程要求使用材料要求：商品混凝土。</w:t>
      </w:r>
    </w:p>
    <w:p w14:paraId="3C0CCA1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（4）所有材料必须有质保书或合格证，符合施工图纸和规范要求，且品牌、产地需报发包人备案，否则，因此产生的后果均由承包人负责。</w:t>
      </w:r>
    </w:p>
    <w:p w14:paraId="60D38955">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5）凡是招标文件注明规格、型号或相当于的厂家（品牌、产地）的材料，承包人必须按照招标文件要求采购和施工，优先使用相当于的厂家（品牌、产地），如需调整，必须经得发包人认可，否则由此引起的后果由承包人承担。</w:t>
      </w:r>
    </w:p>
    <w:p w14:paraId="5865CCC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（6）所有设备、材料和预制构件等均需有产品合格证和质保书、试验（试车）报告等必要资料，符合国家规定的技术标准和设计图纸要求的标准，并且须经发包人及监理单位验收合格后方可使用。</w:t>
      </w:r>
    </w:p>
    <w:p w14:paraId="04132AB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（7）根据工程需要，发包人有权对承包人投标时确认的品牌进行更换，更换后的材料价格由发包人签证进行结算。</w:t>
      </w:r>
    </w:p>
    <w:p w14:paraId="1BA16FF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（8）合同中原暂定价材料或由工程变更产生的无价材料（按有关规定可不组织招标采购的）由承包人采购时，应由发包人签证确定价格后采购，发包人收到承包人价格确定申请后，7日内审批完毕。</w:t>
      </w:r>
    </w:p>
    <w:p w14:paraId="014AB8E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8.4 材料与工程设备的保管与使用</w:t>
      </w:r>
    </w:p>
    <w:p w14:paraId="4FE3EE7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8.4.1发包人供应的材料设备的保管费用的承担：</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D5B894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8.6 样品</w:t>
      </w:r>
    </w:p>
    <w:p w14:paraId="2FFAAEC9">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8.6.1样品的报送与封存</w:t>
      </w:r>
    </w:p>
    <w:p w14:paraId="1254D03C">
      <w:pPr>
        <w:autoSpaceDE w:val="0"/>
        <w:autoSpaceDN w:val="0"/>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需要承包人报送样品的材料或工程设备，样品的种类、名称、规格、数量要求：</w:t>
      </w:r>
      <w:r>
        <w:rPr>
          <w:rFonts w:hint="eastAsia" w:ascii="宋体" w:hAnsi="宋体" w:eastAsia="宋体" w:cs="宋体"/>
          <w:color w:val="auto"/>
          <w:sz w:val="21"/>
          <w:szCs w:val="21"/>
          <w:highlight w:val="none"/>
          <w:u w:val="single"/>
        </w:rPr>
        <w:t xml:space="preserve">  （如有要封存样品，明确具体样品名称）  </w:t>
      </w:r>
      <w:r>
        <w:rPr>
          <w:rFonts w:hint="eastAsia" w:ascii="宋体" w:hAnsi="宋体" w:eastAsia="宋体" w:cs="宋体"/>
          <w:color w:val="auto"/>
          <w:sz w:val="21"/>
          <w:szCs w:val="21"/>
          <w:highlight w:val="none"/>
        </w:rPr>
        <w:t>。</w:t>
      </w:r>
    </w:p>
    <w:p w14:paraId="1924D3A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8.8 施工设备和临时设施</w:t>
      </w:r>
    </w:p>
    <w:p w14:paraId="2A7C6C4F">
      <w:pPr>
        <w:autoSpaceDE w:val="0"/>
        <w:autoSpaceDN w:val="0"/>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8.8.1承包人提供的施工设备和临时设施</w:t>
      </w:r>
    </w:p>
    <w:p w14:paraId="7AC76C30">
      <w:pPr>
        <w:autoSpaceDE w:val="0"/>
        <w:autoSpaceDN w:val="0"/>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关于修建临时设施费用承担的约定：</w:t>
      </w:r>
      <w:r>
        <w:rPr>
          <w:rFonts w:hint="eastAsia" w:ascii="宋体" w:hAnsi="宋体" w:eastAsia="宋体" w:cs="宋体"/>
          <w:color w:val="auto"/>
          <w:sz w:val="21"/>
          <w:szCs w:val="21"/>
          <w:highlight w:val="none"/>
          <w:u w:val="single"/>
        </w:rPr>
        <w:t xml:space="preserve">  由承包人承担  </w:t>
      </w:r>
      <w:r>
        <w:rPr>
          <w:rFonts w:hint="eastAsia" w:ascii="宋体" w:hAnsi="宋体" w:eastAsia="宋体" w:cs="宋体"/>
          <w:color w:val="auto"/>
          <w:sz w:val="21"/>
          <w:szCs w:val="21"/>
          <w:highlight w:val="none"/>
        </w:rPr>
        <w:t>。</w:t>
      </w:r>
    </w:p>
    <w:p w14:paraId="3A6E32B9">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9．试验与检验</w:t>
      </w:r>
    </w:p>
    <w:p w14:paraId="5314334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9.1 试验设备与试验人员</w:t>
      </w:r>
    </w:p>
    <w:p w14:paraId="19478F5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9.1.2试验设备</w:t>
      </w:r>
    </w:p>
    <w:p w14:paraId="2AD69A3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施工现场需要配置的试验场所：</w:t>
      </w:r>
      <w:r>
        <w:rPr>
          <w:rFonts w:hint="eastAsia" w:ascii="宋体" w:hAnsi="宋体" w:eastAsia="宋体" w:cs="宋体"/>
          <w:color w:val="auto"/>
          <w:sz w:val="21"/>
          <w:szCs w:val="21"/>
          <w:highlight w:val="none"/>
          <w:u w:val="single"/>
        </w:rPr>
        <w:t xml:space="preserve"> 按规范及（当地）建设行政主管部门要求配置</w:t>
      </w:r>
      <w:r>
        <w:rPr>
          <w:rFonts w:hint="eastAsia" w:ascii="宋体" w:hAnsi="宋体" w:eastAsia="宋体" w:cs="宋体"/>
          <w:color w:val="auto"/>
          <w:sz w:val="21"/>
          <w:szCs w:val="21"/>
          <w:highlight w:val="none"/>
        </w:rPr>
        <w:t>。</w:t>
      </w:r>
    </w:p>
    <w:p w14:paraId="4DA9320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施工现场需要配备的试验设备：</w:t>
      </w:r>
      <w:r>
        <w:rPr>
          <w:rFonts w:hint="eastAsia" w:ascii="宋体" w:hAnsi="宋体" w:eastAsia="宋体" w:cs="宋体"/>
          <w:color w:val="auto"/>
          <w:sz w:val="21"/>
          <w:szCs w:val="21"/>
          <w:highlight w:val="none"/>
          <w:u w:val="single"/>
        </w:rPr>
        <w:t xml:space="preserve"> 按规范及（当地）建设行政主管部门要求配置</w:t>
      </w:r>
      <w:r>
        <w:rPr>
          <w:rFonts w:hint="eastAsia" w:ascii="宋体" w:hAnsi="宋体" w:eastAsia="宋体" w:cs="宋体"/>
          <w:color w:val="auto"/>
          <w:sz w:val="21"/>
          <w:szCs w:val="21"/>
          <w:highlight w:val="none"/>
        </w:rPr>
        <w:t>。</w:t>
      </w:r>
    </w:p>
    <w:p w14:paraId="29927CA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施工现场需要具备的其他试验条件：</w:t>
      </w:r>
      <w:r>
        <w:rPr>
          <w:rFonts w:hint="eastAsia" w:ascii="宋体" w:hAnsi="宋体" w:eastAsia="宋体" w:cs="宋体"/>
          <w:color w:val="auto"/>
          <w:sz w:val="21"/>
          <w:szCs w:val="21"/>
          <w:highlight w:val="none"/>
          <w:u w:val="single"/>
        </w:rPr>
        <w:t xml:space="preserve"> 按规范及（当地）建设行政主管部门要求配置</w:t>
      </w:r>
      <w:r>
        <w:rPr>
          <w:rFonts w:hint="eastAsia" w:ascii="宋体" w:hAnsi="宋体" w:eastAsia="宋体" w:cs="宋体"/>
          <w:color w:val="auto"/>
          <w:sz w:val="21"/>
          <w:szCs w:val="21"/>
          <w:highlight w:val="none"/>
        </w:rPr>
        <w:t>。</w:t>
      </w:r>
    </w:p>
    <w:p w14:paraId="701364A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9.3 材料、工程设备和工程的试验和检验</w:t>
      </w:r>
    </w:p>
    <w:p w14:paraId="1404525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9.3.4材料、设备和工程的试验和检验的费用：</w:t>
      </w:r>
    </w:p>
    <w:p w14:paraId="27F323B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6AA995B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002A169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159A8FE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28CDBE4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9.4 现场工艺试验</w:t>
      </w:r>
    </w:p>
    <w:p w14:paraId="072202A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现场工艺试验的有关约定：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8BFAE14">
      <w:pPr>
        <w:pStyle w:val="6"/>
        <w:keepNext w:val="0"/>
        <w:keepLines w:val="0"/>
        <w:numPr>
          <w:ilvl w:val="0"/>
          <w:numId w:val="6"/>
        </w:numPr>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变更</w:t>
      </w:r>
    </w:p>
    <w:p w14:paraId="60EE4C1A">
      <w:pPr>
        <w:spacing w:line="400" w:lineRule="exact"/>
        <w:ind w:firstLine="412" w:firstLineChars="200"/>
        <w:rPr>
          <w:color w:val="auto"/>
          <w:highlight w:val="none"/>
        </w:rPr>
      </w:pPr>
      <w:r>
        <w:rPr>
          <w:rFonts w:hint="eastAsia" w:ascii="宋体" w:hAnsi="宋体" w:eastAsia="宋体" w:cs="宋体"/>
          <w:color w:val="auto"/>
          <w:sz w:val="21"/>
          <w:szCs w:val="21"/>
          <w:highlight w:val="none"/>
          <w:u w:val="single"/>
        </w:rPr>
        <w:t>工程变更按照临海市人民政府办公室印发的《关于进一步完善政府投资项目管理的若干意见》（临政办发〔2018〕167号）办理。</w:t>
      </w:r>
    </w:p>
    <w:p w14:paraId="058D064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10.1 变更的范围</w:t>
      </w:r>
    </w:p>
    <w:p w14:paraId="782A421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关于变更的范围的约定：</w:t>
      </w:r>
      <w:r>
        <w:rPr>
          <w:rFonts w:hint="eastAsia" w:ascii="宋体" w:hAnsi="宋体" w:eastAsia="宋体" w:cs="宋体"/>
          <w:color w:val="auto"/>
          <w:sz w:val="21"/>
          <w:szCs w:val="21"/>
          <w:highlight w:val="none"/>
          <w:u w:val="single"/>
        </w:rPr>
        <w:t>按合同通用条款。工程变更引起工程量的减少或增加，承包人不得因此拒绝施工。</w:t>
      </w:r>
    </w:p>
    <w:p w14:paraId="13EF65E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10.4 变更估价</w:t>
      </w:r>
    </w:p>
    <w:p w14:paraId="2E90253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10.4.1变更估价原则</w:t>
      </w:r>
    </w:p>
    <w:p w14:paraId="6B4AD8A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关于变更估价的约定: </w:t>
      </w:r>
      <w:r>
        <w:rPr>
          <w:rFonts w:hint="eastAsia" w:ascii="宋体" w:hAnsi="宋体" w:eastAsia="宋体" w:cs="宋体"/>
          <w:color w:val="auto"/>
          <w:sz w:val="21"/>
          <w:szCs w:val="21"/>
          <w:highlight w:val="none"/>
          <w:u w:val="single"/>
        </w:rPr>
        <w:t>变更项目的计价口径同合同约定计价方法，按约定的工程预算定额计价，预算定额中无合适定额子目的由发包人签证确定。</w:t>
      </w:r>
    </w:p>
    <w:p w14:paraId="598E2D0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10.4.2变更估价程序</w:t>
      </w:r>
    </w:p>
    <w:p w14:paraId="5EE5D30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承包人收到发包人、监理人、设计单位的变更指示后14天内向发包人提交变更估价申请。</w:t>
      </w:r>
    </w:p>
    <w:p w14:paraId="225F610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承包人提出工程变更、专项施工方案等变更应同时提交变更估价申请。</w:t>
      </w:r>
    </w:p>
    <w:p w14:paraId="32A6B1E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承包人提交的变更估价申请，发包人和监理人应予以签收，并在14天内审批完毕。</w:t>
      </w:r>
    </w:p>
    <w:p w14:paraId="5B24052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10.5 承包人的合理化建议</w:t>
      </w:r>
    </w:p>
    <w:p w14:paraId="0F9E69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监理人审查承包人合理化建议的期限：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14:paraId="0B8DB1E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发包人审批承包人合理化建议的期限：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14:paraId="672857F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承包人提出的合理化建议降低了合同价格或者提高了工程经济效益的奖励的方法和金额为：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0EED71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10.7 暂估价</w:t>
      </w:r>
    </w:p>
    <w:p w14:paraId="02C8790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暂估价材料和工程设备的明细详见附件11：</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kern w:val="0"/>
          <w:sz w:val="21"/>
          <w:szCs w:val="21"/>
          <w:highlight w:val="none"/>
        </w:rPr>
        <w:t>。</w:t>
      </w:r>
    </w:p>
    <w:p w14:paraId="6CFF957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10.7.1依法必须招标的暂估价项目</w:t>
      </w:r>
    </w:p>
    <w:p w14:paraId="5CA4828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无承包价（暂定价）的单项材料、设备、专业分包工程估算价在30万元以上的（指可以向同一家供应商采购的同类材料总价），须由发、承包双方通过公开招标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p>
    <w:p w14:paraId="539BA13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10.7.2不属于依法必须招标的暂估价项目：</w:t>
      </w:r>
      <w:r>
        <w:rPr>
          <w:rFonts w:hint="eastAsia" w:ascii="宋体" w:hAnsi="宋体" w:eastAsia="宋体" w:cs="宋体"/>
          <w:color w:val="auto"/>
          <w:sz w:val="21"/>
          <w:szCs w:val="21"/>
          <w:highlight w:val="none"/>
          <w:u w:val="single"/>
        </w:rPr>
        <w:t>按合同通用条款。</w:t>
      </w:r>
    </w:p>
    <w:p w14:paraId="49B8A7E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第3种方式：</w:t>
      </w:r>
      <w:r>
        <w:rPr>
          <w:rFonts w:hint="eastAsia" w:ascii="宋体" w:hAnsi="宋体" w:eastAsia="宋体" w:cs="宋体"/>
          <w:color w:val="auto"/>
          <w:kern w:val="0"/>
          <w:sz w:val="21"/>
          <w:szCs w:val="21"/>
          <w:highlight w:val="none"/>
        </w:rPr>
        <w:t>承包人直接实施的暂估价项目</w:t>
      </w:r>
    </w:p>
    <w:p w14:paraId="4FE4EB1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承包人直接实施的暂估价项目的约定：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3C96F9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10.8 暂列金额</w:t>
      </w:r>
    </w:p>
    <w:p w14:paraId="4E00BBC4">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合同当事人关于暂列金额使用的约定：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w:t>
      </w:r>
    </w:p>
    <w:p w14:paraId="39D04D1B">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11．价格调整</w:t>
      </w:r>
    </w:p>
    <w:p w14:paraId="5521C34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 市场价格波动引起的调整</w:t>
      </w:r>
    </w:p>
    <w:p w14:paraId="63DCEB4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市场价格波动是否调整合同价格的约定：</w:t>
      </w:r>
      <w:r>
        <w:rPr>
          <w:rFonts w:hint="eastAsia" w:ascii="宋体" w:hAnsi="宋体" w:eastAsia="宋体" w:cs="宋体"/>
          <w:color w:val="auto"/>
          <w:sz w:val="21"/>
          <w:szCs w:val="21"/>
          <w:highlight w:val="none"/>
          <w:u w:val="single"/>
        </w:rPr>
        <w:t>人工、材料结算价格按以下方法调整。本条约定的调整时间均为在施工工期范围内。人工（含机上人工）调整的差价部分只计取税金及民工工伤保险费。</w:t>
      </w:r>
    </w:p>
    <w:p w14:paraId="5F9B457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因市场价格波动调整合同价格，采用以下第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种方式对合同价格进行调整：</w:t>
      </w:r>
    </w:p>
    <w:p w14:paraId="627001F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第1种方式：采用价格指数进行价格调整。</w:t>
      </w:r>
    </w:p>
    <w:p w14:paraId="1252E06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第2种方式：本工程的人工、材料结算单价，按施工期内的信息价《台州造价（正刊）》（工程所在地）的平均值计算。</w:t>
      </w:r>
    </w:p>
    <w:p w14:paraId="104866F6">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第3种方式：其他价格调整方式：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115504E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11.2 法律变化引起的调整 ：</w:t>
      </w:r>
      <w:r>
        <w:rPr>
          <w:rFonts w:hint="eastAsia" w:ascii="宋体" w:hAnsi="宋体" w:eastAsia="宋体" w:cs="宋体"/>
          <w:color w:val="auto"/>
          <w:sz w:val="21"/>
          <w:szCs w:val="21"/>
          <w:highlight w:val="none"/>
          <w:u w:val="single"/>
        </w:rPr>
        <w:t xml:space="preserve"> 按省级或行业建设主管部门或其授权的工程造价管理机构发布的规定执行。</w:t>
      </w:r>
    </w:p>
    <w:p w14:paraId="754442F4">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12．合同价格、计量与支付</w:t>
      </w:r>
    </w:p>
    <w:p w14:paraId="4A924C7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12.1 合同价格形式</w:t>
      </w:r>
    </w:p>
    <w:p w14:paraId="21E057B3">
      <w:pPr>
        <w:pStyle w:val="13"/>
        <w:adjustRightInd w:val="0"/>
        <w:spacing w:line="400" w:lineRule="exact"/>
        <w:ind w:firstLine="412" w:firstLineChars="200"/>
        <w:rPr>
          <w:rFonts w:hAnsi="宋体" w:eastAsia="宋体" w:cs="宋体"/>
          <w:color w:val="auto"/>
          <w:kern w:val="0"/>
          <w:sz w:val="21"/>
          <w:szCs w:val="21"/>
          <w:highlight w:val="none"/>
        </w:rPr>
      </w:pPr>
      <w:r>
        <w:rPr>
          <w:rFonts w:hint="eastAsia" w:hAnsi="宋体" w:eastAsia="宋体" w:cs="宋体"/>
          <w:color w:val="auto"/>
          <w:kern w:val="0"/>
          <w:sz w:val="21"/>
          <w:szCs w:val="21"/>
          <w:highlight w:val="none"/>
        </w:rPr>
        <w:t>本合同价款采用第</w:t>
      </w:r>
      <w:r>
        <w:rPr>
          <w:rFonts w:hint="eastAsia" w:hAnsi="宋体" w:eastAsia="宋体" w:cs="宋体"/>
          <w:color w:val="auto"/>
          <w:kern w:val="0"/>
          <w:sz w:val="21"/>
          <w:szCs w:val="21"/>
          <w:highlight w:val="none"/>
          <w:u w:val="single"/>
        </w:rPr>
        <w:t xml:space="preserve">  3  </w:t>
      </w:r>
      <w:r>
        <w:rPr>
          <w:rFonts w:hint="eastAsia" w:hAnsi="宋体" w:eastAsia="宋体" w:cs="宋体"/>
          <w:color w:val="auto"/>
          <w:kern w:val="0"/>
          <w:sz w:val="21"/>
          <w:szCs w:val="21"/>
          <w:highlight w:val="none"/>
        </w:rPr>
        <w:t>种方式</w:t>
      </w:r>
      <w:r>
        <w:rPr>
          <w:rFonts w:hint="eastAsia" w:hAnsi="宋体" w:eastAsia="宋体" w:cs="宋体"/>
          <w:color w:val="auto"/>
          <w:sz w:val="21"/>
          <w:szCs w:val="21"/>
          <w:highlight w:val="none"/>
          <w:u w:val="single"/>
        </w:rPr>
        <w:t>其他价格形式合同</w:t>
      </w:r>
      <w:r>
        <w:rPr>
          <w:rFonts w:hint="eastAsia" w:hAnsi="宋体" w:eastAsia="宋体" w:cs="宋体"/>
          <w:color w:val="auto"/>
          <w:kern w:val="0"/>
          <w:sz w:val="21"/>
          <w:szCs w:val="21"/>
          <w:highlight w:val="none"/>
        </w:rPr>
        <w:t>确定。</w:t>
      </w:r>
    </w:p>
    <w:p w14:paraId="73DC9E7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1.单价合同：</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6288AB6">
      <w:pPr>
        <w:tabs>
          <w:tab w:val="left" w:pos="0"/>
        </w:tabs>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2.总价合同：</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6EB0D15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总价包含的风险范围：</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34826D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风险费用的计算方法：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82281E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风险范围以外合同价格的调整方法：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8BFC372">
      <w:pPr>
        <w:tabs>
          <w:tab w:val="left" w:pos="0"/>
        </w:tabs>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3.其他价格形式：</w:t>
      </w:r>
      <w:r>
        <w:rPr>
          <w:rFonts w:hint="eastAsia" w:ascii="宋体" w:hAnsi="宋体" w:eastAsia="宋体" w:cs="宋体"/>
          <w:color w:val="auto"/>
          <w:kern w:val="0"/>
          <w:sz w:val="21"/>
          <w:szCs w:val="21"/>
          <w:highlight w:val="none"/>
          <w:u w:val="single"/>
        </w:rPr>
        <w:t>工程造价按工程预算定额计价乘以结算率（1-下浮率）确定。</w:t>
      </w:r>
    </w:p>
    <w:p w14:paraId="49D6E88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合同约定的风险范围：</w:t>
      </w:r>
    </w:p>
    <w:p w14:paraId="5F56124E">
      <w:pPr>
        <w:pStyle w:val="13"/>
        <w:widowControl/>
        <w:adjustRightInd w:val="0"/>
        <w:spacing w:line="400" w:lineRule="exact"/>
        <w:ind w:firstLine="412" w:firstLineChars="200"/>
        <w:rPr>
          <w:rFonts w:hAnsi="宋体" w:eastAsia="宋体" w:cs="宋体"/>
          <w:color w:val="auto"/>
          <w:kern w:val="0"/>
          <w:sz w:val="21"/>
          <w:szCs w:val="21"/>
          <w:highlight w:val="none"/>
          <w:u w:val="single"/>
          <w:shd w:val="clear" w:color="auto" w:fill="auto"/>
        </w:rPr>
      </w:pPr>
      <w:r>
        <w:rPr>
          <w:rFonts w:hint="eastAsia" w:hAnsi="宋体" w:eastAsia="宋体" w:cs="宋体"/>
          <w:color w:val="auto"/>
          <w:kern w:val="0"/>
          <w:sz w:val="21"/>
          <w:szCs w:val="21"/>
          <w:highlight w:val="none"/>
          <w:u w:val="single"/>
          <w:shd w:val="clear" w:color="auto" w:fill="auto"/>
        </w:rPr>
        <w:t>本工程结算价的计算方式按以下第（1）约定工程造价计算规则，结合投标工程结算率和市场价格波动调整办法计算工程造价。除风险范围以外约定调整外，以下内容按承包人的投标承诺不作调整：</w:t>
      </w:r>
    </w:p>
    <w:p w14:paraId="3B439884">
      <w:pPr>
        <w:pStyle w:val="13"/>
        <w:widowControl/>
        <w:adjustRightInd w:val="0"/>
        <w:spacing w:line="400" w:lineRule="exact"/>
        <w:ind w:firstLine="412" w:firstLineChars="200"/>
        <w:rPr>
          <w:rFonts w:hAnsi="宋体" w:eastAsia="宋体" w:cs="宋体"/>
          <w:color w:val="auto"/>
          <w:kern w:val="0"/>
          <w:sz w:val="21"/>
          <w:szCs w:val="21"/>
          <w:highlight w:val="none"/>
          <w:u w:val="single"/>
          <w:shd w:val="clear" w:color="auto" w:fill="auto"/>
        </w:rPr>
      </w:pPr>
      <w:r>
        <w:rPr>
          <w:rFonts w:hint="eastAsia" w:hAnsi="宋体" w:eastAsia="宋体" w:cs="宋体"/>
          <w:color w:val="auto"/>
          <w:kern w:val="0"/>
          <w:sz w:val="21"/>
          <w:szCs w:val="21"/>
          <w:highlight w:val="none"/>
          <w:u w:val="single"/>
          <w:shd w:val="clear" w:color="auto" w:fill="auto"/>
        </w:rPr>
        <w:t>（1）</w:t>
      </w:r>
      <w:r>
        <w:rPr>
          <w:rFonts w:hint="eastAsia" w:hAnsi="宋体" w:eastAsia="宋体" w:cs="宋体"/>
          <w:color w:val="auto"/>
          <w:kern w:val="0"/>
          <w:sz w:val="21"/>
          <w:szCs w:val="21"/>
          <w:highlight w:val="none"/>
          <w:u w:val="single"/>
          <w:shd w:val="clear" w:color="auto" w:fill="auto"/>
          <w:lang w:eastAsia="zh-CN"/>
        </w:rPr>
        <w:t>《浙江省市政工程预算定额》(2018版)、《浙江省建设工程计价规则》(2018版)、[浙建建发(2019)92号]、[浙建建发（2022）37号]、相关补充定额及省、市行业主管部门发布的计价文件规定，计算工程造价。</w:t>
      </w:r>
    </w:p>
    <w:p w14:paraId="609A66EA">
      <w:pPr>
        <w:pStyle w:val="13"/>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（2）工程结算率：           ；</w:t>
      </w:r>
    </w:p>
    <w:p w14:paraId="5B237885">
      <w:pPr>
        <w:pStyle w:val="13"/>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（3）施工组织措施项目内容及对应费率：</w:t>
      </w:r>
      <w:r>
        <w:rPr>
          <w:rFonts w:hint="eastAsia" w:hAnsi="宋体" w:eastAsia="宋体"/>
          <w:color w:val="auto"/>
          <w:sz w:val="21"/>
          <w:highlight w:val="none"/>
          <w:u w:val="single"/>
        </w:rPr>
        <w:t>按预算书相应费率</w:t>
      </w:r>
      <w:r>
        <w:rPr>
          <w:rFonts w:hint="eastAsia" w:hAnsi="宋体" w:eastAsia="宋体" w:cs="宋体"/>
          <w:color w:val="auto"/>
          <w:kern w:val="0"/>
          <w:sz w:val="21"/>
          <w:szCs w:val="21"/>
          <w:highlight w:val="none"/>
          <w:u w:val="single"/>
        </w:rPr>
        <w:t>；</w:t>
      </w:r>
    </w:p>
    <w:p w14:paraId="29E27CF9">
      <w:pPr>
        <w:pStyle w:val="13"/>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（4）规费费率：</w:t>
      </w:r>
      <w:r>
        <w:rPr>
          <w:rFonts w:hint="eastAsia" w:hAnsi="宋体" w:eastAsia="宋体"/>
          <w:color w:val="auto"/>
          <w:sz w:val="21"/>
          <w:highlight w:val="none"/>
          <w:u w:val="single"/>
        </w:rPr>
        <w:t>按预算书相应费率</w:t>
      </w:r>
      <w:r>
        <w:rPr>
          <w:rFonts w:hint="eastAsia" w:hAnsi="宋体" w:eastAsia="宋体" w:cs="宋体"/>
          <w:color w:val="auto"/>
          <w:kern w:val="0"/>
          <w:sz w:val="21"/>
          <w:szCs w:val="21"/>
          <w:highlight w:val="none"/>
          <w:u w:val="single"/>
        </w:rPr>
        <w:t>；  税金税率：</w:t>
      </w:r>
      <w:r>
        <w:rPr>
          <w:rFonts w:hint="eastAsia" w:hAnsi="宋体" w:eastAsia="宋体"/>
          <w:color w:val="auto"/>
          <w:sz w:val="21"/>
          <w:highlight w:val="none"/>
          <w:u w:val="single"/>
        </w:rPr>
        <w:t>按预算书相应费率</w:t>
      </w:r>
      <w:r>
        <w:rPr>
          <w:rFonts w:hint="eastAsia" w:hAnsi="宋体" w:eastAsia="宋体" w:cs="宋体"/>
          <w:color w:val="auto"/>
          <w:kern w:val="0"/>
          <w:sz w:val="21"/>
          <w:szCs w:val="21"/>
          <w:highlight w:val="none"/>
          <w:u w:val="single"/>
        </w:rPr>
        <w:t xml:space="preserve"> ；</w:t>
      </w:r>
    </w:p>
    <w:p w14:paraId="5D7FF934">
      <w:pPr>
        <w:pStyle w:val="13"/>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（5）企业管理费、利润、施工组织措施费、规费的计算基数为人工及机械台班费，基数中单价按人工、机械台班的定额单价计算；</w:t>
      </w:r>
    </w:p>
    <w:p w14:paraId="4733B7DB">
      <w:pPr>
        <w:pStyle w:val="13"/>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（6）签证确定的某个施工内容的施工价（或工料机完全价）仅计算税金及工伤保险费，不纳入工程下浮率（或结算率计算）。</w:t>
      </w:r>
    </w:p>
    <w:p w14:paraId="4CECDA89">
      <w:pPr>
        <w:pStyle w:val="13"/>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无承包价（暂定价）或工程变更新增的单项材料、设备、专业分包工程由发包人签证或招标确定的价格，不纳入工程下浮率（或结算率）计算；</w:t>
      </w:r>
    </w:p>
    <w:p w14:paraId="66CF5563">
      <w:pPr>
        <w:pStyle w:val="13"/>
        <w:widowControl/>
        <w:numPr>
          <w:ilvl w:val="0"/>
          <w:numId w:val="7"/>
        </w:numPr>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计日工综合单价（工数经发包人签证，综合单价按技术工</w:t>
      </w:r>
      <w:r>
        <w:rPr>
          <w:rFonts w:hint="eastAsia" w:hAnsi="宋体" w:eastAsia="宋体" w:cs="宋体"/>
          <w:color w:val="auto"/>
          <w:kern w:val="0"/>
          <w:sz w:val="21"/>
          <w:szCs w:val="21"/>
          <w:highlight w:val="none"/>
          <w:u w:val="single"/>
          <w:lang w:val="en-US" w:eastAsia="zh-CN"/>
        </w:rPr>
        <w:t>260</w:t>
      </w:r>
      <w:r>
        <w:rPr>
          <w:rFonts w:hint="eastAsia" w:hAnsi="宋体" w:eastAsia="宋体" w:cs="宋体"/>
          <w:color w:val="auto"/>
          <w:kern w:val="0"/>
          <w:sz w:val="21"/>
          <w:szCs w:val="21"/>
          <w:highlight w:val="none"/>
          <w:u w:val="single"/>
        </w:rPr>
        <w:t>元/工日、普工</w:t>
      </w:r>
      <w:r>
        <w:rPr>
          <w:rFonts w:hint="eastAsia" w:hAnsi="宋体" w:eastAsia="宋体" w:cs="宋体"/>
          <w:color w:val="auto"/>
          <w:kern w:val="0"/>
          <w:sz w:val="21"/>
          <w:szCs w:val="21"/>
          <w:highlight w:val="none"/>
          <w:u w:val="single"/>
          <w:lang w:val="en-US" w:eastAsia="zh-CN"/>
        </w:rPr>
        <w:t>180</w:t>
      </w:r>
      <w:r>
        <w:rPr>
          <w:rFonts w:hint="eastAsia" w:hAnsi="宋体" w:eastAsia="宋体" w:cs="宋体"/>
          <w:color w:val="auto"/>
          <w:kern w:val="0"/>
          <w:sz w:val="21"/>
          <w:szCs w:val="21"/>
          <w:highlight w:val="none"/>
          <w:u w:val="single"/>
        </w:rPr>
        <w:t>元/工日计取）；该项费用仅另计算税金。</w:t>
      </w:r>
    </w:p>
    <w:p w14:paraId="7F3FD030">
      <w:pPr>
        <w:pStyle w:val="13"/>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（8）其他可能发生的费用：</w:t>
      </w:r>
    </w:p>
    <w:p w14:paraId="3388ADA3">
      <w:pPr>
        <w:pStyle w:val="13"/>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a.因施工噪音、物体坠落、材料抛散而扰民及影响环境卫生、交通城管、现场文明和施工安全等问题而产生的费用，由承包人自行解决。因此而造成的工期延长由承包人负责。如给发包人另行造成额外的经济损失，发包人可从承包人的工程款中扣回；</w:t>
      </w:r>
    </w:p>
    <w:p w14:paraId="61001936">
      <w:pPr>
        <w:pStyle w:val="13"/>
        <w:widowControl/>
        <w:adjustRightInd w:val="0"/>
        <w:spacing w:line="400" w:lineRule="exact"/>
        <w:ind w:firstLine="412" w:firstLineChars="200"/>
        <w:rPr>
          <w:rFonts w:hint="eastAsia"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b.实际施工中可能发生街道管理费、干扰费、环保费、占道押金等其它管理费；</w:t>
      </w:r>
    </w:p>
    <w:p w14:paraId="570D8005">
      <w:pPr>
        <w:pStyle w:val="13"/>
        <w:widowControl/>
        <w:adjustRightInd w:val="0"/>
        <w:spacing w:line="400" w:lineRule="exact"/>
        <w:ind w:firstLine="412" w:firstLineChars="200"/>
        <w:rPr>
          <w:rFonts w:hint="eastAsia" w:hAnsi="宋体" w:eastAsia="宋体" w:cs="宋体"/>
          <w:color w:val="0000FF"/>
          <w:kern w:val="0"/>
          <w:sz w:val="21"/>
          <w:szCs w:val="21"/>
          <w:highlight w:val="none"/>
          <w:u w:val="single"/>
          <w:lang w:val="en-US" w:eastAsia="zh-CN"/>
        </w:rPr>
      </w:pPr>
      <w:r>
        <w:rPr>
          <w:rFonts w:hint="eastAsia" w:hAnsi="宋体" w:eastAsia="宋体" w:cs="宋体"/>
          <w:color w:val="0000FF"/>
          <w:kern w:val="0"/>
          <w:sz w:val="21"/>
          <w:szCs w:val="21"/>
          <w:highlight w:val="none"/>
          <w:u w:val="single"/>
          <w:lang w:val="en-US" w:eastAsia="zh-CN"/>
        </w:rPr>
        <w:t>c.土方外运距离按5km计算，投标人自行考虑运距，运距结算不再调整，处置费用由投标人自行考虑，结算不再另行计算该笔费用；</w:t>
      </w:r>
    </w:p>
    <w:p w14:paraId="71F25EFF">
      <w:pPr>
        <w:pStyle w:val="13"/>
        <w:widowControl/>
        <w:adjustRightInd w:val="0"/>
        <w:spacing w:line="400" w:lineRule="exact"/>
        <w:ind w:firstLine="412" w:firstLineChars="200"/>
        <w:rPr>
          <w:rFonts w:hint="eastAsia" w:hAnsi="宋体" w:eastAsia="宋体" w:cs="宋体"/>
          <w:color w:val="0000FF"/>
          <w:kern w:val="0"/>
          <w:sz w:val="21"/>
          <w:szCs w:val="21"/>
          <w:highlight w:val="none"/>
          <w:u w:val="single"/>
          <w:lang w:val="en-US" w:eastAsia="zh-CN"/>
        </w:rPr>
      </w:pPr>
      <w:r>
        <w:rPr>
          <w:rFonts w:hint="eastAsia" w:hAnsi="宋体" w:eastAsia="宋体" w:cs="宋体"/>
          <w:color w:val="0000FF"/>
          <w:kern w:val="0"/>
          <w:sz w:val="21"/>
          <w:szCs w:val="21"/>
          <w:highlight w:val="none"/>
          <w:u w:val="single"/>
          <w:lang w:val="en-US" w:eastAsia="zh-CN"/>
        </w:rPr>
        <w:t>d.混凝土采用商品混凝土，运距8km以内；</w:t>
      </w:r>
    </w:p>
    <w:p w14:paraId="706CC97E">
      <w:pPr>
        <w:pStyle w:val="13"/>
        <w:widowControl/>
        <w:adjustRightInd w:val="0"/>
        <w:spacing w:line="400" w:lineRule="exact"/>
        <w:ind w:firstLine="412" w:firstLineChars="200"/>
        <w:rPr>
          <w:rFonts w:hint="eastAsia"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e.其他参照预算书</w:t>
      </w:r>
    </w:p>
    <w:p w14:paraId="00DC86C0">
      <w:pPr>
        <w:pStyle w:val="12"/>
        <w:ind w:left="0" w:leftChars="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风险费用的计算方法：已包含在合同价内。</w:t>
      </w:r>
    </w:p>
    <w:p w14:paraId="3F27012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风险范围以外合同价格的调整方法：</w:t>
      </w:r>
    </w:p>
    <w:p w14:paraId="43985F0D">
      <w:pPr>
        <w:autoSpaceDE w:val="0"/>
        <w:autoSpaceDN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val="zh-CN"/>
        </w:rPr>
        <w:t>（1）</w:t>
      </w:r>
      <w:r>
        <w:rPr>
          <w:rFonts w:hint="eastAsia" w:ascii="宋体" w:hAnsi="宋体" w:eastAsia="宋体" w:cs="宋体"/>
          <w:color w:val="auto"/>
          <w:sz w:val="21"/>
          <w:szCs w:val="21"/>
          <w:highlight w:val="none"/>
          <w:u w:val="single"/>
        </w:rPr>
        <w:t>工程量按照专用合同条款12.3.1条规定，由承包人计量，发包人或其委托的相关中介机构审核。</w:t>
      </w:r>
    </w:p>
    <w:p w14:paraId="3B2B0EA6">
      <w:pPr>
        <w:autoSpaceDE w:val="0"/>
        <w:autoSpaceDN w:val="0"/>
        <w:spacing w:line="400" w:lineRule="exact"/>
        <w:ind w:firstLine="412" w:firstLineChars="200"/>
        <w:rPr>
          <w:rFonts w:ascii="宋体" w:hAnsi="宋体" w:eastAsia="宋体" w:cs="宋体"/>
          <w:color w:val="auto"/>
          <w:sz w:val="21"/>
          <w:szCs w:val="21"/>
          <w:highlight w:val="none"/>
          <w:u w:val="single"/>
          <w:lang w:val="zh-CN"/>
        </w:rPr>
      </w:pPr>
      <w:r>
        <w:rPr>
          <w:rFonts w:hint="eastAsia" w:ascii="宋体" w:hAnsi="宋体" w:eastAsia="宋体" w:cs="宋体"/>
          <w:color w:val="auto"/>
          <w:sz w:val="21"/>
          <w:szCs w:val="21"/>
          <w:highlight w:val="none"/>
          <w:u w:val="single"/>
        </w:rPr>
        <w:t>（2）</w:t>
      </w:r>
      <w:r>
        <w:rPr>
          <w:rFonts w:hint="eastAsia" w:ascii="宋体" w:hAnsi="宋体" w:eastAsia="宋体" w:cs="宋体"/>
          <w:color w:val="auto"/>
          <w:kern w:val="0"/>
          <w:sz w:val="21"/>
          <w:szCs w:val="21"/>
          <w:highlight w:val="none"/>
          <w:u w:val="single"/>
        </w:rPr>
        <w:t>因市场价格波动引起人工、材料价格变化的调整，按</w:t>
      </w:r>
      <w:r>
        <w:rPr>
          <w:rFonts w:hint="eastAsia" w:ascii="宋体" w:hAnsi="宋体" w:eastAsia="宋体" w:cs="宋体"/>
          <w:color w:val="auto"/>
          <w:sz w:val="21"/>
          <w:szCs w:val="21"/>
          <w:highlight w:val="none"/>
          <w:u w:val="single"/>
        </w:rPr>
        <w:t>本专用合同条款第11.1款约定调整。</w:t>
      </w:r>
    </w:p>
    <w:p w14:paraId="7929F688">
      <w:pPr>
        <w:autoSpaceDE w:val="0"/>
        <w:autoSpaceDN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（3）未在投标价中包含的专项施工方案的施工及论证费用，根据施工现场实际按照合同约定方法确定费用或签证。</w:t>
      </w:r>
    </w:p>
    <w:p w14:paraId="6A4D06EA">
      <w:pPr>
        <w:autoSpaceDE w:val="0"/>
        <w:autoSpaceDN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（4）政策性调整及各级建设行政主管部门发布的计价依据调整按规定调整。</w:t>
      </w:r>
    </w:p>
    <w:p w14:paraId="0BDBCAA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12.2 预付款</w:t>
      </w:r>
    </w:p>
    <w:p w14:paraId="73A380B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12.2.1预付款的支付</w:t>
      </w:r>
    </w:p>
    <w:p w14:paraId="692C28F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预付款支付比例或金额：</w:t>
      </w:r>
      <w:r>
        <w:rPr>
          <w:rFonts w:hint="eastAsia" w:ascii="宋体" w:hAnsi="宋体" w:eastAsia="宋体" w:cs="宋体"/>
          <w:color w:val="auto"/>
          <w:sz w:val="21"/>
          <w:szCs w:val="21"/>
          <w:highlight w:val="none"/>
          <w:u w:val="single"/>
        </w:rPr>
        <w:t>签约合同价的10%，金额（    ）元，包含专用条款6.1.6条所列的安全文明施工费。</w:t>
      </w:r>
    </w:p>
    <w:p w14:paraId="138A72A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预付款支付期限：</w:t>
      </w:r>
      <w:r>
        <w:rPr>
          <w:rFonts w:hint="eastAsia" w:ascii="宋体" w:hAnsi="宋体" w:eastAsia="宋体" w:cs="宋体"/>
          <w:color w:val="auto"/>
          <w:sz w:val="21"/>
          <w:szCs w:val="21"/>
          <w:highlight w:val="none"/>
          <w:u w:val="single"/>
        </w:rPr>
        <w:t>按投标时承诺的人员、机械设备进场开工后7天内。</w:t>
      </w:r>
    </w:p>
    <w:p w14:paraId="6404C112">
      <w:pPr>
        <w:spacing w:line="400" w:lineRule="exact"/>
        <w:ind w:firstLine="412" w:firstLineChars="200"/>
        <w:rPr>
          <w:rFonts w:ascii="宋体" w:hAnsi="宋体" w:eastAsia="宋体" w:cs="宋体"/>
          <w:color w:val="0000FF"/>
          <w:sz w:val="21"/>
          <w:szCs w:val="21"/>
          <w:highlight w:val="none"/>
        </w:rPr>
      </w:pPr>
      <w:r>
        <w:rPr>
          <w:rFonts w:hint="eastAsia" w:ascii="宋体" w:hAnsi="宋体" w:eastAsia="宋体" w:cs="宋体"/>
          <w:color w:val="0000FF"/>
          <w:sz w:val="21"/>
          <w:szCs w:val="21"/>
          <w:highlight w:val="none"/>
        </w:rPr>
        <w:t>预付款扣回的方式：</w:t>
      </w:r>
      <w:r>
        <w:rPr>
          <w:rFonts w:hint="eastAsia" w:ascii="宋体" w:hAnsi="宋体" w:eastAsia="宋体" w:cs="宋体"/>
          <w:sz w:val="21"/>
          <w:szCs w:val="21"/>
          <w:u w:val="single"/>
        </w:rPr>
        <w:t>不扣回。作为工程款，不抵扣每期应付进度款</w:t>
      </w:r>
      <w:r>
        <w:rPr>
          <w:rFonts w:hint="eastAsia" w:ascii="宋体" w:hAnsi="宋体" w:eastAsia="宋体" w:cs="宋体"/>
          <w:color w:val="0000FF"/>
          <w:sz w:val="21"/>
          <w:szCs w:val="21"/>
          <w:highlight w:val="none"/>
        </w:rPr>
        <w:t>。</w:t>
      </w:r>
    </w:p>
    <w:p w14:paraId="3C45A5B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12.2.2预付款担保</w:t>
      </w:r>
    </w:p>
    <w:p w14:paraId="2565C85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承包人提交预付款担保的期限：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p>
    <w:p w14:paraId="348C883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预付款担保的形式为：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6152064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 计量</w:t>
      </w:r>
    </w:p>
    <w:p w14:paraId="604E333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12.3.1计量原则</w:t>
      </w:r>
    </w:p>
    <w:p w14:paraId="1023EB44">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工程量计算按照实际完成施工图纸范围内和经发包人同意增加的施工内容按实计算，工程量计算规则按照</w:t>
      </w:r>
      <w:r>
        <w:rPr>
          <w:rFonts w:hint="eastAsia" w:ascii="宋体" w:hAnsi="宋体" w:eastAsia="宋体" w:cs="宋体"/>
          <w:color w:val="auto"/>
          <w:sz w:val="21"/>
          <w:szCs w:val="21"/>
          <w:highlight w:val="none"/>
          <w:u w:val="single"/>
          <w:lang w:eastAsia="zh-CN"/>
        </w:rPr>
        <w:t>《浙江省市政工程预算定额》(2018版)、《浙江省建设工程计价规则》(2018版)、[浙建建发(2019)92号]、[浙建建发（2022）37号]</w:t>
      </w:r>
      <w:r>
        <w:rPr>
          <w:rFonts w:hint="eastAsia" w:ascii="宋体" w:hAnsi="宋体" w:eastAsia="宋体" w:cs="宋体"/>
          <w:color w:val="auto"/>
          <w:sz w:val="21"/>
          <w:szCs w:val="21"/>
          <w:highlight w:val="none"/>
          <w:u w:val="single"/>
        </w:rPr>
        <w:t>、相关补充定额及省、市行业主管部门发布的计价文件；发包人提供的工程量计算规则计量。</w:t>
      </w:r>
    </w:p>
    <w:p w14:paraId="127D147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12.3.2计量周期：</w:t>
      </w:r>
    </w:p>
    <w:p w14:paraId="74E197C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关于计量周期的约定：</w:t>
      </w:r>
      <w:r>
        <w:rPr>
          <w:rFonts w:hint="eastAsia" w:ascii="宋体" w:hAnsi="宋体" w:eastAsia="宋体" w:cs="宋体"/>
          <w:color w:val="auto"/>
          <w:sz w:val="21"/>
          <w:szCs w:val="21"/>
          <w:highlight w:val="none"/>
          <w:u w:val="single"/>
        </w:rPr>
        <w:t>按月计量。</w:t>
      </w:r>
    </w:p>
    <w:p w14:paraId="02A93C6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12.3.3单价合同的计量</w:t>
      </w:r>
    </w:p>
    <w:p w14:paraId="69BE14C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关于单价合同计量的约定：</w:t>
      </w:r>
      <w:r>
        <w:rPr>
          <w:rFonts w:hint="eastAsia" w:ascii="宋体" w:hAnsi="宋体" w:eastAsia="宋体" w:cs="宋体"/>
          <w:color w:val="auto"/>
          <w:sz w:val="21"/>
          <w:szCs w:val="21"/>
          <w:highlight w:val="none"/>
          <w:u w:val="single"/>
        </w:rPr>
        <w:t>按合同通用条款执行。</w:t>
      </w:r>
    </w:p>
    <w:p w14:paraId="240C5F7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（4）但确认的工程量和单价仅作为本期工程款支付的依据。</w:t>
      </w:r>
    </w:p>
    <w:p w14:paraId="4BA04FF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12.3.4总价合同的计量</w:t>
      </w:r>
    </w:p>
    <w:p w14:paraId="3D625D8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关于总价合同计量的约定：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10A7360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12.3.5总价合同采用支付分解表计量支付的，是否适用第</w:t>
      </w:r>
      <w:r>
        <w:rPr>
          <w:rFonts w:hint="eastAsia" w:ascii="宋体" w:hAnsi="宋体" w:eastAsia="宋体" w:cs="宋体"/>
          <w:color w:val="auto"/>
          <w:kern w:val="0"/>
          <w:sz w:val="21"/>
          <w:szCs w:val="21"/>
          <w:highlight w:val="none"/>
        </w:rPr>
        <w:t xml:space="preserve">12.3.4 </w:t>
      </w:r>
      <w:r>
        <w:rPr>
          <w:rFonts w:hint="eastAsia" w:ascii="宋体" w:hAnsi="宋体" w:eastAsia="宋体" w:cs="宋体"/>
          <w:color w:val="auto"/>
          <w:sz w:val="21"/>
          <w:szCs w:val="21"/>
          <w:highlight w:val="none"/>
        </w:rPr>
        <w:t>项</w:t>
      </w:r>
      <w:r>
        <w:rPr>
          <w:rFonts w:hint="eastAsia" w:ascii="宋体" w:hAnsi="宋体" w:eastAsia="宋体" w:cs="宋体"/>
          <w:color w:val="auto"/>
          <w:kern w:val="0"/>
          <w:sz w:val="21"/>
          <w:szCs w:val="21"/>
          <w:highlight w:val="none"/>
        </w:rPr>
        <w:t>〔总价合同的计量〕</w:t>
      </w:r>
      <w:r>
        <w:rPr>
          <w:rFonts w:hint="eastAsia" w:ascii="宋体" w:hAnsi="宋体" w:eastAsia="宋体" w:cs="宋体"/>
          <w:color w:val="auto"/>
          <w:sz w:val="21"/>
          <w:szCs w:val="21"/>
          <w:highlight w:val="none"/>
        </w:rPr>
        <w:t>约定进行计量：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3B33C99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12.3.6其他价格形式合同的计量</w:t>
      </w:r>
    </w:p>
    <w:p w14:paraId="7F0D4BA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其他价格形式的计量方式和程序：</w:t>
      </w:r>
      <w:r>
        <w:rPr>
          <w:rFonts w:hint="eastAsia" w:ascii="宋体" w:hAnsi="宋体" w:eastAsia="宋体" w:cs="宋体"/>
          <w:color w:val="auto"/>
          <w:sz w:val="21"/>
          <w:szCs w:val="21"/>
          <w:highlight w:val="none"/>
          <w:u w:val="single"/>
        </w:rPr>
        <w:t xml:space="preserve"> 人工、材料价格调整引起合同价款调整，在完成本合同专用条款第11.1款约定的调整节点后，计入该节点所在当期工程价款；工程变更按规定办理完毕的，计入当期工程价款 。</w:t>
      </w:r>
    </w:p>
    <w:p w14:paraId="2F579C1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 工程进度款支付</w:t>
      </w:r>
    </w:p>
    <w:p w14:paraId="3465A81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12.4.1付款周期</w:t>
      </w:r>
    </w:p>
    <w:p w14:paraId="440E6FC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关于付款周期的约定：</w:t>
      </w:r>
      <w:r>
        <w:rPr>
          <w:rFonts w:hint="eastAsia" w:ascii="宋体" w:hAnsi="宋体" w:eastAsia="宋体" w:cs="宋体"/>
          <w:color w:val="auto"/>
          <w:sz w:val="21"/>
          <w:szCs w:val="21"/>
          <w:highlight w:val="none"/>
          <w:u w:val="single"/>
        </w:rPr>
        <w:t>本工程按工程进度支付工程进度款。</w:t>
      </w:r>
    </w:p>
    <w:p w14:paraId="49DA454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12.4.2进度付款申请单的编制</w:t>
      </w:r>
    </w:p>
    <w:p w14:paraId="4FF53B40">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关于进度付款申请单编制的约定：</w:t>
      </w:r>
      <w:r>
        <w:rPr>
          <w:rFonts w:hint="eastAsia" w:ascii="宋体" w:hAnsi="宋体" w:eastAsia="宋体" w:cs="宋体"/>
          <w:color w:val="auto"/>
          <w:sz w:val="21"/>
          <w:szCs w:val="21"/>
          <w:highlight w:val="none"/>
          <w:u w:val="single"/>
        </w:rPr>
        <w:t>工程完工并经验收合格后付至合同总价的85%；结算经审定后，支付至结算价款的100%。</w:t>
      </w:r>
    </w:p>
    <w:p w14:paraId="6351474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其余按合同通用条款</w:t>
      </w:r>
      <w:r>
        <w:rPr>
          <w:rFonts w:hint="eastAsia" w:ascii="宋体" w:hAnsi="宋体" w:eastAsia="宋体" w:cs="宋体"/>
          <w:color w:val="auto"/>
          <w:sz w:val="21"/>
          <w:szCs w:val="21"/>
          <w:highlight w:val="none"/>
        </w:rPr>
        <w:t>。</w:t>
      </w:r>
    </w:p>
    <w:p w14:paraId="6C0BB02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12.4.3进度付款申请单的提交</w:t>
      </w:r>
    </w:p>
    <w:p w14:paraId="261D048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（1）单价合同进度付款申请单提交的约定：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3C2705B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（2）总价合同进度付款申请单提交的约定：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114C89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（3）其他价格形式合同进度付款申请单提交的约定：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0C22BCD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12.4.4进度款审核和支付</w:t>
      </w:r>
    </w:p>
    <w:p w14:paraId="0D02815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（1）监理人审查并报送发包人的期限：</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4CBACA4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发包人完成审批并签发进度款支付证书的期限：</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659F838F">
      <w:pPr>
        <w:spacing w:line="400" w:lineRule="exact"/>
        <w:ind w:firstLine="412" w:firstLineChars="200"/>
        <w:jc w:val="left"/>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（2）发包人支付进度款的期限：</w:t>
      </w:r>
      <w:r>
        <w:rPr>
          <w:rFonts w:hint="eastAsia" w:ascii="宋体" w:hAnsi="宋体" w:eastAsia="宋体" w:cs="宋体"/>
          <w:color w:val="auto"/>
          <w:sz w:val="21"/>
          <w:szCs w:val="21"/>
          <w:highlight w:val="none"/>
          <w:u w:val="single"/>
        </w:rPr>
        <w:t>在发包人确认计量结果后14天内完成支付。</w:t>
      </w:r>
    </w:p>
    <w:p w14:paraId="54B18BE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发包人逾期支付进度款的违约金的计算方式：</w:t>
      </w:r>
      <w:r>
        <w:rPr>
          <w:rFonts w:hint="eastAsia" w:ascii="宋体" w:hAnsi="宋体" w:eastAsia="宋体" w:cs="宋体"/>
          <w:color w:val="auto"/>
          <w:sz w:val="21"/>
          <w:szCs w:val="21"/>
          <w:highlight w:val="none"/>
          <w:u w:val="single"/>
        </w:rPr>
        <w:t>支付应付工程进度款的利息，利率按同期全国银行间同业拆借中心公布的贷款市场报价利率，时间为从约定应付之日起至支付之日止计算利息。</w:t>
      </w:r>
    </w:p>
    <w:p w14:paraId="435189D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6819318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12.4.6支付分解表的编制</w:t>
      </w:r>
    </w:p>
    <w:p w14:paraId="0CFB166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2、总价合同支付分解表的编制与审批：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p>
    <w:p w14:paraId="5261855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3、单价合同的总价项目支付分解表的编制与审批：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0C1559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12.5 支付帐户</w:t>
      </w:r>
    </w:p>
    <w:p w14:paraId="5B614DB2">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发包人应将合同价款支至合同协议书中约定的承包人帐户：</w:t>
      </w:r>
      <w:r>
        <w:rPr>
          <w:rFonts w:hint="eastAsia" w:ascii="宋体" w:hAnsi="宋体" w:eastAsia="宋体"/>
          <w:color w:val="auto"/>
          <w:sz w:val="21"/>
          <w:highlight w:val="none"/>
          <w:u w:val="single"/>
        </w:rPr>
        <w:t>开户行：              帐号：                       。</w:t>
      </w:r>
      <w:r>
        <w:rPr>
          <w:rFonts w:hint="eastAsia" w:ascii="宋体" w:hAnsi="宋体" w:eastAsia="宋体"/>
          <w:color w:val="auto"/>
          <w:sz w:val="21"/>
          <w:highlight w:val="none"/>
        </w:rPr>
        <w:t>承包人收取款项时应开具增值税发票。</w:t>
      </w:r>
    </w:p>
    <w:p w14:paraId="279449C2">
      <w:pPr>
        <w:spacing w:line="400" w:lineRule="exact"/>
        <w:ind w:firstLine="412"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农民工工资专用账户建立及管理按《关于实行建设务工人员实名制信息化管理与建立农民工工资专业账户的通知》临建规[2017]137号文件规定执行。依据文件规定发包人将当期应付工程进度款的（  ）%拨付到承包人的农民工工资专用账户:</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；其余合同价款支付至合同协议书中约定的承包人帐户。</w:t>
      </w:r>
    </w:p>
    <w:p w14:paraId="7E4875AF">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13．验收和工程试车</w:t>
      </w:r>
    </w:p>
    <w:p w14:paraId="12273FA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13.1 分部分项工程验收</w:t>
      </w:r>
    </w:p>
    <w:p w14:paraId="4824C37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13.1.2监理人不能按时进行验收时，应提前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小时提交书面延期要求。</w:t>
      </w:r>
    </w:p>
    <w:p w14:paraId="1D8B326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关于延期最长不得超过：</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w:t>
      </w:r>
    </w:p>
    <w:p w14:paraId="5C03DC3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工程验收过程、验收部位除办理纸质验收记录，还应留置验收部位、验收过程、主要验收人员相片、影像等资料。</w:t>
      </w:r>
    </w:p>
    <w:p w14:paraId="45FBDF7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13.2 竣工验收</w:t>
      </w:r>
    </w:p>
    <w:p w14:paraId="666DC29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13.2.2竣工验收程序</w:t>
      </w:r>
    </w:p>
    <w:p w14:paraId="4ADD996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关于竣工验收程序的约定：</w:t>
      </w:r>
      <w:r>
        <w:rPr>
          <w:rFonts w:hint="eastAsia" w:ascii="宋体" w:hAnsi="宋体" w:eastAsia="宋体" w:cs="宋体"/>
          <w:color w:val="auto"/>
          <w:sz w:val="21"/>
          <w:szCs w:val="21"/>
          <w:highlight w:val="none"/>
          <w:u w:val="single"/>
        </w:rPr>
        <w:t>按合同通用条款。</w:t>
      </w:r>
    </w:p>
    <w:p w14:paraId="38AD6CB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承包人完成合同范围内的工程内容，向发包人或监理人提出验收申请，发包人应在监理人收到承包人提交的验收申请报告42天内组织监理人、承包人、设计勘察人等相关单位完成验收，并签署工程质量合格文件</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承包人须配合发包人进行工程竣工验收。</w:t>
      </w:r>
    </w:p>
    <w:p w14:paraId="349A862D">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发包人不按照本项约定组织竣工验收、颁发工程接收证书的违约金的计算方法：</w:t>
      </w:r>
      <w:r>
        <w:rPr>
          <w:rFonts w:hint="eastAsia" w:ascii="宋体" w:hAnsi="宋体" w:eastAsia="宋体" w:cs="宋体"/>
          <w:color w:val="auto"/>
          <w:sz w:val="21"/>
          <w:szCs w:val="21"/>
          <w:highlight w:val="none"/>
          <w:u w:val="single"/>
        </w:rPr>
        <w:t>不计违约金。</w:t>
      </w:r>
    </w:p>
    <w:p w14:paraId="28BDBB6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因发包人原因，未在监理人接收到承包人提交的验收申请报告42天内完成验收，或完成验收不予签发工程接收证书的，以提交验收申请报告的日期为实际竣工日期</w:t>
      </w:r>
      <w:r>
        <w:rPr>
          <w:rFonts w:hint="eastAsia" w:ascii="宋体" w:hAnsi="宋体" w:eastAsia="宋体" w:cs="宋体"/>
          <w:color w:val="auto"/>
          <w:sz w:val="21"/>
          <w:szCs w:val="21"/>
          <w:highlight w:val="none"/>
        </w:rPr>
        <w:t>。</w:t>
      </w:r>
    </w:p>
    <w:p w14:paraId="58F96BD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13.2.3竣工日期</w:t>
      </w:r>
    </w:p>
    <w:p w14:paraId="498D197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（1）承包人完成合同范围内的全部工程以及有关工作，工程经验收合格的，以承包人提交验收申请报告之日为计算合同工期终止日。</w:t>
      </w:r>
    </w:p>
    <w:p w14:paraId="76AFEB6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（2）其余按合同通用条款。</w:t>
      </w:r>
    </w:p>
    <w:p w14:paraId="1397A72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13.2.5移交、接收全部与部分工程</w:t>
      </w:r>
    </w:p>
    <w:p w14:paraId="22906D7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承包人向发包人移交工程的期限：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14:paraId="283BF06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发包人未按本合同约定接收全部或部分工程的，违约金的计算方法为：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24EA114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承包人未按时移交工程的，违约金的计算方法为：</w:t>
      </w:r>
      <w:r>
        <w:rPr>
          <w:rFonts w:hint="eastAsia" w:ascii="宋体" w:hAnsi="宋体" w:eastAsia="宋体" w:cs="宋体"/>
          <w:color w:val="auto"/>
          <w:sz w:val="21"/>
          <w:szCs w:val="21"/>
          <w:highlight w:val="none"/>
          <w:u w:val="single"/>
        </w:rPr>
        <w:t xml:space="preserve">  按每天200元计取 </w:t>
      </w:r>
      <w:r>
        <w:rPr>
          <w:rFonts w:hint="eastAsia" w:ascii="宋体" w:hAnsi="宋体" w:eastAsia="宋体" w:cs="宋体"/>
          <w:color w:val="auto"/>
          <w:sz w:val="21"/>
          <w:szCs w:val="21"/>
          <w:highlight w:val="none"/>
        </w:rPr>
        <w:t>。</w:t>
      </w:r>
    </w:p>
    <w:p w14:paraId="7C754CE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13.3 工程试车</w:t>
      </w:r>
    </w:p>
    <w:p w14:paraId="5620EB9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13.3.1试车程序</w:t>
      </w:r>
    </w:p>
    <w:p w14:paraId="76C4FEC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工程试车内容：</w:t>
      </w:r>
      <w:r>
        <w:rPr>
          <w:rFonts w:hint="eastAsia" w:ascii="宋体" w:hAnsi="宋体" w:eastAsia="宋体" w:cs="宋体"/>
          <w:color w:val="auto"/>
          <w:kern w:val="0"/>
          <w:sz w:val="21"/>
          <w:szCs w:val="21"/>
          <w:highlight w:val="none"/>
          <w:u w:val="single"/>
        </w:rPr>
        <w:t xml:space="preserve">     按规定执行   </w:t>
      </w:r>
      <w:r>
        <w:rPr>
          <w:rFonts w:hint="eastAsia" w:ascii="宋体" w:hAnsi="宋体" w:eastAsia="宋体" w:cs="宋体"/>
          <w:color w:val="auto"/>
          <w:kern w:val="0"/>
          <w:sz w:val="21"/>
          <w:szCs w:val="21"/>
          <w:highlight w:val="none"/>
        </w:rPr>
        <w:t xml:space="preserve"> </w:t>
      </w:r>
      <w:r>
        <w:rPr>
          <w:rFonts w:hint="eastAsia" w:ascii="宋体" w:hAnsi="宋体" w:eastAsia="宋体" w:cs="宋体"/>
          <w:color w:val="auto"/>
          <w:sz w:val="21"/>
          <w:szCs w:val="21"/>
          <w:highlight w:val="none"/>
        </w:rPr>
        <w:t>。</w:t>
      </w:r>
    </w:p>
    <w:p w14:paraId="2F549AC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（1）单机无负荷试车费用由</w:t>
      </w:r>
      <w:r>
        <w:rPr>
          <w:rFonts w:hint="eastAsia" w:ascii="宋体" w:hAnsi="宋体" w:eastAsia="宋体" w:cs="宋体"/>
          <w:color w:val="auto"/>
          <w:kern w:val="0"/>
          <w:sz w:val="21"/>
          <w:szCs w:val="21"/>
          <w:highlight w:val="none"/>
          <w:u w:val="single"/>
        </w:rPr>
        <w:t xml:space="preserve">  承包人  </w:t>
      </w:r>
      <w:r>
        <w:rPr>
          <w:rFonts w:hint="eastAsia" w:ascii="宋体" w:hAnsi="宋体" w:eastAsia="宋体" w:cs="宋体"/>
          <w:color w:val="auto"/>
          <w:kern w:val="0"/>
          <w:sz w:val="21"/>
          <w:szCs w:val="21"/>
          <w:highlight w:val="none"/>
        </w:rPr>
        <w:t>承担；</w:t>
      </w:r>
    </w:p>
    <w:p w14:paraId="05CE011D">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（2）无负荷联动试车费用由</w:t>
      </w:r>
      <w:r>
        <w:rPr>
          <w:rFonts w:hint="eastAsia" w:ascii="宋体" w:hAnsi="宋体" w:eastAsia="宋体" w:cs="宋体"/>
          <w:color w:val="auto"/>
          <w:kern w:val="0"/>
          <w:sz w:val="21"/>
          <w:szCs w:val="21"/>
          <w:highlight w:val="none"/>
          <w:u w:val="single"/>
        </w:rPr>
        <w:t xml:space="preserve">  承包人  </w:t>
      </w:r>
      <w:r>
        <w:rPr>
          <w:rFonts w:hint="eastAsia" w:ascii="宋体" w:hAnsi="宋体" w:eastAsia="宋体" w:cs="宋体"/>
          <w:color w:val="auto"/>
          <w:kern w:val="0"/>
          <w:sz w:val="21"/>
          <w:szCs w:val="21"/>
          <w:highlight w:val="none"/>
        </w:rPr>
        <w:t>承担。</w:t>
      </w:r>
    </w:p>
    <w:p w14:paraId="16BDA85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13.3.3投料试车</w:t>
      </w:r>
    </w:p>
    <w:p w14:paraId="1C99087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关于投料试车相关事项的约定：</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sz w:val="21"/>
          <w:szCs w:val="21"/>
          <w:highlight w:val="none"/>
        </w:rPr>
        <w:t>。</w:t>
      </w:r>
    </w:p>
    <w:p w14:paraId="0F29E8F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13.6 竣工退场</w:t>
      </w:r>
    </w:p>
    <w:p w14:paraId="29E7292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13.6.1竣工退场</w:t>
      </w:r>
    </w:p>
    <w:p w14:paraId="1881D8A3">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承包人完成竣工退场的期限：</w:t>
      </w:r>
      <w:r>
        <w:rPr>
          <w:rFonts w:hint="eastAsia" w:ascii="宋体" w:hAnsi="宋体" w:eastAsia="宋体" w:cs="宋体"/>
          <w:color w:val="auto"/>
          <w:sz w:val="21"/>
          <w:szCs w:val="21"/>
          <w:highlight w:val="none"/>
          <w:u w:val="single"/>
        </w:rPr>
        <w:t>颁发工程接收证书后7天内</w:t>
      </w:r>
      <w:r>
        <w:rPr>
          <w:rFonts w:hint="eastAsia" w:ascii="宋体" w:hAnsi="宋体" w:eastAsia="宋体" w:cs="宋体"/>
          <w:color w:val="auto"/>
          <w:kern w:val="0"/>
          <w:sz w:val="21"/>
          <w:szCs w:val="21"/>
          <w:highlight w:val="none"/>
        </w:rPr>
        <w:t>。</w:t>
      </w:r>
    </w:p>
    <w:p w14:paraId="4D2C2F98">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13.6.2地表还原</w:t>
      </w:r>
    </w:p>
    <w:p w14:paraId="11712BC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79572BC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本工程场地恢复的要求：</w:t>
      </w:r>
    </w:p>
    <w:p w14:paraId="4A054790">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（1）清理完成施工现场垃圾，临建的拆除与场地复原；</w:t>
      </w:r>
    </w:p>
    <w:p w14:paraId="147926E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（2）施工后废弃材料、设备清理撤离；</w:t>
      </w:r>
    </w:p>
    <w:p w14:paraId="749448C1">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（3）承包人造成的施工现场周边施工堆积物及场地清理。</w:t>
      </w:r>
    </w:p>
    <w:p w14:paraId="497E1753">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（4）其它要求：</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19CB72FE">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14．竣工结算</w:t>
      </w:r>
    </w:p>
    <w:p w14:paraId="1AEB54B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14.1 竣工结算申请</w:t>
      </w:r>
    </w:p>
    <w:p w14:paraId="44E6C30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1.承包人提交竣工结算申请的期限：</w:t>
      </w:r>
    </w:p>
    <w:p w14:paraId="541D2BF3">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承包人完成合同范围内施工内容，参建各方（建设、监理、施工、勘察、设计单位等）对工程验收并签署工程质量合格文件后可在</w:t>
      </w:r>
      <w:r>
        <w:rPr>
          <w:rFonts w:hint="eastAsia" w:ascii="宋体" w:hAnsi="宋体" w:eastAsia="宋体" w:cs="宋体"/>
          <w:b/>
          <w:color w:val="auto"/>
          <w:sz w:val="21"/>
          <w:szCs w:val="21"/>
          <w:highlight w:val="none"/>
          <w:u w:val="single"/>
        </w:rPr>
        <w:t>28天</w:t>
      </w:r>
      <w:r>
        <w:rPr>
          <w:rFonts w:hint="eastAsia" w:ascii="宋体" w:hAnsi="宋体" w:eastAsia="宋体" w:cs="宋体"/>
          <w:color w:val="auto"/>
          <w:sz w:val="21"/>
          <w:szCs w:val="21"/>
          <w:highlight w:val="none"/>
          <w:u w:val="single"/>
        </w:rPr>
        <w:t>内，向发包人或监理人、发包人委托的中介机构提交最终工程结算申请，并提交完整的工程结算资料一套。</w:t>
      </w:r>
    </w:p>
    <w:p w14:paraId="6FEFE854">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工程验收后，承包人超过90天未提交最终工程结算资料，经发包人催告后28天，承包人还不提交工程结算资料的，发包人可根据自己资料办理工程结算，且视为承包人认可工程结算结果。</w:t>
      </w:r>
    </w:p>
    <w:p w14:paraId="1FD7CFD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2.竣工结算申请单应包括的内容：</w:t>
      </w:r>
      <w:r>
        <w:rPr>
          <w:rFonts w:hint="eastAsia" w:ascii="宋体" w:hAnsi="宋体" w:eastAsia="宋体" w:cs="宋体"/>
          <w:color w:val="auto"/>
          <w:sz w:val="21"/>
          <w:szCs w:val="21"/>
          <w:highlight w:val="none"/>
          <w:u w:val="single"/>
        </w:rPr>
        <w:t>包括但不限于施工合同、补充协议、招标文件、投标文件、竣工图纸、施工方案以及经确认的工程变更、工程索赔、现场签证，相关施工记录，工程款收款证明、逾期付款利息计算书等相关资料。</w:t>
      </w:r>
    </w:p>
    <w:p w14:paraId="7461262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14.2 竣工结算审核</w:t>
      </w:r>
    </w:p>
    <w:p w14:paraId="0DA1CF8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（1）发包人结算审核时间：</w:t>
      </w:r>
    </w:p>
    <w:p w14:paraId="15F141B3">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发包人收到承包人递交的最终工程结算报告及结算资料后，在180天内审核完毕，并签发最终工程结算证书。</w:t>
      </w:r>
    </w:p>
    <w:p w14:paraId="4E4535DD">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如发包人或审价机构收到承包人提交的完整结算资料后未能在上述期限内给予审核完毕，不视为发包人认可承包人递交的最终工程结算报告，发包人不承担逾期审核责任。</w:t>
      </w:r>
    </w:p>
    <w:p w14:paraId="16C2E42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发包人在签发竣工结算证书后14天内，扣留工程质量保证金后完成对承包人的竣工付款。逾期支付按中国人民银行发布的同期同类贷款基准利率支付违约金；逾期超过56天，按中国人民银行发布的同期同类贷款基准利率的两倍支付违约金。</w:t>
      </w:r>
    </w:p>
    <w:p w14:paraId="39C59EAF">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14:paraId="5825117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（4）工程结算由发包人委托审价机构审核，结算核减率超过5%时，则超过部分审核费（按5%的费率，基数为超过送审造价5%的幅度以外的核减额）由承包人负责，由发包人从应付工程价款中扣缴。</w:t>
      </w:r>
    </w:p>
    <w:p w14:paraId="0FF5771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14.4 最终结清</w:t>
      </w:r>
    </w:p>
    <w:p w14:paraId="18C4C50B">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14.4.1最终结清申请单</w:t>
      </w:r>
    </w:p>
    <w:p w14:paraId="6E3402F7">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承包人提交最终结清申请单的份数：</w:t>
      </w:r>
      <w:r>
        <w:rPr>
          <w:rFonts w:hint="eastAsia" w:ascii="宋体" w:hAnsi="宋体" w:eastAsia="宋体" w:cs="宋体"/>
          <w:color w:val="auto"/>
          <w:sz w:val="21"/>
          <w:szCs w:val="21"/>
          <w:highlight w:val="none"/>
          <w:u w:val="single"/>
        </w:rPr>
        <w:t xml:space="preserve">  2份  </w:t>
      </w:r>
      <w:r>
        <w:rPr>
          <w:rFonts w:hint="eastAsia" w:ascii="宋体" w:hAnsi="宋体" w:eastAsia="宋体" w:cs="宋体"/>
          <w:color w:val="auto"/>
          <w:sz w:val="21"/>
          <w:szCs w:val="21"/>
          <w:highlight w:val="none"/>
        </w:rPr>
        <w:t>。</w:t>
      </w:r>
    </w:p>
    <w:p w14:paraId="24E64D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承包人提交最终结算申请单的期限：</w:t>
      </w:r>
      <w:r>
        <w:rPr>
          <w:rFonts w:hint="eastAsia" w:ascii="宋体" w:hAnsi="宋体" w:eastAsia="宋体" w:cs="宋体"/>
          <w:color w:val="auto"/>
          <w:sz w:val="21"/>
          <w:szCs w:val="21"/>
          <w:highlight w:val="none"/>
          <w:u w:val="single"/>
        </w:rPr>
        <w:t xml:space="preserve"> 缺陷责任期终止后7天内 </w:t>
      </w:r>
      <w:r>
        <w:rPr>
          <w:rFonts w:hint="eastAsia" w:ascii="宋体" w:hAnsi="宋体" w:eastAsia="宋体" w:cs="宋体"/>
          <w:color w:val="auto"/>
          <w:sz w:val="21"/>
          <w:szCs w:val="21"/>
          <w:highlight w:val="none"/>
        </w:rPr>
        <w:t xml:space="preserve">。 </w:t>
      </w:r>
    </w:p>
    <w:p w14:paraId="16CC2FC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14.4.2最终结清证书和支付</w:t>
      </w:r>
    </w:p>
    <w:p w14:paraId="49E41D8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（1）发包人完成最终结清申请单的审批并颁发最终结清证书的期限：</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w:t>
      </w:r>
    </w:p>
    <w:p w14:paraId="215ACA4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（2）发包人完成支付的期限：</w:t>
      </w:r>
      <w:r>
        <w:rPr>
          <w:rFonts w:hint="eastAsia" w:ascii="宋体" w:hAnsi="宋体" w:eastAsia="宋体" w:cs="宋体"/>
          <w:color w:val="auto"/>
          <w:sz w:val="21"/>
          <w:szCs w:val="21"/>
          <w:highlight w:val="none"/>
          <w:u w:val="single"/>
        </w:rPr>
        <w:t>按通用条款</w:t>
      </w:r>
      <w:r>
        <w:rPr>
          <w:rFonts w:hint="eastAsia" w:ascii="宋体" w:hAnsi="宋体" w:eastAsia="宋体" w:cs="宋体"/>
          <w:color w:val="auto"/>
          <w:sz w:val="21"/>
          <w:szCs w:val="21"/>
          <w:highlight w:val="none"/>
        </w:rPr>
        <w:t>。</w:t>
      </w:r>
    </w:p>
    <w:p w14:paraId="08E0C598">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15．缺陷责任期与保修</w:t>
      </w:r>
    </w:p>
    <w:p w14:paraId="1874CBF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15.2 缺陷责任期</w:t>
      </w:r>
    </w:p>
    <w:p w14:paraId="323F815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缺陷责任期的具体期限：</w:t>
      </w:r>
      <w:r>
        <w:rPr>
          <w:rFonts w:hint="eastAsia" w:ascii="宋体" w:hAnsi="宋体" w:eastAsia="宋体" w:cs="宋体"/>
          <w:color w:val="auto"/>
          <w:sz w:val="21"/>
          <w:szCs w:val="21"/>
          <w:highlight w:val="none"/>
          <w:u w:val="single"/>
        </w:rPr>
        <w:t>缺陷责任期</w:t>
      </w:r>
      <w:r>
        <w:rPr>
          <w:rFonts w:hint="eastAsia" w:ascii="宋体" w:hAnsi="宋体" w:eastAsia="宋体" w:cs="宋体"/>
          <w:color w:val="auto"/>
          <w:sz w:val="21"/>
          <w:szCs w:val="21"/>
          <w:highlight w:val="none"/>
          <w:u w:val="single"/>
          <w:lang w:val="en-US" w:eastAsia="zh-CN"/>
        </w:rPr>
        <w:t>12</w:t>
      </w:r>
      <w:r>
        <w:rPr>
          <w:rFonts w:hint="eastAsia" w:ascii="宋体" w:hAnsi="宋体" w:eastAsia="宋体" w:cs="宋体"/>
          <w:color w:val="auto"/>
          <w:sz w:val="21"/>
          <w:szCs w:val="21"/>
          <w:highlight w:val="none"/>
          <w:u w:val="single"/>
        </w:rPr>
        <w:t>个月，其余按通用条款执行</w:t>
      </w:r>
      <w:r>
        <w:rPr>
          <w:rFonts w:hint="eastAsia" w:ascii="宋体" w:hAnsi="宋体" w:eastAsia="宋体" w:cs="宋体"/>
          <w:color w:val="auto"/>
          <w:sz w:val="21"/>
          <w:szCs w:val="21"/>
          <w:highlight w:val="none"/>
        </w:rPr>
        <w:t>。</w:t>
      </w:r>
    </w:p>
    <w:p w14:paraId="6EBB54A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15.3 质量保证金</w:t>
      </w:r>
    </w:p>
    <w:p w14:paraId="4DFEB65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关于是否扣留质量保证金的约定：</w:t>
      </w:r>
      <w:r>
        <w:rPr>
          <w:rFonts w:hint="eastAsia" w:ascii="宋体" w:hAnsi="宋体" w:eastAsia="宋体" w:cs="宋体"/>
          <w:color w:val="auto"/>
          <w:sz w:val="21"/>
          <w:szCs w:val="21"/>
          <w:highlight w:val="none"/>
          <w:u w:val="single"/>
        </w:rPr>
        <w:t xml:space="preserve"> 留置质量保证金 </w:t>
      </w:r>
      <w:r>
        <w:rPr>
          <w:rFonts w:hint="eastAsia" w:ascii="宋体" w:hAnsi="宋体" w:eastAsia="宋体" w:cs="宋体"/>
          <w:color w:val="auto"/>
          <w:sz w:val="21"/>
          <w:szCs w:val="21"/>
          <w:highlight w:val="none"/>
        </w:rPr>
        <w:t>。</w:t>
      </w:r>
    </w:p>
    <w:p w14:paraId="361CB2A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15.3.1承包人提供质量保证金的方式</w:t>
      </w:r>
    </w:p>
    <w:p w14:paraId="70ADB71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质量保证金采用以下第</w:t>
      </w:r>
      <w:r>
        <w:rPr>
          <w:rFonts w:hint="eastAsia" w:ascii="宋体" w:hAnsi="宋体" w:eastAsia="宋体" w:cs="宋体"/>
          <w:color w:val="auto"/>
          <w:sz w:val="21"/>
          <w:szCs w:val="21"/>
          <w:highlight w:val="none"/>
          <w:u w:val="single"/>
        </w:rPr>
        <w:t xml:space="preserve">  1  </w:t>
      </w:r>
      <w:r>
        <w:rPr>
          <w:rFonts w:hint="eastAsia" w:ascii="宋体" w:hAnsi="宋体" w:eastAsia="宋体" w:cs="宋体"/>
          <w:color w:val="auto"/>
          <w:sz w:val="21"/>
          <w:szCs w:val="21"/>
          <w:highlight w:val="none"/>
        </w:rPr>
        <w:t>种方式：</w:t>
      </w:r>
    </w:p>
    <w:p w14:paraId="65587A71">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（1）质量保证金保函，</w:t>
      </w:r>
      <w:r>
        <w:rPr>
          <w:rFonts w:hint="eastAsia" w:ascii="宋体" w:hAnsi="宋体" w:eastAsia="宋体" w:cs="宋体"/>
          <w:color w:val="auto"/>
          <w:sz w:val="21"/>
          <w:szCs w:val="21"/>
          <w:highlight w:val="none"/>
        </w:rPr>
        <w:t xml:space="preserve">保函形式为银行保函、保险机构保证保险保单或融资担保公司保函中任选一种，金额为1.5%的工程结算价款； </w:t>
      </w:r>
    </w:p>
    <w:p w14:paraId="2D43A000">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u w:val="single"/>
        </w:rPr>
        <w:t>1.5%</w:t>
      </w:r>
      <w:r>
        <w:rPr>
          <w:rFonts w:hint="eastAsia" w:ascii="宋体" w:hAnsi="宋体" w:eastAsia="宋体" w:cs="宋体"/>
          <w:color w:val="auto"/>
          <w:kern w:val="0"/>
          <w:sz w:val="21"/>
          <w:szCs w:val="21"/>
          <w:highlight w:val="none"/>
        </w:rPr>
        <w:t>的工程结算价款；</w:t>
      </w:r>
    </w:p>
    <w:p w14:paraId="4B4A1451">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（3）其他方式:</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6D30F09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15.3.2质量保证金的扣留 </w:t>
      </w:r>
    </w:p>
    <w:p w14:paraId="3365F44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质量保证金的扣留采取以下第</w:t>
      </w:r>
      <w:r>
        <w:rPr>
          <w:rFonts w:hint="eastAsia" w:ascii="宋体" w:hAnsi="宋体" w:eastAsia="宋体" w:cs="宋体"/>
          <w:color w:val="auto"/>
          <w:sz w:val="21"/>
          <w:szCs w:val="21"/>
          <w:highlight w:val="none"/>
          <w:u w:val="single"/>
        </w:rPr>
        <w:t xml:space="preserve">  3  </w:t>
      </w:r>
      <w:r>
        <w:rPr>
          <w:rFonts w:hint="eastAsia" w:ascii="宋体" w:hAnsi="宋体" w:eastAsia="宋体" w:cs="宋体"/>
          <w:color w:val="auto"/>
          <w:sz w:val="21"/>
          <w:szCs w:val="21"/>
          <w:highlight w:val="none"/>
        </w:rPr>
        <w:t>种方式：</w:t>
      </w:r>
    </w:p>
    <w:p w14:paraId="43DC53CA">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（1）在支付工程进度款时逐次扣留，在此情形下，质量保证金的计算基数不包括预付款的支付、扣回以及价格调整的金额；</w:t>
      </w:r>
    </w:p>
    <w:p w14:paraId="1C3018EF">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（2）工程竣工结算时一次性扣留质量保证金；</w:t>
      </w:r>
    </w:p>
    <w:p w14:paraId="5C4996AE">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（3）其他扣留方式:</w:t>
      </w:r>
      <w:r>
        <w:rPr>
          <w:rFonts w:hint="eastAsia" w:ascii="宋体" w:hAnsi="宋体" w:eastAsia="宋体" w:cs="宋体"/>
          <w:color w:val="auto"/>
          <w:kern w:val="0"/>
          <w:sz w:val="21"/>
          <w:szCs w:val="21"/>
          <w:highlight w:val="none"/>
          <w:u w:val="single"/>
        </w:rPr>
        <w:t xml:space="preserve"> 发包人支付完成最后工程结算付款前，承包人提供质量保证金保函 </w:t>
      </w:r>
      <w:r>
        <w:rPr>
          <w:rFonts w:hint="eastAsia" w:ascii="宋体" w:hAnsi="宋体" w:eastAsia="宋体" w:cs="宋体"/>
          <w:color w:val="auto"/>
          <w:kern w:val="0"/>
          <w:sz w:val="21"/>
          <w:szCs w:val="21"/>
          <w:highlight w:val="none"/>
        </w:rPr>
        <w:t>。</w:t>
      </w:r>
    </w:p>
    <w:p w14:paraId="7CA4784F">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 xml:space="preserve">关于质量保证金的补充约定：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kern w:val="0"/>
          <w:sz w:val="21"/>
          <w:szCs w:val="21"/>
          <w:highlight w:val="none"/>
        </w:rPr>
        <w:t>。</w:t>
      </w:r>
    </w:p>
    <w:p w14:paraId="67F2BA2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15.3.3质量保证金的退还</w:t>
      </w:r>
    </w:p>
    <w:p w14:paraId="03C553D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质量保证金按以下第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4</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方式退回：</w:t>
      </w:r>
    </w:p>
    <w:p w14:paraId="1FB87D8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（1）缺陷责任期终止后，发包人退还剩余的质量保证金。</w:t>
      </w:r>
    </w:p>
    <w:p w14:paraId="74B73CFB">
      <w:pPr>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（2）建筑工程：工程竣工验收合格后满1年返还质量保证金的30%，满2年返还全部预留的质量保证金。</w:t>
      </w:r>
    </w:p>
    <w:p w14:paraId="09643004">
      <w:pPr>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（3）市政工程：工程竣工验收合格后满2年返还全部质量保证金。</w:t>
      </w:r>
    </w:p>
    <w:p w14:paraId="3059546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（4）其它：</w:t>
      </w:r>
      <w:r>
        <w:rPr>
          <w:rFonts w:hint="eastAsia" w:ascii="宋体" w:hAnsi="宋体" w:eastAsia="宋体" w:cs="宋体"/>
          <w:color w:val="auto"/>
          <w:sz w:val="21"/>
          <w:szCs w:val="21"/>
          <w:highlight w:val="none"/>
          <w:u w:val="single"/>
        </w:rPr>
        <w:t>缺陷责任期终止后</w:t>
      </w:r>
      <w:r>
        <w:rPr>
          <w:rFonts w:hint="eastAsia" w:ascii="宋体" w:hAnsi="宋体" w:eastAsia="宋体" w:cs="宋体"/>
          <w:color w:val="auto"/>
          <w:sz w:val="21"/>
          <w:szCs w:val="21"/>
          <w:highlight w:val="none"/>
          <w:u w:val="single"/>
          <w:lang w:eastAsia="zh-CN"/>
        </w:rPr>
        <w:t>，质量保证金保函自动失效。</w:t>
      </w:r>
    </w:p>
    <w:p w14:paraId="4BAF860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15.4 保修</w:t>
      </w:r>
    </w:p>
    <w:p w14:paraId="2105777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15.4.1保修责任</w:t>
      </w:r>
    </w:p>
    <w:p w14:paraId="360EA10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工程保修期为：</w:t>
      </w:r>
      <w:r>
        <w:rPr>
          <w:rFonts w:hint="eastAsia" w:ascii="宋体" w:hAnsi="宋体" w:eastAsia="宋体" w:cs="宋体"/>
          <w:color w:val="auto"/>
          <w:kern w:val="0"/>
          <w:sz w:val="21"/>
          <w:szCs w:val="21"/>
          <w:highlight w:val="none"/>
          <w:u w:val="single"/>
        </w:rPr>
        <w:t xml:space="preserve"> 按本合同附件3《工程质量保修书》 </w:t>
      </w:r>
      <w:r>
        <w:rPr>
          <w:rFonts w:hint="eastAsia" w:ascii="宋体" w:hAnsi="宋体" w:eastAsia="宋体" w:cs="宋体"/>
          <w:color w:val="auto"/>
          <w:kern w:val="0"/>
          <w:sz w:val="21"/>
          <w:szCs w:val="21"/>
          <w:highlight w:val="none"/>
        </w:rPr>
        <w:t>。</w:t>
      </w:r>
    </w:p>
    <w:p w14:paraId="5173E56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15.4.3修复通知</w:t>
      </w:r>
    </w:p>
    <w:p w14:paraId="4820E17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承包人收到保修通知并到达工程现场的合理时间：</w:t>
      </w:r>
      <w:r>
        <w:rPr>
          <w:rFonts w:hint="eastAsia" w:ascii="宋体" w:hAnsi="宋体" w:eastAsia="宋体" w:cs="宋体"/>
          <w:color w:val="auto"/>
          <w:kern w:val="0"/>
          <w:sz w:val="21"/>
          <w:szCs w:val="21"/>
          <w:highlight w:val="none"/>
          <w:u w:val="single"/>
        </w:rPr>
        <w:t xml:space="preserve"> 按通用条款 </w:t>
      </w:r>
      <w:r>
        <w:rPr>
          <w:rFonts w:hint="eastAsia" w:ascii="宋体" w:hAnsi="宋体" w:eastAsia="宋体" w:cs="宋体"/>
          <w:color w:val="auto"/>
          <w:kern w:val="0"/>
          <w:sz w:val="21"/>
          <w:szCs w:val="21"/>
          <w:highlight w:val="none"/>
        </w:rPr>
        <w:t>。</w:t>
      </w:r>
    </w:p>
    <w:p w14:paraId="64F2296E">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16．违约</w:t>
      </w:r>
    </w:p>
    <w:p w14:paraId="6D1B326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 发包人违约</w:t>
      </w:r>
    </w:p>
    <w:p w14:paraId="17E8CDB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16.1.1发包人违约的情形</w:t>
      </w:r>
    </w:p>
    <w:p w14:paraId="4B0C6836">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发包人违约的其他情形：</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kern w:val="0"/>
          <w:sz w:val="21"/>
          <w:szCs w:val="21"/>
          <w:highlight w:val="none"/>
        </w:rPr>
        <w:t>。</w:t>
      </w:r>
    </w:p>
    <w:p w14:paraId="67B1F80F">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16.1.2发包人违约的责任</w:t>
      </w:r>
    </w:p>
    <w:p w14:paraId="212CB8B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发包人违约责任的承担方式和计算方法：</w:t>
      </w:r>
    </w:p>
    <w:p w14:paraId="53617B7A">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（1）因发包人原因未能在计划开工日期前7天内下达开工通知的违约责任：</w:t>
      </w:r>
      <w:r>
        <w:rPr>
          <w:rFonts w:hint="eastAsia" w:ascii="宋体" w:hAnsi="宋体" w:eastAsia="宋体" w:cs="宋体"/>
          <w:color w:val="auto"/>
          <w:kern w:val="0"/>
          <w:sz w:val="21"/>
          <w:szCs w:val="21"/>
          <w:highlight w:val="none"/>
          <w:u w:val="single"/>
        </w:rPr>
        <w:t>赔偿承包人相关损失；属于专用合同条款7.3.2条约定情形的，按该条款约定处理；</w:t>
      </w:r>
    </w:p>
    <w:p w14:paraId="1C42C3FF">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（2）因发包人原因未能按合同约定支付合同价款的违约责任：</w:t>
      </w:r>
      <w:r>
        <w:rPr>
          <w:rFonts w:hint="eastAsia" w:ascii="宋体" w:hAnsi="宋体" w:eastAsia="宋体" w:cs="宋体"/>
          <w:color w:val="auto"/>
          <w:sz w:val="21"/>
          <w:szCs w:val="21"/>
          <w:highlight w:val="none"/>
          <w:u w:val="single"/>
        </w:rPr>
        <w:t>支付违约金，违约金为应付合同价款的利息；造成工期延误的顺延工期，并承担承包人的相应损失费用；</w:t>
      </w:r>
    </w:p>
    <w:p w14:paraId="7BF9674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（3）发包人违反第10.1款〔变更的范围〕第（2）项约定，自行实施被取消的工作或转由他人实施的违约责任：</w:t>
      </w:r>
      <w:r>
        <w:rPr>
          <w:rFonts w:hint="eastAsia" w:ascii="宋体" w:hAnsi="宋体" w:eastAsia="宋体" w:cs="宋体"/>
          <w:color w:val="auto"/>
          <w:kern w:val="0"/>
          <w:sz w:val="21"/>
          <w:szCs w:val="21"/>
          <w:highlight w:val="none"/>
          <w:u w:val="single"/>
        </w:rPr>
        <w:t xml:space="preserve">                               ；</w:t>
      </w:r>
    </w:p>
    <w:p w14:paraId="199A1918">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rPr>
        <w:t>造成工期延误的顺延工期，并承担增加的造价及承包人的相应损失费用等；</w:t>
      </w:r>
    </w:p>
    <w:p w14:paraId="33E7709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（5）因发包人违反合同约定造成暂停施工的违约责任：</w:t>
      </w:r>
      <w:r>
        <w:rPr>
          <w:rFonts w:hint="eastAsia" w:ascii="宋体" w:hAnsi="宋体" w:eastAsia="宋体" w:cs="宋体"/>
          <w:color w:val="auto"/>
          <w:sz w:val="21"/>
          <w:szCs w:val="21"/>
          <w:highlight w:val="none"/>
          <w:u w:val="single"/>
        </w:rPr>
        <w:t>造成工期延误的顺延工期，并承担增加的造价及承包人的相应损失费用等。</w:t>
      </w:r>
    </w:p>
    <w:p w14:paraId="6BBA9667">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（6）发包人无正当理由没有在约定期限内发出复工指示，导致承包人无法复工的违约责任：</w:t>
      </w:r>
      <w:r>
        <w:rPr>
          <w:rFonts w:hint="eastAsia" w:ascii="宋体" w:hAnsi="宋体" w:eastAsia="宋体" w:cs="宋体"/>
          <w:color w:val="auto"/>
          <w:sz w:val="21"/>
          <w:szCs w:val="21"/>
          <w:highlight w:val="none"/>
          <w:u w:val="single"/>
        </w:rPr>
        <w:t>造成工期延误的顺延工期，并承担增加的造价及承包人的相应损失费用等。</w:t>
      </w:r>
    </w:p>
    <w:p w14:paraId="2E9F687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（7）其他：</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003D490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16.1.3因发包人违约解除合同</w:t>
      </w:r>
    </w:p>
    <w:p w14:paraId="6E43266A">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承包人按16.1.1项〔发包人违约的情形〕约定暂停施工满</w:t>
      </w:r>
      <w:r>
        <w:rPr>
          <w:rFonts w:hint="eastAsia" w:ascii="宋体" w:hAnsi="宋体" w:eastAsia="宋体" w:cs="宋体"/>
          <w:color w:val="auto"/>
          <w:kern w:val="0"/>
          <w:sz w:val="21"/>
          <w:szCs w:val="21"/>
          <w:highlight w:val="none"/>
          <w:u w:val="single"/>
        </w:rPr>
        <w:t xml:space="preserve"> 28 </w:t>
      </w:r>
      <w:r>
        <w:rPr>
          <w:rFonts w:hint="eastAsia" w:ascii="宋体" w:hAnsi="宋体" w:eastAsia="宋体" w:cs="宋体"/>
          <w:color w:val="auto"/>
          <w:kern w:val="0"/>
          <w:sz w:val="21"/>
          <w:szCs w:val="21"/>
          <w:highlight w:val="none"/>
        </w:rPr>
        <w:t>天后发包人仍不纠正其违约行为并致使合同目的不能实现的，承包人有权解除合同。</w:t>
      </w:r>
    </w:p>
    <w:p w14:paraId="1D012F6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16.2 承包人违约</w:t>
      </w:r>
    </w:p>
    <w:p w14:paraId="0A0F7A4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16.2.1承包人违约的情形</w:t>
      </w:r>
    </w:p>
    <w:p w14:paraId="19B1F387">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承包人违约的其他情形：</w:t>
      </w:r>
    </w:p>
    <w:p w14:paraId="7FBA99A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u w:val="single"/>
        </w:rPr>
        <w:t>）</w:t>
      </w:r>
      <w:r>
        <w:rPr>
          <w:rFonts w:hint="eastAsia" w:ascii="宋体" w:hAnsi="宋体" w:eastAsia="宋体" w:cs="宋体"/>
          <w:color w:val="auto"/>
          <w:sz w:val="21"/>
          <w:szCs w:val="21"/>
          <w:highlight w:val="none"/>
          <w:u w:val="single"/>
        </w:rPr>
        <w:t>机械设备、施工项目班子未按投标承诺及时到位；</w:t>
      </w:r>
    </w:p>
    <w:p w14:paraId="4EF94C4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）本工程在实施过程中，承包人的施工队伍素质、施工力量、现场安全文明施工不符合投标书的承诺，造成现场管理混乱、工程质量和进度达不到投标所承诺的要求；</w:t>
      </w:r>
    </w:p>
    <w:p w14:paraId="3F4473C3">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）承包人允许其他人挂靠经营、私自转包</w:t>
      </w:r>
      <w:r>
        <w:rPr>
          <w:rFonts w:hint="eastAsia" w:ascii="宋体" w:hAnsi="宋体" w:eastAsia="宋体" w:cs="宋体"/>
          <w:color w:val="auto"/>
          <w:kern w:val="0"/>
          <w:sz w:val="21"/>
          <w:szCs w:val="21"/>
          <w:highlight w:val="none"/>
        </w:rPr>
        <w:t>；</w:t>
      </w:r>
    </w:p>
    <w:p w14:paraId="13D629B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（4</w:t>
      </w:r>
      <w:r>
        <w:rPr>
          <w:rFonts w:hint="eastAsia" w:ascii="宋体" w:hAnsi="宋体" w:eastAsia="宋体" w:cs="宋体"/>
          <w:color w:val="auto"/>
          <w:kern w:val="0"/>
          <w:sz w:val="21"/>
          <w:szCs w:val="21"/>
          <w:highlight w:val="none"/>
          <w:u w:val="single"/>
        </w:rPr>
        <w:t>）承包人未达到投标时所承诺的诚信与技术标准。</w:t>
      </w:r>
    </w:p>
    <w:p w14:paraId="3FAA503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16.2.2承包人违约的责任</w:t>
      </w:r>
    </w:p>
    <w:p w14:paraId="7C8CBCF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承包人违约责任的承担方式和计算方法：</w:t>
      </w:r>
    </w:p>
    <w:p w14:paraId="1374F4C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u w:val="single"/>
        </w:rPr>
        <w:t>机械设备未按投标承诺到位，每项扣除履约担保金2%；</w:t>
      </w:r>
    </w:p>
    <w:p w14:paraId="15F1E5D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z w:val="21"/>
          <w:szCs w:val="21"/>
          <w:highlight w:val="none"/>
          <w:u w:val="single"/>
        </w:rPr>
        <w:t>现场安全文明施工不符合投标书承诺，扣减相应安全文明施工费用；</w:t>
      </w:r>
      <w:r>
        <w:rPr>
          <w:rFonts w:hint="eastAsia" w:ascii="宋体" w:hAnsi="宋体" w:eastAsia="宋体" w:cs="宋体"/>
          <w:color w:val="auto"/>
          <w:kern w:val="0"/>
          <w:sz w:val="21"/>
          <w:szCs w:val="21"/>
          <w:highlight w:val="none"/>
          <w:u w:val="single"/>
        </w:rPr>
        <w:t>承包人原因造成现场管理混乱、</w:t>
      </w:r>
      <w:r>
        <w:rPr>
          <w:rFonts w:hint="eastAsia" w:ascii="宋体" w:hAnsi="宋体" w:eastAsia="宋体" w:cs="宋体"/>
          <w:color w:val="auto"/>
          <w:sz w:val="21"/>
          <w:szCs w:val="21"/>
          <w:highlight w:val="none"/>
          <w:u w:val="single"/>
        </w:rPr>
        <w:t>工程质量和进度达不到投标承诺的要求，发包人有权要求承包人调整充实施工力量、更换项目班子，及至解除施工合同，所有履约担保金不予退还，并赔偿发包人损失。</w:t>
      </w:r>
    </w:p>
    <w:p w14:paraId="1AC9EF4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z w:val="21"/>
          <w:szCs w:val="21"/>
          <w:highlight w:val="none"/>
          <w:u w:val="single"/>
        </w:rPr>
        <w:t>发现承包人允许其他人挂靠经营、私自转包，所有履约担保归发包人，同时赔偿发包人损失，并责令退出工地。</w:t>
      </w:r>
    </w:p>
    <w:p w14:paraId="775F595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z w:val="21"/>
          <w:szCs w:val="21"/>
          <w:highlight w:val="none"/>
          <w:u w:val="single"/>
        </w:rPr>
        <w:t>未达到投标所承诺的诚信、技术标准及创优、创标化工程目标，按每一项扣减履约担保金的10%。</w:t>
      </w:r>
    </w:p>
    <w:p w14:paraId="293FFB7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50%以上时，可解除施工合同。</w:t>
      </w:r>
    </w:p>
    <w:p w14:paraId="47B3ED5F">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u w:val="single"/>
        </w:rPr>
        <w:t>承包人无法继续履行、明确表示不履行或实质上已停止履行合同，发包人可通知承包人全部解除合同，所有履约担保不予退还，同时赔偿发包人损失。</w:t>
      </w:r>
    </w:p>
    <w:p w14:paraId="2AC4506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16.2.3因承包人违约解除合同</w:t>
      </w:r>
    </w:p>
    <w:p w14:paraId="3D0F6628">
      <w:pPr>
        <w:autoSpaceDE w:val="0"/>
        <w:autoSpaceDN w:val="0"/>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关于承包人违约解除合同的特别约定：</w:t>
      </w:r>
      <w:r>
        <w:rPr>
          <w:rFonts w:hint="eastAsia" w:ascii="宋体" w:hAnsi="宋体" w:eastAsia="宋体" w:cs="宋体"/>
          <w:color w:val="auto"/>
          <w:kern w:val="0"/>
          <w:sz w:val="21"/>
          <w:szCs w:val="21"/>
          <w:highlight w:val="none"/>
          <w:u w:val="single"/>
        </w:rPr>
        <w:t xml:space="preserve"> 因承包人原因造成本合同无法履行时，发包人有权解除或终止本合同，承包人的履约保证金不予退还，由此造成的各项损失均由承包人承担。</w:t>
      </w:r>
    </w:p>
    <w:p w14:paraId="3E15717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auto"/>
          <w:kern w:val="0"/>
          <w:sz w:val="21"/>
          <w:szCs w:val="21"/>
          <w:highlight w:val="none"/>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color w:val="auto"/>
          <w:kern w:val="0"/>
          <w:sz w:val="21"/>
          <w:szCs w:val="21"/>
          <w:highlight w:val="none"/>
        </w:rPr>
        <w:t>。</w:t>
      </w:r>
    </w:p>
    <w:p w14:paraId="4218C267">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16.2.4因承包人违约解除合同后的处理</w:t>
      </w:r>
    </w:p>
    <w:p w14:paraId="1C38E2B1">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17．不可抗力</w:t>
      </w:r>
    </w:p>
    <w:p w14:paraId="08CA7B8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17.1 不可抗力的确认</w:t>
      </w:r>
    </w:p>
    <w:p w14:paraId="42027688">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除通用合同条款约定的不可抗力事件之外，视为不可抗力的其他情形：</w:t>
      </w:r>
      <w:r>
        <w:rPr>
          <w:rFonts w:hint="eastAsia" w:ascii="宋体" w:hAnsi="宋体" w:eastAsia="宋体" w:cs="宋体"/>
          <w:color w:val="auto"/>
          <w:kern w:val="0"/>
          <w:sz w:val="21"/>
          <w:szCs w:val="21"/>
          <w:highlight w:val="none"/>
          <w:u w:val="single"/>
        </w:rPr>
        <w:t xml:space="preserve"> 10级（不含10级）以上台风、10年一遇洪水、暴风雪、干旱，罢工、政府禁令</w:t>
      </w:r>
      <w:r>
        <w:rPr>
          <w:rFonts w:hint="eastAsia" w:ascii="宋体" w:hAnsi="宋体" w:eastAsia="宋体" w:cs="宋体"/>
          <w:color w:val="auto"/>
          <w:kern w:val="0"/>
          <w:sz w:val="21"/>
          <w:szCs w:val="21"/>
          <w:highlight w:val="none"/>
        </w:rPr>
        <w:t>。</w:t>
      </w:r>
    </w:p>
    <w:p w14:paraId="1E8FC49D">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17.2 不可抗力的通知</w:t>
      </w:r>
    </w:p>
    <w:p w14:paraId="0248702B">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62E2EF09">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17.3 不可抗力后果的承担</w:t>
      </w:r>
      <w:r>
        <w:rPr>
          <w:rFonts w:hint="eastAsia" w:ascii="宋体" w:hAnsi="宋体" w:eastAsia="宋体" w:cs="宋体"/>
          <w:color w:val="auto"/>
          <w:kern w:val="0"/>
          <w:sz w:val="21"/>
          <w:szCs w:val="21"/>
          <w:highlight w:val="none"/>
          <w:u w:val="single"/>
        </w:rPr>
        <w:t>：按通用条款。</w:t>
      </w:r>
    </w:p>
    <w:p w14:paraId="4C97476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17.4 因不可抗力解除合同</w:t>
      </w:r>
    </w:p>
    <w:p w14:paraId="011D00A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合同解除后，发包人应在商定或确定发包人应支付款项后</w:t>
      </w:r>
      <w:r>
        <w:rPr>
          <w:rFonts w:hint="eastAsia" w:ascii="宋体" w:hAnsi="宋体" w:eastAsia="宋体" w:cs="宋体"/>
          <w:color w:val="auto"/>
          <w:sz w:val="21"/>
          <w:szCs w:val="21"/>
          <w:highlight w:val="none"/>
          <w:u w:val="single"/>
        </w:rPr>
        <w:t xml:space="preserve">  60  </w:t>
      </w:r>
      <w:r>
        <w:rPr>
          <w:rFonts w:hint="eastAsia" w:ascii="宋体" w:hAnsi="宋体" w:eastAsia="宋体" w:cs="宋体"/>
          <w:color w:val="auto"/>
          <w:sz w:val="21"/>
          <w:szCs w:val="21"/>
          <w:highlight w:val="none"/>
        </w:rPr>
        <w:t>天内完成款项的支付。</w:t>
      </w:r>
    </w:p>
    <w:p w14:paraId="1C6848A9">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18．保险</w:t>
      </w:r>
    </w:p>
    <w:p w14:paraId="18C720D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18.1 工程保险</w:t>
      </w:r>
    </w:p>
    <w:p w14:paraId="411564D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关于工程保险的特别约定：</w:t>
      </w:r>
      <w:r>
        <w:rPr>
          <w:rFonts w:hint="eastAsia" w:ascii="宋体" w:hAnsi="宋体" w:eastAsia="宋体" w:cs="宋体"/>
          <w:color w:val="auto"/>
          <w:kern w:val="0"/>
          <w:sz w:val="21"/>
          <w:szCs w:val="21"/>
          <w:highlight w:val="none"/>
          <w:u w:val="single"/>
        </w:rPr>
        <w:t xml:space="preserve">   按通用条款   </w:t>
      </w:r>
      <w:r>
        <w:rPr>
          <w:rFonts w:hint="eastAsia" w:ascii="宋体" w:hAnsi="宋体" w:eastAsia="宋体" w:cs="宋体"/>
          <w:color w:val="auto"/>
          <w:kern w:val="0"/>
          <w:sz w:val="21"/>
          <w:szCs w:val="21"/>
          <w:highlight w:val="none"/>
        </w:rPr>
        <w:t>。</w:t>
      </w:r>
    </w:p>
    <w:p w14:paraId="727FD79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18.3 其他保险</w:t>
      </w:r>
    </w:p>
    <w:p w14:paraId="48CA77B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关于其他保险的约定：</w:t>
      </w:r>
      <w:r>
        <w:rPr>
          <w:rFonts w:hint="eastAsia" w:ascii="宋体" w:hAnsi="宋体" w:eastAsia="宋体" w:cs="宋体"/>
          <w:color w:val="auto"/>
          <w:kern w:val="0"/>
          <w:sz w:val="21"/>
          <w:szCs w:val="21"/>
          <w:highlight w:val="none"/>
          <w:u w:val="single"/>
        </w:rPr>
        <w:t xml:space="preserve"> 发包人和承包人各自为其施工现场的全部人员办理意外伤害保险并支付保险费，包括其员工及为履行合同聘请的第三方的人员</w:t>
      </w:r>
      <w:r>
        <w:rPr>
          <w:rFonts w:hint="eastAsia" w:ascii="宋体" w:hAnsi="宋体" w:eastAsia="宋体" w:cs="宋体"/>
          <w:color w:val="auto"/>
          <w:kern w:val="0"/>
          <w:sz w:val="21"/>
          <w:szCs w:val="21"/>
          <w:highlight w:val="none"/>
        </w:rPr>
        <w:t>。</w:t>
      </w:r>
    </w:p>
    <w:p w14:paraId="51060AB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承包人是否应为其施工设备等办理财产保险：</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w:t>
      </w:r>
    </w:p>
    <w:p w14:paraId="08954A7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18.7 通知义务</w:t>
      </w:r>
    </w:p>
    <w:p w14:paraId="201D021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关于变更保险合同时的通知义务的约定：</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w:t>
      </w:r>
    </w:p>
    <w:p w14:paraId="79553DC9">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20．争议解决</w:t>
      </w:r>
    </w:p>
    <w:p w14:paraId="6BFEFB6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20.3 争议评审</w:t>
      </w:r>
    </w:p>
    <w:p w14:paraId="51A17EF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合同当事人是否同意将工程争议提交争议评审小组决定：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22E510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20.3.1争议评审小组的确定</w:t>
      </w:r>
    </w:p>
    <w:p w14:paraId="5BECAB65">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争议评审小组成员的确定：</w:t>
      </w:r>
      <w:r>
        <w:rPr>
          <w:rFonts w:hint="eastAsia" w:ascii="宋体" w:hAnsi="宋体" w:eastAsia="宋体" w:cs="宋体"/>
          <w:color w:val="auto"/>
          <w:sz w:val="21"/>
          <w:szCs w:val="21"/>
          <w:highlight w:val="none"/>
          <w:u w:val="single"/>
        </w:rPr>
        <w:t xml:space="preserve"> 提交争议评审时再选定 </w:t>
      </w:r>
      <w:r>
        <w:rPr>
          <w:rFonts w:hint="eastAsia" w:ascii="宋体" w:hAnsi="宋体" w:eastAsia="宋体" w:cs="宋体"/>
          <w:color w:val="auto"/>
          <w:sz w:val="21"/>
          <w:szCs w:val="21"/>
          <w:highlight w:val="none"/>
        </w:rPr>
        <w:t>。</w:t>
      </w:r>
    </w:p>
    <w:p w14:paraId="7D60A3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选定争议评审员的期限：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EA1794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争议评审小组成员的报酬承担方式：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18C3FC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其他事项的约定：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13E9AF3">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20.3.2争议评审小组的决定</w:t>
      </w:r>
    </w:p>
    <w:p w14:paraId="5E58A84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合同当事人关于本项的约定：</w:t>
      </w:r>
      <w:r>
        <w:rPr>
          <w:rFonts w:hint="eastAsia" w:ascii="宋体" w:hAnsi="宋体" w:eastAsia="宋体" w:cs="宋体"/>
          <w:color w:val="auto"/>
          <w:sz w:val="21"/>
          <w:szCs w:val="21"/>
          <w:highlight w:val="none"/>
          <w:u w:val="single"/>
        </w:rPr>
        <w:t xml:space="preserve">  按通用条款。</w:t>
      </w:r>
    </w:p>
    <w:p w14:paraId="0BEAF6D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20.3.3争议评审小组决定的效力：</w:t>
      </w:r>
      <w:r>
        <w:rPr>
          <w:rFonts w:hint="eastAsia" w:ascii="宋体" w:hAnsi="宋体" w:eastAsia="宋体" w:cs="宋体"/>
          <w:color w:val="auto"/>
          <w:sz w:val="21"/>
          <w:szCs w:val="21"/>
          <w:highlight w:val="none"/>
          <w:u w:val="single"/>
        </w:rPr>
        <w:t>按通用条款执行。</w:t>
      </w:r>
    </w:p>
    <w:p w14:paraId="352290A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20.4 仲裁或诉讼</w:t>
      </w:r>
    </w:p>
    <w:p w14:paraId="7536080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因合同及合同有关事项发生的争议，按下列第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种方式解决：</w:t>
      </w:r>
    </w:p>
    <w:p w14:paraId="71C5F2E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（1）向</w:t>
      </w:r>
      <w:r>
        <w:rPr>
          <w:rFonts w:hint="eastAsia" w:ascii="宋体" w:hAnsi="宋体" w:eastAsia="宋体" w:cs="宋体"/>
          <w:color w:val="auto"/>
          <w:sz w:val="21"/>
          <w:szCs w:val="21"/>
          <w:highlight w:val="none"/>
          <w:u w:val="single"/>
        </w:rPr>
        <w:t>台州</w:t>
      </w:r>
      <w:r>
        <w:rPr>
          <w:rFonts w:hint="eastAsia" w:ascii="宋体" w:hAnsi="宋体" w:eastAsia="宋体" w:cs="宋体"/>
          <w:color w:val="auto"/>
          <w:sz w:val="21"/>
          <w:szCs w:val="21"/>
          <w:highlight w:val="none"/>
        </w:rPr>
        <w:t>仲裁委员会申请仲裁；</w:t>
      </w:r>
    </w:p>
    <w:p w14:paraId="3BDFF9A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（2）向</w:t>
      </w:r>
      <w:r>
        <w:rPr>
          <w:rFonts w:hint="eastAsia" w:ascii="宋体" w:hAnsi="宋体" w:eastAsia="宋体" w:cs="宋体"/>
          <w:color w:val="auto"/>
          <w:sz w:val="21"/>
          <w:szCs w:val="21"/>
          <w:highlight w:val="none"/>
          <w:u w:val="single"/>
        </w:rPr>
        <w:t xml:space="preserve">  工程所在地  </w:t>
      </w:r>
      <w:r>
        <w:rPr>
          <w:rFonts w:hint="eastAsia" w:ascii="宋体" w:hAnsi="宋体" w:eastAsia="宋体" w:cs="宋体"/>
          <w:color w:val="auto"/>
          <w:sz w:val="21"/>
          <w:szCs w:val="21"/>
          <w:highlight w:val="none"/>
        </w:rPr>
        <w:t>人民法院起诉。</w:t>
      </w:r>
    </w:p>
    <w:p w14:paraId="36F33ADF">
      <w:pPr>
        <w:spacing w:line="400" w:lineRule="exact"/>
        <w:ind w:firstLine="412" w:firstLineChars="200"/>
        <w:rPr>
          <w:rFonts w:hint="eastAsia" w:ascii="宋体" w:hAnsi="宋体" w:eastAsia="宋体" w:cs="宋体"/>
          <w:color w:val="auto"/>
          <w:sz w:val="21"/>
          <w:szCs w:val="21"/>
          <w:highlight w:val="none"/>
        </w:rPr>
      </w:pPr>
    </w:p>
    <w:p w14:paraId="6542CE1D">
      <w:pPr>
        <w:spacing w:line="400" w:lineRule="exact"/>
        <w:ind w:firstLine="412" w:firstLineChars="200"/>
        <w:rPr>
          <w:rFonts w:hint="eastAsia" w:ascii="宋体" w:hAnsi="宋体" w:eastAsia="宋体" w:cs="宋体"/>
          <w:color w:val="auto"/>
          <w:sz w:val="21"/>
          <w:szCs w:val="21"/>
          <w:highlight w:val="none"/>
        </w:rPr>
      </w:pPr>
    </w:p>
    <w:p w14:paraId="7FEC77D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发包人（公章）：                         承包人（公章）：</w:t>
      </w:r>
    </w:p>
    <w:p w14:paraId="468E895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地  址：                                 地  址：</w:t>
      </w:r>
    </w:p>
    <w:p w14:paraId="7A34C1E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法定代表人（签字）：                     法定代表人（签字）：</w:t>
      </w:r>
    </w:p>
    <w:p w14:paraId="0F7688D8">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委托代理人（签字）：                     委托代理人（签字）：</w:t>
      </w:r>
    </w:p>
    <w:p w14:paraId="191E46AF">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w:t>
      </w:r>
    </w:p>
    <w:p w14:paraId="3CD1D124">
      <w:pPr>
        <w:spacing w:line="400" w:lineRule="exact"/>
        <w:rPr>
          <w:rFonts w:ascii="宋体" w:hAnsi="宋体" w:eastAsia="宋体" w:cs="宋体"/>
          <w:color w:val="auto"/>
          <w:sz w:val="21"/>
          <w:szCs w:val="21"/>
          <w:highlight w:val="none"/>
        </w:rPr>
      </w:pPr>
    </w:p>
    <w:p w14:paraId="6BE12B4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协议书附件：</w:t>
      </w:r>
    </w:p>
    <w:p w14:paraId="468559C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附件1：承包人承揽工程项目一览表（略）</w:t>
      </w:r>
    </w:p>
    <w:p w14:paraId="72721E6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专用合同条款附件：</w:t>
      </w:r>
    </w:p>
    <w:p w14:paraId="30D614C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附件2：发包人供应材料设备一览表（略）</w:t>
      </w:r>
    </w:p>
    <w:p w14:paraId="2BA949A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附件3：工程质量保修书</w:t>
      </w:r>
    </w:p>
    <w:p w14:paraId="344693F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附件4：主要建设工程文件目录（略）</w:t>
      </w:r>
    </w:p>
    <w:p w14:paraId="4C21DDD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附件5：承包人用于本工程施工的机械设备表（略）</w:t>
      </w:r>
    </w:p>
    <w:p w14:paraId="2CE2488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附件6：承包人主要施工管理人员表（略）</w:t>
      </w:r>
    </w:p>
    <w:p w14:paraId="6834AD2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附件7：分包人主要施工管理人员表（略）</w:t>
      </w:r>
    </w:p>
    <w:p w14:paraId="002AA1A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附件8：履约担保格式（略）</w:t>
      </w:r>
    </w:p>
    <w:p w14:paraId="79C449C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附件9：预付款担保格式（略）</w:t>
      </w:r>
    </w:p>
    <w:p w14:paraId="53A18D7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附件10：支付担保格式（略）</w:t>
      </w:r>
    </w:p>
    <w:p w14:paraId="08F3D1D5">
      <w:pPr>
        <w:spacing w:line="400" w:lineRule="exact"/>
        <w:ind w:firstLine="412"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附件11：暂估价一览表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略</w:t>
      </w:r>
      <w:r>
        <w:rPr>
          <w:rFonts w:hint="eastAsia" w:ascii="宋体" w:hAnsi="宋体" w:eastAsia="宋体" w:cs="宋体"/>
          <w:color w:val="auto"/>
          <w:sz w:val="21"/>
          <w:szCs w:val="21"/>
          <w:highlight w:val="none"/>
          <w:lang w:eastAsia="zh-CN"/>
        </w:rPr>
        <w:t>）</w:t>
      </w:r>
    </w:p>
    <w:p w14:paraId="4499F594">
      <w:pPr>
        <w:pStyle w:val="30"/>
        <w:rPr>
          <w:rFonts w:hint="eastAsia" w:eastAsia="宋体"/>
          <w:color w:val="auto"/>
          <w:highlight w:val="none"/>
          <w:lang w:eastAsia="zh-CN"/>
        </w:rPr>
        <w:sectPr>
          <w:footerReference r:id="rId14" w:type="default"/>
          <w:headerReference r:id="rId13" w:type="even"/>
          <w:footerReference r:id="rId15" w:type="even"/>
          <w:pgSz w:w="11907" w:h="16840"/>
          <w:pgMar w:top="1247" w:right="1531" w:bottom="1247" w:left="1531" w:header="851" w:footer="1559" w:gutter="0"/>
          <w:cols w:space="720" w:num="1"/>
          <w:docGrid w:type="linesAndChars" w:linePitch="586" w:charSpace="-842"/>
        </w:sectPr>
      </w:pPr>
      <w:r>
        <w:rPr>
          <w:rFonts w:hint="eastAsia" w:ascii="宋体" w:hAnsi="宋体" w:cs="宋体"/>
          <w:color w:val="auto"/>
          <w:sz w:val="21"/>
          <w:szCs w:val="21"/>
          <w:highlight w:val="none"/>
        </w:rPr>
        <w:t xml:space="preserve">    附件12：主要设备材料备选品牌一览表</w:t>
      </w:r>
    </w:p>
    <w:p w14:paraId="09067D8A">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附件3</w:t>
      </w:r>
    </w:p>
    <w:p w14:paraId="64490533">
      <w:pPr>
        <w:spacing w:line="400" w:lineRule="exact"/>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工程质量保修书</w:t>
      </w:r>
    </w:p>
    <w:p w14:paraId="481707A2">
      <w:pPr>
        <w:spacing w:line="400" w:lineRule="exact"/>
        <w:rPr>
          <w:rFonts w:ascii="宋体" w:hAnsi="宋体" w:eastAsia="宋体" w:cs="宋体"/>
          <w:color w:val="auto"/>
          <w:sz w:val="21"/>
          <w:szCs w:val="21"/>
          <w:highlight w:val="none"/>
        </w:rPr>
      </w:pPr>
    </w:p>
    <w:p w14:paraId="552FB28D">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发包人（全称）：</w:t>
      </w:r>
      <w:r>
        <w:rPr>
          <w:rFonts w:hint="eastAsia" w:ascii="宋体" w:hAnsi="宋体" w:eastAsia="宋体" w:cs="宋体"/>
          <w:color w:val="auto"/>
          <w:sz w:val="21"/>
          <w:szCs w:val="21"/>
          <w:highlight w:val="none"/>
          <w:u w:val="single"/>
          <w:lang w:val="en-US" w:eastAsia="zh-CN"/>
        </w:rPr>
        <w:t>台州初级中学</w:t>
      </w:r>
      <w:r>
        <w:rPr>
          <w:rFonts w:hint="eastAsia" w:ascii="宋体" w:hAnsi="宋体" w:eastAsia="宋体" w:cs="宋体"/>
          <w:color w:val="auto"/>
          <w:sz w:val="21"/>
          <w:szCs w:val="21"/>
          <w:highlight w:val="none"/>
        </w:rPr>
        <w:t xml:space="preserve"> </w:t>
      </w:r>
    </w:p>
    <w:p w14:paraId="686568BF">
      <w:pPr>
        <w:spacing w:line="400" w:lineRule="exact"/>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承包人（全称）：</w:t>
      </w:r>
      <w:r>
        <w:rPr>
          <w:rFonts w:hint="eastAsia" w:ascii="宋体" w:hAnsi="宋体" w:eastAsia="宋体" w:cs="宋体"/>
          <w:color w:val="auto"/>
          <w:sz w:val="21"/>
          <w:szCs w:val="21"/>
          <w:highlight w:val="none"/>
          <w:u w:val="single"/>
        </w:rPr>
        <w:t xml:space="preserve">                  </w:t>
      </w:r>
    </w:p>
    <w:p w14:paraId="70D06A47">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发包人和承包人根据《中华人民共和国建筑法》和《建设工程质量管理条例》，经协商一致就</w:t>
      </w:r>
      <w:r>
        <w:rPr>
          <w:rFonts w:hint="eastAsia" w:ascii="宋体" w:hAnsi="宋体" w:eastAsia="宋体" w:cs="宋体"/>
          <w:color w:val="auto"/>
          <w:sz w:val="21"/>
          <w:szCs w:val="21"/>
          <w:highlight w:val="none"/>
          <w:u w:val="single"/>
          <w:lang w:eastAsia="zh-CN"/>
        </w:rPr>
        <w:t>运动场地改造工程</w:t>
      </w:r>
      <w:r>
        <w:rPr>
          <w:rFonts w:hint="eastAsia" w:ascii="宋体" w:hAnsi="宋体" w:eastAsia="宋体" w:cs="宋体"/>
          <w:color w:val="auto"/>
          <w:sz w:val="21"/>
          <w:szCs w:val="21"/>
          <w:highlight w:val="none"/>
        </w:rPr>
        <w:t>（工程全称）签订工程质量保修书。</w:t>
      </w:r>
    </w:p>
    <w:p w14:paraId="43B56076">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一、工程质量保修范围和内容</w:t>
      </w:r>
    </w:p>
    <w:p w14:paraId="5D171CFD">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承包人在质量保修期内，按照有关法律规定和合同约定，承担工程质量保修责任。</w:t>
      </w:r>
    </w:p>
    <w:p w14:paraId="6CF1C0D5">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1"/>
          <w:szCs w:val="21"/>
          <w:highlight w:val="none"/>
          <w:u w:val="single"/>
        </w:rPr>
        <w:t>承包人承包范围的所有工程</w:t>
      </w:r>
      <w:r>
        <w:rPr>
          <w:rFonts w:hint="eastAsia" w:ascii="宋体" w:hAnsi="宋体" w:eastAsia="宋体" w:cs="宋体"/>
          <w:color w:val="auto"/>
          <w:sz w:val="21"/>
          <w:szCs w:val="21"/>
          <w:highlight w:val="none"/>
        </w:rPr>
        <w:t>。</w:t>
      </w:r>
    </w:p>
    <w:p w14:paraId="2F2B58C2">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二、质量保修期</w:t>
      </w:r>
    </w:p>
    <w:p w14:paraId="658E3CA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根据《建设工程质量管理条例》及有关规定，工程的质量保修期如下：</w:t>
      </w:r>
    </w:p>
    <w:p w14:paraId="7A9DBD88">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1．地基基础工程和主体结构工程为设计文件规定的工程合理使用年限；</w:t>
      </w:r>
    </w:p>
    <w:p w14:paraId="176EC1A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2．屋面防水工程、有防水要求的卫生间、房间和外墙面的防渗为</w:t>
      </w:r>
      <w:r>
        <w:rPr>
          <w:rFonts w:hint="eastAsia" w:ascii="宋体" w:hAnsi="宋体" w:eastAsia="宋体" w:cs="宋体"/>
          <w:color w:val="auto"/>
          <w:sz w:val="21"/>
          <w:szCs w:val="21"/>
          <w:highlight w:val="none"/>
          <w:u w:val="single"/>
        </w:rPr>
        <w:t xml:space="preserve"> 5 </w:t>
      </w:r>
      <w:r>
        <w:rPr>
          <w:rFonts w:hint="eastAsia" w:ascii="宋体" w:hAnsi="宋体" w:eastAsia="宋体" w:cs="宋体"/>
          <w:color w:val="auto"/>
          <w:sz w:val="21"/>
          <w:szCs w:val="21"/>
          <w:highlight w:val="none"/>
        </w:rPr>
        <w:t>年；</w:t>
      </w:r>
    </w:p>
    <w:p w14:paraId="0E393DE1">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3．装修工程为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年；</w:t>
      </w:r>
    </w:p>
    <w:p w14:paraId="6C6F3E5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4．电气管线、给排水管道、设备安装工程为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年；</w:t>
      </w:r>
    </w:p>
    <w:p w14:paraId="0059E28A">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5．供热与供冷系统为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个采暖期、供冷期；</w:t>
      </w:r>
    </w:p>
    <w:p w14:paraId="1BAEE85D">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6．住宅小区内的给排水设施、道路等配套工程为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年；</w:t>
      </w:r>
    </w:p>
    <w:p w14:paraId="4FB3BDD5">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7．其他项目保修期限约定如下：</w:t>
      </w:r>
      <w:r>
        <w:rPr>
          <w:rFonts w:hint="eastAsia" w:ascii="宋体" w:hAnsi="宋体" w:eastAsia="宋体" w:cs="宋体"/>
          <w:color w:val="auto"/>
          <w:sz w:val="21"/>
          <w:szCs w:val="21"/>
          <w:highlight w:val="none"/>
          <w:u w:val="single"/>
        </w:rPr>
        <w:t>除1-6内容外约定质量保修期为</w:t>
      </w:r>
      <w:r>
        <w:rPr>
          <w:rFonts w:hint="eastAsia" w:ascii="宋体" w:hAnsi="宋体" w:eastAsia="宋体" w:cs="宋体"/>
          <w:color w:val="auto"/>
          <w:sz w:val="21"/>
          <w:szCs w:val="21"/>
          <w:highlight w:val="none"/>
          <w:u w:val="single"/>
          <w:lang w:val="en-US" w:eastAsia="zh-CN"/>
        </w:rPr>
        <w:t>1</w:t>
      </w:r>
      <w:r>
        <w:rPr>
          <w:rFonts w:hint="eastAsia" w:ascii="宋体" w:hAnsi="宋体" w:eastAsia="宋体" w:cs="宋体"/>
          <w:color w:val="auto"/>
          <w:sz w:val="21"/>
          <w:szCs w:val="21"/>
          <w:highlight w:val="none"/>
          <w:u w:val="single"/>
        </w:rPr>
        <w:t xml:space="preserve">年。 </w:t>
      </w:r>
    </w:p>
    <w:p w14:paraId="25844AC0">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质量保修期自工程竣工验收合格之日起计算。</w:t>
      </w:r>
    </w:p>
    <w:p w14:paraId="26B28B48">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三、缺陷责任期</w:t>
      </w:r>
    </w:p>
    <w:p w14:paraId="7EC09379">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工程缺陷责任期为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12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个月，缺陷责任期自工程竣工验收合格之日起计算。单位工程先于全部工程进行验收，单位工程缺陷责任期自单位工程验收合格之日起算。</w:t>
      </w:r>
    </w:p>
    <w:p w14:paraId="14D4CF4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四、质量保修责任</w:t>
      </w:r>
    </w:p>
    <w:p w14:paraId="750D7B65">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1．属于保修范围、内容的项目，承包人应当在接到保修通知后4小时内响应，7天内派人保修。承包人不在约定期限内派人保修的，发包人可以委托他人修理。</w:t>
      </w:r>
    </w:p>
    <w:p w14:paraId="680A197D">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2．发生紧急事故需抢修的，承包人在接到事故通知后，应当立即到达事故现场抢修。</w:t>
      </w:r>
    </w:p>
    <w:p w14:paraId="357DA4C9">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4762DD5">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4．质量保修完成后，由发包人组织验收。</w:t>
      </w:r>
    </w:p>
    <w:p w14:paraId="23DF4FF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五、保修费用</w:t>
      </w:r>
    </w:p>
    <w:p w14:paraId="72D23003">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保修费用由造成质量缺陷的责任方承担。</w:t>
      </w:r>
    </w:p>
    <w:p w14:paraId="578B9A40">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六、双方约定的其他工程质量保修事项：</w:t>
      </w:r>
      <w:r>
        <w:rPr>
          <w:rFonts w:hint="eastAsia" w:ascii="宋体" w:hAnsi="宋体" w:eastAsia="宋体" w:cs="宋体"/>
          <w:color w:val="auto"/>
          <w:sz w:val="21"/>
          <w:szCs w:val="21"/>
          <w:highlight w:val="none"/>
          <w:u w:val="single"/>
        </w:rPr>
        <w:t xml:space="preserve"> 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r>
        <w:rPr>
          <w:rFonts w:hint="eastAsia" w:ascii="宋体" w:hAnsi="宋体" w:eastAsia="宋体" w:cs="宋体"/>
          <w:color w:val="auto"/>
          <w:sz w:val="21"/>
          <w:szCs w:val="21"/>
          <w:highlight w:val="none"/>
        </w:rPr>
        <w:t>。</w:t>
      </w:r>
    </w:p>
    <w:p w14:paraId="0FBB973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工程质量保修书由发包人、承包人在工程竣工验收前共同签署，作为施工合同附件，其有效期限至保修期满。</w:t>
      </w:r>
    </w:p>
    <w:p w14:paraId="25F753F8">
      <w:pPr>
        <w:spacing w:line="400" w:lineRule="exact"/>
        <w:rPr>
          <w:rFonts w:ascii="宋体" w:hAnsi="宋体" w:eastAsia="宋体" w:cs="宋体"/>
          <w:color w:val="auto"/>
          <w:sz w:val="21"/>
          <w:szCs w:val="21"/>
          <w:highlight w:val="none"/>
        </w:rPr>
      </w:pPr>
    </w:p>
    <w:p w14:paraId="1D4910FB">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发包人（公章）：                            承包人（公章）：</w:t>
      </w:r>
    </w:p>
    <w:p w14:paraId="3C451C74">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地  址：                                    地  址：</w:t>
      </w:r>
    </w:p>
    <w:p w14:paraId="27811678">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法定代表人（签字）：                        法定代表人（签字）：</w:t>
      </w:r>
    </w:p>
    <w:p w14:paraId="3B5CE3D4">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或委托代理人（签字）：                      或委托代理人（签字）：</w:t>
      </w:r>
    </w:p>
    <w:p w14:paraId="0629E1DC">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  话：                                    电  话：</w:t>
      </w:r>
    </w:p>
    <w:p w14:paraId="30300BF5">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传  真：                                    传  真：</w:t>
      </w:r>
    </w:p>
    <w:p w14:paraId="21AC5D19">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                                  开户银行：</w:t>
      </w:r>
    </w:p>
    <w:p w14:paraId="3D12C54A">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账  号：                                    账  号：</w:t>
      </w:r>
    </w:p>
    <w:p w14:paraId="6244A464">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邮政编码：                                  邮政编码： </w:t>
      </w:r>
    </w:p>
    <w:p w14:paraId="6B6F288F">
      <w:pPr>
        <w:pStyle w:val="10"/>
        <w:rPr>
          <w:rFonts w:hint="eastAsia" w:ascii="宋体" w:hAnsi="宋体" w:eastAsia="宋体" w:cs="宋体"/>
          <w:color w:val="auto"/>
          <w:sz w:val="21"/>
          <w:szCs w:val="21"/>
          <w:highlight w:val="none"/>
        </w:rPr>
      </w:pPr>
    </w:p>
    <w:p w14:paraId="7DFF97FE">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p>
    <w:p w14:paraId="5ED31AAA">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w:t>
      </w: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：主要设备材料备选品牌一览表</w:t>
      </w:r>
    </w:p>
    <w:tbl>
      <w:tblPr>
        <w:tblStyle w:val="23"/>
        <w:tblpPr w:leftFromText="180" w:rightFromText="180" w:vertAnchor="text" w:horzAnchor="page" w:tblpX="1110" w:tblpY="357"/>
        <w:tblOverlap w:val="never"/>
        <w:tblW w:w="10119" w:type="dxa"/>
        <w:tblInd w:w="0" w:type="dxa"/>
        <w:tblLayout w:type="autofit"/>
        <w:tblCellMar>
          <w:top w:w="0" w:type="dxa"/>
          <w:left w:w="108" w:type="dxa"/>
          <w:bottom w:w="0" w:type="dxa"/>
          <w:right w:w="108" w:type="dxa"/>
        </w:tblCellMar>
      </w:tblPr>
      <w:tblGrid>
        <w:gridCol w:w="961"/>
        <w:gridCol w:w="2230"/>
        <w:gridCol w:w="5605"/>
        <w:gridCol w:w="1323"/>
      </w:tblGrid>
      <w:tr w14:paraId="4DAB2D67">
        <w:tblPrEx>
          <w:tblCellMar>
            <w:top w:w="0" w:type="dxa"/>
            <w:left w:w="108" w:type="dxa"/>
            <w:bottom w:w="0" w:type="dxa"/>
            <w:right w:w="108" w:type="dxa"/>
          </w:tblCellMar>
        </w:tblPrEx>
        <w:trPr>
          <w:trHeight w:val="482" w:hRule="atLeast"/>
        </w:trPr>
        <w:tc>
          <w:tcPr>
            <w:tcW w:w="919" w:type="dxa"/>
            <w:tcBorders>
              <w:top w:val="single" w:color="000000" w:sz="8" w:space="0"/>
              <w:left w:val="single" w:color="000000" w:sz="8" w:space="0"/>
              <w:bottom w:val="single" w:color="000000" w:sz="8" w:space="0"/>
              <w:right w:val="single" w:color="000000" w:sz="8" w:space="0"/>
            </w:tcBorders>
            <w:noWrap w:val="0"/>
            <w:vAlign w:val="center"/>
          </w:tcPr>
          <w:p w14:paraId="640350EC">
            <w:pP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2238" w:type="dxa"/>
            <w:tcBorders>
              <w:top w:val="single" w:color="000000" w:sz="8" w:space="0"/>
              <w:left w:val="single" w:color="000000" w:sz="8" w:space="0"/>
              <w:bottom w:val="single" w:color="000000" w:sz="8" w:space="0"/>
              <w:right w:val="single" w:color="000000" w:sz="8" w:space="0"/>
            </w:tcBorders>
            <w:noWrap w:val="0"/>
            <w:vAlign w:val="center"/>
          </w:tcPr>
          <w:p w14:paraId="477BB1E9">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材料名称</w:t>
            </w:r>
          </w:p>
        </w:tc>
        <w:tc>
          <w:tcPr>
            <w:tcW w:w="5637" w:type="dxa"/>
            <w:tcBorders>
              <w:top w:val="single" w:color="000000" w:sz="8" w:space="0"/>
              <w:left w:val="single" w:color="000000" w:sz="8" w:space="0"/>
              <w:bottom w:val="single" w:color="000000" w:sz="8" w:space="0"/>
              <w:right w:val="single" w:color="000000" w:sz="8" w:space="0"/>
            </w:tcBorders>
            <w:noWrap w:val="0"/>
            <w:vAlign w:val="center"/>
          </w:tcPr>
          <w:p w14:paraId="7407A68D">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备选品牌或厂家（参照或相当于）</w:t>
            </w:r>
          </w:p>
        </w:tc>
        <w:tc>
          <w:tcPr>
            <w:tcW w:w="1325" w:type="dxa"/>
            <w:tcBorders>
              <w:top w:val="single" w:color="000000" w:sz="8" w:space="0"/>
              <w:left w:val="single" w:color="000000" w:sz="8" w:space="0"/>
              <w:bottom w:val="single" w:color="000000" w:sz="8" w:space="0"/>
              <w:right w:val="single" w:color="000000" w:sz="8" w:space="0"/>
            </w:tcBorders>
            <w:noWrap w:val="0"/>
            <w:vAlign w:val="center"/>
          </w:tcPr>
          <w:p w14:paraId="7C4DEB1E">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5CDB3926">
        <w:tblPrEx>
          <w:tblCellMar>
            <w:top w:w="0" w:type="dxa"/>
            <w:left w:w="108" w:type="dxa"/>
            <w:bottom w:w="0" w:type="dxa"/>
            <w:right w:w="108" w:type="dxa"/>
          </w:tblCellMar>
        </w:tblPrEx>
        <w:trPr>
          <w:trHeight w:val="435" w:hRule="atLeast"/>
        </w:trPr>
        <w:tc>
          <w:tcPr>
            <w:tcW w:w="919" w:type="dxa"/>
            <w:tcBorders>
              <w:top w:val="single" w:color="000000" w:sz="8" w:space="0"/>
              <w:left w:val="single" w:color="000000" w:sz="8" w:space="0"/>
              <w:bottom w:val="single" w:color="000000" w:sz="8" w:space="0"/>
              <w:right w:val="single" w:color="000000" w:sz="8" w:space="0"/>
            </w:tcBorders>
            <w:noWrap w:val="0"/>
            <w:vAlign w:val="center"/>
          </w:tcPr>
          <w:p w14:paraId="6D03702D">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p>
        </w:tc>
        <w:tc>
          <w:tcPr>
            <w:tcW w:w="2238" w:type="dxa"/>
            <w:tcBorders>
              <w:top w:val="single" w:color="000000" w:sz="8" w:space="0"/>
              <w:left w:val="single" w:color="000000" w:sz="8" w:space="0"/>
              <w:bottom w:val="single" w:color="000000" w:sz="8" w:space="0"/>
              <w:right w:val="single" w:color="000000" w:sz="8" w:space="0"/>
            </w:tcBorders>
            <w:noWrap w:val="0"/>
            <w:vAlign w:val="center"/>
          </w:tcPr>
          <w:p w14:paraId="48FCC0B2">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悬浮式拼装运动底板（改性 PP双层弹性软连接）</w:t>
            </w:r>
          </w:p>
        </w:tc>
        <w:tc>
          <w:tcPr>
            <w:tcW w:w="5637" w:type="dxa"/>
            <w:tcBorders>
              <w:top w:val="single" w:color="000000" w:sz="8" w:space="0"/>
              <w:left w:val="single" w:color="000000" w:sz="8" w:space="0"/>
              <w:bottom w:val="single" w:color="000000" w:sz="8" w:space="0"/>
              <w:right w:val="single" w:color="000000" w:sz="8" w:space="0"/>
            </w:tcBorders>
            <w:noWrap w:val="0"/>
            <w:vAlign w:val="center"/>
          </w:tcPr>
          <w:p w14:paraId="50B9A592">
            <w:pPr>
              <w:spacing w:line="40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深圳奥格</w:t>
            </w:r>
            <w:r>
              <w:rPr>
                <w:rFonts w:hint="eastAsia" w:ascii="宋体" w:hAnsi="宋体" w:eastAsia="宋体" w:cs="宋体"/>
                <w:color w:val="auto"/>
                <w:sz w:val="21"/>
                <w:szCs w:val="21"/>
                <w:highlight w:val="none"/>
                <w:lang w:eastAsia="zh-CN"/>
              </w:rPr>
              <w:t>、杭州新奥星、河北英利奥</w:t>
            </w:r>
          </w:p>
        </w:tc>
        <w:tc>
          <w:tcPr>
            <w:tcW w:w="1325" w:type="dxa"/>
            <w:tcBorders>
              <w:top w:val="single" w:color="000000" w:sz="8" w:space="0"/>
              <w:left w:val="single" w:color="000000" w:sz="8" w:space="0"/>
              <w:bottom w:val="single" w:color="000000" w:sz="8" w:space="0"/>
              <w:right w:val="single" w:color="000000" w:sz="8" w:space="0"/>
            </w:tcBorders>
            <w:noWrap w:val="0"/>
            <w:vAlign w:val="center"/>
          </w:tcPr>
          <w:p w14:paraId="7B124951">
            <w:pPr>
              <w:spacing w:line="400" w:lineRule="exact"/>
              <w:ind w:firstLine="420" w:firstLineChars="200"/>
              <w:rPr>
                <w:rFonts w:hint="eastAsia" w:ascii="宋体" w:hAnsi="宋体" w:eastAsia="宋体" w:cs="宋体"/>
                <w:color w:val="auto"/>
                <w:sz w:val="21"/>
                <w:szCs w:val="21"/>
                <w:highlight w:val="none"/>
              </w:rPr>
            </w:pPr>
          </w:p>
        </w:tc>
      </w:tr>
      <w:tr w14:paraId="3F8CFB27">
        <w:tblPrEx>
          <w:tblCellMar>
            <w:top w:w="0" w:type="dxa"/>
            <w:left w:w="108" w:type="dxa"/>
            <w:bottom w:w="0" w:type="dxa"/>
            <w:right w:w="108" w:type="dxa"/>
          </w:tblCellMar>
        </w:tblPrEx>
        <w:trPr>
          <w:trHeight w:val="435" w:hRule="atLeast"/>
        </w:trPr>
        <w:tc>
          <w:tcPr>
            <w:tcW w:w="919"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6711BE0E">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p>
        </w:tc>
        <w:tc>
          <w:tcPr>
            <w:tcW w:w="2238" w:type="dxa"/>
            <w:tcBorders>
              <w:top w:val="single" w:color="000000" w:sz="8" w:space="0"/>
              <w:left w:val="single" w:color="000000" w:sz="8" w:space="0"/>
              <w:bottom w:val="single" w:color="000000" w:sz="8" w:space="0"/>
              <w:right w:val="single" w:color="000000" w:sz="8" w:space="0"/>
            </w:tcBorders>
            <w:noWrap w:val="0"/>
            <w:vAlign w:val="center"/>
          </w:tcPr>
          <w:p w14:paraId="56BA15F8">
            <w:pPr>
              <w:widowControl/>
              <w:jc w:val="center"/>
              <w:textAlignment w:val="center"/>
              <w:rPr>
                <w:rFonts w:hint="eastAsia" w:ascii="宋体" w:hAnsi="宋体" w:cs="宋体"/>
                <w:color w:val="auto"/>
                <w:sz w:val="21"/>
                <w:szCs w:val="21"/>
                <w:highlight w:val="none"/>
              </w:rPr>
            </w:pPr>
          </w:p>
        </w:tc>
        <w:tc>
          <w:tcPr>
            <w:tcW w:w="5637" w:type="dxa"/>
            <w:tcBorders>
              <w:top w:val="single" w:color="000000" w:sz="8" w:space="0"/>
              <w:left w:val="single" w:color="000000" w:sz="8" w:space="0"/>
              <w:bottom w:val="single" w:color="000000" w:sz="8" w:space="0"/>
              <w:right w:val="single" w:color="000000" w:sz="8" w:space="0"/>
            </w:tcBorders>
            <w:noWrap w:val="0"/>
            <w:vAlign w:val="center"/>
          </w:tcPr>
          <w:p w14:paraId="3071183B">
            <w:pPr>
              <w:widowControl/>
              <w:jc w:val="center"/>
              <w:textAlignment w:val="center"/>
              <w:rPr>
                <w:rFonts w:hint="eastAsia" w:ascii="宋体" w:hAnsi="宋体" w:cs="宋体"/>
                <w:color w:val="auto"/>
                <w:sz w:val="21"/>
                <w:szCs w:val="21"/>
                <w:highlight w:val="none"/>
              </w:rPr>
            </w:pPr>
          </w:p>
        </w:tc>
        <w:tc>
          <w:tcPr>
            <w:tcW w:w="1325" w:type="dxa"/>
            <w:tcBorders>
              <w:top w:val="single" w:color="000000" w:sz="8" w:space="0"/>
              <w:left w:val="single" w:color="000000" w:sz="8" w:space="0"/>
              <w:bottom w:val="single" w:color="000000" w:sz="8" w:space="0"/>
              <w:right w:val="single" w:color="000000" w:sz="8" w:space="0"/>
            </w:tcBorders>
            <w:noWrap w:val="0"/>
            <w:vAlign w:val="center"/>
          </w:tcPr>
          <w:p w14:paraId="6072572F">
            <w:pPr>
              <w:rPr>
                <w:color w:val="auto"/>
                <w:sz w:val="21"/>
                <w:szCs w:val="21"/>
                <w:highlight w:val="none"/>
              </w:rPr>
            </w:pPr>
          </w:p>
        </w:tc>
      </w:tr>
      <w:tr w14:paraId="590F8575">
        <w:tblPrEx>
          <w:tblCellMar>
            <w:top w:w="0" w:type="dxa"/>
            <w:left w:w="108" w:type="dxa"/>
            <w:bottom w:w="0" w:type="dxa"/>
            <w:right w:w="108" w:type="dxa"/>
          </w:tblCellMar>
        </w:tblPrEx>
        <w:trPr>
          <w:trHeight w:val="435" w:hRule="atLeast"/>
        </w:trPr>
        <w:tc>
          <w:tcPr>
            <w:tcW w:w="919"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2C063C81">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p>
        </w:tc>
        <w:tc>
          <w:tcPr>
            <w:tcW w:w="2238"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60985FDE">
            <w:pPr>
              <w:widowControl/>
              <w:ind w:left="0" w:leftChars="0" w:right="0" w:rightChars="0"/>
              <w:jc w:val="center"/>
              <w:textAlignment w:val="center"/>
              <w:rPr>
                <w:rFonts w:hint="default" w:ascii="宋体" w:hAnsi="宋体" w:eastAsia="宋体" w:cs="宋体"/>
                <w:color w:val="auto"/>
                <w:kern w:val="0"/>
                <w:sz w:val="21"/>
                <w:szCs w:val="21"/>
                <w:highlight w:val="none"/>
                <w:lang w:val="en-US" w:eastAsia="zh-CN" w:bidi="ar"/>
              </w:rPr>
            </w:pPr>
          </w:p>
        </w:tc>
        <w:tc>
          <w:tcPr>
            <w:tcW w:w="5637"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5592C7EF">
            <w:pPr>
              <w:widowControl/>
              <w:ind w:left="0" w:leftChars="0" w:right="0" w:rightChars="0"/>
              <w:jc w:val="center"/>
              <w:textAlignment w:val="center"/>
              <w:rPr>
                <w:rFonts w:hint="eastAsia" w:ascii="宋体" w:hAnsi="宋体" w:eastAsia="宋体" w:cs="宋体"/>
                <w:color w:val="auto"/>
                <w:kern w:val="0"/>
                <w:sz w:val="21"/>
                <w:szCs w:val="21"/>
                <w:highlight w:val="none"/>
                <w:lang w:val="en-US" w:eastAsia="zh-CN" w:bidi="ar"/>
              </w:rPr>
            </w:pPr>
          </w:p>
        </w:tc>
        <w:tc>
          <w:tcPr>
            <w:tcW w:w="1325" w:type="dxa"/>
            <w:tcBorders>
              <w:top w:val="single" w:color="000000" w:sz="8" w:space="0"/>
              <w:left w:val="single" w:color="000000" w:sz="8" w:space="0"/>
              <w:bottom w:val="single" w:color="000000" w:sz="8" w:space="0"/>
              <w:right w:val="single" w:color="000000" w:sz="8" w:space="0"/>
            </w:tcBorders>
            <w:noWrap w:val="0"/>
            <w:vAlign w:val="center"/>
          </w:tcPr>
          <w:p w14:paraId="3CB0335E">
            <w:pPr>
              <w:rPr>
                <w:color w:val="auto"/>
                <w:sz w:val="21"/>
                <w:szCs w:val="21"/>
                <w:highlight w:val="none"/>
              </w:rPr>
            </w:pPr>
          </w:p>
        </w:tc>
      </w:tr>
      <w:tr w14:paraId="333536F3">
        <w:tblPrEx>
          <w:tblCellMar>
            <w:top w:w="0" w:type="dxa"/>
            <w:left w:w="108" w:type="dxa"/>
            <w:bottom w:w="0" w:type="dxa"/>
            <w:right w:w="108" w:type="dxa"/>
          </w:tblCellMar>
        </w:tblPrEx>
        <w:trPr>
          <w:trHeight w:val="435" w:hRule="atLeast"/>
        </w:trPr>
        <w:tc>
          <w:tcPr>
            <w:tcW w:w="919"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305816A4">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p>
        </w:tc>
        <w:tc>
          <w:tcPr>
            <w:tcW w:w="2238"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4FA7498E">
            <w:pPr>
              <w:widowControl/>
              <w:jc w:val="center"/>
              <w:textAlignment w:val="center"/>
              <w:rPr>
                <w:rFonts w:hint="eastAsia" w:ascii="宋体" w:hAnsi="宋体" w:eastAsia="宋体" w:cs="宋体"/>
                <w:color w:val="auto"/>
                <w:kern w:val="2"/>
                <w:sz w:val="21"/>
                <w:szCs w:val="21"/>
                <w:highlight w:val="none"/>
                <w:lang w:val="en-US" w:eastAsia="zh-CN" w:bidi="ar-SA"/>
              </w:rPr>
            </w:pPr>
          </w:p>
        </w:tc>
        <w:tc>
          <w:tcPr>
            <w:tcW w:w="5637"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5D7C9956">
            <w:pPr>
              <w:widowControl/>
              <w:jc w:val="center"/>
              <w:textAlignment w:val="center"/>
              <w:rPr>
                <w:rFonts w:hint="eastAsia" w:ascii="宋体" w:hAnsi="宋体" w:eastAsia="宋体" w:cs="宋体"/>
                <w:color w:val="auto"/>
                <w:kern w:val="2"/>
                <w:sz w:val="21"/>
                <w:szCs w:val="21"/>
                <w:highlight w:val="none"/>
                <w:lang w:val="en-US" w:eastAsia="zh-CN" w:bidi="ar-SA"/>
              </w:rPr>
            </w:pPr>
          </w:p>
        </w:tc>
        <w:tc>
          <w:tcPr>
            <w:tcW w:w="1325" w:type="dxa"/>
            <w:tcBorders>
              <w:top w:val="single" w:color="000000" w:sz="8" w:space="0"/>
              <w:left w:val="single" w:color="000000" w:sz="8" w:space="0"/>
              <w:bottom w:val="single" w:color="000000" w:sz="8" w:space="0"/>
              <w:right w:val="single" w:color="000000" w:sz="8" w:space="0"/>
            </w:tcBorders>
            <w:noWrap w:val="0"/>
            <w:vAlign w:val="center"/>
          </w:tcPr>
          <w:p w14:paraId="4F505F93">
            <w:pPr>
              <w:rPr>
                <w:color w:val="auto"/>
                <w:sz w:val="21"/>
                <w:szCs w:val="21"/>
                <w:highlight w:val="none"/>
              </w:rPr>
            </w:pPr>
          </w:p>
        </w:tc>
      </w:tr>
      <w:tr w14:paraId="26F88334">
        <w:tblPrEx>
          <w:tblCellMar>
            <w:top w:w="0" w:type="dxa"/>
            <w:left w:w="108" w:type="dxa"/>
            <w:bottom w:w="0" w:type="dxa"/>
            <w:right w:w="108" w:type="dxa"/>
          </w:tblCellMar>
        </w:tblPrEx>
        <w:trPr>
          <w:trHeight w:val="435" w:hRule="atLeast"/>
        </w:trPr>
        <w:tc>
          <w:tcPr>
            <w:tcW w:w="919" w:type="dxa"/>
            <w:tcBorders>
              <w:top w:val="single" w:color="000000" w:sz="8" w:space="0"/>
              <w:left w:val="single" w:color="000000" w:sz="8" w:space="0"/>
              <w:bottom w:val="single" w:color="000000" w:sz="8" w:space="0"/>
              <w:right w:val="single" w:color="000000" w:sz="8" w:space="0"/>
            </w:tcBorders>
            <w:noWrap w:val="0"/>
            <w:vAlign w:val="center"/>
          </w:tcPr>
          <w:p w14:paraId="43574841">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bidi="ar-SA"/>
              </w:rPr>
            </w:pPr>
          </w:p>
        </w:tc>
        <w:tc>
          <w:tcPr>
            <w:tcW w:w="2238"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473F89AF">
            <w:pPr>
              <w:widowControl/>
              <w:jc w:val="center"/>
              <w:textAlignment w:val="center"/>
              <w:rPr>
                <w:rFonts w:hint="eastAsia" w:ascii="宋体" w:hAnsi="宋体" w:eastAsia="宋体" w:cs="宋体"/>
                <w:color w:val="auto"/>
                <w:kern w:val="2"/>
                <w:sz w:val="21"/>
                <w:szCs w:val="21"/>
                <w:highlight w:val="none"/>
                <w:lang w:val="en-US" w:eastAsia="zh-CN" w:bidi="ar-SA"/>
              </w:rPr>
            </w:pPr>
          </w:p>
        </w:tc>
        <w:tc>
          <w:tcPr>
            <w:tcW w:w="5637"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56699EB3">
            <w:pPr>
              <w:widowControl/>
              <w:jc w:val="center"/>
              <w:textAlignment w:val="center"/>
              <w:rPr>
                <w:rFonts w:hint="eastAsia" w:ascii="宋体" w:hAnsi="宋体" w:eastAsia="宋体" w:cs="宋体"/>
                <w:color w:val="auto"/>
                <w:kern w:val="2"/>
                <w:sz w:val="21"/>
                <w:szCs w:val="21"/>
                <w:highlight w:val="none"/>
                <w:lang w:val="en-US" w:eastAsia="zh-CN" w:bidi="ar-SA"/>
              </w:rPr>
            </w:pPr>
          </w:p>
        </w:tc>
        <w:tc>
          <w:tcPr>
            <w:tcW w:w="1325" w:type="dxa"/>
            <w:tcBorders>
              <w:top w:val="single" w:color="000000" w:sz="8" w:space="0"/>
              <w:left w:val="single" w:color="000000" w:sz="8" w:space="0"/>
              <w:bottom w:val="single" w:color="000000" w:sz="8" w:space="0"/>
              <w:right w:val="single" w:color="000000" w:sz="8" w:space="0"/>
            </w:tcBorders>
            <w:noWrap w:val="0"/>
            <w:vAlign w:val="center"/>
          </w:tcPr>
          <w:p w14:paraId="2EB053FD">
            <w:pPr>
              <w:rPr>
                <w:color w:val="auto"/>
                <w:sz w:val="21"/>
                <w:szCs w:val="21"/>
                <w:highlight w:val="none"/>
              </w:rPr>
            </w:pPr>
          </w:p>
        </w:tc>
      </w:tr>
      <w:tr w14:paraId="5826A5B3">
        <w:tblPrEx>
          <w:tblCellMar>
            <w:top w:w="0" w:type="dxa"/>
            <w:left w:w="108" w:type="dxa"/>
            <w:bottom w:w="0" w:type="dxa"/>
            <w:right w:w="108" w:type="dxa"/>
          </w:tblCellMar>
        </w:tblPrEx>
        <w:trPr>
          <w:trHeight w:val="435" w:hRule="atLeast"/>
        </w:trPr>
        <w:tc>
          <w:tcPr>
            <w:tcW w:w="919"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2E524816">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p>
        </w:tc>
        <w:tc>
          <w:tcPr>
            <w:tcW w:w="2238"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15A23C19">
            <w:pPr>
              <w:widowControl/>
              <w:jc w:val="center"/>
              <w:textAlignment w:val="center"/>
              <w:rPr>
                <w:rFonts w:hint="eastAsia" w:ascii="宋体" w:hAnsi="宋体" w:eastAsia="宋体" w:cs="宋体"/>
                <w:color w:val="auto"/>
                <w:kern w:val="2"/>
                <w:sz w:val="21"/>
                <w:szCs w:val="21"/>
                <w:highlight w:val="none"/>
                <w:lang w:val="en-US" w:eastAsia="zh-CN" w:bidi="ar-SA"/>
              </w:rPr>
            </w:pPr>
          </w:p>
        </w:tc>
        <w:tc>
          <w:tcPr>
            <w:tcW w:w="5637"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1BE3983F">
            <w:pPr>
              <w:widowControl/>
              <w:jc w:val="center"/>
              <w:textAlignment w:val="center"/>
              <w:rPr>
                <w:rFonts w:hint="eastAsia" w:ascii="宋体" w:hAnsi="宋体" w:eastAsia="宋体" w:cs="宋体"/>
                <w:color w:val="auto"/>
                <w:kern w:val="2"/>
                <w:sz w:val="21"/>
                <w:szCs w:val="21"/>
                <w:highlight w:val="none"/>
                <w:lang w:val="en-US" w:eastAsia="zh-CN" w:bidi="ar-SA"/>
              </w:rPr>
            </w:pPr>
          </w:p>
        </w:tc>
        <w:tc>
          <w:tcPr>
            <w:tcW w:w="1325" w:type="dxa"/>
            <w:tcBorders>
              <w:top w:val="single" w:color="000000" w:sz="8" w:space="0"/>
              <w:left w:val="single" w:color="000000" w:sz="8" w:space="0"/>
              <w:bottom w:val="single" w:color="000000" w:sz="8" w:space="0"/>
              <w:right w:val="single" w:color="000000" w:sz="8" w:space="0"/>
            </w:tcBorders>
            <w:noWrap w:val="0"/>
            <w:vAlign w:val="center"/>
          </w:tcPr>
          <w:p w14:paraId="7D439C43">
            <w:pPr>
              <w:rPr>
                <w:color w:val="auto"/>
                <w:sz w:val="21"/>
                <w:szCs w:val="21"/>
                <w:highlight w:val="none"/>
              </w:rPr>
            </w:pPr>
          </w:p>
        </w:tc>
      </w:tr>
      <w:tr w14:paraId="23A413E5">
        <w:tblPrEx>
          <w:tblCellMar>
            <w:top w:w="0" w:type="dxa"/>
            <w:left w:w="108" w:type="dxa"/>
            <w:bottom w:w="0" w:type="dxa"/>
            <w:right w:w="108" w:type="dxa"/>
          </w:tblCellMar>
        </w:tblPrEx>
        <w:trPr>
          <w:trHeight w:val="435" w:hRule="atLeast"/>
        </w:trPr>
        <w:tc>
          <w:tcPr>
            <w:tcW w:w="919"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33C15A5A">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p>
        </w:tc>
        <w:tc>
          <w:tcPr>
            <w:tcW w:w="2238"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2C9284CB">
            <w:pPr>
              <w:widowControl/>
              <w:jc w:val="center"/>
              <w:textAlignment w:val="center"/>
              <w:rPr>
                <w:rFonts w:hint="eastAsia" w:ascii="宋体" w:hAnsi="宋体" w:eastAsia="宋体" w:cs="宋体"/>
                <w:b w:val="0"/>
                <w:bCs w:val="0"/>
                <w:color w:val="auto"/>
                <w:kern w:val="0"/>
                <w:sz w:val="21"/>
                <w:szCs w:val="21"/>
                <w:highlight w:val="none"/>
                <w:lang w:val="en-US" w:eastAsia="zh-CN" w:bidi="ar"/>
              </w:rPr>
            </w:pPr>
          </w:p>
        </w:tc>
        <w:tc>
          <w:tcPr>
            <w:tcW w:w="5637"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0BE8CB93">
            <w:pPr>
              <w:widowControl/>
              <w:jc w:val="center"/>
              <w:textAlignment w:val="center"/>
              <w:rPr>
                <w:rFonts w:hint="eastAsia" w:ascii="宋体" w:hAnsi="宋体" w:eastAsia="宋体" w:cs="宋体"/>
                <w:b w:val="0"/>
                <w:bCs w:val="0"/>
                <w:color w:val="auto"/>
                <w:kern w:val="0"/>
                <w:sz w:val="21"/>
                <w:szCs w:val="21"/>
                <w:highlight w:val="none"/>
                <w:lang w:val="en-US" w:eastAsia="zh-CN" w:bidi="ar"/>
              </w:rPr>
            </w:pPr>
          </w:p>
        </w:tc>
        <w:tc>
          <w:tcPr>
            <w:tcW w:w="1325" w:type="dxa"/>
            <w:tcBorders>
              <w:top w:val="single" w:color="000000" w:sz="8" w:space="0"/>
              <w:left w:val="single" w:color="000000" w:sz="8" w:space="0"/>
              <w:bottom w:val="single" w:color="000000" w:sz="8" w:space="0"/>
              <w:right w:val="single" w:color="000000" w:sz="8" w:space="0"/>
            </w:tcBorders>
            <w:noWrap w:val="0"/>
            <w:vAlign w:val="center"/>
          </w:tcPr>
          <w:p w14:paraId="54268B7C">
            <w:pPr>
              <w:rPr>
                <w:color w:val="auto"/>
                <w:sz w:val="21"/>
                <w:szCs w:val="21"/>
                <w:highlight w:val="none"/>
              </w:rPr>
            </w:pPr>
          </w:p>
        </w:tc>
      </w:tr>
      <w:tr w14:paraId="4D5EB36B">
        <w:tblPrEx>
          <w:tblCellMar>
            <w:top w:w="0" w:type="dxa"/>
            <w:left w:w="108" w:type="dxa"/>
            <w:bottom w:w="0" w:type="dxa"/>
            <w:right w:w="108" w:type="dxa"/>
          </w:tblCellMar>
        </w:tblPrEx>
        <w:trPr>
          <w:trHeight w:val="435" w:hRule="atLeast"/>
        </w:trPr>
        <w:tc>
          <w:tcPr>
            <w:tcW w:w="919"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3A6F2EA3">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p>
        </w:tc>
        <w:tc>
          <w:tcPr>
            <w:tcW w:w="2238"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6B47A348">
            <w:pPr>
              <w:widowControl/>
              <w:jc w:val="center"/>
              <w:textAlignment w:val="center"/>
              <w:rPr>
                <w:rFonts w:hint="eastAsia" w:ascii="宋体" w:hAnsi="宋体" w:eastAsia="宋体" w:cs="宋体"/>
                <w:b w:val="0"/>
                <w:bCs w:val="0"/>
                <w:color w:val="auto"/>
                <w:kern w:val="0"/>
                <w:sz w:val="21"/>
                <w:szCs w:val="21"/>
                <w:highlight w:val="none"/>
                <w:lang w:val="en-US" w:eastAsia="zh-CN" w:bidi="ar"/>
              </w:rPr>
            </w:pPr>
          </w:p>
        </w:tc>
        <w:tc>
          <w:tcPr>
            <w:tcW w:w="5637"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7F4F4F16">
            <w:pPr>
              <w:widowControl/>
              <w:jc w:val="center"/>
              <w:textAlignment w:val="center"/>
              <w:rPr>
                <w:rFonts w:hint="eastAsia" w:ascii="宋体" w:hAnsi="宋体" w:eastAsia="宋体" w:cs="宋体"/>
                <w:b w:val="0"/>
                <w:bCs w:val="0"/>
                <w:color w:val="auto"/>
                <w:kern w:val="0"/>
                <w:sz w:val="21"/>
                <w:szCs w:val="21"/>
                <w:highlight w:val="none"/>
                <w:lang w:val="en-US" w:eastAsia="zh-CN" w:bidi="ar"/>
              </w:rPr>
            </w:pPr>
          </w:p>
        </w:tc>
        <w:tc>
          <w:tcPr>
            <w:tcW w:w="1325" w:type="dxa"/>
            <w:tcBorders>
              <w:top w:val="single" w:color="000000" w:sz="8" w:space="0"/>
              <w:left w:val="single" w:color="000000" w:sz="8" w:space="0"/>
              <w:bottom w:val="single" w:color="000000" w:sz="8" w:space="0"/>
              <w:right w:val="single" w:color="000000" w:sz="8" w:space="0"/>
            </w:tcBorders>
            <w:noWrap w:val="0"/>
            <w:vAlign w:val="center"/>
          </w:tcPr>
          <w:p w14:paraId="42ADD366">
            <w:pPr>
              <w:rPr>
                <w:color w:val="auto"/>
                <w:sz w:val="21"/>
                <w:szCs w:val="21"/>
                <w:highlight w:val="none"/>
              </w:rPr>
            </w:pPr>
          </w:p>
        </w:tc>
      </w:tr>
      <w:tr w14:paraId="03733C18">
        <w:tblPrEx>
          <w:tblCellMar>
            <w:top w:w="0" w:type="dxa"/>
            <w:left w:w="108" w:type="dxa"/>
            <w:bottom w:w="0" w:type="dxa"/>
            <w:right w:w="108" w:type="dxa"/>
          </w:tblCellMar>
        </w:tblPrEx>
        <w:trPr>
          <w:trHeight w:val="435" w:hRule="atLeast"/>
        </w:trPr>
        <w:tc>
          <w:tcPr>
            <w:tcW w:w="919"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6B2DDCBD">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p>
        </w:tc>
        <w:tc>
          <w:tcPr>
            <w:tcW w:w="2238"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180D8503">
            <w:pPr>
              <w:widowControl/>
              <w:jc w:val="center"/>
              <w:textAlignment w:val="center"/>
              <w:rPr>
                <w:rFonts w:hint="eastAsia" w:ascii="宋体" w:hAnsi="宋体" w:eastAsia="宋体" w:cs="宋体"/>
                <w:b w:val="0"/>
                <w:bCs w:val="0"/>
                <w:color w:val="auto"/>
                <w:kern w:val="0"/>
                <w:sz w:val="21"/>
                <w:szCs w:val="21"/>
                <w:highlight w:val="none"/>
                <w:lang w:val="en-US" w:eastAsia="zh-CN" w:bidi="ar"/>
              </w:rPr>
            </w:pPr>
          </w:p>
        </w:tc>
        <w:tc>
          <w:tcPr>
            <w:tcW w:w="5637"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7C1BE2DA">
            <w:pPr>
              <w:widowControl/>
              <w:jc w:val="center"/>
              <w:textAlignment w:val="center"/>
              <w:rPr>
                <w:rFonts w:hint="eastAsia" w:ascii="宋体" w:hAnsi="宋体" w:eastAsia="宋体" w:cs="宋体"/>
                <w:b w:val="0"/>
                <w:bCs w:val="0"/>
                <w:color w:val="auto"/>
                <w:kern w:val="0"/>
                <w:sz w:val="21"/>
                <w:szCs w:val="21"/>
                <w:highlight w:val="none"/>
                <w:lang w:val="en-US" w:eastAsia="zh-CN" w:bidi="ar"/>
              </w:rPr>
            </w:pPr>
          </w:p>
        </w:tc>
        <w:tc>
          <w:tcPr>
            <w:tcW w:w="1325" w:type="dxa"/>
            <w:tcBorders>
              <w:top w:val="single" w:color="000000" w:sz="8" w:space="0"/>
              <w:left w:val="single" w:color="000000" w:sz="8" w:space="0"/>
              <w:bottom w:val="single" w:color="000000" w:sz="8" w:space="0"/>
              <w:right w:val="single" w:color="000000" w:sz="8" w:space="0"/>
            </w:tcBorders>
            <w:noWrap w:val="0"/>
            <w:vAlign w:val="center"/>
          </w:tcPr>
          <w:p w14:paraId="0B6B895E">
            <w:pPr>
              <w:rPr>
                <w:color w:val="auto"/>
                <w:sz w:val="21"/>
                <w:szCs w:val="21"/>
                <w:highlight w:val="none"/>
              </w:rPr>
            </w:pPr>
          </w:p>
        </w:tc>
      </w:tr>
    </w:tbl>
    <w:p w14:paraId="5C065BB1">
      <w:pPr>
        <w:spacing w:before="61"/>
        <w:ind w:left="1277" w:right="0" w:firstLine="0"/>
        <w:jc w:val="left"/>
        <w:rPr>
          <w:color w:val="auto"/>
          <w:sz w:val="22"/>
          <w:highlight w:val="none"/>
        </w:rPr>
      </w:pPr>
    </w:p>
    <w:p w14:paraId="4BFEA059">
      <w:pPr>
        <w:spacing w:line="4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w:t>
      </w:r>
    </w:p>
    <w:p w14:paraId="052EC98D">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应优先采用以上推荐品牌的产品，若承包人选择其他品牌时，替代产品品质不低于原有产品并经业主签证认可。预算书采用的材料品牌与本招标文件采用的材料品牌不一致的以招标文件为准。规格和使用要求未注明的，均按设计规格和使用要求。主要材料采用品牌、生产厂家如果 有主营厂与次营厂之分，应采用主营厂产品。以上某项品牌材料如出现同一经销商销售的，发包人有权不予认可，使用替代产品。</w:t>
      </w:r>
    </w:p>
    <w:p w14:paraId="2333DA92">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2、若某设备材料的品牌与厂家存在同名时，以品牌为先。</w:t>
      </w:r>
    </w:p>
    <w:p w14:paraId="7D51154D">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因工程需要或上述品牌存在极不合理现象的（如全部品牌被垄断经营等情况），发包人有权对材料及设备品牌进行更换，承包人必须无条件接受并服从发包人的安排，未经发包人确认，承包人不得擅自更换品牌及要求。</w:t>
      </w:r>
    </w:p>
    <w:p w14:paraId="4E62A3F9">
      <w:pPr>
        <w:pStyle w:val="11"/>
        <w:rPr>
          <w:rFonts w:hint="eastAsia" w:ascii="宋体" w:hAnsi="宋体" w:eastAsia="宋体" w:cs="宋体"/>
          <w:color w:val="auto"/>
          <w:sz w:val="21"/>
          <w:szCs w:val="21"/>
          <w:highlight w:val="none"/>
        </w:rPr>
      </w:pPr>
    </w:p>
    <w:p w14:paraId="0C237924">
      <w:pPr>
        <w:pStyle w:val="11"/>
        <w:rPr>
          <w:rFonts w:hint="eastAsia" w:ascii="宋体" w:hAnsi="宋体" w:eastAsia="宋体" w:cs="宋体"/>
          <w:color w:val="auto"/>
          <w:sz w:val="21"/>
          <w:szCs w:val="21"/>
          <w:highlight w:val="none"/>
        </w:rPr>
      </w:pPr>
    </w:p>
    <w:p w14:paraId="35152606">
      <w:pPr>
        <w:pStyle w:val="11"/>
        <w:rPr>
          <w:rFonts w:hint="eastAsia" w:ascii="宋体" w:hAnsi="宋体" w:eastAsia="宋体" w:cs="宋体"/>
          <w:color w:val="auto"/>
          <w:sz w:val="21"/>
          <w:szCs w:val="21"/>
          <w:highlight w:val="none"/>
        </w:rPr>
        <w:sectPr>
          <w:footerReference r:id="rId16"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bookmarkEnd w:id="129"/>
    <w:bookmarkEnd w:id="130"/>
    <w:bookmarkEnd w:id="131"/>
    <w:p w14:paraId="381E5AC1">
      <w:pPr>
        <w:pStyle w:val="2"/>
        <w:spacing w:line="400" w:lineRule="exact"/>
        <w:rPr>
          <w:rFonts w:ascii="宋体" w:eastAsia="宋体" w:cs="宋体"/>
          <w:bCs/>
          <w:color w:val="auto"/>
          <w:sz w:val="28"/>
          <w:szCs w:val="28"/>
          <w:highlight w:val="none"/>
        </w:rPr>
      </w:pPr>
      <w:bookmarkStart w:id="132" w:name="_Toc18169"/>
      <w:bookmarkStart w:id="133" w:name="_Toc6352"/>
      <w:r>
        <w:rPr>
          <w:rFonts w:hint="eastAsia" w:ascii="宋体" w:eastAsia="宋体" w:cs="宋体"/>
          <w:color w:val="auto"/>
          <w:sz w:val="28"/>
          <w:szCs w:val="28"/>
          <w:highlight w:val="none"/>
        </w:rPr>
        <w:t>第五部分  工程建设项目廉政责任书</w:t>
      </w:r>
      <w:bookmarkEnd w:id="132"/>
      <w:bookmarkEnd w:id="133"/>
    </w:p>
    <w:p w14:paraId="7DB29561">
      <w:pPr>
        <w:pStyle w:val="9"/>
        <w:spacing w:line="400" w:lineRule="exact"/>
        <w:jc w:val="left"/>
        <w:rPr>
          <w:rFonts w:cs="宋体"/>
          <w:color w:val="auto"/>
          <w:szCs w:val="21"/>
          <w:highlight w:val="none"/>
        </w:rPr>
      </w:pPr>
    </w:p>
    <w:p w14:paraId="41327290">
      <w:pPr>
        <w:pStyle w:val="9"/>
        <w:spacing w:line="400" w:lineRule="exact"/>
        <w:ind w:firstLine="420" w:firstLineChars="200"/>
        <w:jc w:val="left"/>
        <w:rPr>
          <w:rFonts w:hint="eastAsia" w:eastAsia="宋体" w:cs="宋体"/>
          <w:color w:val="auto"/>
          <w:szCs w:val="21"/>
          <w:highlight w:val="none"/>
          <w:u w:val="single"/>
          <w:lang w:eastAsia="zh-CN"/>
        </w:rPr>
      </w:pPr>
      <w:r>
        <w:rPr>
          <w:rFonts w:hint="eastAsia" w:cs="宋体"/>
          <w:color w:val="auto"/>
          <w:szCs w:val="21"/>
          <w:highlight w:val="none"/>
        </w:rPr>
        <w:t>工程项目名称：</w:t>
      </w:r>
      <w:r>
        <w:rPr>
          <w:rFonts w:hint="eastAsia" w:cs="宋体"/>
          <w:color w:val="auto"/>
          <w:szCs w:val="21"/>
          <w:highlight w:val="none"/>
          <w:u w:val="single"/>
          <w:lang w:eastAsia="zh-CN"/>
        </w:rPr>
        <w:t>运动场地改造工程</w:t>
      </w:r>
    </w:p>
    <w:p w14:paraId="0973C438">
      <w:pPr>
        <w:pStyle w:val="9"/>
        <w:spacing w:line="400" w:lineRule="exact"/>
        <w:ind w:firstLine="420" w:firstLineChars="200"/>
        <w:jc w:val="left"/>
        <w:rPr>
          <w:rFonts w:hint="eastAsia" w:eastAsia="宋体" w:cs="宋体"/>
          <w:color w:val="auto"/>
          <w:szCs w:val="21"/>
          <w:highlight w:val="none"/>
          <w:u w:val="single"/>
          <w:lang w:eastAsia="zh-CN"/>
        </w:rPr>
      </w:pPr>
      <w:r>
        <w:rPr>
          <w:rFonts w:hint="eastAsia" w:cs="宋体"/>
          <w:color w:val="auto"/>
          <w:szCs w:val="21"/>
          <w:highlight w:val="none"/>
        </w:rPr>
        <w:t>工程项目地址：</w:t>
      </w:r>
      <w:r>
        <w:rPr>
          <w:rFonts w:hint="eastAsia" w:cs="宋体"/>
          <w:color w:val="auto"/>
          <w:szCs w:val="21"/>
          <w:highlight w:val="none"/>
          <w:u w:val="single"/>
          <w:lang w:eastAsia="zh-CN"/>
        </w:rPr>
        <w:t>台州初级中学</w:t>
      </w:r>
    </w:p>
    <w:p w14:paraId="3F150CEC">
      <w:pPr>
        <w:pStyle w:val="9"/>
        <w:spacing w:line="400" w:lineRule="exact"/>
        <w:ind w:firstLine="420" w:firstLineChars="200"/>
        <w:jc w:val="left"/>
        <w:rPr>
          <w:rFonts w:cs="宋体"/>
          <w:color w:val="auto"/>
          <w:szCs w:val="21"/>
          <w:highlight w:val="none"/>
        </w:rPr>
      </w:pPr>
      <w:r>
        <w:rPr>
          <w:rFonts w:hint="eastAsia" w:cs="宋体"/>
          <w:color w:val="auto"/>
          <w:szCs w:val="21"/>
          <w:highlight w:val="none"/>
        </w:rPr>
        <w:t>建设单位（甲方）：</w:t>
      </w:r>
      <w:r>
        <w:rPr>
          <w:rFonts w:hint="eastAsia" w:cs="宋体"/>
          <w:color w:val="auto"/>
          <w:szCs w:val="21"/>
          <w:highlight w:val="none"/>
          <w:u w:val="single"/>
          <w:lang w:val="en-US" w:eastAsia="zh-CN"/>
        </w:rPr>
        <w:t>台州初级中学</w:t>
      </w:r>
    </w:p>
    <w:p w14:paraId="641CA82A">
      <w:pPr>
        <w:pStyle w:val="9"/>
        <w:spacing w:line="400" w:lineRule="exact"/>
        <w:ind w:firstLine="420" w:firstLineChars="200"/>
        <w:jc w:val="left"/>
        <w:rPr>
          <w:rFonts w:cs="宋体"/>
          <w:color w:val="auto"/>
          <w:szCs w:val="21"/>
          <w:highlight w:val="none"/>
          <w:u w:val="single"/>
        </w:rPr>
      </w:pPr>
      <w:r>
        <w:rPr>
          <w:rFonts w:hint="eastAsia" w:cs="宋体"/>
          <w:color w:val="auto"/>
          <w:szCs w:val="21"/>
          <w:highlight w:val="none"/>
        </w:rPr>
        <w:t>施工单位（乙方）：</w:t>
      </w:r>
      <w:r>
        <w:rPr>
          <w:rFonts w:hint="eastAsia" w:cs="宋体"/>
          <w:color w:val="auto"/>
          <w:szCs w:val="21"/>
          <w:highlight w:val="none"/>
          <w:u w:val="single"/>
        </w:rPr>
        <w:t xml:space="preserve">                  </w:t>
      </w:r>
    </w:p>
    <w:p w14:paraId="5700423A">
      <w:pPr>
        <w:pStyle w:val="9"/>
        <w:spacing w:line="400" w:lineRule="exact"/>
        <w:ind w:firstLine="420" w:firstLineChars="200"/>
        <w:jc w:val="left"/>
        <w:rPr>
          <w:rFonts w:cs="宋体"/>
          <w:color w:val="auto"/>
          <w:szCs w:val="21"/>
          <w:highlight w:val="none"/>
        </w:rPr>
      </w:pPr>
      <w:r>
        <w:rPr>
          <w:rFonts w:hint="eastAsia" w:cs="宋体"/>
          <w:color w:val="auto"/>
          <w:szCs w:val="21"/>
          <w:highlight w:val="none"/>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758D99C3">
      <w:pPr>
        <w:pStyle w:val="9"/>
        <w:spacing w:line="400" w:lineRule="exact"/>
        <w:jc w:val="left"/>
        <w:rPr>
          <w:rFonts w:cs="宋体"/>
          <w:color w:val="auto"/>
          <w:szCs w:val="21"/>
          <w:highlight w:val="none"/>
        </w:rPr>
      </w:pPr>
      <w:r>
        <w:rPr>
          <w:rFonts w:hint="eastAsia" w:cs="宋体"/>
          <w:color w:val="auto"/>
          <w:szCs w:val="21"/>
          <w:highlight w:val="none"/>
        </w:rPr>
        <w:t>　　第一条 甲乙双方的责任</w:t>
      </w:r>
    </w:p>
    <w:p w14:paraId="2AFA9266">
      <w:pPr>
        <w:pStyle w:val="9"/>
        <w:spacing w:line="400" w:lineRule="exact"/>
        <w:jc w:val="left"/>
        <w:rPr>
          <w:rFonts w:cs="宋体"/>
          <w:color w:val="auto"/>
          <w:szCs w:val="21"/>
          <w:highlight w:val="none"/>
        </w:rPr>
      </w:pPr>
      <w:r>
        <w:rPr>
          <w:rFonts w:hint="eastAsia" w:cs="宋体"/>
          <w:color w:val="auto"/>
          <w:szCs w:val="21"/>
          <w:highlight w:val="none"/>
        </w:rPr>
        <w:t>　　（一）应严格遵守国家关于市场准入、项目招标投标、工程建设、施工安装和市场活动等有关法律、法规，相关政策，以及廉政建设的各项规定。</w:t>
      </w:r>
    </w:p>
    <w:p w14:paraId="3E147739">
      <w:pPr>
        <w:pStyle w:val="9"/>
        <w:spacing w:line="400" w:lineRule="exact"/>
        <w:jc w:val="left"/>
        <w:rPr>
          <w:rFonts w:cs="宋体"/>
          <w:color w:val="auto"/>
          <w:szCs w:val="21"/>
          <w:highlight w:val="none"/>
        </w:rPr>
      </w:pPr>
      <w:r>
        <w:rPr>
          <w:rFonts w:hint="eastAsia" w:cs="宋体"/>
          <w:color w:val="auto"/>
          <w:szCs w:val="21"/>
          <w:highlight w:val="none"/>
        </w:rPr>
        <w:t>　　（二）严格执行建设工程项目承发包合同文件，自觉按合同办事。</w:t>
      </w:r>
    </w:p>
    <w:p w14:paraId="5F43E92B">
      <w:pPr>
        <w:pStyle w:val="9"/>
        <w:spacing w:line="400" w:lineRule="exact"/>
        <w:jc w:val="left"/>
        <w:rPr>
          <w:rFonts w:cs="宋体"/>
          <w:color w:val="auto"/>
          <w:szCs w:val="21"/>
          <w:highlight w:val="none"/>
        </w:rPr>
      </w:pPr>
      <w:r>
        <w:rPr>
          <w:rFonts w:hint="eastAsia" w:cs="宋体"/>
          <w:color w:val="auto"/>
          <w:szCs w:val="21"/>
          <w:highlight w:val="none"/>
        </w:rPr>
        <w:t>　　（三）业务活动必须坚持公开、公平、公正、诚信、透明的原则（除法律法规另有规定者外），不得为获取不正当的利益，损害国家、集体和对方利益，不得违反工程建设管理、施工安装的规章制度。</w:t>
      </w:r>
    </w:p>
    <w:p w14:paraId="213FFE4A">
      <w:pPr>
        <w:pStyle w:val="9"/>
        <w:spacing w:line="400" w:lineRule="exact"/>
        <w:jc w:val="left"/>
        <w:rPr>
          <w:rFonts w:cs="宋体"/>
          <w:color w:val="auto"/>
          <w:szCs w:val="21"/>
          <w:highlight w:val="none"/>
        </w:rPr>
      </w:pPr>
      <w:r>
        <w:rPr>
          <w:rFonts w:hint="eastAsia" w:cs="宋体"/>
          <w:color w:val="auto"/>
          <w:szCs w:val="21"/>
          <w:highlight w:val="none"/>
        </w:rPr>
        <w:t>　　（四）发现对方在业务活动中有违规、违纪、违法行为的，应及时提醒对方，情节严重的，应向其上级主管部门或纪检监察、司法等有关机关举报。</w:t>
      </w:r>
    </w:p>
    <w:p w14:paraId="5699F7C6">
      <w:pPr>
        <w:pStyle w:val="9"/>
        <w:spacing w:line="400" w:lineRule="exact"/>
        <w:jc w:val="left"/>
        <w:rPr>
          <w:rFonts w:cs="宋体"/>
          <w:color w:val="auto"/>
          <w:szCs w:val="21"/>
          <w:highlight w:val="none"/>
        </w:rPr>
      </w:pPr>
      <w:r>
        <w:rPr>
          <w:rFonts w:hint="eastAsia" w:cs="宋体"/>
          <w:color w:val="auto"/>
          <w:szCs w:val="21"/>
          <w:highlight w:val="none"/>
        </w:rPr>
        <w:t>　　第二条 甲方的责任</w:t>
      </w:r>
    </w:p>
    <w:p w14:paraId="194D76BD">
      <w:pPr>
        <w:pStyle w:val="9"/>
        <w:spacing w:line="400" w:lineRule="exact"/>
        <w:jc w:val="left"/>
        <w:rPr>
          <w:rFonts w:cs="宋体"/>
          <w:color w:val="auto"/>
          <w:szCs w:val="21"/>
          <w:highlight w:val="none"/>
        </w:rPr>
      </w:pPr>
      <w:r>
        <w:rPr>
          <w:rFonts w:hint="eastAsia" w:cs="宋体"/>
          <w:color w:val="auto"/>
          <w:szCs w:val="21"/>
          <w:highlight w:val="none"/>
        </w:rPr>
        <w:t>　　甲方的领导和从事该建设工程项目的工作人员，在工程建设的事前、事中、事后应遵守以下规定：</w:t>
      </w:r>
    </w:p>
    <w:p w14:paraId="7BAA12C0">
      <w:pPr>
        <w:pStyle w:val="9"/>
        <w:spacing w:line="400" w:lineRule="exact"/>
        <w:jc w:val="left"/>
        <w:rPr>
          <w:rFonts w:cs="宋体"/>
          <w:color w:val="auto"/>
          <w:szCs w:val="21"/>
          <w:highlight w:val="none"/>
        </w:rPr>
      </w:pPr>
      <w:r>
        <w:rPr>
          <w:rFonts w:hint="eastAsia" w:cs="宋体"/>
          <w:color w:val="auto"/>
          <w:szCs w:val="21"/>
          <w:highlight w:val="none"/>
        </w:rPr>
        <w:t>　　（一）不准向乙方和相关单位索要或接受回扣、礼金、有价证券、贵重物品和好处费、感谢费等。</w:t>
      </w:r>
    </w:p>
    <w:p w14:paraId="75FFB5C5">
      <w:pPr>
        <w:pStyle w:val="9"/>
        <w:spacing w:line="400" w:lineRule="exact"/>
        <w:jc w:val="left"/>
        <w:rPr>
          <w:rFonts w:cs="宋体"/>
          <w:color w:val="auto"/>
          <w:szCs w:val="21"/>
          <w:highlight w:val="none"/>
        </w:rPr>
      </w:pPr>
      <w:r>
        <w:rPr>
          <w:rFonts w:hint="eastAsia" w:cs="宋体"/>
          <w:color w:val="auto"/>
          <w:szCs w:val="21"/>
          <w:highlight w:val="none"/>
        </w:rPr>
        <w:t>　　（二）不准在乙方和相关单位报销任何应由甲方或个人支付的费用。</w:t>
      </w:r>
    </w:p>
    <w:p w14:paraId="620476E6">
      <w:pPr>
        <w:pStyle w:val="9"/>
        <w:spacing w:line="400" w:lineRule="exact"/>
        <w:jc w:val="left"/>
        <w:rPr>
          <w:rFonts w:cs="宋体"/>
          <w:color w:val="auto"/>
          <w:szCs w:val="21"/>
          <w:highlight w:val="none"/>
        </w:rPr>
      </w:pPr>
      <w:r>
        <w:rPr>
          <w:rFonts w:hint="eastAsia" w:cs="宋体"/>
          <w:color w:val="auto"/>
          <w:szCs w:val="21"/>
          <w:highlight w:val="none"/>
        </w:rPr>
        <w:t>　　（三）不准要求、暗示和接受乙方和相关单位为个人装修住房、婚丧嫁娶、配偶子女的工作安排以及出国（境）、旅游等提供方便。</w:t>
      </w:r>
    </w:p>
    <w:p w14:paraId="65F18DB7">
      <w:pPr>
        <w:pStyle w:val="9"/>
        <w:spacing w:line="400" w:lineRule="exact"/>
        <w:jc w:val="left"/>
        <w:rPr>
          <w:rFonts w:cs="宋体"/>
          <w:color w:val="auto"/>
          <w:szCs w:val="21"/>
          <w:highlight w:val="none"/>
        </w:rPr>
      </w:pPr>
      <w:r>
        <w:rPr>
          <w:rFonts w:hint="eastAsia" w:cs="宋体"/>
          <w:color w:val="auto"/>
          <w:szCs w:val="21"/>
          <w:highlight w:val="none"/>
        </w:rPr>
        <w:t>　　（四）不准参加有可能影响公正执行公务的乙方和相关单位的宴请和健身、娱乐等活动。</w:t>
      </w:r>
    </w:p>
    <w:p w14:paraId="14F4C766">
      <w:pPr>
        <w:pStyle w:val="9"/>
        <w:spacing w:line="400" w:lineRule="exact"/>
        <w:jc w:val="left"/>
        <w:rPr>
          <w:rFonts w:cs="宋体"/>
          <w:color w:val="auto"/>
          <w:szCs w:val="21"/>
          <w:highlight w:val="none"/>
        </w:rPr>
      </w:pPr>
      <w:r>
        <w:rPr>
          <w:rFonts w:hint="eastAsia" w:cs="宋体"/>
          <w:color w:val="auto"/>
          <w:szCs w:val="21"/>
          <w:highlight w:val="none"/>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6F662C92">
      <w:pPr>
        <w:pStyle w:val="9"/>
        <w:spacing w:line="400" w:lineRule="exact"/>
        <w:jc w:val="left"/>
        <w:rPr>
          <w:rFonts w:cs="宋体"/>
          <w:color w:val="auto"/>
          <w:szCs w:val="21"/>
          <w:highlight w:val="none"/>
        </w:rPr>
      </w:pPr>
      <w:r>
        <w:rPr>
          <w:rFonts w:hint="eastAsia" w:cs="宋体"/>
          <w:color w:val="auto"/>
          <w:szCs w:val="21"/>
          <w:highlight w:val="none"/>
        </w:rPr>
        <w:t>　　第三条 乙方的责任</w:t>
      </w:r>
    </w:p>
    <w:p w14:paraId="61D28E63">
      <w:pPr>
        <w:pStyle w:val="9"/>
        <w:spacing w:line="400" w:lineRule="exact"/>
        <w:jc w:val="left"/>
        <w:rPr>
          <w:rFonts w:cs="宋体"/>
          <w:color w:val="auto"/>
          <w:szCs w:val="21"/>
          <w:highlight w:val="none"/>
        </w:rPr>
      </w:pPr>
      <w:r>
        <w:rPr>
          <w:rFonts w:hint="eastAsia" w:cs="宋体"/>
          <w:color w:val="auto"/>
          <w:szCs w:val="21"/>
          <w:highlight w:val="none"/>
        </w:rPr>
        <w:t>　　应与甲方保持正常的业务交往，按照有关法律法规和程序开展业务工作，严格执行工程建设的有关方针、政策，尤其是有关建筑施工安装的强制性标准和规范，并遵守以下规定：</w:t>
      </w:r>
    </w:p>
    <w:p w14:paraId="29DA0692">
      <w:pPr>
        <w:pStyle w:val="9"/>
        <w:spacing w:line="400" w:lineRule="exact"/>
        <w:jc w:val="left"/>
        <w:rPr>
          <w:rFonts w:cs="宋体"/>
          <w:color w:val="auto"/>
          <w:szCs w:val="21"/>
          <w:highlight w:val="none"/>
        </w:rPr>
      </w:pPr>
      <w:r>
        <w:rPr>
          <w:rFonts w:hint="eastAsia" w:cs="宋体"/>
          <w:color w:val="auto"/>
          <w:szCs w:val="21"/>
          <w:highlight w:val="none"/>
        </w:rPr>
        <w:t>　　（一）不准以任何理由向甲方、相关单位及其工作人员索要、接受或赠送礼金、有价证券、贵重物品和回扣、好处费、感谢费等。</w:t>
      </w:r>
    </w:p>
    <w:p w14:paraId="7185B95E">
      <w:pPr>
        <w:pStyle w:val="9"/>
        <w:spacing w:line="400" w:lineRule="exact"/>
        <w:jc w:val="left"/>
        <w:rPr>
          <w:rFonts w:cs="宋体"/>
          <w:color w:val="auto"/>
          <w:szCs w:val="21"/>
          <w:highlight w:val="none"/>
        </w:rPr>
      </w:pPr>
      <w:r>
        <w:rPr>
          <w:rFonts w:hint="eastAsia" w:cs="宋体"/>
          <w:color w:val="auto"/>
          <w:szCs w:val="21"/>
          <w:highlight w:val="none"/>
        </w:rPr>
        <w:t>　　（二）不准以任何理由为甲方和相关单位报销应由对方或个人支付的费用。</w:t>
      </w:r>
    </w:p>
    <w:p w14:paraId="2AEA03B2">
      <w:pPr>
        <w:pStyle w:val="9"/>
        <w:spacing w:line="400" w:lineRule="exact"/>
        <w:jc w:val="left"/>
        <w:rPr>
          <w:rFonts w:cs="宋体"/>
          <w:color w:val="auto"/>
          <w:szCs w:val="21"/>
          <w:highlight w:val="none"/>
        </w:rPr>
      </w:pPr>
      <w:r>
        <w:rPr>
          <w:rFonts w:hint="eastAsia" w:cs="宋体"/>
          <w:color w:val="auto"/>
          <w:szCs w:val="21"/>
          <w:highlight w:val="none"/>
        </w:rPr>
        <w:t>　　（三）不准接受或暗示为甲方、相关单位或个人装修住房、婚丧嫁娶、配偶子女的工作安排以及出国（境）、旅游等提供方便。</w:t>
      </w:r>
    </w:p>
    <w:p w14:paraId="0949A296">
      <w:pPr>
        <w:pStyle w:val="9"/>
        <w:spacing w:line="400" w:lineRule="exact"/>
        <w:jc w:val="left"/>
        <w:rPr>
          <w:rFonts w:cs="宋体"/>
          <w:color w:val="auto"/>
          <w:szCs w:val="21"/>
          <w:highlight w:val="none"/>
        </w:rPr>
      </w:pPr>
      <w:r>
        <w:rPr>
          <w:rFonts w:hint="eastAsia" w:cs="宋体"/>
          <w:color w:val="auto"/>
          <w:szCs w:val="21"/>
          <w:highlight w:val="none"/>
        </w:rPr>
        <w:t>　　（四）不准以任何理由为甲方、相关单位或个人组织有可能影响公正执行公务的宴请、健身、娱乐等活动。</w:t>
      </w:r>
    </w:p>
    <w:p w14:paraId="720153D9">
      <w:pPr>
        <w:pStyle w:val="9"/>
        <w:spacing w:line="400" w:lineRule="exact"/>
        <w:jc w:val="left"/>
        <w:rPr>
          <w:rFonts w:cs="宋体"/>
          <w:color w:val="auto"/>
          <w:szCs w:val="21"/>
          <w:highlight w:val="none"/>
        </w:rPr>
      </w:pPr>
      <w:r>
        <w:rPr>
          <w:rFonts w:hint="eastAsia" w:cs="宋体"/>
          <w:color w:val="auto"/>
          <w:szCs w:val="21"/>
          <w:highlight w:val="none"/>
        </w:rPr>
        <w:t>　　第四条 违约责任</w:t>
      </w:r>
    </w:p>
    <w:p w14:paraId="18F3918C">
      <w:pPr>
        <w:pStyle w:val="9"/>
        <w:spacing w:line="400" w:lineRule="exact"/>
        <w:jc w:val="left"/>
        <w:rPr>
          <w:rFonts w:cs="宋体"/>
          <w:color w:val="auto"/>
          <w:szCs w:val="21"/>
          <w:highlight w:val="none"/>
        </w:rPr>
      </w:pPr>
      <w:r>
        <w:rPr>
          <w:rFonts w:hint="eastAsia" w:cs="宋体"/>
          <w:color w:val="auto"/>
          <w:szCs w:val="21"/>
          <w:highlight w:val="none"/>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0C971A2F">
      <w:pPr>
        <w:pStyle w:val="9"/>
        <w:spacing w:line="400" w:lineRule="exact"/>
        <w:jc w:val="left"/>
        <w:rPr>
          <w:rFonts w:cs="宋体"/>
          <w:color w:val="auto"/>
          <w:szCs w:val="21"/>
          <w:highlight w:val="none"/>
        </w:rPr>
      </w:pPr>
      <w:r>
        <w:rPr>
          <w:rFonts w:hint="eastAsia" w:cs="宋体"/>
          <w:color w:val="auto"/>
          <w:szCs w:val="21"/>
          <w:highlight w:val="none"/>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6255FCB4">
      <w:pPr>
        <w:pStyle w:val="9"/>
        <w:spacing w:line="400" w:lineRule="exact"/>
        <w:jc w:val="left"/>
        <w:rPr>
          <w:rFonts w:cs="宋体"/>
          <w:color w:val="auto"/>
          <w:szCs w:val="21"/>
          <w:highlight w:val="none"/>
        </w:rPr>
      </w:pPr>
      <w:r>
        <w:rPr>
          <w:rFonts w:hint="eastAsia" w:cs="宋体"/>
          <w:color w:val="auto"/>
          <w:szCs w:val="21"/>
          <w:highlight w:val="none"/>
        </w:rPr>
        <w:t>　　第五条 本责任书作为工程合同的附件，与工程合同具有同等法律效力。经双方签署后立即生效。</w:t>
      </w:r>
    </w:p>
    <w:p w14:paraId="7059CDBF">
      <w:pPr>
        <w:pStyle w:val="9"/>
        <w:spacing w:line="400" w:lineRule="exact"/>
        <w:jc w:val="left"/>
        <w:rPr>
          <w:rFonts w:cs="宋体"/>
          <w:color w:val="auto"/>
          <w:szCs w:val="21"/>
          <w:highlight w:val="none"/>
        </w:rPr>
      </w:pPr>
      <w:r>
        <w:rPr>
          <w:rFonts w:hint="eastAsia" w:cs="宋体"/>
          <w:color w:val="auto"/>
          <w:szCs w:val="21"/>
          <w:highlight w:val="none"/>
        </w:rPr>
        <w:t>　　第六条 本责任书的有效期为双方签署之日起至该工程项目竣工验收合格时止。</w:t>
      </w:r>
    </w:p>
    <w:p w14:paraId="6FFF3E7B">
      <w:pPr>
        <w:pStyle w:val="9"/>
        <w:spacing w:line="400" w:lineRule="exact"/>
        <w:jc w:val="left"/>
        <w:rPr>
          <w:rFonts w:cs="宋体"/>
          <w:color w:val="auto"/>
          <w:szCs w:val="21"/>
          <w:highlight w:val="none"/>
        </w:rPr>
      </w:pPr>
      <w:r>
        <w:rPr>
          <w:rFonts w:hint="eastAsia" w:cs="宋体"/>
          <w:color w:val="auto"/>
          <w:szCs w:val="21"/>
          <w:highlight w:val="none"/>
        </w:rPr>
        <w:t>　　第七条 本责任书一式八份。</w:t>
      </w:r>
    </w:p>
    <w:p w14:paraId="6BA207D1">
      <w:pPr>
        <w:pStyle w:val="9"/>
        <w:spacing w:line="400" w:lineRule="exact"/>
        <w:jc w:val="left"/>
        <w:rPr>
          <w:rFonts w:cs="宋体"/>
          <w:color w:val="auto"/>
          <w:szCs w:val="21"/>
          <w:highlight w:val="none"/>
        </w:rPr>
      </w:pPr>
    </w:p>
    <w:p w14:paraId="366D5A52">
      <w:pPr>
        <w:pStyle w:val="9"/>
        <w:spacing w:line="400" w:lineRule="exact"/>
        <w:jc w:val="left"/>
        <w:rPr>
          <w:rFonts w:cs="宋体"/>
          <w:color w:val="auto"/>
          <w:szCs w:val="21"/>
          <w:highlight w:val="none"/>
        </w:rPr>
      </w:pPr>
    </w:p>
    <w:p w14:paraId="291C2EED">
      <w:pPr>
        <w:pStyle w:val="9"/>
        <w:spacing w:line="400" w:lineRule="exact"/>
        <w:jc w:val="left"/>
        <w:rPr>
          <w:rFonts w:cs="宋体"/>
          <w:color w:val="auto"/>
          <w:szCs w:val="21"/>
          <w:highlight w:val="none"/>
        </w:rPr>
      </w:pPr>
    </w:p>
    <w:p w14:paraId="21C26BDD">
      <w:pPr>
        <w:pStyle w:val="9"/>
        <w:spacing w:line="400" w:lineRule="exact"/>
        <w:jc w:val="left"/>
        <w:rPr>
          <w:rFonts w:cs="宋体"/>
          <w:color w:val="auto"/>
          <w:szCs w:val="21"/>
          <w:highlight w:val="none"/>
        </w:rPr>
      </w:pPr>
      <w:r>
        <w:rPr>
          <w:rFonts w:hint="eastAsia" w:cs="宋体"/>
          <w:color w:val="auto"/>
          <w:szCs w:val="21"/>
          <w:highlight w:val="none"/>
        </w:rPr>
        <w:t xml:space="preserve">甲方单位（公章）：　　　　　　                          　乙方单位（公章）： </w:t>
      </w:r>
    </w:p>
    <w:p w14:paraId="4433716A">
      <w:pPr>
        <w:pStyle w:val="9"/>
        <w:spacing w:line="400" w:lineRule="exact"/>
        <w:jc w:val="left"/>
        <w:rPr>
          <w:rFonts w:cs="宋体"/>
          <w:color w:val="auto"/>
          <w:szCs w:val="21"/>
          <w:highlight w:val="none"/>
        </w:rPr>
      </w:pPr>
      <w:r>
        <w:rPr>
          <w:rFonts w:hint="eastAsia" w:cs="宋体"/>
          <w:color w:val="auto"/>
          <w:szCs w:val="21"/>
          <w:highlight w:val="none"/>
        </w:rPr>
        <w:t>法定代表人（签字）：　　　　                              法定代表人（签字）：</w:t>
      </w:r>
    </w:p>
    <w:p w14:paraId="0424CF13">
      <w:pPr>
        <w:pStyle w:val="9"/>
        <w:spacing w:line="400" w:lineRule="exact"/>
        <w:jc w:val="left"/>
        <w:rPr>
          <w:rFonts w:cs="宋体"/>
          <w:color w:val="auto"/>
          <w:szCs w:val="21"/>
          <w:highlight w:val="none"/>
        </w:rPr>
      </w:pPr>
      <w:r>
        <w:rPr>
          <w:rFonts w:hint="eastAsia" w:cs="宋体"/>
          <w:color w:val="auto"/>
          <w:szCs w:val="21"/>
          <w:highlight w:val="none"/>
        </w:rPr>
        <w:t>或委托代理人（签字）：                                    或委托代理人（签字）：</w:t>
      </w:r>
    </w:p>
    <w:p w14:paraId="1B770394">
      <w:pPr>
        <w:pStyle w:val="9"/>
        <w:spacing w:line="400" w:lineRule="exact"/>
        <w:jc w:val="left"/>
        <w:rPr>
          <w:rFonts w:cs="宋体"/>
          <w:color w:val="auto"/>
          <w:szCs w:val="21"/>
          <w:highlight w:val="none"/>
        </w:rPr>
      </w:pPr>
      <w:r>
        <w:rPr>
          <w:rFonts w:hint="eastAsia" w:cs="宋体"/>
          <w:color w:val="auto"/>
          <w:szCs w:val="21"/>
          <w:highlight w:val="none"/>
        </w:rPr>
        <w:t>地址：　　　　　　　　　　　　　                          地址：</w:t>
      </w:r>
    </w:p>
    <w:p w14:paraId="5E39C75C">
      <w:pPr>
        <w:pStyle w:val="9"/>
        <w:spacing w:line="400" w:lineRule="exact"/>
        <w:jc w:val="left"/>
        <w:rPr>
          <w:rFonts w:cs="宋体"/>
          <w:color w:val="auto"/>
          <w:szCs w:val="21"/>
          <w:highlight w:val="none"/>
        </w:rPr>
      </w:pPr>
      <w:r>
        <w:rPr>
          <w:rFonts w:hint="eastAsia" w:cs="宋体"/>
          <w:color w:val="auto"/>
          <w:szCs w:val="21"/>
          <w:highlight w:val="none"/>
        </w:rPr>
        <w:t>电话：　　　　　　　　　　　　　                          电话：</w:t>
      </w:r>
    </w:p>
    <w:p w14:paraId="01CDB3E9">
      <w:pPr>
        <w:pStyle w:val="9"/>
        <w:spacing w:line="400" w:lineRule="exact"/>
        <w:jc w:val="left"/>
        <w:rPr>
          <w:rFonts w:cs="宋体"/>
          <w:color w:val="auto"/>
          <w:szCs w:val="21"/>
          <w:highlight w:val="none"/>
        </w:rPr>
      </w:pPr>
      <w:r>
        <w:rPr>
          <w:rFonts w:hint="eastAsia" w:cs="宋体"/>
          <w:color w:val="auto"/>
          <w:szCs w:val="21"/>
          <w:highlight w:val="none"/>
          <w:u w:val="single"/>
        </w:rPr>
        <w:t xml:space="preserve">      </w:t>
      </w:r>
      <w:r>
        <w:rPr>
          <w:rFonts w:hint="eastAsia" w:cs="宋体"/>
          <w:color w:val="auto"/>
          <w:szCs w:val="21"/>
          <w:highlight w:val="none"/>
        </w:rPr>
        <w:t>年</w:t>
      </w:r>
      <w:r>
        <w:rPr>
          <w:rFonts w:hint="eastAsia" w:cs="宋体"/>
          <w:color w:val="auto"/>
          <w:szCs w:val="21"/>
          <w:highlight w:val="none"/>
          <w:u w:val="single"/>
        </w:rPr>
        <w:t xml:space="preserve">　 </w:t>
      </w:r>
      <w:r>
        <w:rPr>
          <w:rFonts w:hint="eastAsia" w:cs="宋体"/>
          <w:color w:val="auto"/>
          <w:szCs w:val="21"/>
          <w:highlight w:val="none"/>
        </w:rPr>
        <w:t>月</w:t>
      </w:r>
      <w:r>
        <w:rPr>
          <w:rFonts w:hint="eastAsia" w:cs="宋体"/>
          <w:color w:val="auto"/>
          <w:szCs w:val="21"/>
          <w:highlight w:val="none"/>
          <w:u w:val="single"/>
        </w:rPr>
        <w:t xml:space="preserve"> 　</w:t>
      </w:r>
      <w:r>
        <w:rPr>
          <w:rFonts w:hint="eastAsia" w:cs="宋体"/>
          <w:color w:val="auto"/>
          <w:szCs w:val="21"/>
          <w:highlight w:val="none"/>
        </w:rPr>
        <w:t xml:space="preserve">日　　　                                  </w:t>
      </w:r>
      <w:r>
        <w:rPr>
          <w:rFonts w:hint="eastAsia" w:cs="宋体"/>
          <w:color w:val="auto"/>
          <w:szCs w:val="21"/>
          <w:highlight w:val="none"/>
          <w:u w:val="single"/>
        </w:rPr>
        <w:t xml:space="preserve">      </w:t>
      </w:r>
      <w:r>
        <w:rPr>
          <w:rFonts w:hint="eastAsia" w:cs="宋体"/>
          <w:color w:val="auto"/>
          <w:szCs w:val="21"/>
          <w:highlight w:val="none"/>
        </w:rPr>
        <w:t>年</w:t>
      </w:r>
      <w:r>
        <w:rPr>
          <w:rFonts w:hint="eastAsia" w:cs="宋体"/>
          <w:color w:val="auto"/>
          <w:szCs w:val="21"/>
          <w:highlight w:val="none"/>
          <w:u w:val="single"/>
        </w:rPr>
        <w:t xml:space="preserve">　 </w:t>
      </w:r>
      <w:r>
        <w:rPr>
          <w:rFonts w:hint="eastAsia" w:cs="宋体"/>
          <w:color w:val="auto"/>
          <w:szCs w:val="21"/>
          <w:highlight w:val="none"/>
        </w:rPr>
        <w:t>月</w:t>
      </w:r>
      <w:r>
        <w:rPr>
          <w:rFonts w:hint="eastAsia" w:cs="宋体"/>
          <w:color w:val="auto"/>
          <w:szCs w:val="21"/>
          <w:highlight w:val="none"/>
          <w:u w:val="single"/>
        </w:rPr>
        <w:t xml:space="preserve"> 　</w:t>
      </w:r>
      <w:r>
        <w:rPr>
          <w:rFonts w:hint="eastAsia" w:cs="宋体"/>
          <w:color w:val="auto"/>
          <w:szCs w:val="21"/>
          <w:highlight w:val="none"/>
        </w:rPr>
        <w:t>日</w:t>
      </w:r>
    </w:p>
    <w:p w14:paraId="38193A93">
      <w:pPr>
        <w:pStyle w:val="2"/>
        <w:spacing w:beforeLines="50" w:afterLines="50" w:line="400" w:lineRule="exact"/>
        <w:rPr>
          <w:color w:val="auto"/>
          <w:sz w:val="21"/>
          <w:szCs w:val="21"/>
          <w:highlight w:val="none"/>
        </w:rPr>
      </w:pPr>
    </w:p>
    <w:p w14:paraId="186610D3">
      <w:pPr>
        <w:pStyle w:val="2"/>
        <w:spacing w:beforeLines="50" w:afterLines="50"/>
        <w:rPr>
          <w:color w:val="auto"/>
          <w:highlight w:val="none"/>
        </w:rPr>
      </w:pPr>
    </w:p>
    <w:p w14:paraId="5B4A0A0F">
      <w:pPr>
        <w:rPr>
          <w:color w:val="auto"/>
          <w:highlight w:val="none"/>
        </w:rPr>
      </w:pPr>
    </w:p>
    <w:p w14:paraId="774A1DBB">
      <w:pPr>
        <w:rPr>
          <w:color w:val="auto"/>
          <w:highlight w:val="none"/>
        </w:rPr>
      </w:pPr>
    </w:p>
    <w:p w14:paraId="1A2EA5FC">
      <w:pPr>
        <w:rPr>
          <w:color w:val="auto"/>
          <w:highlight w:val="none"/>
        </w:rPr>
      </w:pPr>
    </w:p>
    <w:p w14:paraId="70A0A664">
      <w:pPr>
        <w:rPr>
          <w:color w:val="auto"/>
          <w:highlight w:val="none"/>
        </w:rPr>
      </w:pPr>
    </w:p>
    <w:p w14:paraId="1CCF3BB8">
      <w:pPr>
        <w:rPr>
          <w:color w:val="auto"/>
          <w:highlight w:val="none"/>
        </w:rPr>
      </w:pPr>
    </w:p>
    <w:p w14:paraId="7EDC6430">
      <w:pPr>
        <w:rPr>
          <w:color w:val="auto"/>
          <w:highlight w:val="none"/>
        </w:rPr>
      </w:pPr>
    </w:p>
    <w:p w14:paraId="610A5303">
      <w:pPr>
        <w:rPr>
          <w:color w:val="auto"/>
          <w:highlight w:val="none"/>
        </w:rPr>
      </w:pPr>
    </w:p>
    <w:p w14:paraId="4CDC201F">
      <w:pPr>
        <w:rPr>
          <w:color w:val="auto"/>
          <w:highlight w:val="none"/>
        </w:rPr>
      </w:pPr>
    </w:p>
    <w:p w14:paraId="557D1F55">
      <w:pPr>
        <w:rPr>
          <w:color w:val="auto"/>
          <w:highlight w:val="none"/>
        </w:rPr>
      </w:pPr>
    </w:p>
    <w:bookmarkEnd w:id="122"/>
    <w:bookmarkEnd w:id="123"/>
    <w:bookmarkEnd w:id="124"/>
    <w:bookmarkEnd w:id="125"/>
    <w:bookmarkEnd w:id="128"/>
    <w:p w14:paraId="0158FE4F">
      <w:pPr>
        <w:pStyle w:val="2"/>
        <w:spacing w:beforeLines="50" w:afterLines="50"/>
        <w:rPr>
          <w:color w:val="auto"/>
          <w:highlight w:val="none"/>
        </w:rPr>
      </w:pPr>
      <w:bookmarkStart w:id="134" w:name="_Toc9900"/>
      <w:bookmarkStart w:id="135" w:name="_Toc21472"/>
      <w:bookmarkStart w:id="136" w:name="_Toc386121758"/>
      <w:bookmarkStart w:id="137" w:name="_Toc386121569"/>
      <w:bookmarkStart w:id="138" w:name="_Toc155342575"/>
      <w:bookmarkStart w:id="139" w:name="_Toc106012814"/>
      <w:r>
        <w:rPr>
          <w:rFonts w:hint="eastAsia"/>
          <w:color w:val="auto"/>
          <w:highlight w:val="none"/>
        </w:rPr>
        <w:t>第四章 投标文件格式</w:t>
      </w:r>
      <w:bookmarkEnd w:id="134"/>
      <w:bookmarkEnd w:id="135"/>
      <w:bookmarkEnd w:id="136"/>
      <w:bookmarkEnd w:id="137"/>
    </w:p>
    <w:bookmarkEnd w:id="138"/>
    <w:bookmarkEnd w:id="139"/>
    <w:p w14:paraId="3D42C8E4">
      <w:pPr>
        <w:rPr>
          <w:color w:val="auto"/>
          <w:highlight w:val="none"/>
        </w:rPr>
      </w:pPr>
      <w:bookmarkStart w:id="140" w:name="_Toc169487825"/>
    </w:p>
    <w:p w14:paraId="27937883">
      <w:pPr>
        <w:rPr>
          <w:color w:val="auto"/>
          <w:highlight w:val="none"/>
        </w:rPr>
      </w:pPr>
    </w:p>
    <w:p w14:paraId="1C531E97">
      <w:pPr>
        <w:rPr>
          <w:color w:val="auto"/>
          <w:highlight w:val="none"/>
        </w:rPr>
      </w:pPr>
    </w:p>
    <w:p w14:paraId="1B003421">
      <w:pPr>
        <w:rPr>
          <w:color w:val="auto"/>
          <w:highlight w:val="none"/>
        </w:rPr>
      </w:pPr>
    </w:p>
    <w:p w14:paraId="6A9A2E23">
      <w:pPr>
        <w:rPr>
          <w:color w:val="auto"/>
          <w:highlight w:val="none"/>
        </w:rPr>
      </w:pPr>
    </w:p>
    <w:p w14:paraId="0A3B92A7">
      <w:pPr>
        <w:rPr>
          <w:color w:val="auto"/>
          <w:highlight w:val="none"/>
        </w:rPr>
      </w:pPr>
    </w:p>
    <w:p w14:paraId="3ED19B40">
      <w:pPr>
        <w:rPr>
          <w:color w:val="auto"/>
          <w:highlight w:val="none"/>
        </w:rPr>
      </w:pPr>
    </w:p>
    <w:p w14:paraId="1E7A98EA">
      <w:pPr>
        <w:rPr>
          <w:color w:val="auto"/>
          <w:highlight w:val="none"/>
        </w:rPr>
      </w:pPr>
    </w:p>
    <w:p w14:paraId="7E1A141E">
      <w:pPr>
        <w:rPr>
          <w:color w:val="auto"/>
          <w:highlight w:val="none"/>
        </w:rPr>
      </w:pPr>
    </w:p>
    <w:p w14:paraId="485BA82C">
      <w:pPr>
        <w:rPr>
          <w:color w:val="auto"/>
          <w:highlight w:val="none"/>
        </w:rPr>
      </w:pPr>
    </w:p>
    <w:p w14:paraId="32FAF03E">
      <w:pPr>
        <w:rPr>
          <w:color w:val="auto"/>
          <w:highlight w:val="none"/>
        </w:rPr>
      </w:pPr>
    </w:p>
    <w:p w14:paraId="344863C7">
      <w:pPr>
        <w:rPr>
          <w:color w:val="auto"/>
          <w:highlight w:val="none"/>
        </w:rPr>
      </w:pPr>
    </w:p>
    <w:p w14:paraId="5C8E9FEE">
      <w:pPr>
        <w:rPr>
          <w:color w:val="auto"/>
          <w:highlight w:val="none"/>
        </w:rPr>
      </w:pPr>
    </w:p>
    <w:p w14:paraId="6AA2EC4B">
      <w:pPr>
        <w:rPr>
          <w:color w:val="auto"/>
          <w:highlight w:val="none"/>
        </w:rPr>
      </w:pPr>
    </w:p>
    <w:p w14:paraId="6CC522B0">
      <w:pPr>
        <w:rPr>
          <w:color w:val="auto"/>
          <w:highlight w:val="none"/>
        </w:rPr>
      </w:pPr>
    </w:p>
    <w:p w14:paraId="2E269D2F">
      <w:pPr>
        <w:rPr>
          <w:color w:val="auto"/>
          <w:highlight w:val="none"/>
        </w:rPr>
      </w:pPr>
    </w:p>
    <w:p w14:paraId="7D9CA9F9">
      <w:pPr>
        <w:pStyle w:val="3"/>
        <w:numPr>
          <w:ilvl w:val="0"/>
          <w:numId w:val="0"/>
        </w:numPr>
        <w:spacing w:before="0" w:afterLines="0" w:line="360" w:lineRule="exact"/>
        <w:jc w:val="both"/>
        <w:rPr>
          <w:b w:val="0"/>
          <w:color w:val="auto"/>
          <w:sz w:val="28"/>
          <w:szCs w:val="28"/>
          <w:highlight w:val="none"/>
        </w:rPr>
      </w:pPr>
      <w:bookmarkStart w:id="141" w:name="_Toc386122456"/>
      <w:bookmarkStart w:id="142" w:name="_Toc386121759"/>
      <w:bookmarkStart w:id="143" w:name="_Toc30925"/>
      <w:bookmarkStart w:id="144" w:name="_Toc30668"/>
    </w:p>
    <w:p w14:paraId="5C72C058">
      <w:pPr>
        <w:pStyle w:val="3"/>
        <w:numPr>
          <w:ilvl w:val="0"/>
          <w:numId w:val="0"/>
        </w:numPr>
        <w:spacing w:before="0" w:afterLines="0" w:line="360" w:lineRule="exact"/>
        <w:jc w:val="both"/>
        <w:rPr>
          <w:b w:val="0"/>
          <w:color w:val="auto"/>
          <w:sz w:val="28"/>
          <w:szCs w:val="28"/>
          <w:highlight w:val="none"/>
        </w:rPr>
      </w:pPr>
    </w:p>
    <w:p w14:paraId="1C1661E1">
      <w:pPr>
        <w:pStyle w:val="3"/>
        <w:numPr>
          <w:ilvl w:val="0"/>
          <w:numId w:val="0"/>
        </w:numPr>
        <w:spacing w:before="0" w:afterLines="0" w:line="360" w:lineRule="exact"/>
        <w:jc w:val="both"/>
        <w:rPr>
          <w:b w:val="0"/>
          <w:color w:val="auto"/>
          <w:sz w:val="28"/>
          <w:szCs w:val="28"/>
          <w:highlight w:val="none"/>
        </w:rPr>
      </w:pPr>
    </w:p>
    <w:p w14:paraId="384EDC27">
      <w:pPr>
        <w:pStyle w:val="3"/>
        <w:numPr>
          <w:ilvl w:val="0"/>
          <w:numId w:val="0"/>
        </w:numPr>
        <w:spacing w:before="0" w:afterLines="0" w:line="360" w:lineRule="exact"/>
        <w:jc w:val="both"/>
        <w:rPr>
          <w:b w:val="0"/>
          <w:color w:val="auto"/>
          <w:sz w:val="28"/>
          <w:szCs w:val="28"/>
          <w:highlight w:val="none"/>
        </w:rPr>
      </w:pPr>
    </w:p>
    <w:p w14:paraId="456AC326">
      <w:pPr>
        <w:pStyle w:val="3"/>
        <w:numPr>
          <w:ilvl w:val="0"/>
          <w:numId w:val="0"/>
        </w:numPr>
        <w:spacing w:before="0" w:afterLines="0" w:line="360" w:lineRule="exact"/>
        <w:jc w:val="both"/>
        <w:rPr>
          <w:b w:val="0"/>
          <w:color w:val="auto"/>
          <w:sz w:val="28"/>
          <w:szCs w:val="28"/>
          <w:highlight w:val="none"/>
        </w:rPr>
      </w:pPr>
    </w:p>
    <w:p w14:paraId="3B84EC3E">
      <w:pPr>
        <w:pStyle w:val="3"/>
        <w:numPr>
          <w:ilvl w:val="0"/>
          <w:numId w:val="0"/>
        </w:numPr>
        <w:spacing w:before="0" w:afterLines="0" w:line="360" w:lineRule="exact"/>
        <w:jc w:val="both"/>
        <w:rPr>
          <w:b w:val="0"/>
          <w:color w:val="auto"/>
          <w:sz w:val="28"/>
          <w:szCs w:val="28"/>
          <w:highlight w:val="none"/>
        </w:rPr>
      </w:pPr>
    </w:p>
    <w:p w14:paraId="39C3544F">
      <w:pPr>
        <w:pStyle w:val="3"/>
        <w:numPr>
          <w:ilvl w:val="0"/>
          <w:numId w:val="0"/>
        </w:numPr>
        <w:spacing w:before="0" w:afterLines="0" w:line="360" w:lineRule="exact"/>
        <w:jc w:val="both"/>
        <w:rPr>
          <w:b w:val="0"/>
          <w:color w:val="auto"/>
          <w:sz w:val="28"/>
          <w:szCs w:val="28"/>
          <w:highlight w:val="none"/>
        </w:rPr>
      </w:pPr>
    </w:p>
    <w:p w14:paraId="6D6DB644">
      <w:pPr>
        <w:pStyle w:val="3"/>
        <w:numPr>
          <w:ilvl w:val="0"/>
          <w:numId w:val="0"/>
        </w:numPr>
        <w:spacing w:before="0" w:afterLines="0" w:line="360" w:lineRule="exact"/>
        <w:jc w:val="both"/>
        <w:rPr>
          <w:b w:val="0"/>
          <w:color w:val="auto"/>
          <w:sz w:val="28"/>
          <w:szCs w:val="28"/>
          <w:highlight w:val="none"/>
        </w:rPr>
      </w:pPr>
    </w:p>
    <w:p w14:paraId="1D424A9F">
      <w:pPr>
        <w:pStyle w:val="3"/>
        <w:numPr>
          <w:ilvl w:val="0"/>
          <w:numId w:val="0"/>
        </w:numPr>
        <w:spacing w:before="0" w:afterLines="0" w:line="360" w:lineRule="exact"/>
        <w:jc w:val="both"/>
        <w:rPr>
          <w:b w:val="0"/>
          <w:color w:val="auto"/>
          <w:sz w:val="28"/>
          <w:szCs w:val="28"/>
          <w:highlight w:val="none"/>
        </w:rPr>
      </w:pPr>
    </w:p>
    <w:p w14:paraId="19F7E7A6">
      <w:pPr>
        <w:pStyle w:val="3"/>
        <w:numPr>
          <w:ilvl w:val="0"/>
          <w:numId w:val="0"/>
        </w:numPr>
        <w:spacing w:before="0" w:afterLines="0" w:line="360" w:lineRule="exact"/>
        <w:jc w:val="both"/>
        <w:rPr>
          <w:b w:val="0"/>
          <w:color w:val="auto"/>
          <w:sz w:val="28"/>
          <w:szCs w:val="28"/>
          <w:highlight w:val="none"/>
        </w:rPr>
      </w:pPr>
    </w:p>
    <w:p w14:paraId="467FDBD2">
      <w:pPr>
        <w:rPr>
          <w:color w:val="auto"/>
          <w:sz w:val="28"/>
          <w:szCs w:val="28"/>
          <w:highlight w:val="none"/>
        </w:rPr>
      </w:pPr>
    </w:p>
    <w:p w14:paraId="3CD1DE39">
      <w:pPr>
        <w:pStyle w:val="22"/>
        <w:rPr>
          <w:b w:val="0"/>
          <w:color w:val="auto"/>
          <w:sz w:val="28"/>
          <w:szCs w:val="28"/>
          <w:highlight w:val="none"/>
        </w:rPr>
      </w:pPr>
    </w:p>
    <w:p w14:paraId="39EC3C50">
      <w:pPr>
        <w:rPr>
          <w:color w:val="auto"/>
          <w:highlight w:val="none"/>
        </w:rPr>
      </w:pPr>
    </w:p>
    <w:p w14:paraId="09AC0601">
      <w:pPr>
        <w:pStyle w:val="3"/>
        <w:numPr>
          <w:ilvl w:val="0"/>
          <w:numId w:val="0"/>
        </w:numPr>
        <w:spacing w:before="0" w:afterLines="0" w:line="360" w:lineRule="exact"/>
        <w:jc w:val="both"/>
        <w:rPr>
          <w:b w:val="0"/>
          <w:color w:val="auto"/>
          <w:sz w:val="28"/>
          <w:szCs w:val="28"/>
          <w:highlight w:val="none"/>
        </w:rPr>
      </w:pPr>
    </w:p>
    <w:p w14:paraId="61A4E5FF">
      <w:pPr>
        <w:pStyle w:val="3"/>
        <w:numPr>
          <w:ilvl w:val="0"/>
          <w:numId w:val="0"/>
        </w:numPr>
        <w:spacing w:before="0" w:afterLines="0" w:line="360" w:lineRule="exact"/>
        <w:jc w:val="both"/>
        <w:rPr>
          <w:b w:val="0"/>
          <w:color w:val="auto"/>
          <w:sz w:val="28"/>
          <w:szCs w:val="28"/>
          <w:highlight w:val="none"/>
        </w:rPr>
      </w:pPr>
    </w:p>
    <w:p w14:paraId="16AE2006">
      <w:pPr>
        <w:pStyle w:val="3"/>
        <w:numPr>
          <w:ilvl w:val="0"/>
          <w:numId w:val="0"/>
        </w:numPr>
        <w:spacing w:before="0" w:afterLines="0" w:line="360" w:lineRule="exact"/>
        <w:jc w:val="both"/>
        <w:rPr>
          <w:b w:val="0"/>
          <w:color w:val="auto"/>
          <w:sz w:val="28"/>
          <w:szCs w:val="28"/>
          <w:highlight w:val="none"/>
        </w:rPr>
      </w:pPr>
    </w:p>
    <w:p w14:paraId="55EA43A1">
      <w:pPr>
        <w:pStyle w:val="3"/>
        <w:numPr>
          <w:ilvl w:val="0"/>
          <w:numId w:val="0"/>
        </w:numPr>
        <w:spacing w:before="0" w:afterLines="0" w:line="360" w:lineRule="exact"/>
        <w:jc w:val="both"/>
        <w:rPr>
          <w:b w:val="0"/>
          <w:color w:val="auto"/>
          <w:sz w:val="28"/>
          <w:szCs w:val="28"/>
          <w:highlight w:val="none"/>
        </w:rPr>
      </w:pPr>
    </w:p>
    <w:p w14:paraId="05834C1C">
      <w:pPr>
        <w:pStyle w:val="3"/>
        <w:numPr>
          <w:ilvl w:val="0"/>
          <w:numId w:val="0"/>
        </w:numPr>
        <w:spacing w:before="0" w:afterLines="0" w:line="360" w:lineRule="exact"/>
        <w:jc w:val="both"/>
        <w:rPr>
          <w:b w:val="0"/>
          <w:color w:val="auto"/>
          <w:sz w:val="28"/>
          <w:szCs w:val="28"/>
          <w:highlight w:val="none"/>
        </w:rPr>
      </w:pPr>
    </w:p>
    <w:p w14:paraId="4A73AB12">
      <w:pPr>
        <w:pStyle w:val="3"/>
        <w:numPr>
          <w:ilvl w:val="0"/>
          <w:numId w:val="0"/>
        </w:numPr>
        <w:spacing w:before="0" w:afterLines="0" w:line="360" w:lineRule="exact"/>
        <w:jc w:val="both"/>
        <w:rPr>
          <w:b w:val="0"/>
          <w:color w:val="auto"/>
          <w:sz w:val="28"/>
          <w:szCs w:val="28"/>
          <w:highlight w:val="none"/>
        </w:rPr>
      </w:pPr>
      <w:r>
        <w:rPr>
          <w:rFonts w:hint="eastAsia"/>
          <w:b w:val="0"/>
          <w:color w:val="auto"/>
          <w:sz w:val="28"/>
          <w:szCs w:val="28"/>
          <w:highlight w:val="none"/>
        </w:rPr>
        <w:t>附件一：</w:t>
      </w:r>
      <w:bookmarkEnd w:id="140"/>
      <w:bookmarkEnd w:id="141"/>
      <w:bookmarkEnd w:id="142"/>
      <w:r>
        <w:rPr>
          <w:rFonts w:hint="eastAsia"/>
          <w:b w:val="0"/>
          <w:color w:val="auto"/>
          <w:sz w:val="28"/>
          <w:szCs w:val="28"/>
          <w:highlight w:val="none"/>
        </w:rPr>
        <w:t>投标函</w:t>
      </w:r>
      <w:bookmarkEnd w:id="143"/>
      <w:bookmarkEnd w:id="144"/>
    </w:p>
    <w:p w14:paraId="11E66209">
      <w:pPr>
        <w:rPr>
          <w:rFonts w:ascii="黑体" w:eastAsia="黑体"/>
          <w:color w:val="auto"/>
          <w:sz w:val="28"/>
          <w:szCs w:val="28"/>
          <w:highlight w:val="none"/>
        </w:rPr>
      </w:pPr>
    </w:p>
    <w:p w14:paraId="2E4C6B69">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运动场地改造工程</w:t>
      </w:r>
    </w:p>
    <w:p w14:paraId="6F8A2447">
      <w:pPr>
        <w:jc w:val="center"/>
        <w:rPr>
          <w:rFonts w:ascii="宋体" w:hAnsi="宋体" w:eastAsia="宋体"/>
          <w:bCs/>
          <w:color w:val="auto"/>
          <w:szCs w:val="28"/>
          <w:highlight w:val="none"/>
          <w:u w:val="single"/>
        </w:rPr>
      </w:pPr>
      <w:r>
        <w:rPr>
          <w:rFonts w:hint="eastAsia" w:ascii="黑体" w:hAnsi="宋体" w:eastAsia="黑体"/>
          <w:b/>
          <w:color w:val="auto"/>
          <w:sz w:val="44"/>
          <w:highlight w:val="none"/>
        </w:rPr>
        <w:t>投 标 函</w:t>
      </w:r>
    </w:p>
    <w:p w14:paraId="5505EBDC">
      <w:pPr>
        <w:pStyle w:val="19"/>
        <w:ind w:firstLine="0"/>
        <w:rPr>
          <w:rFonts w:ascii="宋体" w:hAnsi="宋体" w:eastAsia="宋体"/>
          <w:b/>
          <w:color w:val="auto"/>
          <w:sz w:val="24"/>
          <w:szCs w:val="24"/>
          <w:highlight w:val="none"/>
        </w:rPr>
      </w:pPr>
      <w:r>
        <w:rPr>
          <w:rFonts w:hint="eastAsia" w:ascii="宋体" w:hAnsi="宋体" w:eastAsia="宋体"/>
          <w:color w:val="auto"/>
          <w:sz w:val="24"/>
          <w:szCs w:val="24"/>
          <w:highlight w:val="none"/>
          <w:u w:val="single"/>
          <w:lang w:val="en-US" w:eastAsia="zh-CN"/>
        </w:rPr>
        <w:t>台州初级中学</w:t>
      </w:r>
      <w:r>
        <w:rPr>
          <w:rFonts w:hint="eastAsia" w:ascii="宋体" w:hAnsi="宋体" w:eastAsia="宋体"/>
          <w:color w:val="auto"/>
          <w:sz w:val="24"/>
          <w:szCs w:val="24"/>
          <w:highlight w:val="none"/>
          <w:u w:val="single"/>
        </w:rPr>
        <w:t>（招标人）</w:t>
      </w:r>
      <w:r>
        <w:rPr>
          <w:rFonts w:hint="eastAsia" w:ascii="宋体" w:hAnsi="宋体" w:eastAsia="宋体"/>
          <w:bCs/>
          <w:color w:val="auto"/>
          <w:sz w:val="24"/>
          <w:szCs w:val="24"/>
          <w:highlight w:val="none"/>
        </w:rPr>
        <w:t>：</w:t>
      </w:r>
    </w:p>
    <w:p w14:paraId="7FD3DF94">
      <w:pPr>
        <w:tabs>
          <w:tab w:val="left" w:pos="0"/>
        </w:tabs>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一、根据你方的</w:t>
      </w:r>
      <w:r>
        <w:rPr>
          <w:rFonts w:hint="eastAsia" w:ascii="宋体" w:hAnsi="宋体" w:eastAsia="宋体"/>
          <w:color w:val="auto"/>
          <w:sz w:val="24"/>
          <w:szCs w:val="24"/>
          <w:highlight w:val="none"/>
          <w:u w:val="single"/>
          <w:lang w:eastAsia="zh-CN"/>
        </w:rPr>
        <w:t>运动场地改造工程</w:t>
      </w:r>
      <w:r>
        <w:rPr>
          <w:rFonts w:hint="eastAsia" w:ascii="宋体" w:hAnsi="宋体" w:eastAsia="宋体"/>
          <w:color w:val="auto"/>
          <w:sz w:val="24"/>
          <w:szCs w:val="24"/>
          <w:highlight w:val="none"/>
        </w:rPr>
        <w:t xml:space="preserve">（工程项目名称）招标文件，经考察现场和研究上述招标文件后，在全部同意招标文件内容前提下，我方保证： </w:t>
      </w:r>
    </w:p>
    <w:p w14:paraId="2777DABB">
      <w:pPr>
        <w:ind w:left="936" w:leftChars="180" w:hanging="360" w:hangingChars="15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1、愿以总报价¥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元（保留整数），大写金额人民币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元，承包上述工程的施工、竣工和保修。</w:t>
      </w:r>
    </w:p>
    <w:p w14:paraId="724BAE34">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2、工期：</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天内竣工并移交整个工程；</w:t>
      </w:r>
    </w:p>
    <w:p w14:paraId="74C84835">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3、工程质量等级：</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w:t>
      </w:r>
    </w:p>
    <w:p w14:paraId="7FFD0654">
      <w:pPr>
        <w:ind w:left="600"/>
        <w:rPr>
          <w:rFonts w:ascii="宋体" w:hAnsi="宋体" w:eastAsia="宋体"/>
          <w:color w:val="auto"/>
          <w:sz w:val="24"/>
          <w:szCs w:val="24"/>
          <w:highlight w:val="none"/>
        </w:rPr>
      </w:pPr>
      <w:r>
        <w:rPr>
          <w:rFonts w:hint="eastAsia" w:ascii="宋体" w:hAnsi="宋体" w:eastAsia="宋体"/>
          <w:color w:val="auto"/>
          <w:sz w:val="24"/>
          <w:szCs w:val="24"/>
          <w:highlight w:val="none"/>
        </w:rPr>
        <w:t>4、人员设备按本投标文件的部署及时到位。</w:t>
      </w:r>
    </w:p>
    <w:p w14:paraId="7AF06223">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二、如果我方中标，我方将按照招标文件规定提交履约担保，共同地和分别地承担责任。</w:t>
      </w:r>
    </w:p>
    <w:p w14:paraId="1FE0CB06">
      <w:pPr>
        <w:ind w:firstLine="530" w:firstLineChars="221"/>
        <w:rPr>
          <w:rFonts w:ascii="宋体" w:hAnsi="宋体" w:eastAsia="宋体"/>
          <w:color w:val="auto"/>
          <w:sz w:val="24"/>
          <w:szCs w:val="24"/>
          <w:highlight w:val="none"/>
        </w:rPr>
      </w:pPr>
      <w:r>
        <w:rPr>
          <w:rFonts w:hint="eastAsia" w:ascii="宋体" w:hAnsi="宋体" w:eastAsia="宋体"/>
          <w:color w:val="auto"/>
          <w:sz w:val="24"/>
          <w:szCs w:val="24"/>
          <w:highlight w:val="none"/>
        </w:rPr>
        <w:t>三、除非另外达成协议并生效，你方的中标通知书和本投标文件将构成约束我们双方的合同。</w:t>
      </w:r>
    </w:p>
    <w:p w14:paraId="4FB52403">
      <w:pPr>
        <w:ind w:firstLine="530" w:firstLineChars="221"/>
        <w:rPr>
          <w:rFonts w:ascii="宋体" w:hAnsi="宋体" w:eastAsia="宋体"/>
          <w:color w:val="auto"/>
          <w:sz w:val="24"/>
          <w:szCs w:val="24"/>
          <w:highlight w:val="none"/>
        </w:rPr>
      </w:pPr>
      <w:r>
        <w:rPr>
          <w:rFonts w:hint="eastAsia" w:ascii="宋体" w:hAnsi="宋体" w:eastAsia="宋体"/>
          <w:color w:val="auto"/>
          <w:sz w:val="24"/>
          <w:szCs w:val="24"/>
          <w:highlight w:val="none"/>
        </w:rPr>
        <w:t>四、我方的投标担保已按招标文件的要求递交。</w:t>
      </w:r>
    </w:p>
    <w:p w14:paraId="2448BFD5">
      <w:pPr>
        <w:ind w:right="480"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五、你方可通过下列人员对我方的商务标进行质询：</w:t>
      </w:r>
    </w:p>
    <w:p w14:paraId="31320424">
      <w:pPr>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编制人（1）姓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5026C4AA">
      <w:pPr>
        <w:ind w:firstLine="1848" w:firstLineChars="77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身份证号：</w:t>
      </w:r>
      <w:r>
        <w:rPr>
          <w:rFonts w:hint="eastAsia" w:ascii="宋体" w:hAnsi="宋体" w:eastAsia="宋体"/>
          <w:color w:val="auto"/>
          <w:sz w:val="24"/>
          <w:szCs w:val="24"/>
          <w:highlight w:val="none"/>
          <w:u w:val="single"/>
        </w:rPr>
        <w:t xml:space="preserve">                                              </w:t>
      </w:r>
    </w:p>
    <w:p w14:paraId="77DE94E1">
      <w:pPr>
        <w:tabs>
          <w:tab w:val="left" w:pos="8610"/>
          <w:tab w:val="left" w:pos="8897"/>
        </w:tabs>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编制人（2）姓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2ACFEA02">
      <w:pPr>
        <w:ind w:firstLine="1848" w:firstLineChars="77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身份证号：</w:t>
      </w:r>
      <w:r>
        <w:rPr>
          <w:rFonts w:hint="eastAsia" w:ascii="宋体" w:hAnsi="宋体" w:eastAsia="宋体"/>
          <w:color w:val="auto"/>
          <w:sz w:val="24"/>
          <w:szCs w:val="24"/>
          <w:highlight w:val="none"/>
          <w:u w:val="single"/>
        </w:rPr>
        <w:t xml:space="preserve">                                              </w:t>
      </w:r>
    </w:p>
    <w:p w14:paraId="7AFBE09F">
      <w:pPr>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编制人（3）姓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0E965DF5">
      <w:pPr>
        <w:ind w:firstLine="1728" w:firstLineChars="72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 身份证号：</w:t>
      </w:r>
      <w:r>
        <w:rPr>
          <w:rFonts w:hint="eastAsia" w:ascii="宋体" w:hAnsi="宋体" w:eastAsia="宋体"/>
          <w:color w:val="auto"/>
          <w:sz w:val="24"/>
          <w:szCs w:val="24"/>
          <w:highlight w:val="none"/>
          <w:u w:val="single"/>
        </w:rPr>
        <w:t xml:space="preserve">                                              </w:t>
      </w:r>
    </w:p>
    <w:p w14:paraId="651BEC87">
      <w:pPr>
        <w:ind w:right="480"/>
        <w:rPr>
          <w:rFonts w:ascii="宋体" w:hAnsi="宋体" w:eastAsia="宋体"/>
          <w:color w:val="auto"/>
          <w:sz w:val="24"/>
          <w:szCs w:val="24"/>
          <w:highlight w:val="none"/>
        </w:rPr>
      </w:pPr>
      <w:r>
        <w:rPr>
          <w:rFonts w:hint="eastAsia" w:ascii="宋体" w:hAnsi="宋体" w:eastAsia="宋体"/>
          <w:color w:val="auto"/>
          <w:sz w:val="24"/>
          <w:szCs w:val="24"/>
          <w:highlight w:val="none"/>
        </w:rPr>
        <w:t>注：投标报价未按投标函格式要求报价的作无效标处理。</w:t>
      </w:r>
    </w:p>
    <w:p w14:paraId="57A44206">
      <w:pPr>
        <w:ind w:right="480"/>
        <w:rPr>
          <w:rFonts w:ascii="宋体" w:hAnsi="宋体" w:eastAsia="宋体"/>
          <w:color w:val="auto"/>
          <w:sz w:val="24"/>
          <w:szCs w:val="24"/>
          <w:highlight w:val="none"/>
        </w:rPr>
      </w:pPr>
    </w:p>
    <w:p w14:paraId="7EFC8E97">
      <w:pPr>
        <w:rPr>
          <w:rFonts w:ascii="宋体" w:hAnsi="宋体" w:eastAsia="宋体"/>
          <w:color w:val="auto"/>
          <w:sz w:val="24"/>
          <w:szCs w:val="24"/>
          <w:highlight w:val="none"/>
        </w:rPr>
      </w:pPr>
    </w:p>
    <w:p w14:paraId="582CD028">
      <w:pPr>
        <w:ind w:firstLine="120" w:firstLineChars="5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法定代表人（签字或盖章）：                      </w:t>
      </w:r>
      <w:bookmarkStart w:id="145" w:name="_Hlk465759066"/>
      <w:bookmarkEnd w:id="145"/>
      <w:bookmarkStart w:id="146" w:name="_Hlt465761988"/>
      <w:bookmarkEnd w:id="146"/>
      <w:r>
        <w:rPr>
          <w:rFonts w:hint="eastAsia" w:ascii="宋体" w:hAnsi="宋体" w:eastAsia="宋体"/>
          <w:color w:val="auto"/>
          <w:sz w:val="24"/>
          <w:szCs w:val="24"/>
          <w:highlight w:val="none"/>
        </w:rPr>
        <w:t>投标人（盖章）：</w:t>
      </w:r>
    </w:p>
    <w:p w14:paraId="5F5C7842">
      <w:pPr>
        <w:jc w:val="right"/>
        <w:rPr>
          <w:rFonts w:ascii="宋体" w:hAnsi="宋体" w:eastAsia="宋体"/>
          <w:color w:val="auto"/>
          <w:sz w:val="24"/>
          <w:szCs w:val="24"/>
          <w:highlight w:val="none"/>
        </w:rPr>
      </w:pPr>
    </w:p>
    <w:p w14:paraId="137A0929">
      <w:pPr>
        <w:rPr>
          <w:color w:val="auto"/>
          <w:sz w:val="24"/>
          <w:szCs w:val="24"/>
          <w:highlight w:val="none"/>
        </w:rPr>
      </w:pPr>
    </w:p>
    <w:p w14:paraId="10A7F667">
      <w:pPr>
        <w:ind w:firstLine="4560" w:firstLineChars="1900"/>
        <w:rPr>
          <w:rFonts w:ascii="宋体" w:hAnsi="宋体" w:eastAsia="宋体"/>
          <w:color w:val="auto"/>
          <w:sz w:val="24"/>
          <w:szCs w:val="24"/>
          <w:highlight w:val="none"/>
        </w:rPr>
      </w:pPr>
      <w:r>
        <w:rPr>
          <w:rFonts w:hint="eastAsia" w:ascii="宋体" w:hAnsi="宋体" w:eastAsia="宋体"/>
          <w:color w:val="auto"/>
          <w:sz w:val="24"/>
          <w:szCs w:val="24"/>
          <w:highlight w:val="none"/>
        </w:rPr>
        <w:t>日期：   年   月   日</w:t>
      </w:r>
      <w:bookmarkStart w:id="147" w:name="_Toc169487830"/>
      <w:bookmarkStart w:id="148" w:name="_Toc106553077"/>
      <w:bookmarkStart w:id="149" w:name="_Toc155342580"/>
      <w:bookmarkStart w:id="150" w:name="_Toc106012815"/>
      <w:bookmarkStart w:id="151" w:name="_Toc144975208"/>
    </w:p>
    <w:p w14:paraId="00B3B357">
      <w:pPr>
        <w:pStyle w:val="3"/>
        <w:numPr>
          <w:ilvl w:val="0"/>
          <w:numId w:val="0"/>
        </w:numPr>
        <w:spacing w:afterLines="0" w:line="360" w:lineRule="exact"/>
        <w:jc w:val="both"/>
        <w:rPr>
          <w:b w:val="0"/>
          <w:color w:val="auto"/>
          <w:sz w:val="28"/>
          <w:szCs w:val="28"/>
          <w:highlight w:val="none"/>
        </w:rPr>
      </w:pPr>
      <w:bookmarkStart w:id="152" w:name="_Toc24432"/>
      <w:bookmarkStart w:id="153" w:name="_Toc386121760"/>
      <w:bookmarkStart w:id="154" w:name="_Toc23377"/>
      <w:bookmarkStart w:id="155" w:name="_Toc386122457"/>
    </w:p>
    <w:p w14:paraId="76F0E387">
      <w:pPr>
        <w:pStyle w:val="3"/>
        <w:numPr>
          <w:ilvl w:val="0"/>
          <w:numId w:val="0"/>
        </w:numPr>
        <w:spacing w:afterLines="0" w:line="360" w:lineRule="exact"/>
        <w:jc w:val="both"/>
        <w:rPr>
          <w:b w:val="0"/>
          <w:color w:val="auto"/>
          <w:sz w:val="28"/>
          <w:szCs w:val="28"/>
          <w:highlight w:val="none"/>
        </w:rPr>
      </w:pPr>
      <w:r>
        <w:rPr>
          <w:rFonts w:hint="eastAsia"/>
          <w:b w:val="0"/>
          <w:color w:val="auto"/>
          <w:sz w:val="28"/>
          <w:szCs w:val="28"/>
          <w:highlight w:val="none"/>
        </w:rPr>
        <w:t>附件二：</w:t>
      </w:r>
      <w:bookmarkEnd w:id="147"/>
      <w:bookmarkEnd w:id="148"/>
      <w:bookmarkEnd w:id="149"/>
      <w:bookmarkEnd w:id="150"/>
      <w:bookmarkEnd w:id="151"/>
      <w:bookmarkEnd w:id="152"/>
      <w:bookmarkEnd w:id="153"/>
      <w:bookmarkEnd w:id="154"/>
      <w:bookmarkEnd w:id="155"/>
      <w:r>
        <w:rPr>
          <w:rFonts w:hint="eastAsia"/>
          <w:b w:val="0"/>
          <w:color w:val="auto"/>
          <w:sz w:val="28"/>
          <w:szCs w:val="28"/>
          <w:highlight w:val="none"/>
        </w:rPr>
        <w:t>临海市建设工程安全生产任职资格承诺书</w:t>
      </w:r>
    </w:p>
    <w:p w14:paraId="6E7B93B2">
      <w:pPr>
        <w:rPr>
          <w:b/>
          <w:bCs/>
          <w:color w:val="auto"/>
          <w:sz w:val="21"/>
          <w:szCs w:val="21"/>
          <w:highlight w:val="none"/>
        </w:rPr>
      </w:pPr>
    </w:p>
    <w:p w14:paraId="0A2C2515">
      <w:pPr>
        <w:jc w:val="center"/>
        <w:rPr>
          <w:rFonts w:ascii="宋体" w:hAnsi="宋体" w:eastAsia="宋体"/>
          <w:color w:val="auto"/>
          <w:szCs w:val="18"/>
          <w:highlight w:val="none"/>
        </w:rPr>
      </w:pPr>
    </w:p>
    <w:p w14:paraId="6EBEE1A8">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运动场地改造工程</w:t>
      </w:r>
    </w:p>
    <w:p w14:paraId="60584E3B">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临海市建设工程安全生产任职资格承诺书</w:t>
      </w:r>
    </w:p>
    <w:p w14:paraId="38F5C8F9">
      <w:pPr>
        <w:rPr>
          <w:rFonts w:ascii="宋体" w:hAnsi="宋体" w:eastAsia="宋体"/>
          <w:color w:val="auto"/>
          <w:sz w:val="28"/>
          <w:highlight w:val="none"/>
        </w:rPr>
      </w:pPr>
    </w:p>
    <w:p w14:paraId="5A528AA5">
      <w:pPr>
        <w:rPr>
          <w:rFonts w:ascii="宋体" w:hAnsi="宋体" w:eastAsia="宋体" w:cs="宋体"/>
          <w:color w:val="auto"/>
          <w:sz w:val="24"/>
          <w:szCs w:val="24"/>
          <w:highlight w:val="none"/>
        </w:rPr>
      </w:pPr>
      <w:bookmarkStart w:id="156" w:name="_Toc106012816"/>
      <w:bookmarkStart w:id="157" w:name="_Toc106553078"/>
      <w:bookmarkStart w:id="158" w:name="_Toc155342584"/>
      <w:r>
        <w:rPr>
          <w:rFonts w:hint="eastAsia" w:ascii="宋体" w:hAnsi="宋体" w:eastAsia="宋体" w:cs="宋体"/>
          <w:color w:val="auto"/>
          <w:sz w:val="24"/>
          <w:szCs w:val="24"/>
          <w:highlight w:val="none"/>
        </w:rPr>
        <w:t>本人以企业法定代表人的身份郑重承诺：</w:t>
      </w:r>
    </w:p>
    <w:p w14:paraId="5754392F">
      <w:pPr>
        <w:adjustRightInd w:val="0"/>
        <w:snapToGrid w:val="0"/>
        <w:spacing w:beforeLines="50"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本公司安全生产条件及相关管理人员（包括A类人员、拟派的项目负责人和施工现场专职安全生产管理人员）安全生产任职资格符合相关规定。</w:t>
      </w:r>
    </w:p>
    <w:p w14:paraId="77E4E83B">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30863432">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1D8F1558">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3E5CAED5">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5B778BF2">
      <w:pPr>
        <w:adjustRightInd w:val="0"/>
        <w:snapToGrid w:val="0"/>
        <w:spacing w:line="360" w:lineRule="auto"/>
        <w:ind w:firstLine="3840" w:firstLineChars="16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                </w:t>
      </w:r>
    </w:p>
    <w:p w14:paraId="335144A6">
      <w:pPr>
        <w:adjustRightInd w:val="0"/>
        <w:snapToGrid w:val="0"/>
        <w:spacing w:beforeLines="50" w:line="360" w:lineRule="auto"/>
        <w:ind w:firstLine="3840" w:firstLineChars="16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  标  人（盖章）：      </w:t>
      </w:r>
    </w:p>
    <w:p w14:paraId="63C7834C">
      <w:pPr>
        <w:ind w:firstLine="7080" w:firstLineChars="2950"/>
        <w:rPr>
          <w:rFonts w:ascii="宋体" w:hAnsi="宋体" w:eastAsia="宋体" w:cs="宋体"/>
          <w:color w:val="auto"/>
          <w:sz w:val="24"/>
          <w:szCs w:val="24"/>
          <w:highlight w:val="none"/>
        </w:rPr>
      </w:pPr>
    </w:p>
    <w:p w14:paraId="55B66DB6">
      <w:pPr>
        <w:ind w:firstLine="7080" w:firstLineChars="2950"/>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   年    月   日</w:t>
      </w:r>
    </w:p>
    <w:p w14:paraId="41B9D181">
      <w:pPr>
        <w:rPr>
          <w:color w:val="auto"/>
          <w:highlight w:val="none"/>
        </w:rPr>
      </w:pPr>
    </w:p>
    <w:p w14:paraId="3FBF33E0">
      <w:pPr>
        <w:rPr>
          <w:color w:val="auto"/>
          <w:highlight w:val="none"/>
        </w:rPr>
      </w:pPr>
    </w:p>
    <w:p w14:paraId="149C96F6">
      <w:pPr>
        <w:widowControl/>
        <w:jc w:val="left"/>
        <w:rPr>
          <w:rFonts w:ascii="Arial" w:hAnsi="Arial" w:eastAsia="黑体" w:cs="Arial"/>
          <w:color w:val="auto"/>
          <w:sz w:val="28"/>
          <w:szCs w:val="28"/>
          <w:highlight w:val="none"/>
        </w:rPr>
      </w:pPr>
      <w:bookmarkStart w:id="159" w:name="_Toc386121761"/>
      <w:bookmarkStart w:id="160" w:name="_Toc386122458"/>
      <w:bookmarkStart w:id="161" w:name="_Toc14753"/>
      <w:bookmarkStart w:id="162" w:name="_Toc30036"/>
      <w:r>
        <w:rPr>
          <w:b/>
          <w:color w:val="auto"/>
          <w:sz w:val="28"/>
          <w:szCs w:val="28"/>
          <w:highlight w:val="none"/>
        </w:rPr>
        <w:br w:type="page"/>
      </w:r>
    </w:p>
    <w:p w14:paraId="195A36D6">
      <w:pPr>
        <w:pStyle w:val="3"/>
        <w:numPr>
          <w:ilvl w:val="0"/>
          <w:numId w:val="0"/>
        </w:numPr>
        <w:spacing w:afterLines="0" w:line="360" w:lineRule="exact"/>
        <w:jc w:val="both"/>
        <w:rPr>
          <w:b w:val="0"/>
          <w:color w:val="auto"/>
          <w:sz w:val="28"/>
          <w:szCs w:val="28"/>
          <w:highlight w:val="none"/>
        </w:rPr>
      </w:pPr>
      <w:r>
        <w:rPr>
          <w:rFonts w:hint="eastAsia"/>
          <w:b w:val="0"/>
          <w:color w:val="auto"/>
          <w:sz w:val="28"/>
          <w:szCs w:val="28"/>
          <w:highlight w:val="none"/>
        </w:rPr>
        <w:t>附件三：</w:t>
      </w:r>
      <w:bookmarkEnd w:id="156"/>
      <w:bookmarkEnd w:id="157"/>
      <w:bookmarkEnd w:id="158"/>
      <w:bookmarkEnd w:id="159"/>
      <w:bookmarkEnd w:id="160"/>
      <w:r>
        <w:rPr>
          <w:rFonts w:hint="eastAsia"/>
          <w:b w:val="0"/>
          <w:color w:val="auto"/>
          <w:sz w:val="28"/>
          <w:szCs w:val="28"/>
          <w:highlight w:val="none"/>
        </w:rPr>
        <w:t>项目负责人简历表</w:t>
      </w:r>
      <w:bookmarkEnd w:id="161"/>
      <w:bookmarkEnd w:id="162"/>
    </w:p>
    <w:p w14:paraId="5952D947">
      <w:pPr>
        <w:rPr>
          <w:rFonts w:ascii="黑体" w:eastAsia="黑体"/>
          <w:color w:val="auto"/>
          <w:sz w:val="28"/>
          <w:szCs w:val="28"/>
          <w:highlight w:val="none"/>
        </w:rPr>
      </w:pPr>
    </w:p>
    <w:p w14:paraId="6AB7E5C2">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运动场地改造工程</w:t>
      </w:r>
    </w:p>
    <w:p w14:paraId="7B4BFE55">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项目负责人简历表</w:t>
      </w:r>
    </w:p>
    <w:tbl>
      <w:tblPr>
        <w:tblStyle w:val="23"/>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453F5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3F183880">
            <w:pPr>
              <w:jc w:val="center"/>
              <w:rPr>
                <w:rFonts w:ascii="宋体" w:hAnsi="宋体" w:eastAsia="宋体"/>
                <w:color w:val="auto"/>
                <w:highlight w:val="none"/>
              </w:rPr>
            </w:pPr>
            <w:r>
              <w:rPr>
                <w:rFonts w:hint="eastAsia" w:ascii="宋体" w:hAnsi="宋体" w:eastAsia="宋体"/>
                <w:color w:val="auto"/>
                <w:highlight w:val="none"/>
              </w:rPr>
              <w:t>姓名</w:t>
            </w:r>
          </w:p>
        </w:tc>
        <w:tc>
          <w:tcPr>
            <w:tcW w:w="1435" w:type="dxa"/>
            <w:gridSpan w:val="2"/>
            <w:vAlign w:val="center"/>
          </w:tcPr>
          <w:p w14:paraId="1A6022BB">
            <w:pPr>
              <w:jc w:val="center"/>
              <w:rPr>
                <w:rFonts w:ascii="宋体" w:hAnsi="宋体" w:eastAsia="宋体"/>
                <w:color w:val="auto"/>
                <w:highlight w:val="none"/>
              </w:rPr>
            </w:pPr>
          </w:p>
        </w:tc>
        <w:tc>
          <w:tcPr>
            <w:tcW w:w="861" w:type="dxa"/>
            <w:vAlign w:val="center"/>
          </w:tcPr>
          <w:p w14:paraId="550ADC42">
            <w:pPr>
              <w:jc w:val="center"/>
              <w:rPr>
                <w:rFonts w:ascii="宋体" w:hAnsi="宋体" w:eastAsia="宋体"/>
                <w:color w:val="auto"/>
                <w:highlight w:val="none"/>
              </w:rPr>
            </w:pPr>
            <w:r>
              <w:rPr>
                <w:rFonts w:hint="eastAsia" w:ascii="宋体" w:hAnsi="宋体" w:eastAsia="宋体"/>
                <w:color w:val="auto"/>
                <w:highlight w:val="none"/>
              </w:rPr>
              <w:t>性别</w:t>
            </w:r>
          </w:p>
        </w:tc>
        <w:tc>
          <w:tcPr>
            <w:tcW w:w="1096" w:type="dxa"/>
            <w:vAlign w:val="center"/>
          </w:tcPr>
          <w:p w14:paraId="26F994AA">
            <w:pPr>
              <w:jc w:val="center"/>
              <w:rPr>
                <w:rFonts w:ascii="宋体" w:hAnsi="宋体" w:eastAsia="宋体"/>
                <w:color w:val="auto"/>
                <w:highlight w:val="none"/>
              </w:rPr>
            </w:pPr>
          </w:p>
        </w:tc>
        <w:tc>
          <w:tcPr>
            <w:tcW w:w="913" w:type="dxa"/>
            <w:vAlign w:val="center"/>
          </w:tcPr>
          <w:p w14:paraId="6BE7809E">
            <w:pPr>
              <w:jc w:val="center"/>
              <w:rPr>
                <w:rFonts w:ascii="宋体" w:hAnsi="宋体" w:eastAsia="宋体"/>
                <w:color w:val="auto"/>
                <w:highlight w:val="none"/>
              </w:rPr>
            </w:pPr>
            <w:r>
              <w:rPr>
                <w:rFonts w:hint="eastAsia" w:ascii="宋体" w:hAnsi="宋体" w:eastAsia="宋体"/>
                <w:color w:val="auto"/>
                <w:highlight w:val="none"/>
              </w:rPr>
              <w:t>年龄</w:t>
            </w:r>
          </w:p>
        </w:tc>
        <w:tc>
          <w:tcPr>
            <w:tcW w:w="1435" w:type="dxa"/>
            <w:vAlign w:val="center"/>
          </w:tcPr>
          <w:p w14:paraId="27C039A9">
            <w:pPr>
              <w:jc w:val="center"/>
              <w:rPr>
                <w:rFonts w:ascii="宋体" w:hAnsi="宋体" w:eastAsia="宋体"/>
                <w:color w:val="auto"/>
                <w:highlight w:val="none"/>
              </w:rPr>
            </w:pPr>
          </w:p>
        </w:tc>
        <w:tc>
          <w:tcPr>
            <w:tcW w:w="861" w:type="dxa"/>
            <w:vAlign w:val="center"/>
          </w:tcPr>
          <w:p w14:paraId="542DBB48">
            <w:pPr>
              <w:jc w:val="center"/>
              <w:rPr>
                <w:rFonts w:ascii="宋体" w:hAnsi="宋体" w:eastAsia="宋体"/>
                <w:color w:val="auto"/>
                <w:highlight w:val="none"/>
              </w:rPr>
            </w:pPr>
            <w:r>
              <w:rPr>
                <w:rFonts w:hint="eastAsia" w:ascii="宋体" w:hAnsi="宋体" w:eastAsia="宋体"/>
                <w:color w:val="auto"/>
                <w:highlight w:val="none"/>
              </w:rPr>
              <w:t>专业</w:t>
            </w:r>
          </w:p>
        </w:tc>
        <w:tc>
          <w:tcPr>
            <w:tcW w:w="2009" w:type="dxa"/>
            <w:vAlign w:val="center"/>
          </w:tcPr>
          <w:p w14:paraId="58870CDD">
            <w:pPr>
              <w:jc w:val="center"/>
              <w:rPr>
                <w:rFonts w:ascii="宋体" w:hAnsi="宋体" w:eastAsia="宋体"/>
                <w:color w:val="auto"/>
                <w:highlight w:val="none"/>
              </w:rPr>
            </w:pPr>
          </w:p>
        </w:tc>
      </w:tr>
      <w:tr w14:paraId="3E5CC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44442635">
            <w:pPr>
              <w:jc w:val="center"/>
              <w:rPr>
                <w:rFonts w:ascii="宋体" w:hAnsi="宋体" w:eastAsia="宋体"/>
                <w:color w:val="auto"/>
                <w:highlight w:val="none"/>
              </w:rPr>
            </w:pPr>
            <w:r>
              <w:rPr>
                <w:rFonts w:hint="eastAsia" w:ascii="宋体" w:hAnsi="宋体" w:eastAsia="宋体"/>
                <w:color w:val="auto"/>
                <w:highlight w:val="none"/>
              </w:rPr>
              <w:t>资质等级</w:t>
            </w:r>
          </w:p>
        </w:tc>
        <w:tc>
          <w:tcPr>
            <w:tcW w:w="1722" w:type="dxa"/>
            <w:gridSpan w:val="2"/>
            <w:vAlign w:val="center"/>
          </w:tcPr>
          <w:p w14:paraId="53C53A37">
            <w:pPr>
              <w:jc w:val="center"/>
              <w:rPr>
                <w:rFonts w:ascii="宋体" w:hAnsi="宋体" w:eastAsia="宋体"/>
                <w:color w:val="auto"/>
                <w:highlight w:val="none"/>
              </w:rPr>
            </w:pPr>
          </w:p>
        </w:tc>
        <w:tc>
          <w:tcPr>
            <w:tcW w:w="1096" w:type="dxa"/>
            <w:vAlign w:val="center"/>
          </w:tcPr>
          <w:p w14:paraId="01FF5D3C">
            <w:pPr>
              <w:jc w:val="center"/>
              <w:rPr>
                <w:rFonts w:ascii="宋体" w:hAnsi="宋体" w:eastAsia="宋体"/>
                <w:color w:val="auto"/>
                <w:highlight w:val="none"/>
              </w:rPr>
            </w:pPr>
            <w:r>
              <w:rPr>
                <w:rFonts w:hint="eastAsia" w:ascii="宋体" w:hAnsi="宋体" w:eastAsia="宋体"/>
                <w:color w:val="auto"/>
                <w:highlight w:val="none"/>
              </w:rPr>
              <w:t>职称</w:t>
            </w:r>
          </w:p>
        </w:tc>
        <w:tc>
          <w:tcPr>
            <w:tcW w:w="2348" w:type="dxa"/>
            <w:gridSpan w:val="2"/>
            <w:vAlign w:val="center"/>
          </w:tcPr>
          <w:p w14:paraId="4738FB58">
            <w:pPr>
              <w:jc w:val="center"/>
              <w:rPr>
                <w:rFonts w:ascii="宋体" w:hAnsi="宋体" w:eastAsia="宋体"/>
                <w:color w:val="auto"/>
                <w:highlight w:val="none"/>
              </w:rPr>
            </w:pPr>
          </w:p>
        </w:tc>
        <w:tc>
          <w:tcPr>
            <w:tcW w:w="861" w:type="dxa"/>
            <w:vAlign w:val="center"/>
          </w:tcPr>
          <w:p w14:paraId="28DA4D69">
            <w:pPr>
              <w:jc w:val="center"/>
              <w:rPr>
                <w:rFonts w:ascii="宋体" w:hAnsi="宋体" w:eastAsia="宋体"/>
                <w:color w:val="auto"/>
                <w:highlight w:val="none"/>
              </w:rPr>
            </w:pPr>
            <w:r>
              <w:rPr>
                <w:rFonts w:hint="eastAsia" w:ascii="宋体" w:hAnsi="宋体" w:eastAsia="宋体"/>
                <w:color w:val="auto"/>
                <w:highlight w:val="none"/>
              </w:rPr>
              <w:t>学历</w:t>
            </w:r>
          </w:p>
        </w:tc>
        <w:tc>
          <w:tcPr>
            <w:tcW w:w="2009" w:type="dxa"/>
            <w:vAlign w:val="center"/>
          </w:tcPr>
          <w:p w14:paraId="18A2C2CC">
            <w:pPr>
              <w:jc w:val="center"/>
              <w:rPr>
                <w:rFonts w:ascii="宋体" w:hAnsi="宋体" w:eastAsia="宋体"/>
                <w:color w:val="auto"/>
                <w:highlight w:val="none"/>
              </w:rPr>
            </w:pPr>
          </w:p>
        </w:tc>
      </w:tr>
      <w:tr w14:paraId="5B790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3AF4F76B">
            <w:pPr>
              <w:jc w:val="center"/>
              <w:rPr>
                <w:rFonts w:ascii="宋体" w:hAnsi="宋体" w:eastAsia="宋体"/>
                <w:color w:val="auto"/>
                <w:highlight w:val="none"/>
              </w:rPr>
            </w:pPr>
            <w:r>
              <w:rPr>
                <w:rFonts w:hint="eastAsia" w:ascii="宋体" w:hAnsi="宋体" w:eastAsia="宋体"/>
                <w:color w:val="auto"/>
                <w:highlight w:val="none"/>
              </w:rPr>
              <w:t>参加工作时间</w:t>
            </w:r>
          </w:p>
        </w:tc>
        <w:tc>
          <w:tcPr>
            <w:tcW w:w="1957" w:type="dxa"/>
            <w:gridSpan w:val="2"/>
            <w:vAlign w:val="center"/>
          </w:tcPr>
          <w:p w14:paraId="1DC7DB0F">
            <w:pPr>
              <w:jc w:val="center"/>
              <w:rPr>
                <w:rFonts w:ascii="宋体" w:hAnsi="宋体" w:eastAsia="宋体"/>
                <w:color w:val="auto"/>
                <w:highlight w:val="none"/>
              </w:rPr>
            </w:pPr>
          </w:p>
        </w:tc>
        <w:tc>
          <w:tcPr>
            <w:tcW w:w="3209" w:type="dxa"/>
            <w:gridSpan w:val="3"/>
            <w:vAlign w:val="center"/>
          </w:tcPr>
          <w:p w14:paraId="1CD51C77">
            <w:pPr>
              <w:jc w:val="center"/>
              <w:rPr>
                <w:rFonts w:ascii="宋体" w:hAnsi="宋体" w:eastAsia="宋体"/>
                <w:color w:val="auto"/>
                <w:highlight w:val="none"/>
              </w:rPr>
            </w:pPr>
            <w:r>
              <w:rPr>
                <w:rFonts w:hint="eastAsia" w:ascii="宋体" w:hAnsi="宋体" w:eastAsia="宋体"/>
                <w:color w:val="auto"/>
                <w:highlight w:val="none"/>
              </w:rPr>
              <w:t>从事项目负责人年限</w:t>
            </w:r>
          </w:p>
        </w:tc>
        <w:tc>
          <w:tcPr>
            <w:tcW w:w="2009" w:type="dxa"/>
            <w:vAlign w:val="center"/>
          </w:tcPr>
          <w:p w14:paraId="205EA72C">
            <w:pPr>
              <w:jc w:val="center"/>
              <w:rPr>
                <w:rFonts w:ascii="宋体" w:hAnsi="宋体" w:eastAsia="宋体"/>
                <w:color w:val="auto"/>
                <w:highlight w:val="none"/>
              </w:rPr>
            </w:pPr>
          </w:p>
        </w:tc>
      </w:tr>
      <w:tr w14:paraId="1FCAD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40A261A1">
            <w:pPr>
              <w:jc w:val="center"/>
              <w:rPr>
                <w:rFonts w:ascii="宋体" w:hAnsi="宋体" w:eastAsia="宋体"/>
                <w:color w:val="auto"/>
                <w:highlight w:val="none"/>
              </w:rPr>
            </w:pPr>
          </w:p>
          <w:p w14:paraId="79B767E9">
            <w:pPr>
              <w:jc w:val="center"/>
              <w:rPr>
                <w:rFonts w:ascii="宋体" w:hAnsi="宋体" w:eastAsia="宋体"/>
                <w:color w:val="auto"/>
                <w:highlight w:val="none"/>
              </w:rPr>
            </w:pPr>
          </w:p>
          <w:p w14:paraId="221489A8">
            <w:pPr>
              <w:jc w:val="center"/>
              <w:rPr>
                <w:rFonts w:ascii="宋体" w:hAnsi="宋体" w:eastAsia="宋体"/>
                <w:color w:val="auto"/>
                <w:highlight w:val="none"/>
              </w:rPr>
            </w:pPr>
          </w:p>
          <w:p w14:paraId="46F84476">
            <w:pPr>
              <w:jc w:val="center"/>
              <w:rPr>
                <w:rFonts w:ascii="宋体" w:hAnsi="宋体" w:eastAsia="宋体"/>
                <w:color w:val="auto"/>
                <w:highlight w:val="none"/>
              </w:rPr>
            </w:pPr>
            <w:r>
              <w:rPr>
                <w:rFonts w:hint="eastAsia" w:ascii="宋体" w:hAnsi="宋体" w:eastAsia="宋体"/>
                <w:color w:val="auto"/>
                <w:highlight w:val="none"/>
              </w:rPr>
              <w:t>简</w:t>
            </w:r>
          </w:p>
          <w:p w14:paraId="07D38C78">
            <w:pPr>
              <w:jc w:val="center"/>
              <w:rPr>
                <w:rFonts w:ascii="宋体" w:hAnsi="宋体" w:eastAsia="宋体"/>
                <w:color w:val="auto"/>
                <w:highlight w:val="none"/>
              </w:rPr>
            </w:pPr>
          </w:p>
          <w:p w14:paraId="47B7F191">
            <w:pPr>
              <w:jc w:val="center"/>
              <w:rPr>
                <w:rFonts w:ascii="宋体" w:hAnsi="宋体" w:eastAsia="宋体"/>
                <w:color w:val="auto"/>
                <w:highlight w:val="none"/>
              </w:rPr>
            </w:pPr>
          </w:p>
          <w:p w14:paraId="3C51C397">
            <w:pPr>
              <w:rPr>
                <w:rFonts w:ascii="宋体" w:hAnsi="宋体" w:eastAsia="宋体"/>
                <w:color w:val="auto"/>
                <w:highlight w:val="none"/>
              </w:rPr>
            </w:pPr>
          </w:p>
          <w:p w14:paraId="397754C5">
            <w:pPr>
              <w:rPr>
                <w:rFonts w:ascii="宋体" w:hAnsi="宋体" w:eastAsia="宋体"/>
                <w:color w:val="auto"/>
                <w:highlight w:val="none"/>
              </w:rPr>
            </w:pPr>
          </w:p>
          <w:p w14:paraId="56F3831B">
            <w:pPr>
              <w:jc w:val="center"/>
              <w:rPr>
                <w:rFonts w:ascii="宋体" w:hAnsi="宋体" w:eastAsia="宋体"/>
                <w:color w:val="auto"/>
                <w:highlight w:val="none"/>
              </w:rPr>
            </w:pPr>
          </w:p>
          <w:p w14:paraId="63D017F4">
            <w:pPr>
              <w:jc w:val="center"/>
              <w:rPr>
                <w:rFonts w:ascii="宋体" w:hAnsi="宋体" w:eastAsia="宋体"/>
                <w:color w:val="auto"/>
                <w:highlight w:val="none"/>
              </w:rPr>
            </w:pPr>
          </w:p>
          <w:p w14:paraId="1F1D32E2">
            <w:pPr>
              <w:jc w:val="center"/>
              <w:rPr>
                <w:rFonts w:ascii="宋体" w:hAnsi="宋体" w:eastAsia="宋体"/>
                <w:color w:val="auto"/>
                <w:highlight w:val="none"/>
              </w:rPr>
            </w:pPr>
            <w:r>
              <w:rPr>
                <w:rFonts w:hint="eastAsia" w:ascii="宋体" w:hAnsi="宋体" w:eastAsia="宋体"/>
                <w:color w:val="auto"/>
                <w:highlight w:val="none"/>
              </w:rPr>
              <w:t>历</w:t>
            </w:r>
          </w:p>
          <w:p w14:paraId="47FEC7D8">
            <w:pPr>
              <w:jc w:val="center"/>
              <w:rPr>
                <w:rFonts w:ascii="宋体" w:hAnsi="宋体" w:eastAsia="宋体"/>
                <w:color w:val="auto"/>
                <w:highlight w:val="none"/>
              </w:rPr>
            </w:pPr>
          </w:p>
          <w:p w14:paraId="51ED950C">
            <w:pPr>
              <w:jc w:val="center"/>
              <w:rPr>
                <w:rFonts w:ascii="宋体" w:hAnsi="宋体" w:eastAsia="宋体"/>
                <w:color w:val="auto"/>
                <w:highlight w:val="none"/>
              </w:rPr>
            </w:pPr>
          </w:p>
          <w:p w14:paraId="56B7E5FD">
            <w:pPr>
              <w:rPr>
                <w:rFonts w:ascii="宋体" w:hAnsi="宋体" w:eastAsia="宋体"/>
                <w:color w:val="auto"/>
                <w:highlight w:val="none"/>
              </w:rPr>
            </w:pPr>
          </w:p>
        </w:tc>
        <w:tc>
          <w:tcPr>
            <w:tcW w:w="8610" w:type="dxa"/>
            <w:gridSpan w:val="8"/>
          </w:tcPr>
          <w:p w14:paraId="6F6EC122">
            <w:pPr>
              <w:rPr>
                <w:rFonts w:ascii="宋体" w:hAnsi="宋体" w:eastAsia="宋体"/>
                <w:color w:val="auto"/>
                <w:highlight w:val="none"/>
              </w:rPr>
            </w:pPr>
          </w:p>
        </w:tc>
      </w:tr>
    </w:tbl>
    <w:p w14:paraId="33ECE808">
      <w:pPr>
        <w:rPr>
          <w:rFonts w:ascii="宋体" w:hAnsi="宋体" w:eastAsia="宋体"/>
          <w:color w:val="auto"/>
          <w:highlight w:val="none"/>
        </w:rPr>
      </w:pPr>
    </w:p>
    <w:p w14:paraId="1920A972">
      <w:pPr>
        <w:rPr>
          <w:rFonts w:ascii="宋体" w:hAnsi="宋体" w:eastAsia="宋体"/>
          <w:color w:val="auto"/>
          <w:sz w:val="24"/>
          <w:szCs w:val="24"/>
          <w:highlight w:val="none"/>
        </w:rPr>
      </w:pPr>
      <w:bookmarkStart w:id="163" w:name="_Toc106012817"/>
      <w:bookmarkStart w:id="164" w:name="_Toc155342585"/>
      <w:bookmarkStart w:id="165" w:name="_Toc106553079"/>
      <w:r>
        <w:rPr>
          <w:rFonts w:hint="eastAsia" w:ascii="宋体" w:hAnsi="宋体" w:eastAsia="宋体"/>
          <w:color w:val="auto"/>
          <w:sz w:val="24"/>
          <w:szCs w:val="24"/>
          <w:highlight w:val="none"/>
        </w:rPr>
        <w:t>法定代表人（签字或盖章）：                            投标人（盖章）：</w:t>
      </w:r>
    </w:p>
    <w:p w14:paraId="23373DBD">
      <w:pPr>
        <w:jc w:val="right"/>
        <w:rPr>
          <w:rFonts w:ascii="宋体" w:hAnsi="宋体" w:eastAsia="宋体"/>
          <w:color w:val="auto"/>
          <w:sz w:val="24"/>
          <w:szCs w:val="24"/>
          <w:highlight w:val="none"/>
        </w:rPr>
      </w:pPr>
    </w:p>
    <w:p w14:paraId="2D880980">
      <w:pPr>
        <w:ind w:firstLine="6360" w:firstLineChars="2650"/>
        <w:rPr>
          <w:rFonts w:ascii="宋体" w:hAnsi="宋体" w:eastAsia="宋体"/>
          <w:color w:val="auto"/>
          <w:sz w:val="24"/>
          <w:szCs w:val="24"/>
          <w:highlight w:val="none"/>
        </w:rPr>
      </w:pPr>
    </w:p>
    <w:p w14:paraId="24C61F22">
      <w:pPr>
        <w:ind w:firstLine="6360" w:firstLineChars="2650"/>
        <w:rPr>
          <w:color w:val="auto"/>
          <w:highlight w:val="none"/>
        </w:rPr>
      </w:pPr>
      <w:r>
        <w:rPr>
          <w:rFonts w:hint="eastAsia" w:ascii="宋体" w:hAnsi="宋体" w:eastAsia="宋体"/>
          <w:color w:val="auto"/>
          <w:sz w:val="24"/>
          <w:szCs w:val="24"/>
          <w:highlight w:val="none"/>
        </w:rPr>
        <w:t>日期：   年   月   日</w:t>
      </w:r>
    </w:p>
    <w:p w14:paraId="4DA0B245">
      <w:pPr>
        <w:pStyle w:val="3"/>
        <w:numPr>
          <w:ilvl w:val="0"/>
          <w:numId w:val="0"/>
        </w:numPr>
        <w:spacing w:before="0" w:afterLines="0" w:line="240" w:lineRule="auto"/>
        <w:jc w:val="both"/>
        <w:rPr>
          <w:b w:val="0"/>
          <w:color w:val="auto"/>
          <w:sz w:val="28"/>
          <w:szCs w:val="28"/>
          <w:highlight w:val="none"/>
        </w:rPr>
      </w:pPr>
      <w:bookmarkStart w:id="166" w:name="_Toc386121762"/>
      <w:bookmarkStart w:id="167" w:name="_Toc386122459"/>
      <w:bookmarkStart w:id="168" w:name="_Toc581"/>
      <w:bookmarkStart w:id="169" w:name="_Toc20785"/>
    </w:p>
    <w:p w14:paraId="3B3B0A20">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附件四：</w:t>
      </w:r>
      <w:bookmarkEnd w:id="163"/>
      <w:bookmarkEnd w:id="164"/>
      <w:bookmarkEnd w:id="165"/>
      <w:bookmarkEnd w:id="166"/>
      <w:bookmarkEnd w:id="167"/>
      <w:r>
        <w:rPr>
          <w:rFonts w:hint="eastAsia"/>
          <w:b w:val="0"/>
          <w:color w:val="auto"/>
          <w:sz w:val="28"/>
          <w:szCs w:val="28"/>
          <w:highlight w:val="none"/>
        </w:rPr>
        <w:t>技术负责人简历表</w:t>
      </w:r>
      <w:bookmarkEnd w:id="168"/>
      <w:bookmarkEnd w:id="169"/>
    </w:p>
    <w:p w14:paraId="50B78975">
      <w:pPr>
        <w:rPr>
          <w:rFonts w:ascii="黑体" w:eastAsia="黑体"/>
          <w:color w:val="auto"/>
          <w:sz w:val="28"/>
          <w:szCs w:val="28"/>
          <w:highlight w:val="none"/>
        </w:rPr>
      </w:pPr>
    </w:p>
    <w:p w14:paraId="0169540E">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运动场地改造工程</w:t>
      </w:r>
    </w:p>
    <w:p w14:paraId="4308A2ED">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技术负责人简历表</w:t>
      </w:r>
    </w:p>
    <w:tbl>
      <w:tblPr>
        <w:tblStyle w:val="23"/>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40181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57651B2B">
            <w:pPr>
              <w:jc w:val="center"/>
              <w:rPr>
                <w:rFonts w:ascii="宋体" w:hAnsi="宋体" w:eastAsia="宋体"/>
                <w:color w:val="auto"/>
                <w:highlight w:val="none"/>
              </w:rPr>
            </w:pPr>
            <w:r>
              <w:rPr>
                <w:rFonts w:hint="eastAsia" w:ascii="宋体" w:hAnsi="宋体" w:eastAsia="宋体"/>
                <w:color w:val="auto"/>
                <w:highlight w:val="none"/>
              </w:rPr>
              <w:t>姓名</w:t>
            </w:r>
          </w:p>
        </w:tc>
        <w:tc>
          <w:tcPr>
            <w:tcW w:w="1435" w:type="dxa"/>
            <w:vAlign w:val="center"/>
          </w:tcPr>
          <w:p w14:paraId="0342FC1C">
            <w:pPr>
              <w:jc w:val="center"/>
              <w:rPr>
                <w:rFonts w:ascii="宋体" w:hAnsi="宋体" w:eastAsia="宋体"/>
                <w:color w:val="auto"/>
                <w:highlight w:val="none"/>
              </w:rPr>
            </w:pPr>
          </w:p>
        </w:tc>
        <w:tc>
          <w:tcPr>
            <w:tcW w:w="861" w:type="dxa"/>
            <w:vAlign w:val="center"/>
          </w:tcPr>
          <w:p w14:paraId="47E27107">
            <w:pPr>
              <w:jc w:val="center"/>
              <w:rPr>
                <w:rFonts w:ascii="宋体" w:hAnsi="宋体" w:eastAsia="宋体"/>
                <w:color w:val="auto"/>
                <w:highlight w:val="none"/>
              </w:rPr>
            </w:pPr>
            <w:r>
              <w:rPr>
                <w:rFonts w:hint="eastAsia" w:ascii="宋体" w:hAnsi="宋体" w:eastAsia="宋体"/>
                <w:color w:val="auto"/>
                <w:highlight w:val="none"/>
              </w:rPr>
              <w:t>性别</w:t>
            </w:r>
          </w:p>
        </w:tc>
        <w:tc>
          <w:tcPr>
            <w:tcW w:w="1096" w:type="dxa"/>
            <w:vAlign w:val="center"/>
          </w:tcPr>
          <w:p w14:paraId="36C26A3D">
            <w:pPr>
              <w:jc w:val="center"/>
              <w:rPr>
                <w:rFonts w:ascii="宋体" w:hAnsi="宋体" w:eastAsia="宋体"/>
                <w:color w:val="auto"/>
                <w:highlight w:val="none"/>
              </w:rPr>
            </w:pPr>
          </w:p>
        </w:tc>
        <w:tc>
          <w:tcPr>
            <w:tcW w:w="913" w:type="dxa"/>
            <w:vAlign w:val="center"/>
          </w:tcPr>
          <w:p w14:paraId="4E65D3FB">
            <w:pPr>
              <w:jc w:val="center"/>
              <w:rPr>
                <w:rFonts w:ascii="宋体" w:hAnsi="宋体" w:eastAsia="宋体"/>
                <w:color w:val="auto"/>
                <w:highlight w:val="none"/>
              </w:rPr>
            </w:pPr>
            <w:r>
              <w:rPr>
                <w:rFonts w:hint="eastAsia" w:ascii="宋体" w:hAnsi="宋体" w:eastAsia="宋体"/>
                <w:color w:val="auto"/>
                <w:highlight w:val="none"/>
              </w:rPr>
              <w:t>年龄</w:t>
            </w:r>
          </w:p>
        </w:tc>
        <w:tc>
          <w:tcPr>
            <w:tcW w:w="1435" w:type="dxa"/>
            <w:vAlign w:val="center"/>
          </w:tcPr>
          <w:p w14:paraId="0B1168B9">
            <w:pPr>
              <w:jc w:val="center"/>
              <w:rPr>
                <w:rFonts w:ascii="宋体" w:hAnsi="宋体" w:eastAsia="宋体"/>
                <w:color w:val="auto"/>
                <w:highlight w:val="none"/>
              </w:rPr>
            </w:pPr>
          </w:p>
        </w:tc>
        <w:tc>
          <w:tcPr>
            <w:tcW w:w="861" w:type="dxa"/>
            <w:vAlign w:val="center"/>
          </w:tcPr>
          <w:p w14:paraId="3F171346">
            <w:pPr>
              <w:jc w:val="center"/>
              <w:rPr>
                <w:rFonts w:ascii="宋体" w:hAnsi="宋体" w:eastAsia="宋体"/>
                <w:color w:val="auto"/>
                <w:highlight w:val="none"/>
              </w:rPr>
            </w:pPr>
            <w:r>
              <w:rPr>
                <w:rFonts w:hint="eastAsia" w:ascii="宋体" w:hAnsi="宋体" w:eastAsia="宋体"/>
                <w:color w:val="auto"/>
                <w:highlight w:val="none"/>
              </w:rPr>
              <w:t>专业</w:t>
            </w:r>
          </w:p>
        </w:tc>
        <w:tc>
          <w:tcPr>
            <w:tcW w:w="2009" w:type="dxa"/>
            <w:vAlign w:val="center"/>
          </w:tcPr>
          <w:p w14:paraId="685E0A47">
            <w:pPr>
              <w:jc w:val="center"/>
              <w:rPr>
                <w:rFonts w:ascii="宋体" w:hAnsi="宋体" w:eastAsia="宋体"/>
                <w:color w:val="auto"/>
                <w:highlight w:val="none"/>
              </w:rPr>
            </w:pPr>
          </w:p>
        </w:tc>
      </w:tr>
      <w:tr w14:paraId="08370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7EEBA7B3">
            <w:pPr>
              <w:jc w:val="center"/>
              <w:rPr>
                <w:rFonts w:ascii="宋体" w:hAnsi="宋体" w:eastAsia="宋体"/>
                <w:color w:val="auto"/>
                <w:highlight w:val="none"/>
              </w:rPr>
            </w:pPr>
            <w:r>
              <w:rPr>
                <w:rFonts w:hint="eastAsia" w:ascii="宋体" w:hAnsi="宋体" w:eastAsia="宋体"/>
                <w:color w:val="auto"/>
                <w:highlight w:val="none"/>
              </w:rPr>
              <w:t>职称</w:t>
            </w:r>
          </w:p>
        </w:tc>
        <w:tc>
          <w:tcPr>
            <w:tcW w:w="1435" w:type="dxa"/>
            <w:vAlign w:val="center"/>
          </w:tcPr>
          <w:p w14:paraId="2C24FE5D">
            <w:pPr>
              <w:jc w:val="center"/>
              <w:rPr>
                <w:rFonts w:ascii="宋体" w:hAnsi="宋体" w:eastAsia="宋体"/>
                <w:color w:val="auto"/>
                <w:highlight w:val="none"/>
              </w:rPr>
            </w:pPr>
          </w:p>
        </w:tc>
        <w:tc>
          <w:tcPr>
            <w:tcW w:w="1957" w:type="dxa"/>
            <w:gridSpan w:val="2"/>
            <w:vAlign w:val="center"/>
          </w:tcPr>
          <w:p w14:paraId="3872823C">
            <w:pPr>
              <w:jc w:val="center"/>
              <w:rPr>
                <w:rFonts w:ascii="宋体" w:hAnsi="宋体" w:eastAsia="宋体"/>
                <w:color w:val="auto"/>
                <w:highlight w:val="none"/>
              </w:rPr>
            </w:pPr>
            <w:r>
              <w:rPr>
                <w:rFonts w:hint="eastAsia" w:ascii="宋体" w:hAnsi="宋体" w:eastAsia="宋体"/>
                <w:color w:val="auto"/>
                <w:highlight w:val="none"/>
              </w:rPr>
              <w:t>毕业院校</w:t>
            </w:r>
          </w:p>
        </w:tc>
        <w:tc>
          <w:tcPr>
            <w:tcW w:w="2348" w:type="dxa"/>
            <w:gridSpan w:val="2"/>
            <w:vAlign w:val="center"/>
          </w:tcPr>
          <w:p w14:paraId="5530274F">
            <w:pPr>
              <w:jc w:val="center"/>
              <w:rPr>
                <w:rFonts w:ascii="宋体" w:hAnsi="宋体" w:eastAsia="宋体"/>
                <w:color w:val="auto"/>
                <w:highlight w:val="none"/>
              </w:rPr>
            </w:pPr>
          </w:p>
        </w:tc>
        <w:tc>
          <w:tcPr>
            <w:tcW w:w="861" w:type="dxa"/>
            <w:vAlign w:val="center"/>
          </w:tcPr>
          <w:p w14:paraId="53DE8E71">
            <w:pPr>
              <w:jc w:val="center"/>
              <w:rPr>
                <w:rFonts w:ascii="宋体" w:hAnsi="宋体" w:eastAsia="宋体"/>
                <w:color w:val="auto"/>
                <w:highlight w:val="none"/>
              </w:rPr>
            </w:pPr>
            <w:r>
              <w:rPr>
                <w:rFonts w:hint="eastAsia" w:ascii="宋体" w:hAnsi="宋体" w:eastAsia="宋体"/>
                <w:color w:val="auto"/>
                <w:highlight w:val="none"/>
              </w:rPr>
              <w:t>学历</w:t>
            </w:r>
          </w:p>
        </w:tc>
        <w:tc>
          <w:tcPr>
            <w:tcW w:w="2009" w:type="dxa"/>
            <w:vAlign w:val="center"/>
          </w:tcPr>
          <w:p w14:paraId="6A106927">
            <w:pPr>
              <w:jc w:val="center"/>
              <w:rPr>
                <w:rFonts w:ascii="宋体" w:hAnsi="宋体" w:eastAsia="宋体"/>
                <w:color w:val="auto"/>
                <w:highlight w:val="none"/>
              </w:rPr>
            </w:pPr>
          </w:p>
        </w:tc>
      </w:tr>
      <w:tr w14:paraId="09DB6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2971976C">
            <w:pPr>
              <w:jc w:val="center"/>
              <w:rPr>
                <w:rFonts w:ascii="宋体" w:hAnsi="宋体" w:eastAsia="宋体"/>
                <w:color w:val="auto"/>
                <w:highlight w:val="none"/>
              </w:rPr>
            </w:pPr>
            <w:r>
              <w:rPr>
                <w:rFonts w:hint="eastAsia" w:ascii="宋体" w:hAnsi="宋体" w:eastAsia="宋体"/>
                <w:color w:val="auto"/>
                <w:highlight w:val="none"/>
              </w:rPr>
              <w:t>参加工作时间</w:t>
            </w:r>
          </w:p>
        </w:tc>
        <w:tc>
          <w:tcPr>
            <w:tcW w:w="1957" w:type="dxa"/>
            <w:gridSpan w:val="2"/>
            <w:vAlign w:val="center"/>
          </w:tcPr>
          <w:p w14:paraId="57D3BD60">
            <w:pPr>
              <w:jc w:val="center"/>
              <w:rPr>
                <w:rFonts w:ascii="宋体" w:hAnsi="宋体" w:eastAsia="宋体"/>
                <w:color w:val="auto"/>
                <w:highlight w:val="none"/>
              </w:rPr>
            </w:pPr>
          </w:p>
        </w:tc>
        <w:tc>
          <w:tcPr>
            <w:tcW w:w="3209" w:type="dxa"/>
            <w:gridSpan w:val="3"/>
            <w:vAlign w:val="center"/>
          </w:tcPr>
          <w:p w14:paraId="1B9D9963">
            <w:pPr>
              <w:jc w:val="center"/>
              <w:rPr>
                <w:rFonts w:ascii="宋体" w:hAnsi="宋体" w:eastAsia="宋体"/>
                <w:color w:val="auto"/>
                <w:highlight w:val="none"/>
              </w:rPr>
            </w:pPr>
            <w:r>
              <w:rPr>
                <w:rFonts w:hint="eastAsia" w:ascii="宋体" w:hAnsi="宋体" w:eastAsia="宋体"/>
                <w:color w:val="auto"/>
                <w:highlight w:val="none"/>
              </w:rPr>
              <w:t>从事技术负责人年限</w:t>
            </w:r>
          </w:p>
        </w:tc>
        <w:tc>
          <w:tcPr>
            <w:tcW w:w="2009" w:type="dxa"/>
            <w:vAlign w:val="center"/>
          </w:tcPr>
          <w:p w14:paraId="6EE1A361">
            <w:pPr>
              <w:jc w:val="center"/>
              <w:rPr>
                <w:rFonts w:ascii="宋体" w:hAnsi="宋体" w:eastAsia="宋体"/>
                <w:color w:val="auto"/>
                <w:highlight w:val="none"/>
              </w:rPr>
            </w:pPr>
          </w:p>
        </w:tc>
      </w:tr>
      <w:tr w14:paraId="1F8B3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020F7595">
            <w:pPr>
              <w:jc w:val="center"/>
              <w:rPr>
                <w:rFonts w:ascii="宋体" w:hAnsi="宋体" w:eastAsia="宋体"/>
                <w:color w:val="auto"/>
                <w:highlight w:val="none"/>
              </w:rPr>
            </w:pPr>
          </w:p>
          <w:p w14:paraId="7436D8A6">
            <w:pPr>
              <w:jc w:val="center"/>
              <w:rPr>
                <w:rFonts w:ascii="宋体" w:hAnsi="宋体" w:eastAsia="宋体"/>
                <w:color w:val="auto"/>
                <w:highlight w:val="none"/>
              </w:rPr>
            </w:pPr>
          </w:p>
          <w:p w14:paraId="01B27FB5">
            <w:pPr>
              <w:jc w:val="center"/>
              <w:rPr>
                <w:rFonts w:ascii="宋体" w:hAnsi="宋体" w:eastAsia="宋体"/>
                <w:color w:val="auto"/>
                <w:highlight w:val="none"/>
              </w:rPr>
            </w:pPr>
          </w:p>
          <w:p w14:paraId="60B407D2">
            <w:pPr>
              <w:jc w:val="center"/>
              <w:rPr>
                <w:rFonts w:ascii="宋体" w:hAnsi="宋体" w:eastAsia="宋体"/>
                <w:color w:val="auto"/>
                <w:highlight w:val="none"/>
              </w:rPr>
            </w:pPr>
            <w:r>
              <w:rPr>
                <w:rFonts w:hint="eastAsia" w:ascii="宋体" w:hAnsi="宋体" w:eastAsia="宋体"/>
                <w:color w:val="auto"/>
                <w:highlight w:val="none"/>
              </w:rPr>
              <w:t>简</w:t>
            </w:r>
          </w:p>
          <w:p w14:paraId="60185AF3">
            <w:pPr>
              <w:jc w:val="center"/>
              <w:rPr>
                <w:rFonts w:ascii="宋体" w:hAnsi="宋体" w:eastAsia="宋体"/>
                <w:color w:val="auto"/>
                <w:highlight w:val="none"/>
              </w:rPr>
            </w:pPr>
          </w:p>
          <w:p w14:paraId="0AB93FEC">
            <w:pPr>
              <w:jc w:val="center"/>
              <w:rPr>
                <w:rFonts w:ascii="宋体" w:hAnsi="宋体" w:eastAsia="宋体"/>
                <w:color w:val="auto"/>
                <w:highlight w:val="none"/>
              </w:rPr>
            </w:pPr>
          </w:p>
          <w:p w14:paraId="78BD944D">
            <w:pPr>
              <w:rPr>
                <w:rFonts w:ascii="宋体" w:hAnsi="宋体" w:eastAsia="宋体"/>
                <w:color w:val="auto"/>
                <w:highlight w:val="none"/>
              </w:rPr>
            </w:pPr>
          </w:p>
          <w:p w14:paraId="66AC971E">
            <w:pPr>
              <w:rPr>
                <w:rFonts w:ascii="宋体" w:hAnsi="宋体" w:eastAsia="宋体"/>
                <w:color w:val="auto"/>
                <w:highlight w:val="none"/>
              </w:rPr>
            </w:pPr>
          </w:p>
          <w:p w14:paraId="5961EAC0">
            <w:pPr>
              <w:jc w:val="center"/>
              <w:rPr>
                <w:rFonts w:ascii="宋体" w:hAnsi="宋体" w:eastAsia="宋体"/>
                <w:color w:val="auto"/>
                <w:highlight w:val="none"/>
              </w:rPr>
            </w:pPr>
          </w:p>
          <w:p w14:paraId="06DDD4FB">
            <w:pPr>
              <w:jc w:val="center"/>
              <w:rPr>
                <w:rFonts w:ascii="宋体" w:hAnsi="宋体" w:eastAsia="宋体"/>
                <w:color w:val="auto"/>
                <w:highlight w:val="none"/>
              </w:rPr>
            </w:pPr>
          </w:p>
          <w:p w14:paraId="48CFCAA8">
            <w:pPr>
              <w:jc w:val="center"/>
              <w:rPr>
                <w:rFonts w:ascii="宋体" w:hAnsi="宋体" w:eastAsia="宋体"/>
                <w:color w:val="auto"/>
                <w:highlight w:val="none"/>
              </w:rPr>
            </w:pPr>
            <w:r>
              <w:rPr>
                <w:rFonts w:hint="eastAsia" w:ascii="宋体" w:hAnsi="宋体" w:eastAsia="宋体"/>
                <w:color w:val="auto"/>
                <w:highlight w:val="none"/>
              </w:rPr>
              <w:t>历</w:t>
            </w:r>
          </w:p>
          <w:p w14:paraId="1E992417">
            <w:pPr>
              <w:jc w:val="center"/>
              <w:rPr>
                <w:rFonts w:ascii="宋体" w:hAnsi="宋体" w:eastAsia="宋体"/>
                <w:color w:val="auto"/>
                <w:highlight w:val="none"/>
              </w:rPr>
            </w:pPr>
          </w:p>
          <w:p w14:paraId="53542406">
            <w:pPr>
              <w:jc w:val="center"/>
              <w:rPr>
                <w:rFonts w:ascii="宋体" w:hAnsi="宋体" w:eastAsia="宋体"/>
                <w:color w:val="auto"/>
                <w:highlight w:val="none"/>
              </w:rPr>
            </w:pPr>
          </w:p>
          <w:p w14:paraId="215B11B4">
            <w:pPr>
              <w:rPr>
                <w:rFonts w:ascii="宋体" w:hAnsi="宋体" w:eastAsia="宋体"/>
                <w:color w:val="auto"/>
                <w:highlight w:val="none"/>
              </w:rPr>
            </w:pPr>
          </w:p>
        </w:tc>
        <w:tc>
          <w:tcPr>
            <w:tcW w:w="8610" w:type="dxa"/>
            <w:gridSpan w:val="7"/>
          </w:tcPr>
          <w:p w14:paraId="070BE5C6">
            <w:pPr>
              <w:rPr>
                <w:rFonts w:ascii="宋体" w:hAnsi="宋体" w:eastAsia="宋体"/>
                <w:color w:val="auto"/>
                <w:highlight w:val="none"/>
              </w:rPr>
            </w:pPr>
          </w:p>
        </w:tc>
      </w:tr>
    </w:tbl>
    <w:p w14:paraId="038A319F">
      <w:pPr>
        <w:rPr>
          <w:rFonts w:ascii="宋体" w:hAnsi="宋体" w:eastAsia="宋体"/>
          <w:color w:val="auto"/>
          <w:highlight w:val="none"/>
        </w:rPr>
      </w:pPr>
    </w:p>
    <w:p w14:paraId="57128D09">
      <w:pPr>
        <w:rPr>
          <w:rFonts w:ascii="宋体" w:hAnsi="宋体" w:eastAsia="宋体"/>
          <w:color w:val="auto"/>
          <w:sz w:val="24"/>
          <w:szCs w:val="24"/>
          <w:highlight w:val="none"/>
        </w:rPr>
      </w:pPr>
      <w:bookmarkStart w:id="170" w:name="_Toc106553080"/>
      <w:bookmarkStart w:id="171" w:name="_Toc106012818"/>
      <w:bookmarkStart w:id="172" w:name="_Toc155342586"/>
      <w:r>
        <w:rPr>
          <w:rFonts w:hint="eastAsia" w:ascii="宋体" w:hAnsi="宋体" w:eastAsia="宋体"/>
          <w:color w:val="auto"/>
          <w:sz w:val="24"/>
          <w:szCs w:val="24"/>
          <w:highlight w:val="none"/>
        </w:rPr>
        <w:t>法定代表人（签字或盖章）：                             投标人（盖章）：</w:t>
      </w:r>
    </w:p>
    <w:p w14:paraId="7C9E0480">
      <w:pPr>
        <w:jc w:val="right"/>
        <w:rPr>
          <w:rFonts w:ascii="宋体" w:hAnsi="宋体" w:eastAsia="宋体"/>
          <w:color w:val="auto"/>
          <w:sz w:val="24"/>
          <w:szCs w:val="24"/>
          <w:highlight w:val="none"/>
        </w:rPr>
      </w:pPr>
    </w:p>
    <w:p w14:paraId="6540D5C5">
      <w:pPr>
        <w:ind w:firstLine="6480" w:firstLineChars="2700"/>
        <w:rPr>
          <w:rFonts w:ascii="宋体" w:hAnsi="宋体" w:eastAsia="宋体"/>
          <w:color w:val="auto"/>
          <w:sz w:val="24"/>
          <w:szCs w:val="24"/>
          <w:highlight w:val="none"/>
        </w:rPr>
      </w:pPr>
    </w:p>
    <w:p w14:paraId="41330540">
      <w:pPr>
        <w:ind w:firstLine="6480" w:firstLineChars="2700"/>
        <w:rPr>
          <w:rFonts w:ascii="宋体" w:hAnsi="宋体" w:eastAsia="宋体"/>
          <w:color w:val="auto"/>
          <w:sz w:val="24"/>
          <w:szCs w:val="24"/>
          <w:highlight w:val="none"/>
        </w:rPr>
      </w:pPr>
      <w:r>
        <w:rPr>
          <w:rFonts w:hint="eastAsia" w:ascii="宋体" w:hAnsi="宋体" w:eastAsia="宋体"/>
          <w:color w:val="auto"/>
          <w:sz w:val="24"/>
          <w:szCs w:val="24"/>
          <w:highlight w:val="none"/>
        </w:rPr>
        <w:t>日期：   年   月   日</w:t>
      </w:r>
    </w:p>
    <w:p w14:paraId="67E510F4">
      <w:pPr>
        <w:rPr>
          <w:color w:val="auto"/>
          <w:sz w:val="28"/>
          <w:szCs w:val="28"/>
          <w:highlight w:val="none"/>
        </w:rPr>
      </w:pPr>
      <w:bookmarkStart w:id="173" w:name="_Toc4216"/>
      <w:bookmarkStart w:id="174" w:name="_Toc386208332"/>
      <w:bookmarkStart w:id="175" w:name="_Toc386207867"/>
      <w:bookmarkStart w:id="176" w:name="_Toc386207774"/>
      <w:bookmarkStart w:id="177" w:name="_Toc386209083"/>
      <w:bookmarkStart w:id="178" w:name="_Toc26311"/>
      <w:bookmarkStart w:id="179" w:name="_Toc24065"/>
      <w:bookmarkStart w:id="180" w:name="_Toc386207588"/>
      <w:r>
        <w:rPr>
          <w:rFonts w:hint="eastAsia"/>
          <w:color w:val="auto"/>
          <w:sz w:val="28"/>
          <w:szCs w:val="28"/>
          <w:highlight w:val="none"/>
        </w:rPr>
        <w:br w:type="page"/>
      </w:r>
    </w:p>
    <w:p w14:paraId="1B74A673">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附件五：项目负责人在建项目承诺书</w:t>
      </w:r>
      <w:bookmarkEnd w:id="173"/>
      <w:bookmarkEnd w:id="174"/>
      <w:bookmarkEnd w:id="175"/>
      <w:bookmarkEnd w:id="176"/>
      <w:bookmarkEnd w:id="177"/>
      <w:bookmarkEnd w:id="178"/>
      <w:bookmarkEnd w:id="179"/>
      <w:bookmarkEnd w:id="180"/>
    </w:p>
    <w:p w14:paraId="6D7A7C09">
      <w:pPr>
        <w:spacing w:line="440" w:lineRule="exact"/>
        <w:rPr>
          <w:rFonts w:eastAsia="黑体"/>
          <w:color w:val="auto"/>
          <w:sz w:val="20"/>
          <w:highlight w:val="none"/>
        </w:rPr>
      </w:pPr>
    </w:p>
    <w:p w14:paraId="15E955C4">
      <w:pPr>
        <w:spacing w:line="440" w:lineRule="exact"/>
        <w:jc w:val="center"/>
        <w:rPr>
          <w:rFonts w:ascii="黑体" w:eastAsia="黑体"/>
          <w:b/>
          <w:color w:val="auto"/>
          <w:sz w:val="44"/>
          <w:highlight w:val="none"/>
        </w:rPr>
      </w:pPr>
      <w:r>
        <w:rPr>
          <w:rFonts w:hint="eastAsia" w:ascii="黑体" w:eastAsia="黑体"/>
          <w:b/>
          <w:color w:val="auto"/>
          <w:sz w:val="44"/>
          <w:szCs w:val="24"/>
          <w:highlight w:val="none"/>
        </w:rPr>
        <w:t>项目负责人在建项目承诺书</w:t>
      </w:r>
    </w:p>
    <w:p w14:paraId="1613865E">
      <w:pPr>
        <w:spacing w:line="440" w:lineRule="exact"/>
        <w:rPr>
          <w:rFonts w:ascii="宋体" w:hAnsi="宋体" w:eastAsia="宋体"/>
          <w:color w:val="auto"/>
          <w:sz w:val="24"/>
          <w:szCs w:val="24"/>
          <w:highlight w:val="none"/>
        </w:rPr>
      </w:pPr>
    </w:p>
    <w:p w14:paraId="307B5081">
      <w:pPr>
        <w:spacing w:line="440" w:lineRule="exact"/>
        <w:rPr>
          <w:rFonts w:ascii="宋体" w:hAnsi="宋体" w:eastAsia="宋体"/>
          <w:color w:val="auto"/>
          <w:sz w:val="24"/>
          <w:szCs w:val="24"/>
          <w:highlight w:val="none"/>
        </w:rPr>
      </w:pPr>
    </w:p>
    <w:p w14:paraId="25395182">
      <w:pPr>
        <w:spacing w:line="360" w:lineRule="auto"/>
        <w:rPr>
          <w:rFonts w:ascii="宋体" w:hAnsi="宋体" w:eastAsia="宋体"/>
          <w:color w:val="auto"/>
          <w:sz w:val="28"/>
          <w:szCs w:val="28"/>
          <w:highlight w:val="none"/>
        </w:rPr>
      </w:pPr>
      <w:r>
        <w:rPr>
          <w:rFonts w:hint="eastAsia" w:ascii="宋体" w:hAnsi="宋体" w:eastAsia="宋体"/>
          <w:color w:val="auto"/>
          <w:sz w:val="28"/>
          <w:szCs w:val="28"/>
          <w:highlight w:val="none"/>
        </w:rPr>
        <w:t>我方在此郑重承诺：</w:t>
      </w:r>
    </w:p>
    <w:p w14:paraId="1F66C404">
      <w:pPr>
        <w:spacing w:line="360" w:lineRule="auto"/>
        <w:ind w:firstLine="560" w:firstLineChars="200"/>
        <w:jc w:val="left"/>
        <w:rPr>
          <w:rFonts w:ascii="宋体" w:hAnsi="宋体" w:eastAsia="宋体"/>
          <w:color w:val="auto"/>
          <w:sz w:val="28"/>
          <w:szCs w:val="28"/>
          <w:highlight w:val="none"/>
          <w:u w:val="single"/>
        </w:rPr>
      </w:pPr>
      <w:r>
        <w:rPr>
          <w:rFonts w:hint="eastAsia" w:ascii="宋体" w:hAnsi="宋体" w:eastAsia="宋体"/>
          <w:color w:val="auto"/>
          <w:sz w:val="28"/>
          <w:szCs w:val="28"/>
          <w:highlight w:val="none"/>
        </w:rPr>
        <w:t>我方参加</w:t>
      </w:r>
      <w:r>
        <w:rPr>
          <w:rFonts w:hint="eastAsia" w:ascii="宋体" w:hAnsi="宋体" w:eastAsia="宋体"/>
          <w:color w:val="auto"/>
          <w:sz w:val="28"/>
          <w:szCs w:val="28"/>
          <w:highlight w:val="none"/>
          <w:u w:val="single"/>
          <w:lang w:eastAsia="zh-CN"/>
        </w:rPr>
        <w:t>运动场地改造工程</w:t>
      </w:r>
      <w:r>
        <w:rPr>
          <w:rFonts w:hint="eastAsia" w:ascii="宋体" w:hAnsi="宋体" w:eastAsia="宋体"/>
          <w:color w:val="auto"/>
          <w:sz w:val="28"/>
          <w:szCs w:val="28"/>
          <w:highlight w:val="none"/>
        </w:rPr>
        <w:t>（招标工程名称）的项目负责人在建项目情况符合招标文件第一章“投标须知”第一节“总则”第 4.3款规定。</w:t>
      </w:r>
    </w:p>
    <w:p w14:paraId="2129D21D">
      <w:pPr>
        <w:spacing w:line="360" w:lineRule="auto"/>
        <w:ind w:firstLine="560" w:firstLineChars="200"/>
        <w:rPr>
          <w:rFonts w:ascii="宋体" w:hAnsi="宋体" w:eastAsia="宋体"/>
          <w:color w:val="auto"/>
          <w:sz w:val="28"/>
          <w:szCs w:val="28"/>
          <w:highlight w:val="none"/>
        </w:rPr>
      </w:pPr>
      <w:r>
        <w:rPr>
          <w:rFonts w:hint="eastAsia" w:ascii="宋体" w:hAnsi="宋体" w:eastAsia="宋体"/>
          <w:color w:val="auto"/>
          <w:sz w:val="28"/>
          <w:szCs w:val="28"/>
          <w:highlight w:val="none"/>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381863DC">
      <w:pPr>
        <w:spacing w:line="360" w:lineRule="auto"/>
        <w:ind w:firstLine="560" w:firstLineChars="200"/>
        <w:rPr>
          <w:rFonts w:ascii="宋体" w:hAnsi="宋体" w:eastAsia="宋体"/>
          <w:color w:val="auto"/>
          <w:sz w:val="28"/>
          <w:szCs w:val="28"/>
          <w:highlight w:val="none"/>
          <w:u w:val="single"/>
        </w:rPr>
      </w:pPr>
    </w:p>
    <w:p w14:paraId="6B4687F8">
      <w:pPr>
        <w:spacing w:line="440" w:lineRule="exact"/>
        <w:jc w:val="center"/>
        <w:rPr>
          <w:rFonts w:eastAsia="黑体"/>
          <w:color w:val="auto"/>
          <w:sz w:val="20"/>
          <w:highlight w:val="none"/>
        </w:rPr>
      </w:pPr>
    </w:p>
    <w:p w14:paraId="011BC31F">
      <w:pPr>
        <w:spacing w:line="440" w:lineRule="exact"/>
        <w:jc w:val="center"/>
        <w:rPr>
          <w:rFonts w:eastAsia="黑体"/>
          <w:color w:val="auto"/>
          <w:sz w:val="20"/>
          <w:highlight w:val="none"/>
        </w:rPr>
      </w:pPr>
    </w:p>
    <w:p w14:paraId="06281690">
      <w:pPr>
        <w:spacing w:line="440" w:lineRule="exact"/>
        <w:jc w:val="center"/>
        <w:rPr>
          <w:rFonts w:eastAsia="黑体"/>
          <w:color w:val="auto"/>
          <w:sz w:val="20"/>
          <w:highlight w:val="none"/>
        </w:rPr>
      </w:pPr>
    </w:p>
    <w:p w14:paraId="53989D71">
      <w:pPr>
        <w:spacing w:line="440" w:lineRule="exact"/>
        <w:jc w:val="center"/>
        <w:rPr>
          <w:rFonts w:eastAsia="黑体"/>
          <w:color w:val="auto"/>
          <w:sz w:val="20"/>
          <w:highlight w:val="none"/>
        </w:rPr>
      </w:pPr>
    </w:p>
    <w:p w14:paraId="0E4F4C1A">
      <w:pPr>
        <w:spacing w:line="440" w:lineRule="exact"/>
        <w:ind w:right="560" w:firstLine="3920" w:firstLineChars="1400"/>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法定代表人（签字或盖章）：  </w:t>
      </w:r>
    </w:p>
    <w:p w14:paraId="13651D3F">
      <w:pPr>
        <w:spacing w:line="440" w:lineRule="exact"/>
        <w:jc w:val="right"/>
        <w:rPr>
          <w:rFonts w:ascii="宋体" w:hAnsi="宋体" w:eastAsia="宋体"/>
          <w:color w:val="auto"/>
          <w:sz w:val="28"/>
          <w:szCs w:val="28"/>
          <w:highlight w:val="none"/>
        </w:rPr>
      </w:pPr>
    </w:p>
    <w:p w14:paraId="3DCB2A6F">
      <w:pPr>
        <w:spacing w:line="440" w:lineRule="exact"/>
        <w:ind w:right="560" w:firstLine="3920" w:firstLineChars="1400"/>
        <w:rPr>
          <w:rFonts w:ascii="宋体" w:hAnsi="宋体" w:eastAsia="宋体"/>
          <w:color w:val="auto"/>
          <w:sz w:val="28"/>
          <w:szCs w:val="28"/>
          <w:highlight w:val="none"/>
        </w:rPr>
      </w:pPr>
      <w:r>
        <w:rPr>
          <w:rFonts w:hint="eastAsia" w:ascii="宋体" w:hAnsi="宋体" w:eastAsia="宋体"/>
          <w:color w:val="auto"/>
          <w:sz w:val="28"/>
          <w:szCs w:val="28"/>
          <w:highlight w:val="none"/>
        </w:rPr>
        <w:t>投 标 人（盖章）：</w:t>
      </w:r>
    </w:p>
    <w:p w14:paraId="56463810">
      <w:pPr>
        <w:spacing w:line="440" w:lineRule="exact"/>
        <w:ind w:right="560" w:firstLine="3920" w:firstLineChars="1400"/>
        <w:rPr>
          <w:rFonts w:ascii="宋体" w:hAnsi="宋体" w:eastAsia="宋体"/>
          <w:color w:val="auto"/>
          <w:sz w:val="28"/>
          <w:szCs w:val="28"/>
          <w:highlight w:val="none"/>
        </w:rPr>
      </w:pPr>
    </w:p>
    <w:p w14:paraId="039533D6">
      <w:pPr>
        <w:rPr>
          <w:rFonts w:eastAsia="宋体"/>
          <w:color w:val="auto"/>
          <w:sz w:val="21"/>
          <w:szCs w:val="24"/>
          <w:highlight w:val="none"/>
        </w:rPr>
      </w:pPr>
    </w:p>
    <w:p w14:paraId="3F32CF3D">
      <w:pPr>
        <w:jc w:val="right"/>
        <w:rPr>
          <w:color w:val="auto"/>
          <w:highlight w:val="none"/>
        </w:rPr>
      </w:pPr>
      <w:r>
        <w:rPr>
          <w:rFonts w:hint="eastAsia" w:ascii="宋体" w:hAnsi="宋体" w:eastAsia="宋体"/>
          <w:color w:val="auto"/>
          <w:sz w:val="28"/>
          <w:szCs w:val="28"/>
          <w:highlight w:val="none"/>
        </w:rPr>
        <w:t>日期：    年   月   日</w:t>
      </w:r>
    </w:p>
    <w:p w14:paraId="301746BD">
      <w:pPr>
        <w:pStyle w:val="3"/>
        <w:numPr>
          <w:ilvl w:val="0"/>
          <w:numId w:val="0"/>
        </w:numPr>
        <w:spacing w:before="0" w:afterLines="0" w:line="240" w:lineRule="auto"/>
        <w:jc w:val="both"/>
        <w:rPr>
          <w:b w:val="0"/>
          <w:color w:val="auto"/>
          <w:sz w:val="28"/>
          <w:szCs w:val="28"/>
          <w:highlight w:val="none"/>
        </w:rPr>
      </w:pPr>
      <w:bookmarkStart w:id="181" w:name="_Toc386121763"/>
      <w:bookmarkStart w:id="182" w:name="_Toc386122460"/>
      <w:bookmarkStart w:id="183" w:name="_Toc13566"/>
      <w:bookmarkStart w:id="184" w:name="_Toc25896"/>
    </w:p>
    <w:p w14:paraId="2756F018">
      <w:pPr>
        <w:rPr>
          <w:color w:val="auto"/>
          <w:sz w:val="28"/>
          <w:szCs w:val="28"/>
          <w:highlight w:val="none"/>
        </w:rPr>
      </w:pPr>
    </w:p>
    <w:p w14:paraId="4A0345E1">
      <w:pPr>
        <w:rPr>
          <w:color w:val="auto"/>
          <w:sz w:val="28"/>
          <w:szCs w:val="28"/>
          <w:highlight w:val="none"/>
        </w:rPr>
      </w:pPr>
    </w:p>
    <w:p w14:paraId="5CD2EA09">
      <w:pPr>
        <w:rPr>
          <w:color w:val="auto"/>
          <w:sz w:val="28"/>
          <w:szCs w:val="28"/>
          <w:highlight w:val="none"/>
        </w:rPr>
      </w:pPr>
      <w:r>
        <w:rPr>
          <w:rFonts w:hint="eastAsia"/>
          <w:color w:val="auto"/>
          <w:sz w:val="28"/>
          <w:szCs w:val="28"/>
          <w:highlight w:val="none"/>
        </w:rPr>
        <w:br w:type="page"/>
      </w:r>
    </w:p>
    <w:p w14:paraId="05615D2A">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附件六：</w:t>
      </w:r>
      <w:bookmarkEnd w:id="170"/>
      <w:bookmarkEnd w:id="171"/>
      <w:bookmarkEnd w:id="172"/>
      <w:bookmarkEnd w:id="181"/>
      <w:bookmarkEnd w:id="182"/>
      <w:r>
        <w:rPr>
          <w:rFonts w:hint="eastAsia"/>
          <w:b w:val="0"/>
          <w:color w:val="auto"/>
          <w:sz w:val="28"/>
          <w:szCs w:val="28"/>
          <w:highlight w:val="none"/>
        </w:rPr>
        <w:t>主要施工机械设备表</w:t>
      </w:r>
      <w:bookmarkEnd w:id="183"/>
      <w:bookmarkEnd w:id="184"/>
    </w:p>
    <w:p w14:paraId="3BEEB22A">
      <w:pPr>
        <w:rPr>
          <w:rFonts w:ascii="黑体" w:eastAsia="黑体"/>
          <w:color w:val="auto"/>
          <w:sz w:val="28"/>
          <w:szCs w:val="28"/>
          <w:highlight w:val="none"/>
        </w:rPr>
      </w:pPr>
    </w:p>
    <w:p w14:paraId="2267D627">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运动场地改造工程</w:t>
      </w:r>
    </w:p>
    <w:p w14:paraId="1B511FCC">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主要施工机械设备表</w:t>
      </w:r>
    </w:p>
    <w:tbl>
      <w:tblPr>
        <w:tblStyle w:val="23"/>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08385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7BE72DCD">
            <w:pPr>
              <w:jc w:val="center"/>
              <w:rPr>
                <w:rFonts w:ascii="宋体" w:hAnsi="宋体" w:eastAsia="宋体"/>
                <w:color w:val="auto"/>
                <w:highlight w:val="none"/>
              </w:rPr>
            </w:pPr>
            <w:r>
              <w:rPr>
                <w:rFonts w:hint="eastAsia" w:ascii="宋体" w:hAnsi="宋体" w:eastAsia="宋体"/>
                <w:color w:val="auto"/>
                <w:highlight w:val="none"/>
              </w:rPr>
              <w:t>序号</w:t>
            </w:r>
          </w:p>
        </w:tc>
        <w:tc>
          <w:tcPr>
            <w:tcW w:w="1525" w:type="dxa"/>
            <w:vAlign w:val="center"/>
          </w:tcPr>
          <w:p w14:paraId="3D7E9DCD">
            <w:pPr>
              <w:jc w:val="center"/>
              <w:rPr>
                <w:rFonts w:ascii="宋体" w:hAnsi="宋体" w:eastAsia="宋体"/>
                <w:color w:val="auto"/>
                <w:highlight w:val="none"/>
              </w:rPr>
            </w:pPr>
            <w:r>
              <w:rPr>
                <w:rFonts w:hint="eastAsia" w:ascii="宋体" w:hAnsi="宋体" w:eastAsia="宋体"/>
                <w:color w:val="auto"/>
                <w:highlight w:val="none"/>
              </w:rPr>
              <w:t>设备名称</w:t>
            </w:r>
          </w:p>
        </w:tc>
        <w:tc>
          <w:tcPr>
            <w:tcW w:w="1635" w:type="dxa"/>
            <w:vAlign w:val="center"/>
          </w:tcPr>
          <w:p w14:paraId="1F4CCBD4">
            <w:pPr>
              <w:jc w:val="center"/>
              <w:rPr>
                <w:rFonts w:ascii="宋体" w:hAnsi="宋体" w:eastAsia="宋体"/>
                <w:color w:val="auto"/>
                <w:highlight w:val="none"/>
              </w:rPr>
            </w:pPr>
            <w:r>
              <w:rPr>
                <w:rFonts w:hint="eastAsia" w:ascii="宋体" w:hAnsi="宋体" w:eastAsia="宋体"/>
                <w:color w:val="auto"/>
                <w:highlight w:val="none"/>
              </w:rPr>
              <w:t>规格型号</w:t>
            </w:r>
          </w:p>
        </w:tc>
        <w:tc>
          <w:tcPr>
            <w:tcW w:w="859" w:type="dxa"/>
            <w:vAlign w:val="center"/>
          </w:tcPr>
          <w:p w14:paraId="1AE6A407">
            <w:pPr>
              <w:jc w:val="center"/>
              <w:rPr>
                <w:rFonts w:ascii="宋体" w:hAnsi="宋体" w:eastAsia="宋体"/>
                <w:color w:val="auto"/>
                <w:highlight w:val="none"/>
              </w:rPr>
            </w:pPr>
            <w:r>
              <w:rPr>
                <w:rFonts w:hint="eastAsia" w:ascii="宋体" w:hAnsi="宋体" w:eastAsia="宋体"/>
                <w:color w:val="auto"/>
                <w:highlight w:val="none"/>
              </w:rPr>
              <w:t>数量</w:t>
            </w:r>
          </w:p>
        </w:tc>
        <w:tc>
          <w:tcPr>
            <w:tcW w:w="1582" w:type="dxa"/>
            <w:vAlign w:val="center"/>
          </w:tcPr>
          <w:p w14:paraId="4FA67B17">
            <w:pPr>
              <w:jc w:val="center"/>
              <w:rPr>
                <w:rFonts w:ascii="宋体" w:hAnsi="宋体" w:eastAsia="宋体"/>
                <w:color w:val="auto"/>
                <w:highlight w:val="none"/>
              </w:rPr>
            </w:pPr>
            <w:r>
              <w:rPr>
                <w:rFonts w:hint="eastAsia" w:ascii="宋体" w:hAnsi="宋体" w:eastAsia="宋体"/>
                <w:color w:val="auto"/>
                <w:highlight w:val="none"/>
              </w:rPr>
              <w:t>设备能力</w:t>
            </w:r>
          </w:p>
        </w:tc>
        <w:tc>
          <w:tcPr>
            <w:tcW w:w="1582" w:type="dxa"/>
            <w:vAlign w:val="center"/>
          </w:tcPr>
          <w:p w14:paraId="410C08C0">
            <w:pPr>
              <w:jc w:val="center"/>
              <w:rPr>
                <w:rFonts w:ascii="宋体" w:hAnsi="宋体" w:eastAsia="宋体"/>
                <w:color w:val="auto"/>
                <w:highlight w:val="none"/>
              </w:rPr>
            </w:pPr>
            <w:r>
              <w:rPr>
                <w:rFonts w:hint="eastAsia" w:ascii="宋体" w:hAnsi="宋体" w:eastAsia="宋体"/>
                <w:color w:val="auto"/>
                <w:highlight w:val="none"/>
              </w:rPr>
              <w:t>进场时间</w:t>
            </w:r>
          </w:p>
        </w:tc>
        <w:tc>
          <w:tcPr>
            <w:tcW w:w="1437" w:type="dxa"/>
            <w:vAlign w:val="center"/>
          </w:tcPr>
          <w:p w14:paraId="70D4AAB6">
            <w:pPr>
              <w:jc w:val="center"/>
              <w:rPr>
                <w:rFonts w:ascii="宋体" w:hAnsi="宋体" w:eastAsia="宋体"/>
                <w:color w:val="auto"/>
                <w:highlight w:val="none"/>
              </w:rPr>
            </w:pPr>
            <w:r>
              <w:rPr>
                <w:rFonts w:hint="eastAsia" w:ascii="宋体" w:hAnsi="宋体" w:eastAsia="宋体"/>
                <w:color w:val="auto"/>
                <w:highlight w:val="none"/>
              </w:rPr>
              <w:t>备注</w:t>
            </w:r>
          </w:p>
        </w:tc>
      </w:tr>
      <w:tr w14:paraId="2DEA2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9593B12">
            <w:pPr>
              <w:rPr>
                <w:rFonts w:ascii="宋体" w:hAnsi="宋体" w:eastAsia="宋体"/>
                <w:color w:val="auto"/>
                <w:highlight w:val="none"/>
              </w:rPr>
            </w:pPr>
          </w:p>
        </w:tc>
        <w:tc>
          <w:tcPr>
            <w:tcW w:w="1525" w:type="dxa"/>
          </w:tcPr>
          <w:p w14:paraId="77607307">
            <w:pPr>
              <w:rPr>
                <w:rFonts w:ascii="宋体" w:hAnsi="宋体" w:eastAsia="宋体"/>
                <w:color w:val="auto"/>
                <w:highlight w:val="none"/>
              </w:rPr>
            </w:pPr>
          </w:p>
        </w:tc>
        <w:tc>
          <w:tcPr>
            <w:tcW w:w="1635" w:type="dxa"/>
          </w:tcPr>
          <w:p w14:paraId="37CD6BFA">
            <w:pPr>
              <w:rPr>
                <w:rFonts w:ascii="宋体" w:hAnsi="宋体" w:eastAsia="宋体"/>
                <w:color w:val="auto"/>
                <w:highlight w:val="none"/>
              </w:rPr>
            </w:pPr>
          </w:p>
        </w:tc>
        <w:tc>
          <w:tcPr>
            <w:tcW w:w="859" w:type="dxa"/>
          </w:tcPr>
          <w:p w14:paraId="4378DE1E">
            <w:pPr>
              <w:rPr>
                <w:rFonts w:ascii="宋体" w:hAnsi="宋体" w:eastAsia="宋体"/>
                <w:color w:val="auto"/>
                <w:highlight w:val="none"/>
              </w:rPr>
            </w:pPr>
          </w:p>
        </w:tc>
        <w:tc>
          <w:tcPr>
            <w:tcW w:w="1582" w:type="dxa"/>
          </w:tcPr>
          <w:p w14:paraId="43D4B6A9">
            <w:pPr>
              <w:rPr>
                <w:rFonts w:ascii="宋体" w:hAnsi="宋体" w:eastAsia="宋体"/>
                <w:color w:val="auto"/>
                <w:highlight w:val="none"/>
              </w:rPr>
            </w:pPr>
          </w:p>
        </w:tc>
        <w:tc>
          <w:tcPr>
            <w:tcW w:w="1582" w:type="dxa"/>
          </w:tcPr>
          <w:p w14:paraId="124A3DF9">
            <w:pPr>
              <w:rPr>
                <w:rFonts w:ascii="宋体" w:hAnsi="宋体" w:eastAsia="宋体"/>
                <w:color w:val="auto"/>
                <w:highlight w:val="none"/>
              </w:rPr>
            </w:pPr>
          </w:p>
        </w:tc>
        <w:tc>
          <w:tcPr>
            <w:tcW w:w="1437" w:type="dxa"/>
          </w:tcPr>
          <w:p w14:paraId="1D4AC8FB">
            <w:pPr>
              <w:rPr>
                <w:rFonts w:ascii="宋体" w:hAnsi="宋体" w:eastAsia="宋体"/>
                <w:color w:val="auto"/>
                <w:highlight w:val="none"/>
              </w:rPr>
            </w:pPr>
          </w:p>
        </w:tc>
      </w:tr>
      <w:tr w14:paraId="55C55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E8A97E3">
            <w:pPr>
              <w:rPr>
                <w:rFonts w:ascii="宋体" w:hAnsi="宋体" w:eastAsia="宋体"/>
                <w:color w:val="auto"/>
                <w:highlight w:val="none"/>
              </w:rPr>
            </w:pPr>
          </w:p>
        </w:tc>
        <w:tc>
          <w:tcPr>
            <w:tcW w:w="1525" w:type="dxa"/>
          </w:tcPr>
          <w:p w14:paraId="1661DB2F">
            <w:pPr>
              <w:rPr>
                <w:rFonts w:ascii="宋体" w:hAnsi="宋体" w:eastAsia="宋体"/>
                <w:color w:val="auto"/>
                <w:highlight w:val="none"/>
              </w:rPr>
            </w:pPr>
          </w:p>
        </w:tc>
        <w:tc>
          <w:tcPr>
            <w:tcW w:w="1635" w:type="dxa"/>
          </w:tcPr>
          <w:p w14:paraId="0BE74B93">
            <w:pPr>
              <w:rPr>
                <w:rFonts w:ascii="宋体" w:hAnsi="宋体" w:eastAsia="宋体"/>
                <w:color w:val="auto"/>
                <w:highlight w:val="none"/>
              </w:rPr>
            </w:pPr>
          </w:p>
        </w:tc>
        <w:tc>
          <w:tcPr>
            <w:tcW w:w="859" w:type="dxa"/>
          </w:tcPr>
          <w:p w14:paraId="40A03286">
            <w:pPr>
              <w:rPr>
                <w:rFonts w:ascii="宋体" w:hAnsi="宋体" w:eastAsia="宋体"/>
                <w:color w:val="auto"/>
                <w:highlight w:val="none"/>
              </w:rPr>
            </w:pPr>
          </w:p>
        </w:tc>
        <w:tc>
          <w:tcPr>
            <w:tcW w:w="1582" w:type="dxa"/>
          </w:tcPr>
          <w:p w14:paraId="74940F9E">
            <w:pPr>
              <w:rPr>
                <w:rFonts w:ascii="宋体" w:hAnsi="宋体" w:eastAsia="宋体"/>
                <w:color w:val="auto"/>
                <w:highlight w:val="none"/>
              </w:rPr>
            </w:pPr>
          </w:p>
        </w:tc>
        <w:tc>
          <w:tcPr>
            <w:tcW w:w="1582" w:type="dxa"/>
          </w:tcPr>
          <w:p w14:paraId="4AF35D8F">
            <w:pPr>
              <w:rPr>
                <w:rFonts w:ascii="宋体" w:hAnsi="宋体" w:eastAsia="宋体"/>
                <w:color w:val="auto"/>
                <w:highlight w:val="none"/>
              </w:rPr>
            </w:pPr>
          </w:p>
        </w:tc>
        <w:tc>
          <w:tcPr>
            <w:tcW w:w="1437" w:type="dxa"/>
          </w:tcPr>
          <w:p w14:paraId="3C2299B5">
            <w:pPr>
              <w:rPr>
                <w:rFonts w:ascii="宋体" w:hAnsi="宋体" w:eastAsia="宋体"/>
                <w:color w:val="auto"/>
                <w:highlight w:val="none"/>
              </w:rPr>
            </w:pPr>
          </w:p>
        </w:tc>
      </w:tr>
      <w:tr w14:paraId="034A5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1EC4687">
            <w:pPr>
              <w:rPr>
                <w:rFonts w:ascii="宋体" w:hAnsi="宋体" w:eastAsia="宋体"/>
                <w:color w:val="auto"/>
                <w:highlight w:val="none"/>
              </w:rPr>
            </w:pPr>
          </w:p>
        </w:tc>
        <w:tc>
          <w:tcPr>
            <w:tcW w:w="1525" w:type="dxa"/>
          </w:tcPr>
          <w:p w14:paraId="02C6B870">
            <w:pPr>
              <w:rPr>
                <w:rFonts w:ascii="宋体" w:hAnsi="宋体" w:eastAsia="宋体"/>
                <w:color w:val="auto"/>
                <w:highlight w:val="none"/>
              </w:rPr>
            </w:pPr>
          </w:p>
        </w:tc>
        <w:tc>
          <w:tcPr>
            <w:tcW w:w="1635" w:type="dxa"/>
          </w:tcPr>
          <w:p w14:paraId="1DAF49D6">
            <w:pPr>
              <w:rPr>
                <w:rFonts w:ascii="宋体" w:hAnsi="宋体" w:eastAsia="宋体"/>
                <w:color w:val="auto"/>
                <w:highlight w:val="none"/>
              </w:rPr>
            </w:pPr>
          </w:p>
        </w:tc>
        <w:tc>
          <w:tcPr>
            <w:tcW w:w="859" w:type="dxa"/>
          </w:tcPr>
          <w:p w14:paraId="016FE004">
            <w:pPr>
              <w:rPr>
                <w:rFonts w:ascii="宋体" w:hAnsi="宋体" w:eastAsia="宋体"/>
                <w:color w:val="auto"/>
                <w:highlight w:val="none"/>
              </w:rPr>
            </w:pPr>
          </w:p>
        </w:tc>
        <w:tc>
          <w:tcPr>
            <w:tcW w:w="1582" w:type="dxa"/>
          </w:tcPr>
          <w:p w14:paraId="0B906CC6">
            <w:pPr>
              <w:rPr>
                <w:rFonts w:ascii="宋体" w:hAnsi="宋体" w:eastAsia="宋体"/>
                <w:color w:val="auto"/>
                <w:highlight w:val="none"/>
              </w:rPr>
            </w:pPr>
          </w:p>
        </w:tc>
        <w:tc>
          <w:tcPr>
            <w:tcW w:w="1582" w:type="dxa"/>
          </w:tcPr>
          <w:p w14:paraId="090389E1">
            <w:pPr>
              <w:rPr>
                <w:rFonts w:ascii="宋体" w:hAnsi="宋体" w:eastAsia="宋体"/>
                <w:color w:val="auto"/>
                <w:highlight w:val="none"/>
              </w:rPr>
            </w:pPr>
          </w:p>
        </w:tc>
        <w:tc>
          <w:tcPr>
            <w:tcW w:w="1437" w:type="dxa"/>
          </w:tcPr>
          <w:p w14:paraId="35E54AAB">
            <w:pPr>
              <w:rPr>
                <w:rFonts w:ascii="宋体" w:hAnsi="宋体" w:eastAsia="宋体"/>
                <w:color w:val="auto"/>
                <w:highlight w:val="none"/>
              </w:rPr>
            </w:pPr>
          </w:p>
        </w:tc>
      </w:tr>
      <w:tr w14:paraId="62F6E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A996352">
            <w:pPr>
              <w:rPr>
                <w:rFonts w:ascii="宋体" w:hAnsi="宋体" w:eastAsia="宋体"/>
                <w:color w:val="auto"/>
                <w:highlight w:val="none"/>
              </w:rPr>
            </w:pPr>
          </w:p>
        </w:tc>
        <w:tc>
          <w:tcPr>
            <w:tcW w:w="1525" w:type="dxa"/>
          </w:tcPr>
          <w:p w14:paraId="06CFEAC3">
            <w:pPr>
              <w:rPr>
                <w:rFonts w:ascii="宋体" w:hAnsi="宋体" w:eastAsia="宋体"/>
                <w:color w:val="auto"/>
                <w:highlight w:val="none"/>
              </w:rPr>
            </w:pPr>
          </w:p>
        </w:tc>
        <w:tc>
          <w:tcPr>
            <w:tcW w:w="1635" w:type="dxa"/>
          </w:tcPr>
          <w:p w14:paraId="7C7AE193">
            <w:pPr>
              <w:rPr>
                <w:rFonts w:ascii="宋体" w:hAnsi="宋体" w:eastAsia="宋体"/>
                <w:color w:val="auto"/>
                <w:highlight w:val="none"/>
              </w:rPr>
            </w:pPr>
          </w:p>
        </w:tc>
        <w:tc>
          <w:tcPr>
            <w:tcW w:w="859" w:type="dxa"/>
          </w:tcPr>
          <w:p w14:paraId="6F9B3231">
            <w:pPr>
              <w:rPr>
                <w:rFonts w:ascii="宋体" w:hAnsi="宋体" w:eastAsia="宋体"/>
                <w:color w:val="auto"/>
                <w:highlight w:val="none"/>
              </w:rPr>
            </w:pPr>
          </w:p>
        </w:tc>
        <w:tc>
          <w:tcPr>
            <w:tcW w:w="1582" w:type="dxa"/>
          </w:tcPr>
          <w:p w14:paraId="10FC3A8E">
            <w:pPr>
              <w:rPr>
                <w:rFonts w:ascii="宋体" w:hAnsi="宋体" w:eastAsia="宋体"/>
                <w:color w:val="auto"/>
                <w:highlight w:val="none"/>
              </w:rPr>
            </w:pPr>
          </w:p>
        </w:tc>
        <w:tc>
          <w:tcPr>
            <w:tcW w:w="1582" w:type="dxa"/>
          </w:tcPr>
          <w:p w14:paraId="0B3BDFEE">
            <w:pPr>
              <w:rPr>
                <w:rFonts w:ascii="宋体" w:hAnsi="宋体" w:eastAsia="宋体"/>
                <w:color w:val="auto"/>
                <w:highlight w:val="none"/>
              </w:rPr>
            </w:pPr>
          </w:p>
        </w:tc>
        <w:tc>
          <w:tcPr>
            <w:tcW w:w="1437" w:type="dxa"/>
          </w:tcPr>
          <w:p w14:paraId="5946990A">
            <w:pPr>
              <w:rPr>
                <w:rFonts w:ascii="宋体" w:hAnsi="宋体" w:eastAsia="宋体"/>
                <w:color w:val="auto"/>
                <w:highlight w:val="none"/>
              </w:rPr>
            </w:pPr>
          </w:p>
        </w:tc>
      </w:tr>
      <w:tr w14:paraId="74783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23A23FE">
            <w:pPr>
              <w:rPr>
                <w:rFonts w:ascii="宋体" w:hAnsi="宋体" w:eastAsia="宋体"/>
                <w:color w:val="auto"/>
                <w:highlight w:val="none"/>
              </w:rPr>
            </w:pPr>
          </w:p>
        </w:tc>
        <w:tc>
          <w:tcPr>
            <w:tcW w:w="1525" w:type="dxa"/>
          </w:tcPr>
          <w:p w14:paraId="129371C7">
            <w:pPr>
              <w:rPr>
                <w:rFonts w:ascii="宋体" w:hAnsi="宋体" w:eastAsia="宋体"/>
                <w:color w:val="auto"/>
                <w:highlight w:val="none"/>
              </w:rPr>
            </w:pPr>
          </w:p>
        </w:tc>
        <w:tc>
          <w:tcPr>
            <w:tcW w:w="1635" w:type="dxa"/>
          </w:tcPr>
          <w:p w14:paraId="206E8730">
            <w:pPr>
              <w:rPr>
                <w:rFonts w:ascii="宋体" w:hAnsi="宋体" w:eastAsia="宋体"/>
                <w:color w:val="auto"/>
                <w:highlight w:val="none"/>
              </w:rPr>
            </w:pPr>
          </w:p>
        </w:tc>
        <w:tc>
          <w:tcPr>
            <w:tcW w:w="859" w:type="dxa"/>
          </w:tcPr>
          <w:p w14:paraId="477E9327">
            <w:pPr>
              <w:rPr>
                <w:rFonts w:ascii="宋体" w:hAnsi="宋体" w:eastAsia="宋体"/>
                <w:color w:val="auto"/>
                <w:highlight w:val="none"/>
              </w:rPr>
            </w:pPr>
          </w:p>
        </w:tc>
        <w:tc>
          <w:tcPr>
            <w:tcW w:w="1582" w:type="dxa"/>
          </w:tcPr>
          <w:p w14:paraId="47214C9A">
            <w:pPr>
              <w:rPr>
                <w:rFonts w:ascii="宋体" w:hAnsi="宋体" w:eastAsia="宋体"/>
                <w:color w:val="auto"/>
                <w:highlight w:val="none"/>
              </w:rPr>
            </w:pPr>
          </w:p>
        </w:tc>
        <w:tc>
          <w:tcPr>
            <w:tcW w:w="1582" w:type="dxa"/>
          </w:tcPr>
          <w:p w14:paraId="1081B137">
            <w:pPr>
              <w:rPr>
                <w:rFonts w:ascii="宋体" w:hAnsi="宋体" w:eastAsia="宋体"/>
                <w:color w:val="auto"/>
                <w:highlight w:val="none"/>
              </w:rPr>
            </w:pPr>
          </w:p>
        </w:tc>
        <w:tc>
          <w:tcPr>
            <w:tcW w:w="1437" w:type="dxa"/>
          </w:tcPr>
          <w:p w14:paraId="1D3A8B1D">
            <w:pPr>
              <w:rPr>
                <w:rFonts w:ascii="宋体" w:hAnsi="宋体" w:eastAsia="宋体"/>
                <w:color w:val="auto"/>
                <w:highlight w:val="none"/>
              </w:rPr>
            </w:pPr>
          </w:p>
        </w:tc>
      </w:tr>
      <w:tr w14:paraId="43C7E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AC9C89A">
            <w:pPr>
              <w:rPr>
                <w:rFonts w:ascii="宋体" w:hAnsi="宋体" w:eastAsia="宋体"/>
                <w:color w:val="auto"/>
                <w:highlight w:val="none"/>
              </w:rPr>
            </w:pPr>
          </w:p>
        </w:tc>
        <w:tc>
          <w:tcPr>
            <w:tcW w:w="1525" w:type="dxa"/>
          </w:tcPr>
          <w:p w14:paraId="3288D69B">
            <w:pPr>
              <w:rPr>
                <w:rFonts w:ascii="宋体" w:hAnsi="宋体" w:eastAsia="宋体"/>
                <w:color w:val="auto"/>
                <w:highlight w:val="none"/>
              </w:rPr>
            </w:pPr>
          </w:p>
        </w:tc>
        <w:tc>
          <w:tcPr>
            <w:tcW w:w="1635" w:type="dxa"/>
          </w:tcPr>
          <w:p w14:paraId="3CCBE43F">
            <w:pPr>
              <w:rPr>
                <w:rFonts w:ascii="宋体" w:hAnsi="宋体" w:eastAsia="宋体"/>
                <w:color w:val="auto"/>
                <w:highlight w:val="none"/>
              </w:rPr>
            </w:pPr>
          </w:p>
        </w:tc>
        <w:tc>
          <w:tcPr>
            <w:tcW w:w="859" w:type="dxa"/>
          </w:tcPr>
          <w:p w14:paraId="7EDB52B8">
            <w:pPr>
              <w:rPr>
                <w:rFonts w:ascii="宋体" w:hAnsi="宋体" w:eastAsia="宋体"/>
                <w:color w:val="auto"/>
                <w:highlight w:val="none"/>
              </w:rPr>
            </w:pPr>
          </w:p>
        </w:tc>
        <w:tc>
          <w:tcPr>
            <w:tcW w:w="1582" w:type="dxa"/>
          </w:tcPr>
          <w:p w14:paraId="3981B56D">
            <w:pPr>
              <w:rPr>
                <w:rFonts w:ascii="宋体" w:hAnsi="宋体" w:eastAsia="宋体"/>
                <w:color w:val="auto"/>
                <w:highlight w:val="none"/>
              </w:rPr>
            </w:pPr>
          </w:p>
        </w:tc>
        <w:tc>
          <w:tcPr>
            <w:tcW w:w="1582" w:type="dxa"/>
          </w:tcPr>
          <w:p w14:paraId="44AE9FF6">
            <w:pPr>
              <w:rPr>
                <w:rFonts w:ascii="宋体" w:hAnsi="宋体" w:eastAsia="宋体"/>
                <w:color w:val="auto"/>
                <w:highlight w:val="none"/>
              </w:rPr>
            </w:pPr>
          </w:p>
        </w:tc>
        <w:tc>
          <w:tcPr>
            <w:tcW w:w="1437" w:type="dxa"/>
          </w:tcPr>
          <w:p w14:paraId="11DDCEF7">
            <w:pPr>
              <w:rPr>
                <w:rFonts w:ascii="宋体" w:hAnsi="宋体" w:eastAsia="宋体"/>
                <w:color w:val="auto"/>
                <w:highlight w:val="none"/>
              </w:rPr>
            </w:pPr>
          </w:p>
        </w:tc>
      </w:tr>
      <w:tr w14:paraId="538FB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9B327D7">
            <w:pPr>
              <w:rPr>
                <w:rFonts w:ascii="宋体" w:hAnsi="宋体" w:eastAsia="宋体"/>
                <w:color w:val="auto"/>
                <w:highlight w:val="none"/>
              </w:rPr>
            </w:pPr>
          </w:p>
        </w:tc>
        <w:tc>
          <w:tcPr>
            <w:tcW w:w="1525" w:type="dxa"/>
          </w:tcPr>
          <w:p w14:paraId="67139B5B">
            <w:pPr>
              <w:rPr>
                <w:rFonts w:ascii="宋体" w:hAnsi="宋体" w:eastAsia="宋体"/>
                <w:color w:val="auto"/>
                <w:highlight w:val="none"/>
              </w:rPr>
            </w:pPr>
          </w:p>
        </w:tc>
        <w:tc>
          <w:tcPr>
            <w:tcW w:w="1635" w:type="dxa"/>
          </w:tcPr>
          <w:p w14:paraId="6727CFC9">
            <w:pPr>
              <w:rPr>
                <w:rFonts w:ascii="宋体" w:hAnsi="宋体" w:eastAsia="宋体"/>
                <w:color w:val="auto"/>
                <w:highlight w:val="none"/>
              </w:rPr>
            </w:pPr>
          </w:p>
        </w:tc>
        <w:tc>
          <w:tcPr>
            <w:tcW w:w="859" w:type="dxa"/>
          </w:tcPr>
          <w:p w14:paraId="2A683C2C">
            <w:pPr>
              <w:rPr>
                <w:rFonts w:ascii="宋体" w:hAnsi="宋体" w:eastAsia="宋体"/>
                <w:color w:val="auto"/>
                <w:highlight w:val="none"/>
              </w:rPr>
            </w:pPr>
          </w:p>
        </w:tc>
        <w:tc>
          <w:tcPr>
            <w:tcW w:w="1582" w:type="dxa"/>
          </w:tcPr>
          <w:p w14:paraId="39DCB71A">
            <w:pPr>
              <w:rPr>
                <w:rFonts w:ascii="宋体" w:hAnsi="宋体" w:eastAsia="宋体"/>
                <w:color w:val="auto"/>
                <w:highlight w:val="none"/>
              </w:rPr>
            </w:pPr>
          </w:p>
        </w:tc>
        <w:tc>
          <w:tcPr>
            <w:tcW w:w="1582" w:type="dxa"/>
          </w:tcPr>
          <w:p w14:paraId="5A75D683">
            <w:pPr>
              <w:rPr>
                <w:rFonts w:ascii="宋体" w:hAnsi="宋体" w:eastAsia="宋体"/>
                <w:color w:val="auto"/>
                <w:highlight w:val="none"/>
              </w:rPr>
            </w:pPr>
          </w:p>
        </w:tc>
        <w:tc>
          <w:tcPr>
            <w:tcW w:w="1437" w:type="dxa"/>
          </w:tcPr>
          <w:p w14:paraId="0093789F">
            <w:pPr>
              <w:rPr>
                <w:rFonts w:ascii="宋体" w:hAnsi="宋体" w:eastAsia="宋体"/>
                <w:color w:val="auto"/>
                <w:highlight w:val="none"/>
              </w:rPr>
            </w:pPr>
          </w:p>
        </w:tc>
      </w:tr>
      <w:tr w14:paraId="06C7E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D976A16">
            <w:pPr>
              <w:rPr>
                <w:rFonts w:ascii="宋体" w:hAnsi="宋体" w:eastAsia="宋体"/>
                <w:color w:val="auto"/>
                <w:highlight w:val="none"/>
              </w:rPr>
            </w:pPr>
          </w:p>
        </w:tc>
        <w:tc>
          <w:tcPr>
            <w:tcW w:w="1525" w:type="dxa"/>
          </w:tcPr>
          <w:p w14:paraId="62E6201A">
            <w:pPr>
              <w:rPr>
                <w:rFonts w:ascii="宋体" w:hAnsi="宋体" w:eastAsia="宋体"/>
                <w:color w:val="auto"/>
                <w:highlight w:val="none"/>
              </w:rPr>
            </w:pPr>
          </w:p>
        </w:tc>
        <w:tc>
          <w:tcPr>
            <w:tcW w:w="1635" w:type="dxa"/>
          </w:tcPr>
          <w:p w14:paraId="09F3D3C8">
            <w:pPr>
              <w:rPr>
                <w:rFonts w:ascii="宋体" w:hAnsi="宋体" w:eastAsia="宋体"/>
                <w:color w:val="auto"/>
                <w:highlight w:val="none"/>
              </w:rPr>
            </w:pPr>
          </w:p>
        </w:tc>
        <w:tc>
          <w:tcPr>
            <w:tcW w:w="859" w:type="dxa"/>
          </w:tcPr>
          <w:p w14:paraId="13F05C91">
            <w:pPr>
              <w:rPr>
                <w:rFonts w:ascii="宋体" w:hAnsi="宋体" w:eastAsia="宋体"/>
                <w:color w:val="auto"/>
                <w:highlight w:val="none"/>
              </w:rPr>
            </w:pPr>
          </w:p>
        </w:tc>
        <w:tc>
          <w:tcPr>
            <w:tcW w:w="1582" w:type="dxa"/>
          </w:tcPr>
          <w:p w14:paraId="7F8E2F06">
            <w:pPr>
              <w:rPr>
                <w:rFonts w:ascii="宋体" w:hAnsi="宋体" w:eastAsia="宋体"/>
                <w:color w:val="auto"/>
                <w:highlight w:val="none"/>
              </w:rPr>
            </w:pPr>
          </w:p>
        </w:tc>
        <w:tc>
          <w:tcPr>
            <w:tcW w:w="1582" w:type="dxa"/>
          </w:tcPr>
          <w:p w14:paraId="0CB798F8">
            <w:pPr>
              <w:rPr>
                <w:rFonts w:ascii="宋体" w:hAnsi="宋体" w:eastAsia="宋体"/>
                <w:color w:val="auto"/>
                <w:highlight w:val="none"/>
              </w:rPr>
            </w:pPr>
          </w:p>
        </w:tc>
        <w:tc>
          <w:tcPr>
            <w:tcW w:w="1437" w:type="dxa"/>
          </w:tcPr>
          <w:p w14:paraId="01C46F88">
            <w:pPr>
              <w:rPr>
                <w:rFonts w:ascii="宋体" w:hAnsi="宋体" w:eastAsia="宋体"/>
                <w:color w:val="auto"/>
                <w:highlight w:val="none"/>
              </w:rPr>
            </w:pPr>
          </w:p>
        </w:tc>
      </w:tr>
      <w:tr w14:paraId="55464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BCA08B4">
            <w:pPr>
              <w:rPr>
                <w:rFonts w:ascii="宋体" w:hAnsi="宋体" w:eastAsia="宋体"/>
                <w:color w:val="auto"/>
                <w:highlight w:val="none"/>
              </w:rPr>
            </w:pPr>
          </w:p>
        </w:tc>
        <w:tc>
          <w:tcPr>
            <w:tcW w:w="1525" w:type="dxa"/>
          </w:tcPr>
          <w:p w14:paraId="2D025AC6">
            <w:pPr>
              <w:rPr>
                <w:rFonts w:ascii="宋体" w:hAnsi="宋体" w:eastAsia="宋体"/>
                <w:color w:val="auto"/>
                <w:highlight w:val="none"/>
              </w:rPr>
            </w:pPr>
          </w:p>
        </w:tc>
        <w:tc>
          <w:tcPr>
            <w:tcW w:w="1635" w:type="dxa"/>
          </w:tcPr>
          <w:p w14:paraId="7EC1C0C8">
            <w:pPr>
              <w:rPr>
                <w:rFonts w:ascii="宋体" w:hAnsi="宋体" w:eastAsia="宋体"/>
                <w:color w:val="auto"/>
                <w:highlight w:val="none"/>
              </w:rPr>
            </w:pPr>
          </w:p>
        </w:tc>
        <w:tc>
          <w:tcPr>
            <w:tcW w:w="859" w:type="dxa"/>
          </w:tcPr>
          <w:p w14:paraId="36578639">
            <w:pPr>
              <w:rPr>
                <w:rFonts w:ascii="宋体" w:hAnsi="宋体" w:eastAsia="宋体"/>
                <w:color w:val="auto"/>
                <w:highlight w:val="none"/>
              </w:rPr>
            </w:pPr>
          </w:p>
        </w:tc>
        <w:tc>
          <w:tcPr>
            <w:tcW w:w="1582" w:type="dxa"/>
          </w:tcPr>
          <w:p w14:paraId="13C83EDA">
            <w:pPr>
              <w:rPr>
                <w:rFonts w:ascii="宋体" w:hAnsi="宋体" w:eastAsia="宋体"/>
                <w:color w:val="auto"/>
                <w:highlight w:val="none"/>
              </w:rPr>
            </w:pPr>
          </w:p>
        </w:tc>
        <w:tc>
          <w:tcPr>
            <w:tcW w:w="1582" w:type="dxa"/>
          </w:tcPr>
          <w:p w14:paraId="058D0114">
            <w:pPr>
              <w:rPr>
                <w:rFonts w:ascii="宋体" w:hAnsi="宋体" w:eastAsia="宋体"/>
                <w:color w:val="auto"/>
                <w:highlight w:val="none"/>
              </w:rPr>
            </w:pPr>
          </w:p>
        </w:tc>
        <w:tc>
          <w:tcPr>
            <w:tcW w:w="1437" w:type="dxa"/>
          </w:tcPr>
          <w:p w14:paraId="62A3D682">
            <w:pPr>
              <w:rPr>
                <w:rFonts w:ascii="宋体" w:hAnsi="宋体" w:eastAsia="宋体"/>
                <w:color w:val="auto"/>
                <w:highlight w:val="none"/>
              </w:rPr>
            </w:pPr>
          </w:p>
        </w:tc>
      </w:tr>
      <w:tr w14:paraId="7FB64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1AE7FC4">
            <w:pPr>
              <w:rPr>
                <w:rFonts w:ascii="宋体" w:hAnsi="宋体" w:eastAsia="宋体"/>
                <w:color w:val="auto"/>
                <w:highlight w:val="none"/>
              </w:rPr>
            </w:pPr>
          </w:p>
        </w:tc>
        <w:tc>
          <w:tcPr>
            <w:tcW w:w="1525" w:type="dxa"/>
          </w:tcPr>
          <w:p w14:paraId="4AA13D30">
            <w:pPr>
              <w:rPr>
                <w:rFonts w:ascii="宋体" w:hAnsi="宋体" w:eastAsia="宋体"/>
                <w:color w:val="auto"/>
                <w:highlight w:val="none"/>
              </w:rPr>
            </w:pPr>
          </w:p>
        </w:tc>
        <w:tc>
          <w:tcPr>
            <w:tcW w:w="1635" w:type="dxa"/>
          </w:tcPr>
          <w:p w14:paraId="49A49F14">
            <w:pPr>
              <w:rPr>
                <w:rFonts w:ascii="宋体" w:hAnsi="宋体" w:eastAsia="宋体"/>
                <w:color w:val="auto"/>
                <w:highlight w:val="none"/>
              </w:rPr>
            </w:pPr>
          </w:p>
        </w:tc>
        <w:tc>
          <w:tcPr>
            <w:tcW w:w="859" w:type="dxa"/>
          </w:tcPr>
          <w:p w14:paraId="36818E53">
            <w:pPr>
              <w:rPr>
                <w:rFonts w:ascii="宋体" w:hAnsi="宋体" w:eastAsia="宋体"/>
                <w:color w:val="auto"/>
                <w:highlight w:val="none"/>
              </w:rPr>
            </w:pPr>
          </w:p>
        </w:tc>
        <w:tc>
          <w:tcPr>
            <w:tcW w:w="1582" w:type="dxa"/>
          </w:tcPr>
          <w:p w14:paraId="6B5EE123">
            <w:pPr>
              <w:rPr>
                <w:rFonts w:ascii="宋体" w:hAnsi="宋体" w:eastAsia="宋体"/>
                <w:color w:val="auto"/>
                <w:highlight w:val="none"/>
              </w:rPr>
            </w:pPr>
          </w:p>
        </w:tc>
        <w:tc>
          <w:tcPr>
            <w:tcW w:w="1582" w:type="dxa"/>
          </w:tcPr>
          <w:p w14:paraId="02C725A3">
            <w:pPr>
              <w:rPr>
                <w:rFonts w:ascii="宋体" w:hAnsi="宋体" w:eastAsia="宋体"/>
                <w:color w:val="auto"/>
                <w:highlight w:val="none"/>
              </w:rPr>
            </w:pPr>
          </w:p>
        </w:tc>
        <w:tc>
          <w:tcPr>
            <w:tcW w:w="1437" w:type="dxa"/>
          </w:tcPr>
          <w:p w14:paraId="27D2E902">
            <w:pPr>
              <w:rPr>
                <w:rFonts w:ascii="宋体" w:hAnsi="宋体" w:eastAsia="宋体"/>
                <w:color w:val="auto"/>
                <w:highlight w:val="none"/>
              </w:rPr>
            </w:pPr>
          </w:p>
        </w:tc>
      </w:tr>
      <w:tr w14:paraId="73FFC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8D08089">
            <w:pPr>
              <w:rPr>
                <w:rFonts w:ascii="宋体" w:hAnsi="宋体" w:eastAsia="宋体"/>
                <w:color w:val="auto"/>
                <w:highlight w:val="none"/>
              </w:rPr>
            </w:pPr>
          </w:p>
        </w:tc>
        <w:tc>
          <w:tcPr>
            <w:tcW w:w="1525" w:type="dxa"/>
          </w:tcPr>
          <w:p w14:paraId="6440BD7E">
            <w:pPr>
              <w:rPr>
                <w:rFonts w:ascii="宋体" w:hAnsi="宋体" w:eastAsia="宋体"/>
                <w:color w:val="auto"/>
                <w:highlight w:val="none"/>
              </w:rPr>
            </w:pPr>
          </w:p>
        </w:tc>
        <w:tc>
          <w:tcPr>
            <w:tcW w:w="1635" w:type="dxa"/>
          </w:tcPr>
          <w:p w14:paraId="14B45D4D">
            <w:pPr>
              <w:rPr>
                <w:rFonts w:ascii="宋体" w:hAnsi="宋体" w:eastAsia="宋体"/>
                <w:color w:val="auto"/>
                <w:highlight w:val="none"/>
              </w:rPr>
            </w:pPr>
          </w:p>
        </w:tc>
        <w:tc>
          <w:tcPr>
            <w:tcW w:w="859" w:type="dxa"/>
          </w:tcPr>
          <w:p w14:paraId="33ACC8F7">
            <w:pPr>
              <w:rPr>
                <w:rFonts w:ascii="宋体" w:hAnsi="宋体" w:eastAsia="宋体"/>
                <w:color w:val="auto"/>
                <w:highlight w:val="none"/>
              </w:rPr>
            </w:pPr>
          </w:p>
        </w:tc>
        <w:tc>
          <w:tcPr>
            <w:tcW w:w="1582" w:type="dxa"/>
          </w:tcPr>
          <w:p w14:paraId="3ED6BCBA">
            <w:pPr>
              <w:rPr>
                <w:rFonts w:ascii="宋体" w:hAnsi="宋体" w:eastAsia="宋体"/>
                <w:color w:val="auto"/>
                <w:highlight w:val="none"/>
              </w:rPr>
            </w:pPr>
          </w:p>
        </w:tc>
        <w:tc>
          <w:tcPr>
            <w:tcW w:w="1582" w:type="dxa"/>
          </w:tcPr>
          <w:p w14:paraId="4F2584BE">
            <w:pPr>
              <w:rPr>
                <w:rFonts w:ascii="宋体" w:hAnsi="宋体" w:eastAsia="宋体"/>
                <w:color w:val="auto"/>
                <w:highlight w:val="none"/>
              </w:rPr>
            </w:pPr>
          </w:p>
        </w:tc>
        <w:tc>
          <w:tcPr>
            <w:tcW w:w="1437" w:type="dxa"/>
          </w:tcPr>
          <w:p w14:paraId="62DB8729">
            <w:pPr>
              <w:rPr>
                <w:rFonts w:ascii="宋体" w:hAnsi="宋体" w:eastAsia="宋体"/>
                <w:color w:val="auto"/>
                <w:highlight w:val="none"/>
              </w:rPr>
            </w:pPr>
          </w:p>
        </w:tc>
      </w:tr>
      <w:tr w14:paraId="332CF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3C47871">
            <w:pPr>
              <w:rPr>
                <w:rFonts w:ascii="宋体" w:hAnsi="宋体" w:eastAsia="宋体"/>
                <w:color w:val="auto"/>
                <w:highlight w:val="none"/>
              </w:rPr>
            </w:pPr>
          </w:p>
        </w:tc>
        <w:tc>
          <w:tcPr>
            <w:tcW w:w="1525" w:type="dxa"/>
          </w:tcPr>
          <w:p w14:paraId="39336774">
            <w:pPr>
              <w:rPr>
                <w:rFonts w:ascii="宋体" w:hAnsi="宋体" w:eastAsia="宋体"/>
                <w:color w:val="auto"/>
                <w:highlight w:val="none"/>
              </w:rPr>
            </w:pPr>
          </w:p>
        </w:tc>
        <w:tc>
          <w:tcPr>
            <w:tcW w:w="1635" w:type="dxa"/>
          </w:tcPr>
          <w:p w14:paraId="7B55710B">
            <w:pPr>
              <w:rPr>
                <w:rFonts w:ascii="宋体" w:hAnsi="宋体" w:eastAsia="宋体"/>
                <w:color w:val="auto"/>
                <w:highlight w:val="none"/>
              </w:rPr>
            </w:pPr>
          </w:p>
        </w:tc>
        <w:tc>
          <w:tcPr>
            <w:tcW w:w="859" w:type="dxa"/>
          </w:tcPr>
          <w:p w14:paraId="36D3E9EE">
            <w:pPr>
              <w:rPr>
                <w:rFonts w:ascii="宋体" w:hAnsi="宋体" w:eastAsia="宋体"/>
                <w:color w:val="auto"/>
                <w:highlight w:val="none"/>
              </w:rPr>
            </w:pPr>
          </w:p>
        </w:tc>
        <w:tc>
          <w:tcPr>
            <w:tcW w:w="1582" w:type="dxa"/>
          </w:tcPr>
          <w:p w14:paraId="05DBDD11">
            <w:pPr>
              <w:rPr>
                <w:rFonts w:ascii="宋体" w:hAnsi="宋体" w:eastAsia="宋体"/>
                <w:color w:val="auto"/>
                <w:highlight w:val="none"/>
              </w:rPr>
            </w:pPr>
          </w:p>
        </w:tc>
        <w:tc>
          <w:tcPr>
            <w:tcW w:w="1582" w:type="dxa"/>
          </w:tcPr>
          <w:p w14:paraId="7914E786">
            <w:pPr>
              <w:rPr>
                <w:rFonts w:ascii="宋体" w:hAnsi="宋体" w:eastAsia="宋体"/>
                <w:color w:val="auto"/>
                <w:highlight w:val="none"/>
              </w:rPr>
            </w:pPr>
          </w:p>
        </w:tc>
        <w:tc>
          <w:tcPr>
            <w:tcW w:w="1437" w:type="dxa"/>
          </w:tcPr>
          <w:p w14:paraId="30C4ED13">
            <w:pPr>
              <w:rPr>
                <w:rFonts w:ascii="宋体" w:hAnsi="宋体" w:eastAsia="宋体"/>
                <w:color w:val="auto"/>
                <w:highlight w:val="none"/>
              </w:rPr>
            </w:pPr>
          </w:p>
        </w:tc>
      </w:tr>
      <w:tr w14:paraId="46B4D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C547981">
            <w:pPr>
              <w:rPr>
                <w:rFonts w:ascii="宋体" w:hAnsi="宋体" w:eastAsia="宋体"/>
                <w:color w:val="auto"/>
                <w:highlight w:val="none"/>
              </w:rPr>
            </w:pPr>
          </w:p>
        </w:tc>
        <w:tc>
          <w:tcPr>
            <w:tcW w:w="1525" w:type="dxa"/>
          </w:tcPr>
          <w:p w14:paraId="455F864E">
            <w:pPr>
              <w:rPr>
                <w:rFonts w:ascii="宋体" w:hAnsi="宋体" w:eastAsia="宋体"/>
                <w:color w:val="auto"/>
                <w:highlight w:val="none"/>
              </w:rPr>
            </w:pPr>
          </w:p>
        </w:tc>
        <w:tc>
          <w:tcPr>
            <w:tcW w:w="1635" w:type="dxa"/>
          </w:tcPr>
          <w:p w14:paraId="732941B2">
            <w:pPr>
              <w:rPr>
                <w:rFonts w:ascii="宋体" w:hAnsi="宋体" w:eastAsia="宋体"/>
                <w:color w:val="auto"/>
                <w:highlight w:val="none"/>
              </w:rPr>
            </w:pPr>
          </w:p>
        </w:tc>
        <w:tc>
          <w:tcPr>
            <w:tcW w:w="859" w:type="dxa"/>
          </w:tcPr>
          <w:p w14:paraId="5761784D">
            <w:pPr>
              <w:rPr>
                <w:rFonts w:ascii="宋体" w:hAnsi="宋体" w:eastAsia="宋体"/>
                <w:color w:val="auto"/>
                <w:highlight w:val="none"/>
              </w:rPr>
            </w:pPr>
          </w:p>
        </w:tc>
        <w:tc>
          <w:tcPr>
            <w:tcW w:w="1582" w:type="dxa"/>
          </w:tcPr>
          <w:p w14:paraId="2EEF3F5B">
            <w:pPr>
              <w:rPr>
                <w:rFonts w:ascii="宋体" w:hAnsi="宋体" w:eastAsia="宋体"/>
                <w:color w:val="auto"/>
                <w:highlight w:val="none"/>
              </w:rPr>
            </w:pPr>
          </w:p>
        </w:tc>
        <w:tc>
          <w:tcPr>
            <w:tcW w:w="1582" w:type="dxa"/>
          </w:tcPr>
          <w:p w14:paraId="6C9D6FD8">
            <w:pPr>
              <w:rPr>
                <w:rFonts w:ascii="宋体" w:hAnsi="宋体" w:eastAsia="宋体"/>
                <w:color w:val="auto"/>
                <w:highlight w:val="none"/>
              </w:rPr>
            </w:pPr>
          </w:p>
        </w:tc>
        <w:tc>
          <w:tcPr>
            <w:tcW w:w="1437" w:type="dxa"/>
          </w:tcPr>
          <w:p w14:paraId="01292E28">
            <w:pPr>
              <w:rPr>
                <w:rFonts w:ascii="宋体" w:hAnsi="宋体" w:eastAsia="宋体"/>
                <w:color w:val="auto"/>
                <w:highlight w:val="none"/>
              </w:rPr>
            </w:pPr>
          </w:p>
        </w:tc>
      </w:tr>
      <w:tr w14:paraId="3C583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EBCA05E">
            <w:pPr>
              <w:rPr>
                <w:rFonts w:ascii="宋体" w:hAnsi="宋体" w:eastAsia="宋体"/>
                <w:color w:val="auto"/>
                <w:highlight w:val="none"/>
              </w:rPr>
            </w:pPr>
          </w:p>
        </w:tc>
        <w:tc>
          <w:tcPr>
            <w:tcW w:w="1525" w:type="dxa"/>
          </w:tcPr>
          <w:p w14:paraId="29C06251">
            <w:pPr>
              <w:rPr>
                <w:rFonts w:ascii="宋体" w:hAnsi="宋体" w:eastAsia="宋体"/>
                <w:color w:val="auto"/>
                <w:highlight w:val="none"/>
              </w:rPr>
            </w:pPr>
          </w:p>
        </w:tc>
        <w:tc>
          <w:tcPr>
            <w:tcW w:w="1635" w:type="dxa"/>
          </w:tcPr>
          <w:p w14:paraId="23CEFC38">
            <w:pPr>
              <w:rPr>
                <w:rFonts w:ascii="宋体" w:hAnsi="宋体" w:eastAsia="宋体"/>
                <w:color w:val="auto"/>
                <w:highlight w:val="none"/>
              </w:rPr>
            </w:pPr>
          </w:p>
        </w:tc>
        <w:tc>
          <w:tcPr>
            <w:tcW w:w="859" w:type="dxa"/>
          </w:tcPr>
          <w:p w14:paraId="6E62B8F1">
            <w:pPr>
              <w:rPr>
                <w:rFonts w:ascii="宋体" w:hAnsi="宋体" w:eastAsia="宋体"/>
                <w:color w:val="auto"/>
                <w:highlight w:val="none"/>
              </w:rPr>
            </w:pPr>
          </w:p>
        </w:tc>
        <w:tc>
          <w:tcPr>
            <w:tcW w:w="1582" w:type="dxa"/>
          </w:tcPr>
          <w:p w14:paraId="7CB45DF1">
            <w:pPr>
              <w:rPr>
                <w:rFonts w:ascii="宋体" w:hAnsi="宋体" w:eastAsia="宋体"/>
                <w:color w:val="auto"/>
                <w:highlight w:val="none"/>
              </w:rPr>
            </w:pPr>
          </w:p>
        </w:tc>
        <w:tc>
          <w:tcPr>
            <w:tcW w:w="1582" w:type="dxa"/>
          </w:tcPr>
          <w:p w14:paraId="751B3FD3">
            <w:pPr>
              <w:rPr>
                <w:rFonts w:ascii="宋体" w:hAnsi="宋体" w:eastAsia="宋体"/>
                <w:color w:val="auto"/>
                <w:highlight w:val="none"/>
              </w:rPr>
            </w:pPr>
          </w:p>
        </w:tc>
        <w:tc>
          <w:tcPr>
            <w:tcW w:w="1437" w:type="dxa"/>
          </w:tcPr>
          <w:p w14:paraId="3C8DFE7C">
            <w:pPr>
              <w:rPr>
                <w:rFonts w:ascii="宋体" w:hAnsi="宋体" w:eastAsia="宋体"/>
                <w:color w:val="auto"/>
                <w:highlight w:val="none"/>
              </w:rPr>
            </w:pPr>
          </w:p>
        </w:tc>
      </w:tr>
      <w:tr w14:paraId="5CD04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EC7A592">
            <w:pPr>
              <w:rPr>
                <w:rFonts w:ascii="宋体" w:hAnsi="宋体" w:eastAsia="宋体"/>
                <w:color w:val="auto"/>
                <w:highlight w:val="none"/>
              </w:rPr>
            </w:pPr>
          </w:p>
        </w:tc>
        <w:tc>
          <w:tcPr>
            <w:tcW w:w="1525" w:type="dxa"/>
          </w:tcPr>
          <w:p w14:paraId="276A6D0C">
            <w:pPr>
              <w:rPr>
                <w:rFonts w:ascii="宋体" w:hAnsi="宋体" w:eastAsia="宋体"/>
                <w:color w:val="auto"/>
                <w:highlight w:val="none"/>
              </w:rPr>
            </w:pPr>
          </w:p>
        </w:tc>
        <w:tc>
          <w:tcPr>
            <w:tcW w:w="1635" w:type="dxa"/>
          </w:tcPr>
          <w:p w14:paraId="05910198">
            <w:pPr>
              <w:rPr>
                <w:rFonts w:ascii="宋体" w:hAnsi="宋体" w:eastAsia="宋体"/>
                <w:color w:val="auto"/>
                <w:highlight w:val="none"/>
              </w:rPr>
            </w:pPr>
          </w:p>
        </w:tc>
        <w:tc>
          <w:tcPr>
            <w:tcW w:w="859" w:type="dxa"/>
          </w:tcPr>
          <w:p w14:paraId="473D1EE9">
            <w:pPr>
              <w:rPr>
                <w:rFonts w:ascii="宋体" w:hAnsi="宋体" w:eastAsia="宋体"/>
                <w:color w:val="auto"/>
                <w:highlight w:val="none"/>
              </w:rPr>
            </w:pPr>
          </w:p>
        </w:tc>
        <w:tc>
          <w:tcPr>
            <w:tcW w:w="1582" w:type="dxa"/>
          </w:tcPr>
          <w:p w14:paraId="49CB480B">
            <w:pPr>
              <w:rPr>
                <w:rFonts w:ascii="宋体" w:hAnsi="宋体" w:eastAsia="宋体"/>
                <w:color w:val="auto"/>
                <w:highlight w:val="none"/>
              </w:rPr>
            </w:pPr>
          </w:p>
        </w:tc>
        <w:tc>
          <w:tcPr>
            <w:tcW w:w="1582" w:type="dxa"/>
          </w:tcPr>
          <w:p w14:paraId="2D64329D">
            <w:pPr>
              <w:rPr>
                <w:rFonts w:ascii="宋体" w:hAnsi="宋体" w:eastAsia="宋体"/>
                <w:color w:val="auto"/>
                <w:highlight w:val="none"/>
              </w:rPr>
            </w:pPr>
          </w:p>
        </w:tc>
        <w:tc>
          <w:tcPr>
            <w:tcW w:w="1437" w:type="dxa"/>
          </w:tcPr>
          <w:p w14:paraId="709EE74D">
            <w:pPr>
              <w:rPr>
                <w:rFonts w:ascii="宋体" w:hAnsi="宋体" w:eastAsia="宋体"/>
                <w:color w:val="auto"/>
                <w:highlight w:val="none"/>
              </w:rPr>
            </w:pPr>
          </w:p>
        </w:tc>
      </w:tr>
      <w:tr w14:paraId="70A63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8023485">
            <w:pPr>
              <w:rPr>
                <w:rFonts w:ascii="宋体" w:hAnsi="宋体" w:eastAsia="宋体"/>
                <w:color w:val="auto"/>
                <w:highlight w:val="none"/>
              </w:rPr>
            </w:pPr>
          </w:p>
        </w:tc>
        <w:tc>
          <w:tcPr>
            <w:tcW w:w="1525" w:type="dxa"/>
          </w:tcPr>
          <w:p w14:paraId="64F9A43F">
            <w:pPr>
              <w:rPr>
                <w:rFonts w:ascii="宋体" w:hAnsi="宋体" w:eastAsia="宋体"/>
                <w:color w:val="auto"/>
                <w:highlight w:val="none"/>
              </w:rPr>
            </w:pPr>
          </w:p>
        </w:tc>
        <w:tc>
          <w:tcPr>
            <w:tcW w:w="1635" w:type="dxa"/>
          </w:tcPr>
          <w:p w14:paraId="3AC4F6BD">
            <w:pPr>
              <w:rPr>
                <w:rFonts w:ascii="宋体" w:hAnsi="宋体" w:eastAsia="宋体"/>
                <w:color w:val="auto"/>
                <w:highlight w:val="none"/>
              </w:rPr>
            </w:pPr>
          </w:p>
        </w:tc>
        <w:tc>
          <w:tcPr>
            <w:tcW w:w="859" w:type="dxa"/>
          </w:tcPr>
          <w:p w14:paraId="7651C7F3">
            <w:pPr>
              <w:rPr>
                <w:rFonts w:ascii="宋体" w:hAnsi="宋体" w:eastAsia="宋体"/>
                <w:color w:val="auto"/>
                <w:highlight w:val="none"/>
              </w:rPr>
            </w:pPr>
          </w:p>
        </w:tc>
        <w:tc>
          <w:tcPr>
            <w:tcW w:w="1582" w:type="dxa"/>
          </w:tcPr>
          <w:p w14:paraId="44113A81">
            <w:pPr>
              <w:rPr>
                <w:rFonts w:ascii="宋体" w:hAnsi="宋体" w:eastAsia="宋体"/>
                <w:color w:val="auto"/>
                <w:highlight w:val="none"/>
              </w:rPr>
            </w:pPr>
          </w:p>
        </w:tc>
        <w:tc>
          <w:tcPr>
            <w:tcW w:w="1582" w:type="dxa"/>
          </w:tcPr>
          <w:p w14:paraId="2EBCE9BC">
            <w:pPr>
              <w:rPr>
                <w:rFonts w:ascii="宋体" w:hAnsi="宋体" w:eastAsia="宋体"/>
                <w:color w:val="auto"/>
                <w:highlight w:val="none"/>
              </w:rPr>
            </w:pPr>
          </w:p>
        </w:tc>
        <w:tc>
          <w:tcPr>
            <w:tcW w:w="1437" w:type="dxa"/>
          </w:tcPr>
          <w:p w14:paraId="2F63A51C">
            <w:pPr>
              <w:rPr>
                <w:rFonts w:ascii="宋体" w:hAnsi="宋体" w:eastAsia="宋体"/>
                <w:color w:val="auto"/>
                <w:highlight w:val="none"/>
              </w:rPr>
            </w:pPr>
          </w:p>
        </w:tc>
      </w:tr>
    </w:tbl>
    <w:p w14:paraId="07BC8856">
      <w:pPr>
        <w:rPr>
          <w:rFonts w:ascii="宋体" w:hAnsi="宋体" w:eastAsia="宋体"/>
          <w:color w:val="auto"/>
          <w:sz w:val="28"/>
          <w:highlight w:val="none"/>
        </w:rPr>
      </w:pPr>
    </w:p>
    <w:p w14:paraId="12E12992">
      <w:pPr>
        <w:rPr>
          <w:rFonts w:ascii="宋体" w:hAnsi="宋体" w:eastAsia="宋体"/>
          <w:color w:val="auto"/>
          <w:sz w:val="24"/>
          <w:szCs w:val="24"/>
          <w:highlight w:val="none"/>
        </w:rPr>
      </w:pPr>
      <w:r>
        <w:rPr>
          <w:rFonts w:hint="eastAsia" w:ascii="宋体" w:hAnsi="宋体" w:eastAsia="宋体"/>
          <w:color w:val="auto"/>
          <w:sz w:val="24"/>
          <w:szCs w:val="24"/>
          <w:highlight w:val="none"/>
        </w:rPr>
        <w:t>法定代表人（签字或盖章）：                             投标人（盖章）：</w:t>
      </w:r>
    </w:p>
    <w:p w14:paraId="5535F762">
      <w:pPr>
        <w:jc w:val="right"/>
        <w:rPr>
          <w:rFonts w:ascii="宋体" w:hAnsi="宋体" w:eastAsia="宋体"/>
          <w:color w:val="auto"/>
          <w:sz w:val="24"/>
          <w:szCs w:val="24"/>
          <w:highlight w:val="none"/>
        </w:rPr>
      </w:pPr>
    </w:p>
    <w:p w14:paraId="0AD960EB">
      <w:pPr>
        <w:ind w:firstLine="6480" w:firstLineChars="2700"/>
        <w:rPr>
          <w:rFonts w:ascii="宋体" w:hAnsi="宋体" w:eastAsia="宋体"/>
          <w:color w:val="auto"/>
          <w:sz w:val="24"/>
          <w:szCs w:val="24"/>
          <w:highlight w:val="none"/>
        </w:rPr>
      </w:pPr>
    </w:p>
    <w:p w14:paraId="37FB6D36">
      <w:pPr>
        <w:ind w:firstLine="6480" w:firstLineChars="2700"/>
        <w:rPr>
          <w:b/>
          <w:color w:val="auto"/>
          <w:sz w:val="28"/>
          <w:szCs w:val="28"/>
          <w:highlight w:val="none"/>
        </w:rPr>
      </w:pPr>
      <w:r>
        <w:rPr>
          <w:rFonts w:hint="eastAsia" w:ascii="宋体" w:hAnsi="宋体" w:eastAsia="宋体"/>
          <w:color w:val="auto"/>
          <w:sz w:val="24"/>
          <w:szCs w:val="24"/>
          <w:highlight w:val="none"/>
        </w:rPr>
        <w:t>日期：   年   月   日</w:t>
      </w:r>
      <w:bookmarkStart w:id="185" w:name="_Toc386122461"/>
      <w:bookmarkStart w:id="186" w:name="_Toc386121764"/>
      <w:bookmarkStart w:id="187" w:name="_Toc169487834"/>
      <w:bookmarkStart w:id="188" w:name="_Toc155342588"/>
      <w:bookmarkStart w:id="189" w:name="_Toc28874"/>
      <w:bookmarkStart w:id="190" w:name="_Toc20350"/>
      <w:bookmarkStart w:id="191" w:name="_Toc147380660"/>
      <w:bookmarkStart w:id="192" w:name="_Toc76292000"/>
      <w:bookmarkStart w:id="193" w:name="_Toc118710617"/>
      <w:bookmarkStart w:id="194" w:name="_Toc136335625"/>
      <w:bookmarkStart w:id="195" w:name="_Toc155342587"/>
      <w:bookmarkStart w:id="196" w:name="_Toc106553081"/>
      <w:bookmarkStart w:id="197" w:name="_Toc118275606"/>
    </w:p>
    <w:p w14:paraId="194E2ACB">
      <w:pPr>
        <w:pStyle w:val="3"/>
        <w:numPr>
          <w:ilvl w:val="0"/>
          <w:numId w:val="0"/>
        </w:numPr>
        <w:spacing w:before="0" w:afterLines="0" w:line="240" w:lineRule="auto"/>
        <w:jc w:val="both"/>
        <w:rPr>
          <w:b w:val="0"/>
          <w:color w:val="auto"/>
          <w:sz w:val="28"/>
          <w:szCs w:val="28"/>
          <w:highlight w:val="none"/>
        </w:rPr>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0D788DFB">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附件七：</w:t>
      </w:r>
      <w:bookmarkEnd w:id="185"/>
      <w:bookmarkEnd w:id="186"/>
      <w:bookmarkEnd w:id="187"/>
      <w:bookmarkEnd w:id="188"/>
      <w:r>
        <w:rPr>
          <w:rFonts w:hint="eastAsia"/>
          <w:b w:val="0"/>
          <w:color w:val="auto"/>
          <w:sz w:val="28"/>
          <w:szCs w:val="28"/>
          <w:highlight w:val="none"/>
        </w:rPr>
        <w:t>临海市建设工程诚信投标承诺书</w:t>
      </w:r>
      <w:bookmarkEnd w:id="189"/>
      <w:bookmarkEnd w:id="190"/>
    </w:p>
    <w:p w14:paraId="25B0CC22">
      <w:pPr>
        <w:rPr>
          <w:rFonts w:ascii="黑体" w:eastAsia="黑体"/>
          <w:color w:val="auto"/>
          <w:sz w:val="28"/>
          <w:szCs w:val="28"/>
          <w:highlight w:val="none"/>
        </w:rPr>
      </w:pPr>
    </w:p>
    <w:p w14:paraId="6AF7591F">
      <w:pPr>
        <w:spacing w:line="360" w:lineRule="auto"/>
        <w:jc w:val="center"/>
        <w:rPr>
          <w:rFonts w:ascii="小标宋" w:eastAsia="宋体"/>
          <w:bCs/>
          <w:color w:val="auto"/>
          <w:sz w:val="44"/>
          <w:highlight w:val="none"/>
        </w:rPr>
      </w:pPr>
      <w:r>
        <w:rPr>
          <w:rFonts w:hint="eastAsia" w:ascii="黑体" w:hAnsi="宋体" w:eastAsia="黑体"/>
          <w:b/>
          <w:color w:val="auto"/>
          <w:sz w:val="44"/>
          <w:highlight w:val="none"/>
        </w:rPr>
        <w:t>临海市建设工程诚信投标承诺书</w:t>
      </w:r>
    </w:p>
    <w:p w14:paraId="4458E89D">
      <w:pPr>
        <w:adjustRightInd w:val="0"/>
        <w:snapToGrid w:val="0"/>
        <w:spacing w:line="360" w:lineRule="auto"/>
        <w:rPr>
          <w:rFonts w:eastAsia="宋体"/>
          <w:color w:val="auto"/>
          <w:sz w:val="24"/>
          <w:highlight w:val="none"/>
        </w:rPr>
      </w:pPr>
    </w:p>
    <w:p w14:paraId="64EA4277">
      <w:pPr>
        <w:adjustRightInd w:val="0"/>
        <w:snapToGrid w:val="0"/>
        <w:spacing w:line="360" w:lineRule="auto"/>
        <w:rPr>
          <w:rFonts w:eastAsia="宋体"/>
          <w:color w:val="auto"/>
          <w:sz w:val="28"/>
          <w:szCs w:val="28"/>
          <w:highlight w:val="none"/>
        </w:rPr>
      </w:pPr>
      <w:r>
        <w:rPr>
          <w:rFonts w:hint="eastAsia" w:eastAsia="宋体"/>
          <w:color w:val="auto"/>
          <w:sz w:val="28"/>
          <w:szCs w:val="28"/>
          <w:highlight w:val="none"/>
        </w:rPr>
        <w:t>本人以企业法定代表人的身份郑重承诺：</w:t>
      </w:r>
    </w:p>
    <w:p w14:paraId="2DC15706">
      <w:pPr>
        <w:spacing w:line="360" w:lineRule="auto"/>
        <w:ind w:firstLine="560" w:firstLineChars="200"/>
        <w:rPr>
          <w:rFonts w:eastAsia="宋体"/>
          <w:color w:val="auto"/>
          <w:sz w:val="28"/>
          <w:szCs w:val="28"/>
          <w:highlight w:val="none"/>
        </w:rPr>
      </w:pPr>
      <w:r>
        <w:rPr>
          <w:rFonts w:hint="eastAsia" w:eastAsia="宋体"/>
          <w:color w:val="auto"/>
          <w:sz w:val="28"/>
          <w:szCs w:val="28"/>
          <w:highlight w:val="none"/>
        </w:rPr>
        <w:t>一、将遵循公开、公平、公正和诚实信用的原则参加</w:t>
      </w:r>
      <w:r>
        <w:rPr>
          <w:rFonts w:hint="eastAsia" w:eastAsia="宋体"/>
          <w:bCs/>
          <w:color w:val="auto"/>
          <w:sz w:val="28"/>
          <w:szCs w:val="28"/>
          <w:highlight w:val="none"/>
          <w:u w:val="single"/>
          <w:lang w:eastAsia="zh-CN"/>
        </w:rPr>
        <w:t>运动场地改造工程</w:t>
      </w:r>
      <w:r>
        <w:rPr>
          <w:rFonts w:hint="eastAsia" w:eastAsia="宋体"/>
          <w:color w:val="auto"/>
          <w:sz w:val="28"/>
          <w:szCs w:val="28"/>
          <w:highlight w:val="none"/>
        </w:rPr>
        <w:t>的投标；</w:t>
      </w:r>
    </w:p>
    <w:p w14:paraId="54A8E304">
      <w:pPr>
        <w:adjustRightInd w:val="0"/>
        <w:snapToGrid w:val="0"/>
        <w:spacing w:line="360" w:lineRule="auto"/>
        <w:ind w:firstLine="610" w:firstLineChars="218"/>
        <w:rPr>
          <w:rFonts w:eastAsia="宋体"/>
          <w:color w:val="auto"/>
          <w:sz w:val="28"/>
          <w:szCs w:val="28"/>
          <w:highlight w:val="none"/>
        </w:rPr>
      </w:pPr>
      <w:r>
        <w:rPr>
          <w:rFonts w:hint="eastAsia" w:eastAsia="宋体"/>
          <w:color w:val="auto"/>
          <w:sz w:val="28"/>
          <w:szCs w:val="28"/>
          <w:highlight w:val="none"/>
        </w:rPr>
        <w:t>二、所提供的一切材料都是真实、有效、合法的；</w:t>
      </w:r>
    </w:p>
    <w:p w14:paraId="6400AA04">
      <w:pPr>
        <w:adjustRightInd w:val="0"/>
        <w:snapToGrid w:val="0"/>
        <w:spacing w:line="360" w:lineRule="auto"/>
        <w:ind w:firstLine="624" w:firstLineChars="223"/>
        <w:rPr>
          <w:rFonts w:eastAsia="宋体"/>
          <w:color w:val="auto"/>
          <w:sz w:val="28"/>
          <w:szCs w:val="28"/>
          <w:highlight w:val="none"/>
        </w:rPr>
      </w:pPr>
      <w:r>
        <w:rPr>
          <w:rFonts w:hint="eastAsia" w:eastAsia="宋体"/>
          <w:color w:val="auto"/>
          <w:sz w:val="28"/>
          <w:szCs w:val="28"/>
          <w:highlight w:val="none"/>
        </w:rPr>
        <w:t>三、不与其他投标人相互串通投标报价，不排挤其他投标人的公平竞争，不损害招标人或其他投标人的合法权益；</w:t>
      </w:r>
    </w:p>
    <w:p w14:paraId="465871AF">
      <w:pPr>
        <w:adjustRightInd w:val="0"/>
        <w:snapToGrid w:val="0"/>
        <w:spacing w:line="360" w:lineRule="auto"/>
        <w:ind w:firstLine="646" w:firstLineChars="231"/>
        <w:rPr>
          <w:rFonts w:eastAsia="宋体"/>
          <w:color w:val="auto"/>
          <w:sz w:val="28"/>
          <w:szCs w:val="28"/>
          <w:highlight w:val="none"/>
        </w:rPr>
      </w:pPr>
      <w:r>
        <w:rPr>
          <w:rFonts w:hint="eastAsia" w:eastAsia="宋体"/>
          <w:color w:val="auto"/>
          <w:sz w:val="28"/>
          <w:szCs w:val="28"/>
          <w:highlight w:val="none"/>
        </w:rPr>
        <w:t>四、不与招标人或招标代理机构串通投标，损害国家利益、社会公共利益或者他人的合法权益；</w:t>
      </w:r>
    </w:p>
    <w:p w14:paraId="37C06998">
      <w:pPr>
        <w:adjustRightInd w:val="0"/>
        <w:snapToGrid w:val="0"/>
        <w:spacing w:line="360" w:lineRule="auto"/>
        <w:ind w:firstLine="646" w:firstLineChars="231"/>
        <w:rPr>
          <w:rFonts w:eastAsia="宋体"/>
          <w:color w:val="auto"/>
          <w:sz w:val="28"/>
          <w:szCs w:val="28"/>
          <w:highlight w:val="none"/>
        </w:rPr>
      </w:pPr>
      <w:r>
        <w:rPr>
          <w:rFonts w:hint="eastAsia" w:eastAsia="宋体"/>
          <w:color w:val="auto"/>
          <w:sz w:val="28"/>
          <w:szCs w:val="28"/>
          <w:highlight w:val="none"/>
        </w:rPr>
        <w:t>五、不向招标人或者评标委员会成员行贿以牟取中标；</w:t>
      </w:r>
    </w:p>
    <w:p w14:paraId="42A55C6E">
      <w:pPr>
        <w:adjustRightInd w:val="0"/>
        <w:snapToGrid w:val="0"/>
        <w:spacing w:line="360" w:lineRule="auto"/>
        <w:ind w:firstLine="672" w:firstLineChars="240"/>
        <w:rPr>
          <w:rFonts w:eastAsia="宋体"/>
          <w:color w:val="auto"/>
          <w:sz w:val="28"/>
          <w:szCs w:val="28"/>
          <w:highlight w:val="none"/>
        </w:rPr>
      </w:pPr>
      <w:r>
        <w:rPr>
          <w:rFonts w:hint="eastAsia" w:eastAsia="宋体"/>
          <w:color w:val="auto"/>
          <w:sz w:val="28"/>
          <w:szCs w:val="28"/>
          <w:highlight w:val="none"/>
        </w:rPr>
        <w:t>六、不以他人名义投标或者以其他方式弄虚作假，骗取中标。</w:t>
      </w:r>
    </w:p>
    <w:p w14:paraId="4670EEA7">
      <w:pPr>
        <w:adjustRightInd w:val="0"/>
        <w:snapToGrid w:val="0"/>
        <w:spacing w:line="360" w:lineRule="auto"/>
        <w:ind w:firstLine="722" w:firstLineChars="258"/>
        <w:rPr>
          <w:rFonts w:eastAsia="宋体"/>
          <w:color w:val="auto"/>
          <w:sz w:val="28"/>
          <w:szCs w:val="28"/>
          <w:highlight w:val="none"/>
        </w:rPr>
      </w:pPr>
      <w:r>
        <w:rPr>
          <w:rFonts w:hint="eastAsia" w:eastAsia="宋体"/>
          <w:color w:val="auto"/>
          <w:sz w:val="28"/>
          <w:szCs w:val="28"/>
          <w:highlight w:val="none"/>
        </w:rPr>
        <w:t>本公司若有违反本承诺内容的行为，愿意承担法律责任。如已中标的，自动放弃中标资格；给招标人造成损失的，依法承担赔偿责任。</w:t>
      </w:r>
    </w:p>
    <w:p w14:paraId="423FCA2E">
      <w:pPr>
        <w:adjustRightInd w:val="0"/>
        <w:snapToGrid w:val="0"/>
        <w:spacing w:line="360" w:lineRule="auto"/>
        <w:ind w:firstLine="722" w:firstLineChars="258"/>
        <w:rPr>
          <w:rFonts w:hint="eastAsia" w:eastAsia="宋体"/>
          <w:color w:val="auto"/>
          <w:sz w:val="28"/>
          <w:szCs w:val="28"/>
          <w:highlight w:val="none"/>
        </w:rPr>
      </w:pPr>
      <w:r>
        <w:rPr>
          <w:rFonts w:hint="eastAsia" w:eastAsia="宋体"/>
          <w:color w:val="auto"/>
          <w:sz w:val="28"/>
          <w:szCs w:val="28"/>
          <w:highlight w:val="none"/>
        </w:rPr>
        <w:t>如招标人需要调查了解的，本公司负责本次投标的主管人员（分管经营的副总）将积极配合。</w:t>
      </w:r>
    </w:p>
    <w:p w14:paraId="0F3CADB7">
      <w:pPr>
        <w:adjustRightInd w:val="0"/>
        <w:snapToGrid w:val="0"/>
        <w:spacing w:line="360" w:lineRule="auto"/>
        <w:ind w:firstLine="722" w:firstLineChars="258"/>
        <w:rPr>
          <w:rFonts w:eastAsia="宋体"/>
          <w:color w:val="auto"/>
          <w:sz w:val="28"/>
          <w:szCs w:val="28"/>
          <w:highlight w:val="none"/>
          <w:u w:val="single"/>
        </w:rPr>
      </w:pPr>
      <w:r>
        <w:rPr>
          <w:rFonts w:hint="eastAsia" w:eastAsia="宋体"/>
          <w:color w:val="auto"/>
          <w:sz w:val="28"/>
          <w:szCs w:val="28"/>
          <w:highlight w:val="none"/>
        </w:rPr>
        <w:t>主管人员：</w:t>
      </w:r>
      <w:r>
        <w:rPr>
          <w:rFonts w:hint="eastAsia" w:eastAsia="宋体"/>
          <w:color w:val="auto"/>
          <w:sz w:val="28"/>
          <w:szCs w:val="28"/>
          <w:highlight w:val="none"/>
          <w:u w:val="single"/>
        </w:rPr>
        <w:t xml:space="preserve">              </w:t>
      </w:r>
      <w:r>
        <w:rPr>
          <w:rFonts w:hint="eastAsia" w:eastAsia="宋体"/>
          <w:color w:val="auto"/>
          <w:sz w:val="28"/>
          <w:szCs w:val="28"/>
          <w:highlight w:val="none"/>
        </w:rPr>
        <w:t>手机：</w:t>
      </w:r>
      <w:r>
        <w:rPr>
          <w:rFonts w:hint="eastAsia" w:eastAsia="宋体"/>
          <w:color w:val="auto"/>
          <w:sz w:val="28"/>
          <w:szCs w:val="28"/>
          <w:highlight w:val="none"/>
          <w:u w:val="single"/>
        </w:rPr>
        <w:t xml:space="preserve">             </w:t>
      </w:r>
      <w:r>
        <w:rPr>
          <w:rFonts w:hint="eastAsia"/>
          <w:color w:val="auto"/>
          <w:szCs w:val="32"/>
          <w:highlight w:val="none"/>
        </w:rPr>
        <w:t>邮</w:t>
      </w:r>
      <w:r>
        <w:rPr>
          <w:rFonts w:hint="eastAsia" w:ascii="宋体" w:hAnsi="宋体" w:eastAsia="宋体"/>
          <w:color w:val="auto"/>
          <w:sz w:val="28"/>
          <w:szCs w:val="28"/>
          <w:highlight w:val="none"/>
        </w:rPr>
        <w:t>箱：</w:t>
      </w:r>
      <w:r>
        <w:rPr>
          <w:rFonts w:hint="eastAsia" w:ascii="宋体" w:hAnsi="宋体" w:eastAsia="宋体"/>
          <w:color w:val="auto"/>
          <w:sz w:val="28"/>
          <w:szCs w:val="28"/>
          <w:highlight w:val="none"/>
          <w:u w:val="single"/>
        </w:rPr>
        <w:t xml:space="preserve">    </w:t>
      </w:r>
      <w:r>
        <w:rPr>
          <w:rFonts w:hint="eastAsia" w:ascii="宋体" w:hAnsi="宋体" w:eastAsia="宋体"/>
          <w:color w:val="auto"/>
          <w:sz w:val="28"/>
          <w:szCs w:val="28"/>
          <w:highlight w:val="none"/>
          <w:u w:val="single"/>
          <w:lang w:val="en-US" w:eastAsia="zh-CN"/>
        </w:rPr>
        <w:t xml:space="preserve">   </w:t>
      </w:r>
      <w:r>
        <w:rPr>
          <w:rFonts w:hint="eastAsia" w:ascii="宋体" w:hAnsi="宋体" w:eastAsia="宋体"/>
          <w:color w:val="auto"/>
          <w:sz w:val="28"/>
          <w:szCs w:val="28"/>
          <w:highlight w:val="none"/>
          <w:u w:val="single"/>
        </w:rPr>
        <w:t xml:space="preserve">   </w:t>
      </w:r>
    </w:p>
    <w:p w14:paraId="2CE7A23D">
      <w:pPr>
        <w:pStyle w:val="30"/>
        <w:rPr>
          <w:color w:val="auto"/>
          <w:sz w:val="28"/>
          <w:szCs w:val="28"/>
          <w:highlight w:val="none"/>
        </w:rPr>
      </w:pPr>
    </w:p>
    <w:p w14:paraId="34B8E3D9">
      <w:pPr>
        <w:adjustRightInd w:val="0"/>
        <w:snapToGrid w:val="0"/>
        <w:spacing w:line="586" w:lineRule="exact"/>
        <w:ind w:firstLine="3920" w:firstLineChars="1400"/>
        <w:rPr>
          <w:rFonts w:eastAsia="宋体"/>
          <w:color w:val="auto"/>
          <w:sz w:val="28"/>
          <w:szCs w:val="28"/>
          <w:highlight w:val="none"/>
        </w:rPr>
      </w:pPr>
      <w:r>
        <w:rPr>
          <w:rFonts w:hint="eastAsia" w:eastAsia="宋体"/>
          <w:color w:val="auto"/>
          <w:sz w:val="28"/>
          <w:szCs w:val="28"/>
          <w:highlight w:val="none"/>
        </w:rPr>
        <w:t>法定代表人（签字或盖章）：</w:t>
      </w:r>
    </w:p>
    <w:p w14:paraId="2C3CF87F">
      <w:pPr>
        <w:adjustRightInd w:val="0"/>
        <w:snapToGrid w:val="0"/>
        <w:spacing w:line="586" w:lineRule="exact"/>
        <w:rPr>
          <w:rFonts w:eastAsia="宋体"/>
          <w:color w:val="auto"/>
          <w:sz w:val="28"/>
          <w:szCs w:val="28"/>
          <w:highlight w:val="none"/>
        </w:rPr>
      </w:pPr>
    </w:p>
    <w:p w14:paraId="305D1EB9">
      <w:pPr>
        <w:adjustRightInd w:val="0"/>
        <w:snapToGrid w:val="0"/>
        <w:spacing w:line="586" w:lineRule="exact"/>
        <w:ind w:firstLine="3920" w:firstLineChars="1400"/>
        <w:rPr>
          <w:rFonts w:eastAsia="宋体"/>
          <w:color w:val="auto"/>
          <w:sz w:val="28"/>
          <w:szCs w:val="28"/>
          <w:highlight w:val="none"/>
        </w:rPr>
      </w:pPr>
      <w:r>
        <w:rPr>
          <w:rFonts w:hint="eastAsia" w:eastAsia="宋体"/>
          <w:color w:val="auto"/>
          <w:sz w:val="28"/>
          <w:szCs w:val="28"/>
          <w:highlight w:val="none"/>
        </w:rPr>
        <w:t>投  标  人（盖章）：</w:t>
      </w:r>
    </w:p>
    <w:p w14:paraId="00F35C1A">
      <w:pPr>
        <w:adjustRightInd w:val="0"/>
        <w:snapToGrid w:val="0"/>
        <w:spacing w:line="586" w:lineRule="exact"/>
        <w:ind w:right="640" w:firstLine="3920" w:firstLineChars="1400"/>
        <w:jc w:val="center"/>
        <w:rPr>
          <w:color w:val="auto"/>
          <w:sz w:val="28"/>
          <w:szCs w:val="28"/>
          <w:highlight w:val="none"/>
        </w:rPr>
      </w:pPr>
      <w:bookmarkStart w:id="198" w:name="_Toc143318918"/>
      <w:bookmarkStart w:id="199" w:name="_Toc143319553"/>
      <w:bookmarkStart w:id="200" w:name="_Toc141242988"/>
      <w:bookmarkStart w:id="201" w:name="_Toc146440177"/>
      <w:bookmarkStart w:id="202" w:name="_Toc155322974"/>
      <w:bookmarkStart w:id="203" w:name="_Toc148157964"/>
      <w:r>
        <w:rPr>
          <w:rFonts w:hint="eastAsia" w:eastAsia="宋体"/>
          <w:color w:val="auto"/>
          <w:sz w:val="28"/>
          <w:szCs w:val="28"/>
          <w:highlight w:val="none"/>
        </w:rPr>
        <w:t xml:space="preserve">       年    月    日</w:t>
      </w:r>
      <w:bookmarkEnd w:id="191"/>
      <w:bookmarkEnd w:id="192"/>
      <w:bookmarkEnd w:id="193"/>
      <w:bookmarkEnd w:id="194"/>
      <w:bookmarkEnd w:id="195"/>
      <w:bookmarkEnd w:id="196"/>
      <w:bookmarkEnd w:id="197"/>
      <w:bookmarkEnd w:id="198"/>
      <w:bookmarkEnd w:id="199"/>
      <w:bookmarkEnd w:id="200"/>
      <w:bookmarkEnd w:id="201"/>
      <w:bookmarkEnd w:id="202"/>
      <w:bookmarkEnd w:id="203"/>
      <w:bookmarkStart w:id="204" w:name="_Toc169487835"/>
      <w:bookmarkStart w:id="205" w:name="_Toc155342591"/>
    </w:p>
    <w:p w14:paraId="0F112E2B">
      <w:pPr>
        <w:rPr>
          <w:color w:val="auto"/>
          <w:sz w:val="28"/>
          <w:szCs w:val="28"/>
          <w:highlight w:val="none"/>
        </w:rPr>
      </w:pPr>
      <w:bookmarkStart w:id="206" w:name="_Toc386121765"/>
      <w:bookmarkStart w:id="207" w:name="_Toc386122462"/>
      <w:bookmarkStart w:id="208" w:name="_Toc11522"/>
      <w:bookmarkStart w:id="209" w:name="_Toc18290"/>
    </w:p>
    <w:p w14:paraId="581091E7">
      <w:pPr>
        <w:pStyle w:val="3"/>
        <w:numPr>
          <w:ilvl w:val="0"/>
          <w:numId w:val="0"/>
        </w:numPr>
        <w:spacing w:before="0" w:afterLines="0" w:line="240" w:lineRule="auto"/>
        <w:jc w:val="both"/>
        <w:rPr>
          <w:rFonts w:ascii="黑体"/>
          <w:color w:val="auto"/>
          <w:sz w:val="28"/>
          <w:szCs w:val="28"/>
          <w:highlight w:val="none"/>
        </w:rPr>
      </w:pPr>
      <w:r>
        <w:rPr>
          <w:rFonts w:hint="eastAsia"/>
          <w:b w:val="0"/>
          <w:color w:val="auto"/>
          <w:sz w:val="28"/>
          <w:szCs w:val="28"/>
          <w:highlight w:val="none"/>
        </w:rPr>
        <w:t>附件八：</w:t>
      </w:r>
      <w:bookmarkEnd w:id="204"/>
      <w:bookmarkEnd w:id="205"/>
      <w:bookmarkEnd w:id="206"/>
      <w:bookmarkEnd w:id="207"/>
      <w:r>
        <w:rPr>
          <w:rFonts w:hint="eastAsia"/>
          <w:b w:val="0"/>
          <w:color w:val="auto"/>
          <w:sz w:val="28"/>
          <w:szCs w:val="28"/>
          <w:highlight w:val="none"/>
        </w:rPr>
        <w:t>法定代表人授权委托书</w:t>
      </w:r>
      <w:bookmarkEnd w:id="208"/>
      <w:bookmarkEnd w:id="209"/>
    </w:p>
    <w:p w14:paraId="08E932B9">
      <w:pPr>
        <w:adjustRightInd w:val="0"/>
        <w:snapToGrid w:val="0"/>
        <w:spacing w:beforeLines="50" w:line="360" w:lineRule="auto"/>
        <w:jc w:val="center"/>
        <w:outlineLvl w:val="0"/>
        <w:rPr>
          <w:rFonts w:ascii="宋体" w:eastAsia="宋体"/>
          <w:color w:val="auto"/>
          <w:sz w:val="28"/>
          <w:highlight w:val="none"/>
        </w:rPr>
      </w:pPr>
      <w:bookmarkStart w:id="210" w:name="_Toc10796"/>
      <w:r>
        <w:rPr>
          <w:rFonts w:hint="eastAsia" w:ascii="黑体" w:eastAsia="黑体"/>
          <w:color w:val="auto"/>
          <w:sz w:val="44"/>
          <w:highlight w:val="none"/>
        </w:rPr>
        <w:t>法定代表人授权委托书</w:t>
      </w:r>
      <w:bookmarkEnd w:id="210"/>
      <w:bookmarkStart w:id="211" w:name="_Toc32620"/>
      <w:r>
        <w:rPr>
          <w:rFonts w:hint="eastAsia" w:ascii="宋体" w:eastAsia="宋体"/>
          <w:color w:val="auto"/>
          <w:sz w:val="28"/>
          <w:highlight w:val="none"/>
        </w:rPr>
        <w:t>（参考样张）</w:t>
      </w:r>
      <w:bookmarkEnd w:id="211"/>
    </w:p>
    <w:p w14:paraId="721F2099">
      <w:pPr>
        <w:adjustRightInd w:val="0"/>
        <w:snapToGrid w:val="0"/>
        <w:spacing w:beforeLines="50" w:line="360" w:lineRule="auto"/>
        <w:ind w:firstLine="600"/>
        <w:rPr>
          <w:rFonts w:ascii="宋体" w:eastAsia="宋体"/>
          <w:color w:val="auto"/>
          <w:sz w:val="28"/>
          <w:highlight w:val="none"/>
          <w:u w:val="single"/>
        </w:rPr>
      </w:pPr>
      <w:r>
        <w:rPr>
          <w:rFonts w:hint="eastAsia" w:ascii="宋体" w:eastAsia="宋体"/>
          <w:color w:val="auto"/>
          <w:sz w:val="28"/>
          <w:highlight w:val="none"/>
        </w:rPr>
        <w:t>本授权委托书声明：我</w:t>
      </w:r>
      <w:r>
        <w:rPr>
          <w:rFonts w:hint="eastAsia" w:ascii="宋体" w:eastAsia="宋体"/>
          <w:color w:val="auto"/>
          <w:sz w:val="28"/>
          <w:highlight w:val="none"/>
          <w:u w:val="single"/>
        </w:rPr>
        <w:t xml:space="preserve">               </w:t>
      </w:r>
      <w:r>
        <w:rPr>
          <w:rFonts w:hint="eastAsia" w:ascii="宋体" w:eastAsia="宋体"/>
          <w:color w:val="auto"/>
          <w:sz w:val="28"/>
          <w:highlight w:val="none"/>
        </w:rPr>
        <w:t>（姓名）系</w:t>
      </w:r>
      <w:r>
        <w:rPr>
          <w:rFonts w:hint="eastAsia" w:ascii="宋体" w:eastAsia="宋体"/>
          <w:color w:val="auto"/>
          <w:sz w:val="28"/>
          <w:highlight w:val="none"/>
          <w:u w:val="single"/>
        </w:rPr>
        <w:t xml:space="preserve">                 </w:t>
      </w:r>
    </w:p>
    <w:p w14:paraId="09E99D7E">
      <w:pPr>
        <w:adjustRightInd w:val="0"/>
        <w:snapToGrid w:val="0"/>
        <w:spacing w:beforeLines="50" w:line="360" w:lineRule="auto"/>
        <w:rPr>
          <w:rFonts w:ascii="宋体" w:eastAsia="宋体"/>
          <w:color w:val="auto"/>
          <w:sz w:val="28"/>
          <w:highlight w:val="none"/>
        </w:rPr>
      </w:pPr>
      <w:r>
        <w:rPr>
          <w:rFonts w:hint="eastAsia" w:ascii="宋体" w:eastAsia="宋体"/>
          <w:color w:val="auto"/>
          <w:sz w:val="28"/>
          <w:highlight w:val="none"/>
        </w:rPr>
        <w:t>（投标人）的法定代表人，现授权委托我单位</w:t>
      </w:r>
      <w:r>
        <w:rPr>
          <w:rFonts w:hint="eastAsia" w:ascii="宋体" w:eastAsia="宋体"/>
          <w:color w:val="auto"/>
          <w:sz w:val="28"/>
          <w:highlight w:val="none"/>
          <w:u w:val="single"/>
        </w:rPr>
        <w:t xml:space="preserve">         </w:t>
      </w:r>
      <w:r>
        <w:rPr>
          <w:rFonts w:hint="eastAsia" w:ascii="宋体" w:eastAsia="宋体"/>
          <w:color w:val="auto"/>
          <w:sz w:val="28"/>
          <w:highlight w:val="none"/>
        </w:rPr>
        <w:t>（姓名）为我的代理人，以本单位的名义参加</w:t>
      </w:r>
      <w:r>
        <w:rPr>
          <w:rFonts w:hint="eastAsia" w:ascii="宋体" w:eastAsia="宋体"/>
          <w:color w:val="auto"/>
          <w:sz w:val="28"/>
          <w:highlight w:val="none"/>
          <w:u w:val="single"/>
        </w:rPr>
        <w:t xml:space="preserve">              </w:t>
      </w:r>
      <w:r>
        <w:rPr>
          <w:rFonts w:hint="eastAsia" w:ascii="宋体" w:eastAsia="宋体"/>
          <w:color w:val="auto"/>
          <w:sz w:val="28"/>
          <w:highlight w:val="none"/>
        </w:rPr>
        <w:t xml:space="preserve">（招标人）的 </w:t>
      </w:r>
      <w:r>
        <w:rPr>
          <w:rFonts w:hint="eastAsia" w:ascii="宋体" w:eastAsia="宋体"/>
          <w:color w:val="auto"/>
          <w:sz w:val="28"/>
          <w:highlight w:val="none"/>
          <w:u w:val="single"/>
        </w:rPr>
        <w:t xml:space="preserve">          </w:t>
      </w:r>
      <w:r>
        <w:rPr>
          <w:rFonts w:hint="eastAsia" w:ascii="宋体" w:eastAsia="宋体"/>
          <w:color w:val="auto"/>
          <w:sz w:val="28"/>
          <w:highlight w:val="none"/>
        </w:rPr>
        <w:t>（工程名称）的投标。代理人在该工程招投标活动中的一切事务，我均予以承认。</w:t>
      </w:r>
    </w:p>
    <w:p w14:paraId="167D5581">
      <w:pPr>
        <w:adjustRightInd w:val="0"/>
        <w:snapToGrid w:val="0"/>
        <w:spacing w:beforeLines="50" w:line="360" w:lineRule="auto"/>
        <w:ind w:firstLine="560" w:firstLineChars="200"/>
        <w:rPr>
          <w:rFonts w:ascii="宋体" w:eastAsia="宋体"/>
          <w:color w:val="auto"/>
          <w:sz w:val="28"/>
          <w:highlight w:val="none"/>
        </w:rPr>
      </w:pPr>
      <w:r>
        <w:rPr>
          <w:rFonts w:hint="eastAsia" w:ascii="宋体" w:eastAsia="宋体"/>
          <w:color w:val="auto"/>
          <w:sz w:val="28"/>
          <w:highlight w:val="none"/>
        </w:rPr>
        <w:t>代理人无转委权，特此委托。</w:t>
      </w:r>
    </w:p>
    <w:p w14:paraId="63A40D1F">
      <w:pPr>
        <w:adjustRightInd w:val="0"/>
        <w:snapToGrid w:val="0"/>
        <w:spacing w:beforeLines="50" w:line="360" w:lineRule="auto"/>
        <w:rPr>
          <w:rFonts w:ascii="宋体" w:eastAsia="宋体"/>
          <w:color w:val="auto"/>
          <w:sz w:val="28"/>
          <w:highlight w:val="none"/>
          <w:u w:val="single"/>
        </w:rPr>
      </w:pPr>
      <w:r>
        <w:rPr>
          <w:rFonts w:hint="eastAsia" w:ascii="宋体" w:eastAsia="宋体"/>
          <w:color w:val="auto"/>
          <w:sz w:val="28"/>
          <w:highlight w:val="none"/>
        </w:rPr>
        <w:t>投标人（盖章）：</w:t>
      </w:r>
      <w:r>
        <w:rPr>
          <w:rFonts w:hint="eastAsia" w:ascii="宋体" w:eastAsia="宋体"/>
          <w:color w:val="auto"/>
          <w:sz w:val="28"/>
          <w:highlight w:val="none"/>
          <w:u w:val="single"/>
        </w:rPr>
        <w:t xml:space="preserve">                                                   </w:t>
      </w:r>
    </w:p>
    <w:p w14:paraId="6BD1C80A">
      <w:pPr>
        <w:adjustRightInd w:val="0"/>
        <w:snapToGrid w:val="0"/>
        <w:spacing w:beforeLines="50" w:line="360" w:lineRule="auto"/>
        <w:rPr>
          <w:rFonts w:ascii="宋体" w:eastAsia="宋体"/>
          <w:color w:val="auto"/>
          <w:sz w:val="28"/>
          <w:highlight w:val="none"/>
          <w:u w:val="single"/>
        </w:rPr>
      </w:pPr>
      <w:r>
        <w:rPr>
          <w:rFonts w:hint="eastAsia" w:ascii="宋体" w:eastAsia="宋体"/>
          <w:color w:val="auto"/>
          <w:sz w:val="28"/>
          <w:highlight w:val="none"/>
        </w:rPr>
        <w:t>法定代表人（盖章）：</w:t>
      </w:r>
      <w:r>
        <w:rPr>
          <w:rFonts w:hint="eastAsia" w:ascii="宋体" w:eastAsia="宋体"/>
          <w:color w:val="auto"/>
          <w:sz w:val="28"/>
          <w:highlight w:val="none"/>
          <w:u w:val="single"/>
        </w:rPr>
        <w:t xml:space="preserve">                                               </w:t>
      </w:r>
    </w:p>
    <w:p w14:paraId="17CBA90D">
      <w:pPr>
        <w:adjustRightInd w:val="0"/>
        <w:snapToGrid w:val="0"/>
        <w:spacing w:beforeLines="50" w:line="360" w:lineRule="auto"/>
        <w:rPr>
          <w:rFonts w:ascii="宋体" w:eastAsia="宋体"/>
          <w:color w:val="auto"/>
          <w:sz w:val="28"/>
          <w:highlight w:val="none"/>
          <w:u w:val="single"/>
        </w:rPr>
      </w:pPr>
      <w:r>
        <w:rPr>
          <w:rFonts w:hint="eastAsia" w:ascii="宋体" w:eastAsia="宋体"/>
          <w:color w:val="auto"/>
          <w:sz w:val="28"/>
          <w:highlight w:val="none"/>
        </w:rPr>
        <w:t>代理人：</w:t>
      </w:r>
      <w:r>
        <w:rPr>
          <w:rFonts w:hint="eastAsia" w:ascii="宋体" w:eastAsia="宋体"/>
          <w:color w:val="auto"/>
          <w:sz w:val="28"/>
          <w:highlight w:val="none"/>
          <w:u w:val="single"/>
        </w:rPr>
        <w:t xml:space="preserve">             </w:t>
      </w:r>
      <w:r>
        <w:rPr>
          <w:rFonts w:hint="eastAsia" w:ascii="宋体" w:eastAsia="宋体"/>
          <w:color w:val="auto"/>
          <w:sz w:val="28"/>
          <w:highlight w:val="none"/>
        </w:rPr>
        <w:t>性别：</w:t>
      </w:r>
      <w:r>
        <w:rPr>
          <w:rFonts w:hint="eastAsia" w:ascii="宋体" w:eastAsia="宋体"/>
          <w:color w:val="auto"/>
          <w:sz w:val="28"/>
          <w:highlight w:val="none"/>
          <w:u w:val="single"/>
        </w:rPr>
        <w:t xml:space="preserve">                   </w:t>
      </w:r>
      <w:r>
        <w:rPr>
          <w:rFonts w:hint="eastAsia" w:ascii="宋体" w:eastAsia="宋体"/>
          <w:color w:val="auto"/>
          <w:sz w:val="28"/>
          <w:highlight w:val="none"/>
        </w:rPr>
        <w:t>年龄：</w:t>
      </w:r>
      <w:r>
        <w:rPr>
          <w:rFonts w:hint="eastAsia" w:ascii="宋体" w:eastAsia="宋体"/>
          <w:color w:val="auto"/>
          <w:sz w:val="28"/>
          <w:highlight w:val="none"/>
          <w:u w:val="single"/>
        </w:rPr>
        <w:t xml:space="preserve">              </w:t>
      </w:r>
    </w:p>
    <w:p w14:paraId="6BE87921">
      <w:pPr>
        <w:adjustRightInd w:val="0"/>
        <w:snapToGrid w:val="0"/>
        <w:spacing w:beforeLines="50" w:line="360" w:lineRule="auto"/>
        <w:rPr>
          <w:rFonts w:ascii="宋体" w:eastAsia="宋体"/>
          <w:b/>
          <w:bCs/>
          <w:color w:val="auto"/>
          <w:sz w:val="28"/>
          <w:highlight w:val="none"/>
          <w:u w:val="single"/>
        </w:rPr>
      </w:pPr>
      <w:r>
        <w:rPr>
          <w:rFonts w:hint="eastAsia" w:ascii="宋体" w:eastAsia="宋体"/>
          <w:color w:val="auto"/>
          <w:sz w:val="28"/>
          <w:highlight w:val="none"/>
        </w:rPr>
        <w:t>身份证号码：</w:t>
      </w:r>
      <w:r>
        <w:rPr>
          <w:rFonts w:hint="eastAsia" w:ascii="宋体" w:eastAsia="宋体"/>
          <w:color w:val="auto"/>
          <w:sz w:val="28"/>
          <w:highlight w:val="none"/>
          <w:u w:val="single"/>
        </w:rPr>
        <w:t xml:space="preserve">                 </w:t>
      </w:r>
      <w:r>
        <w:rPr>
          <w:rFonts w:hint="eastAsia" w:ascii="宋体" w:eastAsia="宋体"/>
          <w:color w:val="auto"/>
          <w:sz w:val="28"/>
          <w:highlight w:val="none"/>
        </w:rPr>
        <w:t>职务：</w:t>
      </w:r>
      <w:r>
        <w:rPr>
          <w:rFonts w:hint="eastAsia" w:ascii="宋体" w:eastAsia="宋体"/>
          <w:color w:val="auto"/>
          <w:sz w:val="28"/>
          <w:highlight w:val="none"/>
          <w:u w:val="single"/>
        </w:rPr>
        <w:t xml:space="preserve">       </w:t>
      </w:r>
      <w:r>
        <w:rPr>
          <w:rFonts w:hint="eastAsia" w:ascii="宋体" w:eastAsia="宋体"/>
          <w:color w:val="auto"/>
          <w:sz w:val="28"/>
          <w:highlight w:val="none"/>
        </w:rPr>
        <w:t>联系电话：</w:t>
      </w:r>
      <w:r>
        <w:rPr>
          <w:rFonts w:hint="eastAsia" w:ascii="宋体" w:eastAsia="宋体"/>
          <w:color w:val="auto"/>
          <w:sz w:val="28"/>
          <w:highlight w:val="none"/>
          <w:u w:val="single"/>
        </w:rPr>
        <w:t xml:space="preserve">              </w:t>
      </w:r>
    </w:p>
    <w:p w14:paraId="213D4A1C">
      <w:pPr>
        <w:adjustRightInd w:val="0"/>
        <w:snapToGrid w:val="0"/>
        <w:spacing w:beforeLines="50" w:line="360" w:lineRule="auto"/>
        <w:rPr>
          <w:rFonts w:ascii="宋体" w:eastAsia="宋体"/>
          <w:color w:val="auto"/>
          <w:sz w:val="28"/>
          <w:highlight w:val="none"/>
        </w:rPr>
      </w:pPr>
      <w:r>
        <w:rPr>
          <w:rFonts w:hint="eastAsia" w:ascii="宋体" w:eastAsia="宋体"/>
          <w:color w:val="auto"/>
          <w:sz w:val="28"/>
          <w:highlight w:val="none"/>
        </w:rPr>
        <w:t>授权委托日期：</w:t>
      </w:r>
      <w:r>
        <w:rPr>
          <w:rFonts w:hint="eastAsia" w:ascii="宋体" w:eastAsia="宋体"/>
          <w:color w:val="auto"/>
          <w:sz w:val="28"/>
          <w:highlight w:val="none"/>
          <w:u w:val="single"/>
        </w:rPr>
        <w:t xml:space="preserve">              </w:t>
      </w:r>
      <w:r>
        <w:rPr>
          <w:rFonts w:hint="eastAsia" w:ascii="宋体" w:eastAsia="宋体"/>
          <w:color w:val="auto"/>
          <w:sz w:val="28"/>
          <w:highlight w:val="none"/>
        </w:rPr>
        <w:t>年</w:t>
      </w:r>
      <w:r>
        <w:rPr>
          <w:rFonts w:hint="eastAsia" w:ascii="宋体" w:eastAsia="宋体"/>
          <w:color w:val="auto"/>
          <w:sz w:val="28"/>
          <w:highlight w:val="none"/>
          <w:u w:val="single"/>
        </w:rPr>
        <w:t xml:space="preserve">                </w:t>
      </w:r>
      <w:r>
        <w:rPr>
          <w:rFonts w:hint="eastAsia" w:ascii="宋体" w:eastAsia="宋体"/>
          <w:color w:val="auto"/>
          <w:sz w:val="28"/>
          <w:highlight w:val="none"/>
        </w:rPr>
        <w:t>月</w:t>
      </w:r>
      <w:r>
        <w:rPr>
          <w:rFonts w:hint="eastAsia" w:ascii="宋体" w:eastAsia="宋体"/>
          <w:color w:val="auto"/>
          <w:sz w:val="28"/>
          <w:highlight w:val="none"/>
          <w:u w:val="single"/>
        </w:rPr>
        <w:t xml:space="preserve">                </w:t>
      </w:r>
      <w:r>
        <w:rPr>
          <w:rFonts w:hint="eastAsia" w:ascii="宋体" w:eastAsia="宋体"/>
          <w:color w:val="auto"/>
          <w:sz w:val="28"/>
          <w:highlight w:val="none"/>
        </w:rPr>
        <w:t>日</w:t>
      </w:r>
    </w:p>
    <w:p w14:paraId="74525DDF">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法定代表人身份证复印件            被授权人身份证复印件</w:t>
      </w:r>
    </w:p>
    <w:tbl>
      <w:tblPr>
        <w:tblStyle w:val="23"/>
        <w:tblW w:w="9699" w:type="dxa"/>
        <w:jc w:val="center"/>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850"/>
        <w:gridCol w:w="4849"/>
      </w:tblGrid>
      <w:tr w14:paraId="2FD3ABDC">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170" w:hRule="atLeast"/>
          <w:jc w:val="center"/>
        </w:trPr>
        <w:tc>
          <w:tcPr>
            <w:tcW w:w="4850" w:type="dxa"/>
          </w:tcPr>
          <w:p w14:paraId="3439F7DD">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身份证复印件粘贴处，正反两面均复印，复印件清晰可认。</w:t>
            </w:r>
          </w:p>
        </w:tc>
        <w:tc>
          <w:tcPr>
            <w:tcW w:w="4849" w:type="dxa"/>
          </w:tcPr>
          <w:p w14:paraId="6BEBC467">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身份证复印件粘贴处，正反两面均复印，复印件清晰可认。</w:t>
            </w:r>
          </w:p>
        </w:tc>
      </w:tr>
      <w:tr w14:paraId="5E888FCD">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118" w:hRule="atLeast"/>
          <w:jc w:val="center"/>
        </w:trPr>
        <w:tc>
          <w:tcPr>
            <w:tcW w:w="4850" w:type="dxa"/>
          </w:tcPr>
          <w:p w14:paraId="7197DAE0">
            <w:pPr>
              <w:spacing w:line="360" w:lineRule="auto"/>
              <w:rPr>
                <w:color w:val="auto"/>
                <w:sz w:val="30"/>
                <w:szCs w:val="30"/>
                <w:highlight w:val="none"/>
              </w:rPr>
            </w:pPr>
          </w:p>
        </w:tc>
        <w:tc>
          <w:tcPr>
            <w:tcW w:w="4849" w:type="dxa"/>
          </w:tcPr>
          <w:p w14:paraId="730B9118">
            <w:pPr>
              <w:spacing w:line="360" w:lineRule="auto"/>
              <w:rPr>
                <w:color w:val="auto"/>
                <w:sz w:val="30"/>
                <w:szCs w:val="30"/>
                <w:highlight w:val="none"/>
              </w:rPr>
            </w:pPr>
          </w:p>
        </w:tc>
      </w:tr>
    </w:tbl>
    <w:p w14:paraId="7202A3F4">
      <w:pPr>
        <w:rPr>
          <w:color w:val="auto"/>
          <w:highlight w:val="none"/>
        </w:rPr>
      </w:pPr>
    </w:p>
    <w:p w14:paraId="0D516568">
      <w:pPr>
        <w:pStyle w:val="3"/>
        <w:numPr>
          <w:ilvl w:val="0"/>
          <w:numId w:val="0"/>
        </w:numPr>
        <w:spacing w:before="0" w:afterLines="0" w:line="240" w:lineRule="auto"/>
        <w:jc w:val="both"/>
        <w:rPr>
          <w:rFonts w:hint="eastAsia"/>
          <w:b w:val="0"/>
          <w:color w:val="auto"/>
          <w:sz w:val="28"/>
          <w:szCs w:val="28"/>
          <w:highlight w:val="none"/>
        </w:rPr>
      </w:pPr>
      <w:bookmarkStart w:id="212" w:name="_Toc42587767"/>
      <w:bookmarkStart w:id="213" w:name="_Toc234382962"/>
      <w:r>
        <w:rPr>
          <w:rFonts w:hint="eastAsia"/>
          <w:b w:val="0"/>
          <w:color w:val="auto"/>
          <w:sz w:val="28"/>
          <w:szCs w:val="28"/>
          <w:highlight w:val="none"/>
        </w:rPr>
        <w:t>附件九：法定代表人身份证明</w:t>
      </w:r>
    </w:p>
    <w:p w14:paraId="4AB446EC">
      <w:pPr>
        <w:wordWrap w:val="0"/>
        <w:jc w:val="center"/>
        <w:outlineLvl w:val="3"/>
        <w:rPr>
          <w:rFonts w:ascii="宋体" w:hAnsi="宋体" w:cs="宋体"/>
          <w:color w:val="auto"/>
          <w:sz w:val="24"/>
          <w:highlight w:val="none"/>
        </w:rPr>
      </w:pPr>
      <w:r>
        <w:rPr>
          <w:rFonts w:hint="eastAsia" w:ascii="黑体" w:eastAsia="黑体"/>
          <w:color w:val="auto"/>
          <w:sz w:val="44"/>
          <w:highlight w:val="none"/>
        </w:rPr>
        <w:t>法定代表人身份证明</w:t>
      </w:r>
      <w:bookmarkEnd w:id="212"/>
      <w:bookmarkEnd w:id="213"/>
      <w:r>
        <w:rPr>
          <w:rFonts w:hint="eastAsia" w:ascii="宋体" w:eastAsia="宋体"/>
          <w:color w:val="auto"/>
          <w:sz w:val="28"/>
          <w:highlight w:val="none"/>
        </w:rPr>
        <w:t>（参考样张）</w:t>
      </w:r>
    </w:p>
    <w:p w14:paraId="79BD4C47">
      <w:pPr>
        <w:wordWrap w:val="0"/>
        <w:rPr>
          <w:rFonts w:ascii="宋体" w:hAnsi="宋体" w:cs="宋体"/>
          <w:color w:val="auto"/>
          <w:sz w:val="24"/>
          <w:highlight w:val="none"/>
        </w:rPr>
      </w:pPr>
    </w:p>
    <w:p w14:paraId="279D217C">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投标人名称：</w:t>
      </w:r>
      <w:r>
        <w:rPr>
          <w:rFonts w:hint="eastAsia" w:ascii="宋体" w:hAnsi="宋体" w:eastAsia="宋体" w:cs="宋体"/>
          <w:color w:val="auto"/>
          <w:sz w:val="28"/>
          <w:szCs w:val="28"/>
          <w:highlight w:val="none"/>
          <w:u w:val="single"/>
        </w:rPr>
        <w:t xml:space="preserve">                                 </w:t>
      </w:r>
    </w:p>
    <w:p w14:paraId="51A1BB29">
      <w:pPr>
        <w:wordWrap w:val="0"/>
        <w:spacing w:line="640" w:lineRule="exact"/>
        <w:ind w:firstLine="560" w:firstLineChars="200"/>
        <w:rPr>
          <w:rFonts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单位性质：</w:t>
      </w:r>
      <w:r>
        <w:rPr>
          <w:rFonts w:hint="eastAsia" w:ascii="宋体" w:hAnsi="宋体" w:eastAsia="宋体" w:cs="宋体"/>
          <w:color w:val="auto"/>
          <w:sz w:val="28"/>
          <w:szCs w:val="28"/>
          <w:highlight w:val="none"/>
          <w:u w:val="single"/>
        </w:rPr>
        <w:t xml:space="preserve">                                   </w:t>
      </w:r>
    </w:p>
    <w:p w14:paraId="2EDFAE63">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地    址：</w:t>
      </w:r>
      <w:r>
        <w:rPr>
          <w:rFonts w:hint="eastAsia" w:ascii="宋体" w:hAnsi="宋体" w:eastAsia="宋体" w:cs="宋体"/>
          <w:color w:val="auto"/>
          <w:sz w:val="28"/>
          <w:szCs w:val="28"/>
          <w:highlight w:val="none"/>
          <w:u w:val="single"/>
        </w:rPr>
        <w:t xml:space="preserve">                                    </w:t>
      </w:r>
    </w:p>
    <w:p w14:paraId="3966B208">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姓名：</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性别：</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年龄：</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p>
    <w:p w14:paraId="6FCECBDA">
      <w:pPr>
        <w:wordWrap w:val="0"/>
        <w:spacing w:line="640" w:lineRule="exact"/>
        <w:ind w:firstLine="560" w:firstLineChars="200"/>
        <w:rPr>
          <w:rFonts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身份证号码：</w:t>
      </w:r>
      <w:r>
        <w:rPr>
          <w:rFonts w:hint="eastAsia" w:ascii="宋体" w:hAnsi="宋体" w:eastAsia="宋体" w:cs="宋体"/>
          <w:color w:val="auto"/>
          <w:sz w:val="28"/>
          <w:szCs w:val="28"/>
          <w:highlight w:val="none"/>
          <w:u w:val="single"/>
        </w:rPr>
        <w:t xml:space="preserve">                                 </w:t>
      </w:r>
    </w:p>
    <w:p w14:paraId="66BB5BB8">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联系电话：</w:t>
      </w:r>
      <w:r>
        <w:rPr>
          <w:rFonts w:hint="eastAsia" w:ascii="宋体" w:hAnsi="宋体" w:eastAsia="宋体" w:cs="宋体"/>
          <w:color w:val="auto"/>
          <w:sz w:val="28"/>
          <w:szCs w:val="28"/>
          <w:highlight w:val="none"/>
          <w:u w:val="single"/>
        </w:rPr>
        <w:t xml:space="preserve">                                   </w:t>
      </w:r>
    </w:p>
    <w:p w14:paraId="37F51207">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职务：</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系</w:t>
      </w:r>
      <w:r>
        <w:rPr>
          <w:rFonts w:hint="eastAsia" w:ascii="宋体" w:hAnsi="宋体" w:eastAsia="宋体" w:cs="宋体"/>
          <w:color w:val="auto"/>
          <w:sz w:val="28"/>
          <w:szCs w:val="28"/>
          <w:highlight w:val="none"/>
          <w:u w:val="single"/>
        </w:rPr>
        <w:t xml:space="preserve">               （投标人名称）</w:t>
      </w:r>
      <w:r>
        <w:rPr>
          <w:rFonts w:hint="eastAsia" w:ascii="宋体" w:hAnsi="宋体" w:eastAsia="宋体" w:cs="宋体"/>
          <w:color w:val="auto"/>
          <w:sz w:val="28"/>
          <w:szCs w:val="28"/>
          <w:highlight w:val="none"/>
        </w:rPr>
        <w:t>的法定代表人。</w:t>
      </w:r>
    </w:p>
    <w:p w14:paraId="6E22695D">
      <w:pPr>
        <w:snapToGrid w:val="0"/>
        <w:spacing w:beforeLines="50" w:after="50" w:line="460" w:lineRule="exact"/>
        <w:ind w:firstLine="843" w:firstLineChars="300"/>
        <w:rPr>
          <w:rFonts w:ascii="宋体" w:hAnsi="宋体"/>
          <w:b/>
          <w:bCs/>
          <w:color w:val="auto"/>
          <w:sz w:val="28"/>
          <w:szCs w:val="28"/>
          <w:highlight w:val="none"/>
        </w:rPr>
      </w:pPr>
      <w:r>
        <w:rPr>
          <w:rFonts w:hint="eastAsia" w:ascii="宋体" w:hAnsi="宋体"/>
          <w:b/>
          <w:bCs/>
          <w:color w:val="auto"/>
          <w:sz w:val="28"/>
          <w:szCs w:val="28"/>
          <w:highlight w:val="none"/>
        </w:rPr>
        <w:t xml:space="preserve">法定代表人身份证复印件 </w:t>
      </w:r>
    </w:p>
    <w:tbl>
      <w:tblPr>
        <w:tblStyle w:val="23"/>
        <w:tblpPr w:leftFromText="180" w:rightFromText="180" w:vertAnchor="text" w:horzAnchor="page" w:tblpXSpec="center" w:tblpY="506"/>
        <w:tblOverlap w:val="never"/>
        <w:tblW w:w="6780" w:type="dxa"/>
        <w:jc w:val="center"/>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6780"/>
      </w:tblGrid>
      <w:tr w14:paraId="50DBC746">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240" w:hRule="atLeast"/>
          <w:jc w:val="center"/>
        </w:trPr>
        <w:tc>
          <w:tcPr>
            <w:tcW w:w="6780" w:type="dxa"/>
          </w:tcPr>
          <w:p w14:paraId="47581B94">
            <w:pPr>
              <w:spacing w:line="360" w:lineRule="auto"/>
              <w:rPr>
                <w:color w:val="auto"/>
                <w:sz w:val="30"/>
                <w:szCs w:val="30"/>
                <w:highlight w:val="none"/>
              </w:rPr>
            </w:pPr>
            <w:r>
              <w:rPr>
                <w:rFonts w:hint="eastAsia"/>
                <w:color w:val="auto"/>
                <w:sz w:val="30"/>
                <w:szCs w:val="30"/>
                <w:highlight w:val="none"/>
              </w:rPr>
              <w:t>身份证复印件粘贴处，正反两面均复印，复印件清晰可认。</w:t>
            </w:r>
          </w:p>
        </w:tc>
      </w:tr>
      <w:tr w14:paraId="4C6B62B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254" w:hRule="atLeast"/>
          <w:jc w:val="center"/>
        </w:trPr>
        <w:tc>
          <w:tcPr>
            <w:tcW w:w="6780" w:type="dxa"/>
          </w:tcPr>
          <w:p w14:paraId="62359B14">
            <w:pPr>
              <w:spacing w:line="360" w:lineRule="auto"/>
              <w:rPr>
                <w:color w:val="auto"/>
                <w:sz w:val="30"/>
                <w:szCs w:val="30"/>
                <w:highlight w:val="none"/>
              </w:rPr>
            </w:pPr>
          </w:p>
        </w:tc>
      </w:tr>
    </w:tbl>
    <w:p w14:paraId="2C2F4FBD">
      <w:pPr>
        <w:snapToGrid w:val="0"/>
        <w:spacing w:beforeLines="50" w:after="50" w:line="460" w:lineRule="exact"/>
        <w:ind w:firstLine="843" w:firstLineChars="300"/>
        <w:rPr>
          <w:rFonts w:ascii="宋体" w:hAnsi="宋体"/>
          <w:b/>
          <w:bCs/>
          <w:color w:val="auto"/>
          <w:sz w:val="28"/>
          <w:szCs w:val="28"/>
          <w:highlight w:val="none"/>
        </w:rPr>
      </w:pPr>
      <w:r>
        <w:rPr>
          <w:rFonts w:ascii="宋体" w:hAnsi="宋体"/>
          <w:b/>
          <w:bCs/>
          <w:color w:val="auto"/>
          <w:sz w:val="28"/>
          <w:szCs w:val="28"/>
          <w:highlight w:val="none"/>
        </w:rPr>
        <w:t xml:space="preserve">        </w:t>
      </w:r>
    </w:p>
    <w:p w14:paraId="136207B4">
      <w:pPr>
        <w:wordWrap w:val="0"/>
        <w:spacing w:line="640" w:lineRule="exact"/>
        <w:ind w:firstLine="1120" w:firstLineChars="400"/>
        <w:rPr>
          <w:rFonts w:ascii="宋体" w:hAnsi="宋体" w:eastAsia="宋体" w:cs="宋体"/>
          <w:color w:val="auto"/>
          <w:sz w:val="28"/>
          <w:szCs w:val="28"/>
          <w:highlight w:val="none"/>
        </w:rPr>
      </w:pPr>
    </w:p>
    <w:p w14:paraId="14CF00AD">
      <w:pPr>
        <w:spacing w:line="640" w:lineRule="exact"/>
        <w:jc w:val="right"/>
        <w:rPr>
          <w:rFonts w:ascii="宋体" w:hAnsi="宋体" w:eastAsia="宋体" w:cs="宋体"/>
          <w:color w:val="auto"/>
          <w:sz w:val="28"/>
          <w:szCs w:val="28"/>
          <w:highlight w:val="none"/>
        </w:rPr>
      </w:pPr>
    </w:p>
    <w:p w14:paraId="41BE9D3A">
      <w:pPr>
        <w:spacing w:line="640" w:lineRule="exact"/>
        <w:jc w:val="right"/>
        <w:rPr>
          <w:rFonts w:ascii="宋体" w:hAnsi="宋体" w:eastAsia="宋体" w:cs="宋体"/>
          <w:color w:val="auto"/>
          <w:sz w:val="28"/>
          <w:szCs w:val="28"/>
          <w:highlight w:val="none"/>
        </w:rPr>
      </w:pPr>
    </w:p>
    <w:p w14:paraId="5FEC0999">
      <w:pPr>
        <w:spacing w:line="640" w:lineRule="exact"/>
        <w:jc w:val="right"/>
        <w:rPr>
          <w:rFonts w:ascii="宋体" w:hAnsi="宋体" w:eastAsia="宋体" w:cs="宋体"/>
          <w:color w:val="auto"/>
          <w:sz w:val="28"/>
          <w:szCs w:val="28"/>
          <w:highlight w:val="none"/>
        </w:rPr>
      </w:pPr>
    </w:p>
    <w:p w14:paraId="7D16D520">
      <w:pPr>
        <w:spacing w:line="640" w:lineRule="exact"/>
        <w:jc w:val="right"/>
        <w:rPr>
          <w:rFonts w:ascii="宋体" w:hAnsi="宋体" w:eastAsia="宋体" w:cs="宋体"/>
          <w:color w:val="auto"/>
          <w:sz w:val="28"/>
          <w:szCs w:val="28"/>
          <w:highlight w:val="none"/>
        </w:rPr>
      </w:pPr>
    </w:p>
    <w:p w14:paraId="211D1BC9">
      <w:pPr>
        <w:spacing w:line="640" w:lineRule="exact"/>
        <w:jc w:val="right"/>
        <w:rPr>
          <w:rFonts w:ascii="宋体" w:hAnsi="宋体" w:eastAsia="宋体" w:cs="宋体"/>
          <w:color w:val="auto"/>
          <w:sz w:val="28"/>
          <w:szCs w:val="28"/>
          <w:highlight w:val="none"/>
        </w:rPr>
      </w:pPr>
    </w:p>
    <w:p w14:paraId="5553D8AA">
      <w:pPr>
        <w:spacing w:line="640" w:lineRule="exact"/>
        <w:jc w:val="right"/>
        <w:rPr>
          <w:rFonts w:ascii="宋体" w:hAnsi="宋体" w:eastAsia="宋体" w:cs="宋体"/>
          <w:color w:val="auto"/>
          <w:sz w:val="28"/>
          <w:szCs w:val="28"/>
          <w:highlight w:val="none"/>
        </w:rPr>
      </w:pPr>
    </w:p>
    <w:p w14:paraId="7B097202">
      <w:pPr>
        <w:spacing w:line="640" w:lineRule="exact"/>
        <w:jc w:val="righ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（盖单位公章）</w:t>
      </w:r>
    </w:p>
    <w:p w14:paraId="22A2C735">
      <w:pPr>
        <w:spacing w:line="640" w:lineRule="exact"/>
        <w:jc w:val="center"/>
        <w:rPr>
          <w:rFonts w:hint="eastAsia" w:eastAsia="宋体"/>
          <w:color w:val="auto"/>
          <w:sz w:val="28"/>
          <w:szCs w:val="28"/>
          <w:highlight w:val="none"/>
        </w:rPr>
      </w:pPr>
      <w:r>
        <w:rPr>
          <w:rFonts w:hint="eastAsia" w:eastAsia="宋体"/>
          <w:color w:val="auto"/>
          <w:sz w:val="28"/>
          <w:szCs w:val="28"/>
          <w:highlight w:val="none"/>
        </w:rPr>
        <w:t xml:space="preserve">                         年    月    日</w:t>
      </w:r>
    </w:p>
    <w:p w14:paraId="08AC4C0C">
      <w:pPr>
        <w:pStyle w:val="3"/>
        <w:numPr>
          <w:ilvl w:val="0"/>
          <w:numId w:val="0"/>
        </w:numPr>
        <w:spacing w:before="0" w:afterLines="0" w:line="240" w:lineRule="auto"/>
        <w:jc w:val="both"/>
        <w:rPr>
          <w:rFonts w:hint="eastAsia"/>
          <w:b w:val="0"/>
          <w:color w:val="auto"/>
          <w:sz w:val="28"/>
          <w:szCs w:val="28"/>
          <w:highlight w:val="none"/>
        </w:rPr>
      </w:pPr>
      <w:r>
        <w:rPr>
          <w:rFonts w:hint="eastAsia"/>
          <w:b w:val="0"/>
          <w:color w:val="auto"/>
          <w:sz w:val="28"/>
          <w:szCs w:val="28"/>
          <w:highlight w:val="none"/>
          <w:lang w:val="en-US" w:eastAsia="zh-CN"/>
        </w:rPr>
        <w:t>附件</w:t>
      </w:r>
      <w:r>
        <w:rPr>
          <w:rFonts w:hint="eastAsia"/>
          <w:b w:val="0"/>
          <w:color w:val="auto"/>
          <w:sz w:val="28"/>
          <w:szCs w:val="28"/>
          <w:highlight w:val="none"/>
        </w:rPr>
        <w:t>十．停工证明（如有）</w:t>
      </w:r>
    </w:p>
    <w:p w14:paraId="064218FF">
      <w:pPr>
        <w:pageBreakBefore w:val="0"/>
        <w:kinsoku/>
        <w:overflowPunct/>
        <w:topLinePunct w:val="0"/>
        <w:bidi w:val="0"/>
        <w:outlineLvl w:val="9"/>
        <w:rPr>
          <w:rFonts w:hint="eastAsia"/>
          <w:color w:val="auto"/>
          <w:highlight w:val="none"/>
        </w:rPr>
      </w:pPr>
    </w:p>
    <w:p w14:paraId="2C314794">
      <w:pPr>
        <w:pageBreakBefore w:val="0"/>
        <w:kinsoku/>
        <w:overflowPunct/>
        <w:topLinePunct w:val="0"/>
        <w:bidi w:val="0"/>
        <w:snapToGrid w:val="0"/>
        <w:spacing w:line="360" w:lineRule="auto"/>
        <w:ind w:firstLine="3659" w:firstLineChars="1139"/>
        <w:outlineLvl w:val="9"/>
        <w:rPr>
          <w:rFonts w:hint="eastAsia" w:ascii="宋体" w:hAnsi="宋体"/>
          <w:b/>
          <w:color w:val="auto"/>
          <w:sz w:val="32"/>
          <w:szCs w:val="32"/>
          <w:highlight w:val="none"/>
        </w:rPr>
      </w:pPr>
      <w:r>
        <w:rPr>
          <w:rFonts w:hint="eastAsia" w:ascii="宋体" w:hAnsi="宋体"/>
          <w:b/>
          <w:color w:val="auto"/>
          <w:sz w:val="32"/>
          <w:szCs w:val="32"/>
          <w:highlight w:val="none"/>
        </w:rPr>
        <w:t>停工证明</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02"/>
      </w:tblGrid>
      <w:tr w14:paraId="06CC8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5" w:hRule="atLeast"/>
        </w:trPr>
        <w:tc>
          <w:tcPr>
            <w:tcW w:w="8802" w:type="dxa"/>
            <w:noWrap w:val="0"/>
            <w:vAlign w:val="top"/>
          </w:tcPr>
          <w:p w14:paraId="65E6833A">
            <w:pPr>
              <w:pageBreakBefore w:val="0"/>
              <w:kinsoku/>
              <w:overflowPunct/>
              <w:topLinePunct w:val="0"/>
              <w:bidi w:val="0"/>
              <w:spacing w:line="360" w:lineRule="auto"/>
              <w:ind w:firstLine="560" w:firstLineChars="200"/>
              <w:outlineLvl w:val="9"/>
              <w:rPr>
                <w:rFonts w:hint="eastAsia"/>
                <w:color w:val="auto"/>
                <w:sz w:val="28"/>
                <w:szCs w:val="28"/>
                <w:highlight w:val="none"/>
              </w:rPr>
            </w:pPr>
            <w:r>
              <w:rPr>
                <w:rFonts w:hint="eastAsia"/>
                <w:color w:val="auto"/>
                <w:sz w:val="28"/>
                <w:szCs w:val="28"/>
                <w:highlight w:val="none"/>
              </w:rPr>
              <w:t>____________(原建设单位）：</w:t>
            </w:r>
          </w:p>
          <w:p w14:paraId="0D71A3A4">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我公司承接的贵单位____________(原工程项目名称），于___年___月___日取得施工许可证，并于___年___月___日开工。但因非我承包人原因自___年___月___日至今，已连续停工超过120天。特申请同意我公司项目负责人__________（项目负责人名字）承接其他项目。</w:t>
            </w:r>
          </w:p>
          <w:p w14:paraId="55BF98D6">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特此报告。</w:t>
            </w:r>
          </w:p>
          <w:p w14:paraId="3210C554">
            <w:pPr>
              <w:pageBreakBefore w:val="0"/>
              <w:kinsoku/>
              <w:overflowPunct/>
              <w:topLinePunct w:val="0"/>
              <w:bidi w:val="0"/>
              <w:spacing w:line="360" w:lineRule="auto"/>
              <w:ind w:firstLine="560" w:firstLineChars="200"/>
              <w:jc w:val="right"/>
              <w:outlineLvl w:val="9"/>
              <w:rPr>
                <w:rFonts w:hint="eastAsia"/>
                <w:color w:val="auto"/>
                <w:sz w:val="28"/>
                <w:szCs w:val="28"/>
                <w:highlight w:val="none"/>
              </w:rPr>
            </w:pPr>
            <w:r>
              <w:rPr>
                <w:rFonts w:hint="eastAsia"/>
                <w:color w:val="auto"/>
                <w:sz w:val="28"/>
                <w:szCs w:val="28"/>
                <w:highlight w:val="none"/>
              </w:rPr>
              <w:t>承包人（盖章）</w:t>
            </w:r>
          </w:p>
          <w:p w14:paraId="7E5C1A6A">
            <w:pPr>
              <w:pageBreakBefore w:val="0"/>
              <w:kinsoku/>
              <w:overflowPunct/>
              <w:topLinePunct w:val="0"/>
              <w:bidi w:val="0"/>
              <w:spacing w:line="360" w:lineRule="auto"/>
              <w:ind w:firstLine="560" w:firstLineChars="200"/>
              <w:jc w:val="right"/>
              <w:outlineLvl w:val="9"/>
              <w:rPr>
                <w:rFonts w:hint="eastAsia"/>
                <w:color w:val="auto"/>
                <w:highlight w:val="none"/>
              </w:rPr>
            </w:pPr>
            <w:r>
              <w:rPr>
                <w:rFonts w:hint="eastAsia"/>
                <w:color w:val="auto"/>
                <w:sz w:val="28"/>
                <w:szCs w:val="28"/>
                <w:highlight w:val="none"/>
              </w:rPr>
              <w:t>___年___月___日</w:t>
            </w:r>
          </w:p>
        </w:tc>
      </w:tr>
      <w:tr w14:paraId="1CD79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0" w:hRule="atLeast"/>
        </w:trPr>
        <w:tc>
          <w:tcPr>
            <w:tcW w:w="8802" w:type="dxa"/>
            <w:noWrap w:val="0"/>
            <w:vAlign w:val="top"/>
          </w:tcPr>
          <w:p w14:paraId="3999BF19">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原建设单位意见：</w:t>
            </w:r>
          </w:p>
          <w:p w14:paraId="5FDAC190">
            <w:pPr>
              <w:pageBreakBefore w:val="0"/>
              <w:kinsoku/>
              <w:overflowPunct/>
              <w:topLinePunct w:val="0"/>
              <w:bidi w:val="0"/>
              <w:spacing w:line="360" w:lineRule="auto"/>
              <w:outlineLvl w:val="9"/>
              <w:rPr>
                <w:rFonts w:hint="eastAsia"/>
                <w:color w:val="auto"/>
                <w:sz w:val="28"/>
                <w:szCs w:val="28"/>
                <w:highlight w:val="none"/>
              </w:rPr>
            </w:pPr>
          </w:p>
          <w:p w14:paraId="1ECBE037">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原建设单位（盖章）：</w:t>
            </w:r>
          </w:p>
          <w:p w14:paraId="1B2599E1">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___年___月___日</w:t>
            </w:r>
          </w:p>
          <w:p w14:paraId="551ABBE0">
            <w:pPr>
              <w:pageBreakBefore w:val="0"/>
              <w:kinsoku/>
              <w:overflowPunct/>
              <w:topLinePunct w:val="0"/>
              <w:bidi w:val="0"/>
              <w:spacing w:line="360" w:lineRule="auto"/>
              <w:outlineLvl w:val="9"/>
              <w:rPr>
                <w:rFonts w:hint="eastAsia"/>
                <w:color w:val="auto"/>
                <w:highlight w:val="none"/>
              </w:rPr>
            </w:pPr>
          </w:p>
        </w:tc>
      </w:tr>
      <w:tr w14:paraId="32898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02" w:type="dxa"/>
            <w:noWrap w:val="0"/>
            <w:vAlign w:val="top"/>
          </w:tcPr>
          <w:p w14:paraId="5EE79157">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行政主管部门证明：</w:t>
            </w:r>
          </w:p>
          <w:p w14:paraId="40A6798A">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自___年___月___日开始停工，至今已超过120天。情况属实。</w:t>
            </w:r>
          </w:p>
          <w:p w14:paraId="25817AD8">
            <w:pPr>
              <w:pageBreakBefore w:val="0"/>
              <w:kinsoku/>
              <w:overflowPunct/>
              <w:topLinePunct w:val="0"/>
              <w:bidi w:val="0"/>
              <w:spacing w:line="360" w:lineRule="auto"/>
              <w:jc w:val="right"/>
              <w:outlineLvl w:val="9"/>
              <w:rPr>
                <w:rFonts w:hint="eastAsia"/>
                <w:color w:val="auto"/>
                <w:sz w:val="28"/>
                <w:szCs w:val="28"/>
                <w:highlight w:val="none"/>
              </w:rPr>
            </w:pPr>
          </w:p>
          <w:p w14:paraId="1E81BCF1">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行政主管部门（盖章）：</w:t>
            </w:r>
          </w:p>
          <w:p w14:paraId="2662AA2C">
            <w:pPr>
              <w:pageBreakBefore w:val="0"/>
              <w:kinsoku/>
              <w:overflowPunct/>
              <w:topLinePunct w:val="0"/>
              <w:bidi w:val="0"/>
              <w:spacing w:line="360" w:lineRule="auto"/>
              <w:jc w:val="right"/>
              <w:outlineLvl w:val="9"/>
              <w:rPr>
                <w:rFonts w:hint="eastAsia"/>
                <w:color w:val="auto"/>
                <w:highlight w:val="none"/>
              </w:rPr>
            </w:pPr>
            <w:r>
              <w:rPr>
                <w:rFonts w:hint="eastAsia"/>
                <w:color w:val="auto"/>
                <w:sz w:val="28"/>
                <w:szCs w:val="28"/>
                <w:highlight w:val="none"/>
              </w:rPr>
              <w:t>___年___月___日</w:t>
            </w:r>
          </w:p>
        </w:tc>
      </w:tr>
    </w:tbl>
    <w:p w14:paraId="22E14A9F">
      <w:pPr>
        <w:pageBreakBefore w:val="0"/>
        <w:kinsoku/>
        <w:overflowPunct/>
        <w:topLinePunct w:val="0"/>
        <w:bidi w:val="0"/>
        <w:spacing w:line="360" w:lineRule="auto"/>
        <w:outlineLvl w:val="9"/>
        <w:rPr>
          <w:rFonts w:hint="eastAsia" w:ascii="黑体" w:hAnsi="黑体" w:eastAsia="黑体" w:cs="黑体"/>
          <w:color w:val="auto"/>
          <w:highlight w:val="none"/>
        </w:rPr>
      </w:pPr>
      <w:r>
        <w:rPr>
          <w:rFonts w:hint="eastAsia" w:ascii="Times New Roman" w:hAnsi="Times New Roman" w:eastAsia="宋体" w:cs="Times New Roman"/>
          <w:color w:val="auto"/>
          <w:sz w:val="21"/>
          <w:highlight w:val="none"/>
        </w:rPr>
        <w:t>注：在承接新项目时原承接的项目仍处于连续停工状态。若原承接项目已复工的本《证明》不得使用。</w:t>
      </w:r>
      <w:r>
        <w:rPr>
          <w:rFonts w:hint="eastAsia" w:ascii="Times New Roman" w:hAnsi="Times New Roman" w:eastAsia="宋体" w:cs="Times New Roman"/>
          <w:color w:val="auto"/>
          <w:sz w:val="21"/>
          <w:highlight w:val="none"/>
        </w:rPr>
        <w:br w:type="page"/>
      </w:r>
      <w:r>
        <w:rPr>
          <w:rStyle w:val="40"/>
          <w:rFonts w:hint="eastAsia"/>
          <w:sz w:val="28"/>
          <w:szCs w:val="28"/>
          <w:lang w:val="en-US" w:eastAsia="zh-CN"/>
        </w:rPr>
        <w:t>附件十一．未验收证明（如有）</w:t>
      </w:r>
    </w:p>
    <w:p w14:paraId="46DA9732">
      <w:pPr>
        <w:keepNext/>
        <w:keepLines/>
        <w:pageBreakBefore w:val="0"/>
        <w:kinsoku/>
        <w:overflowPunct/>
        <w:topLinePunct w:val="0"/>
        <w:bidi w:val="0"/>
        <w:spacing w:line="360" w:lineRule="auto"/>
        <w:ind w:firstLine="3534" w:firstLineChars="1100"/>
        <w:outlineLvl w:val="9"/>
        <w:rPr>
          <w:rFonts w:hint="eastAsia"/>
          <w:b/>
          <w:bCs/>
          <w:color w:val="auto"/>
          <w:sz w:val="32"/>
          <w:szCs w:val="32"/>
          <w:highlight w:val="none"/>
        </w:rPr>
      </w:pPr>
      <w:r>
        <w:rPr>
          <w:rFonts w:hint="eastAsia"/>
          <w:b/>
          <w:bCs/>
          <w:color w:val="auto"/>
          <w:sz w:val="32"/>
          <w:szCs w:val="32"/>
          <w:highlight w:val="none"/>
        </w:rPr>
        <w:t>未验收证明</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57F71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1" w:hRule="atLeast"/>
        </w:trPr>
        <w:tc>
          <w:tcPr>
            <w:tcW w:w="8522" w:type="dxa"/>
            <w:noWrap w:val="0"/>
            <w:vAlign w:val="top"/>
          </w:tcPr>
          <w:p w14:paraId="7997D787">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____________(原建设单位）：</w:t>
            </w:r>
          </w:p>
          <w:p w14:paraId="3ADBAA28">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我公司承接的____________(原工程项目名称）于___年___月___日竣工，并于___年___月___日向贵单位提交竣工报告。但非我承包人原因至今已超过120天未进行该项目的竣工验收。特申请同意我公司项目负责人__________（项目负责人名字）承接其他项目。</w:t>
            </w:r>
          </w:p>
          <w:p w14:paraId="23929A08">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特此报告。</w:t>
            </w:r>
          </w:p>
          <w:p w14:paraId="249DE1C6">
            <w:pPr>
              <w:pageBreakBefore w:val="0"/>
              <w:kinsoku/>
              <w:overflowPunct/>
              <w:topLinePunct w:val="0"/>
              <w:bidi w:val="0"/>
              <w:spacing w:line="360" w:lineRule="auto"/>
              <w:ind w:firstLine="560" w:firstLineChars="200"/>
              <w:jc w:val="right"/>
              <w:outlineLvl w:val="9"/>
              <w:rPr>
                <w:rFonts w:hint="eastAsia"/>
                <w:color w:val="auto"/>
                <w:sz w:val="28"/>
                <w:szCs w:val="28"/>
                <w:highlight w:val="none"/>
              </w:rPr>
            </w:pPr>
            <w:r>
              <w:rPr>
                <w:rFonts w:hint="eastAsia"/>
                <w:color w:val="auto"/>
                <w:sz w:val="28"/>
                <w:szCs w:val="28"/>
                <w:highlight w:val="none"/>
              </w:rPr>
              <w:t>承包人（盖章）</w:t>
            </w:r>
          </w:p>
          <w:p w14:paraId="2C1F2BCD">
            <w:pPr>
              <w:pageBreakBefore w:val="0"/>
              <w:kinsoku/>
              <w:overflowPunct/>
              <w:topLinePunct w:val="0"/>
              <w:bidi w:val="0"/>
              <w:spacing w:line="360" w:lineRule="auto"/>
              <w:ind w:firstLine="560" w:firstLineChars="200"/>
              <w:jc w:val="right"/>
              <w:outlineLvl w:val="9"/>
              <w:rPr>
                <w:rFonts w:hint="eastAsia"/>
                <w:color w:val="auto"/>
                <w:highlight w:val="none"/>
              </w:rPr>
            </w:pPr>
            <w:r>
              <w:rPr>
                <w:rFonts w:hint="eastAsia"/>
                <w:color w:val="auto"/>
                <w:sz w:val="28"/>
                <w:szCs w:val="28"/>
                <w:highlight w:val="none"/>
              </w:rPr>
              <w:t>___年___月___日</w:t>
            </w:r>
          </w:p>
        </w:tc>
      </w:tr>
      <w:tr w14:paraId="6FF45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5" w:hRule="atLeast"/>
        </w:trPr>
        <w:tc>
          <w:tcPr>
            <w:tcW w:w="8522" w:type="dxa"/>
            <w:noWrap w:val="0"/>
            <w:vAlign w:val="top"/>
          </w:tcPr>
          <w:p w14:paraId="0D30A393">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原建设单位意见：</w:t>
            </w:r>
          </w:p>
          <w:p w14:paraId="1F7AB861">
            <w:pPr>
              <w:pageBreakBefore w:val="0"/>
              <w:kinsoku/>
              <w:overflowPunct/>
              <w:topLinePunct w:val="0"/>
              <w:bidi w:val="0"/>
              <w:spacing w:line="360" w:lineRule="auto"/>
              <w:outlineLvl w:val="9"/>
              <w:rPr>
                <w:rFonts w:hint="eastAsia"/>
                <w:color w:val="auto"/>
                <w:sz w:val="28"/>
                <w:szCs w:val="28"/>
                <w:highlight w:val="none"/>
              </w:rPr>
            </w:pPr>
          </w:p>
          <w:p w14:paraId="717D0E53">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原建设单位（盖章）：</w:t>
            </w:r>
          </w:p>
          <w:p w14:paraId="77BD2ED5">
            <w:pPr>
              <w:pageBreakBefore w:val="0"/>
              <w:kinsoku/>
              <w:overflowPunct/>
              <w:topLinePunct w:val="0"/>
              <w:bidi w:val="0"/>
              <w:spacing w:line="360" w:lineRule="auto"/>
              <w:jc w:val="right"/>
              <w:outlineLvl w:val="9"/>
              <w:rPr>
                <w:rFonts w:hint="eastAsia"/>
                <w:color w:val="auto"/>
                <w:highlight w:val="none"/>
              </w:rPr>
            </w:pPr>
            <w:r>
              <w:rPr>
                <w:rFonts w:hint="eastAsia"/>
                <w:color w:val="auto"/>
                <w:sz w:val="28"/>
                <w:szCs w:val="28"/>
                <w:highlight w:val="none"/>
              </w:rPr>
              <w:t>___年___月___日</w:t>
            </w:r>
          </w:p>
        </w:tc>
      </w:tr>
      <w:tr w14:paraId="1D86F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val="0"/>
            <w:vAlign w:val="top"/>
          </w:tcPr>
          <w:p w14:paraId="4E76BE5C">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行政主管部门证明：</w:t>
            </w:r>
          </w:p>
          <w:p w14:paraId="34987328">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承包人向原建设单位提交了竣工报告至今已超过120天。情况属实。</w:t>
            </w:r>
          </w:p>
          <w:p w14:paraId="4E22AD49">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行政主管部门（盖章）：</w:t>
            </w:r>
          </w:p>
          <w:p w14:paraId="1FE16610">
            <w:pPr>
              <w:pageBreakBefore w:val="0"/>
              <w:kinsoku/>
              <w:overflowPunct/>
              <w:topLinePunct w:val="0"/>
              <w:bidi w:val="0"/>
              <w:spacing w:line="360" w:lineRule="auto"/>
              <w:jc w:val="right"/>
              <w:outlineLvl w:val="9"/>
              <w:rPr>
                <w:rFonts w:hint="eastAsia"/>
                <w:color w:val="auto"/>
                <w:highlight w:val="none"/>
              </w:rPr>
            </w:pPr>
            <w:r>
              <w:rPr>
                <w:rFonts w:hint="eastAsia"/>
                <w:color w:val="auto"/>
                <w:sz w:val="28"/>
                <w:szCs w:val="28"/>
                <w:highlight w:val="none"/>
              </w:rPr>
              <w:t>___年___月___日</w:t>
            </w:r>
          </w:p>
        </w:tc>
      </w:tr>
    </w:tbl>
    <w:p w14:paraId="01BCFA3C">
      <w:pPr>
        <w:pageBreakBefore w:val="0"/>
        <w:kinsoku/>
        <w:overflowPunct/>
        <w:topLinePunct w:val="0"/>
        <w:bidi w:val="0"/>
        <w:spacing w:line="360" w:lineRule="auto"/>
        <w:outlineLvl w:val="9"/>
        <w:rPr>
          <w:rFonts w:hint="eastAsia" w:ascii="Times New Roman" w:hAnsi="Times New Roman" w:eastAsia="宋体" w:cs="Times New Roman"/>
          <w:color w:val="auto"/>
          <w:sz w:val="21"/>
          <w:highlight w:val="none"/>
          <w:lang w:eastAsia="zh-CN"/>
        </w:rPr>
      </w:pPr>
      <w:r>
        <w:rPr>
          <w:rFonts w:hint="eastAsia" w:ascii="Times New Roman" w:hAnsi="Times New Roman" w:eastAsia="宋体" w:cs="Times New Roman"/>
          <w:color w:val="auto"/>
          <w:sz w:val="21"/>
          <w:highlight w:val="none"/>
        </w:rPr>
        <w:t>注：在承接新项目时原承接的项目已经竣工验收的，本《证明》不得使用</w:t>
      </w:r>
      <w:r>
        <w:rPr>
          <w:rFonts w:hint="eastAsia" w:ascii="Times New Roman" w:hAnsi="Times New Roman" w:eastAsia="宋体" w:cs="Times New Roman"/>
          <w:color w:val="auto"/>
          <w:sz w:val="21"/>
          <w:highlight w:val="none"/>
          <w:lang w:eastAsia="zh-CN"/>
        </w:rPr>
        <w:t>。</w:t>
      </w:r>
    </w:p>
    <w:p w14:paraId="4A9069EB">
      <w:pPr>
        <w:rPr>
          <w:rFonts w:hint="eastAsia" w:ascii="Times New Roman" w:hAnsi="Times New Roman" w:eastAsia="宋体" w:cs="Times New Roman"/>
          <w:color w:val="auto"/>
          <w:sz w:val="21"/>
          <w:highlight w:val="none"/>
          <w:lang w:eastAsia="zh-CN"/>
        </w:rPr>
      </w:pPr>
      <w:r>
        <w:rPr>
          <w:rFonts w:hint="eastAsia" w:ascii="Times New Roman" w:hAnsi="Times New Roman" w:eastAsia="宋体" w:cs="Times New Roman"/>
          <w:color w:val="auto"/>
          <w:sz w:val="21"/>
          <w:highlight w:val="none"/>
          <w:lang w:eastAsia="zh-CN"/>
        </w:rPr>
        <w:br w:type="page"/>
      </w:r>
    </w:p>
    <w:p w14:paraId="7BC6A609">
      <w:pPr>
        <w:pStyle w:val="3"/>
        <w:numPr>
          <w:ilvl w:val="0"/>
          <w:numId w:val="0"/>
        </w:numPr>
        <w:bidi w:val="0"/>
        <w:jc w:val="both"/>
        <w:rPr>
          <w:rFonts w:hint="eastAsia"/>
          <w:sz w:val="28"/>
          <w:szCs w:val="28"/>
        </w:rPr>
      </w:pPr>
      <w:r>
        <w:rPr>
          <w:rFonts w:hint="eastAsia"/>
          <w:sz w:val="28"/>
          <w:szCs w:val="28"/>
          <w:lang w:val="en-US" w:eastAsia="zh-CN"/>
        </w:rPr>
        <w:t>附件十二.</w:t>
      </w:r>
      <w:r>
        <w:rPr>
          <w:sz w:val="28"/>
          <w:szCs w:val="28"/>
        </w:rPr>
        <w:t>工程竣工</w:t>
      </w:r>
      <w:r>
        <w:rPr>
          <w:rFonts w:hint="eastAsia"/>
          <w:sz w:val="28"/>
          <w:szCs w:val="28"/>
        </w:rPr>
        <w:t>验收证明</w:t>
      </w:r>
      <w:r>
        <w:rPr>
          <w:rStyle w:val="40"/>
          <w:rFonts w:hint="eastAsia"/>
          <w:b/>
          <w:sz w:val="28"/>
          <w:szCs w:val="28"/>
          <w:lang w:val="en-US" w:eastAsia="zh-CN"/>
        </w:rPr>
        <w:t>（如有）</w:t>
      </w:r>
    </w:p>
    <w:p w14:paraId="5BB28F61">
      <w:pPr>
        <w:numPr>
          <w:ilvl w:val="0"/>
          <w:numId w:val="0"/>
        </w:numPr>
        <w:snapToGrid w:val="0"/>
        <w:spacing w:line="360" w:lineRule="auto"/>
        <w:ind w:firstLine="2891" w:firstLineChars="900"/>
        <w:jc w:val="left"/>
        <w:rPr>
          <w:rFonts w:hint="eastAsia"/>
          <w:b/>
          <w:bCs/>
          <w:color w:val="auto"/>
          <w:sz w:val="32"/>
          <w:szCs w:val="32"/>
          <w:highlight w:val="none"/>
        </w:rPr>
      </w:pPr>
      <w:r>
        <w:rPr>
          <w:b/>
          <w:bCs/>
          <w:color w:val="auto"/>
          <w:sz w:val="32"/>
          <w:szCs w:val="32"/>
          <w:highlight w:val="none"/>
        </w:rPr>
        <w:t>工程</w:t>
      </w:r>
      <w:r>
        <w:rPr>
          <w:rFonts w:hint="eastAsia"/>
          <w:b/>
          <w:bCs/>
          <w:color w:val="auto"/>
          <w:sz w:val="32"/>
          <w:szCs w:val="32"/>
          <w:highlight w:val="none"/>
        </w:rPr>
        <w:t>竣工验收证明</w:t>
      </w:r>
    </w:p>
    <w:tbl>
      <w:tblPr>
        <w:tblStyle w:val="23"/>
        <w:tblW w:w="88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52"/>
      </w:tblGrid>
      <w:tr w14:paraId="0D32C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2" w:hRule="atLeast"/>
        </w:trPr>
        <w:tc>
          <w:tcPr>
            <w:tcW w:w="8852" w:type="dxa"/>
            <w:noWrap w:val="0"/>
            <w:vAlign w:val="top"/>
          </w:tcPr>
          <w:p w14:paraId="3C5FB956">
            <w:pPr>
              <w:spacing w:line="360" w:lineRule="auto"/>
              <w:rPr>
                <w:rFonts w:hint="eastAsia"/>
                <w:color w:val="auto"/>
                <w:sz w:val="28"/>
                <w:szCs w:val="28"/>
                <w:highlight w:val="none"/>
              </w:rPr>
            </w:pPr>
            <w:r>
              <w:rPr>
                <w:rFonts w:hint="eastAsia"/>
                <w:color w:val="auto"/>
                <w:sz w:val="28"/>
                <w:szCs w:val="28"/>
                <w:highlight w:val="none"/>
              </w:rPr>
              <w:t>____________(原建设单位）：</w:t>
            </w:r>
          </w:p>
          <w:p w14:paraId="0B8F37A7">
            <w:pPr>
              <w:spacing w:line="360" w:lineRule="auto"/>
              <w:ind w:firstLine="560" w:firstLineChars="200"/>
              <w:jc w:val="both"/>
              <w:rPr>
                <w:rFonts w:hint="eastAsia"/>
                <w:color w:val="auto"/>
                <w:sz w:val="28"/>
                <w:szCs w:val="28"/>
                <w:highlight w:val="none"/>
              </w:rPr>
            </w:pPr>
            <w:r>
              <w:rPr>
                <w:rFonts w:hint="eastAsia"/>
                <w:color w:val="auto"/>
                <w:sz w:val="28"/>
                <w:szCs w:val="28"/>
                <w:highlight w:val="none"/>
              </w:rPr>
              <w:t>我公司承接的____________(原工程项目名称）于___年___月___日</w:t>
            </w:r>
            <w:r>
              <w:rPr>
                <w:color w:val="auto"/>
                <w:sz w:val="28"/>
                <w:szCs w:val="28"/>
                <w:highlight w:val="none"/>
              </w:rPr>
              <w:t>已通过工程</w:t>
            </w:r>
            <w:r>
              <w:rPr>
                <w:rFonts w:hint="eastAsia"/>
                <w:color w:val="auto"/>
                <w:sz w:val="28"/>
                <w:szCs w:val="28"/>
                <w:highlight w:val="none"/>
              </w:rPr>
              <w:t>竣工</w:t>
            </w:r>
            <w:r>
              <w:rPr>
                <w:color w:val="auto"/>
                <w:sz w:val="28"/>
                <w:szCs w:val="28"/>
                <w:highlight w:val="none"/>
              </w:rPr>
              <w:t>验收</w:t>
            </w:r>
            <w:r>
              <w:rPr>
                <w:rFonts w:hint="eastAsia"/>
                <w:color w:val="auto"/>
                <w:sz w:val="28"/>
                <w:szCs w:val="28"/>
                <w:highlight w:val="none"/>
              </w:rPr>
              <w:t>，</w:t>
            </w:r>
            <w:r>
              <w:rPr>
                <w:color w:val="auto"/>
                <w:sz w:val="28"/>
                <w:szCs w:val="28"/>
                <w:highlight w:val="none"/>
              </w:rPr>
              <w:t>全国和浙江省建筑市场监管公共服务系统上该工程和人员信息为在建状态</w:t>
            </w:r>
            <w:r>
              <w:rPr>
                <w:rFonts w:hint="eastAsia"/>
                <w:color w:val="auto"/>
                <w:sz w:val="28"/>
                <w:szCs w:val="28"/>
                <w:highlight w:val="none"/>
              </w:rPr>
              <w:t>。</w:t>
            </w:r>
          </w:p>
          <w:p w14:paraId="70509066">
            <w:pPr>
              <w:spacing w:line="360" w:lineRule="auto"/>
              <w:ind w:firstLine="560" w:firstLineChars="200"/>
              <w:jc w:val="both"/>
              <w:rPr>
                <w:rFonts w:hint="eastAsia"/>
                <w:color w:val="auto"/>
                <w:sz w:val="28"/>
                <w:szCs w:val="28"/>
                <w:highlight w:val="none"/>
              </w:rPr>
            </w:pPr>
            <w:r>
              <w:rPr>
                <w:rFonts w:hint="eastAsia"/>
                <w:color w:val="auto"/>
                <w:sz w:val="28"/>
                <w:szCs w:val="28"/>
                <w:highlight w:val="none"/>
              </w:rPr>
              <w:t>特此证明。</w:t>
            </w:r>
          </w:p>
          <w:p w14:paraId="25123344">
            <w:pPr>
              <w:spacing w:line="360" w:lineRule="auto"/>
              <w:ind w:firstLine="6160" w:firstLineChars="2200"/>
              <w:jc w:val="both"/>
              <w:rPr>
                <w:rFonts w:hint="eastAsia"/>
                <w:color w:val="auto"/>
                <w:sz w:val="28"/>
                <w:szCs w:val="28"/>
                <w:highlight w:val="none"/>
              </w:rPr>
            </w:pPr>
            <w:r>
              <w:rPr>
                <w:rFonts w:hint="eastAsia"/>
                <w:color w:val="auto"/>
                <w:sz w:val="28"/>
                <w:szCs w:val="28"/>
                <w:highlight w:val="none"/>
              </w:rPr>
              <w:t>承包人（盖章）</w:t>
            </w:r>
          </w:p>
          <w:p w14:paraId="379C41FE">
            <w:pPr>
              <w:spacing w:line="360" w:lineRule="auto"/>
              <w:ind w:firstLine="560" w:firstLineChars="200"/>
              <w:jc w:val="right"/>
              <w:rPr>
                <w:rFonts w:hint="eastAsia"/>
                <w:color w:val="auto"/>
                <w:highlight w:val="none"/>
              </w:rPr>
            </w:pPr>
            <w:r>
              <w:rPr>
                <w:rFonts w:hint="eastAsia"/>
                <w:color w:val="auto"/>
                <w:sz w:val="28"/>
                <w:szCs w:val="28"/>
                <w:highlight w:val="none"/>
              </w:rPr>
              <w:t>___年___月___日</w:t>
            </w:r>
          </w:p>
        </w:tc>
      </w:tr>
      <w:tr w14:paraId="0C5A4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6" w:hRule="atLeast"/>
        </w:trPr>
        <w:tc>
          <w:tcPr>
            <w:tcW w:w="8852" w:type="dxa"/>
            <w:noWrap w:val="0"/>
            <w:vAlign w:val="top"/>
          </w:tcPr>
          <w:p w14:paraId="02E20D29">
            <w:pPr>
              <w:spacing w:line="360" w:lineRule="auto"/>
              <w:rPr>
                <w:rFonts w:hint="eastAsia"/>
                <w:color w:val="auto"/>
                <w:sz w:val="28"/>
                <w:szCs w:val="28"/>
                <w:highlight w:val="none"/>
              </w:rPr>
            </w:pPr>
            <w:r>
              <w:rPr>
                <w:rFonts w:hint="eastAsia"/>
                <w:color w:val="auto"/>
                <w:sz w:val="28"/>
                <w:szCs w:val="28"/>
                <w:highlight w:val="none"/>
              </w:rPr>
              <w:t>原建设单位意见：</w:t>
            </w:r>
          </w:p>
          <w:p w14:paraId="6F058246">
            <w:pPr>
              <w:spacing w:line="360" w:lineRule="auto"/>
              <w:rPr>
                <w:rFonts w:hint="eastAsia"/>
                <w:color w:val="auto"/>
                <w:sz w:val="28"/>
                <w:szCs w:val="28"/>
                <w:highlight w:val="none"/>
              </w:rPr>
            </w:pPr>
          </w:p>
          <w:p w14:paraId="72B7018B">
            <w:pPr>
              <w:spacing w:line="360" w:lineRule="auto"/>
              <w:jc w:val="right"/>
              <w:rPr>
                <w:rFonts w:hint="eastAsia"/>
                <w:color w:val="auto"/>
                <w:sz w:val="28"/>
                <w:szCs w:val="28"/>
                <w:highlight w:val="none"/>
              </w:rPr>
            </w:pPr>
            <w:r>
              <w:rPr>
                <w:rFonts w:hint="eastAsia"/>
                <w:color w:val="auto"/>
                <w:sz w:val="28"/>
                <w:szCs w:val="28"/>
                <w:highlight w:val="none"/>
              </w:rPr>
              <w:t>原建设单位（盖章）</w:t>
            </w:r>
          </w:p>
          <w:p w14:paraId="0F47AFD4">
            <w:pPr>
              <w:spacing w:line="360" w:lineRule="auto"/>
              <w:jc w:val="right"/>
              <w:rPr>
                <w:rFonts w:hint="eastAsia"/>
                <w:color w:val="auto"/>
                <w:highlight w:val="none"/>
              </w:rPr>
            </w:pPr>
            <w:r>
              <w:rPr>
                <w:rFonts w:hint="eastAsia"/>
                <w:color w:val="auto"/>
                <w:sz w:val="28"/>
                <w:szCs w:val="28"/>
                <w:highlight w:val="none"/>
              </w:rPr>
              <w:t>___年___月___日</w:t>
            </w:r>
          </w:p>
        </w:tc>
      </w:tr>
      <w:tr w14:paraId="4F95F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6" w:hRule="atLeast"/>
        </w:trPr>
        <w:tc>
          <w:tcPr>
            <w:tcW w:w="8852" w:type="dxa"/>
            <w:noWrap w:val="0"/>
            <w:vAlign w:val="top"/>
          </w:tcPr>
          <w:p w14:paraId="1C237200">
            <w:pPr>
              <w:spacing w:line="360" w:lineRule="auto"/>
              <w:rPr>
                <w:rFonts w:hint="eastAsia"/>
                <w:color w:val="auto"/>
                <w:sz w:val="28"/>
                <w:szCs w:val="28"/>
                <w:highlight w:val="none"/>
              </w:rPr>
            </w:pPr>
            <w:r>
              <w:rPr>
                <w:rFonts w:hint="eastAsia"/>
                <w:color w:val="auto"/>
                <w:sz w:val="28"/>
                <w:szCs w:val="28"/>
                <w:highlight w:val="none"/>
              </w:rPr>
              <w:t>原工程项目所在地建设行政主管部门证明：</w:t>
            </w:r>
          </w:p>
          <w:p w14:paraId="289DF155">
            <w:pPr>
              <w:spacing w:line="360" w:lineRule="auto"/>
              <w:ind w:firstLine="560" w:firstLineChars="200"/>
              <w:jc w:val="both"/>
              <w:rPr>
                <w:rFonts w:hint="eastAsia"/>
                <w:color w:val="auto"/>
                <w:sz w:val="28"/>
                <w:szCs w:val="28"/>
                <w:highlight w:val="none"/>
              </w:rPr>
            </w:pPr>
            <w:r>
              <w:rPr>
                <w:rFonts w:hint="eastAsia"/>
                <w:color w:val="auto"/>
                <w:sz w:val="28"/>
                <w:szCs w:val="28"/>
                <w:highlight w:val="none"/>
              </w:rPr>
              <w:t>情况属实。</w:t>
            </w:r>
          </w:p>
          <w:p w14:paraId="1B0313FE">
            <w:pPr>
              <w:spacing w:line="360" w:lineRule="auto"/>
              <w:ind w:firstLine="5040" w:firstLineChars="1800"/>
              <w:jc w:val="both"/>
              <w:rPr>
                <w:rFonts w:hint="eastAsia"/>
                <w:color w:val="auto"/>
                <w:sz w:val="28"/>
                <w:szCs w:val="28"/>
                <w:highlight w:val="none"/>
              </w:rPr>
            </w:pPr>
            <w:r>
              <w:rPr>
                <w:rFonts w:hint="eastAsia"/>
                <w:color w:val="auto"/>
                <w:sz w:val="28"/>
                <w:szCs w:val="28"/>
                <w:highlight w:val="none"/>
              </w:rPr>
              <w:t>行政主管部门（盖章）</w:t>
            </w:r>
          </w:p>
          <w:p w14:paraId="3D3503ED">
            <w:pPr>
              <w:spacing w:line="360" w:lineRule="auto"/>
              <w:jc w:val="right"/>
              <w:rPr>
                <w:rFonts w:hint="eastAsia"/>
                <w:color w:val="auto"/>
                <w:highlight w:val="none"/>
              </w:rPr>
            </w:pPr>
            <w:r>
              <w:rPr>
                <w:rFonts w:hint="eastAsia"/>
                <w:color w:val="auto"/>
                <w:sz w:val="28"/>
                <w:szCs w:val="28"/>
                <w:highlight w:val="none"/>
              </w:rPr>
              <w:t>___年___月___日</w:t>
            </w:r>
          </w:p>
        </w:tc>
      </w:tr>
    </w:tbl>
    <w:p w14:paraId="7C141AED">
      <w:pPr>
        <w:widowControl w:val="0"/>
        <w:jc w:val="left"/>
        <w:outlineLvl w:val="0"/>
        <w:rPr>
          <w:rFonts w:hint="eastAsia" w:eastAsia="宋体"/>
          <w:color w:val="auto"/>
          <w:sz w:val="28"/>
          <w:szCs w:val="28"/>
          <w:highlight w:val="none"/>
        </w:rPr>
      </w:pPr>
      <w:r>
        <w:rPr>
          <w:rFonts w:hint="eastAsia" w:ascii="Times New Roman" w:hAnsi="Times New Roman" w:eastAsia="宋体" w:cs="Times New Roman"/>
          <w:color w:val="auto"/>
          <w:sz w:val="21"/>
          <w:highlight w:val="none"/>
        </w:rPr>
        <w:t>注：1.本《证明》仅用于在承接新项目时原承接的项目在全国和浙江省建筑市场监管公共服务系统为在建状态且已经竣工验收的，其他情形不得使用本《证明》。</w:t>
      </w:r>
      <w:r>
        <w:rPr>
          <w:rFonts w:hint="eastAsia" w:ascii="Times New Roman" w:hAnsi="Times New Roman" w:eastAsia="宋体" w:cs="Times New Roman"/>
          <w:color w:val="auto"/>
          <w:sz w:val="21"/>
          <w:highlight w:val="none"/>
        </w:rPr>
        <w:br w:type="textWrapping"/>
      </w:r>
      <w:r>
        <w:rPr>
          <w:rFonts w:hint="eastAsia" w:ascii="Times New Roman" w:hAnsi="Times New Roman" w:eastAsia="宋体" w:cs="Times New Roman"/>
          <w:color w:val="auto"/>
          <w:sz w:val="21"/>
          <w:highlight w:val="none"/>
        </w:rPr>
        <w:t>2.需附上原工程项目包含所有单位工程的《单位工程质量竣工验收记录》，未全部附上的，此《证明》无效。</w:t>
      </w:r>
    </w:p>
    <w:p w14:paraId="3962EDE9">
      <w:pPr>
        <w:rPr>
          <w:color w:val="auto"/>
          <w:highlight w:val="none"/>
        </w:rPr>
      </w:pPr>
    </w:p>
    <w:sectPr>
      <w:pgSz w:w="11906" w:h="16838"/>
      <w:pgMar w:top="1440" w:right="926"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2000000000000000000"/>
    <w:charset w:val="86"/>
    <w:family w:val="auto"/>
    <w:pitch w:val="default"/>
    <w:sig w:usb0="00000000" w:usb1="00000000" w:usb2="00000012" w:usb3="00000000" w:csb0="00040001" w:csb1="00000000"/>
  </w:font>
  <w:font w:name="小标宋">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MS PGothic">
    <w:panose1 w:val="020B0600070205080204"/>
    <w:charset w:val="80"/>
    <w:family w:val="auto"/>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C8008D">
    <w:pPr>
      <w:pStyle w:val="15"/>
      <w:framePr w:wrap="around" w:vAnchor="text" w:hAnchor="margin" w:xAlign="center" w:y="1"/>
      <w:rPr>
        <w:rStyle w:val="26"/>
        <w:sz w:val="28"/>
      </w:rPr>
    </w:pPr>
    <w:r>
      <w:rPr>
        <w:sz w:val="28"/>
      </w:rPr>
      <w:fldChar w:fldCharType="begin"/>
    </w:r>
    <w:r>
      <w:rPr>
        <w:rStyle w:val="26"/>
        <w:sz w:val="28"/>
      </w:rPr>
      <w:instrText xml:space="preserve">PAGE  </w:instrText>
    </w:r>
    <w:r>
      <w:rPr>
        <w:sz w:val="28"/>
      </w:rPr>
      <w:fldChar w:fldCharType="separate"/>
    </w:r>
    <w:r>
      <w:rPr>
        <w:rStyle w:val="26"/>
        <w:sz w:val="28"/>
      </w:rPr>
      <w:t>2</w:t>
    </w:r>
    <w:r>
      <w:rPr>
        <w:sz w:val="28"/>
      </w:rPr>
      <w:fldChar w:fldCharType="end"/>
    </w:r>
  </w:p>
  <w:p w14:paraId="3134B523">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2DCB2F">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6CFFF">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0D5CC7C">
                          <w:pPr>
                            <w:pStyle w:val="15"/>
                          </w:pPr>
                          <w:r>
                            <w:fldChar w:fldCharType="begin"/>
                          </w:r>
                          <w:r>
                            <w:instrText xml:space="preserve"> PAGE  \* MERGEFORMAT </w:instrText>
                          </w:r>
                          <w:r>
                            <w:fldChar w:fldCharType="separate"/>
                          </w:r>
                          <w:r>
                            <w:t>4</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60D5CC7C">
                    <w:pPr>
                      <w:pStyle w:val="15"/>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D34A8B">
    <w:pPr>
      <w:pBdr>
        <w:top w:val="double" w:color="auto" w:sz="4" w:space="1"/>
      </w:pBdr>
      <w:snapToGrid w:val="0"/>
      <w:jc w:val="center"/>
      <w:rPr>
        <w:rFonts w:eastAsia="宋体"/>
        <w:sz w:val="21"/>
        <w:szCs w:val="21"/>
      </w:rPr>
    </w:pPr>
    <w:r>
      <w:rPr>
        <w:rFonts w:hint="eastAsia" w:eastAsia="宋体"/>
        <w:sz w:val="21"/>
        <w:szCs w:val="21"/>
      </w:rPr>
      <w:t>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05AFDB">
    <w:pPr>
      <w:pStyle w:val="1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6ECDF93">
                          <w:pPr>
                            <w:pStyle w:val="15"/>
                          </w:pPr>
                          <w:r>
                            <w:fldChar w:fldCharType="begin"/>
                          </w:r>
                          <w:r>
                            <w:instrText xml:space="preserve"> PAGE  \* MERGEFORMAT </w:instrText>
                          </w:r>
                          <w:r>
                            <w:fldChar w:fldCharType="separate"/>
                          </w:r>
                          <w:r>
                            <w:t>5</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06ECDF93">
                    <w:pPr>
                      <w:pStyle w:val="15"/>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9D56F9">
    <w:pPr>
      <w:snapToGrid w:val="0"/>
      <w:jc w:val="left"/>
      <w:rPr>
        <w:rFonts w:ascii="宋体" w:hAnsi="宋体" w:eastAsia="宋体"/>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CD18F82">
                          <w:pPr>
                            <w:pStyle w:val="15"/>
                          </w:pPr>
                          <w:r>
                            <w:fldChar w:fldCharType="begin"/>
                          </w:r>
                          <w:r>
                            <w:instrText xml:space="preserve"> PAGE  \* MERGEFORMAT </w:instrText>
                          </w:r>
                          <w:r>
                            <w:fldChar w:fldCharType="separate"/>
                          </w:r>
                          <w:r>
                            <w:t>18</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S3tjc0BAACnAwAADgAAAGRycy9lMm9Eb2MueG1srVNLbtswEN0X6B0I&#10;7mspR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BS3tjc0BAACnAwAADgAAAAAAAAABACAAAAAeAQAAZHJzL2Uy&#10;b0RvYy54bWxQSwUGAAAAAAYABgBZAQAAXQUAAAAA&#10;">
              <v:fill on="f" focussize="0,0"/>
              <v:stroke on="f"/>
              <v:imagedata o:title=""/>
              <o:lock v:ext="edit" aspectratio="f"/>
              <v:textbox inset="0mm,0mm,0mm,0mm" style="mso-fit-shape-to-text:t;">
                <w:txbxContent>
                  <w:p w14:paraId="2CD18F82">
                    <w:pPr>
                      <w:pStyle w:val="15"/>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805400">
    <w:pPr>
      <w:pStyle w:val="15"/>
      <w:ind w:firstLine="280" w:firstLineChars="1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Style w:val="26"/>
        <w:rFonts w:ascii="宋体" w:hAnsi="宋体" w:eastAsia="宋体"/>
        <w:sz w:val="28"/>
        <w:szCs w:val="28"/>
      </w:rPr>
      <w:instrText xml:space="preserve"> PAGE </w:instrText>
    </w:r>
    <w:r>
      <w:rPr>
        <w:rFonts w:ascii="宋体" w:hAnsi="宋体" w:eastAsia="宋体"/>
        <w:sz w:val="28"/>
        <w:szCs w:val="28"/>
      </w:rPr>
      <w:fldChar w:fldCharType="separate"/>
    </w:r>
    <w:r>
      <w:rPr>
        <w:rStyle w:val="26"/>
        <w:rFonts w:ascii="宋体" w:hAnsi="宋体" w:eastAsia="宋体"/>
        <w:sz w:val="28"/>
        <w:szCs w:val="28"/>
      </w:rPr>
      <w:t>100</w:t>
    </w:r>
    <w:r>
      <w:rPr>
        <w:rFonts w:ascii="宋体" w:hAnsi="宋体" w:eastAsia="宋体"/>
        <w:sz w:val="28"/>
        <w:szCs w:val="28"/>
      </w:rPr>
      <w:fldChar w:fldCharType="end"/>
    </w:r>
    <w:r>
      <w:rPr>
        <w:rFonts w:hint="eastAsia" w:ascii="宋体" w:hAnsi="宋体" w:eastAsia="宋体"/>
        <w:sz w:val="28"/>
        <w:szCs w:val="28"/>
      </w:rPr>
      <w:t>－</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65CA04">
    <w:pPr>
      <w:pStyle w:val="15"/>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8D72941">
                          <w:pPr>
                            <w:pStyle w:val="15"/>
                          </w:pPr>
                          <w:r>
                            <w:fldChar w:fldCharType="begin"/>
                          </w:r>
                          <w:r>
                            <w:instrText xml:space="preserve"> PAGE  \* MERGEFORMAT </w:instrText>
                          </w:r>
                          <w:r>
                            <w:fldChar w:fldCharType="separate"/>
                          </w:r>
                          <w:r>
                            <w:t>46</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ml5N0zAEAAKcDAAAOAAAAAAAAAAEAIAAAAB4BAABkcnMvZTJv&#10;RG9jLnhtbFBLBQYAAAAABgAGAFkBAABcBQAAAAA=&#10;">
              <v:fill on="f" focussize="0,0"/>
              <v:stroke on="f"/>
              <v:imagedata o:title=""/>
              <o:lock v:ext="edit" aspectratio="f"/>
              <v:textbox inset="0mm,0mm,0mm,0mm" style="mso-fit-shape-to-text:t;">
                <w:txbxContent>
                  <w:p w14:paraId="58D72941">
                    <w:pPr>
                      <w:pStyle w:val="15"/>
                    </w:pPr>
                    <w:r>
                      <w:fldChar w:fldCharType="begin"/>
                    </w:r>
                    <w:r>
                      <w:instrText xml:space="preserve"> PAGE  \* MERGEFORMAT </w:instrText>
                    </w:r>
                    <w:r>
                      <w:fldChar w:fldCharType="separate"/>
                    </w:r>
                    <w:r>
                      <w:t>46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2F67F">
    <w:pPr>
      <w:pStyle w:val="16"/>
      <w:wordWrap w:val="0"/>
      <w:jc w:val="right"/>
      <w:rPr>
        <w:rFonts w:hint="eastAsia" w:ascii="宋体" w:hAnsi="宋体" w:eastAsia="宋体"/>
        <w:szCs w:val="18"/>
      </w:rPr>
    </w:pPr>
    <w:r>
      <w:rPr>
        <w:rFonts w:hint="eastAsia" w:ascii="宋体" w:hAnsi="宋体" w:eastAsia="宋体"/>
        <w:color w:val="FF0000"/>
        <w:szCs w:val="18"/>
        <w:lang w:eastAsia="zh-CN"/>
      </w:rPr>
      <w:t>运动场地改造工程</w:t>
    </w:r>
    <w:r>
      <w:rPr>
        <w:rFonts w:hint="eastAsia" w:ascii="宋体" w:hAnsi="宋体" w:eastAsia="宋体"/>
        <w:szCs w:val="18"/>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8E1B9E">
    <w:pPr>
      <w:pStyle w:val="1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8014D7">
    <w:pPr>
      <w:pStyle w:val="16"/>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4A0DD2">
    <w:pPr>
      <w:pStyle w:val="16"/>
      <w:wordWrap w:val="0"/>
      <w:jc w:val="right"/>
      <w:rPr>
        <w:rFonts w:ascii="宋体" w:hAnsi="宋体" w:eastAsia="宋体"/>
        <w:szCs w:val="18"/>
      </w:rPr>
    </w:pPr>
    <w:r>
      <w:rPr>
        <w:rFonts w:hint="eastAsia" w:ascii="宋体" w:hAnsi="宋体" w:eastAsia="宋体"/>
        <w:color w:val="auto"/>
        <w:szCs w:val="18"/>
        <w:lang w:eastAsia="zh-CN"/>
      </w:rPr>
      <w:t>运动场地改造工程</w:t>
    </w:r>
    <w:r>
      <w:rPr>
        <w:rFonts w:hint="eastAsia" w:ascii="宋体" w:hAnsi="宋体" w:eastAsia="宋体"/>
        <w:color w:val="auto"/>
        <w:szCs w:val="18"/>
      </w:rPr>
      <w:t>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974823">
    <w:pPr>
      <w:pBdr>
        <w:bottom w:val="single" w:color="auto" w:sz="6" w:space="1"/>
      </w:pBdr>
      <w:snapToGrid w:val="0"/>
      <w:ind w:right="180"/>
      <w:jc w:val="right"/>
      <w:rPr>
        <w:rFonts w:eastAsia="宋体"/>
        <w:sz w:val="18"/>
      </w:rPr>
    </w:pPr>
    <w:r>
      <w:rPr>
        <w:rFonts w:hint="eastAsia" w:ascii="宋体" w:hAnsi="宋体" w:eastAsia="宋体"/>
        <w:bCs/>
        <w:sz w:val="18"/>
        <w:szCs w:val="18"/>
      </w:rPr>
      <w:t>沿江镇中心幼儿园长甸分园工程</w:t>
    </w:r>
    <w:r>
      <w:rPr>
        <w:rFonts w:hint="eastAsia" w:eastAsia="宋体"/>
        <w:sz w:val="18"/>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D70C1">
    <w:pPr>
      <w:pStyle w:val="1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0000000A"/>
    <w:multiLevelType w:val="multilevel"/>
    <w:tmpl w:val="0000000A"/>
    <w:lvl w:ilvl="0" w:tentative="0">
      <w:start w:val="1"/>
      <w:numFmt w:val="decimal"/>
      <w:pStyle w:val="4"/>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3">
    <w:nsid w:val="35D30890"/>
    <w:multiLevelType w:val="singleLevel"/>
    <w:tmpl w:val="35D30890"/>
    <w:lvl w:ilvl="0" w:tentative="0">
      <w:start w:val="10"/>
      <w:numFmt w:val="decimal"/>
      <w:suff w:val="nothing"/>
      <w:lvlText w:val="%1．"/>
      <w:lvlJc w:val="left"/>
    </w:lvl>
  </w:abstractNum>
  <w:abstractNum w:abstractNumId="4">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4B4E5583"/>
    <w:multiLevelType w:val="singleLevel"/>
    <w:tmpl w:val="4B4E5583"/>
    <w:lvl w:ilvl="0" w:tentative="0">
      <w:start w:val="11"/>
      <w:numFmt w:val="decimal"/>
      <w:suff w:val="nothing"/>
      <w:lvlText w:val="（%1）"/>
      <w:lvlJc w:val="left"/>
    </w:lvl>
  </w:abstractNum>
  <w:abstractNum w:abstractNumId="6">
    <w:nsid w:val="6A7AA17D"/>
    <w:multiLevelType w:val="singleLevel"/>
    <w:tmpl w:val="6A7AA17D"/>
    <w:lvl w:ilvl="0" w:tentative="0">
      <w:start w:val="7"/>
      <w:numFmt w:val="decimal"/>
      <w:suff w:val="nothing"/>
      <w:lvlText w:val="（%1）"/>
      <w:lvlJc w:val="left"/>
    </w:lvl>
  </w:abstractNum>
  <w:num w:numId="1">
    <w:abstractNumId w:val="2"/>
  </w:num>
  <w:num w:numId="2">
    <w:abstractNumId w:val="1"/>
  </w:num>
  <w:num w:numId="3">
    <w:abstractNumId w:val="4"/>
  </w:num>
  <w:num w:numId="4">
    <w:abstractNumId w:val="0"/>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c5MGNiZjIwNTA1Yzc3YTQzMWUzZTgyYWNjMjM5NTcifQ=="/>
  </w:docVars>
  <w:rsids>
    <w:rsidRoot w:val="1FF80AF3"/>
    <w:rsid w:val="0000285E"/>
    <w:rsid w:val="000356E0"/>
    <w:rsid w:val="00040681"/>
    <w:rsid w:val="0004479C"/>
    <w:rsid w:val="00050129"/>
    <w:rsid w:val="000517CD"/>
    <w:rsid w:val="000629E9"/>
    <w:rsid w:val="00070264"/>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3EDD"/>
    <w:rsid w:val="00187B1E"/>
    <w:rsid w:val="00190662"/>
    <w:rsid w:val="0019170F"/>
    <w:rsid w:val="0019785E"/>
    <w:rsid w:val="001A2313"/>
    <w:rsid w:val="001A265F"/>
    <w:rsid w:val="00200752"/>
    <w:rsid w:val="00201393"/>
    <w:rsid w:val="00201E00"/>
    <w:rsid w:val="00204F00"/>
    <w:rsid w:val="0021163E"/>
    <w:rsid w:val="00227AED"/>
    <w:rsid w:val="00231AA4"/>
    <w:rsid w:val="00257090"/>
    <w:rsid w:val="00263441"/>
    <w:rsid w:val="00281B18"/>
    <w:rsid w:val="002A35B9"/>
    <w:rsid w:val="002C0652"/>
    <w:rsid w:val="002D2AB3"/>
    <w:rsid w:val="002F2D42"/>
    <w:rsid w:val="00300BC3"/>
    <w:rsid w:val="00304FD8"/>
    <w:rsid w:val="003112CE"/>
    <w:rsid w:val="003117F7"/>
    <w:rsid w:val="0034162F"/>
    <w:rsid w:val="003479C0"/>
    <w:rsid w:val="00361107"/>
    <w:rsid w:val="00362C02"/>
    <w:rsid w:val="00372F70"/>
    <w:rsid w:val="0037509C"/>
    <w:rsid w:val="00376C4C"/>
    <w:rsid w:val="003A035E"/>
    <w:rsid w:val="003B7159"/>
    <w:rsid w:val="003C56C8"/>
    <w:rsid w:val="003E7592"/>
    <w:rsid w:val="003F1C49"/>
    <w:rsid w:val="00406402"/>
    <w:rsid w:val="0044185A"/>
    <w:rsid w:val="00445992"/>
    <w:rsid w:val="00446289"/>
    <w:rsid w:val="00446A4E"/>
    <w:rsid w:val="00460273"/>
    <w:rsid w:val="00463B79"/>
    <w:rsid w:val="004755B5"/>
    <w:rsid w:val="0048261A"/>
    <w:rsid w:val="004974CC"/>
    <w:rsid w:val="004A013F"/>
    <w:rsid w:val="004A2A39"/>
    <w:rsid w:val="004A4F6A"/>
    <w:rsid w:val="004A7020"/>
    <w:rsid w:val="004C09CE"/>
    <w:rsid w:val="004C2D78"/>
    <w:rsid w:val="004F0AE7"/>
    <w:rsid w:val="004F18C7"/>
    <w:rsid w:val="00511973"/>
    <w:rsid w:val="00521B47"/>
    <w:rsid w:val="00536D4E"/>
    <w:rsid w:val="00544A91"/>
    <w:rsid w:val="00563471"/>
    <w:rsid w:val="00566AB9"/>
    <w:rsid w:val="005776BE"/>
    <w:rsid w:val="0058420A"/>
    <w:rsid w:val="00585836"/>
    <w:rsid w:val="005A09D7"/>
    <w:rsid w:val="005B06A4"/>
    <w:rsid w:val="005B3201"/>
    <w:rsid w:val="005B4477"/>
    <w:rsid w:val="005B6F58"/>
    <w:rsid w:val="005B779D"/>
    <w:rsid w:val="005D17F0"/>
    <w:rsid w:val="005D6B05"/>
    <w:rsid w:val="005E6E1C"/>
    <w:rsid w:val="006032EA"/>
    <w:rsid w:val="00603637"/>
    <w:rsid w:val="00654868"/>
    <w:rsid w:val="0066548C"/>
    <w:rsid w:val="006B5B26"/>
    <w:rsid w:val="006C0C39"/>
    <w:rsid w:val="006C13FB"/>
    <w:rsid w:val="006C4D1F"/>
    <w:rsid w:val="0073014E"/>
    <w:rsid w:val="00733C41"/>
    <w:rsid w:val="00734B08"/>
    <w:rsid w:val="00735F2E"/>
    <w:rsid w:val="007471EB"/>
    <w:rsid w:val="00763EDA"/>
    <w:rsid w:val="00764F4F"/>
    <w:rsid w:val="0076517C"/>
    <w:rsid w:val="00791654"/>
    <w:rsid w:val="007977FB"/>
    <w:rsid w:val="007A12F4"/>
    <w:rsid w:val="007A275E"/>
    <w:rsid w:val="007A2A5A"/>
    <w:rsid w:val="007A32E6"/>
    <w:rsid w:val="007B1985"/>
    <w:rsid w:val="007B60B0"/>
    <w:rsid w:val="007C06B4"/>
    <w:rsid w:val="007D40EF"/>
    <w:rsid w:val="00803802"/>
    <w:rsid w:val="00803CBD"/>
    <w:rsid w:val="00815CB9"/>
    <w:rsid w:val="00833A9E"/>
    <w:rsid w:val="00841193"/>
    <w:rsid w:val="008449DB"/>
    <w:rsid w:val="00846822"/>
    <w:rsid w:val="00853AB4"/>
    <w:rsid w:val="00861A54"/>
    <w:rsid w:val="00887FC4"/>
    <w:rsid w:val="008C2F7E"/>
    <w:rsid w:val="008C3E8C"/>
    <w:rsid w:val="008E1196"/>
    <w:rsid w:val="008F0640"/>
    <w:rsid w:val="008F0BFE"/>
    <w:rsid w:val="008F2BA3"/>
    <w:rsid w:val="008F2BCB"/>
    <w:rsid w:val="00902D3F"/>
    <w:rsid w:val="00905478"/>
    <w:rsid w:val="00911A9E"/>
    <w:rsid w:val="00911DF3"/>
    <w:rsid w:val="00913913"/>
    <w:rsid w:val="009307CE"/>
    <w:rsid w:val="009644BF"/>
    <w:rsid w:val="00964618"/>
    <w:rsid w:val="00980EBC"/>
    <w:rsid w:val="00991927"/>
    <w:rsid w:val="009A2DDE"/>
    <w:rsid w:val="009B3A12"/>
    <w:rsid w:val="009E12FA"/>
    <w:rsid w:val="009F636E"/>
    <w:rsid w:val="00A178E5"/>
    <w:rsid w:val="00A305D4"/>
    <w:rsid w:val="00A32A20"/>
    <w:rsid w:val="00A335C6"/>
    <w:rsid w:val="00A45341"/>
    <w:rsid w:val="00A470D7"/>
    <w:rsid w:val="00A515C2"/>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27B9"/>
    <w:rsid w:val="00BB434B"/>
    <w:rsid w:val="00BC667C"/>
    <w:rsid w:val="00BC6899"/>
    <w:rsid w:val="00BD0A16"/>
    <w:rsid w:val="00BE3256"/>
    <w:rsid w:val="00BF0396"/>
    <w:rsid w:val="00BF7637"/>
    <w:rsid w:val="00C034CB"/>
    <w:rsid w:val="00C273B5"/>
    <w:rsid w:val="00C35C05"/>
    <w:rsid w:val="00C66E71"/>
    <w:rsid w:val="00C756A0"/>
    <w:rsid w:val="00C82A2B"/>
    <w:rsid w:val="00C8795C"/>
    <w:rsid w:val="00C905A4"/>
    <w:rsid w:val="00C95EDD"/>
    <w:rsid w:val="00CA042C"/>
    <w:rsid w:val="00CA2C85"/>
    <w:rsid w:val="00CB19A1"/>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6DD8"/>
    <w:rsid w:val="00ED48ED"/>
    <w:rsid w:val="00EF4D9B"/>
    <w:rsid w:val="00F11D10"/>
    <w:rsid w:val="00F213C2"/>
    <w:rsid w:val="00F25C07"/>
    <w:rsid w:val="00F32926"/>
    <w:rsid w:val="00F75A23"/>
    <w:rsid w:val="00F75FD5"/>
    <w:rsid w:val="00F82325"/>
    <w:rsid w:val="00F87CB6"/>
    <w:rsid w:val="00FB6D47"/>
    <w:rsid w:val="00FC0D6B"/>
    <w:rsid w:val="00FC37EC"/>
    <w:rsid w:val="00FD460B"/>
    <w:rsid w:val="00FE2F28"/>
    <w:rsid w:val="01E00CE2"/>
    <w:rsid w:val="021F1A33"/>
    <w:rsid w:val="02377887"/>
    <w:rsid w:val="0322443D"/>
    <w:rsid w:val="034856CF"/>
    <w:rsid w:val="03822F53"/>
    <w:rsid w:val="039E1C60"/>
    <w:rsid w:val="03B51FD0"/>
    <w:rsid w:val="04BC5D9C"/>
    <w:rsid w:val="05646570"/>
    <w:rsid w:val="05966E33"/>
    <w:rsid w:val="05DA7B43"/>
    <w:rsid w:val="05FF5E80"/>
    <w:rsid w:val="06296CF3"/>
    <w:rsid w:val="072E4E50"/>
    <w:rsid w:val="07426CE9"/>
    <w:rsid w:val="079270B3"/>
    <w:rsid w:val="08296FA7"/>
    <w:rsid w:val="088A7F5F"/>
    <w:rsid w:val="089B216C"/>
    <w:rsid w:val="090B419B"/>
    <w:rsid w:val="097D0D2A"/>
    <w:rsid w:val="098B3F8E"/>
    <w:rsid w:val="09AF75D6"/>
    <w:rsid w:val="09C51CFC"/>
    <w:rsid w:val="09C72078"/>
    <w:rsid w:val="09F22179"/>
    <w:rsid w:val="0A553026"/>
    <w:rsid w:val="0A717628"/>
    <w:rsid w:val="0ABB50E3"/>
    <w:rsid w:val="0B3D6A50"/>
    <w:rsid w:val="0B950884"/>
    <w:rsid w:val="0C1C748A"/>
    <w:rsid w:val="0C3C5A11"/>
    <w:rsid w:val="0D2F17FD"/>
    <w:rsid w:val="0D375B4A"/>
    <w:rsid w:val="0D51729D"/>
    <w:rsid w:val="0E036230"/>
    <w:rsid w:val="0E126FB3"/>
    <w:rsid w:val="0E69134A"/>
    <w:rsid w:val="0E8826CF"/>
    <w:rsid w:val="0ECD37BE"/>
    <w:rsid w:val="0F422A78"/>
    <w:rsid w:val="0F477F77"/>
    <w:rsid w:val="0FCD5301"/>
    <w:rsid w:val="0FD028A8"/>
    <w:rsid w:val="0FED5C47"/>
    <w:rsid w:val="108B3885"/>
    <w:rsid w:val="10D82D2F"/>
    <w:rsid w:val="10E75D7D"/>
    <w:rsid w:val="11E1204A"/>
    <w:rsid w:val="120025CD"/>
    <w:rsid w:val="12E91DF8"/>
    <w:rsid w:val="1319260B"/>
    <w:rsid w:val="131B7F09"/>
    <w:rsid w:val="13386F35"/>
    <w:rsid w:val="137F578F"/>
    <w:rsid w:val="141F36D1"/>
    <w:rsid w:val="14420BAF"/>
    <w:rsid w:val="150C0477"/>
    <w:rsid w:val="158A29E3"/>
    <w:rsid w:val="16361726"/>
    <w:rsid w:val="16905AFB"/>
    <w:rsid w:val="16DE44B1"/>
    <w:rsid w:val="177F1207"/>
    <w:rsid w:val="18A1598A"/>
    <w:rsid w:val="18AB7C3A"/>
    <w:rsid w:val="18E12580"/>
    <w:rsid w:val="18F26EAB"/>
    <w:rsid w:val="18FC3FD7"/>
    <w:rsid w:val="192243F8"/>
    <w:rsid w:val="193A4DCD"/>
    <w:rsid w:val="193B5FBC"/>
    <w:rsid w:val="195A06AD"/>
    <w:rsid w:val="19BA2262"/>
    <w:rsid w:val="19FE75B4"/>
    <w:rsid w:val="1AD75285"/>
    <w:rsid w:val="1B0D2AFA"/>
    <w:rsid w:val="1B167A44"/>
    <w:rsid w:val="1B6F0B5F"/>
    <w:rsid w:val="1BAD0D5C"/>
    <w:rsid w:val="1BC177F6"/>
    <w:rsid w:val="1BF97D30"/>
    <w:rsid w:val="1C915908"/>
    <w:rsid w:val="1C98187E"/>
    <w:rsid w:val="1DB81794"/>
    <w:rsid w:val="1E363CE9"/>
    <w:rsid w:val="1E630B67"/>
    <w:rsid w:val="1F160D12"/>
    <w:rsid w:val="1F8606E6"/>
    <w:rsid w:val="1FC96B63"/>
    <w:rsid w:val="1FF80AF3"/>
    <w:rsid w:val="201B4916"/>
    <w:rsid w:val="20670BCA"/>
    <w:rsid w:val="208351DE"/>
    <w:rsid w:val="210950AC"/>
    <w:rsid w:val="21B300CF"/>
    <w:rsid w:val="22CA3922"/>
    <w:rsid w:val="233D143E"/>
    <w:rsid w:val="23636EA1"/>
    <w:rsid w:val="23790D38"/>
    <w:rsid w:val="23853A79"/>
    <w:rsid w:val="239361D0"/>
    <w:rsid w:val="23A0402B"/>
    <w:rsid w:val="24EE5273"/>
    <w:rsid w:val="24F44C86"/>
    <w:rsid w:val="24F951F7"/>
    <w:rsid w:val="251A36F0"/>
    <w:rsid w:val="254341B7"/>
    <w:rsid w:val="25554E0E"/>
    <w:rsid w:val="25563DFB"/>
    <w:rsid w:val="25635926"/>
    <w:rsid w:val="25983B4F"/>
    <w:rsid w:val="25A050FE"/>
    <w:rsid w:val="25A75047"/>
    <w:rsid w:val="265721F1"/>
    <w:rsid w:val="26892F9B"/>
    <w:rsid w:val="26967876"/>
    <w:rsid w:val="26E47778"/>
    <w:rsid w:val="27112362"/>
    <w:rsid w:val="27230FF2"/>
    <w:rsid w:val="275831DE"/>
    <w:rsid w:val="277B2C7C"/>
    <w:rsid w:val="278E6684"/>
    <w:rsid w:val="285C40CB"/>
    <w:rsid w:val="291618C2"/>
    <w:rsid w:val="291B76E3"/>
    <w:rsid w:val="29712FD9"/>
    <w:rsid w:val="29F438D2"/>
    <w:rsid w:val="29F92152"/>
    <w:rsid w:val="2A0475B6"/>
    <w:rsid w:val="2A755A69"/>
    <w:rsid w:val="2AD402FC"/>
    <w:rsid w:val="2B5173DF"/>
    <w:rsid w:val="2B547697"/>
    <w:rsid w:val="2B9D7E25"/>
    <w:rsid w:val="2C4C1CFB"/>
    <w:rsid w:val="2C652E7D"/>
    <w:rsid w:val="2C837E42"/>
    <w:rsid w:val="2D5371F7"/>
    <w:rsid w:val="2D602A71"/>
    <w:rsid w:val="2DDC09C5"/>
    <w:rsid w:val="2DFE26D1"/>
    <w:rsid w:val="2EA13EF9"/>
    <w:rsid w:val="2F132647"/>
    <w:rsid w:val="2F266FDE"/>
    <w:rsid w:val="2F594E71"/>
    <w:rsid w:val="2F7353A9"/>
    <w:rsid w:val="2FDA531F"/>
    <w:rsid w:val="2FEE453D"/>
    <w:rsid w:val="30330D58"/>
    <w:rsid w:val="3048098A"/>
    <w:rsid w:val="315F7516"/>
    <w:rsid w:val="31737A6D"/>
    <w:rsid w:val="31861B3A"/>
    <w:rsid w:val="32BE3742"/>
    <w:rsid w:val="32DB0BA8"/>
    <w:rsid w:val="32EC61E3"/>
    <w:rsid w:val="331B7BCF"/>
    <w:rsid w:val="33C40AB3"/>
    <w:rsid w:val="33D51112"/>
    <w:rsid w:val="33FA6465"/>
    <w:rsid w:val="34256D8A"/>
    <w:rsid w:val="34605501"/>
    <w:rsid w:val="358C5B68"/>
    <w:rsid w:val="36254176"/>
    <w:rsid w:val="36DD1F8B"/>
    <w:rsid w:val="36E20676"/>
    <w:rsid w:val="371158BC"/>
    <w:rsid w:val="37292D89"/>
    <w:rsid w:val="379D6D57"/>
    <w:rsid w:val="37BB1D08"/>
    <w:rsid w:val="37BE1059"/>
    <w:rsid w:val="38202807"/>
    <w:rsid w:val="3820356C"/>
    <w:rsid w:val="3886386B"/>
    <w:rsid w:val="38926838"/>
    <w:rsid w:val="38A02C1C"/>
    <w:rsid w:val="39024127"/>
    <w:rsid w:val="395B2504"/>
    <w:rsid w:val="398E28C4"/>
    <w:rsid w:val="39BD0C48"/>
    <w:rsid w:val="39E8727C"/>
    <w:rsid w:val="3A660B39"/>
    <w:rsid w:val="3AB23C68"/>
    <w:rsid w:val="3ACA2AA9"/>
    <w:rsid w:val="3B5E2A01"/>
    <w:rsid w:val="3B8D4294"/>
    <w:rsid w:val="3B8E3C86"/>
    <w:rsid w:val="3BAC51D5"/>
    <w:rsid w:val="3BE610FE"/>
    <w:rsid w:val="3CAF413E"/>
    <w:rsid w:val="3D2D00ED"/>
    <w:rsid w:val="3D714E4C"/>
    <w:rsid w:val="3EA7436E"/>
    <w:rsid w:val="3EE96D1B"/>
    <w:rsid w:val="3EEF43D0"/>
    <w:rsid w:val="3EF30B52"/>
    <w:rsid w:val="3EF8102E"/>
    <w:rsid w:val="3F0459F8"/>
    <w:rsid w:val="3F165ACD"/>
    <w:rsid w:val="3F265D57"/>
    <w:rsid w:val="3F357653"/>
    <w:rsid w:val="3F84790D"/>
    <w:rsid w:val="3FD01EE3"/>
    <w:rsid w:val="3FF028CE"/>
    <w:rsid w:val="40F77934"/>
    <w:rsid w:val="40FE0657"/>
    <w:rsid w:val="410B57E0"/>
    <w:rsid w:val="413B553F"/>
    <w:rsid w:val="415C326C"/>
    <w:rsid w:val="4180248A"/>
    <w:rsid w:val="41E77BF5"/>
    <w:rsid w:val="42242413"/>
    <w:rsid w:val="43041BEF"/>
    <w:rsid w:val="4345654F"/>
    <w:rsid w:val="4374370A"/>
    <w:rsid w:val="439247CC"/>
    <w:rsid w:val="43F959BD"/>
    <w:rsid w:val="43FA4F55"/>
    <w:rsid w:val="4426535A"/>
    <w:rsid w:val="44A46D82"/>
    <w:rsid w:val="45437449"/>
    <w:rsid w:val="45585CB2"/>
    <w:rsid w:val="45612BD3"/>
    <w:rsid w:val="45905552"/>
    <w:rsid w:val="46713F31"/>
    <w:rsid w:val="468E260A"/>
    <w:rsid w:val="4703462D"/>
    <w:rsid w:val="478B0E64"/>
    <w:rsid w:val="47971775"/>
    <w:rsid w:val="47C016D8"/>
    <w:rsid w:val="47D26A75"/>
    <w:rsid w:val="48C9729F"/>
    <w:rsid w:val="491D3EFC"/>
    <w:rsid w:val="493C6D00"/>
    <w:rsid w:val="49E0612F"/>
    <w:rsid w:val="4A6F08EE"/>
    <w:rsid w:val="4B651398"/>
    <w:rsid w:val="4BD1776C"/>
    <w:rsid w:val="4BE40D01"/>
    <w:rsid w:val="4C411A42"/>
    <w:rsid w:val="4C4A5432"/>
    <w:rsid w:val="4C854292"/>
    <w:rsid w:val="4CF431C6"/>
    <w:rsid w:val="4D43040D"/>
    <w:rsid w:val="4DCE7990"/>
    <w:rsid w:val="4DF0589D"/>
    <w:rsid w:val="4E734184"/>
    <w:rsid w:val="4EB01C4F"/>
    <w:rsid w:val="4ECE03CB"/>
    <w:rsid w:val="4F7F2CDB"/>
    <w:rsid w:val="4F964D9C"/>
    <w:rsid w:val="5012695A"/>
    <w:rsid w:val="50A42CBD"/>
    <w:rsid w:val="50D833BE"/>
    <w:rsid w:val="50EA071E"/>
    <w:rsid w:val="517B51EF"/>
    <w:rsid w:val="51A67B22"/>
    <w:rsid w:val="51E07D46"/>
    <w:rsid w:val="52DF7FD7"/>
    <w:rsid w:val="541E33F9"/>
    <w:rsid w:val="54C635B3"/>
    <w:rsid w:val="54EF357C"/>
    <w:rsid w:val="5597283F"/>
    <w:rsid w:val="55BF2A09"/>
    <w:rsid w:val="563E3F56"/>
    <w:rsid w:val="565C6BA3"/>
    <w:rsid w:val="568C5381"/>
    <w:rsid w:val="56BF79F3"/>
    <w:rsid w:val="576B2C38"/>
    <w:rsid w:val="57C355C8"/>
    <w:rsid w:val="586A79B6"/>
    <w:rsid w:val="58E4186C"/>
    <w:rsid w:val="591F64C4"/>
    <w:rsid w:val="595A593F"/>
    <w:rsid w:val="59692350"/>
    <w:rsid w:val="5AD86B4E"/>
    <w:rsid w:val="5B376AD1"/>
    <w:rsid w:val="5B9F0DEB"/>
    <w:rsid w:val="5BA32664"/>
    <w:rsid w:val="5BB16FB8"/>
    <w:rsid w:val="5BB63711"/>
    <w:rsid w:val="5BEE5961"/>
    <w:rsid w:val="5C1E5E58"/>
    <w:rsid w:val="5D4B6CD4"/>
    <w:rsid w:val="5D7C523D"/>
    <w:rsid w:val="5DA057D6"/>
    <w:rsid w:val="5DC056AF"/>
    <w:rsid w:val="5E0A6506"/>
    <w:rsid w:val="5E115F82"/>
    <w:rsid w:val="5F6B70B6"/>
    <w:rsid w:val="5FD40FA7"/>
    <w:rsid w:val="601C4F4D"/>
    <w:rsid w:val="6037230A"/>
    <w:rsid w:val="606744CB"/>
    <w:rsid w:val="60B47A39"/>
    <w:rsid w:val="611361AA"/>
    <w:rsid w:val="612607A7"/>
    <w:rsid w:val="6130435D"/>
    <w:rsid w:val="614257A1"/>
    <w:rsid w:val="61567145"/>
    <w:rsid w:val="616F6362"/>
    <w:rsid w:val="619D4BBE"/>
    <w:rsid w:val="61DE2BC3"/>
    <w:rsid w:val="61F51C5A"/>
    <w:rsid w:val="62173103"/>
    <w:rsid w:val="62BF4CA1"/>
    <w:rsid w:val="62DD4735"/>
    <w:rsid w:val="63165EF4"/>
    <w:rsid w:val="631E10C3"/>
    <w:rsid w:val="635C4F62"/>
    <w:rsid w:val="63A23524"/>
    <w:rsid w:val="63F32E9F"/>
    <w:rsid w:val="63FB36F1"/>
    <w:rsid w:val="648C1DD2"/>
    <w:rsid w:val="64B417CF"/>
    <w:rsid w:val="65033CDE"/>
    <w:rsid w:val="65ED7D25"/>
    <w:rsid w:val="66552ACF"/>
    <w:rsid w:val="66A03BE2"/>
    <w:rsid w:val="66B0141D"/>
    <w:rsid w:val="66BD2ECA"/>
    <w:rsid w:val="66C25E54"/>
    <w:rsid w:val="66F92416"/>
    <w:rsid w:val="66FE3079"/>
    <w:rsid w:val="68C81038"/>
    <w:rsid w:val="6911480D"/>
    <w:rsid w:val="69995F28"/>
    <w:rsid w:val="699D75EA"/>
    <w:rsid w:val="69E93C5A"/>
    <w:rsid w:val="6A1F1B62"/>
    <w:rsid w:val="6B194AB8"/>
    <w:rsid w:val="6B2505AD"/>
    <w:rsid w:val="6B251B80"/>
    <w:rsid w:val="6B78543B"/>
    <w:rsid w:val="6BAC2C7D"/>
    <w:rsid w:val="6BB81B36"/>
    <w:rsid w:val="6BFD1234"/>
    <w:rsid w:val="6C4B33B4"/>
    <w:rsid w:val="6C6A26DF"/>
    <w:rsid w:val="6CCC2731"/>
    <w:rsid w:val="6D0408D4"/>
    <w:rsid w:val="6D46205C"/>
    <w:rsid w:val="6DE87313"/>
    <w:rsid w:val="6E116A93"/>
    <w:rsid w:val="6E741DDC"/>
    <w:rsid w:val="6E865B4B"/>
    <w:rsid w:val="6F067EF3"/>
    <w:rsid w:val="6F7777FC"/>
    <w:rsid w:val="70534653"/>
    <w:rsid w:val="70B52AE8"/>
    <w:rsid w:val="710B6E6E"/>
    <w:rsid w:val="712C15E1"/>
    <w:rsid w:val="71395DE7"/>
    <w:rsid w:val="71AA5770"/>
    <w:rsid w:val="72720E38"/>
    <w:rsid w:val="727F4B2E"/>
    <w:rsid w:val="7282714A"/>
    <w:rsid w:val="728A61BC"/>
    <w:rsid w:val="72D405E0"/>
    <w:rsid w:val="733E6F30"/>
    <w:rsid w:val="7348070F"/>
    <w:rsid w:val="74135A7F"/>
    <w:rsid w:val="742A7349"/>
    <w:rsid w:val="745B379C"/>
    <w:rsid w:val="749100EE"/>
    <w:rsid w:val="74B31DDC"/>
    <w:rsid w:val="74EF6293"/>
    <w:rsid w:val="74EF6A2D"/>
    <w:rsid w:val="75087C7C"/>
    <w:rsid w:val="75297601"/>
    <w:rsid w:val="75CC648C"/>
    <w:rsid w:val="75FF5B03"/>
    <w:rsid w:val="762348A3"/>
    <w:rsid w:val="765A6067"/>
    <w:rsid w:val="766034F6"/>
    <w:rsid w:val="767429A8"/>
    <w:rsid w:val="76883BBA"/>
    <w:rsid w:val="76EC11F8"/>
    <w:rsid w:val="772462D2"/>
    <w:rsid w:val="782F3180"/>
    <w:rsid w:val="78E01A48"/>
    <w:rsid w:val="78F63361"/>
    <w:rsid w:val="79272682"/>
    <w:rsid w:val="796E4E17"/>
    <w:rsid w:val="79A166DA"/>
    <w:rsid w:val="79DB4509"/>
    <w:rsid w:val="7AD361E3"/>
    <w:rsid w:val="7C8F385C"/>
    <w:rsid w:val="7CEC5A5F"/>
    <w:rsid w:val="7D6E61DF"/>
    <w:rsid w:val="7D73322C"/>
    <w:rsid w:val="7DDB1BD7"/>
    <w:rsid w:val="7DF92F90"/>
    <w:rsid w:val="7E324F08"/>
    <w:rsid w:val="7E4F2BA1"/>
    <w:rsid w:val="7E5402F7"/>
    <w:rsid w:val="7EFF3F53"/>
    <w:rsid w:val="7F2015C6"/>
    <w:rsid w:val="7F503B7C"/>
    <w:rsid w:val="7FAE0E2E"/>
    <w:rsid w:val="7FCF657D"/>
    <w:rsid w:val="7FDC990D"/>
    <w:rsid w:val="9CCDF4AC"/>
    <w:rsid w:val="EACDB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nhideWhenUsed="0" w:uiPriority="0" w:semiHidden="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_GB2312" w:cs="Times New Roman"/>
      <w:kern w:val="2"/>
      <w:sz w:val="32"/>
      <w:lang w:val="en-US" w:eastAsia="zh-CN" w:bidi="ar-SA"/>
    </w:rPr>
  </w:style>
  <w:style w:type="paragraph" w:styleId="2">
    <w:name w:val="heading 1"/>
    <w:basedOn w:val="1"/>
    <w:next w:val="1"/>
    <w:qFormat/>
    <w:uiPriority w:val="0"/>
    <w:pPr>
      <w:keepNext/>
      <w:keepLines/>
      <w:jc w:val="center"/>
      <w:outlineLvl w:val="0"/>
    </w:pPr>
    <w:rPr>
      <w:rFonts w:ascii="黑体" w:hAnsi="宋体" w:eastAsia="黑体"/>
      <w:b/>
      <w:color w:val="000000"/>
      <w:kern w:val="44"/>
    </w:rPr>
  </w:style>
  <w:style w:type="paragraph" w:styleId="3">
    <w:name w:val="heading 2"/>
    <w:basedOn w:val="1"/>
    <w:next w:val="1"/>
    <w:link w:val="40"/>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qFormat/>
    <w:uiPriority w:val="0"/>
    <w:pPr>
      <w:keepNext/>
      <w:keepLines/>
      <w:spacing w:line="376" w:lineRule="auto"/>
      <w:outlineLvl w:val="3"/>
    </w:pPr>
    <w:rPr>
      <w:rFonts w:ascii="Arial" w:hAnsi="Arial" w:eastAsia="黑体"/>
      <w:b/>
      <w:bCs/>
      <w:sz w:val="28"/>
      <w:szCs w:val="28"/>
    </w:rPr>
  </w:style>
  <w:style w:type="paragraph" w:styleId="7">
    <w:name w:val="heading 9"/>
    <w:basedOn w:val="1"/>
    <w:qFormat/>
    <w:uiPriority w:val="0"/>
    <w:pPr>
      <w:keepNext/>
      <w:keepLines/>
      <w:spacing w:before="240" w:after="64" w:line="320" w:lineRule="auto"/>
      <w:outlineLvl w:val="8"/>
    </w:pPr>
    <w:rPr>
      <w:rFonts w:ascii="Arial" w:hAnsi="Arial" w:eastAsia="黑体"/>
      <w:kern w:val="0"/>
      <w:sz w:val="20"/>
      <w:szCs w:val="21"/>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8">
    <w:name w:val="annotation text"/>
    <w:basedOn w:val="1"/>
    <w:semiHidden/>
    <w:unhideWhenUsed/>
    <w:qFormat/>
    <w:uiPriority w:val="0"/>
    <w:pPr>
      <w:jc w:val="left"/>
    </w:pPr>
  </w:style>
  <w:style w:type="paragraph" w:styleId="9">
    <w:name w:val="Body Text 3"/>
    <w:basedOn w:val="1"/>
    <w:qFormat/>
    <w:uiPriority w:val="0"/>
    <w:pPr>
      <w:spacing w:line="360" w:lineRule="auto"/>
      <w:jc w:val="center"/>
    </w:pPr>
    <w:rPr>
      <w:rFonts w:ascii="宋体" w:hAnsi="宋体" w:eastAsia="宋体"/>
      <w:bCs/>
      <w:iCs/>
      <w:sz w:val="21"/>
      <w:szCs w:val="28"/>
    </w:rPr>
  </w:style>
  <w:style w:type="paragraph" w:styleId="10">
    <w:name w:val="Body Text"/>
    <w:basedOn w:val="1"/>
    <w:next w:val="11"/>
    <w:qFormat/>
    <w:uiPriority w:val="0"/>
    <w:pPr>
      <w:tabs>
        <w:tab w:val="left" w:pos="574"/>
      </w:tabs>
      <w:spacing w:line="288" w:lineRule="auto"/>
    </w:pPr>
    <w:rPr>
      <w:rFonts w:ascii="宋体" w:hAnsi="宋体" w:eastAsia="宋体"/>
      <w:sz w:val="21"/>
    </w:rPr>
  </w:style>
  <w:style w:type="paragraph" w:styleId="11">
    <w:name w:val="Body Text First Indent"/>
    <w:basedOn w:val="10"/>
    <w:qFormat/>
    <w:uiPriority w:val="0"/>
    <w:pPr>
      <w:spacing w:after="120" w:line="240" w:lineRule="auto"/>
      <w:ind w:firstLine="420" w:firstLineChars="100"/>
    </w:pPr>
    <w:rPr>
      <w:rFonts w:ascii="Times New Roman" w:hAnsi="Times New Roman"/>
    </w:rPr>
  </w:style>
  <w:style w:type="paragraph" w:styleId="12">
    <w:name w:val="index 4"/>
    <w:basedOn w:val="1"/>
    <w:next w:val="1"/>
    <w:semiHidden/>
    <w:qFormat/>
    <w:uiPriority w:val="0"/>
    <w:pPr>
      <w:ind w:left="600" w:leftChars="600"/>
    </w:pPr>
  </w:style>
  <w:style w:type="paragraph" w:styleId="13">
    <w:name w:val="Plain Text"/>
    <w:basedOn w:val="1"/>
    <w:qFormat/>
    <w:uiPriority w:val="0"/>
    <w:rPr>
      <w:rFonts w:ascii="宋体" w:hAnsi="Courier New"/>
    </w:rPr>
  </w:style>
  <w:style w:type="paragraph" w:styleId="14">
    <w:name w:val="Balloon Text"/>
    <w:basedOn w:val="1"/>
    <w:link w:val="34"/>
    <w:qFormat/>
    <w:uiPriority w:val="0"/>
    <w:rPr>
      <w:sz w:val="18"/>
      <w:szCs w:val="18"/>
    </w:rPr>
  </w:style>
  <w:style w:type="paragraph" w:styleId="15">
    <w:name w:val="footer"/>
    <w:basedOn w:val="1"/>
    <w:qFormat/>
    <w:uiPriority w:val="0"/>
    <w:pPr>
      <w:tabs>
        <w:tab w:val="center" w:pos="4153"/>
        <w:tab w:val="right" w:pos="8306"/>
      </w:tabs>
      <w:snapToGrid w:val="0"/>
      <w:jc w:val="left"/>
    </w:pPr>
    <w:rPr>
      <w:sz w:val="18"/>
    </w:rPr>
  </w:style>
  <w:style w:type="paragraph" w:styleId="16">
    <w:name w:val="header"/>
    <w:basedOn w:val="1"/>
    <w:qFormat/>
    <w:uiPriority w:val="0"/>
    <w:pPr>
      <w:pBdr>
        <w:bottom w:val="single" w:color="auto" w:sz="6" w:space="1"/>
      </w:pBdr>
      <w:tabs>
        <w:tab w:val="center" w:pos="4153"/>
        <w:tab w:val="right" w:pos="8306"/>
      </w:tabs>
      <w:snapToGrid w:val="0"/>
      <w:jc w:val="center"/>
    </w:pPr>
    <w:rPr>
      <w:sz w:val="18"/>
    </w:rPr>
  </w:style>
  <w:style w:type="paragraph" w:styleId="17">
    <w:name w:val="toc 1"/>
    <w:basedOn w:val="1"/>
    <w:next w:val="1"/>
    <w:qFormat/>
    <w:uiPriority w:val="39"/>
  </w:style>
  <w:style w:type="paragraph" w:styleId="18">
    <w:name w:val="toc 6"/>
    <w:basedOn w:val="1"/>
    <w:next w:val="1"/>
    <w:unhideWhenUsed/>
    <w:qFormat/>
    <w:uiPriority w:val="0"/>
    <w:pPr>
      <w:ind w:left="2100" w:leftChars="1000"/>
    </w:pPr>
  </w:style>
  <w:style w:type="paragraph" w:styleId="19">
    <w:name w:val="Body Text Indent 3"/>
    <w:basedOn w:val="1"/>
    <w:qFormat/>
    <w:uiPriority w:val="0"/>
    <w:pPr>
      <w:ind w:firstLine="600"/>
    </w:pPr>
    <w:rPr>
      <w:sz w:val="28"/>
    </w:rPr>
  </w:style>
  <w:style w:type="paragraph" w:styleId="20">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1">
    <w:name w:val="Normal (Web)"/>
    <w:basedOn w:val="1"/>
    <w:qFormat/>
    <w:uiPriority w:val="99"/>
    <w:pPr>
      <w:widowControl/>
      <w:spacing w:before="100" w:beforeAutospacing="1" w:after="100" w:afterAutospacing="1"/>
    </w:pPr>
    <w:rPr>
      <w:rFonts w:ascii="宋体" w:hAnsi="宋体"/>
      <w:kern w:val="0"/>
    </w:rPr>
  </w:style>
  <w:style w:type="paragraph" w:styleId="22">
    <w:name w:val="Title"/>
    <w:basedOn w:val="1"/>
    <w:next w:val="1"/>
    <w:qFormat/>
    <w:uiPriority w:val="0"/>
    <w:pPr>
      <w:jc w:val="center"/>
      <w:outlineLvl w:val="0"/>
    </w:pPr>
    <w:rPr>
      <w:rFonts w:ascii="Arial" w:hAnsi="Arial" w:eastAsia="宋体" w:cs="Arial"/>
      <w:b/>
      <w:bCs/>
      <w:szCs w:val="32"/>
    </w:rPr>
  </w:style>
  <w:style w:type="table" w:styleId="24">
    <w:name w:val="Table Grid"/>
    <w:basedOn w:val="23"/>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6">
    <w:name w:val="page number"/>
    <w:basedOn w:val="25"/>
    <w:qFormat/>
    <w:uiPriority w:val="0"/>
  </w:style>
  <w:style w:type="character" w:styleId="27">
    <w:name w:val="line number"/>
    <w:basedOn w:val="25"/>
    <w:qFormat/>
    <w:uiPriority w:val="0"/>
  </w:style>
  <w:style w:type="character" w:styleId="28">
    <w:name w:val="Hyperlink"/>
    <w:qFormat/>
    <w:uiPriority w:val="99"/>
    <w:rPr>
      <w:color w:val="0000FF"/>
      <w:u w:val="single"/>
    </w:rPr>
  </w:style>
  <w:style w:type="character" w:styleId="29">
    <w:name w:val="annotation reference"/>
    <w:basedOn w:val="25"/>
    <w:semiHidden/>
    <w:unhideWhenUsed/>
    <w:qFormat/>
    <w:uiPriority w:val="0"/>
    <w:rPr>
      <w:sz w:val="21"/>
      <w:szCs w:val="21"/>
    </w:rPr>
  </w:style>
  <w:style w:type="paragraph" w:customStyle="1" w:styleId="30">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1">
    <w:name w:val="WPSOffice手动目录 1"/>
    <w:qFormat/>
    <w:uiPriority w:val="0"/>
    <w:rPr>
      <w:rFonts w:ascii="Calibri" w:hAnsi="Calibri" w:eastAsia="宋体" w:cs="Times New Roman"/>
      <w:lang w:val="en-US" w:eastAsia="zh-CN" w:bidi="ar-SA"/>
    </w:rPr>
  </w:style>
  <w:style w:type="paragraph" w:customStyle="1" w:styleId="32">
    <w:name w:val="p0"/>
    <w:basedOn w:val="1"/>
    <w:qFormat/>
    <w:uiPriority w:val="0"/>
    <w:pPr>
      <w:widowControl/>
    </w:pPr>
    <w:rPr>
      <w:kern w:val="0"/>
      <w:szCs w:val="32"/>
    </w:rPr>
  </w:style>
  <w:style w:type="paragraph" w:customStyle="1" w:styleId="33">
    <w:name w:val="标题4"/>
    <w:basedOn w:val="1"/>
    <w:qFormat/>
    <w:uiPriority w:val="0"/>
  </w:style>
  <w:style w:type="character" w:customStyle="1" w:styleId="34">
    <w:name w:val="批注框文本 Char"/>
    <w:basedOn w:val="25"/>
    <w:link w:val="14"/>
    <w:qFormat/>
    <w:uiPriority w:val="0"/>
    <w:rPr>
      <w:rFonts w:ascii="Calibri" w:hAnsi="Calibri" w:eastAsia="仿宋_GB2312"/>
      <w:kern w:val="2"/>
      <w:sz w:val="18"/>
      <w:szCs w:val="18"/>
    </w:rPr>
  </w:style>
  <w:style w:type="paragraph" w:customStyle="1" w:styleId="35">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6">
    <w:name w:val="样式 标题 2 + Times New Roman 四号 非加粗 段前: 5 磅 段后: 0 磅 行距: 固定值 20..."/>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7">
    <w:name w:val="正文_2_0_0"/>
    <w:qFormat/>
    <w:uiPriority w:val="0"/>
    <w:pPr>
      <w:widowControl w:val="0"/>
      <w:suppressAutoHyphens/>
    </w:pPr>
    <w:rPr>
      <w:rFonts w:ascii="Times New Roman" w:hAnsi="Times New Roman" w:eastAsia="宋体" w:cs="Times New Roman"/>
      <w:kern w:val="1"/>
      <w:sz w:val="21"/>
      <w:szCs w:val="24"/>
      <w:lang w:val="en-US" w:eastAsia="zh-CN" w:bidi="ar-SA"/>
    </w:rPr>
  </w:style>
  <w:style w:type="paragraph" w:styleId="38">
    <w:name w:val="List Paragraph"/>
    <w:basedOn w:val="1"/>
    <w:qFormat/>
    <w:uiPriority w:val="0"/>
    <w:pPr>
      <w:autoSpaceDE w:val="0"/>
      <w:autoSpaceDN w:val="0"/>
      <w:adjustRightInd w:val="0"/>
      <w:jc w:val="left"/>
    </w:pPr>
    <w:rPr>
      <w:rFonts w:eastAsia="宋体"/>
      <w:kern w:val="0"/>
      <w:sz w:val="24"/>
      <w:szCs w:val="24"/>
    </w:rPr>
  </w:style>
  <w:style w:type="character" w:customStyle="1" w:styleId="39">
    <w:name w:val="NormalCharacter"/>
    <w:semiHidden/>
    <w:qFormat/>
    <w:uiPriority w:val="0"/>
    <w:rPr>
      <w:kern w:val="2"/>
      <w:sz w:val="21"/>
      <w:szCs w:val="24"/>
      <w:lang w:val="en-US" w:eastAsia="zh-CN" w:bidi="ar-SA"/>
    </w:rPr>
  </w:style>
  <w:style w:type="character" w:customStyle="1" w:styleId="40">
    <w:name w:val="标题 2 Char"/>
    <w:link w:val="3"/>
    <w:qFormat/>
    <w:uiPriority w:val="0"/>
    <w:rPr>
      <w:rFonts w:ascii="Arial" w:hAnsi="Arial" w:eastAsia="黑体" w:cs="Arial"/>
      <w:b/>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64</Pages>
  <Words>282</Words>
  <Characters>357</Characters>
  <Lines>318</Lines>
  <Paragraphs>89</Paragraphs>
  <TotalTime>253</TotalTime>
  <ScaleCrop>false</ScaleCrop>
  <LinksUpToDate>false</LinksUpToDate>
  <CharactersWithSpaces>410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2021-02-09T02:43:00Z</dcterms:created>
  <dc:creator>HaHaHa~</dc:creator>
  <cp:lastModifiedBy>..</cp:lastModifiedBy>
  <cp:lastPrinted>2026-07-02T08:08:00Z</cp:lastPrinted>
  <dcterms:modified xsi:type="dcterms:W3CDTF">2026-07-03T07:19:47Z</dcterms:modified>
  <cp:revision>144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0B42BC24E9F54BC0B5E7AE04D5C6F9B1_13</vt:lpwstr>
  </property>
  <property fmtid="{D5CDD505-2E9C-101B-9397-08002B2CF9AE}" pid="4" name="KSOTemplateDocerSaveRecord">
    <vt:lpwstr>eyJoZGlkIjoiN2MwY2YzMDllNmJkMDBhZjkyOWZmMTMzMzNhZjI0MjgiLCJ1c2VySWQiOiI1MzE4NTY3NzUifQ==</vt:lpwstr>
  </property>
</Properties>
</file>