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1A28F">
      <w:pPr>
        <w:spacing w:line="420" w:lineRule="exact"/>
        <w:ind w:left="0" w:leftChars="0" w:right="0" w:rightChars="0" w:firstLine="0" w:firstLineChars="0"/>
        <w:jc w:val="center"/>
        <w:rPr>
          <w:sz w:val="32"/>
          <w:szCs w:val="32"/>
        </w:rPr>
      </w:pPr>
      <w:r>
        <w:rPr>
          <w:rFonts w:hint="eastAsia"/>
          <w:sz w:val="32"/>
          <w:szCs w:val="32"/>
        </w:rPr>
        <w:t>2024~2026年度临海市政府投资项目</w:t>
      </w:r>
    </w:p>
    <w:p w14:paraId="5485A940">
      <w:pPr>
        <w:spacing w:line="420" w:lineRule="exact"/>
        <w:ind w:left="0" w:leftChars="0" w:right="0" w:rightChars="0" w:firstLine="0" w:firstLineChars="0"/>
        <w:jc w:val="center"/>
      </w:pPr>
      <w:r>
        <w:rPr>
          <w:rFonts w:hint="eastAsia"/>
          <w:sz w:val="32"/>
          <w:szCs w:val="32"/>
        </w:rPr>
        <w:t>委托</w:t>
      </w:r>
      <w:r>
        <w:rPr>
          <w:sz w:val="32"/>
          <w:szCs w:val="32"/>
        </w:rPr>
        <w:t>评审</w:t>
      </w:r>
      <w:r>
        <w:rPr>
          <w:rFonts w:hint="eastAsia"/>
          <w:sz w:val="32"/>
          <w:szCs w:val="32"/>
        </w:rPr>
        <w:t>(预算编制)合同</w:t>
      </w:r>
    </w:p>
    <w:p w14:paraId="4783F497">
      <w:pPr>
        <w:ind w:firstLine="5280" w:firstLineChars="2200"/>
        <w:rPr>
          <w:rFonts w:hint="default"/>
          <w:u w:val="single"/>
          <w:lang w:val="en-US"/>
        </w:rPr>
      </w:pPr>
      <w:r>
        <w:rPr>
          <w:rFonts w:hint="eastAsia"/>
        </w:rPr>
        <w:t>合同编号：预编</w:t>
      </w:r>
      <w:r>
        <w:rPr>
          <w:rFonts w:hint="eastAsia"/>
          <w:color w:val="FF0000"/>
          <w:u w:val="single"/>
          <w:lang w:val="en-US" w:eastAsia="zh-CN"/>
        </w:rPr>
        <w:t xml:space="preserve">         </w:t>
      </w:r>
    </w:p>
    <w:p w14:paraId="1552589A">
      <w:pPr>
        <w:spacing w:line="420" w:lineRule="exact"/>
      </w:pPr>
    </w:p>
    <w:p w14:paraId="4FD52CF3">
      <w:pPr>
        <w:spacing w:line="420" w:lineRule="exact"/>
        <w:jc w:val="both"/>
        <w:rPr>
          <w:u w:val="single"/>
        </w:rPr>
      </w:pPr>
      <w:r>
        <w:rPr>
          <w:rFonts w:hint="eastAsia"/>
        </w:rPr>
        <w:t>甲方（委托人</w:t>
      </w:r>
      <w:r>
        <w:t>，</w:t>
      </w:r>
      <w:r>
        <w:rPr>
          <w:rFonts w:hint="eastAsia"/>
        </w:rPr>
        <w:t>全称）：</w:t>
      </w:r>
      <w:r>
        <w:rPr>
          <w:rFonts w:hint="eastAsia" w:cs="宋体"/>
          <w:u w:val="single"/>
          <w:lang w:val="en-US" w:eastAsia="zh-CN"/>
        </w:rPr>
        <w:t>临海市古城小学</w:t>
      </w:r>
      <w:r>
        <w:rPr>
          <w:rFonts w:hint="eastAsia"/>
          <w:u w:val="single"/>
        </w:rPr>
        <w:t xml:space="preserve">          </w:t>
      </w:r>
      <w:r>
        <w:rPr>
          <w:rFonts w:hint="eastAsia"/>
          <w:u w:val="single"/>
          <w:lang w:val="en-US" w:eastAsia="zh-CN"/>
        </w:rPr>
        <w:t xml:space="preserve">            </w:t>
      </w:r>
      <w:r>
        <w:rPr>
          <w:rFonts w:hint="eastAsia"/>
          <w:u w:val="single"/>
        </w:rPr>
        <w:t xml:space="preserve">           </w:t>
      </w:r>
    </w:p>
    <w:p w14:paraId="236E30CA">
      <w:pPr>
        <w:spacing w:line="420" w:lineRule="exact"/>
        <w:rPr>
          <w:rFonts w:hint="default" w:eastAsia="宋体"/>
          <w:u w:val="single"/>
          <w:lang w:val="en-US" w:eastAsia="zh-CN"/>
        </w:rPr>
      </w:pPr>
      <w:r>
        <w:rPr>
          <w:rFonts w:hint="eastAsia"/>
        </w:rPr>
        <w:t>乙方（受托人</w:t>
      </w:r>
      <w:r>
        <w:t>，</w:t>
      </w:r>
      <w:r>
        <w:rPr>
          <w:rFonts w:hint="eastAsia"/>
        </w:rPr>
        <w:t>全称）：</w:t>
      </w:r>
      <w:r>
        <w:rPr>
          <w:rFonts w:hint="eastAsia"/>
          <w:u w:val="single"/>
          <w:lang w:val="en-US" w:eastAsia="zh-CN"/>
        </w:rPr>
        <w:t>浙江宏誉工程咨询有限公司</w:t>
      </w:r>
      <w:r>
        <w:rPr>
          <w:rFonts w:hint="eastAsia"/>
          <w:u w:val="single"/>
        </w:rPr>
        <w:t xml:space="preserve">                              </w:t>
      </w:r>
      <w:r>
        <w:rPr>
          <w:rFonts w:hint="eastAsia"/>
          <w:u w:val="single"/>
          <w:lang w:val="en-US" w:eastAsia="zh-CN"/>
        </w:rPr>
        <w:t xml:space="preserve">      </w:t>
      </w:r>
    </w:p>
    <w:p w14:paraId="56F83A6C">
      <w:pPr>
        <w:spacing w:line="420" w:lineRule="exact"/>
        <w:ind w:firstLine="480" w:firstLineChars="200"/>
      </w:pPr>
      <w:r>
        <w:rPr>
          <w:rFonts w:hint="eastAsia"/>
        </w:rPr>
        <w:t>根据《中华人民共和国民法典》及其他有关法律、法规，遵循平等、自愿、公平和诚实信用的原则，甲乙双方就下述工程预算编制的委托评审事项协商一致，订立本合同。</w:t>
      </w:r>
    </w:p>
    <w:p w14:paraId="20F00085">
      <w:pPr>
        <w:spacing w:line="420" w:lineRule="exact"/>
        <w:ind w:firstLine="482" w:firstLineChars="200"/>
        <w:rPr>
          <w:rFonts w:hint="eastAsia"/>
          <w:b/>
        </w:rPr>
      </w:pPr>
      <w:bookmarkStart w:id="0" w:name="_Toc422322471"/>
      <w:bookmarkStart w:id="1" w:name="_Toc419045056"/>
    </w:p>
    <w:p w14:paraId="73392BAB">
      <w:pPr>
        <w:spacing w:line="420" w:lineRule="exact"/>
        <w:ind w:firstLine="602" w:firstLineChars="250"/>
        <w:rPr>
          <w:rFonts w:hint="default"/>
          <w:u w:val="single"/>
          <w:lang w:val="en-US" w:eastAsia="zh-CN"/>
        </w:rPr>
      </w:pPr>
      <w:r>
        <w:rPr>
          <w:rFonts w:hint="eastAsia"/>
          <w:b/>
        </w:rPr>
        <w:t>一、工程</w:t>
      </w:r>
      <w:r>
        <w:rPr>
          <w:b/>
        </w:rPr>
        <w:t>概况</w:t>
      </w:r>
      <w:bookmarkEnd w:id="0"/>
      <w:r>
        <w:rPr>
          <w:rFonts w:hint="eastAsia"/>
        </w:rPr>
        <w:br w:type="textWrapping"/>
      </w:r>
      <w:r>
        <w:rPr>
          <w:rFonts w:hint="eastAsia"/>
        </w:rPr>
        <w:t xml:space="preserve">     1.工程名称：</w:t>
      </w:r>
      <w:r>
        <w:rPr>
          <w:rFonts w:hint="eastAsia" w:ascii="宋体" w:hAnsi="宋体" w:eastAsia="宋体" w:cs="宋体"/>
          <w:u w:val="single"/>
          <w:lang w:val="en-US" w:eastAsia="zh-CN"/>
        </w:rPr>
        <w:tab/>
      </w:r>
      <w:r>
        <w:rPr>
          <w:rFonts w:hint="eastAsia"/>
          <w:u w:val="single"/>
          <w:lang w:eastAsia="zh-CN"/>
        </w:rPr>
        <w:t>临海市古城小学篮球场、卫生间及校门改造工程</w:t>
      </w:r>
      <w:r>
        <w:rPr>
          <w:rFonts w:hint="eastAsia"/>
          <w:u w:val="single"/>
          <w:lang w:val="en-US" w:eastAsia="zh-CN"/>
        </w:rPr>
        <w:t xml:space="preserve"> </w:t>
      </w:r>
    </w:p>
    <w:p w14:paraId="034B5054">
      <w:pPr>
        <w:spacing w:line="420" w:lineRule="exact"/>
        <w:ind w:firstLine="600" w:firstLineChars="250"/>
        <w:rPr>
          <w:rFonts w:hint="default"/>
          <w:lang w:val="en-US"/>
        </w:rPr>
      </w:pPr>
      <w:r>
        <w:rPr>
          <w:rFonts w:hint="eastAsia"/>
        </w:rPr>
        <w:t>2.工程地点：</w:t>
      </w:r>
      <w:bookmarkEnd w:id="1"/>
      <w:r>
        <w:rPr>
          <w:rFonts w:hint="eastAsia"/>
          <w:u w:val="single"/>
        </w:rPr>
        <w:tab/>
      </w:r>
      <w:r>
        <w:rPr>
          <w:rFonts w:hint="eastAsia" w:cs="宋体"/>
          <w:kern w:val="0"/>
          <w:sz w:val="24"/>
          <w:szCs w:val="24"/>
          <w:u w:val="single"/>
          <w:lang w:val="en-US" w:eastAsia="zh-CN" w:bidi="ar-SA"/>
        </w:rPr>
        <w:t>临海市古城小学</w:t>
      </w:r>
      <w:r>
        <w:rPr>
          <w:rFonts w:hint="eastAsia" w:ascii="宋体" w:hAnsi="宋体" w:eastAsia="宋体" w:cs="宋体"/>
          <w:kern w:val="0"/>
          <w:sz w:val="24"/>
          <w:szCs w:val="24"/>
          <w:u w:val="single"/>
          <w:lang w:val="en-US" w:eastAsia="zh-CN" w:bidi="ar-SA"/>
        </w:rPr>
        <w:t xml:space="preserve">  </w:t>
      </w:r>
      <w:r>
        <w:rPr>
          <w:rFonts w:hint="eastAsia"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 xml:space="preserve">  </w:t>
      </w:r>
    </w:p>
    <w:p w14:paraId="71BA3BB1">
      <w:pPr>
        <w:spacing w:line="420" w:lineRule="exact"/>
        <w:ind w:firstLine="600" w:firstLineChars="250"/>
      </w:pPr>
      <w:r>
        <w:rPr>
          <w:rFonts w:hint="eastAsia"/>
        </w:rPr>
        <w:t>3.工程规模：</w:t>
      </w:r>
      <w:r>
        <w:rPr>
          <w:rFonts w:hint="eastAsia"/>
          <w:u w:val="single"/>
        </w:rPr>
        <w:t xml:space="preserve">   </w:t>
      </w:r>
      <w:r>
        <w:rPr>
          <w:u w:val="single"/>
        </w:rPr>
        <w:t xml:space="preserve">        </w:t>
      </w:r>
      <w:r>
        <w:rPr>
          <w:rFonts w:hint="eastAsia"/>
          <w:u w:val="single"/>
          <w:lang w:val="en-US" w:eastAsia="zh-CN"/>
        </w:rPr>
        <w:t xml:space="preserve">/     </w:t>
      </w:r>
      <w:r>
        <w:rPr>
          <w:u w:val="single"/>
        </w:rPr>
        <w:t xml:space="preserve">               </w:t>
      </w:r>
      <w:r>
        <w:rPr>
          <w:rFonts w:hint="eastAsia"/>
          <w:u w:val="single"/>
        </w:rPr>
        <w:t xml:space="preserve"> </w:t>
      </w:r>
    </w:p>
    <w:p w14:paraId="462E7D86">
      <w:pPr>
        <w:spacing w:line="420" w:lineRule="exact"/>
        <w:ind w:firstLine="600" w:firstLineChars="250"/>
        <w:rPr>
          <w:rFonts w:hint="eastAsia" w:eastAsia="宋体"/>
          <w:lang w:val="en-US" w:eastAsia="zh-CN"/>
        </w:rPr>
      </w:pPr>
      <w:r>
        <w:rPr>
          <w:rFonts w:hint="eastAsia"/>
        </w:rPr>
        <w:t>4.投资金额：</w:t>
      </w:r>
      <w:r>
        <w:rPr>
          <w:rFonts w:hint="eastAsia"/>
          <w:u w:val="single"/>
        </w:rPr>
        <w:tab/>
      </w:r>
      <w:r>
        <w:rPr>
          <w:rFonts w:hint="eastAsia"/>
          <w:u w:val="single"/>
          <w:lang w:val="en-US" w:eastAsia="zh-CN"/>
        </w:rPr>
        <w:t xml:space="preserve">         /</w:t>
      </w:r>
      <w:r>
        <w:rPr>
          <w:rFonts w:hint="eastAsia"/>
          <w:u w:val="single"/>
        </w:rPr>
        <w:tab/>
      </w:r>
      <w:r>
        <w:rPr>
          <w:rFonts w:hint="eastAsia"/>
          <w:u w:val="single"/>
        </w:rPr>
        <w:t xml:space="preserve">   </w:t>
      </w:r>
      <w:r>
        <w:rPr>
          <w:u w:val="single"/>
        </w:rPr>
        <w:t xml:space="preserve">                 </w:t>
      </w:r>
      <w:r>
        <w:rPr>
          <w:rFonts w:hint="eastAsia"/>
          <w:u w:val="single"/>
        </w:rPr>
        <w:t xml:space="preserve"> </w:t>
      </w:r>
      <w:r>
        <w:rPr>
          <w:rFonts w:hint="eastAsia"/>
          <w:u w:val="single"/>
          <w:lang w:val="en-US" w:eastAsia="zh-CN"/>
        </w:rPr>
        <w:t xml:space="preserve"> </w:t>
      </w:r>
    </w:p>
    <w:p w14:paraId="2E0B9CD5">
      <w:pPr>
        <w:spacing w:line="420" w:lineRule="exact"/>
        <w:ind w:firstLine="600" w:firstLineChars="250"/>
        <w:rPr>
          <w:rFonts w:hint="default" w:eastAsia="宋体"/>
          <w:lang w:val="en-US" w:eastAsia="zh-CN"/>
        </w:rPr>
      </w:pPr>
      <w:r>
        <w:rPr>
          <w:rFonts w:hint="eastAsia"/>
        </w:rPr>
        <w:t>5.资金来源：</w:t>
      </w:r>
      <w:r>
        <w:rPr>
          <w:rFonts w:hint="eastAsia"/>
          <w:u w:val="single"/>
        </w:rPr>
        <w:tab/>
      </w:r>
      <w:r>
        <w:rPr>
          <w:rFonts w:hint="eastAsia"/>
          <w:u w:val="single"/>
          <w:lang w:val="en-US" w:eastAsia="zh-CN"/>
        </w:rPr>
        <w:t xml:space="preserve">   /</w:t>
      </w:r>
      <w:r>
        <w:rPr>
          <w:rFonts w:hint="eastAsia"/>
          <w:u w:val="single"/>
        </w:rPr>
        <w:tab/>
      </w:r>
      <w:r>
        <w:rPr>
          <w:rFonts w:hint="eastAsia"/>
          <w:u w:val="single"/>
        </w:rPr>
        <w:t xml:space="preserve">   </w:t>
      </w:r>
      <w:r>
        <w:rPr>
          <w:u w:val="single"/>
        </w:rPr>
        <w:t xml:space="preserve">                  </w:t>
      </w:r>
      <w:r>
        <w:rPr>
          <w:rFonts w:hint="eastAsia"/>
          <w:u w:val="single"/>
          <w:lang w:val="en-US" w:eastAsia="zh-CN"/>
        </w:rPr>
        <w:t xml:space="preserve">    </w:t>
      </w:r>
    </w:p>
    <w:p w14:paraId="75E9C7A3">
      <w:pPr>
        <w:spacing w:line="420" w:lineRule="exact"/>
        <w:ind w:firstLine="600" w:firstLineChars="250"/>
        <w:rPr>
          <w:rFonts w:hint="default" w:eastAsia="宋体"/>
          <w:lang w:val="en-US" w:eastAsia="zh-CN"/>
        </w:rPr>
      </w:pPr>
      <w:r>
        <w:rPr>
          <w:rFonts w:hint="eastAsia"/>
        </w:rPr>
        <w:t>6.建设工期或周期：</w:t>
      </w:r>
      <w:r>
        <w:rPr>
          <w:rFonts w:hint="eastAsia"/>
          <w:u w:val="single"/>
        </w:rPr>
        <w:tab/>
      </w:r>
      <w:r>
        <w:rPr>
          <w:rFonts w:hint="eastAsia"/>
          <w:u w:val="single"/>
        </w:rPr>
        <w:tab/>
      </w:r>
      <w:r>
        <w:rPr>
          <w:rFonts w:hint="eastAsia"/>
          <w:u w:val="single"/>
          <w:lang w:val="en-US" w:eastAsia="zh-CN"/>
        </w:rPr>
        <w:t>/</w:t>
      </w:r>
      <w:r>
        <w:rPr>
          <w:rFonts w:hint="eastAsia"/>
          <w:u w:val="single"/>
        </w:rPr>
        <w:t xml:space="preserve">  </w:t>
      </w:r>
      <w:r>
        <w:rPr>
          <w:rFonts w:hint="eastAsia"/>
          <w:u w:val="single"/>
          <w:lang w:val="en-US" w:eastAsia="zh-CN"/>
        </w:rPr>
        <w:t xml:space="preserve">               </w:t>
      </w:r>
      <w:r>
        <w:rPr>
          <w:u w:val="single"/>
        </w:rPr>
        <w:t xml:space="preserve">  </w:t>
      </w:r>
      <w:r>
        <w:rPr>
          <w:rFonts w:hint="eastAsia"/>
          <w:u w:val="single"/>
          <w:lang w:val="en-US" w:eastAsia="zh-CN"/>
        </w:rPr>
        <w:t xml:space="preserve">  </w:t>
      </w:r>
    </w:p>
    <w:p w14:paraId="391A536C">
      <w:pPr>
        <w:spacing w:line="420" w:lineRule="exact"/>
        <w:ind w:firstLine="600" w:firstLineChars="250"/>
        <w:rPr>
          <w:rFonts w:hint="default" w:eastAsia="宋体"/>
          <w:lang w:val="en-US" w:eastAsia="zh-CN"/>
        </w:rPr>
      </w:pPr>
      <w:r>
        <w:rPr>
          <w:rFonts w:hint="eastAsia"/>
        </w:rPr>
        <w:t>7.其他：</w:t>
      </w:r>
      <w:r>
        <w:rPr>
          <w:rFonts w:hint="eastAsia"/>
          <w:u w:val="single"/>
        </w:rPr>
        <w:tab/>
      </w:r>
      <w:r>
        <w:rPr>
          <w:rFonts w:hint="eastAsia"/>
          <w:u w:val="single"/>
        </w:rPr>
        <w:tab/>
      </w:r>
      <w:r>
        <w:rPr>
          <w:rFonts w:hint="eastAsia"/>
          <w:u w:val="single"/>
        </w:rPr>
        <w:t xml:space="preserve">   </w:t>
      </w:r>
      <w:r>
        <w:rPr>
          <w:u w:val="single"/>
        </w:rPr>
        <w:t xml:space="preserve">      </w:t>
      </w:r>
      <w:r>
        <w:rPr>
          <w:rFonts w:hint="eastAsia"/>
          <w:u w:val="single"/>
          <w:lang w:val="en-US" w:eastAsia="zh-CN"/>
        </w:rPr>
        <w:t>/</w:t>
      </w:r>
      <w:r>
        <w:rPr>
          <w:u w:val="single"/>
        </w:rPr>
        <w:t xml:space="preserve">                 </w:t>
      </w:r>
      <w:r>
        <w:rPr>
          <w:rFonts w:hint="eastAsia"/>
          <w:u w:val="single"/>
        </w:rPr>
        <w:t xml:space="preserve"> </w:t>
      </w:r>
      <w:r>
        <w:rPr>
          <w:rFonts w:hint="eastAsia"/>
          <w:u w:val="single"/>
          <w:lang w:val="en-US" w:eastAsia="zh-CN"/>
        </w:rPr>
        <w:t xml:space="preserve">    </w:t>
      </w:r>
    </w:p>
    <w:p w14:paraId="7FC277EC">
      <w:pPr>
        <w:spacing w:line="420" w:lineRule="exact"/>
        <w:ind w:firstLine="482" w:firstLineChars="200"/>
        <w:rPr>
          <w:rFonts w:hint="eastAsia"/>
          <w:b/>
        </w:rPr>
      </w:pPr>
      <w:bookmarkStart w:id="2" w:name="_Toc419045059"/>
      <w:bookmarkStart w:id="3" w:name="_Toc422322472"/>
    </w:p>
    <w:p w14:paraId="4F2D2B77">
      <w:pPr>
        <w:spacing w:line="420" w:lineRule="exact"/>
        <w:ind w:firstLine="482" w:firstLineChars="200"/>
      </w:pPr>
      <w:r>
        <w:rPr>
          <w:rFonts w:hint="eastAsia"/>
          <w:b/>
        </w:rPr>
        <w:t>二、委托评审的范围及内容</w:t>
      </w:r>
      <w:bookmarkEnd w:id="2"/>
      <w:bookmarkEnd w:id="3"/>
    </w:p>
    <w:p w14:paraId="2CDEE62E">
      <w:pPr>
        <w:spacing w:line="420" w:lineRule="exact"/>
        <w:ind w:firstLine="465"/>
      </w:pPr>
      <w:r>
        <w:rPr>
          <w:rFonts w:hint="eastAsia"/>
        </w:rPr>
        <w:t>1、施工图预算编制；</w:t>
      </w:r>
    </w:p>
    <w:p w14:paraId="41B33A5C">
      <w:pPr>
        <w:spacing w:line="420" w:lineRule="exact"/>
        <w:ind w:firstLine="465"/>
        <w:rPr>
          <w:rFonts w:hint="eastAsia"/>
          <w:b/>
        </w:rPr>
      </w:pPr>
      <w:r>
        <w:rPr>
          <w:rFonts w:hint="eastAsia"/>
        </w:rPr>
        <w:t>2、其他</w:t>
      </w:r>
      <w:r>
        <w:rPr>
          <w:rFonts w:hint="eastAsia"/>
          <w:u w:val="single"/>
        </w:rPr>
        <w:tab/>
      </w:r>
      <w:r>
        <w:rPr>
          <w:rFonts w:hint="eastAsia"/>
          <w:u w:val="single"/>
        </w:rPr>
        <w:tab/>
      </w:r>
      <w:r>
        <w:rPr>
          <w:rFonts w:hint="eastAsia"/>
          <w:u w:val="single"/>
          <w:lang w:val="en-US" w:eastAsia="zh-CN"/>
        </w:rPr>
        <w:t>/</w:t>
      </w:r>
      <w:r>
        <w:rPr>
          <w:rFonts w:hint="eastAsia"/>
          <w:u w:val="single"/>
        </w:rPr>
        <w:t xml:space="preserve">       </w:t>
      </w:r>
      <w:r>
        <w:rPr>
          <w:u w:val="single"/>
        </w:rPr>
        <w:t xml:space="preserve">                     </w:t>
      </w:r>
      <w:bookmarkStart w:id="4" w:name="_Toc422322473"/>
      <w:bookmarkStart w:id="5" w:name="_Toc419045060"/>
      <w:bookmarkStart w:id="6" w:name="9"/>
    </w:p>
    <w:p w14:paraId="643458A6">
      <w:pPr>
        <w:spacing w:line="420" w:lineRule="exact"/>
        <w:ind w:firstLine="465"/>
        <w:rPr>
          <w:b/>
        </w:rPr>
      </w:pPr>
      <w:r>
        <w:rPr>
          <w:rFonts w:hint="eastAsia"/>
          <w:b/>
        </w:rPr>
        <w:t>三、委托评审的服务期限</w:t>
      </w:r>
      <w:bookmarkEnd w:id="4"/>
      <w:bookmarkEnd w:id="5"/>
    </w:p>
    <w:p w14:paraId="681DB541">
      <w:pPr>
        <w:spacing w:line="420" w:lineRule="exact"/>
        <w:ind w:firstLine="465"/>
        <w:rPr>
          <w:u w:val="single"/>
        </w:rPr>
      </w:pPr>
      <w:r>
        <w:rPr>
          <w:rFonts w:hint="eastAsia"/>
        </w:rPr>
        <w:t>1、预算编制时间</w:t>
      </w:r>
      <w:r>
        <w:rPr>
          <w:u w:val="single"/>
        </w:rPr>
        <w:t xml:space="preserve">    </w:t>
      </w:r>
      <w:r>
        <w:rPr>
          <w:rFonts w:hint="eastAsia"/>
          <w:u w:val="single"/>
          <w:lang w:val="en-US" w:eastAsia="zh-CN"/>
        </w:rPr>
        <w:t>15</w:t>
      </w:r>
      <w:r>
        <w:rPr>
          <w:u w:val="single"/>
        </w:rPr>
        <w:t xml:space="preserve">    </w:t>
      </w:r>
      <w:r>
        <w:rPr>
          <w:rFonts w:hint="eastAsia"/>
        </w:rPr>
        <w:t>日历天。</w:t>
      </w:r>
    </w:p>
    <w:bookmarkEnd w:id="6"/>
    <w:p w14:paraId="6EC4DC4A">
      <w:pPr>
        <w:spacing w:line="420" w:lineRule="exact"/>
        <w:ind w:firstLine="465"/>
        <w:rPr>
          <w:color w:val="000000" w:themeColor="text1"/>
          <w14:textFill>
            <w14:solidFill>
              <w14:schemeClr w14:val="tx1"/>
            </w14:solidFill>
          </w14:textFill>
        </w:rPr>
      </w:pPr>
      <w:bookmarkStart w:id="7" w:name="_Toc422322474"/>
      <w:bookmarkStart w:id="8" w:name="_Toc419045061"/>
      <w:r>
        <w:rPr>
          <w:color w:val="000000" w:themeColor="text1"/>
          <w14:textFill>
            <w14:solidFill>
              <w14:schemeClr w14:val="tx1"/>
            </w14:solidFill>
          </w14:textFill>
        </w:rPr>
        <w:t>本合同</w:t>
      </w:r>
      <w:r>
        <w:rPr>
          <w:rFonts w:hint="eastAsia"/>
          <w:color w:val="000000" w:themeColor="text1"/>
          <w14:textFill>
            <w14:solidFill>
              <w14:schemeClr w14:val="tx1"/>
            </w14:solidFill>
          </w14:textFill>
        </w:rPr>
        <w:t>约定</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预算审核时间自接收资料次日开始实施，至乙方出具审核报告、审核后的预算书并上传至临海市财政项目预算审核中心管理系统平台日及对预算编制单位质量考核等工作的完成</w:t>
      </w:r>
      <w:r>
        <w:rPr>
          <w:rFonts w:hint="eastAsia"/>
        </w:rPr>
        <w:t>（不需上传的项目至出具的报告经甲方认可为止）</w:t>
      </w:r>
      <w:r>
        <w:rPr>
          <w:color w:val="000000" w:themeColor="text1"/>
          <w14:textFill>
            <w14:solidFill>
              <w14:schemeClr w14:val="tx1"/>
            </w14:solidFill>
          </w14:textFill>
        </w:rPr>
        <w:t>。</w:t>
      </w:r>
    </w:p>
    <w:p w14:paraId="6076C79D">
      <w:pPr>
        <w:spacing w:line="420" w:lineRule="exact"/>
        <w:ind w:firstLine="465"/>
      </w:pPr>
      <w:r>
        <w:rPr>
          <w:rFonts w:hint="eastAsia"/>
        </w:rPr>
        <w:t>2、服务期限自合同生效日开始至工程项目施工完成。</w:t>
      </w:r>
    </w:p>
    <w:p w14:paraId="14B74922">
      <w:pPr>
        <w:spacing w:line="420" w:lineRule="exact"/>
        <w:ind w:firstLine="465"/>
        <w:rPr>
          <w:rFonts w:hint="eastAsia"/>
          <w:b/>
        </w:rPr>
      </w:pPr>
    </w:p>
    <w:p w14:paraId="581ED240">
      <w:pPr>
        <w:spacing w:line="420" w:lineRule="exact"/>
        <w:ind w:firstLine="465"/>
        <w:rPr>
          <w:b/>
        </w:rPr>
      </w:pPr>
      <w:r>
        <w:rPr>
          <w:rFonts w:hint="eastAsia"/>
          <w:b/>
        </w:rPr>
        <w:t>四、委托评审的质量标准</w:t>
      </w:r>
      <w:bookmarkEnd w:id="7"/>
      <w:bookmarkEnd w:id="8"/>
    </w:p>
    <w:p w14:paraId="0CBAC95B">
      <w:pPr>
        <w:spacing w:line="400" w:lineRule="exact"/>
        <w:ind w:firstLine="480" w:firstLineChars="200"/>
      </w:pPr>
      <w:r>
        <w:rPr>
          <w:rFonts w:hint="eastAsia"/>
        </w:rPr>
        <w:t>1．工程预结算编审成果文件应符合相关质量标准，评审误差率不超过2024~2026年度临海市政府投资项目预结算评审框架协议采购投标承诺。</w:t>
      </w:r>
    </w:p>
    <w:p w14:paraId="307F6687">
      <w:pPr>
        <w:spacing w:line="400" w:lineRule="exact"/>
        <w:ind w:firstLine="480" w:firstLineChars="200"/>
      </w:pPr>
      <w:r>
        <w:rPr>
          <w:rFonts w:hint="eastAsia"/>
        </w:rPr>
        <w:t>2．项目预算评审考核按照《临海市政府投资项目预结算编审中介机构考核办法》执行。考核处理与《框架协议》一致。</w:t>
      </w:r>
    </w:p>
    <w:p w14:paraId="002D2847">
      <w:pPr>
        <w:spacing w:line="420" w:lineRule="exact"/>
        <w:rPr>
          <w:rFonts w:hint="eastAsia"/>
          <w:b/>
        </w:rPr>
      </w:pPr>
      <w:bookmarkStart w:id="9" w:name="_Toc419045062"/>
      <w:bookmarkStart w:id="10" w:name="_Toc422322475"/>
    </w:p>
    <w:p w14:paraId="6E5E89C5">
      <w:pPr>
        <w:spacing w:line="420" w:lineRule="exact"/>
        <w:ind w:firstLine="482" w:firstLineChars="200"/>
        <w:rPr>
          <w:b/>
        </w:rPr>
      </w:pPr>
      <w:r>
        <w:rPr>
          <w:rFonts w:hint="eastAsia"/>
          <w:b/>
        </w:rPr>
        <w:t>五、</w:t>
      </w:r>
      <w:bookmarkEnd w:id="9"/>
      <w:bookmarkEnd w:id="10"/>
      <w:r>
        <w:rPr>
          <w:rFonts w:hint="eastAsia"/>
          <w:b/>
        </w:rPr>
        <w:t>委托评审的服务费与支付</w:t>
      </w:r>
    </w:p>
    <w:p w14:paraId="436A932B">
      <w:pPr>
        <w:spacing w:line="360" w:lineRule="auto"/>
        <w:ind w:firstLine="480" w:firstLineChars="200"/>
      </w:pPr>
      <w:bookmarkStart w:id="11" w:name="_Toc419045058"/>
      <w:bookmarkStart w:id="12" w:name="_Toc422322476"/>
      <w:r>
        <w:rPr>
          <w:rFonts w:hint="eastAsia"/>
        </w:rPr>
        <w:t>1.服务费用结算：按下表分档累进计费。</w:t>
      </w:r>
    </w:p>
    <w:tbl>
      <w:tblPr>
        <w:tblStyle w:val="6"/>
        <w:tblW w:w="814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194"/>
        <w:gridCol w:w="1134"/>
        <w:gridCol w:w="1134"/>
        <w:gridCol w:w="1134"/>
        <w:gridCol w:w="992"/>
        <w:gridCol w:w="1214"/>
        <w:gridCol w:w="1338"/>
      </w:tblGrid>
      <w:tr w14:paraId="336FFD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10" w:hRule="atLeast"/>
          <w:jc w:val="center"/>
        </w:trPr>
        <w:tc>
          <w:tcPr>
            <w:tcW w:w="2328" w:type="dxa"/>
            <w:gridSpan w:val="2"/>
            <w:vMerge w:val="restart"/>
            <w:tcBorders>
              <w:right w:val="single" w:color="auto" w:sz="4" w:space="0"/>
            </w:tcBorders>
            <w:noWrap/>
            <w:vAlign w:val="center"/>
          </w:tcPr>
          <w:p w14:paraId="29550020">
            <w:pPr>
              <w:jc w:val="center"/>
              <w:rPr>
                <w:szCs w:val="21"/>
              </w:rPr>
            </w:pPr>
            <w:r>
              <w:rPr>
                <w:rFonts w:hint="eastAsia"/>
                <w:szCs w:val="21"/>
              </w:rPr>
              <w:t>计费基数区</w:t>
            </w:r>
          </w:p>
          <w:p w14:paraId="4A4501D0">
            <w:pPr>
              <w:jc w:val="center"/>
              <w:rPr>
                <w:szCs w:val="21"/>
              </w:rPr>
            </w:pPr>
            <w:r>
              <w:rPr>
                <w:rFonts w:hint="eastAsia"/>
                <w:szCs w:val="21"/>
              </w:rPr>
              <w:t>间值(万元)</w:t>
            </w:r>
          </w:p>
        </w:tc>
        <w:tc>
          <w:tcPr>
            <w:tcW w:w="2268" w:type="dxa"/>
            <w:gridSpan w:val="2"/>
            <w:tcBorders>
              <w:left w:val="single" w:color="auto" w:sz="4" w:space="0"/>
              <w:bottom w:val="single" w:color="auto" w:sz="4" w:space="0"/>
            </w:tcBorders>
            <w:noWrap/>
            <w:vAlign w:val="center"/>
          </w:tcPr>
          <w:p w14:paraId="7A212750">
            <w:pPr>
              <w:jc w:val="center"/>
              <w:rPr>
                <w:szCs w:val="21"/>
              </w:rPr>
            </w:pPr>
            <w:r>
              <w:rPr>
                <w:rFonts w:hint="eastAsia"/>
                <w:szCs w:val="21"/>
              </w:rPr>
              <w:t>预算编制</w:t>
            </w:r>
          </w:p>
        </w:tc>
        <w:tc>
          <w:tcPr>
            <w:tcW w:w="2206" w:type="dxa"/>
            <w:gridSpan w:val="2"/>
            <w:tcBorders>
              <w:bottom w:val="single" w:color="auto" w:sz="4" w:space="0"/>
              <w:right w:val="single" w:color="auto" w:sz="4" w:space="0"/>
            </w:tcBorders>
            <w:noWrap/>
            <w:vAlign w:val="center"/>
          </w:tcPr>
          <w:p w14:paraId="1632452F">
            <w:pPr>
              <w:jc w:val="center"/>
              <w:rPr>
                <w:szCs w:val="21"/>
              </w:rPr>
            </w:pPr>
            <w:r>
              <w:rPr>
                <w:rFonts w:hint="eastAsia"/>
                <w:szCs w:val="21"/>
              </w:rPr>
              <w:t>预算、变更审核</w:t>
            </w:r>
          </w:p>
        </w:tc>
        <w:tc>
          <w:tcPr>
            <w:tcW w:w="1338" w:type="dxa"/>
            <w:vMerge w:val="restart"/>
            <w:tcBorders>
              <w:left w:val="single" w:color="auto" w:sz="4" w:space="0"/>
            </w:tcBorders>
            <w:noWrap/>
            <w:vAlign w:val="center"/>
          </w:tcPr>
          <w:p w14:paraId="01A58AE6">
            <w:pPr>
              <w:jc w:val="center"/>
              <w:rPr>
                <w:szCs w:val="21"/>
              </w:rPr>
            </w:pPr>
            <w:r>
              <w:rPr>
                <w:rFonts w:hint="eastAsia"/>
                <w:szCs w:val="21"/>
              </w:rPr>
              <w:t>结算审核</w:t>
            </w:r>
          </w:p>
          <w:p w14:paraId="052B98AA">
            <w:pPr>
              <w:jc w:val="center"/>
              <w:rPr>
                <w:szCs w:val="21"/>
              </w:rPr>
            </w:pPr>
            <w:r>
              <w:rPr>
                <w:szCs w:val="21"/>
              </w:rPr>
              <w:t>基本费</w:t>
            </w:r>
          </w:p>
        </w:tc>
      </w:tr>
      <w:tr w14:paraId="690D49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31" w:hRule="atLeast"/>
          <w:jc w:val="center"/>
        </w:trPr>
        <w:tc>
          <w:tcPr>
            <w:tcW w:w="2328" w:type="dxa"/>
            <w:gridSpan w:val="2"/>
            <w:vMerge w:val="continue"/>
            <w:tcBorders>
              <w:right w:val="single" w:color="auto" w:sz="4" w:space="0"/>
            </w:tcBorders>
            <w:noWrap/>
            <w:vAlign w:val="center"/>
          </w:tcPr>
          <w:p w14:paraId="42EC15F5">
            <w:pPr>
              <w:jc w:val="center"/>
              <w:rPr>
                <w:szCs w:val="21"/>
              </w:rPr>
            </w:pPr>
          </w:p>
        </w:tc>
        <w:tc>
          <w:tcPr>
            <w:tcW w:w="1134" w:type="dxa"/>
            <w:tcBorders>
              <w:top w:val="single" w:color="auto" w:sz="4" w:space="0"/>
              <w:left w:val="single" w:color="auto" w:sz="4" w:space="0"/>
            </w:tcBorders>
            <w:noWrap/>
            <w:vAlign w:val="center"/>
          </w:tcPr>
          <w:p w14:paraId="4953EC93">
            <w:pPr>
              <w:jc w:val="center"/>
              <w:rPr>
                <w:szCs w:val="21"/>
              </w:rPr>
            </w:pPr>
            <w:r>
              <w:rPr>
                <w:szCs w:val="21"/>
              </w:rPr>
              <w:t>清单计</w:t>
            </w:r>
          </w:p>
          <w:p w14:paraId="7137AE77">
            <w:pPr>
              <w:jc w:val="center"/>
              <w:rPr>
                <w:szCs w:val="21"/>
              </w:rPr>
            </w:pPr>
            <w:r>
              <w:rPr>
                <w:szCs w:val="21"/>
              </w:rPr>
              <w:t>价法</w:t>
            </w:r>
          </w:p>
        </w:tc>
        <w:tc>
          <w:tcPr>
            <w:tcW w:w="1134" w:type="dxa"/>
            <w:tcBorders>
              <w:top w:val="single" w:color="auto" w:sz="4" w:space="0"/>
              <w:right w:val="single" w:color="auto" w:sz="4" w:space="0"/>
            </w:tcBorders>
            <w:noWrap/>
            <w:vAlign w:val="center"/>
          </w:tcPr>
          <w:p w14:paraId="779F7C13">
            <w:pPr>
              <w:jc w:val="center"/>
              <w:rPr>
                <w:szCs w:val="21"/>
              </w:rPr>
            </w:pPr>
            <w:r>
              <w:rPr>
                <w:szCs w:val="21"/>
              </w:rPr>
              <w:t>定额计</w:t>
            </w:r>
          </w:p>
          <w:p w14:paraId="35466DAD">
            <w:pPr>
              <w:jc w:val="center"/>
              <w:rPr>
                <w:szCs w:val="21"/>
              </w:rPr>
            </w:pPr>
            <w:r>
              <w:rPr>
                <w:szCs w:val="21"/>
              </w:rPr>
              <w:t>价法</w:t>
            </w:r>
          </w:p>
        </w:tc>
        <w:tc>
          <w:tcPr>
            <w:tcW w:w="992" w:type="dxa"/>
            <w:tcBorders>
              <w:top w:val="single" w:color="auto" w:sz="4" w:space="0"/>
              <w:left w:val="single" w:color="auto" w:sz="4" w:space="0"/>
              <w:right w:val="single" w:color="auto" w:sz="4" w:space="0"/>
            </w:tcBorders>
            <w:noWrap/>
            <w:vAlign w:val="center"/>
          </w:tcPr>
          <w:p w14:paraId="2B5F86A1">
            <w:pPr>
              <w:jc w:val="center"/>
              <w:rPr>
                <w:szCs w:val="21"/>
              </w:rPr>
            </w:pPr>
            <w:r>
              <w:rPr>
                <w:szCs w:val="21"/>
              </w:rPr>
              <w:t>清单计</w:t>
            </w:r>
          </w:p>
          <w:p w14:paraId="2F41A579">
            <w:pPr>
              <w:jc w:val="center"/>
              <w:rPr>
                <w:szCs w:val="21"/>
              </w:rPr>
            </w:pPr>
            <w:r>
              <w:rPr>
                <w:szCs w:val="21"/>
              </w:rPr>
              <w:t>价法</w:t>
            </w:r>
          </w:p>
        </w:tc>
        <w:tc>
          <w:tcPr>
            <w:tcW w:w="1214" w:type="dxa"/>
            <w:tcBorders>
              <w:top w:val="single" w:color="auto" w:sz="4" w:space="0"/>
              <w:left w:val="single" w:color="auto" w:sz="4" w:space="0"/>
              <w:right w:val="single" w:color="auto" w:sz="4" w:space="0"/>
            </w:tcBorders>
            <w:noWrap/>
            <w:vAlign w:val="center"/>
          </w:tcPr>
          <w:p w14:paraId="60F7E426">
            <w:pPr>
              <w:jc w:val="center"/>
              <w:rPr>
                <w:szCs w:val="21"/>
              </w:rPr>
            </w:pPr>
            <w:r>
              <w:rPr>
                <w:szCs w:val="21"/>
              </w:rPr>
              <w:t>定额计</w:t>
            </w:r>
          </w:p>
          <w:p w14:paraId="62E41F34">
            <w:pPr>
              <w:jc w:val="center"/>
              <w:rPr>
                <w:szCs w:val="21"/>
              </w:rPr>
            </w:pPr>
            <w:r>
              <w:rPr>
                <w:szCs w:val="21"/>
              </w:rPr>
              <w:t>价法</w:t>
            </w:r>
          </w:p>
        </w:tc>
        <w:tc>
          <w:tcPr>
            <w:tcW w:w="1338" w:type="dxa"/>
            <w:vMerge w:val="continue"/>
            <w:tcBorders>
              <w:left w:val="single" w:color="auto" w:sz="4" w:space="0"/>
            </w:tcBorders>
            <w:noWrap/>
            <w:vAlign w:val="center"/>
          </w:tcPr>
          <w:p w14:paraId="27484B2F">
            <w:pPr>
              <w:jc w:val="center"/>
              <w:rPr>
                <w:szCs w:val="21"/>
              </w:rPr>
            </w:pPr>
          </w:p>
        </w:tc>
      </w:tr>
      <w:tr w14:paraId="21139F2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94" w:type="dxa"/>
            <w:noWrap/>
            <w:vAlign w:val="center"/>
          </w:tcPr>
          <w:p w14:paraId="55D12995">
            <w:pPr>
              <w:jc w:val="center"/>
              <w:rPr>
                <w:szCs w:val="21"/>
              </w:rPr>
            </w:pPr>
            <w:r>
              <w:rPr>
                <w:rFonts w:hint="eastAsia"/>
                <w:szCs w:val="21"/>
              </w:rPr>
              <w:t>起值</w:t>
            </w:r>
          </w:p>
        </w:tc>
        <w:tc>
          <w:tcPr>
            <w:tcW w:w="1134" w:type="dxa"/>
            <w:tcBorders>
              <w:right w:val="single" w:color="auto" w:sz="4" w:space="0"/>
            </w:tcBorders>
            <w:noWrap/>
            <w:vAlign w:val="center"/>
          </w:tcPr>
          <w:p w14:paraId="0A331F78">
            <w:pPr>
              <w:jc w:val="center"/>
              <w:rPr>
                <w:szCs w:val="21"/>
              </w:rPr>
            </w:pPr>
            <w:r>
              <w:rPr>
                <w:rFonts w:hint="eastAsia"/>
                <w:szCs w:val="21"/>
              </w:rPr>
              <w:t>终值</w:t>
            </w:r>
          </w:p>
        </w:tc>
        <w:tc>
          <w:tcPr>
            <w:tcW w:w="5812" w:type="dxa"/>
            <w:gridSpan w:val="5"/>
            <w:tcBorders>
              <w:left w:val="single" w:color="auto" w:sz="4" w:space="0"/>
            </w:tcBorders>
            <w:noWrap/>
            <w:vAlign w:val="center"/>
          </w:tcPr>
          <w:p w14:paraId="4B42B0D4">
            <w:pPr>
              <w:jc w:val="center"/>
              <w:rPr>
                <w:b/>
                <w:bCs/>
                <w:szCs w:val="21"/>
              </w:rPr>
            </w:pPr>
            <w:r>
              <w:rPr>
                <w:rFonts w:hint="eastAsia"/>
                <w:szCs w:val="21"/>
              </w:rPr>
              <w:t>费率（‰）</w:t>
            </w:r>
          </w:p>
        </w:tc>
      </w:tr>
      <w:tr w14:paraId="036B54E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94" w:type="dxa"/>
            <w:noWrap/>
            <w:vAlign w:val="center"/>
          </w:tcPr>
          <w:p w14:paraId="18205263">
            <w:pPr>
              <w:jc w:val="center"/>
              <w:rPr>
                <w:szCs w:val="21"/>
              </w:rPr>
            </w:pPr>
            <w:r>
              <w:rPr>
                <w:rFonts w:hint="eastAsia"/>
                <w:szCs w:val="21"/>
              </w:rPr>
              <w:t>0</w:t>
            </w:r>
          </w:p>
        </w:tc>
        <w:tc>
          <w:tcPr>
            <w:tcW w:w="1134" w:type="dxa"/>
            <w:tcBorders>
              <w:right w:val="single" w:color="auto" w:sz="4" w:space="0"/>
            </w:tcBorders>
            <w:noWrap/>
            <w:vAlign w:val="center"/>
          </w:tcPr>
          <w:p w14:paraId="3F2B5BAD">
            <w:pPr>
              <w:jc w:val="center"/>
              <w:rPr>
                <w:szCs w:val="21"/>
              </w:rPr>
            </w:pPr>
            <w:r>
              <w:rPr>
                <w:rFonts w:hint="eastAsia"/>
                <w:szCs w:val="21"/>
              </w:rPr>
              <w:t>100</w:t>
            </w:r>
          </w:p>
        </w:tc>
        <w:tc>
          <w:tcPr>
            <w:tcW w:w="1134" w:type="dxa"/>
            <w:tcBorders>
              <w:left w:val="single" w:color="auto" w:sz="4" w:space="0"/>
            </w:tcBorders>
            <w:noWrap/>
            <w:vAlign w:val="center"/>
          </w:tcPr>
          <w:p w14:paraId="44018036">
            <w:pPr>
              <w:jc w:val="center"/>
              <w:rPr>
                <w:szCs w:val="21"/>
              </w:rPr>
            </w:pPr>
            <w:r>
              <w:rPr>
                <w:rFonts w:hint="eastAsia"/>
                <w:szCs w:val="21"/>
              </w:rPr>
              <w:t>2.88</w:t>
            </w:r>
          </w:p>
        </w:tc>
        <w:tc>
          <w:tcPr>
            <w:tcW w:w="1134" w:type="dxa"/>
            <w:noWrap/>
            <w:vAlign w:val="center"/>
          </w:tcPr>
          <w:p w14:paraId="03222E73">
            <w:pPr>
              <w:jc w:val="center"/>
              <w:rPr>
                <w:szCs w:val="21"/>
              </w:rPr>
            </w:pPr>
            <w:r>
              <w:rPr>
                <w:rFonts w:hint="eastAsia"/>
                <w:szCs w:val="21"/>
              </w:rPr>
              <w:t>2.4</w:t>
            </w:r>
          </w:p>
        </w:tc>
        <w:tc>
          <w:tcPr>
            <w:tcW w:w="992" w:type="dxa"/>
            <w:tcBorders>
              <w:right w:val="single" w:color="auto" w:sz="4" w:space="0"/>
            </w:tcBorders>
            <w:noWrap/>
            <w:vAlign w:val="center"/>
          </w:tcPr>
          <w:p w14:paraId="3F13949B">
            <w:pPr>
              <w:jc w:val="center"/>
              <w:rPr>
                <w:szCs w:val="21"/>
              </w:rPr>
            </w:pPr>
            <w:r>
              <w:rPr>
                <w:rFonts w:hint="eastAsia"/>
                <w:szCs w:val="21"/>
              </w:rPr>
              <w:t>1.8</w:t>
            </w:r>
          </w:p>
        </w:tc>
        <w:tc>
          <w:tcPr>
            <w:tcW w:w="1214" w:type="dxa"/>
            <w:tcBorders>
              <w:left w:val="single" w:color="auto" w:sz="4" w:space="0"/>
              <w:right w:val="single" w:color="auto" w:sz="4" w:space="0"/>
            </w:tcBorders>
            <w:noWrap/>
            <w:vAlign w:val="center"/>
          </w:tcPr>
          <w:p w14:paraId="4234397C">
            <w:pPr>
              <w:jc w:val="center"/>
              <w:rPr>
                <w:szCs w:val="21"/>
              </w:rPr>
            </w:pPr>
            <w:r>
              <w:rPr>
                <w:rFonts w:hint="eastAsia"/>
                <w:szCs w:val="21"/>
              </w:rPr>
              <w:t>1.5</w:t>
            </w:r>
          </w:p>
        </w:tc>
        <w:tc>
          <w:tcPr>
            <w:tcW w:w="1338" w:type="dxa"/>
            <w:tcBorders>
              <w:left w:val="single" w:color="auto" w:sz="4" w:space="0"/>
            </w:tcBorders>
            <w:noWrap/>
            <w:vAlign w:val="center"/>
          </w:tcPr>
          <w:p w14:paraId="710269BF">
            <w:pPr>
              <w:jc w:val="center"/>
              <w:rPr>
                <w:szCs w:val="21"/>
              </w:rPr>
            </w:pPr>
            <w:r>
              <w:rPr>
                <w:rFonts w:hint="eastAsia"/>
                <w:szCs w:val="21"/>
              </w:rPr>
              <w:t>2.24</w:t>
            </w:r>
          </w:p>
        </w:tc>
      </w:tr>
      <w:tr w14:paraId="603B905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94" w:type="dxa"/>
            <w:noWrap/>
            <w:vAlign w:val="center"/>
          </w:tcPr>
          <w:p w14:paraId="1DFF0783">
            <w:pPr>
              <w:jc w:val="center"/>
              <w:rPr>
                <w:szCs w:val="21"/>
              </w:rPr>
            </w:pPr>
            <w:r>
              <w:rPr>
                <w:rFonts w:hint="eastAsia"/>
                <w:szCs w:val="21"/>
              </w:rPr>
              <w:t>100</w:t>
            </w:r>
          </w:p>
        </w:tc>
        <w:tc>
          <w:tcPr>
            <w:tcW w:w="1134" w:type="dxa"/>
            <w:tcBorders>
              <w:right w:val="single" w:color="auto" w:sz="4" w:space="0"/>
            </w:tcBorders>
            <w:noWrap/>
            <w:vAlign w:val="center"/>
          </w:tcPr>
          <w:p w14:paraId="2945AAE8">
            <w:pPr>
              <w:jc w:val="center"/>
              <w:rPr>
                <w:szCs w:val="21"/>
              </w:rPr>
            </w:pPr>
            <w:r>
              <w:rPr>
                <w:rFonts w:hint="eastAsia"/>
                <w:szCs w:val="21"/>
              </w:rPr>
              <w:t>500</w:t>
            </w:r>
          </w:p>
        </w:tc>
        <w:tc>
          <w:tcPr>
            <w:tcW w:w="1134" w:type="dxa"/>
            <w:tcBorders>
              <w:left w:val="single" w:color="auto" w:sz="4" w:space="0"/>
            </w:tcBorders>
            <w:noWrap/>
            <w:vAlign w:val="center"/>
          </w:tcPr>
          <w:p w14:paraId="11C401B3">
            <w:pPr>
              <w:jc w:val="center"/>
              <w:rPr>
                <w:szCs w:val="21"/>
              </w:rPr>
            </w:pPr>
            <w:r>
              <w:rPr>
                <w:rFonts w:hint="eastAsia"/>
                <w:szCs w:val="21"/>
              </w:rPr>
              <w:t>2.64</w:t>
            </w:r>
          </w:p>
        </w:tc>
        <w:tc>
          <w:tcPr>
            <w:tcW w:w="1134" w:type="dxa"/>
            <w:noWrap/>
            <w:vAlign w:val="center"/>
          </w:tcPr>
          <w:p w14:paraId="39EE4D87">
            <w:pPr>
              <w:jc w:val="center"/>
              <w:rPr>
                <w:szCs w:val="21"/>
              </w:rPr>
            </w:pPr>
            <w:r>
              <w:rPr>
                <w:rFonts w:hint="eastAsia"/>
                <w:szCs w:val="21"/>
              </w:rPr>
              <w:t>2</w:t>
            </w:r>
          </w:p>
        </w:tc>
        <w:tc>
          <w:tcPr>
            <w:tcW w:w="992" w:type="dxa"/>
            <w:tcBorders>
              <w:right w:val="single" w:color="auto" w:sz="4" w:space="0"/>
            </w:tcBorders>
            <w:noWrap/>
            <w:vAlign w:val="center"/>
          </w:tcPr>
          <w:p w14:paraId="1BD9EC95">
            <w:pPr>
              <w:jc w:val="center"/>
              <w:rPr>
                <w:szCs w:val="21"/>
              </w:rPr>
            </w:pPr>
            <w:r>
              <w:rPr>
                <w:rFonts w:hint="eastAsia"/>
                <w:szCs w:val="21"/>
              </w:rPr>
              <w:t>1.65</w:t>
            </w:r>
          </w:p>
        </w:tc>
        <w:tc>
          <w:tcPr>
            <w:tcW w:w="1214" w:type="dxa"/>
            <w:tcBorders>
              <w:left w:val="single" w:color="auto" w:sz="4" w:space="0"/>
              <w:right w:val="single" w:color="auto" w:sz="4" w:space="0"/>
            </w:tcBorders>
            <w:noWrap/>
            <w:vAlign w:val="center"/>
          </w:tcPr>
          <w:p w14:paraId="6CB08AB6">
            <w:pPr>
              <w:jc w:val="center"/>
              <w:rPr>
                <w:szCs w:val="21"/>
              </w:rPr>
            </w:pPr>
            <w:r>
              <w:rPr>
                <w:rFonts w:hint="eastAsia"/>
                <w:szCs w:val="21"/>
              </w:rPr>
              <w:t>1.25</w:t>
            </w:r>
          </w:p>
        </w:tc>
        <w:tc>
          <w:tcPr>
            <w:tcW w:w="1338" w:type="dxa"/>
            <w:tcBorders>
              <w:left w:val="single" w:color="auto" w:sz="4" w:space="0"/>
            </w:tcBorders>
            <w:noWrap/>
            <w:vAlign w:val="center"/>
          </w:tcPr>
          <w:p w14:paraId="38AFD4FE">
            <w:pPr>
              <w:jc w:val="center"/>
              <w:rPr>
                <w:szCs w:val="21"/>
              </w:rPr>
            </w:pPr>
            <w:r>
              <w:rPr>
                <w:rFonts w:hint="eastAsia"/>
                <w:szCs w:val="21"/>
              </w:rPr>
              <w:t>2</w:t>
            </w:r>
          </w:p>
        </w:tc>
      </w:tr>
      <w:tr w14:paraId="0B0071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94" w:type="dxa"/>
            <w:noWrap/>
            <w:vAlign w:val="center"/>
          </w:tcPr>
          <w:p w14:paraId="77CEA187">
            <w:pPr>
              <w:jc w:val="center"/>
              <w:rPr>
                <w:szCs w:val="21"/>
              </w:rPr>
            </w:pPr>
            <w:r>
              <w:rPr>
                <w:rFonts w:hint="eastAsia"/>
                <w:szCs w:val="21"/>
              </w:rPr>
              <w:t>500</w:t>
            </w:r>
          </w:p>
        </w:tc>
        <w:tc>
          <w:tcPr>
            <w:tcW w:w="1134" w:type="dxa"/>
            <w:tcBorders>
              <w:right w:val="single" w:color="auto" w:sz="4" w:space="0"/>
            </w:tcBorders>
            <w:noWrap/>
            <w:vAlign w:val="center"/>
          </w:tcPr>
          <w:p w14:paraId="628F51B4">
            <w:pPr>
              <w:jc w:val="center"/>
              <w:rPr>
                <w:szCs w:val="21"/>
              </w:rPr>
            </w:pPr>
            <w:r>
              <w:rPr>
                <w:rFonts w:hint="eastAsia"/>
                <w:szCs w:val="21"/>
              </w:rPr>
              <w:t>1000</w:t>
            </w:r>
          </w:p>
        </w:tc>
        <w:tc>
          <w:tcPr>
            <w:tcW w:w="1134" w:type="dxa"/>
            <w:tcBorders>
              <w:left w:val="single" w:color="auto" w:sz="4" w:space="0"/>
            </w:tcBorders>
            <w:noWrap/>
            <w:vAlign w:val="center"/>
          </w:tcPr>
          <w:p w14:paraId="4509C9C1">
            <w:pPr>
              <w:jc w:val="center"/>
              <w:rPr>
                <w:szCs w:val="21"/>
              </w:rPr>
            </w:pPr>
            <w:r>
              <w:rPr>
                <w:rFonts w:hint="eastAsia"/>
                <w:szCs w:val="21"/>
              </w:rPr>
              <w:t>2.4</w:t>
            </w:r>
          </w:p>
        </w:tc>
        <w:tc>
          <w:tcPr>
            <w:tcW w:w="1134" w:type="dxa"/>
            <w:noWrap/>
            <w:vAlign w:val="center"/>
          </w:tcPr>
          <w:p w14:paraId="5EECBF40">
            <w:pPr>
              <w:jc w:val="center"/>
              <w:rPr>
                <w:szCs w:val="21"/>
              </w:rPr>
            </w:pPr>
            <w:r>
              <w:rPr>
                <w:rFonts w:hint="eastAsia"/>
                <w:szCs w:val="21"/>
              </w:rPr>
              <w:t>1.84</w:t>
            </w:r>
          </w:p>
        </w:tc>
        <w:tc>
          <w:tcPr>
            <w:tcW w:w="992" w:type="dxa"/>
            <w:tcBorders>
              <w:right w:val="single" w:color="auto" w:sz="4" w:space="0"/>
            </w:tcBorders>
            <w:noWrap/>
            <w:vAlign w:val="center"/>
          </w:tcPr>
          <w:p w14:paraId="2EE35E75">
            <w:pPr>
              <w:jc w:val="center"/>
              <w:rPr>
                <w:szCs w:val="21"/>
              </w:rPr>
            </w:pPr>
            <w:r>
              <w:rPr>
                <w:rFonts w:hint="eastAsia"/>
                <w:szCs w:val="21"/>
              </w:rPr>
              <w:t>1.5</w:t>
            </w:r>
          </w:p>
        </w:tc>
        <w:tc>
          <w:tcPr>
            <w:tcW w:w="1214" w:type="dxa"/>
            <w:tcBorders>
              <w:left w:val="single" w:color="auto" w:sz="4" w:space="0"/>
              <w:right w:val="single" w:color="auto" w:sz="4" w:space="0"/>
            </w:tcBorders>
            <w:noWrap/>
            <w:vAlign w:val="center"/>
          </w:tcPr>
          <w:p w14:paraId="4455D4D9">
            <w:pPr>
              <w:jc w:val="center"/>
              <w:rPr>
                <w:szCs w:val="21"/>
              </w:rPr>
            </w:pPr>
            <w:r>
              <w:rPr>
                <w:rFonts w:hint="eastAsia"/>
                <w:szCs w:val="21"/>
              </w:rPr>
              <w:t>1.15</w:t>
            </w:r>
          </w:p>
        </w:tc>
        <w:tc>
          <w:tcPr>
            <w:tcW w:w="1338" w:type="dxa"/>
            <w:tcBorders>
              <w:left w:val="single" w:color="auto" w:sz="4" w:space="0"/>
            </w:tcBorders>
            <w:noWrap/>
            <w:vAlign w:val="center"/>
          </w:tcPr>
          <w:p w14:paraId="2378D1A7">
            <w:pPr>
              <w:jc w:val="center"/>
              <w:rPr>
                <w:szCs w:val="21"/>
              </w:rPr>
            </w:pPr>
            <w:r>
              <w:rPr>
                <w:rFonts w:hint="eastAsia"/>
                <w:szCs w:val="21"/>
              </w:rPr>
              <w:t>1.76</w:t>
            </w:r>
          </w:p>
        </w:tc>
      </w:tr>
      <w:tr w14:paraId="0B76D2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94" w:type="dxa"/>
            <w:noWrap/>
            <w:vAlign w:val="center"/>
          </w:tcPr>
          <w:p w14:paraId="0707D491">
            <w:pPr>
              <w:jc w:val="center"/>
              <w:rPr>
                <w:szCs w:val="21"/>
              </w:rPr>
            </w:pPr>
            <w:r>
              <w:rPr>
                <w:rFonts w:hint="eastAsia"/>
                <w:szCs w:val="21"/>
              </w:rPr>
              <w:t>1000</w:t>
            </w:r>
          </w:p>
        </w:tc>
        <w:tc>
          <w:tcPr>
            <w:tcW w:w="1134" w:type="dxa"/>
            <w:tcBorders>
              <w:right w:val="single" w:color="auto" w:sz="4" w:space="0"/>
            </w:tcBorders>
            <w:noWrap/>
            <w:vAlign w:val="center"/>
          </w:tcPr>
          <w:p w14:paraId="0FE8C382">
            <w:pPr>
              <w:jc w:val="center"/>
              <w:rPr>
                <w:szCs w:val="21"/>
              </w:rPr>
            </w:pPr>
            <w:r>
              <w:rPr>
                <w:rFonts w:hint="eastAsia"/>
                <w:szCs w:val="21"/>
              </w:rPr>
              <w:t>2000</w:t>
            </w:r>
          </w:p>
        </w:tc>
        <w:tc>
          <w:tcPr>
            <w:tcW w:w="1134" w:type="dxa"/>
            <w:tcBorders>
              <w:left w:val="single" w:color="auto" w:sz="4" w:space="0"/>
            </w:tcBorders>
            <w:noWrap/>
            <w:vAlign w:val="center"/>
          </w:tcPr>
          <w:p w14:paraId="06EB8D88">
            <w:pPr>
              <w:jc w:val="center"/>
              <w:rPr>
                <w:szCs w:val="21"/>
              </w:rPr>
            </w:pPr>
            <w:r>
              <w:rPr>
                <w:rFonts w:hint="eastAsia"/>
                <w:szCs w:val="21"/>
              </w:rPr>
              <w:t>2.16</w:t>
            </w:r>
          </w:p>
        </w:tc>
        <w:tc>
          <w:tcPr>
            <w:tcW w:w="1134" w:type="dxa"/>
            <w:noWrap/>
            <w:vAlign w:val="center"/>
          </w:tcPr>
          <w:p w14:paraId="04CC7C8D">
            <w:pPr>
              <w:jc w:val="center"/>
              <w:rPr>
                <w:szCs w:val="21"/>
              </w:rPr>
            </w:pPr>
            <w:r>
              <w:rPr>
                <w:rFonts w:hint="eastAsia"/>
                <w:szCs w:val="21"/>
              </w:rPr>
              <w:t>1.68</w:t>
            </w:r>
          </w:p>
        </w:tc>
        <w:tc>
          <w:tcPr>
            <w:tcW w:w="992" w:type="dxa"/>
            <w:tcBorders>
              <w:right w:val="single" w:color="auto" w:sz="4" w:space="0"/>
            </w:tcBorders>
            <w:noWrap/>
            <w:vAlign w:val="center"/>
          </w:tcPr>
          <w:p w14:paraId="4D145940">
            <w:pPr>
              <w:jc w:val="center"/>
              <w:rPr>
                <w:szCs w:val="21"/>
              </w:rPr>
            </w:pPr>
            <w:r>
              <w:rPr>
                <w:rFonts w:hint="eastAsia"/>
                <w:szCs w:val="21"/>
              </w:rPr>
              <w:t>1.35</w:t>
            </w:r>
          </w:p>
        </w:tc>
        <w:tc>
          <w:tcPr>
            <w:tcW w:w="1214" w:type="dxa"/>
            <w:tcBorders>
              <w:left w:val="single" w:color="auto" w:sz="4" w:space="0"/>
              <w:right w:val="single" w:color="auto" w:sz="4" w:space="0"/>
            </w:tcBorders>
            <w:noWrap/>
            <w:vAlign w:val="center"/>
          </w:tcPr>
          <w:p w14:paraId="2A33B2FD">
            <w:pPr>
              <w:jc w:val="center"/>
              <w:rPr>
                <w:szCs w:val="21"/>
              </w:rPr>
            </w:pPr>
            <w:r>
              <w:rPr>
                <w:rFonts w:hint="eastAsia"/>
                <w:szCs w:val="21"/>
              </w:rPr>
              <w:t>1.05</w:t>
            </w:r>
          </w:p>
        </w:tc>
        <w:tc>
          <w:tcPr>
            <w:tcW w:w="1338" w:type="dxa"/>
            <w:tcBorders>
              <w:left w:val="single" w:color="auto" w:sz="4" w:space="0"/>
            </w:tcBorders>
            <w:noWrap/>
            <w:vAlign w:val="center"/>
          </w:tcPr>
          <w:p w14:paraId="28551FCD">
            <w:pPr>
              <w:jc w:val="center"/>
              <w:rPr>
                <w:szCs w:val="21"/>
              </w:rPr>
            </w:pPr>
            <w:r>
              <w:rPr>
                <w:rFonts w:hint="eastAsia"/>
                <w:szCs w:val="21"/>
              </w:rPr>
              <w:t>1.52</w:t>
            </w:r>
          </w:p>
        </w:tc>
      </w:tr>
      <w:tr w14:paraId="28EA77A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94" w:type="dxa"/>
            <w:noWrap/>
            <w:vAlign w:val="center"/>
          </w:tcPr>
          <w:p w14:paraId="0DD84C67">
            <w:pPr>
              <w:jc w:val="center"/>
              <w:rPr>
                <w:szCs w:val="21"/>
              </w:rPr>
            </w:pPr>
            <w:r>
              <w:rPr>
                <w:rFonts w:hint="eastAsia"/>
                <w:szCs w:val="21"/>
              </w:rPr>
              <w:t>2000</w:t>
            </w:r>
          </w:p>
        </w:tc>
        <w:tc>
          <w:tcPr>
            <w:tcW w:w="1134" w:type="dxa"/>
            <w:tcBorders>
              <w:right w:val="single" w:color="auto" w:sz="4" w:space="0"/>
            </w:tcBorders>
            <w:noWrap/>
            <w:vAlign w:val="center"/>
          </w:tcPr>
          <w:p w14:paraId="4D3A3CF6">
            <w:pPr>
              <w:jc w:val="center"/>
              <w:rPr>
                <w:szCs w:val="21"/>
              </w:rPr>
            </w:pPr>
            <w:r>
              <w:rPr>
                <w:rFonts w:hint="eastAsia"/>
                <w:szCs w:val="21"/>
              </w:rPr>
              <w:t>5000</w:t>
            </w:r>
          </w:p>
        </w:tc>
        <w:tc>
          <w:tcPr>
            <w:tcW w:w="1134" w:type="dxa"/>
            <w:tcBorders>
              <w:left w:val="single" w:color="auto" w:sz="4" w:space="0"/>
            </w:tcBorders>
            <w:noWrap/>
            <w:vAlign w:val="center"/>
          </w:tcPr>
          <w:p w14:paraId="65BD6E16">
            <w:pPr>
              <w:jc w:val="center"/>
              <w:rPr>
                <w:szCs w:val="21"/>
              </w:rPr>
            </w:pPr>
            <w:r>
              <w:rPr>
                <w:rFonts w:hint="eastAsia"/>
                <w:szCs w:val="21"/>
              </w:rPr>
              <w:t>1.92</w:t>
            </w:r>
          </w:p>
        </w:tc>
        <w:tc>
          <w:tcPr>
            <w:tcW w:w="1134" w:type="dxa"/>
            <w:noWrap/>
            <w:vAlign w:val="center"/>
          </w:tcPr>
          <w:p w14:paraId="1B99A2AF">
            <w:pPr>
              <w:jc w:val="center"/>
              <w:rPr>
                <w:szCs w:val="21"/>
              </w:rPr>
            </w:pPr>
            <w:r>
              <w:rPr>
                <w:rFonts w:hint="eastAsia"/>
                <w:szCs w:val="21"/>
              </w:rPr>
              <w:t>1.52</w:t>
            </w:r>
          </w:p>
        </w:tc>
        <w:tc>
          <w:tcPr>
            <w:tcW w:w="992" w:type="dxa"/>
            <w:tcBorders>
              <w:right w:val="single" w:color="auto" w:sz="4" w:space="0"/>
            </w:tcBorders>
            <w:noWrap/>
            <w:vAlign w:val="center"/>
          </w:tcPr>
          <w:p w14:paraId="4B97EEAD">
            <w:pPr>
              <w:jc w:val="center"/>
              <w:rPr>
                <w:szCs w:val="21"/>
              </w:rPr>
            </w:pPr>
            <w:r>
              <w:rPr>
                <w:rFonts w:hint="eastAsia"/>
                <w:szCs w:val="21"/>
              </w:rPr>
              <w:t>1.2</w:t>
            </w:r>
          </w:p>
        </w:tc>
        <w:tc>
          <w:tcPr>
            <w:tcW w:w="1214" w:type="dxa"/>
            <w:tcBorders>
              <w:left w:val="single" w:color="auto" w:sz="4" w:space="0"/>
              <w:right w:val="single" w:color="auto" w:sz="4" w:space="0"/>
            </w:tcBorders>
            <w:noWrap/>
            <w:vAlign w:val="center"/>
          </w:tcPr>
          <w:p w14:paraId="30E12314">
            <w:pPr>
              <w:jc w:val="center"/>
              <w:rPr>
                <w:szCs w:val="21"/>
              </w:rPr>
            </w:pPr>
            <w:r>
              <w:rPr>
                <w:rFonts w:hint="eastAsia"/>
                <w:szCs w:val="21"/>
              </w:rPr>
              <w:t>0.95</w:t>
            </w:r>
          </w:p>
        </w:tc>
        <w:tc>
          <w:tcPr>
            <w:tcW w:w="1338" w:type="dxa"/>
            <w:tcBorders>
              <w:left w:val="single" w:color="auto" w:sz="4" w:space="0"/>
            </w:tcBorders>
            <w:noWrap/>
            <w:vAlign w:val="center"/>
          </w:tcPr>
          <w:p w14:paraId="0172B760">
            <w:pPr>
              <w:jc w:val="center"/>
              <w:rPr>
                <w:szCs w:val="21"/>
              </w:rPr>
            </w:pPr>
            <w:r>
              <w:rPr>
                <w:rFonts w:hint="eastAsia"/>
                <w:szCs w:val="21"/>
              </w:rPr>
              <w:t>1.28</w:t>
            </w:r>
          </w:p>
        </w:tc>
      </w:tr>
      <w:tr w14:paraId="432833A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194" w:type="dxa"/>
            <w:noWrap/>
            <w:vAlign w:val="center"/>
          </w:tcPr>
          <w:p w14:paraId="106854B0">
            <w:pPr>
              <w:jc w:val="center"/>
              <w:rPr>
                <w:szCs w:val="21"/>
              </w:rPr>
            </w:pPr>
            <w:r>
              <w:rPr>
                <w:rFonts w:hint="eastAsia"/>
                <w:szCs w:val="21"/>
              </w:rPr>
              <w:t>5000</w:t>
            </w:r>
          </w:p>
        </w:tc>
        <w:tc>
          <w:tcPr>
            <w:tcW w:w="1134" w:type="dxa"/>
            <w:tcBorders>
              <w:right w:val="single" w:color="auto" w:sz="4" w:space="0"/>
            </w:tcBorders>
            <w:noWrap/>
            <w:vAlign w:val="center"/>
          </w:tcPr>
          <w:p w14:paraId="63E23583">
            <w:pPr>
              <w:jc w:val="center"/>
              <w:rPr>
                <w:szCs w:val="21"/>
              </w:rPr>
            </w:pPr>
            <w:r>
              <w:rPr>
                <w:rFonts w:hint="eastAsia"/>
                <w:szCs w:val="21"/>
              </w:rPr>
              <w:t>10000</w:t>
            </w:r>
          </w:p>
        </w:tc>
        <w:tc>
          <w:tcPr>
            <w:tcW w:w="1134" w:type="dxa"/>
            <w:tcBorders>
              <w:left w:val="single" w:color="auto" w:sz="4" w:space="0"/>
            </w:tcBorders>
            <w:noWrap/>
            <w:vAlign w:val="center"/>
          </w:tcPr>
          <w:p w14:paraId="18689B90">
            <w:pPr>
              <w:jc w:val="center"/>
              <w:rPr>
                <w:szCs w:val="21"/>
              </w:rPr>
            </w:pPr>
            <w:r>
              <w:rPr>
                <w:rFonts w:hint="eastAsia"/>
                <w:szCs w:val="21"/>
              </w:rPr>
              <w:t>1.68</w:t>
            </w:r>
          </w:p>
        </w:tc>
        <w:tc>
          <w:tcPr>
            <w:tcW w:w="1134" w:type="dxa"/>
            <w:noWrap/>
            <w:vAlign w:val="center"/>
          </w:tcPr>
          <w:p w14:paraId="2A7C149F">
            <w:pPr>
              <w:jc w:val="center"/>
              <w:rPr>
                <w:szCs w:val="21"/>
              </w:rPr>
            </w:pPr>
            <w:r>
              <w:rPr>
                <w:rFonts w:hint="eastAsia"/>
                <w:szCs w:val="21"/>
              </w:rPr>
              <w:t>1.36</w:t>
            </w:r>
          </w:p>
        </w:tc>
        <w:tc>
          <w:tcPr>
            <w:tcW w:w="992" w:type="dxa"/>
            <w:tcBorders>
              <w:right w:val="single" w:color="auto" w:sz="4" w:space="0"/>
            </w:tcBorders>
            <w:noWrap/>
            <w:vAlign w:val="center"/>
          </w:tcPr>
          <w:p w14:paraId="773E092C">
            <w:pPr>
              <w:jc w:val="center"/>
              <w:rPr>
                <w:szCs w:val="21"/>
              </w:rPr>
            </w:pPr>
            <w:r>
              <w:rPr>
                <w:rFonts w:hint="eastAsia"/>
                <w:szCs w:val="21"/>
              </w:rPr>
              <w:t>1.05</w:t>
            </w:r>
          </w:p>
        </w:tc>
        <w:tc>
          <w:tcPr>
            <w:tcW w:w="1214" w:type="dxa"/>
            <w:tcBorders>
              <w:left w:val="single" w:color="auto" w:sz="4" w:space="0"/>
              <w:right w:val="single" w:color="auto" w:sz="4" w:space="0"/>
            </w:tcBorders>
            <w:noWrap/>
            <w:vAlign w:val="center"/>
          </w:tcPr>
          <w:p w14:paraId="3FDE21F1">
            <w:pPr>
              <w:jc w:val="center"/>
              <w:rPr>
                <w:szCs w:val="21"/>
              </w:rPr>
            </w:pPr>
            <w:r>
              <w:rPr>
                <w:rFonts w:hint="eastAsia"/>
                <w:szCs w:val="21"/>
              </w:rPr>
              <w:t>0.85</w:t>
            </w:r>
          </w:p>
        </w:tc>
        <w:tc>
          <w:tcPr>
            <w:tcW w:w="1338" w:type="dxa"/>
            <w:tcBorders>
              <w:left w:val="single" w:color="auto" w:sz="4" w:space="0"/>
            </w:tcBorders>
            <w:noWrap/>
            <w:vAlign w:val="center"/>
          </w:tcPr>
          <w:p w14:paraId="70350939">
            <w:pPr>
              <w:jc w:val="center"/>
              <w:rPr>
                <w:szCs w:val="21"/>
              </w:rPr>
            </w:pPr>
            <w:r>
              <w:rPr>
                <w:rFonts w:hint="eastAsia"/>
                <w:szCs w:val="21"/>
              </w:rPr>
              <w:t>1.04</w:t>
            </w:r>
          </w:p>
        </w:tc>
      </w:tr>
      <w:tr w14:paraId="6CEF5C8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328" w:type="dxa"/>
            <w:gridSpan w:val="2"/>
            <w:tcBorders>
              <w:right w:val="single" w:color="auto" w:sz="4" w:space="0"/>
            </w:tcBorders>
            <w:noWrap/>
            <w:vAlign w:val="center"/>
          </w:tcPr>
          <w:p w14:paraId="12D52AF2">
            <w:pPr>
              <w:jc w:val="center"/>
              <w:rPr>
                <w:szCs w:val="21"/>
              </w:rPr>
            </w:pPr>
            <w:r>
              <w:rPr>
                <w:rFonts w:hint="eastAsia"/>
                <w:szCs w:val="21"/>
              </w:rPr>
              <w:t>10000及以上</w:t>
            </w:r>
          </w:p>
        </w:tc>
        <w:tc>
          <w:tcPr>
            <w:tcW w:w="1134" w:type="dxa"/>
            <w:tcBorders>
              <w:left w:val="single" w:color="auto" w:sz="4" w:space="0"/>
            </w:tcBorders>
            <w:noWrap/>
            <w:vAlign w:val="center"/>
          </w:tcPr>
          <w:p w14:paraId="76C9C9FD">
            <w:pPr>
              <w:jc w:val="center"/>
              <w:rPr>
                <w:szCs w:val="21"/>
              </w:rPr>
            </w:pPr>
            <w:r>
              <w:rPr>
                <w:rFonts w:hint="eastAsia"/>
                <w:szCs w:val="21"/>
              </w:rPr>
              <w:t>1.44</w:t>
            </w:r>
          </w:p>
        </w:tc>
        <w:tc>
          <w:tcPr>
            <w:tcW w:w="1134" w:type="dxa"/>
            <w:noWrap/>
            <w:vAlign w:val="center"/>
          </w:tcPr>
          <w:p w14:paraId="2D8DDA52">
            <w:pPr>
              <w:jc w:val="center"/>
              <w:rPr>
                <w:szCs w:val="21"/>
              </w:rPr>
            </w:pPr>
            <w:r>
              <w:rPr>
                <w:rFonts w:hint="eastAsia"/>
                <w:szCs w:val="21"/>
              </w:rPr>
              <w:t>1.2</w:t>
            </w:r>
          </w:p>
        </w:tc>
        <w:tc>
          <w:tcPr>
            <w:tcW w:w="992" w:type="dxa"/>
            <w:tcBorders>
              <w:right w:val="single" w:color="auto" w:sz="4" w:space="0"/>
            </w:tcBorders>
            <w:noWrap/>
            <w:vAlign w:val="center"/>
          </w:tcPr>
          <w:p w14:paraId="6F96266D">
            <w:pPr>
              <w:jc w:val="center"/>
              <w:rPr>
                <w:szCs w:val="21"/>
              </w:rPr>
            </w:pPr>
            <w:r>
              <w:rPr>
                <w:rFonts w:hint="eastAsia"/>
                <w:szCs w:val="21"/>
              </w:rPr>
              <w:t>0.9</w:t>
            </w:r>
          </w:p>
        </w:tc>
        <w:tc>
          <w:tcPr>
            <w:tcW w:w="1214" w:type="dxa"/>
            <w:tcBorders>
              <w:left w:val="single" w:color="auto" w:sz="4" w:space="0"/>
              <w:right w:val="single" w:color="auto" w:sz="4" w:space="0"/>
            </w:tcBorders>
            <w:noWrap/>
            <w:vAlign w:val="center"/>
          </w:tcPr>
          <w:p w14:paraId="0579810F">
            <w:pPr>
              <w:jc w:val="center"/>
              <w:rPr>
                <w:szCs w:val="21"/>
              </w:rPr>
            </w:pPr>
            <w:r>
              <w:rPr>
                <w:rFonts w:hint="eastAsia"/>
                <w:szCs w:val="21"/>
              </w:rPr>
              <w:t>0.75</w:t>
            </w:r>
          </w:p>
        </w:tc>
        <w:tc>
          <w:tcPr>
            <w:tcW w:w="1338" w:type="dxa"/>
            <w:tcBorders>
              <w:left w:val="single" w:color="auto" w:sz="4" w:space="0"/>
            </w:tcBorders>
            <w:noWrap/>
            <w:vAlign w:val="center"/>
          </w:tcPr>
          <w:p w14:paraId="4E1BCDE8">
            <w:pPr>
              <w:jc w:val="center"/>
              <w:rPr>
                <w:szCs w:val="21"/>
              </w:rPr>
            </w:pPr>
            <w:r>
              <w:rPr>
                <w:rFonts w:hint="eastAsia"/>
                <w:szCs w:val="21"/>
              </w:rPr>
              <w:t>0.8</w:t>
            </w:r>
          </w:p>
        </w:tc>
      </w:tr>
    </w:tbl>
    <w:p w14:paraId="07FDC5F1">
      <w:pPr>
        <w:tabs>
          <w:tab w:val="left" w:pos="312"/>
        </w:tabs>
        <w:spacing w:line="400" w:lineRule="exact"/>
        <w:ind w:firstLine="480" w:firstLineChars="200"/>
        <w:rPr>
          <w:rFonts w:hint="eastAsia"/>
        </w:rPr>
      </w:pPr>
    </w:p>
    <w:p w14:paraId="56097857">
      <w:pPr>
        <w:tabs>
          <w:tab w:val="left" w:pos="312"/>
        </w:tabs>
        <w:spacing w:line="400" w:lineRule="exact"/>
        <w:ind w:firstLine="480" w:firstLineChars="200"/>
        <w:rPr>
          <w:rFonts w:hint="eastAsia"/>
        </w:rPr>
      </w:pPr>
      <w:r>
        <w:rPr>
          <w:rFonts w:hint="eastAsia"/>
        </w:rPr>
        <w:t>说明1.（1）评审服务费用按上表分档累进计费。（2）交通公路工程按上表打8折计费，水利和市政工程按上表打9折计费，单独委托的装饰、安装、园林绿化及仿古建筑工程项目专业系数1.2，其他项目专业系数均为1.0。（3）预算编制、预算审核的计费基数为预算审定造价。结算审核的计费基数为送审工程造价。工程变更按变更后图纸计算出的工程造价作为计算基数。结算复审的计费基数为结算审核的审定造价。（4）每件咨询服务合同按上述计算不足3000元的，按3000元计算。（5）因预算编审单位失误造成变更，由编制单位或审核单位审核变更，不收审核费。如变更与结算同步审核，结算审核单位不收变更审核费。（6）咨询服务费包括钢筋费用计算。</w:t>
      </w:r>
    </w:p>
    <w:p w14:paraId="27D6D01D">
      <w:pPr>
        <w:numPr>
          <w:ilvl w:val="0"/>
          <w:numId w:val="1"/>
        </w:numPr>
        <w:spacing w:line="400" w:lineRule="exact"/>
        <w:ind w:firstLine="480" w:firstLineChars="200"/>
      </w:pPr>
      <w:r>
        <w:rPr>
          <w:rFonts w:hint="eastAsia"/>
        </w:rPr>
        <w:t>服务费用以人民币元为结算单位。</w:t>
      </w:r>
    </w:p>
    <w:p w14:paraId="7F8222C7">
      <w:pPr>
        <w:numPr>
          <w:ilvl w:val="0"/>
          <w:numId w:val="1"/>
        </w:numPr>
        <w:spacing w:line="400" w:lineRule="exact"/>
        <w:ind w:firstLine="480" w:firstLineChars="200"/>
        <w:rPr>
          <w:rFonts w:hint="eastAsia"/>
          <w:u w:val="single"/>
        </w:rPr>
      </w:pPr>
      <w:r>
        <w:rPr>
          <w:rFonts w:hint="eastAsia"/>
        </w:rPr>
        <w:t>服务费支付时间：</w:t>
      </w:r>
      <w:r>
        <w:rPr>
          <w:rFonts w:hint="eastAsia"/>
          <w:u w:val="single"/>
        </w:rPr>
        <w:t>提供正式*预/结算*报告并经甲方复核完成，乙方开具增值税发票后，甲方支付基本服务费；</w:t>
      </w:r>
      <w:bookmarkStart w:id="20" w:name="_GoBack"/>
      <w:bookmarkEnd w:id="20"/>
    </w:p>
    <w:p w14:paraId="568496B1">
      <w:pPr>
        <w:spacing w:line="400" w:lineRule="exact"/>
        <w:ind w:firstLine="482" w:firstLineChars="200"/>
        <w:rPr>
          <w:rFonts w:hint="eastAsia"/>
          <w:b/>
        </w:rPr>
      </w:pPr>
    </w:p>
    <w:p w14:paraId="18F5AE52">
      <w:pPr>
        <w:spacing w:line="400" w:lineRule="exact"/>
        <w:ind w:firstLine="482" w:firstLineChars="200"/>
        <w:rPr>
          <w:b/>
          <w:bCs/>
        </w:rPr>
      </w:pPr>
      <w:r>
        <w:rPr>
          <w:rFonts w:hint="eastAsia"/>
          <w:b/>
        </w:rPr>
        <w:t>六、</w:t>
      </w:r>
      <w:bookmarkEnd w:id="11"/>
      <w:bookmarkEnd w:id="12"/>
      <w:r>
        <w:rPr>
          <w:rFonts w:hint="eastAsia"/>
          <w:b/>
          <w:bCs/>
        </w:rPr>
        <w:t>甲乙方权利和义务</w:t>
      </w:r>
    </w:p>
    <w:p w14:paraId="1C3243EF">
      <w:r>
        <w:rPr>
          <w:rFonts w:hint="eastAsia"/>
        </w:rPr>
        <w:t>（一）甲方权利义务</w:t>
      </w:r>
    </w:p>
    <w:p w14:paraId="1A619C37">
      <w:pPr>
        <w:ind w:firstLine="480" w:firstLineChars="200"/>
      </w:pPr>
      <w:r>
        <w:rPr>
          <w:rFonts w:hint="eastAsia"/>
        </w:rPr>
        <w:t>1、甲方权利：</w:t>
      </w:r>
    </w:p>
    <w:p w14:paraId="0E8CF1A2">
      <w:pPr>
        <w:ind w:firstLine="480" w:firstLineChars="200"/>
      </w:pPr>
      <w:r>
        <w:rPr>
          <w:rFonts w:hint="eastAsia"/>
        </w:rPr>
        <w:t>（1）在202</w:t>
      </w:r>
      <w:r>
        <w:rPr>
          <w:rFonts w:hint="eastAsia"/>
          <w:lang w:val="en-US" w:eastAsia="zh-CN"/>
        </w:rPr>
        <w:t>4</w:t>
      </w:r>
      <w:r>
        <w:rPr>
          <w:rFonts w:hint="eastAsia"/>
        </w:rPr>
        <w:t>~202</w:t>
      </w:r>
      <w:r>
        <w:rPr>
          <w:rFonts w:hint="eastAsia"/>
          <w:lang w:val="en-US" w:eastAsia="zh-CN"/>
        </w:rPr>
        <w:t>6</w:t>
      </w:r>
      <w:r>
        <w:rPr>
          <w:rFonts w:hint="eastAsia"/>
        </w:rPr>
        <w:t>年度临海市政府投资项目预结算评审服务20家入围供应商选择自行委托，有权要求乙方更换不称职或应回避的评审人员。</w:t>
      </w:r>
    </w:p>
    <w:p w14:paraId="2E76057A">
      <w:pPr>
        <w:ind w:firstLine="480" w:firstLineChars="200"/>
      </w:pPr>
      <w:r>
        <w:rPr>
          <w:rFonts w:hint="eastAsia"/>
        </w:rPr>
        <w:t>（2）在项目实施阶段要求乙方参加施工过程中与预算有关的一切活动。</w:t>
      </w:r>
    </w:p>
    <w:p w14:paraId="34091E88">
      <w:pPr>
        <w:ind w:firstLine="480" w:firstLineChars="200"/>
      </w:pPr>
      <w:r>
        <w:rPr>
          <w:rFonts w:hint="eastAsia"/>
        </w:rPr>
        <w:t>2、甲方义务</w:t>
      </w:r>
    </w:p>
    <w:p w14:paraId="622D86F4">
      <w:pPr>
        <w:ind w:firstLine="480" w:firstLineChars="200"/>
      </w:pPr>
      <w:r>
        <w:rPr>
          <w:rFonts w:hint="eastAsia"/>
        </w:rPr>
        <w:t>（1）提供预算编制所需资料，如立项文件、图审合格的施工图等，明确预算编制范围、暂列项目、无价材料的取定及结算方式等；</w:t>
      </w:r>
    </w:p>
    <w:p w14:paraId="1EB51D17">
      <w:pPr>
        <w:ind w:firstLine="480" w:firstLineChars="200"/>
      </w:pPr>
      <w:r>
        <w:rPr>
          <w:rFonts w:hint="eastAsia"/>
        </w:rPr>
        <w:t>（2）按合同约定支付服务费；</w:t>
      </w:r>
    </w:p>
    <w:p w14:paraId="0CFAE05B">
      <w:pPr>
        <w:ind w:firstLine="480" w:firstLineChars="200"/>
      </w:pPr>
      <w:r>
        <w:rPr>
          <w:rFonts w:hint="eastAsia"/>
        </w:rPr>
        <w:t>3、乙方权利</w:t>
      </w:r>
    </w:p>
    <w:p w14:paraId="046D4CB0">
      <w:pPr>
        <w:ind w:firstLine="480" w:firstLineChars="200"/>
      </w:pPr>
      <w:r>
        <w:rPr>
          <w:rFonts w:hint="eastAsia"/>
        </w:rPr>
        <w:t>（1）拒绝不符合国家法律、法规等行为的人为干涉预算编制工作。</w:t>
      </w:r>
    </w:p>
    <w:p w14:paraId="6F21649C">
      <w:pPr>
        <w:ind w:firstLine="480" w:firstLineChars="200"/>
      </w:pPr>
      <w:r>
        <w:rPr>
          <w:rFonts w:hint="eastAsia"/>
        </w:rPr>
        <w:t>（2）向甲方提出回避依法应回避的甲方代表。</w:t>
      </w:r>
    </w:p>
    <w:p w14:paraId="2278467F">
      <w:pPr>
        <w:ind w:firstLine="480" w:firstLineChars="200"/>
      </w:pPr>
      <w:r>
        <w:rPr>
          <w:rFonts w:hint="eastAsia"/>
        </w:rPr>
        <w:t>（3）要求甲方按合同支付服务费；</w:t>
      </w:r>
    </w:p>
    <w:p w14:paraId="3E43D6D1">
      <w:pPr>
        <w:ind w:firstLine="480" w:firstLineChars="200"/>
      </w:pPr>
      <w:r>
        <w:rPr>
          <w:rFonts w:hint="eastAsia"/>
        </w:rPr>
        <w:t>4、乙方义务</w:t>
      </w:r>
    </w:p>
    <w:p w14:paraId="2A4BC8B4">
      <w:pPr>
        <w:ind w:firstLine="480" w:firstLineChars="200"/>
      </w:pPr>
      <w:r>
        <w:rPr>
          <w:rFonts w:hint="eastAsia"/>
        </w:rPr>
        <w:t>（1）遵守《框架协议》的义务；</w:t>
      </w:r>
    </w:p>
    <w:p w14:paraId="67CCC94A">
      <w:pPr>
        <w:ind w:firstLine="480" w:firstLineChars="200"/>
      </w:pPr>
      <w:r>
        <w:rPr>
          <w:rFonts w:hint="eastAsia"/>
        </w:rPr>
        <w:t>（2）按要求在约定时间内完成预算编制；</w:t>
      </w:r>
    </w:p>
    <w:p w14:paraId="229B80EE">
      <w:pPr>
        <w:spacing w:line="420" w:lineRule="exact"/>
        <w:ind w:firstLine="480" w:firstLineChars="200"/>
      </w:pPr>
      <w:bookmarkStart w:id="13" w:name="_Toc422322477"/>
      <w:bookmarkStart w:id="14" w:name="_Toc419045057"/>
      <w:r>
        <w:rPr>
          <w:rFonts w:hint="eastAsia"/>
        </w:rPr>
        <w:t>（3）合同签订后3个工作日内将本合同上传至临海市财政项目预算审核中心管理系统、政采云平台。</w:t>
      </w:r>
    </w:p>
    <w:p w14:paraId="46546B1E">
      <w:pPr>
        <w:spacing w:line="420" w:lineRule="exact"/>
        <w:ind w:firstLine="482" w:firstLineChars="200"/>
        <w:rPr>
          <w:rFonts w:hint="eastAsia"/>
          <w:b/>
        </w:rPr>
      </w:pPr>
    </w:p>
    <w:p w14:paraId="5F4D701C">
      <w:pPr>
        <w:spacing w:line="420" w:lineRule="exact"/>
        <w:ind w:firstLine="482" w:firstLineChars="200"/>
        <w:rPr>
          <w:b/>
        </w:rPr>
      </w:pPr>
      <w:r>
        <w:rPr>
          <w:rFonts w:hint="eastAsia"/>
          <w:b/>
        </w:rPr>
        <w:t>七、</w:t>
      </w:r>
      <w:bookmarkEnd w:id="13"/>
      <w:bookmarkEnd w:id="14"/>
      <w:bookmarkStart w:id="15" w:name="8"/>
      <w:r>
        <w:rPr>
          <w:rFonts w:hint="eastAsia"/>
          <w:b/>
        </w:rPr>
        <w:t>甲乙双方联系人</w:t>
      </w:r>
    </w:p>
    <w:p w14:paraId="6B36186D">
      <w:pPr>
        <w:spacing w:line="420" w:lineRule="exact"/>
        <w:ind w:firstLine="480" w:firstLineChars="200"/>
      </w:pPr>
      <w:r>
        <w:rPr>
          <w:rFonts w:hint="eastAsia"/>
        </w:rPr>
        <w:t xml:space="preserve">甲方联系人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联系电话</w:t>
      </w:r>
      <w:bookmarkEnd w:id="15"/>
      <w:bookmarkStart w:id="16" w:name="_Toc422322478"/>
      <w:bookmarkStart w:id="17" w:name="_Toc419045063"/>
      <w:r>
        <w:rPr>
          <w:rFonts w:hint="eastAsia"/>
          <w:u w:val="single"/>
        </w:rPr>
        <w:tab/>
      </w:r>
      <w:r>
        <w:rPr>
          <w:rFonts w:hint="eastAsia"/>
          <w:u w:val="single"/>
          <w:lang w:val="en-US" w:eastAsia="zh-CN"/>
        </w:rPr>
        <w:t xml:space="preserve">               </w:t>
      </w:r>
      <w:r>
        <w:rPr>
          <w:rFonts w:hint="eastAsia"/>
          <w:u w:val="single"/>
        </w:rPr>
        <w:t xml:space="preserve"> </w:t>
      </w:r>
      <w:r>
        <w:rPr>
          <w:rFonts w:hint="eastAsia"/>
        </w:rPr>
        <w:t>。</w:t>
      </w:r>
    </w:p>
    <w:p w14:paraId="2437A3D5">
      <w:pPr>
        <w:spacing w:line="420" w:lineRule="exact"/>
        <w:ind w:firstLine="480" w:firstLineChars="200"/>
        <w:rPr>
          <w:rFonts w:hint="eastAsia"/>
        </w:rPr>
      </w:pPr>
      <w:r>
        <w:rPr>
          <w:rFonts w:hint="eastAsia"/>
        </w:rPr>
        <w:t>乙方具体项目负责人</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联系电</w:t>
      </w:r>
      <w:r>
        <w:rPr>
          <w:rFonts w:hint="eastAsia"/>
          <w:lang w:val="en-US" w:eastAsia="zh-CN"/>
        </w:rPr>
        <w:t>话</w:t>
      </w:r>
      <w:r>
        <w:rPr>
          <w:rFonts w:hint="eastAsia"/>
          <w:u w:val="single"/>
          <w:lang w:val="en-US" w:eastAsia="zh-CN"/>
        </w:rPr>
        <w:t xml:space="preserve">               </w:t>
      </w:r>
      <w:r>
        <w:rPr>
          <w:rFonts w:hint="eastAsia"/>
          <w:u w:val="single"/>
        </w:rPr>
        <w:t xml:space="preserve">  </w:t>
      </w:r>
      <w:r>
        <w:rPr>
          <w:rFonts w:hint="eastAsia"/>
        </w:rPr>
        <w:t>。</w:t>
      </w:r>
    </w:p>
    <w:p w14:paraId="3CC8F636">
      <w:pPr>
        <w:spacing w:line="420" w:lineRule="exact"/>
        <w:ind w:firstLine="480" w:firstLineChars="200"/>
        <w:rPr>
          <w:rFonts w:hint="eastAsia"/>
        </w:rPr>
      </w:pPr>
    </w:p>
    <w:p w14:paraId="6122A7FB">
      <w:pPr>
        <w:numPr>
          <w:ilvl w:val="0"/>
          <w:numId w:val="2"/>
        </w:numPr>
        <w:spacing w:line="420" w:lineRule="exact"/>
        <w:ind w:firstLine="482" w:firstLineChars="200"/>
        <w:rPr>
          <w:b/>
        </w:rPr>
      </w:pPr>
      <w:r>
        <w:rPr>
          <w:rFonts w:hint="eastAsia"/>
          <w:b/>
        </w:rPr>
        <w:t>合同</w:t>
      </w:r>
      <w:bookmarkEnd w:id="16"/>
      <w:bookmarkEnd w:id="17"/>
      <w:r>
        <w:rPr>
          <w:rFonts w:hint="eastAsia"/>
          <w:b/>
          <w:bCs/>
        </w:rPr>
        <w:t>生效、变更、终止</w:t>
      </w:r>
    </w:p>
    <w:p w14:paraId="3F9726FD">
      <w:pPr>
        <w:spacing w:line="400" w:lineRule="exact"/>
        <w:ind w:firstLine="480" w:firstLineChars="200"/>
      </w:pPr>
      <w:r>
        <w:rPr>
          <w:rFonts w:hint="eastAsia"/>
        </w:rPr>
        <w:t>1、本合同</w:t>
      </w:r>
      <w:bookmarkStart w:id="18" w:name="_Toc419045065"/>
      <w:bookmarkStart w:id="19" w:name="_Toc422322480"/>
      <w:r>
        <w:rPr>
          <w:rFonts w:hint="eastAsia"/>
        </w:rPr>
        <w:t>自甲乙双方法定代表人或委托代理人签字并加盖单位公章之日起生效。</w:t>
      </w:r>
    </w:p>
    <w:p w14:paraId="0795FB2F">
      <w:pPr>
        <w:spacing w:line="400" w:lineRule="exact"/>
        <w:ind w:firstLine="480" w:firstLineChars="200"/>
      </w:pPr>
      <w:r>
        <w:rPr>
          <w:rFonts w:hint="eastAsia"/>
        </w:rPr>
        <w:t>2</w:t>
      </w:r>
      <w:r>
        <w:rPr>
          <w:rFonts w:hint="eastAsia"/>
          <w:lang w:eastAsia="zh-CN"/>
        </w:rPr>
        <w:t>、</w:t>
      </w:r>
      <w:r>
        <w:rPr>
          <w:rFonts w:hint="eastAsia"/>
        </w:rPr>
        <w:t>本合同履行期间，如需变更，由甲乙双方另行协商并签订书面的补充合同。</w:t>
      </w:r>
    </w:p>
    <w:p w14:paraId="6F592629">
      <w:pPr>
        <w:spacing w:line="420" w:lineRule="exact"/>
        <w:ind w:firstLine="480" w:firstLineChars="200"/>
      </w:pPr>
      <w:r>
        <w:rPr>
          <w:rFonts w:hint="eastAsia"/>
        </w:rPr>
        <w:t>3、本合同的终止适用《中华人民共和国民法典》第五百五十七条等相关规定。</w:t>
      </w:r>
    </w:p>
    <w:p w14:paraId="23CAF640">
      <w:pPr>
        <w:spacing w:line="420" w:lineRule="exact"/>
        <w:ind w:firstLine="482" w:firstLineChars="200"/>
        <w:rPr>
          <w:rFonts w:hint="eastAsia"/>
          <w:b/>
        </w:rPr>
      </w:pPr>
    </w:p>
    <w:p w14:paraId="62A8485F">
      <w:pPr>
        <w:spacing w:line="420" w:lineRule="exact"/>
        <w:ind w:firstLine="482" w:firstLineChars="200"/>
        <w:rPr>
          <w:b/>
        </w:rPr>
      </w:pPr>
      <w:r>
        <w:rPr>
          <w:rFonts w:hint="eastAsia"/>
          <w:b/>
          <w:lang w:val="en-US" w:eastAsia="zh-CN"/>
        </w:rPr>
        <w:t>九</w:t>
      </w:r>
      <w:r>
        <w:rPr>
          <w:rFonts w:hint="eastAsia"/>
          <w:b/>
        </w:rPr>
        <w:t>、</w:t>
      </w:r>
      <w:bookmarkEnd w:id="18"/>
      <w:bookmarkEnd w:id="19"/>
      <w:r>
        <w:rPr>
          <w:rFonts w:hint="eastAsia"/>
          <w:b/>
        </w:rPr>
        <w:t>违约责任</w:t>
      </w:r>
    </w:p>
    <w:p w14:paraId="1C7D7F33">
      <w:pPr>
        <w:spacing w:line="400" w:lineRule="exact"/>
        <w:ind w:firstLine="480" w:firstLineChars="200"/>
      </w:pPr>
      <w:r>
        <w:rPr>
          <w:rFonts w:hint="eastAsia"/>
        </w:rPr>
        <w:t>1、乙方的评审人员如滥用职权、徇私舞弊、玩忽职守，尚不够成犯罪但造成损失的，甲方将依法追究乙方的经济责任；如构成犯罪的，依法追究乙方的刑事责任。</w:t>
      </w:r>
    </w:p>
    <w:p w14:paraId="367F8C4E">
      <w:pPr>
        <w:spacing w:line="400" w:lineRule="exact"/>
        <w:ind w:firstLine="480" w:firstLineChars="200"/>
      </w:pPr>
      <w:r>
        <w:rPr>
          <w:rFonts w:hint="eastAsia"/>
        </w:rPr>
        <w:t>2．因乙方原因导致评审结果有严重错误，并造成甲方损失的，乙方应承担相应的赔偿</w:t>
      </w:r>
      <w:r>
        <w:rPr>
          <w:rFonts w:hint="eastAsia"/>
          <w:b/>
        </w:rPr>
        <w:t>损失</w:t>
      </w:r>
      <w:r>
        <w:rPr>
          <w:rFonts w:hint="eastAsia"/>
        </w:rPr>
        <w:t>等</w:t>
      </w:r>
      <w:r>
        <w:t>法律</w:t>
      </w:r>
      <w:r>
        <w:rPr>
          <w:rFonts w:hint="eastAsia"/>
        </w:rPr>
        <w:t>责任。</w:t>
      </w:r>
    </w:p>
    <w:p w14:paraId="53A8C66F">
      <w:pPr>
        <w:spacing w:line="420" w:lineRule="exact"/>
        <w:ind w:firstLine="480" w:firstLineChars="200"/>
      </w:pPr>
      <w:r>
        <w:rPr>
          <w:rFonts w:hint="eastAsia"/>
        </w:rPr>
        <w:t>3、预算编制逾期、误差率超过承诺误差率，乙方不得收取服务费，并按《框架协议》接受违约处理。</w:t>
      </w:r>
    </w:p>
    <w:p w14:paraId="6638E387">
      <w:pPr>
        <w:spacing w:line="420" w:lineRule="exact"/>
        <w:ind w:firstLine="482" w:firstLineChars="200"/>
        <w:rPr>
          <w:b/>
          <w:bCs/>
        </w:rPr>
      </w:pPr>
      <w:r>
        <w:rPr>
          <w:rFonts w:hint="eastAsia"/>
          <w:b/>
          <w:bCs/>
          <w:lang w:val="en-US" w:eastAsia="zh-CN"/>
        </w:rPr>
        <w:t>十</w:t>
      </w:r>
      <w:r>
        <w:rPr>
          <w:rFonts w:hint="eastAsia"/>
          <w:b/>
          <w:bCs/>
        </w:rPr>
        <w:t>、</w:t>
      </w:r>
      <w:r>
        <w:rPr>
          <w:rFonts w:hint="eastAsia"/>
        </w:rPr>
        <w:t>因履行本协议产生的或与本协议有关的任何争议，应由甲乙双方友好协商解决，协商不成的，任何一方有权将争议提交至甲方所在地区人民法院解决。</w:t>
      </w:r>
    </w:p>
    <w:p w14:paraId="7E6321B2">
      <w:pPr>
        <w:spacing w:line="420" w:lineRule="exact"/>
        <w:ind w:firstLine="495"/>
        <w:rPr>
          <w:b/>
          <w:bCs/>
        </w:rPr>
      </w:pPr>
      <w:r>
        <w:rPr>
          <w:rFonts w:hint="eastAsia"/>
          <w:b/>
          <w:bCs/>
        </w:rPr>
        <w:t>十</w:t>
      </w:r>
      <w:r>
        <w:rPr>
          <w:rFonts w:hint="eastAsia"/>
          <w:b/>
          <w:bCs/>
          <w:lang w:val="en-US" w:eastAsia="zh-CN"/>
        </w:rPr>
        <w:t>一</w:t>
      </w:r>
      <w:r>
        <w:rPr>
          <w:rFonts w:hint="eastAsia"/>
          <w:b/>
          <w:bCs/>
        </w:rPr>
        <w:t>、</w:t>
      </w:r>
      <w:r>
        <w:rPr>
          <w:rFonts w:hint="eastAsia"/>
          <w:bCs/>
        </w:rPr>
        <w:t>本协议</w:t>
      </w:r>
      <w:r>
        <w:rPr>
          <w:bCs/>
        </w:rPr>
        <w:t>一式</w:t>
      </w:r>
      <w:r>
        <w:rPr>
          <w:rFonts w:hint="eastAsia"/>
          <w:bCs/>
          <w:u w:val="single"/>
        </w:rPr>
        <w:t xml:space="preserve"> </w:t>
      </w:r>
      <w:r>
        <w:rPr>
          <w:rFonts w:hint="eastAsia"/>
          <w:bCs/>
          <w:u w:val="single"/>
          <w:lang w:eastAsia="zh-CN"/>
        </w:rPr>
        <w:t>肆</w:t>
      </w:r>
      <w:r>
        <w:rPr>
          <w:rFonts w:hint="eastAsia"/>
          <w:bCs/>
          <w:u w:val="single"/>
        </w:rPr>
        <w:t xml:space="preserve"> </w:t>
      </w:r>
      <w:r>
        <w:rPr>
          <w:rFonts w:hint="eastAsia"/>
          <w:bCs/>
        </w:rPr>
        <w:t>份</w:t>
      </w:r>
      <w:r>
        <w:rPr>
          <w:bCs/>
        </w:rPr>
        <w:t>，甲方执</w:t>
      </w:r>
      <w:r>
        <w:rPr>
          <w:rFonts w:hint="eastAsia"/>
          <w:bCs/>
          <w:u w:val="single"/>
        </w:rPr>
        <w:t xml:space="preserve"> </w:t>
      </w:r>
      <w:r>
        <w:rPr>
          <w:rFonts w:hint="eastAsia"/>
          <w:bCs/>
          <w:u w:val="single"/>
          <w:lang w:eastAsia="zh-CN"/>
        </w:rPr>
        <w:t>贰</w:t>
      </w:r>
      <w:r>
        <w:rPr>
          <w:rFonts w:hint="eastAsia"/>
          <w:bCs/>
          <w:u w:val="single"/>
        </w:rPr>
        <w:t xml:space="preserve"> </w:t>
      </w:r>
      <w:r>
        <w:rPr>
          <w:rFonts w:hint="eastAsia"/>
          <w:bCs/>
        </w:rPr>
        <w:t>份，乙</w:t>
      </w:r>
      <w:r>
        <w:rPr>
          <w:bCs/>
        </w:rPr>
        <w:t>方执</w:t>
      </w:r>
      <w:r>
        <w:rPr>
          <w:rFonts w:hint="eastAsia"/>
          <w:bCs/>
          <w:u w:val="single"/>
        </w:rPr>
        <w:t xml:space="preserve"> </w:t>
      </w:r>
      <w:r>
        <w:rPr>
          <w:rFonts w:hint="eastAsia"/>
          <w:bCs/>
          <w:u w:val="single"/>
          <w:lang w:eastAsia="zh-CN"/>
        </w:rPr>
        <w:t>贰</w:t>
      </w:r>
      <w:r>
        <w:rPr>
          <w:rFonts w:hint="eastAsia"/>
          <w:bCs/>
          <w:u w:val="single"/>
        </w:rPr>
        <w:t xml:space="preserve"> </w:t>
      </w:r>
      <w:r>
        <w:rPr>
          <w:rFonts w:hint="eastAsia"/>
          <w:bCs/>
        </w:rPr>
        <w:t>份。</w:t>
      </w:r>
    </w:p>
    <w:p w14:paraId="2EAE88B2">
      <w:pPr>
        <w:spacing w:line="420" w:lineRule="exact"/>
        <w:ind w:firstLine="495"/>
        <w:rPr>
          <w:bCs/>
        </w:rPr>
      </w:pPr>
      <w:r>
        <w:rPr>
          <w:rFonts w:hint="eastAsia"/>
          <w:b/>
          <w:bCs/>
        </w:rPr>
        <w:t>十</w:t>
      </w:r>
      <w:r>
        <w:rPr>
          <w:rFonts w:hint="eastAsia"/>
          <w:b/>
          <w:bCs/>
          <w:lang w:val="en-US" w:eastAsia="zh-CN"/>
        </w:rPr>
        <w:t>二</w:t>
      </w:r>
      <w:r>
        <w:rPr>
          <w:rFonts w:hint="eastAsia"/>
          <w:b/>
          <w:bCs/>
        </w:rPr>
        <w:t>、</w:t>
      </w:r>
      <w:r>
        <w:rPr>
          <w:rFonts w:hint="eastAsia"/>
          <w:bCs/>
        </w:rPr>
        <w:t>本协议未尽事宜均遵照国家有关法律、法规、规章等，或双方另行议定补充协议。</w:t>
      </w:r>
    </w:p>
    <w:p w14:paraId="1637FA85">
      <w:pPr>
        <w:spacing w:line="420" w:lineRule="exact"/>
        <w:ind w:firstLine="495"/>
        <w:rPr>
          <w:rFonts w:hint="eastAsia"/>
          <w:b/>
          <w:bCs w:val="0"/>
        </w:rPr>
      </w:pPr>
    </w:p>
    <w:p w14:paraId="6E08DF34">
      <w:pPr>
        <w:spacing w:line="420" w:lineRule="exact"/>
        <w:ind w:firstLine="495"/>
        <w:rPr>
          <w:rFonts w:hint="eastAsia"/>
          <w:b/>
          <w:bCs w:val="0"/>
        </w:rPr>
      </w:pPr>
    </w:p>
    <w:p w14:paraId="008A3459">
      <w:pPr>
        <w:spacing w:line="420" w:lineRule="exact"/>
        <w:ind w:firstLine="495"/>
        <w:rPr>
          <w:rFonts w:hint="eastAsia" w:eastAsia="宋体"/>
          <w:bCs/>
          <w:lang w:val="en-US" w:eastAsia="zh-CN"/>
        </w:rPr>
      </w:pPr>
      <w:r>
        <w:rPr>
          <w:rFonts w:hint="eastAsia"/>
          <w:b/>
          <w:bCs w:val="0"/>
        </w:rPr>
        <w:t>十</w:t>
      </w:r>
      <w:r>
        <w:rPr>
          <w:rFonts w:hint="eastAsia"/>
          <w:b/>
          <w:bCs w:val="0"/>
          <w:lang w:val="en-US" w:eastAsia="zh-CN"/>
        </w:rPr>
        <w:t>三</w:t>
      </w:r>
      <w:r>
        <w:rPr>
          <w:rFonts w:hint="eastAsia"/>
          <w:b/>
          <w:bCs w:val="0"/>
        </w:rPr>
        <w:t>、其他</w:t>
      </w:r>
    </w:p>
    <w:p w14:paraId="2285AC63">
      <w:pPr>
        <w:spacing w:line="420" w:lineRule="exact"/>
        <w:jc w:val="distribute"/>
      </w:pPr>
      <w:r>
        <w:rPr>
          <w:rFonts w:hint="eastAsia"/>
        </w:rPr>
        <w:t>委托人（盖章）</w:t>
      </w:r>
      <w:r>
        <w:rPr>
          <w:rFonts w:hint="eastAsia"/>
          <w:b w:val="0"/>
          <w:bCs w:val="0"/>
        </w:rPr>
        <w:t>：</w:t>
      </w:r>
      <w:r>
        <w:rPr>
          <w:rFonts w:hint="eastAsia"/>
          <w:b w:val="0"/>
          <w:bCs w:val="0"/>
          <w:u w:val="single"/>
        </w:rPr>
        <w:t xml:space="preserve">      </w:t>
      </w:r>
      <w:r>
        <w:rPr>
          <w:rFonts w:hint="eastAsia"/>
          <w:u w:val="single"/>
        </w:rPr>
        <w:t xml:space="preserve">  </w:t>
      </w:r>
      <w:r>
        <w:rPr>
          <w:rFonts w:hint="eastAsia"/>
          <w:u w:val="single"/>
          <w:lang w:val="en-US" w:eastAsia="zh-CN"/>
        </w:rPr>
        <w:t xml:space="preserve">    </w:t>
      </w:r>
      <w:r>
        <w:rPr>
          <w:rFonts w:hint="eastAsia"/>
          <w:u w:val="none"/>
          <w:lang w:val="en-US" w:eastAsia="zh-CN"/>
        </w:rPr>
        <w:t xml:space="preserve">              </w:t>
      </w:r>
      <w:r>
        <w:rPr>
          <w:rFonts w:hint="eastAsia"/>
        </w:rPr>
        <w:t>受托人（盖章）：</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b/>
          <w:bCs/>
          <w:u w:val="none"/>
        </w:rPr>
        <w:t>_</w:t>
      </w:r>
      <w:r>
        <w:rPr>
          <w:rFonts w:hint="eastAsia"/>
        </w:rPr>
        <w:t xml:space="preserve">                                   </w:t>
      </w:r>
    </w:p>
    <w:p w14:paraId="08E0B3C4">
      <w:pPr>
        <w:spacing w:line="420" w:lineRule="exact"/>
        <w:jc w:val="distribute"/>
      </w:pPr>
      <w:r>
        <w:rPr>
          <w:rFonts w:hint="eastAsia"/>
        </w:rPr>
        <w:t>法定代表人或其授权的代理人                法定代表人或其授权的代理</w:t>
      </w:r>
      <w:r>
        <w:rPr>
          <w:rFonts w:hint="eastAsia"/>
          <w:lang w:val="en-US" w:eastAsia="zh-CN"/>
        </w:rPr>
        <w:t xml:space="preserve"> </w:t>
      </w:r>
      <w:r>
        <w:rPr>
          <w:rFonts w:hint="eastAsia"/>
        </w:rPr>
        <w:t>人</w:t>
      </w:r>
    </w:p>
    <w:p w14:paraId="5745A371">
      <w:pPr>
        <w:spacing w:line="420" w:lineRule="exact"/>
        <w:jc w:val="distribute"/>
      </w:pPr>
      <w:r>
        <w:rPr>
          <w:rFonts w:hint="eastAsia"/>
        </w:rPr>
        <w:t>（签字或盖章）：</w:t>
      </w:r>
      <w:r>
        <w:rPr>
          <w:rFonts w:hint="eastAsia"/>
          <w:u w:val="single"/>
        </w:rPr>
        <w:t xml:space="preserve">         </w:t>
      </w:r>
      <w:r>
        <w:rPr>
          <w:rFonts w:hint="eastAsia"/>
        </w:rPr>
        <w:t xml:space="preserve">               （签字或盖章）：</w:t>
      </w:r>
      <w:r>
        <w:rPr>
          <w:rFonts w:hint="eastAsia"/>
          <w:u w:val="single"/>
        </w:rPr>
        <w:t xml:space="preserve">         </w:t>
      </w:r>
      <w:r>
        <w:rPr>
          <w:rFonts w:hint="eastAsia"/>
          <w:u w:val="none"/>
        </w:rPr>
        <w:t>_</w:t>
      </w:r>
      <w:r>
        <w:rPr>
          <w:rFonts w:hint="eastAsia"/>
        </w:rPr>
        <w:t xml:space="preserve">  </w:t>
      </w:r>
    </w:p>
    <w:p w14:paraId="26220299">
      <w:pPr>
        <w:spacing w:line="420" w:lineRule="exact"/>
        <w:jc w:val="distribute"/>
      </w:pPr>
      <w:r>
        <w:rPr>
          <w:rFonts w:hint="eastAsia"/>
        </w:rPr>
        <w:t>统一社会信用代码：</w:t>
      </w:r>
      <w:r>
        <w:rPr>
          <w:rFonts w:hint="eastAsia"/>
          <w:u w:val="single"/>
        </w:rPr>
        <w:t xml:space="preserve">         </w:t>
      </w:r>
      <w:r>
        <w:rPr>
          <w:rFonts w:hint="eastAsia"/>
        </w:rPr>
        <w:t xml:space="preserve">           统一社会信用代码：</w:t>
      </w:r>
      <w:r>
        <w:rPr>
          <w:rFonts w:hint="eastAsia"/>
          <w:u w:val="single"/>
        </w:rPr>
        <w:t xml:space="preserve">         ___</w:t>
      </w:r>
      <w:r>
        <w:rPr>
          <w:rFonts w:hint="eastAsia"/>
        </w:rPr>
        <w:t xml:space="preserve">  </w:t>
      </w:r>
    </w:p>
    <w:p w14:paraId="7FC95F2C">
      <w:pPr>
        <w:spacing w:line="420" w:lineRule="exact"/>
        <w:jc w:val="distribute"/>
      </w:pPr>
      <w:r>
        <w:rPr>
          <w:rFonts w:hint="eastAsia"/>
        </w:rPr>
        <w:t>账号：</w:t>
      </w:r>
      <w:r>
        <w:rPr>
          <w:rFonts w:hint="eastAsia"/>
          <w:u w:val="single"/>
        </w:rPr>
        <w:t xml:space="preserve">             </w:t>
      </w:r>
      <w:r>
        <w:rPr>
          <w:rFonts w:hint="eastAsia"/>
        </w:rPr>
        <w:t xml:space="preserve">           账号：</w:t>
      </w:r>
      <w:r>
        <w:rPr>
          <w:rFonts w:hint="eastAsia"/>
          <w:u w:val="single"/>
        </w:rPr>
        <w:t xml:space="preserve">             </w:t>
      </w:r>
      <w:r>
        <w:rPr>
          <w:rFonts w:hint="eastAsia"/>
          <w:u w:val="none"/>
        </w:rPr>
        <w:t>_</w:t>
      </w:r>
      <w:r>
        <w:rPr>
          <w:rFonts w:hint="eastAsia"/>
        </w:rPr>
        <w:t xml:space="preserve">  </w:t>
      </w:r>
    </w:p>
    <w:p w14:paraId="12CFD834">
      <w:pPr>
        <w:spacing w:line="420" w:lineRule="exact"/>
        <w:jc w:val="distribute"/>
      </w:pPr>
      <w:r>
        <w:rPr>
          <w:rFonts w:hint="eastAsia"/>
        </w:rPr>
        <w:t>开户银行：</w:t>
      </w:r>
      <w:r>
        <w:rPr>
          <w:rFonts w:hint="eastAsia"/>
          <w:u w:val="single"/>
        </w:rPr>
        <w:t xml:space="preserve">         </w:t>
      </w:r>
      <w:r>
        <w:rPr>
          <w:rFonts w:hint="eastAsia"/>
        </w:rPr>
        <w:t xml:space="preserve">           开户银行：</w:t>
      </w:r>
      <w:r>
        <w:rPr>
          <w:rFonts w:hint="eastAsia"/>
          <w:u w:val="single"/>
        </w:rPr>
        <w:t xml:space="preserve">         </w:t>
      </w:r>
      <w:r>
        <w:rPr>
          <w:rFonts w:hint="eastAsia"/>
          <w:u w:val="none"/>
        </w:rPr>
        <w:t>_</w:t>
      </w:r>
      <w:r>
        <w:rPr>
          <w:rFonts w:hint="eastAsia"/>
        </w:rPr>
        <w:t xml:space="preserve">  </w:t>
      </w:r>
    </w:p>
    <w:p w14:paraId="061F8630">
      <w:pPr>
        <w:spacing w:line="420" w:lineRule="exact"/>
        <w:jc w:val="distribute"/>
      </w:pPr>
      <w:r>
        <w:rPr>
          <w:rFonts w:hint="eastAsia"/>
        </w:rPr>
        <w:t>邮政编码：</w:t>
      </w:r>
      <w:r>
        <w:rPr>
          <w:rFonts w:hint="eastAsia"/>
          <w:u w:val="single"/>
        </w:rPr>
        <w:t xml:space="preserve">         </w:t>
      </w:r>
      <w:r>
        <w:rPr>
          <w:rFonts w:hint="eastAsia"/>
        </w:rPr>
        <w:t xml:space="preserve">           邮政编码：</w:t>
      </w:r>
      <w:r>
        <w:rPr>
          <w:rFonts w:hint="eastAsia"/>
          <w:u w:val="single"/>
        </w:rPr>
        <w:t xml:space="preserve">         </w:t>
      </w:r>
      <w:r>
        <w:rPr>
          <w:rFonts w:hint="eastAsia"/>
          <w:u w:val="none"/>
        </w:rPr>
        <w:t>_</w:t>
      </w:r>
      <w:r>
        <w:rPr>
          <w:rFonts w:hint="eastAsia"/>
        </w:rPr>
        <w:t xml:space="preserve">  </w:t>
      </w:r>
      <w:r>
        <w:rPr>
          <w:rFonts w:hint="eastAsia"/>
        </w:rPr>
        <w:br w:type="textWrapping"/>
      </w:r>
      <w:r>
        <w:rPr>
          <w:rFonts w:hint="eastAsia"/>
        </w:rPr>
        <w:t>电    话：</w:t>
      </w:r>
      <w:r>
        <w:rPr>
          <w:rFonts w:hint="eastAsia"/>
          <w:u w:val="single"/>
        </w:rPr>
        <w:t xml:space="preserve">         </w:t>
      </w:r>
      <w:r>
        <w:rPr>
          <w:rFonts w:hint="eastAsia"/>
        </w:rPr>
        <w:t xml:space="preserve">           电    话：</w:t>
      </w:r>
      <w:r>
        <w:rPr>
          <w:rFonts w:hint="eastAsia"/>
          <w:u w:val="single"/>
        </w:rPr>
        <w:t xml:space="preserve">         </w:t>
      </w:r>
      <w:r>
        <w:rPr>
          <w:rFonts w:hint="eastAsia"/>
          <w:u w:val="none"/>
        </w:rPr>
        <w:t>_</w:t>
      </w:r>
      <w:r>
        <w:rPr>
          <w:rFonts w:hint="eastAsia"/>
        </w:rPr>
        <w:t xml:space="preserve">  </w:t>
      </w:r>
    </w:p>
    <w:p w14:paraId="3170999C">
      <w:pPr>
        <w:spacing w:line="420" w:lineRule="exact"/>
        <w:jc w:val="distribute"/>
      </w:pPr>
      <w:r>
        <w:rPr>
          <w:rFonts w:hint="eastAsia"/>
        </w:rPr>
        <w:t>电子信箱：</w:t>
      </w:r>
      <w:r>
        <w:rPr>
          <w:rFonts w:hint="eastAsia"/>
          <w:u w:val="single"/>
        </w:rPr>
        <w:t xml:space="preserve">         </w:t>
      </w:r>
      <w:r>
        <w:rPr>
          <w:rFonts w:hint="eastAsia"/>
        </w:rPr>
        <w:t xml:space="preserve">           电子信箱：</w:t>
      </w:r>
      <w:r>
        <w:rPr>
          <w:rFonts w:hint="eastAsia"/>
          <w:u w:val="single"/>
        </w:rPr>
        <w:t xml:space="preserve">         </w:t>
      </w:r>
      <w:r>
        <w:rPr>
          <w:rFonts w:hint="eastAsia"/>
          <w:u w:val="none"/>
        </w:rPr>
        <w:t>_</w:t>
      </w:r>
      <w:r>
        <w:rPr>
          <w:rFonts w:hint="eastAsia"/>
        </w:rPr>
        <w:t xml:space="preserve">  </w:t>
      </w:r>
    </w:p>
    <w:p w14:paraId="3050CA20">
      <w:pPr>
        <w:spacing w:line="420" w:lineRule="exact"/>
        <w:jc w:val="distribute"/>
      </w:pPr>
    </w:p>
    <w:p w14:paraId="24EF26EA">
      <w:pPr>
        <w:ind w:left="5060" w:hanging="5060" w:hangingChars="2100"/>
        <w:rPr>
          <w:rFonts w:hint="eastAsia" w:eastAsia="宋体"/>
          <w:b/>
          <w:color w:val="auto"/>
          <w:lang w:eastAsia="zh-CN"/>
        </w:rPr>
      </w:pPr>
      <w:r>
        <w:rPr>
          <w:rFonts w:hint="eastAsia"/>
          <w:b/>
        </w:rPr>
        <w:t>签订时间：</w:t>
      </w:r>
      <w:r>
        <w:rPr>
          <w:rFonts w:hint="eastAsia"/>
          <w:b/>
          <w:u w:val="single"/>
        </w:rPr>
        <w:t xml:space="preserve">   </w:t>
      </w:r>
      <w:r>
        <w:rPr>
          <w:rFonts w:hint="eastAsia"/>
          <w:b/>
          <w:u w:val="single"/>
          <w:lang w:val="en-US" w:eastAsia="zh-CN"/>
        </w:rPr>
        <w:t xml:space="preserve"> </w:t>
      </w:r>
      <w:r>
        <w:rPr>
          <w:rFonts w:hint="eastAsia"/>
          <w:b/>
        </w:rPr>
        <w:t xml:space="preserve">年 </w:t>
      </w:r>
      <w:r>
        <w:rPr>
          <w:rFonts w:hint="eastAsia"/>
          <w:b/>
          <w:u w:val="single"/>
        </w:rPr>
        <w:t xml:space="preserve">   </w:t>
      </w:r>
      <w:r>
        <w:rPr>
          <w:rFonts w:hint="eastAsia"/>
          <w:b/>
        </w:rPr>
        <w:t xml:space="preserve">月 </w:t>
      </w:r>
      <w:r>
        <w:rPr>
          <w:rFonts w:hint="eastAsia"/>
          <w:b/>
          <w:u w:val="single"/>
        </w:rPr>
        <w:t xml:space="preserve">  </w:t>
      </w:r>
      <w:r>
        <w:rPr>
          <w:rFonts w:hint="eastAsia"/>
          <w:b/>
        </w:rPr>
        <w:t xml:space="preserve">日  </w:t>
      </w:r>
      <w:r>
        <w:rPr>
          <w:rFonts w:hint="eastAsia"/>
          <w:b/>
          <w:lang w:val="en-US" w:eastAsia="zh-CN"/>
        </w:rPr>
        <w:t xml:space="preserve">          </w:t>
      </w:r>
      <w:r>
        <w:rPr>
          <w:rFonts w:hint="eastAsia"/>
          <w:b/>
        </w:rPr>
        <w:t>签订时间：</w:t>
      </w:r>
      <w:r>
        <w:rPr>
          <w:rFonts w:hint="eastAsia"/>
          <w:b/>
          <w:lang w:val="en-US" w:eastAsia="zh-CN"/>
        </w:rPr>
        <w:t xml:space="preserve"> </w:t>
      </w:r>
      <w:r>
        <w:rPr>
          <w:rFonts w:hint="eastAsia"/>
          <w:b/>
          <w:u w:val="single"/>
          <w:lang w:val="en-US" w:eastAsia="zh-CN"/>
        </w:rPr>
        <w:t xml:space="preserve">    </w:t>
      </w:r>
      <w:r>
        <w:rPr>
          <w:rFonts w:hint="eastAsia"/>
          <w:b/>
        </w:rPr>
        <w:t xml:space="preserve">年 </w:t>
      </w:r>
      <w:r>
        <w:rPr>
          <w:rFonts w:hint="eastAsia"/>
          <w:b/>
          <w:u w:val="single"/>
        </w:rPr>
        <w:t xml:space="preserve">    </w:t>
      </w:r>
      <w:r>
        <w:rPr>
          <w:rFonts w:hint="eastAsia"/>
          <w:b/>
        </w:rPr>
        <w:t xml:space="preserve">月 </w:t>
      </w:r>
      <w:r>
        <w:rPr>
          <w:rFonts w:hint="eastAsia"/>
          <w:b/>
          <w:u w:val="single"/>
        </w:rPr>
        <w:t xml:space="preserve">   </w:t>
      </w:r>
      <w:r>
        <w:rPr>
          <w:rFonts w:hint="eastAsia"/>
          <w:b/>
        </w:rPr>
        <w:t>日</w:t>
      </w:r>
    </w:p>
    <w:sectPr>
      <w:pgSz w:w="11906" w:h="16838"/>
      <w:pgMar w:top="1440" w:right="1800" w:bottom="87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96207"/>
    <w:multiLevelType w:val="singleLevel"/>
    <w:tmpl w:val="1B596207"/>
    <w:lvl w:ilvl="0" w:tentative="0">
      <w:start w:val="8"/>
      <w:numFmt w:val="chineseCounting"/>
      <w:suff w:val="nothing"/>
      <w:lvlText w:val="%1、"/>
      <w:lvlJc w:val="left"/>
      <w:rPr>
        <w:rFonts w:hint="eastAsia"/>
      </w:rPr>
    </w:lvl>
  </w:abstractNum>
  <w:abstractNum w:abstractNumId="1">
    <w:nsid w:val="5F8148C0"/>
    <w:multiLevelType w:val="singleLevel"/>
    <w:tmpl w:val="5F8148C0"/>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2ZmMxODgzNWFmNDJkMDcxZWNjMmRiNDg2YzRmMjMifQ=="/>
  </w:docVars>
  <w:rsids>
    <w:rsidRoot w:val="00141055"/>
    <w:rsid w:val="000224EB"/>
    <w:rsid w:val="000C456A"/>
    <w:rsid w:val="000D28BB"/>
    <w:rsid w:val="00113685"/>
    <w:rsid w:val="00141055"/>
    <w:rsid w:val="0020444D"/>
    <w:rsid w:val="00260BE7"/>
    <w:rsid w:val="003855B3"/>
    <w:rsid w:val="0039068E"/>
    <w:rsid w:val="003F4643"/>
    <w:rsid w:val="0052702E"/>
    <w:rsid w:val="005677DF"/>
    <w:rsid w:val="005B3FE9"/>
    <w:rsid w:val="006977F8"/>
    <w:rsid w:val="00724B9B"/>
    <w:rsid w:val="007C09B5"/>
    <w:rsid w:val="008460B7"/>
    <w:rsid w:val="00881174"/>
    <w:rsid w:val="00881463"/>
    <w:rsid w:val="00A46F49"/>
    <w:rsid w:val="00A62073"/>
    <w:rsid w:val="00AA6BA0"/>
    <w:rsid w:val="00B00191"/>
    <w:rsid w:val="00B26C60"/>
    <w:rsid w:val="00C27C73"/>
    <w:rsid w:val="00C858C1"/>
    <w:rsid w:val="00CC4025"/>
    <w:rsid w:val="00CC51BD"/>
    <w:rsid w:val="00D17BFB"/>
    <w:rsid w:val="00D36DA2"/>
    <w:rsid w:val="00D850D4"/>
    <w:rsid w:val="017240DE"/>
    <w:rsid w:val="022C5330"/>
    <w:rsid w:val="02B81FC4"/>
    <w:rsid w:val="035757DE"/>
    <w:rsid w:val="05533F5C"/>
    <w:rsid w:val="05A90A30"/>
    <w:rsid w:val="05AB7BBE"/>
    <w:rsid w:val="05F11A75"/>
    <w:rsid w:val="060A6FDB"/>
    <w:rsid w:val="064142A6"/>
    <w:rsid w:val="06436049"/>
    <w:rsid w:val="09332D42"/>
    <w:rsid w:val="093D50ED"/>
    <w:rsid w:val="0B266665"/>
    <w:rsid w:val="0D3F3A0E"/>
    <w:rsid w:val="0F6E4136"/>
    <w:rsid w:val="0F7D6A6F"/>
    <w:rsid w:val="11671785"/>
    <w:rsid w:val="12AA1929"/>
    <w:rsid w:val="13004556"/>
    <w:rsid w:val="131E40C5"/>
    <w:rsid w:val="14860174"/>
    <w:rsid w:val="14CB202B"/>
    <w:rsid w:val="15AC37C2"/>
    <w:rsid w:val="16664F19"/>
    <w:rsid w:val="16A50D85"/>
    <w:rsid w:val="16AD7C3A"/>
    <w:rsid w:val="181810E3"/>
    <w:rsid w:val="19213C3C"/>
    <w:rsid w:val="1A0C111B"/>
    <w:rsid w:val="1C19367C"/>
    <w:rsid w:val="1DB7314C"/>
    <w:rsid w:val="1DE6389C"/>
    <w:rsid w:val="1E171E3D"/>
    <w:rsid w:val="1EB15DEE"/>
    <w:rsid w:val="1FE03CBD"/>
    <w:rsid w:val="20B147CB"/>
    <w:rsid w:val="22121299"/>
    <w:rsid w:val="22230DB0"/>
    <w:rsid w:val="233A2855"/>
    <w:rsid w:val="23E629DD"/>
    <w:rsid w:val="24577437"/>
    <w:rsid w:val="25284930"/>
    <w:rsid w:val="255D3CDE"/>
    <w:rsid w:val="25B74631"/>
    <w:rsid w:val="263B7010"/>
    <w:rsid w:val="26795443"/>
    <w:rsid w:val="26AB1594"/>
    <w:rsid w:val="26C64400"/>
    <w:rsid w:val="26FF7F6E"/>
    <w:rsid w:val="27E62FAC"/>
    <w:rsid w:val="27EB05C2"/>
    <w:rsid w:val="28814A83"/>
    <w:rsid w:val="2A29248C"/>
    <w:rsid w:val="2A2B739C"/>
    <w:rsid w:val="2A3873C3"/>
    <w:rsid w:val="2A461D4C"/>
    <w:rsid w:val="2AA4628C"/>
    <w:rsid w:val="2BD92E3B"/>
    <w:rsid w:val="2C531005"/>
    <w:rsid w:val="2EB01C1E"/>
    <w:rsid w:val="2F6A4FC7"/>
    <w:rsid w:val="300E52AF"/>
    <w:rsid w:val="30C916BD"/>
    <w:rsid w:val="30FD3114"/>
    <w:rsid w:val="313B4368"/>
    <w:rsid w:val="321846B9"/>
    <w:rsid w:val="32BB5035"/>
    <w:rsid w:val="32FD11AA"/>
    <w:rsid w:val="333948D8"/>
    <w:rsid w:val="34EC7728"/>
    <w:rsid w:val="35D02BA5"/>
    <w:rsid w:val="36121410"/>
    <w:rsid w:val="363A0AED"/>
    <w:rsid w:val="37C404E8"/>
    <w:rsid w:val="39131727"/>
    <w:rsid w:val="3929719C"/>
    <w:rsid w:val="3A65241E"/>
    <w:rsid w:val="3AF623B5"/>
    <w:rsid w:val="3B5E1E54"/>
    <w:rsid w:val="3BA25587"/>
    <w:rsid w:val="3BBA0580"/>
    <w:rsid w:val="3BE01790"/>
    <w:rsid w:val="3BE52F11"/>
    <w:rsid w:val="3CD0163E"/>
    <w:rsid w:val="3D9B7F3D"/>
    <w:rsid w:val="3DA74B34"/>
    <w:rsid w:val="3E6C61EB"/>
    <w:rsid w:val="3F3146B5"/>
    <w:rsid w:val="405E3BCF"/>
    <w:rsid w:val="40626F6B"/>
    <w:rsid w:val="407E6AE0"/>
    <w:rsid w:val="412A27E3"/>
    <w:rsid w:val="412F38F0"/>
    <w:rsid w:val="433D4DC8"/>
    <w:rsid w:val="43543068"/>
    <w:rsid w:val="454C5E7D"/>
    <w:rsid w:val="47213261"/>
    <w:rsid w:val="48586CCE"/>
    <w:rsid w:val="4A3239D7"/>
    <w:rsid w:val="4C635564"/>
    <w:rsid w:val="4CAE1A3B"/>
    <w:rsid w:val="504A7CCC"/>
    <w:rsid w:val="51905BB3"/>
    <w:rsid w:val="519D5BDA"/>
    <w:rsid w:val="539574B0"/>
    <w:rsid w:val="542919A7"/>
    <w:rsid w:val="555667CB"/>
    <w:rsid w:val="55A25EB5"/>
    <w:rsid w:val="56535401"/>
    <w:rsid w:val="56CF0F2B"/>
    <w:rsid w:val="58C50B0E"/>
    <w:rsid w:val="58FD4922"/>
    <w:rsid w:val="5A612353"/>
    <w:rsid w:val="5C52720B"/>
    <w:rsid w:val="5CB52971"/>
    <w:rsid w:val="5CD728E8"/>
    <w:rsid w:val="5D146AB8"/>
    <w:rsid w:val="5D395350"/>
    <w:rsid w:val="5D5E4330"/>
    <w:rsid w:val="5D7F5672"/>
    <w:rsid w:val="5DA12C08"/>
    <w:rsid w:val="5E3E24F3"/>
    <w:rsid w:val="5EAE3294"/>
    <w:rsid w:val="60063AFA"/>
    <w:rsid w:val="62D47BC2"/>
    <w:rsid w:val="63312626"/>
    <w:rsid w:val="635F7193"/>
    <w:rsid w:val="63E47698"/>
    <w:rsid w:val="646A7BC1"/>
    <w:rsid w:val="655B1F06"/>
    <w:rsid w:val="66FB5425"/>
    <w:rsid w:val="67530DBD"/>
    <w:rsid w:val="680F35F7"/>
    <w:rsid w:val="6AF428B7"/>
    <w:rsid w:val="6B4C1432"/>
    <w:rsid w:val="6BD34BC2"/>
    <w:rsid w:val="6DBE0F5A"/>
    <w:rsid w:val="6E2F0E24"/>
    <w:rsid w:val="6FC460EB"/>
    <w:rsid w:val="70253512"/>
    <w:rsid w:val="70A97C9F"/>
    <w:rsid w:val="70D94A29"/>
    <w:rsid w:val="71DD0F66"/>
    <w:rsid w:val="727918F3"/>
    <w:rsid w:val="72834520"/>
    <w:rsid w:val="72D14671"/>
    <w:rsid w:val="74232DF1"/>
    <w:rsid w:val="742A7349"/>
    <w:rsid w:val="74AE3425"/>
    <w:rsid w:val="75997923"/>
    <w:rsid w:val="76B211E9"/>
    <w:rsid w:val="77894387"/>
    <w:rsid w:val="78025F29"/>
    <w:rsid w:val="787E212A"/>
    <w:rsid w:val="7911278B"/>
    <w:rsid w:val="79733540"/>
    <w:rsid w:val="7A7264F8"/>
    <w:rsid w:val="7A9B4AFD"/>
    <w:rsid w:val="7B113011"/>
    <w:rsid w:val="7B884E65"/>
    <w:rsid w:val="7B9F686F"/>
    <w:rsid w:val="7C30396B"/>
    <w:rsid w:val="7C8B0BA1"/>
    <w:rsid w:val="7D5C2A39"/>
    <w:rsid w:val="7ECC4040"/>
    <w:rsid w:val="7F4734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宋体" w:eastAsia="宋体" w:cs="宋体"/>
      <w:sz w:val="24"/>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link w:val="9"/>
    <w:autoRedefine/>
    <w:qFormat/>
    <w:uiPriority w:val="0"/>
    <w:pPr>
      <w:tabs>
        <w:tab w:val="center" w:pos="4153"/>
        <w:tab w:val="right" w:pos="8306"/>
      </w:tabs>
      <w:snapToGrid w:val="0"/>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字符"/>
    <w:basedOn w:val="7"/>
    <w:link w:val="4"/>
    <w:autoRedefine/>
    <w:qFormat/>
    <w:uiPriority w:val="0"/>
    <w:rPr>
      <w:rFonts w:ascii="宋体" w:hAnsi="宋体" w:cs="宋体"/>
      <w:sz w:val="18"/>
      <w:szCs w:val="18"/>
    </w:rPr>
  </w:style>
  <w:style w:type="character" w:customStyle="1" w:styleId="9">
    <w:name w:val="页脚 字符"/>
    <w:basedOn w:val="7"/>
    <w:link w:val="3"/>
    <w:autoRedefine/>
    <w:qFormat/>
    <w:uiPriority w:val="0"/>
    <w:rPr>
      <w:rFonts w:ascii="宋体" w:hAnsi="宋体" w:cs="宋体"/>
      <w:sz w:val="18"/>
      <w:szCs w:val="18"/>
    </w:rPr>
  </w:style>
  <w:style w:type="character" w:customStyle="1" w:styleId="10">
    <w:name w:val="批注框文本 字符"/>
    <w:basedOn w:val="7"/>
    <w:link w:val="2"/>
    <w:autoRedefine/>
    <w:qFormat/>
    <w:uiPriority w:val="0"/>
    <w:rPr>
      <w:rFonts w:ascii="宋体" w:hAnsi="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2057</Words>
  <Characters>2231</Characters>
  <Lines>85</Lines>
  <Paragraphs>24</Paragraphs>
  <TotalTime>12</TotalTime>
  <ScaleCrop>false</ScaleCrop>
  <LinksUpToDate>false</LinksUpToDate>
  <CharactersWithSpaces>2952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无处安放的青春</cp:lastModifiedBy>
  <cp:lastPrinted>2025-11-04T02:05:00Z</cp:lastPrinted>
  <dcterms:modified xsi:type="dcterms:W3CDTF">2026-06-15T08:48:26Z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700411508E28457EA44DAF54169A7A50_13</vt:lpwstr>
  </property>
  <property fmtid="{D5CDD505-2E9C-101B-9397-08002B2CF9AE}" pid="4" name="KSOTemplateDocerSaveRecord">
    <vt:lpwstr>eyJoZGlkIjoiYmVlZjk2NDYwMTEyNjk3OGFjMTA2NDUyMjBjMGM1MWUiLCJ1c2VySWQiOiI0MjU1NzYyMzMifQ==</vt:lpwstr>
  </property>
</Properties>
</file>