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50766A">
      <w:pPr>
        <w:rPr>
          <w:color w:val="auto"/>
          <w:highlight w:val="none"/>
        </w:rPr>
      </w:pPr>
    </w:p>
    <w:p w14:paraId="696B280A">
      <w:pPr>
        <w:pStyle w:val="21"/>
        <w:rPr>
          <w:color w:val="auto"/>
          <w:highlight w:val="none"/>
        </w:rPr>
      </w:pPr>
    </w:p>
    <w:p w14:paraId="0E5603FE">
      <w:pPr>
        <w:jc w:val="center"/>
        <w:rPr>
          <w:rFonts w:ascii="宋体" w:hAnsi="宋体"/>
          <w:bCs/>
          <w:color w:val="auto"/>
          <w:sz w:val="48"/>
          <w:highlight w:val="none"/>
        </w:rPr>
      </w:pPr>
      <w:r>
        <w:rPr>
          <w:rFonts w:hint="eastAsia" w:ascii="宋体" w:hAnsi="宋体" w:eastAsia="宋体"/>
          <w:bCs/>
          <w:color w:val="auto"/>
          <w:sz w:val="48"/>
          <w:highlight w:val="none"/>
        </w:rPr>
        <w:t>临海市限额以下建设工程</w:t>
      </w:r>
    </w:p>
    <w:p w14:paraId="33ABC782">
      <w:pPr>
        <w:jc w:val="center"/>
        <w:rPr>
          <w:rFonts w:ascii="宋体" w:hAnsi="宋体"/>
          <w:color w:val="auto"/>
          <w:sz w:val="72"/>
          <w:highlight w:val="none"/>
        </w:rPr>
      </w:pPr>
      <w:r>
        <w:rPr>
          <w:rFonts w:hint="eastAsia" w:ascii="宋体" w:hAnsi="宋体" w:eastAsia="宋体"/>
          <w:b/>
          <w:color w:val="auto"/>
          <w:sz w:val="84"/>
          <w:highlight w:val="none"/>
        </w:rPr>
        <w:t>招 标 文 件</w:t>
      </w:r>
    </w:p>
    <w:p w14:paraId="17529602">
      <w:pPr>
        <w:spacing w:line="440" w:lineRule="exact"/>
        <w:ind w:left="1148"/>
        <w:rPr>
          <w:rFonts w:ascii="宋体" w:hAnsi="宋体" w:eastAsia="宋体"/>
          <w:b/>
          <w:bCs/>
          <w:color w:val="auto"/>
          <w:sz w:val="28"/>
          <w:highlight w:val="none"/>
        </w:rPr>
      </w:pPr>
    </w:p>
    <w:p w14:paraId="36887232">
      <w:pPr>
        <w:spacing w:line="440" w:lineRule="exact"/>
        <w:ind w:firstLine="1120" w:firstLineChars="400"/>
        <w:jc w:val="both"/>
        <w:rPr>
          <w:rFonts w:hint="eastAsia" w:ascii="宋体" w:hAnsi="宋体" w:eastAsia="宋体"/>
          <w:bCs/>
          <w:color w:val="auto"/>
          <w:sz w:val="28"/>
          <w:highlight w:val="none"/>
          <w:lang w:val="en-US" w:eastAsia="zh-CN"/>
        </w:rPr>
      </w:pPr>
      <w:r>
        <w:rPr>
          <w:rFonts w:hint="eastAsia" w:ascii="宋体" w:hAnsi="宋体" w:eastAsia="宋体"/>
          <w:bCs/>
          <w:color w:val="auto"/>
          <w:sz w:val="28"/>
          <w:highlight w:val="none"/>
        </w:rPr>
        <w:t>备案登记号：</w:t>
      </w:r>
      <w:r>
        <w:rPr>
          <w:rFonts w:hint="eastAsia" w:ascii="宋体" w:hAnsi="宋体" w:eastAsia="宋体"/>
          <w:bCs/>
          <w:color w:val="auto"/>
          <w:sz w:val="28"/>
          <w:highlight w:val="none"/>
          <w:lang w:val="en-US" w:eastAsia="zh-CN"/>
        </w:rPr>
        <w:t>/</w:t>
      </w:r>
    </w:p>
    <w:p w14:paraId="13EDC0A2">
      <w:pPr>
        <w:spacing w:line="660" w:lineRule="exact"/>
        <w:ind w:firstLine="1120" w:firstLineChars="400"/>
        <w:rPr>
          <w:rFonts w:ascii="宋体" w:hAnsi="宋体" w:eastAsia="宋体"/>
          <w:bCs/>
          <w:color w:val="auto"/>
          <w:sz w:val="28"/>
          <w:highlight w:val="none"/>
        </w:rPr>
      </w:pPr>
    </w:p>
    <w:p w14:paraId="4A9C346A">
      <w:pPr>
        <w:spacing w:line="288" w:lineRule="auto"/>
        <w:rPr>
          <w:rFonts w:ascii="宋体" w:hAnsi="宋体" w:eastAsia="宋体"/>
          <w:color w:val="auto"/>
          <w:sz w:val="28"/>
          <w:highlight w:val="none"/>
        </w:rPr>
      </w:pPr>
    </w:p>
    <w:p w14:paraId="6C5B2F5D">
      <w:pPr>
        <w:spacing w:line="660" w:lineRule="exact"/>
        <w:ind w:left="2514" w:leftChars="348" w:hanging="1400" w:hangingChars="500"/>
        <w:rPr>
          <w:rFonts w:hint="eastAsia" w:ascii="宋体" w:hAnsi="宋体" w:eastAsia="宋体" w:cs="宋体"/>
          <w:color w:val="auto"/>
          <w:sz w:val="28"/>
          <w:highlight w:val="none"/>
          <w:lang w:eastAsia="zh-CN"/>
        </w:rPr>
      </w:pPr>
      <w:r>
        <w:rPr>
          <w:rFonts w:hint="eastAsia" w:ascii="宋体" w:hAnsi="宋体" w:eastAsia="宋体"/>
          <w:bCs/>
          <w:color w:val="auto"/>
          <w:sz w:val="28"/>
          <w:highlight w:val="none"/>
        </w:rPr>
        <w:t>招标项目：</w:t>
      </w:r>
      <w:r>
        <w:rPr>
          <w:rFonts w:hint="eastAsia" w:ascii="宋体" w:hAnsi="宋体" w:eastAsia="宋体"/>
          <w:bCs/>
          <w:color w:val="auto"/>
          <w:sz w:val="28"/>
          <w:highlight w:val="none"/>
          <w:u w:val="single"/>
          <w:lang w:eastAsia="zh-CN"/>
        </w:rPr>
        <w:t>台州府城依水山庄亭廊及美人靠等修缮维护项目</w:t>
      </w:r>
    </w:p>
    <w:p w14:paraId="7A4F1CCE">
      <w:pPr>
        <w:spacing w:line="660" w:lineRule="exact"/>
        <w:ind w:firstLine="1120" w:firstLineChars="400"/>
        <w:rPr>
          <w:rFonts w:ascii="宋体" w:hAnsi="宋体" w:eastAsia="宋体"/>
          <w:color w:val="auto"/>
          <w:sz w:val="28"/>
          <w:szCs w:val="22"/>
          <w:highlight w:val="none"/>
        </w:rPr>
      </w:pPr>
      <w:r>
        <w:rPr>
          <w:rFonts w:hint="eastAsia" w:ascii="宋体" w:hAnsi="宋体" w:eastAsia="宋体"/>
          <w:color w:val="auto"/>
          <w:sz w:val="28"/>
          <w:highlight w:val="none"/>
        </w:rPr>
        <w:t>招 标 人</w:t>
      </w:r>
      <w:r>
        <w:rPr>
          <w:rFonts w:hint="eastAsia" w:ascii="宋体" w:hAnsi="宋体" w:eastAsia="宋体"/>
          <w:color w:val="auto"/>
          <w:sz w:val="28"/>
          <w:szCs w:val="22"/>
          <w:highlight w:val="none"/>
        </w:rPr>
        <w:t>：</w:t>
      </w:r>
      <w:r>
        <w:rPr>
          <w:rFonts w:hint="eastAsia" w:ascii="宋体" w:hAnsi="宋体" w:eastAsia="宋体"/>
          <w:color w:val="auto"/>
          <w:sz w:val="28"/>
          <w:szCs w:val="22"/>
          <w:highlight w:val="none"/>
          <w:u w:val="single"/>
          <w:lang w:val="en-US" w:eastAsia="zh-CN"/>
        </w:rPr>
        <w:t>临海</w:t>
      </w:r>
      <w:r>
        <w:rPr>
          <w:rFonts w:hint="eastAsia" w:ascii="宋体" w:hAnsi="宋体" w:eastAsia="宋体"/>
          <w:color w:val="auto"/>
          <w:sz w:val="28"/>
          <w:szCs w:val="22"/>
          <w:highlight w:val="none"/>
          <w:u w:val="single"/>
          <w:lang w:val="en-US" w:eastAsia="zh-CN"/>
        </w:rPr>
        <w:t>市江南长城旅游发展有限公司</w:t>
      </w:r>
      <w:r>
        <w:rPr>
          <w:rFonts w:hint="eastAsia" w:ascii="宋体" w:hAnsi="宋体" w:eastAsia="宋体"/>
          <w:color w:val="auto"/>
          <w:sz w:val="28"/>
          <w:szCs w:val="22"/>
          <w:highlight w:val="none"/>
        </w:rPr>
        <w:t>（盖章）</w:t>
      </w:r>
    </w:p>
    <w:p w14:paraId="232114AB">
      <w:pPr>
        <w:spacing w:line="660" w:lineRule="exact"/>
        <w:ind w:firstLine="1148" w:firstLineChars="410"/>
        <w:rPr>
          <w:rFonts w:hint="default" w:ascii="宋体" w:hAnsi="宋体" w:eastAsia="宋体"/>
          <w:color w:val="auto"/>
          <w:sz w:val="28"/>
          <w:highlight w:val="none"/>
          <w:u w:val="single"/>
          <w:lang w:val="en-US" w:eastAsia="zh-CN"/>
        </w:rPr>
      </w:pPr>
      <w:r>
        <w:rPr>
          <w:rFonts w:hint="eastAsia" w:ascii="宋体" w:hAnsi="宋体" w:eastAsia="宋体"/>
          <w:color w:val="auto"/>
          <w:sz w:val="28"/>
          <w:highlight w:val="none"/>
        </w:rPr>
        <w:t>联 系 人：</w:t>
      </w:r>
      <w:r>
        <w:rPr>
          <w:rFonts w:hint="eastAsia" w:ascii="宋体" w:hAnsi="宋体" w:eastAsia="宋体"/>
          <w:color w:val="auto"/>
          <w:sz w:val="28"/>
          <w:highlight w:val="none"/>
          <w:lang w:val="en-US" w:eastAsia="zh-CN"/>
        </w:rPr>
        <w:t xml:space="preserve"> </w:t>
      </w:r>
      <w:r>
        <w:rPr>
          <w:rFonts w:hint="eastAsia" w:ascii="宋体" w:hAnsi="宋体" w:eastAsia="宋体"/>
          <w:color w:val="auto"/>
          <w:sz w:val="28"/>
          <w:highlight w:val="none"/>
          <w:u w:val="single"/>
          <w:lang w:val="en-US" w:eastAsia="zh-CN"/>
        </w:rPr>
        <w:t xml:space="preserve">陈先生 </w:t>
      </w:r>
      <w:r>
        <w:rPr>
          <w:rFonts w:hint="eastAsia" w:ascii="宋体" w:hAnsi="宋体" w:eastAsia="宋体"/>
          <w:color w:val="auto"/>
          <w:sz w:val="28"/>
          <w:highlight w:val="none"/>
        </w:rPr>
        <w:t xml:space="preserve">   </w:t>
      </w:r>
      <w:r>
        <w:rPr>
          <w:rFonts w:hint="eastAsia" w:ascii="宋体" w:hAnsi="宋体" w:eastAsia="宋体"/>
          <w:color w:val="auto"/>
          <w:sz w:val="28"/>
          <w:highlight w:val="none"/>
          <w:lang w:val="en-US" w:eastAsia="zh-CN"/>
        </w:rPr>
        <w:t xml:space="preserve">   </w:t>
      </w:r>
      <w:r>
        <w:rPr>
          <w:rFonts w:hint="eastAsia" w:ascii="宋体" w:hAnsi="宋体" w:eastAsia="宋体"/>
          <w:color w:val="auto"/>
          <w:sz w:val="28"/>
          <w:highlight w:val="none"/>
        </w:rPr>
        <w:t xml:space="preserve"> 联系电话：</w:t>
      </w:r>
      <w:r>
        <w:rPr>
          <w:rFonts w:hint="eastAsia" w:ascii="宋体" w:hAnsi="宋体" w:eastAsia="宋体"/>
          <w:color w:val="auto"/>
          <w:sz w:val="28"/>
          <w:highlight w:val="none"/>
          <w:u w:val="single"/>
          <w:lang w:val="en-US" w:eastAsia="zh-CN"/>
        </w:rPr>
        <w:t xml:space="preserve"> 0576-85158021 </w:t>
      </w:r>
    </w:p>
    <w:p w14:paraId="583E44AF">
      <w:pPr>
        <w:spacing w:line="360" w:lineRule="auto"/>
        <w:ind w:firstLine="826" w:firstLineChars="295"/>
        <w:rPr>
          <w:rFonts w:ascii="宋体" w:hAnsi="宋体" w:eastAsia="宋体"/>
          <w:color w:val="auto"/>
          <w:sz w:val="28"/>
          <w:highlight w:val="none"/>
        </w:rPr>
      </w:pPr>
    </w:p>
    <w:p w14:paraId="6D0CF560">
      <w:pPr>
        <w:spacing w:line="360" w:lineRule="auto"/>
        <w:rPr>
          <w:rFonts w:ascii="宋体" w:hAnsi="宋体" w:eastAsia="宋体"/>
          <w:color w:val="auto"/>
          <w:sz w:val="28"/>
          <w:highlight w:val="none"/>
        </w:rPr>
      </w:pPr>
    </w:p>
    <w:p w14:paraId="2A69DAEE">
      <w:pPr>
        <w:spacing w:line="660" w:lineRule="exact"/>
        <w:ind w:left="2514" w:leftChars="348" w:hanging="1400" w:hangingChars="500"/>
        <w:rPr>
          <w:rFonts w:ascii="宋体" w:hAnsi="宋体" w:eastAsia="宋体"/>
          <w:bCs/>
          <w:color w:val="auto"/>
          <w:sz w:val="28"/>
          <w:highlight w:val="none"/>
        </w:rPr>
      </w:pPr>
      <w:r>
        <w:rPr>
          <w:rFonts w:hint="eastAsia" w:ascii="宋体" w:hAnsi="宋体" w:eastAsia="宋体"/>
          <w:bCs/>
          <w:color w:val="auto"/>
          <w:sz w:val="28"/>
          <w:highlight w:val="none"/>
        </w:rPr>
        <w:t>招标代理机构：</w:t>
      </w:r>
      <w:r>
        <w:rPr>
          <w:rFonts w:hint="eastAsia" w:ascii="宋体" w:hAnsi="宋体" w:eastAsia="宋体"/>
          <w:bCs/>
          <w:color w:val="auto"/>
          <w:sz w:val="28"/>
          <w:highlight w:val="none"/>
          <w:u w:val="single"/>
          <w:lang w:eastAsia="zh-CN"/>
        </w:rPr>
        <w:t>浙江华耀建设咨询有限公司</w:t>
      </w:r>
      <w:r>
        <w:rPr>
          <w:rFonts w:hint="eastAsia" w:ascii="宋体" w:hAnsi="宋体" w:eastAsia="宋体"/>
          <w:bCs/>
          <w:color w:val="auto"/>
          <w:sz w:val="28"/>
          <w:highlight w:val="none"/>
          <w:u w:val="single"/>
        </w:rPr>
        <w:t>（盖章）</w:t>
      </w:r>
      <w:r>
        <w:rPr>
          <w:rFonts w:hint="eastAsia" w:ascii="宋体" w:hAnsi="宋体" w:eastAsia="宋体"/>
          <w:bCs/>
          <w:color w:val="auto"/>
          <w:sz w:val="28"/>
          <w:highlight w:val="none"/>
        </w:rPr>
        <w:t xml:space="preserve">   </w:t>
      </w:r>
    </w:p>
    <w:p w14:paraId="7F5C835D">
      <w:pPr>
        <w:spacing w:line="660" w:lineRule="exact"/>
        <w:ind w:left="2514" w:leftChars="348" w:hanging="1400" w:hangingChars="500"/>
        <w:rPr>
          <w:rFonts w:hint="default" w:ascii="宋体" w:hAnsi="宋体" w:eastAsia="宋体"/>
          <w:bCs/>
          <w:color w:val="auto"/>
          <w:sz w:val="28"/>
          <w:highlight w:val="none"/>
          <w:u w:val="single"/>
          <w:lang w:val="en-US" w:eastAsia="zh-CN"/>
        </w:rPr>
      </w:pPr>
      <w:r>
        <w:rPr>
          <w:rFonts w:hint="eastAsia" w:ascii="宋体" w:hAnsi="宋体" w:eastAsia="宋体"/>
          <w:bCs/>
          <w:color w:val="auto"/>
          <w:sz w:val="28"/>
          <w:highlight w:val="none"/>
        </w:rPr>
        <w:t>联 系 人：</w:t>
      </w:r>
      <w:r>
        <w:rPr>
          <w:rFonts w:hint="eastAsia" w:ascii="宋体" w:hAnsi="宋体" w:eastAsia="宋体"/>
          <w:bCs/>
          <w:color w:val="auto"/>
          <w:sz w:val="28"/>
          <w:highlight w:val="none"/>
          <w:u w:val="single"/>
          <w:lang w:val="en-US" w:eastAsia="zh-CN"/>
        </w:rPr>
        <w:t>陶先生</w:t>
      </w:r>
      <w:r>
        <w:rPr>
          <w:rFonts w:hint="eastAsia" w:ascii="宋体" w:hAnsi="宋体" w:eastAsia="宋体"/>
          <w:bCs/>
          <w:color w:val="auto"/>
          <w:sz w:val="28"/>
          <w:highlight w:val="none"/>
        </w:rPr>
        <w:t xml:space="preserve">          联系电话：</w:t>
      </w:r>
      <w:r>
        <w:rPr>
          <w:rFonts w:hint="eastAsia" w:ascii="宋体" w:hAnsi="宋体" w:eastAsia="宋体"/>
          <w:bCs/>
          <w:color w:val="auto"/>
          <w:sz w:val="28"/>
          <w:highlight w:val="none"/>
          <w:u w:val="single"/>
          <w:lang w:val="en-US" w:eastAsia="zh-CN"/>
        </w:rPr>
        <w:t>0576-85021266</w:t>
      </w:r>
    </w:p>
    <w:p w14:paraId="60D969EF">
      <w:pPr>
        <w:spacing w:line="360" w:lineRule="auto"/>
        <w:rPr>
          <w:rFonts w:ascii="宋体" w:hAnsi="宋体" w:eastAsia="宋体"/>
          <w:color w:val="auto"/>
          <w:sz w:val="28"/>
          <w:highlight w:val="none"/>
        </w:rPr>
      </w:pPr>
    </w:p>
    <w:p w14:paraId="1A0B2AA3">
      <w:pPr>
        <w:spacing w:line="480" w:lineRule="auto"/>
        <w:ind w:firstLine="1055" w:firstLineChars="377"/>
        <w:rPr>
          <w:rFonts w:hint="eastAsia" w:ascii="宋体" w:hAnsi="宋体" w:eastAsia="宋体"/>
          <w:color w:val="auto"/>
          <w:sz w:val="28"/>
          <w:highlight w:val="none"/>
        </w:rPr>
      </w:pPr>
    </w:p>
    <w:p w14:paraId="5C852BBB">
      <w:pPr>
        <w:spacing w:line="480" w:lineRule="auto"/>
        <w:ind w:firstLine="1055" w:firstLineChars="377"/>
        <w:rPr>
          <w:rFonts w:hint="eastAsia" w:ascii="宋体" w:hAnsi="宋体" w:eastAsia="宋体"/>
          <w:color w:val="auto"/>
          <w:sz w:val="28"/>
          <w:highlight w:val="none"/>
        </w:rPr>
      </w:pPr>
      <w:r>
        <w:rPr>
          <w:rFonts w:hint="eastAsia" w:ascii="宋体" w:hAnsi="宋体" w:eastAsia="宋体"/>
          <w:color w:val="auto"/>
          <w:sz w:val="28"/>
          <w:highlight w:val="none"/>
        </w:rPr>
        <w:t>招标监管机构：</w:t>
      </w:r>
      <w:r>
        <w:rPr>
          <w:rFonts w:hint="eastAsia" w:ascii="宋体" w:hAnsi="宋体" w:eastAsia="宋体"/>
          <w:color w:val="auto"/>
          <w:sz w:val="28"/>
          <w:highlight w:val="none"/>
        </w:rPr>
        <w:t>临海市文化和广电旅游体育局</w:t>
      </w:r>
      <w:r>
        <w:rPr>
          <w:rFonts w:hint="eastAsia" w:ascii="宋体" w:hAnsi="宋体" w:eastAsia="宋体"/>
          <w:color w:val="auto"/>
          <w:sz w:val="28"/>
          <w:highlight w:val="none"/>
        </w:rPr>
        <w:t>（盖章）</w:t>
      </w:r>
    </w:p>
    <w:p w14:paraId="5E4B838F">
      <w:pPr>
        <w:spacing w:line="288" w:lineRule="auto"/>
        <w:rPr>
          <w:rFonts w:ascii="宋体" w:hAnsi="宋体" w:eastAsia="宋体"/>
          <w:color w:val="auto"/>
          <w:sz w:val="28"/>
          <w:highlight w:val="none"/>
        </w:rPr>
      </w:pPr>
    </w:p>
    <w:p w14:paraId="27448F2C">
      <w:pPr>
        <w:spacing w:line="288" w:lineRule="auto"/>
        <w:rPr>
          <w:rFonts w:ascii="宋体" w:hAnsi="宋体" w:eastAsia="宋体"/>
          <w:color w:val="auto"/>
          <w:sz w:val="28"/>
          <w:szCs w:val="22"/>
          <w:highlight w:val="none"/>
        </w:rPr>
      </w:pPr>
    </w:p>
    <w:p w14:paraId="354291A0">
      <w:pPr>
        <w:spacing w:line="288" w:lineRule="auto"/>
        <w:jc w:val="center"/>
        <w:rPr>
          <w:rFonts w:ascii="宋体" w:hAnsi="宋体" w:eastAsia="宋体"/>
          <w:b/>
          <w:color w:val="auto"/>
          <w:sz w:val="48"/>
          <w:highlight w:val="none"/>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endnotePr>
            <w:numRestart w:val="eachSect"/>
          </w:endnotePr>
          <w:pgSz w:w="11907" w:h="16840"/>
          <w:pgMar w:top="1440" w:right="1080" w:bottom="1440" w:left="1080" w:header="851" w:footer="992" w:gutter="0"/>
          <w:pgNumType w:fmt="decimal" w:start="1"/>
          <w:cols w:space="720" w:num="1"/>
          <w:titlePg/>
          <w:docGrid w:linePitch="435" w:charSpace="-6554"/>
        </w:sectPr>
      </w:pPr>
      <w:r>
        <w:rPr>
          <w:rFonts w:hint="eastAsia" w:ascii="宋体" w:hAnsi="宋体" w:eastAsia="宋体"/>
          <w:color w:val="auto"/>
          <w:sz w:val="28"/>
          <w:szCs w:val="22"/>
          <w:highlight w:val="none"/>
        </w:rPr>
        <w:t xml:space="preserve"> 202</w:t>
      </w:r>
      <w:r>
        <w:rPr>
          <w:rFonts w:hint="eastAsia" w:ascii="宋体" w:hAnsi="宋体" w:eastAsia="宋体"/>
          <w:color w:val="auto"/>
          <w:sz w:val="28"/>
          <w:szCs w:val="22"/>
          <w:highlight w:val="none"/>
          <w:lang w:val="en-US" w:eastAsia="zh-CN"/>
        </w:rPr>
        <w:t>6</w:t>
      </w:r>
      <w:r>
        <w:rPr>
          <w:rFonts w:hint="eastAsia" w:ascii="宋体" w:hAnsi="宋体" w:eastAsia="宋体"/>
          <w:color w:val="auto"/>
          <w:sz w:val="28"/>
          <w:szCs w:val="22"/>
          <w:highlight w:val="none"/>
        </w:rPr>
        <w:t>年</w:t>
      </w:r>
      <w:r>
        <w:rPr>
          <w:rFonts w:hint="eastAsia" w:ascii="宋体" w:hAnsi="宋体" w:eastAsia="宋体"/>
          <w:color w:val="auto"/>
          <w:sz w:val="28"/>
          <w:szCs w:val="22"/>
          <w:highlight w:val="none"/>
          <w:lang w:val="en-US" w:eastAsia="zh-CN"/>
        </w:rPr>
        <w:t>5</w:t>
      </w:r>
      <w:r>
        <w:rPr>
          <w:rFonts w:hint="eastAsia" w:ascii="宋体" w:hAnsi="宋体" w:eastAsia="宋体"/>
          <w:color w:val="auto"/>
          <w:sz w:val="28"/>
          <w:szCs w:val="22"/>
          <w:highlight w:val="none"/>
        </w:rPr>
        <w:t>月</w:t>
      </w:r>
    </w:p>
    <w:p w14:paraId="1AA08CA2">
      <w:pPr>
        <w:rPr>
          <w:rFonts w:ascii="宋体" w:hAnsi="宋体" w:eastAsia="宋体" w:cs="宋体"/>
          <w:b/>
          <w:bCs/>
          <w:color w:val="auto"/>
          <w:sz w:val="48"/>
          <w:szCs w:val="48"/>
          <w:highlight w:val="none"/>
        </w:rPr>
      </w:pPr>
    </w:p>
    <w:p w14:paraId="00E308D5">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目录</w:t>
      </w:r>
    </w:p>
    <w:p w14:paraId="3A112232">
      <w:pPr>
        <w:jc w:val="center"/>
        <w:rPr>
          <w:rFonts w:ascii="宋体" w:hAnsi="宋体" w:eastAsia="宋体" w:cs="宋体"/>
          <w:b/>
          <w:bCs/>
          <w:color w:val="auto"/>
          <w:sz w:val="48"/>
          <w:szCs w:val="48"/>
          <w:highlight w:val="none"/>
        </w:rPr>
      </w:pPr>
    </w:p>
    <w:p w14:paraId="1C4A7292">
      <w:pPr>
        <w:pStyle w:val="32"/>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"_投标须知前附表" </w:instrText>
      </w:r>
      <w:r>
        <w:rPr>
          <w:rFonts w:hint="eastAsia" w:ascii="宋体" w:hAnsi="宋体" w:cs="宋体"/>
          <w:color w:val="auto"/>
          <w:sz w:val="28"/>
          <w:szCs w:val="28"/>
          <w:highlight w:val="none"/>
          <w:u w:val="none"/>
        </w:rPr>
        <w:fldChar w:fldCharType="separate"/>
      </w:r>
      <w:r>
        <w:rPr>
          <w:rStyle w:val="29"/>
          <w:rFonts w:hint="eastAsia" w:ascii="宋体" w:hAnsi="宋体" w:cs="宋体"/>
          <w:color w:val="auto"/>
          <w:sz w:val="28"/>
          <w:szCs w:val="28"/>
          <w:highlight w:val="none"/>
        </w:rPr>
        <w:t>投标须知前附表</w:t>
      </w:r>
      <w:r>
        <w:rPr>
          <w:rStyle w:val="29"/>
          <w:rFonts w:hint="eastAsia" w:ascii="宋体" w:hAnsi="宋体" w:cs="宋体"/>
          <w:color w:val="auto"/>
          <w:sz w:val="28"/>
          <w:szCs w:val="28"/>
          <w:highlight w:val="none"/>
        </w:rPr>
        <w:tab/>
      </w:r>
      <w:r>
        <w:rPr>
          <w:rStyle w:val="29"/>
          <w:rFonts w:hint="eastAsia" w:ascii="宋体" w:hAnsi="宋体" w:cs="宋体"/>
          <w:color w:val="auto"/>
          <w:sz w:val="28"/>
          <w:szCs w:val="28"/>
          <w:highlight w:val="none"/>
        </w:rPr>
        <w:fldChar w:fldCharType="begin"/>
      </w:r>
      <w:r>
        <w:rPr>
          <w:rStyle w:val="29"/>
          <w:rFonts w:hint="eastAsia" w:ascii="宋体" w:hAnsi="宋体" w:cs="宋体"/>
          <w:color w:val="auto"/>
          <w:sz w:val="28"/>
          <w:szCs w:val="28"/>
          <w:highlight w:val="none"/>
        </w:rPr>
        <w:instrText xml:space="preserve"> PAGEREF _Toc5497 </w:instrText>
      </w:r>
      <w:r>
        <w:rPr>
          <w:rStyle w:val="29"/>
          <w:rFonts w:hint="eastAsia" w:ascii="宋体" w:hAnsi="宋体" w:cs="宋体"/>
          <w:color w:val="auto"/>
          <w:sz w:val="28"/>
          <w:szCs w:val="28"/>
          <w:highlight w:val="none"/>
        </w:rPr>
        <w:fldChar w:fldCharType="separate"/>
      </w:r>
      <w:r>
        <w:rPr>
          <w:rStyle w:val="29"/>
          <w:rFonts w:hint="eastAsia" w:ascii="宋体" w:hAnsi="宋体" w:cs="宋体"/>
          <w:color w:val="auto"/>
          <w:sz w:val="28"/>
          <w:szCs w:val="28"/>
          <w:highlight w:val="none"/>
        </w:rPr>
        <w:t>1</w:t>
      </w:r>
      <w:r>
        <w:rPr>
          <w:rStyle w:val="29"/>
          <w:rFonts w:hint="eastAsia" w:ascii="宋体" w:hAnsi="宋体" w:cs="宋体"/>
          <w:color w:val="auto"/>
          <w:sz w:val="28"/>
          <w:szCs w:val="28"/>
          <w:highlight w:val="none"/>
        </w:rPr>
        <w:fldChar w:fldCharType="end"/>
      </w:r>
      <w:r>
        <w:rPr>
          <w:rFonts w:hint="eastAsia" w:ascii="宋体" w:hAnsi="宋体" w:cs="宋体"/>
          <w:color w:val="auto"/>
          <w:sz w:val="28"/>
          <w:szCs w:val="28"/>
          <w:highlight w:val="none"/>
          <w:u w:val="none"/>
        </w:rPr>
        <w:fldChar w:fldCharType="end"/>
      </w:r>
    </w:p>
    <w:p w14:paraId="68A5AABE">
      <w:pPr>
        <w:pStyle w:val="32"/>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"_第一章  投标须知" </w:instrText>
      </w:r>
      <w:r>
        <w:rPr>
          <w:rFonts w:hint="eastAsia" w:ascii="宋体" w:hAnsi="宋体" w:cs="宋体"/>
          <w:color w:val="auto"/>
          <w:sz w:val="28"/>
          <w:szCs w:val="28"/>
          <w:highlight w:val="none"/>
          <w:u w:val="none"/>
        </w:rPr>
        <w:fldChar w:fldCharType="separate"/>
      </w:r>
      <w:r>
        <w:rPr>
          <w:rStyle w:val="29"/>
          <w:rFonts w:hint="eastAsia" w:ascii="宋体" w:hAnsi="宋体" w:cs="宋体"/>
          <w:color w:val="auto"/>
          <w:sz w:val="28"/>
          <w:szCs w:val="28"/>
          <w:highlight w:val="none"/>
        </w:rPr>
        <w:t>第一章  投标须知</w:t>
      </w:r>
      <w:r>
        <w:rPr>
          <w:rStyle w:val="29"/>
          <w:rFonts w:hint="eastAsia" w:ascii="宋体" w:hAnsi="宋体" w:cs="宋体"/>
          <w:color w:val="auto"/>
          <w:sz w:val="28"/>
          <w:szCs w:val="28"/>
          <w:highlight w:val="none"/>
        </w:rPr>
        <w:tab/>
      </w:r>
      <w:r>
        <w:rPr>
          <w:rStyle w:val="29"/>
          <w:rFonts w:hint="eastAsia" w:ascii="宋体" w:hAnsi="宋体" w:cs="宋体"/>
          <w:color w:val="auto"/>
          <w:sz w:val="28"/>
          <w:szCs w:val="28"/>
          <w:highlight w:val="none"/>
        </w:rPr>
        <w:fldChar w:fldCharType="begin"/>
      </w:r>
      <w:r>
        <w:rPr>
          <w:rStyle w:val="29"/>
          <w:rFonts w:hint="eastAsia" w:ascii="宋体" w:hAnsi="宋体" w:cs="宋体"/>
          <w:color w:val="auto"/>
          <w:sz w:val="28"/>
          <w:szCs w:val="28"/>
          <w:highlight w:val="none"/>
        </w:rPr>
        <w:instrText xml:space="preserve"> PAGEREF _Toc9614 </w:instrText>
      </w:r>
      <w:r>
        <w:rPr>
          <w:rStyle w:val="29"/>
          <w:rFonts w:hint="eastAsia" w:ascii="宋体" w:hAnsi="宋体" w:cs="宋体"/>
          <w:color w:val="auto"/>
          <w:sz w:val="28"/>
          <w:szCs w:val="28"/>
          <w:highlight w:val="none"/>
        </w:rPr>
        <w:fldChar w:fldCharType="separate"/>
      </w:r>
      <w:r>
        <w:rPr>
          <w:rStyle w:val="29"/>
          <w:rFonts w:hint="eastAsia" w:ascii="宋体" w:hAnsi="宋体" w:cs="宋体"/>
          <w:color w:val="auto"/>
          <w:sz w:val="28"/>
          <w:szCs w:val="28"/>
          <w:highlight w:val="none"/>
        </w:rPr>
        <w:t>5</w:t>
      </w:r>
      <w:r>
        <w:rPr>
          <w:rStyle w:val="29"/>
          <w:rFonts w:hint="eastAsia" w:ascii="宋体" w:hAnsi="宋体" w:cs="宋体"/>
          <w:color w:val="auto"/>
          <w:sz w:val="28"/>
          <w:szCs w:val="28"/>
          <w:highlight w:val="none"/>
        </w:rPr>
        <w:fldChar w:fldCharType="end"/>
      </w:r>
      <w:r>
        <w:rPr>
          <w:rFonts w:hint="eastAsia" w:ascii="宋体" w:hAnsi="宋体" w:cs="宋体"/>
          <w:color w:val="auto"/>
          <w:sz w:val="28"/>
          <w:szCs w:val="28"/>
          <w:highlight w:val="none"/>
          <w:u w:val="none"/>
        </w:rPr>
        <w:fldChar w:fldCharType="end"/>
      </w:r>
    </w:p>
    <w:p w14:paraId="6FB8CD83">
      <w:pPr>
        <w:pStyle w:val="32"/>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"_第二章  评标办法" </w:instrText>
      </w:r>
      <w:r>
        <w:rPr>
          <w:rFonts w:hint="eastAsia" w:ascii="宋体" w:hAnsi="宋体" w:cs="宋体"/>
          <w:color w:val="auto"/>
          <w:sz w:val="28"/>
          <w:szCs w:val="28"/>
          <w:highlight w:val="none"/>
          <w:u w:val="none"/>
        </w:rPr>
        <w:fldChar w:fldCharType="separate"/>
      </w:r>
      <w:r>
        <w:rPr>
          <w:rStyle w:val="29"/>
          <w:rFonts w:hint="eastAsia" w:ascii="宋体" w:hAnsi="宋体" w:cs="宋体"/>
          <w:color w:val="auto"/>
          <w:sz w:val="28"/>
          <w:szCs w:val="28"/>
          <w:highlight w:val="none"/>
        </w:rPr>
        <w:t>第二章  评标办法</w:t>
      </w:r>
      <w:r>
        <w:rPr>
          <w:rStyle w:val="29"/>
          <w:rFonts w:hint="eastAsia" w:ascii="宋体" w:hAnsi="宋体" w:cs="宋体"/>
          <w:color w:val="auto"/>
          <w:sz w:val="28"/>
          <w:szCs w:val="28"/>
          <w:highlight w:val="none"/>
        </w:rPr>
        <w:tab/>
      </w:r>
      <w:r>
        <w:rPr>
          <w:rStyle w:val="29"/>
          <w:rFonts w:hint="eastAsia" w:ascii="宋体" w:hAnsi="宋体" w:cs="宋体"/>
          <w:color w:val="auto"/>
          <w:sz w:val="28"/>
          <w:szCs w:val="28"/>
          <w:highlight w:val="none"/>
        </w:rPr>
        <w:fldChar w:fldCharType="begin"/>
      </w:r>
      <w:r>
        <w:rPr>
          <w:rStyle w:val="29"/>
          <w:rFonts w:hint="eastAsia" w:ascii="宋体" w:hAnsi="宋体" w:cs="宋体"/>
          <w:color w:val="auto"/>
          <w:sz w:val="28"/>
          <w:szCs w:val="28"/>
          <w:highlight w:val="none"/>
        </w:rPr>
        <w:instrText xml:space="preserve"> PAGEREF _Toc20217 </w:instrText>
      </w:r>
      <w:r>
        <w:rPr>
          <w:rStyle w:val="29"/>
          <w:rFonts w:hint="eastAsia" w:ascii="宋体" w:hAnsi="宋体" w:cs="宋体"/>
          <w:color w:val="auto"/>
          <w:sz w:val="28"/>
          <w:szCs w:val="28"/>
          <w:highlight w:val="none"/>
        </w:rPr>
        <w:fldChar w:fldCharType="separate"/>
      </w:r>
      <w:r>
        <w:rPr>
          <w:rStyle w:val="29"/>
          <w:rFonts w:hint="eastAsia" w:ascii="宋体" w:hAnsi="宋体" w:cs="宋体"/>
          <w:color w:val="auto"/>
          <w:sz w:val="28"/>
          <w:szCs w:val="28"/>
          <w:highlight w:val="none"/>
        </w:rPr>
        <w:t>16</w:t>
      </w:r>
      <w:r>
        <w:rPr>
          <w:rStyle w:val="29"/>
          <w:rFonts w:hint="eastAsia" w:ascii="宋体" w:hAnsi="宋体" w:cs="宋体"/>
          <w:color w:val="auto"/>
          <w:sz w:val="28"/>
          <w:szCs w:val="28"/>
          <w:highlight w:val="none"/>
        </w:rPr>
        <w:fldChar w:fldCharType="end"/>
      </w:r>
      <w:r>
        <w:rPr>
          <w:rFonts w:hint="eastAsia" w:ascii="宋体" w:hAnsi="宋体" w:cs="宋体"/>
          <w:color w:val="auto"/>
          <w:sz w:val="28"/>
          <w:szCs w:val="28"/>
          <w:highlight w:val="none"/>
          <w:u w:val="none"/>
        </w:rPr>
        <w:fldChar w:fldCharType="end"/>
      </w:r>
    </w:p>
    <w:p w14:paraId="58171FCE">
      <w:pPr>
        <w:pStyle w:val="32"/>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"_第三章  合同条款" </w:instrText>
      </w:r>
      <w:r>
        <w:rPr>
          <w:rFonts w:hint="eastAsia" w:ascii="宋体" w:hAnsi="宋体" w:cs="宋体"/>
          <w:color w:val="auto"/>
          <w:sz w:val="28"/>
          <w:szCs w:val="28"/>
          <w:highlight w:val="none"/>
          <w:u w:val="none"/>
        </w:rPr>
        <w:fldChar w:fldCharType="separate"/>
      </w:r>
      <w:r>
        <w:rPr>
          <w:rStyle w:val="29"/>
          <w:rFonts w:hint="eastAsia" w:ascii="宋体" w:hAnsi="宋体" w:cs="宋体"/>
          <w:color w:val="auto"/>
          <w:sz w:val="28"/>
          <w:szCs w:val="28"/>
          <w:highlight w:val="none"/>
        </w:rPr>
        <w:t>第三章  合同条款</w:t>
      </w:r>
      <w:r>
        <w:rPr>
          <w:rStyle w:val="29"/>
          <w:rFonts w:hint="eastAsia" w:ascii="宋体" w:hAnsi="宋体" w:cs="宋体"/>
          <w:color w:val="auto"/>
          <w:sz w:val="28"/>
          <w:szCs w:val="28"/>
          <w:highlight w:val="none"/>
        </w:rPr>
        <w:tab/>
      </w:r>
      <w:r>
        <w:rPr>
          <w:rStyle w:val="29"/>
          <w:rFonts w:hint="eastAsia" w:ascii="宋体" w:hAnsi="宋体" w:cs="宋体"/>
          <w:color w:val="auto"/>
          <w:sz w:val="28"/>
          <w:szCs w:val="28"/>
          <w:highlight w:val="none"/>
        </w:rPr>
        <w:t>17</w:t>
      </w:r>
      <w:r>
        <w:rPr>
          <w:rFonts w:hint="eastAsia" w:ascii="宋体" w:hAnsi="宋体" w:cs="宋体"/>
          <w:color w:val="auto"/>
          <w:sz w:val="28"/>
          <w:szCs w:val="28"/>
          <w:highlight w:val="none"/>
          <w:u w:val="none"/>
        </w:rPr>
        <w:fldChar w:fldCharType="end"/>
      </w:r>
    </w:p>
    <w:p w14:paraId="056802DD">
      <w:pPr>
        <w:pStyle w:val="32"/>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"_第四章 投标文件格式" </w:instrText>
      </w:r>
      <w:r>
        <w:rPr>
          <w:rFonts w:hint="eastAsia" w:ascii="宋体" w:hAnsi="宋体" w:cs="宋体"/>
          <w:color w:val="auto"/>
          <w:sz w:val="28"/>
          <w:szCs w:val="28"/>
          <w:highlight w:val="none"/>
          <w:u w:val="none"/>
        </w:rPr>
        <w:fldChar w:fldCharType="separate"/>
      </w:r>
      <w:r>
        <w:rPr>
          <w:rStyle w:val="29"/>
          <w:rFonts w:hint="eastAsia" w:ascii="宋体" w:hAnsi="宋体" w:cs="宋体"/>
          <w:color w:val="auto"/>
          <w:sz w:val="28"/>
          <w:szCs w:val="28"/>
          <w:highlight w:val="none"/>
        </w:rPr>
        <w:t xml:space="preserve">第四章 </w:t>
      </w:r>
      <w:r>
        <w:rPr>
          <w:rStyle w:val="29"/>
          <w:rFonts w:hint="eastAsia" w:ascii="宋体" w:hAnsi="宋体" w:cs="宋体"/>
          <w:color w:val="auto"/>
          <w:sz w:val="28"/>
          <w:szCs w:val="28"/>
          <w:highlight w:val="none"/>
          <w:lang w:val="en-US" w:eastAsia="zh-CN"/>
        </w:rPr>
        <w:t xml:space="preserve"> </w:t>
      </w:r>
      <w:r>
        <w:rPr>
          <w:rStyle w:val="29"/>
          <w:rFonts w:hint="eastAsia" w:ascii="宋体" w:hAnsi="宋体" w:cs="宋体"/>
          <w:color w:val="auto"/>
          <w:sz w:val="28"/>
          <w:szCs w:val="28"/>
          <w:highlight w:val="none"/>
        </w:rPr>
        <w:t>投标文件格式</w:t>
      </w:r>
      <w:r>
        <w:rPr>
          <w:rStyle w:val="29"/>
          <w:rFonts w:hint="eastAsia" w:ascii="宋体" w:hAnsi="宋体" w:cs="宋体"/>
          <w:color w:val="auto"/>
          <w:sz w:val="28"/>
          <w:szCs w:val="28"/>
          <w:highlight w:val="none"/>
        </w:rPr>
        <w:tab/>
      </w:r>
      <w:r>
        <w:rPr>
          <w:rStyle w:val="29"/>
          <w:rFonts w:hint="eastAsia" w:ascii="宋体" w:hAnsi="宋体" w:cs="宋体"/>
          <w:color w:val="auto"/>
          <w:sz w:val="28"/>
          <w:szCs w:val="28"/>
          <w:highlight w:val="none"/>
        </w:rPr>
        <w:t>50</w:t>
      </w:r>
      <w:r>
        <w:rPr>
          <w:rFonts w:hint="eastAsia" w:ascii="宋体" w:hAnsi="宋体" w:cs="宋体"/>
          <w:color w:val="auto"/>
          <w:sz w:val="28"/>
          <w:szCs w:val="28"/>
          <w:highlight w:val="none"/>
          <w:u w:val="none"/>
        </w:rPr>
        <w:fldChar w:fldCharType="end"/>
      </w:r>
    </w:p>
    <w:p w14:paraId="3A8C53CC">
      <w:pPr>
        <w:pStyle w:val="32"/>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"_附件一：投标函" </w:instrText>
      </w:r>
      <w:r>
        <w:rPr>
          <w:rFonts w:hint="eastAsia" w:ascii="宋体" w:hAnsi="宋体" w:cs="宋体"/>
          <w:color w:val="auto"/>
          <w:sz w:val="28"/>
          <w:szCs w:val="28"/>
          <w:highlight w:val="none"/>
          <w:u w:val="none"/>
        </w:rPr>
        <w:fldChar w:fldCharType="separate"/>
      </w:r>
      <w:r>
        <w:rPr>
          <w:rStyle w:val="29"/>
          <w:rFonts w:hint="eastAsia" w:ascii="宋体" w:hAnsi="宋体" w:cs="宋体"/>
          <w:color w:val="auto"/>
          <w:sz w:val="28"/>
          <w:szCs w:val="28"/>
          <w:highlight w:val="none"/>
        </w:rPr>
        <w:t>附件一：投标函</w:t>
      </w:r>
      <w:r>
        <w:rPr>
          <w:rStyle w:val="29"/>
          <w:rFonts w:hint="eastAsia" w:ascii="宋体" w:hAnsi="宋体" w:cs="宋体"/>
          <w:color w:val="auto"/>
          <w:sz w:val="28"/>
          <w:szCs w:val="28"/>
          <w:highlight w:val="none"/>
        </w:rPr>
        <w:tab/>
      </w:r>
      <w:r>
        <w:rPr>
          <w:rStyle w:val="29"/>
          <w:rFonts w:hint="eastAsia" w:ascii="宋体" w:hAnsi="宋体" w:cs="宋体"/>
          <w:color w:val="auto"/>
          <w:sz w:val="28"/>
          <w:szCs w:val="28"/>
          <w:highlight w:val="none"/>
        </w:rPr>
        <w:fldChar w:fldCharType="begin"/>
      </w:r>
      <w:r>
        <w:rPr>
          <w:rStyle w:val="29"/>
          <w:rFonts w:hint="eastAsia" w:ascii="宋体" w:hAnsi="宋体" w:cs="宋体"/>
          <w:color w:val="auto"/>
          <w:sz w:val="28"/>
          <w:szCs w:val="28"/>
          <w:highlight w:val="none"/>
        </w:rPr>
        <w:instrText xml:space="preserve"> PAGEREF _Toc30668 </w:instrText>
      </w:r>
      <w:r>
        <w:rPr>
          <w:rStyle w:val="29"/>
          <w:rFonts w:hint="eastAsia" w:ascii="宋体" w:hAnsi="宋体" w:cs="宋体"/>
          <w:color w:val="auto"/>
          <w:sz w:val="28"/>
          <w:szCs w:val="28"/>
          <w:highlight w:val="none"/>
        </w:rPr>
        <w:fldChar w:fldCharType="separate"/>
      </w:r>
      <w:r>
        <w:rPr>
          <w:rStyle w:val="29"/>
          <w:rFonts w:hint="eastAsia" w:ascii="宋体" w:hAnsi="宋体" w:cs="宋体"/>
          <w:color w:val="auto"/>
          <w:sz w:val="28"/>
          <w:szCs w:val="28"/>
          <w:highlight w:val="none"/>
        </w:rPr>
        <w:t>53</w:t>
      </w:r>
      <w:r>
        <w:rPr>
          <w:rStyle w:val="29"/>
          <w:rFonts w:hint="eastAsia" w:ascii="宋体" w:hAnsi="宋体" w:cs="宋体"/>
          <w:color w:val="auto"/>
          <w:sz w:val="28"/>
          <w:szCs w:val="28"/>
          <w:highlight w:val="none"/>
        </w:rPr>
        <w:fldChar w:fldCharType="end"/>
      </w:r>
      <w:r>
        <w:rPr>
          <w:rFonts w:hint="eastAsia" w:ascii="宋体" w:hAnsi="宋体" w:cs="宋体"/>
          <w:color w:val="auto"/>
          <w:sz w:val="28"/>
          <w:szCs w:val="28"/>
          <w:highlight w:val="none"/>
          <w:u w:val="none"/>
        </w:rPr>
        <w:fldChar w:fldCharType="end"/>
      </w:r>
    </w:p>
    <w:p w14:paraId="7C809F79">
      <w:pPr>
        <w:pStyle w:val="32"/>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"_附件三：项目负责人简历表" </w:instrText>
      </w:r>
      <w:r>
        <w:rPr>
          <w:rFonts w:hint="eastAsia" w:ascii="宋体" w:hAnsi="宋体" w:cs="宋体"/>
          <w:color w:val="auto"/>
          <w:sz w:val="28"/>
          <w:szCs w:val="28"/>
          <w:highlight w:val="none"/>
          <w:u w:val="none"/>
        </w:rPr>
        <w:fldChar w:fldCharType="separate"/>
      </w:r>
      <w:r>
        <w:rPr>
          <w:rStyle w:val="29"/>
          <w:rFonts w:hint="eastAsia" w:ascii="宋体" w:hAnsi="宋体" w:cs="宋体"/>
          <w:color w:val="auto"/>
          <w:sz w:val="28"/>
          <w:szCs w:val="28"/>
          <w:highlight w:val="none"/>
        </w:rPr>
        <w:t>附件</w:t>
      </w:r>
      <w:r>
        <w:rPr>
          <w:rStyle w:val="29"/>
          <w:rFonts w:hint="eastAsia" w:ascii="宋体" w:hAnsi="宋体" w:cs="宋体"/>
          <w:color w:val="auto"/>
          <w:sz w:val="28"/>
          <w:szCs w:val="28"/>
          <w:highlight w:val="none"/>
          <w:lang w:val="en-US" w:eastAsia="zh-CN"/>
        </w:rPr>
        <w:t>二</w:t>
      </w:r>
      <w:r>
        <w:rPr>
          <w:rStyle w:val="29"/>
          <w:rFonts w:hint="eastAsia" w:ascii="宋体" w:hAnsi="宋体" w:cs="宋体"/>
          <w:color w:val="auto"/>
          <w:sz w:val="28"/>
          <w:szCs w:val="28"/>
          <w:highlight w:val="none"/>
        </w:rPr>
        <w:t>：项目负责人简历表</w:t>
      </w:r>
      <w:r>
        <w:rPr>
          <w:rStyle w:val="29"/>
          <w:rFonts w:hint="eastAsia" w:ascii="宋体" w:hAnsi="宋体" w:cs="宋体"/>
          <w:color w:val="auto"/>
          <w:sz w:val="28"/>
          <w:szCs w:val="28"/>
          <w:highlight w:val="none"/>
        </w:rPr>
        <w:tab/>
      </w:r>
      <w:r>
        <w:rPr>
          <w:rStyle w:val="29"/>
          <w:rFonts w:hint="eastAsia" w:ascii="宋体" w:hAnsi="宋体" w:cs="宋体"/>
          <w:color w:val="auto"/>
          <w:sz w:val="28"/>
          <w:szCs w:val="28"/>
          <w:highlight w:val="none"/>
        </w:rPr>
        <w:fldChar w:fldCharType="begin"/>
      </w:r>
      <w:r>
        <w:rPr>
          <w:rStyle w:val="29"/>
          <w:rFonts w:hint="eastAsia" w:ascii="宋体" w:hAnsi="宋体" w:cs="宋体"/>
          <w:color w:val="auto"/>
          <w:sz w:val="28"/>
          <w:szCs w:val="28"/>
          <w:highlight w:val="none"/>
        </w:rPr>
        <w:instrText xml:space="preserve"> PAGEREF _Toc30036 </w:instrText>
      </w:r>
      <w:r>
        <w:rPr>
          <w:rStyle w:val="29"/>
          <w:rFonts w:hint="eastAsia" w:ascii="宋体" w:hAnsi="宋体" w:cs="宋体"/>
          <w:color w:val="auto"/>
          <w:sz w:val="28"/>
          <w:szCs w:val="28"/>
          <w:highlight w:val="none"/>
        </w:rPr>
        <w:fldChar w:fldCharType="separate"/>
      </w:r>
      <w:r>
        <w:rPr>
          <w:rStyle w:val="29"/>
          <w:rFonts w:hint="eastAsia" w:ascii="宋体" w:hAnsi="宋体" w:cs="宋体"/>
          <w:color w:val="auto"/>
          <w:sz w:val="28"/>
          <w:szCs w:val="28"/>
          <w:highlight w:val="none"/>
        </w:rPr>
        <w:t>54</w:t>
      </w:r>
      <w:r>
        <w:rPr>
          <w:rStyle w:val="29"/>
          <w:rFonts w:hint="eastAsia" w:ascii="宋体" w:hAnsi="宋体" w:cs="宋体"/>
          <w:color w:val="auto"/>
          <w:sz w:val="28"/>
          <w:szCs w:val="28"/>
          <w:highlight w:val="none"/>
        </w:rPr>
        <w:fldChar w:fldCharType="end"/>
      </w:r>
      <w:r>
        <w:rPr>
          <w:rFonts w:hint="eastAsia" w:ascii="宋体" w:hAnsi="宋体" w:cs="宋体"/>
          <w:color w:val="auto"/>
          <w:sz w:val="28"/>
          <w:szCs w:val="28"/>
          <w:highlight w:val="none"/>
          <w:u w:val="none"/>
        </w:rPr>
        <w:fldChar w:fldCharType="end"/>
      </w:r>
    </w:p>
    <w:p w14:paraId="2447DE25">
      <w:pPr>
        <w:pStyle w:val="32"/>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"_附件四：技术负责人简历表" </w:instrText>
      </w:r>
      <w:r>
        <w:rPr>
          <w:rFonts w:hint="eastAsia" w:ascii="宋体" w:hAnsi="宋体" w:cs="宋体"/>
          <w:color w:val="auto"/>
          <w:sz w:val="28"/>
          <w:szCs w:val="28"/>
          <w:highlight w:val="none"/>
          <w:u w:val="none"/>
        </w:rPr>
        <w:fldChar w:fldCharType="separate"/>
      </w:r>
      <w:r>
        <w:rPr>
          <w:rStyle w:val="29"/>
          <w:rFonts w:hint="eastAsia" w:ascii="宋体" w:hAnsi="宋体" w:cs="宋体"/>
          <w:color w:val="auto"/>
          <w:sz w:val="28"/>
          <w:szCs w:val="28"/>
          <w:highlight w:val="none"/>
        </w:rPr>
        <w:t>附件</w:t>
      </w:r>
      <w:r>
        <w:rPr>
          <w:rStyle w:val="29"/>
          <w:rFonts w:hint="eastAsia" w:ascii="宋体" w:hAnsi="宋体" w:cs="宋体"/>
          <w:color w:val="auto"/>
          <w:sz w:val="28"/>
          <w:szCs w:val="28"/>
          <w:highlight w:val="none"/>
          <w:lang w:val="en-US" w:eastAsia="zh-CN"/>
        </w:rPr>
        <w:t>三</w:t>
      </w:r>
      <w:r>
        <w:rPr>
          <w:rStyle w:val="29"/>
          <w:rFonts w:hint="eastAsia" w:ascii="宋体" w:hAnsi="宋体" w:cs="宋体"/>
          <w:color w:val="auto"/>
          <w:sz w:val="28"/>
          <w:szCs w:val="28"/>
          <w:highlight w:val="none"/>
        </w:rPr>
        <w:t>：技术负责人简历表</w:t>
      </w:r>
      <w:r>
        <w:rPr>
          <w:rStyle w:val="29"/>
          <w:rFonts w:hint="eastAsia" w:ascii="宋体" w:hAnsi="宋体" w:cs="宋体"/>
          <w:color w:val="auto"/>
          <w:sz w:val="28"/>
          <w:szCs w:val="28"/>
          <w:highlight w:val="none"/>
        </w:rPr>
        <w:tab/>
      </w:r>
      <w:r>
        <w:rPr>
          <w:rStyle w:val="29"/>
          <w:rFonts w:hint="eastAsia" w:ascii="宋体" w:hAnsi="宋体" w:cs="宋体"/>
          <w:color w:val="auto"/>
          <w:sz w:val="28"/>
          <w:szCs w:val="28"/>
          <w:highlight w:val="none"/>
        </w:rPr>
        <w:fldChar w:fldCharType="begin"/>
      </w:r>
      <w:r>
        <w:rPr>
          <w:rStyle w:val="29"/>
          <w:rFonts w:hint="eastAsia" w:ascii="宋体" w:hAnsi="宋体" w:cs="宋体"/>
          <w:color w:val="auto"/>
          <w:sz w:val="28"/>
          <w:szCs w:val="28"/>
          <w:highlight w:val="none"/>
        </w:rPr>
        <w:instrText xml:space="preserve"> PAGEREF _Toc581 </w:instrText>
      </w:r>
      <w:r>
        <w:rPr>
          <w:rStyle w:val="29"/>
          <w:rFonts w:hint="eastAsia" w:ascii="宋体" w:hAnsi="宋体" w:cs="宋体"/>
          <w:color w:val="auto"/>
          <w:sz w:val="28"/>
          <w:szCs w:val="28"/>
          <w:highlight w:val="none"/>
        </w:rPr>
        <w:fldChar w:fldCharType="separate"/>
      </w:r>
      <w:r>
        <w:rPr>
          <w:rStyle w:val="29"/>
          <w:rFonts w:hint="eastAsia" w:ascii="宋体" w:hAnsi="宋体" w:cs="宋体"/>
          <w:color w:val="auto"/>
          <w:sz w:val="28"/>
          <w:szCs w:val="28"/>
          <w:highlight w:val="none"/>
        </w:rPr>
        <w:t>55</w:t>
      </w:r>
      <w:r>
        <w:rPr>
          <w:rStyle w:val="29"/>
          <w:rFonts w:hint="eastAsia" w:ascii="宋体" w:hAnsi="宋体" w:cs="宋体"/>
          <w:color w:val="auto"/>
          <w:sz w:val="28"/>
          <w:szCs w:val="28"/>
          <w:highlight w:val="none"/>
        </w:rPr>
        <w:fldChar w:fldCharType="end"/>
      </w:r>
      <w:r>
        <w:rPr>
          <w:rFonts w:hint="eastAsia" w:ascii="宋体" w:hAnsi="宋体" w:cs="宋体"/>
          <w:color w:val="auto"/>
          <w:sz w:val="28"/>
          <w:szCs w:val="28"/>
          <w:highlight w:val="none"/>
          <w:u w:val="none"/>
        </w:rPr>
        <w:fldChar w:fldCharType="end"/>
      </w:r>
    </w:p>
    <w:p w14:paraId="37A532B5">
      <w:pPr>
        <w:pStyle w:val="32"/>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"_附件五：项目负责人在建项目承诺书" </w:instrText>
      </w:r>
      <w:r>
        <w:rPr>
          <w:rFonts w:hint="eastAsia" w:ascii="宋体" w:hAnsi="宋体" w:cs="宋体"/>
          <w:color w:val="auto"/>
          <w:sz w:val="28"/>
          <w:szCs w:val="28"/>
          <w:highlight w:val="none"/>
          <w:u w:val="none"/>
        </w:rPr>
        <w:fldChar w:fldCharType="separate"/>
      </w:r>
      <w:r>
        <w:rPr>
          <w:rStyle w:val="29"/>
          <w:rFonts w:hint="eastAsia" w:ascii="宋体" w:hAnsi="宋体" w:cs="宋体"/>
          <w:color w:val="auto"/>
          <w:sz w:val="28"/>
          <w:szCs w:val="28"/>
          <w:highlight w:val="none"/>
        </w:rPr>
        <w:t>附件</w:t>
      </w:r>
      <w:r>
        <w:rPr>
          <w:rStyle w:val="29"/>
          <w:rFonts w:hint="eastAsia" w:ascii="宋体" w:hAnsi="宋体" w:cs="宋体"/>
          <w:color w:val="auto"/>
          <w:sz w:val="28"/>
          <w:szCs w:val="28"/>
          <w:highlight w:val="none"/>
          <w:lang w:val="en-US" w:eastAsia="zh-CN"/>
        </w:rPr>
        <w:t>四</w:t>
      </w:r>
      <w:r>
        <w:rPr>
          <w:rStyle w:val="29"/>
          <w:rFonts w:hint="eastAsia" w:ascii="宋体" w:hAnsi="宋体" w:cs="宋体"/>
          <w:color w:val="auto"/>
          <w:sz w:val="28"/>
          <w:szCs w:val="28"/>
          <w:highlight w:val="none"/>
        </w:rPr>
        <w:t>：项目负责人在建项目承诺书</w:t>
      </w:r>
      <w:r>
        <w:rPr>
          <w:rStyle w:val="29"/>
          <w:rFonts w:hint="eastAsia" w:ascii="宋体" w:hAnsi="宋体" w:cs="宋体"/>
          <w:color w:val="auto"/>
          <w:sz w:val="28"/>
          <w:szCs w:val="28"/>
          <w:highlight w:val="none"/>
        </w:rPr>
        <w:tab/>
      </w:r>
      <w:r>
        <w:rPr>
          <w:rStyle w:val="29"/>
          <w:rFonts w:hint="eastAsia" w:ascii="宋体" w:hAnsi="宋体" w:cs="宋体"/>
          <w:color w:val="auto"/>
          <w:sz w:val="28"/>
          <w:szCs w:val="28"/>
          <w:highlight w:val="none"/>
        </w:rPr>
        <w:t>5</w:t>
      </w:r>
      <w:r>
        <w:rPr>
          <w:rStyle w:val="29"/>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u w:val="none"/>
        </w:rPr>
        <w:fldChar w:fldCharType="end"/>
      </w:r>
    </w:p>
    <w:p w14:paraId="0D367C05">
      <w:pPr>
        <w:pStyle w:val="32"/>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"_附件六：主要施工机械设备表" </w:instrText>
      </w:r>
      <w:r>
        <w:rPr>
          <w:rFonts w:hint="eastAsia" w:ascii="宋体" w:hAnsi="宋体" w:cs="宋体"/>
          <w:color w:val="auto"/>
          <w:sz w:val="28"/>
          <w:szCs w:val="28"/>
          <w:highlight w:val="none"/>
          <w:u w:val="none"/>
        </w:rPr>
        <w:fldChar w:fldCharType="separate"/>
      </w:r>
      <w:r>
        <w:rPr>
          <w:rStyle w:val="29"/>
          <w:rFonts w:hint="eastAsia" w:ascii="宋体" w:hAnsi="宋体" w:cs="宋体"/>
          <w:color w:val="auto"/>
          <w:sz w:val="28"/>
          <w:szCs w:val="28"/>
          <w:highlight w:val="none"/>
        </w:rPr>
        <w:t>附件</w:t>
      </w:r>
      <w:r>
        <w:rPr>
          <w:rStyle w:val="29"/>
          <w:rFonts w:hint="eastAsia" w:ascii="宋体" w:hAnsi="宋体" w:cs="宋体"/>
          <w:color w:val="auto"/>
          <w:sz w:val="28"/>
          <w:szCs w:val="28"/>
          <w:highlight w:val="none"/>
          <w:lang w:val="en-US" w:eastAsia="zh-CN"/>
        </w:rPr>
        <w:t>五</w:t>
      </w:r>
      <w:r>
        <w:rPr>
          <w:rStyle w:val="29"/>
          <w:rFonts w:hint="eastAsia" w:ascii="宋体" w:hAnsi="宋体" w:cs="宋体"/>
          <w:color w:val="auto"/>
          <w:sz w:val="28"/>
          <w:szCs w:val="28"/>
          <w:highlight w:val="none"/>
        </w:rPr>
        <w:t>：主要施工机械设备表</w:t>
      </w:r>
      <w:r>
        <w:rPr>
          <w:rStyle w:val="29"/>
          <w:rFonts w:hint="eastAsia" w:ascii="宋体" w:hAnsi="宋体" w:cs="宋体"/>
          <w:color w:val="auto"/>
          <w:sz w:val="28"/>
          <w:szCs w:val="28"/>
          <w:highlight w:val="none"/>
        </w:rPr>
        <w:tab/>
      </w:r>
      <w:r>
        <w:rPr>
          <w:rStyle w:val="29"/>
          <w:rFonts w:hint="eastAsia" w:ascii="宋体" w:hAnsi="宋体" w:cs="宋体"/>
          <w:color w:val="auto"/>
          <w:sz w:val="28"/>
          <w:szCs w:val="28"/>
          <w:highlight w:val="none"/>
        </w:rPr>
        <w:t>5</w:t>
      </w:r>
      <w:r>
        <w:rPr>
          <w:rStyle w:val="29"/>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u w:val="none"/>
        </w:rPr>
        <w:fldChar w:fldCharType="end"/>
      </w:r>
    </w:p>
    <w:p w14:paraId="7EA5FD43">
      <w:pPr>
        <w:pStyle w:val="32"/>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"_附件七：临海市建设工程诚信投标承诺书" </w:instrText>
      </w:r>
      <w:r>
        <w:rPr>
          <w:rFonts w:hint="eastAsia" w:ascii="宋体" w:hAnsi="宋体" w:cs="宋体"/>
          <w:color w:val="auto"/>
          <w:sz w:val="28"/>
          <w:szCs w:val="28"/>
          <w:highlight w:val="none"/>
          <w:u w:val="none"/>
        </w:rPr>
        <w:fldChar w:fldCharType="separate"/>
      </w:r>
      <w:r>
        <w:rPr>
          <w:rStyle w:val="29"/>
          <w:rFonts w:hint="eastAsia" w:ascii="宋体" w:hAnsi="宋体" w:cs="宋体"/>
          <w:color w:val="auto"/>
          <w:sz w:val="28"/>
          <w:szCs w:val="28"/>
          <w:highlight w:val="none"/>
        </w:rPr>
        <w:t>附件</w:t>
      </w:r>
      <w:r>
        <w:rPr>
          <w:rStyle w:val="29"/>
          <w:rFonts w:hint="eastAsia" w:ascii="宋体" w:hAnsi="宋体" w:cs="宋体"/>
          <w:color w:val="auto"/>
          <w:sz w:val="28"/>
          <w:szCs w:val="28"/>
          <w:highlight w:val="none"/>
          <w:lang w:val="en-US" w:eastAsia="zh-CN"/>
        </w:rPr>
        <w:t>六</w:t>
      </w:r>
      <w:r>
        <w:rPr>
          <w:rStyle w:val="29"/>
          <w:rFonts w:hint="eastAsia" w:ascii="宋体" w:hAnsi="宋体" w:cs="宋体"/>
          <w:color w:val="auto"/>
          <w:sz w:val="28"/>
          <w:szCs w:val="28"/>
          <w:highlight w:val="none"/>
        </w:rPr>
        <w:t>：临海市建设工程诚信投标承诺书</w:t>
      </w:r>
      <w:r>
        <w:rPr>
          <w:rStyle w:val="29"/>
          <w:rFonts w:hint="eastAsia" w:ascii="宋体" w:hAnsi="宋体" w:cs="宋体"/>
          <w:color w:val="auto"/>
          <w:sz w:val="28"/>
          <w:szCs w:val="28"/>
          <w:highlight w:val="none"/>
        </w:rPr>
        <w:tab/>
      </w:r>
      <w:r>
        <w:rPr>
          <w:rStyle w:val="29"/>
          <w:rFonts w:hint="eastAsia" w:ascii="宋体" w:hAnsi="宋体" w:cs="宋体"/>
          <w:color w:val="auto"/>
          <w:sz w:val="28"/>
          <w:szCs w:val="28"/>
          <w:highlight w:val="none"/>
        </w:rPr>
        <w:t>5</w:t>
      </w:r>
      <w:r>
        <w:rPr>
          <w:rStyle w:val="29"/>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u w:val="none"/>
        </w:rPr>
        <w:fldChar w:fldCharType="end"/>
      </w:r>
    </w:p>
    <w:p w14:paraId="5CAFCCB4">
      <w:pPr>
        <w:pStyle w:val="32"/>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"_附件八：法定代表人授权委托书" </w:instrText>
      </w:r>
      <w:r>
        <w:rPr>
          <w:rFonts w:hint="eastAsia" w:ascii="宋体" w:hAnsi="宋体" w:cs="宋体"/>
          <w:color w:val="auto"/>
          <w:sz w:val="28"/>
          <w:szCs w:val="28"/>
          <w:highlight w:val="none"/>
          <w:u w:val="none"/>
        </w:rPr>
        <w:fldChar w:fldCharType="separate"/>
      </w:r>
      <w:r>
        <w:rPr>
          <w:rStyle w:val="29"/>
          <w:rFonts w:hint="eastAsia" w:ascii="宋体" w:hAnsi="宋体" w:cs="宋体"/>
          <w:color w:val="auto"/>
          <w:sz w:val="28"/>
          <w:szCs w:val="28"/>
          <w:highlight w:val="none"/>
        </w:rPr>
        <w:t>附件</w:t>
      </w:r>
      <w:r>
        <w:rPr>
          <w:rStyle w:val="29"/>
          <w:rFonts w:hint="eastAsia" w:ascii="宋体" w:hAnsi="宋体" w:cs="宋体"/>
          <w:color w:val="auto"/>
          <w:sz w:val="28"/>
          <w:szCs w:val="28"/>
          <w:highlight w:val="none"/>
          <w:lang w:val="en-US" w:eastAsia="zh-CN"/>
        </w:rPr>
        <w:t>七</w:t>
      </w:r>
      <w:r>
        <w:rPr>
          <w:rStyle w:val="29"/>
          <w:rFonts w:hint="eastAsia" w:ascii="宋体" w:hAnsi="宋体" w:cs="宋体"/>
          <w:color w:val="auto"/>
          <w:sz w:val="28"/>
          <w:szCs w:val="28"/>
          <w:highlight w:val="none"/>
        </w:rPr>
        <w:t>：法定代表人授权委托书</w:t>
      </w:r>
      <w:r>
        <w:rPr>
          <w:rStyle w:val="29"/>
          <w:rFonts w:hint="eastAsia" w:ascii="宋体" w:hAnsi="宋体" w:cs="宋体"/>
          <w:color w:val="auto"/>
          <w:sz w:val="28"/>
          <w:szCs w:val="28"/>
          <w:highlight w:val="none"/>
        </w:rPr>
        <w:tab/>
      </w:r>
      <w:r>
        <w:rPr>
          <w:rStyle w:val="29"/>
          <w:rFonts w:hint="eastAsia" w:ascii="宋体" w:hAnsi="宋体" w:cs="宋体"/>
          <w:color w:val="auto"/>
          <w:sz w:val="28"/>
          <w:szCs w:val="28"/>
          <w:highlight w:val="none"/>
        </w:rPr>
        <w:t>5</w:t>
      </w:r>
      <w:r>
        <w:rPr>
          <w:rStyle w:val="29"/>
          <w:rFonts w:hint="eastAsia" w:ascii="宋体" w:hAnsi="宋体" w:cs="宋体"/>
          <w:color w:val="auto"/>
          <w:sz w:val="28"/>
          <w:szCs w:val="28"/>
          <w:highlight w:val="none"/>
          <w:lang w:val="en-US" w:eastAsia="zh-CN"/>
        </w:rPr>
        <w:t>9</w:t>
      </w:r>
      <w:r>
        <w:rPr>
          <w:rFonts w:hint="eastAsia" w:ascii="宋体" w:hAnsi="宋体" w:cs="宋体"/>
          <w:color w:val="auto"/>
          <w:sz w:val="28"/>
          <w:szCs w:val="28"/>
          <w:highlight w:val="none"/>
          <w:u w:val="none"/>
        </w:rPr>
        <w:fldChar w:fldCharType="end"/>
      </w:r>
    </w:p>
    <w:p w14:paraId="4E91E4B1">
      <w:pPr>
        <w:pStyle w:val="32"/>
        <w:tabs>
          <w:tab w:val="right" w:leader="dot" w:pos="9185"/>
        </w:tabs>
        <w:spacing w:line="360" w:lineRule="auto"/>
        <w:rPr>
          <w:rFonts w:hint="eastAsia" w:ascii="宋体" w:hAnsi="宋体" w:cs="宋体"/>
          <w:color w:val="auto"/>
          <w:sz w:val="28"/>
          <w:szCs w:val="28"/>
          <w:highlight w:val="none"/>
          <w:u w:val="none"/>
          <w:lang w:val="en-US" w:eastAsia="zh-CN"/>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"_附件九：法定代表人身份证明" </w:instrText>
      </w:r>
      <w:r>
        <w:rPr>
          <w:rFonts w:hint="eastAsia" w:ascii="宋体" w:hAnsi="宋体" w:cs="宋体"/>
          <w:color w:val="auto"/>
          <w:sz w:val="28"/>
          <w:szCs w:val="28"/>
          <w:highlight w:val="none"/>
        </w:rPr>
        <w:fldChar w:fldCharType="separate"/>
      </w:r>
      <w:r>
        <w:rPr>
          <w:rStyle w:val="29"/>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"_附件九：法定代表人身份证明" </w:instrText>
      </w:r>
      <w:r>
        <w:rPr>
          <w:rFonts w:hint="eastAsia" w:ascii="宋体" w:hAnsi="宋体" w:cs="宋体"/>
          <w:color w:val="auto"/>
          <w:sz w:val="28"/>
          <w:szCs w:val="28"/>
          <w:highlight w:val="none"/>
          <w:u w:val="none"/>
        </w:rPr>
        <w:fldChar w:fldCharType="separate"/>
      </w:r>
      <w:r>
        <w:rPr>
          <w:rStyle w:val="27"/>
          <w:rFonts w:hint="eastAsia" w:ascii="宋体" w:hAnsi="宋体" w:cs="宋体"/>
          <w:color w:val="auto"/>
          <w:sz w:val="28"/>
          <w:szCs w:val="28"/>
          <w:highlight w:val="none"/>
          <w:u w:val="none"/>
        </w:rPr>
        <w:t>件</w:t>
      </w:r>
      <w:r>
        <w:rPr>
          <w:rStyle w:val="27"/>
          <w:rFonts w:hint="eastAsia" w:ascii="宋体" w:hAnsi="宋体" w:cs="宋体"/>
          <w:color w:val="auto"/>
          <w:sz w:val="28"/>
          <w:szCs w:val="28"/>
          <w:highlight w:val="none"/>
          <w:u w:val="none"/>
          <w:lang w:val="en-US" w:eastAsia="zh-CN"/>
        </w:rPr>
        <w:t>八</w:t>
      </w:r>
      <w:r>
        <w:rPr>
          <w:rStyle w:val="27"/>
          <w:rFonts w:hint="eastAsia" w:ascii="宋体" w:hAnsi="宋体" w:cs="宋体"/>
          <w:color w:val="auto"/>
          <w:sz w:val="28"/>
          <w:szCs w:val="28"/>
          <w:highlight w:val="none"/>
          <w:u w:val="none"/>
        </w:rPr>
        <w:t>：法定代表人身份证明......................................</w:t>
      </w:r>
      <w:r>
        <w:rPr>
          <w:rStyle w:val="27"/>
          <w:rFonts w:hint="eastAsia" w:ascii="宋体" w:hAnsi="宋体" w:cs="宋体"/>
          <w:color w:val="auto"/>
          <w:sz w:val="28"/>
          <w:szCs w:val="28"/>
          <w:highlight w:val="none"/>
          <w:u w:val="none"/>
          <w:lang w:val="en-US" w:eastAsia="zh-CN"/>
        </w:rPr>
        <w:t>6</w:t>
      </w:r>
      <w:r>
        <w:rPr>
          <w:rFonts w:hint="eastAsia" w:ascii="宋体" w:hAnsi="宋体" w:cs="宋体"/>
          <w:color w:val="auto"/>
          <w:sz w:val="28"/>
          <w:szCs w:val="28"/>
          <w:highlight w:val="none"/>
          <w:u w:val="none"/>
        </w:rPr>
        <w:fldChar w:fldCharType="end"/>
      </w:r>
      <w:r>
        <w:rPr>
          <w:rFonts w:hint="eastAsia" w:ascii="宋体" w:hAnsi="宋体" w:cs="宋体"/>
          <w:color w:val="auto"/>
          <w:sz w:val="28"/>
          <w:szCs w:val="28"/>
          <w:highlight w:val="none"/>
          <w:u w:val="none"/>
          <w:lang w:val="en-US" w:eastAsia="zh-CN"/>
        </w:rPr>
        <w:t>0</w:t>
      </w:r>
    </w:p>
    <w:p w14:paraId="43363AFE">
      <w:pPr>
        <w:pStyle w:val="32"/>
        <w:tabs>
          <w:tab w:val="right" w:leader="dot" w:pos="9185"/>
        </w:tabs>
        <w:spacing w:line="360" w:lineRule="auto"/>
        <w:rPr>
          <w:rFonts w:hint="eastAsia" w:ascii="宋体" w:hAnsi="宋体" w:cs="宋体"/>
          <w:color w:val="auto"/>
          <w:sz w:val="28"/>
          <w:szCs w:val="28"/>
          <w:highlight w:val="none"/>
          <w:u w:val="none"/>
          <w:lang w:val="en-US" w:eastAsia="zh-CN"/>
        </w:rPr>
      </w:pP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"_附件九：法定代表人身份证明" </w:instrText>
      </w:r>
      <w:r>
        <w:rPr>
          <w:rFonts w:hint="eastAsia" w:ascii="宋体" w:hAnsi="宋体" w:cs="宋体"/>
          <w:color w:val="auto"/>
          <w:sz w:val="28"/>
          <w:szCs w:val="28"/>
          <w:highlight w:val="none"/>
          <w:u w:val="none"/>
        </w:rPr>
        <w:fldChar w:fldCharType="separate"/>
      </w:r>
      <w:r>
        <w:rPr>
          <w:rStyle w:val="27"/>
          <w:rFonts w:hint="eastAsia" w:ascii="宋体" w:hAnsi="宋体" w:cs="宋体"/>
          <w:color w:val="auto"/>
          <w:sz w:val="28"/>
          <w:szCs w:val="28"/>
          <w:highlight w:val="none"/>
          <w:u w:val="none"/>
          <w:lang w:val="en-US" w:eastAsia="zh-CN"/>
        </w:rPr>
        <w:t>附件九</w:t>
      </w:r>
      <w:r>
        <w:rPr>
          <w:rStyle w:val="27"/>
          <w:rFonts w:hint="eastAsia" w:ascii="宋体" w:hAnsi="宋体" w:cs="宋体"/>
          <w:color w:val="auto"/>
          <w:sz w:val="28"/>
          <w:szCs w:val="28"/>
          <w:highlight w:val="none"/>
          <w:u w:val="none"/>
        </w:rPr>
        <w:t>：停工证明（如有）.......................................</w:t>
      </w:r>
      <w:r>
        <w:rPr>
          <w:rStyle w:val="27"/>
          <w:rFonts w:hint="eastAsia" w:ascii="宋体" w:hAnsi="宋体" w:cs="宋体"/>
          <w:color w:val="auto"/>
          <w:sz w:val="28"/>
          <w:szCs w:val="28"/>
          <w:highlight w:val="none"/>
          <w:u w:val="none"/>
          <w:lang w:val="en-US" w:eastAsia="zh-CN"/>
        </w:rPr>
        <w:t xml:space="preserve"> 6</w:t>
      </w:r>
      <w:r>
        <w:rPr>
          <w:rFonts w:hint="eastAsia" w:ascii="宋体" w:hAnsi="宋体" w:cs="宋体"/>
          <w:color w:val="auto"/>
          <w:sz w:val="28"/>
          <w:szCs w:val="28"/>
          <w:highlight w:val="none"/>
          <w:u w:val="none"/>
        </w:rPr>
        <w:fldChar w:fldCharType="end"/>
      </w:r>
      <w:r>
        <w:rPr>
          <w:rFonts w:hint="eastAsia" w:ascii="宋体" w:hAnsi="宋体" w:cs="宋体"/>
          <w:color w:val="auto"/>
          <w:sz w:val="28"/>
          <w:szCs w:val="28"/>
          <w:highlight w:val="none"/>
          <w:u w:val="none"/>
          <w:lang w:val="en-US" w:eastAsia="zh-CN"/>
        </w:rPr>
        <w:t>1</w:t>
      </w:r>
    </w:p>
    <w:p w14:paraId="7A86EBBE">
      <w:pPr>
        <w:pStyle w:val="32"/>
        <w:tabs>
          <w:tab w:val="right" w:leader="dot" w:pos="9185"/>
        </w:tabs>
        <w:spacing w:line="360" w:lineRule="auto"/>
        <w:rPr>
          <w:rFonts w:hint="eastAsia" w:ascii="宋体" w:hAnsi="宋体" w:cs="宋体"/>
          <w:color w:val="auto"/>
          <w:sz w:val="28"/>
          <w:szCs w:val="28"/>
          <w:highlight w:val="none"/>
          <w:u w:val="none"/>
          <w:lang w:val="en-US" w:eastAsia="zh-CN"/>
        </w:rPr>
      </w:pPr>
      <w:r>
        <w:rPr>
          <w:rFonts w:hint="eastAsia" w:ascii="宋体" w:hAnsi="宋体" w:cs="宋体"/>
          <w:color w:val="auto"/>
          <w:sz w:val="28"/>
          <w:szCs w:val="28"/>
          <w:highlight w:val="none"/>
          <w:u w:val="none"/>
        </w:rPr>
        <w:fldChar w:fldCharType="begin"/>
      </w:r>
      <w:r>
        <w:rPr>
          <w:rFonts w:hint="eastAsia" w:ascii="宋体" w:hAnsi="宋体" w:cs="宋体"/>
          <w:color w:val="auto"/>
          <w:sz w:val="28"/>
          <w:szCs w:val="28"/>
          <w:highlight w:val="none"/>
          <w:u w:val="none"/>
        </w:rPr>
        <w:instrText xml:space="preserve"> HYPERLINK \l "_附件九：法定代表人身份证明" </w:instrText>
      </w:r>
      <w:r>
        <w:rPr>
          <w:rFonts w:hint="eastAsia" w:ascii="宋体" w:hAnsi="宋体" w:cs="宋体"/>
          <w:color w:val="auto"/>
          <w:sz w:val="28"/>
          <w:szCs w:val="28"/>
          <w:highlight w:val="none"/>
          <w:u w:val="none"/>
        </w:rPr>
        <w:fldChar w:fldCharType="separate"/>
      </w:r>
      <w:r>
        <w:rPr>
          <w:rStyle w:val="27"/>
          <w:rFonts w:hint="eastAsia" w:ascii="宋体" w:hAnsi="宋体" w:cs="宋体"/>
          <w:color w:val="auto"/>
          <w:sz w:val="28"/>
          <w:szCs w:val="28"/>
          <w:highlight w:val="none"/>
          <w:u w:val="none"/>
          <w:lang w:val="en-US" w:eastAsia="zh-CN"/>
        </w:rPr>
        <w:t>附件十</w:t>
      </w:r>
      <w:r>
        <w:rPr>
          <w:rStyle w:val="27"/>
          <w:rFonts w:hint="eastAsia" w:ascii="宋体" w:hAnsi="宋体" w:cs="宋体"/>
          <w:color w:val="auto"/>
          <w:sz w:val="28"/>
          <w:szCs w:val="28"/>
          <w:highlight w:val="none"/>
          <w:u w:val="none"/>
        </w:rPr>
        <w:t>：</w:t>
      </w:r>
      <w:r>
        <w:rPr>
          <w:rStyle w:val="27"/>
          <w:rFonts w:hint="eastAsia" w:ascii="宋体" w:hAnsi="宋体" w:cs="宋体"/>
          <w:color w:val="auto"/>
          <w:sz w:val="28"/>
          <w:szCs w:val="28"/>
          <w:highlight w:val="none"/>
          <w:u w:val="none"/>
          <w:lang w:val="en-US" w:eastAsia="zh-CN"/>
        </w:rPr>
        <w:t>未验收</w:t>
      </w:r>
      <w:r>
        <w:rPr>
          <w:rStyle w:val="27"/>
          <w:rFonts w:hint="eastAsia" w:ascii="宋体" w:hAnsi="宋体" w:cs="宋体"/>
          <w:color w:val="auto"/>
          <w:sz w:val="28"/>
          <w:szCs w:val="28"/>
          <w:highlight w:val="none"/>
          <w:u w:val="none"/>
        </w:rPr>
        <w:t>证明（如有）......................................</w:t>
      </w:r>
      <w:r>
        <w:rPr>
          <w:rStyle w:val="27"/>
          <w:rFonts w:hint="eastAsia" w:ascii="宋体" w:hAnsi="宋体" w:cs="宋体"/>
          <w:color w:val="auto"/>
          <w:sz w:val="28"/>
          <w:szCs w:val="28"/>
          <w:highlight w:val="none"/>
          <w:u w:val="none"/>
          <w:lang w:val="en-US" w:eastAsia="zh-CN"/>
        </w:rPr>
        <w:t>6</w:t>
      </w:r>
      <w:r>
        <w:rPr>
          <w:rFonts w:hint="eastAsia" w:ascii="宋体" w:hAnsi="宋体" w:cs="宋体"/>
          <w:color w:val="auto"/>
          <w:sz w:val="28"/>
          <w:szCs w:val="28"/>
          <w:highlight w:val="none"/>
          <w:u w:val="none"/>
        </w:rPr>
        <w:fldChar w:fldCharType="end"/>
      </w:r>
      <w:r>
        <w:rPr>
          <w:rFonts w:hint="eastAsia" w:ascii="宋体" w:hAnsi="宋体" w:cs="宋体"/>
          <w:color w:val="auto"/>
          <w:sz w:val="28"/>
          <w:szCs w:val="28"/>
          <w:highlight w:val="none"/>
          <w:u w:val="none"/>
          <w:lang w:val="en-US" w:eastAsia="zh-CN"/>
        </w:rPr>
        <w:t>2</w:t>
      </w:r>
    </w:p>
    <w:p w14:paraId="7CF17B9F">
      <w:pPr>
        <w:pStyle w:val="32"/>
        <w:tabs>
          <w:tab w:val="right" w:leader="dot" w:pos="9185"/>
        </w:tabs>
        <w:spacing w:line="360" w:lineRule="auto"/>
        <w:rPr>
          <w:rFonts w:hint="eastAsia" w:ascii="宋体" w:hAnsi="宋体" w:cs="宋体"/>
          <w:color w:val="auto"/>
          <w:sz w:val="28"/>
          <w:szCs w:val="28"/>
          <w:highlight w:val="none"/>
          <w:u w:val="none"/>
          <w:lang w:val="en-US" w:eastAsia="zh-CN"/>
        </w:rPr>
        <w:sectPr>
          <w:headerReference r:id="rId9" w:type="default"/>
          <w:footerReference r:id="rId10" w:type="default"/>
          <w:footnotePr>
            <w:numRestart w:val="eachPage"/>
          </w:footnotePr>
          <w:endnotePr>
            <w:numRestart w:val="eachSect"/>
          </w:endnotePr>
          <w:pgSz w:w="11907" w:h="16840"/>
          <w:pgMar w:top="1247" w:right="1361" w:bottom="1247" w:left="1361" w:header="851" w:footer="851" w:gutter="0"/>
          <w:pgNumType w:fmt="decimal" w:start="1"/>
          <w:cols w:space="720" w:num="1"/>
          <w:docGrid w:linePitch="435" w:charSpace="-6554"/>
        </w:sectPr>
      </w:pPr>
    </w:p>
    <w:p w14:paraId="389FC134">
      <w:pPr>
        <w:pStyle w:val="2"/>
        <w:bidi w:val="0"/>
        <w:rPr>
          <w:rFonts w:ascii="黑体" w:hAnsi="黑体" w:eastAsia="黑体"/>
          <w:b/>
          <w:color w:val="auto"/>
          <w:kern w:val="44"/>
          <w:highlight w:val="none"/>
        </w:rPr>
      </w:pPr>
      <w:bookmarkStart w:id="0" w:name="_Toc5497"/>
      <w:bookmarkStart w:id="1" w:name="_Toc22713"/>
      <w:bookmarkStart w:id="2" w:name="_Toc1787"/>
      <w:bookmarkStart w:id="3" w:name="_投标须知前附表"/>
      <w:bookmarkStart w:id="4" w:name="_Toc386121751"/>
      <w:bookmarkStart w:id="5" w:name="_Toc500209421"/>
      <w:bookmarkStart w:id="6" w:name="_Toc500208499"/>
      <w:bookmarkStart w:id="7" w:name="_Toc386121562"/>
      <w:r>
        <w:rPr>
          <w:rFonts w:hint="eastAsia"/>
          <w:color w:val="auto"/>
          <w:highlight w:val="none"/>
        </w:rPr>
        <w:t>投标须知</w:t>
      </w:r>
      <w:bookmarkStart w:id="8" w:name="_Toc1731"/>
      <w:r>
        <w:rPr>
          <w:rFonts w:hint="eastAsia"/>
          <w:color w:val="auto"/>
          <w:highlight w:val="none"/>
        </w:rPr>
        <w:t>前附表</w:t>
      </w:r>
      <w:bookmarkEnd w:id="0"/>
      <w:bookmarkEnd w:id="1"/>
      <w:bookmarkEnd w:id="2"/>
      <w:bookmarkEnd w:id="8"/>
    </w:p>
    <w:bookmarkEnd w:id="3"/>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1F785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65B225B9">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1F8473E8">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0244D6A4">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0C423FAD">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0F622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7F8D16">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0D470629">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7596B52">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39109A26">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台州府城依水山庄亭廊及美人靠等修缮维护项目</w:t>
            </w:r>
          </w:p>
        </w:tc>
      </w:tr>
      <w:tr w14:paraId="5717A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4FA6853C">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38E6099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DE58F87">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6F708F0E">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台州府城历史城区东湖文化景观区保护范围内</w:t>
            </w:r>
          </w:p>
        </w:tc>
      </w:tr>
      <w:tr w14:paraId="51F9B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682" w:type="dxa"/>
            <w:tcBorders>
              <w:bottom w:val="single" w:color="auto" w:sz="4" w:space="0"/>
            </w:tcBorders>
            <w:vAlign w:val="center"/>
          </w:tcPr>
          <w:p w14:paraId="7622F9E9">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510C5C5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55E80DAF">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049B7D6F">
            <w:pPr>
              <w:adjustRightInd w:val="0"/>
              <w:snapToGrid w:val="0"/>
              <w:rPr>
                <w:rFonts w:hint="eastAsia" w:eastAsia="宋体"/>
                <w:color w:val="auto"/>
                <w:highlight w:val="none"/>
                <w:lang w:eastAsia="zh-CN"/>
              </w:rPr>
            </w:pPr>
            <w:r>
              <w:rPr>
                <w:rFonts w:hint="eastAsia" w:ascii="宋体" w:hAnsi="宋体" w:eastAsia="宋体"/>
                <w:bCs/>
                <w:color w:val="auto"/>
                <w:sz w:val="21"/>
                <w:highlight w:val="none"/>
                <w:lang w:val="en-US" w:eastAsia="zh-CN"/>
              </w:rPr>
              <w:t>本项目位于台州府城历史城区东湖文化景观区保护范围内东湖内，主要对依水山庄亭廊及美人靠、知乐堂东侧长廊、水华园贵宾楼、碑林小瀛洲、问樵亭、载阳亭、漱石亭、骆宾王祠东厢房、樵云阁、依水山庄长廊墙体油漆等木结构、美人靠、栏杆等现状修缮。具体详见预算审核报告及图纸。</w:t>
            </w:r>
          </w:p>
        </w:tc>
      </w:tr>
      <w:tr w14:paraId="6D052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trPr>
        <w:tc>
          <w:tcPr>
            <w:tcW w:w="682" w:type="dxa"/>
            <w:tcBorders>
              <w:bottom w:val="single" w:color="auto" w:sz="4" w:space="0"/>
            </w:tcBorders>
            <w:vAlign w:val="center"/>
          </w:tcPr>
          <w:p w14:paraId="5FB3AF9B">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5BB71FD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8EB8C5E">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1E4347D8">
            <w:pPr>
              <w:widowControl/>
              <w:jc w:val="left"/>
              <w:rPr>
                <w:rFonts w:ascii="宋体" w:hAnsi="宋体" w:eastAsia="宋体"/>
                <w:color w:val="auto"/>
                <w:sz w:val="21"/>
                <w:highlight w:val="none"/>
              </w:rPr>
            </w:pPr>
            <w:r>
              <w:rPr>
                <w:rFonts w:hint="eastAsia" w:ascii="宋体" w:hAnsi="宋体" w:eastAsia="宋体"/>
                <w:color w:val="auto"/>
                <w:sz w:val="21"/>
                <w:highlight w:val="none"/>
                <w:lang w:val="en-US" w:eastAsia="zh-CN"/>
              </w:rPr>
              <w:t>3144443</w:t>
            </w:r>
            <w:r>
              <w:rPr>
                <w:rFonts w:hint="eastAsia" w:ascii="宋体" w:hAnsi="宋体" w:eastAsia="宋体"/>
                <w:color w:val="auto"/>
                <w:sz w:val="21"/>
                <w:highlight w:val="none"/>
              </w:rPr>
              <w:t>元</w:t>
            </w:r>
          </w:p>
        </w:tc>
      </w:tr>
      <w:tr w14:paraId="2365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21AEA29F">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33AEF9C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DEC04A6">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7446FEC7">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41620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01BF1B0E">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70D1FB1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02AE7BF">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7CB66725">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752BB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D971D93">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7582A70F">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C836199">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225D7E1D">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u w:val="single"/>
                <w:lang w:val="en-US" w:eastAsia="zh-CN"/>
              </w:rPr>
              <w:t xml:space="preserve"> 120  </w:t>
            </w:r>
            <w:r>
              <w:rPr>
                <w:rFonts w:hint="eastAsia" w:ascii="宋体" w:hAnsi="宋体" w:eastAsia="宋体"/>
                <w:color w:val="auto"/>
                <w:sz w:val="21"/>
                <w:highlight w:val="none"/>
              </w:rPr>
              <w:t>日历天</w:t>
            </w:r>
          </w:p>
        </w:tc>
      </w:tr>
      <w:tr w14:paraId="2E86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6A8C61EA">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73719504">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2F07968E">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38A41C73">
            <w:pPr>
              <w:rPr>
                <w:rFonts w:ascii="宋体" w:hAnsi="宋体" w:eastAsia="宋体"/>
                <w:color w:val="auto"/>
                <w:sz w:val="21"/>
                <w:highlight w:val="none"/>
              </w:rPr>
            </w:pPr>
            <w:r>
              <w:rPr>
                <w:rFonts w:hint="eastAsia" w:ascii="宋体" w:hAnsi="宋体" w:eastAsia="宋体"/>
                <w:color w:val="auto"/>
                <w:sz w:val="21"/>
                <w:highlight w:val="none"/>
              </w:rPr>
              <w:t>公开招标</w:t>
            </w:r>
          </w:p>
        </w:tc>
      </w:tr>
      <w:tr w14:paraId="3B919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23CA6E39">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557A4307">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47C3E76D">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05C32473">
            <w:pPr>
              <w:adjustRightInd w:val="0"/>
              <w:snapToGrid w:val="0"/>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招标人提供的施工图纸所包含的台州府城依水山庄亭廊及美人靠等修缮维护项目的全部内容，具体内容以招标人提供的预算书及图纸为准。</w:t>
            </w:r>
          </w:p>
        </w:tc>
      </w:tr>
      <w:tr w14:paraId="3DB23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00F5ECA9">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FFC9569">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5FB17C23">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64BF3A64">
            <w:pPr>
              <w:adjustRightInd w:val="0"/>
              <w:snapToGrid w:val="0"/>
              <w:rPr>
                <w:rFonts w:ascii="宋体" w:hAnsi="宋体" w:eastAsia="宋体"/>
                <w:color w:val="auto"/>
                <w:sz w:val="21"/>
                <w:highlight w:val="none"/>
              </w:rPr>
            </w:pPr>
            <w:r>
              <w:rPr>
                <w:rFonts w:hint="eastAsia" w:ascii="宋体" w:hAnsi="宋体" w:eastAsia="宋体"/>
                <w:color w:val="auto"/>
                <w:sz w:val="21"/>
                <w:highlight w:val="none"/>
                <w:lang w:eastAsia="zh-CN"/>
              </w:rPr>
              <w:t>自筹</w:t>
            </w:r>
          </w:p>
        </w:tc>
      </w:tr>
      <w:tr w14:paraId="18E0B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2303250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6D9C154D">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25EDD543">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37938179">
            <w:pPr>
              <w:rPr>
                <w:rFonts w:ascii="宋体" w:hAnsi="宋体" w:eastAsia="宋体"/>
                <w:color w:val="auto"/>
                <w:sz w:val="21"/>
                <w:highlight w:val="none"/>
              </w:rPr>
            </w:pPr>
            <w:r>
              <w:rPr>
                <w:rFonts w:hint="eastAsia" w:ascii="宋体" w:hAnsi="宋体" w:eastAsia="宋体"/>
                <w:color w:val="auto"/>
                <w:sz w:val="21"/>
                <w:highlight w:val="none"/>
              </w:rPr>
              <w:t>全国范围内具有文物保护工程施工</w:t>
            </w:r>
            <w:r>
              <w:rPr>
                <w:rFonts w:hint="eastAsia" w:ascii="宋体" w:hAnsi="宋体" w:eastAsia="宋体"/>
                <w:color w:val="auto"/>
                <w:sz w:val="21"/>
                <w:highlight w:val="none"/>
                <w:lang w:val="en-US" w:eastAsia="zh-CN"/>
              </w:rPr>
              <w:t>二</w:t>
            </w:r>
            <w:r>
              <w:rPr>
                <w:rFonts w:hint="eastAsia" w:ascii="宋体" w:hAnsi="宋体" w:eastAsia="宋体"/>
                <w:color w:val="auto"/>
                <w:sz w:val="21"/>
                <w:highlight w:val="none"/>
              </w:rPr>
              <w:t>级资质及以上</w:t>
            </w:r>
          </w:p>
        </w:tc>
      </w:tr>
      <w:tr w14:paraId="56F29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3FF5A8F7">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2F935FD8">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7508E11F">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3B4FCA42">
            <w:pPr>
              <w:rPr>
                <w:rFonts w:ascii="宋体" w:hAnsi="宋体" w:eastAsia="宋体"/>
                <w:color w:val="auto"/>
                <w:sz w:val="21"/>
                <w:highlight w:val="none"/>
              </w:rPr>
            </w:pPr>
            <w:r>
              <w:rPr>
                <w:rFonts w:hint="eastAsia" w:ascii="宋体" w:hAnsi="宋体" w:eastAsia="宋体"/>
                <w:color w:val="auto"/>
                <w:sz w:val="21"/>
                <w:highlight w:val="none"/>
              </w:rPr>
              <w:t>具有文物保护工程责任工程师证书。</w:t>
            </w:r>
          </w:p>
        </w:tc>
      </w:tr>
      <w:tr w14:paraId="41DA0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58818E2C">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747D274C">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45AE304E">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51841999">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24482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0CF8783">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1E526089">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4A0A7737">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49507177">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09E55BF7">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248A1093">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3DE55462">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361E5D33">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项目负责人简历表（附件三）；</w:t>
            </w:r>
          </w:p>
          <w:p w14:paraId="6CE47A6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）技术负责人简历表（附件四）；</w:t>
            </w:r>
          </w:p>
          <w:p w14:paraId="708FAC77">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）项目负责人在建项目承诺书（附件五）；</w:t>
            </w:r>
          </w:p>
          <w:p w14:paraId="758C0A92">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）主要施工机械设备表（附件六）；</w:t>
            </w:r>
          </w:p>
          <w:p w14:paraId="1B6AE23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w:t>
            </w:r>
            <w:r>
              <w:rPr>
                <w:rFonts w:hint="eastAsia" w:ascii="宋体" w:hAnsi="宋体" w:eastAsia="宋体"/>
                <w:color w:val="auto"/>
                <w:sz w:val="21"/>
                <w:highlight w:val="none"/>
                <w:lang w:val="en-US" w:eastAsia="zh-CN"/>
              </w:rPr>
              <w:t>5</w:t>
            </w:r>
            <w:r>
              <w:rPr>
                <w:rFonts w:hint="eastAsia" w:ascii="宋体" w:hAnsi="宋体" w:eastAsia="宋体"/>
                <w:color w:val="auto"/>
                <w:sz w:val="21"/>
                <w:highlight w:val="none"/>
              </w:rPr>
              <w:t>）</w:t>
            </w:r>
            <w:r>
              <w:rPr>
                <w:rFonts w:hint="eastAsia" w:ascii="宋体" w:hAnsi="宋体" w:eastAsia="宋体" w:cs="宋体"/>
                <w:color w:val="auto"/>
                <w:sz w:val="21"/>
                <w:szCs w:val="21"/>
                <w:highlight w:val="none"/>
              </w:rPr>
              <w:t>临海市建设工程诚信投标承诺书（投标文件格式七）；</w:t>
            </w:r>
          </w:p>
          <w:p w14:paraId="64E50B6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w:t>
            </w:r>
            <w:r>
              <w:rPr>
                <w:rFonts w:hint="eastAsia" w:ascii="宋体" w:hAnsi="宋体" w:eastAsia="宋体"/>
                <w:color w:val="auto"/>
                <w:sz w:val="21"/>
                <w:highlight w:val="none"/>
                <w:lang w:val="en-US" w:eastAsia="zh-CN"/>
              </w:rPr>
              <w:t>6</w:t>
            </w:r>
            <w:r>
              <w:rPr>
                <w:rFonts w:hint="eastAsia" w:ascii="宋体" w:hAnsi="宋体" w:eastAsia="宋体"/>
                <w:color w:val="auto"/>
                <w:sz w:val="21"/>
                <w:highlight w:val="none"/>
              </w:rPr>
              <w:t>）法定代表人授权委托书（投标文件格式八）或法定代表人身份证明（投标文件格式九）</w:t>
            </w:r>
            <w:r>
              <w:rPr>
                <w:rFonts w:hint="eastAsia" w:ascii="宋体" w:hAnsi="宋体" w:eastAsia="宋体" w:cs="宋体"/>
                <w:color w:val="auto"/>
                <w:sz w:val="21"/>
                <w:szCs w:val="21"/>
                <w:highlight w:val="none"/>
              </w:rPr>
              <w:t>；</w:t>
            </w:r>
          </w:p>
          <w:p w14:paraId="6D919743">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）证书材料（仅提供证书扫描件或电子证书）：</w:t>
            </w:r>
            <w:r>
              <w:rPr>
                <w:rFonts w:ascii="宋体" w:hAnsi="宋体" w:eastAsia="宋体"/>
                <w:b/>
                <w:color w:val="auto"/>
                <w:sz w:val="21"/>
                <w:highlight w:val="none"/>
              </w:rPr>
              <w:t xml:space="preserve"> </w:t>
            </w:r>
          </w:p>
          <w:p w14:paraId="4CB43AE1">
            <w:pPr>
              <w:pStyle w:val="5"/>
              <w:adjustRightInd w:val="0"/>
              <w:ind w:firstLine="42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①</w:t>
            </w:r>
            <w:r>
              <w:rPr>
                <w:rFonts w:hint="eastAsia" w:ascii="宋体" w:hAnsi="宋体" w:eastAsia="宋体" w:cs="宋体"/>
                <w:color w:val="auto"/>
                <w:sz w:val="21"/>
                <w:szCs w:val="21"/>
                <w:highlight w:val="none"/>
              </w:rPr>
              <w:t>企业资质证书</w:t>
            </w:r>
            <w:r>
              <w:rPr>
                <w:rFonts w:hint="eastAsia" w:ascii="宋体" w:hAnsi="宋体" w:eastAsia="宋体" w:cs="宋体"/>
                <w:color w:val="auto"/>
                <w:sz w:val="21"/>
                <w:szCs w:val="21"/>
                <w:highlight w:val="none"/>
                <w:lang w:eastAsia="zh-CN"/>
              </w:rPr>
              <w:t>；</w:t>
            </w:r>
            <w:r>
              <w:rPr>
                <w:rFonts w:hint="eastAsia" w:ascii="宋体" w:hAnsi="宋体" w:eastAsia="宋体" w:cs="宋体"/>
                <w:b/>
                <w:bCs/>
                <w:color w:val="auto"/>
                <w:sz w:val="21"/>
                <w:szCs w:val="21"/>
                <w:highlight w:val="none"/>
              </w:rPr>
              <w:t xml:space="preserve"> </w:t>
            </w:r>
          </w:p>
          <w:p w14:paraId="014E2AE2">
            <w:pPr>
              <w:pStyle w:val="5"/>
              <w:adjustRightInd w:val="0"/>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rPr>
              <w:t>项目负责人的《文物保护工程责任工程师证书》</w:t>
            </w:r>
            <w:r>
              <w:rPr>
                <w:rFonts w:hint="eastAsia" w:ascii="宋体" w:hAnsi="宋体" w:eastAsia="宋体" w:cs="宋体"/>
                <w:color w:val="auto"/>
                <w:sz w:val="21"/>
                <w:szCs w:val="21"/>
                <w:highlight w:val="none"/>
                <w:lang w:eastAsia="zh-CN"/>
              </w:rPr>
              <w:t>；</w:t>
            </w:r>
          </w:p>
          <w:p w14:paraId="56572434">
            <w:pPr>
              <w:pStyle w:val="5"/>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③</w:t>
            </w:r>
            <w:r>
              <w:rPr>
                <w:rFonts w:hint="eastAsia" w:ascii="宋体" w:hAnsi="宋体" w:eastAsia="宋体" w:cs="宋体"/>
                <w:color w:val="auto"/>
                <w:sz w:val="21"/>
                <w:szCs w:val="21"/>
                <w:highlight w:val="none"/>
              </w:rPr>
              <w:t>企业法定代表人、项目负责人身份证扫描件；</w:t>
            </w:r>
          </w:p>
          <w:p w14:paraId="01408010">
            <w:pPr>
              <w:spacing w:line="3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7601094C">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2EF64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5140F408">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6D117DC6">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174504C4">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45D5BDB8">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713FBA45">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6AE13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2E6E7203">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30F3AC95">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36E55F82">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4D8D179C">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2087C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4EDDA2E8">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771B89DD">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7E0E580B">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招标控制价及最高投标限价</w:t>
            </w:r>
          </w:p>
        </w:tc>
        <w:tc>
          <w:tcPr>
            <w:tcW w:w="5919" w:type="dxa"/>
            <w:vAlign w:val="center"/>
          </w:tcPr>
          <w:p w14:paraId="077DCFA6">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w:t>
            </w:r>
            <w:r>
              <w:rPr>
                <w:rFonts w:hint="eastAsia" w:ascii="宋体" w:hAnsi="宋体" w:eastAsia="宋体" w:cs="宋体"/>
                <w:color w:val="auto"/>
                <w:sz w:val="21"/>
                <w:szCs w:val="21"/>
                <w:highlight w:val="none"/>
                <w:lang w:val="en-US" w:eastAsia="zh-CN"/>
              </w:rPr>
              <w:t>3144443</w:t>
            </w:r>
            <w:r>
              <w:rPr>
                <w:rFonts w:hint="eastAsia" w:ascii="宋体" w:hAnsi="宋体" w:eastAsia="宋体" w:cs="宋体"/>
                <w:color w:val="auto"/>
                <w:sz w:val="21"/>
                <w:szCs w:val="21"/>
                <w:highlight w:val="none"/>
              </w:rPr>
              <w:t>元；</w:t>
            </w:r>
          </w:p>
          <w:p w14:paraId="6B61C0E7">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r>
              <w:rPr>
                <w:rFonts w:hint="eastAsia" w:ascii="宋体" w:hAnsi="宋体" w:eastAsia="宋体" w:cs="宋体"/>
                <w:color w:val="auto"/>
                <w:sz w:val="21"/>
                <w:szCs w:val="21"/>
                <w:highlight w:val="none"/>
                <w:lang w:val="en-US" w:eastAsia="zh-CN"/>
              </w:rPr>
              <w:t>2829999</w:t>
            </w:r>
            <w:r>
              <w:rPr>
                <w:rFonts w:hint="eastAsia" w:ascii="宋体" w:hAnsi="宋体" w:eastAsia="宋体" w:cs="宋体"/>
                <w:color w:val="auto"/>
                <w:sz w:val="21"/>
                <w:szCs w:val="21"/>
                <w:highlight w:val="none"/>
              </w:rPr>
              <w:t xml:space="preserve">元   </w:t>
            </w:r>
          </w:p>
          <w:p w14:paraId="0EA85696">
            <w:pPr>
              <w:pStyle w:val="9"/>
              <w:rPr>
                <w:b/>
                <w:color w:val="auto"/>
                <w:sz w:val="24"/>
                <w:szCs w:val="24"/>
                <w:highlight w:val="none"/>
              </w:rPr>
            </w:pPr>
            <w:r>
              <w:rPr>
                <w:rFonts w:hint="eastAsia" w:cs="宋体"/>
                <w:color w:val="auto"/>
                <w:szCs w:val="21"/>
                <w:highlight w:val="none"/>
              </w:rPr>
              <w:t xml:space="preserve">最高投标限价=招标控制价* </w:t>
            </w:r>
            <w:r>
              <w:rPr>
                <w:rFonts w:hint="eastAsia" w:cs="宋体"/>
                <w:color w:val="auto"/>
                <w:szCs w:val="21"/>
                <w:highlight w:val="none"/>
                <w:u w:val="single"/>
                <w:lang w:val="en-US" w:eastAsia="zh-CN"/>
              </w:rPr>
              <w:t>90</w:t>
            </w:r>
            <w:r>
              <w:rPr>
                <w:rFonts w:hint="eastAsia" w:cs="宋体"/>
                <w:color w:val="auto"/>
                <w:szCs w:val="21"/>
                <w:highlight w:val="none"/>
                <w:u w:val="single"/>
              </w:rPr>
              <w:t>%</w:t>
            </w:r>
          </w:p>
        </w:tc>
      </w:tr>
      <w:tr w14:paraId="3AD6E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0527032">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2E083C3C">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453179FC">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0D4CDD21">
            <w:pPr>
              <w:rPr>
                <w:rFonts w:ascii="宋体" w:hAnsi="宋体" w:eastAsia="宋体"/>
                <w:b/>
                <w:bCs/>
                <w:color w:val="auto"/>
                <w:sz w:val="21"/>
                <w:highlight w:val="none"/>
              </w:rPr>
            </w:pPr>
            <w:r>
              <w:rPr>
                <w:rFonts w:hint="eastAsia" w:ascii="宋体" w:hAnsi="宋体" w:eastAsia="宋体"/>
                <w:b/>
                <w:bCs/>
                <w:color w:val="auto"/>
                <w:sz w:val="21"/>
                <w:highlight w:val="none"/>
              </w:rPr>
              <w:t>1、投标保证金金额：</w:t>
            </w:r>
            <w:r>
              <w:rPr>
                <w:rFonts w:hint="eastAsia" w:ascii="宋体" w:hAnsi="宋体" w:eastAsia="宋体"/>
                <w:b/>
                <w:bCs/>
                <w:color w:val="auto"/>
                <w:sz w:val="21"/>
                <w:highlight w:val="none"/>
                <w:lang w:val="en-US" w:eastAsia="zh-CN"/>
              </w:rPr>
              <w:t>62000</w:t>
            </w:r>
            <w:r>
              <w:rPr>
                <w:rFonts w:hint="eastAsia" w:ascii="宋体" w:hAnsi="宋体" w:eastAsia="宋体"/>
                <w:b/>
                <w:bCs/>
                <w:color w:val="auto"/>
                <w:sz w:val="21"/>
                <w:highlight w:val="none"/>
              </w:rPr>
              <w:t>元。</w:t>
            </w:r>
          </w:p>
          <w:p w14:paraId="5F720A32">
            <w:pPr>
              <w:pStyle w:val="31"/>
              <w:rPr>
                <w:color w:val="auto"/>
                <w:highlight w:val="none"/>
              </w:rPr>
            </w:pPr>
            <w:r>
              <w:rPr>
                <w:rFonts w:hint="eastAsia" w:ascii="宋体" w:hAnsi="宋体" w:cs="宋体"/>
                <w:color w:val="auto"/>
                <w:spacing w:val="13"/>
                <w:sz w:val="21"/>
                <w:szCs w:val="21"/>
                <w:highlight w:val="none"/>
              </w:rPr>
              <w:t>2、投标保证金缴纳方式：网上银行转账或工程保函。</w:t>
            </w:r>
          </w:p>
          <w:p w14:paraId="491E5AF6">
            <w:pPr>
              <w:spacing w:line="320" w:lineRule="exact"/>
              <w:rPr>
                <w:rFonts w:ascii="宋体" w:hAnsi="宋体" w:eastAsia="宋体" w:cs="宋体"/>
                <w:color w:val="auto"/>
                <w:spacing w:val="13"/>
                <w:kern w:val="0"/>
                <w:sz w:val="21"/>
                <w:szCs w:val="21"/>
                <w:highlight w:val="none"/>
              </w:rPr>
            </w:pPr>
            <w:r>
              <w:rPr>
                <w:rStyle w:val="40"/>
                <w:rFonts w:hint="eastAsia" w:ascii="宋体" w:hAnsi="宋体"/>
                <w:b/>
                <w:color w:val="auto"/>
                <w:sz w:val="24"/>
                <w:highlight w:val="none"/>
              </w:rPr>
              <w:t>(1)</w:t>
            </w:r>
            <w:r>
              <w:rPr>
                <w:rStyle w:val="40"/>
                <w:rFonts w:hint="eastAsia" w:ascii="宋体" w:hAnsi="宋体" w:eastAsia="宋体" w:cs="宋体"/>
                <w:b/>
                <w:color w:val="auto"/>
                <w:sz w:val="24"/>
                <w:highlight w:val="none"/>
              </w:rPr>
              <w:t xml:space="preserve"> 担保形式</w:t>
            </w:r>
            <w:r>
              <w:rPr>
                <w:rStyle w:val="40"/>
                <w:rFonts w:hint="eastAsia" w:ascii="宋体" w:hAnsi="宋体"/>
                <w:b/>
                <w:color w:val="auto"/>
                <w:sz w:val="24"/>
                <w:highlight w:val="none"/>
              </w:rPr>
              <w:t>：</w:t>
            </w:r>
            <w:r>
              <w:rPr>
                <w:rFonts w:hint="eastAsia" w:ascii="宋体" w:hAnsi="宋体" w:eastAsia="宋体" w:cs="宋体"/>
                <w:color w:val="auto"/>
                <w:spacing w:val="13"/>
                <w:kern w:val="0"/>
                <w:sz w:val="21"/>
                <w:szCs w:val="21"/>
                <w:highlight w:val="none"/>
              </w:rPr>
              <w:t>网上银行转账。</w:t>
            </w:r>
          </w:p>
          <w:p w14:paraId="1F1966FC">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开户名：临海市产权交易所有限公司</w:t>
            </w:r>
          </w:p>
          <w:p w14:paraId="784DE16C">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开户行：浙江临海农村商业银行股份有限公司科技支行；</w:t>
            </w:r>
          </w:p>
          <w:p w14:paraId="40F2A70D">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投标保证金账号：201000105503123000001</w:t>
            </w:r>
          </w:p>
          <w:p w14:paraId="598542ED">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投标保证金应在投标截止时间前到达指定账户；</w:t>
            </w:r>
          </w:p>
          <w:p w14:paraId="68F75D3D">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投标单位汇出账号必须是企业基本账户。</w:t>
            </w:r>
          </w:p>
          <w:p w14:paraId="116A2C40">
            <w:pPr>
              <w:jc w:val="left"/>
              <w:rPr>
                <w:rFonts w:ascii="宋体" w:hAnsi="宋体" w:eastAsia="宋体" w:cs="宋体"/>
                <w:b/>
                <w:color w:val="auto"/>
                <w:sz w:val="24"/>
                <w:highlight w:val="none"/>
              </w:rPr>
            </w:pPr>
            <w:r>
              <w:rPr>
                <w:rStyle w:val="40"/>
                <w:rFonts w:hint="eastAsia" w:ascii="宋体" w:hAnsi="宋体"/>
                <w:b/>
                <w:color w:val="auto"/>
                <w:sz w:val="24"/>
                <w:highlight w:val="none"/>
              </w:rPr>
              <w:t>(2)</w:t>
            </w:r>
            <w:r>
              <w:rPr>
                <w:rStyle w:val="40"/>
                <w:rFonts w:hint="eastAsia" w:ascii="宋体" w:hAnsi="宋体" w:eastAsia="宋体" w:cs="宋体"/>
                <w:b/>
                <w:color w:val="auto"/>
                <w:sz w:val="24"/>
                <w:highlight w:val="none"/>
              </w:rPr>
              <w:t>担保</w:t>
            </w:r>
            <w:r>
              <w:rPr>
                <w:rFonts w:hint="eastAsia" w:ascii="宋体" w:hAnsi="宋体" w:eastAsia="宋体" w:cs="宋体"/>
                <w:b/>
                <w:color w:val="auto"/>
                <w:sz w:val="24"/>
                <w:highlight w:val="none"/>
              </w:rPr>
              <w:t>形式：工程保函</w:t>
            </w:r>
          </w:p>
          <w:p w14:paraId="1DA63714">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保函形式：须为银行保函、保险机构保证保险保单或融资担保公司保函。</w:t>
            </w:r>
          </w:p>
          <w:p w14:paraId="2128BC52">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工程保函的受益人：</w:t>
            </w:r>
            <w:r>
              <w:rPr>
                <w:rFonts w:hint="eastAsia" w:ascii="宋体" w:hAnsi="宋体" w:eastAsia="宋体" w:cs="宋体"/>
                <w:color w:val="auto"/>
                <w:spacing w:val="13"/>
                <w:kern w:val="0"/>
                <w:sz w:val="21"/>
                <w:szCs w:val="21"/>
                <w:highlight w:val="none"/>
                <w:u w:val="single"/>
                <w:lang w:eastAsia="zh-CN"/>
              </w:rPr>
              <w:t>临海市江南长城旅游发展有限公司</w:t>
            </w:r>
            <w:r>
              <w:rPr>
                <w:rFonts w:hint="eastAsia" w:ascii="宋体" w:hAnsi="宋体" w:eastAsia="宋体" w:cs="宋体"/>
                <w:color w:val="auto"/>
                <w:spacing w:val="13"/>
                <w:kern w:val="0"/>
                <w:sz w:val="21"/>
                <w:szCs w:val="21"/>
                <w:highlight w:val="none"/>
              </w:rPr>
              <w:t>（招标人名称）；</w:t>
            </w:r>
          </w:p>
          <w:p w14:paraId="1A71713A">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工程保函的有效期为1年（工程保函有效期起始时间最早为招标公告发布之日，最迟为投标截止日）；</w:t>
            </w:r>
          </w:p>
          <w:p w14:paraId="4F1053D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保函递交方式：工程电子保函形式或工程纸质保函形式</w:t>
            </w:r>
            <w:r>
              <w:rPr>
                <w:rFonts w:hint="eastAsia" w:ascii="宋体" w:hAnsi="宋体" w:eastAsia="宋体" w:cs="宋体"/>
                <w:color w:val="auto"/>
                <w:spacing w:val="13"/>
                <w:kern w:val="0"/>
                <w:sz w:val="21"/>
                <w:szCs w:val="21"/>
                <w:highlight w:val="none"/>
              </w:rPr>
              <w:t>。</w:t>
            </w:r>
          </w:p>
          <w:p w14:paraId="044C4268">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①用工程电子保函形式</w:t>
            </w:r>
            <w:r>
              <w:rPr>
                <w:rFonts w:hint="eastAsia" w:ascii="宋体" w:hAnsi="宋体" w:eastAsia="宋体" w:cs="宋体"/>
                <w:color w:val="auto"/>
                <w:spacing w:val="13"/>
                <w:kern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5F708F6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z w:val="24"/>
                <w:highlight w:val="none"/>
              </w:rPr>
              <w:t>②</w:t>
            </w:r>
            <w:r>
              <w:rPr>
                <w:rFonts w:hint="eastAsia" w:ascii="宋体" w:hAnsi="宋体" w:eastAsia="宋体" w:cs="宋体"/>
                <w:b/>
                <w:bCs/>
                <w:color w:val="auto"/>
                <w:spacing w:val="13"/>
                <w:kern w:val="0"/>
                <w:sz w:val="21"/>
                <w:szCs w:val="21"/>
                <w:highlight w:val="none"/>
              </w:rPr>
              <w:t>用工程纸质保函形式</w:t>
            </w:r>
            <w:r>
              <w:rPr>
                <w:rFonts w:hint="eastAsia" w:ascii="宋体" w:hAnsi="宋体" w:eastAsia="宋体" w:cs="宋体"/>
                <w:color w:val="auto"/>
                <w:spacing w:val="13"/>
                <w:kern w:val="0"/>
                <w:sz w:val="21"/>
                <w:szCs w:val="21"/>
                <w:highlight w:val="none"/>
              </w:rPr>
              <w:t>：保费应一函一付，通过企业基本账户支付。投标人须在投标截止时间前在开标现场递交工程保函纸质原件、基本账户证明、保费支付的银行回单（以上资料均需加盖投标人公章）等保函相关资料。</w:t>
            </w:r>
          </w:p>
          <w:p w14:paraId="4A8E7558">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递交方式：开标现场递交；</w:t>
            </w:r>
            <w:r>
              <w:rPr>
                <w:rFonts w:hint="eastAsia" w:ascii="宋体" w:hAnsi="宋体" w:eastAsia="宋体" w:cs="宋体"/>
                <w:color w:val="auto"/>
                <w:spacing w:val="13"/>
                <w:kern w:val="0"/>
                <w:sz w:val="21"/>
                <w:szCs w:val="21"/>
                <w:highlight w:val="none"/>
              </w:rPr>
              <w:t xml:space="preserve"> </w:t>
            </w:r>
          </w:p>
          <w:p w14:paraId="655A03FC">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若是投标人的法定代表人递交工程保函及相关资料的，应持法定代表人身份证明原件（附件九）及身份证原件；若是投标人委托代理人递交工程保函及相关资料的，应持针对本工程的法定代表人授权委托书原件（附件八）及代理人身份证原件。未满足上述条件，工程保函不予签收。</w:t>
            </w:r>
          </w:p>
          <w:p w14:paraId="6201975A">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递交时间及地点：详见招标公告或招标文件；</w:t>
            </w:r>
            <w:r>
              <w:rPr>
                <w:rFonts w:hint="eastAsia" w:ascii="宋体" w:hAnsi="宋体" w:eastAsia="宋体" w:cs="宋体"/>
                <w:color w:val="auto"/>
                <w:spacing w:val="13"/>
                <w:kern w:val="0"/>
                <w:sz w:val="21"/>
                <w:szCs w:val="21"/>
                <w:highlight w:val="none"/>
              </w:rPr>
              <w:t xml:space="preserve"> </w:t>
            </w:r>
          </w:p>
          <w:p w14:paraId="393C61CA">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w:t>
            </w:r>
            <w:r>
              <w:rPr>
                <w:rFonts w:hint="eastAsia" w:ascii="宋体" w:hAnsi="宋体" w:eastAsia="宋体" w:cs="宋体"/>
                <w:color w:val="auto"/>
                <w:spacing w:val="13"/>
                <w:kern w:val="0"/>
                <w:sz w:val="21"/>
                <w:szCs w:val="21"/>
                <w:highlight w:val="none"/>
                <w:u w:val="single"/>
                <w:lang w:eastAsia="zh-CN"/>
              </w:rPr>
              <w:t>浙江华耀建设咨询有限公司</w:t>
            </w:r>
            <w:r>
              <w:rPr>
                <w:rFonts w:hint="eastAsia" w:ascii="宋体" w:hAnsi="宋体" w:eastAsia="宋体" w:cs="宋体"/>
                <w:color w:val="auto"/>
                <w:spacing w:val="13"/>
                <w:kern w:val="0"/>
                <w:sz w:val="21"/>
                <w:szCs w:val="21"/>
                <w:highlight w:val="none"/>
              </w:rPr>
              <w:t xml:space="preserve">  （代理机构）； </w:t>
            </w:r>
          </w:p>
          <w:p w14:paraId="6BAD40B1">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接收人联系方式：</w:t>
            </w:r>
            <w:r>
              <w:rPr>
                <w:rFonts w:hint="eastAsia" w:ascii="宋体" w:hAnsi="宋体" w:eastAsia="宋体" w:cs="宋体"/>
                <w:color w:val="auto"/>
                <w:spacing w:val="13"/>
                <w:kern w:val="0"/>
                <w:sz w:val="21"/>
                <w:szCs w:val="21"/>
                <w:highlight w:val="none"/>
                <w:u w:val="single"/>
                <w:lang w:val="en-US" w:eastAsia="zh-CN"/>
              </w:rPr>
              <w:t>0576-85021266</w:t>
            </w:r>
            <w:r>
              <w:rPr>
                <w:rFonts w:hint="eastAsia" w:ascii="宋体" w:hAnsi="宋体" w:eastAsia="宋体" w:cs="宋体"/>
                <w:color w:val="auto"/>
                <w:spacing w:val="13"/>
                <w:kern w:val="0"/>
                <w:sz w:val="21"/>
                <w:szCs w:val="21"/>
                <w:highlight w:val="none"/>
              </w:rPr>
              <w:t xml:space="preserve">  （代理机构联系方式）； </w:t>
            </w:r>
          </w:p>
          <w:p w14:paraId="27D5415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3、若招标文件允许联合体投标且投标人以联合体身份投标的，由联合体牵头人提交工程投标保证金。</w:t>
            </w:r>
          </w:p>
          <w:p w14:paraId="05A456CC">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4、投标人投标保证金未满足上述要求的，按无效标处理。</w:t>
            </w:r>
          </w:p>
          <w:p w14:paraId="6FE38B13">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咨询电话：</w:t>
            </w:r>
          </w:p>
          <w:p w14:paraId="05122D52">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招天下公司技术服务电话：0576-85407095。</w:t>
            </w:r>
          </w:p>
          <w:p w14:paraId="113E7292">
            <w:pPr>
              <w:rPr>
                <w:rFonts w:ascii="黑体" w:hAnsi="宋体" w:eastAsia="黑体"/>
                <w:b/>
                <w:color w:val="auto"/>
                <w:sz w:val="24"/>
                <w:szCs w:val="24"/>
                <w:highlight w:val="none"/>
              </w:rPr>
            </w:pPr>
            <w:r>
              <w:rPr>
                <w:rFonts w:hint="eastAsia" w:ascii="宋体" w:hAnsi="宋体" w:eastAsia="宋体" w:cs="宋体"/>
                <w:color w:val="auto"/>
                <w:spacing w:val="13"/>
                <w:kern w:val="0"/>
                <w:sz w:val="21"/>
                <w:szCs w:val="21"/>
                <w:highlight w:val="none"/>
              </w:rPr>
              <w:t>平台财务咨询电话：0576-85407100。</w:t>
            </w:r>
          </w:p>
        </w:tc>
      </w:tr>
      <w:tr w14:paraId="48B90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6EE5AAC0">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386F2418">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261278FD">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5DB2925C">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7C379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C8F5BE9">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698E0FCF">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5AA226C5">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48CE6632">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368ECDAA">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062E6D64">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2DFBB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4FE27455">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64405A04">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7E5DF4AF">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71855160">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42DF07B8">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047FB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1171B707">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46030846">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6B685806">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7FFCF663">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（工程纸质保函除外）</w:t>
            </w:r>
          </w:p>
        </w:tc>
      </w:tr>
      <w:tr w14:paraId="192B3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4EBE1467">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59B4D9E6">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45EBBAF4">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3D954563">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0F07AC80">
            <w:pPr>
              <w:rPr>
                <w:rFonts w:ascii="宋体" w:hAnsi="宋体" w:eastAsia="宋体"/>
                <w:color w:val="auto"/>
                <w:sz w:val="21"/>
                <w:highlight w:val="none"/>
              </w:rPr>
            </w:pPr>
            <w:r>
              <w:rPr>
                <w:rFonts w:hint="eastAsia" w:ascii="宋体" w:hAnsi="宋体" w:eastAsia="宋体"/>
                <w:color w:val="auto"/>
                <w:sz w:val="21"/>
                <w:highlight w:val="none"/>
              </w:rPr>
              <w:t>开标地点：</w:t>
            </w:r>
            <w:r>
              <w:rPr>
                <w:rFonts w:hint="eastAsia" w:ascii="宋体" w:hAnsi="宋体" w:eastAsia="宋体" w:cs="宋体"/>
                <w:color w:val="auto"/>
                <w:sz w:val="21"/>
                <w:szCs w:val="21"/>
                <w:highlight w:val="none"/>
                <w:lang w:val="en-US" w:eastAsia="zh-CN"/>
              </w:rPr>
              <w:t>临海市限额以下公共资源交易区域平台南部</w:t>
            </w:r>
            <w:r>
              <w:rPr>
                <w:rFonts w:hint="eastAsia" w:ascii="宋体" w:hAnsi="宋体" w:eastAsia="宋体" w:cs="宋体"/>
                <w:color w:val="auto"/>
                <w:sz w:val="21"/>
                <w:szCs w:val="21"/>
                <w:highlight w:val="none"/>
                <w:lang w:val="en-US" w:eastAsia="zh-CN"/>
              </w:rPr>
              <w:t>开标室一</w:t>
            </w:r>
          </w:p>
        </w:tc>
      </w:tr>
      <w:tr w14:paraId="1C289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82" w:type="dxa"/>
            <w:vAlign w:val="center"/>
          </w:tcPr>
          <w:p w14:paraId="4BF673FE">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5BB7E1A">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7DE5C629">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207ADC2">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727560C2">
            <w:pPr>
              <w:rPr>
                <w:rFonts w:ascii="宋体" w:hAnsi="宋体" w:eastAsia="宋体"/>
                <w:color w:val="auto"/>
                <w:sz w:val="21"/>
                <w:highlight w:val="none"/>
              </w:rPr>
            </w:pPr>
            <w:r>
              <w:rPr>
                <w:rFonts w:hint="eastAsia" w:ascii="宋体" w:hAnsi="宋体" w:eastAsia="宋体"/>
                <w:color w:val="auto"/>
                <w:sz w:val="21"/>
                <w:highlight w:val="none"/>
                <w:u w:val="single"/>
              </w:rPr>
              <w:t>202</w:t>
            </w:r>
            <w:r>
              <w:rPr>
                <w:rFonts w:hint="eastAsia" w:ascii="宋体" w:hAnsi="宋体" w:eastAsia="宋体"/>
                <w:color w:val="auto"/>
                <w:sz w:val="21"/>
                <w:highlight w:val="none"/>
                <w:u w:val="single"/>
                <w:lang w:val="en-US" w:eastAsia="zh-CN"/>
              </w:rPr>
              <w:t>6</w:t>
            </w:r>
            <w:r>
              <w:rPr>
                <w:rFonts w:hint="eastAsia" w:ascii="宋体" w:hAnsi="宋体" w:eastAsia="宋体"/>
                <w:color w:val="auto"/>
                <w:sz w:val="21"/>
                <w:highlight w:val="none"/>
                <w:u w:val="single"/>
              </w:rPr>
              <w:t>年</w:t>
            </w:r>
            <w:r>
              <w:rPr>
                <w:rFonts w:hint="eastAsia" w:ascii="宋体" w:hAnsi="宋体" w:eastAsia="宋体"/>
                <w:color w:val="auto"/>
                <w:sz w:val="21"/>
                <w:highlight w:val="none"/>
                <w:u w:val="single"/>
                <w:lang w:val="en-US" w:eastAsia="zh-CN"/>
              </w:rPr>
              <w:t xml:space="preserve"> 6</w:t>
            </w:r>
            <w:r>
              <w:rPr>
                <w:rFonts w:hint="eastAsia" w:ascii="宋体" w:hAnsi="宋体" w:eastAsia="宋体"/>
                <w:color w:val="auto"/>
                <w:sz w:val="21"/>
                <w:highlight w:val="none"/>
                <w:u w:val="single"/>
              </w:rPr>
              <w:t>月</w:t>
            </w:r>
            <w:r>
              <w:rPr>
                <w:rFonts w:hint="eastAsia" w:ascii="宋体" w:hAnsi="宋体" w:eastAsia="宋体"/>
                <w:color w:val="auto"/>
                <w:sz w:val="21"/>
                <w:highlight w:val="none"/>
                <w:u w:val="single"/>
                <w:lang w:val="en-US" w:eastAsia="zh-CN"/>
              </w:rPr>
              <w:t>10</w:t>
            </w:r>
            <w:r>
              <w:rPr>
                <w:rFonts w:hint="eastAsia" w:ascii="宋体" w:hAnsi="宋体" w:eastAsia="宋体"/>
                <w:color w:val="auto"/>
                <w:sz w:val="21"/>
                <w:highlight w:val="none"/>
                <w:u w:val="single"/>
              </w:rPr>
              <w:t>日</w:t>
            </w:r>
            <w:r>
              <w:rPr>
                <w:rFonts w:hint="eastAsia" w:ascii="宋体" w:hAnsi="宋体" w:eastAsia="宋体"/>
                <w:color w:val="auto"/>
                <w:sz w:val="21"/>
                <w:highlight w:val="none"/>
                <w:u w:val="single"/>
                <w:lang w:val="en-US" w:eastAsia="zh-CN"/>
              </w:rPr>
              <w:t xml:space="preserve"> 8</w:t>
            </w:r>
            <w:r>
              <w:rPr>
                <w:rFonts w:hint="eastAsia" w:ascii="宋体" w:hAnsi="宋体" w:eastAsia="宋体"/>
                <w:color w:val="auto"/>
                <w:sz w:val="21"/>
                <w:highlight w:val="none"/>
                <w:u w:val="single"/>
              </w:rPr>
              <w:t>时</w:t>
            </w:r>
            <w:r>
              <w:rPr>
                <w:rFonts w:hint="eastAsia" w:ascii="宋体" w:hAnsi="宋体" w:eastAsia="宋体"/>
                <w:color w:val="auto"/>
                <w:sz w:val="21"/>
                <w:highlight w:val="none"/>
                <w:u w:val="single"/>
                <w:lang w:val="en-US" w:eastAsia="zh-CN"/>
              </w:rPr>
              <w:t>30</w:t>
            </w:r>
            <w:r>
              <w:rPr>
                <w:rFonts w:hint="eastAsia" w:ascii="宋体" w:hAnsi="宋体" w:eastAsia="宋体"/>
                <w:color w:val="auto"/>
                <w:sz w:val="21"/>
                <w:highlight w:val="none"/>
                <w:u w:val="single"/>
              </w:rPr>
              <w:t>分</w:t>
            </w:r>
            <w:r>
              <w:rPr>
                <w:rFonts w:hint="eastAsia" w:ascii="宋体" w:hAnsi="宋体" w:eastAsia="宋体"/>
                <w:color w:val="auto"/>
                <w:sz w:val="21"/>
                <w:highlight w:val="none"/>
              </w:rPr>
              <w:t>；</w:t>
            </w:r>
          </w:p>
        </w:tc>
      </w:tr>
      <w:tr w14:paraId="3FFAE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3BB58321">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585A55F6">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2850B6D7">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6AF9EB7E">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29227179">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382F1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82" w:type="dxa"/>
            <w:vAlign w:val="center"/>
          </w:tcPr>
          <w:p w14:paraId="39CBBE55">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5E452CE3">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1094C525">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75C07C9B">
            <w:pPr>
              <w:rPr>
                <w:rFonts w:ascii="宋体" w:hAnsi="宋体" w:eastAsia="宋体"/>
                <w:color w:val="auto"/>
                <w:sz w:val="21"/>
                <w:highlight w:val="none"/>
              </w:rPr>
            </w:pPr>
            <w:r>
              <w:rPr>
                <w:rFonts w:hint="eastAsia" w:ascii="宋体" w:hAnsi="宋体" w:eastAsia="宋体"/>
                <w:color w:val="auto"/>
                <w:sz w:val="21"/>
                <w:szCs w:val="22"/>
                <w:highlight w:val="none"/>
              </w:rPr>
              <w:t>临海市限额以下公共资源交易工程建设项目(房建市政项目评标办法)</w:t>
            </w:r>
          </w:p>
        </w:tc>
      </w:tr>
      <w:tr w14:paraId="04D18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512145D0">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3D16436E">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6C747222">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543D20C7">
            <w:pPr>
              <w:jc w:val="left"/>
              <w:rPr>
                <w:color w:val="auto"/>
                <w:highlight w:val="none"/>
              </w:rPr>
            </w:pPr>
            <w:r>
              <w:rPr>
                <w:rFonts w:hint="eastAsia" w:ascii="宋体" w:hAnsi="宋体" w:eastAsia="宋体"/>
                <w:color w:val="auto"/>
                <w:sz w:val="21"/>
                <w:szCs w:val="22"/>
                <w:highlight w:val="none"/>
              </w:rPr>
              <w:t>1.履约担保金额为中标价的2%。</w:t>
            </w:r>
          </w:p>
        </w:tc>
      </w:tr>
      <w:tr w14:paraId="4F13A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07ABE54F">
            <w:pPr>
              <w:pStyle w:val="10"/>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20F02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543" w:type="dxa"/>
            <w:gridSpan w:val="2"/>
            <w:vAlign w:val="center"/>
          </w:tcPr>
          <w:p w14:paraId="29C49B56">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04036398">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7C9E6FD4">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2B43CE4E">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6A01FE0F">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24EFF72D">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1B5D3E0A">
            <w:pPr>
              <w:pStyle w:val="9"/>
              <w:rPr>
                <w:rFonts w:hint="eastAsia" w:cs="宋体"/>
                <w:color w:val="auto"/>
                <w:kern w:val="0"/>
                <w:szCs w:val="21"/>
                <w:highlight w:val="none"/>
              </w:rPr>
            </w:pPr>
            <w:r>
              <w:rPr>
                <w:rFonts w:hint="eastAsia" w:cs="宋体"/>
                <w:color w:val="auto"/>
                <w:kern w:val="0"/>
                <w:szCs w:val="21"/>
                <w:highlight w:val="none"/>
              </w:rPr>
              <w:t>注意：请提前缴纳相关费用，以防影响正常投标。</w:t>
            </w:r>
          </w:p>
          <w:p w14:paraId="623D20E9">
            <w:pPr>
              <w:pStyle w:val="9"/>
              <w:rPr>
                <w:color w:val="auto"/>
                <w:highlight w:val="none"/>
              </w:rPr>
            </w:pPr>
            <w:r>
              <w:rPr>
                <w:rFonts w:hint="eastAsia" w:cs="宋体"/>
                <w:b/>
                <w:bCs/>
                <w:color w:val="auto"/>
                <w:kern w:val="0"/>
                <w:szCs w:val="21"/>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4A83C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CFE91BD">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6EC1B8AA">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18EF0FC6">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2646AE94">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6FDB7640">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606F3142">
            <w:pPr>
              <w:pStyle w:val="9"/>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4581A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51BFFCB0">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3C76539E">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0C79A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60C0CB89">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4CBBDE1F">
            <w:pPr>
              <w:pStyle w:val="31"/>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72CDD444">
            <w:pPr>
              <w:pStyle w:val="31"/>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0999FD7">
            <w:pPr>
              <w:pStyle w:val="31"/>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2D0AB409">
            <w:pPr>
              <w:pStyle w:val="31"/>
              <w:spacing w:line="260" w:lineRule="exact"/>
              <w:ind w:firstLine="273" w:firstLineChars="130"/>
              <w:rPr>
                <w:rFonts w:hint="default" w:ascii="Calibri" w:hAnsi="宋体" w:eastAsia="宋体"/>
                <w:color w:val="auto"/>
                <w:sz w:val="21"/>
                <w:szCs w:val="21"/>
                <w:highlight w:val="none"/>
                <w:lang w:val="en-US" w:eastAsia="zh-CN"/>
              </w:rPr>
            </w:pPr>
            <w:r>
              <w:rPr>
                <w:rFonts w:hint="eastAsia" w:ascii="Calibri" w:hAnsi="宋体"/>
                <w:color w:val="auto"/>
                <w:sz w:val="21"/>
                <w:szCs w:val="21"/>
                <w:highlight w:val="none"/>
              </w:rPr>
              <w:t>软件技术支持电话：15267291759（同微信）。</w:t>
            </w:r>
          </w:p>
        </w:tc>
      </w:tr>
    </w:tbl>
    <w:p w14:paraId="586D2A16">
      <w:pPr>
        <w:jc w:val="center"/>
        <w:rPr>
          <w:rFonts w:ascii="宋体" w:hAnsi="宋体"/>
          <w:color w:val="auto"/>
          <w:highlight w:val="none"/>
        </w:rPr>
        <w:sectPr>
          <w:headerReference r:id="rId12" w:type="first"/>
          <w:footerReference r:id="rId14" w:type="first"/>
          <w:headerReference r:id="rId11" w:type="default"/>
          <w:footerReference r:id="rId13" w:type="default"/>
          <w:footnotePr>
            <w:numRestart w:val="eachPage"/>
          </w:footnotePr>
          <w:endnotePr>
            <w:numRestart w:val="eachSect"/>
          </w:endnotePr>
          <w:pgSz w:w="11907" w:h="16840"/>
          <w:pgMar w:top="1247" w:right="1361" w:bottom="1247" w:left="1361" w:header="851" w:footer="824" w:gutter="0"/>
          <w:pgNumType w:fmt="decimal" w:start="1"/>
          <w:cols w:space="720" w:num="1"/>
          <w:docGrid w:linePitch="435" w:charSpace="-6554"/>
        </w:sectPr>
      </w:pPr>
    </w:p>
    <w:p w14:paraId="12F6BF05">
      <w:pPr>
        <w:pStyle w:val="2"/>
        <w:bidi w:val="0"/>
        <w:rPr>
          <w:rFonts w:ascii="黑体" w:hAnsi="黑体" w:eastAsia="黑体"/>
          <w:b/>
          <w:color w:val="auto"/>
          <w:kern w:val="44"/>
          <w:highlight w:val="none"/>
        </w:rPr>
      </w:pPr>
      <w:bookmarkStart w:id="9" w:name="_Toc10147"/>
      <w:bookmarkStart w:id="10" w:name="_Toc500209412"/>
      <w:bookmarkStart w:id="11" w:name="_Toc9614"/>
      <w:bookmarkStart w:id="12" w:name="_Toc500208463"/>
      <w:bookmarkStart w:id="13" w:name="_Toc26109"/>
      <w:bookmarkStart w:id="14" w:name="_第一章  投标须知"/>
      <w:r>
        <w:rPr>
          <w:rFonts w:hint="eastAsia"/>
          <w:color w:val="auto"/>
          <w:highlight w:val="none"/>
        </w:rPr>
        <w:t>第一章  投标须知</w:t>
      </w:r>
      <w:bookmarkEnd w:id="9"/>
      <w:bookmarkEnd w:id="10"/>
      <w:bookmarkEnd w:id="11"/>
      <w:bookmarkEnd w:id="12"/>
      <w:bookmarkEnd w:id="13"/>
    </w:p>
    <w:bookmarkEnd w:id="14"/>
    <w:p w14:paraId="3345FB6C">
      <w:pPr>
        <w:spacing w:before="360" w:afterLines="50" w:line="320" w:lineRule="exact"/>
        <w:ind w:left="839"/>
        <w:jc w:val="left"/>
        <w:outlineLvl w:val="1"/>
        <w:rPr>
          <w:rFonts w:ascii="Arial" w:hAnsi="Arial" w:eastAsia="黑体" w:cs="Arial"/>
          <w:b/>
          <w:color w:val="auto"/>
          <w:szCs w:val="24"/>
          <w:highlight w:val="none"/>
        </w:rPr>
      </w:pPr>
      <w:bookmarkStart w:id="15" w:name="_Toc500209413"/>
      <w:bookmarkStart w:id="16" w:name="_Toc32149"/>
      <w:bookmarkStart w:id="17" w:name="_Toc4837"/>
      <w:bookmarkStart w:id="18" w:name="_Toc500208464"/>
      <w:r>
        <w:rPr>
          <w:rFonts w:hint="eastAsia" w:ascii="Arial" w:hAnsi="Arial" w:eastAsia="黑体" w:cs="Arial"/>
          <w:b/>
          <w:color w:val="auto"/>
          <w:szCs w:val="24"/>
          <w:highlight w:val="none"/>
        </w:rPr>
        <w:t xml:space="preserve">                 第一节  总  则</w:t>
      </w:r>
      <w:bookmarkEnd w:id="15"/>
      <w:bookmarkEnd w:id="16"/>
      <w:bookmarkEnd w:id="17"/>
      <w:bookmarkEnd w:id="18"/>
    </w:p>
    <w:p w14:paraId="4DAFAF32">
      <w:pPr>
        <w:keepNext/>
        <w:keepLines/>
        <w:numPr>
          <w:ilvl w:val="0"/>
          <w:numId w:val="3"/>
        </w:numPr>
        <w:spacing w:before="360" w:line="288" w:lineRule="auto"/>
        <w:jc w:val="left"/>
        <w:outlineLvl w:val="2"/>
        <w:rPr>
          <w:rFonts w:ascii="黑体" w:hAnsi="宋体" w:eastAsia="黑体"/>
          <w:b/>
          <w:color w:val="auto"/>
          <w:sz w:val="21"/>
          <w:highlight w:val="none"/>
        </w:rPr>
      </w:pPr>
      <w:bookmarkStart w:id="19" w:name="_Toc155342528"/>
      <w:bookmarkStart w:id="20" w:name="_Toc169487776"/>
      <w:bookmarkStart w:id="21" w:name="_Toc500208465"/>
      <w:r>
        <w:rPr>
          <w:rFonts w:hint="eastAsia" w:ascii="黑体" w:hAnsi="宋体" w:eastAsia="黑体"/>
          <w:b/>
          <w:color w:val="auto"/>
          <w:sz w:val="21"/>
          <w:highlight w:val="none"/>
        </w:rPr>
        <w:t>工程说明</w:t>
      </w:r>
      <w:bookmarkEnd w:id="19"/>
      <w:bookmarkEnd w:id="20"/>
    </w:p>
    <w:p w14:paraId="739CE6FC">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56ED75D3">
      <w:pPr>
        <w:keepNext/>
        <w:keepLines/>
        <w:numPr>
          <w:ilvl w:val="0"/>
          <w:numId w:val="3"/>
        </w:numPr>
        <w:spacing w:before="360" w:line="288" w:lineRule="auto"/>
        <w:jc w:val="left"/>
        <w:outlineLvl w:val="2"/>
        <w:rPr>
          <w:rFonts w:ascii="黑体" w:hAnsi="宋体" w:eastAsia="黑体"/>
          <w:b/>
          <w:color w:val="auto"/>
          <w:sz w:val="21"/>
          <w:highlight w:val="none"/>
        </w:rPr>
      </w:pPr>
      <w:bookmarkStart w:id="22" w:name="_Toc169487777"/>
      <w:bookmarkStart w:id="23" w:name="_Toc155342529"/>
      <w:r>
        <w:rPr>
          <w:rFonts w:hint="eastAsia" w:ascii="黑体" w:hAnsi="宋体" w:eastAsia="黑体"/>
          <w:b/>
          <w:color w:val="auto"/>
          <w:sz w:val="21"/>
          <w:highlight w:val="none"/>
        </w:rPr>
        <w:t>招标范围</w:t>
      </w:r>
      <w:bookmarkEnd w:id="21"/>
      <w:bookmarkEnd w:id="22"/>
      <w:bookmarkEnd w:id="23"/>
    </w:p>
    <w:p w14:paraId="66EB406F">
      <w:pPr>
        <w:pStyle w:val="9"/>
        <w:numPr>
          <w:ilvl w:val="1"/>
          <w:numId w:val="3"/>
        </w:numPr>
        <w:ind w:firstLine="420" w:firstLineChars="200"/>
        <w:rPr>
          <w:color w:val="auto"/>
          <w:highlight w:val="none"/>
        </w:rPr>
      </w:pPr>
      <w:bookmarkStart w:id="24" w:name="_Toc500208466"/>
      <w:r>
        <w:rPr>
          <w:rFonts w:hint="eastAsia"/>
          <w:color w:val="auto"/>
          <w:highlight w:val="none"/>
        </w:rPr>
        <w:t>本招标工程项目的招标方式详见本须知前附表第8项。</w:t>
      </w:r>
    </w:p>
    <w:p w14:paraId="27DA2CFC">
      <w:pPr>
        <w:pStyle w:val="9"/>
        <w:numPr>
          <w:ilvl w:val="1"/>
          <w:numId w:val="3"/>
        </w:numPr>
        <w:ind w:firstLine="420" w:firstLineChars="200"/>
        <w:rPr>
          <w:color w:val="auto"/>
          <w:highlight w:val="none"/>
        </w:rPr>
      </w:pPr>
      <w:r>
        <w:rPr>
          <w:rFonts w:hint="eastAsia"/>
          <w:color w:val="auto"/>
          <w:highlight w:val="none"/>
        </w:rPr>
        <w:t>本招标工程项目的招标范围详见本须知前附表第9项。</w:t>
      </w:r>
    </w:p>
    <w:p w14:paraId="15824794">
      <w:pPr>
        <w:keepNext/>
        <w:keepLines/>
        <w:numPr>
          <w:ilvl w:val="0"/>
          <w:numId w:val="3"/>
        </w:numPr>
        <w:spacing w:before="360" w:line="288" w:lineRule="auto"/>
        <w:jc w:val="left"/>
        <w:outlineLvl w:val="2"/>
        <w:rPr>
          <w:rFonts w:ascii="黑体" w:hAnsi="宋体" w:eastAsia="黑体"/>
          <w:b/>
          <w:color w:val="auto"/>
          <w:sz w:val="21"/>
          <w:highlight w:val="none"/>
        </w:rPr>
      </w:pPr>
      <w:bookmarkStart w:id="25" w:name="_Toc169487778"/>
      <w:bookmarkStart w:id="26" w:name="_Toc155342530"/>
      <w:r>
        <w:rPr>
          <w:rFonts w:hint="eastAsia" w:ascii="黑体" w:hAnsi="宋体" w:eastAsia="黑体"/>
          <w:b/>
          <w:color w:val="auto"/>
          <w:sz w:val="21"/>
          <w:highlight w:val="none"/>
        </w:rPr>
        <w:t>资金来源</w:t>
      </w:r>
      <w:bookmarkEnd w:id="24"/>
      <w:bookmarkEnd w:id="25"/>
      <w:bookmarkEnd w:id="26"/>
    </w:p>
    <w:p w14:paraId="314C9F13">
      <w:pPr>
        <w:pStyle w:val="9"/>
        <w:numPr>
          <w:ilvl w:val="1"/>
          <w:numId w:val="3"/>
        </w:numPr>
        <w:ind w:firstLine="420" w:firstLineChars="200"/>
        <w:rPr>
          <w:color w:val="auto"/>
          <w:highlight w:val="none"/>
        </w:rPr>
      </w:pPr>
      <w:r>
        <w:rPr>
          <w:rFonts w:hint="eastAsia"/>
          <w:color w:val="auto"/>
          <w:highlight w:val="none"/>
        </w:rPr>
        <w:t>本招标工程项目资金来源详见本须知前附表第10项。</w:t>
      </w:r>
    </w:p>
    <w:p w14:paraId="43473A95">
      <w:pPr>
        <w:keepNext/>
        <w:keepLines/>
        <w:numPr>
          <w:ilvl w:val="0"/>
          <w:numId w:val="3"/>
        </w:numPr>
        <w:spacing w:before="360" w:line="288" w:lineRule="auto"/>
        <w:jc w:val="left"/>
        <w:outlineLvl w:val="2"/>
        <w:rPr>
          <w:rFonts w:ascii="黑体" w:hAnsi="宋体" w:eastAsia="黑体"/>
          <w:b/>
          <w:color w:val="auto"/>
          <w:sz w:val="21"/>
          <w:szCs w:val="22"/>
          <w:highlight w:val="none"/>
        </w:rPr>
      </w:pPr>
      <w:bookmarkStart w:id="27" w:name="_Toc155342532"/>
      <w:bookmarkStart w:id="28" w:name="_Toc169487780"/>
      <w:r>
        <w:rPr>
          <w:rFonts w:hint="eastAsia" w:ascii="黑体" w:hAnsi="宋体" w:eastAsia="黑体"/>
          <w:b/>
          <w:color w:val="auto"/>
          <w:sz w:val="21"/>
          <w:szCs w:val="22"/>
          <w:highlight w:val="none"/>
        </w:rPr>
        <w:t>投标人资格</w:t>
      </w:r>
    </w:p>
    <w:p w14:paraId="1D2C622C">
      <w:pPr>
        <w:pStyle w:val="9"/>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4D945AB7">
      <w:pPr>
        <w:pStyle w:val="9"/>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4700CBCF">
      <w:pPr>
        <w:pStyle w:val="9"/>
        <w:ind w:firstLine="420" w:firstLineChars="200"/>
        <w:rPr>
          <w:rFonts w:hint="eastAsia"/>
          <w:color w:val="auto"/>
          <w:szCs w:val="22"/>
          <w:highlight w:val="none"/>
        </w:rPr>
      </w:pPr>
      <w:r>
        <w:rPr>
          <w:rFonts w:hint="eastAsia"/>
          <w:color w:val="auto"/>
          <w:szCs w:val="22"/>
          <w:highlight w:val="none"/>
        </w:rPr>
        <w:t>4.3</w:t>
      </w:r>
      <w:r>
        <w:rPr>
          <w:rFonts w:hint="eastAsia"/>
          <w:color w:val="auto"/>
          <w:szCs w:val="22"/>
          <w:highlight w:val="none"/>
        </w:rPr>
        <w:t>对项目负责人“有在建合同工程”的认定标准：</w:t>
      </w:r>
    </w:p>
    <w:p w14:paraId="4973AAC6">
      <w:pPr>
        <w:pStyle w:val="9"/>
        <w:ind w:firstLine="630" w:firstLineChars="300"/>
        <w:rPr>
          <w:rFonts w:hint="eastAsia"/>
          <w:color w:val="auto"/>
          <w:szCs w:val="22"/>
          <w:highlight w:val="none"/>
        </w:rPr>
      </w:pPr>
      <w:r>
        <w:rPr>
          <w:rFonts w:hint="eastAsia"/>
          <w:color w:val="auto"/>
          <w:szCs w:val="22"/>
          <w:highlight w:val="none"/>
        </w:rPr>
        <w:t>（1）拟派项目负责人以注册建造师身份承接工程建设项目的。</w:t>
      </w:r>
    </w:p>
    <w:p w14:paraId="699C3C44">
      <w:pPr>
        <w:pStyle w:val="9"/>
        <w:ind w:firstLine="630" w:firstLineChars="300"/>
        <w:rPr>
          <w:rFonts w:hint="eastAsia"/>
          <w:color w:val="auto"/>
          <w:szCs w:val="22"/>
          <w:highlight w:val="none"/>
        </w:rPr>
      </w:pPr>
      <w:r>
        <w:rPr>
          <w:rFonts w:hint="eastAsia"/>
          <w:color w:val="auto"/>
          <w:szCs w:val="22"/>
          <w:highlight w:val="none"/>
        </w:rPr>
        <w:t>（2）拟派项目负责人在投标截止时间尚有在中华人民共和国境内其他在建合同工程建设项目中担任项目负责人的情形为“有在建合同工程”。</w:t>
      </w:r>
    </w:p>
    <w:p w14:paraId="274AD9D8">
      <w:pPr>
        <w:pStyle w:val="9"/>
        <w:ind w:firstLine="630" w:firstLineChars="300"/>
        <w:rPr>
          <w:rFonts w:hint="eastAsia"/>
          <w:color w:val="auto"/>
          <w:szCs w:val="22"/>
          <w:highlight w:val="none"/>
        </w:rPr>
      </w:pPr>
      <w:r>
        <w:rPr>
          <w:rFonts w:hint="eastAsia"/>
          <w:color w:val="auto"/>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4F0A4230">
      <w:pPr>
        <w:pStyle w:val="9"/>
        <w:ind w:firstLine="630" w:firstLineChars="300"/>
        <w:rPr>
          <w:rFonts w:hint="eastAsia"/>
          <w:color w:val="auto"/>
          <w:szCs w:val="22"/>
          <w:highlight w:val="none"/>
        </w:rPr>
      </w:pPr>
      <w:r>
        <w:rPr>
          <w:rFonts w:hint="eastAsia"/>
          <w:color w:val="auto"/>
          <w:szCs w:val="22"/>
          <w:highlight w:val="none"/>
        </w:rPr>
        <w:t>以下情形视为“有在建合同工程”：</w:t>
      </w:r>
    </w:p>
    <w:p w14:paraId="6C09E121">
      <w:pPr>
        <w:pStyle w:val="9"/>
        <w:ind w:firstLine="630" w:firstLineChars="300"/>
        <w:rPr>
          <w:rFonts w:hint="eastAsia"/>
          <w:color w:val="auto"/>
          <w:szCs w:val="22"/>
          <w:highlight w:val="none"/>
        </w:rPr>
      </w:pPr>
      <w:r>
        <w:rPr>
          <w:rFonts w:hint="eastAsia"/>
          <w:color w:val="auto"/>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65DF7450">
      <w:pPr>
        <w:pStyle w:val="9"/>
        <w:ind w:firstLine="630" w:firstLineChars="300"/>
        <w:rPr>
          <w:rFonts w:hint="eastAsia"/>
          <w:color w:val="auto"/>
          <w:szCs w:val="22"/>
          <w:highlight w:val="none"/>
        </w:rPr>
      </w:pPr>
      <w:r>
        <w:rPr>
          <w:rFonts w:hint="eastAsia"/>
          <w:color w:val="auto"/>
          <w:szCs w:val="22"/>
          <w:highlight w:val="none"/>
        </w:rPr>
        <w:t>发生下列情形之一的除外：</w:t>
      </w:r>
    </w:p>
    <w:p w14:paraId="232B5EBD">
      <w:pPr>
        <w:pStyle w:val="9"/>
        <w:ind w:firstLine="630" w:firstLineChars="300"/>
        <w:rPr>
          <w:rFonts w:hint="eastAsia"/>
          <w:color w:val="auto"/>
          <w:szCs w:val="22"/>
          <w:highlight w:val="none"/>
        </w:rPr>
      </w:pPr>
      <w:r>
        <w:rPr>
          <w:rFonts w:hint="eastAsia"/>
          <w:color w:val="auto"/>
          <w:szCs w:val="22"/>
          <w:highlight w:val="none"/>
        </w:rPr>
        <w:t>a.原承接的项目与本工程属于同一工程相邻分段发包或分期施工的；</w:t>
      </w:r>
    </w:p>
    <w:p w14:paraId="5C3ABB06">
      <w:pPr>
        <w:pStyle w:val="9"/>
        <w:ind w:firstLine="630" w:firstLineChars="300"/>
        <w:rPr>
          <w:rFonts w:hint="eastAsia"/>
          <w:color w:val="auto"/>
          <w:szCs w:val="22"/>
          <w:highlight w:val="none"/>
        </w:rPr>
      </w:pPr>
      <w:r>
        <w:rPr>
          <w:rFonts w:hint="eastAsia"/>
          <w:color w:val="auto"/>
          <w:szCs w:val="22"/>
          <w:highlight w:val="none"/>
        </w:rPr>
        <w:t>b.因非承包方原因致使工程项目停工超过120天（含），经原建设单位同意的；</w:t>
      </w:r>
    </w:p>
    <w:p w14:paraId="6C670380">
      <w:pPr>
        <w:pStyle w:val="9"/>
        <w:ind w:firstLine="630" w:firstLineChars="300"/>
        <w:rPr>
          <w:rFonts w:hint="eastAsia"/>
          <w:color w:val="auto"/>
          <w:szCs w:val="22"/>
          <w:highlight w:val="none"/>
        </w:rPr>
      </w:pPr>
      <w:r>
        <w:rPr>
          <w:rFonts w:hint="eastAsia"/>
          <w:color w:val="auto"/>
          <w:szCs w:val="22"/>
          <w:highlight w:val="none"/>
        </w:rPr>
        <w:t>c.合同约定的工程已完工，承包方向建设单位提交竣工报告时间已超过120天（含），经原建设单位同意的。</w:t>
      </w:r>
    </w:p>
    <w:p w14:paraId="2F1CDE87">
      <w:pPr>
        <w:pStyle w:val="9"/>
        <w:ind w:firstLine="630" w:firstLineChars="300"/>
        <w:rPr>
          <w:rFonts w:hint="eastAsia"/>
          <w:color w:val="auto"/>
          <w:szCs w:val="22"/>
          <w:highlight w:val="none"/>
        </w:rPr>
      </w:pPr>
      <w:r>
        <w:rPr>
          <w:rFonts w:hint="eastAsia"/>
          <w:color w:val="auto"/>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04CF4526">
      <w:pPr>
        <w:pStyle w:val="9"/>
        <w:ind w:firstLine="630" w:firstLineChars="300"/>
        <w:rPr>
          <w:rFonts w:hint="eastAsia"/>
          <w:color w:val="auto"/>
          <w:szCs w:val="22"/>
          <w:highlight w:val="none"/>
        </w:rPr>
      </w:pPr>
      <w:r>
        <w:rPr>
          <w:rFonts w:hint="eastAsia"/>
          <w:color w:val="auto"/>
          <w:szCs w:val="22"/>
          <w:highlight w:val="none"/>
        </w:rPr>
        <w:t>若是年度招标项目则以具体项目的承接作为是否已承接该项目的判断依据。</w:t>
      </w:r>
    </w:p>
    <w:p w14:paraId="11A3E841">
      <w:pPr>
        <w:pStyle w:val="9"/>
        <w:ind w:firstLine="630" w:firstLineChars="300"/>
        <w:rPr>
          <w:b/>
          <w:bCs/>
          <w:color w:val="auto"/>
          <w:szCs w:val="22"/>
          <w:highlight w:val="none"/>
        </w:rPr>
      </w:pPr>
      <w:r>
        <w:rPr>
          <w:rFonts w:hint="eastAsia"/>
          <w:color w:val="auto"/>
          <w:szCs w:val="22"/>
          <w:highlight w:val="none"/>
        </w:rPr>
        <w:t>（</w:t>
      </w:r>
      <w:r>
        <w:rPr>
          <w:rFonts w:hint="eastAsia"/>
          <w:color w:val="auto"/>
          <w:szCs w:val="22"/>
          <w:highlight w:val="none"/>
          <w:lang w:val="en-US" w:eastAsia="zh-CN"/>
        </w:rPr>
        <w:t>4</w:t>
      </w:r>
      <w:r>
        <w:rPr>
          <w:rFonts w:hint="eastAsia"/>
          <w:color w:val="auto"/>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p>
    <w:p w14:paraId="7F309182">
      <w:pPr>
        <w:pStyle w:val="9"/>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29605505">
      <w:pPr>
        <w:pStyle w:val="9"/>
        <w:ind w:firstLine="420" w:firstLineChars="200"/>
        <w:rPr>
          <w:color w:val="auto"/>
          <w:szCs w:val="22"/>
          <w:highlight w:val="none"/>
        </w:rPr>
      </w:pPr>
      <w:r>
        <w:rPr>
          <w:rFonts w:hint="eastAsia"/>
          <w:color w:val="auto"/>
          <w:szCs w:val="22"/>
          <w:highlight w:val="none"/>
        </w:rPr>
        <w:t>4.4投标人有以下情形之一的，不得参加本项目投标：</w:t>
      </w:r>
    </w:p>
    <w:p w14:paraId="228C14E7">
      <w:pPr>
        <w:pStyle w:val="9"/>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4F4D2A69">
      <w:pPr>
        <w:pStyle w:val="9"/>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23524ED1">
      <w:pPr>
        <w:pStyle w:val="9"/>
        <w:ind w:firstLine="315" w:firstLineChars="150"/>
        <w:rPr>
          <w:color w:val="auto"/>
          <w:szCs w:val="22"/>
          <w:highlight w:val="none"/>
        </w:rPr>
      </w:pPr>
      <w:r>
        <w:rPr>
          <w:rFonts w:hint="eastAsia"/>
          <w:color w:val="auto"/>
          <w:szCs w:val="22"/>
          <w:highlight w:val="none"/>
        </w:rPr>
        <w:t>（3）为本工程的监理人；</w:t>
      </w:r>
    </w:p>
    <w:p w14:paraId="21AA4AB9">
      <w:pPr>
        <w:pStyle w:val="9"/>
        <w:ind w:firstLine="315" w:firstLineChars="150"/>
        <w:rPr>
          <w:color w:val="auto"/>
          <w:szCs w:val="22"/>
          <w:highlight w:val="none"/>
        </w:rPr>
      </w:pPr>
      <w:r>
        <w:rPr>
          <w:rFonts w:hint="eastAsia"/>
          <w:color w:val="auto"/>
          <w:szCs w:val="22"/>
          <w:highlight w:val="none"/>
        </w:rPr>
        <w:t xml:space="preserve">（4）为本工程的代建人； </w:t>
      </w:r>
    </w:p>
    <w:p w14:paraId="6EDEA100">
      <w:pPr>
        <w:pStyle w:val="9"/>
        <w:ind w:firstLine="315" w:firstLineChars="150"/>
        <w:rPr>
          <w:color w:val="auto"/>
          <w:szCs w:val="22"/>
          <w:highlight w:val="none"/>
        </w:rPr>
      </w:pPr>
      <w:r>
        <w:rPr>
          <w:rFonts w:hint="eastAsia"/>
          <w:color w:val="auto"/>
          <w:szCs w:val="22"/>
          <w:highlight w:val="none"/>
        </w:rPr>
        <w:t xml:space="preserve">（5）为本工程提供招标代理服务的； </w:t>
      </w:r>
    </w:p>
    <w:p w14:paraId="6B4F6865">
      <w:pPr>
        <w:pStyle w:val="9"/>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0D99292F">
      <w:pPr>
        <w:pStyle w:val="9"/>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6A63F057">
      <w:pPr>
        <w:pStyle w:val="9"/>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60AE03A9">
      <w:pPr>
        <w:pStyle w:val="9"/>
        <w:ind w:firstLine="315" w:firstLineChars="150"/>
        <w:rPr>
          <w:color w:val="auto"/>
          <w:szCs w:val="22"/>
          <w:highlight w:val="none"/>
        </w:rPr>
      </w:pPr>
      <w:r>
        <w:rPr>
          <w:rFonts w:hint="eastAsia"/>
          <w:color w:val="auto"/>
          <w:szCs w:val="22"/>
          <w:highlight w:val="none"/>
        </w:rPr>
        <w:t xml:space="preserve">（9）被责令停业的； </w:t>
      </w:r>
    </w:p>
    <w:p w14:paraId="0108742F">
      <w:pPr>
        <w:pStyle w:val="9"/>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64FA7B75">
      <w:pPr>
        <w:pStyle w:val="9"/>
        <w:ind w:firstLine="315" w:firstLineChars="150"/>
        <w:rPr>
          <w:color w:val="auto"/>
          <w:szCs w:val="22"/>
          <w:highlight w:val="none"/>
        </w:rPr>
      </w:pPr>
      <w:r>
        <w:rPr>
          <w:rFonts w:hint="eastAsia"/>
          <w:color w:val="auto"/>
          <w:szCs w:val="22"/>
          <w:highlight w:val="none"/>
        </w:rPr>
        <w:t>（11）安全生产许可证超出有效期或处于暂扣时限内的；</w:t>
      </w:r>
    </w:p>
    <w:p w14:paraId="6473B6C5">
      <w:pPr>
        <w:pStyle w:val="9"/>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7F8A5433">
      <w:pPr>
        <w:pStyle w:val="9"/>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6E20B0A1">
      <w:pPr>
        <w:pStyle w:val="9"/>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187F0673">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7"/>
      <w:bookmarkEnd w:id="28"/>
    </w:p>
    <w:p w14:paraId="6F9C0589">
      <w:pPr>
        <w:pStyle w:val="9"/>
        <w:numPr>
          <w:ilvl w:val="1"/>
          <w:numId w:val="3"/>
        </w:numPr>
        <w:ind w:firstLine="420" w:firstLineChars="200"/>
        <w:rPr>
          <w:color w:val="auto"/>
          <w:highlight w:val="none"/>
        </w:rPr>
      </w:pPr>
      <w:r>
        <w:rPr>
          <w:rFonts w:hint="eastAsia"/>
          <w:color w:val="auto"/>
          <w:highlight w:val="none"/>
        </w:rPr>
        <w:t>投标人应自行承担其参加投标活动自身发生的费用。</w:t>
      </w:r>
    </w:p>
    <w:p w14:paraId="611A6B19">
      <w:pPr>
        <w:keepNext/>
        <w:keepLines/>
        <w:numPr>
          <w:ilvl w:val="0"/>
          <w:numId w:val="3"/>
        </w:numPr>
        <w:spacing w:before="360" w:line="288" w:lineRule="auto"/>
        <w:jc w:val="left"/>
        <w:outlineLvl w:val="2"/>
        <w:rPr>
          <w:rFonts w:ascii="黑体" w:hAnsi="宋体" w:eastAsia="黑体"/>
          <w:b/>
          <w:color w:val="auto"/>
          <w:sz w:val="21"/>
          <w:highlight w:val="none"/>
        </w:rPr>
      </w:pPr>
      <w:bookmarkStart w:id="29" w:name="_Toc155342533"/>
      <w:bookmarkStart w:id="30" w:name="_Toc169487781"/>
      <w:r>
        <w:rPr>
          <w:rFonts w:hint="eastAsia" w:ascii="黑体" w:hAnsi="宋体" w:eastAsia="黑体"/>
          <w:b/>
          <w:color w:val="auto"/>
          <w:sz w:val="21"/>
          <w:highlight w:val="none"/>
        </w:rPr>
        <w:t>现场条件</w:t>
      </w:r>
      <w:bookmarkEnd w:id="29"/>
      <w:bookmarkEnd w:id="30"/>
    </w:p>
    <w:p w14:paraId="4391001B">
      <w:pPr>
        <w:pStyle w:val="9"/>
        <w:numPr>
          <w:ilvl w:val="1"/>
          <w:numId w:val="3"/>
        </w:numPr>
        <w:ind w:firstLine="420" w:firstLineChars="200"/>
        <w:rPr>
          <w:color w:val="auto"/>
          <w:highlight w:val="none"/>
        </w:rPr>
      </w:pPr>
      <w:r>
        <w:rPr>
          <w:rFonts w:hint="eastAsia"/>
          <w:color w:val="auto"/>
          <w:highlight w:val="none"/>
        </w:rPr>
        <w:t>施工现场“三通一平”已经完成。</w:t>
      </w:r>
    </w:p>
    <w:p w14:paraId="4B56AC5E">
      <w:pPr>
        <w:keepNext/>
        <w:keepLines/>
        <w:numPr>
          <w:ilvl w:val="0"/>
          <w:numId w:val="3"/>
        </w:numPr>
        <w:spacing w:before="360" w:line="288" w:lineRule="auto"/>
        <w:jc w:val="left"/>
        <w:outlineLvl w:val="2"/>
        <w:rPr>
          <w:rFonts w:ascii="黑体" w:hAnsi="宋体" w:eastAsia="黑体"/>
          <w:b/>
          <w:color w:val="auto"/>
          <w:sz w:val="21"/>
          <w:highlight w:val="none"/>
        </w:rPr>
      </w:pPr>
      <w:bookmarkStart w:id="31" w:name="_Toc155342534"/>
      <w:bookmarkStart w:id="32" w:name="_Toc169487782"/>
      <w:r>
        <w:rPr>
          <w:rFonts w:hint="eastAsia" w:ascii="黑体" w:hAnsi="宋体" w:eastAsia="黑体"/>
          <w:b/>
          <w:color w:val="auto"/>
          <w:sz w:val="21"/>
          <w:highlight w:val="none"/>
        </w:rPr>
        <w:t>踏勘现场</w:t>
      </w:r>
      <w:bookmarkEnd w:id="31"/>
      <w:bookmarkEnd w:id="32"/>
    </w:p>
    <w:p w14:paraId="426B309E">
      <w:pPr>
        <w:pStyle w:val="9"/>
        <w:numPr>
          <w:ilvl w:val="1"/>
          <w:numId w:val="3"/>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18807D4C">
      <w:pPr>
        <w:pStyle w:val="9"/>
        <w:numPr>
          <w:ilvl w:val="1"/>
          <w:numId w:val="3"/>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39DC50EA">
      <w:pPr>
        <w:pStyle w:val="9"/>
        <w:numPr>
          <w:ilvl w:val="1"/>
          <w:numId w:val="3"/>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06202C4C">
      <w:pPr>
        <w:spacing w:before="360" w:afterLines="50" w:line="320" w:lineRule="exact"/>
        <w:ind w:left="2159" w:hanging="1320"/>
        <w:jc w:val="center"/>
        <w:outlineLvl w:val="1"/>
        <w:rPr>
          <w:rFonts w:ascii="Arial" w:hAnsi="Arial" w:eastAsia="黑体" w:cs="Arial"/>
          <w:b/>
          <w:color w:val="auto"/>
          <w:szCs w:val="24"/>
          <w:highlight w:val="none"/>
        </w:rPr>
      </w:pPr>
      <w:bookmarkStart w:id="33" w:name="_Toc500209414"/>
      <w:bookmarkStart w:id="34" w:name="_Toc500208467"/>
      <w:bookmarkStart w:id="35" w:name="_Toc24275"/>
      <w:bookmarkStart w:id="36" w:name="_Toc20890"/>
      <w:r>
        <w:rPr>
          <w:rFonts w:hint="eastAsia" w:ascii="Arial" w:hAnsi="Arial" w:eastAsia="黑体" w:cs="Arial"/>
          <w:b/>
          <w:color w:val="auto"/>
          <w:szCs w:val="24"/>
          <w:highlight w:val="none"/>
        </w:rPr>
        <w:t>第二节  招标文件</w:t>
      </w:r>
      <w:bookmarkEnd w:id="33"/>
      <w:bookmarkEnd w:id="34"/>
      <w:bookmarkEnd w:id="35"/>
      <w:bookmarkEnd w:id="36"/>
    </w:p>
    <w:p w14:paraId="65C0DB75">
      <w:pPr>
        <w:keepNext/>
        <w:keepLines/>
        <w:numPr>
          <w:ilvl w:val="0"/>
          <w:numId w:val="3"/>
        </w:numPr>
        <w:spacing w:before="360" w:line="288" w:lineRule="auto"/>
        <w:jc w:val="left"/>
        <w:outlineLvl w:val="2"/>
        <w:rPr>
          <w:rFonts w:ascii="黑体" w:hAnsi="宋体" w:eastAsia="黑体"/>
          <w:b/>
          <w:color w:val="auto"/>
          <w:sz w:val="21"/>
          <w:highlight w:val="none"/>
        </w:rPr>
      </w:pPr>
      <w:bookmarkStart w:id="37" w:name="_Toc155342536"/>
      <w:bookmarkStart w:id="38" w:name="_Toc500208468"/>
      <w:bookmarkStart w:id="39" w:name="_Toc169487784"/>
      <w:r>
        <w:rPr>
          <w:rFonts w:hint="eastAsia" w:ascii="黑体" w:hAnsi="宋体" w:eastAsia="黑体"/>
          <w:b/>
          <w:color w:val="auto"/>
          <w:sz w:val="21"/>
          <w:highlight w:val="none"/>
        </w:rPr>
        <w:t>招标文件的组成</w:t>
      </w:r>
      <w:bookmarkEnd w:id="37"/>
      <w:bookmarkEnd w:id="38"/>
      <w:bookmarkEnd w:id="39"/>
    </w:p>
    <w:p w14:paraId="2CC42757">
      <w:pPr>
        <w:pStyle w:val="9"/>
        <w:numPr>
          <w:ilvl w:val="1"/>
          <w:numId w:val="3"/>
        </w:numPr>
        <w:ind w:firstLine="420" w:firstLineChars="200"/>
        <w:rPr>
          <w:color w:val="auto"/>
          <w:highlight w:val="none"/>
        </w:rPr>
      </w:pPr>
      <w:r>
        <w:rPr>
          <w:rFonts w:hint="eastAsia"/>
          <w:color w:val="auto"/>
          <w:highlight w:val="none"/>
        </w:rPr>
        <w:t>招标文件包括下列内容：</w:t>
      </w:r>
    </w:p>
    <w:p w14:paraId="5A18D79F">
      <w:pPr>
        <w:pStyle w:val="9"/>
        <w:ind w:firstLine="420" w:firstLineChars="200"/>
        <w:rPr>
          <w:color w:val="auto"/>
          <w:highlight w:val="none"/>
        </w:rPr>
      </w:pPr>
      <w:r>
        <w:rPr>
          <w:rFonts w:hint="eastAsia"/>
          <w:color w:val="auto"/>
          <w:highlight w:val="none"/>
        </w:rPr>
        <w:t>第一章 投标须知及投标须知前附表；</w:t>
      </w:r>
    </w:p>
    <w:p w14:paraId="0600A353">
      <w:pPr>
        <w:pStyle w:val="9"/>
        <w:ind w:firstLine="420" w:firstLineChars="200"/>
        <w:rPr>
          <w:color w:val="auto"/>
          <w:highlight w:val="none"/>
        </w:rPr>
      </w:pPr>
      <w:r>
        <w:rPr>
          <w:rFonts w:hint="eastAsia"/>
          <w:color w:val="auto"/>
          <w:highlight w:val="none"/>
        </w:rPr>
        <w:t>第二章 合同条款；</w:t>
      </w:r>
    </w:p>
    <w:p w14:paraId="68DD3020">
      <w:pPr>
        <w:pStyle w:val="9"/>
        <w:ind w:firstLine="420" w:firstLineChars="200"/>
        <w:rPr>
          <w:color w:val="auto"/>
          <w:highlight w:val="none"/>
        </w:rPr>
      </w:pPr>
      <w:r>
        <w:rPr>
          <w:rFonts w:hint="eastAsia"/>
          <w:color w:val="auto"/>
          <w:highlight w:val="none"/>
        </w:rPr>
        <w:t>第三章 评标办法；</w:t>
      </w:r>
    </w:p>
    <w:p w14:paraId="16C8A10A">
      <w:pPr>
        <w:pStyle w:val="9"/>
        <w:ind w:firstLine="422" w:firstLineChars="200"/>
        <w:rPr>
          <w:b/>
          <w:color w:val="auto"/>
          <w:highlight w:val="none"/>
        </w:rPr>
      </w:pPr>
      <w:r>
        <w:rPr>
          <w:rFonts w:hint="eastAsia"/>
          <w:b/>
          <w:color w:val="auto"/>
          <w:highlight w:val="none"/>
        </w:rPr>
        <w:t>第四章 投标文件格式；</w:t>
      </w:r>
    </w:p>
    <w:p w14:paraId="0F0F11D3">
      <w:pPr>
        <w:pStyle w:val="9"/>
        <w:ind w:firstLine="422" w:firstLineChars="200"/>
        <w:rPr>
          <w:b/>
          <w:color w:val="auto"/>
          <w:highlight w:val="none"/>
        </w:rPr>
      </w:pPr>
      <w:r>
        <w:rPr>
          <w:rFonts w:hint="eastAsia"/>
          <w:b/>
          <w:color w:val="auto"/>
          <w:highlight w:val="none"/>
        </w:rPr>
        <w:t>其他附件材料：</w:t>
      </w:r>
    </w:p>
    <w:p w14:paraId="4C7E8080">
      <w:pPr>
        <w:pStyle w:val="9"/>
        <w:ind w:firstLine="422" w:firstLineChars="200"/>
        <w:rPr>
          <w:b/>
          <w:color w:val="auto"/>
          <w:highlight w:val="none"/>
        </w:rPr>
      </w:pPr>
      <w:r>
        <w:rPr>
          <w:rFonts w:hint="eastAsia"/>
          <w:b/>
          <w:color w:val="auto"/>
          <w:highlight w:val="none"/>
        </w:rPr>
        <w:t>（1）施工图预算书（以下简称招标人预算书）；</w:t>
      </w:r>
    </w:p>
    <w:p w14:paraId="7F0CC496">
      <w:pPr>
        <w:pStyle w:val="9"/>
        <w:ind w:firstLine="422" w:firstLineChars="200"/>
        <w:rPr>
          <w:b/>
          <w:color w:val="auto"/>
          <w:highlight w:val="none"/>
        </w:rPr>
      </w:pPr>
      <w:r>
        <w:rPr>
          <w:rFonts w:hint="eastAsia"/>
          <w:b/>
          <w:color w:val="auto"/>
          <w:highlight w:val="none"/>
        </w:rPr>
        <w:t>（2）施工图纸。</w:t>
      </w:r>
    </w:p>
    <w:p w14:paraId="0D4BD34A">
      <w:pPr>
        <w:pStyle w:val="9"/>
        <w:numPr>
          <w:ilvl w:val="1"/>
          <w:numId w:val="3"/>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3EFE81AF">
      <w:pPr>
        <w:pStyle w:val="9"/>
        <w:numPr>
          <w:ilvl w:val="1"/>
          <w:numId w:val="3"/>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303C36E0">
      <w:pPr>
        <w:keepNext/>
        <w:keepLines/>
        <w:numPr>
          <w:ilvl w:val="0"/>
          <w:numId w:val="3"/>
        </w:numPr>
        <w:spacing w:before="360" w:line="288" w:lineRule="auto"/>
        <w:jc w:val="left"/>
        <w:outlineLvl w:val="2"/>
        <w:rPr>
          <w:rFonts w:ascii="黑体" w:hAnsi="宋体" w:eastAsia="黑体"/>
          <w:b/>
          <w:color w:val="auto"/>
          <w:sz w:val="21"/>
          <w:highlight w:val="none"/>
        </w:rPr>
      </w:pPr>
      <w:bookmarkStart w:id="40" w:name="_Toc500208469"/>
      <w:bookmarkStart w:id="41" w:name="_Toc155342537"/>
      <w:bookmarkStart w:id="42" w:name="_Toc169487785"/>
      <w:r>
        <w:rPr>
          <w:rFonts w:hint="eastAsia" w:ascii="黑体" w:hAnsi="宋体" w:eastAsia="黑体"/>
          <w:b/>
          <w:color w:val="auto"/>
          <w:sz w:val="21"/>
          <w:highlight w:val="none"/>
        </w:rPr>
        <w:t>招标文件的</w:t>
      </w:r>
      <w:bookmarkEnd w:id="40"/>
      <w:r>
        <w:rPr>
          <w:rFonts w:hint="eastAsia" w:ascii="黑体" w:hAnsi="宋体" w:eastAsia="黑体"/>
          <w:b/>
          <w:color w:val="auto"/>
          <w:sz w:val="21"/>
          <w:highlight w:val="none"/>
        </w:rPr>
        <w:t>澄清</w:t>
      </w:r>
      <w:bookmarkEnd w:id="41"/>
      <w:bookmarkEnd w:id="42"/>
    </w:p>
    <w:p w14:paraId="67033633">
      <w:pPr>
        <w:pStyle w:val="9"/>
        <w:numPr>
          <w:ilvl w:val="1"/>
          <w:numId w:val="3"/>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58D854C9">
      <w:pPr>
        <w:keepNext/>
        <w:keepLines/>
        <w:numPr>
          <w:ilvl w:val="0"/>
          <w:numId w:val="3"/>
        </w:numPr>
        <w:spacing w:before="360" w:line="288" w:lineRule="auto"/>
        <w:jc w:val="left"/>
        <w:outlineLvl w:val="2"/>
        <w:rPr>
          <w:rFonts w:ascii="黑体" w:hAnsi="宋体" w:eastAsia="黑体"/>
          <w:b/>
          <w:color w:val="auto"/>
          <w:sz w:val="21"/>
          <w:highlight w:val="none"/>
        </w:rPr>
      </w:pPr>
      <w:bookmarkStart w:id="43" w:name="_Toc169487786"/>
      <w:bookmarkStart w:id="44" w:name="_Toc155342538"/>
      <w:bookmarkStart w:id="45" w:name="_Toc500208470"/>
      <w:r>
        <w:rPr>
          <w:rFonts w:hint="eastAsia" w:ascii="黑体" w:hAnsi="宋体" w:eastAsia="黑体"/>
          <w:b/>
          <w:color w:val="auto"/>
          <w:sz w:val="21"/>
          <w:highlight w:val="none"/>
        </w:rPr>
        <w:t>招标文件的修改</w:t>
      </w:r>
      <w:bookmarkEnd w:id="43"/>
      <w:bookmarkEnd w:id="44"/>
      <w:bookmarkEnd w:id="45"/>
    </w:p>
    <w:p w14:paraId="420BCE0F">
      <w:pPr>
        <w:pStyle w:val="9"/>
        <w:numPr>
          <w:ilvl w:val="1"/>
          <w:numId w:val="3"/>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214C1DA1">
      <w:pPr>
        <w:pStyle w:val="9"/>
        <w:spacing w:line="360" w:lineRule="exact"/>
        <w:ind w:left="425"/>
        <w:rPr>
          <w:color w:val="auto"/>
          <w:highlight w:val="none"/>
        </w:rPr>
      </w:pPr>
      <w:r>
        <w:rPr>
          <w:rFonts w:hint="eastAsia"/>
          <w:color w:val="auto"/>
          <w:highlight w:val="none"/>
        </w:rPr>
        <w:t>10.2在在投标截止日期前，招标人可能以补充通知的方式修改招标文件。</w:t>
      </w:r>
    </w:p>
    <w:p w14:paraId="2D6E9CE5">
      <w:pPr>
        <w:pStyle w:val="9"/>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46418C7F">
      <w:pPr>
        <w:pStyle w:val="9"/>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264AC081">
      <w:pPr>
        <w:keepNext/>
        <w:keepLines/>
        <w:numPr>
          <w:ilvl w:val="0"/>
          <w:numId w:val="3"/>
        </w:numPr>
        <w:spacing w:before="360" w:line="288" w:lineRule="auto"/>
        <w:jc w:val="left"/>
        <w:outlineLvl w:val="2"/>
        <w:rPr>
          <w:rFonts w:ascii="黑体" w:hAnsi="宋体" w:eastAsia="黑体"/>
          <w:b/>
          <w:color w:val="auto"/>
          <w:sz w:val="21"/>
          <w:highlight w:val="none"/>
        </w:rPr>
      </w:pPr>
      <w:bookmarkStart w:id="46" w:name="_Toc169487787"/>
      <w:bookmarkStart w:id="47" w:name="_Toc155342539"/>
      <w:r>
        <w:rPr>
          <w:rFonts w:hint="eastAsia" w:ascii="黑体" w:hAnsi="宋体" w:eastAsia="黑体"/>
          <w:b/>
          <w:color w:val="auto"/>
          <w:sz w:val="21"/>
          <w:highlight w:val="none"/>
        </w:rPr>
        <w:t>招标文件的备案</w:t>
      </w:r>
      <w:bookmarkEnd w:id="46"/>
      <w:bookmarkEnd w:id="47"/>
    </w:p>
    <w:p w14:paraId="3826D0F7">
      <w:pPr>
        <w:pStyle w:val="9"/>
        <w:numPr>
          <w:ilvl w:val="1"/>
          <w:numId w:val="3"/>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3F56BE59">
      <w:pPr>
        <w:keepNext/>
        <w:keepLines/>
        <w:numPr>
          <w:ilvl w:val="0"/>
          <w:numId w:val="3"/>
        </w:numPr>
        <w:spacing w:before="360" w:line="288" w:lineRule="auto"/>
        <w:jc w:val="left"/>
        <w:outlineLvl w:val="2"/>
        <w:rPr>
          <w:rFonts w:ascii="黑体" w:hAnsi="宋体" w:eastAsia="黑体"/>
          <w:b/>
          <w:color w:val="auto"/>
          <w:sz w:val="21"/>
          <w:highlight w:val="none"/>
        </w:rPr>
      </w:pPr>
      <w:bookmarkStart w:id="48" w:name="_Toc169487788"/>
      <w:bookmarkStart w:id="49" w:name="_Toc155342540"/>
      <w:r>
        <w:rPr>
          <w:rFonts w:hint="eastAsia" w:ascii="黑体" w:hAnsi="宋体" w:eastAsia="黑体"/>
          <w:b/>
          <w:color w:val="auto"/>
          <w:sz w:val="21"/>
          <w:highlight w:val="none"/>
        </w:rPr>
        <w:t>招标文件的解释权</w:t>
      </w:r>
      <w:bookmarkEnd w:id="48"/>
      <w:bookmarkEnd w:id="49"/>
    </w:p>
    <w:p w14:paraId="3D0FE48C">
      <w:pPr>
        <w:pStyle w:val="9"/>
        <w:numPr>
          <w:ilvl w:val="1"/>
          <w:numId w:val="3"/>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05F1642E">
      <w:pPr>
        <w:spacing w:before="360" w:afterLines="50" w:line="320" w:lineRule="exact"/>
        <w:ind w:left="2159" w:hanging="1320"/>
        <w:jc w:val="center"/>
        <w:outlineLvl w:val="1"/>
        <w:rPr>
          <w:rFonts w:ascii="Arial" w:hAnsi="Arial" w:eastAsia="黑体" w:cs="Arial"/>
          <w:b/>
          <w:color w:val="auto"/>
          <w:szCs w:val="24"/>
          <w:highlight w:val="none"/>
        </w:rPr>
      </w:pPr>
      <w:bookmarkStart w:id="50" w:name="_Toc500209416"/>
      <w:bookmarkStart w:id="51" w:name="_Toc500208475"/>
      <w:bookmarkStart w:id="52" w:name="_Toc20604"/>
      <w:bookmarkStart w:id="53" w:name="_Toc7036"/>
      <w:r>
        <w:rPr>
          <w:rFonts w:hint="eastAsia" w:ascii="Arial" w:hAnsi="Arial" w:eastAsia="黑体" w:cs="Arial"/>
          <w:b/>
          <w:color w:val="auto"/>
          <w:szCs w:val="24"/>
          <w:highlight w:val="none"/>
        </w:rPr>
        <w:t>第三节  投标文件的编制</w:t>
      </w:r>
      <w:bookmarkEnd w:id="50"/>
      <w:bookmarkEnd w:id="51"/>
      <w:bookmarkEnd w:id="52"/>
      <w:bookmarkEnd w:id="53"/>
    </w:p>
    <w:p w14:paraId="4745995F">
      <w:pPr>
        <w:keepNext/>
        <w:keepLines/>
        <w:numPr>
          <w:ilvl w:val="0"/>
          <w:numId w:val="3"/>
        </w:numPr>
        <w:spacing w:before="360" w:line="288" w:lineRule="auto"/>
        <w:jc w:val="left"/>
        <w:outlineLvl w:val="2"/>
        <w:rPr>
          <w:rFonts w:ascii="黑体" w:hAnsi="宋体" w:eastAsia="黑体"/>
          <w:b/>
          <w:color w:val="auto"/>
          <w:sz w:val="21"/>
          <w:highlight w:val="none"/>
        </w:rPr>
      </w:pPr>
      <w:bookmarkStart w:id="54" w:name="_Toc169487790"/>
      <w:bookmarkStart w:id="55" w:name="_Toc500208476"/>
      <w:bookmarkStart w:id="56" w:name="_Toc155342542"/>
      <w:bookmarkStart w:id="57" w:name="_Toc69095786"/>
      <w:bookmarkStart w:id="58" w:name="_Toc500208477"/>
      <w:r>
        <w:rPr>
          <w:rFonts w:hint="eastAsia" w:ascii="黑体" w:hAnsi="宋体" w:eastAsia="黑体"/>
          <w:b/>
          <w:color w:val="auto"/>
          <w:sz w:val="21"/>
          <w:highlight w:val="none"/>
        </w:rPr>
        <w:t>投标文件的组成</w:t>
      </w:r>
      <w:bookmarkEnd w:id="54"/>
      <w:bookmarkEnd w:id="55"/>
      <w:bookmarkEnd w:id="56"/>
      <w:bookmarkEnd w:id="57"/>
    </w:p>
    <w:p w14:paraId="231E5C7A">
      <w:pPr>
        <w:pStyle w:val="9"/>
        <w:numPr>
          <w:ilvl w:val="1"/>
          <w:numId w:val="3"/>
        </w:numPr>
        <w:ind w:firstLine="420" w:firstLineChars="200"/>
        <w:rPr>
          <w:color w:val="auto"/>
          <w:highlight w:val="none"/>
        </w:rPr>
      </w:pPr>
      <w:r>
        <w:rPr>
          <w:rFonts w:hint="eastAsia"/>
          <w:color w:val="auto"/>
          <w:highlight w:val="none"/>
        </w:rPr>
        <w:t>本招标工程项目的投标文件组成详见本须知前附表第14项。</w:t>
      </w:r>
    </w:p>
    <w:p w14:paraId="47C96C14">
      <w:pPr>
        <w:keepNext/>
        <w:keepLines/>
        <w:numPr>
          <w:ilvl w:val="0"/>
          <w:numId w:val="3"/>
        </w:numPr>
        <w:spacing w:before="360" w:line="288" w:lineRule="auto"/>
        <w:jc w:val="left"/>
        <w:outlineLvl w:val="2"/>
        <w:rPr>
          <w:rFonts w:ascii="黑体" w:hAnsi="宋体" w:eastAsia="黑体"/>
          <w:b/>
          <w:color w:val="auto"/>
          <w:sz w:val="21"/>
          <w:highlight w:val="none"/>
        </w:rPr>
      </w:pPr>
      <w:bookmarkStart w:id="59" w:name="_Toc155342544"/>
      <w:bookmarkStart w:id="60" w:name="_Toc169487791"/>
      <w:r>
        <w:rPr>
          <w:rFonts w:hint="eastAsia" w:ascii="黑体" w:hAnsi="宋体" w:eastAsia="黑体"/>
          <w:b/>
          <w:color w:val="auto"/>
          <w:sz w:val="21"/>
          <w:highlight w:val="none"/>
        </w:rPr>
        <w:t>投标文件的格式</w:t>
      </w:r>
      <w:bookmarkEnd w:id="59"/>
      <w:bookmarkEnd w:id="60"/>
    </w:p>
    <w:p w14:paraId="3446B908">
      <w:pPr>
        <w:pStyle w:val="9"/>
        <w:numPr>
          <w:ilvl w:val="1"/>
          <w:numId w:val="3"/>
        </w:numPr>
        <w:ind w:firstLine="420" w:firstLineChars="200"/>
        <w:rPr>
          <w:color w:val="auto"/>
          <w:highlight w:val="none"/>
        </w:rPr>
      </w:pPr>
      <w:r>
        <w:rPr>
          <w:rFonts w:hint="eastAsia"/>
          <w:color w:val="auto"/>
          <w:highlight w:val="none"/>
        </w:rPr>
        <w:t>本招标工程项目的投标文件格式要求详见本须知前附表第15项。</w:t>
      </w:r>
    </w:p>
    <w:p w14:paraId="51B118B3">
      <w:pPr>
        <w:keepNext/>
        <w:keepLines/>
        <w:numPr>
          <w:ilvl w:val="0"/>
          <w:numId w:val="3"/>
        </w:numPr>
        <w:spacing w:before="360" w:line="288" w:lineRule="auto"/>
        <w:jc w:val="left"/>
        <w:outlineLvl w:val="2"/>
        <w:rPr>
          <w:rFonts w:ascii="黑体" w:hAnsi="宋体" w:eastAsia="黑体"/>
          <w:b/>
          <w:color w:val="auto"/>
          <w:sz w:val="21"/>
          <w:highlight w:val="none"/>
        </w:rPr>
      </w:pPr>
      <w:bookmarkStart w:id="61" w:name="_Toc169487792"/>
      <w:bookmarkStart w:id="62" w:name="_Toc155342545"/>
      <w:r>
        <w:rPr>
          <w:rFonts w:hint="eastAsia" w:ascii="黑体" w:hAnsi="宋体" w:eastAsia="黑体"/>
          <w:b/>
          <w:color w:val="auto"/>
          <w:sz w:val="21"/>
          <w:highlight w:val="none"/>
        </w:rPr>
        <w:t>投标报价组成</w:t>
      </w:r>
      <w:bookmarkEnd w:id="61"/>
      <w:bookmarkEnd w:id="62"/>
    </w:p>
    <w:p w14:paraId="52CA845E">
      <w:pPr>
        <w:pStyle w:val="9"/>
        <w:numPr>
          <w:ilvl w:val="1"/>
          <w:numId w:val="3"/>
        </w:numPr>
        <w:ind w:left="0" w:firstLine="420" w:firstLineChars="200"/>
        <w:rPr>
          <w:color w:val="auto"/>
          <w:highlight w:val="none"/>
        </w:rPr>
      </w:pPr>
      <w:r>
        <w:rPr>
          <w:rFonts w:hint="eastAsia"/>
          <w:color w:val="auto"/>
          <w:highlight w:val="none"/>
        </w:rPr>
        <w:t>报价方式：本工程项目报价方式详见本须知前附表第16项。</w:t>
      </w:r>
      <w:bookmarkStart w:id="63" w:name="_Toc500208474"/>
    </w:p>
    <w:p w14:paraId="0A83243F">
      <w:pPr>
        <w:pStyle w:val="9"/>
        <w:snapToGrid w:val="0"/>
        <w:spacing w:line="360" w:lineRule="auto"/>
        <w:ind w:firstLine="420" w:firstLineChars="200"/>
        <w:rPr>
          <w:color w:val="auto"/>
          <w:highlight w:val="none"/>
        </w:rPr>
      </w:pPr>
      <w:r>
        <w:rPr>
          <w:rFonts w:hint="eastAsia"/>
          <w:color w:val="auto"/>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2C1A0F34">
      <w:pPr>
        <w:keepNext/>
        <w:keepLines/>
        <w:numPr>
          <w:ilvl w:val="0"/>
          <w:numId w:val="3"/>
        </w:numPr>
        <w:spacing w:before="360" w:line="288" w:lineRule="auto"/>
        <w:jc w:val="left"/>
        <w:outlineLvl w:val="2"/>
        <w:rPr>
          <w:rFonts w:ascii="黑体" w:hAnsi="宋体" w:eastAsia="黑体"/>
          <w:b/>
          <w:color w:val="auto"/>
          <w:sz w:val="21"/>
          <w:highlight w:val="none"/>
        </w:rPr>
      </w:pPr>
      <w:bookmarkStart w:id="64" w:name="_Toc155342546"/>
      <w:bookmarkStart w:id="65" w:name="_Toc169487793"/>
      <w:r>
        <w:rPr>
          <w:rFonts w:hint="eastAsia" w:ascii="黑体" w:hAnsi="宋体" w:eastAsia="黑体"/>
          <w:b/>
          <w:color w:val="auto"/>
          <w:sz w:val="21"/>
          <w:highlight w:val="none"/>
        </w:rPr>
        <w:t>投标报价要求</w:t>
      </w:r>
      <w:bookmarkEnd w:id="64"/>
      <w:bookmarkEnd w:id="65"/>
    </w:p>
    <w:p w14:paraId="65BF5F87">
      <w:pPr>
        <w:pStyle w:val="9"/>
        <w:numPr>
          <w:ilvl w:val="1"/>
          <w:numId w:val="3"/>
        </w:numPr>
        <w:ind w:firstLine="420" w:firstLineChars="200"/>
        <w:rPr>
          <w:color w:val="auto"/>
          <w:highlight w:val="none"/>
        </w:rPr>
      </w:pPr>
      <w:r>
        <w:rPr>
          <w:rFonts w:hint="eastAsia"/>
          <w:color w:val="auto"/>
          <w:highlight w:val="none"/>
        </w:rPr>
        <w:t>招标人预算书按照《浙江省建设工程计价规则》（2018版）、《浙江省房屋建筑与装饰工程预算定额》（2018版）、《浙江省古建筑修缮预算定额》（2018版）、《浙江省园林绿化及仿古建筑工程预算定额》（2018版）、《浙江省建筑安装工程修缮预算定额》（2018版）、《浙江省建设工程施工机械台班费用定额》（2018版）</w:t>
      </w:r>
      <w:r>
        <w:rPr>
          <w:rFonts w:hint="eastAsia"/>
          <w:color w:val="auto"/>
          <w:highlight w:val="none"/>
          <w:lang w:eastAsia="zh-CN"/>
        </w:rPr>
        <w:t>、浙建建[2018]61号、台建[2019]11号、台建[2019]16号、浙建建发[2019]92号、浙建建发（2022）37号、浙建建函[2025]320号等文件</w:t>
      </w:r>
      <w:r>
        <w:rPr>
          <w:rFonts w:hint="eastAsia"/>
          <w:color w:val="auto"/>
          <w:highlight w:val="none"/>
        </w:rPr>
        <w:t>及工程所在地现行的有关工程造价方面规定、省市建设主管部门有关工程造价文件及相关的定额解释等。</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1DC8E17B">
      <w:pPr>
        <w:pStyle w:val="9"/>
        <w:numPr>
          <w:ilvl w:val="1"/>
          <w:numId w:val="3"/>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1180FFD6">
      <w:pPr>
        <w:pStyle w:val="9"/>
        <w:numPr>
          <w:ilvl w:val="1"/>
          <w:numId w:val="3"/>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3"/>
    <w:p w14:paraId="2FA79122">
      <w:pPr>
        <w:keepNext/>
        <w:keepLines/>
        <w:numPr>
          <w:ilvl w:val="0"/>
          <w:numId w:val="3"/>
        </w:numPr>
        <w:spacing w:before="360" w:line="288" w:lineRule="auto"/>
        <w:jc w:val="left"/>
        <w:outlineLvl w:val="2"/>
        <w:rPr>
          <w:rFonts w:ascii="黑体" w:hAnsi="宋体" w:eastAsia="黑体"/>
          <w:b/>
          <w:color w:val="auto"/>
          <w:sz w:val="21"/>
          <w:highlight w:val="none"/>
        </w:rPr>
      </w:pPr>
      <w:bookmarkStart w:id="66" w:name="_Toc169487794"/>
      <w:bookmarkStart w:id="67" w:name="_Toc155342547"/>
      <w:r>
        <w:rPr>
          <w:rFonts w:hint="eastAsia" w:ascii="黑体" w:hAnsi="宋体" w:eastAsia="黑体"/>
          <w:b/>
          <w:color w:val="auto"/>
          <w:sz w:val="21"/>
          <w:highlight w:val="none"/>
        </w:rPr>
        <w:t>投标</w:t>
      </w:r>
      <w:bookmarkEnd w:id="58"/>
      <w:r>
        <w:rPr>
          <w:rFonts w:hint="eastAsia" w:ascii="黑体" w:hAnsi="宋体" w:eastAsia="黑体"/>
          <w:b/>
          <w:color w:val="auto"/>
          <w:sz w:val="21"/>
          <w:highlight w:val="none"/>
        </w:rPr>
        <w:t>担保</w:t>
      </w:r>
      <w:bookmarkEnd w:id="66"/>
      <w:bookmarkEnd w:id="67"/>
    </w:p>
    <w:p w14:paraId="08E334F2">
      <w:pPr>
        <w:pStyle w:val="9"/>
        <w:numPr>
          <w:ilvl w:val="1"/>
          <w:numId w:val="3"/>
        </w:numPr>
        <w:ind w:firstLine="420" w:firstLineChars="200"/>
        <w:rPr>
          <w:color w:val="auto"/>
          <w:highlight w:val="none"/>
        </w:rPr>
      </w:pPr>
      <w:r>
        <w:rPr>
          <w:rFonts w:hint="eastAsia"/>
          <w:color w:val="auto"/>
          <w:highlight w:val="none"/>
        </w:rPr>
        <w:t>投标人在递交投标文件的同时，应按投标人须知前附表规定递交担保。</w:t>
      </w:r>
    </w:p>
    <w:p w14:paraId="285D9B86">
      <w:pPr>
        <w:pStyle w:val="9"/>
        <w:numPr>
          <w:ilvl w:val="1"/>
          <w:numId w:val="3"/>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7DBFABF7">
      <w:pPr>
        <w:pStyle w:val="9"/>
        <w:numPr>
          <w:ilvl w:val="1"/>
          <w:numId w:val="3"/>
        </w:numPr>
        <w:ind w:firstLine="420" w:firstLineChars="200"/>
        <w:rPr>
          <w:color w:val="auto"/>
          <w:highlight w:val="none"/>
        </w:rPr>
      </w:pPr>
      <w:r>
        <w:rPr>
          <w:rFonts w:hint="eastAsia"/>
          <w:color w:val="auto"/>
          <w:highlight w:val="none"/>
        </w:rPr>
        <w:t>投标担保按以下方式退还：</w:t>
      </w:r>
    </w:p>
    <w:p w14:paraId="38B0C8EF">
      <w:pPr>
        <w:pStyle w:val="9"/>
        <w:ind w:firstLine="420" w:firstLineChars="200"/>
        <w:rPr>
          <w:color w:val="auto"/>
          <w:highlight w:val="none"/>
        </w:rPr>
      </w:pPr>
      <w:r>
        <w:rPr>
          <w:rFonts w:hint="eastAsia"/>
          <w:color w:val="auto"/>
          <w:highlight w:val="none"/>
        </w:rPr>
        <w:t>（1）未中标人投标保证金在中标公告发布后可退回；</w:t>
      </w:r>
    </w:p>
    <w:p w14:paraId="2C733089">
      <w:pPr>
        <w:pStyle w:val="9"/>
        <w:ind w:firstLine="420" w:firstLineChars="200"/>
        <w:rPr>
          <w:color w:val="auto"/>
          <w:highlight w:val="none"/>
        </w:rPr>
      </w:pPr>
      <w:r>
        <w:rPr>
          <w:rFonts w:hint="eastAsia"/>
          <w:color w:val="auto"/>
          <w:highlight w:val="none"/>
        </w:rPr>
        <w:t>（2）中标人的投标保证金在缴纳履约保证金和签订合同后退回。</w:t>
      </w:r>
    </w:p>
    <w:p w14:paraId="1A46B82C">
      <w:pPr>
        <w:pStyle w:val="9"/>
        <w:numPr>
          <w:ilvl w:val="1"/>
          <w:numId w:val="3"/>
        </w:numPr>
        <w:ind w:firstLine="420" w:firstLineChars="200"/>
        <w:rPr>
          <w:color w:val="auto"/>
          <w:highlight w:val="none"/>
        </w:rPr>
      </w:pPr>
      <w:r>
        <w:rPr>
          <w:rFonts w:hint="eastAsia"/>
          <w:color w:val="auto"/>
          <w:highlight w:val="none"/>
        </w:rPr>
        <w:t>如投标人有下列情况，投标担保将被没收：</w:t>
      </w:r>
    </w:p>
    <w:p w14:paraId="7BC92C07">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27B2C6E0">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13EA1DD9">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38A3F7F2">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4C23A78E">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6D5999DD">
      <w:pPr>
        <w:keepNext/>
        <w:keepLines/>
        <w:numPr>
          <w:ilvl w:val="0"/>
          <w:numId w:val="3"/>
        </w:numPr>
        <w:spacing w:before="360" w:line="288" w:lineRule="auto"/>
        <w:jc w:val="left"/>
        <w:outlineLvl w:val="2"/>
        <w:rPr>
          <w:rFonts w:ascii="黑体" w:hAnsi="宋体" w:eastAsia="黑体"/>
          <w:b/>
          <w:color w:val="auto"/>
          <w:sz w:val="21"/>
          <w:highlight w:val="none"/>
        </w:rPr>
      </w:pPr>
      <w:bookmarkStart w:id="68" w:name="_Toc169487795"/>
      <w:bookmarkStart w:id="69" w:name="_Toc155342548"/>
      <w:bookmarkStart w:id="70" w:name="_Toc500208478"/>
      <w:r>
        <w:rPr>
          <w:rFonts w:hint="eastAsia" w:ascii="黑体" w:hAnsi="宋体" w:eastAsia="黑体"/>
          <w:b/>
          <w:color w:val="auto"/>
          <w:sz w:val="21"/>
          <w:highlight w:val="none"/>
        </w:rPr>
        <w:t>投标有效期</w:t>
      </w:r>
      <w:bookmarkEnd w:id="68"/>
      <w:bookmarkEnd w:id="69"/>
    </w:p>
    <w:p w14:paraId="4996308E">
      <w:pPr>
        <w:pStyle w:val="9"/>
        <w:numPr>
          <w:ilvl w:val="1"/>
          <w:numId w:val="3"/>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37BAD1AF">
      <w:pPr>
        <w:pStyle w:val="9"/>
        <w:numPr>
          <w:ilvl w:val="1"/>
          <w:numId w:val="3"/>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70"/>
    <w:p w14:paraId="74CE3D39">
      <w:pPr>
        <w:keepNext/>
        <w:keepLines/>
        <w:numPr>
          <w:ilvl w:val="0"/>
          <w:numId w:val="3"/>
        </w:numPr>
        <w:spacing w:before="360" w:line="288" w:lineRule="auto"/>
        <w:jc w:val="left"/>
        <w:outlineLvl w:val="2"/>
        <w:rPr>
          <w:rFonts w:ascii="黑体" w:hAnsi="宋体" w:eastAsia="黑体"/>
          <w:b/>
          <w:color w:val="auto"/>
          <w:sz w:val="21"/>
          <w:highlight w:val="none"/>
        </w:rPr>
      </w:pPr>
      <w:bookmarkStart w:id="71" w:name="_Toc155342549"/>
      <w:bookmarkStart w:id="72" w:name="_Toc169487796"/>
      <w:bookmarkStart w:id="73" w:name="_Toc500208479"/>
      <w:r>
        <w:rPr>
          <w:rFonts w:hint="eastAsia" w:ascii="黑体" w:hAnsi="宋体" w:eastAsia="黑体"/>
          <w:b/>
          <w:color w:val="auto"/>
          <w:sz w:val="21"/>
          <w:highlight w:val="none"/>
        </w:rPr>
        <w:t>投标文件的份数和签署</w:t>
      </w:r>
      <w:bookmarkEnd w:id="71"/>
      <w:bookmarkEnd w:id="72"/>
      <w:bookmarkEnd w:id="73"/>
    </w:p>
    <w:p w14:paraId="25CDAD17">
      <w:pPr>
        <w:pStyle w:val="9"/>
        <w:numPr>
          <w:ilvl w:val="1"/>
          <w:numId w:val="3"/>
        </w:numPr>
        <w:ind w:firstLine="420" w:firstLineChars="200"/>
        <w:rPr>
          <w:color w:val="auto"/>
          <w:highlight w:val="none"/>
        </w:rPr>
      </w:pPr>
      <w:r>
        <w:rPr>
          <w:rFonts w:hint="eastAsia"/>
          <w:color w:val="auto"/>
          <w:highlight w:val="none"/>
        </w:rPr>
        <w:t>投标人按本须知前附表第20项规定的份数递交投标文件。</w:t>
      </w:r>
    </w:p>
    <w:p w14:paraId="47543F35">
      <w:pPr>
        <w:pStyle w:val="9"/>
        <w:numPr>
          <w:ilvl w:val="1"/>
          <w:numId w:val="3"/>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投标文件以电子投标文件为准（若由于网络或停电等原因无法打开投标人的电子投标文件时，经市公管办(根据实际定)、市产权交易公司、行政监管机构认定后项目延期评审）。</w:t>
      </w:r>
    </w:p>
    <w:p w14:paraId="32697C27">
      <w:pPr>
        <w:spacing w:before="360" w:afterLines="50" w:line="320" w:lineRule="exact"/>
        <w:ind w:left="2159" w:hanging="1320"/>
        <w:jc w:val="center"/>
        <w:outlineLvl w:val="1"/>
        <w:rPr>
          <w:rFonts w:ascii="Arial" w:hAnsi="Arial" w:eastAsia="黑体" w:cs="Arial"/>
          <w:b/>
          <w:color w:val="auto"/>
          <w:szCs w:val="24"/>
          <w:highlight w:val="none"/>
        </w:rPr>
      </w:pPr>
      <w:bookmarkStart w:id="74" w:name="_Toc21258"/>
      <w:bookmarkStart w:id="75" w:name="_Toc500209417"/>
      <w:bookmarkStart w:id="76" w:name="_Toc500208480"/>
      <w:bookmarkStart w:id="77" w:name="_Toc21898"/>
      <w:r>
        <w:rPr>
          <w:rFonts w:hint="eastAsia" w:ascii="Arial" w:hAnsi="Arial" w:eastAsia="黑体" w:cs="Arial"/>
          <w:b/>
          <w:color w:val="auto"/>
          <w:szCs w:val="24"/>
          <w:highlight w:val="none"/>
        </w:rPr>
        <w:t>第四节  投标文件的递交</w:t>
      </w:r>
      <w:bookmarkEnd w:id="74"/>
      <w:bookmarkEnd w:id="75"/>
      <w:bookmarkEnd w:id="76"/>
      <w:bookmarkEnd w:id="77"/>
    </w:p>
    <w:p w14:paraId="265C9FD7">
      <w:pPr>
        <w:keepNext/>
        <w:keepLines/>
        <w:numPr>
          <w:ilvl w:val="0"/>
          <w:numId w:val="3"/>
        </w:numPr>
        <w:spacing w:before="360" w:line="288" w:lineRule="auto"/>
        <w:jc w:val="left"/>
        <w:outlineLvl w:val="2"/>
        <w:rPr>
          <w:rFonts w:ascii="黑体" w:hAnsi="宋体" w:eastAsia="黑体"/>
          <w:b/>
          <w:color w:val="auto"/>
          <w:sz w:val="21"/>
          <w:highlight w:val="none"/>
        </w:rPr>
      </w:pPr>
      <w:bookmarkStart w:id="78" w:name="_Toc155342552"/>
      <w:bookmarkStart w:id="79" w:name="_Toc169487799"/>
      <w:bookmarkStart w:id="80" w:name="_Toc500208482"/>
      <w:r>
        <w:rPr>
          <w:rFonts w:hint="eastAsia" w:ascii="黑体" w:hAnsi="宋体" w:eastAsia="黑体"/>
          <w:b/>
          <w:color w:val="auto"/>
          <w:sz w:val="21"/>
          <w:highlight w:val="none"/>
        </w:rPr>
        <w:t>投标文件的递交</w:t>
      </w:r>
      <w:bookmarkEnd w:id="78"/>
      <w:bookmarkEnd w:id="79"/>
    </w:p>
    <w:p w14:paraId="17EB618B">
      <w:pPr>
        <w:pStyle w:val="9"/>
        <w:numPr>
          <w:ilvl w:val="1"/>
          <w:numId w:val="3"/>
        </w:numPr>
        <w:ind w:firstLine="420" w:firstLineChars="200"/>
        <w:rPr>
          <w:color w:val="auto"/>
          <w:highlight w:val="none"/>
        </w:rPr>
      </w:pPr>
      <w:r>
        <w:rPr>
          <w:rStyle w:val="28"/>
          <w:rFonts w:hint="eastAsia"/>
          <w:color w:val="auto"/>
          <w:szCs w:val="21"/>
          <w:highlight w:val="none"/>
        </w:rPr>
        <w:t>投标人应按招标文件规定要求上传电子投标文件，未在投标截止时间前完成上传的电子投标文件均作无效处理。</w:t>
      </w:r>
    </w:p>
    <w:p w14:paraId="6C93A539">
      <w:pPr>
        <w:keepNext/>
        <w:keepLines/>
        <w:numPr>
          <w:ilvl w:val="0"/>
          <w:numId w:val="3"/>
        </w:numPr>
        <w:spacing w:before="360" w:line="288" w:lineRule="auto"/>
        <w:jc w:val="left"/>
        <w:outlineLvl w:val="2"/>
        <w:rPr>
          <w:rFonts w:ascii="黑体" w:hAnsi="宋体" w:eastAsia="黑体"/>
          <w:b/>
          <w:color w:val="auto"/>
          <w:sz w:val="21"/>
          <w:highlight w:val="none"/>
        </w:rPr>
      </w:pPr>
      <w:bookmarkStart w:id="81" w:name="_Toc169487800"/>
      <w:bookmarkStart w:id="82" w:name="_Toc155342553"/>
      <w:r>
        <w:rPr>
          <w:rFonts w:hint="eastAsia" w:ascii="黑体" w:hAnsi="宋体" w:eastAsia="黑体"/>
          <w:b/>
          <w:color w:val="auto"/>
          <w:sz w:val="21"/>
          <w:highlight w:val="none"/>
        </w:rPr>
        <w:t>投标截止期</w:t>
      </w:r>
      <w:bookmarkEnd w:id="80"/>
      <w:bookmarkEnd w:id="81"/>
      <w:bookmarkEnd w:id="82"/>
    </w:p>
    <w:p w14:paraId="34E6AF6C">
      <w:pPr>
        <w:pStyle w:val="9"/>
        <w:numPr>
          <w:ilvl w:val="1"/>
          <w:numId w:val="3"/>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175BE23F">
      <w:pPr>
        <w:pStyle w:val="9"/>
        <w:numPr>
          <w:ilvl w:val="1"/>
          <w:numId w:val="3"/>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6308C040">
      <w:pPr>
        <w:pStyle w:val="9"/>
        <w:numPr>
          <w:ilvl w:val="1"/>
          <w:numId w:val="3"/>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7C134A8E">
      <w:pPr>
        <w:spacing w:before="360" w:afterLines="50" w:line="320" w:lineRule="exact"/>
        <w:ind w:left="2159" w:hanging="1320"/>
        <w:jc w:val="center"/>
        <w:outlineLvl w:val="1"/>
        <w:rPr>
          <w:rFonts w:ascii="Arial" w:hAnsi="Arial" w:eastAsia="黑体" w:cs="Arial"/>
          <w:b/>
          <w:color w:val="auto"/>
          <w:szCs w:val="24"/>
          <w:highlight w:val="none"/>
        </w:rPr>
      </w:pPr>
      <w:bookmarkStart w:id="83" w:name="_Toc15794"/>
      <w:bookmarkStart w:id="84" w:name="_Toc9012"/>
      <w:bookmarkStart w:id="85" w:name="_Toc500208484"/>
      <w:bookmarkStart w:id="86" w:name="_Toc500209418"/>
      <w:r>
        <w:rPr>
          <w:rFonts w:hint="eastAsia" w:ascii="Arial" w:hAnsi="Arial" w:eastAsia="黑体" w:cs="Arial"/>
          <w:b/>
          <w:color w:val="auto"/>
          <w:szCs w:val="24"/>
          <w:highlight w:val="none"/>
        </w:rPr>
        <w:t>第五节  开   标</w:t>
      </w:r>
      <w:bookmarkEnd w:id="83"/>
      <w:bookmarkEnd w:id="84"/>
      <w:bookmarkEnd w:id="85"/>
      <w:bookmarkEnd w:id="86"/>
    </w:p>
    <w:p w14:paraId="30F193DF">
      <w:pPr>
        <w:keepNext/>
        <w:keepLines/>
        <w:numPr>
          <w:ilvl w:val="0"/>
          <w:numId w:val="3"/>
        </w:numPr>
        <w:spacing w:before="360" w:line="288" w:lineRule="auto"/>
        <w:jc w:val="left"/>
        <w:outlineLvl w:val="2"/>
        <w:rPr>
          <w:rFonts w:ascii="黑体" w:hAnsi="宋体" w:eastAsia="黑体"/>
          <w:b/>
          <w:color w:val="auto"/>
          <w:sz w:val="21"/>
          <w:highlight w:val="none"/>
        </w:rPr>
      </w:pPr>
      <w:bookmarkStart w:id="87" w:name="_Toc500208485"/>
      <w:bookmarkStart w:id="88" w:name="_Toc155342556"/>
      <w:bookmarkStart w:id="89" w:name="_Toc169487803"/>
      <w:r>
        <w:rPr>
          <w:rFonts w:hint="eastAsia" w:ascii="黑体" w:hAnsi="宋体" w:eastAsia="黑体"/>
          <w:b/>
          <w:color w:val="auto"/>
          <w:sz w:val="21"/>
          <w:highlight w:val="none"/>
        </w:rPr>
        <w:t>开标</w:t>
      </w:r>
      <w:bookmarkEnd w:id="87"/>
      <w:bookmarkEnd w:id="88"/>
      <w:bookmarkEnd w:id="89"/>
    </w:p>
    <w:p w14:paraId="6D5C50EE">
      <w:pPr>
        <w:pStyle w:val="9"/>
        <w:numPr>
          <w:ilvl w:val="1"/>
          <w:numId w:val="3"/>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1136FC42">
      <w:pPr>
        <w:pStyle w:val="9"/>
        <w:numPr>
          <w:ilvl w:val="1"/>
          <w:numId w:val="3"/>
        </w:numPr>
        <w:ind w:firstLine="420" w:firstLineChars="200"/>
        <w:rPr>
          <w:color w:val="auto"/>
          <w:highlight w:val="none"/>
        </w:rPr>
      </w:pPr>
      <w:r>
        <w:rPr>
          <w:rFonts w:hint="eastAsia"/>
          <w:color w:val="auto"/>
          <w:highlight w:val="none"/>
        </w:rPr>
        <w:t>开标会议由招标人组织并主持。</w:t>
      </w:r>
    </w:p>
    <w:p w14:paraId="425AF9C4">
      <w:pPr>
        <w:pStyle w:val="9"/>
        <w:numPr>
          <w:ilvl w:val="1"/>
          <w:numId w:val="3"/>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063C926B">
      <w:pPr>
        <w:keepNext/>
        <w:keepLines/>
        <w:numPr>
          <w:ilvl w:val="0"/>
          <w:numId w:val="3"/>
        </w:numPr>
        <w:spacing w:before="360" w:line="288" w:lineRule="auto"/>
        <w:jc w:val="left"/>
        <w:outlineLvl w:val="2"/>
        <w:rPr>
          <w:rFonts w:ascii="黑体" w:hAnsi="宋体" w:eastAsia="黑体"/>
          <w:b/>
          <w:color w:val="auto"/>
          <w:sz w:val="21"/>
          <w:highlight w:val="none"/>
        </w:rPr>
      </w:pPr>
      <w:bookmarkStart w:id="90" w:name="_Toc155342557"/>
      <w:bookmarkStart w:id="91" w:name="_Toc169487804"/>
      <w:r>
        <w:rPr>
          <w:rFonts w:hint="eastAsia" w:ascii="黑体" w:hAnsi="宋体" w:eastAsia="黑体"/>
          <w:b/>
          <w:color w:val="auto"/>
          <w:sz w:val="21"/>
          <w:highlight w:val="none"/>
        </w:rPr>
        <w:t>投标文件公布</w:t>
      </w:r>
      <w:bookmarkEnd w:id="90"/>
      <w:bookmarkEnd w:id="91"/>
    </w:p>
    <w:p w14:paraId="29868A18">
      <w:pPr>
        <w:pStyle w:val="9"/>
        <w:numPr>
          <w:ilvl w:val="1"/>
          <w:numId w:val="3"/>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494EDFCD">
      <w:pPr>
        <w:spacing w:before="360" w:afterLines="50" w:line="320" w:lineRule="exact"/>
        <w:ind w:left="2159" w:hanging="1320"/>
        <w:jc w:val="center"/>
        <w:outlineLvl w:val="1"/>
        <w:rPr>
          <w:rFonts w:ascii="Arial" w:hAnsi="Arial" w:eastAsia="黑体" w:cs="Arial"/>
          <w:b/>
          <w:color w:val="auto"/>
          <w:szCs w:val="24"/>
          <w:highlight w:val="none"/>
        </w:rPr>
      </w:pPr>
      <w:bookmarkStart w:id="92" w:name="_Toc31728"/>
      <w:bookmarkStart w:id="93" w:name="_Toc500208488"/>
      <w:bookmarkStart w:id="94" w:name="_Toc500209419"/>
      <w:bookmarkStart w:id="95" w:name="_Toc15849"/>
      <w:bookmarkStart w:id="96" w:name="_Toc500208495"/>
      <w:bookmarkStart w:id="97" w:name="_Toc500209420"/>
      <w:r>
        <w:rPr>
          <w:rFonts w:hint="eastAsia" w:ascii="Arial" w:hAnsi="Arial" w:eastAsia="黑体" w:cs="Arial"/>
          <w:b/>
          <w:color w:val="auto"/>
          <w:szCs w:val="24"/>
          <w:highlight w:val="none"/>
        </w:rPr>
        <w:t>第六节  评   标</w:t>
      </w:r>
      <w:bookmarkEnd w:id="92"/>
      <w:bookmarkEnd w:id="93"/>
      <w:bookmarkEnd w:id="94"/>
      <w:bookmarkEnd w:id="95"/>
    </w:p>
    <w:p w14:paraId="082127C9">
      <w:pPr>
        <w:keepNext/>
        <w:keepLines/>
        <w:numPr>
          <w:ilvl w:val="0"/>
          <w:numId w:val="3"/>
        </w:numPr>
        <w:spacing w:before="360" w:line="288" w:lineRule="auto"/>
        <w:jc w:val="left"/>
        <w:outlineLvl w:val="2"/>
        <w:rPr>
          <w:rFonts w:ascii="黑体" w:hAnsi="宋体" w:eastAsia="黑体"/>
          <w:b/>
          <w:color w:val="auto"/>
          <w:sz w:val="21"/>
          <w:highlight w:val="none"/>
        </w:rPr>
      </w:pPr>
      <w:bookmarkStart w:id="98" w:name="_Toc500208489"/>
      <w:bookmarkStart w:id="99" w:name="_Toc169487806"/>
      <w:bookmarkStart w:id="100" w:name="_Toc155342559"/>
      <w:r>
        <w:rPr>
          <w:rFonts w:hint="eastAsia" w:ascii="黑体" w:hAnsi="宋体" w:eastAsia="黑体"/>
          <w:b/>
          <w:color w:val="auto"/>
          <w:sz w:val="21"/>
          <w:highlight w:val="none"/>
        </w:rPr>
        <w:t>评标会议</w:t>
      </w:r>
      <w:bookmarkEnd w:id="98"/>
      <w:bookmarkEnd w:id="99"/>
      <w:bookmarkEnd w:id="100"/>
    </w:p>
    <w:p w14:paraId="4EBA5426">
      <w:pPr>
        <w:pStyle w:val="9"/>
        <w:numPr>
          <w:ilvl w:val="1"/>
          <w:numId w:val="3"/>
        </w:numPr>
        <w:ind w:firstLine="420" w:firstLineChars="200"/>
        <w:rPr>
          <w:color w:val="auto"/>
          <w:highlight w:val="none"/>
        </w:rPr>
      </w:pPr>
      <w:r>
        <w:rPr>
          <w:color w:val="auto"/>
          <w:highlight w:val="none"/>
        </w:rPr>
        <w:t>评标委员会由招标人依法组建，负责评标活动。</w:t>
      </w:r>
    </w:p>
    <w:p w14:paraId="36E8FDBA">
      <w:pPr>
        <w:pStyle w:val="9"/>
        <w:numPr>
          <w:ilvl w:val="1"/>
          <w:numId w:val="3"/>
        </w:numPr>
        <w:ind w:firstLine="420" w:firstLineChars="200"/>
        <w:rPr>
          <w:color w:val="auto"/>
          <w:highlight w:val="none"/>
        </w:rPr>
      </w:pPr>
      <w:r>
        <w:rPr>
          <w:color w:val="auto"/>
          <w:highlight w:val="none"/>
        </w:rPr>
        <w:t>开标结束后，开始评标，评标采用保密方式进行。</w:t>
      </w:r>
    </w:p>
    <w:p w14:paraId="648B050B">
      <w:pPr>
        <w:pStyle w:val="9"/>
        <w:numPr>
          <w:ilvl w:val="1"/>
          <w:numId w:val="3"/>
        </w:numPr>
        <w:ind w:firstLine="420" w:firstLineChars="200"/>
        <w:rPr>
          <w:color w:val="auto"/>
          <w:highlight w:val="none"/>
        </w:rPr>
      </w:pPr>
      <w:r>
        <w:rPr>
          <w:rFonts w:hint="eastAsia"/>
          <w:color w:val="auto"/>
          <w:highlight w:val="none"/>
        </w:rPr>
        <w:t>评标委员会在评标前须签订《临海市建设工程公正评标承诺书》。</w:t>
      </w:r>
    </w:p>
    <w:p w14:paraId="0B863261">
      <w:pPr>
        <w:keepNext/>
        <w:keepLines/>
        <w:numPr>
          <w:ilvl w:val="0"/>
          <w:numId w:val="3"/>
        </w:numPr>
        <w:spacing w:before="360" w:line="288" w:lineRule="auto"/>
        <w:jc w:val="left"/>
        <w:outlineLvl w:val="2"/>
        <w:rPr>
          <w:rFonts w:ascii="黑体" w:hAnsi="宋体" w:eastAsia="黑体"/>
          <w:b/>
          <w:color w:val="auto"/>
          <w:sz w:val="21"/>
          <w:highlight w:val="none"/>
        </w:rPr>
      </w:pPr>
      <w:bookmarkStart w:id="101" w:name="_Toc155342560"/>
      <w:bookmarkStart w:id="102" w:name="_Toc169487807"/>
      <w:r>
        <w:rPr>
          <w:rFonts w:hint="eastAsia" w:ascii="黑体" w:hAnsi="宋体" w:eastAsia="黑体"/>
          <w:b/>
          <w:color w:val="auto"/>
          <w:sz w:val="21"/>
          <w:highlight w:val="none"/>
        </w:rPr>
        <w:t>评标过程的保密</w:t>
      </w:r>
      <w:bookmarkEnd w:id="101"/>
      <w:bookmarkEnd w:id="102"/>
    </w:p>
    <w:p w14:paraId="51100E3A">
      <w:pPr>
        <w:pStyle w:val="9"/>
        <w:numPr>
          <w:ilvl w:val="1"/>
          <w:numId w:val="3"/>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1348C6EC">
      <w:pPr>
        <w:pStyle w:val="9"/>
        <w:numPr>
          <w:ilvl w:val="1"/>
          <w:numId w:val="3"/>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0FFE7908">
      <w:pPr>
        <w:pStyle w:val="9"/>
        <w:numPr>
          <w:ilvl w:val="1"/>
          <w:numId w:val="3"/>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27D53638">
      <w:pPr>
        <w:keepNext/>
        <w:keepLines/>
        <w:numPr>
          <w:ilvl w:val="0"/>
          <w:numId w:val="3"/>
        </w:numPr>
        <w:spacing w:before="360" w:line="288" w:lineRule="auto"/>
        <w:jc w:val="left"/>
        <w:outlineLvl w:val="2"/>
        <w:rPr>
          <w:rFonts w:ascii="黑体" w:hAnsi="宋体" w:eastAsia="黑体"/>
          <w:b/>
          <w:color w:val="auto"/>
          <w:sz w:val="21"/>
          <w:highlight w:val="none"/>
        </w:rPr>
      </w:pPr>
      <w:bookmarkStart w:id="103" w:name="_Toc169487808"/>
      <w:bookmarkStart w:id="104" w:name="_Toc155342561"/>
      <w:r>
        <w:rPr>
          <w:rFonts w:hint="eastAsia" w:ascii="黑体" w:hAnsi="宋体" w:eastAsia="黑体"/>
          <w:b/>
          <w:color w:val="auto"/>
          <w:sz w:val="21"/>
          <w:highlight w:val="none"/>
        </w:rPr>
        <w:t>投标文件符合性鉴定</w:t>
      </w:r>
      <w:bookmarkEnd w:id="103"/>
      <w:bookmarkEnd w:id="104"/>
    </w:p>
    <w:p w14:paraId="1394FC88">
      <w:pPr>
        <w:pStyle w:val="9"/>
        <w:numPr>
          <w:ilvl w:val="1"/>
          <w:numId w:val="3"/>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7DC45571">
      <w:pPr>
        <w:pStyle w:val="9"/>
        <w:numPr>
          <w:ilvl w:val="1"/>
          <w:numId w:val="3"/>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2352154D">
      <w:pPr>
        <w:keepNext/>
        <w:keepLines/>
        <w:numPr>
          <w:ilvl w:val="0"/>
          <w:numId w:val="3"/>
        </w:numPr>
        <w:spacing w:before="360" w:line="288" w:lineRule="auto"/>
        <w:jc w:val="left"/>
        <w:outlineLvl w:val="2"/>
        <w:rPr>
          <w:rFonts w:ascii="黑体" w:hAnsi="宋体" w:eastAsia="黑体"/>
          <w:b/>
          <w:color w:val="auto"/>
          <w:sz w:val="21"/>
          <w:highlight w:val="none"/>
        </w:rPr>
      </w:pPr>
      <w:bookmarkStart w:id="105" w:name="_Toc169487809"/>
      <w:bookmarkStart w:id="106" w:name="_Toc155342562"/>
      <w:r>
        <w:rPr>
          <w:rFonts w:hint="eastAsia" w:ascii="黑体" w:hAnsi="宋体" w:eastAsia="黑体"/>
          <w:b/>
          <w:color w:val="auto"/>
          <w:sz w:val="21"/>
          <w:highlight w:val="none"/>
        </w:rPr>
        <w:t>投标文件的澄清</w:t>
      </w:r>
      <w:bookmarkEnd w:id="105"/>
      <w:bookmarkEnd w:id="106"/>
    </w:p>
    <w:p w14:paraId="5F594C30">
      <w:pPr>
        <w:pStyle w:val="9"/>
        <w:numPr>
          <w:ilvl w:val="1"/>
          <w:numId w:val="3"/>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1F888415">
      <w:pPr>
        <w:pStyle w:val="9"/>
        <w:numPr>
          <w:ilvl w:val="1"/>
          <w:numId w:val="3"/>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3D633C8C">
      <w:pPr>
        <w:keepNext/>
        <w:keepLines/>
        <w:numPr>
          <w:ilvl w:val="0"/>
          <w:numId w:val="3"/>
        </w:numPr>
        <w:spacing w:before="360" w:line="288" w:lineRule="auto"/>
        <w:jc w:val="left"/>
        <w:outlineLvl w:val="2"/>
        <w:rPr>
          <w:rFonts w:ascii="黑体" w:hAnsi="宋体" w:eastAsia="黑体"/>
          <w:b/>
          <w:color w:val="auto"/>
          <w:sz w:val="21"/>
          <w:highlight w:val="none"/>
        </w:rPr>
      </w:pPr>
      <w:bookmarkStart w:id="107" w:name="_Toc155342563"/>
      <w:bookmarkStart w:id="108" w:name="_Toc169487810"/>
      <w:r>
        <w:rPr>
          <w:rFonts w:hint="eastAsia" w:ascii="黑体" w:hAnsi="宋体" w:eastAsia="黑体"/>
          <w:b/>
          <w:color w:val="auto"/>
          <w:sz w:val="21"/>
          <w:highlight w:val="none"/>
        </w:rPr>
        <w:t>投标文件的评审</w:t>
      </w:r>
      <w:bookmarkEnd w:id="107"/>
      <w:bookmarkEnd w:id="108"/>
    </w:p>
    <w:p w14:paraId="19D54DF8">
      <w:pPr>
        <w:pStyle w:val="9"/>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F36D24C">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21017377">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109EACC5">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6F3525F0">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14628DA3">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777B988F">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0E101AAD">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70F5F9C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311A80E6">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502DAA12">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18E204C6">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44DD0C2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15BA24AD">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36338590">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6D72185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（1）投标承诺的总报价、工期、质量、投标资格等不符合招标文件前附表要求的；</w:t>
      </w:r>
    </w:p>
    <w:p w14:paraId="1F359805">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（2）招标文件报价要求中规定作无效标的；</w:t>
      </w:r>
    </w:p>
    <w:p w14:paraId="3B4776A2">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（3）违反招标文件其他实质性条款规定的。</w:t>
      </w:r>
    </w:p>
    <w:p w14:paraId="7B98D2B4">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77F892CF">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（1）经商务标修正后，属招标文件报价要求或商务标的修正中规定作无效标处理的；</w:t>
      </w:r>
    </w:p>
    <w:p w14:paraId="2D59B7F1">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（2）招标文件中其他内容明确规定作无效标的。</w:t>
      </w:r>
    </w:p>
    <w:p w14:paraId="2E90A6B7">
      <w:pPr>
        <w:pStyle w:val="9"/>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0F650A88">
      <w:pPr>
        <w:keepNext/>
        <w:keepLines/>
        <w:numPr>
          <w:ilvl w:val="0"/>
          <w:numId w:val="3"/>
        </w:numPr>
        <w:spacing w:before="360" w:line="288" w:lineRule="auto"/>
        <w:jc w:val="left"/>
        <w:outlineLvl w:val="2"/>
        <w:rPr>
          <w:rFonts w:ascii="黑体" w:hAnsi="宋体" w:eastAsia="黑体"/>
          <w:b/>
          <w:color w:val="auto"/>
          <w:sz w:val="21"/>
          <w:highlight w:val="none"/>
        </w:rPr>
      </w:pPr>
      <w:bookmarkStart w:id="109" w:name="_Toc155342564"/>
      <w:bookmarkStart w:id="110" w:name="_Toc169487811"/>
      <w:r>
        <w:rPr>
          <w:rFonts w:hint="eastAsia" w:ascii="黑体" w:hAnsi="宋体" w:eastAsia="黑体"/>
          <w:b/>
          <w:color w:val="auto"/>
          <w:sz w:val="21"/>
          <w:highlight w:val="none"/>
        </w:rPr>
        <w:t>商务标的修正</w:t>
      </w:r>
      <w:bookmarkEnd w:id="109"/>
      <w:bookmarkEnd w:id="110"/>
    </w:p>
    <w:p w14:paraId="5428BA8C">
      <w:pPr>
        <w:pStyle w:val="9"/>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29E8A030">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72F8D599">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6F87E01C">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3225324A">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3FC585F1">
      <w:pPr>
        <w:keepNext/>
        <w:keepLines/>
        <w:numPr>
          <w:ilvl w:val="0"/>
          <w:numId w:val="3"/>
        </w:numPr>
        <w:spacing w:before="360" w:line="288" w:lineRule="auto"/>
        <w:jc w:val="left"/>
        <w:outlineLvl w:val="2"/>
        <w:rPr>
          <w:rFonts w:ascii="黑体" w:hAnsi="宋体" w:eastAsia="黑体"/>
          <w:b/>
          <w:color w:val="auto"/>
          <w:sz w:val="21"/>
          <w:highlight w:val="none"/>
        </w:rPr>
      </w:pPr>
      <w:bookmarkStart w:id="111" w:name="_Toc169487812"/>
      <w:bookmarkStart w:id="112" w:name="_Toc155342565"/>
      <w:r>
        <w:rPr>
          <w:rFonts w:hint="eastAsia" w:ascii="黑体" w:hAnsi="宋体" w:eastAsia="黑体"/>
          <w:b/>
          <w:color w:val="auto"/>
          <w:sz w:val="21"/>
          <w:highlight w:val="none"/>
        </w:rPr>
        <w:t>评标办法</w:t>
      </w:r>
      <w:bookmarkEnd w:id="111"/>
      <w:bookmarkEnd w:id="112"/>
    </w:p>
    <w:p w14:paraId="1C8032C1">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2471B3E2">
      <w:pPr>
        <w:spacing w:before="360" w:afterLines="50" w:line="320" w:lineRule="exact"/>
        <w:ind w:left="2159" w:hanging="1320"/>
        <w:jc w:val="center"/>
        <w:outlineLvl w:val="1"/>
        <w:rPr>
          <w:rFonts w:ascii="Arial" w:hAnsi="Arial" w:eastAsia="黑体" w:cs="Arial"/>
          <w:b/>
          <w:color w:val="auto"/>
          <w:szCs w:val="24"/>
          <w:highlight w:val="none"/>
        </w:rPr>
      </w:pPr>
      <w:bookmarkStart w:id="113" w:name="_Toc1799"/>
      <w:bookmarkStart w:id="114" w:name="_Toc15646"/>
      <w:r>
        <w:rPr>
          <w:rFonts w:hint="eastAsia" w:ascii="Arial" w:hAnsi="Arial" w:eastAsia="黑体" w:cs="Arial"/>
          <w:b/>
          <w:color w:val="auto"/>
          <w:szCs w:val="24"/>
          <w:highlight w:val="none"/>
        </w:rPr>
        <w:t>第七节  授予合同</w:t>
      </w:r>
      <w:bookmarkEnd w:id="96"/>
      <w:bookmarkEnd w:id="97"/>
      <w:bookmarkEnd w:id="113"/>
      <w:bookmarkEnd w:id="114"/>
    </w:p>
    <w:p w14:paraId="7678F88D">
      <w:pPr>
        <w:keepNext/>
        <w:keepLines/>
        <w:numPr>
          <w:ilvl w:val="0"/>
          <w:numId w:val="3"/>
        </w:numPr>
        <w:spacing w:before="360" w:line="288" w:lineRule="auto"/>
        <w:jc w:val="left"/>
        <w:outlineLvl w:val="2"/>
        <w:rPr>
          <w:rFonts w:ascii="黑体" w:hAnsi="宋体" w:eastAsia="黑体"/>
          <w:b/>
          <w:color w:val="auto"/>
          <w:sz w:val="21"/>
          <w:highlight w:val="none"/>
        </w:rPr>
      </w:pPr>
      <w:bookmarkStart w:id="115" w:name="_Toc169487814"/>
      <w:bookmarkStart w:id="116" w:name="_Toc155342567"/>
      <w:bookmarkStart w:id="117" w:name="_Toc500208496"/>
      <w:r>
        <w:rPr>
          <w:rFonts w:hint="eastAsia" w:ascii="黑体" w:hAnsi="宋体" w:eastAsia="黑体"/>
          <w:b/>
          <w:color w:val="auto"/>
          <w:sz w:val="21"/>
          <w:highlight w:val="none"/>
        </w:rPr>
        <w:t>中标候选人公示</w:t>
      </w:r>
      <w:bookmarkEnd w:id="115"/>
      <w:bookmarkEnd w:id="116"/>
    </w:p>
    <w:p w14:paraId="1013329B">
      <w:pPr>
        <w:pStyle w:val="9"/>
        <w:numPr>
          <w:ilvl w:val="1"/>
          <w:numId w:val="3"/>
        </w:numPr>
        <w:ind w:firstLine="420" w:firstLineChars="200"/>
        <w:rPr>
          <w:color w:val="auto"/>
          <w:highlight w:val="none"/>
        </w:rPr>
      </w:pPr>
      <w:bookmarkStart w:id="118" w:name="_Toc169487815"/>
      <w:bookmarkStart w:id="119" w:name="_Toc155342568"/>
      <w:r>
        <w:rPr>
          <w:rFonts w:hint="eastAsia"/>
          <w:color w:val="auto"/>
          <w:highlight w:val="none"/>
        </w:rPr>
        <w:t>招标人应当将评标委员会推荐的中标候选人在交易场所（发布招标公告的媒体上）进行公示，公示期不得少于1个工作日。</w:t>
      </w:r>
    </w:p>
    <w:p w14:paraId="2DCCDB3C">
      <w:pPr>
        <w:pStyle w:val="9"/>
        <w:numPr>
          <w:ilvl w:val="1"/>
          <w:numId w:val="3"/>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D88FA7D">
      <w:pPr>
        <w:pStyle w:val="9"/>
        <w:numPr>
          <w:ilvl w:val="1"/>
          <w:numId w:val="3"/>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79870052">
      <w:pPr>
        <w:pStyle w:val="9"/>
        <w:numPr>
          <w:ilvl w:val="1"/>
          <w:numId w:val="3"/>
        </w:numPr>
        <w:ind w:firstLine="420" w:firstLineChars="200"/>
        <w:rPr>
          <w:color w:val="auto"/>
          <w:highlight w:val="none"/>
        </w:rPr>
      </w:pPr>
      <w:r>
        <w:rPr>
          <w:rFonts w:hint="eastAsia"/>
          <w:color w:val="auto"/>
          <w:highlight w:val="none"/>
        </w:rPr>
        <w:t>中标候选人有以下情形之一的，其资格无效：</w:t>
      </w:r>
    </w:p>
    <w:p w14:paraId="006B603C">
      <w:pPr>
        <w:numPr>
          <w:ilvl w:val="0"/>
          <w:numId w:val="4"/>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20337169">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32519E6A">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60F6F7CB">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69BA7603">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7"/>
    <w:bookmarkEnd w:id="118"/>
    <w:bookmarkEnd w:id="119"/>
    <w:p w14:paraId="39EDFECB">
      <w:pPr>
        <w:keepNext/>
        <w:keepLines/>
        <w:numPr>
          <w:ilvl w:val="0"/>
          <w:numId w:val="3"/>
        </w:numPr>
        <w:spacing w:before="360" w:line="288" w:lineRule="auto"/>
        <w:jc w:val="left"/>
        <w:outlineLvl w:val="2"/>
        <w:rPr>
          <w:rFonts w:ascii="黑体" w:hAnsi="宋体" w:eastAsia="黑体"/>
          <w:b/>
          <w:color w:val="auto"/>
          <w:sz w:val="21"/>
          <w:highlight w:val="none"/>
        </w:rPr>
      </w:pPr>
      <w:bookmarkStart w:id="120" w:name="_Toc169487816"/>
      <w:bookmarkStart w:id="121" w:name="_Toc500208498"/>
      <w:r>
        <w:rPr>
          <w:rFonts w:hint="eastAsia" w:ascii="黑体" w:hAnsi="宋体" w:eastAsia="黑体"/>
          <w:b/>
          <w:color w:val="auto"/>
          <w:sz w:val="21"/>
          <w:highlight w:val="none"/>
        </w:rPr>
        <w:t>中标通知书</w:t>
      </w:r>
      <w:bookmarkEnd w:id="120"/>
    </w:p>
    <w:p w14:paraId="0BE578B6">
      <w:pPr>
        <w:pStyle w:val="9"/>
        <w:numPr>
          <w:ilvl w:val="1"/>
          <w:numId w:val="3"/>
        </w:numPr>
        <w:ind w:firstLine="420" w:firstLineChars="200"/>
        <w:rPr>
          <w:b/>
          <w:color w:val="auto"/>
          <w:highlight w:val="none"/>
        </w:rPr>
      </w:pPr>
      <w:bookmarkStart w:id="122" w:name="_Toc155342569"/>
      <w:bookmarkStart w:id="123" w:name="_Toc169487817"/>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657895D3">
      <w:pPr>
        <w:pStyle w:val="9"/>
        <w:numPr>
          <w:ilvl w:val="1"/>
          <w:numId w:val="3"/>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364D4ADF">
      <w:pPr>
        <w:pStyle w:val="9"/>
        <w:numPr>
          <w:ilvl w:val="1"/>
          <w:numId w:val="3"/>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480460A2">
      <w:pPr>
        <w:pStyle w:val="9"/>
        <w:numPr>
          <w:ilvl w:val="1"/>
          <w:numId w:val="3"/>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19FC0BE0">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2"/>
      <w:bookmarkEnd w:id="123"/>
    </w:p>
    <w:p w14:paraId="53BB1ABC">
      <w:pPr>
        <w:pStyle w:val="9"/>
        <w:numPr>
          <w:ilvl w:val="1"/>
          <w:numId w:val="3"/>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7756C723">
      <w:pPr>
        <w:pStyle w:val="9"/>
        <w:numPr>
          <w:ilvl w:val="1"/>
          <w:numId w:val="3"/>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1C5C0ADB">
      <w:pPr>
        <w:pStyle w:val="9"/>
        <w:numPr>
          <w:ilvl w:val="1"/>
          <w:numId w:val="3"/>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p w14:paraId="440DC36E">
      <w:pPr>
        <w:pStyle w:val="9"/>
        <w:numPr>
          <w:ilvl w:val="1"/>
          <w:numId w:val="3"/>
        </w:numPr>
        <w:ind w:firstLine="420" w:firstLineChars="200"/>
        <w:rPr>
          <w:color w:val="auto"/>
          <w:highlight w:val="none"/>
        </w:rPr>
      </w:pP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bookmarkEnd w:id="121"/>
    </w:p>
    <w:bookmarkEnd w:id="4"/>
    <w:bookmarkEnd w:id="5"/>
    <w:bookmarkEnd w:id="6"/>
    <w:bookmarkEnd w:id="7"/>
    <w:p w14:paraId="55392AC2">
      <w:pPr>
        <w:pStyle w:val="2"/>
        <w:spacing w:line="288" w:lineRule="auto"/>
        <w:ind w:left="300"/>
        <w:rPr>
          <w:rFonts w:ascii="宋体" w:eastAsia="宋体"/>
          <w:b w:val="0"/>
          <w:bCs/>
          <w:color w:val="auto"/>
          <w:sz w:val="44"/>
          <w:highlight w:val="none"/>
        </w:rPr>
      </w:pPr>
      <w:bookmarkStart w:id="124" w:name="_Toc386121568"/>
      <w:bookmarkStart w:id="125" w:name="_Toc169487823"/>
      <w:bookmarkStart w:id="126" w:name="_Toc511741120"/>
      <w:bookmarkStart w:id="127" w:name="_Toc386121757"/>
    </w:p>
    <w:p w14:paraId="7AABCB87">
      <w:pPr>
        <w:rPr>
          <w:rFonts w:ascii="宋体" w:eastAsia="宋体"/>
          <w:bCs/>
          <w:color w:val="auto"/>
          <w:sz w:val="44"/>
          <w:highlight w:val="none"/>
        </w:rPr>
      </w:pPr>
    </w:p>
    <w:p w14:paraId="43F95311">
      <w:pPr>
        <w:rPr>
          <w:rFonts w:ascii="宋体" w:eastAsia="宋体"/>
          <w:bCs/>
          <w:color w:val="auto"/>
          <w:sz w:val="44"/>
          <w:highlight w:val="none"/>
        </w:rPr>
      </w:pPr>
    </w:p>
    <w:p w14:paraId="42CD4491">
      <w:pPr>
        <w:pStyle w:val="2"/>
        <w:bidi w:val="0"/>
        <w:rPr>
          <w:b/>
          <w:color w:val="auto"/>
          <w:highlight w:val="none"/>
        </w:rPr>
      </w:pPr>
      <w:bookmarkStart w:id="128" w:name="_Toc20217"/>
      <w:bookmarkStart w:id="129" w:name="_Toc484683196"/>
      <w:bookmarkStart w:id="130" w:name="_第二章  评标办法"/>
      <w:bookmarkStart w:id="131" w:name="_Toc561"/>
      <w:r>
        <w:rPr>
          <w:rFonts w:hint="eastAsia"/>
          <w:color w:val="auto"/>
          <w:highlight w:val="none"/>
        </w:rPr>
        <w:t>第二章  评标办法</w:t>
      </w:r>
      <w:bookmarkEnd w:id="128"/>
      <w:bookmarkEnd w:id="129"/>
    </w:p>
    <w:bookmarkEnd w:id="130"/>
    <w:p w14:paraId="77A95A1D">
      <w:pPr>
        <w:spacing w:line="720" w:lineRule="exact"/>
        <w:jc w:val="center"/>
        <w:rPr>
          <w:rFonts w:ascii="方正小标宋简体" w:hAnsi="方正小标宋简体" w:eastAsia="方正小标宋简体" w:cs="方正小标宋简体"/>
          <w:color w:val="auto"/>
          <w:sz w:val="38"/>
          <w:szCs w:val="38"/>
          <w:highlight w:val="none"/>
        </w:rPr>
      </w:pPr>
      <w:r>
        <w:rPr>
          <w:rFonts w:hint="eastAsia" w:ascii="方正小标宋简体" w:hAnsi="方正小标宋简体" w:eastAsia="方正小标宋简体" w:cs="方正小标宋简体"/>
          <w:color w:val="auto"/>
          <w:sz w:val="38"/>
          <w:szCs w:val="38"/>
          <w:highlight w:val="none"/>
        </w:rPr>
        <w:t>临海市限额以下公共资源交易工程建设项目</w:t>
      </w:r>
    </w:p>
    <w:p w14:paraId="40DDF050">
      <w:pPr>
        <w:spacing w:line="720" w:lineRule="exact"/>
        <w:jc w:val="center"/>
        <w:rPr>
          <w:rFonts w:eastAsia="黑体"/>
          <w:color w:val="auto"/>
          <w:kern w:val="0"/>
          <w:szCs w:val="32"/>
          <w:highlight w:val="none"/>
        </w:rPr>
      </w:pPr>
      <w:r>
        <w:rPr>
          <w:rFonts w:ascii="方正小标宋简体" w:hAnsi="方正小标宋简体" w:eastAsia="方正小标宋简体" w:cs="方正小标宋简体"/>
          <w:color w:val="auto"/>
          <w:sz w:val="38"/>
          <w:szCs w:val="38"/>
          <w:highlight w:val="none"/>
        </w:rPr>
        <w:t>房建市政项目</w:t>
      </w:r>
      <w:r>
        <w:rPr>
          <w:rFonts w:hint="eastAsia" w:ascii="方正小标宋简体" w:hAnsi="方正小标宋简体" w:eastAsia="方正小标宋简体" w:cs="方正小标宋简体"/>
          <w:color w:val="auto"/>
          <w:sz w:val="38"/>
          <w:szCs w:val="38"/>
          <w:highlight w:val="none"/>
        </w:rPr>
        <w:t>评标办法</w:t>
      </w:r>
    </w:p>
    <w:p w14:paraId="0284F0D3">
      <w:pPr>
        <w:pStyle w:val="39"/>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评标顺序</w:t>
      </w:r>
    </w:p>
    <w:p w14:paraId="24BB568B">
      <w:pPr>
        <w:pStyle w:val="39"/>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（一）商务标评审</w:t>
      </w:r>
    </w:p>
    <w:p w14:paraId="13BD01D4">
      <w:pPr>
        <w:pStyle w:val="39"/>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（二）资信标评审</w:t>
      </w:r>
    </w:p>
    <w:p w14:paraId="43E99600">
      <w:pPr>
        <w:pStyle w:val="39"/>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(三)确定中标候选人</w:t>
      </w:r>
    </w:p>
    <w:p w14:paraId="2E19BAB4">
      <w:pPr>
        <w:snapToGrid w:val="0"/>
        <w:spacing w:line="360" w:lineRule="auto"/>
        <w:ind w:firstLine="422" w:firstLineChars="200"/>
        <w:outlineLvl w:val="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w:t>
      </w:r>
      <w:r>
        <w:rPr>
          <w:rFonts w:hint="eastAsia" w:ascii="宋体" w:hAnsi="宋体" w:eastAsia="宋体" w:cs="宋体"/>
          <w:b/>
          <w:bCs/>
          <w:color w:val="auto"/>
          <w:sz w:val="21"/>
          <w:szCs w:val="21"/>
          <w:highlight w:val="none"/>
        </w:rPr>
        <w:t>商务标评审（100分）</w:t>
      </w:r>
    </w:p>
    <w:p w14:paraId="7FA31672">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44A08325">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最高投标限价乘以调整系数作为评标标底价，即评标标底价＝最高投标限价×调整系数。（以元为单位，保留整数，小数点后第1位四舍五入）</w:t>
      </w:r>
    </w:p>
    <w:p w14:paraId="286AA9F7">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6917C5A3">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11F8A565">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2F298257">
      <w:pPr>
        <w:snapToGrid w:val="0"/>
        <w:spacing w:line="360"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二、资信标评审</w:t>
      </w:r>
    </w:p>
    <w:p w14:paraId="1503A186">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2343D214">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059B87D1">
      <w:pPr>
        <w:snapToGrid w:val="0"/>
        <w:spacing w:line="360" w:lineRule="auto"/>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b/>
          <w:bCs/>
          <w:color w:val="auto"/>
          <w:sz w:val="21"/>
          <w:szCs w:val="21"/>
          <w:highlight w:val="none"/>
        </w:rPr>
        <w:t>中标候选人的确定</w:t>
      </w:r>
    </w:p>
    <w:p w14:paraId="11AB4066">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36F2BEA6">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0DF7A3F9">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14:paraId="005D9D81">
      <w:pPr>
        <w:spacing w:line="288" w:lineRule="auto"/>
        <w:ind w:firstLine="525" w:firstLineChars="250"/>
        <w:rPr>
          <w:rFonts w:ascii="宋体" w:hAnsi="宋体" w:eastAsia="宋体"/>
          <w:color w:val="auto"/>
          <w:sz w:val="21"/>
          <w:highlight w:val="none"/>
        </w:rPr>
      </w:pPr>
    </w:p>
    <w:p w14:paraId="29D903F9">
      <w:pPr>
        <w:pStyle w:val="2"/>
        <w:spacing w:line="288" w:lineRule="auto"/>
        <w:jc w:val="both"/>
        <w:rPr>
          <w:rFonts w:hAnsi="黑体"/>
          <w:color w:val="auto"/>
          <w:sz w:val="30"/>
          <w:szCs w:val="22"/>
          <w:highlight w:val="none"/>
        </w:rPr>
      </w:pPr>
    </w:p>
    <w:p w14:paraId="18C96322">
      <w:pPr>
        <w:rPr>
          <w:rFonts w:hAnsi="黑体"/>
          <w:color w:val="auto"/>
          <w:sz w:val="30"/>
          <w:szCs w:val="22"/>
          <w:highlight w:val="none"/>
        </w:rPr>
      </w:pPr>
    </w:p>
    <w:p w14:paraId="33AC1006">
      <w:pPr>
        <w:pStyle w:val="20"/>
        <w:rPr>
          <w:color w:val="auto"/>
          <w:highlight w:val="none"/>
        </w:rPr>
      </w:pPr>
    </w:p>
    <w:p w14:paraId="3BCA3019">
      <w:pPr>
        <w:pStyle w:val="2"/>
        <w:spacing w:line="288" w:lineRule="auto"/>
        <w:rPr>
          <w:rFonts w:hAnsi="黑体"/>
          <w:color w:val="auto"/>
          <w:sz w:val="30"/>
          <w:szCs w:val="22"/>
          <w:highlight w:val="none"/>
        </w:rPr>
      </w:pPr>
      <w:bookmarkStart w:id="132" w:name="_第三章  合同条款"/>
      <w:r>
        <w:rPr>
          <w:rFonts w:hint="eastAsia" w:hAnsi="黑体"/>
          <w:color w:val="auto"/>
          <w:sz w:val="30"/>
          <w:szCs w:val="22"/>
          <w:highlight w:val="none"/>
        </w:rPr>
        <w:t>第三章  合同条款</w:t>
      </w:r>
    </w:p>
    <w:bookmarkEnd w:id="132"/>
    <w:p w14:paraId="49B42345">
      <w:pPr>
        <w:pStyle w:val="33"/>
        <w:spacing w:line="288" w:lineRule="auto"/>
        <w:rPr>
          <w:rFonts w:ascii="宋体" w:hAnsi="宋体" w:eastAsia="宋体" w:cs="宋体"/>
          <w:color w:val="auto"/>
          <w:sz w:val="24"/>
          <w:szCs w:val="24"/>
          <w:highlight w:val="none"/>
        </w:rPr>
      </w:pPr>
    </w:p>
    <w:p w14:paraId="7BE90660">
      <w:pPr>
        <w:pStyle w:val="33"/>
        <w:spacing w:line="288"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合同文本采用</w:t>
      </w:r>
      <w:r>
        <w:rPr>
          <w:rFonts w:hint="eastAsia" w:ascii="宋体" w:hAnsi="宋体" w:eastAsia="宋体" w:cs="宋体"/>
          <w:b/>
          <w:bCs/>
          <w:color w:val="auto"/>
          <w:sz w:val="21"/>
          <w:szCs w:val="21"/>
          <w:highlight w:val="none"/>
        </w:rPr>
        <w:t>《建设工程施工合同（GF—2017—0201）专用条款台州示范文本（定额计价）》（台建〔2020〕120号）</w:t>
      </w:r>
      <w:r>
        <w:rPr>
          <w:rFonts w:hint="eastAsia" w:ascii="宋体" w:hAnsi="宋体" w:eastAsia="宋体" w:cs="宋体"/>
          <w:color w:val="auto"/>
          <w:sz w:val="21"/>
          <w:szCs w:val="21"/>
          <w:highlight w:val="none"/>
        </w:rPr>
        <w:t>。</w:t>
      </w:r>
    </w:p>
    <w:p w14:paraId="6EA785F9">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合同通用条款采用《台州市建设工程施工合同（示范文本）》的通用条款。</w:t>
      </w:r>
    </w:p>
    <w:p w14:paraId="75D09A7C">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合同专用条款中的主要条款将由招标人(发包人)与中标人(承包人)根据各具体工程的投标文件签订。</w:t>
      </w:r>
    </w:p>
    <w:p w14:paraId="2D7D9F2A">
      <w:pPr>
        <w:pStyle w:val="10"/>
        <w:ind w:left="1920"/>
        <w:rPr>
          <w:color w:val="auto"/>
          <w:highlight w:val="none"/>
        </w:rPr>
        <w:sectPr>
          <w:footerReference r:id="rId15" w:type="default"/>
          <w:footnotePr>
            <w:numRestart w:val="eachPage"/>
          </w:footnotePr>
          <w:endnotePr>
            <w:numRestart w:val="eachSect"/>
          </w:endnotePr>
          <w:pgSz w:w="11907" w:h="16840"/>
          <w:pgMar w:top="1247" w:right="1361" w:bottom="1247" w:left="1361" w:header="851" w:footer="838" w:gutter="0"/>
          <w:pgNumType w:fmt="decimal"/>
          <w:cols w:space="720" w:num="1"/>
          <w:docGrid w:type="lines" w:linePitch="435" w:charSpace="-6554"/>
        </w:sectPr>
      </w:pPr>
    </w:p>
    <w:p w14:paraId="77825FA1">
      <w:pPr>
        <w:pStyle w:val="4"/>
        <w:numPr>
          <w:ilvl w:val="0"/>
          <w:numId w:val="0"/>
        </w:numPr>
        <w:spacing w:line="400" w:lineRule="exact"/>
        <w:ind w:left="574"/>
        <w:jc w:val="center"/>
        <w:rPr>
          <w:rFonts w:ascii="宋体" w:eastAsia="宋体" w:cs="宋体"/>
          <w:color w:val="auto"/>
          <w:sz w:val="32"/>
          <w:szCs w:val="32"/>
          <w:highlight w:val="none"/>
        </w:rPr>
      </w:pPr>
      <w:bookmarkStart w:id="133" w:name="_Toc267580969"/>
      <w:bookmarkStart w:id="134" w:name="_Toc239477934"/>
      <w:bookmarkStart w:id="135" w:name="_Toc511741122"/>
      <w:r>
        <w:rPr>
          <w:rFonts w:hint="eastAsia" w:ascii="宋体" w:eastAsia="宋体" w:cs="宋体"/>
          <w:color w:val="auto"/>
          <w:sz w:val="32"/>
          <w:szCs w:val="32"/>
          <w:highlight w:val="none"/>
        </w:rPr>
        <w:t>第一部分  合同协议书</w:t>
      </w:r>
    </w:p>
    <w:p w14:paraId="491A0404">
      <w:pPr>
        <w:spacing w:line="400" w:lineRule="exact"/>
        <w:rPr>
          <w:rFonts w:ascii="宋体" w:hAnsi="宋体" w:eastAsia="宋体" w:cs="宋体"/>
          <w:color w:val="auto"/>
          <w:sz w:val="21"/>
          <w:szCs w:val="21"/>
          <w:highlight w:val="none"/>
        </w:rPr>
      </w:pPr>
    </w:p>
    <w:p w14:paraId="63714260">
      <w:pPr>
        <w:spacing w:line="36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val="en-US" w:eastAsia="zh-CN"/>
        </w:rPr>
        <w:t>临海市江南长城旅游发展有限公司</w:t>
      </w:r>
    </w:p>
    <w:p w14:paraId="1297CCBC">
      <w:pPr>
        <w:spacing w:line="36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7DF6B4A9">
      <w:pPr>
        <w:spacing w:line="360" w:lineRule="exact"/>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台州府城依水山庄亭廊及美人靠等修缮维护项目</w:t>
      </w:r>
      <w:r>
        <w:rPr>
          <w:rFonts w:hint="eastAsia" w:ascii="宋体" w:hAnsi="宋体" w:eastAsia="宋体" w:cs="宋体"/>
          <w:color w:val="auto"/>
          <w:sz w:val="21"/>
          <w:szCs w:val="21"/>
          <w:highlight w:val="none"/>
        </w:rPr>
        <w:t>工程施工及有关事项协商一致，共同达成如下协议：</w:t>
      </w:r>
    </w:p>
    <w:p w14:paraId="21A6B85B">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一、工程概况</w:t>
      </w:r>
    </w:p>
    <w:p w14:paraId="0F5949FA">
      <w:pPr>
        <w:spacing w:line="360" w:lineRule="exact"/>
        <w:ind w:firstLine="404" w:firstLineChars="196"/>
        <w:rPr>
          <w:rFonts w:hint="eastAsia" w:ascii="宋体" w:hAnsi="宋体" w:eastAsia="宋体" w:cs="宋体"/>
          <w:b/>
          <w:bCs/>
          <w:color w:val="auto"/>
          <w:sz w:val="21"/>
          <w:szCs w:val="21"/>
          <w:highlight w:val="none"/>
          <w:u w:val="single"/>
          <w:lang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lang w:eastAsia="zh-CN"/>
        </w:rPr>
        <w:t>台州府城依水山庄亭廊及美人靠等修缮维护项目</w:t>
      </w:r>
    </w:p>
    <w:p w14:paraId="283DE07F">
      <w:pPr>
        <w:spacing w:line="360" w:lineRule="exact"/>
        <w:ind w:firstLine="404" w:firstLine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2．工程地点：</w:t>
      </w:r>
      <w:r>
        <w:rPr>
          <w:rFonts w:hint="eastAsia" w:ascii="宋体" w:hAnsi="宋体" w:eastAsia="宋体" w:cs="宋体"/>
          <w:b/>
          <w:bCs/>
          <w:color w:val="auto"/>
          <w:sz w:val="21"/>
          <w:szCs w:val="21"/>
          <w:highlight w:val="none"/>
          <w:u w:val="single"/>
          <w:lang w:eastAsia="zh-CN"/>
        </w:rPr>
        <w:t>台州府城历史城区东湖文化景观区保护范围内</w:t>
      </w:r>
    </w:p>
    <w:p w14:paraId="54DC9D48">
      <w:pPr>
        <w:spacing w:line="360" w:lineRule="exact"/>
        <w:ind w:firstLine="404" w:firstLineChars="196"/>
        <w:rPr>
          <w:rFonts w:hint="default" w:ascii="宋体" w:hAnsi="宋体" w:eastAsia="宋体" w:cs="宋体"/>
          <w:bCs/>
          <w:color w:val="auto"/>
          <w:sz w:val="21"/>
          <w:szCs w:val="21"/>
          <w:highlight w:val="none"/>
          <w:u w:val="single"/>
          <w:lang w:val="en-US" w:eastAsia="zh-CN"/>
        </w:rPr>
      </w:pPr>
      <w:r>
        <w:rPr>
          <w:rFonts w:hint="eastAsia" w:ascii="宋体" w:hAnsi="宋体" w:eastAsia="宋体" w:cs="宋体"/>
          <w:bCs/>
          <w:color w:val="auto"/>
          <w:sz w:val="21"/>
          <w:szCs w:val="21"/>
          <w:highlight w:val="none"/>
        </w:rPr>
        <w:t>3．工程立项批准文号</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u w:val="single"/>
          <w:lang w:val="en-US" w:eastAsia="zh-CN"/>
        </w:rPr>
        <w:t xml:space="preserve"> 2512-331082-04-01-733388 </w:t>
      </w:r>
    </w:p>
    <w:p w14:paraId="3DC1523E">
      <w:pPr>
        <w:spacing w:line="360" w:lineRule="exact"/>
        <w:ind w:firstLine="404" w:firstLineChars="196"/>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4．资金来源：</w:t>
      </w:r>
      <w:r>
        <w:rPr>
          <w:rFonts w:hint="eastAsia" w:ascii="宋体" w:hAnsi="宋体" w:eastAsia="宋体" w:cs="宋体"/>
          <w:bCs/>
          <w:color w:val="auto"/>
          <w:sz w:val="21"/>
          <w:szCs w:val="21"/>
          <w:highlight w:val="none"/>
          <w:u w:val="single"/>
        </w:rPr>
        <w:t>自筹</w:t>
      </w:r>
      <w:r>
        <w:rPr>
          <w:rFonts w:hint="eastAsia" w:ascii="宋体" w:hAnsi="宋体" w:eastAsia="宋体" w:cs="宋体"/>
          <w:bCs/>
          <w:color w:val="auto"/>
          <w:sz w:val="21"/>
          <w:szCs w:val="21"/>
          <w:highlight w:val="none"/>
          <w:u w:val="single"/>
          <w:lang w:val="en-US" w:eastAsia="zh-CN"/>
        </w:rPr>
        <w:t>100%</w:t>
      </w:r>
    </w:p>
    <w:p w14:paraId="63500548">
      <w:pPr>
        <w:spacing w:line="360" w:lineRule="exact"/>
        <w:ind w:firstLine="404" w:firstLineChars="196"/>
        <w:rPr>
          <w:rFonts w:hint="default" w:ascii="宋体" w:hAnsi="宋体" w:eastAsia="宋体" w:cs="宋体"/>
          <w:bCs/>
          <w:color w:val="auto"/>
          <w:sz w:val="21"/>
          <w:szCs w:val="21"/>
          <w:highlight w:val="none"/>
          <w:u w:val="single"/>
          <w:lang w:val="en-US" w:eastAsia="zh-CN"/>
        </w:rPr>
      </w:pPr>
      <w:r>
        <w:rPr>
          <w:rFonts w:hint="eastAsia" w:ascii="宋体" w:hAnsi="宋体" w:eastAsia="宋体" w:cs="宋体"/>
          <w:bCs/>
          <w:color w:val="auto"/>
          <w:sz w:val="21"/>
          <w:szCs w:val="21"/>
          <w:highlight w:val="none"/>
        </w:rPr>
        <w:t>5．工程内容：</w:t>
      </w:r>
      <w:r>
        <w:rPr>
          <w:rFonts w:hint="eastAsia" w:ascii="宋体" w:hAnsi="宋体" w:eastAsia="宋体"/>
          <w:bCs/>
          <w:color w:val="auto"/>
          <w:sz w:val="21"/>
          <w:highlight w:val="none"/>
          <w:u w:val="single"/>
          <w:lang w:val="en-US" w:eastAsia="zh-CN"/>
        </w:rPr>
        <w:t>本项目位于台州府城历史城区东湖文化景观区保护范围内东湖内，主要对</w:t>
      </w:r>
      <w:r>
        <w:rPr>
          <w:rFonts w:hint="eastAsia" w:ascii="宋体" w:hAnsi="宋体" w:eastAsia="宋体"/>
          <w:bCs/>
          <w:color w:val="auto"/>
          <w:sz w:val="21"/>
          <w:highlight w:val="none"/>
          <w:u w:val="single"/>
          <w:lang w:val="en-US" w:eastAsia="zh-CN"/>
        </w:rPr>
        <w:t>依水山庄亭廊及美人靠</w:t>
      </w:r>
      <w:r>
        <w:rPr>
          <w:rFonts w:hint="eastAsia" w:ascii="宋体" w:hAnsi="宋体" w:eastAsia="宋体"/>
          <w:bCs/>
          <w:color w:val="auto"/>
          <w:sz w:val="21"/>
          <w:highlight w:val="none"/>
          <w:u w:val="single"/>
          <w:lang w:val="en-US" w:eastAsia="zh-CN"/>
        </w:rPr>
        <w:t>、</w:t>
      </w:r>
      <w:r>
        <w:rPr>
          <w:rFonts w:hint="eastAsia" w:ascii="宋体" w:hAnsi="宋体" w:eastAsia="宋体"/>
          <w:bCs/>
          <w:color w:val="auto"/>
          <w:sz w:val="21"/>
          <w:highlight w:val="none"/>
          <w:u w:val="single"/>
          <w:lang w:val="en-US" w:eastAsia="zh-CN"/>
        </w:rPr>
        <w:t>知乐堂东侧长廊、水华园贵宾楼、碑林小瀛洲、问樵亭、载阳亭</w:t>
      </w:r>
      <w:r>
        <w:rPr>
          <w:rFonts w:hint="eastAsia" w:ascii="宋体" w:hAnsi="宋体" w:eastAsia="宋体"/>
          <w:bCs/>
          <w:color w:val="auto"/>
          <w:sz w:val="21"/>
          <w:highlight w:val="none"/>
          <w:u w:val="single"/>
          <w:lang w:val="en-US" w:eastAsia="zh-CN"/>
        </w:rPr>
        <w:t>、</w:t>
      </w:r>
      <w:r>
        <w:rPr>
          <w:rFonts w:hint="eastAsia" w:ascii="宋体" w:hAnsi="宋体" w:eastAsia="宋体"/>
          <w:bCs/>
          <w:color w:val="auto"/>
          <w:sz w:val="21"/>
          <w:highlight w:val="none"/>
          <w:u w:val="single"/>
          <w:lang w:val="en-US" w:eastAsia="zh-CN"/>
        </w:rPr>
        <w:t>漱石亭</w:t>
      </w:r>
      <w:r>
        <w:rPr>
          <w:rFonts w:hint="eastAsia" w:ascii="宋体" w:hAnsi="宋体" w:eastAsia="宋体"/>
          <w:bCs/>
          <w:color w:val="auto"/>
          <w:sz w:val="21"/>
          <w:highlight w:val="none"/>
          <w:u w:val="single"/>
          <w:lang w:val="en-US" w:eastAsia="zh-CN"/>
        </w:rPr>
        <w:t>、</w:t>
      </w:r>
      <w:r>
        <w:rPr>
          <w:rFonts w:hint="eastAsia" w:ascii="宋体" w:hAnsi="宋体" w:eastAsia="宋体"/>
          <w:bCs/>
          <w:color w:val="auto"/>
          <w:sz w:val="21"/>
          <w:highlight w:val="none"/>
          <w:u w:val="single"/>
          <w:lang w:val="en-US" w:eastAsia="zh-CN"/>
        </w:rPr>
        <w:t>骆宾王祠东厢房</w:t>
      </w:r>
      <w:r>
        <w:rPr>
          <w:rFonts w:hint="eastAsia" w:ascii="宋体" w:hAnsi="宋体" w:eastAsia="宋体"/>
          <w:bCs/>
          <w:color w:val="auto"/>
          <w:sz w:val="21"/>
          <w:highlight w:val="none"/>
          <w:u w:val="single"/>
          <w:lang w:val="en-US" w:eastAsia="zh-CN"/>
        </w:rPr>
        <w:t>、</w:t>
      </w:r>
      <w:r>
        <w:rPr>
          <w:rFonts w:hint="eastAsia" w:ascii="宋体" w:hAnsi="宋体" w:eastAsia="宋体"/>
          <w:bCs/>
          <w:color w:val="auto"/>
          <w:sz w:val="21"/>
          <w:highlight w:val="none"/>
          <w:u w:val="single"/>
          <w:lang w:val="en-US" w:eastAsia="zh-CN"/>
        </w:rPr>
        <w:t>樵云阁</w:t>
      </w:r>
      <w:r>
        <w:rPr>
          <w:rFonts w:hint="eastAsia" w:ascii="宋体" w:hAnsi="宋体" w:eastAsia="宋体"/>
          <w:bCs/>
          <w:color w:val="auto"/>
          <w:sz w:val="21"/>
          <w:highlight w:val="none"/>
          <w:u w:val="single"/>
          <w:lang w:val="en-US" w:eastAsia="zh-CN"/>
        </w:rPr>
        <w:t>、</w:t>
      </w:r>
      <w:r>
        <w:rPr>
          <w:rFonts w:hint="eastAsia" w:ascii="宋体" w:hAnsi="宋体" w:eastAsia="宋体"/>
          <w:bCs/>
          <w:color w:val="auto"/>
          <w:sz w:val="21"/>
          <w:highlight w:val="none"/>
          <w:u w:val="single"/>
          <w:lang w:val="en-US" w:eastAsia="zh-CN"/>
        </w:rPr>
        <w:t>依水山庄长廊墙体油漆</w:t>
      </w:r>
      <w:r>
        <w:rPr>
          <w:rFonts w:hint="eastAsia" w:ascii="宋体" w:hAnsi="宋体" w:eastAsia="宋体"/>
          <w:bCs/>
          <w:color w:val="auto"/>
          <w:sz w:val="21"/>
          <w:highlight w:val="none"/>
          <w:u w:val="single"/>
          <w:lang w:val="en-US" w:eastAsia="zh-CN"/>
        </w:rPr>
        <w:t>等木结构、美人靠、栏杆等现状修缮。具体详见预算审核报告及图纸。</w:t>
      </w:r>
    </w:p>
    <w:p w14:paraId="2FA966B7">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16BE9F95">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5102A45A">
      <w:pPr>
        <w:spacing w:line="36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发包人提供的图纸范围内的</w:t>
      </w:r>
      <w:r>
        <w:rPr>
          <w:rFonts w:hint="eastAsia" w:ascii="宋体" w:hAnsi="宋体" w:eastAsia="宋体" w:cs="宋体"/>
          <w:b/>
          <w:bCs/>
          <w:color w:val="auto"/>
          <w:sz w:val="21"/>
          <w:szCs w:val="21"/>
          <w:highlight w:val="none"/>
          <w:u w:val="single"/>
          <w:lang w:eastAsia="zh-CN"/>
        </w:rPr>
        <w:t>台州府城依水山庄亭廊及美人靠等修缮维护项目</w:t>
      </w:r>
      <w:r>
        <w:rPr>
          <w:rFonts w:hint="eastAsia" w:ascii="宋体" w:hAnsi="宋体" w:eastAsia="宋体" w:cs="宋体"/>
          <w:color w:val="auto"/>
          <w:sz w:val="21"/>
          <w:szCs w:val="21"/>
          <w:highlight w:val="none"/>
          <w:u w:val="single"/>
        </w:rPr>
        <w:t xml:space="preserve"> ，具体内容以发包人提供的预算</w:t>
      </w:r>
      <w:r>
        <w:rPr>
          <w:rFonts w:hint="eastAsia" w:ascii="宋体" w:hAnsi="宋体" w:eastAsia="宋体" w:cs="宋体"/>
          <w:color w:val="auto"/>
          <w:sz w:val="21"/>
          <w:szCs w:val="21"/>
          <w:highlight w:val="none"/>
          <w:u w:val="single"/>
          <w:lang w:val="en-US" w:eastAsia="zh-CN"/>
        </w:rPr>
        <w:t>和图纸</w:t>
      </w:r>
      <w:r>
        <w:rPr>
          <w:rFonts w:hint="eastAsia" w:ascii="宋体" w:hAnsi="宋体" w:eastAsia="宋体" w:cs="宋体"/>
          <w:color w:val="auto"/>
          <w:sz w:val="21"/>
          <w:szCs w:val="21"/>
          <w:highlight w:val="none"/>
          <w:u w:val="single"/>
        </w:rPr>
        <w:t>为准。</w:t>
      </w:r>
    </w:p>
    <w:p w14:paraId="34572FFB">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二、合同工期</w:t>
      </w:r>
    </w:p>
    <w:p w14:paraId="4D06C779">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14:paraId="6F10EBD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14:paraId="54E003A0">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5698B510">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三、质量标准</w:t>
      </w:r>
    </w:p>
    <w:p w14:paraId="1B8A7847">
      <w:pPr>
        <w:spacing w:line="360" w:lineRule="exact"/>
        <w:ind w:firstLine="45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193E9E7D">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四、签约合同价与合同价格形式</w:t>
      </w:r>
    </w:p>
    <w:p w14:paraId="6CA5AD83">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5920D193">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68D7696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14:paraId="30119C5F">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3．发包人向承包人支付工程价款及其他应当支付的款项均须汇入承包人合同协议书中的银行账户（先开票后付款）。</w:t>
      </w:r>
    </w:p>
    <w:p w14:paraId="107B7E79">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hint="eastAsia"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14:paraId="0B2323F2">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（1）一般计税方法。</w:t>
      </w:r>
    </w:p>
    <w:p w14:paraId="10290449">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shd w:val="clear" w:color="auto" w:fill="FFFFFF"/>
        </w:rPr>
        <w:t>简易计税方法。</w:t>
      </w:r>
    </w:p>
    <w:p w14:paraId="64392177">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五、项目经理</w:t>
      </w:r>
    </w:p>
    <w:p w14:paraId="35D0CAE7">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26E05D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六、合同文件构成</w:t>
      </w:r>
    </w:p>
    <w:p w14:paraId="7F32E3E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020BDC4D">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70406CE6">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14:paraId="46640638">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2AD3A6D0">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3077E51D">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0F032564">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15407D79">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2F0061E9">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671FB636">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67A5A3CF">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333F5BE7">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七、创优目标</w:t>
      </w:r>
    </w:p>
    <w:p w14:paraId="3B1A3062">
      <w:pPr>
        <w:pStyle w:val="6"/>
        <w:keepNext w:val="0"/>
        <w:keepLines w:val="0"/>
        <w:spacing w:line="360" w:lineRule="exact"/>
        <w:ind w:firstLine="412" w:firstLineChars="200"/>
        <w:rPr>
          <w:rFonts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本工程</w:t>
      </w:r>
      <w:r>
        <w:rPr>
          <w:rFonts w:hint="eastAsia" w:ascii="宋体" w:hAnsi="宋体" w:eastAsia="宋体" w:cs="宋体"/>
          <w:b w:val="0"/>
          <w:bCs w:val="0"/>
          <w:color w:val="auto"/>
          <w:sz w:val="21"/>
          <w:szCs w:val="21"/>
          <w:highlight w:val="none"/>
          <w:u w:val="single"/>
        </w:rPr>
        <w:t>无创优质工程目标</w:t>
      </w:r>
      <w:r>
        <w:rPr>
          <w:rFonts w:hint="eastAsia" w:ascii="宋体" w:hAnsi="宋体" w:eastAsia="宋体" w:cs="宋体"/>
          <w:b w:val="0"/>
          <w:bCs w:val="0"/>
          <w:color w:val="auto"/>
          <w:sz w:val="21"/>
          <w:szCs w:val="21"/>
          <w:highlight w:val="none"/>
        </w:rPr>
        <w:t>。</w:t>
      </w:r>
    </w:p>
    <w:p w14:paraId="5D7FDD9C">
      <w:pPr>
        <w:pStyle w:val="6"/>
        <w:keepNext w:val="0"/>
        <w:keepLines w:val="0"/>
        <w:spacing w:line="360" w:lineRule="exact"/>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八、承诺</w:t>
      </w:r>
    </w:p>
    <w:p w14:paraId="7656C34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0185722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49BE6941">
      <w:pPr>
        <w:tabs>
          <w:tab w:val="left" w:pos="0"/>
        </w:tabs>
        <w:spacing w:line="36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14:paraId="2927174B">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4．发包人和承包人通过招投标形式签订合同的，双方理解并承诺不再就同一工程另行签订与合同实质性内容相背离的协议。</w:t>
      </w:r>
    </w:p>
    <w:p w14:paraId="634A15F7">
      <w:pPr>
        <w:spacing w:line="360" w:lineRule="exac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九、词语含义</w:t>
      </w:r>
    </w:p>
    <w:p w14:paraId="596E04CB">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7DF3071B">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十、签订时间</w:t>
      </w:r>
    </w:p>
    <w:p w14:paraId="26A3E19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4F16D7D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十一、签订地点</w:t>
      </w:r>
    </w:p>
    <w:p w14:paraId="6BC11B0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68B6F6CE">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十二、补充协议</w:t>
      </w:r>
    </w:p>
    <w:p w14:paraId="33A86C39">
      <w:pPr>
        <w:spacing w:line="36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6E62C171">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十三、合同生效</w:t>
      </w:r>
    </w:p>
    <w:p w14:paraId="07F8850B">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双方法定代表人或委托代理人签字并加盖公章后 </w:t>
      </w:r>
      <w:r>
        <w:rPr>
          <w:rFonts w:hint="eastAsia" w:ascii="宋体" w:hAnsi="宋体" w:eastAsia="宋体" w:cs="宋体"/>
          <w:bCs/>
          <w:color w:val="auto"/>
          <w:sz w:val="21"/>
          <w:szCs w:val="21"/>
          <w:highlight w:val="none"/>
        </w:rPr>
        <w:t>生效。</w:t>
      </w:r>
    </w:p>
    <w:p w14:paraId="6AA7B5AE">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十四、合同份数</w:t>
      </w:r>
    </w:p>
    <w:p w14:paraId="0C40A20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份，招标代理机构执</w:t>
      </w:r>
      <w:r>
        <w:rPr>
          <w:rFonts w:hint="eastAsia" w:ascii="宋体" w:hAnsi="宋体" w:eastAsia="宋体" w:cs="宋体"/>
          <w:bCs/>
          <w:color w:val="auto"/>
          <w:sz w:val="21"/>
          <w:szCs w:val="21"/>
          <w:highlight w:val="none"/>
          <w:u w:val="single"/>
        </w:rPr>
        <w:t xml:space="preserve"> 贰 </w:t>
      </w:r>
      <w:r>
        <w:rPr>
          <w:rFonts w:hint="eastAsia" w:ascii="宋体" w:hAnsi="宋体" w:eastAsia="宋体" w:cs="宋体"/>
          <w:bCs/>
          <w:color w:val="auto"/>
          <w:sz w:val="21"/>
          <w:szCs w:val="21"/>
          <w:highlight w:val="none"/>
        </w:rPr>
        <w:t>份。</w:t>
      </w:r>
    </w:p>
    <w:p w14:paraId="3D480A42">
      <w:pPr>
        <w:spacing w:line="360" w:lineRule="exact"/>
        <w:ind w:firstLine="412" w:firstLineChars="200"/>
        <w:rPr>
          <w:rFonts w:ascii="宋体" w:hAnsi="宋体" w:eastAsia="宋体" w:cs="宋体"/>
          <w:bCs/>
          <w:color w:val="auto"/>
          <w:sz w:val="21"/>
          <w:szCs w:val="21"/>
          <w:highlight w:val="none"/>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1BB16F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5A4F8664">
            <w:pPr>
              <w:spacing w:line="360" w:lineRule="exact"/>
              <w:ind w:firstLine="412" w:firstLineChars="200"/>
              <w:rPr>
                <w:rFonts w:ascii="宋体" w:hAnsi="宋体" w:eastAsia="宋体" w:cs="宋体"/>
                <w:bCs/>
                <w:color w:val="auto"/>
                <w:sz w:val="21"/>
                <w:szCs w:val="21"/>
                <w:highlight w:val="none"/>
              </w:rPr>
            </w:pPr>
          </w:p>
          <w:p w14:paraId="21D8154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发包人：（公章或合同专用章）</w:t>
            </w:r>
          </w:p>
          <w:p w14:paraId="6A817720">
            <w:pPr>
              <w:spacing w:line="360" w:lineRule="exact"/>
              <w:ind w:firstLine="412"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统一社会信用代码：</w:t>
            </w:r>
          </w:p>
          <w:p w14:paraId="581E7B2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6200B40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7108F8D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6056966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200F55E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0AA9A69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1ACF6BA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406B245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p w14:paraId="3B21B418">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c>
          <w:tcPr>
            <w:tcW w:w="4620" w:type="dxa"/>
          </w:tcPr>
          <w:p w14:paraId="7C412EF8">
            <w:pPr>
              <w:spacing w:line="360" w:lineRule="exact"/>
              <w:ind w:firstLine="412" w:firstLineChars="200"/>
              <w:rPr>
                <w:rFonts w:ascii="宋体" w:hAnsi="宋体" w:eastAsia="宋体" w:cs="宋体"/>
                <w:bCs/>
                <w:color w:val="auto"/>
                <w:sz w:val="21"/>
                <w:szCs w:val="21"/>
                <w:highlight w:val="none"/>
              </w:rPr>
            </w:pPr>
          </w:p>
          <w:p w14:paraId="1B40A2A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承包人：（公章或合同专用章）</w:t>
            </w:r>
          </w:p>
          <w:p w14:paraId="1A584463">
            <w:pPr>
              <w:spacing w:line="360" w:lineRule="exact"/>
              <w:ind w:firstLine="412" w:firstLineChars="20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统一社会信用代码：</w:t>
            </w:r>
          </w:p>
          <w:p w14:paraId="6049013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7441A5F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17E86FFB">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09F7E33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609D1A9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34839F3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31A02B3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50A97DE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　　　　</w:t>
            </w:r>
          </w:p>
          <w:p w14:paraId="6BFFD77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r>
    </w:tbl>
    <w:p w14:paraId="213615CF">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Cs w:val="21"/>
          <w:highlight w:val="none"/>
        </w:rPr>
        <w:br w:type="page"/>
      </w:r>
      <w:r>
        <w:rPr>
          <w:rFonts w:hint="eastAsia" w:ascii="宋体" w:eastAsia="宋体" w:cs="宋体"/>
          <w:color w:val="auto"/>
          <w:sz w:val="32"/>
          <w:szCs w:val="32"/>
          <w:highlight w:val="none"/>
        </w:rPr>
        <w:t>第二部分 通用条款（略）</w:t>
      </w:r>
    </w:p>
    <w:p w14:paraId="6A634B7A">
      <w:pPr>
        <w:rPr>
          <w:rFonts w:ascii="宋体" w:hAnsi="宋体" w:eastAsia="宋体" w:cs="宋体"/>
          <w:b/>
          <w:color w:val="auto"/>
          <w:sz w:val="28"/>
          <w:szCs w:val="28"/>
          <w:highlight w:val="none"/>
        </w:rPr>
      </w:pPr>
    </w:p>
    <w:p w14:paraId="4E5AACDE">
      <w:pPr>
        <w:rPr>
          <w:rFonts w:ascii="宋体" w:hAnsi="宋体" w:eastAsia="宋体" w:cs="宋体"/>
          <w:b/>
          <w:color w:val="auto"/>
          <w:sz w:val="21"/>
          <w:szCs w:val="21"/>
          <w:highlight w:val="none"/>
        </w:rPr>
      </w:pPr>
    </w:p>
    <w:p w14:paraId="17040CB9">
      <w:pPr>
        <w:rPr>
          <w:rFonts w:ascii="宋体" w:hAnsi="宋体" w:eastAsia="宋体" w:cs="宋体"/>
          <w:b/>
          <w:color w:val="auto"/>
          <w:sz w:val="21"/>
          <w:szCs w:val="21"/>
          <w:highlight w:val="none"/>
        </w:rPr>
      </w:pPr>
    </w:p>
    <w:p w14:paraId="3EB601C7">
      <w:pPr>
        <w:rPr>
          <w:rFonts w:ascii="宋体" w:hAnsi="宋体" w:eastAsia="宋体" w:cs="宋体"/>
          <w:b/>
          <w:color w:val="auto"/>
          <w:sz w:val="21"/>
          <w:szCs w:val="21"/>
          <w:highlight w:val="none"/>
        </w:rPr>
      </w:pPr>
    </w:p>
    <w:p w14:paraId="523DCF51">
      <w:pPr>
        <w:rPr>
          <w:rFonts w:ascii="宋体" w:hAnsi="宋体" w:eastAsia="宋体" w:cs="宋体"/>
          <w:b/>
          <w:color w:val="auto"/>
          <w:sz w:val="21"/>
          <w:szCs w:val="21"/>
          <w:highlight w:val="none"/>
        </w:rPr>
      </w:pPr>
    </w:p>
    <w:p w14:paraId="72AC39C1">
      <w:pPr>
        <w:rPr>
          <w:rFonts w:ascii="宋体" w:hAnsi="宋体" w:eastAsia="宋体" w:cs="宋体"/>
          <w:b/>
          <w:color w:val="auto"/>
          <w:sz w:val="21"/>
          <w:szCs w:val="21"/>
          <w:highlight w:val="none"/>
        </w:rPr>
      </w:pPr>
    </w:p>
    <w:p w14:paraId="38E11213">
      <w:pPr>
        <w:rPr>
          <w:rFonts w:ascii="宋体" w:hAnsi="宋体" w:eastAsia="宋体" w:cs="宋体"/>
          <w:b/>
          <w:color w:val="auto"/>
          <w:sz w:val="21"/>
          <w:szCs w:val="21"/>
          <w:highlight w:val="none"/>
        </w:rPr>
      </w:pPr>
    </w:p>
    <w:p w14:paraId="17B7863D">
      <w:pPr>
        <w:rPr>
          <w:rFonts w:ascii="宋体" w:hAnsi="宋体" w:eastAsia="宋体" w:cs="宋体"/>
          <w:b/>
          <w:color w:val="auto"/>
          <w:sz w:val="21"/>
          <w:szCs w:val="21"/>
          <w:highlight w:val="none"/>
        </w:rPr>
      </w:pPr>
    </w:p>
    <w:p w14:paraId="7ABAF7D4">
      <w:pPr>
        <w:rPr>
          <w:rFonts w:ascii="宋体" w:hAnsi="宋体" w:eastAsia="宋体" w:cs="宋体"/>
          <w:b/>
          <w:color w:val="auto"/>
          <w:sz w:val="21"/>
          <w:szCs w:val="21"/>
          <w:highlight w:val="none"/>
        </w:rPr>
      </w:pPr>
    </w:p>
    <w:p w14:paraId="014AF3D2">
      <w:pPr>
        <w:rPr>
          <w:rFonts w:ascii="宋体" w:hAnsi="宋体" w:eastAsia="宋体" w:cs="宋体"/>
          <w:b/>
          <w:color w:val="auto"/>
          <w:sz w:val="21"/>
          <w:szCs w:val="21"/>
          <w:highlight w:val="none"/>
        </w:rPr>
      </w:pPr>
    </w:p>
    <w:p w14:paraId="31348FE6">
      <w:pPr>
        <w:rPr>
          <w:rFonts w:ascii="宋体" w:hAnsi="宋体" w:eastAsia="宋体" w:cs="宋体"/>
          <w:b/>
          <w:color w:val="auto"/>
          <w:sz w:val="21"/>
          <w:szCs w:val="21"/>
          <w:highlight w:val="none"/>
        </w:rPr>
      </w:pPr>
    </w:p>
    <w:p w14:paraId="6657402E">
      <w:pPr>
        <w:rPr>
          <w:rFonts w:ascii="宋体" w:hAnsi="宋体" w:eastAsia="宋体" w:cs="宋体"/>
          <w:b/>
          <w:color w:val="auto"/>
          <w:sz w:val="21"/>
          <w:szCs w:val="21"/>
          <w:highlight w:val="none"/>
        </w:rPr>
      </w:pPr>
    </w:p>
    <w:p w14:paraId="1C17A5AA">
      <w:pPr>
        <w:rPr>
          <w:rFonts w:ascii="宋体" w:hAnsi="宋体" w:eastAsia="宋体" w:cs="宋体"/>
          <w:b/>
          <w:color w:val="auto"/>
          <w:sz w:val="21"/>
          <w:szCs w:val="21"/>
          <w:highlight w:val="none"/>
        </w:rPr>
      </w:pPr>
    </w:p>
    <w:p w14:paraId="7542D559">
      <w:pPr>
        <w:rPr>
          <w:rFonts w:ascii="宋体" w:hAnsi="宋体" w:eastAsia="宋体" w:cs="宋体"/>
          <w:b/>
          <w:color w:val="auto"/>
          <w:sz w:val="21"/>
          <w:szCs w:val="21"/>
          <w:highlight w:val="none"/>
        </w:rPr>
      </w:pPr>
    </w:p>
    <w:p w14:paraId="71C3FAF4">
      <w:pPr>
        <w:rPr>
          <w:rFonts w:ascii="宋体" w:hAnsi="宋体" w:eastAsia="宋体" w:cs="宋体"/>
          <w:b/>
          <w:color w:val="auto"/>
          <w:sz w:val="21"/>
          <w:szCs w:val="21"/>
          <w:highlight w:val="none"/>
        </w:rPr>
      </w:pPr>
    </w:p>
    <w:p w14:paraId="1D0B5C44">
      <w:pPr>
        <w:rPr>
          <w:rFonts w:ascii="宋体" w:hAnsi="宋体" w:eastAsia="宋体" w:cs="宋体"/>
          <w:b/>
          <w:color w:val="auto"/>
          <w:sz w:val="21"/>
          <w:szCs w:val="21"/>
          <w:highlight w:val="none"/>
        </w:rPr>
      </w:pPr>
    </w:p>
    <w:p w14:paraId="7F02B338">
      <w:pPr>
        <w:rPr>
          <w:rFonts w:ascii="宋体" w:hAnsi="宋体" w:eastAsia="宋体" w:cs="宋体"/>
          <w:b/>
          <w:color w:val="auto"/>
          <w:sz w:val="21"/>
          <w:szCs w:val="21"/>
          <w:highlight w:val="none"/>
        </w:rPr>
      </w:pPr>
    </w:p>
    <w:p w14:paraId="52A20EA1">
      <w:pPr>
        <w:rPr>
          <w:rFonts w:ascii="宋体" w:hAnsi="宋体" w:eastAsia="宋体" w:cs="宋体"/>
          <w:b/>
          <w:color w:val="auto"/>
          <w:sz w:val="21"/>
          <w:szCs w:val="21"/>
          <w:highlight w:val="none"/>
        </w:rPr>
      </w:pPr>
    </w:p>
    <w:p w14:paraId="5A5984AD">
      <w:pPr>
        <w:rPr>
          <w:rFonts w:ascii="宋体" w:hAnsi="宋体" w:eastAsia="宋体" w:cs="宋体"/>
          <w:b/>
          <w:color w:val="auto"/>
          <w:sz w:val="21"/>
          <w:szCs w:val="21"/>
          <w:highlight w:val="none"/>
        </w:rPr>
      </w:pPr>
    </w:p>
    <w:p w14:paraId="5DE925A5">
      <w:pPr>
        <w:widowControl/>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br w:type="page"/>
      </w:r>
    </w:p>
    <w:p w14:paraId="39580A16">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 w:val="32"/>
          <w:szCs w:val="32"/>
          <w:highlight w:val="none"/>
        </w:rPr>
        <w:t>第三部分  专用合同条款</w:t>
      </w:r>
    </w:p>
    <w:p w14:paraId="58F0767F">
      <w:pPr>
        <w:spacing w:line="400" w:lineRule="exact"/>
        <w:rPr>
          <w:rFonts w:ascii="宋体" w:hAnsi="宋体" w:eastAsia="宋体" w:cs="宋体"/>
          <w:color w:val="auto"/>
          <w:sz w:val="21"/>
          <w:szCs w:val="21"/>
          <w:highlight w:val="none"/>
        </w:rPr>
      </w:pPr>
    </w:p>
    <w:p w14:paraId="44CEF5BB">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1．一般约定</w:t>
      </w:r>
    </w:p>
    <w:p w14:paraId="7C82CD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71F564A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6EBA8D6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rPr>
        <w:t>工程招标文件、《台州市本级政府投资项目工程变更管理办法》（台政办函〔2019〕25号）</w:t>
      </w:r>
      <w:r>
        <w:rPr>
          <w:rFonts w:hint="eastAsia" w:ascii="宋体" w:hAnsi="宋体" w:eastAsia="宋体" w:cs="宋体"/>
          <w:color w:val="auto"/>
          <w:kern w:val="0"/>
          <w:sz w:val="21"/>
          <w:szCs w:val="21"/>
          <w:highlight w:val="none"/>
          <w:u w:val="single"/>
          <w:lang w:val="en-US" w:eastAsia="zh-CN"/>
        </w:rPr>
        <w:t>及《</w:t>
      </w:r>
      <w:r>
        <w:rPr>
          <w:rFonts w:hint="eastAsia" w:ascii="宋体" w:hAnsi="宋体" w:eastAsia="宋体" w:cs="宋体"/>
          <w:color w:val="auto"/>
          <w:kern w:val="0"/>
          <w:sz w:val="21"/>
          <w:szCs w:val="21"/>
          <w:highlight w:val="none"/>
          <w:u w:val="single"/>
        </w:rPr>
        <w:t>关于进一步完善政府投资项目管理的若干意见》（临政办发〔2018〕167号）文件、除投标函及其附录和预算书外的其它投标文件、经批准的施工组织设计、专项施工方案。</w:t>
      </w:r>
    </w:p>
    <w:p w14:paraId="5C8FA40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1.1.2合同当事人及其他相关方</w:t>
      </w:r>
    </w:p>
    <w:p w14:paraId="16147B5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7ED2EA9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7788F2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B79883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6DFDA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75765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04E435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1.1.2.5设计人：</w:t>
      </w:r>
    </w:p>
    <w:p w14:paraId="0C912E9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CC49A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673D9D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1D8F0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291FD3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D9884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1.1.3工程和设备</w:t>
      </w:r>
    </w:p>
    <w:p w14:paraId="5054DBF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1.1.3.7作为施工现场组成部分的其他场所包括：</w:t>
      </w:r>
      <w:r>
        <w:rPr>
          <w:rFonts w:hint="eastAsia" w:ascii="宋体" w:hAnsi="宋体" w:eastAsia="宋体" w:cs="宋体"/>
          <w:color w:val="auto"/>
          <w:kern w:val="0"/>
          <w:sz w:val="21"/>
          <w:szCs w:val="21"/>
          <w:highlight w:val="none"/>
          <w:u w:val="single"/>
        </w:rPr>
        <w:t xml:space="preserve">                                        </w:t>
      </w:r>
    </w:p>
    <w:p w14:paraId="21DA19C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1.1.3.9永久占地包括：</w:t>
      </w:r>
      <w:r>
        <w:rPr>
          <w:rFonts w:hint="eastAsia" w:ascii="宋体" w:hAnsi="宋体" w:eastAsia="宋体" w:cs="宋体"/>
          <w:color w:val="auto"/>
          <w:kern w:val="0"/>
          <w:sz w:val="21"/>
          <w:szCs w:val="21"/>
          <w:highlight w:val="none"/>
          <w:u w:val="single"/>
        </w:rPr>
        <w:t xml:space="preserve">                                                             </w:t>
      </w:r>
    </w:p>
    <w:p w14:paraId="6F2BCDD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1.1.3.10临时占地包括：</w:t>
      </w:r>
      <w:r>
        <w:rPr>
          <w:rFonts w:hint="eastAsia" w:ascii="宋体" w:hAnsi="宋体" w:eastAsia="宋体" w:cs="宋体"/>
          <w:color w:val="auto"/>
          <w:kern w:val="0"/>
          <w:sz w:val="21"/>
          <w:szCs w:val="21"/>
          <w:highlight w:val="none"/>
          <w:u w:val="single"/>
        </w:rPr>
        <w:t xml:space="preserve">                                                            </w:t>
      </w:r>
    </w:p>
    <w:p w14:paraId="6D4C91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 法律</w:t>
      </w:r>
    </w:p>
    <w:p w14:paraId="7298617D">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适用于合同的其他规范性文件：《浙江省建设工程计价规则》（2018版）、《浙江省房屋建筑与装饰工程预算定额》（2018版）、《浙江省古建筑修缮预算定额》（2018版）、《浙江省园林绿化及仿古建筑工程预算定额》（2018版）、《浙江省建筑安装工程修缮预算定额》（2018版）、《浙江省建设工程施工机械台班费用定额》（2018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u w:val="single"/>
        </w:rPr>
        <w:t>造价》(正刊)</w:t>
      </w:r>
      <w:r>
        <w:rPr>
          <w:rFonts w:hint="eastAsia" w:ascii="宋体" w:hAnsi="宋体" w:eastAsia="宋体" w:cs="宋体"/>
          <w:color w:val="auto"/>
          <w:sz w:val="21"/>
          <w:szCs w:val="21"/>
          <w:highlight w:val="none"/>
          <w:u w:val="single"/>
          <w:lang w:eastAsia="zh-CN"/>
        </w:rPr>
        <w:t>、浙建建[2018]61号、台建[2019]11号、台建[2019]16号、浙建建发[2019]92号、浙建建发（2022）37号、浙建建函[2025]320号等文件</w:t>
      </w:r>
      <w:r>
        <w:rPr>
          <w:rFonts w:hint="eastAsia" w:ascii="宋体" w:hAnsi="宋体" w:eastAsia="宋体" w:cs="宋体"/>
          <w:color w:val="auto"/>
          <w:sz w:val="21"/>
          <w:szCs w:val="21"/>
          <w:highlight w:val="none"/>
          <w:u w:val="single"/>
        </w:rPr>
        <w:t>及工程所在地现行的有关工程造价方面规定、省市建设主管部门有关工程造价文件及相关的定额解释等进行计算工程造价。以上规定的工程量计算规则中没有的子目，其工程量按照有合同约束力的图纸所标示尺寸的理论净量计算。计量采用中华人民共和国法定的基本计量单位。</w:t>
      </w:r>
    </w:p>
    <w:p w14:paraId="443D4C1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3E7D1F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color w:val="auto"/>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color w:val="auto"/>
          <w:sz w:val="21"/>
          <w:szCs w:val="21"/>
          <w:highlight w:val="none"/>
        </w:rPr>
        <w:t>。</w:t>
      </w:r>
    </w:p>
    <w:p w14:paraId="4C8C392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1.4.2发包人提供国外标准、规范的名称：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A3A151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21389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4E7E72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27AB55">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（国家没有相应标准、规范且不使用国外标准、规范时，按发包人和承包人商定的方案施工）</w:t>
      </w:r>
      <w:r>
        <w:rPr>
          <w:rFonts w:hint="eastAsia" w:ascii="宋体" w:hAnsi="宋体" w:eastAsia="宋体" w:cs="宋体"/>
          <w:color w:val="auto"/>
          <w:sz w:val="21"/>
          <w:szCs w:val="21"/>
          <w:highlight w:val="none"/>
        </w:rPr>
        <w:t>。</w:t>
      </w:r>
    </w:p>
    <w:p w14:paraId="072E5E0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0FA9E04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按合同通用条款。</w:t>
      </w:r>
    </w:p>
    <w:p w14:paraId="075B29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2310F28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1.6.1图纸的提供</w:t>
      </w:r>
    </w:p>
    <w:p w14:paraId="6772184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开工日期14天前</w:t>
      </w:r>
      <w:r>
        <w:rPr>
          <w:rFonts w:hint="eastAsia" w:ascii="宋体" w:hAnsi="宋体" w:eastAsia="宋体" w:cs="宋体"/>
          <w:color w:val="auto"/>
          <w:sz w:val="21"/>
          <w:szCs w:val="21"/>
          <w:highlight w:val="none"/>
        </w:rPr>
        <w:t>；</w:t>
      </w:r>
    </w:p>
    <w:p w14:paraId="7F0EF22E">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纸质施工图叁套并附目录清单及与其一致的电子版施工图。</w:t>
      </w:r>
    </w:p>
    <w:p w14:paraId="3A4A8C5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须载明施工图纸名称、工程号、版本、出图日期、目录、已有的变更联系单编号等</w:t>
      </w:r>
      <w:r>
        <w:rPr>
          <w:rFonts w:hint="eastAsia" w:ascii="宋体" w:hAnsi="宋体" w:eastAsia="宋体" w:cs="宋体"/>
          <w:color w:val="auto"/>
          <w:sz w:val="21"/>
          <w:szCs w:val="21"/>
          <w:highlight w:val="none"/>
        </w:rPr>
        <w:t>。</w:t>
      </w:r>
    </w:p>
    <w:p w14:paraId="42572B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1.6.4承包人文件</w:t>
      </w:r>
    </w:p>
    <w:p w14:paraId="711ED56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资金月使用计划，施工组织设计、专项施工方案、工程总进度计划、工程月进度计划表等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highlight w:val="none"/>
        </w:rPr>
        <w:t>；</w:t>
      </w:r>
    </w:p>
    <w:p w14:paraId="1DDEB2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highlight w:val="none"/>
        </w:rPr>
        <w:t>；</w:t>
      </w:r>
    </w:p>
    <w:p w14:paraId="3AF8D03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6D0983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       纸质及电子版本      </w:t>
      </w:r>
      <w:r>
        <w:rPr>
          <w:rFonts w:hint="eastAsia" w:ascii="宋体" w:hAnsi="宋体" w:eastAsia="宋体" w:cs="宋体"/>
          <w:color w:val="auto"/>
          <w:sz w:val="21"/>
          <w:szCs w:val="21"/>
          <w:highlight w:val="none"/>
        </w:rPr>
        <w:t>；</w:t>
      </w:r>
    </w:p>
    <w:p w14:paraId="40F6D58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5277D9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1.6.5现场图纸准备</w:t>
      </w:r>
    </w:p>
    <w:p w14:paraId="4E0B2F8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auto"/>
          <w:sz w:val="21"/>
          <w:szCs w:val="21"/>
          <w:highlight w:val="none"/>
        </w:rPr>
        <w:t>。</w:t>
      </w:r>
    </w:p>
    <w:p w14:paraId="4107882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07BA9C2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29F33B1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1.7.2发包人接收文件的地点：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BEFF23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157742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6DC78B4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EFDBB6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849C91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471E90D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BB1A1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D8F795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79E3EBE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发包人、承包人、监理人的文件接收地址、接收人（含联系电话）发生变动的，应提前3天通知各方。</w:t>
      </w:r>
    </w:p>
    <w:p w14:paraId="6E7F15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1C731E9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1.10.1出入现场的权利</w:t>
      </w:r>
    </w:p>
    <w:p w14:paraId="10801A6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2131F4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1.10.3场内交通</w:t>
      </w:r>
    </w:p>
    <w:p w14:paraId="1214820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pacing w:val="6"/>
          <w:kern w:val="0"/>
          <w:sz w:val="21"/>
          <w:szCs w:val="21"/>
          <w:highlight w:val="none"/>
          <w:u w:val="single"/>
        </w:rPr>
        <w:t>以现场实际施工条件为准</w:t>
      </w:r>
      <w:r>
        <w:rPr>
          <w:rFonts w:hint="eastAsia" w:ascii="宋体" w:hAnsi="宋体" w:eastAsia="宋体" w:cs="宋体"/>
          <w:color w:val="auto"/>
          <w:spacing w:val="6"/>
          <w:sz w:val="21"/>
          <w:szCs w:val="21"/>
          <w:highlight w:val="none"/>
          <w:u w:val="single"/>
        </w:rPr>
        <w:t>。</w:t>
      </w:r>
    </w:p>
    <w:p w14:paraId="48A7CED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1E5BE3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5AA576A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运输超大件或超重件所需的道路和桥梁临时加固改造费用和其他有关费用</w:t>
      </w:r>
      <w:r>
        <w:rPr>
          <w:rFonts w:hint="eastAsia" w:ascii="宋体" w:hAnsi="宋体" w:eastAsia="宋体" w:cs="宋体"/>
          <w:color w:val="auto"/>
          <w:sz w:val="21"/>
          <w:szCs w:val="21"/>
          <w:highlight w:val="none"/>
          <w:u w:val="single"/>
        </w:rPr>
        <w:t>由承包人在报价中综合考虑并承担相关费用。</w:t>
      </w:r>
    </w:p>
    <w:p w14:paraId="02FBCE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78D4F5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648BD6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63F5CA9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1.11.2关于承包人为实施工程所编制文件的著作权的归属：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515706F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76A103D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包含在签约合同价内  </w:t>
      </w:r>
      <w:r>
        <w:rPr>
          <w:rFonts w:hint="eastAsia" w:ascii="宋体" w:hAnsi="宋体" w:eastAsia="宋体" w:cs="宋体"/>
          <w:color w:val="auto"/>
          <w:kern w:val="0"/>
          <w:sz w:val="21"/>
          <w:szCs w:val="21"/>
          <w:highlight w:val="none"/>
        </w:rPr>
        <w:t>。</w:t>
      </w:r>
    </w:p>
    <w:p w14:paraId="380C0A8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 工程量清单错误的修正：</w:t>
      </w:r>
      <w:r>
        <w:rPr>
          <w:rFonts w:hint="eastAsia" w:ascii="宋体" w:hAnsi="宋体" w:eastAsia="宋体" w:cs="宋体"/>
          <w:color w:val="auto"/>
          <w:sz w:val="21"/>
          <w:szCs w:val="21"/>
          <w:highlight w:val="none"/>
          <w:u w:val="single"/>
        </w:rPr>
        <w:t>本工程按定额计价不涉及工程量清单相关规则。</w:t>
      </w:r>
    </w:p>
    <w:p w14:paraId="622D8EB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2．发包人</w:t>
      </w:r>
    </w:p>
    <w:p w14:paraId="775ED6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57BB23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307EAD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24FEB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FF537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C9408E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1F92C1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068E30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44758A5">
      <w:pPr>
        <w:spacing w:line="400" w:lineRule="exact"/>
        <w:ind w:firstLine="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highlight w:val="none"/>
        </w:rPr>
        <w:t>。</w:t>
      </w:r>
    </w:p>
    <w:p w14:paraId="3BC78A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510C68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2.4.1提供施工现场</w:t>
      </w:r>
    </w:p>
    <w:p w14:paraId="23E51D3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开工日期7天前  </w:t>
      </w:r>
      <w:r>
        <w:rPr>
          <w:rFonts w:hint="eastAsia" w:ascii="宋体" w:hAnsi="宋体" w:eastAsia="宋体" w:cs="宋体"/>
          <w:color w:val="auto"/>
          <w:sz w:val="21"/>
          <w:szCs w:val="21"/>
          <w:highlight w:val="none"/>
        </w:rPr>
        <w:t>。</w:t>
      </w:r>
    </w:p>
    <w:p w14:paraId="4C18F8D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2.4.2提供施工条件</w:t>
      </w:r>
    </w:p>
    <w:p w14:paraId="0DCF53D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highlight w:val="none"/>
        </w:rPr>
        <w:t>。</w:t>
      </w:r>
    </w:p>
    <w:p w14:paraId="048569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64D6953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A0E0FF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76B2FD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59435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2.6 支付合同价款</w:t>
      </w:r>
    </w:p>
    <w:p w14:paraId="158D5F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发包人应按合同约定向承包人及时支付合同价款。</w:t>
      </w:r>
    </w:p>
    <w:p w14:paraId="13ED385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2.7 组织竣工验收</w:t>
      </w:r>
    </w:p>
    <w:p w14:paraId="4C0930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发包人应按合同约定及时组织竣工验收。</w:t>
      </w:r>
    </w:p>
    <w:p w14:paraId="6A3C56A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承包人完成合同范围内工程内容，发包人应根据施工图纸、现行施工验收规范和质量验收标准及时组织工程质量验收。</w:t>
      </w:r>
    </w:p>
    <w:p w14:paraId="30AFA69C">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3．承包人</w:t>
      </w:r>
    </w:p>
    <w:p w14:paraId="464B89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351DED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highlight w:val="none"/>
        </w:rPr>
        <w:t>。</w:t>
      </w:r>
    </w:p>
    <w:p w14:paraId="6F14468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满足发包人需求份数    </w:t>
      </w:r>
      <w:r>
        <w:rPr>
          <w:rFonts w:hint="eastAsia" w:ascii="宋体" w:hAnsi="宋体" w:eastAsia="宋体" w:cs="宋体"/>
          <w:color w:val="auto"/>
          <w:sz w:val="21"/>
          <w:szCs w:val="21"/>
          <w:highlight w:val="none"/>
        </w:rPr>
        <w:t>。</w:t>
      </w:r>
    </w:p>
    <w:p w14:paraId="11985E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67ABDDB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工程竣工验收合格后7天内</w:t>
      </w:r>
      <w:r>
        <w:rPr>
          <w:rFonts w:hint="eastAsia" w:ascii="宋体" w:hAnsi="宋体" w:eastAsia="宋体" w:cs="宋体"/>
          <w:color w:val="auto"/>
          <w:sz w:val="21"/>
          <w:szCs w:val="21"/>
          <w:highlight w:val="none"/>
        </w:rPr>
        <w:t>。</w:t>
      </w:r>
    </w:p>
    <w:p w14:paraId="2BEDBDC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纸质及相关电</w:t>
      </w:r>
      <w:bookmarkStart w:id="223" w:name="_GoBack"/>
      <w:bookmarkEnd w:id="223"/>
      <w:r>
        <w:rPr>
          <w:rFonts w:hint="eastAsia" w:ascii="宋体" w:hAnsi="宋体" w:eastAsia="宋体" w:cs="宋体"/>
          <w:color w:val="auto"/>
          <w:sz w:val="21"/>
          <w:szCs w:val="21"/>
          <w:highlight w:val="none"/>
          <w:u w:val="single"/>
        </w:rPr>
        <w:t xml:space="preserve">子数据   </w:t>
      </w:r>
      <w:r>
        <w:rPr>
          <w:rFonts w:hint="eastAsia" w:ascii="宋体" w:hAnsi="宋体" w:eastAsia="宋体" w:cs="宋体"/>
          <w:color w:val="auto"/>
          <w:sz w:val="21"/>
          <w:szCs w:val="21"/>
          <w:highlight w:val="none"/>
        </w:rPr>
        <w:t>。</w:t>
      </w:r>
    </w:p>
    <w:p w14:paraId="2861EE1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（10）承包人应履行的其他义务：</w:t>
      </w:r>
    </w:p>
    <w:p w14:paraId="624B9AF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a.向发包人、监理人提供施工现场办公室各1间免费使用。</w:t>
      </w:r>
    </w:p>
    <w:p w14:paraId="48F392A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b.在施工中必须严格按照规范操作，对不按规范要求施工或未采取防护措施，造成的损失由承包人承担。</w:t>
      </w:r>
    </w:p>
    <w:p w14:paraId="51CDB25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c.本项目施工安全由承包人负总责。</w:t>
      </w:r>
    </w:p>
    <w:p w14:paraId="63A380FA">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d.按当地有关部门要求，</w:t>
      </w:r>
      <w:r>
        <w:rPr>
          <w:rFonts w:hint="eastAsia" w:ascii="宋体" w:hAnsi="宋体" w:eastAsia="宋体" w:cs="宋体"/>
          <w:color w:val="auto"/>
          <w:kern w:val="0"/>
          <w:sz w:val="21"/>
          <w:szCs w:val="21"/>
          <w:highlight w:val="none"/>
          <w:u w:val="single"/>
        </w:rPr>
        <w:t>由承包人办理有关施工场地交通、环卫和施工噪音排放等手续。</w:t>
      </w:r>
    </w:p>
    <w:p w14:paraId="034FD562">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e、施工围挡符合临综执（2025）23号文件及台州府城有关要求，占道费等费用不另外考虑。</w:t>
      </w:r>
    </w:p>
    <w:p w14:paraId="090394D6">
      <w:pPr>
        <w:spacing w:line="400" w:lineRule="exact"/>
        <w:ind w:firstLine="412" w:firstLineChars="200"/>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u w:val="single"/>
          <w:lang w:val="en-US" w:eastAsia="zh-CN"/>
        </w:rPr>
        <w:t>f.涉及到专项评审的及竣工验收等相关专家费，投标单位自行解决，费用自行解决。</w:t>
      </w:r>
    </w:p>
    <w:p w14:paraId="2BA5FA59">
      <w:pPr>
        <w:spacing w:line="400" w:lineRule="exact"/>
        <w:ind w:firstLine="412" w:firstLineChars="200"/>
        <w:rPr>
          <w:rFonts w:hint="default"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u w:val="single"/>
          <w:lang w:val="en-US" w:eastAsia="zh-CN"/>
        </w:rPr>
        <w:t>g.本工程整体水泥、砂、石子、砖、瓦、橡子、望板、板壁、柱、梁、桁、枋等材料及垃圾清运费人工电瓶车人园二次搬运费（含上车、卸车、人机）均由承包人综合考虑并包含在投标报价中，发包人不另行计取。根据《浙江省古建筑修缮工程预算定额（2018 版）》的总说明第七条：“本定额消耗量是在正常的施工条件，合理的施工组织设计及选用合格的建筑材料、成品、半成品的条件下测算编制的。定额消耗量反映的是浙江省古建筑修缮工程的社会平均水平，是完成定额项目规定工作内容每计量单位所需的人工、材料、施工机械的消耗量标准。在确定定额水平时，已综合考虑了古建筑修缮工程施工地点分散、现场狭小、连续作业差、保护原有建筑物及环境设施等造成的不利因素的影响。本定额各项目包括施工过程中的全部工序和工、料、机消耗量，次要工序在工作内容中虽然未一一列出，但均已包括在定额内。”《浙江省古建筑修缮工程预算定额（2018 版）》的总说明第八条：“本定额的人工消耗量按每工日8h工时制考虑。定额中的人工消耗量包括基本用工、超运距用工、辅助用工和人工幅度差。本定额日工资单价按如下编制:垂直运输工程按一类人工日工资单价(125元/工日)计算,单一拆除项目、脚手架工程按二类人工日工资单价(135元/工日)计算，其他工程项目按三类人工日工资单价(155元/工日)计算。”</w:t>
      </w:r>
    </w:p>
    <w:p w14:paraId="4BB6651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lang w:val="en-US" w:eastAsia="zh-CN"/>
        </w:rPr>
        <w:t>h</w:t>
      </w:r>
      <w:r>
        <w:rPr>
          <w:rFonts w:hint="eastAsia" w:ascii="宋体" w:hAnsi="宋体" w:eastAsia="宋体" w:cs="宋体"/>
          <w:color w:val="auto"/>
          <w:kern w:val="0"/>
          <w:sz w:val="21"/>
          <w:szCs w:val="21"/>
          <w:highlight w:val="none"/>
          <w:u w:val="single"/>
        </w:rPr>
        <w:t>. 其他：</w:t>
      </w:r>
    </w:p>
    <w:p w14:paraId="30CBB3E0">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131ADC52">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2B23B040">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③对发包人的现场监督工作予以充分的配合与协助。承包人服从发包人、监理公司的管理，做好交叉施工事宜及其他与本工程施工相关的工作。</w:t>
      </w:r>
    </w:p>
    <w:p w14:paraId="6719CC2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7DE265A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07D76810">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7D8C51E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⑦要加强工程施工车辆的管理，施工车辆不得无故堵塞道路交通，不得沿途抛洒丢弃。</w:t>
      </w:r>
    </w:p>
    <w:p w14:paraId="1383CCA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431E4AE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0BE95D7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3CBCA7C2">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78A0C12A">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3DF2C6F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5188A83A">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77D6A17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3CF31E00">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⑯由承包人的质量安全职能部门每月对本工程施工现场的质量、安全文明、进度等进行全面督查，并将督查结果向发包人汇报。</w:t>
      </w:r>
    </w:p>
    <w:p w14:paraId="3630FE1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4E80FA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⑱工程质量保修期间，承包人须设立电子邮箱，发包人的通知指令发送至承包人设立的电子邮箱，即视为承包人已收到发包人的相关通知。</w:t>
      </w:r>
    </w:p>
    <w:p w14:paraId="33834132">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⑲已竣工工程未交付之前，承包人按协议条款约定负责已完工程的保护工作，保护期间发生损坏，责任方自费予以修复至符合验收条件。</w:t>
      </w:r>
    </w:p>
    <w:p w14:paraId="736984C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⑳承包人应做好安全文明施工，确保施工现场封闭施工和安全隔离工作，相关费用含在合同价款中，不再另外计取。承包人在加固过程中应确保车辆通行，如有必要须封道的应提前通知发包人。</w:t>
      </w:r>
    </w:p>
    <w:p w14:paraId="70263073">
      <w:pPr>
        <w:numPr>
          <w:ilvl w:val="0"/>
          <w:numId w:val="5"/>
        </w:numPr>
        <w:spacing w:line="40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承包人诚实信用的承诺：</w:t>
      </w:r>
      <w:r>
        <w:rPr>
          <w:rFonts w:hint="eastAsia" w:ascii="宋体" w:hAnsi="宋体" w:eastAsia="宋体" w:cs="宋体"/>
          <w:color w:val="auto"/>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highlight w:val="none"/>
        </w:rPr>
        <w:t>。</w:t>
      </w:r>
    </w:p>
    <w:p w14:paraId="087EB882">
      <w:pPr>
        <w:pStyle w:val="31"/>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523EE092">
      <w:pPr>
        <w:spacing w:line="400" w:lineRule="exac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（13）承包人使用新技术、工法、工艺的承诺：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312E2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67A2403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3.2.1</w:t>
      </w:r>
      <w:r>
        <w:rPr>
          <w:rFonts w:hint="eastAsia" w:ascii="宋体" w:hAnsi="宋体" w:eastAsia="宋体" w:cs="宋体"/>
          <w:color w:val="auto"/>
          <w:sz w:val="21"/>
          <w:szCs w:val="21"/>
          <w:highlight w:val="none"/>
        </w:rPr>
        <w:t>项目经理：</w:t>
      </w:r>
    </w:p>
    <w:p w14:paraId="63E2DF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F9C1F0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FC06BF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DD103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398B3E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75627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7608D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9C011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EA8B7F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BE86F9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CD0C587">
      <w:pPr>
        <w:spacing w:line="400" w:lineRule="exact"/>
        <w:ind w:firstLine="436" w:firstLineChars="200"/>
        <w:rPr>
          <w:rFonts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月到岗须不少于24天。月到岗达不到约定天数，每不足一天扣1000元作为违约金，</w:t>
      </w:r>
      <w:r>
        <w:rPr>
          <w:rFonts w:hint="eastAsia" w:ascii="宋体" w:hAnsi="宋体" w:eastAsia="宋体" w:cs="宋体"/>
          <w:color w:val="auto"/>
          <w:sz w:val="21"/>
          <w:szCs w:val="21"/>
          <w:highlight w:val="none"/>
          <w:u w:val="single"/>
        </w:rPr>
        <w:t>在当期工程款支付时扣除</w:t>
      </w:r>
      <w:r>
        <w:rPr>
          <w:rFonts w:hint="eastAsia" w:ascii="宋体" w:hAnsi="宋体" w:eastAsia="宋体" w:cs="宋体"/>
          <w:color w:val="auto"/>
          <w:kern w:val="0"/>
          <w:sz w:val="21"/>
          <w:szCs w:val="21"/>
          <w:highlight w:val="none"/>
        </w:rPr>
        <w:t>。</w:t>
      </w:r>
    </w:p>
    <w:p w14:paraId="58921A5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24394B6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月到岗须达到24天，不足天数按当月日历天计算，对人员不到岗天数每天扣除2000元，在当月进度款支付时扣除；连续三个月达不到要求且项目经理不能到岗的，一次性扣除</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万元，且发包人有权要求承包人更换项目经理，同时由承包人赔偿发包人由此造成的损失，另遇有工程检查、验收或参观等活动时，无特殊原因不得离开施工现场，如未在场，每次扣除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color w:val="auto"/>
          <w:sz w:val="21"/>
          <w:szCs w:val="21"/>
          <w:highlight w:val="none"/>
          <w:u w:val="single"/>
          <w:lang w:val="en-US" w:eastAsia="zh-CN"/>
        </w:rPr>
        <w:t>2000</w:t>
      </w:r>
      <w:r>
        <w:rPr>
          <w:rFonts w:hint="eastAsia" w:ascii="宋体" w:hAnsi="宋体" w:eastAsia="宋体" w:cs="宋体"/>
          <w:color w:val="auto"/>
          <w:sz w:val="21"/>
          <w:szCs w:val="21"/>
          <w:highlight w:val="none"/>
          <w:u w:val="single"/>
        </w:rPr>
        <w:t>元。项目</w:t>
      </w:r>
      <w:r>
        <w:rPr>
          <w:rFonts w:hint="eastAsia" w:ascii="宋体" w:hAnsi="宋体" w:eastAsia="宋体" w:cs="宋体"/>
          <w:color w:val="auto"/>
          <w:sz w:val="21"/>
          <w:szCs w:val="21"/>
          <w:highlight w:val="none"/>
          <w:u w:val="single"/>
          <w:lang w:val="en-US" w:eastAsia="zh-CN"/>
        </w:rPr>
        <w:t>经理</w:t>
      </w:r>
      <w:r>
        <w:rPr>
          <w:rFonts w:hint="eastAsia" w:ascii="宋体" w:hAnsi="宋体" w:eastAsia="宋体" w:cs="宋体"/>
          <w:color w:val="auto"/>
          <w:sz w:val="21"/>
          <w:szCs w:val="21"/>
          <w:highlight w:val="none"/>
          <w:u w:val="single"/>
        </w:rPr>
        <w:t>须参加监理例会等会议不得无故缺席，因无故缺席每次扣除</w:t>
      </w:r>
      <w:r>
        <w:rPr>
          <w:rFonts w:hint="eastAsia" w:ascii="宋体" w:hAnsi="宋体" w:eastAsia="宋体" w:cs="宋体"/>
          <w:color w:val="auto"/>
          <w:sz w:val="21"/>
          <w:szCs w:val="21"/>
          <w:highlight w:val="none"/>
          <w:u w:val="single"/>
          <w:lang w:val="en-US" w:eastAsia="zh-CN"/>
        </w:rPr>
        <w:t>2000</w:t>
      </w:r>
      <w:r>
        <w:rPr>
          <w:rFonts w:hint="eastAsia" w:ascii="宋体" w:hAnsi="宋体" w:eastAsia="宋体" w:cs="宋体"/>
          <w:color w:val="auto"/>
          <w:sz w:val="21"/>
          <w:szCs w:val="21"/>
          <w:highlight w:val="none"/>
          <w:u w:val="single"/>
        </w:rPr>
        <w:t xml:space="preserve">元 </w:t>
      </w:r>
      <w:r>
        <w:rPr>
          <w:rFonts w:hint="eastAsia" w:ascii="宋体" w:hAnsi="宋体" w:eastAsia="宋体" w:cs="宋体"/>
          <w:color w:val="auto"/>
          <w:sz w:val="21"/>
          <w:szCs w:val="21"/>
          <w:highlight w:val="none"/>
        </w:rPr>
        <w:t>。</w:t>
      </w:r>
    </w:p>
    <w:p w14:paraId="32F7449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项目经理履职不到位或管理能力达不到要求，发包人有权要求更换项目经理。承包人接到发包人的通知（书面通知），15天更换符合项目要求的项目经理。如更换的项目经理不符合项目的要求，发包人每次扣除</w:t>
      </w:r>
      <w:r>
        <w:rPr>
          <w:rFonts w:hint="eastAsia" w:ascii="宋体" w:hAnsi="宋体" w:eastAsia="宋体" w:cs="宋体"/>
          <w:color w:val="auto"/>
          <w:sz w:val="21"/>
          <w:szCs w:val="21"/>
          <w:highlight w:val="none"/>
          <w:u w:val="single"/>
          <w:lang w:val="en-US" w:eastAsia="zh-CN"/>
        </w:rPr>
        <w:t>5000</w:t>
      </w:r>
      <w:r>
        <w:rPr>
          <w:rFonts w:hint="eastAsia" w:ascii="宋体" w:hAnsi="宋体" w:eastAsia="宋体" w:cs="宋体"/>
          <w:color w:val="auto"/>
          <w:sz w:val="21"/>
          <w:szCs w:val="21"/>
          <w:highlight w:val="none"/>
          <w:u w:val="single"/>
        </w:rPr>
        <w:t>元，直到更换符合项目要求的项目经理。</w:t>
      </w:r>
    </w:p>
    <w:p w14:paraId="7923AB74">
      <w:pPr>
        <w:autoSpaceDE w:val="0"/>
        <w:autoSpaceDN w:val="0"/>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3.2.3承包人擅自更换项目经理的违约责任：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如承包人需更换项目经理，承包人向发包人提出</w:t>
      </w:r>
    </w:p>
    <w:p w14:paraId="2A14E053">
      <w:pPr>
        <w:autoSpaceDE w:val="0"/>
        <w:autoSpaceDN w:val="0"/>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申请，需征得发包人同意后方可更换，并报所在地建设行政主管部门批准、备案，更换到位的项目经理资质、信用等级不低于原项目经理。不管任何情形每更换一人次扣除违约金</w:t>
      </w:r>
      <w:r>
        <w:rPr>
          <w:rFonts w:hint="eastAsia" w:ascii="宋体" w:hAnsi="宋体" w:eastAsia="宋体" w:cs="宋体"/>
          <w:color w:val="auto"/>
          <w:sz w:val="21"/>
          <w:szCs w:val="21"/>
          <w:highlight w:val="none"/>
          <w:u w:val="single"/>
          <w:lang w:val="en-US" w:eastAsia="zh-CN"/>
        </w:rPr>
        <w:t>5000</w:t>
      </w:r>
      <w:r>
        <w:rPr>
          <w:rFonts w:hint="eastAsia" w:ascii="宋体" w:hAnsi="宋体" w:eastAsia="宋体" w:cs="宋体"/>
          <w:color w:val="auto"/>
          <w:sz w:val="21"/>
          <w:szCs w:val="21"/>
          <w:highlight w:val="none"/>
          <w:u w:val="single"/>
        </w:rPr>
        <w:t>元，及至发包人可通知承包人全部解除合同，所有履约担保金归发包人，并赔偿发包人损失</w:t>
      </w:r>
      <w:r>
        <w:rPr>
          <w:rFonts w:hint="eastAsia" w:ascii="宋体" w:hAnsi="宋体" w:eastAsia="宋体" w:cs="宋体"/>
          <w:color w:val="auto"/>
          <w:sz w:val="21"/>
          <w:szCs w:val="21"/>
          <w:highlight w:val="none"/>
        </w:rPr>
        <w:t>。</w:t>
      </w:r>
    </w:p>
    <w:p w14:paraId="613AF2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3.2.4承包人无正当理由拒绝更换项目经理的违约责任：</w:t>
      </w:r>
      <w:r>
        <w:rPr>
          <w:rFonts w:hint="eastAsia" w:ascii="宋体" w:hAnsi="宋体" w:eastAsia="宋体" w:cs="宋体"/>
          <w:color w:val="auto"/>
          <w:sz w:val="21"/>
          <w:szCs w:val="21"/>
          <w:highlight w:val="none"/>
          <w:u w:val="single"/>
        </w:rPr>
        <w:t>发包人可通知承包人解除合同，所有履约担保金不予返还，同时赔偿发包人损失。</w:t>
      </w:r>
    </w:p>
    <w:p w14:paraId="660388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6D5875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3.3.1承包人提交项目管理机构及施工现场管理人员安排报告的期限：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接到开工通知（或确定开工日期）后7天内 </w:t>
      </w:r>
      <w:r>
        <w:rPr>
          <w:rFonts w:hint="eastAsia" w:ascii="宋体" w:hAnsi="宋体" w:eastAsia="宋体" w:cs="宋体"/>
          <w:color w:val="auto"/>
          <w:sz w:val="21"/>
          <w:szCs w:val="21"/>
          <w:highlight w:val="none"/>
        </w:rPr>
        <w:t>。</w:t>
      </w:r>
    </w:p>
    <w:p w14:paraId="669B1CA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3.3.3承包人无正当理由拒绝撤换主要施工管理人员的违约责任：</w:t>
      </w:r>
      <w:r>
        <w:rPr>
          <w:rFonts w:hint="eastAsia" w:ascii="宋体" w:hAnsi="宋体" w:eastAsia="宋体" w:cs="宋体"/>
          <w:color w:val="auto"/>
          <w:sz w:val="21"/>
          <w:szCs w:val="21"/>
          <w:highlight w:val="none"/>
          <w:u w:val="single"/>
        </w:rPr>
        <w:t>发包人可通知承包人全部解除合同，所有履约担保金不予返还，同时赔偿发包人损失。</w:t>
      </w:r>
    </w:p>
    <w:p w14:paraId="4DC20DE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3.3.4承包人主要施工管理人员离开施工现场的批准要求：</w:t>
      </w:r>
      <w:r>
        <w:rPr>
          <w:rFonts w:hint="eastAsia" w:ascii="宋体" w:hAnsi="宋体" w:eastAsia="宋体" w:cs="宋体"/>
          <w:color w:val="auto"/>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highlight w:val="none"/>
        </w:rPr>
        <w:t>。</w:t>
      </w:r>
    </w:p>
    <w:p w14:paraId="0F22B7A3">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如承包人需更换</w:t>
      </w:r>
      <w:r>
        <w:rPr>
          <w:rFonts w:hint="eastAsia" w:ascii="宋体" w:hAnsi="宋体" w:eastAsia="宋体" w:cs="宋体"/>
          <w:color w:val="auto"/>
          <w:sz w:val="21"/>
          <w:szCs w:val="21"/>
          <w:highlight w:val="none"/>
          <w:u w:val="single"/>
          <w:lang w:val="en-US" w:eastAsia="zh-CN"/>
        </w:rPr>
        <w:t>技术负责人、</w:t>
      </w:r>
      <w:r>
        <w:rPr>
          <w:rFonts w:hint="eastAsia" w:ascii="宋体" w:hAnsi="宋体" w:eastAsia="宋体" w:cs="宋体"/>
          <w:color w:val="auto"/>
          <w:sz w:val="21"/>
          <w:szCs w:val="21"/>
          <w:highlight w:val="none"/>
          <w:u w:val="single"/>
        </w:rPr>
        <w:t>关键岗位人员</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承包人向发包人提出申请，需征得发包人同意后方可更换，并报所在地建设行政主管部门批准、备案，更换到位的</w:t>
      </w:r>
      <w:r>
        <w:rPr>
          <w:rFonts w:hint="eastAsia" w:ascii="宋体" w:hAnsi="宋体" w:eastAsia="宋体" w:cs="宋体"/>
          <w:color w:val="auto"/>
          <w:sz w:val="21"/>
          <w:szCs w:val="21"/>
          <w:highlight w:val="none"/>
          <w:u w:val="single"/>
          <w:lang w:val="en-US" w:eastAsia="zh-CN"/>
        </w:rPr>
        <w:t>技术负责人及</w:t>
      </w:r>
      <w:r>
        <w:rPr>
          <w:rFonts w:hint="eastAsia" w:ascii="宋体" w:hAnsi="宋体" w:eastAsia="宋体" w:cs="宋体"/>
          <w:color w:val="auto"/>
          <w:sz w:val="21"/>
          <w:szCs w:val="21"/>
          <w:highlight w:val="none"/>
          <w:u w:val="single"/>
        </w:rPr>
        <w:t>其他关键岗位人员、信用等级不低于</w:t>
      </w:r>
      <w:r>
        <w:rPr>
          <w:rFonts w:hint="eastAsia" w:ascii="宋体" w:hAnsi="宋体" w:eastAsia="宋体" w:cs="宋体"/>
          <w:color w:val="auto"/>
          <w:sz w:val="21"/>
          <w:szCs w:val="21"/>
          <w:highlight w:val="none"/>
          <w:u w:val="single"/>
          <w:lang w:val="en-US" w:eastAsia="zh-CN"/>
        </w:rPr>
        <w:t>技术负责人及</w:t>
      </w:r>
      <w:r>
        <w:rPr>
          <w:rFonts w:hint="eastAsia" w:ascii="宋体" w:hAnsi="宋体" w:eastAsia="宋体" w:cs="宋体"/>
          <w:color w:val="auto"/>
          <w:sz w:val="21"/>
          <w:szCs w:val="21"/>
          <w:highlight w:val="none"/>
          <w:u w:val="single"/>
        </w:rPr>
        <w:t>其他关键岗</w:t>
      </w:r>
    </w:p>
    <w:p w14:paraId="491FA72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位人员。不管任何情形技术负责人每更换一人次扣除违约金</w:t>
      </w:r>
      <w:r>
        <w:rPr>
          <w:rFonts w:hint="eastAsia" w:ascii="宋体" w:hAnsi="宋体" w:eastAsia="宋体" w:cs="宋体"/>
          <w:color w:val="auto"/>
          <w:sz w:val="21"/>
          <w:szCs w:val="21"/>
          <w:highlight w:val="none"/>
          <w:u w:val="single"/>
          <w:lang w:val="en-US" w:eastAsia="zh-CN"/>
        </w:rPr>
        <w:t>3000</w:t>
      </w:r>
      <w:r>
        <w:rPr>
          <w:rFonts w:hint="eastAsia" w:ascii="宋体" w:hAnsi="宋体" w:eastAsia="宋体" w:cs="宋体"/>
          <w:color w:val="auto"/>
          <w:sz w:val="21"/>
          <w:szCs w:val="21"/>
          <w:highlight w:val="none"/>
          <w:u w:val="single"/>
        </w:rPr>
        <w:t>元，其他关键岗位人员每更换一人次</w:t>
      </w:r>
      <w:r>
        <w:rPr>
          <w:rFonts w:hint="eastAsia" w:ascii="宋体" w:hAnsi="宋体" w:eastAsia="宋体" w:cs="宋体"/>
          <w:color w:val="auto"/>
          <w:sz w:val="21"/>
          <w:szCs w:val="21"/>
          <w:highlight w:val="none"/>
          <w:u w:val="single"/>
          <w:lang w:val="en-US" w:eastAsia="zh-CN"/>
        </w:rPr>
        <w:t>扣除</w:t>
      </w:r>
      <w:r>
        <w:rPr>
          <w:rFonts w:hint="eastAsia" w:ascii="宋体" w:hAnsi="宋体" w:eastAsia="宋体" w:cs="宋体"/>
          <w:color w:val="auto"/>
          <w:sz w:val="21"/>
          <w:szCs w:val="21"/>
          <w:highlight w:val="none"/>
          <w:u w:val="single"/>
        </w:rPr>
        <w:t>违约金</w:t>
      </w:r>
      <w:r>
        <w:rPr>
          <w:rFonts w:hint="eastAsia" w:ascii="宋体" w:hAnsi="宋体" w:eastAsia="宋体" w:cs="宋体"/>
          <w:color w:val="auto"/>
          <w:sz w:val="21"/>
          <w:szCs w:val="21"/>
          <w:highlight w:val="none"/>
          <w:u w:val="single"/>
          <w:lang w:val="en-US" w:eastAsia="zh-CN"/>
        </w:rPr>
        <w:t>2000</w:t>
      </w:r>
      <w:r>
        <w:rPr>
          <w:rFonts w:hint="eastAsia" w:ascii="宋体" w:hAnsi="宋体" w:eastAsia="宋体" w:cs="宋体"/>
          <w:color w:val="auto"/>
          <w:sz w:val="21"/>
          <w:szCs w:val="21"/>
          <w:highlight w:val="none"/>
          <w:u w:val="single"/>
        </w:rPr>
        <w:t>元</w:t>
      </w:r>
      <w:r>
        <w:rPr>
          <w:rFonts w:hint="eastAsia" w:ascii="宋体" w:hAnsi="宋体" w:eastAsia="宋体" w:cs="宋体"/>
          <w:color w:val="auto"/>
          <w:sz w:val="21"/>
          <w:szCs w:val="21"/>
          <w:highlight w:val="none"/>
          <w:u w:val="single"/>
          <w:lang w:eastAsia="zh-CN"/>
        </w:rPr>
        <w:t>。</w:t>
      </w:r>
    </w:p>
    <w:p w14:paraId="6BDE53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关键岗位人员</w:t>
      </w:r>
      <w:r>
        <w:rPr>
          <w:rFonts w:hint="eastAsia" w:ascii="宋体" w:hAnsi="宋体" w:eastAsia="宋体" w:cs="宋体"/>
          <w:color w:val="auto"/>
          <w:sz w:val="21"/>
          <w:szCs w:val="21"/>
          <w:highlight w:val="none"/>
          <w:u w:val="single"/>
          <w:lang w:val="en-US" w:eastAsia="zh-CN"/>
        </w:rPr>
        <w:t>月</w:t>
      </w:r>
      <w:r>
        <w:rPr>
          <w:rFonts w:hint="eastAsia" w:ascii="宋体" w:hAnsi="宋体" w:eastAsia="宋体" w:cs="宋体"/>
          <w:color w:val="auto"/>
          <w:sz w:val="21"/>
          <w:szCs w:val="21"/>
          <w:highlight w:val="none"/>
          <w:u w:val="single"/>
        </w:rPr>
        <w:t>到岗达不到2</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天的，不足天数按当月日历天计算，对不到岗天数每人次每天扣除</w:t>
      </w:r>
      <w:r>
        <w:rPr>
          <w:rFonts w:hint="eastAsia" w:ascii="宋体" w:hAnsi="宋体" w:eastAsia="宋体" w:cs="宋体"/>
          <w:color w:val="auto"/>
          <w:sz w:val="21"/>
          <w:szCs w:val="21"/>
          <w:highlight w:val="none"/>
          <w:u w:val="single"/>
          <w:lang w:val="en-US" w:eastAsia="zh-CN"/>
        </w:rPr>
        <w:t>300</w:t>
      </w:r>
      <w:r>
        <w:rPr>
          <w:rFonts w:hint="eastAsia" w:ascii="宋体" w:hAnsi="宋体" w:eastAsia="宋体" w:cs="宋体"/>
          <w:color w:val="auto"/>
          <w:sz w:val="21"/>
          <w:szCs w:val="21"/>
          <w:highlight w:val="none"/>
          <w:u w:val="single"/>
        </w:rPr>
        <w:t>元，在当月进度款支付时扣除。某关键岗位人员连续三个月到岗率达不到要求且不能到岗的，一次性扣</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000元，且发包人有权要求承包人更换该关键岗位人员，以上违约金从最近一期工程进度款中扣除。</w:t>
      </w:r>
    </w:p>
    <w:p w14:paraId="3BE161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 分包</w:t>
      </w:r>
    </w:p>
    <w:p w14:paraId="343787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3.5.1分包的一般约定</w:t>
      </w:r>
    </w:p>
    <w:p w14:paraId="7486F9C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工程主体结构、关键性工作   </w:t>
      </w:r>
      <w:r>
        <w:rPr>
          <w:rFonts w:hint="eastAsia" w:ascii="宋体" w:hAnsi="宋体" w:eastAsia="宋体" w:cs="宋体"/>
          <w:color w:val="auto"/>
          <w:sz w:val="21"/>
          <w:szCs w:val="21"/>
          <w:highlight w:val="none"/>
        </w:rPr>
        <w:t>。</w:t>
      </w:r>
    </w:p>
    <w:p w14:paraId="445F8DA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DF1ABD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3.5.2分包的确定</w:t>
      </w:r>
    </w:p>
    <w:p w14:paraId="7BA7E5D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2D3A0B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A3930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3.5.4分包合同价款</w:t>
      </w:r>
    </w:p>
    <w:p w14:paraId="2C2643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985973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3EDE406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按合同通用条款执行</w:t>
      </w:r>
      <w:r>
        <w:rPr>
          <w:rFonts w:hint="eastAsia" w:ascii="宋体" w:hAnsi="宋体" w:eastAsia="宋体" w:cs="宋体"/>
          <w:color w:val="auto"/>
          <w:kern w:val="0"/>
          <w:sz w:val="21"/>
          <w:szCs w:val="21"/>
          <w:highlight w:val="none"/>
        </w:rPr>
        <w:t>。</w:t>
      </w:r>
    </w:p>
    <w:p w14:paraId="50E7E7B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38A0E7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提供履约担保</w:t>
      </w:r>
      <w:r>
        <w:rPr>
          <w:rFonts w:hint="eastAsia" w:ascii="宋体" w:hAnsi="宋体" w:eastAsia="宋体" w:cs="宋体"/>
          <w:color w:val="auto"/>
          <w:sz w:val="21"/>
          <w:szCs w:val="21"/>
          <w:highlight w:val="none"/>
        </w:rPr>
        <w:t>。</w:t>
      </w:r>
    </w:p>
    <w:p w14:paraId="79B077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w:t>
      </w:r>
      <w:r>
        <w:rPr>
          <w:rFonts w:hint="eastAsia" w:ascii="宋体" w:hAnsi="宋体" w:eastAsia="宋体" w:cs="宋体"/>
          <w:color w:val="auto"/>
          <w:sz w:val="21"/>
          <w:szCs w:val="21"/>
          <w:highlight w:val="none"/>
          <w:u w:val="single"/>
        </w:rPr>
        <w:t>按招标文件规定执行，履约担保金额为中标合同金额的2%。签订工程合同时提供履约保函，保函形式为工程保函（银行保函、保险机构保证保险保单和融资担保公司保函 ）</w:t>
      </w:r>
    </w:p>
    <w:p w14:paraId="0FB164D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发包人在工程竣工验收后10天内，向承包人全额返还；承包人应保证履约担保在工程竣工验收前持续有效。</w:t>
      </w:r>
    </w:p>
    <w:p w14:paraId="07C52C9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非承包人原因导致的工期延长，承包人继续提供履约担保所增加的费用由发包人承担。</w:t>
      </w:r>
    </w:p>
    <w:p w14:paraId="452A696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4．监理人</w:t>
      </w:r>
    </w:p>
    <w:p w14:paraId="6B16AA4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监理人的一般规定</w:t>
      </w:r>
    </w:p>
    <w:p w14:paraId="44E71C7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按本工程监理合同约定内容</w:t>
      </w:r>
      <w:r>
        <w:rPr>
          <w:rFonts w:hint="eastAsia" w:ascii="宋体" w:hAnsi="宋体" w:eastAsia="宋体" w:cs="宋体"/>
          <w:color w:val="auto"/>
          <w:sz w:val="21"/>
          <w:szCs w:val="21"/>
          <w:highlight w:val="none"/>
        </w:rPr>
        <w:t>。</w:t>
      </w:r>
    </w:p>
    <w:p w14:paraId="5CAEA2E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auto"/>
          <w:sz w:val="21"/>
          <w:szCs w:val="21"/>
          <w:highlight w:val="none"/>
        </w:rPr>
        <w:t>〕。</w:t>
      </w:r>
    </w:p>
    <w:p w14:paraId="5AEE33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由承包人免费提供办公室1间使用。</w:t>
      </w:r>
    </w:p>
    <w:p w14:paraId="703731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028E5E3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35EE3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E0E15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4370E0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09963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1A56EB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563C8E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341B24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1C292F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（1）监理人授权超出合同约定，承包人有权提出异议，如监理人对于承包人合理的异议不予接受，则承包人可要求发包人就该事项作出处理决定；</w:t>
      </w:r>
    </w:p>
    <w:p w14:paraId="7FE4B01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（2）对于监理人更换其委派的监理人员，监理人在征得发包人同意后应当提前48小时书面通知承包人；</w:t>
      </w:r>
    </w:p>
    <w:p w14:paraId="6A5783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（3）监理人对其监理人员的任何授权，承包人均有权要求监理人提供书面的授权文件，否则，承包人有权拒绝接受监理人员的指示。</w:t>
      </w:r>
    </w:p>
    <w:p w14:paraId="206F3CC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42B75B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27E2979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4D97CB">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CC4D98F">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0B962DD">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5．工程质量</w:t>
      </w:r>
    </w:p>
    <w:p w14:paraId="65F397C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12E02D4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5.1.1特殊质量标准和要求：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F5D181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关于工程质量奖项的约定：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516975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2990094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按合同通用条款执行。</w:t>
      </w:r>
    </w:p>
    <w:p w14:paraId="04247F1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03911BC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小时，由此导致工期延误的，工期予以顺延。</w:t>
      </w:r>
    </w:p>
    <w:p w14:paraId="0031954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重要节点的隐蔽工程验收过程、验收部位除办理纸质验收记录，承包人还应保留验收部位、验收过程、验收人员相片、影像等资料。</w:t>
      </w:r>
    </w:p>
    <w:p w14:paraId="17D0437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6．安全文明施工与环境保护</w:t>
      </w:r>
    </w:p>
    <w:p w14:paraId="7F23178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 安全文明施工</w:t>
      </w:r>
    </w:p>
    <w:p w14:paraId="693639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6.1.1项目安全生产的达标目标及相应事项的约定：</w:t>
      </w:r>
      <w:r>
        <w:rPr>
          <w:rFonts w:hint="eastAsia" w:ascii="宋体" w:hAnsi="宋体" w:eastAsia="宋体" w:cs="宋体"/>
          <w:color w:val="auto"/>
          <w:sz w:val="21"/>
          <w:szCs w:val="21"/>
          <w:highlight w:val="none"/>
          <w:u w:val="single"/>
        </w:rPr>
        <w:t>按《浙江省建筑施工安全标准化管理规定》（浙建建〔2012〕54号），</w:t>
      </w:r>
      <w:r>
        <w:rPr>
          <w:rFonts w:hint="eastAsia" w:ascii="宋体" w:hAnsi="宋体" w:eastAsia="宋体" w:cs="宋体"/>
          <w:color w:val="auto"/>
          <w:sz w:val="21"/>
          <w:szCs w:val="21"/>
          <w:highlight w:val="none"/>
          <w:u w:val="single"/>
        </w:rPr>
        <w:t>《台州市扬尘污染防治管理办法》</w:t>
      </w:r>
      <w:r>
        <w:rPr>
          <w:rFonts w:hint="eastAsia" w:ascii="宋体" w:hAnsi="宋体" w:eastAsia="宋体" w:cs="宋体"/>
          <w:color w:val="auto"/>
          <w:sz w:val="21"/>
          <w:szCs w:val="21"/>
          <w:highlight w:val="none"/>
          <w:u w:val="single"/>
        </w:rPr>
        <w:t>及工程所在地相关主管部门发布的有关施工现场安全文明施工（含扬尘防护、监测），门禁考勤管理，噪音、污水排放，视频监控</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eastAsia="zh-CN"/>
        </w:rPr>
        <w:t>施工围挡符合临综执（2025）23号文件及台州府城有关要求</w:t>
      </w:r>
      <w:r>
        <w:rPr>
          <w:rFonts w:hint="eastAsia" w:ascii="宋体" w:hAnsi="宋体" w:eastAsia="宋体" w:cs="宋体"/>
          <w:color w:val="auto"/>
          <w:sz w:val="21"/>
          <w:szCs w:val="21"/>
          <w:highlight w:val="none"/>
          <w:u w:val="single"/>
        </w:rPr>
        <w:t>等管理规定执行</w:t>
      </w: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val="en-US" w:eastAsia="zh-CN"/>
        </w:rPr>
        <w:t>随时</w:t>
      </w:r>
      <w:r>
        <w:rPr>
          <w:rFonts w:hint="eastAsia" w:ascii="宋体" w:hAnsi="宋体" w:eastAsia="宋体" w:cs="宋体"/>
          <w:color w:val="auto"/>
          <w:sz w:val="21"/>
          <w:szCs w:val="21"/>
          <w:highlight w:val="none"/>
        </w:rPr>
        <w:t>根据工程所在地管理部门对该区域内现场安全文明施工</w:t>
      </w:r>
      <w:r>
        <w:rPr>
          <w:rFonts w:hint="eastAsia" w:ascii="宋体" w:hAnsi="宋体" w:eastAsia="宋体" w:cs="宋体"/>
          <w:color w:val="auto"/>
          <w:sz w:val="21"/>
          <w:szCs w:val="21"/>
          <w:highlight w:val="none"/>
          <w:lang w:val="en-US" w:eastAsia="zh-CN"/>
        </w:rPr>
        <w:t>的不同规定和</w:t>
      </w:r>
      <w:r>
        <w:rPr>
          <w:rFonts w:hint="eastAsia" w:ascii="宋体" w:hAnsi="宋体" w:eastAsia="宋体" w:cs="宋体"/>
          <w:color w:val="auto"/>
          <w:sz w:val="21"/>
          <w:szCs w:val="21"/>
          <w:highlight w:val="none"/>
        </w:rPr>
        <w:t>要求</w:t>
      </w:r>
      <w:r>
        <w:rPr>
          <w:rFonts w:hint="eastAsia" w:ascii="宋体" w:hAnsi="宋体" w:eastAsia="宋体" w:cs="宋体"/>
          <w:color w:val="auto"/>
          <w:sz w:val="21"/>
          <w:szCs w:val="21"/>
          <w:highlight w:val="none"/>
          <w:lang w:val="en-US" w:eastAsia="zh-CN"/>
        </w:rPr>
        <w:t>进行</w:t>
      </w:r>
      <w:r>
        <w:rPr>
          <w:rFonts w:hint="eastAsia" w:ascii="宋体" w:hAnsi="宋体" w:eastAsia="宋体" w:cs="宋体"/>
          <w:color w:val="auto"/>
          <w:sz w:val="21"/>
          <w:szCs w:val="21"/>
          <w:highlight w:val="none"/>
        </w:rPr>
        <w:t>调整）</w:t>
      </w:r>
    </w:p>
    <w:p w14:paraId="2B2909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6.1.4关于治安保卫的特别约定：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7481C2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6C7B75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6.1.5文明施工</w:t>
      </w:r>
    </w:p>
    <w:p w14:paraId="34BEE48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按省、市发有关文明施工管理规定执行</w:t>
      </w:r>
      <w:r>
        <w:rPr>
          <w:rFonts w:hint="eastAsia" w:ascii="宋体" w:hAnsi="宋体" w:eastAsia="宋体" w:cs="宋体"/>
          <w:color w:val="auto"/>
          <w:sz w:val="21"/>
          <w:szCs w:val="21"/>
          <w:highlight w:val="none"/>
        </w:rPr>
        <w:t>。</w:t>
      </w:r>
    </w:p>
    <w:p w14:paraId="3A6E9C1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6.1.6关于安全文明施工费支付比例和支付期限的约定：</w:t>
      </w:r>
      <w:r>
        <w:rPr>
          <w:rFonts w:hint="eastAsia" w:ascii="宋体" w:hAnsi="宋体" w:eastAsia="宋体" w:cs="宋体"/>
          <w:color w:val="auto"/>
          <w:sz w:val="21"/>
          <w:szCs w:val="21"/>
          <w:highlight w:val="none"/>
          <w:u w:val="single"/>
        </w:rPr>
        <w:t>安全文明施工费预付费用包含在工程预付款内，支付比例为安全文明施工费总额的100% ；安全文明施工费的使用按通用条款执行。</w:t>
      </w:r>
    </w:p>
    <w:p w14:paraId="75CFDF0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p>
    <w:p w14:paraId="37FDAA6A">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7．工期和进度</w:t>
      </w:r>
    </w:p>
    <w:p w14:paraId="4C027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4FAB465F">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7.1.1合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对特殊工艺施工、危险性较大分部分项工程施工，应按规定办理审批手续和按当地建设行政主管部门要求组织专家论证。</w:t>
      </w:r>
    </w:p>
    <w:p w14:paraId="1E4F4565">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14:paraId="24EA7C86">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highlight w:val="none"/>
        </w:rPr>
        <w:t>；</w:t>
      </w:r>
    </w:p>
    <w:p w14:paraId="27D7D0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收到相应文件后7天内</w:t>
      </w:r>
      <w:r>
        <w:rPr>
          <w:rFonts w:hint="eastAsia" w:ascii="宋体" w:hAnsi="宋体" w:eastAsia="宋体" w:cs="宋体"/>
          <w:color w:val="auto"/>
          <w:sz w:val="21"/>
          <w:szCs w:val="21"/>
          <w:highlight w:val="none"/>
        </w:rPr>
        <w:t>。</w:t>
      </w:r>
    </w:p>
    <w:p w14:paraId="69582C4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施工进度计划</w:t>
      </w:r>
    </w:p>
    <w:p w14:paraId="22EC564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7.2.2施工进度计划的修订</w:t>
      </w:r>
    </w:p>
    <w:p w14:paraId="35837C8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2D73747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29416A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7.3.1开工准备</w:t>
      </w:r>
    </w:p>
    <w:p w14:paraId="5945FA1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接到开工通知（或确定开工日期）后7天内</w:t>
      </w:r>
      <w:r>
        <w:rPr>
          <w:rFonts w:hint="eastAsia" w:ascii="宋体" w:hAnsi="宋体" w:eastAsia="宋体" w:cs="宋体"/>
          <w:color w:val="auto"/>
          <w:sz w:val="21"/>
          <w:szCs w:val="21"/>
          <w:highlight w:val="none"/>
        </w:rPr>
        <w:t>。</w:t>
      </w:r>
    </w:p>
    <w:p w14:paraId="09CC88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开工前7天</w:t>
      </w:r>
      <w:r>
        <w:rPr>
          <w:rFonts w:hint="eastAsia" w:ascii="宋体" w:hAnsi="宋体" w:eastAsia="宋体" w:cs="宋体"/>
          <w:color w:val="auto"/>
          <w:sz w:val="21"/>
          <w:szCs w:val="21"/>
          <w:highlight w:val="none"/>
        </w:rPr>
        <w:t>。</w:t>
      </w:r>
    </w:p>
    <w:p w14:paraId="01E1AC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w:t>
      </w:r>
    </w:p>
    <w:p w14:paraId="25D9C2B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7276EA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发包人（或监理人）在计划开工日期前7天向承包人发出开工通知，工期自开工通知中载明的开工日期起算。</w:t>
      </w:r>
    </w:p>
    <w:p w14:paraId="631BA09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62569A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4B09387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58D135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 工期延误</w:t>
      </w:r>
    </w:p>
    <w:p w14:paraId="769941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7.5.1因发包人原因导致工期延误</w:t>
      </w:r>
    </w:p>
    <w:p w14:paraId="491063F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5D77C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7.5.2因承包人原因导致工期延误</w:t>
      </w:r>
    </w:p>
    <w:p w14:paraId="4116EFC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u w:val="single"/>
          <w:lang w:val="en-US" w:eastAsia="zh-CN"/>
        </w:rPr>
        <w:t>按</w:t>
      </w:r>
      <w:r>
        <w:rPr>
          <w:rFonts w:hint="eastAsia" w:ascii="宋体" w:hAnsi="宋体" w:eastAsia="宋体" w:cs="宋体"/>
          <w:color w:val="auto"/>
          <w:sz w:val="21"/>
          <w:szCs w:val="21"/>
          <w:highlight w:val="none"/>
          <w:u w:val="single"/>
        </w:rPr>
        <w:t>每天</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00元</w:t>
      </w:r>
      <w:r>
        <w:rPr>
          <w:rFonts w:hint="eastAsia" w:ascii="宋体" w:hAnsi="宋体" w:eastAsia="宋体" w:cs="宋体"/>
          <w:color w:val="auto"/>
          <w:sz w:val="21"/>
          <w:szCs w:val="21"/>
          <w:highlight w:val="none"/>
          <w:u w:val="single"/>
          <w:lang w:val="en-US" w:eastAsia="zh-CN"/>
        </w:rPr>
        <w:t>计取</w:t>
      </w:r>
      <w:r>
        <w:rPr>
          <w:rFonts w:hint="eastAsia" w:ascii="宋体" w:hAnsi="宋体" w:eastAsia="宋体" w:cs="宋体"/>
          <w:color w:val="auto"/>
          <w:sz w:val="21"/>
          <w:szCs w:val="21"/>
          <w:highlight w:val="none"/>
        </w:rPr>
        <w:t>。</w:t>
      </w:r>
    </w:p>
    <w:p w14:paraId="1E71695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履约保证金额度，对发包人造成损失超过违约金的，除承担违约金外同时赔偿发包人损失</w:t>
      </w:r>
      <w:r>
        <w:rPr>
          <w:rFonts w:hint="eastAsia" w:ascii="宋体" w:hAnsi="宋体" w:eastAsia="宋体" w:cs="宋体"/>
          <w:color w:val="auto"/>
          <w:sz w:val="21"/>
          <w:szCs w:val="21"/>
          <w:highlight w:val="none"/>
        </w:rPr>
        <w:t>。</w:t>
      </w:r>
    </w:p>
    <w:p w14:paraId="6081D9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7.6 不利物质条件</w:t>
      </w:r>
    </w:p>
    <w:p w14:paraId="3244E57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p>
    <w:p w14:paraId="2A0EC4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每天连续停水、停电超过8小时以上。</w:t>
      </w:r>
    </w:p>
    <w:p w14:paraId="15B7261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因政府行政命令（因承包人原因的除外）。</w:t>
      </w:r>
    </w:p>
    <w:p w14:paraId="276B496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非因双方原因而无法控制的爆炸、火灾等事件。</w:t>
      </w:r>
    </w:p>
    <w:p w14:paraId="338679E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施工场地周围地下管线保护，地下障碍物和污染物排除，邻近建筑物、构筑物的保护要求。</w:t>
      </w:r>
    </w:p>
    <w:p w14:paraId="63038ED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地质勘探资料未涉及的地下管道、暗沟、岩层等。</w:t>
      </w:r>
    </w:p>
    <w:p w14:paraId="467CCAF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049150B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7.7 异常恶劣的气候条件</w:t>
      </w:r>
    </w:p>
    <w:p w14:paraId="4B79CC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5FA0F74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8-10级（含10级）持续24小时的大风（台风）</w:t>
      </w:r>
      <w:r>
        <w:rPr>
          <w:rFonts w:hint="eastAsia" w:ascii="宋体" w:hAnsi="宋体" w:eastAsia="宋体" w:cs="宋体"/>
          <w:color w:val="auto"/>
          <w:sz w:val="21"/>
          <w:szCs w:val="21"/>
          <w:highlight w:val="none"/>
        </w:rPr>
        <w:t>；</w:t>
      </w:r>
    </w:p>
    <w:p w14:paraId="1A15870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24小时内持续降雨且降水量为200mm以上</w:t>
      </w:r>
      <w:r>
        <w:rPr>
          <w:rFonts w:hint="eastAsia" w:ascii="宋体" w:hAnsi="宋体" w:eastAsia="宋体" w:cs="宋体"/>
          <w:color w:val="auto"/>
          <w:sz w:val="21"/>
          <w:szCs w:val="21"/>
          <w:highlight w:val="none"/>
        </w:rPr>
        <w:t>；</w:t>
      </w:r>
    </w:p>
    <w:p w14:paraId="71D65F9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40摄氏度及以上且持续2天以上的高温天气</w:t>
      </w:r>
      <w:r>
        <w:rPr>
          <w:rFonts w:hint="eastAsia" w:ascii="宋体" w:hAnsi="宋体" w:eastAsia="宋体" w:cs="宋体"/>
          <w:color w:val="auto"/>
          <w:sz w:val="21"/>
          <w:szCs w:val="21"/>
          <w:highlight w:val="none"/>
        </w:rPr>
        <w:t>。</w:t>
      </w:r>
    </w:p>
    <w:p w14:paraId="64634DF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1097A5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564A711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BA47B97">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8．材料与设备</w:t>
      </w:r>
    </w:p>
    <w:p w14:paraId="5E585B6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8.1 发包人供应材料与工程设备</w:t>
      </w:r>
    </w:p>
    <w:p w14:paraId="073C40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本工程中</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材料由发包人提供。</w:t>
      </w:r>
    </w:p>
    <w:p w14:paraId="177305B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材料费用（除税价款）在每期应付工程款（或竣工结算）的税前工程造价中扣回。（适用一般计税方法）</w:t>
      </w:r>
    </w:p>
    <w:p w14:paraId="723A44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8.2 承包人采购材料与工程设备</w:t>
      </w:r>
    </w:p>
    <w:p w14:paraId="0483458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（1）材料品牌、规格和使用要求：按招标文件（相应）技术标准和要求执行。</w:t>
      </w:r>
    </w:p>
    <w:p w14:paraId="7903099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（2）本工程已确定承包价的建筑材料均由承包人自行询价、采购、运输和保管。散装水泥及新型墙体材料的使用须符合相关规定，否则相关押金由承包人承担。</w:t>
      </w:r>
    </w:p>
    <w:p w14:paraId="6301AEA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（3）本工程要求使用材料要求</w:t>
      </w:r>
      <w:r>
        <w:rPr>
          <w:rFonts w:hint="eastAsia" w:ascii="宋体" w:hAnsi="宋体" w:eastAsia="宋体" w:cs="宋体"/>
          <w:color w:val="auto"/>
          <w:sz w:val="21"/>
          <w:szCs w:val="21"/>
          <w:highlight w:val="none"/>
          <w:u w:val="single"/>
        </w:rPr>
        <w:t>：商品混凝土。</w:t>
      </w:r>
    </w:p>
    <w:p w14:paraId="157D18B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（4）所有材料必须有质保书或合格证，符合施工图纸和规范要求，且品牌、产地需报发包人备案，否则，因此产生的后果均由承包人负责。</w:t>
      </w:r>
    </w:p>
    <w:p w14:paraId="48427CE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凡是招标文件注明规格、型号或相当于的厂家（品牌、产地）的材料，承包人必须按照招标文件要求采购和施工，优先使用相当于的厂家（品牌、产地），如需调整，必须经得发包人认可，否则由此引起的后果由承包人承担。</w:t>
      </w:r>
    </w:p>
    <w:p w14:paraId="4F028A6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（6）所有设备、材料和预制构件等均需有产品合格证和质保书、试验（试车）报告等必要资料，符合国家规定的技术标准和设计图纸要求的标准，并且须经发包人及监理单位验收合格后方可使用。</w:t>
      </w:r>
    </w:p>
    <w:p w14:paraId="56424B8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（7）根据工程需要，发包人有权对承包人投标时确认的品牌进行更换，更换后的材料价格由发包人签证进行结算。</w:t>
      </w:r>
    </w:p>
    <w:p w14:paraId="43C5A06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（8）合同中原暂定价材料或由工程变更产生的无价材料（按有关规定可不组织招标采购的）由承包人采购时，应由发包人签证确定价格后采购，发包人收到承包人价格确定申请后，7日内审批完毕。</w:t>
      </w:r>
    </w:p>
    <w:p w14:paraId="16D4C61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 材料与工程设备的保管与使用</w:t>
      </w:r>
    </w:p>
    <w:p w14:paraId="5F5DA33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8.4.1发包人供应的材料设备的保管费用的承担：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8CE377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17279C5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8.6.1样品的报送与封存</w:t>
      </w:r>
    </w:p>
    <w:p w14:paraId="45B1516C">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  （如有要封存样品，明确具体样品名称）  </w:t>
      </w:r>
      <w:r>
        <w:rPr>
          <w:rFonts w:hint="eastAsia" w:ascii="宋体" w:hAnsi="宋体" w:eastAsia="宋体" w:cs="宋体"/>
          <w:color w:val="auto"/>
          <w:sz w:val="21"/>
          <w:szCs w:val="21"/>
          <w:highlight w:val="none"/>
        </w:rPr>
        <w:t>。</w:t>
      </w:r>
    </w:p>
    <w:p w14:paraId="1FBB1F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057960E6">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8.8.1承包人提供的施工设备和临时设施</w:t>
      </w:r>
    </w:p>
    <w:p w14:paraId="1A31B810">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7EDED4DA">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9．试验与检验</w:t>
      </w:r>
    </w:p>
    <w:p w14:paraId="12E175A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 试验设备与试验人员</w:t>
      </w:r>
    </w:p>
    <w:p w14:paraId="5F0C57E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9.1.2试验设备</w:t>
      </w:r>
    </w:p>
    <w:p w14:paraId="742A0AB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1FA8A08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50D4A63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2269881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 材料、工程设备和工程的试验和检验</w:t>
      </w:r>
    </w:p>
    <w:p w14:paraId="2CE1DA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9.3.4材料、设备和工程的试验和检验的费用：</w:t>
      </w:r>
    </w:p>
    <w:p w14:paraId="11CC252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70538E9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BB3103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288EE4A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507D337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9.4 现场工艺试验</w:t>
      </w:r>
    </w:p>
    <w:p w14:paraId="2BDA777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1CE9F8A">
      <w:pPr>
        <w:pStyle w:val="6"/>
        <w:keepNext w:val="0"/>
        <w:keepLines w:val="0"/>
        <w:numPr>
          <w:ilvl w:val="0"/>
          <w:numId w:val="6"/>
        </w:numPr>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变更</w:t>
      </w:r>
    </w:p>
    <w:p w14:paraId="28C573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10.1 变更的范围</w:t>
      </w:r>
    </w:p>
    <w:p w14:paraId="01E2D9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按合同通用条款。工程变更引起工程量的减少或增加，承包人不得因此拒绝施工。</w:t>
      </w:r>
    </w:p>
    <w:p w14:paraId="05F79F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69ED4AA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10.4.1变更估价原则</w:t>
      </w:r>
    </w:p>
    <w:p w14:paraId="2EF462A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变更项目的计价口径同合同约定计价方法，按约定的工程预算定额计价，预算定额中无合适定额子目的由发包人签证确定。</w:t>
      </w:r>
    </w:p>
    <w:p w14:paraId="7105B4F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10.4.2变更估价程序</w:t>
      </w:r>
    </w:p>
    <w:p w14:paraId="5CB7688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承包人收到发包人、监理人、设计单位的变更指示后14天内向发包人提交变更估价申请。</w:t>
      </w:r>
    </w:p>
    <w:p w14:paraId="1F12E94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承包人提出工程变更、专项施工方案等变更应同时提交变更估价申请。</w:t>
      </w:r>
    </w:p>
    <w:p w14:paraId="45AE2AA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承包人提交的变更估价申请，发包人和监理人应予以签收，并在14天内审批完毕。</w:t>
      </w:r>
    </w:p>
    <w:p w14:paraId="240B19D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10.5 承包人的合理化建议</w:t>
      </w:r>
    </w:p>
    <w:p w14:paraId="0BDE309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458154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5747B82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5E0E5C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 暂估价</w:t>
      </w:r>
    </w:p>
    <w:p w14:paraId="43E7337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暂估价材料和工程设备的明细详见附件11：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967F8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10.7.1依法必须招标的暂估价项目</w:t>
      </w:r>
    </w:p>
    <w:p w14:paraId="5A33DCD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F62454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10.7.2不属于依法必须招标的暂估价项目：</w:t>
      </w:r>
      <w:r>
        <w:rPr>
          <w:rFonts w:hint="eastAsia" w:ascii="宋体" w:hAnsi="宋体" w:eastAsia="宋体" w:cs="宋体"/>
          <w:color w:val="auto"/>
          <w:sz w:val="21"/>
          <w:szCs w:val="21"/>
          <w:highlight w:val="none"/>
          <w:u w:val="single"/>
        </w:rPr>
        <w:t>按合同通用条款。</w:t>
      </w:r>
    </w:p>
    <w:p w14:paraId="656200F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0E4D2B4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CCDA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6FEE8D2B">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4A08F22A">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11．价格调整</w:t>
      </w:r>
    </w:p>
    <w:p w14:paraId="765615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18E2798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人工、材料结算价格按以下方法调整。本条约定的调整时间均为在施工工期范围内。人工（含机上人工）调整的差价部分只计取税金及民工工伤保险费。</w:t>
      </w:r>
    </w:p>
    <w:p w14:paraId="4C5808B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14:paraId="59B4DE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29C2CA9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第2种方式：本工程的人工、材料结算单价，按施工期内的信息价《台州造价（正刊）》（工程所在地）的平均值计算。</w:t>
      </w:r>
    </w:p>
    <w:p w14:paraId="5DA4436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E01206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 法律变化引起的调整 ：</w:t>
      </w:r>
      <w:r>
        <w:rPr>
          <w:rFonts w:hint="eastAsia" w:ascii="宋体" w:hAnsi="宋体" w:eastAsia="宋体" w:cs="宋体"/>
          <w:color w:val="auto"/>
          <w:sz w:val="21"/>
          <w:szCs w:val="21"/>
          <w:highlight w:val="none"/>
          <w:u w:val="single"/>
        </w:rPr>
        <w:t xml:space="preserve"> 按省级或行业建设主管部门或其授权的工程造价管理机构发布的规定执行。</w:t>
      </w:r>
    </w:p>
    <w:p w14:paraId="573DE2B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12．合同价格、计量与支付</w:t>
      </w:r>
    </w:p>
    <w:p w14:paraId="33340EC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14:paraId="2D4F0CCF">
      <w:pPr>
        <w:pStyle w:val="11"/>
        <w:adjustRightInd w:val="0"/>
        <w:spacing w:line="400" w:lineRule="exact"/>
        <w:ind w:firstLine="412" w:firstLineChars="200"/>
        <w:rPr>
          <w:rFonts w:hAnsi="宋体" w:eastAsia="宋体" w:cs="宋体"/>
          <w:color w:val="auto"/>
          <w:kern w:val="0"/>
          <w:sz w:val="21"/>
          <w:szCs w:val="21"/>
          <w:highlight w:val="none"/>
        </w:rPr>
      </w:pPr>
      <w:r>
        <w:rPr>
          <w:rFonts w:hint="eastAsia" w:hAnsi="宋体" w:eastAsia="宋体" w:cs="宋体"/>
          <w:color w:val="auto"/>
          <w:kern w:val="0"/>
          <w:sz w:val="21"/>
          <w:szCs w:val="21"/>
          <w:highlight w:val="none"/>
        </w:rPr>
        <w:t>本合同价款采用第</w:t>
      </w:r>
      <w:r>
        <w:rPr>
          <w:rFonts w:hint="eastAsia" w:hAnsi="宋体" w:eastAsia="宋体" w:cs="宋体"/>
          <w:color w:val="auto"/>
          <w:kern w:val="0"/>
          <w:sz w:val="21"/>
          <w:szCs w:val="21"/>
          <w:highlight w:val="none"/>
          <w:u w:val="single"/>
        </w:rPr>
        <w:t xml:space="preserve">  3  </w:t>
      </w:r>
      <w:r>
        <w:rPr>
          <w:rFonts w:hint="eastAsia" w:hAnsi="宋体" w:eastAsia="宋体" w:cs="宋体"/>
          <w:color w:val="auto"/>
          <w:kern w:val="0"/>
          <w:sz w:val="21"/>
          <w:szCs w:val="21"/>
          <w:highlight w:val="none"/>
        </w:rPr>
        <w:t>种方式</w:t>
      </w:r>
      <w:r>
        <w:rPr>
          <w:rFonts w:hint="eastAsia" w:hAnsi="宋体" w:eastAsia="宋体" w:cs="宋体"/>
          <w:color w:val="auto"/>
          <w:sz w:val="21"/>
          <w:szCs w:val="21"/>
          <w:highlight w:val="none"/>
          <w:u w:val="single"/>
        </w:rPr>
        <w:t>其他价格形式合同</w:t>
      </w:r>
      <w:r>
        <w:rPr>
          <w:rFonts w:hint="eastAsia" w:hAnsi="宋体" w:eastAsia="宋体" w:cs="宋体"/>
          <w:color w:val="auto"/>
          <w:kern w:val="0"/>
          <w:sz w:val="21"/>
          <w:szCs w:val="21"/>
          <w:highlight w:val="none"/>
        </w:rPr>
        <w:t>确定。</w:t>
      </w:r>
    </w:p>
    <w:p w14:paraId="303046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469DD4E">
      <w:pPr>
        <w:tabs>
          <w:tab w:val="left" w:pos="0"/>
        </w:tabs>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A563A9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9654A7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EC961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B1E034D">
      <w:pPr>
        <w:tabs>
          <w:tab w:val="left" w:pos="0"/>
        </w:tabs>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w:t>
      </w:r>
      <w:r>
        <w:rPr>
          <w:rFonts w:hint="eastAsia" w:ascii="宋体" w:hAnsi="宋体" w:eastAsia="宋体" w:cs="宋体"/>
          <w:color w:val="auto"/>
          <w:kern w:val="0"/>
          <w:sz w:val="21"/>
          <w:szCs w:val="21"/>
          <w:highlight w:val="none"/>
          <w:u w:val="single"/>
        </w:rPr>
        <w:t>工程造价按工程预算定额计价乘以结算率（1-下浮率）确定。</w:t>
      </w:r>
    </w:p>
    <w:p w14:paraId="39AC36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合同约定的风险范围：</w:t>
      </w:r>
    </w:p>
    <w:p w14:paraId="17A8EC2B">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439D6FC0">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（1）</w:t>
      </w:r>
      <w:r>
        <w:rPr>
          <w:rFonts w:hint="eastAsia" w:ascii="宋体" w:hAnsi="宋体" w:eastAsia="宋体" w:cs="宋体"/>
          <w:color w:val="auto"/>
          <w:sz w:val="21"/>
          <w:szCs w:val="21"/>
          <w:highlight w:val="none"/>
          <w:u w:val="single"/>
        </w:rPr>
        <w:t>《浙江省建设工程计价规则》（2018版）、《浙江省房屋建筑与装饰工程预算定额》（2018版）、《浙江省古建筑修缮预算定额》（2018版）、《浙江省园林绿化及仿古建筑工程预算定额》（2018版）、《浙江省建筑安装工程修缮预算定额》（2018版）、《浙江省建设工程施工机械台班费用定额》（2018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u w:val="single"/>
        </w:rPr>
        <w:t>造价》(正刊)</w:t>
      </w:r>
      <w:r>
        <w:rPr>
          <w:rFonts w:hint="eastAsia" w:ascii="宋体" w:hAnsi="宋体" w:eastAsia="宋体" w:cs="宋体"/>
          <w:color w:val="auto"/>
          <w:sz w:val="21"/>
          <w:szCs w:val="21"/>
          <w:highlight w:val="none"/>
          <w:u w:val="single"/>
          <w:lang w:eastAsia="zh-CN"/>
        </w:rPr>
        <w:t>、浙建建[2018]61号、台建[2019]11号、台建[2019]16号、浙建建发[2019]92号、浙建建发（2022）37号、浙建建函[2025]320号等文件</w:t>
      </w:r>
      <w:r>
        <w:rPr>
          <w:rFonts w:hint="eastAsia" w:ascii="宋体" w:hAnsi="宋体" w:eastAsia="宋体" w:cs="宋体"/>
          <w:color w:val="auto"/>
          <w:sz w:val="21"/>
          <w:szCs w:val="21"/>
          <w:highlight w:val="none"/>
          <w:u w:val="single"/>
        </w:rPr>
        <w:t>及工程所在地现行的有关工程造价方面规定、省市建设主管部门有关工程造价文件及相关的定额解释等</w:t>
      </w:r>
      <w:r>
        <w:rPr>
          <w:rFonts w:hint="eastAsia" w:hAnsi="宋体" w:eastAsia="宋体" w:cs="宋体"/>
          <w:color w:val="auto"/>
          <w:kern w:val="0"/>
          <w:sz w:val="21"/>
          <w:szCs w:val="21"/>
          <w:highlight w:val="none"/>
          <w:u w:val="single"/>
        </w:rPr>
        <w:t>及发包人提供的预算编制说明中规定的工程量计算规则计算，由承包人计量、发包人及有关部门审核。</w:t>
      </w:r>
    </w:p>
    <w:p w14:paraId="566DD1D9">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（2）工程结算率：           ；</w:t>
      </w:r>
    </w:p>
    <w:p w14:paraId="507F9908">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（3）施工组织措施项目内容及对应费率：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w:t>
      </w:r>
    </w:p>
    <w:p w14:paraId="02ECBAC8">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（4）规费费率：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税金税率：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xml:space="preserve"> ；</w:t>
      </w:r>
    </w:p>
    <w:p w14:paraId="128C29CF">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（5）企业管理费、利润、施工组织措施费、规费的计算基数为人工及机械台班费，基数中单价按人工、机械台班的定额单价计算；</w:t>
      </w:r>
    </w:p>
    <w:p w14:paraId="0CE683EC">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（6）签证确定的某个施工内容的施工价（或工料机完全价）仅计算税金及工伤保险费，不纳入工程下浮率（或结算率计算）。</w:t>
      </w:r>
    </w:p>
    <w:p w14:paraId="53E9B46D">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无承包价（暂定价）或工程变更新增的单项材料、设备、专业分包工程由发包人签证或招标确定的价格，不纳入工程下浮率（或结算率）计算；</w:t>
      </w:r>
    </w:p>
    <w:p w14:paraId="56976E90">
      <w:pPr>
        <w:pStyle w:val="11"/>
        <w:widowControl/>
        <w:numPr>
          <w:ilvl w:val="0"/>
          <w:numId w:val="7"/>
        </w:numPr>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计日工综合单价（工数经发包人签证，综合单价按技术工</w:t>
      </w:r>
      <w:r>
        <w:rPr>
          <w:rFonts w:hint="eastAsia" w:hAnsi="宋体" w:eastAsia="宋体" w:cs="宋体"/>
          <w:color w:val="auto"/>
          <w:kern w:val="0"/>
          <w:sz w:val="21"/>
          <w:szCs w:val="21"/>
          <w:highlight w:val="none"/>
          <w:u w:val="single"/>
          <w:lang w:val="en-US" w:eastAsia="zh-CN"/>
        </w:rPr>
        <w:t>260</w:t>
      </w:r>
      <w:r>
        <w:rPr>
          <w:rFonts w:hint="eastAsia" w:hAnsi="宋体" w:eastAsia="宋体" w:cs="宋体"/>
          <w:color w:val="auto"/>
          <w:kern w:val="0"/>
          <w:sz w:val="21"/>
          <w:szCs w:val="21"/>
          <w:highlight w:val="none"/>
          <w:u w:val="single"/>
        </w:rPr>
        <w:t>元/工日、普工1</w:t>
      </w:r>
      <w:r>
        <w:rPr>
          <w:rFonts w:hint="eastAsia" w:hAnsi="宋体" w:eastAsia="宋体" w:cs="宋体"/>
          <w:color w:val="auto"/>
          <w:kern w:val="0"/>
          <w:sz w:val="21"/>
          <w:szCs w:val="21"/>
          <w:highlight w:val="none"/>
          <w:u w:val="single"/>
          <w:lang w:val="en-US" w:eastAsia="zh-CN"/>
        </w:rPr>
        <w:t>8</w:t>
      </w:r>
      <w:r>
        <w:rPr>
          <w:rFonts w:hint="eastAsia" w:hAnsi="宋体" w:eastAsia="宋体" w:cs="宋体"/>
          <w:color w:val="auto"/>
          <w:kern w:val="0"/>
          <w:sz w:val="21"/>
          <w:szCs w:val="21"/>
          <w:highlight w:val="none"/>
          <w:u w:val="single"/>
        </w:rPr>
        <w:t>0元/工日计取）；该项费用仅另计算税金。</w:t>
      </w:r>
    </w:p>
    <w:p w14:paraId="78DC37A9">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（8）其他可能发生的费用：</w:t>
      </w:r>
    </w:p>
    <w:p w14:paraId="377848E4">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2D6E25C1">
      <w:pPr>
        <w:pStyle w:val="11"/>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b.实际施工中可能发生街道管理费、干扰费、环保费、占道</w:t>
      </w:r>
      <w:r>
        <w:rPr>
          <w:rFonts w:hint="eastAsia" w:ascii="宋体" w:hAnsi="宋体" w:eastAsia="宋体" w:cs="宋体"/>
          <w:color w:val="auto"/>
          <w:kern w:val="0"/>
          <w:sz w:val="21"/>
          <w:szCs w:val="21"/>
          <w:highlight w:val="none"/>
          <w:u w:val="single"/>
          <w:lang w:val="en-US" w:eastAsia="zh-CN"/>
        </w:rPr>
        <w:t>费</w:t>
      </w:r>
      <w:r>
        <w:rPr>
          <w:rFonts w:hint="eastAsia" w:ascii="宋体" w:hAnsi="宋体" w:eastAsia="宋体" w:cs="宋体"/>
          <w:color w:val="auto"/>
          <w:kern w:val="0"/>
          <w:sz w:val="21"/>
          <w:szCs w:val="21"/>
          <w:highlight w:val="none"/>
          <w:u w:val="single"/>
          <w:lang w:eastAsia="zh-CN"/>
        </w:rPr>
        <w:t>、</w:t>
      </w:r>
      <w:r>
        <w:rPr>
          <w:rFonts w:hint="eastAsia" w:ascii="宋体" w:hAnsi="宋体" w:eastAsia="宋体" w:cs="宋体"/>
          <w:color w:val="auto"/>
          <w:kern w:val="0"/>
          <w:sz w:val="21"/>
          <w:szCs w:val="21"/>
          <w:highlight w:val="none"/>
          <w:u w:val="single"/>
          <w:lang w:val="en-US" w:eastAsia="zh-CN"/>
        </w:rPr>
        <w:t>施工围挡</w:t>
      </w:r>
      <w:r>
        <w:rPr>
          <w:rFonts w:hint="eastAsia" w:ascii="宋体" w:hAnsi="宋体" w:eastAsia="宋体" w:cs="宋体"/>
          <w:color w:val="auto"/>
          <w:kern w:val="0"/>
          <w:sz w:val="21"/>
          <w:szCs w:val="21"/>
          <w:highlight w:val="none"/>
          <w:u w:val="single"/>
        </w:rPr>
        <w:t>等其它费用</w:t>
      </w:r>
      <w:r>
        <w:rPr>
          <w:rFonts w:hint="eastAsia" w:ascii="宋体" w:hAnsi="宋体" w:eastAsia="宋体" w:cs="宋体"/>
          <w:color w:val="auto"/>
          <w:kern w:val="0"/>
          <w:sz w:val="21"/>
          <w:szCs w:val="21"/>
          <w:highlight w:val="none"/>
          <w:u w:val="single"/>
          <w:lang w:eastAsia="zh-CN"/>
        </w:rPr>
        <w:t>，</w:t>
      </w:r>
      <w:r>
        <w:rPr>
          <w:rFonts w:hint="eastAsia" w:ascii="宋体" w:hAnsi="宋体" w:eastAsia="宋体" w:cs="宋体"/>
          <w:color w:val="auto"/>
          <w:kern w:val="0"/>
          <w:sz w:val="21"/>
          <w:szCs w:val="21"/>
          <w:highlight w:val="none"/>
          <w:u w:val="single"/>
        </w:rPr>
        <w:t>由承包人自行解决</w:t>
      </w:r>
      <w:r>
        <w:rPr>
          <w:rFonts w:hint="eastAsia" w:ascii="宋体" w:hAnsi="宋体" w:eastAsia="宋体" w:cs="宋体"/>
          <w:color w:val="auto"/>
          <w:kern w:val="0"/>
          <w:sz w:val="21"/>
          <w:szCs w:val="21"/>
          <w:highlight w:val="none"/>
          <w:u w:val="single"/>
        </w:rPr>
        <w:t>。</w:t>
      </w:r>
    </w:p>
    <w:p w14:paraId="3792480E">
      <w:pPr>
        <w:pStyle w:val="11"/>
        <w:widowControl/>
        <w:adjustRightInd w:val="0"/>
        <w:spacing w:line="400" w:lineRule="exact"/>
        <w:ind w:firstLine="412" w:firstLineChars="200"/>
        <w:rPr>
          <w:rFonts w:hint="default"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u w:val="single"/>
          <w:lang w:val="en-US" w:eastAsia="zh-CN"/>
        </w:rPr>
        <w:t>c.</w:t>
      </w:r>
      <w:r>
        <w:rPr>
          <w:rFonts w:hint="eastAsia" w:ascii="宋体" w:hAnsi="宋体" w:eastAsia="宋体" w:cs="宋体"/>
          <w:color w:val="auto"/>
          <w:kern w:val="0"/>
          <w:sz w:val="21"/>
          <w:szCs w:val="21"/>
          <w:highlight w:val="none"/>
          <w:u w:val="single"/>
          <w:lang w:val="en-US" w:eastAsia="zh-CN"/>
        </w:rPr>
        <w:t>施工方承担</w:t>
      </w:r>
      <w:r>
        <w:rPr>
          <w:rFonts w:hint="eastAsia" w:ascii="宋体" w:hAnsi="宋体" w:eastAsia="宋体" w:cs="宋体"/>
          <w:color w:val="auto"/>
          <w:kern w:val="0"/>
          <w:sz w:val="21"/>
          <w:szCs w:val="21"/>
          <w:highlight w:val="none"/>
          <w:u w:val="single"/>
        </w:rPr>
        <w:t>承诺所需其他费用、图纸会审费、专家费、评审费、会务费最终成果展示等一切费用。</w:t>
      </w:r>
    </w:p>
    <w:p w14:paraId="65883D8C">
      <w:pPr>
        <w:pStyle w:val="11"/>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lang w:val="en-US" w:eastAsia="zh-CN"/>
        </w:rPr>
        <w:t>d</w:t>
      </w:r>
      <w:r>
        <w:rPr>
          <w:rFonts w:hint="eastAsia" w:ascii="宋体" w:hAnsi="宋体" w:eastAsia="宋体" w:cs="宋体"/>
          <w:color w:val="auto"/>
          <w:kern w:val="0"/>
          <w:sz w:val="21"/>
          <w:szCs w:val="21"/>
          <w:highlight w:val="none"/>
          <w:u w:val="single"/>
        </w:rPr>
        <w:t>.机械运杂费：大型机械进出场费和大型机械安拆费一次性包死，不论实际用于本工程的机械设备是否增加或变动，均不予调整，投标人投标时综合考虑。</w:t>
      </w:r>
    </w:p>
    <w:p w14:paraId="5BD97632">
      <w:pPr>
        <w:spacing w:line="400" w:lineRule="exact"/>
        <w:ind w:firstLine="412" w:firstLineChars="200"/>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u w:val="single"/>
          <w:lang w:val="en-US" w:eastAsia="zh-CN"/>
        </w:rPr>
        <w:t>g.本工程整体水泥、砂、石子、砖、瓦、橡子、望板、板壁、柱、梁、桁、枋等材料及垃圾清运费人工电瓶车人园二次搬运费（含上车、卸车、人机）均由承包人综合考虑并包含在投标报价中，发包人不另行计取。根据《浙江省古建筑修缮工程预算定额（2018 版）》的总说明第七条：“本定额消耗量是在正常的施工条件，合理的施工组织设计及选用合格的建筑材料、成品、半成品的条件下测算编制的。定额消耗量反映的是浙江省古建筑修缮工程的社会平均水平，是完成定额项目规定工作内容每计量单位所需的人工、材料、施工机械的消耗量标准。在确定定额水平时，已综合考虑了古建筑修缮工程施工地点分散、现场狭小、连续作业差、保护原有建筑物及环境设施等造成的不利因素的影响。本定额各项目包括施工过程中的全部工序和工、料、机消耗量，次要工序在工作内容中虽然未一一列出，但均已包括在定额内。”《浙江省古建筑修缮工程预算定额（2018 版）》的总说明第八条：“本定额的人工消耗量按每工日8h工时制考虑。定额中的人工消耗量包括基本用工、超运距用工、辅助用工和人工幅度差。本定额日工资单价按如下编制:垂直运输工程按一类人工日工资单价(125元/工日)计算,单一拆除项目、脚手架工程按二类人工日工资单价(135元/工日)计算，其他工程项目按三类人工日工资单价(155元/工日)计算。”</w:t>
      </w:r>
    </w:p>
    <w:p w14:paraId="5FEC9A00">
      <w:pPr>
        <w:pStyle w:val="11"/>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lang w:val="en-US" w:eastAsia="zh-CN"/>
        </w:rPr>
        <w:t>h.</w:t>
      </w:r>
      <w:r>
        <w:rPr>
          <w:rFonts w:hint="eastAsia" w:ascii="宋体" w:hAnsi="宋体" w:eastAsia="宋体" w:cs="宋体"/>
          <w:color w:val="auto"/>
          <w:kern w:val="0"/>
          <w:sz w:val="21"/>
          <w:szCs w:val="21"/>
          <w:highlight w:val="none"/>
          <w:u w:val="single"/>
        </w:rPr>
        <w:t>本工程白蚁防护请专业机构制定白蚁防治专项方案，不计入本次预算。</w:t>
      </w:r>
    </w:p>
    <w:p w14:paraId="5446B0E5">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i.碑林小瀛洲的石碑和碑墙加固保护和遮挡一项按除税价1000元计入预算。</w:t>
      </w:r>
    </w:p>
    <w:p w14:paraId="441AB225">
      <w:pPr>
        <w:pStyle w:val="11"/>
        <w:widowControl/>
        <w:adjustRightInd w:val="0"/>
        <w:spacing w:line="400" w:lineRule="exact"/>
        <w:ind w:firstLine="412" w:firstLineChars="200"/>
        <w:rPr>
          <w:rFonts w:hint="default"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j.新更换的木构件全部增加防火漆二遍和木材防腐涂刷ACQ三遍；</w:t>
      </w:r>
    </w:p>
    <w:p w14:paraId="35AF8104">
      <w:pPr>
        <w:pStyle w:val="11"/>
        <w:widowControl/>
        <w:adjustRightInd w:val="0"/>
        <w:spacing w:line="400" w:lineRule="exact"/>
        <w:ind w:firstLine="412" w:firstLineChars="200"/>
        <w:rPr>
          <w:rFonts w:hint="default"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k.本预算审核结果已包括定额用量的施工用水用电费用；</w:t>
      </w:r>
    </w:p>
    <w:p w14:paraId="216FCC4A">
      <w:pPr>
        <w:pStyle w:val="11"/>
        <w:widowControl/>
        <w:adjustRightInd w:val="0"/>
        <w:spacing w:line="400" w:lineRule="exact"/>
        <w:ind w:firstLine="412" w:firstLineChars="200"/>
        <w:rPr>
          <w:rFonts w:hint="default"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l.其他参照预算审核报告。</w:t>
      </w:r>
    </w:p>
    <w:p w14:paraId="63BEC3E3">
      <w:pPr>
        <w:pStyle w:val="10"/>
        <w:ind w:left="0" w:leftChars="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6C95551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6B5C0D5E">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rPr>
        <w:t>（1）工程量按照</w:t>
      </w:r>
      <w:r>
        <w:rPr>
          <w:rFonts w:hint="eastAsia" w:ascii="宋体" w:hAnsi="宋体" w:eastAsia="宋体" w:cs="宋体"/>
          <w:color w:val="auto"/>
          <w:sz w:val="21"/>
          <w:szCs w:val="21"/>
          <w:highlight w:val="none"/>
          <w:u w:val="single"/>
        </w:rPr>
        <w:t>《浙江省建设工程计价规则》（2018版）、《浙江省房屋建筑与装饰工程预算定额》（2018版）、《浙江省古建筑修缮预算定额》（2018版）、《浙江省园林绿化及仿古建筑工程预算定额》（2018版）、《浙江省建筑安装工程修缮预算定额》（2018版）、《浙江省建设工程施工机械台班费用定额》（2018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u w:val="single"/>
        </w:rPr>
        <w:t>造价》(正刊)</w:t>
      </w:r>
      <w:r>
        <w:rPr>
          <w:rFonts w:hint="eastAsia" w:ascii="宋体" w:hAnsi="宋体" w:eastAsia="宋体" w:cs="宋体"/>
          <w:color w:val="auto"/>
          <w:sz w:val="21"/>
          <w:szCs w:val="21"/>
          <w:highlight w:val="none"/>
          <w:u w:val="single"/>
          <w:lang w:eastAsia="zh-CN"/>
        </w:rPr>
        <w:t>、浙建建[2018]61号、台建[2019]11号、台建[2019]16号、浙建建发[2019]92号、浙建建发（2022）37号、浙建建函[2025]320号等文件</w:t>
      </w:r>
      <w:r>
        <w:rPr>
          <w:rFonts w:hint="eastAsia" w:ascii="宋体" w:hAnsi="宋体" w:eastAsia="宋体" w:cs="宋体"/>
          <w:color w:val="auto"/>
          <w:sz w:val="21"/>
          <w:szCs w:val="21"/>
          <w:highlight w:val="none"/>
          <w:u w:val="single"/>
        </w:rPr>
        <w:t>及工程所在地现行的有关工程造价方面规定、省市建设主管部门有关工程造价文件及相关的定额解释等</w:t>
      </w:r>
      <w:r>
        <w:rPr>
          <w:rFonts w:hint="eastAsia" w:hAnsi="宋体" w:eastAsia="宋体" w:cs="宋体"/>
          <w:color w:val="auto"/>
          <w:kern w:val="0"/>
          <w:sz w:val="21"/>
          <w:szCs w:val="21"/>
          <w:highlight w:val="none"/>
          <w:u w:val="single"/>
        </w:rPr>
        <w:t>及发包人提供的预算编制说明中规定的工程量计算规则计算</w:t>
      </w:r>
      <w:r>
        <w:rPr>
          <w:rFonts w:hint="eastAsia" w:ascii="宋体" w:hAnsi="宋体" w:eastAsia="宋体" w:cs="宋体"/>
          <w:color w:val="auto"/>
          <w:sz w:val="21"/>
          <w:szCs w:val="21"/>
          <w:highlight w:val="none"/>
          <w:u w:val="single"/>
          <w:lang w:val="zh-CN"/>
        </w:rPr>
        <w:t>，由承包人计量、发包人及有关部门审核。</w:t>
      </w:r>
    </w:p>
    <w:p w14:paraId="5B6B7EAB">
      <w:pPr>
        <w:autoSpaceDE w:val="0"/>
        <w:autoSpaceDN w:val="0"/>
        <w:spacing w:line="400" w:lineRule="exact"/>
        <w:ind w:firstLine="412" w:firstLineChars="200"/>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rPr>
        <w:t>（2）</w:t>
      </w: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本专用合同条款第11.1款约定调整。</w:t>
      </w:r>
    </w:p>
    <w:p w14:paraId="02C3EC2F">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（3）未在投标价中包含的专项施工方案的施工及论证费用，根据施工现场实际按照合同约定方法确定费用或签证。</w:t>
      </w:r>
    </w:p>
    <w:p w14:paraId="6AF77864">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（4）政策性调整及各级建设行政主管部门发布的计价依据调整按规定调整。</w:t>
      </w:r>
    </w:p>
    <w:p w14:paraId="02BCAD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p w14:paraId="5CFC84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12.2.1预付款的支付</w:t>
      </w:r>
    </w:p>
    <w:p w14:paraId="5AE6B23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p>
    <w:p w14:paraId="16EDAA9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按投标时承诺的人员、机械设备进场开工后7天内。</w:t>
      </w:r>
    </w:p>
    <w:p w14:paraId="30A399B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扣回。作为工程款，抵扣每期应付进度款</w:t>
      </w:r>
      <w:r>
        <w:rPr>
          <w:rFonts w:hint="eastAsia" w:ascii="宋体" w:hAnsi="宋体" w:eastAsia="宋体" w:cs="宋体"/>
          <w:color w:val="auto"/>
          <w:sz w:val="21"/>
          <w:szCs w:val="21"/>
          <w:highlight w:val="none"/>
        </w:rPr>
        <w:t>。</w:t>
      </w:r>
    </w:p>
    <w:p w14:paraId="574F125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12.2.2预付款担保</w:t>
      </w:r>
    </w:p>
    <w:p w14:paraId="0896C3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589CCB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E82C17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0230F3B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12.3.1计量原则</w:t>
      </w:r>
    </w:p>
    <w:p w14:paraId="1971DC8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3668EF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12.3.2计量周期：</w:t>
      </w:r>
    </w:p>
    <w:p w14:paraId="0B9BB11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按月计量。</w:t>
      </w:r>
    </w:p>
    <w:p w14:paraId="2AE373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12.3.3单价合同的计量</w:t>
      </w:r>
    </w:p>
    <w:p w14:paraId="401CBB9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按合同通用条款执行。</w:t>
      </w:r>
    </w:p>
    <w:p w14:paraId="2CF77E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（4）但确认的工程量和单价仅作为本期工程款支付的依据。</w:t>
      </w:r>
    </w:p>
    <w:p w14:paraId="0A5807B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12.3.4总价合同的计量</w:t>
      </w:r>
    </w:p>
    <w:p w14:paraId="0C926C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256601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F12FB9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12.3.6其他价格形式合同的计量</w:t>
      </w:r>
    </w:p>
    <w:p w14:paraId="5485A37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6E4371B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27E47BE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12.4.1付款周期</w:t>
      </w:r>
    </w:p>
    <w:p w14:paraId="692AECD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本工程按月支付工程进度款，承包人必须每月25日前将当月实际完成的各部位的已完工程量报告送交工程师。</w:t>
      </w:r>
    </w:p>
    <w:p w14:paraId="7DFB9D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12.4.2进度付款申请单的编制</w:t>
      </w:r>
    </w:p>
    <w:p w14:paraId="78F6FBE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发包人向承包人支付当期按12.1、12.3款计量工程量价款的</w:t>
      </w:r>
      <w:r>
        <w:rPr>
          <w:rFonts w:ascii="宋体" w:hAnsi="宋体" w:eastAsia="宋体" w:cs="宋体"/>
          <w:color w:val="auto"/>
          <w:sz w:val="21"/>
          <w:szCs w:val="21"/>
          <w:highlight w:val="none"/>
          <w:u w:val="single"/>
        </w:rPr>
        <w:t>75</w:t>
      </w:r>
      <w:r>
        <w:rPr>
          <w:rFonts w:hint="eastAsia" w:ascii="宋体" w:hAnsi="宋体" w:eastAsia="宋体" w:cs="宋体"/>
          <w:color w:val="auto"/>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427CE11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合同范围内的施工内容施工完成，参建各方（建设、监理、施工、勘察、设计单位等）对工程验收并签署工程质量合格文件后，支付至进度款审核汇总的</w:t>
      </w:r>
      <w:r>
        <w:rPr>
          <w:rFonts w:hint="eastAsia" w:ascii="宋体" w:hAnsi="宋体" w:eastAsia="宋体" w:cs="宋体"/>
          <w:color w:val="auto"/>
          <w:sz w:val="21"/>
          <w:szCs w:val="21"/>
          <w:highlight w:val="none"/>
          <w:u w:val="single"/>
        </w:rPr>
        <w:t>合同价格的</w:t>
      </w:r>
      <w:r>
        <w:rPr>
          <w:rFonts w:hint="eastAsia" w:ascii="宋体" w:hAnsi="宋体" w:eastAsia="宋体" w:cs="宋体"/>
          <w:color w:val="auto"/>
          <w:sz w:val="21"/>
          <w:szCs w:val="21"/>
          <w:highlight w:val="none"/>
          <w:u w:val="single"/>
          <w:lang w:val="en-US" w:eastAsia="zh-CN"/>
        </w:rPr>
        <w:t>85</w:t>
      </w:r>
      <w:r>
        <w:rPr>
          <w:rFonts w:hint="eastAsia" w:ascii="宋体" w:hAnsi="宋体" w:eastAsia="宋体" w:cs="宋体"/>
          <w:color w:val="auto"/>
          <w:sz w:val="21"/>
          <w:szCs w:val="21"/>
          <w:highlight w:val="none"/>
          <w:u w:val="single"/>
        </w:rPr>
        <w:t>%。</w:t>
      </w:r>
    </w:p>
    <w:p w14:paraId="188673D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其余按合同通用条款</w:t>
      </w:r>
      <w:r>
        <w:rPr>
          <w:rFonts w:hint="eastAsia" w:ascii="宋体" w:hAnsi="宋体" w:eastAsia="宋体" w:cs="宋体"/>
          <w:color w:val="auto"/>
          <w:sz w:val="21"/>
          <w:szCs w:val="21"/>
          <w:highlight w:val="none"/>
        </w:rPr>
        <w:t>。</w:t>
      </w:r>
    </w:p>
    <w:p w14:paraId="673B67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12.4.3进度付款申请单的提交</w:t>
      </w:r>
    </w:p>
    <w:p w14:paraId="19C4089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51A47FB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3C124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08449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12.4.4进度款审核和支付</w:t>
      </w:r>
    </w:p>
    <w:p w14:paraId="6E3093E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A9D81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DB9BAF7">
      <w:pPr>
        <w:spacing w:line="400" w:lineRule="exact"/>
        <w:ind w:firstLine="412" w:firstLineChars="200"/>
        <w:jc w:val="lef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在发包人确认计量结果后14天内完成支付。</w:t>
      </w:r>
    </w:p>
    <w:p w14:paraId="76A06D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支付应付工程进度款的利息，利率按同期全国银行间同业拆借中心公布的贷款市场报价利率，时间为从约定应付之日起至支付之日止计算利息。</w:t>
      </w:r>
    </w:p>
    <w:p w14:paraId="17729BB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7605DA1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12.4.6支付分解表的编制</w:t>
      </w:r>
    </w:p>
    <w:p w14:paraId="33B634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74E0448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AB5B53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12.5 支付帐户</w:t>
      </w:r>
    </w:p>
    <w:p w14:paraId="4A52F0DD">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发包人应将合同价款支至合同协议书中约定的承包人帐户：</w:t>
      </w:r>
      <w:r>
        <w:rPr>
          <w:rFonts w:hint="eastAsia" w:ascii="宋体" w:hAnsi="宋体" w:eastAsia="宋体"/>
          <w:color w:val="auto"/>
          <w:sz w:val="21"/>
          <w:highlight w:val="none"/>
          <w:u w:val="single"/>
        </w:rPr>
        <w:t>开户行：              帐号：                       。</w:t>
      </w:r>
      <w:r>
        <w:rPr>
          <w:rFonts w:hint="eastAsia" w:ascii="宋体" w:hAnsi="宋体" w:eastAsia="宋体"/>
          <w:color w:val="auto"/>
          <w:sz w:val="21"/>
          <w:highlight w:val="none"/>
        </w:rPr>
        <w:t>承包人收取款项时应开具建筑业统一发票。</w:t>
      </w:r>
    </w:p>
    <w:p w14:paraId="7F5E92A6">
      <w:pPr>
        <w:spacing w:line="40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农民工工资专用账户建立及管理按《关于实行建设务工人员实名制信息化管理与建立农民工工资专业账户的通知》临建规[2017]137号文件规定执行。依据文件规定发包人将当期应付工程进度款的（  ）%拨付到承包人的农民工工资专用账户: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；其余合同价款支付至合同协议书中约定的承包人帐户。</w:t>
      </w:r>
    </w:p>
    <w:p w14:paraId="483D282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13．验收和工程试车</w:t>
      </w:r>
    </w:p>
    <w:p w14:paraId="26E3F5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074DE29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278D517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14:paraId="65A06FB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工程验收过程、验收部位除办理纸质验收记录，还应留置验收部位、验收过程、主要验收人员相片、影像等资料。</w:t>
      </w:r>
    </w:p>
    <w:p w14:paraId="0531E8F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 竣工验收</w:t>
      </w:r>
    </w:p>
    <w:p w14:paraId="51CA5B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13.2.2竣工验收程序</w:t>
      </w:r>
    </w:p>
    <w:p w14:paraId="0A97FC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按合同通用条款。</w:t>
      </w:r>
    </w:p>
    <w:p w14:paraId="29E6B98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承包人须配合发包人进行工程竣工验收。</w:t>
      </w:r>
    </w:p>
    <w:p w14:paraId="11069BC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不计违约金。</w:t>
      </w:r>
    </w:p>
    <w:p w14:paraId="29BAC9B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highlight w:val="none"/>
        </w:rPr>
        <w:t>。</w:t>
      </w:r>
    </w:p>
    <w:p w14:paraId="6AFA1C7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13.2.3竣工日期</w:t>
      </w:r>
    </w:p>
    <w:p w14:paraId="1648B0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（1）承包人完成合同范围内的全部工程以及有关工作，工程经验收合格的，以承包人提交验收申请报告之日为计算合同工期终止日。</w:t>
      </w:r>
    </w:p>
    <w:p w14:paraId="138F43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（2）其余按合同通用条款。</w:t>
      </w:r>
    </w:p>
    <w:p w14:paraId="54085CB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p w14:paraId="20F2C29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C056E8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6D9F91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按每天200元计取 </w:t>
      </w:r>
      <w:r>
        <w:rPr>
          <w:rFonts w:hint="eastAsia" w:ascii="宋体" w:hAnsi="宋体" w:eastAsia="宋体" w:cs="宋体"/>
          <w:color w:val="auto"/>
          <w:sz w:val="21"/>
          <w:szCs w:val="21"/>
          <w:highlight w:val="none"/>
        </w:rPr>
        <w:t>。</w:t>
      </w:r>
    </w:p>
    <w:p w14:paraId="78C789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p w14:paraId="09FA4DE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13.3.1试车程序</w:t>
      </w:r>
    </w:p>
    <w:p w14:paraId="7EA192F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kern w:val="0"/>
          <w:sz w:val="21"/>
          <w:szCs w:val="21"/>
          <w:highlight w:val="none"/>
          <w:u w:val="single"/>
        </w:rPr>
        <w:t xml:space="preserve">     按规定执行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w:t>
      </w:r>
    </w:p>
    <w:p w14:paraId="595839B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2DC223F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1B70CC3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13.3.3投料试车</w:t>
      </w:r>
    </w:p>
    <w:p w14:paraId="492863F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01564A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271A404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13.6.1竣工退场</w:t>
      </w:r>
    </w:p>
    <w:p w14:paraId="2F23BDF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颁发工程接收证书后7天内</w:t>
      </w:r>
      <w:r>
        <w:rPr>
          <w:rFonts w:hint="eastAsia" w:ascii="宋体" w:hAnsi="宋体" w:eastAsia="宋体" w:cs="宋体"/>
          <w:color w:val="auto"/>
          <w:kern w:val="0"/>
          <w:sz w:val="21"/>
          <w:szCs w:val="21"/>
          <w:highlight w:val="none"/>
        </w:rPr>
        <w:t>。</w:t>
      </w:r>
    </w:p>
    <w:p w14:paraId="75ADAE6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13.6.2地表还原</w:t>
      </w:r>
    </w:p>
    <w:p w14:paraId="5529780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623ACB64">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本工程场地恢复的要求：</w:t>
      </w:r>
    </w:p>
    <w:p w14:paraId="494C6F5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（1）清理完成施工现场垃圾，临建的拆除与场地复原；</w:t>
      </w:r>
    </w:p>
    <w:p w14:paraId="1F79BBB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（2）施工后废弃材料、设备清理撤离；</w:t>
      </w:r>
    </w:p>
    <w:p w14:paraId="160C112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（3）承包人造成的施工现场周边施工堆积物及场地清理。</w:t>
      </w:r>
    </w:p>
    <w:p w14:paraId="0FE60D80">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（4）其它要求：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A352B8A">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14．竣工结算</w:t>
      </w:r>
    </w:p>
    <w:p w14:paraId="004DAEE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5C7572E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1.承包人提交竣工结算申请的期限：</w:t>
      </w:r>
    </w:p>
    <w:p w14:paraId="161FCD7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highlight w:val="none"/>
          <w:u w:val="single"/>
        </w:rPr>
        <w:t>28天</w:t>
      </w:r>
      <w:r>
        <w:rPr>
          <w:rFonts w:hint="eastAsia" w:ascii="宋体" w:hAnsi="宋体" w:eastAsia="宋体" w:cs="宋体"/>
          <w:color w:val="auto"/>
          <w:sz w:val="21"/>
          <w:szCs w:val="21"/>
          <w:highlight w:val="none"/>
          <w:u w:val="single"/>
        </w:rPr>
        <w:t>内，向发包人或监理人、发包人委托的中介机构提交最终工程结算申请，并提交完整的工程结算资料一套。</w:t>
      </w:r>
    </w:p>
    <w:p w14:paraId="502B6AA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08F5AD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2.竣工结算申请单应包括的内容：</w:t>
      </w:r>
      <w:r>
        <w:rPr>
          <w:rFonts w:hint="eastAsia" w:ascii="宋体" w:hAnsi="宋体" w:eastAsia="宋体" w:cs="宋体"/>
          <w:color w:val="auto"/>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6A985D0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440629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（1）发包人结算审核时间：</w:t>
      </w:r>
    </w:p>
    <w:p w14:paraId="62B0FD4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发包人收到承包人递交的最终工程结算报告及结算资料后，在180天内审核完毕，并签发最终工程结算证书。</w:t>
      </w:r>
    </w:p>
    <w:p w14:paraId="14A0F23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6BBD9A4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21E64BC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4A09531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3F78AE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4828FDD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14.4.1最终结清申请单</w:t>
      </w:r>
    </w:p>
    <w:p w14:paraId="3A50305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2份  </w:t>
      </w:r>
      <w:r>
        <w:rPr>
          <w:rFonts w:hint="eastAsia" w:ascii="宋体" w:hAnsi="宋体" w:eastAsia="宋体" w:cs="宋体"/>
          <w:color w:val="auto"/>
          <w:sz w:val="21"/>
          <w:szCs w:val="21"/>
          <w:highlight w:val="none"/>
        </w:rPr>
        <w:t>。</w:t>
      </w:r>
    </w:p>
    <w:p w14:paraId="25B157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缺陷责任期终止后7天内 </w:t>
      </w:r>
      <w:r>
        <w:rPr>
          <w:rFonts w:hint="eastAsia" w:ascii="宋体" w:hAnsi="宋体" w:eastAsia="宋体" w:cs="宋体"/>
          <w:color w:val="auto"/>
          <w:sz w:val="21"/>
          <w:szCs w:val="21"/>
          <w:highlight w:val="none"/>
        </w:rPr>
        <w:t xml:space="preserve">。 </w:t>
      </w:r>
    </w:p>
    <w:p w14:paraId="3EEAFF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14.4.2最终结清证书和支付</w:t>
      </w:r>
    </w:p>
    <w:p w14:paraId="6BEB86B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183FEFE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14:paraId="689701CC">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15．缺陷责任期与保修</w:t>
      </w:r>
    </w:p>
    <w:p w14:paraId="23F431B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15.2 缺陷责任期</w:t>
      </w:r>
    </w:p>
    <w:p w14:paraId="0B375DA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缺陷责任期</w:t>
      </w:r>
      <w:r>
        <w:rPr>
          <w:rFonts w:hint="eastAsia" w:ascii="宋体" w:hAnsi="宋体" w:eastAsia="宋体" w:cs="宋体"/>
          <w:color w:val="auto"/>
          <w:sz w:val="21"/>
          <w:szCs w:val="21"/>
          <w:highlight w:val="none"/>
          <w:u w:val="single"/>
          <w:lang w:val="en-US" w:eastAsia="zh-CN"/>
        </w:rPr>
        <w:t>60</w:t>
      </w:r>
      <w:r>
        <w:rPr>
          <w:rFonts w:hint="eastAsia" w:ascii="宋体" w:hAnsi="宋体" w:eastAsia="宋体" w:cs="宋体"/>
          <w:color w:val="auto"/>
          <w:sz w:val="21"/>
          <w:szCs w:val="21"/>
          <w:highlight w:val="none"/>
          <w:u w:val="single"/>
        </w:rPr>
        <w:t>个月，</w:t>
      </w:r>
      <w:r>
        <w:rPr>
          <w:rFonts w:hint="eastAsia" w:ascii="宋体" w:hAnsi="宋体" w:eastAsia="宋体" w:cs="宋体"/>
          <w:color w:val="auto"/>
          <w:sz w:val="21"/>
          <w:szCs w:val="21"/>
          <w:highlight w:val="none"/>
          <w:u w:val="single"/>
        </w:rPr>
        <w:t>其余按通用条款执行</w:t>
      </w:r>
      <w:r>
        <w:rPr>
          <w:rFonts w:hint="eastAsia" w:ascii="宋体" w:hAnsi="宋体" w:eastAsia="宋体" w:cs="宋体"/>
          <w:color w:val="auto"/>
          <w:sz w:val="21"/>
          <w:szCs w:val="21"/>
          <w:highlight w:val="none"/>
        </w:rPr>
        <w:t>。</w:t>
      </w:r>
    </w:p>
    <w:p w14:paraId="761C60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66A28DF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留置质量保证金 </w:t>
      </w:r>
      <w:r>
        <w:rPr>
          <w:rFonts w:hint="eastAsia" w:ascii="宋体" w:hAnsi="宋体" w:eastAsia="宋体" w:cs="宋体"/>
          <w:color w:val="auto"/>
          <w:sz w:val="21"/>
          <w:szCs w:val="21"/>
          <w:highlight w:val="none"/>
        </w:rPr>
        <w:t>。</w:t>
      </w:r>
    </w:p>
    <w:p w14:paraId="42022F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15.3.1承包人提供质量保证金的方式</w:t>
      </w:r>
    </w:p>
    <w:p w14:paraId="67C629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w:t>
      </w:r>
    </w:p>
    <w:p w14:paraId="0F3ADD69">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w:t>
      </w:r>
      <w:r>
        <w:rPr>
          <w:rFonts w:hint="eastAsia" w:ascii="宋体" w:hAnsi="宋体" w:eastAsia="宋体" w:cs="宋体"/>
          <w:color w:val="auto"/>
          <w:sz w:val="21"/>
          <w:szCs w:val="21"/>
          <w:highlight w:val="none"/>
        </w:rPr>
        <w:t>保函形式为银行保函、保险机构保证保险保单或融资担保公司保函中任选一种</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t xml:space="preserve">金额为1.5%的工程结算价款； </w:t>
      </w:r>
    </w:p>
    <w:p w14:paraId="60B3405D">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1.5%</w:t>
      </w:r>
      <w:r>
        <w:rPr>
          <w:rFonts w:hint="eastAsia" w:ascii="宋体" w:hAnsi="宋体" w:eastAsia="宋体" w:cs="宋体"/>
          <w:color w:val="auto"/>
          <w:kern w:val="0"/>
          <w:sz w:val="21"/>
          <w:szCs w:val="21"/>
          <w:highlight w:val="none"/>
        </w:rPr>
        <w:t>的工程结算价款；</w:t>
      </w:r>
    </w:p>
    <w:p w14:paraId="1CC5295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C90DB1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 </w:t>
      </w:r>
    </w:p>
    <w:p w14:paraId="15C8FC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10147DEF">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5DF01ABB">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63D26CF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u w:val="single"/>
        </w:rPr>
        <w:t xml:space="preserve"> 发包人支付完成最后工程结算付款前，承包人提供质量保证金保函 </w:t>
      </w:r>
      <w:r>
        <w:rPr>
          <w:rFonts w:hint="eastAsia" w:ascii="宋体" w:hAnsi="宋体" w:eastAsia="宋体" w:cs="宋体"/>
          <w:color w:val="auto"/>
          <w:kern w:val="0"/>
          <w:sz w:val="21"/>
          <w:szCs w:val="21"/>
          <w:highlight w:val="none"/>
        </w:rPr>
        <w:t>。</w:t>
      </w:r>
    </w:p>
    <w:p w14:paraId="10781E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关于质量保证金的补充约定：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w:t>
      </w:r>
    </w:p>
    <w:p w14:paraId="59C82EC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15.3.3质量保证金的退还</w:t>
      </w:r>
    </w:p>
    <w:p w14:paraId="5A637B7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w:t>
      </w:r>
      <w:r>
        <w:rPr>
          <w:rFonts w:hint="eastAsia" w:ascii="宋体" w:hAnsi="宋体" w:eastAsia="宋体" w:cs="宋体"/>
          <w:color w:val="auto"/>
          <w:sz w:val="21"/>
          <w:szCs w:val="21"/>
          <w:highlight w:val="none"/>
        </w:rPr>
        <w:t>证金按以下第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方式退回：</w:t>
      </w:r>
    </w:p>
    <w:p w14:paraId="259205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（1）缺陷责任期终止后，发包人退还剩余的质量保证金。</w:t>
      </w:r>
    </w:p>
    <w:p w14:paraId="31159C23">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（2）建筑工程：工程竣工验收合格后满1年返还质量保证金的30%，满2年返还全部预留的质量保证金。</w:t>
      </w:r>
    </w:p>
    <w:p w14:paraId="27BEA359">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（3）市政工程：工程竣工验收合格后满2年返还全部质量保证金。</w:t>
      </w:r>
    </w:p>
    <w:p w14:paraId="64E59F2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（4）其它：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保函无需退还</w:t>
      </w:r>
      <w:r>
        <w:rPr>
          <w:rFonts w:hint="eastAsia" w:ascii="宋体" w:hAnsi="宋体" w:eastAsia="宋体" w:cs="宋体"/>
          <w:color w:val="auto"/>
          <w:sz w:val="21"/>
          <w:szCs w:val="21"/>
          <w:highlight w:val="none"/>
          <w:u w:val="single"/>
        </w:rPr>
        <w:t xml:space="preserve">    </w:t>
      </w:r>
    </w:p>
    <w:p w14:paraId="15A507D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 保修</w:t>
      </w:r>
    </w:p>
    <w:p w14:paraId="5A54419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15.4.1保修责任</w:t>
      </w:r>
    </w:p>
    <w:p w14:paraId="4E85E43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按本合同附件3《工程质量保修书》 </w:t>
      </w:r>
      <w:r>
        <w:rPr>
          <w:rFonts w:hint="eastAsia" w:ascii="宋体" w:hAnsi="宋体" w:eastAsia="宋体" w:cs="宋体"/>
          <w:color w:val="auto"/>
          <w:kern w:val="0"/>
          <w:sz w:val="21"/>
          <w:szCs w:val="21"/>
          <w:highlight w:val="none"/>
        </w:rPr>
        <w:t>。</w:t>
      </w:r>
    </w:p>
    <w:p w14:paraId="43E5C5D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15.4.3修复通知</w:t>
      </w:r>
    </w:p>
    <w:p w14:paraId="595FE58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1F28941C">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16．违约</w:t>
      </w:r>
    </w:p>
    <w:p w14:paraId="73E387E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2B1A2AA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501E3D1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34E826D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16.1.2发包人违约的责任</w:t>
      </w:r>
    </w:p>
    <w:p w14:paraId="13BEEF50">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698E3382">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赔偿承包人相关损失；属于专用合同条款7.3.2条约定情形的，按该条款约定处理；</w:t>
      </w:r>
    </w:p>
    <w:p w14:paraId="5661C32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支付违约金，违约金为应付合同价款的利息；造成工期延误的顺延工期，并承担承包人的相应损失费用；</w:t>
      </w:r>
    </w:p>
    <w:p w14:paraId="3374C79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p>
    <w:p w14:paraId="0DAC987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6FBD3B0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422FCB6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3B8A1684">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122C6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16.1.3因发包人违约解除合同</w:t>
      </w:r>
    </w:p>
    <w:p w14:paraId="6744822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28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0A8304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0DF7390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16.2.1承包人违约的情形</w:t>
      </w:r>
    </w:p>
    <w:p w14:paraId="6F79513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p>
    <w:p w14:paraId="0C31F23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机械设备、施工项目班子未按投标承诺及时到位；</w:t>
      </w:r>
    </w:p>
    <w:p w14:paraId="5B1FCCA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3387A65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）承包人允许其他人挂靠经营、私自转包</w:t>
      </w:r>
      <w:r>
        <w:rPr>
          <w:rFonts w:hint="eastAsia" w:ascii="宋体" w:hAnsi="宋体" w:eastAsia="宋体" w:cs="宋体"/>
          <w:color w:val="auto"/>
          <w:kern w:val="0"/>
          <w:sz w:val="21"/>
          <w:szCs w:val="21"/>
          <w:highlight w:val="none"/>
        </w:rPr>
        <w:t>；</w:t>
      </w:r>
    </w:p>
    <w:p w14:paraId="74FD7112">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u w:val="single"/>
        </w:rPr>
        <w:t>）承包人未达到投标时所承诺的诚信与技术标准。</w:t>
      </w:r>
    </w:p>
    <w:p w14:paraId="6ECD349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2096A63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14:paraId="4412743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机械设备未按投标承诺到位，每项扣除履约担保金2%；</w:t>
      </w:r>
    </w:p>
    <w:p w14:paraId="74BA6A9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现场安全文明施工不符合投标书承诺，扣减相应安全文明施工费用；</w:t>
      </w:r>
      <w:r>
        <w:rPr>
          <w:rFonts w:hint="eastAsia" w:ascii="宋体" w:hAnsi="宋体" w:eastAsia="宋体" w:cs="宋体"/>
          <w:color w:val="auto"/>
          <w:kern w:val="0"/>
          <w:sz w:val="21"/>
          <w:szCs w:val="21"/>
          <w:highlight w:val="none"/>
          <w:u w:val="single"/>
        </w:rPr>
        <w:t>承包人原因造成现场管理混乱、</w:t>
      </w:r>
      <w:r>
        <w:rPr>
          <w:rFonts w:hint="eastAsia" w:ascii="宋体" w:hAnsi="宋体" w:eastAsia="宋体" w:cs="宋体"/>
          <w:color w:val="auto"/>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37274D4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发现承包人允许其他人挂靠经营、私自转包，所有履约担保归发包人，同时赔偿发包人损失，并责令退出工地。</w:t>
      </w:r>
    </w:p>
    <w:p w14:paraId="7B1ADA6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u w:val="single"/>
        </w:rPr>
        <w:t>未达到投标所承诺的诚信、技术标准及创优、创标化工程目标，按每一项扣减履约担保金的10%。</w:t>
      </w:r>
    </w:p>
    <w:p w14:paraId="23BEDED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08960A6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u w:val="single"/>
        </w:rPr>
        <w:t>承包人无法继续履行、明确表示不履行或实质上已停止履行合同，发包人可通知承包人全部解除合同，所有履约担保不予退还，同时赔偿发包人损失。</w:t>
      </w:r>
    </w:p>
    <w:p w14:paraId="125EC86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16.2.3因承包人违约解除合同</w:t>
      </w:r>
    </w:p>
    <w:p w14:paraId="0489271A">
      <w:pPr>
        <w:autoSpaceDE w:val="0"/>
        <w:autoSpaceDN w:val="0"/>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60573A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highlight w:val="none"/>
        </w:rPr>
        <w:t>。</w:t>
      </w:r>
    </w:p>
    <w:p w14:paraId="197C8E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16.2.4因承包人违约解除合同后的处理</w:t>
      </w:r>
    </w:p>
    <w:p w14:paraId="62250AB2">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17．不可抗力</w:t>
      </w:r>
    </w:p>
    <w:p w14:paraId="7F82728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6ADCA82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kern w:val="0"/>
          <w:sz w:val="21"/>
          <w:szCs w:val="21"/>
          <w:highlight w:val="none"/>
          <w:u w:val="single"/>
        </w:rPr>
        <w:t xml:space="preserve"> 10级（不含10级）以上台风、10年一遇洪水、暴风雪、干旱，罢工、政府禁令</w:t>
      </w:r>
      <w:r>
        <w:rPr>
          <w:rFonts w:hint="eastAsia" w:ascii="宋体" w:hAnsi="宋体" w:eastAsia="宋体" w:cs="宋体"/>
          <w:color w:val="auto"/>
          <w:kern w:val="0"/>
          <w:sz w:val="21"/>
          <w:szCs w:val="21"/>
          <w:highlight w:val="none"/>
        </w:rPr>
        <w:t>。</w:t>
      </w:r>
    </w:p>
    <w:p w14:paraId="736A921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不可抗力的通知</w:t>
      </w:r>
    </w:p>
    <w:p w14:paraId="78DDB50A">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5C5BBD1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17.3 不可抗力后果的承担</w:t>
      </w:r>
      <w:r>
        <w:rPr>
          <w:rFonts w:hint="eastAsia" w:ascii="宋体" w:hAnsi="宋体" w:eastAsia="宋体" w:cs="宋体"/>
          <w:color w:val="auto"/>
          <w:kern w:val="0"/>
          <w:sz w:val="21"/>
          <w:szCs w:val="21"/>
          <w:highlight w:val="none"/>
          <w:u w:val="single"/>
        </w:rPr>
        <w:t>：按通用条款。</w:t>
      </w:r>
    </w:p>
    <w:p w14:paraId="1C0CAD3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63ECA2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天内完成款项的支付。</w:t>
      </w:r>
    </w:p>
    <w:p w14:paraId="08DDFFBA">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18．保险</w:t>
      </w:r>
    </w:p>
    <w:p w14:paraId="2A22154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6C7ACA0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16A297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1B04AAB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highlight w:val="none"/>
        </w:rPr>
        <w:t>。</w:t>
      </w:r>
    </w:p>
    <w:p w14:paraId="6D85FE2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0292AD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2E42CD0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13757C4C">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20．争议解决</w:t>
      </w:r>
    </w:p>
    <w:p w14:paraId="18B832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14:paraId="57AAA0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7964F9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20.3.1争议评审小组的确定</w:t>
      </w:r>
    </w:p>
    <w:p w14:paraId="73D11B9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提交争议评审时再选定 </w:t>
      </w:r>
      <w:r>
        <w:rPr>
          <w:rFonts w:hint="eastAsia" w:ascii="宋体" w:hAnsi="宋体" w:eastAsia="宋体" w:cs="宋体"/>
          <w:color w:val="auto"/>
          <w:sz w:val="21"/>
          <w:szCs w:val="21"/>
          <w:highlight w:val="none"/>
        </w:rPr>
        <w:t>。</w:t>
      </w:r>
    </w:p>
    <w:p w14:paraId="3CE191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5411F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DE4347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062EC37">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20.3.2争议评审小组的决定</w:t>
      </w:r>
    </w:p>
    <w:p w14:paraId="32EE2EC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按通用条款。</w:t>
      </w:r>
    </w:p>
    <w:p w14:paraId="23A2BE5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20.3.3争议评审小组决定的效力：</w:t>
      </w:r>
      <w:r>
        <w:rPr>
          <w:rFonts w:hint="eastAsia" w:ascii="宋体" w:hAnsi="宋体" w:eastAsia="宋体" w:cs="宋体"/>
          <w:color w:val="auto"/>
          <w:sz w:val="21"/>
          <w:szCs w:val="21"/>
          <w:highlight w:val="none"/>
          <w:u w:val="single"/>
        </w:rPr>
        <w:t>按通用条款执行。</w:t>
      </w:r>
    </w:p>
    <w:p w14:paraId="6C97587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20.4 仲裁或诉讼</w:t>
      </w:r>
    </w:p>
    <w:p w14:paraId="16B6262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4FE9855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rPr>
        <w:t>仲裁委员会申请仲裁；</w:t>
      </w:r>
    </w:p>
    <w:p w14:paraId="347C2A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p>
    <w:p w14:paraId="4B4B5CCB">
      <w:pPr>
        <w:spacing w:line="400" w:lineRule="exact"/>
        <w:ind w:firstLine="412" w:firstLineChars="200"/>
        <w:rPr>
          <w:rFonts w:ascii="宋体" w:hAnsi="宋体" w:eastAsia="宋体" w:cs="宋体"/>
          <w:color w:val="auto"/>
          <w:sz w:val="21"/>
          <w:szCs w:val="21"/>
          <w:highlight w:val="none"/>
        </w:rPr>
      </w:pPr>
    </w:p>
    <w:p w14:paraId="5E72E61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1D5E21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27519FB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4C6CBE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                     委托代理人（签字）：</w:t>
      </w:r>
    </w:p>
    <w:p w14:paraId="42410B4F">
      <w:pPr>
        <w:spacing w:line="400" w:lineRule="exact"/>
        <w:rPr>
          <w:rFonts w:ascii="宋体" w:hAnsi="宋体" w:eastAsia="宋体" w:cs="宋体"/>
          <w:color w:val="auto"/>
          <w:sz w:val="21"/>
          <w:szCs w:val="21"/>
          <w:highlight w:val="none"/>
        </w:rPr>
      </w:pPr>
    </w:p>
    <w:p w14:paraId="3B23C20C">
      <w:pPr>
        <w:pStyle w:val="20"/>
        <w:rPr>
          <w:rFonts w:ascii="宋体" w:hAnsi="宋体" w:cs="宋体"/>
          <w:color w:val="auto"/>
          <w:sz w:val="21"/>
          <w:szCs w:val="21"/>
          <w:highlight w:val="none"/>
        </w:rPr>
      </w:pPr>
    </w:p>
    <w:p w14:paraId="6F848519">
      <w:pPr>
        <w:rPr>
          <w:rFonts w:ascii="宋体" w:hAnsi="宋体" w:eastAsia="宋体" w:cs="宋体"/>
          <w:color w:val="auto"/>
          <w:sz w:val="21"/>
          <w:szCs w:val="21"/>
          <w:highlight w:val="none"/>
        </w:rPr>
      </w:pPr>
    </w:p>
    <w:p w14:paraId="2A09FB9C">
      <w:pPr>
        <w:pStyle w:val="20"/>
        <w:rPr>
          <w:rFonts w:ascii="宋体" w:hAnsi="宋体" w:cs="宋体"/>
          <w:color w:val="auto"/>
          <w:sz w:val="21"/>
          <w:szCs w:val="21"/>
          <w:highlight w:val="none"/>
        </w:rPr>
      </w:pPr>
    </w:p>
    <w:p w14:paraId="571154C9">
      <w:pPr>
        <w:rPr>
          <w:rFonts w:ascii="宋体" w:hAnsi="宋体" w:eastAsia="宋体" w:cs="宋体"/>
          <w:color w:val="auto"/>
          <w:sz w:val="21"/>
          <w:szCs w:val="21"/>
          <w:highlight w:val="none"/>
        </w:rPr>
      </w:pPr>
    </w:p>
    <w:p w14:paraId="18694ECC">
      <w:pPr>
        <w:pStyle w:val="20"/>
        <w:rPr>
          <w:rFonts w:ascii="宋体" w:hAnsi="宋体" w:cs="宋体"/>
          <w:color w:val="auto"/>
          <w:sz w:val="21"/>
          <w:szCs w:val="21"/>
          <w:highlight w:val="none"/>
        </w:rPr>
      </w:pPr>
    </w:p>
    <w:p w14:paraId="3A02FFE9">
      <w:pPr>
        <w:rPr>
          <w:rFonts w:ascii="宋体" w:hAnsi="宋体" w:eastAsia="宋体" w:cs="宋体"/>
          <w:color w:val="auto"/>
          <w:sz w:val="21"/>
          <w:szCs w:val="21"/>
          <w:highlight w:val="none"/>
        </w:rPr>
      </w:pPr>
    </w:p>
    <w:p w14:paraId="4DF7BB0A">
      <w:pPr>
        <w:spacing w:line="400" w:lineRule="exact"/>
        <w:rPr>
          <w:rFonts w:hint="eastAsia" w:ascii="宋体" w:hAnsi="宋体" w:eastAsia="宋体" w:cs="宋体"/>
          <w:color w:val="auto"/>
          <w:sz w:val="21"/>
          <w:szCs w:val="21"/>
          <w:highlight w:val="none"/>
        </w:rPr>
      </w:pPr>
    </w:p>
    <w:p w14:paraId="59B5B4C0">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14:paraId="2C8F1C24">
      <w:pPr>
        <w:spacing w:line="400" w:lineRule="exact"/>
        <w:rPr>
          <w:rFonts w:ascii="宋体" w:hAnsi="宋体" w:eastAsia="宋体" w:cs="宋体"/>
          <w:color w:val="auto"/>
          <w:sz w:val="21"/>
          <w:szCs w:val="21"/>
          <w:highlight w:val="none"/>
        </w:rPr>
      </w:pPr>
    </w:p>
    <w:p w14:paraId="3951F1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51920F4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附件1：承包人承揽工程项目一览表（略）</w:t>
      </w:r>
    </w:p>
    <w:p w14:paraId="029AC5B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12BF9FD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附件2：发包人供应材料设备一览表（略）</w:t>
      </w:r>
    </w:p>
    <w:p w14:paraId="4F394CE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35156A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附件4：主要建设工程文件目录（略）</w:t>
      </w:r>
    </w:p>
    <w:p w14:paraId="3B8C1B7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附件5：承包人用于本工程施工的机械设备表（略）</w:t>
      </w:r>
    </w:p>
    <w:p w14:paraId="57F190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附件6：承包人主要施工管理人员表（略）</w:t>
      </w:r>
    </w:p>
    <w:p w14:paraId="4C88F4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附件7：分包人主要施工管理人员表（略）</w:t>
      </w:r>
    </w:p>
    <w:p w14:paraId="0754A7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附件8：履约担保格式（略）</w:t>
      </w:r>
    </w:p>
    <w:p w14:paraId="7D25917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附件9：预付款担保格式（略）</w:t>
      </w:r>
    </w:p>
    <w:p w14:paraId="3A67EC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附件10：支付担保格式（略）</w:t>
      </w:r>
    </w:p>
    <w:p w14:paraId="2C1D068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附件11：暂估价一览表（略）</w:t>
      </w:r>
    </w:p>
    <w:p w14:paraId="0B31FA7C">
      <w:pPr>
        <w:pStyle w:val="31"/>
        <w:rPr>
          <w:color w:val="auto"/>
          <w:highlight w:val="none"/>
        </w:rPr>
        <w:sectPr>
          <w:footerReference r:id="rId17" w:type="default"/>
          <w:headerReference r:id="rId16" w:type="even"/>
          <w:footerReference r:id="rId18" w:type="even"/>
          <w:pgSz w:w="11907" w:h="16840"/>
          <w:pgMar w:top="1361" w:right="1531" w:bottom="1361" w:left="1531" w:header="851" w:footer="1559" w:gutter="0"/>
          <w:pgNumType w:fmt="decimal"/>
          <w:cols w:space="720" w:num="1"/>
          <w:docGrid w:type="linesAndChars" w:linePitch="586" w:charSpace="-842"/>
        </w:sectPr>
      </w:pPr>
      <w:r>
        <w:rPr>
          <w:rFonts w:hint="eastAsia" w:ascii="宋体" w:hAnsi="宋体" w:cs="宋体"/>
          <w:color w:val="auto"/>
          <w:sz w:val="21"/>
          <w:szCs w:val="21"/>
          <w:highlight w:val="none"/>
        </w:rPr>
        <w:t xml:space="preserve">    附件12：主要设备材料备选品牌一览表</w:t>
      </w:r>
      <w:r>
        <w:rPr>
          <w:rFonts w:hint="eastAsia" w:ascii="宋体" w:hAnsi="宋体" w:eastAsia="宋体" w:cs="宋体"/>
          <w:color w:val="auto"/>
          <w:sz w:val="21"/>
          <w:szCs w:val="21"/>
          <w:highlight w:val="none"/>
        </w:rPr>
        <w:t>（略）</w:t>
      </w:r>
    </w:p>
    <w:p w14:paraId="4451C087">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附件3</w:t>
      </w:r>
    </w:p>
    <w:p w14:paraId="50C7A7D4">
      <w:pPr>
        <w:spacing w:line="400" w:lineRule="exact"/>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14:paraId="3D0FDD55">
      <w:pPr>
        <w:spacing w:line="400" w:lineRule="exact"/>
        <w:rPr>
          <w:rFonts w:ascii="宋体" w:hAnsi="宋体" w:eastAsia="宋体" w:cs="宋体"/>
          <w:color w:val="auto"/>
          <w:sz w:val="21"/>
          <w:szCs w:val="21"/>
          <w:highlight w:val="none"/>
        </w:rPr>
      </w:pPr>
    </w:p>
    <w:p w14:paraId="177E11C4">
      <w:pPr>
        <w:spacing w:line="40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val="en-US" w:eastAsia="zh-CN"/>
        </w:rPr>
        <w:t>临海市江南长城旅游发展有限公司</w:t>
      </w:r>
    </w:p>
    <w:p w14:paraId="69563F89">
      <w:pPr>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4CFAB0C3">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台州府城依水山庄亭廊及美人靠等修缮维护项目</w:t>
      </w:r>
      <w:r>
        <w:rPr>
          <w:rFonts w:hint="eastAsia" w:ascii="宋体" w:hAnsi="宋体" w:eastAsia="宋体" w:cs="宋体"/>
          <w:color w:val="auto"/>
          <w:sz w:val="21"/>
          <w:szCs w:val="21"/>
          <w:highlight w:val="none"/>
        </w:rPr>
        <w:t>（工程全称）签订工程质量保修书。</w:t>
      </w:r>
    </w:p>
    <w:p w14:paraId="24EFA34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3415F63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0FEF886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承包人承包范围的所有工程</w:t>
      </w:r>
      <w:r>
        <w:rPr>
          <w:rFonts w:hint="eastAsia" w:ascii="宋体" w:hAnsi="宋体" w:eastAsia="宋体" w:cs="宋体"/>
          <w:color w:val="auto"/>
          <w:sz w:val="21"/>
          <w:szCs w:val="21"/>
          <w:highlight w:val="none"/>
        </w:rPr>
        <w:t>。</w:t>
      </w:r>
    </w:p>
    <w:p w14:paraId="6F5520A1">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17FA1611">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47E2BAC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7D7C8D7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66111F8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22DB97D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04FA7442">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个采暖期、供冷期；</w:t>
      </w:r>
    </w:p>
    <w:p w14:paraId="6BA3A60F">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3C5D6FC9">
      <w:pPr>
        <w:spacing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u w:val="single"/>
          <w:lang w:val="en-US" w:eastAsia="zh-CN"/>
        </w:rPr>
        <w:t>若</w:t>
      </w:r>
      <w:r>
        <w:rPr>
          <w:rFonts w:hint="eastAsia" w:ascii="宋体" w:hAnsi="宋体" w:eastAsia="宋体" w:cs="宋体"/>
          <w:color w:val="auto"/>
          <w:sz w:val="21"/>
          <w:szCs w:val="21"/>
          <w:highlight w:val="none"/>
          <w:u w:val="single"/>
        </w:rPr>
        <w:t>不可移动文物修缮工程</w:t>
      </w:r>
      <w:r>
        <w:rPr>
          <w:rFonts w:hint="eastAsia" w:ascii="宋体" w:hAnsi="宋体" w:eastAsia="宋体" w:cs="宋体"/>
          <w:color w:val="auto"/>
          <w:sz w:val="21"/>
          <w:szCs w:val="21"/>
          <w:highlight w:val="none"/>
          <w:u w:val="single"/>
          <w:lang w:val="en-US" w:eastAsia="zh-CN"/>
        </w:rPr>
        <w:t>按照</w:t>
      </w:r>
      <w:r>
        <w:rPr>
          <w:rFonts w:hint="eastAsia" w:ascii="宋体" w:hAnsi="宋体" w:eastAsia="宋体" w:cs="宋体"/>
          <w:color w:val="auto"/>
          <w:sz w:val="21"/>
          <w:szCs w:val="21"/>
          <w:highlight w:val="none"/>
          <w:u w:val="single"/>
        </w:rPr>
        <w:t>《文物保护工程管理办法》(文化部令第26号)第十九条“(六)按合同约定负责保修，保修期限自竣工验收之日起计算，除保养维护、抢险加固工程以外，不少于五年”。</w:t>
      </w:r>
    </w:p>
    <w:p w14:paraId="150D20B4">
      <w:pPr>
        <w:spacing w:line="400" w:lineRule="exact"/>
        <w:ind w:firstLine="420"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质量保修期自工程竣工验收合格之日起计算</w:t>
      </w:r>
      <w:r>
        <w:rPr>
          <w:rFonts w:hint="eastAsia" w:ascii="宋体" w:hAnsi="宋体" w:eastAsia="宋体" w:cs="宋体"/>
          <w:color w:val="auto"/>
          <w:sz w:val="21"/>
          <w:szCs w:val="21"/>
          <w:highlight w:val="none"/>
          <w:u w:val="single"/>
          <w:lang w:val="en-US" w:eastAsia="zh-CN"/>
        </w:rPr>
        <w:t>5年</w:t>
      </w:r>
      <w:r>
        <w:rPr>
          <w:rFonts w:hint="eastAsia" w:ascii="宋体" w:hAnsi="宋体" w:eastAsia="宋体" w:cs="宋体"/>
          <w:color w:val="auto"/>
          <w:sz w:val="21"/>
          <w:szCs w:val="21"/>
          <w:highlight w:val="none"/>
          <w:u w:val="single"/>
        </w:rPr>
        <w:t>。</w:t>
      </w:r>
    </w:p>
    <w:p w14:paraId="2567D5E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043A809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60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w:t>
      </w:r>
      <w:r>
        <w:rPr>
          <w:rFonts w:hint="eastAsia" w:ascii="宋体" w:hAnsi="宋体" w:eastAsia="宋体" w:cs="宋体"/>
          <w:color w:val="auto"/>
          <w:sz w:val="21"/>
          <w:szCs w:val="21"/>
          <w:highlight w:val="none"/>
        </w:rPr>
        <w:t>，缺陷责任期自工程竣工验收合格之日起计算。单位工程先于全部工程进行验收，单位工程缺陷责任期自单位工程验收合格之日起算。</w:t>
      </w:r>
    </w:p>
    <w:p w14:paraId="7EF950D2">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6212829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1．属于保修范围、内容的项目，承包人应当在接到保修通知后4小时内响应，7天内派人保修。承包人不在约定期限内派人保修的，发包人可以委托他人修理。</w:t>
      </w:r>
    </w:p>
    <w:p w14:paraId="723AF93B">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3A7922AB">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E7A536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6277116B">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5E76598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7A5490F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六、双方约定的其他工程质量保修事项：</w:t>
      </w:r>
      <w:r>
        <w:rPr>
          <w:rFonts w:hint="eastAsia" w:ascii="宋体" w:hAnsi="宋体" w:eastAsia="宋体" w:cs="宋体"/>
          <w:color w:val="auto"/>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highlight w:val="none"/>
        </w:rPr>
        <w:t>。</w:t>
      </w:r>
    </w:p>
    <w:p w14:paraId="790FC8A2">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293AD70F">
      <w:pPr>
        <w:spacing w:line="400" w:lineRule="exact"/>
        <w:rPr>
          <w:rFonts w:ascii="宋体" w:hAnsi="宋体" w:eastAsia="宋体" w:cs="宋体"/>
          <w:color w:val="auto"/>
          <w:sz w:val="21"/>
          <w:szCs w:val="21"/>
          <w:highlight w:val="none"/>
        </w:rPr>
      </w:pPr>
    </w:p>
    <w:p w14:paraId="41E5B438">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6B29FDB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64F62BF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8EDBFA5">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                      或委托代理人（签字）：</w:t>
      </w:r>
    </w:p>
    <w:p w14:paraId="57445522">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3F9E4776">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14:paraId="740FF22E">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5A9CF461">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  号：                                    账  号：</w:t>
      </w:r>
    </w:p>
    <w:p w14:paraId="0CCC1616">
      <w:pPr>
        <w:spacing w:line="400" w:lineRule="exact"/>
        <w:rPr>
          <w:rFonts w:ascii="宋体" w:hAnsi="宋体" w:eastAsia="宋体" w:cs="宋体"/>
          <w:color w:val="auto"/>
          <w:sz w:val="21"/>
          <w:szCs w:val="21"/>
          <w:highlight w:val="none"/>
        </w:rPr>
        <w:sectPr>
          <w:footerReference r:id="rId19" w:type="default"/>
          <w:footnotePr>
            <w:numRestart w:val="eachPage"/>
          </w:footnotePr>
          <w:endnotePr>
            <w:numRestart w:val="eachSect"/>
          </w:endnotePr>
          <w:pgSz w:w="11907" w:h="16840"/>
          <w:pgMar w:top="1247" w:right="1361" w:bottom="1247" w:left="1361" w:header="851" w:footer="838" w:gutter="0"/>
          <w:pgNumType w:fmt="decimal"/>
          <w:cols w:space="720" w:num="1"/>
          <w:docGrid w:type="lines" w:linePitch="435" w:charSpace="-6554"/>
        </w:sectPr>
      </w:pPr>
      <w:r>
        <w:rPr>
          <w:rFonts w:hint="eastAsia" w:ascii="宋体" w:hAnsi="宋体" w:eastAsia="宋体" w:cs="宋体"/>
          <w:color w:val="auto"/>
          <w:sz w:val="21"/>
          <w:szCs w:val="21"/>
          <w:highlight w:val="none"/>
        </w:rPr>
        <w:t xml:space="preserve">邮政编码：                                  邮政编码： </w:t>
      </w:r>
    </w:p>
    <w:bookmarkEnd w:id="133"/>
    <w:bookmarkEnd w:id="134"/>
    <w:bookmarkEnd w:id="135"/>
    <w:p w14:paraId="615213E6">
      <w:pPr>
        <w:pStyle w:val="2"/>
        <w:spacing w:line="400" w:lineRule="exact"/>
        <w:jc w:val="center"/>
        <w:rPr>
          <w:rFonts w:ascii="宋体" w:eastAsia="宋体" w:cs="宋体"/>
          <w:bCs/>
          <w:color w:val="auto"/>
          <w:sz w:val="28"/>
          <w:szCs w:val="28"/>
          <w:highlight w:val="none"/>
        </w:rPr>
      </w:pPr>
      <w:bookmarkStart w:id="136" w:name="_Toc18169"/>
      <w:bookmarkStart w:id="137" w:name="_Toc6352"/>
      <w:r>
        <w:rPr>
          <w:rFonts w:hint="eastAsia" w:ascii="宋体" w:eastAsia="宋体" w:cs="宋体"/>
          <w:color w:val="auto"/>
          <w:sz w:val="28"/>
          <w:szCs w:val="28"/>
          <w:highlight w:val="none"/>
        </w:rPr>
        <w:t>第五部分  工程建设项目廉政责任书</w:t>
      </w:r>
      <w:bookmarkEnd w:id="136"/>
      <w:bookmarkEnd w:id="137"/>
    </w:p>
    <w:p w14:paraId="4CD873D5">
      <w:pPr>
        <w:pStyle w:val="8"/>
        <w:spacing w:line="400" w:lineRule="exact"/>
        <w:jc w:val="left"/>
        <w:rPr>
          <w:rFonts w:cs="宋体"/>
          <w:color w:val="auto"/>
          <w:szCs w:val="21"/>
          <w:highlight w:val="none"/>
        </w:rPr>
      </w:pPr>
    </w:p>
    <w:p w14:paraId="69803F8B">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工程项目名称：</w:t>
      </w:r>
      <w:r>
        <w:rPr>
          <w:rFonts w:hint="eastAsia" w:cs="宋体"/>
          <w:color w:val="auto"/>
          <w:szCs w:val="21"/>
          <w:highlight w:val="none"/>
          <w:u w:val="single"/>
          <w:lang w:eastAsia="zh-CN"/>
        </w:rPr>
        <w:t>台州府城依水山庄亭廊及美人靠等修缮维护项目</w:t>
      </w:r>
    </w:p>
    <w:p w14:paraId="034199CB">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工程项目地址：</w:t>
      </w:r>
      <w:r>
        <w:rPr>
          <w:rFonts w:hint="eastAsia" w:cs="宋体"/>
          <w:color w:val="auto"/>
          <w:szCs w:val="21"/>
          <w:highlight w:val="none"/>
          <w:u w:val="single"/>
          <w:lang w:eastAsia="zh-CN"/>
        </w:rPr>
        <w:t>台州府城历史城区东湖文化景观区保护范围内</w:t>
      </w:r>
    </w:p>
    <w:p w14:paraId="51638F48">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建设单位（甲方）：</w:t>
      </w:r>
      <w:r>
        <w:rPr>
          <w:rFonts w:hint="eastAsia" w:cs="宋体"/>
          <w:color w:val="auto"/>
          <w:szCs w:val="21"/>
          <w:highlight w:val="none"/>
          <w:u w:val="single"/>
          <w:lang w:val="en-US" w:eastAsia="zh-CN"/>
        </w:rPr>
        <w:t>临海市江南长城旅游发展有限公司</w:t>
      </w:r>
    </w:p>
    <w:p w14:paraId="0C4AD2C2">
      <w:pPr>
        <w:pStyle w:val="8"/>
        <w:spacing w:line="400" w:lineRule="exact"/>
        <w:ind w:firstLine="420" w:firstLineChars="200"/>
        <w:jc w:val="left"/>
        <w:rPr>
          <w:rFonts w:cs="宋体"/>
          <w:color w:val="auto"/>
          <w:szCs w:val="21"/>
          <w:highlight w:val="none"/>
          <w:u w:val="single"/>
        </w:rPr>
      </w:pPr>
      <w:r>
        <w:rPr>
          <w:rFonts w:hint="eastAsia" w:cs="宋体"/>
          <w:color w:val="auto"/>
          <w:szCs w:val="21"/>
          <w:highlight w:val="none"/>
        </w:rPr>
        <w:t>施工单位（乙方）：</w:t>
      </w:r>
      <w:r>
        <w:rPr>
          <w:rFonts w:hint="eastAsia" w:cs="宋体"/>
          <w:color w:val="auto"/>
          <w:szCs w:val="21"/>
          <w:highlight w:val="none"/>
          <w:u w:val="single"/>
        </w:rPr>
        <w:t xml:space="preserve">                  </w:t>
      </w:r>
    </w:p>
    <w:p w14:paraId="7D1F9BBB">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5B5B5521">
      <w:pPr>
        <w:pStyle w:val="8"/>
        <w:spacing w:line="400" w:lineRule="exact"/>
        <w:jc w:val="left"/>
        <w:rPr>
          <w:rFonts w:cs="宋体"/>
          <w:color w:val="auto"/>
          <w:szCs w:val="21"/>
          <w:highlight w:val="none"/>
        </w:rPr>
      </w:pPr>
      <w:r>
        <w:rPr>
          <w:rFonts w:hint="eastAsia" w:cs="宋体"/>
          <w:color w:val="auto"/>
          <w:szCs w:val="21"/>
          <w:highlight w:val="none"/>
        </w:rPr>
        <w:t>　　第一条 甲乙双方的责任</w:t>
      </w:r>
    </w:p>
    <w:p w14:paraId="574EF847">
      <w:pPr>
        <w:pStyle w:val="8"/>
        <w:spacing w:line="400" w:lineRule="exact"/>
        <w:jc w:val="left"/>
        <w:rPr>
          <w:rFonts w:cs="宋体"/>
          <w:color w:val="auto"/>
          <w:szCs w:val="21"/>
          <w:highlight w:val="none"/>
        </w:rPr>
      </w:pPr>
      <w:r>
        <w:rPr>
          <w:rFonts w:hint="eastAsia" w:cs="宋体"/>
          <w:color w:val="auto"/>
          <w:szCs w:val="21"/>
          <w:highlight w:val="none"/>
        </w:rPr>
        <w:t>　　（一）应严格遵守国家关于市场准入、项目招标投标、工程建设、施工安装和市场活动等有关法律、法规，相关政策，以及廉政建设的各项规定。</w:t>
      </w:r>
    </w:p>
    <w:p w14:paraId="3CEF4609">
      <w:pPr>
        <w:pStyle w:val="8"/>
        <w:spacing w:line="400" w:lineRule="exact"/>
        <w:jc w:val="left"/>
        <w:rPr>
          <w:rFonts w:cs="宋体"/>
          <w:color w:val="auto"/>
          <w:szCs w:val="21"/>
          <w:highlight w:val="none"/>
        </w:rPr>
      </w:pPr>
      <w:r>
        <w:rPr>
          <w:rFonts w:hint="eastAsia" w:cs="宋体"/>
          <w:color w:val="auto"/>
          <w:szCs w:val="21"/>
          <w:highlight w:val="none"/>
        </w:rPr>
        <w:t>　　（二）严格执行建设工程项目承发包合同文件，自觉按合同办事。</w:t>
      </w:r>
    </w:p>
    <w:p w14:paraId="197167D9">
      <w:pPr>
        <w:pStyle w:val="8"/>
        <w:spacing w:line="400" w:lineRule="exact"/>
        <w:jc w:val="left"/>
        <w:rPr>
          <w:rFonts w:cs="宋体"/>
          <w:color w:val="auto"/>
          <w:szCs w:val="21"/>
          <w:highlight w:val="none"/>
        </w:rPr>
      </w:pPr>
      <w:r>
        <w:rPr>
          <w:rFonts w:hint="eastAsia" w:cs="宋体"/>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111AAB74">
      <w:pPr>
        <w:pStyle w:val="8"/>
        <w:spacing w:line="400" w:lineRule="exact"/>
        <w:jc w:val="left"/>
        <w:rPr>
          <w:rFonts w:cs="宋体"/>
          <w:color w:val="auto"/>
          <w:szCs w:val="21"/>
          <w:highlight w:val="none"/>
        </w:rPr>
      </w:pPr>
      <w:r>
        <w:rPr>
          <w:rFonts w:hint="eastAsia" w:cs="宋体"/>
          <w:color w:val="auto"/>
          <w:szCs w:val="21"/>
          <w:highlight w:val="none"/>
        </w:rPr>
        <w:t>　　（四）发现对方在业务活动中有违规、违纪、违法行为的，应及时提醒对方，情节严重的，应向其上级主管部门或纪检监察、司法等有关机关举报。</w:t>
      </w:r>
    </w:p>
    <w:p w14:paraId="7CEEB61A">
      <w:pPr>
        <w:pStyle w:val="8"/>
        <w:spacing w:line="400" w:lineRule="exact"/>
        <w:jc w:val="left"/>
        <w:rPr>
          <w:rFonts w:cs="宋体"/>
          <w:color w:val="auto"/>
          <w:szCs w:val="21"/>
          <w:highlight w:val="none"/>
        </w:rPr>
      </w:pPr>
      <w:r>
        <w:rPr>
          <w:rFonts w:hint="eastAsia" w:cs="宋体"/>
          <w:color w:val="auto"/>
          <w:szCs w:val="21"/>
          <w:highlight w:val="none"/>
        </w:rPr>
        <w:t>　　第二条 甲方的责任</w:t>
      </w:r>
    </w:p>
    <w:p w14:paraId="54701A09">
      <w:pPr>
        <w:pStyle w:val="8"/>
        <w:spacing w:line="400" w:lineRule="exact"/>
        <w:jc w:val="left"/>
        <w:rPr>
          <w:rFonts w:cs="宋体"/>
          <w:color w:val="auto"/>
          <w:szCs w:val="21"/>
          <w:highlight w:val="none"/>
        </w:rPr>
      </w:pPr>
      <w:r>
        <w:rPr>
          <w:rFonts w:hint="eastAsia" w:cs="宋体"/>
          <w:color w:val="auto"/>
          <w:szCs w:val="21"/>
          <w:highlight w:val="none"/>
        </w:rPr>
        <w:t>　　甲方的领导和从事该建设工程项目的工作人员，在工程建设的事前、事中、事后应遵守以下规定：</w:t>
      </w:r>
    </w:p>
    <w:p w14:paraId="4A232EC2">
      <w:pPr>
        <w:pStyle w:val="8"/>
        <w:spacing w:line="400" w:lineRule="exact"/>
        <w:jc w:val="left"/>
        <w:rPr>
          <w:rFonts w:cs="宋体"/>
          <w:color w:val="auto"/>
          <w:szCs w:val="21"/>
          <w:highlight w:val="none"/>
        </w:rPr>
      </w:pPr>
      <w:r>
        <w:rPr>
          <w:rFonts w:hint="eastAsia" w:cs="宋体"/>
          <w:color w:val="auto"/>
          <w:szCs w:val="21"/>
          <w:highlight w:val="none"/>
        </w:rPr>
        <w:t>　　（一）不准向乙方和相关单位索要或接受回扣、礼金、有价证券、贵重物品和好处费、感谢费等。</w:t>
      </w:r>
    </w:p>
    <w:p w14:paraId="7BCA18A3">
      <w:pPr>
        <w:pStyle w:val="8"/>
        <w:spacing w:line="400" w:lineRule="exact"/>
        <w:jc w:val="left"/>
        <w:rPr>
          <w:rFonts w:cs="宋体"/>
          <w:color w:val="auto"/>
          <w:szCs w:val="21"/>
          <w:highlight w:val="none"/>
        </w:rPr>
      </w:pPr>
      <w:r>
        <w:rPr>
          <w:rFonts w:hint="eastAsia" w:cs="宋体"/>
          <w:color w:val="auto"/>
          <w:szCs w:val="21"/>
          <w:highlight w:val="none"/>
        </w:rPr>
        <w:t>　　（二）不准在乙方和相关单位报销任何应由甲方或个人支付的费用。</w:t>
      </w:r>
    </w:p>
    <w:p w14:paraId="71C0AA39">
      <w:pPr>
        <w:pStyle w:val="8"/>
        <w:spacing w:line="400" w:lineRule="exact"/>
        <w:jc w:val="left"/>
        <w:rPr>
          <w:rFonts w:cs="宋体"/>
          <w:color w:val="auto"/>
          <w:szCs w:val="21"/>
          <w:highlight w:val="none"/>
        </w:rPr>
      </w:pPr>
      <w:r>
        <w:rPr>
          <w:rFonts w:hint="eastAsia" w:cs="宋体"/>
          <w:color w:val="auto"/>
          <w:szCs w:val="21"/>
          <w:highlight w:val="none"/>
        </w:rPr>
        <w:t>　　（三）不准要求、暗示和接受乙方和相关单位为个人装修住房、婚丧嫁娶、配偶子女的工作安排以及出国（境）、旅游等提供方便。</w:t>
      </w:r>
    </w:p>
    <w:p w14:paraId="22719ECC">
      <w:pPr>
        <w:pStyle w:val="8"/>
        <w:spacing w:line="400" w:lineRule="exact"/>
        <w:jc w:val="left"/>
        <w:rPr>
          <w:rFonts w:cs="宋体"/>
          <w:color w:val="auto"/>
          <w:szCs w:val="21"/>
          <w:highlight w:val="none"/>
        </w:rPr>
      </w:pPr>
      <w:r>
        <w:rPr>
          <w:rFonts w:hint="eastAsia" w:cs="宋体"/>
          <w:color w:val="auto"/>
          <w:szCs w:val="21"/>
          <w:highlight w:val="none"/>
        </w:rPr>
        <w:t>　　（四）不准参加有可能影响公正执行公务的乙方和相关单位的宴请和健身、娱乐等活动。</w:t>
      </w:r>
    </w:p>
    <w:p w14:paraId="34B935F5">
      <w:pPr>
        <w:pStyle w:val="8"/>
        <w:spacing w:line="400" w:lineRule="exact"/>
        <w:jc w:val="left"/>
        <w:rPr>
          <w:rFonts w:cs="宋体"/>
          <w:color w:val="auto"/>
          <w:szCs w:val="21"/>
          <w:highlight w:val="none"/>
        </w:rPr>
      </w:pPr>
      <w:r>
        <w:rPr>
          <w:rFonts w:hint="eastAsia" w:cs="宋体"/>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319A72F9">
      <w:pPr>
        <w:pStyle w:val="8"/>
        <w:spacing w:line="400" w:lineRule="exact"/>
        <w:jc w:val="left"/>
        <w:rPr>
          <w:rFonts w:cs="宋体"/>
          <w:color w:val="auto"/>
          <w:szCs w:val="21"/>
          <w:highlight w:val="none"/>
        </w:rPr>
      </w:pPr>
      <w:r>
        <w:rPr>
          <w:rFonts w:hint="eastAsia" w:cs="宋体"/>
          <w:color w:val="auto"/>
          <w:szCs w:val="21"/>
          <w:highlight w:val="none"/>
        </w:rPr>
        <w:t>　　第三条 乙方的责任</w:t>
      </w:r>
    </w:p>
    <w:p w14:paraId="11A1F568">
      <w:pPr>
        <w:pStyle w:val="8"/>
        <w:spacing w:line="400" w:lineRule="exact"/>
        <w:jc w:val="left"/>
        <w:rPr>
          <w:rFonts w:cs="宋体"/>
          <w:color w:val="auto"/>
          <w:szCs w:val="21"/>
          <w:highlight w:val="none"/>
        </w:rPr>
      </w:pPr>
      <w:r>
        <w:rPr>
          <w:rFonts w:hint="eastAsia" w:cs="宋体"/>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14:paraId="6C89FDCF">
      <w:pPr>
        <w:pStyle w:val="8"/>
        <w:spacing w:line="400" w:lineRule="exact"/>
        <w:jc w:val="left"/>
        <w:rPr>
          <w:rFonts w:cs="宋体"/>
          <w:color w:val="auto"/>
          <w:szCs w:val="21"/>
          <w:highlight w:val="none"/>
        </w:rPr>
      </w:pPr>
      <w:r>
        <w:rPr>
          <w:rFonts w:hint="eastAsia" w:cs="宋体"/>
          <w:color w:val="auto"/>
          <w:szCs w:val="21"/>
          <w:highlight w:val="none"/>
        </w:rPr>
        <w:t>　　（一）不准以任何理由向甲方、相关单位及其工作人员索要、接受或赠送礼金、有价证券、贵重物品和回扣、好处费、感谢费等。</w:t>
      </w:r>
    </w:p>
    <w:p w14:paraId="4B5A7837">
      <w:pPr>
        <w:pStyle w:val="8"/>
        <w:spacing w:line="400" w:lineRule="exact"/>
        <w:jc w:val="left"/>
        <w:rPr>
          <w:rFonts w:cs="宋体"/>
          <w:color w:val="auto"/>
          <w:szCs w:val="21"/>
          <w:highlight w:val="none"/>
        </w:rPr>
      </w:pPr>
      <w:r>
        <w:rPr>
          <w:rFonts w:hint="eastAsia" w:cs="宋体"/>
          <w:color w:val="auto"/>
          <w:szCs w:val="21"/>
          <w:highlight w:val="none"/>
        </w:rPr>
        <w:t>　　（二）不准以任何理由为甲方和相关单位报销应由对方或个人支付的费用。</w:t>
      </w:r>
    </w:p>
    <w:p w14:paraId="317327BC">
      <w:pPr>
        <w:pStyle w:val="8"/>
        <w:spacing w:line="400" w:lineRule="exact"/>
        <w:jc w:val="left"/>
        <w:rPr>
          <w:rFonts w:cs="宋体"/>
          <w:color w:val="auto"/>
          <w:szCs w:val="21"/>
          <w:highlight w:val="none"/>
        </w:rPr>
      </w:pPr>
      <w:r>
        <w:rPr>
          <w:rFonts w:hint="eastAsia" w:cs="宋体"/>
          <w:color w:val="auto"/>
          <w:szCs w:val="21"/>
          <w:highlight w:val="none"/>
        </w:rPr>
        <w:t>　　（三）不准接受或暗示为甲方、相关单位或个人装修住房、婚丧嫁娶、配偶子女的工作安排以及出国（境）、旅游等提供方便。</w:t>
      </w:r>
    </w:p>
    <w:p w14:paraId="6AF0085D">
      <w:pPr>
        <w:pStyle w:val="8"/>
        <w:spacing w:line="400" w:lineRule="exact"/>
        <w:jc w:val="left"/>
        <w:rPr>
          <w:rFonts w:cs="宋体"/>
          <w:color w:val="auto"/>
          <w:szCs w:val="21"/>
          <w:highlight w:val="none"/>
        </w:rPr>
      </w:pPr>
      <w:r>
        <w:rPr>
          <w:rFonts w:hint="eastAsia" w:cs="宋体"/>
          <w:color w:val="auto"/>
          <w:szCs w:val="21"/>
          <w:highlight w:val="none"/>
        </w:rPr>
        <w:t>　　（四）不准以任何理由为甲方、相关单位或个人组织有可能影响公正执行公务的宴请、健身、娱乐等活动。</w:t>
      </w:r>
    </w:p>
    <w:p w14:paraId="242226F0">
      <w:pPr>
        <w:pStyle w:val="8"/>
        <w:spacing w:line="400" w:lineRule="exact"/>
        <w:jc w:val="left"/>
        <w:rPr>
          <w:rFonts w:cs="宋体"/>
          <w:color w:val="auto"/>
          <w:szCs w:val="21"/>
          <w:highlight w:val="none"/>
        </w:rPr>
      </w:pPr>
      <w:r>
        <w:rPr>
          <w:rFonts w:hint="eastAsia" w:cs="宋体"/>
          <w:color w:val="auto"/>
          <w:szCs w:val="21"/>
          <w:highlight w:val="none"/>
        </w:rPr>
        <w:t>　　第四条 违约责任</w:t>
      </w:r>
    </w:p>
    <w:p w14:paraId="490307CC">
      <w:pPr>
        <w:pStyle w:val="8"/>
        <w:spacing w:line="400" w:lineRule="exact"/>
        <w:jc w:val="left"/>
        <w:rPr>
          <w:rFonts w:cs="宋体"/>
          <w:color w:val="auto"/>
          <w:szCs w:val="21"/>
          <w:highlight w:val="none"/>
        </w:rPr>
      </w:pPr>
      <w:r>
        <w:rPr>
          <w:rFonts w:hint="eastAsia" w:cs="宋体"/>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1AF36E01">
      <w:pPr>
        <w:pStyle w:val="8"/>
        <w:spacing w:line="400" w:lineRule="exact"/>
        <w:jc w:val="left"/>
        <w:rPr>
          <w:rFonts w:cs="宋体"/>
          <w:color w:val="auto"/>
          <w:szCs w:val="21"/>
          <w:highlight w:val="none"/>
        </w:rPr>
      </w:pPr>
      <w:r>
        <w:rPr>
          <w:rFonts w:hint="eastAsia" w:cs="宋体"/>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1FD999D5">
      <w:pPr>
        <w:pStyle w:val="8"/>
        <w:spacing w:line="400" w:lineRule="exact"/>
        <w:jc w:val="left"/>
        <w:rPr>
          <w:rFonts w:cs="宋体"/>
          <w:color w:val="auto"/>
          <w:szCs w:val="21"/>
          <w:highlight w:val="none"/>
        </w:rPr>
      </w:pPr>
      <w:r>
        <w:rPr>
          <w:rFonts w:hint="eastAsia" w:cs="宋体"/>
          <w:color w:val="auto"/>
          <w:szCs w:val="21"/>
          <w:highlight w:val="none"/>
        </w:rPr>
        <w:t>　　第五条 本责任书作为工程合同的附件，与工程合同具有同等法律效力。经双方签署后立即生效。</w:t>
      </w:r>
    </w:p>
    <w:p w14:paraId="25D20833">
      <w:pPr>
        <w:pStyle w:val="8"/>
        <w:spacing w:line="400" w:lineRule="exact"/>
        <w:jc w:val="left"/>
        <w:rPr>
          <w:rFonts w:cs="宋体"/>
          <w:color w:val="auto"/>
          <w:szCs w:val="21"/>
          <w:highlight w:val="none"/>
        </w:rPr>
      </w:pPr>
      <w:r>
        <w:rPr>
          <w:rFonts w:hint="eastAsia" w:cs="宋体"/>
          <w:color w:val="auto"/>
          <w:szCs w:val="21"/>
          <w:highlight w:val="none"/>
        </w:rPr>
        <w:t>　　第六条 本责任书的有效期为双方签署之日起至该工程项目竣工验收合格时止。</w:t>
      </w:r>
    </w:p>
    <w:p w14:paraId="17D3410D">
      <w:pPr>
        <w:pStyle w:val="8"/>
        <w:spacing w:line="400" w:lineRule="exact"/>
        <w:jc w:val="left"/>
        <w:rPr>
          <w:rFonts w:cs="宋体"/>
          <w:color w:val="auto"/>
          <w:szCs w:val="21"/>
          <w:highlight w:val="none"/>
        </w:rPr>
      </w:pPr>
      <w:r>
        <w:rPr>
          <w:rFonts w:hint="eastAsia" w:cs="宋体"/>
          <w:color w:val="auto"/>
          <w:szCs w:val="21"/>
          <w:highlight w:val="none"/>
        </w:rPr>
        <w:t>　　第七条 本责任书一式八份。</w:t>
      </w:r>
    </w:p>
    <w:p w14:paraId="0C13BE9C">
      <w:pPr>
        <w:pStyle w:val="8"/>
        <w:spacing w:line="400" w:lineRule="exact"/>
        <w:jc w:val="left"/>
        <w:rPr>
          <w:rFonts w:cs="宋体"/>
          <w:color w:val="auto"/>
          <w:szCs w:val="21"/>
          <w:highlight w:val="none"/>
        </w:rPr>
      </w:pPr>
    </w:p>
    <w:p w14:paraId="48F5243E">
      <w:pPr>
        <w:pStyle w:val="8"/>
        <w:spacing w:line="400" w:lineRule="exact"/>
        <w:jc w:val="left"/>
        <w:rPr>
          <w:rFonts w:cs="宋体"/>
          <w:color w:val="auto"/>
          <w:szCs w:val="21"/>
          <w:highlight w:val="none"/>
        </w:rPr>
      </w:pPr>
    </w:p>
    <w:p w14:paraId="6804D730">
      <w:pPr>
        <w:pStyle w:val="8"/>
        <w:spacing w:line="400" w:lineRule="exact"/>
        <w:jc w:val="left"/>
        <w:rPr>
          <w:rFonts w:cs="宋体"/>
          <w:color w:val="auto"/>
          <w:szCs w:val="21"/>
          <w:highlight w:val="none"/>
        </w:rPr>
      </w:pPr>
    </w:p>
    <w:p w14:paraId="6258D818">
      <w:pPr>
        <w:pStyle w:val="8"/>
        <w:spacing w:line="400" w:lineRule="exact"/>
        <w:jc w:val="left"/>
        <w:rPr>
          <w:rFonts w:cs="宋体"/>
          <w:color w:val="auto"/>
          <w:szCs w:val="21"/>
          <w:highlight w:val="none"/>
        </w:rPr>
      </w:pPr>
      <w:r>
        <w:rPr>
          <w:rFonts w:hint="eastAsia" w:cs="宋体"/>
          <w:color w:val="auto"/>
          <w:szCs w:val="21"/>
          <w:highlight w:val="none"/>
        </w:rPr>
        <w:t xml:space="preserve">甲方单位（公章）：　　　　　　                          　乙方单位（公章）： </w:t>
      </w:r>
    </w:p>
    <w:p w14:paraId="05D1D751">
      <w:pPr>
        <w:pStyle w:val="8"/>
        <w:spacing w:line="400" w:lineRule="exact"/>
        <w:jc w:val="left"/>
        <w:rPr>
          <w:rFonts w:cs="宋体"/>
          <w:color w:val="auto"/>
          <w:szCs w:val="21"/>
          <w:highlight w:val="none"/>
        </w:rPr>
      </w:pPr>
      <w:r>
        <w:rPr>
          <w:rFonts w:hint="eastAsia" w:cs="宋体"/>
          <w:color w:val="auto"/>
          <w:szCs w:val="21"/>
          <w:highlight w:val="none"/>
        </w:rPr>
        <w:t>法定代表人（签字）：　　　　                              法定代表人（签字）：</w:t>
      </w:r>
    </w:p>
    <w:p w14:paraId="6B061AEE">
      <w:pPr>
        <w:pStyle w:val="8"/>
        <w:spacing w:line="400" w:lineRule="exact"/>
        <w:jc w:val="left"/>
        <w:rPr>
          <w:rFonts w:cs="宋体"/>
          <w:color w:val="auto"/>
          <w:szCs w:val="21"/>
          <w:highlight w:val="none"/>
        </w:rPr>
      </w:pPr>
      <w:r>
        <w:rPr>
          <w:rFonts w:hint="eastAsia" w:cs="宋体"/>
          <w:color w:val="auto"/>
          <w:szCs w:val="21"/>
          <w:highlight w:val="none"/>
        </w:rPr>
        <w:t>或委托代理人（签字）：                                    或委托代理人（签字）：</w:t>
      </w:r>
    </w:p>
    <w:p w14:paraId="6E3370C5">
      <w:pPr>
        <w:pStyle w:val="8"/>
        <w:spacing w:line="400" w:lineRule="exact"/>
        <w:jc w:val="left"/>
        <w:rPr>
          <w:rFonts w:cs="宋体"/>
          <w:color w:val="auto"/>
          <w:szCs w:val="21"/>
          <w:highlight w:val="none"/>
        </w:rPr>
      </w:pPr>
      <w:r>
        <w:rPr>
          <w:rFonts w:hint="eastAsia" w:cs="宋体"/>
          <w:color w:val="auto"/>
          <w:szCs w:val="21"/>
          <w:highlight w:val="none"/>
        </w:rPr>
        <w:t>地址：　　　　　　　　　　　　　                          地址：</w:t>
      </w:r>
    </w:p>
    <w:p w14:paraId="477BF2A7">
      <w:pPr>
        <w:pStyle w:val="8"/>
        <w:spacing w:line="400" w:lineRule="exact"/>
        <w:jc w:val="left"/>
        <w:rPr>
          <w:rFonts w:cs="宋体"/>
          <w:color w:val="auto"/>
          <w:szCs w:val="21"/>
          <w:highlight w:val="none"/>
        </w:rPr>
      </w:pPr>
      <w:r>
        <w:rPr>
          <w:rFonts w:hint="eastAsia" w:cs="宋体"/>
          <w:color w:val="auto"/>
          <w:szCs w:val="21"/>
          <w:highlight w:val="none"/>
        </w:rPr>
        <w:t>电话：　　　　　　　　　　　　　                          电话：</w:t>
      </w:r>
    </w:p>
    <w:p w14:paraId="221FE584">
      <w:pPr>
        <w:pStyle w:val="8"/>
        <w:spacing w:line="400" w:lineRule="exact"/>
        <w:jc w:val="left"/>
        <w:rPr>
          <w:rFonts w:cs="宋体"/>
          <w:color w:val="auto"/>
          <w:szCs w:val="21"/>
          <w:highlight w:val="none"/>
        </w:rPr>
      </w:pP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 xml:space="preserve">日　　　                                  </w:t>
      </w: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日</w:t>
      </w:r>
    </w:p>
    <w:p w14:paraId="25354361">
      <w:pPr>
        <w:pStyle w:val="2"/>
        <w:spacing w:beforeLines="50" w:afterLines="50" w:line="400" w:lineRule="exact"/>
        <w:rPr>
          <w:color w:val="auto"/>
          <w:sz w:val="21"/>
          <w:szCs w:val="21"/>
          <w:highlight w:val="none"/>
        </w:rPr>
      </w:pPr>
    </w:p>
    <w:p w14:paraId="41B7591F">
      <w:pPr>
        <w:pStyle w:val="2"/>
        <w:spacing w:beforeLines="50" w:afterLines="50"/>
        <w:rPr>
          <w:color w:val="auto"/>
          <w:highlight w:val="none"/>
        </w:rPr>
      </w:pPr>
    </w:p>
    <w:p w14:paraId="162DE53E">
      <w:pPr>
        <w:rPr>
          <w:color w:val="auto"/>
          <w:highlight w:val="none"/>
        </w:rPr>
      </w:pPr>
    </w:p>
    <w:p w14:paraId="366C9146">
      <w:pPr>
        <w:rPr>
          <w:color w:val="auto"/>
          <w:highlight w:val="none"/>
        </w:rPr>
      </w:pPr>
    </w:p>
    <w:p w14:paraId="56D2BF03">
      <w:pPr>
        <w:rPr>
          <w:color w:val="auto"/>
          <w:highlight w:val="none"/>
        </w:rPr>
      </w:pPr>
    </w:p>
    <w:p w14:paraId="0A373ECD">
      <w:pPr>
        <w:rPr>
          <w:color w:val="auto"/>
          <w:highlight w:val="none"/>
        </w:rPr>
      </w:pPr>
    </w:p>
    <w:p w14:paraId="4522E901">
      <w:pPr>
        <w:rPr>
          <w:color w:val="auto"/>
          <w:highlight w:val="none"/>
        </w:rPr>
      </w:pPr>
    </w:p>
    <w:p w14:paraId="198E1F59">
      <w:pPr>
        <w:rPr>
          <w:color w:val="auto"/>
          <w:highlight w:val="none"/>
        </w:rPr>
      </w:pPr>
    </w:p>
    <w:p w14:paraId="5A509A4D">
      <w:pPr>
        <w:rPr>
          <w:color w:val="auto"/>
          <w:highlight w:val="none"/>
        </w:rPr>
      </w:pPr>
    </w:p>
    <w:p w14:paraId="191468D2">
      <w:pPr>
        <w:rPr>
          <w:color w:val="auto"/>
          <w:highlight w:val="none"/>
        </w:rPr>
      </w:pPr>
    </w:p>
    <w:p w14:paraId="61473134">
      <w:pPr>
        <w:rPr>
          <w:color w:val="auto"/>
          <w:highlight w:val="none"/>
        </w:rPr>
      </w:pPr>
    </w:p>
    <w:bookmarkEnd w:id="124"/>
    <w:bookmarkEnd w:id="125"/>
    <w:bookmarkEnd w:id="126"/>
    <w:bookmarkEnd w:id="127"/>
    <w:bookmarkEnd w:id="131"/>
    <w:p w14:paraId="2421A07A">
      <w:pPr>
        <w:pStyle w:val="2"/>
        <w:spacing w:beforeLines="50" w:afterLines="50"/>
        <w:rPr>
          <w:color w:val="auto"/>
          <w:highlight w:val="none"/>
        </w:rPr>
      </w:pPr>
      <w:bookmarkStart w:id="138" w:name="_Toc9900"/>
      <w:bookmarkStart w:id="139" w:name="_Toc386121569"/>
      <w:bookmarkStart w:id="140" w:name="_Toc386121758"/>
      <w:bookmarkStart w:id="141" w:name="_Toc21472"/>
      <w:bookmarkStart w:id="142" w:name="_Toc106012814"/>
      <w:bookmarkStart w:id="143" w:name="_Toc155342575"/>
      <w:bookmarkStart w:id="144" w:name="_第四章 投标文件格式"/>
      <w:r>
        <w:rPr>
          <w:rFonts w:hint="eastAsia"/>
          <w:color w:val="auto"/>
          <w:highlight w:val="none"/>
        </w:rPr>
        <w:t>第四章 投标文件格式</w:t>
      </w:r>
      <w:bookmarkEnd w:id="138"/>
      <w:bookmarkEnd w:id="139"/>
      <w:bookmarkEnd w:id="140"/>
      <w:bookmarkEnd w:id="141"/>
    </w:p>
    <w:bookmarkEnd w:id="142"/>
    <w:bookmarkEnd w:id="143"/>
    <w:bookmarkEnd w:id="144"/>
    <w:p w14:paraId="62D300E2">
      <w:pPr>
        <w:rPr>
          <w:color w:val="auto"/>
          <w:highlight w:val="none"/>
        </w:rPr>
      </w:pPr>
      <w:bookmarkStart w:id="145" w:name="_Toc169487825"/>
    </w:p>
    <w:p w14:paraId="3384D584">
      <w:pPr>
        <w:rPr>
          <w:color w:val="auto"/>
          <w:highlight w:val="none"/>
        </w:rPr>
      </w:pPr>
    </w:p>
    <w:p w14:paraId="032AC7C9">
      <w:pPr>
        <w:rPr>
          <w:color w:val="auto"/>
          <w:highlight w:val="none"/>
        </w:rPr>
      </w:pPr>
    </w:p>
    <w:p w14:paraId="530D0CCB">
      <w:pPr>
        <w:rPr>
          <w:color w:val="auto"/>
          <w:highlight w:val="none"/>
        </w:rPr>
      </w:pPr>
    </w:p>
    <w:p w14:paraId="64CF7EDA">
      <w:pPr>
        <w:rPr>
          <w:color w:val="auto"/>
          <w:highlight w:val="none"/>
        </w:rPr>
      </w:pPr>
    </w:p>
    <w:p w14:paraId="5C723C3B">
      <w:pPr>
        <w:rPr>
          <w:color w:val="auto"/>
          <w:highlight w:val="none"/>
        </w:rPr>
      </w:pPr>
    </w:p>
    <w:p w14:paraId="4303C990">
      <w:pPr>
        <w:rPr>
          <w:color w:val="auto"/>
          <w:highlight w:val="none"/>
        </w:rPr>
      </w:pPr>
    </w:p>
    <w:p w14:paraId="5A53AE2E">
      <w:pPr>
        <w:rPr>
          <w:color w:val="auto"/>
          <w:highlight w:val="none"/>
        </w:rPr>
      </w:pPr>
    </w:p>
    <w:p w14:paraId="5A2B2105">
      <w:pPr>
        <w:rPr>
          <w:color w:val="auto"/>
          <w:highlight w:val="none"/>
        </w:rPr>
      </w:pPr>
    </w:p>
    <w:p w14:paraId="5EAEF84A">
      <w:pPr>
        <w:rPr>
          <w:color w:val="auto"/>
          <w:highlight w:val="none"/>
        </w:rPr>
      </w:pPr>
    </w:p>
    <w:p w14:paraId="7E88196B">
      <w:pPr>
        <w:rPr>
          <w:color w:val="auto"/>
          <w:highlight w:val="none"/>
        </w:rPr>
      </w:pPr>
    </w:p>
    <w:p w14:paraId="3006F61A">
      <w:pPr>
        <w:rPr>
          <w:color w:val="auto"/>
          <w:highlight w:val="none"/>
        </w:rPr>
      </w:pPr>
    </w:p>
    <w:p w14:paraId="4ACF7A07">
      <w:pPr>
        <w:rPr>
          <w:color w:val="auto"/>
          <w:highlight w:val="none"/>
        </w:rPr>
      </w:pPr>
    </w:p>
    <w:p w14:paraId="476C770A">
      <w:pPr>
        <w:rPr>
          <w:color w:val="auto"/>
          <w:highlight w:val="none"/>
        </w:rPr>
      </w:pPr>
    </w:p>
    <w:p w14:paraId="23B96D5C">
      <w:pPr>
        <w:rPr>
          <w:color w:val="auto"/>
          <w:highlight w:val="none"/>
        </w:rPr>
      </w:pPr>
    </w:p>
    <w:p w14:paraId="3BD139E9">
      <w:pPr>
        <w:rPr>
          <w:color w:val="auto"/>
          <w:highlight w:val="none"/>
        </w:rPr>
      </w:pPr>
    </w:p>
    <w:p w14:paraId="6AD1203E">
      <w:pPr>
        <w:pStyle w:val="3"/>
        <w:numPr>
          <w:ilvl w:val="0"/>
          <w:numId w:val="0"/>
        </w:numPr>
        <w:spacing w:before="0" w:afterLines="0" w:line="360" w:lineRule="exact"/>
        <w:jc w:val="both"/>
        <w:rPr>
          <w:b w:val="0"/>
          <w:color w:val="auto"/>
          <w:sz w:val="28"/>
          <w:szCs w:val="28"/>
          <w:highlight w:val="none"/>
        </w:rPr>
      </w:pPr>
      <w:bookmarkStart w:id="146" w:name="_Toc386121759"/>
      <w:bookmarkStart w:id="147" w:name="_Toc386122456"/>
      <w:bookmarkStart w:id="148" w:name="_Toc30668"/>
      <w:bookmarkStart w:id="149" w:name="_Toc30925"/>
    </w:p>
    <w:p w14:paraId="4F316E06">
      <w:pPr>
        <w:pStyle w:val="3"/>
        <w:numPr>
          <w:ilvl w:val="0"/>
          <w:numId w:val="0"/>
        </w:numPr>
        <w:spacing w:before="0" w:afterLines="0" w:line="360" w:lineRule="exact"/>
        <w:jc w:val="both"/>
        <w:rPr>
          <w:b w:val="0"/>
          <w:color w:val="auto"/>
          <w:sz w:val="28"/>
          <w:szCs w:val="28"/>
          <w:highlight w:val="none"/>
        </w:rPr>
      </w:pPr>
    </w:p>
    <w:p w14:paraId="003ECCAC">
      <w:pPr>
        <w:pStyle w:val="3"/>
        <w:numPr>
          <w:ilvl w:val="0"/>
          <w:numId w:val="0"/>
        </w:numPr>
        <w:spacing w:before="0" w:afterLines="0" w:line="360" w:lineRule="exact"/>
        <w:jc w:val="both"/>
        <w:rPr>
          <w:b w:val="0"/>
          <w:color w:val="auto"/>
          <w:sz w:val="28"/>
          <w:szCs w:val="28"/>
          <w:highlight w:val="none"/>
        </w:rPr>
      </w:pPr>
    </w:p>
    <w:p w14:paraId="34015733">
      <w:pPr>
        <w:pStyle w:val="3"/>
        <w:numPr>
          <w:ilvl w:val="0"/>
          <w:numId w:val="0"/>
        </w:numPr>
        <w:spacing w:before="0" w:afterLines="0" w:line="360" w:lineRule="exact"/>
        <w:jc w:val="both"/>
        <w:rPr>
          <w:b w:val="0"/>
          <w:color w:val="auto"/>
          <w:sz w:val="28"/>
          <w:szCs w:val="28"/>
          <w:highlight w:val="none"/>
        </w:rPr>
      </w:pPr>
    </w:p>
    <w:p w14:paraId="302DB191">
      <w:pPr>
        <w:pStyle w:val="3"/>
        <w:numPr>
          <w:ilvl w:val="0"/>
          <w:numId w:val="0"/>
        </w:numPr>
        <w:spacing w:before="0" w:afterLines="0" w:line="360" w:lineRule="exact"/>
        <w:jc w:val="both"/>
        <w:rPr>
          <w:b w:val="0"/>
          <w:color w:val="auto"/>
          <w:sz w:val="28"/>
          <w:szCs w:val="28"/>
          <w:highlight w:val="none"/>
        </w:rPr>
      </w:pPr>
    </w:p>
    <w:p w14:paraId="185E6228">
      <w:pPr>
        <w:pStyle w:val="3"/>
        <w:numPr>
          <w:ilvl w:val="0"/>
          <w:numId w:val="0"/>
        </w:numPr>
        <w:spacing w:before="0" w:afterLines="0" w:line="360" w:lineRule="exact"/>
        <w:jc w:val="both"/>
        <w:rPr>
          <w:b w:val="0"/>
          <w:color w:val="auto"/>
          <w:sz w:val="28"/>
          <w:szCs w:val="28"/>
          <w:highlight w:val="none"/>
        </w:rPr>
      </w:pPr>
    </w:p>
    <w:p w14:paraId="310C1599">
      <w:pPr>
        <w:pStyle w:val="3"/>
        <w:numPr>
          <w:ilvl w:val="0"/>
          <w:numId w:val="0"/>
        </w:numPr>
        <w:spacing w:before="0" w:afterLines="0" w:line="360" w:lineRule="exact"/>
        <w:jc w:val="both"/>
        <w:rPr>
          <w:b w:val="0"/>
          <w:color w:val="auto"/>
          <w:sz w:val="28"/>
          <w:szCs w:val="28"/>
          <w:highlight w:val="none"/>
        </w:rPr>
      </w:pPr>
    </w:p>
    <w:p w14:paraId="0059F4BE">
      <w:pPr>
        <w:pStyle w:val="3"/>
        <w:numPr>
          <w:ilvl w:val="0"/>
          <w:numId w:val="0"/>
        </w:numPr>
        <w:spacing w:before="0" w:afterLines="0" w:line="360" w:lineRule="exact"/>
        <w:jc w:val="both"/>
        <w:rPr>
          <w:b w:val="0"/>
          <w:color w:val="auto"/>
          <w:sz w:val="28"/>
          <w:szCs w:val="28"/>
          <w:highlight w:val="none"/>
        </w:rPr>
      </w:pPr>
    </w:p>
    <w:p w14:paraId="5485AA26">
      <w:pPr>
        <w:pStyle w:val="3"/>
        <w:numPr>
          <w:ilvl w:val="0"/>
          <w:numId w:val="0"/>
        </w:numPr>
        <w:spacing w:before="0" w:afterLines="0" w:line="360" w:lineRule="exact"/>
        <w:jc w:val="both"/>
        <w:rPr>
          <w:b w:val="0"/>
          <w:color w:val="auto"/>
          <w:sz w:val="28"/>
          <w:szCs w:val="28"/>
          <w:highlight w:val="none"/>
        </w:rPr>
      </w:pPr>
    </w:p>
    <w:p w14:paraId="13265494">
      <w:pPr>
        <w:pStyle w:val="3"/>
        <w:numPr>
          <w:ilvl w:val="0"/>
          <w:numId w:val="0"/>
        </w:numPr>
        <w:spacing w:before="0" w:afterLines="0" w:line="360" w:lineRule="exact"/>
        <w:jc w:val="both"/>
        <w:rPr>
          <w:b w:val="0"/>
          <w:color w:val="auto"/>
          <w:sz w:val="28"/>
          <w:szCs w:val="28"/>
          <w:highlight w:val="none"/>
        </w:rPr>
      </w:pPr>
    </w:p>
    <w:p w14:paraId="62327E50">
      <w:pPr>
        <w:rPr>
          <w:color w:val="auto"/>
          <w:sz w:val="28"/>
          <w:szCs w:val="28"/>
          <w:highlight w:val="none"/>
        </w:rPr>
      </w:pPr>
    </w:p>
    <w:p w14:paraId="1691B73A">
      <w:pPr>
        <w:pStyle w:val="20"/>
        <w:rPr>
          <w:b w:val="0"/>
          <w:color w:val="auto"/>
          <w:sz w:val="28"/>
          <w:szCs w:val="28"/>
          <w:highlight w:val="none"/>
        </w:rPr>
      </w:pPr>
    </w:p>
    <w:p w14:paraId="01F3C552">
      <w:pPr>
        <w:rPr>
          <w:color w:val="auto"/>
          <w:highlight w:val="none"/>
        </w:rPr>
      </w:pPr>
    </w:p>
    <w:p w14:paraId="5CB10326">
      <w:pPr>
        <w:pStyle w:val="3"/>
        <w:numPr>
          <w:ilvl w:val="0"/>
          <w:numId w:val="0"/>
        </w:numPr>
        <w:spacing w:before="0" w:afterLines="0" w:line="360" w:lineRule="exact"/>
        <w:jc w:val="both"/>
        <w:rPr>
          <w:b w:val="0"/>
          <w:color w:val="auto"/>
          <w:sz w:val="28"/>
          <w:szCs w:val="28"/>
          <w:highlight w:val="none"/>
        </w:rPr>
      </w:pPr>
    </w:p>
    <w:p w14:paraId="3C469921">
      <w:pPr>
        <w:pStyle w:val="3"/>
        <w:numPr>
          <w:ilvl w:val="0"/>
          <w:numId w:val="0"/>
        </w:numPr>
        <w:spacing w:before="0" w:afterLines="0" w:line="360" w:lineRule="exact"/>
        <w:jc w:val="both"/>
        <w:rPr>
          <w:b w:val="0"/>
          <w:color w:val="auto"/>
          <w:sz w:val="28"/>
          <w:szCs w:val="28"/>
          <w:highlight w:val="none"/>
        </w:rPr>
      </w:pPr>
    </w:p>
    <w:p w14:paraId="36C549CE">
      <w:pPr>
        <w:pStyle w:val="3"/>
        <w:numPr>
          <w:ilvl w:val="0"/>
          <w:numId w:val="0"/>
        </w:numPr>
        <w:spacing w:before="0" w:afterLines="0" w:line="360" w:lineRule="exact"/>
        <w:jc w:val="both"/>
        <w:rPr>
          <w:b w:val="0"/>
          <w:color w:val="auto"/>
          <w:sz w:val="28"/>
          <w:szCs w:val="28"/>
          <w:highlight w:val="none"/>
        </w:rPr>
      </w:pPr>
    </w:p>
    <w:p w14:paraId="6C915340">
      <w:pPr>
        <w:pStyle w:val="3"/>
        <w:numPr>
          <w:ilvl w:val="0"/>
          <w:numId w:val="0"/>
        </w:numPr>
        <w:spacing w:before="0" w:afterLines="0" w:line="360" w:lineRule="exact"/>
        <w:jc w:val="both"/>
        <w:rPr>
          <w:b w:val="0"/>
          <w:color w:val="auto"/>
          <w:sz w:val="28"/>
          <w:szCs w:val="28"/>
          <w:highlight w:val="none"/>
        </w:rPr>
      </w:pPr>
    </w:p>
    <w:p w14:paraId="5FEB5E13">
      <w:pPr>
        <w:pStyle w:val="3"/>
        <w:numPr>
          <w:ilvl w:val="0"/>
          <w:numId w:val="0"/>
        </w:numPr>
        <w:spacing w:before="0" w:afterLines="0" w:line="360" w:lineRule="exact"/>
        <w:jc w:val="both"/>
        <w:rPr>
          <w:b w:val="0"/>
          <w:color w:val="auto"/>
          <w:sz w:val="28"/>
          <w:szCs w:val="28"/>
          <w:highlight w:val="none"/>
        </w:rPr>
      </w:pPr>
    </w:p>
    <w:p w14:paraId="3AB5E635">
      <w:pPr>
        <w:pStyle w:val="3"/>
        <w:numPr>
          <w:ilvl w:val="0"/>
          <w:numId w:val="0"/>
        </w:numPr>
        <w:spacing w:before="0" w:afterLines="0" w:line="360" w:lineRule="exact"/>
        <w:jc w:val="both"/>
        <w:rPr>
          <w:b w:val="0"/>
          <w:color w:val="auto"/>
          <w:sz w:val="28"/>
          <w:szCs w:val="28"/>
          <w:highlight w:val="none"/>
        </w:rPr>
      </w:pPr>
      <w:bookmarkStart w:id="150" w:name="_附件一：投标函"/>
      <w:r>
        <w:rPr>
          <w:rFonts w:hint="eastAsia"/>
          <w:b w:val="0"/>
          <w:color w:val="auto"/>
          <w:sz w:val="28"/>
          <w:szCs w:val="28"/>
          <w:highlight w:val="none"/>
        </w:rPr>
        <w:t>附件一：</w:t>
      </w:r>
      <w:bookmarkEnd w:id="145"/>
      <w:bookmarkEnd w:id="146"/>
      <w:bookmarkEnd w:id="147"/>
      <w:r>
        <w:rPr>
          <w:rFonts w:hint="eastAsia"/>
          <w:b w:val="0"/>
          <w:color w:val="auto"/>
          <w:sz w:val="28"/>
          <w:szCs w:val="28"/>
          <w:highlight w:val="none"/>
        </w:rPr>
        <w:t>投标函</w:t>
      </w:r>
      <w:bookmarkEnd w:id="148"/>
      <w:bookmarkEnd w:id="149"/>
    </w:p>
    <w:bookmarkEnd w:id="150"/>
    <w:p w14:paraId="5A51BF13">
      <w:pPr>
        <w:rPr>
          <w:rFonts w:ascii="黑体" w:eastAsia="黑体"/>
          <w:color w:val="auto"/>
          <w:sz w:val="28"/>
          <w:szCs w:val="28"/>
          <w:highlight w:val="none"/>
        </w:rPr>
      </w:pPr>
    </w:p>
    <w:p w14:paraId="1E881FEF">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台州府城依水山庄亭廊及美人靠等修缮维护项目</w:t>
      </w:r>
    </w:p>
    <w:p w14:paraId="15C3303D">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5E1D2B4F">
      <w:pPr>
        <w:pStyle w:val="17"/>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val="en-US" w:eastAsia="zh-CN"/>
        </w:rPr>
        <w:t>临海市江南长城旅游发展有限公司</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50196ED9">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台州府城依水山庄亭廊及美人靠等修缮维护项目</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337456DB">
      <w:pPr>
        <w:ind w:left="936" w:leftChars="180" w:hanging="360" w:hangingChars="1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1、愿以总报价¥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元（保留整数），大写金额人民币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元，承包上述工程的施工、竣工和保修。</w:t>
      </w:r>
    </w:p>
    <w:p w14:paraId="7ADDB7A7">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53916962">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22F0C534">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04FC849D">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635367EA">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14CDE920">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7093FFE7">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0FEC0B50">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393AC4C0">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03848B68">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47D7AE60">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6602C1F5">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43B2D98E">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25CA6D29">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3E59E3FC">
      <w:pPr>
        <w:ind w:right="480"/>
        <w:rPr>
          <w:rFonts w:ascii="宋体" w:hAnsi="宋体" w:eastAsia="宋体"/>
          <w:color w:val="auto"/>
          <w:sz w:val="24"/>
          <w:szCs w:val="24"/>
          <w:highlight w:val="none"/>
        </w:rPr>
      </w:pPr>
    </w:p>
    <w:p w14:paraId="71E2F624">
      <w:pPr>
        <w:rPr>
          <w:rFonts w:ascii="宋体" w:hAnsi="宋体" w:eastAsia="宋体"/>
          <w:color w:val="auto"/>
          <w:sz w:val="24"/>
          <w:szCs w:val="24"/>
          <w:highlight w:val="none"/>
        </w:rPr>
      </w:pPr>
    </w:p>
    <w:p w14:paraId="12A6624B">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51" w:name="_Hlt465761988"/>
      <w:bookmarkEnd w:id="151"/>
      <w:bookmarkStart w:id="152" w:name="_Hlk465759066"/>
      <w:bookmarkEnd w:id="152"/>
      <w:r>
        <w:rPr>
          <w:rFonts w:hint="eastAsia" w:ascii="宋体" w:hAnsi="宋体" w:eastAsia="宋体"/>
          <w:color w:val="auto"/>
          <w:sz w:val="24"/>
          <w:szCs w:val="24"/>
          <w:highlight w:val="none"/>
        </w:rPr>
        <w:t>投标人（盖章）：</w:t>
      </w:r>
    </w:p>
    <w:p w14:paraId="40589EA3">
      <w:pPr>
        <w:jc w:val="right"/>
        <w:rPr>
          <w:rFonts w:ascii="宋体" w:hAnsi="宋体" w:eastAsia="宋体"/>
          <w:color w:val="auto"/>
          <w:sz w:val="24"/>
          <w:szCs w:val="24"/>
          <w:highlight w:val="none"/>
        </w:rPr>
      </w:pPr>
    </w:p>
    <w:p w14:paraId="618D8853">
      <w:pPr>
        <w:rPr>
          <w:color w:val="auto"/>
          <w:sz w:val="24"/>
          <w:szCs w:val="24"/>
          <w:highlight w:val="none"/>
        </w:rPr>
      </w:pPr>
    </w:p>
    <w:p w14:paraId="72F9D711">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53" w:name="_Toc106012815"/>
      <w:bookmarkStart w:id="154" w:name="_Toc106553077"/>
      <w:bookmarkStart w:id="155" w:name="_Toc155342580"/>
      <w:bookmarkStart w:id="156" w:name="_Toc144975208"/>
      <w:bookmarkStart w:id="157" w:name="_Toc169487830"/>
    </w:p>
    <w:bookmarkEnd w:id="153"/>
    <w:bookmarkEnd w:id="154"/>
    <w:bookmarkEnd w:id="155"/>
    <w:bookmarkEnd w:id="156"/>
    <w:bookmarkEnd w:id="157"/>
    <w:p w14:paraId="58977696">
      <w:pPr>
        <w:pStyle w:val="3"/>
        <w:numPr>
          <w:ilvl w:val="0"/>
          <w:numId w:val="0"/>
        </w:numPr>
        <w:spacing w:afterLines="0" w:line="360" w:lineRule="exact"/>
        <w:jc w:val="both"/>
        <w:rPr>
          <w:b w:val="0"/>
          <w:color w:val="auto"/>
          <w:sz w:val="28"/>
          <w:szCs w:val="28"/>
          <w:highlight w:val="none"/>
        </w:rPr>
      </w:pPr>
      <w:bookmarkStart w:id="158" w:name="_Toc155342584"/>
      <w:bookmarkStart w:id="159" w:name="_Toc386121761"/>
      <w:bookmarkStart w:id="160" w:name="_Toc106553078"/>
      <w:bookmarkStart w:id="161" w:name="_Toc386122458"/>
      <w:bookmarkStart w:id="162" w:name="_Toc106012816"/>
      <w:bookmarkStart w:id="163" w:name="_Toc14753"/>
      <w:bookmarkStart w:id="164" w:name="_Toc30036"/>
      <w:bookmarkStart w:id="165" w:name="_附件三：项目负责人简历表"/>
      <w:r>
        <w:rPr>
          <w:rFonts w:hint="eastAsia"/>
          <w:b w:val="0"/>
          <w:color w:val="auto"/>
          <w:sz w:val="28"/>
          <w:szCs w:val="28"/>
          <w:highlight w:val="none"/>
        </w:rPr>
        <w:t>附件</w:t>
      </w:r>
      <w:r>
        <w:rPr>
          <w:rFonts w:hint="eastAsia"/>
          <w:b w:val="0"/>
          <w:color w:val="auto"/>
          <w:sz w:val="28"/>
          <w:szCs w:val="28"/>
          <w:highlight w:val="none"/>
          <w:lang w:val="en-US" w:eastAsia="zh-CN"/>
        </w:rPr>
        <w:t>二</w:t>
      </w:r>
      <w:r>
        <w:rPr>
          <w:rFonts w:hint="eastAsia"/>
          <w:b w:val="0"/>
          <w:color w:val="auto"/>
          <w:sz w:val="28"/>
          <w:szCs w:val="28"/>
          <w:highlight w:val="none"/>
        </w:rPr>
        <w:t>：</w:t>
      </w:r>
      <w:bookmarkEnd w:id="158"/>
      <w:bookmarkEnd w:id="159"/>
      <w:bookmarkEnd w:id="160"/>
      <w:bookmarkEnd w:id="161"/>
      <w:bookmarkEnd w:id="162"/>
      <w:r>
        <w:rPr>
          <w:rFonts w:hint="eastAsia"/>
          <w:b w:val="0"/>
          <w:color w:val="auto"/>
          <w:sz w:val="28"/>
          <w:szCs w:val="28"/>
          <w:highlight w:val="none"/>
        </w:rPr>
        <w:t>项目负责人简历表</w:t>
      </w:r>
      <w:bookmarkEnd w:id="163"/>
      <w:bookmarkEnd w:id="164"/>
    </w:p>
    <w:bookmarkEnd w:id="165"/>
    <w:p w14:paraId="238DB507">
      <w:pPr>
        <w:rPr>
          <w:rFonts w:ascii="黑体" w:eastAsia="黑体"/>
          <w:color w:val="auto"/>
          <w:sz w:val="28"/>
          <w:szCs w:val="28"/>
          <w:highlight w:val="none"/>
        </w:rPr>
      </w:pPr>
    </w:p>
    <w:p w14:paraId="323B38AB">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台州府城依水山庄亭廊及美人靠等修缮维护项目</w:t>
      </w:r>
    </w:p>
    <w:p w14:paraId="733C2915">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477EC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68C08BF">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59941F73">
            <w:pPr>
              <w:jc w:val="center"/>
              <w:rPr>
                <w:rFonts w:ascii="宋体" w:hAnsi="宋体" w:eastAsia="宋体"/>
                <w:color w:val="auto"/>
                <w:highlight w:val="none"/>
              </w:rPr>
            </w:pPr>
          </w:p>
        </w:tc>
        <w:tc>
          <w:tcPr>
            <w:tcW w:w="861" w:type="dxa"/>
            <w:vAlign w:val="center"/>
          </w:tcPr>
          <w:p w14:paraId="52A4554A">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1E3A841C">
            <w:pPr>
              <w:jc w:val="center"/>
              <w:rPr>
                <w:rFonts w:ascii="宋体" w:hAnsi="宋体" w:eastAsia="宋体"/>
                <w:color w:val="auto"/>
                <w:highlight w:val="none"/>
              </w:rPr>
            </w:pPr>
          </w:p>
        </w:tc>
        <w:tc>
          <w:tcPr>
            <w:tcW w:w="913" w:type="dxa"/>
            <w:vAlign w:val="center"/>
          </w:tcPr>
          <w:p w14:paraId="05BD6641">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66AC8EC7">
            <w:pPr>
              <w:jc w:val="center"/>
              <w:rPr>
                <w:rFonts w:ascii="宋体" w:hAnsi="宋体" w:eastAsia="宋体"/>
                <w:color w:val="auto"/>
                <w:highlight w:val="none"/>
              </w:rPr>
            </w:pPr>
          </w:p>
        </w:tc>
        <w:tc>
          <w:tcPr>
            <w:tcW w:w="861" w:type="dxa"/>
            <w:vAlign w:val="center"/>
          </w:tcPr>
          <w:p w14:paraId="114F8587">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1E7D7618">
            <w:pPr>
              <w:jc w:val="center"/>
              <w:rPr>
                <w:rFonts w:ascii="宋体" w:hAnsi="宋体" w:eastAsia="宋体"/>
                <w:color w:val="auto"/>
                <w:highlight w:val="none"/>
              </w:rPr>
            </w:pPr>
          </w:p>
        </w:tc>
      </w:tr>
      <w:tr w14:paraId="02962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4A1EA7C3">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059B7A4F">
            <w:pPr>
              <w:jc w:val="center"/>
              <w:rPr>
                <w:rFonts w:ascii="宋体" w:hAnsi="宋体" w:eastAsia="宋体"/>
                <w:color w:val="auto"/>
                <w:highlight w:val="none"/>
              </w:rPr>
            </w:pPr>
          </w:p>
        </w:tc>
        <w:tc>
          <w:tcPr>
            <w:tcW w:w="1096" w:type="dxa"/>
            <w:vAlign w:val="center"/>
          </w:tcPr>
          <w:p w14:paraId="39960AA3">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5F80F774">
            <w:pPr>
              <w:jc w:val="center"/>
              <w:rPr>
                <w:rFonts w:ascii="宋体" w:hAnsi="宋体" w:eastAsia="宋体"/>
                <w:color w:val="auto"/>
                <w:highlight w:val="none"/>
              </w:rPr>
            </w:pPr>
          </w:p>
        </w:tc>
        <w:tc>
          <w:tcPr>
            <w:tcW w:w="861" w:type="dxa"/>
            <w:vAlign w:val="center"/>
          </w:tcPr>
          <w:p w14:paraId="3B5931BE">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27AE2F81">
            <w:pPr>
              <w:jc w:val="center"/>
              <w:rPr>
                <w:rFonts w:ascii="宋体" w:hAnsi="宋体" w:eastAsia="宋体"/>
                <w:color w:val="auto"/>
                <w:highlight w:val="none"/>
              </w:rPr>
            </w:pPr>
          </w:p>
        </w:tc>
      </w:tr>
      <w:tr w14:paraId="78ABF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DCFBD91">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2B326CB4">
            <w:pPr>
              <w:jc w:val="center"/>
              <w:rPr>
                <w:rFonts w:ascii="宋体" w:hAnsi="宋体" w:eastAsia="宋体"/>
                <w:color w:val="auto"/>
                <w:highlight w:val="none"/>
              </w:rPr>
            </w:pPr>
          </w:p>
        </w:tc>
        <w:tc>
          <w:tcPr>
            <w:tcW w:w="3209" w:type="dxa"/>
            <w:gridSpan w:val="3"/>
            <w:vAlign w:val="center"/>
          </w:tcPr>
          <w:p w14:paraId="6ED20B48">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1C9467A6">
            <w:pPr>
              <w:jc w:val="center"/>
              <w:rPr>
                <w:rFonts w:ascii="宋体" w:hAnsi="宋体" w:eastAsia="宋体"/>
                <w:color w:val="auto"/>
                <w:highlight w:val="none"/>
              </w:rPr>
            </w:pPr>
          </w:p>
        </w:tc>
      </w:tr>
      <w:tr w14:paraId="69194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5BBB4FF8">
            <w:pPr>
              <w:jc w:val="center"/>
              <w:rPr>
                <w:rFonts w:ascii="宋体" w:hAnsi="宋体" w:eastAsia="宋体"/>
                <w:color w:val="auto"/>
                <w:highlight w:val="none"/>
              </w:rPr>
            </w:pPr>
          </w:p>
          <w:p w14:paraId="7A411DE0">
            <w:pPr>
              <w:jc w:val="center"/>
              <w:rPr>
                <w:rFonts w:ascii="宋体" w:hAnsi="宋体" w:eastAsia="宋体"/>
                <w:color w:val="auto"/>
                <w:highlight w:val="none"/>
              </w:rPr>
            </w:pPr>
          </w:p>
          <w:p w14:paraId="10C2FE30">
            <w:pPr>
              <w:jc w:val="center"/>
              <w:rPr>
                <w:rFonts w:ascii="宋体" w:hAnsi="宋体" w:eastAsia="宋体"/>
                <w:color w:val="auto"/>
                <w:highlight w:val="none"/>
              </w:rPr>
            </w:pPr>
          </w:p>
          <w:p w14:paraId="7681248A">
            <w:pPr>
              <w:jc w:val="center"/>
              <w:rPr>
                <w:rFonts w:ascii="宋体" w:hAnsi="宋体" w:eastAsia="宋体"/>
                <w:color w:val="auto"/>
                <w:highlight w:val="none"/>
              </w:rPr>
            </w:pPr>
            <w:r>
              <w:rPr>
                <w:rFonts w:hint="eastAsia" w:ascii="宋体" w:hAnsi="宋体" w:eastAsia="宋体"/>
                <w:color w:val="auto"/>
                <w:highlight w:val="none"/>
              </w:rPr>
              <w:t>简</w:t>
            </w:r>
          </w:p>
          <w:p w14:paraId="25BB2FD0">
            <w:pPr>
              <w:jc w:val="center"/>
              <w:rPr>
                <w:rFonts w:ascii="宋体" w:hAnsi="宋体" w:eastAsia="宋体"/>
                <w:color w:val="auto"/>
                <w:highlight w:val="none"/>
              </w:rPr>
            </w:pPr>
          </w:p>
          <w:p w14:paraId="48858037">
            <w:pPr>
              <w:jc w:val="center"/>
              <w:rPr>
                <w:rFonts w:ascii="宋体" w:hAnsi="宋体" w:eastAsia="宋体"/>
                <w:color w:val="auto"/>
                <w:highlight w:val="none"/>
              </w:rPr>
            </w:pPr>
          </w:p>
          <w:p w14:paraId="48C8CD78">
            <w:pPr>
              <w:rPr>
                <w:rFonts w:ascii="宋体" w:hAnsi="宋体" w:eastAsia="宋体"/>
                <w:color w:val="auto"/>
                <w:highlight w:val="none"/>
              </w:rPr>
            </w:pPr>
          </w:p>
          <w:p w14:paraId="5261A1CC">
            <w:pPr>
              <w:rPr>
                <w:rFonts w:ascii="宋体" w:hAnsi="宋体" w:eastAsia="宋体"/>
                <w:color w:val="auto"/>
                <w:highlight w:val="none"/>
              </w:rPr>
            </w:pPr>
          </w:p>
          <w:p w14:paraId="7807D000">
            <w:pPr>
              <w:jc w:val="center"/>
              <w:rPr>
                <w:rFonts w:ascii="宋体" w:hAnsi="宋体" w:eastAsia="宋体"/>
                <w:color w:val="auto"/>
                <w:highlight w:val="none"/>
              </w:rPr>
            </w:pPr>
          </w:p>
          <w:p w14:paraId="5B3103E1">
            <w:pPr>
              <w:jc w:val="center"/>
              <w:rPr>
                <w:rFonts w:ascii="宋体" w:hAnsi="宋体" w:eastAsia="宋体"/>
                <w:color w:val="auto"/>
                <w:highlight w:val="none"/>
              </w:rPr>
            </w:pPr>
          </w:p>
          <w:p w14:paraId="4B50D415">
            <w:pPr>
              <w:jc w:val="center"/>
              <w:rPr>
                <w:rFonts w:ascii="宋体" w:hAnsi="宋体" w:eastAsia="宋体"/>
                <w:color w:val="auto"/>
                <w:highlight w:val="none"/>
              </w:rPr>
            </w:pPr>
            <w:r>
              <w:rPr>
                <w:rFonts w:hint="eastAsia" w:ascii="宋体" w:hAnsi="宋体" w:eastAsia="宋体"/>
                <w:color w:val="auto"/>
                <w:highlight w:val="none"/>
              </w:rPr>
              <w:t>历</w:t>
            </w:r>
          </w:p>
          <w:p w14:paraId="04B02894">
            <w:pPr>
              <w:jc w:val="center"/>
              <w:rPr>
                <w:rFonts w:ascii="宋体" w:hAnsi="宋体" w:eastAsia="宋体"/>
                <w:color w:val="auto"/>
                <w:highlight w:val="none"/>
              </w:rPr>
            </w:pPr>
          </w:p>
          <w:p w14:paraId="549CC8A1">
            <w:pPr>
              <w:jc w:val="center"/>
              <w:rPr>
                <w:rFonts w:ascii="宋体" w:hAnsi="宋体" w:eastAsia="宋体"/>
                <w:color w:val="auto"/>
                <w:highlight w:val="none"/>
              </w:rPr>
            </w:pPr>
          </w:p>
          <w:p w14:paraId="70ED88F1">
            <w:pPr>
              <w:rPr>
                <w:rFonts w:ascii="宋体" w:hAnsi="宋体" w:eastAsia="宋体"/>
                <w:color w:val="auto"/>
                <w:highlight w:val="none"/>
              </w:rPr>
            </w:pPr>
          </w:p>
        </w:tc>
        <w:tc>
          <w:tcPr>
            <w:tcW w:w="8610" w:type="dxa"/>
            <w:gridSpan w:val="8"/>
          </w:tcPr>
          <w:p w14:paraId="66388C99">
            <w:pPr>
              <w:rPr>
                <w:rFonts w:ascii="宋体" w:hAnsi="宋体" w:eastAsia="宋体"/>
                <w:color w:val="auto"/>
                <w:highlight w:val="none"/>
              </w:rPr>
            </w:pPr>
          </w:p>
        </w:tc>
      </w:tr>
    </w:tbl>
    <w:p w14:paraId="779939D6">
      <w:pPr>
        <w:rPr>
          <w:rFonts w:ascii="宋体" w:hAnsi="宋体" w:eastAsia="宋体"/>
          <w:color w:val="auto"/>
          <w:highlight w:val="none"/>
        </w:rPr>
      </w:pPr>
    </w:p>
    <w:p w14:paraId="0B85E44E">
      <w:pPr>
        <w:rPr>
          <w:rFonts w:ascii="宋体" w:hAnsi="宋体" w:eastAsia="宋体"/>
          <w:color w:val="auto"/>
          <w:sz w:val="24"/>
          <w:szCs w:val="24"/>
          <w:highlight w:val="none"/>
        </w:rPr>
      </w:pPr>
      <w:bookmarkStart w:id="166" w:name="_Toc106012817"/>
      <w:bookmarkStart w:id="167" w:name="_Toc155342585"/>
      <w:bookmarkStart w:id="168" w:name="_Toc106553079"/>
      <w:r>
        <w:rPr>
          <w:rFonts w:hint="eastAsia" w:ascii="宋体" w:hAnsi="宋体" w:eastAsia="宋体"/>
          <w:color w:val="auto"/>
          <w:sz w:val="24"/>
          <w:szCs w:val="24"/>
          <w:highlight w:val="none"/>
        </w:rPr>
        <w:t>法定代表人（签字或盖章）：                            投标人（盖章）：</w:t>
      </w:r>
    </w:p>
    <w:p w14:paraId="02A7A3AF">
      <w:pPr>
        <w:jc w:val="right"/>
        <w:rPr>
          <w:rFonts w:ascii="宋体" w:hAnsi="宋体" w:eastAsia="宋体"/>
          <w:color w:val="auto"/>
          <w:sz w:val="24"/>
          <w:szCs w:val="24"/>
          <w:highlight w:val="none"/>
        </w:rPr>
      </w:pPr>
    </w:p>
    <w:p w14:paraId="438E0BFA">
      <w:pPr>
        <w:ind w:firstLine="6360" w:firstLineChars="2650"/>
        <w:rPr>
          <w:rFonts w:ascii="宋体" w:hAnsi="宋体" w:eastAsia="宋体"/>
          <w:color w:val="auto"/>
          <w:sz w:val="24"/>
          <w:szCs w:val="24"/>
          <w:highlight w:val="none"/>
        </w:rPr>
      </w:pPr>
    </w:p>
    <w:p w14:paraId="3E2DFC71">
      <w:pPr>
        <w:ind w:firstLine="6360" w:firstLineChars="2650"/>
        <w:rPr>
          <w:color w:val="auto"/>
          <w:highlight w:val="none"/>
        </w:rPr>
      </w:pPr>
      <w:r>
        <w:rPr>
          <w:rFonts w:hint="eastAsia" w:ascii="宋体" w:hAnsi="宋体" w:eastAsia="宋体"/>
          <w:color w:val="auto"/>
          <w:sz w:val="24"/>
          <w:szCs w:val="24"/>
          <w:highlight w:val="none"/>
        </w:rPr>
        <w:t>日期：   年   月   日</w:t>
      </w:r>
    </w:p>
    <w:p w14:paraId="4BC7313C">
      <w:pPr>
        <w:pStyle w:val="3"/>
        <w:numPr>
          <w:ilvl w:val="0"/>
          <w:numId w:val="0"/>
        </w:numPr>
        <w:spacing w:before="0" w:afterLines="0" w:line="240" w:lineRule="auto"/>
        <w:jc w:val="both"/>
        <w:rPr>
          <w:b w:val="0"/>
          <w:color w:val="auto"/>
          <w:sz w:val="28"/>
          <w:szCs w:val="28"/>
          <w:highlight w:val="none"/>
        </w:rPr>
      </w:pPr>
      <w:bookmarkStart w:id="169" w:name="_Toc386121762"/>
      <w:bookmarkStart w:id="170" w:name="_Toc386122459"/>
      <w:bookmarkStart w:id="171" w:name="_Toc581"/>
      <w:bookmarkStart w:id="172" w:name="_Toc20785"/>
    </w:p>
    <w:p w14:paraId="76B4EC47">
      <w:pPr>
        <w:pStyle w:val="3"/>
        <w:numPr>
          <w:ilvl w:val="0"/>
          <w:numId w:val="0"/>
        </w:numPr>
        <w:spacing w:before="0" w:afterLines="0" w:line="240" w:lineRule="auto"/>
        <w:jc w:val="both"/>
        <w:rPr>
          <w:b w:val="0"/>
          <w:color w:val="auto"/>
          <w:sz w:val="28"/>
          <w:szCs w:val="28"/>
          <w:highlight w:val="none"/>
        </w:rPr>
      </w:pPr>
      <w:bookmarkStart w:id="173" w:name="_附件四：技术负责人简历表"/>
      <w:r>
        <w:rPr>
          <w:rFonts w:hint="eastAsia"/>
          <w:b w:val="0"/>
          <w:color w:val="auto"/>
          <w:sz w:val="28"/>
          <w:szCs w:val="28"/>
          <w:highlight w:val="none"/>
        </w:rPr>
        <w:t>附件</w:t>
      </w:r>
      <w:r>
        <w:rPr>
          <w:rFonts w:hint="eastAsia"/>
          <w:b w:val="0"/>
          <w:color w:val="auto"/>
          <w:sz w:val="28"/>
          <w:szCs w:val="28"/>
          <w:highlight w:val="none"/>
          <w:lang w:val="en-US" w:eastAsia="zh-CN"/>
        </w:rPr>
        <w:t>三</w:t>
      </w:r>
      <w:r>
        <w:rPr>
          <w:rFonts w:hint="eastAsia"/>
          <w:b w:val="0"/>
          <w:color w:val="auto"/>
          <w:sz w:val="28"/>
          <w:szCs w:val="28"/>
          <w:highlight w:val="none"/>
        </w:rPr>
        <w:t>：</w:t>
      </w:r>
      <w:bookmarkEnd w:id="166"/>
      <w:bookmarkEnd w:id="167"/>
      <w:bookmarkEnd w:id="168"/>
      <w:bookmarkEnd w:id="169"/>
      <w:bookmarkEnd w:id="170"/>
      <w:r>
        <w:rPr>
          <w:rFonts w:hint="eastAsia"/>
          <w:b w:val="0"/>
          <w:color w:val="auto"/>
          <w:sz w:val="28"/>
          <w:szCs w:val="28"/>
          <w:highlight w:val="none"/>
        </w:rPr>
        <w:t>技术负责人简历表</w:t>
      </w:r>
      <w:bookmarkEnd w:id="171"/>
      <w:bookmarkEnd w:id="172"/>
    </w:p>
    <w:bookmarkEnd w:id="173"/>
    <w:p w14:paraId="0D5C4D1D">
      <w:pPr>
        <w:rPr>
          <w:rFonts w:ascii="黑体" w:eastAsia="黑体"/>
          <w:color w:val="auto"/>
          <w:sz w:val="28"/>
          <w:szCs w:val="28"/>
          <w:highlight w:val="none"/>
        </w:rPr>
      </w:pPr>
    </w:p>
    <w:p w14:paraId="14823CF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台州府城依水山庄亭廊及美人靠等修缮维护项目</w:t>
      </w:r>
    </w:p>
    <w:p w14:paraId="581155C2">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7918D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596E6BD">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103CF33B">
            <w:pPr>
              <w:jc w:val="center"/>
              <w:rPr>
                <w:rFonts w:ascii="宋体" w:hAnsi="宋体" w:eastAsia="宋体"/>
                <w:color w:val="auto"/>
                <w:highlight w:val="none"/>
              </w:rPr>
            </w:pPr>
          </w:p>
        </w:tc>
        <w:tc>
          <w:tcPr>
            <w:tcW w:w="861" w:type="dxa"/>
            <w:vAlign w:val="center"/>
          </w:tcPr>
          <w:p w14:paraId="13DE82D8">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29ADF1CF">
            <w:pPr>
              <w:jc w:val="center"/>
              <w:rPr>
                <w:rFonts w:ascii="宋体" w:hAnsi="宋体" w:eastAsia="宋体"/>
                <w:color w:val="auto"/>
                <w:highlight w:val="none"/>
              </w:rPr>
            </w:pPr>
          </w:p>
        </w:tc>
        <w:tc>
          <w:tcPr>
            <w:tcW w:w="913" w:type="dxa"/>
            <w:vAlign w:val="center"/>
          </w:tcPr>
          <w:p w14:paraId="462FE065">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004AF55E">
            <w:pPr>
              <w:jc w:val="center"/>
              <w:rPr>
                <w:rFonts w:ascii="宋体" w:hAnsi="宋体" w:eastAsia="宋体"/>
                <w:color w:val="auto"/>
                <w:highlight w:val="none"/>
              </w:rPr>
            </w:pPr>
          </w:p>
        </w:tc>
        <w:tc>
          <w:tcPr>
            <w:tcW w:w="861" w:type="dxa"/>
            <w:vAlign w:val="center"/>
          </w:tcPr>
          <w:p w14:paraId="7ED6E2D8">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385D5B7E">
            <w:pPr>
              <w:jc w:val="center"/>
              <w:rPr>
                <w:rFonts w:ascii="宋体" w:hAnsi="宋体" w:eastAsia="宋体"/>
                <w:color w:val="auto"/>
                <w:highlight w:val="none"/>
              </w:rPr>
            </w:pPr>
          </w:p>
        </w:tc>
      </w:tr>
      <w:tr w14:paraId="58D04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09198D2D">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29494DC3">
            <w:pPr>
              <w:jc w:val="center"/>
              <w:rPr>
                <w:rFonts w:ascii="宋体" w:hAnsi="宋体" w:eastAsia="宋体"/>
                <w:color w:val="auto"/>
                <w:highlight w:val="none"/>
              </w:rPr>
            </w:pPr>
          </w:p>
        </w:tc>
        <w:tc>
          <w:tcPr>
            <w:tcW w:w="1957" w:type="dxa"/>
            <w:gridSpan w:val="2"/>
            <w:vAlign w:val="center"/>
          </w:tcPr>
          <w:p w14:paraId="3D477DFA">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5A6DB3C9">
            <w:pPr>
              <w:jc w:val="center"/>
              <w:rPr>
                <w:rFonts w:ascii="宋体" w:hAnsi="宋体" w:eastAsia="宋体"/>
                <w:color w:val="auto"/>
                <w:highlight w:val="none"/>
              </w:rPr>
            </w:pPr>
          </w:p>
        </w:tc>
        <w:tc>
          <w:tcPr>
            <w:tcW w:w="861" w:type="dxa"/>
            <w:vAlign w:val="center"/>
          </w:tcPr>
          <w:p w14:paraId="7BC15E99">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2E0EA64A">
            <w:pPr>
              <w:jc w:val="center"/>
              <w:rPr>
                <w:rFonts w:ascii="宋体" w:hAnsi="宋体" w:eastAsia="宋体"/>
                <w:color w:val="auto"/>
                <w:highlight w:val="none"/>
              </w:rPr>
            </w:pPr>
          </w:p>
        </w:tc>
      </w:tr>
      <w:tr w14:paraId="3B9B4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3BAE9B22">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6AD7FE89">
            <w:pPr>
              <w:jc w:val="center"/>
              <w:rPr>
                <w:rFonts w:ascii="宋体" w:hAnsi="宋体" w:eastAsia="宋体"/>
                <w:color w:val="auto"/>
                <w:highlight w:val="none"/>
              </w:rPr>
            </w:pPr>
          </w:p>
        </w:tc>
        <w:tc>
          <w:tcPr>
            <w:tcW w:w="3209" w:type="dxa"/>
            <w:gridSpan w:val="3"/>
            <w:vAlign w:val="center"/>
          </w:tcPr>
          <w:p w14:paraId="2A8C99E9">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0C3369DB">
            <w:pPr>
              <w:jc w:val="center"/>
              <w:rPr>
                <w:rFonts w:ascii="宋体" w:hAnsi="宋体" w:eastAsia="宋体"/>
                <w:color w:val="auto"/>
                <w:highlight w:val="none"/>
              </w:rPr>
            </w:pPr>
          </w:p>
        </w:tc>
      </w:tr>
      <w:tr w14:paraId="15AF9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6B12B7DD">
            <w:pPr>
              <w:jc w:val="center"/>
              <w:rPr>
                <w:rFonts w:ascii="宋体" w:hAnsi="宋体" w:eastAsia="宋体"/>
                <w:color w:val="auto"/>
                <w:highlight w:val="none"/>
              </w:rPr>
            </w:pPr>
          </w:p>
          <w:p w14:paraId="7EA36810">
            <w:pPr>
              <w:jc w:val="center"/>
              <w:rPr>
                <w:rFonts w:ascii="宋体" w:hAnsi="宋体" w:eastAsia="宋体"/>
                <w:color w:val="auto"/>
                <w:highlight w:val="none"/>
              </w:rPr>
            </w:pPr>
          </w:p>
          <w:p w14:paraId="685C677E">
            <w:pPr>
              <w:jc w:val="center"/>
              <w:rPr>
                <w:rFonts w:ascii="宋体" w:hAnsi="宋体" w:eastAsia="宋体"/>
                <w:color w:val="auto"/>
                <w:highlight w:val="none"/>
              </w:rPr>
            </w:pPr>
          </w:p>
          <w:p w14:paraId="0ADDC8F1">
            <w:pPr>
              <w:jc w:val="center"/>
              <w:rPr>
                <w:rFonts w:ascii="宋体" w:hAnsi="宋体" w:eastAsia="宋体"/>
                <w:color w:val="auto"/>
                <w:highlight w:val="none"/>
              </w:rPr>
            </w:pPr>
            <w:r>
              <w:rPr>
                <w:rFonts w:hint="eastAsia" w:ascii="宋体" w:hAnsi="宋体" w:eastAsia="宋体"/>
                <w:color w:val="auto"/>
                <w:highlight w:val="none"/>
              </w:rPr>
              <w:t>简</w:t>
            </w:r>
          </w:p>
          <w:p w14:paraId="6CD2103A">
            <w:pPr>
              <w:jc w:val="center"/>
              <w:rPr>
                <w:rFonts w:ascii="宋体" w:hAnsi="宋体" w:eastAsia="宋体"/>
                <w:color w:val="auto"/>
                <w:highlight w:val="none"/>
              </w:rPr>
            </w:pPr>
          </w:p>
          <w:p w14:paraId="0A5BE06B">
            <w:pPr>
              <w:jc w:val="center"/>
              <w:rPr>
                <w:rFonts w:ascii="宋体" w:hAnsi="宋体" w:eastAsia="宋体"/>
                <w:color w:val="auto"/>
                <w:highlight w:val="none"/>
              </w:rPr>
            </w:pPr>
          </w:p>
          <w:p w14:paraId="584F55DC">
            <w:pPr>
              <w:rPr>
                <w:rFonts w:ascii="宋体" w:hAnsi="宋体" w:eastAsia="宋体"/>
                <w:color w:val="auto"/>
                <w:highlight w:val="none"/>
              </w:rPr>
            </w:pPr>
          </w:p>
          <w:p w14:paraId="74B54269">
            <w:pPr>
              <w:rPr>
                <w:rFonts w:ascii="宋体" w:hAnsi="宋体" w:eastAsia="宋体"/>
                <w:color w:val="auto"/>
                <w:highlight w:val="none"/>
              </w:rPr>
            </w:pPr>
          </w:p>
          <w:p w14:paraId="11EE0945">
            <w:pPr>
              <w:jc w:val="center"/>
              <w:rPr>
                <w:rFonts w:ascii="宋体" w:hAnsi="宋体" w:eastAsia="宋体"/>
                <w:color w:val="auto"/>
                <w:highlight w:val="none"/>
              </w:rPr>
            </w:pPr>
          </w:p>
          <w:p w14:paraId="5F89C875">
            <w:pPr>
              <w:jc w:val="center"/>
              <w:rPr>
                <w:rFonts w:ascii="宋体" w:hAnsi="宋体" w:eastAsia="宋体"/>
                <w:color w:val="auto"/>
                <w:highlight w:val="none"/>
              </w:rPr>
            </w:pPr>
          </w:p>
          <w:p w14:paraId="01496ED9">
            <w:pPr>
              <w:jc w:val="center"/>
              <w:rPr>
                <w:rFonts w:ascii="宋体" w:hAnsi="宋体" w:eastAsia="宋体"/>
                <w:color w:val="auto"/>
                <w:highlight w:val="none"/>
              </w:rPr>
            </w:pPr>
            <w:r>
              <w:rPr>
                <w:rFonts w:hint="eastAsia" w:ascii="宋体" w:hAnsi="宋体" w:eastAsia="宋体"/>
                <w:color w:val="auto"/>
                <w:highlight w:val="none"/>
              </w:rPr>
              <w:t>历</w:t>
            </w:r>
          </w:p>
          <w:p w14:paraId="073F176B">
            <w:pPr>
              <w:jc w:val="center"/>
              <w:rPr>
                <w:rFonts w:ascii="宋体" w:hAnsi="宋体" w:eastAsia="宋体"/>
                <w:color w:val="auto"/>
                <w:highlight w:val="none"/>
              </w:rPr>
            </w:pPr>
          </w:p>
          <w:p w14:paraId="1654C2F3">
            <w:pPr>
              <w:jc w:val="center"/>
              <w:rPr>
                <w:rFonts w:ascii="宋体" w:hAnsi="宋体" w:eastAsia="宋体"/>
                <w:color w:val="auto"/>
                <w:highlight w:val="none"/>
              </w:rPr>
            </w:pPr>
          </w:p>
          <w:p w14:paraId="57143B58">
            <w:pPr>
              <w:rPr>
                <w:rFonts w:ascii="宋体" w:hAnsi="宋体" w:eastAsia="宋体"/>
                <w:color w:val="auto"/>
                <w:highlight w:val="none"/>
              </w:rPr>
            </w:pPr>
          </w:p>
        </w:tc>
        <w:tc>
          <w:tcPr>
            <w:tcW w:w="8610" w:type="dxa"/>
            <w:gridSpan w:val="7"/>
          </w:tcPr>
          <w:p w14:paraId="224A3035">
            <w:pPr>
              <w:rPr>
                <w:rFonts w:ascii="宋体" w:hAnsi="宋体" w:eastAsia="宋体"/>
                <w:color w:val="auto"/>
                <w:highlight w:val="none"/>
              </w:rPr>
            </w:pPr>
          </w:p>
        </w:tc>
      </w:tr>
    </w:tbl>
    <w:p w14:paraId="27261B75">
      <w:pPr>
        <w:rPr>
          <w:rFonts w:ascii="宋体" w:hAnsi="宋体" w:eastAsia="宋体"/>
          <w:color w:val="auto"/>
          <w:highlight w:val="none"/>
        </w:rPr>
      </w:pPr>
    </w:p>
    <w:p w14:paraId="02E76714">
      <w:pPr>
        <w:rPr>
          <w:rFonts w:ascii="宋体" w:hAnsi="宋体" w:eastAsia="宋体"/>
          <w:color w:val="auto"/>
          <w:sz w:val="24"/>
          <w:szCs w:val="24"/>
          <w:highlight w:val="none"/>
        </w:rPr>
      </w:pPr>
      <w:bookmarkStart w:id="174" w:name="_Toc106012818"/>
      <w:bookmarkStart w:id="175" w:name="_Toc155342586"/>
      <w:bookmarkStart w:id="176" w:name="_Toc106553080"/>
      <w:r>
        <w:rPr>
          <w:rFonts w:hint="eastAsia" w:ascii="宋体" w:hAnsi="宋体" w:eastAsia="宋体"/>
          <w:color w:val="auto"/>
          <w:sz w:val="24"/>
          <w:szCs w:val="24"/>
          <w:highlight w:val="none"/>
        </w:rPr>
        <w:t>法定代表人（签字或盖章）：                             投标人（盖章）：</w:t>
      </w:r>
    </w:p>
    <w:p w14:paraId="29AC6615">
      <w:pPr>
        <w:jc w:val="right"/>
        <w:rPr>
          <w:rFonts w:ascii="宋体" w:hAnsi="宋体" w:eastAsia="宋体"/>
          <w:color w:val="auto"/>
          <w:sz w:val="24"/>
          <w:szCs w:val="24"/>
          <w:highlight w:val="none"/>
        </w:rPr>
      </w:pPr>
    </w:p>
    <w:p w14:paraId="05AF9AB0">
      <w:pPr>
        <w:ind w:firstLine="6480" w:firstLineChars="2700"/>
        <w:rPr>
          <w:rFonts w:ascii="宋体" w:hAnsi="宋体" w:eastAsia="宋体"/>
          <w:color w:val="auto"/>
          <w:sz w:val="24"/>
          <w:szCs w:val="24"/>
          <w:highlight w:val="none"/>
        </w:rPr>
      </w:pPr>
    </w:p>
    <w:p w14:paraId="11C20D3B">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00644966">
      <w:pPr>
        <w:rPr>
          <w:color w:val="auto"/>
          <w:sz w:val="28"/>
          <w:szCs w:val="28"/>
          <w:highlight w:val="none"/>
        </w:rPr>
      </w:pPr>
      <w:bookmarkStart w:id="177" w:name="_Toc4216"/>
      <w:bookmarkStart w:id="178" w:name="_Toc26311"/>
      <w:bookmarkStart w:id="179" w:name="_Toc386209083"/>
      <w:bookmarkStart w:id="180" w:name="_Toc386207774"/>
      <w:bookmarkStart w:id="181" w:name="_Toc386207867"/>
      <w:bookmarkStart w:id="182" w:name="_Toc386207588"/>
      <w:bookmarkStart w:id="183" w:name="_Toc24065"/>
      <w:bookmarkStart w:id="184" w:name="_Toc386208332"/>
      <w:r>
        <w:rPr>
          <w:rFonts w:hint="eastAsia"/>
          <w:color w:val="auto"/>
          <w:sz w:val="28"/>
          <w:szCs w:val="28"/>
          <w:highlight w:val="none"/>
        </w:rPr>
        <w:br w:type="page"/>
      </w:r>
    </w:p>
    <w:p w14:paraId="343D02CA">
      <w:pPr>
        <w:pStyle w:val="3"/>
        <w:numPr>
          <w:ilvl w:val="0"/>
          <w:numId w:val="0"/>
        </w:numPr>
        <w:spacing w:before="0" w:afterLines="0" w:line="240" w:lineRule="auto"/>
        <w:jc w:val="both"/>
        <w:rPr>
          <w:b w:val="0"/>
          <w:color w:val="auto"/>
          <w:sz w:val="28"/>
          <w:szCs w:val="28"/>
          <w:highlight w:val="none"/>
        </w:rPr>
      </w:pPr>
      <w:bookmarkStart w:id="185" w:name="_附件五：项目负责人在建项目承诺书"/>
      <w:r>
        <w:rPr>
          <w:rFonts w:hint="eastAsia"/>
          <w:b w:val="0"/>
          <w:color w:val="auto"/>
          <w:sz w:val="28"/>
          <w:szCs w:val="28"/>
          <w:highlight w:val="none"/>
        </w:rPr>
        <w:t>附件</w:t>
      </w:r>
      <w:r>
        <w:rPr>
          <w:rFonts w:hint="eastAsia"/>
          <w:b w:val="0"/>
          <w:color w:val="auto"/>
          <w:sz w:val="28"/>
          <w:szCs w:val="28"/>
          <w:highlight w:val="none"/>
          <w:lang w:val="en-US" w:eastAsia="zh-CN"/>
        </w:rPr>
        <w:t>四</w:t>
      </w:r>
      <w:r>
        <w:rPr>
          <w:rFonts w:hint="eastAsia"/>
          <w:b w:val="0"/>
          <w:color w:val="auto"/>
          <w:sz w:val="28"/>
          <w:szCs w:val="28"/>
          <w:highlight w:val="none"/>
        </w:rPr>
        <w:t>：项目负责人在建项目承诺书</w:t>
      </w:r>
      <w:bookmarkEnd w:id="177"/>
      <w:bookmarkEnd w:id="178"/>
      <w:bookmarkEnd w:id="179"/>
      <w:bookmarkEnd w:id="180"/>
      <w:bookmarkEnd w:id="181"/>
      <w:bookmarkEnd w:id="182"/>
      <w:bookmarkEnd w:id="183"/>
      <w:bookmarkEnd w:id="184"/>
    </w:p>
    <w:bookmarkEnd w:id="185"/>
    <w:p w14:paraId="01E11D59">
      <w:pPr>
        <w:spacing w:line="440" w:lineRule="exact"/>
        <w:rPr>
          <w:rFonts w:eastAsia="黑体"/>
          <w:color w:val="auto"/>
          <w:sz w:val="20"/>
          <w:highlight w:val="none"/>
        </w:rPr>
      </w:pPr>
    </w:p>
    <w:p w14:paraId="3C01B5A0">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7BDE76F9">
      <w:pPr>
        <w:spacing w:line="440" w:lineRule="exact"/>
        <w:rPr>
          <w:rFonts w:ascii="宋体" w:hAnsi="宋体" w:eastAsia="宋体"/>
          <w:color w:val="auto"/>
          <w:sz w:val="24"/>
          <w:szCs w:val="24"/>
          <w:highlight w:val="none"/>
        </w:rPr>
      </w:pPr>
    </w:p>
    <w:p w14:paraId="695F8F2D">
      <w:pPr>
        <w:spacing w:line="440" w:lineRule="exact"/>
        <w:rPr>
          <w:rFonts w:ascii="宋体" w:hAnsi="宋体" w:eastAsia="宋体"/>
          <w:color w:val="auto"/>
          <w:sz w:val="24"/>
          <w:szCs w:val="24"/>
          <w:highlight w:val="none"/>
        </w:rPr>
      </w:pPr>
    </w:p>
    <w:p w14:paraId="68559C6F">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1C121BB6">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台州府城依水山庄亭廊及美人靠等修缮维护项目</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32E6114C">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624B9267">
      <w:pPr>
        <w:spacing w:line="360" w:lineRule="auto"/>
        <w:ind w:firstLine="560" w:firstLineChars="200"/>
        <w:rPr>
          <w:rFonts w:ascii="宋体" w:hAnsi="宋体" w:eastAsia="宋体"/>
          <w:color w:val="auto"/>
          <w:sz w:val="28"/>
          <w:szCs w:val="28"/>
          <w:highlight w:val="none"/>
          <w:u w:val="single"/>
        </w:rPr>
      </w:pPr>
    </w:p>
    <w:p w14:paraId="134DD78E">
      <w:pPr>
        <w:spacing w:line="440" w:lineRule="exact"/>
        <w:jc w:val="center"/>
        <w:rPr>
          <w:rFonts w:eastAsia="黑体"/>
          <w:color w:val="auto"/>
          <w:sz w:val="20"/>
          <w:highlight w:val="none"/>
        </w:rPr>
      </w:pPr>
    </w:p>
    <w:p w14:paraId="37243608">
      <w:pPr>
        <w:spacing w:line="440" w:lineRule="exact"/>
        <w:jc w:val="center"/>
        <w:rPr>
          <w:rFonts w:eastAsia="黑体"/>
          <w:color w:val="auto"/>
          <w:sz w:val="20"/>
          <w:highlight w:val="none"/>
        </w:rPr>
      </w:pPr>
    </w:p>
    <w:p w14:paraId="2E82479D">
      <w:pPr>
        <w:spacing w:line="440" w:lineRule="exact"/>
        <w:jc w:val="center"/>
        <w:rPr>
          <w:rFonts w:eastAsia="黑体"/>
          <w:color w:val="auto"/>
          <w:sz w:val="20"/>
          <w:highlight w:val="none"/>
        </w:rPr>
      </w:pPr>
    </w:p>
    <w:p w14:paraId="712AA755">
      <w:pPr>
        <w:spacing w:line="440" w:lineRule="exact"/>
        <w:jc w:val="center"/>
        <w:rPr>
          <w:rFonts w:eastAsia="黑体"/>
          <w:color w:val="auto"/>
          <w:sz w:val="20"/>
          <w:highlight w:val="none"/>
        </w:rPr>
      </w:pPr>
    </w:p>
    <w:p w14:paraId="50F3B3F2">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086F67D9">
      <w:pPr>
        <w:spacing w:line="440" w:lineRule="exact"/>
        <w:jc w:val="right"/>
        <w:rPr>
          <w:rFonts w:ascii="宋体" w:hAnsi="宋体" w:eastAsia="宋体"/>
          <w:color w:val="auto"/>
          <w:sz w:val="28"/>
          <w:szCs w:val="28"/>
          <w:highlight w:val="none"/>
        </w:rPr>
      </w:pPr>
    </w:p>
    <w:p w14:paraId="3306A886">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0A01E2BB">
      <w:pPr>
        <w:spacing w:line="440" w:lineRule="exact"/>
        <w:ind w:right="560" w:firstLine="3920" w:firstLineChars="1400"/>
        <w:rPr>
          <w:rFonts w:ascii="宋体" w:hAnsi="宋体" w:eastAsia="宋体"/>
          <w:color w:val="auto"/>
          <w:sz w:val="28"/>
          <w:szCs w:val="28"/>
          <w:highlight w:val="none"/>
        </w:rPr>
      </w:pPr>
    </w:p>
    <w:p w14:paraId="3B3DC9EB">
      <w:pPr>
        <w:rPr>
          <w:rFonts w:eastAsia="宋体"/>
          <w:color w:val="auto"/>
          <w:sz w:val="21"/>
          <w:szCs w:val="24"/>
          <w:highlight w:val="none"/>
        </w:rPr>
      </w:pPr>
    </w:p>
    <w:p w14:paraId="78BB58F1">
      <w:pPr>
        <w:jc w:val="right"/>
        <w:rPr>
          <w:color w:val="auto"/>
          <w:highlight w:val="none"/>
        </w:rPr>
      </w:pPr>
      <w:r>
        <w:rPr>
          <w:rFonts w:hint="eastAsia" w:ascii="宋体" w:hAnsi="宋体" w:eastAsia="宋体"/>
          <w:color w:val="auto"/>
          <w:sz w:val="28"/>
          <w:szCs w:val="28"/>
          <w:highlight w:val="none"/>
        </w:rPr>
        <w:t>日期：    年   月   日</w:t>
      </w:r>
    </w:p>
    <w:p w14:paraId="7FF945CB">
      <w:pPr>
        <w:pStyle w:val="3"/>
        <w:numPr>
          <w:ilvl w:val="0"/>
          <w:numId w:val="0"/>
        </w:numPr>
        <w:spacing w:before="0" w:afterLines="0" w:line="240" w:lineRule="auto"/>
        <w:jc w:val="both"/>
        <w:rPr>
          <w:b w:val="0"/>
          <w:color w:val="auto"/>
          <w:sz w:val="28"/>
          <w:szCs w:val="28"/>
          <w:highlight w:val="none"/>
        </w:rPr>
      </w:pPr>
      <w:bookmarkStart w:id="186" w:name="_Toc386122460"/>
      <w:bookmarkStart w:id="187" w:name="_Toc386121763"/>
      <w:bookmarkStart w:id="188" w:name="_Toc25896"/>
      <w:bookmarkStart w:id="189" w:name="_Toc13566"/>
    </w:p>
    <w:p w14:paraId="235F261A">
      <w:pPr>
        <w:rPr>
          <w:color w:val="auto"/>
          <w:sz w:val="28"/>
          <w:szCs w:val="28"/>
          <w:highlight w:val="none"/>
        </w:rPr>
      </w:pPr>
    </w:p>
    <w:p w14:paraId="6EFB0A1D">
      <w:pPr>
        <w:rPr>
          <w:color w:val="auto"/>
          <w:sz w:val="28"/>
          <w:szCs w:val="28"/>
          <w:highlight w:val="none"/>
        </w:rPr>
      </w:pPr>
    </w:p>
    <w:p w14:paraId="659EE5DC">
      <w:pPr>
        <w:rPr>
          <w:color w:val="auto"/>
          <w:sz w:val="28"/>
          <w:szCs w:val="28"/>
          <w:highlight w:val="none"/>
        </w:rPr>
      </w:pPr>
      <w:r>
        <w:rPr>
          <w:rFonts w:hint="eastAsia"/>
          <w:color w:val="auto"/>
          <w:sz w:val="28"/>
          <w:szCs w:val="28"/>
          <w:highlight w:val="none"/>
        </w:rPr>
        <w:br w:type="page"/>
      </w:r>
    </w:p>
    <w:p w14:paraId="1AE47C53">
      <w:pPr>
        <w:pStyle w:val="3"/>
        <w:numPr>
          <w:ilvl w:val="0"/>
          <w:numId w:val="0"/>
        </w:numPr>
        <w:spacing w:before="0" w:afterLines="0" w:line="240" w:lineRule="auto"/>
        <w:jc w:val="both"/>
        <w:rPr>
          <w:b w:val="0"/>
          <w:color w:val="auto"/>
          <w:sz w:val="28"/>
          <w:szCs w:val="28"/>
          <w:highlight w:val="none"/>
        </w:rPr>
      </w:pPr>
      <w:bookmarkStart w:id="190" w:name="_附件六：主要施工机械设备表"/>
      <w:r>
        <w:rPr>
          <w:rFonts w:hint="eastAsia"/>
          <w:b w:val="0"/>
          <w:color w:val="auto"/>
          <w:sz w:val="28"/>
          <w:szCs w:val="28"/>
          <w:highlight w:val="none"/>
        </w:rPr>
        <w:t>附件</w:t>
      </w:r>
      <w:r>
        <w:rPr>
          <w:rFonts w:hint="eastAsia"/>
          <w:b w:val="0"/>
          <w:color w:val="auto"/>
          <w:sz w:val="28"/>
          <w:szCs w:val="28"/>
          <w:highlight w:val="none"/>
          <w:lang w:val="en-US" w:eastAsia="zh-CN"/>
        </w:rPr>
        <w:t>五</w:t>
      </w:r>
      <w:r>
        <w:rPr>
          <w:rFonts w:hint="eastAsia"/>
          <w:b w:val="0"/>
          <w:color w:val="auto"/>
          <w:sz w:val="28"/>
          <w:szCs w:val="28"/>
          <w:highlight w:val="none"/>
        </w:rPr>
        <w:t>：</w:t>
      </w:r>
      <w:bookmarkEnd w:id="174"/>
      <w:bookmarkEnd w:id="175"/>
      <w:bookmarkEnd w:id="176"/>
      <w:bookmarkEnd w:id="186"/>
      <w:bookmarkEnd w:id="187"/>
      <w:r>
        <w:rPr>
          <w:rFonts w:hint="eastAsia"/>
          <w:b w:val="0"/>
          <w:color w:val="auto"/>
          <w:sz w:val="28"/>
          <w:szCs w:val="28"/>
          <w:highlight w:val="none"/>
        </w:rPr>
        <w:t>主要施工机械设备表</w:t>
      </w:r>
      <w:bookmarkEnd w:id="188"/>
      <w:bookmarkEnd w:id="189"/>
    </w:p>
    <w:bookmarkEnd w:id="190"/>
    <w:p w14:paraId="65E22DC4">
      <w:pPr>
        <w:rPr>
          <w:rFonts w:ascii="黑体" w:eastAsia="黑体"/>
          <w:color w:val="auto"/>
          <w:sz w:val="28"/>
          <w:szCs w:val="28"/>
          <w:highlight w:val="none"/>
        </w:rPr>
      </w:pPr>
    </w:p>
    <w:p w14:paraId="7C907C91">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台州府城依水山庄亭廊及美人靠等修缮维护项目</w:t>
      </w:r>
    </w:p>
    <w:p w14:paraId="6F08791D">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568FA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15315541">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45E11DE5">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22D9BEF4">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4759207C">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4AF519AF">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38E61B1F">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353B91BF">
            <w:pPr>
              <w:jc w:val="center"/>
              <w:rPr>
                <w:rFonts w:ascii="宋体" w:hAnsi="宋体" w:eastAsia="宋体"/>
                <w:color w:val="auto"/>
                <w:highlight w:val="none"/>
              </w:rPr>
            </w:pPr>
            <w:r>
              <w:rPr>
                <w:rFonts w:hint="eastAsia" w:ascii="宋体" w:hAnsi="宋体" w:eastAsia="宋体"/>
                <w:color w:val="auto"/>
                <w:highlight w:val="none"/>
              </w:rPr>
              <w:t>备注</w:t>
            </w:r>
          </w:p>
        </w:tc>
      </w:tr>
      <w:tr w14:paraId="67473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570BEA9">
            <w:pPr>
              <w:rPr>
                <w:rFonts w:ascii="宋体" w:hAnsi="宋体" w:eastAsia="宋体"/>
                <w:color w:val="auto"/>
                <w:highlight w:val="none"/>
              </w:rPr>
            </w:pPr>
          </w:p>
        </w:tc>
        <w:tc>
          <w:tcPr>
            <w:tcW w:w="1525" w:type="dxa"/>
          </w:tcPr>
          <w:p w14:paraId="3DAE8BFE">
            <w:pPr>
              <w:rPr>
                <w:rFonts w:ascii="宋体" w:hAnsi="宋体" w:eastAsia="宋体"/>
                <w:color w:val="auto"/>
                <w:highlight w:val="none"/>
              </w:rPr>
            </w:pPr>
          </w:p>
        </w:tc>
        <w:tc>
          <w:tcPr>
            <w:tcW w:w="1635" w:type="dxa"/>
          </w:tcPr>
          <w:p w14:paraId="68DA66E2">
            <w:pPr>
              <w:rPr>
                <w:rFonts w:ascii="宋体" w:hAnsi="宋体" w:eastAsia="宋体"/>
                <w:color w:val="auto"/>
                <w:highlight w:val="none"/>
              </w:rPr>
            </w:pPr>
          </w:p>
        </w:tc>
        <w:tc>
          <w:tcPr>
            <w:tcW w:w="859" w:type="dxa"/>
          </w:tcPr>
          <w:p w14:paraId="181D2756">
            <w:pPr>
              <w:rPr>
                <w:rFonts w:ascii="宋体" w:hAnsi="宋体" w:eastAsia="宋体"/>
                <w:color w:val="auto"/>
                <w:highlight w:val="none"/>
              </w:rPr>
            </w:pPr>
          </w:p>
        </w:tc>
        <w:tc>
          <w:tcPr>
            <w:tcW w:w="1582" w:type="dxa"/>
          </w:tcPr>
          <w:p w14:paraId="201FF0B8">
            <w:pPr>
              <w:rPr>
                <w:rFonts w:ascii="宋体" w:hAnsi="宋体" w:eastAsia="宋体"/>
                <w:color w:val="auto"/>
                <w:highlight w:val="none"/>
              </w:rPr>
            </w:pPr>
          </w:p>
        </w:tc>
        <w:tc>
          <w:tcPr>
            <w:tcW w:w="1582" w:type="dxa"/>
          </w:tcPr>
          <w:p w14:paraId="6096534C">
            <w:pPr>
              <w:rPr>
                <w:rFonts w:ascii="宋体" w:hAnsi="宋体" w:eastAsia="宋体"/>
                <w:color w:val="auto"/>
                <w:highlight w:val="none"/>
              </w:rPr>
            </w:pPr>
          </w:p>
        </w:tc>
        <w:tc>
          <w:tcPr>
            <w:tcW w:w="1437" w:type="dxa"/>
          </w:tcPr>
          <w:p w14:paraId="1A049D44">
            <w:pPr>
              <w:rPr>
                <w:rFonts w:ascii="宋体" w:hAnsi="宋体" w:eastAsia="宋体"/>
                <w:color w:val="auto"/>
                <w:highlight w:val="none"/>
              </w:rPr>
            </w:pPr>
          </w:p>
        </w:tc>
      </w:tr>
      <w:tr w14:paraId="36461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747D4D6">
            <w:pPr>
              <w:rPr>
                <w:rFonts w:ascii="宋体" w:hAnsi="宋体" w:eastAsia="宋体"/>
                <w:color w:val="auto"/>
                <w:highlight w:val="none"/>
              </w:rPr>
            </w:pPr>
          </w:p>
        </w:tc>
        <w:tc>
          <w:tcPr>
            <w:tcW w:w="1525" w:type="dxa"/>
          </w:tcPr>
          <w:p w14:paraId="21CEED64">
            <w:pPr>
              <w:rPr>
                <w:rFonts w:ascii="宋体" w:hAnsi="宋体" w:eastAsia="宋体"/>
                <w:color w:val="auto"/>
                <w:highlight w:val="none"/>
              </w:rPr>
            </w:pPr>
          </w:p>
        </w:tc>
        <w:tc>
          <w:tcPr>
            <w:tcW w:w="1635" w:type="dxa"/>
          </w:tcPr>
          <w:p w14:paraId="1D25133D">
            <w:pPr>
              <w:rPr>
                <w:rFonts w:ascii="宋体" w:hAnsi="宋体" w:eastAsia="宋体"/>
                <w:color w:val="auto"/>
                <w:highlight w:val="none"/>
              </w:rPr>
            </w:pPr>
          </w:p>
        </w:tc>
        <w:tc>
          <w:tcPr>
            <w:tcW w:w="859" w:type="dxa"/>
          </w:tcPr>
          <w:p w14:paraId="6FACC140">
            <w:pPr>
              <w:rPr>
                <w:rFonts w:ascii="宋体" w:hAnsi="宋体" w:eastAsia="宋体"/>
                <w:color w:val="auto"/>
                <w:highlight w:val="none"/>
              </w:rPr>
            </w:pPr>
          </w:p>
        </w:tc>
        <w:tc>
          <w:tcPr>
            <w:tcW w:w="1582" w:type="dxa"/>
          </w:tcPr>
          <w:p w14:paraId="0874C786">
            <w:pPr>
              <w:rPr>
                <w:rFonts w:ascii="宋体" w:hAnsi="宋体" w:eastAsia="宋体"/>
                <w:color w:val="auto"/>
                <w:highlight w:val="none"/>
              </w:rPr>
            </w:pPr>
          </w:p>
        </w:tc>
        <w:tc>
          <w:tcPr>
            <w:tcW w:w="1582" w:type="dxa"/>
          </w:tcPr>
          <w:p w14:paraId="42806F39">
            <w:pPr>
              <w:rPr>
                <w:rFonts w:ascii="宋体" w:hAnsi="宋体" w:eastAsia="宋体"/>
                <w:color w:val="auto"/>
                <w:highlight w:val="none"/>
              </w:rPr>
            </w:pPr>
          </w:p>
        </w:tc>
        <w:tc>
          <w:tcPr>
            <w:tcW w:w="1437" w:type="dxa"/>
          </w:tcPr>
          <w:p w14:paraId="75220B19">
            <w:pPr>
              <w:rPr>
                <w:rFonts w:ascii="宋体" w:hAnsi="宋体" w:eastAsia="宋体"/>
                <w:color w:val="auto"/>
                <w:highlight w:val="none"/>
              </w:rPr>
            </w:pPr>
          </w:p>
        </w:tc>
      </w:tr>
      <w:tr w14:paraId="1FEA6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0497C6">
            <w:pPr>
              <w:rPr>
                <w:rFonts w:ascii="宋体" w:hAnsi="宋体" w:eastAsia="宋体"/>
                <w:color w:val="auto"/>
                <w:highlight w:val="none"/>
              </w:rPr>
            </w:pPr>
          </w:p>
        </w:tc>
        <w:tc>
          <w:tcPr>
            <w:tcW w:w="1525" w:type="dxa"/>
          </w:tcPr>
          <w:p w14:paraId="45D658DA">
            <w:pPr>
              <w:rPr>
                <w:rFonts w:ascii="宋体" w:hAnsi="宋体" w:eastAsia="宋体"/>
                <w:color w:val="auto"/>
                <w:highlight w:val="none"/>
              </w:rPr>
            </w:pPr>
          </w:p>
        </w:tc>
        <w:tc>
          <w:tcPr>
            <w:tcW w:w="1635" w:type="dxa"/>
          </w:tcPr>
          <w:p w14:paraId="765E0708">
            <w:pPr>
              <w:rPr>
                <w:rFonts w:ascii="宋体" w:hAnsi="宋体" w:eastAsia="宋体"/>
                <w:color w:val="auto"/>
                <w:highlight w:val="none"/>
              </w:rPr>
            </w:pPr>
          </w:p>
        </w:tc>
        <w:tc>
          <w:tcPr>
            <w:tcW w:w="859" w:type="dxa"/>
          </w:tcPr>
          <w:p w14:paraId="562B7C22">
            <w:pPr>
              <w:rPr>
                <w:rFonts w:ascii="宋体" w:hAnsi="宋体" w:eastAsia="宋体"/>
                <w:color w:val="auto"/>
                <w:highlight w:val="none"/>
              </w:rPr>
            </w:pPr>
          </w:p>
        </w:tc>
        <w:tc>
          <w:tcPr>
            <w:tcW w:w="1582" w:type="dxa"/>
          </w:tcPr>
          <w:p w14:paraId="492A740E">
            <w:pPr>
              <w:rPr>
                <w:rFonts w:ascii="宋体" w:hAnsi="宋体" w:eastAsia="宋体"/>
                <w:color w:val="auto"/>
                <w:highlight w:val="none"/>
              </w:rPr>
            </w:pPr>
          </w:p>
        </w:tc>
        <w:tc>
          <w:tcPr>
            <w:tcW w:w="1582" w:type="dxa"/>
          </w:tcPr>
          <w:p w14:paraId="1385E56A">
            <w:pPr>
              <w:rPr>
                <w:rFonts w:ascii="宋体" w:hAnsi="宋体" w:eastAsia="宋体"/>
                <w:color w:val="auto"/>
                <w:highlight w:val="none"/>
              </w:rPr>
            </w:pPr>
          </w:p>
        </w:tc>
        <w:tc>
          <w:tcPr>
            <w:tcW w:w="1437" w:type="dxa"/>
          </w:tcPr>
          <w:p w14:paraId="6E914894">
            <w:pPr>
              <w:rPr>
                <w:rFonts w:ascii="宋体" w:hAnsi="宋体" w:eastAsia="宋体"/>
                <w:color w:val="auto"/>
                <w:highlight w:val="none"/>
              </w:rPr>
            </w:pPr>
          </w:p>
        </w:tc>
      </w:tr>
      <w:tr w14:paraId="16035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8631B">
            <w:pPr>
              <w:rPr>
                <w:rFonts w:ascii="宋体" w:hAnsi="宋体" w:eastAsia="宋体"/>
                <w:color w:val="auto"/>
                <w:highlight w:val="none"/>
              </w:rPr>
            </w:pPr>
          </w:p>
        </w:tc>
        <w:tc>
          <w:tcPr>
            <w:tcW w:w="1525" w:type="dxa"/>
          </w:tcPr>
          <w:p w14:paraId="13684876">
            <w:pPr>
              <w:rPr>
                <w:rFonts w:ascii="宋体" w:hAnsi="宋体" w:eastAsia="宋体"/>
                <w:color w:val="auto"/>
                <w:highlight w:val="none"/>
              </w:rPr>
            </w:pPr>
          </w:p>
        </w:tc>
        <w:tc>
          <w:tcPr>
            <w:tcW w:w="1635" w:type="dxa"/>
          </w:tcPr>
          <w:p w14:paraId="41B85319">
            <w:pPr>
              <w:rPr>
                <w:rFonts w:ascii="宋体" w:hAnsi="宋体" w:eastAsia="宋体"/>
                <w:color w:val="auto"/>
                <w:highlight w:val="none"/>
              </w:rPr>
            </w:pPr>
          </w:p>
        </w:tc>
        <w:tc>
          <w:tcPr>
            <w:tcW w:w="859" w:type="dxa"/>
          </w:tcPr>
          <w:p w14:paraId="571BBBD7">
            <w:pPr>
              <w:rPr>
                <w:rFonts w:ascii="宋体" w:hAnsi="宋体" w:eastAsia="宋体"/>
                <w:color w:val="auto"/>
                <w:highlight w:val="none"/>
              </w:rPr>
            </w:pPr>
          </w:p>
        </w:tc>
        <w:tc>
          <w:tcPr>
            <w:tcW w:w="1582" w:type="dxa"/>
          </w:tcPr>
          <w:p w14:paraId="49C2606F">
            <w:pPr>
              <w:rPr>
                <w:rFonts w:ascii="宋体" w:hAnsi="宋体" w:eastAsia="宋体"/>
                <w:color w:val="auto"/>
                <w:highlight w:val="none"/>
              </w:rPr>
            </w:pPr>
          </w:p>
        </w:tc>
        <w:tc>
          <w:tcPr>
            <w:tcW w:w="1582" w:type="dxa"/>
          </w:tcPr>
          <w:p w14:paraId="08E9C8CD">
            <w:pPr>
              <w:rPr>
                <w:rFonts w:ascii="宋体" w:hAnsi="宋体" w:eastAsia="宋体"/>
                <w:color w:val="auto"/>
                <w:highlight w:val="none"/>
              </w:rPr>
            </w:pPr>
          </w:p>
        </w:tc>
        <w:tc>
          <w:tcPr>
            <w:tcW w:w="1437" w:type="dxa"/>
          </w:tcPr>
          <w:p w14:paraId="459E4B89">
            <w:pPr>
              <w:rPr>
                <w:rFonts w:ascii="宋体" w:hAnsi="宋体" w:eastAsia="宋体"/>
                <w:color w:val="auto"/>
                <w:highlight w:val="none"/>
              </w:rPr>
            </w:pPr>
          </w:p>
        </w:tc>
      </w:tr>
      <w:tr w14:paraId="7BDED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E36031D">
            <w:pPr>
              <w:rPr>
                <w:rFonts w:ascii="宋体" w:hAnsi="宋体" w:eastAsia="宋体"/>
                <w:color w:val="auto"/>
                <w:highlight w:val="none"/>
              </w:rPr>
            </w:pPr>
          </w:p>
        </w:tc>
        <w:tc>
          <w:tcPr>
            <w:tcW w:w="1525" w:type="dxa"/>
          </w:tcPr>
          <w:p w14:paraId="5F03EF70">
            <w:pPr>
              <w:rPr>
                <w:rFonts w:ascii="宋体" w:hAnsi="宋体" w:eastAsia="宋体"/>
                <w:color w:val="auto"/>
                <w:highlight w:val="none"/>
              </w:rPr>
            </w:pPr>
          </w:p>
        </w:tc>
        <w:tc>
          <w:tcPr>
            <w:tcW w:w="1635" w:type="dxa"/>
          </w:tcPr>
          <w:p w14:paraId="62FF4C30">
            <w:pPr>
              <w:rPr>
                <w:rFonts w:ascii="宋体" w:hAnsi="宋体" w:eastAsia="宋体"/>
                <w:color w:val="auto"/>
                <w:highlight w:val="none"/>
              </w:rPr>
            </w:pPr>
          </w:p>
        </w:tc>
        <w:tc>
          <w:tcPr>
            <w:tcW w:w="859" w:type="dxa"/>
          </w:tcPr>
          <w:p w14:paraId="25D5FCF0">
            <w:pPr>
              <w:rPr>
                <w:rFonts w:ascii="宋体" w:hAnsi="宋体" w:eastAsia="宋体"/>
                <w:color w:val="auto"/>
                <w:highlight w:val="none"/>
              </w:rPr>
            </w:pPr>
          </w:p>
        </w:tc>
        <w:tc>
          <w:tcPr>
            <w:tcW w:w="1582" w:type="dxa"/>
          </w:tcPr>
          <w:p w14:paraId="5B24C394">
            <w:pPr>
              <w:rPr>
                <w:rFonts w:ascii="宋体" w:hAnsi="宋体" w:eastAsia="宋体"/>
                <w:color w:val="auto"/>
                <w:highlight w:val="none"/>
              </w:rPr>
            </w:pPr>
          </w:p>
        </w:tc>
        <w:tc>
          <w:tcPr>
            <w:tcW w:w="1582" w:type="dxa"/>
          </w:tcPr>
          <w:p w14:paraId="33FDDBDD">
            <w:pPr>
              <w:rPr>
                <w:rFonts w:ascii="宋体" w:hAnsi="宋体" w:eastAsia="宋体"/>
                <w:color w:val="auto"/>
                <w:highlight w:val="none"/>
              </w:rPr>
            </w:pPr>
          </w:p>
        </w:tc>
        <w:tc>
          <w:tcPr>
            <w:tcW w:w="1437" w:type="dxa"/>
          </w:tcPr>
          <w:p w14:paraId="3E73C1C1">
            <w:pPr>
              <w:rPr>
                <w:rFonts w:ascii="宋体" w:hAnsi="宋体" w:eastAsia="宋体"/>
                <w:color w:val="auto"/>
                <w:highlight w:val="none"/>
              </w:rPr>
            </w:pPr>
          </w:p>
        </w:tc>
      </w:tr>
      <w:tr w14:paraId="5C7E3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EDEDBE0">
            <w:pPr>
              <w:rPr>
                <w:rFonts w:ascii="宋体" w:hAnsi="宋体" w:eastAsia="宋体"/>
                <w:color w:val="auto"/>
                <w:highlight w:val="none"/>
              </w:rPr>
            </w:pPr>
          </w:p>
        </w:tc>
        <w:tc>
          <w:tcPr>
            <w:tcW w:w="1525" w:type="dxa"/>
          </w:tcPr>
          <w:p w14:paraId="42ACC298">
            <w:pPr>
              <w:rPr>
                <w:rFonts w:ascii="宋体" w:hAnsi="宋体" w:eastAsia="宋体"/>
                <w:color w:val="auto"/>
                <w:highlight w:val="none"/>
              </w:rPr>
            </w:pPr>
          </w:p>
        </w:tc>
        <w:tc>
          <w:tcPr>
            <w:tcW w:w="1635" w:type="dxa"/>
          </w:tcPr>
          <w:p w14:paraId="5471EA50">
            <w:pPr>
              <w:rPr>
                <w:rFonts w:ascii="宋体" w:hAnsi="宋体" w:eastAsia="宋体"/>
                <w:color w:val="auto"/>
                <w:highlight w:val="none"/>
              </w:rPr>
            </w:pPr>
          </w:p>
        </w:tc>
        <w:tc>
          <w:tcPr>
            <w:tcW w:w="859" w:type="dxa"/>
          </w:tcPr>
          <w:p w14:paraId="42FD573F">
            <w:pPr>
              <w:rPr>
                <w:rFonts w:ascii="宋体" w:hAnsi="宋体" w:eastAsia="宋体"/>
                <w:color w:val="auto"/>
                <w:highlight w:val="none"/>
              </w:rPr>
            </w:pPr>
          </w:p>
        </w:tc>
        <w:tc>
          <w:tcPr>
            <w:tcW w:w="1582" w:type="dxa"/>
          </w:tcPr>
          <w:p w14:paraId="545E0242">
            <w:pPr>
              <w:rPr>
                <w:rFonts w:ascii="宋体" w:hAnsi="宋体" w:eastAsia="宋体"/>
                <w:color w:val="auto"/>
                <w:highlight w:val="none"/>
              </w:rPr>
            </w:pPr>
          </w:p>
        </w:tc>
        <w:tc>
          <w:tcPr>
            <w:tcW w:w="1582" w:type="dxa"/>
          </w:tcPr>
          <w:p w14:paraId="33CE53CF">
            <w:pPr>
              <w:rPr>
                <w:rFonts w:ascii="宋体" w:hAnsi="宋体" w:eastAsia="宋体"/>
                <w:color w:val="auto"/>
                <w:highlight w:val="none"/>
              </w:rPr>
            </w:pPr>
          </w:p>
        </w:tc>
        <w:tc>
          <w:tcPr>
            <w:tcW w:w="1437" w:type="dxa"/>
          </w:tcPr>
          <w:p w14:paraId="6D58FE4F">
            <w:pPr>
              <w:rPr>
                <w:rFonts w:ascii="宋体" w:hAnsi="宋体" w:eastAsia="宋体"/>
                <w:color w:val="auto"/>
                <w:highlight w:val="none"/>
              </w:rPr>
            </w:pPr>
          </w:p>
        </w:tc>
      </w:tr>
      <w:tr w14:paraId="01365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2F36960">
            <w:pPr>
              <w:rPr>
                <w:rFonts w:ascii="宋体" w:hAnsi="宋体" w:eastAsia="宋体"/>
                <w:color w:val="auto"/>
                <w:highlight w:val="none"/>
              </w:rPr>
            </w:pPr>
          </w:p>
        </w:tc>
        <w:tc>
          <w:tcPr>
            <w:tcW w:w="1525" w:type="dxa"/>
          </w:tcPr>
          <w:p w14:paraId="55167376">
            <w:pPr>
              <w:rPr>
                <w:rFonts w:ascii="宋体" w:hAnsi="宋体" w:eastAsia="宋体"/>
                <w:color w:val="auto"/>
                <w:highlight w:val="none"/>
              </w:rPr>
            </w:pPr>
          </w:p>
        </w:tc>
        <w:tc>
          <w:tcPr>
            <w:tcW w:w="1635" w:type="dxa"/>
          </w:tcPr>
          <w:p w14:paraId="214689D2">
            <w:pPr>
              <w:rPr>
                <w:rFonts w:ascii="宋体" w:hAnsi="宋体" w:eastAsia="宋体"/>
                <w:color w:val="auto"/>
                <w:highlight w:val="none"/>
              </w:rPr>
            </w:pPr>
          </w:p>
        </w:tc>
        <w:tc>
          <w:tcPr>
            <w:tcW w:w="859" w:type="dxa"/>
          </w:tcPr>
          <w:p w14:paraId="248B06D3">
            <w:pPr>
              <w:rPr>
                <w:rFonts w:ascii="宋体" w:hAnsi="宋体" w:eastAsia="宋体"/>
                <w:color w:val="auto"/>
                <w:highlight w:val="none"/>
              </w:rPr>
            </w:pPr>
          </w:p>
        </w:tc>
        <w:tc>
          <w:tcPr>
            <w:tcW w:w="1582" w:type="dxa"/>
          </w:tcPr>
          <w:p w14:paraId="73B75943">
            <w:pPr>
              <w:rPr>
                <w:rFonts w:ascii="宋体" w:hAnsi="宋体" w:eastAsia="宋体"/>
                <w:color w:val="auto"/>
                <w:highlight w:val="none"/>
              </w:rPr>
            </w:pPr>
          </w:p>
        </w:tc>
        <w:tc>
          <w:tcPr>
            <w:tcW w:w="1582" w:type="dxa"/>
          </w:tcPr>
          <w:p w14:paraId="75743A9D">
            <w:pPr>
              <w:rPr>
                <w:rFonts w:ascii="宋体" w:hAnsi="宋体" w:eastAsia="宋体"/>
                <w:color w:val="auto"/>
                <w:highlight w:val="none"/>
              </w:rPr>
            </w:pPr>
          </w:p>
        </w:tc>
        <w:tc>
          <w:tcPr>
            <w:tcW w:w="1437" w:type="dxa"/>
          </w:tcPr>
          <w:p w14:paraId="407C0715">
            <w:pPr>
              <w:rPr>
                <w:rFonts w:ascii="宋体" w:hAnsi="宋体" w:eastAsia="宋体"/>
                <w:color w:val="auto"/>
                <w:highlight w:val="none"/>
              </w:rPr>
            </w:pPr>
          </w:p>
        </w:tc>
      </w:tr>
      <w:tr w14:paraId="1354B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596CBE">
            <w:pPr>
              <w:rPr>
                <w:rFonts w:ascii="宋体" w:hAnsi="宋体" w:eastAsia="宋体"/>
                <w:color w:val="auto"/>
                <w:highlight w:val="none"/>
              </w:rPr>
            </w:pPr>
          </w:p>
        </w:tc>
        <w:tc>
          <w:tcPr>
            <w:tcW w:w="1525" w:type="dxa"/>
          </w:tcPr>
          <w:p w14:paraId="2FC348AD">
            <w:pPr>
              <w:rPr>
                <w:rFonts w:ascii="宋体" w:hAnsi="宋体" w:eastAsia="宋体"/>
                <w:color w:val="auto"/>
                <w:highlight w:val="none"/>
              </w:rPr>
            </w:pPr>
          </w:p>
        </w:tc>
        <w:tc>
          <w:tcPr>
            <w:tcW w:w="1635" w:type="dxa"/>
          </w:tcPr>
          <w:p w14:paraId="7167B7DB">
            <w:pPr>
              <w:rPr>
                <w:rFonts w:ascii="宋体" w:hAnsi="宋体" w:eastAsia="宋体"/>
                <w:color w:val="auto"/>
                <w:highlight w:val="none"/>
              </w:rPr>
            </w:pPr>
          </w:p>
        </w:tc>
        <w:tc>
          <w:tcPr>
            <w:tcW w:w="859" w:type="dxa"/>
          </w:tcPr>
          <w:p w14:paraId="654F30A8">
            <w:pPr>
              <w:rPr>
                <w:rFonts w:ascii="宋体" w:hAnsi="宋体" w:eastAsia="宋体"/>
                <w:color w:val="auto"/>
                <w:highlight w:val="none"/>
              </w:rPr>
            </w:pPr>
          </w:p>
        </w:tc>
        <w:tc>
          <w:tcPr>
            <w:tcW w:w="1582" w:type="dxa"/>
          </w:tcPr>
          <w:p w14:paraId="4C2F16F2">
            <w:pPr>
              <w:rPr>
                <w:rFonts w:ascii="宋体" w:hAnsi="宋体" w:eastAsia="宋体"/>
                <w:color w:val="auto"/>
                <w:highlight w:val="none"/>
              </w:rPr>
            </w:pPr>
          </w:p>
        </w:tc>
        <w:tc>
          <w:tcPr>
            <w:tcW w:w="1582" w:type="dxa"/>
          </w:tcPr>
          <w:p w14:paraId="19F90589">
            <w:pPr>
              <w:rPr>
                <w:rFonts w:ascii="宋体" w:hAnsi="宋体" w:eastAsia="宋体"/>
                <w:color w:val="auto"/>
                <w:highlight w:val="none"/>
              </w:rPr>
            </w:pPr>
          </w:p>
        </w:tc>
        <w:tc>
          <w:tcPr>
            <w:tcW w:w="1437" w:type="dxa"/>
          </w:tcPr>
          <w:p w14:paraId="3C5D70F6">
            <w:pPr>
              <w:rPr>
                <w:rFonts w:ascii="宋体" w:hAnsi="宋体" w:eastAsia="宋体"/>
                <w:color w:val="auto"/>
                <w:highlight w:val="none"/>
              </w:rPr>
            </w:pPr>
          </w:p>
        </w:tc>
      </w:tr>
      <w:tr w14:paraId="4B749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C6C87D5">
            <w:pPr>
              <w:rPr>
                <w:rFonts w:ascii="宋体" w:hAnsi="宋体" w:eastAsia="宋体"/>
                <w:color w:val="auto"/>
                <w:highlight w:val="none"/>
              </w:rPr>
            </w:pPr>
          </w:p>
        </w:tc>
        <w:tc>
          <w:tcPr>
            <w:tcW w:w="1525" w:type="dxa"/>
          </w:tcPr>
          <w:p w14:paraId="3E6BDB6F">
            <w:pPr>
              <w:rPr>
                <w:rFonts w:ascii="宋体" w:hAnsi="宋体" w:eastAsia="宋体"/>
                <w:color w:val="auto"/>
                <w:highlight w:val="none"/>
              </w:rPr>
            </w:pPr>
          </w:p>
        </w:tc>
        <w:tc>
          <w:tcPr>
            <w:tcW w:w="1635" w:type="dxa"/>
          </w:tcPr>
          <w:p w14:paraId="10862533">
            <w:pPr>
              <w:rPr>
                <w:rFonts w:ascii="宋体" w:hAnsi="宋体" w:eastAsia="宋体"/>
                <w:color w:val="auto"/>
                <w:highlight w:val="none"/>
              </w:rPr>
            </w:pPr>
          </w:p>
        </w:tc>
        <w:tc>
          <w:tcPr>
            <w:tcW w:w="859" w:type="dxa"/>
          </w:tcPr>
          <w:p w14:paraId="11FEC2F2">
            <w:pPr>
              <w:rPr>
                <w:rFonts w:ascii="宋体" w:hAnsi="宋体" w:eastAsia="宋体"/>
                <w:color w:val="auto"/>
                <w:highlight w:val="none"/>
              </w:rPr>
            </w:pPr>
          </w:p>
        </w:tc>
        <w:tc>
          <w:tcPr>
            <w:tcW w:w="1582" w:type="dxa"/>
          </w:tcPr>
          <w:p w14:paraId="3560F3B7">
            <w:pPr>
              <w:rPr>
                <w:rFonts w:ascii="宋体" w:hAnsi="宋体" w:eastAsia="宋体"/>
                <w:color w:val="auto"/>
                <w:highlight w:val="none"/>
              </w:rPr>
            </w:pPr>
          </w:p>
        </w:tc>
        <w:tc>
          <w:tcPr>
            <w:tcW w:w="1582" w:type="dxa"/>
          </w:tcPr>
          <w:p w14:paraId="42C41E3F">
            <w:pPr>
              <w:rPr>
                <w:rFonts w:ascii="宋体" w:hAnsi="宋体" w:eastAsia="宋体"/>
                <w:color w:val="auto"/>
                <w:highlight w:val="none"/>
              </w:rPr>
            </w:pPr>
          </w:p>
        </w:tc>
        <w:tc>
          <w:tcPr>
            <w:tcW w:w="1437" w:type="dxa"/>
          </w:tcPr>
          <w:p w14:paraId="079CF43E">
            <w:pPr>
              <w:rPr>
                <w:rFonts w:ascii="宋体" w:hAnsi="宋体" w:eastAsia="宋体"/>
                <w:color w:val="auto"/>
                <w:highlight w:val="none"/>
              </w:rPr>
            </w:pPr>
          </w:p>
        </w:tc>
      </w:tr>
      <w:tr w14:paraId="0699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B4F0ED9">
            <w:pPr>
              <w:rPr>
                <w:rFonts w:ascii="宋体" w:hAnsi="宋体" w:eastAsia="宋体"/>
                <w:color w:val="auto"/>
                <w:highlight w:val="none"/>
              </w:rPr>
            </w:pPr>
          </w:p>
        </w:tc>
        <w:tc>
          <w:tcPr>
            <w:tcW w:w="1525" w:type="dxa"/>
          </w:tcPr>
          <w:p w14:paraId="75FA3F30">
            <w:pPr>
              <w:rPr>
                <w:rFonts w:ascii="宋体" w:hAnsi="宋体" w:eastAsia="宋体"/>
                <w:color w:val="auto"/>
                <w:highlight w:val="none"/>
              </w:rPr>
            </w:pPr>
          </w:p>
        </w:tc>
        <w:tc>
          <w:tcPr>
            <w:tcW w:w="1635" w:type="dxa"/>
          </w:tcPr>
          <w:p w14:paraId="7E689E57">
            <w:pPr>
              <w:rPr>
                <w:rFonts w:ascii="宋体" w:hAnsi="宋体" w:eastAsia="宋体"/>
                <w:color w:val="auto"/>
                <w:highlight w:val="none"/>
              </w:rPr>
            </w:pPr>
          </w:p>
        </w:tc>
        <w:tc>
          <w:tcPr>
            <w:tcW w:w="859" w:type="dxa"/>
          </w:tcPr>
          <w:p w14:paraId="73282F6B">
            <w:pPr>
              <w:rPr>
                <w:rFonts w:ascii="宋体" w:hAnsi="宋体" w:eastAsia="宋体"/>
                <w:color w:val="auto"/>
                <w:highlight w:val="none"/>
              </w:rPr>
            </w:pPr>
          </w:p>
        </w:tc>
        <w:tc>
          <w:tcPr>
            <w:tcW w:w="1582" w:type="dxa"/>
          </w:tcPr>
          <w:p w14:paraId="53843072">
            <w:pPr>
              <w:rPr>
                <w:rFonts w:ascii="宋体" w:hAnsi="宋体" w:eastAsia="宋体"/>
                <w:color w:val="auto"/>
                <w:highlight w:val="none"/>
              </w:rPr>
            </w:pPr>
          </w:p>
        </w:tc>
        <w:tc>
          <w:tcPr>
            <w:tcW w:w="1582" w:type="dxa"/>
          </w:tcPr>
          <w:p w14:paraId="28FED57D">
            <w:pPr>
              <w:rPr>
                <w:rFonts w:ascii="宋体" w:hAnsi="宋体" w:eastAsia="宋体"/>
                <w:color w:val="auto"/>
                <w:highlight w:val="none"/>
              </w:rPr>
            </w:pPr>
          </w:p>
        </w:tc>
        <w:tc>
          <w:tcPr>
            <w:tcW w:w="1437" w:type="dxa"/>
          </w:tcPr>
          <w:p w14:paraId="3207C97D">
            <w:pPr>
              <w:rPr>
                <w:rFonts w:ascii="宋体" w:hAnsi="宋体" w:eastAsia="宋体"/>
                <w:color w:val="auto"/>
                <w:highlight w:val="none"/>
              </w:rPr>
            </w:pPr>
          </w:p>
        </w:tc>
      </w:tr>
      <w:tr w14:paraId="2BEE5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5F1567A">
            <w:pPr>
              <w:rPr>
                <w:rFonts w:ascii="宋体" w:hAnsi="宋体" w:eastAsia="宋体"/>
                <w:color w:val="auto"/>
                <w:highlight w:val="none"/>
              </w:rPr>
            </w:pPr>
          </w:p>
        </w:tc>
        <w:tc>
          <w:tcPr>
            <w:tcW w:w="1525" w:type="dxa"/>
          </w:tcPr>
          <w:p w14:paraId="61D4AD84">
            <w:pPr>
              <w:rPr>
                <w:rFonts w:ascii="宋体" w:hAnsi="宋体" w:eastAsia="宋体"/>
                <w:color w:val="auto"/>
                <w:highlight w:val="none"/>
              </w:rPr>
            </w:pPr>
          </w:p>
        </w:tc>
        <w:tc>
          <w:tcPr>
            <w:tcW w:w="1635" w:type="dxa"/>
          </w:tcPr>
          <w:p w14:paraId="28861E9B">
            <w:pPr>
              <w:rPr>
                <w:rFonts w:ascii="宋体" w:hAnsi="宋体" w:eastAsia="宋体"/>
                <w:color w:val="auto"/>
                <w:highlight w:val="none"/>
              </w:rPr>
            </w:pPr>
          </w:p>
        </w:tc>
        <w:tc>
          <w:tcPr>
            <w:tcW w:w="859" w:type="dxa"/>
          </w:tcPr>
          <w:p w14:paraId="14C9A817">
            <w:pPr>
              <w:rPr>
                <w:rFonts w:ascii="宋体" w:hAnsi="宋体" w:eastAsia="宋体"/>
                <w:color w:val="auto"/>
                <w:highlight w:val="none"/>
              </w:rPr>
            </w:pPr>
          </w:p>
        </w:tc>
        <w:tc>
          <w:tcPr>
            <w:tcW w:w="1582" w:type="dxa"/>
          </w:tcPr>
          <w:p w14:paraId="5EA96B8C">
            <w:pPr>
              <w:rPr>
                <w:rFonts w:ascii="宋体" w:hAnsi="宋体" w:eastAsia="宋体"/>
                <w:color w:val="auto"/>
                <w:highlight w:val="none"/>
              </w:rPr>
            </w:pPr>
          </w:p>
        </w:tc>
        <w:tc>
          <w:tcPr>
            <w:tcW w:w="1582" w:type="dxa"/>
          </w:tcPr>
          <w:p w14:paraId="5397C2E2">
            <w:pPr>
              <w:rPr>
                <w:rFonts w:ascii="宋体" w:hAnsi="宋体" w:eastAsia="宋体"/>
                <w:color w:val="auto"/>
                <w:highlight w:val="none"/>
              </w:rPr>
            </w:pPr>
          </w:p>
        </w:tc>
        <w:tc>
          <w:tcPr>
            <w:tcW w:w="1437" w:type="dxa"/>
          </w:tcPr>
          <w:p w14:paraId="3FC9B60C">
            <w:pPr>
              <w:rPr>
                <w:rFonts w:ascii="宋体" w:hAnsi="宋体" w:eastAsia="宋体"/>
                <w:color w:val="auto"/>
                <w:highlight w:val="none"/>
              </w:rPr>
            </w:pPr>
          </w:p>
        </w:tc>
      </w:tr>
      <w:tr w14:paraId="485DE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A2436D">
            <w:pPr>
              <w:rPr>
                <w:rFonts w:ascii="宋体" w:hAnsi="宋体" w:eastAsia="宋体"/>
                <w:color w:val="auto"/>
                <w:highlight w:val="none"/>
              </w:rPr>
            </w:pPr>
          </w:p>
        </w:tc>
        <w:tc>
          <w:tcPr>
            <w:tcW w:w="1525" w:type="dxa"/>
          </w:tcPr>
          <w:p w14:paraId="4126F972">
            <w:pPr>
              <w:rPr>
                <w:rFonts w:ascii="宋体" w:hAnsi="宋体" w:eastAsia="宋体"/>
                <w:color w:val="auto"/>
                <w:highlight w:val="none"/>
              </w:rPr>
            </w:pPr>
          </w:p>
        </w:tc>
        <w:tc>
          <w:tcPr>
            <w:tcW w:w="1635" w:type="dxa"/>
          </w:tcPr>
          <w:p w14:paraId="768B8182">
            <w:pPr>
              <w:rPr>
                <w:rFonts w:ascii="宋体" w:hAnsi="宋体" w:eastAsia="宋体"/>
                <w:color w:val="auto"/>
                <w:highlight w:val="none"/>
              </w:rPr>
            </w:pPr>
          </w:p>
        </w:tc>
        <w:tc>
          <w:tcPr>
            <w:tcW w:w="859" w:type="dxa"/>
          </w:tcPr>
          <w:p w14:paraId="65017DDF">
            <w:pPr>
              <w:rPr>
                <w:rFonts w:ascii="宋体" w:hAnsi="宋体" w:eastAsia="宋体"/>
                <w:color w:val="auto"/>
                <w:highlight w:val="none"/>
              </w:rPr>
            </w:pPr>
          </w:p>
        </w:tc>
        <w:tc>
          <w:tcPr>
            <w:tcW w:w="1582" w:type="dxa"/>
          </w:tcPr>
          <w:p w14:paraId="5BA905D8">
            <w:pPr>
              <w:rPr>
                <w:rFonts w:ascii="宋体" w:hAnsi="宋体" w:eastAsia="宋体"/>
                <w:color w:val="auto"/>
                <w:highlight w:val="none"/>
              </w:rPr>
            </w:pPr>
          </w:p>
        </w:tc>
        <w:tc>
          <w:tcPr>
            <w:tcW w:w="1582" w:type="dxa"/>
          </w:tcPr>
          <w:p w14:paraId="416315FC">
            <w:pPr>
              <w:rPr>
                <w:rFonts w:ascii="宋体" w:hAnsi="宋体" w:eastAsia="宋体"/>
                <w:color w:val="auto"/>
                <w:highlight w:val="none"/>
              </w:rPr>
            </w:pPr>
          </w:p>
        </w:tc>
        <w:tc>
          <w:tcPr>
            <w:tcW w:w="1437" w:type="dxa"/>
          </w:tcPr>
          <w:p w14:paraId="4F718E62">
            <w:pPr>
              <w:rPr>
                <w:rFonts w:ascii="宋体" w:hAnsi="宋体" w:eastAsia="宋体"/>
                <w:color w:val="auto"/>
                <w:highlight w:val="none"/>
              </w:rPr>
            </w:pPr>
          </w:p>
        </w:tc>
      </w:tr>
      <w:tr w14:paraId="00C5A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0E61AF6">
            <w:pPr>
              <w:rPr>
                <w:rFonts w:ascii="宋体" w:hAnsi="宋体" w:eastAsia="宋体"/>
                <w:color w:val="auto"/>
                <w:highlight w:val="none"/>
              </w:rPr>
            </w:pPr>
          </w:p>
        </w:tc>
        <w:tc>
          <w:tcPr>
            <w:tcW w:w="1525" w:type="dxa"/>
          </w:tcPr>
          <w:p w14:paraId="4BE70A8C">
            <w:pPr>
              <w:rPr>
                <w:rFonts w:ascii="宋体" w:hAnsi="宋体" w:eastAsia="宋体"/>
                <w:color w:val="auto"/>
                <w:highlight w:val="none"/>
              </w:rPr>
            </w:pPr>
          </w:p>
        </w:tc>
        <w:tc>
          <w:tcPr>
            <w:tcW w:w="1635" w:type="dxa"/>
          </w:tcPr>
          <w:p w14:paraId="0BDC0342">
            <w:pPr>
              <w:rPr>
                <w:rFonts w:ascii="宋体" w:hAnsi="宋体" w:eastAsia="宋体"/>
                <w:color w:val="auto"/>
                <w:highlight w:val="none"/>
              </w:rPr>
            </w:pPr>
          </w:p>
        </w:tc>
        <w:tc>
          <w:tcPr>
            <w:tcW w:w="859" w:type="dxa"/>
          </w:tcPr>
          <w:p w14:paraId="29736D61">
            <w:pPr>
              <w:rPr>
                <w:rFonts w:ascii="宋体" w:hAnsi="宋体" w:eastAsia="宋体"/>
                <w:color w:val="auto"/>
                <w:highlight w:val="none"/>
              </w:rPr>
            </w:pPr>
          </w:p>
        </w:tc>
        <w:tc>
          <w:tcPr>
            <w:tcW w:w="1582" w:type="dxa"/>
          </w:tcPr>
          <w:p w14:paraId="2C00B697">
            <w:pPr>
              <w:rPr>
                <w:rFonts w:ascii="宋体" w:hAnsi="宋体" w:eastAsia="宋体"/>
                <w:color w:val="auto"/>
                <w:highlight w:val="none"/>
              </w:rPr>
            </w:pPr>
          </w:p>
        </w:tc>
        <w:tc>
          <w:tcPr>
            <w:tcW w:w="1582" w:type="dxa"/>
          </w:tcPr>
          <w:p w14:paraId="02A7CF89">
            <w:pPr>
              <w:rPr>
                <w:rFonts w:ascii="宋体" w:hAnsi="宋体" w:eastAsia="宋体"/>
                <w:color w:val="auto"/>
                <w:highlight w:val="none"/>
              </w:rPr>
            </w:pPr>
          </w:p>
        </w:tc>
        <w:tc>
          <w:tcPr>
            <w:tcW w:w="1437" w:type="dxa"/>
          </w:tcPr>
          <w:p w14:paraId="422B2194">
            <w:pPr>
              <w:rPr>
                <w:rFonts w:ascii="宋体" w:hAnsi="宋体" w:eastAsia="宋体"/>
                <w:color w:val="auto"/>
                <w:highlight w:val="none"/>
              </w:rPr>
            </w:pPr>
          </w:p>
        </w:tc>
      </w:tr>
      <w:tr w14:paraId="7E01D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4A67A38">
            <w:pPr>
              <w:rPr>
                <w:rFonts w:ascii="宋体" w:hAnsi="宋体" w:eastAsia="宋体"/>
                <w:color w:val="auto"/>
                <w:highlight w:val="none"/>
              </w:rPr>
            </w:pPr>
          </w:p>
        </w:tc>
        <w:tc>
          <w:tcPr>
            <w:tcW w:w="1525" w:type="dxa"/>
          </w:tcPr>
          <w:p w14:paraId="7162B038">
            <w:pPr>
              <w:rPr>
                <w:rFonts w:ascii="宋体" w:hAnsi="宋体" w:eastAsia="宋体"/>
                <w:color w:val="auto"/>
                <w:highlight w:val="none"/>
              </w:rPr>
            </w:pPr>
          </w:p>
        </w:tc>
        <w:tc>
          <w:tcPr>
            <w:tcW w:w="1635" w:type="dxa"/>
          </w:tcPr>
          <w:p w14:paraId="03E13050">
            <w:pPr>
              <w:rPr>
                <w:rFonts w:ascii="宋体" w:hAnsi="宋体" w:eastAsia="宋体"/>
                <w:color w:val="auto"/>
                <w:highlight w:val="none"/>
              </w:rPr>
            </w:pPr>
          </w:p>
        </w:tc>
        <w:tc>
          <w:tcPr>
            <w:tcW w:w="859" w:type="dxa"/>
          </w:tcPr>
          <w:p w14:paraId="742250C2">
            <w:pPr>
              <w:rPr>
                <w:rFonts w:ascii="宋体" w:hAnsi="宋体" w:eastAsia="宋体"/>
                <w:color w:val="auto"/>
                <w:highlight w:val="none"/>
              </w:rPr>
            </w:pPr>
          </w:p>
        </w:tc>
        <w:tc>
          <w:tcPr>
            <w:tcW w:w="1582" w:type="dxa"/>
          </w:tcPr>
          <w:p w14:paraId="1BB58903">
            <w:pPr>
              <w:rPr>
                <w:rFonts w:ascii="宋体" w:hAnsi="宋体" w:eastAsia="宋体"/>
                <w:color w:val="auto"/>
                <w:highlight w:val="none"/>
              </w:rPr>
            </w:pPr>
          </w:p>
        </w:tc>
        <w:tc>
          <w:tcPr>
            <w:tcW w:w="1582" w:type="dxa"/>
          </w:tcPr>
          <w:p w14:paraId="37FF87BB">
            <w:pPr>
              <w:rPr>
                <w:rFonts w:ascii="宋体" w:hAnsi="宋体" w:eastAsia="宋体"/>
                <w:color w:val="auto"/>
                <w:highlight w:val="none"/>
              </w:rPr>
            </w:pPr>
          </w:p>
        </w:tc>
        <w:tc>
          <w:tcPr>
            <w:tcW w:w="1437" w:type="dxa"/>
          </w:tcPr>
          <w:p w14:paraId="51D7FE71">
            <w:pPr>
              <w:rPr>
                <w:rFonts w:ascii="宋体" w:hAnsi="宋体" w:eastAsia="宋体"/>
                <w:color w:val="auto"/>
                <w:highlight w:val="none"/>
              </w:rPr>
            </w:pPr>
          </w:p>
        </w:tc>
      </w:tr>
      <w:tr w14:paraId="07058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BADF83E">
            <w:pPr>
              <w:rPr>
                <w:rFonts w:ascii="宋体" w:hAnsi="宋体" w:eastAsia="宋体"/>
                <w:color w:val="auto"/>
                <w:highlight w:val="none"/>
              </w:rPr>
            </w:pPr>
          </w:p>
        </w:tc>
        <w:tc>
          <w:tcPr>
            <w:tcW w:w="1525" w:type="dxa"/>
          </w:tcPr>
          <w:p w14:paraId="2CD8DBC4">
            <w:pPr>
              <w:rPr>
                <w:rFonts w:ascii="宋体" w:hAnsi="宋体" w:eastAsia="宋体"/>
                <w:color w:val="auto"/>
                <w:highlight w:val="none"/>
              </w:rPr>
            </w:pPr>
          </w:p>
        </w:tc>
        <w:tc>
          <w:tcPr>
            <w:tcW w:w="1635" w:type="dxa"/>
          </w:tcPr>
          <w:p w14:paraId="2DCC01CF">
            <w:pPr>
              <w:rPr>
                <w:rFonts w:ascii="宋体" w:hAnsi="宋体" w:eastAsia="宋体"/>
                <w:color w:val="auto"/>
                <w:highlight w:val="none"/>
              </w:rPr>
            </w:pPr>
          </w:p>
        </w:tc>
        <w:tc>
          <w:tcPr>
            <w:tcW w:w="859" w:type="dxa"/>
          </w:tcPr>
          <w:p w14:paraId="2B4D48FF">
            <w:pPr>
              <w:rPr>
                <w:rFonts w:ascii="宋体" w:hAnsi="宋体" w:eastAsia="宋体"/>
                <w:color w:val="auto"/>
                <w:highlight w:val="none"/>
              </w:rPr>
            </w:pPr>
          </w:p>
        </w:tc>
        <w:tc>
          <w:tcPr>
            <w:tcW w:w="1582" w:type="dxa"/>
          </w:tcPr>
          <w:p w14:paraId="641B2D45">
            <w:pPr>
              <w:rPr>
                <w:rFonts w:ascii="宋体" w:hAnsi="宋体" w:eastAsia="宋体"/>
                <w:color w:val="auto"/>
                <w:highlight w:val="none"/>
              </w:rPr>
            </w:pPr>
          </w:p>
        </w:tc>
        <w:tc>
          <w:tcPr>
            <w:tcW w:w="1582" w:type="dxa"/>
          </w:tcPr>
          <w:p w14:paraId="1B7E0781">
            <w:pPr>
              <w:rPr>
                <w:rFonts w:ascii="宋体" w:hAnsi="宋体" w:eastAsia="宋体"/>
                <w:color w:val="auto"/>
                <w:highlight w:val="none"/>
              </w:rPr>
            </w:pPr>
          </w:p>
        </w:tc>
        <w:tc>
          <w:tcPr>
            <w:tcW w:w="1437" w:type="dxa"/>
          </w:tcPr>
          <w:p w14:paraId="0C060DDF">
            <w:pPr>
              <w:rPr>
                <w:rFonts w:ascii="宋体" w:hAnsi="宋体" w:eastAsia="宋体"/>
                <w:color w:val="auto"/>
                <w:highlight w:val="none"/>
              </w:rPr>
            </w:pPr>
          </w:p>
        </w:tc>
      </w:tr>
      <w:tr w14:paraId="1BF33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9A67040">
            <w:pPr>
              <w:rPr>
                <w:rFonts w:ascii="宋体" w:hAnsi="宋体" w:eastAsia="宋体"/>
                <w:color w:val="auto"/>
                <w:highlight w:val="none"/>
              </w:rPr>
            </w:pPr>
          </w:p>
        </w:tc>
        <w:tc>
          <w:tcPr>
            <w:tcW w:w="1525" w:type="dxa"/>
          </w:tcPr>
          <w:p w14:paraId="0DFAD355">
            <w:pPr>
              <w:rPr>
                <w:rFonts w:ascii="宋体" w:hAnsi="宋体" w:eastAsia="宋体"/>
                <w:color w:val="auto"/>
                <w:highlight w:val="none"/>
              </w:rPr>
            </w:pPr>
          </w:p>
        </w:tc>
        <w:tc>
          <w:tcPr>
            <w:tcW w:w="1635" w:type="dxa"/>
          </w:tcPr>
          <w:p w14:paraId="59867715">
            <w:pPr>
              <w:rPr>
                <w:rFonts w:ascii="宋体" w:hAnsi="宋体" w:eastAsia="宋体"/>
                <w:color w:val="auto"/>
                <w:highlight w:val="none"/>
              </w:rPr>
            </w:pPr>
          </w:p>
        </w:tc>
        <w:tc>
          <w:tcPr>
            <w:tcW w:w="859" w:type="dxa"/>
          </w:tcPr>
          <w:p w14:paraId="01680717">
            <w:pPr>
              <w:rPr>
                <w:rFonts w:ascii="宋体" w:hAnsi="宋体" w:eastAsia="宋体"/>
                <w:color w:val="auto"/>
                <w:highlight w:val="none"/>
              </w:rPr>
            </w:pPr>
          </w:p>
        </w:tc>
        <w:tc>
          <w:tcPr>
            <w:tcW w:w="1582" w:type="dxa"/>
          </w:tcPr>
          <w:p w14:paraId="7E369A4C">
            <w:pPr>
              <w:rPr>
                <w:rFonts w:ascii="宋体" w:hAnsi="宋体" w:eastAsia="宋体"/>
                <w:color w:val="auto"/>
                <w:highlight w:val="none"/>
              </w:rPr>
            </w:pPr>
          </w:p>
        </w:tc>
        <w:tc>
          <w:tcPr>
            <w:tcW w:w="1582" w:type="dxa"/>
          </w:tcPr>
          <w:p w14:paraId="62AB817C">
            <w:pPr>
              <w:rPr>
                <w:rFonts w:ascii="宋体" w:hAnsi="宋体" w:eastAsia="宋体"/>
                <w:color w:val="auto"/>
                <w:highlight w:val="none"/>
              </w:rPr>
            </w:pPr>
          </w:p>
        </w:tc>
        <w:tc>
          <w:tcPr>
            <w:tcW w:w="1437" w:type="dxa"/>
          </w:tcPr>
          <w:p w14:paraId="2FDA858B">
            <w:pPr>
              <w:rPr>
                <w:rFonts w:ascii="宋体" w:hAnsi="宋体" w:eastAsia="宋体"/>
                <w:color w:val="auto"/>
                <w:highlight w:val="none"/>
              </w:rPr>
            </w:pPr>
          </w:p>
        </w:tc>
      </w:tr>
    </w:tbl>
    <w:p w14:paraId="5FD4D141">
      <w:pPr>
        <w:rPr>
          <w:rFonts w:ascii="宋体" w:hAnsi="宋体" w:eastAsia="宋体"/>
          <w:color w:val="auto"/>
          <w:sz w:val="28"/>
          <w:highlight w:val="none"/>
        </w:rPr>
      </w:pPr>
    </w:p>
    <w:p w14:paraId="65810016">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5362911C">
      <w:pPr>
        <w:jc w:val="right"/>
        <w:rPr>
          <w:rFonts w:ascii="宋体" w:hAnsi="宋体" w:eastAsia="宋体"/>
          <w:color w:val="auto"/>
          <w:sz w:val="24"/>
          <w:szCs w:val="24"/>
          <w:highlight w:val="none"/>
        </w:rPr>
      </w:pPr>
    </w:p>
    <w:p w14:paraId="2F2FB00E">
      <w:pPr>
        <w:ind w:firstLine="6480" w:firstLineChars="2700"/>
        <w:rPr>
          <w:rFonts w:ascii="宋体" w:hAnsi="宋体" w:eastAsia="宋体"/>
          <w:color w:val="auto"/>
          <w:sz w:val="24"/>
          <w:szCs w:val="24"/>
          <w:highlight w:val="none"/>
        </w:rPr>
      </w:pPr>
    </w:p>
    <w:p w14:paraId="54150493">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91" w:name="_Toc169487834"/>
      <w:bookmarkStart w:id="192" w:name="_Toc386121764"/>
      <w:bookmarkStart w:id="193" w:name="_Toc386122461"/>
      <w:bookmarkStart w:id="194" w:name="_Toc155342588"/>
      <w:bookmarkStart w:id="195" w:name="_Toc28874"/>
      <w:bookmarkStart w:id="196" w:name="_Toc20350"/>
      <w:bookmarkStart w:id="197" w:name="_Toc136335625"/>
      <w:bookmarkStart w:id="198" w:name="_Toc147380660"/>
      <w:bookmarkStart w:id="199" w:name="_Toc118275606"/>
      <w:bookmarkStart w:id="200" w:name="_Toc106553081"/>
      <w:bookmarkStart w:id="201" w:name="_Toc118710617"/>
      <w:bookmarkStart w:id="202" w:name="_Toc76292000"/>
      <w:bookmarkStart w:id="203" w:name="_Toc155342587"/>
    </w:p>
    <w:p w14:paraId="5E17EAE8">
      <w:pPr>
        <w:pStyle w:val="3"/>
        <w:numPr>
          <w:ilvl w:val="0"/>
          <w:numId w:val="0"/>
        </w:numPr>
        <w:spacing w:before="0" w:afterLines="0" w:line="240" w:lineRule="auto"/>
        <w:jc w:val="both"/>
        <w:rPr>
          <w:b w:val="0"/>
          <w:color w:val="auto"/>
          <w:sz w:val="28"/>
          <w:szCs w:val="28"/>
          <w:highlight w:val="none"/>
        </w:rPr>
        <w:sectPr>
          <w:footerReference r:id="rId20" w:type="default"/>
          <w:footnotePr>
            <w:numRestart w:val="eachPage"/>
          </w:footnotePr>
          <w:endnotePr>
            <w:numRestart w:val="eachSect"/>
          </w:endnotePr>
          <w:pgSz w:w="11907" w:h="16840"/>
          <w:pgMar w:top="1247" w:right="1361" w:bottom="1247" w:left="1361" w:header="851" w:footer="838" w:gutter="0"/>
          <w:pgNumType w:fmt="decimal"/>
          <w:cols w:space="720" w:num="1"/>
          <w:docGrid w:type="lines" w:linePitch="435" w:charSpace="-6554"/>
        </w:sectPr>
      </w:pPr>
    </w:p>
    <w:p w14:paraId="76BDF174">
      <w:pPr>
        <w:pStyle w:val="3"/>
        <w:numPr>
          <w:ilvl w:val="0"/>
          <w:numId w:val="0"/>
        </w:numPr>
        <w:spacing w:before="0" w:afterLines="0" w:line="240" w:lineRule="auto"/>
        <w:jc w:val="both"/>
        <w:rPr>
          <w:b w:val="0"/>
          <w:color w:val="auto"/>
          <w:sz w:val="28"/>
          <w:szCs w:val="28"/>
          <w:highlight w:val="none"/>
        </w:rPr>
      </w:pPr>
      <w:bookmarkStart w:id="204" w:name="_附件七：临海市建设工程诚信投标承诺书"/>
      <w:r>
        <w:rPr>
          <w:rFonts w:hint="eastAsia"/>
          <w:b w:val="0"/>
          <w:color w:val="auto"/>
          <w:sz w:val="28"/>
          <w:szCs w:val="28"/>
          <w:highlight w:val="none"/>
        </w:rPr>
        <w:t>附件</w:t>
      </w:r>
      <w:r>
        <w:rPr>
          <w:rFonts w:hint="eastAsia"/>
          <w:b w:val="0"/>
          <w:color w:val="auto"/>
          <w:sz w:val="28"/>
          <w:szCs w:val="28"/>
          <w:highlight w:val="none"/>
          <w:lang w:val="en-US" w:eastAsia="zh-CN"/>
        </w:rPr>
        <w:t>六</w:t>
      </w:r>
      <w:r>
        <w:rPr>
          <w:rFonts w:hint="eastAsia"/>
          <w:b w:val="0"/>
          <w:color w:val="auto"/>
          <w:sz w:val="28"/>
          <w:szCs w:val="28"/>
          <w:highlight w:val="none"/>
        </w:rPr>
        <w:t>：</w:t>
      </w:r>
      <w:bookmarkEnd w:id="191"/>
      <w:bookmarkEnd w:id="192"/>
      <w:bookmarkEnd w:id="193"/>
      <w:bookmarkEnd w:id="194"/>
      <w:r>
        <w:rPr>
          <w:rFonts w:hint="eastAsia"/>
          <w:b w:val="0"/>
          <w:color w:val="auto"/>
          <w:sz w:val="28"/>
          <w:szCs w:val="28"/>
          <w:highlight w:val="none"/>
        </w:rPr>
        <w:t>临海市建设工程诚信投标承诺书</w:t>
      </w:r>
      <w:bookmarkEnd w:id="195"/>
      <w:bookmarkEnd w:id="196"/>
    </w:p>
    <w:bookmarkEnd w:id="204"/>
    <w:p w14:paraId="17C0853E">
      <w:pPr>
        <w:rPr>
          <w:rFonts w:ascii="黑体" w:eastAsia="黑体"/>
          <w:color w:val="auto"/>
          <w:sz w:val="28"/>
          <w:szCs w:val="28"/>
          <w:highlight w:val="none"/>
        </w:rPr>
      </w:pPr>
    </w:p>
    <w:p w14:paraId="37B5CC7D">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0DF9C232">
      <w:pPr>
        <w:adjustRightInd w:val="0"/>
        <w:snapToGrid w:val="0"/>
        <w:spacing w:line="360" w:lineRule="auto"/>
        <w:rPr>
          <w:rFonts w:eastAsia="宋体"/>
          <w:color w:val="auto"/>
          <w:sz w:val="24"/>
          <w:highlight w:val="none"/>
        </w:rPr>
      </w:pPr>
    </w:p>
    <w:p w14:paraId="5C855DBB">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22EA8D17">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台州府城依水山庄亭廊及美人靠等修缮维护项目</w:t>
      </w:r>
      <w:r>
        <w:rPr>
          <w:rFonts w:hint="eastAsia" w:eastAsia="宋体"/>
          <w:color w:val="auto"/>
          <w:sz w:val="28"/>
          <w:szCs w:val="28"/>
          <w:highlight w:val="none"/>
        </w:rPr>
        <w:t>的投标；</w:t>
      </w:r>
    </w:p>
    <w:p w14:paraId="6D960893">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3B2B8DB4">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24EE699F">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28823954">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45014A97">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4D34254D">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7CC870DA">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6DF9A1D1">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eastAsia="宋体"/>
          <w:color w:val="auto"/>
          <w:sz w:val="28"/>
          <w:szCs w:val="28"/>
          <w:highlight w:val="none"/>
          <w:lang w:eastAsia="zh-CN"/>
        </w:rPr>
        <w:t>邮箱</w:t>
      </w:r>
      <w:r>
        <w:rPr>
          <w:rFonts w:hint="eastAsia" w:eastAsia="宋体"/>
          <w:color w:val="auto"/>
          <w:sz w:val="28"/>
          <w:szCs w:val="28"/>
          <w:highlight w:val="none"/>
        </w:rPr>
        <w:t>：</w:t>
      </w:r>
      <w:r>
        <w:rPr>
          <w:rFonts w:hint="eastAsia" w:eastAsia="宋体"/>
          <w:color w:val="auto"/>
          <w:sz w:val="28"/>
          <w:szCs w:val="28"/>
          <w:highlight w:val="none"/>
          <w:u w:val="single"/>
        </w:rPr>
        <w:t xml:space="preserve">             </w:t>
      </w:r>
    </w:p>
    <w:p w14:paraId="0A98AADD">
      <w:pPr>
        <w:pStyle w:val="31"/>
        <w:rPr>
          <w:color w:val="auto"/>
          <w:sz w:val="28"/>
          <w:szCs w:val="28"/>
          <w:highlight w:val="none"/>
        </w:rPr>
      </w:pPr>
    </w:p>
    <w:p w14:paraId="24955091">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5828C103">
      <w:pPr>
        <w:adjustRightInd w:val="0"/>
        <w:snapToGrid w:val="0"/>
        <w:spacing w:line="586" w:lineRule="exact"/>
        <w:rPr>
          <w:rFonts w:eastAsia="宋体"/>
          <w:color w:val="auto"/>
          <w:sz w:val="28"/>
          <w:szCs w:val="28"/>
          <w:highlight w:val="none"/>
        </w:rPr>
      </w:pPr>
    </w:p>
    <w:p w14:paraId="176F050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4B3A4590">
      <w:pPr>
        <w:adjustRightInd w:val="0"/>
        <w:snapToGrid w:val="0"/>
        <w:spacing w:line="586" w:lineRule="exact"/>
        <w:ind w:right="640" w:firstLine="3920" w:firstLineChars="1400"/>
        <w:jc w:val="center"/>
        <w:rPr>
          <w:color w:val="auto"/>
          <w:sz w:val="28"/>
          <w:szCs w:val="28"/>
          <w:highlight w:val="none"/>
        </w:rPr>
      </w:pPr>
      <w:bookmarkStart w:id="205" w:name="_Toc146440177"/>
      <w:bookmarkStart w:id="206" w:name="_Toc155322974"/>
      <w:bookmarkStart w:id="207" w:name="_Toc143319553"/>
      <w:bookmarkStart w:id="208" w:name="_Toc141242988"/>
      <w:bookmarkStart w:id="209" w:name="_Toc143318918"/>
      <w:bookmarkStart w:id="210" w:name="_Toc148157964"/>
      <w:r>
        <w:rPr>
          <w:rFonts w:hint="eastAsia" w:eastAsia="宋体"/>
          <w:color w:val="auto"/>
          <w:sz w:val="28"/>
          <w:szCs w:val="28"/>
          <w:highlight w:val="none"/>
        </w:rPr>
        <w:t xml:space="preserve">       年    月    日</w:t>
      </w:r>
      <w:bookmarkEnd w:id="197"/>
      <w:bookmarkEnd w:id="198"/>
      <w:bookmarkEnd w:id="199"/>
      <w:bookmarkEnd w:id="200"/>
      <w:bookmarkEnd w:id="201"/>
      <w:bookmarkEnd w:id="202"/>
      <w:bookmarkEnd w:id="203"/>
      <w:bookmarkEnd w:id="205"/>
      <w:bookmarkEnd w:id="206"/>
      <w:bookmarkEnd w:id="207"/>
      <w:bookmarkEnd w:id="208"/>
      <w:bookmarkEnd w:id="209"/>
      <w:bookmarkEnd w:id="210"/>
      <w:bookmarkStart w:id="211" w:name="_Toc155342591"/>
      <w:bookmarkStart w:id="212" w:name="_Toc386122462"/>
      <w:bookmarkStart w:id="213" w:name="_Toc386121765"/>
      <w:bookmarkStart w:id="214" w:name="_Toc169487835"/>
      <w:bookmarkStart w:id="215" w:name="_Toc11522"/>
      <w:bookmarkStart w:id="216" w:name="_Toc18290"/>
    </w:p>
    <w:p w14:paraId="69812B08">
      <w:pPr>
        <w:pStyle w:val="3"/>
        <w:numPr>
          <w:ilvl w:val="0"/>
          <w:numId w:val="0"/>
        </w:numPr>
        <w:spacing w:before="0" w:afterLines="0" w:line="240" w:lineRule="auto"/>
        <w:jc w:val="both"/>
        <w:rPr>
          <w:rFonts w:ascii="黑体"/>
          <w:color w:val="auto"/>
          <w:sz w:val="28"/>
          <w:szCs w:val="28"/>
          <w:highlight w:val="none"/>
        </w:rPr>
      </w:pPr>
      <w:bookmarkStart w:id="217" w:name="_附件八：法定代表人授权委托书"/>
      <w:r>
        <w:rPr>
          <w:rFonts w:hint="eastAsia"/>
          <w:b w:val="0"/>
          <w:color w:val="auto"/>
          <w:sz w:val="28"/>
          <w:szCs w:val="28"/>
          <w:highlight w:val="none"/>
        </w:rPr>
        <w:t>附件</w:t>
      </w:r>
      <w:r>
        <w:rPr>
          <w:rFonts w:hint="eastAsia"/>
          <w:b w:val="0"/>
          <w:color w:val="auto"/>
          <w:sz w:val="28"/>
          <w:szCs w:val="28"/>
          <w:highlight w:val="none"/>
          <w:lang w:val="en-US" w:eastAsia="zh-CN"/>
        </w:rPr>
        <w:t>七</w:t>
      </w:r>
      <w:r>
        <w:rPr>
          <w:rFonts w:hint="eastAsia"/>
          <w:b w:val="0"/>
          <w:color w:val="auto"/>
          <w:sz w:val="28"/>
          <w:szCs w:val="28"/>
          <w:highlight w:val="none"/>
        </w:rPr>
        <w:t>：</w:t>
      </w:r>
      <w:bookmarkEnd w:id="211"/>
      <w:bookmarkEnd w:id="212"/>
      <w:bookmarkEnd w:id="213"/>
      <w:bookmarkEnd w:id="214"/>
      <w:r>
        <w:rPr>
          <w:rFonts w:hint="eastAsia"/>
          <w:b w:val="0"/>
          <w:color w:val="auto"/>
          <w:sz w:val="28"/>
          <w:szCs w:val="28"/>
          <w:highlight w:val="none"/>
        </w:rPr>
        <w:t>法定代表人授权委托书</w:t>
      </w:r>
      <w:bookmarkEnd w:id="215"/>
      <w:bookmarkEnd w:id="216"/>
    </w:p>
    <w:bookmarkEnd w:id="217"/>
    <w:p w14:paraId="294C5DB9">
      <w:pPr>
        <w:adjustRightInd w:val="0"/>
        <w:snapToGrid w:val="0"/>
        <w:spacing w:beforeLines="50" w:line="360" w:lineRule="auto"/>
        <w:jc w:val="center"/>
        <w:outlineLvl w:val="0"/>
        <w:rPr>
          <w:rFonts w:ascii="宋体" w:eastAsia="宋体"/>
          <w:color w:val="auto"/>
          <w:sz w:val="28"/>
          <w:highlight w:val="none"/>
        </w:rPr>
      </w:pPr>
      <w:bookmarkStart w:id="218" w:name="_Toc10796"/>
      <w:r>
        <w:rPr>
          <w:rFonts w:hint="eastAsia" w:ascii="黑体" w:eastAsia="黑体"/>
          <w:color w:val="auto"/>
          <w:sz w:val="44"/>
          <w:highlight w:val="none"/>
        </w:rPr>
        <w:t>法定代表人授权委托书</w:t>
      </w:r>
      <w:bookmarkEnd w:id="218"/>
      <w:bookmarkStart w:id="219" w:name="_Toc32620"/>
      <w:r>
        <w:rPr>
          <w:rFonts w:hint="eastAsia" w:ascii="宋体" w:eastAsia="宋体"/>
          <w:color w:val="auto"/>
          <w:sz w:val="28"/>
          <w:highlight w:val="none"/>
        </w:rPr>
        <w:t>（参考样张）</w:t>
      </w:r>
      <w:bookmarkEnd w:id="219"/>
    </w:p>
    <w:p w14:paraId="7D26082B">
      <w:pPr>
        <w:adjustRightInd w:val="0"/>
        <w:snapToGrid w:val="0"/>
        <w:spacing w:beforeLines="50" w:line="360" w:lineRule="auto"/>
        <w:ind w:firstLine="600"/>
        <w:rPr>
          <w:rFonts w:ascii="宋体" w:eastAsia="宋体"/>
          <w:color w:val="auto"/>
          <w:sz w:val="28"/>
          <w:highlight w:val="none"/>
          <w:u w:val="single"/>
        </w:rPr>
      </w:pPr>
      <w:r>
        <w:rPr>
          <w:rFonts w:hint="eastAsia" w:ascii="宋体" w:eastAsia="宋体"/>
          <w:color w:val="auto"/>
          <w:sz w:val="28"/>
          <w:highlight w:val="none"/>
        </w:rPr>
        <w:t>本授权委托书声明：我</w:t>
      </w:r>
      <w:r>
        <w:rPr>
          <w:rFonts w:hint="eastAsia" w:ascii="宋体" w:eastAsia="宋体"/>
          <w:color w:val="auto"/>
          <w:sz w:val="28"/>
          <w:highlight w:val="none"/>
          <w:u w:val="single"/>
        </w:rPr>
        <w:t xml:space="preserve">               </w:t>
      </w:r>
      <w:r>
        <w:rPr>
          <w:rFonts w:hint="eastAsia" w:ascii="宋体" w:eastAsia="宋体"/>
          <w:color w:val="auto"/>
          <w:sz w:val="28"/>
          <w:highlight w:val="none"/>
        </w:rPr>
        <w:t>（姓名）系</w:t>
      </w:r>
      <w:r>
        <w:rPr>
          <w:rFonts w:hint="eastAsia" w:ascii="宋体" w:eastAsia="宋体"/>
          <w:color w:val="auto"/>
          <w:sz w:val="28"/>
          <w:highlight w:val="none"/>
          <w:u w:val="single"/>
        </w:rPr>
        <w:t xml:space="preserve">                 </w:t>
      </w:r>
    </w:p>
    <w:p w14:paraId="77C4688D">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（投标人）的法定代表人，现授权委托我单位</w:t>
      </w:r>
      <w:r>
        <w:rPr>
          <w:rFonts w:hint="eastAsia" w:ascii="宋体" w:eastAsia="宋体"/>
          <w:color w:val="auto"/>
          <w:sz w:val="28"/>
          <w:highlight w:val="none"/>
          <w:u w:val="single"/>
        </w:rPr>
        <w:t xml:space="preserve">         </w:t>
      </w:r>
      <w:r>
        <w:rPr>
          <w:rFonts w:hint="eastAsia" w:ascii="宋体" w:eastAsia="宋体"/>
          <w:color w:val="auto"/>
          <w:sz w:val="28"/>
          <w:highlight w:val="none"/>
        </w:rPr>
        <w:t>（姓名）为我的代理人，以本单位的名义参加</w:t>
      </w:r>
      <w:r>
        <w:rPr>
          <w:rFonts w:hint="eastAsia" w:ascii="宋体" w:eastAsia="宋体"/>
          <w:color w:val="auto"/>
          <w:sz w:val="28"/>
          <w:highlight w:val="none"/>
          <w:u w:val="single"/>
        </w:rPr>
        <w:t xml:space="preserve">              </w:t>
      </w:r>
      <w:r>
        <w:rPr>
          <w:rFonts w:hint="eastAsia" w:ascii="宋体" w:eastAsia="宋体"/>
          <w:color w:val="auto"/>
          <w:sz w:val="28"/>
          <w:highlight w:val="none"/>
        </w:rPr>
        <w:t xml:space="preserve">（招标人）的 </w:t>
      </w:r>
      <w:r>
        <w:rPr>
          <w:rFonts w:hint="eastAsia" w:ascii="宋体" w:eastAsia="宋体"/>
          <w:color w:val="auto"/>
          <w:sz w:val="28"/>
          <w:highlight w:val="none"/>
          <w:u w:val="single"/>
        </w:rPr>
        <w:t xml:space="preserve">          </w:t>
      </w:r>
      <w:r>
        <w:rPr>
          <w:rFonts w:hint="eastAsia" w:ascii="宋体" w:eastAsia="宋体"/>
          <w:color w:val="auto"/>
          <w:sz w:val="28"/>
          <w:highlight w:val="none"/>
        </w:rPr>
        <w:t>（工程名称）的投标。代理人在该工程招投标活动中的一切事务，我均予以承认。</w:t>
      </w:r>
    </w:p>
    <w:p w14:paraId="709A347E">
      <w:pPr>
        <w:adjustRightInd w:val="0"/>
        <w:snapToGrid w:val="0"/>
        <w:spacing w:beforeLines="50" w:line="360" w:lineRule="auto"/>
        <w:ind w:firstLine="560" w:firstLineChars="200"/>
        <w:rPr>
          <w:rFonts w:ascii="宋体" w:eastAsia="宋体"/>
          <w:color w:val="auto"/>
          <w:sz w:val="28"/>
          <w:highlight w:val="none"/>
        </w:rPr>
      </w:pPr>
      <w:r>
        <w:rPr>
          <w:rFonts w:hint="eastAsia" w:ascii="宋体" w:eastAsia="宋体"/>
          <w:color w:val="auto"/>
          <w:sz w:val="28"/>
          <w:highlight w:val="none"/>
        </w:rPr>
        <w:t>代理人无转委权，特此委托。</w:t>
      </w:r>
    </w:p>
    <w:p w14:paraId="3B36DCDB">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投标人（盖章）：</w:t>
      </w:r>
      <w:r>
        <w:rPr>
          <w:rFonts w:hint="eastAsia" w:ascii="宋体" w:eastAsia="宋体"/>
          <w:color w:val="auto"/>
          <w:sz w:val="28"/>
          <w:highlight w:val="none"/>
          <w:u w:val="single"/>
        </w:rPr>
        <w:t xml:space="preserve">                                                   </w:t>
      </w:r>
    </w:p>
    <w:p w14:paraId="472EF6ED">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法定代表人（盖章）：</w:t>
      </w:r>
      <w:r>
        <w:rPr>
          <w:rFonts w:hint="eastAsia" w:ascii="宋体" w:eastAsia="宋体"/>
          <w:color w:val="auto"/>
          <w:sz w:val="28"/>
          <w:highlight w:val="none"/>
          <w:u w:val="single"/>
        </w:rPr>
        <w:t xml:space="preserve">                                               </w:t>
      </w:r>
    </w:p>
    <w:p w14:paraId="4A611664">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代理人：</w:t>
      </w:r>
      <w:r>
        <w:rPr>
          <w:rFonts w:hint="eastAsia" w:ascii="宋体" w:eastAsia="宋体"/>
          <w:color w:val="auto"/>
          <w:sz w:val="28"/>
          <w:highlight w:val="none"/>
          <w:u w:val="single"/>
        </w:rPr>
        <w:t xml:space="preserve">             </w:t>
      </w:r>
      <w:r>
        <w:rPr>
          <w:rFonts w:hint="eastAsia" w:ascii="宋体" w:eastAsia="宋体"/>
          <w:color w:val="auto"/>
          <w:sz w:val="28"/>
          <w:highlight w:val="none"/>
        </w:rPr>
        <w:t>性别：</w:t>
      </w:r>
      <w:r>
        <w:rPr>
          <w:rFonts w:hint="eastAsia" w:ascii="宋体" w:eastAsia="宋体"/>
          <w:color w:val="auto"/>
          <w:sz w:val="28"/>
          <w:highlight w:val="none"/>
          <w:u w:val="single"/>
        </w:rPr>
        <w:t xml:space="preserve">                   </w:t>
      </w:r>
      <w:r>
        <w:rPr>
          <w:rFonts w:hint="eastAsia" w:ascii="宋体" w:eastAsia="宋体"/>
          <w:color w:val="auto"/>
          <w:sz w:val="28"/>
          <w:highlight w:val="none"/>
        </w:rPr>
        <w:t>年龄：</w:t>
      </w:r>
      <w:r>
        <w:rPr>
          <w:rFonts w:hint="eastAsia" w:ascii="宋体" w:eastAsia="宋体"/>
          <w:color w:val="auto"/>
          <w:sz w:val="28"/>
          <w:highlight w:val="none"/>
          <w:u w:val="single"/>
        </w:rPr>
        <w:t xml:space="preserve">              </w:t>
      </w:r>
    </w:p>
    <w:p w14:paraId="0E122374">
      <w:pPr>
        <w:adjustRightInd w:val="0"/>
        <w:snapToGrid w:val="0"/>
        <w:spacing w:beforeLines="50" w:line="360" w:lineRule="auto"/>
        <w:rPr>
          <w:rFonts w:ascii="宋体" w:eastAsia="宋体"/>
          <w:b/>
          <w:bCs/>
          <w:color w:val="auto"/>
          <w:sz w:val="28"/>
          <w:highlight w:val="none"/>
          <w:u w:val="single"/>
        </w:rPr>
      </w:pPr>
      <w:r>
        <w:rPr>
          <w:rFonts w:hint="eastAsia" w:ascii="宋体" w:eastAsia="宋体"/>
          <w:color w:val="auto"/>
          <w:sz w:val="28"/>
          <w:highlight w:val="none"/>
        </w:rPr>
        <w:t>身份证号码：</w:t>
      </w:r>
      <w:r>
        <w:rPr>
          <w:rFonts w:hint="eastAsia" w:ascii="宋体" w:eastAsia="宋体"/>
          <w:color w:val="auto"/>
          <w:sz w:val="28"/>
          <w:highlight w:val="none"/>
          <w:u w:val="single"/>
        </w:rPr>
        <w:t xml:space="preserve">                 </w:t>
      </w:r>
      <w:r>
        <w:rPr>
          <w:rFonts w:hint="eastAsia" w:ascii="宋体" w:eastAsia="宋体"/>
          <w:color w:val="auto"/>
          <w:sz w:val="28"/>
          <w:highlight w:val="none"/>
        </w:rPr>
        <w:t>职务：</w:t>
      </w:r>
      <w:r>
        <w:rPr>
          <w:rFonts w:hint="eastAsia" w:ascii="宋体" w:eastAsia="宋体"/>
          <w:color w:val="auto"/>
          <w:sz w:val="28"/>
          <w:highlight w:val="none"/>
          <w:u w:val="single"/>
        </w:rPr>
        <w:t xml:space="preserve">       </w:t>
      </w:r>
      <w:r>
        <w:rPr>
          <w:rFonts w:hint="eastAsia" w:ascii="宋体" w:eastAsia="宋体"/>
          <w:color w:val="auto"/>
          <w:sz w:val="28"/>
          <w:highlight w:val="none"/>
        </w:rPr>
        <w:t>联系电话：</w:t>
      </w:r>
      <w:r>
        <w:rPr>
          <w:rFonts w:hint="eastAsia" w:ascii="宋体" w:eastAsia="宋体"/>
          <w:color w:val="auto"/>
          <w:sz w:val="28"/>
          <w:highlight w:val="none"/>
          <w:u w:val="single"/>
        </w:rPr>
        <w:t xml:space="preserve">              </w:t>
      </w:r>
    </w:p>
    <w:p w14:paraId="29747029">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授权委托日期：</w:t>
      </w:r>
      <w:r>
        <w:rPr>
          <w:rFonts w:hint="eastAsia" w:ascii="宋体" w:eastAsia="宋体"/>
          <w:color w:val="auto"/>
          <w:sz w:val="28"/>
          <w:highlight w:val="none"/>
          <w:u w:val="single"/>
        </w:rPr>
        <w:t xml:space="preserve">              </w:t>
      </w:r>
      <w:r>
        <w:rPr>
          <w:rFonts w:hint="eastAsia" w:ascii="宋体" w:eastAsia="宋体"/>
          <w:color w:val="auto"/>
          <w:sz w:val="28"/>
          <w:highlight w:val="none"/>
        </w:rPr>
        <w:t>年</w:t>
      </w:r>
      <w:r>
        <w:rPr>
          <w:rFonts w:hint="eastAsia" w:ascii="宋体" w:eastAsia="宋体"/>
          <w:color w:val="auto"/>
          <w:sz w:val="28"/>
          <w:highlight w:val="none"/>
          <w:u w:val="single"/>
        </w:rPr>
        <w:t xml:space="preserve">                </w:t>
      </w:r>
      <w:r>
        <w:rPr>
          <w:rFonts w:hint="eastAsia" w:ascii="宋体" w:eastAsia="宋体"/>
          <w:color w:val="auto"/>
          <w:sz w:val="28"/>
          <w:highlight w:val="none"/>
        </w:rPr>
        <w:t>月</w:t>
      </w:r>
      <w:r>
        <w:rPr>
          <w:rFonts w:hint="eastAsia" w:ascii="宋体" w:eastAsia="宋体"/>
          <w:color w:val="auto"/>
          <w:sz w:val="28"/>
          <w:highlight w:val="none"/>
          <w:u w:val="single"/>
        </w:rPr>
        <w:t xml:space="preserve">                </w:t>
      </w:r>
      <w:r>
        <w:rPr>
          <w:rFonts w:hint="eastAsia" w:ascii="宋体" w:eastAsia="宋体"/>
          <w:color w:val="auto"/>
          <w:sz w:val="28"/>
          <w:highlight w:val="none"/>
        </w:rPr>
        <w:t>日</w:t>
      </w:r>
    </w:p>
    <w:p w14:paraId="3B286D22">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法定代表人身份证复印件            被授权人身份证复印件</w:t>
      </w:r>
    </w:p>
    <w:tbl>
      <w:tblPr>
        <w:tblStyle w:val="22"/>
        <w:tblW w:w="9699"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850"/>
        <w:gridCol w:w="4849"/>
      </w:tblGrid>
      <w:tr w14:paraId="487ABE0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70" w:hRule="atLeast"/>
          <w:jc w:val="center"/>
        </w:trPr>
        <w:tc>
          <w:tcPr>
            <w:tcW w:w="4850" w:type="dxa"/>
          </w:tcPr>
          <w:p w14:paraId="0974CF42">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c>
          <w:tcPr>
            <w:tcW w:w="4849" w:type="dxa"/>
          </w:tcPr>
          <w:p w14:paraId="48524BF2">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r>
      <w:tr w14:paraId="0FEC9FD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18" w:hRule="atLeast"/>
          <w:jc w:val="center"/>
        </w:trPr>
        <w:tc>
          <w:tcPr>
            <w:tcW w:w="4850" w:type="dxa"/>
          </w:tcPr>
          <w:p w14:paraId="08FECC27">
            <w:pPr>
              <w:spacing w:line="360" w:lineRule="auto"/>
              <w:rPr>
                <w:color w:val="auto"/>
                <w:sz w:val="30"/>
                <w:szCs w:val="30"/>
                <w:highlight w:val="none"/>
              </w:rPr>
            </w:pPr>
          </w:p>
        </w:tc>
        <w:tc>
          <w:tcPr>
            <w:tcW w:w="4849" w:type="dxa"/>
          </w:tcPr>
          <w:p w14:paraId="403AD0E9">
            <w:pPr>
              <w:spacing w:line="360" w:lineRule="auto"/>
              <w:rPr>
                <w:color w:val="auto"/>
                <w:sz w:val="30"/>
                <w:szCs w:val="30"/>
                <w:highlight w:val="none"/>
              </w:rPr>
            </w:pPr>
          </w:p>
        </w:tc>
      </w:tr>
    </w:tbl>
    <w:p w14:paraId="0AE80256">
      <w:pPr>
        <w:rPr>
          <w:color w:val="auto"/>
          <w:highlight w:val="none"/>
        </w:rPr>
      </w:pPr>
    </w:p>
    <w:p w14:paraId="0BD2D811">
      <w:pPr>
        <w:pStyle w:val="3"/>
        <w:numPr>
          <w:ilvl w:val="0"/>
          <w:numId w:val="0"/>
        </w:numPr>
        <w:spacing w:before="0" w:afterLines="0" w:line="240" w:lineRule="auto"/>
        <w:jc w:val="both"/>
        <w:rPr>
          <w:rFonts w:hint="eastAsia"/>
          <w:b w:val="0"/>
          <w:color w:val="auto"/>
          <w:sz w:val="28"/>
          <w:szCs w:val="28"/>
          <w:highlight w:val="none"/>
        </w:rPr>
      </w:pPr>
      <w:bookmarkStart w:id="220" w:name="_附件九：法定代表人身份证明"/>
      <w:bookmarkStart w:id="221" w:name="_Toc42587767"/>
      <w:bookmarkStart w:id="222" w:name="_Toc234382962"/>
      <w:r>
        <w:rPr>
          <w:rFonts w:hint="eastAsia"/>
          <w:b w:val="0"/>
          <w:color w:val="auto"/>
          <w:sz w:val="28"/>
          <w:szCs w:val="28"/>
          <w:highlight w:val="none"/>
          <w:lang w:val="en-US" w:eastAsia="zh-CN"/>
        </w:rPr>
        <w:t>附件八：法定代表人身份证明</w:t>
      </w:r>
    </w:p>
    <w:bookmarkEnd w:id="220"/>
    <w:p w14:paraId="0592C37E">
      <w:pPr>
        <w:wordWrap w:val="0"/>
        <w:jc w:val="center"/>
        <w:outlineLvl w:val="3"/>
        <w:rPr>
          <w:rFonts w:ascii="宋体" w:hAnsi="宋体" w:cs="宋体"/>
          <w:color w:val="auto"/>
          <w:sz w:val="24"/>
          <w:highlight w:val="none"/>
        </w:rPr>
      </w:pPr>
      <w:r>
        <w:rPr>
          <w:rFonts w:hint="eastAsia" w:ascii="黑体" w:eastAsia="黑体"/>
          <w:color w:val="auto"/>
          <w:sz w:val="44"/>
          <w:highlight w:val="none"/>
        </w:rPr>
        <w:t>法定代表人身份证明</w:t>
      </w:r>
      <w:bookmarkEnd w:id="221"/>
      <w:bookmarkEnd w:id="222"/>
      <w:r>
        <w:rPr>
          <w:rFonts w:hint="eastAsia" w:ascii="宋体" w:eastAsia="宋体"/>
          <w:color w:val="auto"/>
          <w:sz w:val="28"/>
          <w:highlight w:val="none"/>
        </w:rPr>
        <w:t>（参考样张）</w:t>
      </w:r>
    </w:p>
    <w:p w14:paraId="650FF88A">
      <w:pPr>
        <w:wordWrap w:val="0"/>
        <w:rPr>
          <w:rFonts w:ascii="宋体" w:hAnsi="宋体" w:cs="宋体"/>
          <w:color w:val="auto"/>
          <w:sz w:val="24"/>
          <w:highlight w:val="none"/>
        </w:rPr>
      </w:pPr>
    </w:p>
    <w:p w14:paraId="31A1D34D">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w:t>
      </w:r>
      <w:r>
        <w:rPr>
          <w:rFonts w:hint="eastAsia" w:ascii="宋体" w:hAnsi="宋体" w:eastAsia="宋体" w:cs="宋体"/>
          <w:color w:val="auto"/>
          <w:sz w:val="28"/>
          <w:szCs w:val="28"/>
          <w:highlight w:val="none"/>
          <w:u w:val="single"/>
        </w:rPr>
        <w:t xml:space="preserve">                                 </w:t>
      </w:r>
    </w:p>
    <w:p w14:paraId="65321ACD">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 xml:space="preserve">                                   </w:t>
      </w:r>
    </w:p>
    <w:p w14:paraId="09F259E6">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507022A3">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577D1BA5">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p>
    <w:p w14:paraId="2F29CC95">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p>
    <w:p w14:paraId="5BF0D2F2">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（投标人名称）</w:t>
      </w:r>
      <w:r>
        <w:rPr>
          <w:rFonts w:hint="eastAsia" w:ascii="宋体" w:hAnsi="宋体" w:eastAsia="宋体" w:cs="宋体"/>
          <w:color w:val="auto"/>
          <w:sz w:val="28"/>
          <w:szCs w:val="28"/>
          <w:highlight w:val="none"/>
        </w:rPr>
        <w:t>的法定代表人。</w:t>
      </w:r>
    </w:p>
    <w:p w14:paraId="71B0AAC5">
      <w:pPr>
        <w:snapToGrid w:val="0"/>
        <w:spacing w:beforeLines="50" w:after="50" w:line="460" w:lineRule="exact"/>
        <w:ind w:firstLine="843" w:firstLineChars="300"/>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p>
    <w:tbl>
      <w:tblPr>
        <w:tblStyle w:val="22"/>
        <w:tblpPr w:leftFromText="180" w:rightFromText="180" w:vertAnchor="text" w:horzAnchor="page" w:tblpXSpec="center" w:tblpY="506"/>
        <w:tblOverlap w:val="never"/>
        <w:tblW w:w="6780"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6780"/>
      </w:tblGrid>
      <w:tr w14:paraId="734F4F8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40" w:hRule="atLeast"/>
          <w:jc w:val="center"/>
        </w:trPr>
        <w:tc>
          <w:tcPr>
            <w:tcW w:w="6780" w:type="dxa"/>
          </w:tcPr>
          <w:p w14:paraId="2222F38F">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5C88D36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54" w:hRule="atLeast"/>
          <w:jc w:val="center"/>
        </w:trPr>
        <w:tc>
          <w:tcPr>
            <w:tcW w:w="6780" w:type="dxa"/>
          </w:tcPr>
          <w:p w14:paraId="35DC6B47">
            <w:pPr>
              <w:spacing w:line="360" w:lineRule="auto"/>
              <w:rPr>
                <w:color w:val="auto"/>
                <w:sz w:val="30"/>
                <w:szCs w:val="30"/>
                <w:highlight w:val="none"/>
              </w:rPr>
            </w:pPr>
          </w:p>
        </w:tc>
      </w:tr>
    </w:tbl>
    <w:p w14:paraId="1925E506">
      <w:pPr>
        <w:snapToGrid w:val="0"/>
        <w:spacing w:beforeLines="50" w:after="50" w:line="460" w:lineRule="exact"/>
        <w:ind w:firstLine="843" w:firstLineChars="300"/>
        <w:rPr>
          <w:rFonts w:ascii="宋体" w:hAnsi="宋体"/>
          <w:b/>
          <w:bCs/>
          <w:color w:val="auto"/>
          <w:sz w:val="28"/>
          <w:szCs w:val="28"/>
          <w:highlight w:val="none"/>
        </w:rPr>
      </w:pPr>
      <w:r>
        <w:rPr>
          <w:rFonts w:ascii="宋体" w:hAnsi="宋体"/>
          <w:b/>
          <w:bCs/>
          <w:color w:val="auto"/>
          <w:sz w:val="28"/>
          <w:szCs w:val="28"/>
          <w:highlight w:val="none"/>
        </w:rPr>
        <w:t xml:space="preserve">        </w:t>
      </w:r>
    </w:p>
    <w:p w14:paraId="25E874C4">
      <w:pPr>
        <w:wordWrap w:val="0"/>
        <w:spacing w:line="640" w:lineRule="exact"/>
        <w:ind w:firstLine="1120" w:firstLineChars="400"/>
        <w:rPr>
          <w:rFonts w:ascii="宋体" w:hAnsi="宋体" w:eastAsia="宋体" w:cs="宋体"/>
          <w:color w:val="auto"/>
          <w:sz w:val="28"/>
          <w:szCs w:val="28"/>
          <w:highlight w:val="none"/>
        </w:rPr>
      </w:pPr>
    </w:p>
    <w:p w14:paraId="69134F62">
      <w:pPr>
        <w:spacing w:line="640" w:lineRule="exact"/>
        <w:jc w:val="right"/>
        <w:rPr>
          <w:rFonts w:ascii="宋体" w:hAnsi="宋体" w:eastAsia="宋体" w:cs="宋体"/>
          <w:color w:val="auto"/>
          <w:sz w:val="28"/>
          <w:szCs w:val="28"/>
          <w:highlight w:val="none"/>
        </w:rPr>
      </w:pPr>
    </w:p>
    <w:p w14:paraId="249B0D07">
      <w:pPr>
        <w:spacing w:line="640" w:lineRule="exact"/>
        <w:jc w:val="right"/>
        <w:rPr>
          <w:rFonts w:ascii="宋体" w:hAnsi="宋体" w:eastAsia="宋体" w:cs="宋体"/>
          <w:color w:val="auto"/>
          <w:sz w:val="28"/>
          <w:szCs w:val="28"/>
          <w:highlight w:val="none"/>
        </w:rPr>
      </w:pPr>
    </w:p>
    <w:p w14:paraId="32640A48">
      <w:pPr>
        <w:spacing w:line="640" w:lineRule="exact"/>
        <w:jc w:val="right"/>
        <w:rPr>
          <w:rFonts w:ascii="宋体" w:hAnsi="宋体" w:eastAsia="宋体" w:cs="宋体"/>
          <w:color w:val="auto"/>
          <w:sz w:val="28"/>
          <w:szCs w:val="28"/>
          <w:highlight w:val="none"/>
        </w:rPr>
      </w:pPr>
    </w:p>
    <w:p w14:paraId="2446D663">
      <w:pPr>
        <w:spacing w:line="640" w:lineRule="exact"/>
        <w:jc w:val="right"/>
        <w:rPr>
          <w:rFonts w:ascii="宋体" w:hAnsi="宋体" w:eastAsia="宋体" w:cs="宋体"/>
          <w:color w:val="auto"/>
          <w:sz w:val="28"/>
          <w:szCs w:val="28"/>
          <w:highlight w:val="none"/>
        </w:rPr>
      </w:pPr>
    </w:p>
    <w:p w14:paraId="095ECFA1">
      <w:pPr>
        <w:spacing w:line="640" w:lineRule="exact"/>
        <w:jc w:val="right"/>
        <w:rPr>
          <w:rFonts w:ascii="宋体" w:hAnsi="宋体" w:eastAsia="宋体" w:cs="宋体"/>
          <w:color w:val="auto"/>
          <w:sz w:val="28"/>
          <w:szCs w:val="28"/>
          <w:highlight w:val="none"/>
        </w:rPr>
      </w:pPr>
    </w:p>
    <w:p w14:paraId="5D595895">
      <w:pPr>
        <w:spacing w:line="640" w:lineRule="exact"/>
        <w:jc w:val="right"/>
        <w:rPr>
          <w:rFonts w:ascii="宋体" w:hAnsi="宋体" w:eastAsia="宋体" w:cs="宋体"/>
          <w:color w:val="auto"/>
          <w:sz w:val="28"/>
          <w:szCs w:val="28"/>
          <w:highlight w:val="none"/>
        </w:rPr>
      </w:pPr>
    </w:p>
    <w:p w14:paraId="0FF07A2F">
      <w:pPr>
        <w:spacing w:line="640" w:lineRule="exact"/>
        <w:jc w:val="righ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（盖单位公章）</w:t>
      </w:r>
    </w:p>
    <w:p w14:paraId="37BD9AC5">
      <w:pPr>
        <w:spacing w:line="640" w:lineRule="exact"/>
        <w:jc w:val="center"/>
        <w:rPr>
          <w:rFonts w:hint="eastAsia" w:eastAsia="宋体"/>
          <w:color w:val="auto"/>
          <w:sz w:val="28"/>
          <w:szCs w:val="28"/>
          <w:highlight w:val="none"/>
        </w:rPr>
      </w:pPr>
      <w:r>
        <w:rPr>
          <w:rFonts w:hint="eastAsia" w:eastAsia="宋体"/>
          <w:color w:val="auto"/>
          <w:sz w:val="28"/>
          <w:szCs w:val="28"/>
          <w:highlight w:val="none"/>
        </w:rPr>
        <w:t xml:space="preserve">                         年    月    日</w:t>
      </w:r>
    </w:p>
    <w:p w14:paraId="27C8147D">
      <w:pPr>
        <w:rPr>
          <w:color w:val="auto"/>
          <w:highlight w:val="none"/>
        </w:rPr>
      </w:pPr>
    </w:p>
    <w:p w14:paraId="1DBC19CE">
      <w:pPr>
        <w:pageBreakBefore w:val="0"/>
        <w:widowControl/>
        <w:kinsoku/>
        <w:overflowPunct/>
        <w:topLinePunct w:val="0"/>
        <w:bidi w:val="0"/>
        <w:spacing w:line="360" w:lineRule="auto"/>
        <w:jc w:val="both"/>
        <w:outlineLvl w:val="9"/>
        <w:rPr>
          <w:rFonts w:hint="eastAsia" w:eastAsia="黑体"/>
          <w:color w:val="auto"/>
          <w:highlight w:val="none"/>
        </w:rPr>
      </w:pPr>
      <w:r>
        <w:rPr>
          <w:rFonts w:hint="eastAsia" w:ascii="黑体" w:hAnsi="黑体" w:eastAsia="黑体" w:cs="黑体"/>
          <w:b/>
          <w:color w:val="auto"/>
          <w:sz w:val="28"/>
          <w:szCs w:val="28"/>
          <w:highlight w:val="none"/>
          <w:lang w:val="en-US" w:eastAsia="zh-CN"/>
        </w:rPr>
        <w:t>附件九</w:t>
      </w:r>
      <w:r>
        <w:rPr>
          <w:rFonts w:hint="eastAsia" w:ascii="黑体" w:hAnsi="黑体" w:eastAsia="黑体" w:cs="黑体"/>
          <w:b/>
          <w:color w:val="auto"/>
          <w:sz w:val="28"/>
          <w:szCs w:val="28"/>
          <w:highlight w:val="none"/>
        </w:rPr>
        <w:t>．停工证明（如有）</w:t>
      </w:r>
    </w:p>
    <w:p w14:paraId="218A5FC8">
      <w:pPr>
        <w:pageBreakBefore w:val="0"/>
        <w:kinsoku/>
        <w:overflowPunct/>
        <w:topLinePunct w:val="0"/>
        <w:bidi w:val="0"/>
        <w:outlineLvl w:val="9"/>
        <w:rPr>
          <w:rFonts w:hint="eastAsia"/>
          <w:color w:val="auto"/>
          <w:highlight w:val="none"/>
        </w:rPr>
      </w:pPr>
    </w:p>
    <w:p w14:paraId="3E0EB5B9">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7D70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2FA8BA14">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543A573F">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2DA1956">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5B58C2EE">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0D4A0D97">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10E30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noWrap w:val="0"/>
            <w:vAlign w:val="top"/>
          </w:tcPr>
          <w:p w14:paraId="47E363EC">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39694B47">
            <w:pPr>
              <w:pageBreakBefore w:val="0"/>
              <w:kinsoku/>
              <w:overflowPunct/>
              <w:topLinePunct w:val="0"/>
              <w:bidi w:val="0"/>
              <w:spacing w:line="360" w:lineRule="auto"/>
              <w:outlineLvl w:val="9"/>
              <w:rPr>
                <w:rFonts w:hint="eastAsia"/>
                <w:color w:val="auto"/>
                <w:sz w:val="28"/>
                <w:szCs w:val="28"/>
                <w:highlight w:val="none"/>
              </w:rPr>
            </w:pPr>
          </w:p>
          <w:p w14:paraId="7C3C0145">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7314BC8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362C8EDD">
            <w:pPr>
              <w:pageBreakBefore w:val="0"/>
              <w:kinsoku/>
              <w:overflowPunct/>
              <w:topLinePunct w:val="0"/>
              <w:bidi w:val="0"/>
              <w:spacing w:line="360" w:lineRule="auto"/>
              <w:outlineLvl w:val="9"/>
              <w:rPr>
                <w:rFonts w:hint="eastAsia"/>
                <w:color w:val="auto"/>
                <w:highlight w:val="none"/>
              </w:rPr>
            </w:pPr>
          </w:p>
        </w:tc>
      </w:tr>
      <w:tr w14:paraId="3AB6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14:paraId="61519A14">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7769956A">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7BBC4BEC">
            <w:pPr>
              <w:pageBreakBefore w:val="0"/>
              <w:kinsoku/>
              <w:overflowPunct/>
              <w:topLinePunct w:val="0"/>
              <w:bidi w:val="0"/>
              <w:spacing w:line="360" w:lineRule="auto"/>
              <w:jc w:val="right"/>
              <w:outlineLvl w:val="9"/>
              <w:rPr>
                <w:rFonts w:hint="eastAsia"/>
                <w:color w:val="auto"/>
                <w:sz w:val="28"/>
                <w:szCs w:val="28"/>
                <w:highlight w:val="none"/>
              </w:rPr>
            </w:pPr>
          </w:p>
          <w:p w14:paraId="2DBE5D2E">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250C57B5">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4E49B8F1">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十．未验收证明（如有）</w:t>
      </w:r>
    </w:p>
    <w:p w14:paraId="6741197A">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2336B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0D74078C">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799EAFFE">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274B2E1F">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6E363506">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417ED876">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2C65A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4B517A8D">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30C8AD87">
            <w:pPr>
              <w:pageBreakBefore w:val="0"/>
              <w:kinsoku/>
              <w:overflowPunct/>
              <w:topLinePunct w:val="0"/>
              <w:bidi w:val="0"/>
              <w:spacing w:line="360" w:lineRule="auto"/>
              <w:outlineLvl w:val="9"/>
              <w:rPr>
                <w:rFonts w:hint="eastAsia"/>
                <w:color w:val="auto"/>
                <w:sz w:val="28"/>
                <w:szCs w:val="28"/>
                <w:highlight w:val="none"/>
              </w:rPr>
            </w:pPr>
          </w:p>
          <w:p w14:paraId="1B01A0BF">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25659036">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2C58B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457C64F9">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7C40F653">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008E67C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05C17C3F">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6309F907">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1C6F909D">
      <w:pPr>
        <w:rPr>
          <w:color w:val="auto"/>
          <w:sz w:val="30"/>
          <w:szCs w:val="30"/>
          <w:highlight w:val="none"/>
        </w:rPr>
      </w:pPr>
    </w:p>
    <w:sectPr>
      <w:pgSz w:w="11906" w:h="16838"/>
      <w:pgMar w:top="1440" w:right="926"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4CD31">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7635E7">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57635E7">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8D31C">
    <w:pPr>
      <w:pStyle w:val="13"/>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70445DD4">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40476">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50F6D2">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D50F6D2">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1859B">
    <w:pPr>
      <w:pStyle w:val="1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A51E17">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2A51E17">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888BB">
    <w:pPr>
      <w:snapToGrid w:val="0"/>
      <w:rPr>
        <w:rFonts w:eastAsia="宋体"/>
        <w:sz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51DE1D">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751DE1D">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5267B">
    <w:pPr>
      <w:pStyle w:val="1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AA628">
    <w:pPr>
      <w:pStyle w:val="1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4E21B2">
                          <w:pPr>
                            <w:pStyle w:val="13"/>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A4E21B2">
                    <w:pPr>
                      <w:pStyle w:val="13"/>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6F3DD">
    <w:pPr>
      <w:snapToGrid w:val="0"/>
      <w:jc w:val="left"/>
      <w:rPr>
        <w:rFonts w:ascii="宋体" w:hAnsi="宋体" w:eastAsia="宋体"/>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D03B24">
                          <w:pPr>
                            <w:pStyle w:val="13"/>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37D03B24">
                    <w:pPr>
                      <w:pStyle w:val="13"/>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71CE9">
    <w:pPr>
      <w:pStyle w:val="13"/>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1A35F">
    <w:pPr>
      <w:pStyle w:val="1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A29253">
                          <w:pPr>
                            <w:pStyle w:val="13"/>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7EA29253">
                    <w:pPr>
                      <w:pStyle w:val="13"/>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9922C">
    <w:pPr>
      <w:pStyle w:val="1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D88E5">
                          <w:pPr>
                            <w:pStyle w:val="13"/>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EFD88E5">
                    <w:pPr>
                      <w:pStyle w:val="13"/>
                    </w:pPr>
                    <w:r>
                      <w:fldChar w:fldCharType="begin"/>
                    </w:r>
                    <w:r>
                      <w:instrText xml:space="preserve"> PAGE  \* MERGEFORMAT </w:instrText>
                    </w:r>
                    <w:r>
                      <w:fldChar w:fldCharType="separate"/>
                    </w:r>
                    <w:r>
                      <w:t>49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EE937">
    <w:pPr>
      <w:pStyle w:val="14"/>
      <w:wordWrap w:val="0"/>
      <w:jc w:val="right"/>
      <w:rPr>
        <w:rFonts w:hint="eastAsia" w:ascii="宋体" w:hAnsi="宋体" w:eastAsia="宋体"/>
        <w:szCs w:val="18"/>
      </w:rPr>
    </w:pPr>
    <w:r>
      <w:rPr>
        <w:rFonts w:hint="eastAsia" w:ascii="宋体" w:hAnsi="宋体" w:eastAsia="宋体"/>
        <w:szCs w:val="18"/>
        <w:lang w:eastAsia="zh-CN"/>
      </w:rPr>
      <w:t>台州府城依水山庄亭廊及美人靠等修缮维护项目</w:t>
    </w:r>
    <w:r>
      <w:rPr>
        <w:rFonts w:hint="eastAsia" w:ascii="宋体" w:hAnsi="宋体" w:eastAsia="宋体"/>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56808">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D5DCD">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0CB9C">
    <w:pPr>
      <w:pStyle w:val="14"/>
      <w:wordWrap w:val="0"/>
      <w:jc w:val="right"/>
      <w:rPr>
        <w:rFonts w:ascii="宋体" w:hAnsi="宋体" w:eastAsia="宋体"/>
        <w:szCs w:val="18"/>
      </w:rPr>
    </w:pPr>
    <w:r>
      <w:rPr>
        <w:rFonts w:hint="eastAsia" w:ascii="宋体" w:hAnsi="宋体" w:eastAsia="宋体"/>
        <w:szCs w:val="18"/>
        <w:lang w:eastAsia="zh-CN"/>
      </w:rPr>
      <w:t>台州府城依水山庄亭廊及美人靠等修缮维护项目</w:t>
    </w:r>
    <w:r>
      <w:rPr>
        <w:rFonts w:hint="eastAsia" w:ascii="宋体" w:hAnsi="宋体" w:eastAsia="宋体"/>
        <w:szCs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1FAA7">
    <w:pPr>
      <w:pStyle w:val="14"/>
      <w:wordWrap w:val="0"/>
      <w:jc w:val="right"/>
      <w:rPr>
        <w:rFonts w:ascii="宋体" w:hAnsi="宋体" w:eastAsia="宋体"/>
        <w:szCs w:val="18"/>
      </w:rPr>
    </w:pPr>
    <w:r>
      <w:rPr>
        <w:rFonts w:hint="eastAsia" w:ascii="宋体" w:hAnsi="宋体" w:eastAsia="宋体"/>
        <w:szCs w:val="18"/>
        <w:lang w:eastAsia="zh-CN"/>
      </w:rPr>
      <w:t>台州府城依水山庄亭廊及美人靠等修缮维护项目</w:t>
    </w:r>
    <w:r>
      <w:rPr>
        <w:rFonts w:hint="eastAsia" w:ascii="宋体" w:hAnsi="宋体" w:eastAsia="宋体"/>
        <w:szCs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1EF28">
    <w:pPr>
      <w:pBdr>
        <w:bottom w:val="single" w:color="auto" w:sz="6" w:space="1"/>
      </w:pBdr>
      <w:snapToGrid w:val="0"/>
      <w:ind w:right="180"/>
      <w:jc w:val="right"/>
      <w:rPr>
        <w:rFonts w:eastAsia="宋体"/>
        <w:sz w:val="18"/>
      </w:rPr>
    </w:pPr>
    <w:r>
      <w:rPr>
        <w:rFonts w:hint="eastAsia" w:eastAsia="宋体"/>
        <w:sz w:val="18"/>
        <w:lang w:eastAsia="zh-CN"/>
      </w:rPr>
      <w:t>台州府城依水山庄亭廊及美人靠等修缮维护项目</w:t>
    </w:r>
    <w:r>
      <w:rPr>
        <w:rFonts w:hint="eastAsia" w:eastAsia="宋体"/>
        <w:sz w:val="18"/>
      </w:rPr>
      <w:t>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31778">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D30890"/>
    <w:multiLevelType w:val="singleLevel"/>
    <w:tmpl w:val="35D30890"/>
    <w:lvl w:ilvl="0" w:tentative="0">
      <w:start w:val="10"/>
      <w:numFmt w:val="decimal"/>
      <w:suff w:val="nothing"/>
      <w:lvlText w:val="%1．"/>
      <w:lvlJc w:val="left"/>
    </w:lvl>
  </w:abstractNum>
  <w:abstractNum w:abstractNumId="4">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default"/>
        <w:b w:val="0"/>
        <w:i w:val="0"/>
        <w:color w:val="auto"/>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B4E5583"/>
    <w:multiLevelType w:val="singleLevel"/>
    <w:tmpl w:val="4B4E5583"/>
    <w:lvl w:ilvl="0" w:tentative="0">
      <w:start w:val="11"/>
      <w:numFmt w:val="decimal"/>
      <w:suff w:val="nothing"/>
      <w:lvlText w:val="（%1）"/>
      <w:lvlJc w:val="left"/>
    </w:lvl>
  </w:abstractNum>
  <w:abstractNum w:abstractNumId="6">
    <w:nsid w:val="6A7AA17D"/>
    <w:multiLevelType w:val="singleLevel"/>
    <w:tmpl w:val="6A7AA17D"/>
    <w:lvl w:ilvl="0" w:tentative="0">
      <w:start w:val="7"/>
      <w:numFmt w:val="decimal"/>
      <w:suff w:val="nothing"/>
      <w:lvlText w:val="（%1）"/>
      <w:lvlJc w:val="left"/>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NhY2NkN2FkYjVhOWVlODFlMDlmZmYxMzg2NzQyYmM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D2AB3"/>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561C"/>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6032EA"/>
    <w:rsid w:val="00603637"/>
    <w:rsid w:val="00654868"/>
    <w:rsid w:val="0066548C"/>
    <w:rsid w:val="006B5B26"/>
    <w:rsid w:val="006C0C39"/>
    <w:rsid w:val="006C13FB"/>
    <w:rsid w:val="006C4D1F"/>
    <w:rsid w:val="0073014E"/>
    <w:rsid w:val="00733C41"/>
    <w:rsid w:val="00734B08"/>
    <w:rsid w:val="00735F2E"/>
    <w:rsid w:val="007471EB"/>
    <w:rsid w:val="00763EDA"/>
    <w:rsid w:val="00764F4F"/>
    <w:rsid w:val="0076517C"/>
    <w:rsid w:val="00791654"/>
    <w:rsid w:val="007977FB"/>
    <w:rsid w:val="007A12F4"/>
    <w:rsid w:val="007A275E"/>
    <w:rsid w:val="007A2A5A"/>
    <w:rsid w:val="007A32E6"/>
    <w:rsid w:val="007B1985"/>
    <w:rsid w:val="007B60B0"/>
    <w:rsid w:val="007C06B4"/>
    <w:rsid w:val="007D40EF"/>
    <w:rsid w:val="00803802"/>
    <w:rsid w:val="00803CBD"/>
    <w:rsid w:val="00815CB9"/>
    <w:rsid w:val="00833A9E"/>
    <w:rsid w:val="00841193"/>
    <w:rsid w:val="008449DB"/>
    <w:rsid w:val="00846822"/>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3913"/>
    <w:rsid w:val="009307CE"/>
    <w:rsid w:val="009644BF"/>
    <w:rsid w:val="00964618"/>
    <w:rsid w:val="00980EBC"/>
    <w:rsid w:val="00991927"/>
    <w:rsid w:val="009A2DDE"/>
    <w:rsid w:val="009B3A12"/>
    <w:rsid w:val="009E12FA"/>
    <w:rsid w:val="009F636E"/>
    <w:rsid w:val="00A178E5"/>
    <w:rsid w:val="00A305D4"/>
    <w:rsid w:val="00A32A20"/>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35C0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13C2"/>
    <w:rsid w:val="00F25C07"/>
    <w:rsid w:val="00F32926"/>
    <w:rsid w:val="00F75A23"/>
    <w:rsid w:val="00F75FD5"/>
    <w:rsid w:val="00F82325"/>
    <w:rsid w:val="00F87CB6"/>
    <w:rsid w:val="00FB6D47"/>
    <w:rsid w:val="00FC0D6B"/>
    <w:rsid w:val="00FC37EC"/>
    <w:rsid w:val="00FD460B"/>
    <w:rsid w:val="00FE2F28"/>
    <w:rsid w:val="01E00CE2"/>
    <w:rsid w:val="021F1A33"/>
    <w:rsid w:val="022F77B0"/>
    <w:rsid w:val="02377887"/>
    <w:rsid w:val="024C0DD3"/>
    <w:rsid w:val="02663BF7"/>
    <w:rsid w:val="02B80216"/>
    <w:rsid w:val="0322443D"/>
    <w:rsid w:val="039E1C60"/>
    <w:rsid w:val="03B51FD0"/>
    <w:rsid w:val="047343F5"/>
    <w:rsid w:val="04BC5D9C"/>
    <w:rsid w:val="04C609C8"/>
    <w:rsid w:val="05365475"/>
    <w:rsid w:val="05646570"/>
    <w:rsid w:val="057C552B"/>
    <w:rsid w:val="05966E33"/>
    <w:rsid w:val="05DA7B43"/>
    <w:rsid w:val="05FF5E80"/>
    <w:rsid w:val="06296CF3"/>
    <w:rsid w:val="067B7A61"/>
    <w:rsid w:val="072E4E50"/>
    <w:rsid w:val="07426CE9"/>
    <w:rsid w:val="07DC205E"/>
    <w:rsid w:val="08071A24"/>
    <w:rsid w:val="08296FA7"/>
    <w:rsid w:val="0845264A"/>
    <w:rsid w:val="088A7F5F"/>
    <w:rsid w:val="089B216C"/>
    <w:rsid w:val="097D0D2A"/>
    <w:rsid w:val="098B3F8E"/>
    <w:rsid w:val="09AF75D6"/>
    <w:rsid w:val="09C51CFC"/>
    <w:rsid w:val="09F22179"/>
    <w:rsid w:val="09F45FD8"/>
    <w:rsid w:val="0A553026"/>
    <w:rsid w:val="0AD51C3B"/>
    <w:rsid w:val="0B3D6A50"/>
    <w:rsid w:val="0B950884"/>
    <w:rsid w:val="0C1C748A"/>
    <w:rsid w:val="0C207850"/>
    <w:rsid w:val="0C3C5A11"/>
    <w:rsid w:val="0CF4009D"/>
    <w:rsid w:val="0D074274"/>
    <w:rsid w:val="0D2F17FD"/>
    <w:rsid w:val="0D375B4A"/>
    <w:rsid w:val="0D51729D"/>
    <w:rsid w:val="0E036230"/>
    <w:rsid w:val="0E126FB3"/>
    <w:rsid w:val="0E464B57"/>
    <w:rsid w:val="0E8826CF"/>
    <w:rsid w:val="0ECD37BE"/>
    <w:rsid w:val="0EEE107F"/>
    <w:rsid w:val="0F422A78"/>
    <w:rsid w:val="0FCD5301"/>
    <w:rsid w:val="0FD028A8"/>
    <w:rsid w:val="0FED5C47"/>
    <w:rsid w:val="108B3885"/>
    <w:rsid w:val="10E75D7D"/>
    <w:rsid w:val="11E1204A"/>
    <w:rsid w:val="120025CD"/>
    <w:rsid w:val="12E91DF8"/>
    <w:rsid w:val="1319260B"/>
    <w:rsid w:val="131B7F09"/>
    <w:rsid w:val="131E5E73"/>
    <w:rsid w:val="1363292F"/>
    <w:rsid w:val="137F578F"/>
    <w:rsid w:val="13A45C47"/>
    <w:rsid w:val="13F111F5"/>
    <w:rsid w:val="141F36D1"/>
    <w:rsid w:val="14704895"/>
    <w:rsid w:val="150C0477"/>
    <w:rsid w:val="15280DB6"/>
    <w:rsid w:val="158A29E3"/>
    <w:rsid w:val="15995C85"/>
    <w:rsid w:val="15B362B8"/>
    <w:rsid w:val="16361726"/>
    <w:rsid w:val="16606CC5"/>
    <w:rsid w:val="16905AFB"/>
    <w:rsid w:val="16CC4A44"/>
    <w:rsid w:val="16DE44B1"/>
    <w:rsid w:val="172B6DB1"/>
    <w:rsid w:val="184529B6"/>
    <w:rsid w:val="18A1598A"/>
    <w:rsid w:val="18AB7C3A"/>
    <w:rsid w:val="18CB084B"/>
    <w:rsid w:val="18D771F0"/>
    <w:rsid w:val="18E12580"/>
    <w:rsid w:val="18F26EAB"/>
    <w:rsid w:val="18FC3FD7"/>
    <w:rsid w:val="193A4DCD"/>
    <w:rsid w:val="193B5FBC"/>
    <w:rsid w:val="19BA2262"/>
    <w:rsid w:val="19FE75B4"/>
    <w:rsid w:val="1A4E64A7"/>
    <w:rsid w:val="1ABF7F3C"/>
    <w:rsid w:val="1AD75285"/>
    <w:rsid w:val="1B167A44"/>
    <w:rsid w:val="1B193AF0"/>
    <w:rsid w:val="1B6F0B5F"/>
    <w:rsid w:val="1BAD0D5C"/>
    <w:rsid w:val="1BC177F6"/>
    <w:rsid w:val="1BF97D30"/>
    <w:rsid w:val="1C3861F8"/>
    <w:rsid w:val="1C98187E"/>
    <w:rsid w:val="1CC950A2"/>
    <w:rsid w:val="1DB81794"/>
    <w:rsid w:val="1E363CE9"/>
    <w:rsid w:val="1F160D12"/>
    <w:rsid w:val="1F5D652C"/>
    <w:rsid w:val="1F8606E6"/>
    <w:rsid w:val="1FC96B63"/>
    <w:rsid w:val="1FCE5FDB"/>
    <w:rsid w:val="1FF80AF3"/>
    <w:rsid w:val="201B4916"/>
    <w:rsid w:val="20315F6D"/>
    <w:rsid w:val="20670BCA"/>
    <w:rsid w:val="208351DE"/>
    <w:rsid w:val="210950AC"/>
    <w:rsid w:val="212F4336"/>
    <w:rsid w:val="229D5007"/>
    <w:rsid w:val="22F55FE0"/>
    <w:rsid w:val="230C3128"/>
    <w:rsid w:val="235B07E6"/>
    <w:rsid w:val="23636EA1"/>
    <w:rsid w:val="23853A79"/>
    <w:rsid w:val="239361D0"/>
    <w:rsid w:val="23A0402B"/>
    <w:rsid w:val="247C7A85"/>
    <w:rsid w:val="24EE5273"/>
    <w:rsid w:val="24F44C86"/>
    <w:rsid w:val="24F951F7"/>
    <w:rsid w:val="251A36F0"/>
    <w:rsid w:val="25554E0E"/>
    <w:rsid w:val="25563DFB"/>
    <w:rsid w:val="25983B4F"/>
    <w:rsid w:val="25A050FE"/>
    <w:rsid w:val="25A75047"/>
    <w:rsid w:val="25BD151C"/>
    <w:rsid w:val="267872EA"/>
    <w:rsid w:val="26892F9B"/>
    <w:rsid w:val="26967876"/>
    <w:rsid w:val="26E47778"/>
    <w:rsid w:val="27112362"/>
    <w:rsid w:val="27230FF2"/>
    <w:rsid w:val="275831DE"/>
    <w:rsid w:val="277B2C7C"/>
    <w:rsid w:val="278E4F1E"/>
    <w:rsid w:val="278E6684"/>
    <w:rsid w:val="27EC297A"/>
    <w:rsid w:val="285C40CB"/>
    <w:rsid w:val="291618C2"/>
    <w:rsid w:val="291B76E3"/>
    <w:rsid w:val="29712FD9"/>
    <w:rsid w:val="29CC34BC"/>
    <w:rsid w:val="29F438D2"/>
    <w:rsid w:val="29F92152"/>
    <w:rsid w:val="2A0475B6"/>
    <w:rsid w:val="2A755A69"/>
    <w:rsid w:val="2AD402FC"/>
    <w:rsid w:val="2B5173DF"/>
    <w:rsid w:val="2B547697"/>
    <w:rsid w:val="2C387B4E"/>
    <w:rsid w:val="2C4C1CFB"/>
    <w:rsid w:val="2C652E7D"/>
    <w:rsid w:val="2C837E42"/>
    <w:rsid w:val="2D5371F7"/>
    <w:rsid w:val="2D602A71"/>
    <w:rsid w:val="2D8172D3"/>
    <w:rsid w:val="2D83129D"/>
    <w:rsid w:val="2DDC09C5"/>
    <w:rsid w:val="2DFE26D1"/>
    <w:rsid w:val="2EA13EF9"/>
    <w:rsid w:val="2F132647"/>
    <w:rsid w:val="2F266FDE"/>
    <w:rsid w:val="2F594E71"/>
    <w:rsid w:val="2F7353A9"/>
    <w:rsid w:val="2FDA531F"/>
    <w:rsid w:val="301E66D6"/>
    <w:rsid w:val="3048098A"/>
    <w:rsid w:val="30A457B2"/>
    <w:rsid w:val="31737A6D"/>
    <w:rsid w:val="31861B3A"/>
    <w:rsid w:val="32726748"/>
    <w:rsid w:val="32BE3742"/>
    <w:rsid w:val="32DB0BA8"/>
    <w:rsid w:val="33C40AB3"/>
    <w:rsid w:val="33CD33DD"/>
    <w:rsid w:val="33D51112"/>
    <w:rsid w:val="33FA6465"/>
    <w:rsid w:val="34207846"/>
    <w:rsid w:val="34605501"/>
    <w:rsid w:val="358C5B68"/>
    <w:rsid w:val="36254176"/>
    <w:rsid w:val="3645272F"/>
    <w:rsid w:val="36E20676"/>
    <w:rsid w:val="371158BC"/>
    <w:rsid w:val="37292D89"/>
    <w:rsid w:val="379D6D57"/>
    <w:rsid w:val="37BB1D08"/>
    <w:rsid w:val="37BE1059"/>
    <w:rsid w:val="38202807"/>
    <w:rsid w:val="3820356C"/>
    <w:rsid w:val="3886386B"/>
    <w:rsid w:val="38ED3A6E"/>
    <w:rsid w:val="39024127"/>
    <w:rsid w:val="39344945"/>
    <w:rsid w:val="395B2504"/>
    <w:rsid w:val="39B97A14"/>
    <w:rsid w:val="39BD0C48"/>
    <w:rsid w:val="39D259C4"/>
    <w:rsid w:val="39DC420F"/>
    <w:rsid w:val="3A660B39"/>
    <w:rsid w:val="3AB23C68"/>
    <w:rsid w:val="3ACA2AA9"/>
    <w:rsid w:val="3AD76784"/>
    <w:rsid w:val="3B293588"/>
    <w:rsid w:val="3B5E2A01"/>
    <w:rsid w:val="3B8D4294"/>
    <w:rsid w:val="3B8E3C86"/>
    <w:rsid w:val="3BAC51D5"/>
    <w:rsid w:val="3BE610FE"/>
    <w:rsid w:val="3CB11EC5"/>
    <w:rsid w:val="3CF82715"/>
    <w:rsid w:val="3D2D00ED"/>
    <w:rsid w:val="3D2F4655"/>
    <w:rsid w:val="3DF80EEB"/>
    <w:rsid w:val="3EA7436E"/>
    <w:rsid w:val="3EE96D1B"/>
    <w:rsid w:val="3EEF43D0"/>
    <w:rsid w:val="3F0459F8"/>
    <w:rsid w:val="3F165ACD"/>
    <w:rsid w:val="3F265D57"/>
    <w:rsid w:val="3F357653"/>
    <w:rsid w:val="3F84790D"/>
    <w:rsid w:val="3FF96CBD"/>
    <w:rsid w:val="40646D0C"/>
    <w:rsid w:val="40F77934"/>
    <w:rsid w:val="40FE0657"/>
    <w:rsid w:val="4134048C"/>
    <w:rsid w:val="413B553F"/>
    <w:rsid w:val="415C326C"/>
    <w:rsid w:val="4180248A"/>
    <w:rsid w:val="41E77BF5"/>
    <w:rsid w:val="41FF0A9A"/>
    <w:rsid w:val="4345654F"/>
    <w:rsid w:val="4374370A"/>
    <w:rsid w:val="439247CC"/>
    <w:rsid w:val="43BC29BB"/>
    <w:rsid w:val="43F94946"/>
    <w:rsid w:val="43FA4F55"/>
    <w:rsid w:val="4426535A"/>
    <w:rsid w:val="448032AE"/>
    <w:rsid w:val="44A46D82"/>
    <w:rsid w:val="4535727C"/>
    <w:rsid w:val="45437449"/>
    <w:rsid w:val="45585CB2"/>
    <w:rsid w:val="460074D7"/>
    <w:rsid w:val="463022A2"/>
    <w:rsid w:val="4703462D"/>
    <w:rsid w:val="478B0E64"/>
    <w:rsid w:val="47971775"/>
    <w:rsid w:val="47C016D8"/>
    <w:rsid w:val="48C04CFB"/>
    <w:rsid w:val="48C9729F"/>
    <w:rsid w:val="491D3EFC"/>
    <w:rsid w:val="493C6D00"/>
    <w:rsid w:val="49E0612F"/>
    <w:rsid w:val="4A0B35EA"/>
    <w:rsid w:val="4A0F5F3A"/>
    <w:rsid w:val="4A6F08EE"/>
    <w:rsid w:val="4B651398"/>
    <w:rsid w:val="4BE40D01"/>
    <w:rsid w:val="4C411A42"/>
    <w:rsid w:val="4C854292"/>
    <w:rsid w:val="4CF431C6"/>
    <w:rsid w:val="4D317F76"/>
    <w:rsid w:val="4D43040D"/>
    <w:rsid w:val="4D8F5115"/>
    <w:rsid w:val="4DCE7990"/>
    <w:rsid w:val="4DF0589D"/>
    <w:rsid w:val="4E167CED"/>
    <w:rsid w:val="4E473EF5"/>
    <w:rsid w:val="4E734184"/>
    <w:rsid w:val="4EB01C4F"/>
    <w:rsid w:val="4ECE03CB"/>
    <w:rsid w:val="4F7F2CDB"/>
    <w:rsid w:val="4F964D9C"/>
    <w:rsid w:val="5012695A"/>
    <w:rsid w:val="5060217C"/>
    <w:rsid w:val="50A42CBD"/>
    <w:rsid w:val="50D833BE"/>
    <w:rsid w:val="51265695"/>
    <w:rsid w:val="51503F69"/>
    <w:rsid w:val="517B51EF"/>
    <w:rsid w:val="51A67B22"/>
    <w:rsid w:val="51E07D46"/>
    <w:rsid w:val="52C113F5"/>
    <w:rsid w:val="52DF7FD7"/>
    <w:rsid w:val="533B7B79"/>
    <w:rsid w:val="541E33F9"/>
    <w:rsid w:val="54C635B3"/>
    <w:rsid w:val="54EF357C"/>
    <w:rsid w:val="550B5550"/>
    <w:rsid w:val="5597283F"/>
    <w:rsid w:val="55BF2A09"/>
    <w:rsid w:val="563E3F56"/>
    <w:rsid w:val="565C6BA3"/>
    <w:rsid w:val="568C5381"/>
    <w:rsid w:val="56942683"/>
    <w:rsid w:val="56BF79F3"/>
    <w:rsid w:val="56C37E91"/>
    <w:rsid w:val="576B2C38"/>
    <w:rsid w:val="576D24F2"/>
    <w:rsid w:val="57C355C8"/>
    <w:rsid w:val="586A79B6"/>
    <w:rsid w:val="595A593F"/>
    <w:rsid w:val="59692350"/>
    <w:rsid w:val="596F38AB"/>
    <w:rsid w:val="5AD86B4E"/>
    <w:rsid w:val="5B9F0DEB"/>
    <w:rsid w:val="5BB16FB8"/>
    <w:rsid w:val="5BB63711"/>
    <w:rsid w:val="5BEE5961"/>
    <w:rsid w:val="5C1B42CB"/>
    <w:rsid w:val="5C1E5E58"/>
    <w:rsid w:val="5D4B6CD4"/>
    <w:rsid w:val="5DA057D6"/>
    <w:rsid w:val="5DC056AF"/>
    <w:rsid w:val="5E0A6506"/>
    <w:rsid w:val="5E115F82"/>
    <w:rsid w:val="5EC64628"/>
    <w:rsid w:val="5F6B70B6"/>
    <w:rsid w:val="5FAE5456"/>
    <w:rsid w:val="5FE42496"/>
    <w:rsid w:val="5FFC7473"/>
    <w:rsid w:val="601C4F4D"/>
    <w:rsid w:val="60AA20C1"/>
    <w:rsid w:val="60B47A39"/>
    <w:rsid w:val="611361AA"/>
    <w:rsid w:val="6130435D"/>
    <w:rsid w:val="614257A1"/>
    <w:rsid w:val="61567145"/>
    <w:rsid w:val="616F6362"/>
    <w:rsid w:val="619D4BBE"/>
    <w:rsid w:val="61DE2BC3"/>
    <w:rsid w:val="62173103"/>
    <w:rsid w:val="62BF4CA1"/>
    <w:rsid w:val="62E94FF3"/>
    <w:rsid w:val="633F4BEB"/>
    <w:rsid w:val="635C4F62"/>
    <w:rsid w:val="639C03E7"/>
    <w:rsid w:val="63F32E9F"/>
    <w:rsid w:val="64731A4D"/>
    <w:rsid w:val="648C1DD2"/>
    <w:rsid w:val="64B417CF"/>
    <w:rsid w:val="65ED7D25"/>
    <w:rsid w:val="665A1E94"/>
    <w:rsid w:val="66A03BE2"/>
    <w:rsid w:val="66B0141D"/>
    <w:rsid w:val="66BD2ECA"/>
    <w:rsid w:val="66C25E54"/>
    <w:rsid w:val="66F92416"/>
    <w:rsid w:val="66FE3079"/>
    <w:rsid w:val="67306371"/>
    <w:rsid w:val="68133158"/>
    <w:rsid w:val="68C81038"/>
    <w:rsid w:val="6911480D"/>
    <w:rsid w:val="69995F28"/>
    <w:rsid w:val="699D75EA"/>
    <w:rsid w:val="69CD695C"/>
    <w:rsid w:val="6A1F1B62"/>
    <w:rsid w:val="6B0246B4"/>
    <w:rsid w:val="6B194AB8"/>
    <w:rsid w:val="6B2505AD"/>
    <w:rsid w:val="6B251B80"/>
    <w:rsid w:val="6B78543B"/>
    <w:rsid w:val="6BFD1234"/>
    <w:rsid w:val="6C4B33B4"/>
    <w:rsid w:val="6C64581A"/>
    <w:rsid w:val="6D0408D4"/>
    <w:rsid w:val="6D3400AA"/>
    <w:rsid w:val="6D46205C"/>
    <w:rsid w:val="6DEC5AC7"/>
    <w:rsid w:val="6E147894"/>
    <w:rsid w:val="6E204C23"/>
    <w:rsid w:val="6E865B4B"/>
    <w:rsid w:val="6F067EF3"/>
    <w:rsid w:val="6F7777FC"/>
    <w:rsid w:val="6FC9055F"/>
    <w:rsid w:val="70534653"/>
    <w:rsid w:val="70B52AE8"/>
    <w:rsid w:val="710B6E6E"/>
    <w:rsid w:val="71395DE7"/>
    <w:rsid w:val="71AA5770"/>
    <w:rsid w:val="72720E38"/>
    <w:rsid w:val="727F4B2E"/>
    <w:rsid w:val="72850298"/>
    <w:rsid w:val="72D405E0"/>
    <w:rsid w:val="733E6F30"/>
    <w:rsid w:val="74135A7F"/>
    <w:rsid w:val="742A7349"/>
    <w:rsid w:val="745148D6"/>
    <w:rsid w:val="745B379C"/>
    <w:rsid w:val="749100EE"/>
    <w:rsid w:val="74B76DDA"/>
    <w:rsid w:val="74CA60A4"/>
    <w:rsid w:val="74EF6293"/>
    <w:rsid w:val="74EF6A2D"/>
    <w:rsid w:val="75087C7C"/>
    <w:rsid w:val="758F15AA"/>
    <w:rsid w:val="759279F5"/>
    <w:rsid w:val="75CC648C"/>
    <w:rsid w:val="762348A3"/>
    <w:rsid w:val="7645046A"/>
    <w:rsid w:val="765A6067"/>
    <w:rsid w:val="767429A8"/>
    <w:rsid w:val="76883BBA"/>
    <w:rsid w:val="76EC11F8"/>
    <w:rsid w:val="772462D2"/>
    <w:rsid w:val="77A15B74"/>
    <w:rsid w:val="782F3180"/>
    <w:rsid w:val="78C5709B"/>
    <w:rsid w:val="78E01A48"/>
    <w:rsid w:val="78F63361"/>
    <w:rsid w:val="796E4E17"/>
    <w:rsid w:val="79A166DA"/>
    <w:rsid w:val="79DB4509"/>
    <w:rsid w:val="7A44266C"/>
    <w:rsid w:val="7A6A04A0"/>
    <w:rsid w:val="7ABFB17A"/>
    <w:rsid w:val="7AD361E3"/>
    <w:rsid w:val="7C8F385C"/>
    <w:rsid w:val="7CEC5A5F"/>
    <w:rsid w:val="7D0A7D18"/>
    <w:rsid w:val="7DDB1BD7"/>
    <w:rsid w:val="7DF92F90"/>
    <w:rsid w:val="7E324F08"/>
    <w:rsid w:val="7E4F2BA1"/>
    <w:rsid w:val="7E5402F7"/>
    <w:rsid w:val="7E755665"/>
    <w:rsid w:val="7EC34EA8"/>
    <w:rsid w:val="7F503B7C"/>
    <w:rsid w:val="7F935350"/>
    <w:rsid w:val="7FAE0E2E"/>
    <w:rsid w:val="7FBEFABE"/>
    <w:rsid w:val="7FCF657D"/>
    <w:rsid w:val="7FEA3C95"/>
    <w:rsid w:val="8F8E3A6C"/>
    <w:rsid w:val="BF1F4AEE"/>
    <w:rsid w:val="F7BC2B31"/>
    <w:rsid w:val="F7BEAE12"/>
    <w:rsid w:val="FBFC1A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
    <w:qFormat/>
    <w:uiPriority w:val="0"/>
    <w:pPr>
      <w:tabs>
        <w:tab w:val="left" w:pos="574"/>
      </w:tabs>
      <w:spacing w:line="288" w:lineRule="auto"/>
    </w:pPr>
    <w:rPr>
      <w:rFonts w:ascii="宋体" w:hAnsi="宋体" w:eastAsia="宋体"/>
      <w:sz w:val="21"/>
    </w:rPr>
  </w:style>
  <w:style w:type="paragraph" w:styleId="10">
    <w:name w:val="index 4"/>
    <w:basedOn w:val="1"/>
    <w:next w:val="1"/>
    <w:semiHidden/>
    <w:qFormat/>
    <w:uiPriority w:val="0"/>
    <w:pPr>
      <w:ind w:left="600" w:leftChars="600"/>
    </w:pPr>
  </w:style>
  <w:style w:type="paragraph" w:styleId="11">
    <w:name w:val="Plain Text"/>
    <w:basedOn w:val="1"/>
    <w:qFormat/>
    <w:uiPriority w:val="0"/>
    <w:rPr>
      <w:rFonts w:ascii="宋体" w:hAnsi="Courier New"/>
    </w:rPr>
  </w:style>
  <w:style w:type="paragraph" w:styleId="12">
    <w:name w:val="Balloon Text"/>
    <w:basedOn w:val="1"/>
    <w:link w:val="35"/>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toc 6"/>
    <w:basedOn w:val="1"/>
    <w:next w:val="1"/>
    <w:unhideWhenUsed/>
    <w:qFormat/>
    <w:uiPriority w:val="0"/>
    <w:pPr>
      <w:ind w:left="2100" w:leftChars="1000"/>
    </w:pPr>
  </w:style>
  <w:style w:type="paragraph" w:styleId="17">
    <w:name w:val="Body Text Indent 3"/>
    <w:basedOn w:val="1"/>
    <w:qFormat/>
    <w:uiPriority w:val="0"/>
    <w:pPr>
      <w:ind w:firstLine="600"/>
    </w:pPr>
    <w:rPr>
      <w:sz w:val="28"/>
    </w:rPr>
  </w:style>
  <w:style w:type="paragraph" w:styleId="18">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qFormat/>
    <w:uiPriority w:val="99"/>
    <w:pPr>
      <w:widowControl/>
      <w:spacing w:before="100" w:beforeAutospacing="1" w:after="100" w:afterAutospacing="1"/>
    </w:pPr>
    <w:rPr>
      <w:rFonts w:ascii="宋体" w:hAnsi="宋体"/>
      <w:kern w:val="0"/>
    </w:rPr>
  </w:style>
  <w:style w:type="paragraph" w:styleId="20">
    <w:name w:val="Title"/>
    <w:basedOn w:val="1"/>
    <w:next w:val="1"/>
    <w:qFormat/>
    <w:uiPriority w:val="0"/>
    <w:pPr>
      <w:jc w:val="center"/>
      <w:outlineLvl w:val="0"/>
    </w:pPr>
    <w:rPr>
      <w:rFonts w:ascii="Arial" w:hAnsi="Arial" w:eastAsia="宋体" w:cs="Arial"/>
      <w:b/>
      <w:bCs/>
      <w:szCs w:val="32"/>
    </w:rPr>
  </w:style>
  <w:style w:type="paragraph" w:styleId="21">
    <w:name w:val="Body Text First Indent"/>
    <w:basedOn w:val="9"/>
    <w:next w:val="1"/>
    <w:qFormat/>
    <w:uiPriority w:val="0"/>
    <w:pPr>
      <w:spacing w:after="120" w:line="240" w:lineRule="auto"/>
      <w:ind w:firstLine="420" w:firstLineChars="100"/>
    </w:pPr>
    <w:rPr>
      <w:rFonts w:ascii="Times New Roman" w:hAnsi="Times New Roman"/>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Strong"/>
    <w:basedOn w:val="24"/>
    <w:qFormat/>
    <w:uiPriority w:val="0"/>
    <w:rPr>
      <w:b/>
    </w:rPr>
  </w:style>
  <w:style w:type="character" w:styleId="26">
    <w:name w:val="page number"/>
    <w:basedOn w:val="24"/>
    <w:qFormat/>
    <w:uiPriority w:val="0"/>
  </w:style>
  <w:style w:type="character" w:styleId="27">
    <w:name w:val="FollowedHyperlink"/>
    <w:basedOn w:val="24"/>
    <w:semiHidden/>
    <w:unhideWhenUsed/>
    <w:qFormat/>
    <w:uiPriority w:val="0"/>
    <w:rPr>
      <w:color w:val="800080"/>
      <w:u w:val="single"/>
    </w:rPr>
  </w:style>
  <w:style w:type="character" w:styleId="28">
    <w:name w:val="line number"/>
    <w:basedOn w:val="24"/>
    <w:qFormat/>
    <w:uiPriority w:val="0"/>
  </w:style>
  <w:style w:type="character" w:styleId="29">
    <w:name w:val="Hyperlink"/>
    <w:qFormat/>
    <w:uiPriority w:val="99"/>
    <w:rPr>
      <w:color w:val="0000FF"/>
      <w:u w:val="single"/>
    </w:rPr>
  </w:style>
  <w:style w:type="character" w:styleId="30">
    <w:name w:val="annotation reference"/>
    <w:basedOn w:val="24"/>
    <w:semiHidden/>
    <w:unhideWhenUsed/>
    <w:qFormat/>
    <w:uiPriority w:val="0"/>
    <w:rPr>
      <w:sz w:val="21"/>
      <w:szCs w:val="21"/>
    </w:rPr>
  </w:style>
  <w:style w:type="paragraph" w:customStyle="1" w:styleId="31">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2">
    <w:name w:val="WPSOffice手动目录 1"/>
    <w:qFormat/>
    <w:uiPriority w:val="0"/>
    <w:rPr>
      <w:rFonts w:ascii="Calibri" w:hAnsi="Calibri" w:eastAsia="宋体" w:cs="Times New Roman"/>
      <w:lang w:val="en-US" w:eastAsia="zh-CN" w:bidi="ar-SA"/>
    </w:rPr>
  </w:style>
  <w:style w:type="paragraph" w:customStyle="1" w:styleId="33">
    <w:name w:val="p0"/>
    <w:basedOn w:val="1"/>
    <w:qFormat/>
    <w:uiPriority w:val="0"/>
    <w:pPr>
      <w:widowControl/>
    </w:pPr>
    <w:rPr>
      <w:kern w:val="0"/>
      <w:szCs w:val="32"/>
    </w:rPr>
  </w:style>
  <w:style w:type="paragraph" w:customStyle="1" w:styleId="34">
    <w:name w:val="标题4"/>
    <w:basedOn w:val="1"/>
    <w:qFormat/>
    <w:uiPriority w:val="0"/>
  </w:style>
  <w:style w:type="character" w:customStyle="1" w:styleId="35">
    <w:name w:val="批注框文本 Char"/>
    <w:basedOn w:val="24"/>
    <w:link w:val="12"/>
    <w:qFormat/>
    <w:uiPriority w:val="0"/>
    <w:rPr>
      <w:rFonts w:ascii="Calibri" w:hAnsi="Calibri" w:eastAsia="仿宋_GB2312"/>
      <w:kern w:val="2"/>
      <w:sz w:val="18"/>
      <w:szCs w:val="18"/>
    </w:rPr>
  </w:style>
  <w:style w:type="paragraph" w:customStyle="1" w:styleId="36">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7">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8">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9">
    <w:name w:val="List Paragraph"/>
    <w:basedOn w:val="1"/>
    <w:qFormat/>
    <w:uiPriority w:val="0"/>
    <w:pPr>
      <w:autoSpaceDE w:val="0"/>
      <w:autoSpaceDN w:val="0"/>
      <w:adjustRightInd w:val="0"/>
      <w:jc w:val="left"/>
    </w:pPr>
    <w:rPr>
      <w:rFonts w:eastAsia="宋体"/>
      <w:kern w:val="0"/>
      <w:sz w:val="24"/>
      <w:szCs w:val="24"/>
    </w:rPr>
  </w:style>
  <w:style w:type="character" w:customStyle="1" w:styleId="40">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28230</Words>
  <Characters>29743</Characters>
  <Lines>318</Lines>
  <Paragraphs>89</Paragraphs>
  <TotalTime>15</TotalTime>
  <ScaleCrop>false</ScaleCrop>
  <LinksUpToDate>false</LinksUpToDate>
  <CharactersWithSpaces>32721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2021-02-09T18:43:00Z</dcterms:created>
  <dc:creator>HaHaHa~</dc:creator>
  <cp:lastModifiedBy>A</cp:lastModifiedBy>
  <cp:lastPrinted>2025-05-12T06:07:00Z</cp:lastPrinted>
  <dcterms:modified xsi:type="dcterms:W3CDTF">2026-06-03T08:33:30Z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2AFEEA59BB41451C94BCB0064813EB71_13</vt:lpwstr>
  </property>
  <property fmtid="{D5CDD505-2E9C-101B-9397-08002B2CF9AE}" pid="4" name="KSOTemplateDocerSaveRecord">
    <vt:lpwstr>eyJoZGlkIjoiZjY0ZDQzMmY5ZGQ5ZGM4ODFmNjRlN2M5MzgxMTdlNGUiLCJ1c2VySWQiOiI2NTcxMjc1NTQifQ==</vt:lpwstr>
  </property>
</Properties>
</file>