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F064A">
      <w:pPr>
        <w:pStyle w:val="23"/>
        <w:numPr>
          <w:ilvl w:val="0"/>
          <w:numId w:val="1"/>
        </w:numPr>
        <w:spacing w:line="360" w:lineRule="auto"/>
        <w:ind w:firstLineChars="0"/>
        <w:jc w:val="left"/>
        <w:outlineLvl w:val="1"/>
        <w:rPr>
          <w:rFonts w:asciiTheme="majorEastAsia" w:hAnsiTheme="majorEastAsia" w:eastAsiaTheme="majorEastAsia"/>
          <w:b/>
          <w:sz w:val="21"/>
          <w:szCs w:val="21"/>
          <w:highlight w:val="none"/>
        </w:rPr>
      </w:pPr>
      <w:bookmarkStart w:id="0" w:name="_Toc81381929"/>
      <w:r>
        <w:rPr>
          <w:rFonts w:hint="eastAsia" w:asciiTheme="majorEastAsia" w:hAnsiTheme="majorEastAsia" w:eastAsiaTheme="majorEastAsia"/>
          <w:b/>
          <w:sz w:val="21"/>
          <w:szCs w:val="21"/>
          <w:highlight w:val="none"/>
        </w:rPr>
        <w:t>工程技术要求</w:t>
      </w:r>
      <w:bookmarkEnd w:id="0"/>
    </w:p>
    <w:p w14:paraId="48617458">
      <w:pPr>
        <w:pStyle w:val="23"/>
        <w:numPr>
          <w:ilvl w:val="1"/>
          <w:numId w:val="1"/>
        </w:numPr>
        <w:spacing w:line="360" w:lineRule="auto"/>
        <w:ind w:left="0" w:leftChars="0" w:firstLine="0" w:firstLineChars="0"/>
        <w:jc w:val="left"/>
        <w:outlineLvl w:val="1"/>
        <w:rPr>
          <w:rFonts w:hint="eastAsia" w:ascii="宋体" w:hAnsi="宋体"/>
          <w:b/>
          <w:sz w:val="21"/>
          <w:szCs w:val="21"/>
          <w:highlight w:val="none"/>
        </w:rPr>
      </w:pPr>
      <w:bookmarkStart w:id="1" w:name="_Toc16734"/>
      <w:bookmarkStart w:id="2" w:name="_Toc20656"/>
      <w:bookmarkStart w:id="3" w:name="_Toc23635"/>
      <w:bookmarkStart w:id="4" w:name="_Toc29799"/>
      <w:bookmarkStart w:id="5" w:name="_Toc81381932"/>
      <w:r>
        <w:rPr>
          <w:rFonts w:hint="eastAsia" w:ascii="宋体" w:hAnsi="宋体"/>
          <w:b/>
          <w:sz w:val="21"/>
          <w:szCs w:val="21"/>
          <w:highlight w:val="none"/>
        </w:rPr>
        <w:t>工程概况与基本要求</w:t>
      </w:r>
      <w:bookmarkEnd w:id="1"/>
      <w:bookmarkEnd w:id="2"/>
      <w:bookmarkEnd w:id="3"/>
      <w:bookmarkEnd w:id="4"/>
    </w:p>
    <w:p w14:paraId="2F487B4B">
      <w:pPr>
        <w:pStyle w:val="23"/>
        <w:numPr>
          <w:ilvl w:val="2"/>
          <w:numId w:val="1"/>
        </w:numPr>
        <w:spacing w:line="360" w:lineRule="auto"/>
        <w:ind w:left="420" w:leftChars="0" w:firstLine="0" w:firstLineChars="0"/>
        <w:jc w:val="left"/>
        <w:outlineLvl w:val="1"/>
        <w:rPr>
          <w:rFonts w:hint="eastAsia" w:ascii="宋体" w:hAnsi="宋体"/>
          <w:b/>
          <w:sz w:val="21"/>
          <w:szCs w:val="21"/>
          <w:highlight w:val="none"/>
        </w:rPr>
      </w:pPr>
      <w:bookmarkStart w:id="6" w:name="_Toc21168"/>
      <w:bookmarkStart w:id="7" w:name="_Toc14661"/>
      <w:bookmarkStart w:id="8" w:name="_Toc1126"/>
      <w:bookmarkStart w:id="9" w:name="_Toc18954"/>
      <w:r>
        <w:rPr>
          <w:rFonts w:hint="eastAsia" w:ascii="宋体" w:hAnsi="宋体"/>
          <w:b/>
          <w:sz w:val="21"/>
          <w:szCs w:val="21"/>
          <w:highlight w:val="none"/>
        </w:rPr>
        <w:t>工程概况</w:t>
      </w:r>
      <w:bookmarkEnd w:id="6"/>
      <w:bookmarkEnd w:id="7"/>
      <w:bookmarkEnd w:id="8"/>
      <w:bookmarkEnd w:id="9"/>
    </w:p>
    <w:p w14:paraId="7B8853B8">
      <w:pPr>
        <w:spacing w:line="360" w:lineRule="auto"/>
        <w:ind w:firstLine="630" w:firstLineChars="300"/>
        <w:rPr>
          <w:rFonts w:hint="eastAsia" w:ascii="宋体" w:hAnsi="宋体"/>
          <w:sz w:val="21"/>
          <w:szCs w:val="21"/>
          <w:highlight w:val="none"/>
        </w:rPr>
      </w:pPr>
      <w:r>
        <w:rPr>
          <w:rFonts w:hint="eastAsia" w:ascii="宋体" w:hAnsi="宋体"/>
          <w:color w:val="FF0000"/>
          <w:sz w:val="21"/>
          <w:szCs w:val="21"/>
          <w:highlight w:val="none"/>
          <w:u w:val="single"/>
        </w:rPr>
        <w:t>华侨地块地标级酒店项目建筑功能</w:t>
      </w:r>
      <w:r>
        <w:rPr>
          <w:rFonts w:hint="eastAsia" w:ascii="宋体" w:hAnsi="宋体"/>
          <w:color w:val="FF0000"/>
          <w:sz w:val="21"/>
          <w:szCs w:val="21"/>
          <w:highlight w:val="none"/>
          <w:u w:val="single"/>
          <w:lang w:eastAsia="zh-CN"/>
        </w:rPr>
        <w:t>为</w:t>
      </w:r>
      <w:r>
        <w:rPr>
          <w:rFonts w:hint="eastAsia" w:ascii="宋体" w:hAnsi="宋体"/>
          <w:color w:val="FF0000"/>
          <w:sz w:val="21"/>
          <w:szCs w:val="21"/>
          <w:highlight w:val="none"/>
          <w:u w:val="single"/>
        </w:rPr>
        <w:t>酒店</w:t>
      </w:r>
      <w:r>
        <w:rPr>
          <w:rFonts w:hint="eastAsia" w:ascii="宋体" w:hAnsi="宋体"/>
          <w:color w:val="FF0000"/>
          <w:sz w:val="21"/>
          <w:szCs w:val="21"/>
          <w:highlight w:val="none"/>
          <w:u w:val="single"/>
          <w:lang w:eastAsia="zh-CN"/>
        </w:rPr>
        <w:t>，按希尔顿酒店标准改造建设，</w:t>
      </w:r>
      <w:r>
        <w:rPr>
          <w:rFonts w:hint="eastAsia" w:ascii="宋体" w:hAnsi="宋体"/>
          <w:color w:val="FF0000"/>
          <w:sz w:val="21"/>
          <w:szCs w:val="21"/>
          <w:highlight w:val="none"/>
          <w:u w:val="single"/>
        </w:rPr>
        <w:t>总建筑面积为 72699.85 ㎡，其中地上建筑面积 58867.0800 ㎡，建筑地下面积 13832.7700 ㎡，地上 14 层，地下 1 层，</w:t>
      </w:r>
      <w:r>
        <w:rPr>
          <w:rFonts w:hint="eastAsia" w:ascii="宋体" w:hAnsi="宋体"/>
          <w:sz w:val="21"/>
          <w:szCs w:val="21"/>
          <w:highlight w:val="none"/>
          <w:u w:val="single"/>
        </w:rPr>
        <w:t>该泳池工程位于本项目</w:t>
      </w:r>
      <w:r>
        <w:rPr>
          <w:rFonts w:hint="eastAsia" w:ascii="宋体" w:hAnsi="宋体"/>
          <w:sz w:val="21"/>
          <w:szCs w:val="21"/>
          <w:highlight w:val="none"/>
          <w:u w:val="single"/>
          <w:lang w:val="en-US" w:eastAsia="zh-CN"/>
        </w:rPr>
        <w:t>会所地</w:t>
      </w:r>
      <w:r>
        <w:rPr>
          <w:rFonts w:hint="eastAsia" w:ascii="宋体" w:hAnsi="宋体"/>
          <w:color w:val="FF0000"/>
          <w:sz w:val="21"/>
          <w:szCs w:val="21"/>
          <w:highlight w:val="none"/>
          <w:u w:val="single"/>
          <w:lang w:val="en-US" w:eastAsia="zh-CN"/>
        </w:rPr>
        <w:t>上二</w:t>
      </w:r>
      <w:r>
        <w:rPr>
          <w:rFonts w:hint="eastAsia" w:ascii="宋体" w:hAnsi="宋体"/>
          <w:sz w:val="21"/>
          <w:szCs w:val="21"/>
          <w:highlight w:val="none"/>
          <w:u w:val="single"/>
          <w:lang w:val="en-US" w:eastAsia="zh-CN"/>
        </w:rPr>
        <w:t>层</w:t>
      </w:r>
      <w:r>
        <w:rPr>
          <w:rFonts w:hint="eastAsia" w:ascii="宋体" w:hAnsi="宋体"/>
          <w:sz w:val="21"/>
          <w:szCs w:val="21"/>
          <w:highlight w:val="none"/>
          <w:u w:val="single"/>
        </w:rPr>
        <w:t>，要求室内泳池需有恒温恒湿功能，冬季水水温设定为2</w:t>
      </w:r>
      <w:r>
        <w:rPr>
          <w:rFonts w:hint="eastAsia" w:ascii="宋体" w:hAnsi="宋体"/>
          <w:sz w:val="21"/>
          <w:szCs w:val="21"/>
          <w:highlight w:val="none"/>
          <w:u w:val="single"/>
          <w:lang w:val="en-US" w:eastAsia="zh-CN"/>
        </w:rPr>
        <w:t>8</w:t>
      </w:r>
      <w:r>
        <w:rPr>
          <w:rFonts w:hint="eastAsia" w:ascii="宋体" w:hAnsi="宋体"/>
          <w:sz w:val="21"/>
          <w:szCs w:val="21"/>
          <w:highlight w:val="none"/>
          <w:u w:val="single"/>
        </w:rPr>
        <w:t>度，相对湿度60%，空调温度2</w:t>
      </w:r>
      <w:r>
        <w:rPr>
          <w:rFonts w:hint="eastAsia" w:ascii="宋体" w:hAnsi="宋体"/>
          <w:sz w:val="21"/>
          <w:szCs w:val="21"/>
          <w:highlight w:val="none"/>
          <w:u w:val="single"/>
          <w:lang w:val="en-US" w:eastAsia="zh-CN"/>
        </w:rPr>
        <w:t>9</w:t>
      </w:r>
      <w:r>
        <w:rPr>
          <w:rFonts w:hint="eastAsia" w:ascii="宋体" w:hAnsi="宋体"/>
          <w:sz w:val="21"/>
          <w:szCs w:val="21"/>
          <w:highlight w:val="none"/>
          <w:u w:val="single"/>
        </w:rPr>
        <w:t>度</w:t>
      </w:r>
      <w:r>
        <w:rPr>
          <w:rFonts w:hint="eastAsia" w:ascii="宋体" w:hAnsi="宋体"/>
          <w:sz w:val="21"/>
          <w:szCs w:val="21"/>
          <w:highlight w:val="none"/>
          <w:u w:val="single"/>
          <w:lang w:eastAsia="zh-CN"/>
        </w:rPr>
        <w:t>，</w:t>
      </w:r>
      <w:r>
        <w:rPr>
          <w:rFonts w:hint="eastAsia" w:ascii="宋体" w:hAnsi="宋体"/>
          <w:sz w:val="21"/>
          <w:szCs w:val="21"/>
          <w:highlight w:val="none"/>
          <w:u w:val="single"/>
        </w:rPr>
        <w:t>泳池水处理需符合当地卫生标准，并采用</w:t>
      </w:r>
      <w:r>
        <w:rPr>
          <w:rFonts w:hint="eastAsia" w:ascii="宋体" w:hAnsi="宋体"/>
          <w:sz w:val="21"/>
          <w:szCs w:val="21"/>
          <w:highlight w:val="none"/>
          <w:u w:val="single"/>
          <w:lang w:val="en-US" w:eastAsia="zh-CN"/>
        </w:rPr>
        <w:t>滤芯过滤器过滤、水质监控器在线进行</w:t>
      </w:r>
      <w:r>
        <w:rPr>
          <w:rFonts w:hint="eastAsia" w:ascii="宋体" w:hAnsi="宋体"/>
          <w:color w:val="FF0000"/>
          <w:sz w:val="21"/>
          <w:szCs w:val="21"/>
          <w:highlight w:val="none"/>
          <w:u w:val="single"/>
          <w:lang w:val="en-US" w:eastAsia="zh-CN"/>
        </w:rPr>
        <w:t>实</w:t>
      </w:r>
      <w:r>
        <w:rPr>
          <w:rFonts w:hint="eastAsia" w:ascii="宋体" w:hAnsi="宋体"/>
          <w:sz w:val="21"/>
          <w:szCs w:val="21"/>
          <w:highlight w:val="none"/>
          <w:u w:val="single"/>
          <w:lang w:val="en-US" w:eastAsia="zh-CN"/>
        </w:rPr>
        <w:t>时水质检测，次氯酸钠在线自动添加，羟基自由基在线消毒</w:t>
      </w:r>
      <w:r>
        <w:rPr>
          <w:rFonts w:hint="eastAsia" w:ascii="宋体" w:hAnsi="宋体"/>
          <w:sz w:val="21"/>
          <w:szCs w:val="21"/>
          <w:highlight w:val="none"/>
          <w:u w:val="single"/>
        </w:rPr>
        <w:t>；采用三集一体机对泳池水温</w:t>
      </w:r>
      <w:r>
        <w:rPr>
          <w:rFonts w:hint="eastAsia" w:ascii="宋体" w:hAnsi="宋体"/>
          <w:sz w:val="21"/>
          <w:szCs w:val="21"/>
          <w:highlight w:val="none"/>
          <w:u w:val="single"/>
          <w:lang w:val="en-US" w:eastAsia="zh-CN"/>
        </w:rPr>
        <w:t>热回收</w:t>
      </w:r>
      <w:r>
        <w:rPr>
          <w:rFonts w:hint="eastAsia" w:ascii="宋体" w:hAnsi="宋体"/>
          <w:sz w:val="21"/>
          <w:szCs w:val="21"/>
          <w:highlight w:val="none"/>
          <w:u w:val="single"/>
        </w:rPr>
        <w:t>、空调进行控制调节；具体内容</w:t>
      </w:r>
      <w:r>
        <w:rPr>
          <w:rFonts w:hint="eastAsia" w:ascii="宋体" w:hAnsi="宋体"/>
          <w:bCs/>
          <w:sz w:val="21"/>
          <w:szCs w:val="21"/>
          <w:highlight w:val="none"/>
          <w:u w:val="single"/>
        </w:rPr>
        <w:t>详见施工图</w:t>
      </w:r>
      <w:r>
        <w:rPr>
          <w:rFonts w:hint="eastAsia" w:ascii="宋体" w:hAnsi="宋体"/>
          <w:sz w:val="21"/>
          <w:szCs w:val="21"/>
          <w:highlight w:val="none"/>
          <w:u w:val="single"/>
        </w:rPr>
        <w:t>。</w:t>
      </w:r>
    </w:p>
    <w:p w14:paraId="204BAD3F">
      <w:pPr>
        <w:spacing w:line="360" w:lineRule="auto"/>
        <w:rPr>
          <w:rFonts w:hint="eastAsia" w:ascii="宋体" w:hAnsi="宋体" w:eastAsiaTheme="minorEastAsia"/>
          <w:sz w:val="21"/>
          <w:szCs w:val="21"/>
          <w:highlight w:val="none"/>
          <w:lang w:val="en-US" w:eastAsia="zh-CN"/>
        </w:rPr>
      </w:pPr>
      <w:r>
        <w:rPr>
          <w:rFonts w:hint="eastAsia" w:ascii="宋体" w:hAnsi="宋体"/>
          <w:sz w:val="21"/>
          <w:szCs w:val="21"/>
          <w:highlight w:val="none"/>
        </w:rPr>
        <w:t>泳池设备参数技术需求表</w:t>
      </w:r>
      <w:r>
        <w:rPr>
          <w:rFonts w:hint="eastAsia" w:ascii="宋体" w:hAnsi="宋体"/>
          <w:sz w:val="21"/>
          <w:szCs w:val="21"/>
          <w:highlight w:val="none"/>
          <w:lang w:val="en-US" w:eastAsia="zh-CN"/>
        </w:rPr>
        <w:t>:</w:t>
      </w:r>
    </w:p>
    <w:tbl>
      <w:tblPr>
        <w:tblStyle w:val="15"/>
        <w:tblW w:w="5000" w:type="pct"/>
        <w:tblInd w:w="0" w:type="dxa"/>
        <w:tblLayout w:type="fixed"/>
        <w:tblCellMar>
          <w:top w:w="0" w:type="dxa"/>
          <w:left w:w="0" w:type="dxa"/>
          <w:bottom w:w="0" w:type="dxa"/>
          <w:right w:w="0" w:type="dxa"/>
        </w:tblCellMar>
      </w:tblPr>
      <w:tblGrid>
        <w:gridCol w:w="783"/>
        <w:gridCol w:w="697"/>
        <w:gridCol w:w="510"/>
        <w:gridCol w:w="499"/>
        <w:gridCol w:w="1051"/>
        <w:gridCol w:w="770"/>
        <w:gridCol w:w="821"/>
        <w:gridCol w:w="844"/>
        <w:gridCol w:w="749"/>
        <w:gridCol w:w="617"/>
        <w:gridCol w:w="683"/>
        <w:gridCol w:w="552"/>
        <w:gridCol w:w="531"/>
        <w:gridCol w:w="561"/>
      </w:tblGrid>
      <w:tr w14:paraId="1C21FACB">
        <w:tblPrEx>
          <w:tblCellMar>
            <w:top w:w="0" w:type="dxa"/>
            <w:left w:w="0" w:type="dxa"/>
            <w:bottom w:w="0" w:type="dxa"/>
            <w:right w:w="0" w:type="dxa"/>
          </w:tblCellMar>
        </w:tblPrEx>
        <w:trPr>
          <w:trHeight w:val="23" w:hRule="atLeast"/>
        </w:trPr>
        <w:tc>
          <w:tcPr>
            <w:tcW w:w="783"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B0DEFD">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设计参数</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水池名称</w:t>
            </w:r>
          </w:p>
        </w:tc>
        <w:tc>
          <w:tcPr>
            <w:tcW w:w="69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E422BF">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水池面积</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m</w:t>
            </w:r>
            <w:r>
              <w:rPr>
                <w:rFonts w:hint="eastAsia" w:ascii="阿里巴巴普惠体" w:hAnsi="阿里巴巴普惠体" w:eastAsia="阿里巴巴普惠体" w:cs="阿里巴巴普惠体"/>
                <w:color w:val="000000"/>
                <w:kern w:val="0"/>
                <w:sz w:val="21"/>
                <w:szCs w:val="21"/>
                <w:highlight w:val="none"/>
                <w:lang w:bidi="ar"/>
              </w:rPr>
              <w:t>²</w:t>
            </w:r>
          </w:p>
        </w:tc>
        <w:tc>
          <w:tcPr>
            <w:tcW w:w="51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129AAA">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平均水深</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m</w:t>
            </w:r>
          </w:p>
        </w:tc>
        <w:tc>
          <w:tcPr>
            <w:tcW w:w="49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54B2B4">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容积</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m</w:t>
            </w:r>
            <w:r>
              <w:rPr>
                <w:rFonts w:hint="eastAsia" w:ascii="宋体" w:hAnsi="宋体" w:eastAsia="宋体" w:cs="宋体"/>
                <w:color w:val="000000"/>
                <w:kern w:val="0"/>
                <w:sz w:val="21"/>
                <w:szCs w:val="21"/>
                <w:highlight w:val="none"/>
                <w:lang w:bidi="ar"/>
              </w:rPr>
              <w:t>³</w:t>
            </w:r>
          </w:p>
        </w:tc>
        <w:tc>
          <w:tcPr>
            <w:tcW w:w="105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3E0A98">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循环周期</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hr</w:t>
            </w:r>
          </w:p>
        </w:tc>
        <w:tc>
          <w:tcPr>
            <w:tcW w:w="77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F2CC09">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循环水量</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m</w:t>
            </w:r>
            <w:r>
              <w:rPr>
                <w:rFonts w:hint="eastAsia" w:ascii="宋体" w:hAnsi="宋体" w:eastAsia="宋体" w:cs="宋体"/>
                <w:color w:val="000000"/>
                <w:kern w:val="0"/>
                <w:sz w:val="21"/>
                <w:szCs w:val="21"/>
                <w:highlight w:val="none"/>
                <w:lang w:bidi="ar"/>
              </w:rPr>
              <w:t>³</w:t>
            </w:r>
            <w:r>
              <w:rPr>
                <w:rFonts w:hint="eastAsia" w:ascii="宋体" w:hAnsi="宋体" w:cs="宋体"/>
                <w:color w:val="000000"/>
                <w:kern w:val="0"/>
                <w:sz w:val="21"/>
                <w:szCs w:val="21"/>
                <w:highlight w:val="none"/>
                <w:lang w:bidi="ar"/>
              </w:rPr>
              <w:t>/hr</w:t>
            </w:r>
          </w:p>
        </w:tc>
        <w:tc>
          <w:tcPr>
            <w:tcW w:w="82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DB18C2">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初次充水时间</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hr</w:t>
            </w:r>
          </w:p>
        </w:tc>
        <w:tc>
          <w:tcPr>
            <w:tcW w:w="84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7B5340">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初次充水水量</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m</w:t>
            </w:r>
            <w:r>
              <w:rPr>
                <w:rFonts w:hint="eastAsia" w:ascii="宋体" w:hAnsi="宋体" w:eastAsia="宋体" w:cs="宋体"/>
                <w:color w:val="000000"/>
                <w:kern w:val="0"/>
                <w:sz w:val="21"/>
                <w:szCs w:val="21"/>
                <w:highlight w:val="none"/>
                <w:lang w:bidi="ar"/>
              </w:rPr>
              <w:t>³</w:t>
            </w:r>
            <w:r>
              <w:rPr>
                <w:rFonts w:hint="eastAsia" w:ascii="宋体" w:hAnsi="宋体" w:cs="宋体"/>
                <w:color w:val="000000"/>
                <w:kern w:val="0"/>
                <w:sz w:val="21"/>
                <w:szCs w:val="21"/>
                <w:highlight w:val="none"/>
                <w:lang w:bidi="ar"/>
              </w:rPr>
              <w:t>/hr</w:t>
            </w:r>
          </w:p>
        </w:tc>
        <w:tc>
          <w:tcPr>
            <w:tcW w:w="74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B2E162">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水温</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w:t>
            </w:r>
          </w:p>
        </w:tc>
        <w:tc>
          <w:tcPr>
            <w:tcW w:w="2383"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04FB91">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运行方式</w:t>
            </w:r>
          </w:p>
        </w:tc>
        <w:tc>
          <w:tcPr>
            <w:tcW w:w="56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C0C7F1">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放空时间</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hr</w:t>
            </w:r>
          </w:p>
        </w:tc>
      </w:tr>
      <w:tr w14:paraId="00EDE415">
        <w:tblPrEx>
          <w:tblCellMar>
            <w:top w:w="0" w:type="dxa"/>
            <w:left w:w="0" w:type="dxa"/>
            <w:bottom w:w="0" w:type="dxa"/>
            <w:right w:w="0" w:type="dxa"/>
          </w:tblCellMar>
        </w:tblPrEx>
        <w:trPr>
          <w:trHeight w:val="23" w:hRule="atLeast"/>
        </w:trPr>
        <w:tc>
          <w:tcPr>
            <w:tcW w:w="78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4A02FE">
            <w:pPr>
              <w:jc w:val="center"/>
              <w:rPr>
                <w:rFonts w:hint="eastAsia" w:ascii="宋体" w:hAnsi="宋体" w:cs="宋体"/>
                <w:color w:val="000000"/>
                <w:sz w:val="21"/>
                <w:szCs w:val="21"/>
                <w:highlight w:val="none"/>
              </w:rPr>
            </w:pPr>
          </w:p>
        </w:tc>
        <w:tc>
          <w:tcPr>
            <w:tcW w:w="69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C7F809">
            <w:pPr>
              <w:jc w:val="center"/>
              <w:rPr>
                <w:rFonts w:hint="eastAsia" w:ascii="宋体" w:hAnsi="宋体" w:cs="宋体"/>
                <w:color w:val="000000"/>
                <w:sz w:val="21"/>
                <w:szCs w:val="21"/>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D30979">
            <w:pPr>
              <w:jc w:val="center"/>
              <w:rPr>
                <w:rFonts w:hint="eastAsia" w:ascii="宋体" w:hAnsi="宋体" w:cs="宋体"/>
                <w:color w:val="000000"/>
                <w:sz w:val="21"/>
                <w:szCs w:val="21"/>
                <w:highlight w:val="none"/>
              </w:rPr>
            </w:pPr>
          </w:p>
        </w:tc>
        <w:tc>
          <w:tcPr>
            <w:tcW w:w="49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46341F">
            <w:pPr>
              <w:jc w:val="center"/>
              <w:rPr>
                <w:rFonts w:hint="eastAsia" w:ascii="宋体" w:hAnsi="宋体" w:cs="宋体"/>
                <w:color w:val="000000"/>
                <w:sz w:val="21"/>
                <w:szCs w:val="21"/>
                <w:highlight w:val="none"/>
              </w:rPr>
            </w:pPr>
          </w:p>
        </w:tc>
        <w:tc>
          <w:tcPr>
            <w:tcW w:w="105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7C32C1">
            <w:pPr>
              <w:jc w:val="center"/>
              <w:rPr>
                <w:rFonts w:hint="eastAsia" w:ascii="宋体" w:hAnsi="宋体" w:cs="宋体"/>
                <w:color w:val="000000"/>
                <w:sz w:val="21"/>
                <w:szCs w:val="21"/>
                <w:highlight w:val="none"/>
              </w:rPr>
            </w:pPr>
          </w:p>
        </w:tc>
        <w:tc>
          <w:tcPr>
            <w:tcW w:w="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FA5FDE">
            <w:pPr>
              <w:jc w:val="center"/>
              <w:rPr>
                <w:rFonts w:hint="eastAsia" w:ascii="宋体" w:hAnsi="宋体" w:cs="宋体"/>
                <w:color w:val="000000"/>
                <w:sz w:val="21"/>
                <w:szCs w:val="21"/>
                <w:highlight w:val="none"/>
              </w:rPr>
            </w:pPr>
          </w:p>
        </w:tc>
        <w:tc>
          <w:tcPr>
            <w:tcW w:w="82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9C0D40">
            <w:pPr>
              <w:jc w:val="center"/>
              <w:rPr>
                <w:rFonts w:hint="eastAsia" w:ascii="宋体" w:hAnsi="宋体" w:cs="宋体"/>
                <w:color w:val="000000"/>
                <w:sz w:val="21"/>
                <w:szCs w:val="21"/>
                <w:highlight w:val="none"/>
              </w:rPr>
            </w:pPr>
          </w:p>
        </w:tc>
        <w:tc>
          <w:tcPr>
            <w:tcW w:w="84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7B1A9F">
            <w:pPr>
              <w:jc w:val="center"/>
              <w:rPr>
                <w:rFonts w:hint="eastAsia" w:ascii="宋体" w:hAnsi="宋体" w:cs="宋体"/>
                <w:color w:val="000000"/>
                <w:sz w:val="21"/>
                <w:szCs w:val="21"/>
                <w:highlight w:val="none"/>
              </w:rPr>
            </w:pPr>
          </w:p>
        </w:tc>
        <w:tc>
          <w:tcPr>
            <w:tcW w:w="74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E01CBD">
            <w:pPr>
              <w:jc w:val="center"/>
              <w:rPr>
                <w:rFonts w:hint="eastAsia" w:ascii="宋体" w:hAnsi="宋体" w:cs="宋体"/>
                <w:color w:val="000000"/>
                <w:sz w:val="21"/>
                <w:szCs w:val="21"/>
                <w:highlight w:val="none"/>
              </w:rPr>
            </w:pPr>
          </w:p>
        </w:tc>
        <w:tc>
          <w:tcPr>
            <w:tcW w:w="6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E8C3E1">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补水</w:t>
            </w:r>
          </w:p>
        </w:tc>
        <w:tc>
          <w:tcPr>
            <w:tcW w:w="6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F32E43">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放空</w:t>
            </w:r>
          </w:p>
        </w:tc>
        <w:tc>
          <w:tcPr>
            <w:tcW w:w="55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07A4EE">
            <w:pPr>
              <w:widowControl/>
              <w:jc w:val="center"/>
              <w:textAlignment w:val="center"/>
              <w:rPr>
                <w:rFonts w:hint="default"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排料</w:t>
            </w:r>
          </w:p>
        </w:tc>
        <w:tc>
          <w:tcPr>
            <w:tcW w:w="5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56D876">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投药泵</w:t>
            </w:r>
          </w:p>
        </w:tc>
        <w:tc>
          <w:tcPr>
            <w:tcW w:w="5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7AC971">
            <w:pPr>
              <w:jc w:val="center"/>
              <w:rPr>
                <w:rFonts w:hint="eastAsia" w:ascii="宋体" w:hAnsi="宋体" w:cs="宋体"/>
                <w:color w:val="000000"/>
                <w:sz w:val="21"/>
                <w:szCs w:val="21"/>
                <w:highlight w:val="none"/>
              </w:rPr>
            </w:pPr>
          </w:p>
        </w:tc>
      </w:tr>
      <w:tr w14:paraId="08379874">
        <w:tblPrEx>
          <w:tblCellMar>
            <w:top w:w="0" w:type="dxa"/>
            <w:left w:w="0" w:type="dxa"/>
            <w:bottom w:w="0" w:type="dxa"/>
            <w:right w:w="0" w:type="dxa"/>
          </w:tblCellMar>
        </w:tblPrEx>
        <w:trPr>
          <w:trHeight w:val="312" w:hRule="atLeast"/>
        </w:trPr>
        <w:tc>
          <w:tcPr>
            <w:tcW w:w="783"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BE3466">
            <w:pPr>
              <w:widowControl/>
              <w:jc w:val="center"/>
              <w:textAlignment w:val="center"/>
              <w:rPr>
                <w:rFonts w:hint="eastAsia" w:ascii="宋体" w:hAnsi="宋体" w:cs="宋体" w:eastAsiaTheme="minorEastAsia"/>
                <w:color w:val="000000"/>
                <w:sz w:val="21"/>
                <w:szCs w:val="21"/>
                <w:highlight w:val="none"/>
                <w:lang w:eastAsia="zh-CN"/>
              </w:rPr>
            </w:pPr>
            <w:r>
              <w:rPr>
                <w:rFonts w:hint="eastAsia" w:ascii="宋体" w:hAnsi="宋体" w:cs="宋体"/>
                <w:color w:val="000000"/>
                <w:kern w:val="0"/>
                <w:sz w:val="21"/>
                <w:szCs w:val="21"/>
                <w:highlight w:val="none"/>
                <w:lang w:val="en-US" w:eastAsia="zh-CN" w:bidi="ar"/>
              </w:rPr>
              <w:t>泳池</w:t>
            </w:r>
          </w:p>
        </w:tc>
        <w:tc>
          <w:tcPr>
            <w:tcW w:w="69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F3DB31">
            <w:pPr>
              <w:widowControl/>
              <w:jc w:val="center"/>
              <w:textAlignment w:val="center"/>
              <w:rPr>
                <w:rFonts w:hint="default"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200</w:t>
            </w:r>
          </w:p>
        </w:tc>
        <w:tc>
          <w:tcPr>
            <w:tcW w:w="51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13BAE1">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1.</w:t>
            </w:r>
            <w:r>
              <w:rPr>
                <w:rFonts w:hint="eastAsia" w:ascii="宋体" w:hAnsi="宋体" w:cs="宋体"/>
                <w:color w:val="000000"/>
                <w:kern w:val="0"/>
                <w:sz w:val="21"/>
                <w:szCs w:val="21"/>
                <w:highlight w:val="none"/>
                <w:lang w:val="en-US" w:eastAsia="zh-CN" w:bidi="ar"/>
              </w:rPr>
              <w:t>3</w:t>
            </w:r>
          </w:p>
        </w:tc>
        <w:tc>
          <w:tcPr>
            <w:tcW w:w="49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09E401">
            <w:pPr>
              <w:widowControl/>
              <w:jc w:val="center"/>
              <w:textAlignment w:val="center"/>
              <w:rPr>
                <w:rFonts w:hint="default"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260</w:t>
            </w:r>
          </w:p>
        </w:tc>
        <w:tc>
          <w:tcPr>
            <w:tcW w:w="105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F990F3">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4</w:t>
            </w:r>
          </w:p>
        </w:tc>
        <w:tc>
          <w:tcPr>
            <w:tcW w:w="77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499E00">
            <w:pPr>
              <w:widowControl/>
              <w:jc w:val="center"/>
              <w:textAlignment w:val="center"/>
              <w:rPr>
                <w:rFonts w:hint="default"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65</w:t>
            </w:r>
          </w:p>
        </w:tc>
        <w:tc>
          <w:tcPr>
            <w:tcW w:w="82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91D8C1">
            <w:pPr>
              <w:widowControl/>
              <w:jc w:val="center"/>
              <w:textAlignment w:val="center"/>
              <w:rPr>
                <w:rFonts w:hint="default"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24</w:t>
            </w:r>
          </w:p>
        </w:tc>
        <w:tc>
          <w:tcPr>
            <w:tcW w:w="84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3BAEC2">
            <w:pPr>
              <w:widowControl/>
              <w:jc w:val="center"/>
              <w:textAlignment w:val="center"/>
              <w:rPr>
                <w:rFonts w:hint="default"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11</w:t>
            </w:r>
          </w:p>
        </w:tc>
        <w:tc>
          <w:tcPr>
            <w:tcW w:w="74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BDEA1F">
            <w:pPr>
              <w:widowControl/>
              <w:jc w:val="center"/>
              <w:textAlignment w:val="center"/>
              <w:rPr>
                <w:rFonts w:hint="default"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28</w:t>
            </w:r>
          </w:p>
        </w:tc>
        <w:tc>
          <w:tcPr>
            <w:tcW w:w="61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F29CBC">
            <w:pPr>
              <w:widowControl/>
              <w:jc w:val="center"/>
              <w:textAlignment w:val="center"/>
              <w:rPr>
                <w:rFonts w:hint="default"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手动</w:t>
            </w:r>
          </w:p>
        </w:tc>
        <w:tc>
          <w:tcPr>
            <w:tcW w:w="683"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80526B">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手动</w:t>
            </w:r>
          </w:p>
        </w:tc>
        <w:tc>
          <w:tcPr>
            <w:tcW w:w="552"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654362">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手动</w:t>
            </w:r>
          </w:p>
        </w:tc>
        <w:tc>
          <w:tcPr>
            <w:tcW w:w="53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C7AE94">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自动</w:t>
            </w:r>
          </w:p>
        </w:tc>
        <w:tc>
          <w:tcPr>
            <w:tcW w:w="56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5A5B79">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6</w:t>
            </w:r>
          </w:p>
        </w:tc>
      </w:tr>
      <w:tr w14:paraId="6CB0A179">
        <w:tblPrEx>
          <w:tblCellMar>
            <w:top w:w="0" w:type="dxa"/>
            <w:left w:w="0" w:type="dxa"/>
            <w:bottom w:w="0" w:type="dxa"/>
            <w:right w:w="0" w:type="dxa"/>
          </w:tblCellMar>
        </w:tblPrEx>
        <w:trPr>
          <w:trHeight w:val="312" w:hRule="atLeast"/>
        </w:trPr>
        <w:tc>
          <w:tcPr>
            <w:tcW w:w="78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B9FFFC">
            <w:pPr>
              <w:jc w:val="center"/>
              <w:rPr>
                <w:rFonts w:hint="eastAsia" w:ascii="宋体" w:hAnsi="宋体" w:cs="宋体"/>
                <w:color w:val="000000"/>
                <w:sz w:val="21"/>
                <w:szCs w:val="21"/>
                <w:highlight w:val="none"/>
              </w:rPr>
            </w:pPr>
          </w:p>
        </w:tc>
        <w:tc>
          <w:tcPr>
            <w:tcW w:w="69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69CF17">
            <w:pPr>
              <w:jc w:val="center"/>
              <w:rPr>
                <w:rFonts w:hint="eastAsia" w:ascii="宋体" w:hAnsi="宋体" w:cs="宋体"/>
                <w:color w:val="000000"/>
                <w:sz w:val="21"/>
                <w:szCs w:val="21"/>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AC1DCA">
            <w:pPr>
              <w:jc w:val="center"/>
              <w:rPr>
                <w:rFonts w:hint="eastAsia" w:ascii="宋体" w:hAnsi="宋体" w:cs="宋体"/>
                <w:color w:val="000000"/>
                <w:sz w:val="21"/>
                <w:szCs w:val="21"/>
                <w:highlight w:val="none"/>
              </w:rPr>
            </w:pPr>
          </w:p>
        </w:tc>
        <w:tc>
          <w:tcPr>
            <w:tcW w:w="49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8ACF55">
            <w:pPr>
              <w:jc w:val="center"/>
              <w:rPr>
                <w:rFonts w:hint="eastAsia" w:ascii="宋体" w:hAnsi="宋体" w:cs="宋体"/>
                <w:color w:val="000000"/>
                <w:sz w:val="21"/>
                <w:szCs w:val="21"/>
                <w:highlight w:val="none"/>
              </w:rPr>
            </w:pPr>
          </w:p>
        </w:tc>
        <w:tc>
          <w:tcPr>
            <w:tcW w:w="105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CF2E74">
            <w:pPr>
              <w:jc w:val="center"/>
              <w:rPr>
                <w:rFonts w:hint="eastAsia" w:ascii="宋体" w:hAnsi="宋体" w:cs="宋体"/>
                <w:color w:val="000000"/>
                <w:sz w:val="21"/>
                <w:szCs w:val="21"/>
                <w:highlight w:val="none"/>
              </w:rPr>
            </w:pPr>
          </w:p>
        </w:tc>
        <w:tc>
          <w:tcPr>
            <w:tcW w:w="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474FD1">
            <w:pPr>
              <w:jc w:val="center"/>
              <w:rPr>
                <w:rFonts w:hint="eastAsia" w:ascii="宋体" w:hAnsi="宋体" w:cs="宋体"/>
                <w:color w:val="000000"/>
                <w:sz w:val="21"/>
                <w:szCs w:val="21"/>
                <w:highlight w:val="none"/>
              </w:rPr>
            </w:pPr>
          </w:p>
        </w:tc>
        <w:tc>
          <w:tcPr>
            <w:tcW w:w="82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F82C9B">
            <w:pPr>
              <w:jc w:val="center"/>
              <w:rPr>
                <w:rFonts w:hint="eastAsia" w:ascii="宋体" w:hAnsi="宋体" w:cs="宋体"/>
                <w:color w:val="000000"/>
                <w:sz w:val="21"/>
                <w:szCs w:val="21"/>
                <w:highlight w:val="none"/>
              </w:rPr>
            </w:pPr>
          </w:p>
        </w:tc>
        <w:tc>
          <w:tcPr>
            <w:tcW w:w="84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22AECD">
            <w:pPr>
              <w:jc w:val="center"/>
              <w:rPr>
                <w:rFonts w:hint="eastAsia" w:ascii="宋体" w:hAnsi="宋体" w:cs="宋体"/>
                <w:color w:val="000000"/>
                <w:sz w:val="21"/>
                <w:szCs w:val="21"/>
                <w:highlight w:val="none"/>
              </w:rPr>
            </w:pPr>
          </w:p>
        </w:tc>
        <w:tc>
          <w:tcPr>
            <w:tcW w:w="74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C8A434">
            <w:pPr>
              <w:jc w:val="center"/>
              <w:rPr>
                <w:rFonts w:hint="eastAsia" w:ascii="宋体" w:hAnsi="宋体" w:cs="宋体"/>
                <w:color w:val="000000"/>
                <w:sz w:val="21"/>
                <w:szCs w:val="21"/>
                <w:highlight w:val="none"/>
              </w:rPr>
            </w:pPr>
          </w:p>
        </w:tc>
        <w:tc>
          <w:tcPr>
            <w:tcW w:w="61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698345">
            <w:pPr>
              <w:jc w:val="center"/>
              <w:rPr>
                <w:rFonts w:hint="eastAsia" w:ascii="宋体" w:hAnsi="宋体" w:cs="宋体"/>
                <w:color w:val="000000"/>
                <w:sz w:val="21"/>
                <w:szCs w:val="21"/>
                <w:highlight w:val="none"/>
              </w:rPr>
            </w:pPr>
          </w:p>
        </w:tc>
        <w:tc>
          <w:tcPr>
            <w:tcW w:w="68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8E2590">
            <w:pPr>
              <w:jc w:val="center"/>
              <w:rPr>
                <w:rFonts w:hint="eastAsia" w:ascii="宋体" w:hAnsi="宋体" w:cs="宋体"/>
                <w:color w:val="000000"/>
                <w:sz w:val="21"/>
                <w:szCs w:val="21"/>
                <w:highlight w:val="none"/>
              </w:rPr>
            </w:pPr>
          </w:p>
        </w:tc>
        <w:tc>
          <w:tcPr>
            <w:tcW w:w="55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0F8D34">
            <w:pPr>
              <w:jc w:val="center"/>
              <w:rPr>
                <w:rFonts w:hint="eastAsia" w:ascii="宋体" w:hAnsi="宋体" w:cs="宋体"/>
                <w:color w:val="000000"/>
                <w:sz w:val="21"/>
                <w:szCs w:val="21"/>
                <w:highlight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BF68F1">
            <w:pPr>
              <w:jc w:val="center"/>
              <w:rPr>
                <w:rFonts w:hint="eastAsia" w:ascii="宋体" w:hAnsi="宋体" w:cs="宋体"/>
                <w:color w:val="000000"/>
                <w:sz w:val="21"/>
                <w:szCs w:val="21"/>
                <w:highlight w:val="none"/>
              </w:rPr>
            </w:pPr>
          </w:p>
        </w:tc>
        <w:tc>
          <w:tcPr>
            <w:tcW w:w="5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1BEB2B">
            <w:pPr>
              <w:jc w:val="center"/>
              <w:rPr>
                <w:rFonts w:hint="eastAsia" w:ascii="宋体" w:hAnsi="宋体" w:cs="宋体"/>
                <w:color w:val="000000"/>
                <w:sz w:val="21"/>
                <w:szCs w:val="21"/>
                <w:highlight w:val="none"/>
              </w:rPr>
            </w:pPr>
          </w:p>
        </w:tc>
      </w:tr>
      <w:tr w14:paraId="2A12F271">
        <w:tblPrEx>
          <w:tblCellMar>
            <w:top w:w="0" w:type="dxa"/>
            <w:left w:w="0" w:type="dxa"/>
            <w:bottom w:w="0" w:type="dxa"/>
            <w:right w:w="0" w:type="dxa"/>
          </w:tblCellMar>
        </w:tblPrEx>
        <w:trPr>
          <w:trHeight w:val="23" w:hRule="atLeast"/>
        </w:trPr>
        <w:tc>
          <w:tcPr>
            <w:tcW w:w="7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72AEB4A">
            <w:pPr>
              <w:jc w:val="center"/>
              <w:rPr>
                <w:rFonts w:hint="eastAsia"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按摩</w:t>
            </w:r>
          </w:p>
        </w:tc>
        <w:tc>
          <w:tcPr>
            <w:tcW w:w="69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057CE8">
            <w:pPr>
              <w:jc w:val="center"/>
              <w:rPr>
                <w:rFonts w:hint="default"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35</w:t>
            </w:r>
          </w:p>
        </w:tc>
        <w:tc>
          <w:tcPr>
            <w:tcW w:w="5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657DDA">
            <w:pPr>
              <w:jc w:val="center"/>
              <w:rPr>
                <w:rFonts w:hint="default"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0.8</w:t>
            </w:r>
          </w:p>
        </w:tc>
        <w:tc>
          <w:tcPr>
            <w:tcW w:w="4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F085070">
            <w:pPr>
              <w:jc w:val="center"/>
              <w:rPr>
                <w:rFonts w:hint="default"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28</w:t>
            </w:r>
          </w:p>
        </w:tc>
        <w:tc>
          <w:tcPr>
            <w:tcW w:w="10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383E5C">
            <w:pPr>
              <w:jc w:val="center"/>
              <w:rPr>
                <w:rFonts w:hint="default"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0.5</w:t>
            </w:r>
          </w:p>
        </w:tc>
        <w:tc>
          <w:tcPr>
            <w:tcW w:w="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D35F60">
            <w:pPr>
              <w:jc w:val="center"/>
              <w:rPr>
                <w:rFonts w:hint="default"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60</w:t>
            </w:r>
          </w:p>
        </w:tc>
        <w:tc>
          <w:tcPr>
            <w:tcW w:w="8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DA65DE">
            <w:pPr>
              <w:jc w:val="center"/>
              <w:rPr>
                <w:rFonts w:hint="default"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4</w:t>
            </w:r>
          </w:p>
        </w:tc>
        <w:tc>
          <w:tcPr>
            <w:tcW w:w="8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F46B6B">
            <w:pPr>
              <w:jc w:val="center"/>
              <w:rPr>
                <w:rFonts w:hint="default"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7</w:t>
            </w:r>
          </w:p>
        </w:tc>
        <w:tc>
          <w:tcPr>
            <w:tcW w:w="7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E2AC5B">
            <w:pPr>
              <w:jc w:val="center"/>
              <w:rPr>
                <w:rFonts w:hint="default" w:ascii="宋体" w:hAnsi="宋体" w:cs="宋体" w:eastAsiaTheme="minorEastAsia"/>
                <w:color w:val="000000"/>
                <w:sz w:val="21"/>
                <w:szCs w:val="21"/>
                <w:highlight w:val="none"/>
                <w:lang w:val="en-US" w:eastAsia="zh-CN"/>
              </w:rPr>
            </w:pPr>
            <w:r>
              <w:rPr>
                <w:rFonts w:hint="eastAsia" w:ascii="宋体" w:hAnsi="宋体" w:cs="宋体"/>
                <w:color w:val="000000"/>
                <w:sz w:val="21"/>
                <w:szCs w:val="21"/>
                <w:highlight w:val="none"/>
                <w:lang w:val="en-US" w:eastAsia="zh-CN"/>
              </w:rPr>
              <w:t>38</w:t>
            </w:r>
          </w:p>
        </w:tc>
        <w:tc>
          <w:tcPr>
            <w:tcW w:w="6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3BC5EA">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手动</w:t>
            </w:r>
          </w:p>
        </w:tc>
        <w:tc>
          <w:tcPr>
            <w:tcW w:w="6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F2341C">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手动</w:t>
            </w:r>
          </w:p>
        </w:tc>
        <w:tc>
          <w:tcPr>
            <w:tcW w:w="55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C987E0">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手动</w:t>
            </w:r>
          </w:p>
        </w:tc>
        <w:tc>
          <w:tcPr>
            <w:tcW w:w="5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970469">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自动</w:t>
            </w:r>
          </w:p>
        </w:tc>
        <w:tc>
          <w:tcPr>
            <w:tcW w:w="5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358DDF">
            <w:pPr>
              <w:widowControl/>
              <w:jc w:val="center"/>
              <w:textAlignment w:val="center"/>
              <w:rPr>
                <w:rFonts w:hint="default"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2"/>
                <w:sz w:val="21"/>
                <w:szCs w:val="21"/>
                <w:highlight w:val="none"/>
                <w:lang w:val="en-US" w:eastAsia="zh-CN" w:bidi="ar-SA"/>
              </w:rPr>
              <w:t>2</w:t>
            </w:r>
          </w:p>
        </w:tc>
      </w:tr>
    </w:tbl>
    <w:p w14:paraId="46E758F8">
      <w:pPr>
        <w:rPr>
          <w:sz w:val="21"/>
          <w:szCs w:val="21"/>
          <w:highlight w:val="none"/>
        </w:rPr>
      </w:pPr>
    </w:p>
    <w:tbl>
      <w:tblPr>
        <w:tblStyle w:val="15"/>
        <w:tblW w:w="5000" w:type="pct"/>
        <w:tblInd w:w="0" w:type="dxa"/>
        <w:tblLayout w:type="fixed"/>
        <w:tblCellMar>
          <w:top w:w="0" w:type="dxa"/>
          <w:left w:w="0" w:type="dxa"/>
          <w:bottom w:w="0" w:type="dxa"/>
          <w:right w:w="0" w:type="dxa"/>
        </w:tblCellMar>
      </w:tblPr>
      <w:tblGrid>
        <w:gridCol w:w="783"/>
        <w:gridCol w:w="1811"/>
        <w:gridCol w:w="3651"/>
        <w:gridCol w:w="478"/>
        <w:gridCol w:w="1165"/>
        <w:gridCol w:w="1780"/>
      </w:tblGrid>
      <w:tr w14:paraId="09FDEC07">
        <w:tblPrEx>
          <w:tblCellMar>
            <w:top w:w="0" w:type="dxa"/>
            <w:left w:w="0" w:type="dxa"/>
            <w:bottom w:w="0" w:type="dxa"/>
            <w:right w:w="0" w:type="dxa"/>
          </w:tblCellMar>
        </w:tblPrEx>
        <w:trPr>
          <w:cantSplit/>
          <w:trHeight w:val="617" w:hRule="atLeast"/>
          <w:tblHeader/>
        </w:trPr>
        <w:tc>
          <w:tcPr>
            <w:tcW w:w="9668" w:type="dxa"/>
            <w:gridSpan w:val="6"/>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157A2A6D">
            <w:pPr>
              <w:widowControl/>
              <w:jc w:val="center"/>
              <w:textAlignment w:val="center"/>
              <w:rPr>
                <w:rFonts w:hint="eastAsia" w:ascii="宋体" w:hAnsi="宋体" w:cs="宋体"/>
                <w:color w:val="000000"/>
                <w:sz w:val="21"/>
                <w:szCs w:val="21"/>
                <w:highlight w:val="none"/>
              </w:rPr>
            </w:pPr>
            <w:r>
              <w:rPr>
                <w:rFonts w:hint="eastAsia" w:ascii="宋体" w:hAnsi="宋体" w:cs="宋体"/>
                <w:color w:val="000000"/>
                <w:kern w:val="0"/>
                <w:sz w:val="21"/>
                <w:szCs w:val="21"/>
                <w:highlight w:val="none"/>
                <w:lang w:bidi="ar"/>
              </w:rPr>
              <w:t>主要设备表</w:t>
            </w:r>
          </w:p>
        </w:tc>
      </w:tr>
      <w:tr w14:paraId="6F82AFB2">
        <w:tblPrEx>
          <w:tblCellMar>
            <w:top w:w="0" w:type="dxa"/>
            <w:left w:w="0" w:type="dxa"/>
            <w:bottom w:w="0" w:type="dxa"/>
            <w:right w:w="0" w:type="dxa"/>
          </w:tblCellMar>
        </w:tblPrEx>
        <w:trPr>
          <w:trHeight w:val="312" w:hRule="atLeast"/>
          <w:tblHeader/>
        </w:trPr>
        <w:tc>
          <w:tcPr>
            <w:tcW w:w="783" w:type="dxa"/>
            <w:tcBorders>
              <w:top w:val="single" w:color="auto" w:sz="4" w:space="0"/>
              <w:left w:val="single" w:color="auto" w:sz="4" w:space="0"/>
              <w:bottom w:val="single" w:color="auto" w:sz="4" w:space="0"/>
              <w:right w:val="single" w:color="000000" w:sz="4" w:space="0"/>
            </w:tcBorders>
            <w:shd w:val="clear" w:color="auto" w:fill="auto"/>
            <w:noWrap w:val="0"/>
            <w:tcMar>
              <w:top w:w="15" w:type="dxa"/>
              <w:left w:w="15" w:type="dxa"/>
              <w:right w:w="15" w:type="dxa"/>
            </w:tcMar>
            <w:vAlign w:val="center"/>
          </w:tcPr>
          <w:p w14:paraId="724EE5EB">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序号</w:t>
            </w:r>
          </w:p>
        </w:tc>
        <w:tc>
          <w:tcPr>
            <w:tcW w:w="1811"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71D798E9">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名   称</w:t>
            </w:r>
          </w:p>
        </w:tc>
        <w:tc>
          <w:tcPr>
            <w:tcW w:w="3651"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64D4EE53">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参       数</w:t>
            </w:r>
          </w:p>
        </w:tc>
        <w:tc>
          <w:tcPr>
            <w:tcW w:w="478"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6B06C507">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数量</w:t>
            </w:r>
          </w:p>
        </w:tc>
        <w:tc>
          <w:tcPr>
            <w:tcW w:w="1165"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3949D970">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单位</w:t>
            </w:r>
          </w:p>
        </w:tc>
        <w:tc>
          <w:tcPr>
            <w:tcW w:w="1780" w:type="dxa"/>
            <w:tcBorders>
              <w:top w:val="single" w:color="auto" w:sz="4" w:space="0"/>
              <w:left w:val="single" w:color="000000" w:sz="4" w:space="0"/>
              <w:bottom w:val="single" w:color="auto" w:sz="4" w:space="0"/>
              <w:right w:val="single" w:color="auto" w:sz="4" w:space="0"/>
            </w:tcBorders>
            <w:shd w:val="clear" w:color="auto" w:fill="auto"/>
            <w:noWrap w:val="0"/>
            <w:tcMar>
              <w:top w:w="15" w:type="dxa"/>
              <w:left w:w="15" w:type="dxa"/>
              <w:right w:w="15" w:type="dxa"/>
            </w:tcMar>
            <w:vAlign w:val="center"/>
          </w:tcPr>
          <w:p w14:paraId="01CE16ED">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备   注</w:t>
            </w:r>
          </w:p>
        </w:tc>
      </w:tr>
      <w:tr w14:paraId="37BF81B8">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4DFDDE53">
            <w:pPr>
              <w:widowControl/>
              <w:numPr>
                <w:ilvl w:val="0"/>
                <w:numId w:val="2"/>
              </w:numPr>
              <w:ind w:left="0" w:leftChars="0" w:firstLine="0" w:firstLineChars="0"/>
              <w:jc w:val="center"/>
              <w:textAlignment w:val="center"/>
              <w:rPr>
                <w:rFonts w:hint="eastAsia" w:ascii="宋体" w:hAnsi="宋体" w:cs="宋体"/>
                <w:color w:val="000000"/>
                <w:sz w:val="21"/>
                <w:szCs w:val="21"/>
                <w:highlight w:val="none"/>
              </w:rPr>
            </w:pPr>
          </w:p>
        </w:tc>
        <w:tc>
          <w:tcPr>
            <w:tcW w:w="1811"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6E014A98">
            <w:pPr>
              <w:widowControl/>
              <w:jc w:val="center"/>
              <w:textAlignment w:val="center"/>
              <w:rPr>
                <w:rFonts w:hint="default"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泳池</w:t>
            </w:r>
            <w:r>
              <w:rPr>
                <w:rFonts w:hint="eastAsia" w:ascii="宋体" w:hAnsi="宋体" w:cs="宋体"/>
                <w:color w:val="000000"/>
                <w:kern w:val="0"/>
                <w:sz w:val="21"/>
                <w:szCs w:val="21"/>
                <w:highlight w:val="none"/>
                <w:lang w:bidi="ar"/>
              </w:rPr>
              <w:t>循环水泵</w:t>
            </w:r>
          </w:p>
        </w:tc>
        <w:tc>
          <w:tcPr>
            <w:tcW w:w="3651"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4214659D">
            <w:pPr>
              <w:widowControl/>
              <w:jc w:val="left"/>
              <w:textAlignment w:val="center"/>
              <w:rPr>
                <w:rFonts w:hint="default"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Q</w:t>
            </w:r>
            <w:r>
              <w:rPr>
                <w:rFonts w:hint="eastAsia" w:ascii="宋体" w:hAnsi="宋体" w:cs="宋体"/>
                <w:color w:val="000000"/>
                <w:kern w:val="0"/>
                <w:sz w:val="21"/>
                <w:szCs w:val="21"/>
                <w:highlight w:val="none"/>
                <w:lang w:val="en-US" w:eastAsia="zh-CN" w:bidi="ar"/>
              </w:rPr>
              <w:t>≥25</w:t>
            </w:r>
            <w:r>
              <w:rPr>
                <w:rFonts w:hint="eastAsia" w:ascii="宋体" w:hAnsi="宋体" w:cs="宋体"/>
                <w:color w:val="000000"/>
                <w:kern w:val="0"/>
                <w:sz w:val="21"/>
                <w:szCs w:val="21"/>
                <w:highlight w:val="none"/>
                <w:lang w:bidi="ar"/>
              </w:rPr>
              <w:t>m</w:t>
            </w:r>
            <w:r>
              <w:rPr>
                <w:rFonts w:hint="eastAsia" w:ascii="宋体" w:hAnsi="宋体" w:eastAsia="宋体" w:cs="宋体"/>
                <w:color w:val="000000"/>
                <w:kern w:val="0"/>
                <w:sz w:val="21"/>
                <w:szCs w:val="21"/>
                <w:highlight w:val="none"/>
                <w:lang w:bidi="ar"/>
              </w:rPr>
              <w:t>³</w:t>
            </w:r>
            <w:r>
              <w:rPr>
                <w:rFonts w:hint="eastAsia" w:ascii="宋体" w:hAnsi="宋体" w:cs="宋体"/>
                <w:color w:val="000000"/>
                <w:kern w:val="0"/>
                <w:sz w:val="21"/>
                <w:szCs w:val="21"/>
                <w:highlight w:val="none"/>
                <w:lang w:bidi="ar"/>
              </w:rPr>
              <w:t>/hr,H=</w:t>
            </w:r>
            <w:r>
              <w:rPr>
                <w:rFonts w:hint="eastAsia" w:ascii="宋体" w:hAnsi="宋体" w:cs="宋体"/>
                <w:color w:val="000000"/>
                <w:kern w:val="0"/>
                <w:sz w:val="21"/>
                <w:szCs w:val="21"/>
                <w:highlight w:val="none"/>
                <w:lang w:val="en-US" w:eastAsia="zh-CN" w:bidi="ar"/>
              </w:rPr>
              <w:t>18</w:t>
            </w:r>
            <w:r>
              <w:rPr>
                <w:rFonts w:hint="eastAsia" w:ascii="宋体" w:hAnsi="宋体" w:cs="宋体"/>
                <w:color w:val="000000"/>
                <w:kern w:val="0"/>
                <w:sz w:val="21"/>
                <w:szCs w:val="21"/>
                <w:highlight w:val="none"/>
                <w:lang w:bidi="ar"/>
              </w:rPr>
              <w:t>m,</w:t>
            </w:r>
            <w:r>
              <w:rPr>
                <w:rFonts w:hint="eastAsia" w:ascii="宋体" w:hAnsi="宋体" w:cs="宋体"/>
                <w:color w:val="000000"/>
                <w:kern w:val="0"/>
                <w:sz w:val="21"/>
                <w:szCs w:val="21"/>
                <w:highlight w:val="none"/>
                <w:lang w:val="en-US" w:eastAsia="zh-CN" w:bidi="ar"/>
              </w:rPr>
              <w:t>N</w:t>
            </w:r>
            <w:r>
              <w:rPr>
                <w:rFonts w:hint="eastAsia" w:ascii="宋体" w:hAnsi="宋体" w:cs="宋体"/>
                <w:color w:val="000000"/>
                <w:kern w:val="0"/>
                <w:sz w:val="21"/>
                <w:szCs w:val="21"/>
                <w:highlight w:val="none"/>
                <w:lang w:bidi="ar"/>
              </w:rPr>
              <w:t>=</w:t>
            </w:r>
            <w:r>
              <w:rPr>
                <w:rFonts w:hint="eastAsia" w:ascii="宋体" w:hAnsi="宋体" w:cs="宋体"/>
                <w:color w:val="000000"/>
                <w:kern w:val="0"/>
                <w:sz w:val="21"/>
                <w:szCs w:val="21"/>
                <w:highlight w:val="none"/>
                <w:lang w:val="en-US" w:eastAsia="zh-CN" w:bidi="ar"/>
              </w:rPr>
              <w:t>2.2</w:t>
            </w:r>
            <w:r>
              <w:rPr>
                <w:rFonts w:hint="eastAsia" w:ascii="宋体" w:hAnsi="宋体" w:cs="宋体"/>
                <w:color w:val="000000"/>
                <w:kern w:val="0"/>
                <w:sz w:val="21"/>
                <w:szCs w:val="21"/>
                <w:highlight w:val="none"/>
                <w:lang w:bidi="ar"/>
              </w:rPr>
              <w:t>kW</w:t>
            </w:r>
            <w:r>
              <w:rPr>
                <w:rFonts w:hint="eastAsia" w:ascii="宋体" w:hAnsi="宋体" w:cs="宋体"/>
                <w:color w:val="000000"/>
                <w:kern w:val="0"/>
                <w:sz w:val="21"/>
                <w:szCs w:val="21"/>
                <w:highlight w:val="none"/>
                <w:lang w:eastAsia="zh-CN" w:bidi="ar"/>
              </w:rPr>
              <w:t>，</w:t>
            </w:r>
            <w:r>
              <w:rPr>
                <w:rFonts w:hint="eastAsia" w:ascii="宋体" w:hAnsi="宋体" w:cs="宋体"/>
                <w:color w:val="000000"/>
                <w:kern w:val="0"/>
                <w:sz w:val="21"/>
                <w:szCs w:val="21"/>
                <w:highlight w:val="none"/>
                <w:lang w:val="en-US" w:eastAsia="zh-CN" w:bidi="ar"/>
              </w:rPr>
              <w:t>泳池专用自带毛发收集器</w:t>
            </w:r>
          </w:p>
        </w:tc>
        <w:tc>
          <w:tcPr>
            <w:tcW w:w="478"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0E1816FB">
            <w:pPr>
              <w:widowControl/>
              <w:jc w:val="center"/>
              <w:textAlignment w:val="center"/>
              <w:rPr>
                <w:rFonts w:hint="default"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4</w:t>
            </w:r>
          </w:p>
        </w:tc>
        <w:tc>
          <w:tcPr>
            <w:tcW w:w="1165"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32F9A705">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台</w:t>
            </w:r>
          </w:p>
        </w:tc>
        <w:tc>
          <w:tcPr>
            <w:tcW w:w="1780"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031AFD66">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三</w:t>
            </w:r>
            <w:r>
              <w:rPr>
                <w:rFonts w:hint="eastAsia" w:ascii="宋体" w:hAnsi="宋体" w:cs="宋体"/>
                <w:color w:val="000000"/>
                <w:kern w:val="0"/>
                <w:sz w:val="21"/>
                <w:szCs w:val="21"/>
                <w:highlight w:val="none"/>
                <w:lang w:bidi="ar"/>
              </w:rPr>
              <w:t>用一备</w:t>
            </w:r>
          </w:p>
        </w:tc>
      </w:tr>
      <w:tr w14:paraId="1FDFBD73">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007D348B">
            <w:pPr>
              <w:widowControl/>
              <w:numPr>
                <w:ilvl w:val="0"/>
                <w:numId w:val="2"/>
              </w:numPr>
              <w:ind w:left="0" w:leftChars="0" w:firstLine="0" w:firstLineChars="0"/>
              <w:jc w:val="center"/>
              <w:textAlignment w:val="center"/>
              <w:rPr>
                <w:rFonts w:hint="eastAsia" w:ascii="宋体" w:hAnsi="宋体" w:cs="宋体"/>
                <w:color w:val="000000"/>
                <w:sz w:val="21"/>
                <w:szCs w:val="21"/>
                <w:highlight w:val="none"/>
              </w:rPr>
            </w:pPr>
          </w:p>
        </w:tc>
        <w:tc>
          <w:tcPr>
            <w:tcW w:w="1811"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505FBA0C">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泳池滤芯过滤器</w:t>
            </w:r>
          </w:p>
        </w:tc>
        <w:tc>
          <w:tcPr>
            <w:tcW w:w="3651"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762ECE04">
            <w:pPr>
              <w:widowControl/>
              <w:jc w:val="left"/>
              <w:textAlignment w:val="center"/>
              <w:rPr>
                <w:rFonts w:hint="eastAsia" w:ascii="宋体" w:hAnsi="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过滤面积≥</w:t>
            </w:r>
            <w:r>
              <w:rPr>
                <w:rFonts w:hint="default" w:ascii="宋体" w:hAnsi="宋体" w:cs="宋体"/>
                <w:color w:val="000000"/>
                <w:kern w:val="0"/>
                <w:sz w:val="21"/>
                <w:szCs w:val="21"/>
                <w:highlight w:val="none"/>
                <w:lang w:val="en-US" w:eastAsia="zh-CN" w:bidi="ar"/>
              </w:rPr>
              <w:t>48.8m</w:t>
            </w:r>
            <w:r>
              <w:rPr>
                <w:rFonts w:hint="eastAsia" w:ascii="宋体" w:hAnsi="宋体" w:cs="宋体"/>
                <w:color w:val="000000"/>
                <w:kern w:val="0"/>
                <w:sz w:val="21"/>
                <w:szCs w:val="21"/>
                <w:highlight w:val="none"/>
                <w:lang w:val="en-US" w:eastAsia="zh-CN" w:bidi="ar"/>
              </w:rPr>
              <w:t>²，滤速＜</w:t>
            </w:r>
            <w:r>
              <w:rPr>
                <w:rFonts w:hint="default" w:ascii="宋体" w:hAnsi="宋体" w:cs="宋体"/>
                <w:color w:val="000000"/>
                <w:kern w:val="0"/>
                <w:sz w:val="21"/>
                <w:szCs w:val="21"/>
                <w:highlight w:val="none"/>
                <w:lang w:val="en-US" w:eastAsia="zh-CN" w:bidi="ar"/>
              </w:rPr>
              <w:t>0.6m/h</w:t>
            </w:r>
            <w:r>
              <w:rPr>
                <w:rFonts w:hint="eastAsia" w:ascii="宋体" w:hAnsi="宋体" w:cs="宋体"/>
                <w:color w:val="000000"/>
                <w:kern w:val="0"/>
                <w:sz w:val="21"/>
                <w:szCs w:val="21"/>
                <w:highlight w:val="none"/>
                <w:lang w:val="en-US" w:eastAsia="zh-CN" w:bidi="ar"/>
              </w:rPr>
              <w:t>，</w:t>
            </w:r>
          </w:p>
          <w:p w14:paraId="415F12CF">
            <w:pPr>
              <w:widowControl/>
              <w:jc w:val="left"/>
              <w:textAlignment w:val="center"/>
              <w:rPr>
                <w:rFonts w:hint="default"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直径</w:t>
            </w:r>
            <w:r>
              <w:rPr>
                <w:rFonts w:hint="default" w:ascii="宋体" w:hAnsi="宋体" w:cs="宋体"/>
                <w:color w:val="000000"/>
                <w:kern w:val="0"/>
                <w:sz w:val="21"/>
                <w:szCs w:val="21"/>
                <w:highlight w:val="none"/>
                <w:lang w:val="en-US" w:eastAsia="zh-CN" w:bidi="ar"/>
              </w:rPr>
              <w:t>=0.6m</w:t>
            </w:r>
            <w:r>
              <w:rPr>
                <w:rFonts w:hint="eastAsia" w:ascii="宋体" w:hAnsi="宋体" w:cs="宋体"/>
                <w:color w:val="000000"/>
                <w:kern w:val="0"/>
                <w:sz w:val="21"/>
                <w:szCs w:val="21"/>
                <w:highlight w:val="none"/>
                <w:lang w:val="en-US" w:eastAsia="zh-CN" w:bidi="ar"/>
              </w:rPr>
              <w:t>，</w:t>
            </w:r>
            <w:r>
              <w:rPr>
                <w:rFonts w:hint="default" w:ascii="宋体" w:hAnsi="宋体" w:cs="宋体"/>
                <w:color w:val="000000"/>
                <w:kern w:val="0"/>
                <w:sz w:val="21"/>
                <w:szCs w:val="21"/>
                <w:highlight w:val="none"/>
                <w:lang w:val="en-US" w:eastAsia="zh-CN" w:bidi="ar"/>
              </w:rPr>
              <w:t>Q</w:t>
            </w:r>
            <w:r>
              <w:rPr>
                <w:rFonts w:hint="eastAsia" w:ascii="宋体" w:hAnsi="宋体" w:cs="宋体"/>
                <w:color w:val="000000"/>
                <w:kern w:val="0"/>
                <w:sz w:val="21"/>
                <w:szCs w:val="21"/>
                <w:highlight w:val="none"/>
                <w:lang w:val="en-US" w:eastAsia="zh-CN" w:bidi="ar"/>
              </w:rPr>
              <w:t>≥</w:t>
            </w:r>
            <w:r>
              <w:rPr>
                <w:rFonts w:hint="default" w:ascii="宋体" w:hAnsi="宋体" w:cs="宋体"/>
                <w:color w:val="000000"/>
                <w:kern w:val="0"/>
                <w:sz w:val="21"/>
                <w:szCs w:val="21"/>
                <w:highlight w:val="none"/>
                <w:lang w:val="en-US" w:eastAsia="zh-CN" w:bidi="ar"/>
              </w:rPr>
              <w:t>2</w:t>
            </w:r>
            <w:r>
              <w:rPr>
                <w:rFonts w:hint="eastAsia" w:ascii="宋体" w:hAnsi="宋体" w:cs="宋体"/>
                <w:color w:val="000000"/>
                <w:kern w:val="0"/>
                <w:sz w:val="21"/>
                <w:szCs w:val="21"/>
                <w:highlight w:val="none"/>
                <w:lang w:val="en-US" w:eastAsia="zh-CN" w:bidi="ar"/>
              </w:rPr>
              <w:t>5</w:t>
            </w:r>
            <w:r>
              <w:rPr>
                <w:rFonts w:hint="default" w:ascii="宋体" w:hAnsi="宋体" w:cs="宋体"/>
                <w:color w:val="000000"/>
                <w:kern w:val="0"/>
                <w:sz w:val="21"/>
                <w:szCs w:val="21"/>
                <w:highlight w:val="none"/>
                <w:lang w:val="en-US" w:eastAsia="zh-CN" w:bidi="ar"/>
              </w:rPr>
              <w:t>m</w:t>
            </w:r>
            <w:r>
              <w:rPr>
                <w:rFonts w:hint="eastAsia" w:ascii="宋体" w:hAnsi="宋体" w:cs="宋体"/>
                <w:color w:val="000000"/>
                <w:kern w:val="0"/>
                <w:sz w:val="21"/>
                <w:szCs w:val="21"/>
                <w:highlight w:val="none"/>
                <w:lang w:val="en-US" w:eastAsia="zh-CN" w:bidi="ar"/>
              </w:rPr>
              <w:t xml:space="preserve">³ </w:t>
            </w:r>
            <w:r>
              <w:rPr>
                <w:rFonts w:hint="default" w:ascii="宋体" w:hAnsi="宋体" w:cs="宋体"/>
                <w:color w:val="000000"/>
                <w:kern w:val="0"/>
                <w:sz w:val="21"/>
                <w:szCs w:val="21"/>
                <w:highlight w:val="none"/>
                <w:lang w:val="en-US" w:eastAsia="zh-CN" w:bidi="ar"/>
              </w:rPr>
              <w:t>/h</w:t>
            </w:r>
            <w:r>
              <w:rPr>
                <w:rFonts w:hint="eastAsia" w:ascii="宋体" w:hAnsi="宋体" w:cs="宋体"/>
                <w:color w:val="000000"/>
                <w:kern w:val="0"/>
                <w:sz w:val="21"/>
                <w:szCs w:val="21"/>
                <w:highlight w:val="none"/>
                <w:lang w:val="en-US" w:eastAsia="zh-CN" w:bidi="ar"/>
              </w:rPr>
              <w:t>，过滤精度</w:t>
            </w:r>
            <w:r>
              <w:rPr>
                <w:rFonts w:hint="default" w:ascii="宋体" w:hAnsi="宋体" w:cs="宋体"/>
                <w:color w:val="000000"/>
                <w:kern w:val="0"/>
                <w:sz w:val="21"/>
                <w:szCs w:val="21"/>
                <w:highlight w:val="none"/>
                <w:lang w:val="en-US" w:eastAsia="zh-CN" w:bidi="ar"/>
              </w:rPr>
              <w:t>10</w:t>
            </w:r>
            <w:r>
              <w:rPr>
                <w:rFonts w:hint="eastAsia" w:ascii="宋体" w:hAnsi="宋体" w:cs="宋体"/>
                <w:color w:val="000000"/>
                <w:kern w:val="0"/>
                <w:sz w:val="21"/>
                <w:szCs w:val="21"/>
                <w:highlight w:val="none"/>
                <w:lang w:val="en-US" w:eastAsia="zh-CN" w:bidi="ar"/>
              </w:rPr>
              <w:t>微米，壳体由强化玻璃纤维聚化合物注塑成型，最大工作压力</w:t>
            </w:r>
            <w:r>
              <w:rPr>
                <w:rFonts w:hint="default" w:ascii="宋体" w:hAnsi="宋体" w:cs="宋体"/>
                <w:color w:val="000000"/>
                <w:kern w:val="0"/>
                <w:sz w:val="21"/>
                <w:szCs w:val="21"/>
                <w:highlight w:val="none"/>
                <w:lang w:val="en-US" w:eastAsia="zh-CN" w:bidi="ar"/>
              </w:rPr>
              <w:t>2.5kg/cm2</w:t>
            </w:r>
            <w:r>
              <w:rPr>
                <w:rFonts w:hint="eastAsia" w:ascii="宋体" w:hAnsi="宋体" w:cs="宋体"/>
                <w:color w:val="000000"/>
                <w:kern w:val="0"/>
                <w:sz w:val="21"/>
                <w:szCs w:val="21"/>
                <w:highlight w:val="none"/>
                <w:lang w:val="en-US" w:eastAsia="zh-CN" w:bidi="ar"/>
              </w:rPr>
              <w:t>，过滤材质强化聚酯纤</w:t>
            </w:r>
          </w:p>
        </w:tc>
        <w:tc>
          <w:tcPr>
            <w:tcW w:w="478"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5C4055DC">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3</w:t>
            </w:r>
          </w:p>
        </w:tc>
        <w:tc>
          <w:tcPr>
            <w:tcW w:w="1165"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14617CF2">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台</w:t>
            </w:r>
          </w:p>
        </w:tc>
        <w:tc>
          <w:tcPr>
            <w:tcW w:w="1780"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5B4815FA">
            <w:pPr>
              <w:widowControl/>
              <w:jc w:val="center"/>
              <w:textAlignment w:val="center"/>
              <w:rPr>
                <w:rFonts w:hint="eastAsia" w:ascii="宋体" w:hAnsi="宋体" w:cs="宋体" w:eastAsiaTheme="minorEastAsia"/>
                <w:color w:val="000000"/>
                <w:kern w:val="2"/>
                <w:sz w:val="21"/>
                <w:szCs w:val="21"/>
                <w:highlight w:val="none"/>
                <w:lang w:val="en-US" w:eastAsia="zh-CN" w:bidi="ar-SA"/>
              </w:rPr>
            </w:pPr>
          </w:p>
        </w:tc>
      </w:tr>
      <w:tr w14:paraId="4FBF0987">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560D3852">
            <w:pPr>
              <w:widowControl/>
              <w:numPr>
                <w:ilvl w:val="0"/>
                <w:numId w:val="2"/>
              </w:numPr>
              <w:ind w:left="0" w:leftChars="0" w:firstLine="0" w:firstLineChars="0"/>
              <w:jc w:val="center"/>
              <w:textAlignment w:val="center"/>
              <w:rPr>
                <w:rFonts w:hint="eastAsia" w:ascii="宋体" w:hAnsi="宋体" w:cs="宋体"/>
                <w:color w:val="000000"/>
                <w:sz w:val="21"/>
                <w:szCs w:val="21"/>
                <w:highlight w:val="none"/>
              </w:rPr>
            </w:pPr>
          </w:p>
        </w:tc>
        <w:tc>
          <w:tcPr>
            <w:tcW w:w="1811"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35E99B3D">
            <w:pPr>
              <w:widowControl/>
              <w:jc w:val="center"/>
              <w:textAlignment w:val="center"/>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泳池水质监控仪</w:t>
            </w:r>
          </w:p>
        </w:tc>
        <w:tc>
          <w:tcPr>
            <w:tcW w:w="3651"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5D9E6F61">
            <w:pPr>
              <w:widowControl/>
              <w:jc w:val="left"/>
              <w:textAlignment w:val="center"/>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四参数监控PH/ORP/余氯/温度/浊度，泳池专用，校正水质时刻自动清洗探头附着物，可提供物联网在线数据联网。</w:t>
            </w:r>
          </w:p>
        </w:tc>
        <w:tc>
          <w:tcPr>
            <w:tcW w:w="478"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790DC2B0">
            <w:pPr>
              <w:widowControl/>
              <w:jc w:val="center"/>
              <w:textAlignment w:val="center"/>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1</w:t>
            </w:r>
          </w:p>
        </w:tc>
        <w:tc>
          <w:tcPr>
            <w:tcW w:w="1165"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4D255C70">
            <w:pPr>
              <w:widowControl/>
              <w:jc w:val="center"/>
              <w:textAlignment w:val="center"/>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台</w:t>
            </w:r>
          </w:p>
        </w:tc>
        <w:tc>
          <w:tcPr>
            <w:tcW w:w="1780"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43519414">
            <w:pPr>
              <w:widowControl/>
              <w:jc w:val="center"/>
              <w:textAlignment w:val="center"/>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bidi="ar"/>
              </w:rPr>
              <w:t>自动监测,与水泵连锁控制,进行自动控制投药的启停</w:t>
            </w:r>
          </w:p>
        </w:tc>
      </w:tr>
      <w:tr w14:paraId="3219CF46">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064E4360">
            <w:pPr>
              <w:widowControl/>
              <w:numPr>
                <w:ilvl w:val="0"/>
                <w:numId w:val="2"/>
              </w:numPr>
              <w:ind w:left="0" w:leftChars="0" w:firstLine="0" w:firstLineChars="0"/>
              <w:jc w:val="center"/>
              <w:textAlignment w:val="center"/>
              <w:rPr>
                <w:rFonts w:hint="eastAsia" w:ascii="宋体" w:hAnsi="宋体" w:cs="宋体"/>
                <w:color w:val="000000"/>
                <w:sz w:val="21"/>
                <w:szCs w:val="21"/>
                <w:highlight w:val="none"/>
              </w:rPr>
            </w:pPr>
          </w:p>
        </w:tc>
        <w:tc>
          <w:tcPr>
            <w:tcW w:w="1811"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4D4FF98A">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泳池PH值调整剂投加装置</w:t>
            </w:r>
          </w:p>
        </w:tc>
        <w:tc>
          <w:tcPr>
            <w:tcW w:w="3651"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555C5FAD">
            <w:pPr>
              <w:widowControl/>
              <w:jc w:val="left"/>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Q=17L/hr</w:t>
            </w:r>
            <w:r>
              <w:rPr>
                <w:rFonts w:hint="eastAsia" w:ascii="宋体" w:hAnsi="宋体" w:cs="宋体"/>
                <w:color w:val="000000"/>
                <w:kern w:val="0"/>
                <w:sz w:val="21"/>
                <w:szCs w:val="21"/>
                <w:highlight w:val="none"/>
                <w:lang w:eastAsia="zh-CN" w:bidi="ar"/>
              </w:rPr>
              <w:t>，</w:t>
            </w:r>
            <w:r>
              <w:rPr>
                <w:rFonts w:hint="eastAsia" w:ascii="宋体" w:hAnsi="宋体" w:cs="宋体"/>
                <w:color w:val="000000"/>
                <w:kern w:val="0"/>
                <w:sz w:val="21"/>
                <w:szCs w:val="21"/>
                <w:highlight w:val="none"/>
                <w:lang w:val="en-US" w:eastAsia="zh-CN" w:bidi="ar"/>
              </w:rPr>
              <w:t>H=6bar，配200L投药桶</w:t>
            </w:r>
          </w:p>
        </w:tc>
        <w:tc>
          <w:tcPr>
            <w:tcW w:w="478"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1788420D">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1</w:t>
            </w:r>
          </w:p>
        </w:tc>
        <w:tc>
          <w:tcPr>
            <w:tcW w:w="1165"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2B22191D">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台</w:t>
            </w:r>
          </w:p>
        </w:tc>
        <w:tc>
          <w:tcPr>
            <w:tcW w:w="1780"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398A1D88">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根据水质监控仪指令启停</w:t>
            </w:r>
            <w:r>
              <w:rPr>
                <w:rFonts w:hint="eastAsia" w:ascii="宋体" w:hAnsi="宋体" w:cs="宋体"/>
                <w:color w:val="000000"/>
                <w:kern w:val="0"/>
                <w:sz w:val="21"/>
                <w:szCs w:val="21"/>
                <w:highlight w:val="none"/>
                <w:lang w:bidi="ar"/>
              </w:rPr>
              <w:t>pH调整剂</w:t>
            </w:r>
            <w:r>
              <w:rPr>
                <w:rFonts w:hint="eastAsia" w:ascii="宋体" w:hAnsi="宋体" w:cs="宋体"/>
                <w:color w:val="000000"/>
                <w:kern w:val="0"/>
                <w:sz w:val="21"/>
                <w:szCs w:val="21"/>
                <w:highlight w:val="none"/>
                <w:lang w:val="en-US" w:eastAsia="zh-CN" w:bidi="ar"/>
              </w:rPr>
              <w:t>投加</w:t>
            </w:r>
          </w:p>
        </w:tc>
      </w:tr>
      <w:tr w14:paraId="6B7BD7F7">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B004F8">
            <w:pPr>
              <w:widowControl/>
              <w:numPr>
                <w:ilvl w:val="0"/>
                <w:numId w:val="2"/>
              </w:numPr>
              <w:ind w:left="0" w:leftChars="0" w:firstLine="0" w:firstLineChars="0"/>
              <w:jc w:val="center"/>
              <w:textAlignment w:val="center"/>
              <w:rPr>
                <w:rFonts w:hint="default" w:ascii="宋体" w:hAnsi="宋体" w:cs="宋体"/>
                <w:color w:val="000000"/>
                <w:sz w:val="21"/>
                <w:szCs w:val="21"/>
                <w:highlight w:val="none"/>
                <w:lang w:val="en-US" w:eastAsia="zh-CN"/>
              </w:rPr>
            </w:pPr>
          </w:p>
        </w:tc>
        <w:tc>
          <w:tcPr>
            <w:tcW w:w="181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9B2575A">
            <w:pPr>
              <w:widowControl/>
              <w:jc w:val="center"/>
              <w:textAlignment w:val="center"/>
              <w:rPr>
                <w:rFonts w:hint="default"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泳池消毒剂投加装置</w:t>
            </w:r>
          </w:p>
        </w:tc>
        <w:tc>
          <w:tcPr>
            <w:tcW w:w="365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829FEF7">
            <w:pPr>
              <w:widowControl/>
              <w:jc w:val="left"/>
              <w:textAlignment w:val="center"/>
              <w:rPr>
                <w:rFonts w:hint="default"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Q=17L/hr</w:t>
            </w:r>
            <w:r>
              <w:rPr>
                <w:rFonts w:hint="eastAsia" w:ascii="宋体" w:hAnsi="宋体" w:cs="宋体"/>
                <w:color w:val="000000"/>
                <w:kern w:val="0"/>
                <w:sz w:val="21"/>
                <w:szCs w:val="21"/>
                <w:highlight w:val="none"/>
                <w:lang w:eastAsia="zh-CN" w:bidi="ar"/>
              </w:rPr>
              <w:t>，</w:t>
            </w:r>
            <w:r>
              <w:rPr>
                <w:rFonts w:hint="eastAsia" w:ascii="宋体" w:hAnsi="宋体" w:cs="宋体"/>
                <w:color w:val="000000"/>
                <w:kern w:val="0"/>
                <w:sz w:val="21"/>
                <w:szCs w:val="21"/>
                <w:highlight w:val="none"/>
                <w:lang w:val="en-US" w:eastAsia="zh-CN" w:bidi="ar"/>
              </w:rPr>
              <w:t>H=6bar，配200L投药桶（一用一备）</w:t>
            </w:r>
          </w:p>
        </w:tc>
        <w:tc>
          <w:tcPr>
            <w:tcW w:w="47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A6A9477">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2</w:t>
            </w:r>
          </w:p>
        </w:tc>
        <w:tc>
          <w:tcPr>
            <w:tcW w:w="116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0924960">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台</w:t>
            </w:r>
          </w:p>
        </w:tc>
        <w:tc>
          <w:tcPr>
            <w:tcW w:w="1780"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9AFB688">
            <w:pPr>
              <w:widowControl/>
              <w:jc w:val="center"/>
              <w:textAlignment w:val="center"/>
              <w:rPr>
                <w:rFonts w:hint="default"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根据水质监控仪指令启停消毒</w:t>
            </w:r>
            <w:r>
              <w:rPr>
                <w:rFonts w:hint="eastAsia" w:ascii="宋体" w:hAnsi="宋体" w:cs="宋体"/>
                <w:color w:val="000000"/>
                <w:kern w:val="0"/>
                <w:sz w:val="21"/>
                <w:szCs w:val="21"/>
                <w:highlight w:val="none"/>
                <w:lang w:bidi="ar"/>
              </w:rPr>
              <w:t>剂</w:t>
            </w:r>
            <w:r>
              <w:rPr>
                <w:rFonts w:hint="eastAsia" w:ascii="宋体" w:hAnsi="宋体" w:cs="宋体"/>
                <w:color w:val="000000"/>
                <w:kern w:val="0"/>
                <w:sz w:val="21"/>
                <w:szCs w:val="21"/>
                <w:highlight w:val="none"/>
                <w:lang w:val="en-US" w:eastAsia="zh-CN" w:bidi="ar"/>
              </w:rPr>
              <w:t>投加</w:t>
            </w:r>
          </w:p>
        </w:tc>
      </w:tr>
      <w:tr w14:paraId="3D24E441">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AD0475">
            <w:pPr>
              <w:widowControl/>
              <w:numPr>
                <w:ilvl w:val="0"/>
                <w:numId w:val="2"/>
              </w:numPr>
              <w:ind w:left="0" w:leftChars="0" w:firstLine="0" w:firstLineChars="0"/>
              <w:jc w:val="center"/>
              <w:textAlignment w:val="center"/>
              <w:rPr>
                <w:rFonts w:hint="default" w:ascii="宋体" w:hAnsi="宋体" w:cs="宋体"/>
                <w:color w:val="000000"/>
                <w:sz w:val="21"/>
                <w:szCs w:val="21"/>
                <w:highlight w:val="none"/>
                <w:lang w:val="en-US" w:eastAsia="zh-CN"/>
              </w:rPr>
            </w:pPr>
          </w:p>
        </w:tc>
        <w:tc>
          <w:tcPr>
            <w:tcW w:w="181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1EEF063">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中压紫外线</w:t>
            </w:r>
          </w:p>
        </w:tc>
        <w:tc>
          <w:tcPr>
            <w:tcW w:w="365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85FDD5A">
            <w:pPr>
              <w:widowControl/>
              <w:jc w:val="left"/>
              <w:textAlignment w:val="center"/>
              <w:rPr>
                <w:rFonts w:hint="default" w:ascii="宋体" w:hAnsi="宋体" w:cs="宋体" w:eastAsiaTheme="minorEastAsia"/>
                <w:color w:val="000000"/>
                <w:kern w:val="2"/>
                <w:sz w:val="21"/>
                <w:szCs w:val="21"/>
                <w:highlight w:val="none"/>
                <w:lang w:val="en-US" w:eastAsia="zh-CN" w:bidi="ar-SA"/>
              </w:rPr>
            </w:pPr>
            <w:r>
              <w:rPr>
                <w:rFonts w:hint="eastAsia" w:asciiTheme="minorEastAsia" w:hAnsiTheme="minorEastAsia" w:cstheme="minorEastAsia"/>
                <w:color w:val="000000"/>
                <w:kern w:val="0"/>
                <w:sz w:val="21"/>
                <w:szCs w:val="21"/>
                <w:lang w:bidi="ar"/>
              </w:rPr>
              <w:t>Q</w:t>
            </w:r>
            <w:r>
              <w:rPr>
                <w:rFonts w:hint="eastAsia" w:ascii="宋体" w:hAnsi="宋体" w:cs="宋体"/>
                <w:color w:val="000000"/>
                <w:kern w:val="0"/>
                <w:sz w:val="21"/>
                <w:szCs w:val="21"/>
                <w:highlight w:val="none"/>
                <w:lang w:val="en-US" w:eastAsia="zh-CN" w:bidi="ar"/>
              </w:rPr>
              <w:t>≥75m³/hr，多普段紫外线灯管，紫外线波长范围200-400nm，为确保紫外线杀菌效果，紫外线设备必须配备在线紫外线绝对强度传感器，实时显示紫外线照射剂量及灯光发光强度，并具备可靠的安装报警装置。不低于不锈钢SUS304材质腔体。</w:t>
            </w:r>
          </w:p>
        </w:tc>
        <w:tc>
          <w:tcPr>
            <w:tcW w:w="47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7F74057">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1</w:t>
            </w:r>
          </w:p>
        </w:tc>
        <w:tc>
          <w:tcPr>
            <w:tcW w:w="116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B68075A">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台</w:t>
            </w:r>
          </w:p>
        </w:tc>
        <w:tc>
          <w:tcPr>
            <w:tcW w:w="1780"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0175035">
            <w:pPr>
              <w:widowControl/>
              <w:jc w:val="center"/>
              <w:textAlignment w:val="center"/>
              <w:rPr>
                <w:rFonts w:hint="eastAsia" w:ascii="宋体" w:hAnsi="宋体" w:cs="宋体" w:eastAsiaTheme="minorEastAsia"/>
                <w:color w:val="000000"/>
                <w:kern w:val="2"/>
                <w:sz w:val="21"/>
                <w:szCs w:val="21"/>
                <w:highlight w:val="none"/>
                <w:lang w:val="en-US" w:eastAsia="zh-CN" w:bidi="ar-SA"/>
              </w:rPr>
            </w:pPr>
          </w:p>
        </w:tc>
      </w:tr>
      <w:tr w14:paraId="7DE4C9BE">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7F949A">
            <w:pPr>
              <w:widowControl/>
              <w:numPr>
                <w:ilvl w:val="0"/>
                <w:numId w:val="2"/>
              </w:numPr>
              <w:ind w:left="0" w:leftChars="0" w:firstLine="0" w:firstLineChars="0"/>
              <w:jc w:val="center"/>
              <w:textAlignment w:val="center"/>
              <w:rPr>
                <w:rFonts w:hint="default" w:ascii="宋体" w:hAnsi="宋体" w:cs="宋体"/>
                <w:color w:val="000000"/>
                <w:sz w:val="21"/>
                <w:szCs w:val="21"/>
                <w:highlight w:val="none"/>
                <w:lang w:val="en-US" w:eastAsia="zh-CN"/>
              </w:rPr>
            </w:pPr>
          </w:p>
        </w:tc>
        <w:tc>
          <w:tcPr>
            <w:tcW w:w="181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4CCE93F">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泳池水水板式换热器</w:t>
            </w:r>
          </w:p>
        </w:tc>
        <w:tc>
          <w:tcPr>
            <w:tcW w:w="365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6F0ABF6">
            <w:pPr>
              <w:spacing w:beforeLines="0" w:afterLines="0"/>
              <w:jc w:val="left"/>
              <w:rPr>
                <w:rFonts w:hint="default" w:ascii="宋体" w:hAnsi="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初次加热2台，保温1台，单台换热量≥</w:t>
            </w:r>
            <w:r>
              <w:rPr>
                <w:rFonts w:hint="default" w:ascii="宋体" w:hAnsi="宋体" w:cs="宋体"/>
                <w:color w:val="000000"/>
                <w:kern w:val="0"/>
                <w:sz w:val="21"/>
                <w:szCs w:val="21"/>
                <w:highlight w:val="none"/>
                <w:lang w:val="en-US" w:eastAsia="zh-CN" w:bidi="ar"/>
              </w:rPr>
              <w:t>1</w:t>
            </w:r>
            <w:r>
              <w:rPr>
                <w:rFonts w:hint="eastAsia" w:ascii="宋体" w:hAnsi="宋体" w:cs="宋体"/>
                <w:color w:val="000000"/>
                <w:kern w:val="0"/>
                <w:sz w:val="21"/>
                <w:szCs w:val="21"/>
                <w:highlight w:val="none"/>
                <w:lang w:val="en-US" w:eastAsia="zh-CN" w:bidi="ar"/>
              </w:rPr>
              <w:t>0</w:t>
            </w:r>
            <w:r>
              <w:rPr>
                <w:rFonts w:hint="default" w:ascii="宋体" w:hAnsi="宋体" w:cs="宋体"/>
                <w:color w:val="000000"/>
                <w:kern w:val="0"/>
                <w:sz w:val="21"/>
                <w:szCs w:val="21"/>
                <w:highlight w:val="none"/>
                <w:lang w:val="en-US" w:eastAsia="zh-CN" w:bidi="ar"/>
              </w:rPr>
              <w:t>0KW,</w:t>
            </w:r>
          </w:p>
          <w:p w14:paraId="78841793">
            <w:pPr>
              <w:spacing w:beforeLines="0" w:afterLines="0"/>
              <w:jc w:val="left"/>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初次加热时间</w:t>
            </w:r>
            <w:r>
              <w:rPr>
                <w:rFonts w:hint="default" w:ascii="宋体" w:hAnsi="宋体" w:cs="宋体"/>
                <w:color w:val="000000"/>
                <w:kern w:val="0"/>
                <w:sz w:val="21"/>
                <w:szCs w:val="21"/>
                <w:highlight w:val="none"/>
                <w:lang w:val="en-US" w:eastAsia="zh-CN" w:bidi="ar"/>
              </w:rPr>
              <w:t>36h</w:t>
            </w:r>
            <w:r>
              <w:rPr>
                <w:rFonts w:hint="eastAsia" w:ascii="宋体" w:hAnsi="宋体" w:cs="宋体"/>
                <w:color w:val="000000"/>
                <w:kern w:val="0"/>
                <w:sz w:val="21"/>
                <w:szCs w:val="21"/>
                <w:highlight w:val="none"/>
                <w:lang w:val="en-US" w:eastAsia="zh-CN" w:bidi="ar"/>
              </w:rPr>
              <w:t>，起始温度</w:t>
            </w:r>
            <w:r>
              <w:rPr>
                <w:rFonts w:hint="default" w:ascii="宋体" w:hAnsi="宋体" w:cs="宋体"/>
                <w:color w:val="000000"/>
                <w:kern w:val="0"/>
                <w:sz w:val="21"/>
                <w:szCs w:val="21"/>
                <w:highlight w:val="none"/>
                <w:lang w:val="en-US" w:eastAsia="zh-CN" w:bidi="ar"/>
              </w:rPr>
              <w:t>10</w:t>
            </w:r>
            <w:r>
              <w:rPr>
                <w:rFonts w:hint="eastAsia" w:ascii="宋体" w:hAnsi="宋体" w:cs="宋体"/>
                <w:color w:val="000000"/>
                <w:kern w:val="0"/>
                <w:sz w:val="21"/>
                <w:szCs w:val="21"/>
                <w:highlight w:val="none"/>
                <w:lang w:val="en-US" w:eastAsia="zh-CN" w:bidi="ar"/>
              </w:rPr>
              <w:t>℃，目标水位</w:t>
            </w:r>
            <w:r>
              <w:rPr>
                <w:rFonts w:hint="default" w:ascii="宋体" w:hAnsi="宋体" w:cs="宋体"/>
                <w:color w:val="000000"/>
                <w:kern w:val="0"/>
                <w:sz w:val="21"/>
                <w:szCs w:val="21"/>
                <w:highlight w:val="none"/>
                <w:lang w:val="en-US" w:eastAsia="zh-CN" w:bidi="ar"/>
              </w:rPr>
              <w:t>28</w:t>
            </w:r>
            <w:r>
              <w:rPr>
                <w:rFonts w:hint="eastAsia" w:ascii="宋体" w:hAnsi="宋体" w:cs="宋体"/>
                <w:color w:val="000000"/>
                <w:kern w:val="0"/>
                <w:sz w:val="21"/>
                <w:szCs w:val="21"/>
                <w:highlight w:val="none"/>
                <w:lang w:val="en-US" w:eastAsia="zh-CN" w:bidi="ar"/>
              </w:rPr>
              <w:t>±</w:t>
            </w:r>
            <w:r>
              <w:rPr>
                <w:rFonts w:hint="default" w:ascii="宋体" w:hAnsi="宋体" w:cs="宋体"/>
                <w:color w:val="000000"/>
                <w:kern w:val="0"/>
                <w:sz w:val="21"/>
                <w:szCs w:val="21"/>
                <w:highlight w:val="none"/>
                <w:lang w:val="en-US" w:eastAsia="zh-CN" w:bidi="ar"/>
              </w:rPr>
              <w:t>1</w:t>
            </w:r>
            <w:r>
              <w:rPr>
                <w:rFonts w:hint="eastAsia" w:ascii="宋体" w:hAnsi="宋体" w:cs="宋体"/>
                <w:color w:val="000000"/>
                <w:kern w:val="0"/>
                <w:sz w:val="21"/>
                <w:szCs w:val="21"/>
                <w:highlight w:val="none"/>
                <w:lang w:val="en-US" w:eastAsia="zh-CN" w:bidi="ar"/>
              </w:rPr>
              <w:t>℃，板片材质</w:t>
            </w:r>
            <w:r>
              <w:rPr>
                <w:rFonts w:hint="default" w:ascii="宋体" w:hAnsi="宋体" w:cs="宋体"/>
                <w:color w:val="000000"/>
                <w:kern w:val="0"/>
                <w:sz w:val="21"/>
                <w:szCs w:val="21"/>
                <w:highlight w:val="none"/>
                <w:lang w:val="en-US" w:eastAsia="zh-CN" w:bidi="ar"/>
              </w:rPr>
              <w:t>SUS316L</w:t>
            </w:r>
            <w:r>
              <w:rPr>
                <w:rFonts w:hint="eastAsia" w:ascii="宋体" w:hAnsi="宋体" w:cs="宋体"/>
                <w:color w:val="000000"/>
                <w:kern w:val="0"/>
                <w:sz w:val="21"/>
                <w:szCs w:val="21"/>
                <w:highlight w:val="none"/>
                <w:lang w:val="en-US" w:eastAsia="zh-CN" w:bidi="ar"/>
              </w:rPr>
              <w:t>。</w:t>
            </w:r>
          </w:p>
        </w:tc>
        <w:tc>
          <w:tcPr>
            <w:tcW w:w="47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0156AB07">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2</w:t>
            </w:r>
          </w:p>
        </w:tc>
        <w:tc>
          <w:tcPr>
            <w:tcW w:w="116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EDAF023">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台</w:t>
            </w:r>
          </w:p>
        </w:tc>
        <w:tc>
          <w:tcPr>
            <w:tcW w:w="1780"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7312071">
            <w:pPr>
              <w:widowControl/>
              <w:jc w:val="center"/>
              <w:textAlignment w:val="center"/>
              <w:rPr>
                <w:rFonts w:hint="eastAsia" w:ascii="宋体" w:hAnsi="宋体" w:cs="宋体" w:eastAsiaTheme="minorEastAsia"/>
                <w:color w:val="000000"/>
                <w:kern w:val="2"/>
                <w:sz w:val="21"/>
                <w:szCs w:val="21"/>
                <w:highlight w:val="none"/>
                <w:lang w:val="en-US" w:eastAsia="zh-CN" w:bidi="ar-SA"/>
              </w:rPr>
            </w:pPr>
          </w:p>
        </w:tc>
      </w:tr>
      <w:tr w14:paraId="20F4B710">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044170">
            <w:pPr>
              <w:widowControl/>
              <w:numPr>
                <w:ilvl w:val="0"/>
                <w:numId w:val="2"/>
              </w:numPr>
              <w:ind w:left="0" w:leftChars="0" w:firstLine="0" w:firstLineChars="0"/>
              <w:jc w:val="center"/>
              <w:textAlignment w:val="center"/>
              <w:rPr>
                <w:rFonts w:hint="default" w:ascii="宋体" w:hAnsi="宋体" w:cs="宋体"/>
                <w:color w:val="000000"/>
                <w:sz w:val="21"/>
                <w:szCs w:val="21"/>
                <w:highlight w:val="none"/>
                <w:lang w:val="en-US" w:eastAsia="zh-CN"/>
              </w:rPr>
            </w:pPr>
          </w:p>
        </w:tc>
        <w:tc>
          <w:tcPr>
            <w:tcW w:w="181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892C53F">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泳池除湿热回收增压泵</w:t>
            </w:r>
          </w:p>
        </w:tc>
        <w:tc>
          <w:tcPr>
            <w:tcW w:w="365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7506428">
            <w:pPr>
              <w:widowControl/>
              <w:jc w:val="left"/>
              <w:textAlignment w:val="center"/>
              <w:rPr>
                <w:rFonts w:hint="eastAsia" w:ascii="宋体" w:hAnsi="宋体" w:cs="宋体" w:eastAsiaTheme="minorEastAsia"/>
                <w:color w:val="000000"/>
                <w:kern w:val="2"/>
                <w:sz w:val="21"/>
                <w:szCs w:val="21"/>
                <w:highlight w:val="none"/>
                <w:lang w:val="en-US" w:eastAsia="zh-CN" w:bidi="ar-SA"/>
              </w:rPr>
            </w:pPr>
            <w:r>
              <w:rPr>
                <w:rFonts w:hint="default" w:ascii="宋体" w:hAnsi="宋体" w:cs="宋体"/>
                <w:color w:val="000000"/>
                <w:sz w:val="21"/>
                <w:szCs w:val="21"/>
                <w:highlight w:val="none"/>
                <w:lang w:val="en-US" w:eastAsia="zh-CN"/>
              </w:rPr>
              <w:t>Q=12m</w:t>
            </w:r>
            <w:r>
              <w:rPr>
                <w:rFonts w:hint="eastAsia" w:ascii="宋体" w:hAnsi="宋体" w:cs="宋体"/>
                <w:color w:val="000000"/>
                <w:sz w:val="21"/>
                <w:szCs w:val="21"/>
                <w:highlight w:val="none"/>
                <w:lang w:val="en-US" w:eastAsia="zh-CN"/>
              </w:rPr>
              <w:t xml:space="preserve">³ </w:t>
            </w:r>
            <w:r>
              <w:rPr>
                <w:rFonts w:hint="default" w:ascii="宋体" w:hAnsi="宋体" w:cs="宋体"/>
                <w:color w:val="000000"/>
                <w:sz w:val="21"/>
                <w:szCs w:val="21"/>
                <w:highlight w:val="none"/>
                <w:lang w:val="en-US" w:eastAsia="zh-CN"/>
              </w:rPr>
              <w:t>/h</w:t>
            </w:r>
            <w:r>
              <w:rPr>
                <w:rFonts w:hint="eastAsia" w:ascii="宋体" w:hAnsi="宋体" w:cs="宋体"/>
                <w:color w:val="000000"/>
                <w:sz w:val="21"/>
                <w:szCs w:val="21"/>
                <w:highlight w:val="none"/>
                <w:lang w:val="en-US" w:eastAsia="zh-CN"/>
              </w:rPr>
              <w:t>，</w:t>
            </w:r>
            <w:r>
              <w:rPr>
                <w:rFonts w:hint="default" w:ascii="宋体" w:hAnsi="宋体" w:cs="宋体"/>
                <w:color w:val="000000"/>
                <w:sz w:val="21"/>
                <w:szCs w:val="21"/>
                <w:highlight w:val="none"/>
                <w:lang w:val="en-US" w:eastAsia="zh-CN"/>
              </w:rPr>
              <w:t>H=</w:t>
            </w:r>
            <w:r>
              <w:rPr>
                <w:rFonts w:hint="eastAsia" w:ascii="宋体" w:hAnsi="宋体" w:cs="宋体"/>
                <w:color w:val="000000"/>
                <w:sz w:val="21"/>
                <w:szCs w:val="21"/>
                <w:highlight w:val="none"/>
                <w:lang w:val="en-US" w:eastAsia="zh-CN"/>
              </w:rPr>
              <w:t>15</w:t>
            </w:r>
            <w:r>
              <w:rPr>
                <w:rFonts w:hint="default" w:ascii="宋体" w:hAnsi="宋体" w:cs="宋体"/>
                <w:color w:val="000000"/>
                <w:sz w:val="21"/>
                <w:szCs w:val="21"/>
                <w:highlight w:val="none"/>
                <w:lang w:val="en-US" w:eastAsia="zh-CN"/>
              </w:rPr>
              <w:t>m</w:t>
            </w:r>
            <w:r>
              <w:rPr>
                <w:rFonts w:hint="eastAsia" w:ascii="宋体" w:hAnsi="宋体" w:cs="宋体"/>
                <w:color w:val="000000"/>
                <w:sz w:val="21"/>
                <w:szCs w:val="21"/>
                <w:highlight w:val="none"/>
                <w:lang w:val="en-US" w:eastAsia="zh-CN"/>
              </w:rPr>
              <w:t>，</w:t>
            </w:r>
            <w:r>
              <w:rPr>
                <w:rFonts w:hint="default" w:ascii="宋体" w:hAnsi="宋体" w:cs="宋体"/>
                <w:color w:val="000000"/>
                <w:sz w:val="21"/>
                <w:szCs w:val="21"/>
                <w:highlight w:val="none"/>
                <w:lang w:val="en-US" w:eastAsia="zh-CN"/>
              </w:rPr>
              <w:t>N=</w:t>
            </w:r>
            <w:r>
              <w:rPr>
                <w:rFonts w:hint="eastAsia" w:ascii="宋体" w:hAnsi="宋体" w:cs="宋体"/>
                <w:color w:val="000000"/>
                <w:sz w:val="21"/>
                <w:szCs w:val="21"/>
                <w:highlight w:val="none"/>
                <w:lang w:val="en-US" w:eastAsia="zh-CN"/>
              </w:rPr>
              <w:t>1.5</w:t>
            </w:r>
            <w:r>
              <w:rPr>
                <w:rFonts w:hint="default" w:ascii="宋体" w:hAnsi="宋体" w:cs="宋体"/>
                <w:color w:val="000000"/>
                <w:sz w:val="21"/>
                <w:szCs w:val="21"/>
                <w:highlight w:val="none"/>
                <w:lang w:val="en-US" w:eastAsia="zh-CN"/>
              </w:rPr>
              <w:t>kW</w:t>
            </w:r>
            <w:r>
              <w:rPr>
                <w:rFonts w:hint="eastAsia" w:ascii="宋体" w:hAnsi="宋体" w:cs="宋体"/>
                <w:color w:val="000000"/>
                <w:sz w:val="21"/>
                <w:szCs w:val="21"/>
                <w:highlight w:val="none"/>
                <w:lang w:val="en-US" w:eastAsia="zh-CN"/>
              </w:rPr>
              <w:t>，防腐叶轮</w:t>
            </w:r>
            <w:r>
              <w:rPr>
                <w:rFonts w:hint="default" w:ascii="宋体" w:hAnsi="宋体" w:cs="宋体"/>
                <w:color w:val="000000"/>
                <w:sz w:val="21"/>
                <w:szCs w:val="21"/>
                <w:highlight w:val="none"/>
                <w:lang w:val="en-US" w:eastAsia="zh-CN"/>
              </w:rPr>
              <w:t>1</w:t>
            </w:r>
            <w:r>
              <w:rPr>
                <w:rFonts w:hint="eastAsia" w:ascii="宋体" w:hAnsi="宋体" w:cs="宋体"/>
                <w:color w:val="000000"/>
                <w:sz w:val="21"/>
                <w:szCs w:val="21"/>
                <w:highlight w:val="none"/>
                <w:lang w:val="en-US" w:eastAsia="zh-CN"/>
              </w:rPr>
              <w:t>用</w:t>
            </w:r>
            <w:r>
              <w:rPr>
                <w:rFonts w:hint="default" w:ascii="宋体" w:hAnsi="宋体" w:cs="宋体"/>
                <w:color w:val="000000"/>
                <w:sz w:val="21"/>
                <w:szCs w:val="21"/>
                <w:highlight w:val="none"/>
                <w:lang w:val="en-US" w:eastAsia="zh-CN"/>
              </w:rPr>
              <w:t>1</w:t>
            </w:r>
            <w:r>
              <w:rPr>
                <w:rFonts w:hint="eastAsia" w:ascii="宋体" w:hAnsi="宋体" w:cs="宋体"/>
                <w:color w:val="000000"/>
                <w:sz w:val="21"/>
                <w:szCs w:val="21"/>
                <w:highlight w:val="none"/>
                <w:lang w:val="en-US" w:eastAsia="zh-CN"/>
              </w:rPr>
              <w:t>备</w:t>
            </w:r>
          </w:p>
        </w:tc>
        <w:tc>
          <w:tcPr>
            <w:tcW w:w="47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EBC3CE2">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2</w:t>
            </w:r>
          </w:p>
        </w:tc>
        <w:tc>
          <w:tcPr>
            <w:tcW w:w="116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03EF6A40">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台</w:t>
            </w:r>
          </w:p>
        </w:tc>
        <w:tc>
          <w:tcPr>
            <w:tcW w:w="1780"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279E99D">
            <w:pPr>
              <w:widowControl/>
              <w:jc w:val="center"/>
              <w:textAlignment w:val="center"/>
              <w:rPr>
                <w:rFonts w:hint="eastAsia" w:ascii="宋体" w:hAnsi="宋体" w:cs="宋体" w:eastAsiaTheme="minorEastAsia"/>
                <w:color w:val="000000"/>
                <w:kern w:val="2"/>
                <w:sz w:val="21"/>
                <w:szCs w:val="21"/>
                <w:highlight w:val="none"/>
                <w:lang w:val="en-US" w:eastAsia="zh-CN" w:bidi="ar-SA"/>
              </w:rPr>
            </w:pPr>
          </w:p>
        </w:tc>
      </w:tr>
      <w:tr w14:paraId="03061EF0">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713C4F">
            <w:pPr>
              <w:widowControl/>
              <w:numPr>
                <w:ilvl w:val="0"/>
                <w:numId w:val="2"/>
              </w:numPr>
              <w:ind w:left="0" w:leftChars="0" w:firstLine="0" w:firstLineChars="0"/>
              <w:jc w:val="center"/>
              <w:textAlignment w:val="center"/>
              <w:rPr>
                <w:rFonts w:hint="default" w:ascii="宋体" w:hAnsi="宋体" w:cs="宋体"/>
                <w:color w:val="000000"/>
                <w:sz w:val="21"/>
                <w:szCs w:val="21"/>
                <w:highlight w:val="none"/>
                <w:lang w:val="en-US" w:eastAsia="zh-CN"/>
              </w:rPr>
            </w:pPr>
          </w:p>
        </w:tc>
        <w:tc>
          <w:tcPr>
            <w:tcW w:w="181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A5A9F1A">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系统电控箱</w:t>
            </w:r>
          </w:p>
        </w:tc>
        <w:tc>
          <w:tcPr>
            <w:tcW w:w="365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8F805F4">
            <w:pPr>
              <w:jc w:val="left"/>
              <w:rPr>
                <w:rFonts w:hint="eastAsia" w:ascii="宋体" w:hAnsi="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预留电源30KW/380V</w:t>
            </w:r>
          </w:p>
          <w:p w14:paraId="2C527F11">
            <w:pPr>
              <w:jc w:val="left"/>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（含泳池用电15KW，按摩用电15KW）</w:t>
            </w:r>
          </w:p>
        </w:tc>
        <w:tc>
          <w:tcPr>
            <w:tcW w:w="47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7F3AA81">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1</w:t>
            </w:r>
          </w:p>
        </w:tc>
        <w:tc>
          <w:tcPr>
            <w:tcW w:w="116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79387CD0">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台</w:t>
            </w:r>
          </w:p>
        </w:tc>
        <w:tc>
          <w:tcPr>
            <w:tcW w:w="1780"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E98857F">
            <w:pPr>
              <w:widowControl/>
              <w:jc w:val="center"/>
              <w:textAlignment w:val="center"/>
              <w:rPr>
                <w:rFonts w:hint="eastAsia" w:ascii="宋体" w:hAnsi="宋体" w:cs="宋体" w:eastAsiaTheme="minorEastAsia"/>
                <w:color w:val="000000"/>
                <w:kern w:val="2"/>
                <w:sz w:val="21"/>
                <w:szCs w:val="21"/>
                <w:highlight w:val="none"/>
                <w:lang w:val="en-US" w:eastAsia="zh-CN" w:bidi="ar-SA"/>
              </w:rPr>
            </w:pPr>
          </w:p>
        </w:tc>
      </w:tr>
      <w:tr w14:paraId="0D98A4D3">
        <w:tblPrEx>
          <w:tblCellMar>
            <w:top w:w="0" w:type="dxa"/>
            <w:left w:w="0" w:type="dxa"/>
            <w:bottom w:w="0" w:type="dxa"/>
            <w:right w:w="0" w:type="dxa"/>
          </w:tblCellMar>
        </w:tblPrEx>
        <w:trPr>
          <w:trHeight w:val="747" w:hRule="atLeast"/>
        </w:trPr>
        <w:tc>
          <w:tcPr>
            <w:tcW w:w="78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A4D3E8">
            <w:pPr>
              <w:widowControl/>
              <w:numPr>
                <w:ilvl w:val="0"/>
                <w:numId w:val="2"/>
              </w:numPr>
              <w:ind w:left="0" w:leftChars="0" w:firstLine="0" w:firstLineChars="0"/>
              <w:jc w:val="center"/>
              <w:textAlignment w:val="center"/>
              <w:rPr>
                <w:rFonts w:hint="default" w:ascii="宋体" w:hAnsi="宋体" w:cs="宋体"/>
                <w:color w:val="000000"/>
                <w:sz w:val="21"/>
                <w:szCs w:val="21"/>
                <w:highlight w:val="none"/>
                <w:lang w:val="en-US" w:eastAsia="zh-CN"/>
              </w:rPr>
            </w:pPr>
          </w:p>
        </w:tc>
        <w:tc>
          <w:tcPr>
            <w:tcW w:w="181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1E8413E">
            <w:pPr>
              <w:widowControl/>
              <w:jc w:val="center"/>
              <w:textAlignment w:val="center"/>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真空破坏器</w:t>
            </w:r>
          </w:p>
        </w:tc>
        <w:tc>
          <w:tcPr>
            <w:tcW w:w="365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07FCEA9">
            <w:pPr>
              <w:widowControl/>
              <w:jc w:val="left"/>
              <w:textAlignment w:val="center"/>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含单项止回，通风屏，锁定释放机构，浪涌抑制器，旋转螺钉及真空计，安装在主吸水管上</w:t>
            </w:r>
          </w:p>
        </w:tc>
        <w:tc>
          <w:tcPr>
            <w:tcW w:w="47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DA1F0D6">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1</w:t>
            </w:r>
          </w:p>
        </w:tc>
        <w:tc>
          <w:tcPr>
            <w:tcW w:w="116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4DFE43E">
            <w:pPr>
              <w:widowControl/>
              <w:jc w:val="center"/>
              <w:textAlignment w:val="center"/>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套</w:t>
            </w:r>
          </w:p>
        </w:tc>
        <w:tc>
          <w:tcPr>
            <w:tcW w:w="1780"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D2AC700">
            <w:pPr>
              <w:widowControl/>
              <w:jc w:val="center"/>
              <w:textAlignment w:val="center"/>
              <w:rPr>
                <w:rFonts w:hint="eastAsia" w:ascii="宋体" w:hAnsi="宋体" w:cs="宋体" w:eastAsiaTheme="minorEastAsia"/>
                <w:color w:val="000000"/>
                <w:kern w:val="0"/>
                <w:sz w:val="21"/>
                <w:szCs w:val="21"/>
                <w:highlight w:val="none"/>
                <w:lang w:val="en-US" w:eastAsia="zh-CN" w:bidi="ar"/>
              </w:rPr>
            </w:pPr>
          </w:p>
        </w:tc>
      </w:tr>
      <w:tr w14:paraId="64B359A6">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48D97D">
            <w:pPr>
              <w:widowControl/>
              <w:numPr>
                <w:ilvl w:val="0"/>
                <w:numId w:val="2"/>
              </w:numPr>
              <w:ind w:left="0" w:leftChars="0" w:firstLine="0" w:firstLineChars="0"/>
              <w:jc w:val="center"/>
              <w:textAlignment w:val="center"/>
              <w:rPr>
                <w:rFonts w:hint="default" w:ascii="宋体" w:hAnsi="宋体" w:cs="宋体"/>
                <w:color w:val="000000"/>
                <w:sz w:val="21"/>
                <w:szCs w:val="21"/>
                <w:highlight w:val="none"/>
                <w:lang w:val="en-US" w:eastAsia="zh-CN"/>
              </w:rPr>
            </w:pPr>
          </w:p>
        </w:tc>
        <w:tc>
          <w:tcPr>
            <w:tcW w:w="181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0DA07C57">
            <w:pPr>
              <w:widowControl/>
              <w:jc w:val="center"/>
              <w:textAlignment w:val="center"/>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按摩池循环水泵</w:t>
            </w:r>
          </w:p>
        </w:tc>
        <w:tc>
          <w:tcPr>
            <w:tcW w:w="365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CECB33D">
            <w:pPr>
              <w:widowControl/>
              <w:jc w:val="left"/>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Q</w:t>
            </w:r>
            <w:r>
              <w:rPr>
                <w:rFonts w:hint="eastAsia" w:ascii="宋体" w:hAnsi="宋体" w:cs="宋体"/>
                <w:color w:val="000000"/>
                <w:kern w:val="0"/>
                <w:sz w:val="21"/>
                <w:szCs w:val="21"/>
                <w:highlight w:val="none"/>
                <w:lang w:val="en-US" w:eastAsia="zh-CN" w:bidi="ar"/>
              </w:rPr>
              <w:t>≥30</w:t>
            </w:r>
            <w:r>
              <w:rPr>
                <w:rFonts w:hint="eastAsia" w:ascii="宋体" w:hAnsi="宋体" w:cs="宋体"/>
                <w:color w:val="000000"/>
                <w:kern w:val="0"/>
                <w:sz w:val="21"/>
                <w:szCs w:val="21"/>
                <w:highlight w:val="none"/>
                <w:lang w:bidi="ar"/>
              </w:rPr>
              <w:t>m</w:t>
            </w:r>
            <w:r>
              <w:rPr>
                <w:rFonts w:hint="eastAsia" w:ascii="宋体" w:hAnsi="宋体" w:eastAsia="宋体" w:cs="宋体"/>
                <w:color w:val="000000"/>
                <w:kern w:val="0"/>
                <w:sz w:val="21"/>
                <w:szCs w:val="21"/>
                <w:highlight w:val="none"/>
                <w:lang w:bidi="ar"/>
              </w:rPr>
              <w:t>³</w:t>
            </w:r>
            <w:r>
              <w:rPr>
                <w:rFonts w:hint="eastAsia" w:ascii="宋体" w:hAnsi="宋体" w:cs="宋体"/>
                <w:color w:val="000000"/>
                <w:kern w:val="0"/>
                <w:sz w:val="21"/>
                <w:szCs w:val="21"/>
                <w:highlight w:val="none"/>
                <w:lang w:bidi="ar"/>
              </w:rPr>
              <w:t>/hr,H=</w:t>
            </w:r>
            <w:r>
              <w:rPr>
                <w:rFonts w:hint="eastAsia" w:ascii="宋体" w:hAnsi="宋体" w:cs="宋体"/>
                <w:color w:val="000000"/>
                <w:kern w:val="0"/>
                <w:sz w:val="21"/>
                <w:szCs w:val="21"/>
                <w:highlight w:val="none"/>
                <w:lang w:val="en-US" w:eastAsia="zh-CN" w:bidi="ar"/>
              </w:rPr>
              <w:t>18</w:t>
            </w:r>
            <w:r>
              <w:rPr>
                <w:rFonts w:hint="eastAsia" w:ascii="宋体" w:hAnsi="宋体" w:cs="宋体"/>
                <w:color w:val="000000"/>
                <w:kern w:val="0"/>
                <w:sz w:val="21"/>
                <w:szCs w:val="21"/>
                <w:highlight w:val="none"/>
                <w:lang w:bidi="ar"/>
              </w:rPr>
              <w:t>mH ,</w:t>
            </w:r>
            <w:r>
              <w:rPr>
                <w:rFonts w:hint="eastAsia" w:ascii="宋体" w:hAnsi="宋体" w:cs="宋体"/>
                <w:color w:val="000000"/>
                <w:kern w:val="0"/>
                <w:sz w:val="21"/>
                <w:szCs w:val="21"/>
                <w:highlight w:val="none"/>
                <w:lang w:val="en-US" w:eastAsia="zh-CN" w:bidi="ar"/>
              </w:rPr>
              <w:t>N</w:t>
            </w:r>
            <w:r>
              <w:rPr>
                <w:rFonts w:hint="eastAsia" w:ascii="宋体" w:hAnsi="宋体" w:cs="宋体"/>
                <w:color w:val="000000"/>
                <w:kern w:val="0"/>
                <w:sz w:val="21"/>
                <w:szCs w:val="21"/>
                <w:highlight w:val="none"/>
                <w:lang w:bidi="ar"/>
              </w:rPr>
              <w:t>=</w:t>
            </w:r>
            <w:r>
              <w:rPr>
                <w:rFonts w:hint="eastAsia" w:ascii="宋体" w:hAnsi="宋体" w:cs="宋体"/>
                <w:color w:val="000000"/>
                <w:kern w:val="0"/>
                <w:sz w:val="21"/>
                <w:szCs w:val="21"/>
                <w:highlight w:val="none"/>
                <w:lang w:val="en-US" w:eastAsia="zh-CN" w:bidi="ar"/>
              </w:rPr>
              <w:t>2.2</w:t>
            </w:r>
            <w:r>
              <w:rPr>
                <w:rFonts w:hint="eastAsia" w:ascii="宋体" w:hAnsi="宋体" w:cs="宋体"/>
                <w:color w:val="000000"/>
                <w:kern w:val="0"/>
                <w:sz w:val="21"/>
                <w:szCs w:val="21"/>
                <w:highlight w:val="none"/>
                <w:lang w:bidi="ar"/>
              </w:rPr>
              <w:t>kW</w:t>
            </w:r>
            <w:r>
              <w:rPr>
                <w:rFonts w:hint="eastAsia" w:ascii="宋体" w:hAnsi="宋体" w:cs="宋体"/>
                <w:color w:val="000000"/>
                <w:kern w:val="0"/>
                <w:sz w:val="21"/>
                <w:szCs w:val="21"/>
                <w:highlight w:val="none"/>
                <w:lang w:eastAsia="zh-CN" w:bidi="ar"/>
              </w:rPr>
              <w:t>，</w:t>
            </w:r>
            <w:r>
              <w:rPr>
                <w:rFonts w:hint="eastAsia" w:ascii="宋体" w:hAnsi="宋体" w:cs="宋体"/>
                <w:color w:val="000000"/>
                <w:kern w:val="0"/>
                <w:sz w:val="21"/>
                <w:szCs w:val="21"/>
                <w:highlight w:val="none"/>
                <w:lang w:val="en-US" w:eastAsia="zh-CN" w:bidi="ar"/>
              </w:rPr>
              <w:t>泳池专用自带毛发收集器</w:t>
            </w:r>
          </w:p>
        </w:tc>
        <w:tc>
          <w:tcPr>
            <w:tcW w:w="47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BAFEFE5">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3</w:t>
            </w:r>
          </w:p>
        </w:tc>
        <w:tc>
          <w:tcPr>
            <w:tcW w:w="116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75C3A61">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台</w:t>
            </w:r>
          </w:p>
        </w:tc>
        <w:tc>
          <w:tcPr>
            <w:tcW w:w="1780"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AF128E2">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二</w:t>
            </w:r>
            <w:r>
              <w:rPr>
                <w:rFonts w:hint="eastAsia" w:ascii="宋体" w:hAnsi="宋体" w:cs="宋体"/>
                <w:color w:val="000000"/>
                <w:kern w:val="0"/>
                <w:sz w:val="21"/>
                <w:szCs w:val="21"/>
                <w:highlight w:val="none"/>
                <w:lang w:bidi="ar"/>
              </w:rPr>
              <w:t>用一备</w:t>
            </w:r>
          </w:p>
        </w:tc>
      </w:tr>
      <w:tr w14:paraId="79CEE23E">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3A1865">
            <w:pPr>
              <w:widowControl/>
              <w:numPr>
                <w:ilvl w:val="0"/>
                <w:numId w:val="2"/>
              </w:numPr>
              <w:ind w:left="0" w:leftChars="0" w:firstLine="0" w:firstLineChars="0"/>
              <w:jc w:val="center"/>
              <w:textAlignment w:val="center"/>
              <w:rPr>
                <w:rFonts w:hint="default" w:ascii="宋体" w:hAnsi="宋体" w:cs="宋体"/>
                <w:color w:val="000000"/>
                <w:sz w:val="21"/>
                <w:szCs w:val="21"/>
                <w:highlight w:val="none"/>
                <w:lang w:val="en-US" w:eastAsia="zh-CN"/>
              </w:rPr>
            </w:pPr>
          </w:p>
        </w:tc>
        <w:tc>
          <w:tcPr>
            <w:tcW w:w="181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AA8341A">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按摩滤芯过滤器</w:t>
            </w:r>
          </w:p>
        </w:tc>
        <w:tc>
          <w:tcPr>
            <w:tcW w:w="365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E2DEBD6">
            <w:pPr>
              <w:widowControl/>
              <w:jc w:val="left"/>
              <w:textAlignment w:val="center"/>
              <w:rPr>
                <w:rFonts w:hint="eastAsia" w:ascii="宋体" w:hAnsi="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过滤面积≥</w:t>
            </w:r>
            <w:r>
              <w:rPr>
                <w:rFonts w:hint="default" w:ascii="宋体" w:hAnsi="宋体" w:cs="宋体"/>
                <w:color w:val="000000"/>
                <w:kern w:val="0"/>
                <w:sz w:val="21"/>
                <w:szCs w:val="21"/>
                <w:highlight w:val="none"/>
                <w:lang w:val="en-US" w:eastAsia="zh-CN" w:bidi="ar"/>
              </w:rPr>
              <w:t>48.8m</w:t>
            </w:r>
            <w:r>
              <w:rPr>
                <w:rFonts w:hint="eastAsia" w:ascii="宋体" w:hAnsi="宋体" w:cs="宋体"/>
                <w:color w:val="000000"/>
                <w:kern w:val="0"/>
                <w:sz w:val="21"/>
                <w:szCs w:val="21"/>
                <w:highlight w:val="none"/>
                <w:lang w:val="en-US" w:eastAsia="zh-CN" w:bidi="ar"/>
              </w:rPr>
              <w:t>²，滤速＜</w:t>
            </w:r>
            <w:r>
              <w:rPr>
                <w:rFonts w:hint="default" w:ascii="宋体" w:hAnsi="宋体" w:cs="宋体"/>
                <w:color w:val="000000"/>
                <w:kern w:val="0"/>
                <w:sz w:val="21"/>
                <w:szCs w:val="21"/>
                <w:highlight w:val="none"/>
                <w:lang w:val="en-US" w:eastAsia="zh-CN" w:bidi="ar"/>
              </w:rPr>
              <w:t>0.6m/h</w:t>
            </w:r>
            <w:r>
              <w:rPr>
                <w:rFonts w:hint="eastAsia" w:ascii="宋体" w:hAnsi="宋体" w:cs="宋体"/>
                <w:color w:val="000000"/>
                <w:kern w:val="0"/>
                <w:sz w:val="21"/>
                <w:szCs w:val="21"/>
                <w:highlight w:val="none"/>
                <w:lang w:val="en-US" w:eastAsia="zh-CN" w:bidi="ar"/>
              </w:rPr>
              <w:t>，</w:t>
            </w:r>
          </w:p>
          <w:p w14:paraId="4F812CBF">
            <w:pPr>
              <w:widowControl/>
              <w:jc w:val="left"/>
              <w:textAlignment w:val="center"/>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直径</w:t>
            </w:r>
            <w:r>
              <w:rPr>
                <w:rFonts w:hint="default" w:ascii="宋体" w:hAnsi="宋体" w:cs="宋体"/>
                <w:color w:val="000000"/>
                <w:kern w:val="0"/>
                <w:sz w:val="21"/>
                <w:szCs w:val="21"/>
                <w:highlight w:val="none"/>
                <w:lang w:val="en-US" w:eastAsia="zh-CN" w:bidi="ar"/>
              </w:rPr>
              <w:t>=0.6m</w:t>
            </w:r>
            <w:r>
              <w:rPr>
                <w:rFonts w:hint="eastAsia" w:ascii="宋体" w:hAnsi="宋体" w:cs="宋体"/>
                <w:color w:val="000000"/>
                <w:kern w:val="0"/>
                <w:sz w:val="21"/>
                <w:szCs w:val="21"/>
                <w:highlight w:val="none"/>
                <w:lang w:val="en-US" w:eastAsia="zh-CN" w:bidi="ar"/>
              </w:rPr>
              <w:t>，</w:t>
            </w:r>
            <w:r>
              <w:rPr>
                <w:rFonts w:hint="default" w:ascii="宋体" w:hAnsi="宋体" w:cs="宋体"/>
                <w:color w:val="000000"/>
                <w:kern w:val="0"/>
                <w:sz w:val="21"/>
                <w:szCs w:val="21"/>
                <w:highlight w:val="none"/>
                <w:lang w:val="en-US" w:eastAsia="zh-CN" w:bidi="ar"/>
              </w:rPr>
              <w:t>Q</w:t>
            </w:r>
            <w:r>
              <w:rPr>
                <w:rFonts w:hint="eastAsia" w:ascii="宋体" w:hAnsi="宋体" w:cs="宋体"/>
                <w:color w:val="000000"/>
                <w:kern w:val="0"/>
                <w:sz w:val="21"/>
                <w:szCs w:val="21"/>
                <w:highlight w:val="none"/>
                <w:lang w:val="en-US" w:eastAsia="zh-CN" w:bidi="ar"/>
              </w:rPr>
              <w:t>≥30</w:t>
            </w:r>
            <w:r>
              <w:rPr>
                <w:rFonts w:hint="default" w:ascii="宋体" w:hAnsi="宋体" w:cs="宋体"/>
                <w:color w:val="000000"/>
                <w:kern w:val="0"/>
                <w:sz w:val="21"/>
                <w:szCs w:val="21"/>
                <w:highlight w:val="none"/>
                <w:lang w:val="en-US" w:eastAsia="zh-CN" w:bidi="ar"/>
              </w:rPr>
              <w:t>m</w:t>
            </w:r>
            <w:r>
              <w:rPr>
                <w:rFonts w:hint="eastAsia" w:ascii="宋体" w:hAnsi="宋体" w:cs="宋体"/>
                <w:color w:val="000000"/>
                <w:kern w:val="0"/>
                <w:sz w:val="21"/>
                <w:szCs w:val="21"/>
                <w:highlight w:val="none"/>
                <w:lang w:val="en-US" w:eastAsia="zh-CN" w:bidi="ar"/>
              </w:rPr>
              <w:t xml:space="preserve">³ </w:t>
            </w:r>
            <w:r>
              <w:rPr>
                <w:rFonts w:hint="default" w:ascii="宋体" w:hAnsi="宋体" w:cs="宋体"/>
                <w:color w:val="000000"/>
                <w:kern w:val="0"/>
                <w:sz w:val="21"/>
                <w:szCs w:val="21"/>
                <w:highlight w:val="none"/>
                <w:lang w:val="en-US" w:eastAsia="zh-CN" w:bidi="ar"/>
              </w:rPr>
              <w:t>/h</w:t>
            </w:r>
            <w:r>
              <w:rPr>
                <w:rFonts w:hint="eastAsia" w:ascii="宋体" w:hAnsi="宋体" w:cs="宋体"/>
                <w:color w:val="000000"/>
                <w:kern w:val="0"/>
                <w:sz w:val="21"/>
                <w:szCs w:val="21"/>
                <w:highlight w:val="none"/>
                <w:lang w:val="en-US" w:eastAsia="zh-CN" w:bidi="ar"/>
              </w:rPr>
              <w:t>，过滤精度</w:t>
            </w:r>
            <w:r>
              <w:rPr>
                <w:rFonts w:hint="default" w:ascii="宋体" w:hAnsi="宋体" w:cs="宋体"/>
                <w:color w:val="000000"/>
                <w:kern w:val="0"/>
                <w:sz w:val="21"/>
                <w:szCs w:val="21"/>
                <w:highlight w:val="none"/>
                <w:lang w:val="en-US" w:eastAsia="zh-CN" w:bidi="ar"/>
              </w:rPr>
              <w:t>10</w:t>
            </w:r>
            <w:r>
              <w:rPr>
                <w:rFonts w:hint="eastAsia" w:ascii="宋体" w:hAnsi="宋体" w:cs="宋体"/>
                <w:color w:val="000000"/>
                <w:kern w:val="0"/>
                <w:sz w:val="21"/>
                <w:szCs w:val="21"/>
                <w:highlight w:val="none"/>
                <w:lang w:val="en-US" w:eastAsia="zh-CN" w:bidi="ar"/>
              </w:rPr>
              <w:t>微米，壳体由强化玻璃纤维聚化合物注塑成型，最大工作压力</w:t>
            </w:r>
            <w:r>
              <w:rPr>
                <w:rFonts w:hint="default" w:ascii="宋体" w:hAnsi="宋体" w:cs="宋体"/>
                <w:color w:val="000000"/>
                <w:kern w:val="0"/>
                <w:sz w:val="21"/>
                <w:szCs w:val="21"/>
                <w:highlight w:val="none"/>
                <w:lang w:val="en-US" w:eastAsia="zh-CN" w:bidi="ar"/>
              </w:rPr>
              <w:t>2.5kg/cm2</w:t>
            </w:r>
            <w:r>
              <w:rPr>
                <w:rFonts w:hint="eastAsia" w:ascii="宋体" w:hAnsi="宋体" w:cs="宋体"/>
                <w:color w:val="000000"/>
                <w:kern w:val="0"/>
                <w:sz w:val="21"/>
                <w:szCs w:val="21"/>
                <w:highlight w:val="none"/>
                <w:lang w:val="en-US" w:eastAsia="zh-CN" w:bidi="ar"/>
              </w:rPr>
              <w:t>，过滤材质强化聚酯纤</w:t>
            </w:r>
          </w:p>
        </w:tc>
        <w:tc>
          <w:tcPr>
            <w:tcW w:w="47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B7DACD9">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2</w:t>
            </w:r>
          </w:p>
        </w:tc>
        <w:tc>
          <w:tcPr>
            <w:tcW w:w="116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52546D1">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台</w:t>
            </w:r>
          </w:p>
        </w:tc>
        <w:tc>
          <w:tcPr>
            <w:tcW w:w="1780"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00B5B8CB">
            <w:pPr>
              <w:widowControl/>
              <w:jc w:val="center"/>
              <w:textAlignment w:val="center"/>
              <w:rPr>
                <w:rFonts w:hint="eastAsia" w:ascii="宋体" w:hAnsi="宋体" w:cs="宋体" w:eastAsiaTheme="minorEastAsia"/>
                <w:color w:val="000000"/>
                <w:kern w:val="0"/>
                <w:sz w:val="21"/>
                <w:szCs w:val="21"/>
                <w:highlight w:val="none"/>
                <w:lang w:val="en-US" w:eastAsia="zh-CN" w:bidi="ar"/>
              </w:rPr>
            </w:pPr>
          </w:p>
        </w:tc>
      </w:tr>
      <w:tr w14:paraId="5EEF18B5">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EBE87E">
            <w:pPr>
              <w:widowControl/>
              <w:numPr>
                <w:ilvl w:val="0"/>
                <w:numId w:val="2"/>
              </w:numPr>
              <w:ind w:left="0" w:leftChars="0" w:firstLine="0" w:firstLineChars="0"/>
              <w:jc w:val="center"/>
              <w:textAlignment w:val="center"/>
              <w:rPr>
                <w:rFonts w:hint="default" w:ascii="宋体" w:hAnsi="宋体" w:cs="宋体"/>
                <w:color w:val="000000"/>
                <w:sz w:val="21"/>
                <w:szCs w:val="21"/>
                <w:highlight w:val="none"/>
                <w:lang w:val="en-US" w:eastAsia="zh-CN"/>
              </w:rPr>
            </w:pPr>
          </w:p>
        </w:tc>
        <w:tc>
          <w:tcPr>
            <w:tcW w:w="181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072647EA">
            <w:pPr>
              <w:widowControl/>
              <w:jc w:val="center"/>
              <w:textAlignment w:val="center"/>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按摩池水利按摩泵</w:t>
            </w:r>
          </w:p>
        </w:tc>
        <w:tc>
          <w:tcPr>
            <w:tcW w:w="365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16CAD5D">
            <w:pPr>
              <w:widowControl/>
              <w:jc w:val="left"/>
              <w:textAlignment w:val="center"/>
              <w:rPr>
                <w:rFonts w:hint="eastAsia" w:ascii="宋体" w:hAnsi="宋体" w:cs="宋体" w:eastAsiaTheme="minorEastAsia"/>
                <w:color w:val="000000"/>
                <w:kern w:val="2"/>
                <w:sz w:val="21"/>
                <w:szCs w:val="21"/>
                <w:highlight w:val="none"/>
                <w:lang w:val="en-US" w:eastAsia="zh-CN" w:bidi="ar-SA"/>
              </w:rPr>
            </w:pPr>
            <w:r>
              <w:rPr>
                <w:rFonts w:hint="default" w:ascii="宋体" w:hAnsi="宋体" w:cs="宋体"/>
                <w:color w:val="000000"/>
                <w:sz w:val="21"/>
                <w:szCs w:val="21"/>
                <w:highlight w:val="none"/>
                <w:lang w:val="en-US" w:eastAsia="zh-CN"/>
              </w:rPr>
              <w:t>Q=</w:t>
            </w:r>
            <w:r>
              <w:rPr>
                <w:rFonts w:hint="eastAsia" w:ascii="宋体" w:hAnsi="宋体" w:cs="宋体"/>
                <w:color w:val="000000"/>
                <w:sz w:val="21"/>
                <w:szCs w:val="21"/>
                <w:highlight w:val="none"/>
                <w:lang w:val="en-US" w:eastAsia="zh-CN"/>
              </w:rPr>
              <w:t>30</w:t>
            </w:r>
            <w:r>
              <w:rPr>
                <w:rFonts w:hint="default" w:ascii="宋体" w:hAnsi="宋体" w:cs="宋体"/>
                <w:color w:val="000000"/>
                <w:sz w:val="21"/>
                <w:szCs w:val="21"/>
                <w:highlight w:val="none"/>
                <w:lang w:val="en-US" w:eastAsia="zh-CN"/>
              </w:rPr>
              <w:t>m</w:t>
            </w:r>
            <w:r>
              <w:rPr>
                <w:rFonts w:hint="eastAsia" w:ascii="宋体" w:hAnsi="宋体" w:cs="宋体"/>
                <w:color w:val="000000"/>
                <w:sz w:val="21"/>
                <w:szCs w:val="21"/>
                <w:highlight w:val="none"/>
                <w:lang w:val="en-US" w:eastAsia="zh-CN"/>
              </w:rPr>
              <w:t>³</w:t>
            </w:r>
            <w:r>
              <w:rPr>
                <w:rFonts w:hint="default" w:ascii="宋体" w:hAnsi="宋体" w:cs="宋体"/>
                <w:color w:val="000000"/>
                <w:sz w:val="21"/>
                <w:szCs w:val="21"/>
                <w:highlight w:val="none"/>
                <w:lang w:val="en-US" w:eastAsia="zh-CN"/>
              </w:rPr>
              <w:t>/h</w:t>
            </w:r>
            <w:r>
              <w:rPr>
                <w:rFonts w:hint="eastAsia" w:ascii="宋体" w:hAnsi="宋体" w:cs="宋体"/>
                <w:color w:val="000000"/>
                <w:sz w:val="21"/>
                <w:szCs w:val="21"/>
                <w:highlight w:val="none"/>
                <w:lang w:val="en-US" w:eastAsia="zh-CN"/>
              </w:rPr>
              <w:t>，</w:t>
            </w:r>
            <w:r>
              <w:rPr>
                <w:rFonts w:hint="default" w:ascii="宋体" w:hAnsi="宋体" w:cs="宋体"/>
                <w:color w:val="000000"/>
                <w:sz w:val="21"/>
                <w:szCs w:val="21"/>
                <w:highlight w:val="none"/>
                <w:lang w:val="en-US" w:eastAsia="zh-CN"/>
              </w:rPr>
              <w:t>H=</w:t>
            </w:r>
            <w:r>
              <w:rPr>
                <w:rFonts w:hint="eastAsia" w:ascii="宋体" w:hAnsi="宋体" w:cs="宋体"/>
                <w:color w:val="000000"/>
                <w:sz w:val="21"/>
                <w:szCs w:val="21"/>
                <w:highlight w:val="none"/>
                <w:lang w:val="en-US" w:eastAsia="zh-CN"/>
              </w:rPr>
              <w:t>18</w:t>
            </w:r>
            <w:r>
              <w:rPr>
                <w:rFonts w:hint="default" w:ascii="宋体" w:hAnsi="宋体" w:cs="宋体"/>
                <w:color w:val="000000"/>
                <w:sz w:val="21"/>
                <w:szCs w:val="21"/>
                <w:highlight w:val="none"/>
                <w:lang w:val="en-US" w:eastAsia="zh-CN"/>
              </w:rPr>
              <w:t>m</w:t>
            </w:r>
            <w:r>
              <w:rPr>
                <w:rFonts w:hint="eastAsia" w:ascii="宋体" w:hAnsi="宋体" w:cs="宋体"/>
                <w:color w:val="000000"/>
                <w:sz w:val="21"/>
                <w:szCs w:val="21"/>
                <w:highlight w:val="none"/>
                <w:lang w:val="en-US" w:eastAsia="zh-CN"/>
              </w:rPr>
              <w:t>，</w:t>
            </w:r>
            <w:r>
              <w:rPr>
                <w:rFonts w:hint="default" w:ascii="宋体" w:hAnsi="宋体" w:cs="宋体"/>
                <w:color w:val="000000"/>
                <w:sz w:val="21"/>
                <w:szCs w:val="21"/>
                <w:highlight w:val="none"/>
                <w:lang w:val="en-US" w:eastAsia="zh-CN"/>
              </w:rPr>
              <w:t>N=2.2kW</w:t>
            </w:r>
            <w:r>
              <w:rPr>
                <w:rFonts w:hint="eastAsia" w:ascii="宋体" w:hAnsi="宋体" w:cs="宋体"/>
                <w:color w:val="000000"/>
                <w:sz w:val="21"/>
                <w:szCs w:val="21"/>
                <w:highlight w:val="none"/>
                <w:lang w:val="en-US" w:eastAsia="zh-CN"/>
              </w:rPr>
              <w:t>，自带毛发收集器</w:t>
            </w:r>
          </w:p>
        </w:tc>
        <w:tc>
          <w:tcPr>
            <w:tcW w:w="47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7A382616">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2</w:t>
            </w:r>
          </w:p>
        </w:tc>
        <w:tc>
          <w:tcPr>
            <w:tcW w:w="116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71346E81">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台</w:t>
            </w:r>
          </w:p>
        </w:tc>
        <w:tc>
          <w:tcPr>
            <w:tcW w:w="1780"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4D65356">
            <w:pPr>
              <w:widowControl/>
              <w:jc w:val="center"/>
              <w:textAlignment w:val="center"/>
              <w:rPr>
                <w:rFonts w:hint="eastAsia" w:ascii="宋体" w:hAnsi="宋体" w:cs="宋体" w:eastAsiaTheme="minorEastAsia"/>
                <w:color w:val="000000"/>
                <w:kern w:val="0"/>
                <w:sz w:val="21"/>
                <w:szCs w:val="21"/>
                <w:highlight w:val="none"/>
                <w:lang w:val="en-US" w:eastAsia="zh-CN" w:bidi="ar"/>
              </w:rPr>
            </w:pPr>
          </w:p>
        </w:tc>
      </w:tr>
      <w:tr w14:paraId="2E71462E">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396329">
            <w:pPr>
              <w:widowControl/>
              <w:numPr>
                <w:ilvl w:val="0"/>
                <w:numId w:val="2"/>
              </w:numPr>
              <w:ind w:left="0" w:leftChars="0" w:firstLine="0" w:firstLineChars="0"/>
              <w:jc w:val="center"/>
              <w:textAlignment w:val="center"/>
              <w:rPr>
                <w:rFonts w:hint="default" w:ascii="宋体" w:hAnsi="宋体" w:cs="宋体"/>
                <w:color w:val="000000"/>
                <w:sz w:val="21"/>
                <w:szCs w:val="21"/>
                <w:highlight w:val="none"/>
                <w:lang w:val="en-US" w:eastAsia="zh-CN"/>
              </w:rPr>
            </w:pPr>
          </w:p>
        </w:tc>
        <w:tc>
          <w:tcPr>
            <w:tcW w:w="181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2260D32">
            <w:pPr>
              <w:widowControl/>
              <w:jc w:val="center"/>
              <w:textAlignment w:val="center"/>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按摩池水质监控仪</w:t>
            </w:r>
          </w:p>
        </w:tc>
        <w:tc>
          <w:tcPr>
            <w:tcW w:w="365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EAD1B80">
            <w:pPr>
              <w:widowControl/>
              <w:jc w:val="left"/>
              <w:textAlignment w:val="center"/>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四参数监控PH/ORP/余氯/温度/浊度，自带清洗砂，校正水质时刻自动清洗探头附着物</w:t>
            </w:r>
          </w:p>
        </w:tc>
        <w:tc>
          <w:tcPr>
            <w:tcW w:w="47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CC0E21C">
            <w:pPr>
              <w:widowControl/>
              <w:jc w:val="center"/>
              <w:textAlignment w:val="center"/>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1</w:t>
            </w:r>
          </w:p>
        </w:tc>
        <w:tc>
          <w:tcPr>
            <w:tcW w:w="116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FB10E32">
            <w:pPr>
              <w:widowControl/>
              <w:jc w:val="center"/>
              <w:textAlignment w:val="center"/>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台</w:t>
            </w:r>
          </w:p>
        </w:tc>
        <w:tc>
          <w:tcPr>
            <w:tcW w:w="1780"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2D5E11D">
            <w:pPr>
              <w:widowControl/>
              <w:jc w:val="center"/>
              <w:textAlignment w:val="center"/>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bidi="ar"/>
              </w:rPr>
              <w:t>自动监测,与水泵连锁控制,进行自动控制投药的启停</w:t>
            </w:r>
          </w:p>
        </w:tc>
      </w:tr>
      <w:tr w14:paraId="61A7B29D">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ACE731">
            <w:pPr>
              <w:widowControl/>
              <w:numPr>
                <w:ilvl w:val="0"/>
                <w:numId w:val="2"/>
              </w:numPr>
              <w:ind w:left="0" w:leftChars="0" w:firstLine="0" w:firstLineChars="0"/>
              <w:jc w:val="center"/>
              <w:textAlignment w:val="center"/>
              <w:rPr>
                <w:rFonts w:hint="default" w:ascii="宋体" w:hAnsi="宋体" w:cs="宋体"/>
                <w:color w:val="000000"/>
                <w:sz w:val="21"/>
                <w:szCs w:val="21"/>
                <w:highlight w:val="none"/>
                <w:lang w:val="en-US" w:eastAsia="zh-CN"/>
              </w:rPr>
            </w:pPr>
          </w:p>
        </w:tc>
        <w:tc>
          <w:tcPr>
            <w:tcW w:w="181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007B4D8B">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按摩池PH值调整剂投加装置</w:t>
            </w:r>
          </w:p>
        </w:tc>
        <w:tc>
          <w:tcPr>
            <w:tcW w:w="365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6AA6854">
            <w:pPr>
              <w:widowControl/>
              <w:jc w:val="left"/>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Q=17L/hr</w:t>
            </w:r>
            <w:r>
              <w:rPr>
                <w:rFonts w:hint="eastAsia" w:ascii="宋体" w:hAnsi="宋体" w:cs="宋体"/>
                <w:color w:val="000000"/>
                <w:kern w:val="0"/>
                <w:sz w:val="21"/>
                <w:szCs w:val="21"/>
                <w:highlight w:val="none"/>
                <w:lang w:eastAsia="zh-CN" w:bidi="ar"/>
              </w:rPr>
              <w:t>，</w:t>
            </w:r>
            <w:r>
              <w:rPr>
                <w:rFonts w:hint="eastAsia" w:ascii="宋体" w:hAnsi="宋体" w:cs="宋体"/>
                <w:color w:val="000000"/>
                <w:kern w:val="0"/>
                <w:sz w:val="21"/>
                <w:szCs w:val="21"/>
                <w:highlight w:val="none"/>
                <w:lang w:val="en-US" w:eastAsia="zh-CN" w:bidi="ar"/>
              </w:rPr>
              <w:t>H=6bar，配100L投药桶</w:t>
            </w:r>
          </w:p>
        </w:tc>
        <w:tc>
          <w:tcPr>
            <w:tcW w:w="47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6BC1856">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1</w:t>
            </w:r>
          </w:p>
        </w:tc>
        <w:tc>
          <w:tcPr>
            <w:tcW w:w="116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6A26C24">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台</w:t>
            </w:r>
          </w:p>
        </w:tc>
        <w:tc>
          <w:tcPr>
            <w:tcW w:w="1780"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16E1D4C">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根据水质监控仪指令启停</w:t>
            </w:r>
            <w:r>
              <w:rPr>
                <w:rFonts w:hint="eastAsia" w:ascii="宋体" w:hAnsi="宋体" w:cs="宋体"/>
                <w:color w:val="000000"/>
                <w:kern w:val="0"/>
                <w:sz w:val="21"/>
                <w:szCs w:val="21"/>
                <w:highlight w:val="none"/>
                <w:lang w:bidi="ar"/>
              </w:rPr>
              <w:t>pH调整剂</w:t>
            </w:r>
            <w:r>
              <w:rPr>
                <w:rFonts w:hint="eastAsia" w:ascii="宋体" w:hAnsi="宋体" w:cs="宋体"/>
                <w:color w:val="000000"/>
                <w:kern w:val="0"/>
                <w:sz w:val="21"/>
                <w:szCs w:val="21"/>
                <w:highlight w:val="none"/>
                <w:lang w:val="en-US" w:eastAsia="zh-CN" w:bidi="ar"/>
              </w:rPr>
              <w:t>投加</w:t>
            </w:r>
          </w:p>
        </w:tc>
      </w:tr>
      <w:tr w14:paraId="7458CB8D">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3810E0">
            <w:pPr>
              <w:widowControl/>
              <w:numPr>
                <w:ilvl w:val="0"/>
                <w:numId w:val="2"/>
              </w:numPr>
              <w:ind w:left="0" w:leftChars="0" w:firstLine="0" w:firstLineChars="0"/>
              <w:jc w:val="center"/>
              <w:textAlignment w:val="center"/>
              <w:rPr>
                <w:rFonts w:hint="default" w:ascii="宋体" w:hAnsi="宋体" w:cs="宋体"/>
                <w:color w:val="000000"/>
                <w:sz w:val="21"/>
                <w:szCs w:val="21"/>
                <w:highlight w:val="none"/>
                <w:lang w:val="en-US" w:eastAsia="zh-CN"/>
              </w:rPr>
            </w:pPr>
          </w:p>
        </w:tc>
        <w:tc>
          <w:tcPr>
            <w:tcW w:w="181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632AABA">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按摩池消毒剂投加装置</w:t>
            </w:r>
          </w:p>
        </w:tc>
        <w:tc>
          <w:tcPr>
            <w:tcW w:w="365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7F88E77C">
            <w:pPr>
              <w:widowControl/>
              <w:jc w:val="left"/>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Q=17L/hr</w:t>
            </w:r>
            <w:r>
              <w:rPr>
                <w:rFonts w:hint="eastAsia" w:ascii="宋体" w:hAnsi="宋体" w:cs="宋体"/>
                <w:color w:val="000000"/>
                <w:kern w:val="0"/>
                <w:sz w:val="21"/>
                <w:szCs w:val="21"/>
                <w:highlight w:val="none"/>
                <w:lang w:eastAsia="zh-CN" w:bidi="ar"/>
              </w:rPr>
              <w:t>，</w:t>
            </w:r>
            <w:r>
              <w:rPr>
                <w:rFonts w:hint="eastAsia" w:ascii="宋体" w:hAnsi="宋体" w:cs="宋体"/>
                <w:color w:val="000000"/>
                <w:kern w:val="0"/>
                <w:sz w:val="21"/>
                <w:szCs w:val="21"/>
                <w:highlight w:val="none"/>
                <w:lang w:val="en-US" w:eastAsia="zh-CN" w:bidi="ar"/>
              </w:rPr>
              <w:t>H=6bar，配100L投药桶（一用一备）</w:t>
            </w:r>
          </w:p>
        </w:tc>
        <w:tc>
          <w:tcPr>
            <w:tcW w:w="47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CA24B9A">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2</w:t>
            </w:r>
          </w:p>
        </w:tc>
        <w:tc>
          <w:tcPr>
            <w:tcW w:w="116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637D8A1">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台</w:t>
            </w:r>
          </w:p>
        </w:tc>
        <w:tc>
          <w:tcPr>
            <w:tcW w:w="1780"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D9E24FF">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根据水质监控仪指令启停消毒</w:t>
            </w:r>
            <w:r>
              <w:rPr>
                <w:rFonts w:hint="eastAsia" w:ascii="宋体" w:hAnsi="宋体" w:cs="宋体"/>
                <w:color w:val="000000"/>
                <w:kern w:val="0"/>
                <w:sz w:val="21"/>
                <w:szCs w:val="21"/>
                <w:highlight w:val="none"/>
                <w:lang w:bidi="ar"/>
              </w:rPr>
              <w:t>剂</w:t>
            </w:r>
            <w:r>
              <w:rPr>
                <w:rFonts w:hint="eastAsia" w:ascii="宋体" w:hAnsi="宋体" w:cs="宋体"/>
                <w:color w:val="000000"/>
                <w:kern w:val="0"/>
                <w:sz w:val="21"/>
                <w:szCs w:val="21"/>
                <w:highlight w:val="none"/>
                <w:lang w:val="en-US" w:eastAsia="zh-CN" w:bidi="ar"/>
              </w:rPr>
              <w:t>投加</w:t>
            </w:r>
          </w:p>
        </w:tc>
      </w:tr>
      <w:tr w14:paraId="28153257">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4BFFAB">
            <w:pPr>
              <w:widowControl/>
              <w:numPr>
                <w:ilvl w:val="0"/>
                <w:numId w:val="2"/>
              </w:numPr>
              <w:ind w:left="0" w:leftChars="0" w:firstLine="0" w:firstLineChars="0"/>
              <w:jc w:val="center"/>
              <w:textAlignment w:val="center"/>
              <w:rPr>
                <w:rFonts w:hint="default" w:ascii="宋体" w:hAnsi="宋体" w:cs="宋体"/>
                <w:color w:val="000000"/>
                <w:sz w:val="21"/>
                <w:szCs w:val="21"/>
                <w:highlight w:val="none"/>
                <w:lang w:val="en-US" w:eastAsia="zh-CN"/>
              </w:rPr>
            </w:pPr>
          </w:p>
        </w:tc>
        <w:tc>
          <w:tcPr>
            <w:tcW w:w="181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74C9E795">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2"/>
                <w:sz w:val="21"/>
                <w:szCs w:val="21"/>
                <w:highlight w:val="none"/>
                <w:lang w:val="en-US" w:eastAsia="zh-CN" w:bidi="ar-SA"/>
              </w:rPr>
              <w:t>紫外线杀菌器</w:t>
            </w:r>
          </w:p>
        </w:tc>
        <w:tc>
          <w:tcPr>
            <w:tcW w:w="365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2A2E82F">
            <w:pPr>
              <w:widowControl/>
              <w:jc w:val="left"/>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Q</w:t>
            </w:r>
            <w:r>
              <w:rPr>
                <w:rFonts w:hint="eastAsia" w:ascii="宋体" w:hAnsi="宋体" w:cs="宋体"/>
                <w:color w:val="000000"/>
                <w:kern w:val="0"/>
                <w:sz w:val="21"/>
                <w:szCs w:val="21"/>
                <w:highlight w:val="none"/>
                <w:lang w:val="en-US" w:eastAsia="zh-CN" w:bidi="ar"/>
              </w:rPr>
              <w:t>≥30</w:t>
            </w:r>
            <w:r>
              <w:rPr>
                <w:rFonts w:hint="eastAsia" w:ascii="宋体" w:hAnsi="宋体" w:cs="宋体"/>
                <w:color w:val="000000"/>
                <w:kern w:val="0"/>
                <w:sz w:val="21"/>
                <w:szCs w:val="21"/>
                <w:highlight w:val="none"/>
                <w:lang w:bidi="ar"/>
              </w:rPr>
              <w:t>m</w:t>
            </w:r>
            <w:r>
              <w:rPr>
                <w:rFonts w:hint="eastAsia" w:ascii="宋体" w:hAnsi="宋体" w:eastAsia="宋体" w:cs="宋体"/>
                <w:color w:val="000000"/>
                <w:kern w:val="0"/>
                <w:sz w:val="21"/>
                <w:szCs w:val="21"/>
                <w:highlight w:val="none"/>
                <w:lang w:bidi="ar"/>
              </w:rPr>
              <w:t>³</w:t>
            </w:r>
            <w:r>
              <w:rPr>
                <w:rFonts w:hint="eastAsia" w:ascii="宋体" w:hAnsi="宋体" w:cs="宋体"/>
                <w:color w:val="000000"/>
                <w:kern w:val="0"/>
                <w:sz w:val="21"/>
                <w:szCs w:val="21"/>
                <w:highlight w:val="none"/>
                <w:lang w:bidi="ar"/>
              </w:rPr>
              <w:t>/hr,</w:t>
            </w:r>
            <w:r>
              <w:rPr>
                <w:rFonts w:hint="eastAsia" w:ascii="宋体" w:hAnsi="宋体" w:cs="宋体"/>
                <w:color w:val="000000"/>
                <w:kern w:val="0"/>
                <w:sz w:val="21"/>
                <w:szCs w:val="21"/>
                <w:highlight w:val="none"/>
                <w:lang w:val="en-US" w:eastAsia="zh-CN" w:bidi="ar"/>
              </w:rPr>
              <w:t>N=0.34KW/220V</w:t>
            </w:r>
          </w:p>
        </w:tc>
        <w:tc>
          <w:tcPr>
            <w:tcW w:w="47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456E2CC">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val="en-US" w:eastAsia="zh-CN" w:bidi="ar"/>
              </w:rPr>
              <w:t>1</w:t>
            </w:r>
          </w:p>
        </w:tc>
        <w:tc>
          <w:tcPr>
            <w:tcW w:w="116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5376629">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kern w:val="0"/>
                <w:sz w:val="21"/>
                <w:szCs w:val="21"/>
                <w:highlight w:val="none"/>
                <w:lang w:bidi="ar"/>
              </w:rPr>
              <w:t>台</w:t>
            </w:r>
          </w:p>
        </w:tc>
        <w:tc>
          <w:tcPr>
            <w:tcW w:w="1780"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3D02E64">
            <w:pPr>
              <w:widowControl/>
              <w:jc w:val="center"/>
              <w:textAlignment w:val="center"/>
              <w:rPr>
                <w:rFonts w:hint="eastAsia" w:ascii="宋体" w:hAnsi="宋体" w:cs="宋体" w:eastAsiaTheme="minorEastAsia"/>
                <w:color w:val="000000"/>
                <w:kern w:val="2"/>
                <w:sz w:val="21"/>
                <w:szCs w:val="21"/>
                <w:highlight w:val="none"/>
                <w:lang w:val="en-US" w:eastAsia="zh-CN" w:bidi="ar-SA"/>
              </w:rPr>
            </w:pPr>
          </w:p>
        </w:tc>
      </w:tr>
      <w:tr w14:paraId="31A30427">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87AFF0">
            <w:pPr>
              <w:widowControl/>
              <w:numPr>
                <w:ilvl w:val="0"/>
                <w:numId w:val="2"/>
              </w:numPr>
              <w:ind w:left="0" w:leftChars="0" w:firstLine="0" w:firstLineChars="0"/>
              <w:jc w:val="center"/>
              <w:textAlignment w:val="center"/>
              <w:rPr>
                <w:rFonts w:hint="default" w:ascii="宋体" w:hAnsi="宋体" w:cs="宋体"/>
                <w:color w:val="000000"/>
                <w:sz w:val="21"/>
                <w:szCs w:val="21"/>
                <w:highlight w:val="none"/>
                <w:lang w:val="en-US" w:eastAsia="zh-CN"/>
              </w:rPr>
            </w:pPr>
          </w:p>
        </w:tc>
        <w:tc>
          <w:tcPr>
            <w:tcW w:w="181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0F2834FB">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泳池水水板式换热器</w:t>
            </w:r>
          </w:p>
        </w:tc>
        <w:tc>
          <w:tcPr>
            <w:tcW w:w="365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FF3F5E0">
            <w:pPr>
              <w:spacing w:beforeLines="0" w:afterLines="0"/>
              <w:jc w:val="left"/>
              <w:rPr>
                <w:rFonts w:hint="default" w:ascii="宋体" w:hAnsi="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初次加热2台，保温1台，单台换热量≥8</w:t>
            </w:r>
            <w:r>
              <w:rPr>
                <w:rFonts w:hint="default" w:ascii="宋体" w:hAnsi="宋体" w:cs="宋体"/>
                <w:color w:val="000000"/>
                <w:kern w:val="0"/>
                <w:sz w:val="21"/>
                <w:szCs w:val="21"/>
                <w:highlight w:val="none"/>
                <w:lang w:val="en-US" w:eastAsia="zh-CN" w:bidi="ar"/>
              </w:rPr>
              <w:t>0KW,</w:t>
            </w:r>
          </w:p>
          <w:p w14:paraId="64EE3E47">
            <w:pPr>
              <w:spacing w:beforeLines="0" w:afterLines="0"/>
              <w:jc w:val="left"/>
              <w:rPr>
                <w:rFonts w:hint="eastAsia" w:ascii="宋体" w:hAnsi="宋体" w:cs="宋体" w:eastAsiaTheme="minorEastAsia"/>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初次加热时间12</w:t>
            </w:r>
            <w:r>
              <w:rPr>
                <w:rFonts w:hint="default" w:ascii="宋体" w:hAnsi="宋体" w:cs="宋体"/>
                <w:color w:val="000000"/>
                <w:kern w:val="0"/>
                <w:sz w:val="21"/>
                <w:szCs w:val="21"/>
                <w:highlight w:val="none"/>
                <w:lang w:val="en-US" w:eastAsia="zh-CN" w:bidi="ar"/>
              </w:rPr>
              <w:t>h</w:t>
            </w:r>
            <w:r>
              <w:rPr>
                <w:rFonts w:hint="eastAsia" w:ascii="宋体" w:hAnsi="宋体" w:cs="宋体"/>
                <w:color w:val="000000"/>
                <w:kern w:val="0"/>
                <w:sz w:val="21"/>
                <w:szCs w:val="21"/>
                <w:highlight w:val="none"/>
                <w:lang w:val="en-US" w:eastAsia="zh-CN" w:bidi="ar"/>
              </w:rPr>
              <w:t>，起始温度</w:t>
            </w:r>
            <w:r>
              <w:rPr>
                <w:rFonts w:hint="default" w:ascii="宋体" w:hAnsi="宋体" w:cs="宋体"/>
                <w:color w:val="000000"/>
                <w:kern w:val="0"/>
                <w:sz w:val="21"/>
                <w:szCs w:val="21"/>
                <w:highlight w:val="none"/>
                <w:lang w:val="en-US" w:eastAsia="zh-CN" w:bidi="ar"/>
              </w:rPr>
              <w:t>10</w:t>
            </w:r>
            <w:r>
              <w:rPr>
                <w:rFonts w:hint="eastAsia" w:ascii="宋体" w:hAnsi="宋体" w:cs="宋体"/>
                <w:color w:val="000000"/>
                <w:kern w:val="0"/>
                <w:sz w:val="21"/>
                <w:szCs w:val="21"/>
                <w:highlight w:val="none"/>
                <w:lang w:val="en-US" w:eastAsia="zh-CN" w:bidi="ar"/>
              </w:rPr>
              <w:t>℃，目标水位3</w:t>
            </w:r>
            <w:r>
              <w:rPr>
                <w:rFonts w:hint="default" w:ascii="宋体" w:hAnsi="宋体" w:cs="宋体"/>
                <w:color w:val="000000"/>
                <w:kern w:val="0"/>
                <w:sz w:val="21"/>
                <w:szCs w:val="21"/>
                <w:highlight w:val="none"/>
                <w:lang w:val="en-US" w:eastAsia="zh-CN" w:bidi="ar"/>
              </w:rPr>
              <w:t>8</w:t>
            </w:r>
            <w:r>
              <w:rPr>
                <w:rFonts w:hint="eastAsia" w:ascii="宋体" w:hAnsi="宋体" w:cs="宋体"/>
                <w:color w:val="000000"/>
                <w:kern w:val="0"/>
                <w:sz w:val="21"/>
                <w:szCs w:val="21"/>
                <w:highlight w:val="none"/>
                <w:lang w:val="en-US" w:eastAsia="zh-CN" w:bidi="ar"/>
              </w:rPr>
              <w:t>±</w:t>
            </w:r>
            <w:r>
              <w:rPr>
                <w:rFonts w:hint="default" w:ascii="宋体" w:hAnsi="宋体" w:cs="宋体"/>
                <w:color w:val="000000"/>
                <w:kern w:val="0"/>
                <w:sz w:val="21"/>
                <w:szCs w:val="21"/>
                <w:highlight w:val="none"/>
                <w:lang w:val="en-US" w:eastAsia="zh-CN" w:bidi="ar"/>
              </w:rPr>
              <w:t>1</w:t>
            </w:r>
            <w:r>
              <w:rPr>
                <w:rFonts w:hint="eastAsia" w:ascii="宋体" w:hAnsi="宋体" w:cs="宋体"/>
                <w:color w:val="000000"/>
                <w:kern w:val="0"/>
                <w:sz w:val="21"/>
                <w:szCs w:val="21"/>
                <w:highlight w:val="none"/>
                <w:lang w:val="en-US" w:eastAsia="zh-CN" w:bidi="ar"/>
              </w:rPr>
              <w:t>℃，板片材质</w:t>
            </w:r>
            <w:r>
              <w:rPr>
                <w:rFonts w:hint="default" w:ascii="宋体" w:hAnsi="宋体" w:cs="宋体"/>
                <w:color w:val="000000"/>
                <w:kern w:val="0"/>
                <w:sz w:val="21"/>
                <w:szCs w:val="21"/>
                <w:highlight w:val="none"/>
                <w:lang w:val="en-US" w:eastAsia="zh-CN" w:bidi="ar"/>
              </w:rPr>
              <w:t>SUS316L</w:t>
            </w:r>
            <w:r>
              <w:rPr>
                <w:rFonts w:hint="eastAsia" w:ascii="宋体" w:hAnsi="宋体" w:cs="宋体"/>
                <w:color w:val="000000"/>
                <w:kern w:val="0"/>
                <w:sz w:val="21"/>
                <w:szCs w:val="21"/>
                <w:highlight w:val="none"/>
                <w:lang w:val="en-US" w:eastAsia="zh-CN" w:bidi="ar"/>
              </w:rPr>
              <w:t>。</w:t>
            </w:r>
          </w:p>
        </w:tc>
        <w:tc>
          <w:tcPr>
            <w:tcW w:w="47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B716BB6">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2</w:t>
            </w:r>
          </w:p>
        </w:tc>
        <w:tc>
          <w:tcPr>
            <w:tcW w:w="116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7649666">
            <w:pPr>
              <w:widowControl/>
              <w:jc w:val="center"/>
              <w:textAlignment w:val="center"/>
              <w:rPr>
                <w:rFonts w:hint="eastAsia" w:ascii="宋体" w:hAnsi="宋体" w:cs="宋体" w:eastAsiaTheme="minorEastAsia"/>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台</w:t>
            </w:r>
          </w:p>
        </w:tc>
        <w:tc>
          <w:tcPr>
            <w:tcW w:w="1780"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709E79C">
            <w:pPr>
              <w:widowControl/>
              <w:jc w:val="center"/>
              <w:textAlignment w:val="center"/>
              <w:rPr>
                <w:rFonts w:hint="eastAsia" w:ascii="宋体" w:hAnsi="宋体" w:cs="宋体" w:eastAsiaTheme="minorEastAsia"/>
                <w:color w:val="000000"/>
                <w:kern w:val="2"/>
                <w:sz w:val="21"/>
                <w:szCs w:val="21"/>
                <w:highlight w:val="none"/>
                <w:lang w:val="en-US" w:eastAsia="zh-CN" w:bidi="ar-SA"/>
              </w:rPr>
            </w:pPr>
          </w:p>
        </w:tc>
      </w:tr>
      <w:tr w14:paraId="06AB2062">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F714FB">
            <w:pPr>
              <w:widowControl/>
              <w:numPr>
                <w:ilvl w:val="0"/>
                <w:numId w:val="2"/>
              </w:numPr>
              <w:ind w:left="0" w:leftChars="0" w:firstLine="0" w:firstLineChars="0"/>
              <w:jc w:val="center"/>
              <w:textAlignment w:val="center"/>
              <w:rPr>
                <w:rFonts w:hint="default" w:ascii="宋体" w:hAnsi="宋体" w:cs="宋体"/>
                <w:color w:val="000000"/>
                <w:sz w:val="21"/>
                <w:szCs w:val="21"/>
                <w:highlight w:val="none"/>
                <w:lang w:val="en-US" w:eastAsia="zh-CN"/>
              </w:rPr>
            </w:pPr>
          </w:p>
        </w:tc>
        <w:tc>
          <w:tcPr>
            <w:tcW w:w="181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BE36AFE">
            <w:pPr>
              <w:widowControl/>
              <w:jc w:val="center"/>
              <w:textAlignment w:val="center"/>
              <w:rPr>
                <w:rFonts w:hint="eastAsia" w:asciiTheme="minorEastAsia" w:hAnsiTheme="minorEastAsia" w:eastAsiaTheme="minorEastAsia" w:cstheme="minorEastAsia"/>
                <w:color w:val="000000"/>
                <w:kern w:val="2"/>
                <w:sz w:val="21"/>
                <w:szCs w:val="21"/>
                <w:lang w:val="en-US" w:eastAsia="zh-CN" w:bidi="ar-SA"/>
              </w:rPr>
            </w:pPr>
            <w:r>
              <w:rPr>
                <w:rFonts w:hint="eastAsia" w:asciiTheme="minorEastAsia" w:hAnsiTheme="minorEastAsia" w:cstheme="minorEastAsia"/>
                <w:color w:val="000000"/>
                <w:sz w:val="21"/>
                <w:szCs w:val="21"/>
              </w:rPr>
              <w:t>泳池除湿三集一体机组</w:t>
            </w:r>
          </w:p>
        </w:tc>
        <w:tc>
          <w:tcPr>
            <w:tcW w:w="365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CA95C45">
            <w:pPr>
              <w:jc w:val="left"/>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热量：149.0kW；冷量：123.0kW</w:t>
            </w:r>
          </w:p>
          <w:p w14:paraId="7A1C7FFC">
            <w:pPr>
              <w:jc w:val="left"/>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抽湿量：80.0kg/Hr （回风28℃，60%）</w:t>
            </w:r>
          </w:p>
          <w:p w14:paraId="7741B761">
            <w:pPr>
              <w:jc w:val="left"/>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送风量/风压：20000m³hr/；100~750Pa</w:t>
            </w:r>
          </w:p>
          <w:p w14:paraId="579E7F79">
            <w:pPr>
              <w:jc w:val="left"/>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冷媒：R-410A</w:t>
            </w:r>
          </w:p>
          <w:p w14:paraId="48CCF6E7">
            <w:pPr>
              <w:jc w:val="left"/>
              <w:rPr>
                <w:rFonts w:hint="eastAsia" w:asciiTheme="minorEastAsia" w:hAnsiTheme="minorEastAsia" w:cstheme="minorEastAsia"/>
                <w:color w:val="000000"/>
                <w:sz w:val="21"/>
                <w:szCs w:val="21"/>
              </w:rPr>
            </w:pPr>
            <w:r>
              <w:rPr>
                <w:rFonts w:hint="eastAsia" w:asciiTheme="minorEastAsia" w:hAnsiTheme="minorEastAsia" w:cstheme="minorEastAsia"/>
                <w:color w:val="000000"/>
                <w:sz w:val="21"/>
                <w:szCs w:val="21"/>
              </w:rPr>
              <w:t>含PVC壳体钛炮</w:t>
            </w:r>
          </w:p>
          <w:p w14:paraId="61DB350A">
            <w:pPr>
              <w:jc w:val="left"/>
              <w:rPr>
                <w:rFonts w:hint="eastAsia" w:asciiTheme="minorEastAsia" w:hAnsiTheme="minorEastAsia" w:cstheme="minorEastAsia"/>
                <w:color w:val="000000"/>
                <w:sz w:val="21"/>
                <w:szCs w:val="21"/>
                <w:lang w:val="en-US" w:eastAsia="zh-CN"/>
              </w:rPr>
            </w:pPr>
            <w:r>
              <w:rPr>
                <w:rFonts w:hint="eastAsia" w:asciiTheme="minorEastAsia" w:hAnsiTheme="minorEastAsia" w:cstheme="minorEastAsia"/>
                <w:color w:val="000000"/>
                <w:sz w:val="21"/>
                <w:szCs w:val="21"/>
                <w:lang w:val="en-US" w:eastAsia="zh-CN"/>
              </w:rPr>
              <w:t>需要带接口并开放协议，供BA接驳监控</w:t>
            </w:r>
          </w:p>
          <w:p w14:paraId="1026DEFE">
            <w:pPr>
              <w:jc w:val="left"/>
              <w:rPr>
                <w:rFonts w:hint="default" w:asciiTheme="minorEastAsia" w:hAnsiTheme="minorEastAsia" w:cstheme="minorEastAsia"/>
                <w:color w:val="000000"/>
                <w:sz w:val="21"/>
                <w:szCs w:val="21"/>
                <w:lang w:val="en-US" w:eastAsia="zh-CN"/>
              </w:rPr>
            </w:pPr>
            <w:r>
              <w:rPr>
                <w:rFonts w:hint="eastAsia" w:asciiTheme="minorEastAsia" w:hAnsiTheme="minorEastAsia" w:cstheme="minorEastAsia"/>
                <w:color w:val="000000"/>
                <w:sz w:val="21"/>
                <w:szCs w:val="21"/>
                <w:lang w:val="en-US" w:eastAsia="zh-CN"/>
              </w:rPr>
              <w:t>独立变频风机。</w:t>
            </w:r>
          </w:p>
          <w:p w14:paraId="1740D77A">
            <w:pPr>
              <w:jc w:val="left"/>
              <w:rPr>
                <w:rFonts w:hint="eastAsia" w:asciiTheme="minorEastAsia" w:hAnsiTheme="minorEastAsia" w:eastAsiaTheme="minorEastAsia" w:cstheme="minorEastAsia"/>
                <w:color w:val="000000"/>
                <w:kern w:val="2"/>
                <w:sz w:val="21"/>
                <w:szCs w:val="21"/>
                <w:lang w:val="en-US" w:eastAsia="zh-CN" w:bidi="ar-SA"/>
              </w:rPr>
            </w:pPr>
            <w:r>
              <w:rPr>
                <w:rFonts w:hint="eastAsia" w:asciiTheme="minorEastAsia" w:hAnsiTheme="minorEastAsia" w:cstheme="minorEastAsia"/>
                <w:color w:val="000000"/>
                <w:sz w:val="21"/>
                <w:szCs w:val="21"/>
              </w:rPr>
              <w:t>设备分四段</w:t>
            </w:r>
          </w:p>
        </w:tc>
        <w:tc>
          <w:tcPr>
            <w:tcW w:w="47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0BE1A26">
            <w:pPr>
              <w:widowControl/>
              <w:jc w:val="center"/>
              <w:textAlignment w:val="center"/>
              <w:rPr>
                <w:rFonts w:hint="eastAsia" w:asciiTheme="minorEastAsia" w:hAnsiTheme="minorEastAsia" w:eastAsiaTheme="minorEastAsia" w:cstheme="minorEastAsia"/>
                <w:color w:val="000000"/>
                <w:kern w:val="2"/>
                <w:sz w:val="21"/>
                <w:szCs w:val="21"/>
                <w:lang w:val="en-US" w:eastAsia="zh-CN" w:bidi="ar-SA"/>
              </w:rPr>
            </w:pPr>
            <w:r>
              <w:rPr>
                <w:rFonts w:hint="eastAsia" w:asciiTheme="minorEastAsia" w:hAnsiTheme="minorEastAsia" w:cstheme="minorEastAsia"/>
                <w:color w:val="000000"/>
                <w:sz w:val="21"/>
                <w:szCs w:val="21"/>
              </w:rPr>
              <w:t>1</w:t>
            </w:r>
          </w:p>
        </w:tc>
        <w:tc>
          <w:tcPr>
            <w:tcW w:w="116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7063BEB">
            <w:pPr>
              <w:widowControl/>
              <w:jc w:val="center"/>
              <w:textAlignment w:val="center"/>
              <w:rPr>
                <w:rFonts w:hint="eastAsia" w:asciiTheme="minorEastAsia" w:hAnsiTheme="minorEastAsia" w:eastAsiaTheme="minorEastAsia" w:cstheme="minorEastAsia"/>
                <w:color w:val="000000"/>
                <w:kern w:val="2"/>
                <w:sz w:val="21"/>
                <w:szCs w:val="21"/>
                <w:lang w:val="en-US" w:eastAsia="zh-CN" w:bidi="ar-SA"/>
              </w:rPr>
            </w:pPr>
            <w:r>
              <w:rPr>
                <w:rFonts w:hint="eastAsia" w:asciiTheme="minorEastAsia" w:hAnsiTheme="minorEastAsia" w:cstheme="minorEastAsia"/>
                <w:color w:val="000000"/>
                <w:sz w:val="21"/>
                <w:szCs w:val="21"/>
              </w:rPr>
              <w:t>台</w:t>
            </w:r>
          </w:p>
        </w:tc>
        <w:tc>
          <w:tcPr>
            <w:tcW w:w="1780"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FB11A81">
            <w:pPr>
              <w:widowControl/>
              <w:jc w:val="center"/>
              <w:textAlignment w:val="center"/>
              <w:rPr>
                <w:rFonts w:hint="eastAsia" w:asciiTheme="minorEastAsia" w:hAnsiTheme="minorEastAsia" w:eastAsiaTheme="minorEastAsia" w:cstheme="minorEastAsia"/>
                <w:color w:val="000000"/>
                <w:kern w:val="2"/>
                <w:sz w:val="21"/>
                <w:szCs w:val="21"/>
                <w:lang w:val="en-US" w:eastAsia="zh-CN" w:bidi="ar-SA"/>
              </w:rPr>
            </w:pPr>
          </w:p>
        </w:tc>
      </w:tr>
      <w:tr w14:paraId="336B7799">
        <w:tblPrEx>
          <w:tblCellMar>
            <w:top w:w="0" w:type="dxa"/>
            <w:left w:w="0" w:type="dxa"/>
            <w:bottom w:w="0" w:type="dxa"/>
            <w:right w:w="0" w:type="dxa"/>
          </w:tblCellMar>
        </w:tblPrEx>
        <w:trPr>
          <w:trHeight w:val="312" w:hRule="atLeast"/>
        </w:trPr>
        <w:tc>
          <w:tcPr>
            <w:tcW w:w="783"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DA225F">
            <w:pPr>
              <w:widowControl/>
              <w:numPr>
                <w:ilvl w:val="0"/>
                <w:numId w:val="2"/>
              </w:numPr>
              <w:ind w:left="0" w:leftChars="0" w:firstLine="0" w:firstLineChars="0"/>
              <w:jc w:val="center"/>
              <w:textAlignment w:val="center"/>
              <w:rPr>
                <w:rFonts w:hint="default" w:ascii="宋体" w:hAnsi="宋体" w:cs="宋体"/>
                <w:color w:val="000000"/>
                <w:sz w:val="21"/>
                <w:szCs w:val="21"/>
                <w:highlight w:val="none"/>
                <w:lang w:val="en-US" w:eastAsia="zh-CN"/>
              </w:rPr>
            </w:pPr>
          </w:p>
        </w:tc>
        <w:tc>
          <w:tcPr>
            <w:tcW w:w="181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3989196">
            <w:pPr>
              <w:widowControl/>
              <w:jc w:val="center"/>
              <w:textAlignment w:val="center"/>
              <w:rPr>
                <w:rFonts w:hint="eastAsia" w:asciiTheme="minorEastAsia" w:hAnsiTheme="minorEastAsia" w:eastAsiaTheme="minorEastAsia" w:cstheme="minorEastAsia"/>
                <w:color w:val="000000"/>
                <w:kern w:val="2"/>
                <w:sz w:val="21"/>
                <w:szCs w:val="21"/>
                <w:lang w:val="en-US" w:eastAsia="zh-CN" w:bidi="ar-SA"/>
              </w:rPr>
            </w:pPr>
            <w:r>
              <w:rPr>
                <w:rFonts w:hint="eastAsia" w:asciiTheme="minorEastAsia" w:hAnsiTheme="minorEastAsia" w:cstheme="minorEastAsia"/>
                <w:color w:val="000000"/>
                <w:sz w:val="21"/>
                <w:szCs w:val="21"/>
              </w:rPr>
              <w:t>配套室外机组</w:t>
            </w:r>
          </w:p>
        </w:tc>
        <w:tc>
          <w:tcPr>
            <w:tcW w:w="3651"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DA1A456">
            <w:pPr>
              <w:jc w:val="left"/>
              <w:rPr>
                <w:rFonts w:hint="eastAsia" w:asciiTheme="minorEastAsia" w:hAnsiTheme="minorEastAsia" w:eastAsiaTheme="minorEastAsia" w:cstheme="minorEastAsia"/>
                <w:color w:val="000000"/>
                <w:kern w:val="2"/>
                <w:sz w:val="21"/>
                <w:szCs w:val="21"/>
                <w:lang w:val="en-US" w:eastAsia="zh-CN" w:bidi="ar-SA"/>
              </w:rPr>
            </w:pPr>
          </w:p>
        </w:tc>
        <w:tc>
          <w:tcPr>
            <w:tcW w:w="47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FD0BA47">
            <w:pPr>
              <w:widowControl/>
              <w:jc w:val="center"/>
              <w:textAlignment w:val="center"/>
              <w:rPr>
                <w:rFonts w:hint="eastAsia" w:asciiTheme="minorEastAsia" w:hAnsiTheme="minorEastAsia" w:eastAsiaTheme="minorEastAsia" w:cstheme="minorEastAsia"/>
                <w:color w:val="000000"/>
                <w:kern w:val="2"/>
                <w:sz w:val="21"/>
                <w:szCs w:val="21"/>
                <w:lang w:val="en-US" w:eastAsia="zh-CN" w:bidi="ar-SA"/>
              </w:rPr>
            </w:pPr>
            <w:r>
              <w:rPr>
                <w:rFonts w:hint="eastAsia" w:asciiTheme="minorEastAsia" w:hAnsiTheme="minorEastAsia" w:cstheme="minorEastAsia"/>
                <w:color w:val="000000"/>
                <w:sz w:val="21"/>
                <w:szCs w:val="21"/>
              </w:rPr>
              <w:t>1</w:t>
            </w:r>
          </w:p>
        </w:tc>
        <w:tc>
          <w:tcPr>
            <w:tcW w:w="116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F799662">
            <w:pPr>
              <w:widowControl/>
              <w:jc w:val="center"/>
              <w:textAlignment w:val="center"/>
              <w:rPr>
                <w:rFonts w:hint="eastAsia" w:asciiTheme="minorEastAsia" w:hAnsiTheme="minorEastAsia" w:eastAsiaTheme="minorEastAsia" w:cstheme="minorEastAsia"/>
                <w:color w:val="000000"/>
                <w:kern w:val="2"/>
                <w:sz w:val="21"/>
                <w:szCs w:val="21"/>
                <w:lang w:val="en-US" w:eastAsia="zh-CN" w:bidi="ar-SA"/>
              </w:rPr>
            </w:pPr>
            <w:r>
              <w:rPr>
                <w:rFonts w:hint="eastAsia" w:asciiTheme="minorEastAsia" w:hAnsiTheme="minorEastAsia" w:cstheme="minorEastAsia"/>
                <w:color w:val="000000"/>
                <w:sz w:val="21"/>
                <w:szCs w:val="21"/>
              </w:rPr>
              <w:t>台</w:t>
            </w:r>
          </w:p>
        </w:tc>
        <w:tc>
          <w:tcPr>
            <w:tcW w:w="1780"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057F3FE">
            <w:pPr>
              <w:widowControl/>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与室内主机配套</w:t>
            </w:r>
          </w:p>
          <w:p w14:paraId="1A8B554C">
            <w:pPr>
              <w:widowControl/>
              <w:jc w:val="center"/>
              <w:textAlignment w:val="center"/>
              <w:rPr>
                <w:rFonts w:hint="eastAsia" w:asciiTheme="minorEastAsia" w:hAnsiTheme="minorEastAsia" w:eastAsiaTheme="minorEastAsia" w:cstheme="minorEastAsia"/>
                <w:color w:val="000000"/>
                <w:kern w:val="2"/>
                <w:sz w:val="21"/>
                <w:szCs w:val="21"/>
                <w:lang w:val="en-US" w:eastAsia="zh-CN" w:bidi="ar-SA"/>
              </w:rPr>
            </w:pPr>
            <w:r>
              <w:rPr>
                <w:rFonts w:hint="eastAsia" w:asciiTheme="minorEastAsia" w:hAnsiTheme="minorEastAsia" w:cstheme="minorEastAsia"/>
                <w:color w:val="000000"/>
                <w:sz w:val="21"/>
                <w:szCs w:val="21"/>
              </w:rPr>
              <w:t>单程距离总长≤30米</w:t>
            </w:r>
          </w:p>
        </w:tc>
      </w:tr>
    </w:tbl>
    <w:p w14:paraId="65AF8251">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10" w:name="_Toc22056"/>
      <w:bookmarkStart w:id="11" w:name="_Toc6479"/>
      <w:bookmarkStart w:id="12" w:name="_Toc2924"/>
      <w:bookmarkStart w:id="13" w:name="_Toc19352"/>
      <w:r>
        <w:rPr>
          <w:rFonts w:hint="eastAsia" w:ascii="宋体" w:hAnsi="宋体"/>
          <w:b/>
          <w:sz w:val="21"/>
          <w:szCs w:val="21"/>
          <w:highlight w:val="none"/>
        </w:rPr>
        <w:t>水质标准</w:t>
      </w:r>
      <w:bookmarkEnd w:id="10"/>
      <w:bookmarkEnd w:id="11"/>
      <w:bookmarkEnd w:id="12"/>
      <w:bookmarkEnd w:id="13"/>
    </w:p>
    <w:p w14:paraId="23932997">
      <w:pPr>
        <w:spacing w:line="360" w:lineRule="auto"/>
        <w:ind w:firstLine="420" w:firstLineChars="200"/>
        <w:rPr>
          <w:rFonts w:ascii="宋体" w:hAnsi="宋体"/>
          <w:sz w:val="21"/>
          <w:szCs w:val="21"/>
          <w:highlight w:val="none"/>
        </w:rPr>
      </w:pPr>
      <w:r>
        <w:rPr>
          <w:rFonts w:hint="eastAsia" w:ascii="宋体" w:hAnsi="宋体"/>
          <w:sz w:val="21"/>
          <w:szCs w:val="21"/>
          <w:highlight w:val="none"/>
        </w:rPr>
        <w:t>要求</w:t>
      </w:r>
      <w:r>
        <w:rPr>
          <w:rFonts w:ascii="宋体" w:hAnsi="宋体"/>
          <w:sz w:val="21"/>
          <w:szCs w:val="21"/>
          <w:highlight w:val="none"/>
        </w:rPr>
        <w:t>经处理后的池水，其净化质量需达到“人工游泳池水质卫生标准”和《游泳池给水排水设计规范》的各项要求，其中包括</w:t>
      </w:r>
      <w:r>
        <w:rPr>
          <w:rFonts w:hint="eastAsia" w:ascii="宋体" w:hAnsi="宋体"/>
          <w:sz w:val="21"/>
          <w:szCs w:val="21"/>
          <w:highlight w:val="none"/>
        </w:rPr>
        <w:t>：</w:t>
      </w:r>
    </w:p>
    <w:p w14:paraId="764DE9F1">
      <w:pPr>
        <w:spacing w:line="360" w:lineRule="auto"/>
        <w:ind w:left="360" w:firstLine="480"/>
        <w:rPr>
          <w:rFonts w:hint="eastAsia" w:ascii="宋体" w:hAnsi="宋体"/>
          <w:sz w:val="21"/>
          <w:szCs w:val="21"/>
          <w:highlight w:val="none"/>
        </w:rPr>
      </w:pPr>
      <w:r>
        <w:rPr>
          <w:rFonts w:ascii="宋体" w:hAnsi="宋体"/>
          <w:sz w:val="21"/>
          <w:szCs w:val="21"/>
          <w:highlight w:val="none"/>
        </w:rPr>
        <w:t>pH值</w:t>
      </w:r>
      <w:r>
        <w:rPr>
          <w:rFonts w:hint="eastAsia" w:ascii="宋体" w:hAnsi="宋体"/>
          <w:sz w:val="21"/>
          <w:szCs w:val="21"/>
          <w:highlight w:val="none"/>
        </w:rPr>
        <w:tab/>
      </w:r>
      <w:r>
        <w:rPr>
          <w:rFonts w:hint="eastAsia" w:ascii="宋体" w:hAnsi="宋体"/>
          <w:sz w:val="21"/>
          <w:szCs w:val="21"/>
          <w:highlight w:val="none"/>
        </w:rPr>
        <w:tab/>
      </w:r>
      <w:r>
        <w:rPr>
          <w:rFonts w:hint="eastAsia" w:ascii="宋体" w:hAnsi="宋体"/>
          <w:sz w:val="21"/>
          <w:szCs w:val="21"/>
          <w:highlight w:val="none"/>
        </w:rPr>
        <w:tab/>
      </w:r>
      <w:r>
        <w:rPr>
          <w:rFonts w:ascii="宋体" w:hAnsi="宋体"/>
          <w:sz w:val="21"/>
          <w:szCs w:val="21"/>
          <w:highlight w:val="none"/>
        </w:rPr>
        <w:t>:</w:t>
      </w:r>
      <w:r>
        <w:rPr>
          <w:rFonts w:hint="eastAsia" w:ascii="宋体" w:hAnsi="宋体"/>
          <w:sz w:val="21"/>
          <w:szCs w:val="21"/>
          <w:highlight w:val="none"/>
        </w:rPr>
        <w:tab/>
      </w:r>
      <w:r>
        <w:rPr>
          <w:rFonts w:ascii="宋体" w:hAnsi="宋体"/>
          <w:sz w:val="21"/>
          <w:szCs w:val="21"/>
          <w:highlight w:val="none"/>
        </w:rPr>
        <w:t>7.</w:t>
      </w:r>
      <w:r>
        <w:rPr>
          <w:rFonts w:hint="eastAsia" w:ascii="宋体" w:hAnsi="宋体"/>
          <w:sz w:val="21"/>
          <w:szCs w:val="21"/>
          <w:highlight w:val="none"/>
        </w:rPr>
        <w:t xml:space="preserve">2 -- </w:t>
      </w:r>
      <w:r>
        <w:rPr>
          <w:rFonts w:ascii="宋体" w:hAnsi="宋体"/>
          <w:sz w:val="21"/>
          <w:szCs w:val="21"/>
          <w:highlight w:val="none"/>
        </w:rPr>
        <w:t>7.</w:t>
      </w:r>
      <w:r>
        <w:rPr>
          <w:rFonts w:hint="eastAsia" w:ascii="宋体" w:hAnsi="宋体"/>
          <w:sz w:val="21"/>
          <w:szCs w:val="21"/>
          <w:highlight w:val="none"/>
        </w:rPr>
        <w:t>8</w:t>
      </w:r>
    </w:p>
    <w:p w14:paraId="2BF68B37">
      <w:pPr>
        <w:spacing w:line="360" w:lineRule="auto"/>
        <w:ind w:left="360" w:firstLine="480"/>
        <w:rPr>
          <w:rFonts w:ascii="宋体" w:hAnsi="宋体"/>
          <w:sz w:val="21"/>
          <w:szCs w:val="21"/>
          <w:highlight w:val="none"/>
        </w:rPr>
      </w:pPr>
      <w:r>
        <w:rPr>
          <w:rFonts w:ascii="宋体" w:hAnsi="宋体"/>
          <w:sz w:val="21"/>
          <w:szCs w:val="21"/>
          <w:highlight w:val="none"/>
        </w:rPr>
        <w:t>浑浊度</w:t>
      </w:r>
      <w:r>
        <w:rPr>
          <w:rFonts w:hint="eastAsia" w:ascii="宋体" w:hAnsi="宋体"/>
          <w:sz w:val="21"/>
          <w:szCs w:val="21"/>
          <w:highlight w:val="none"/>
        </w:rPr>
        <w:tab/>
      </w:r>
      <w:r>
        <w:rPr>
          <w:rFonts w:hint="eastAsia" w:ascii="宋体" w:hAnsi="宋体"/>
          <w:sz w:val="21"/>
          <w:szCs w:val="21"/>
          <w:highlight w:val="none"/>
        </w:rPr>
        <w:tab/>
      </w:r>
      <w:r>
        <w:rPr>
          <w:rFonts w:hint="eastAsia" w:ascii="宋体" w:hAnsi="宋体"/>
          <w:sz w:val="21"/>
          <w:szCs w:val="21"/>
          <w:highlight w:val="none"/>
        </w:rPr>
        <w:tab/>
      </w:r>
      <w:r>
        <w:rPr>
          <w:rFonts w:ascii="宋体" w:hAnsi="宋体"/>
          <w:sz w:val="21"/>
          <w:szCs w:val="21"/>
          <w:highlight w:val="none"/>
        </w:rPr>
        <w:t>:</w:t>
      </w:r>
      <w:r>
        <w:rPr>
          <w:rFonts w:hint="eastAsia" w:ascii="宋体" w:hAnsi="宋体"/>
          <w:sz w:val="21"/>
          <w:szCs w:val="21"/>
          <w:highlight w:val="none"/>
        </w:rPr>
        <w:tab/>
      </w:r>
      <w:r>
        <w:rPr>
          <w:rFonts w:ascii="宋体" w:hAnsi="宋体"/>
          <w:sz w:val="21"/>
          <w:szCs w:val="21"/>
          <w:highlight w:val="none"/>
        </w:rPr>
        <w:t>≤</w:t>
      </w:r>
      <w:r>
        <w:rPr>
          <w:rFonts w:hint="eastAsia" w:ascii="宋体" w:hAnsi="宋体"/>
          <w:sz w:val="21"/>
          <w:szCs w:val="21"/>
          <w:highlight w:val="none"/>
        </w:rPr>
        <w:t>0.5N</w:t>
      </w:r>
      <w:r>
        <w:rPr>
          <w:rFonts w:ascii="宋体" w:hAnsi="宋体"/>
          <w:sz w:val="21"/>
          <w:szCs w:val="21"/>
          <w:highlight w:val="none"/>
        </w:rPr>
        <w:t>TU</w:t>
      </w:r>
    </w:p>
    <w:p w14:paraId="05810E79">
      <w:pPr>
        <w:spacing w:line="360" w:lineRule="auto"/>
        <w:ind w:left="360" w:firstLine="480"/>
        <w:rPr>
          <w:rFonts w:hint="eastAsia" w:ascii="宋体" w:hAnsi="宋体"/>
          <w:sz w:val="21"/>
          <w:szCs w:val="21"/>
          <w:highlight w:val="none"/>
        </w:rPr>
      </w:pPr>
      <w:r>
        <w:rPr>
          <w:rFonts w:ascii="宋体" w:hAnsi="宋体"/>
          <w:sz w:val="21"/>
          <w:szCs w:val="21"/>
          <w:highlight w:val="none"/>
        </w:rPr>
        <w:t>大肠埃希氏杆菌</w:t>
      </w:r>
      <w:r>
        <w:rPr>
          <w:rFonts w:hint="eastAsia" w:ascii="宋体" w:hAnsi="宋体"/>
          <w:sz w:val="21"/>
          <w:szCs w:val="21"/>
          <w:highlight w:val="none"/>
        </w:rPr>
        <w:tab/>
      </w:r>
      <w:r>
        <w:rPr>
          <w:rFonts w:ascii="宋体" w:hAnsi="宋体"/>
          <w:sz w:val="21"/>
          <w:szCs w:val="21"/>
          <w:highlight w:val="none"/>
        </w:rPr>
        <w:t>:</w:t>
      </w:r>
      <w:r>
        <w:rPr>
          <w:rFonts w:hint="eastAsia" w:ascii="宋体" w:hAnsi="宋体"/>
          <w:sz w:val="21"/>
          <w:szCs w:val="21"/>
          <w:highlight w:val="none"/>
        </w:rPr>
        <w:tab/>
      </w:r>
      <w:r>
        <w:rPr>
          <w:rFonts w:ascii="宋体" w:hAnsi="宋体"/>
          <w:sz w:val="21"/>
          <w:szCs w:val="21"/>
          <w:highlight w:val="none"/>
        </w:rPr>
        <w:t>100ml池水中不可检出</w:t>
      </w:r>
    </w:p>
    <w:p w14:paraId="65438435">
      <w:pPr>
        <w:spacing w:line="360" w:lineRule="auto"/>
        <w:ind w:left="360" w:firstLine="480"/>
        <w:rPr>
          <w:rFonts w:ascii="宋体" w:hAnsi="宋体"/>
          <w:sz w:val="21"/>
          <w:szCs w:val="21"/>
          <w:highlight w:val="none"/>
        </w:rPr>
      </w:pPr>
      <w:r>
        <w:rPr>
          <w:rFonts w:hint="eastAsia" w:ascii="宋体" w:hAnsi="宋体"/>
          <w:sz w:val="21"/>
          <w:szCs w:val="21"/>
          <w:highlight w:val="none"/>
        </w:rPr>
        <w:t>菌落总数（36±1℃，48h）</w:t>
      </w:r>
      <w:r>
        <w:rPr>
          <w:rFonts w:ascii="宋体" w:hAnsi="宋体"/>
          <w:sz w:val="21"/>
          <w:szCs w:val="21"/>
          <w:highlight w:val="none"/>
        </w:rPr>
        <w:t>:</w:t>
      </w:r>
      <w:r>
        <w:rPr>
          <w:rFonts w:hint="eastAsia" w:ascii="宋体" w:hAnsi="宋体"/>
          <w:sz w:val="21"/>
          <w:szCs w:val="21"/>
          <w:highlight w:val="none"/>
        </w:rPr>
        <w:tab/>
      </w:r>
      <w:r>
        <w:rPr>
          <w:rFonts w:hint="eastAsia" w:ascii="宋体" w:hAnsi="宋体"/>
          <w:sz w:val="21"/>
          <w:szCs w:val="21"/>
          <w:highlight w:val="none"/>
        </w:rPr>
        <w:t>≤100CFU/mL</w:t>
      </w:r>
    </w:p>
    <w:p w14:paraId="4DACDD9B">
      <w:pPr>
        <w:spacing w:line="360" w:lineRule="auto"/>
        <w:ind w:left="360" w:firstLine="480"/>
        <w:rPr>
          <w:rFonts w:ascii="宋体" w:hAnsi="宋体"/>
          <w:sz w:val="21"/>
          <w:szCs w:val="21"/>
          <w:highlight w:val="none"/>
        </w:rPr>
      </w:pPr>
      <w:r>
        <w:rPr>
          <w:rFonts w:ascii="宋体" w:hAnsi="宋体"/>
          <w:sz w:val="21"/>
          <w:szCs w:val="21"/>
          <w:highlight w:val="none"/>
        </w:rPr>
        <w:t>游离余氯</w:t>
      </w:r>
      <w:r>
        <w:rPr>
          <w:rFonts w:hint="eastAsia" w:ascii="宋体" w:hAnsi="宋体"/>
          <w:sz w:val="21"/>
          <w:szCs w:val="21"/>
          <w:highlight w:val="none"/>
        </w:rPr>
        <w:tab/>
      </w:r>
      <w:r>
        <w:rPr>
          <w:rFonts w:hint="eastAsia" w:ascii="宋体" w:hAnsi="宋体"/>
          <w:sz w:val="21"/>
          <w:szCs w:val="21"/>
          <w:highlight w:val="none"/>
        </w:rPr>
        <w:tab/>
      </w:r>
      <w:r>
        <w:rPr>
          <w:rFonts w:ascii="宋体" w:hAnsi="宋体"/>
          <w:sz w:val="21"/>
          <w:szCs w:val="21"/>
          <w:highlight w:val="none"/>
        </w:rPr>
        <w:t>:</w:t>
      </w:r>
      <w:r>
        <w:rPr>
          <w:rFonts w:hint="eastAsia" w:ascii="宋体" w:hAnsi="宋体"/>
          <w:sz w:val="21"/>
          <w:szCs w:val="21"/>
          <w:highlight w:val="none"/>
        </w:rPr>
        <w:tab/>
      </w:r>
      <w:r>
        <w:rPr>
          <w:rFonts w:ascii="宋体" w:hAnsi="宋体"/>
          <w:sz w:val="21"/>
          <w:szCs w:val="21"/>
          <w:highlight w:val="none"/>
        </w:rPr>
        <w:t>0.</w:t>
      </w:r>
      <w:r>
        <w:rPr>
          <w:rFonts w:hint="eastAsia" w:ascii="宋体" w:hAnsi="宋体"/>
          <w:sz w:val="21"/>
          <w:szCs w:val="21"/>
          <w:highlight w:val="none"/>
        </w:rPr>
        <w:t>3</w:t>
      </w:r>
      <w:r>
        <w:rPr>
          <w:rFonts w:ascii="宋体" w:hAnsi="宋体"/>
          <w:sz w:val="21"/>
          <w:szCs w:val="21"/>
          <w:highlight w:val="none"/>
        </w:rPr>
        <w:t>—</w:t>
      </w:r>
      <w:r>
        <w:rPr>
          <w:rFonts w:hint="eastAsia" w:ascii="宋体" w:hAnsi="宋体"/>
          <w:sz w:val="21"/>
          <w:szCs w:val="21"/>
          <w:highlight w:val="none"/>
        </w:rPr>
        <w:t>1.0</w:t>
      </w:r>
      <w:r>
        <w:rPr>
          <w:rFonts w:ascii="宋体" w:hAnsi="宋体"/>
          <w:sz w:val="21"/>
          <w:szCs w:val="21"/>
          <w:highlight w:val="none"/>
        </w:rPr>
        <w:t>毫克/升</w:t>
      </w:r>
    </w:p>
    <w:p w14:paraId="1A017A20">
      <w:pPr>
        <w:spacing w:line="360" w:lineRule="auto"/>
        <w:ind w:left="360" w:firstLine="480"/>
        <w:rPr>
          <w:rFonts w:ascii="宋体" w:hAnsi="宋体"/>
          <w:sz w:val="21"/>
          <w:szCs w:val="21"/>
          <w:highlight w:val="none"/>
        </w:rPr>
      </w:pPr>
      <w:r>
        <w:rPr>
          <w:rFonts w:ascii="宋体" w:hAnsi="宋体"/>
          <w:sz w:val="21"/>
          <w:szCs w:val="21"/>
          <w:highlight w:val="none"/>
        </w:rPr>
        <w:t>化合性余氯</w:t>
      </w:r>
      <w:r>
        <w:rPr>
          <w:rFonts w:hint="eastAsia" w:ascii="宋体" w:hAnsi="宋体"/>
          <w:sz w:val="21"/>
          <w:szCs w:val="21"/>
          <w:highlight w:val="none"/>
        </w:rPr>
        <w:tab/>
      </w:r>
      <w:r>
        <w:rPr>
          <w:rFonts w:hint="eastAsia" w:ascii="宋体" w:hAnsi="宋体"/>
          <w:sz w:val="21"/>
          <w:szCs w:val="21"/>
          <w:highlight w:val="none"/>
        </w:rPr>
        <w:tab/>
      </w:r>
      <w:r>
        <w:rPr>
          <w:rFonts w:ascii="宋体" w:hAnsi="宋体"/>
          <w:sz w:val="21"/>
          <w:szCs w:val="21"/>
          <w:highlight w:val="none"/>
        </w:rPr>
        <w:t>:</w:t>
      </w:r>
      <w:r>
        <w:rPr>
          <w:rFonts w:hint="eastAsia" w:ascii="宋体" w:hAnsi="宋体"/>
          <w:sz w:val="21"/>
          <w:szCs w:val="21"/>
          <w:highlight w:val="none"/>
        </w:rPr>
        <w:tab/>
      </w:r>
      <w:r>
        <w:rPr>
          <w:rFonts w:ascii="宋体" w:hAnsi="宋体"/>
          <w:sz w:val="21"/>
          <w:szCs w:val="21"/>
          <w:highlight w:val="none"/>
        </w:rPr>
        <w:t>≤0.4毫克/升</w:t>
      </w:r>
    </w:p>
    <w:p w14:paraId="217F1CB3">
      <w:pPr>
        <w:spacing w:line="360" w:lineRule="auto"/>
        <w:ind w:left="360" w:firstLine="480"/>
        <w:rPr>
          <w:rFonts w:hint="eastAsia" w:ascii="宋体" w:hAnsi="宋体"/>
          <w:sz w:val="21"/>
          <w:szCs w:val="21"/>
          <w:highlight w:val="none"/>
        </w:rPr>
      </w:pPr>
      <w:r>
        <w:rPr>
          <w:rFonts w:ascii="宋体" w:hAnsi="宋体"/>
          <w:sz w:val="21"/>
          <w:szCs w:val="21"/>
          <w:highlight w:val="none"/>
        </w:rPr>
        <w:t>三卤甲烷（THM）</w:t>
      </w:r>
      <w:r>
        <w:rPr>
          <w:rFonts w:hint="eastAsia" w:ascii="宋体" w:hAnsi="宋体"/>
          <w:sz w:val="21"/>
          <w:szCs w:val="21"/>
          <w:highlight w:val="none"/>
        </w:rPr>
        <w:tab/>
      </w:r>
      <w:r>
        <w:rPr>
          <w:rFonts w:ascii="宋体" w:hAnsi="宋体"/>
          <w:sz w:val="21"/>
          <w:szCs w:val="21"/>
          <w:highlight w:val="none"/>
        </w:rPr>
        <w:t>:</w:t>
      </w:r>
      <w:r>
        <w:rPr>
          <w:rFonts w:hint="eastAsia" w:ascii="宋体" w:hAnsi="宋体"/>
          <w:sz w:val="21"/>
          <w:szCs w:val="21"/>
          <w:highlight w:val="none"/>
        </w:rPr>
        <w:tab/>
      </w:r>
      <w:r>
        <w:rPr>
          <w:rFonts w:ascii="宋体" w:hAnsi="宋体"/>
          <w:sz w:val="21"/>
          <w:szCs w:val="21"/>
          <w:highlight w:val="none"/>
        </w:rPr>
        <w:t>≤20μg/L</w:t>
      </w:r>
    </w:p>
    <w:p w14:paraId="2D037BE7">
      <w:pPr>
        <w:spacing w:line="360" w:lineRule="auto"/>
        <w:ind w:left="360" w:firstLine="480"/>
        <w:rPr>
          <w:rFonts w:hint="eastAsia" w:ascii="宋体" w:hAnsi="宋体"/>
          <w:sz w:val="21"/>
          <w:szCs w:val="21"/>
          <w:highlight w:val="none"/>
        </w:rPr>
      </w:pPr>
      <w:r>
        <w:rPr>
          <w:rFonts w:hint="eastAsia" w:ascii="宋体" w:hAnsi="宋体"/>
          <w:sz w:val="21"/>
          <w:szCs w:val="21"/>
          <w:highlight w:val="none"/>
        </w:rPr>
        <w:t>清晰度</w:t>
      </w:r>
      <w:r>
        <w:rPr>
          <w:rFonts w:hint="eastAsia" w:ascii="宋体" w:hAnsi="宋体"/>
          <w:sz w:val="21"/>
          <w:szCs w:val="21"/>
          <w:highlight w:val="none"/>
        </w:rPr>
        <w:tab/>
      </w:r>
      <w:r>
        <w:rPr>
          <w:rFonts w:hint="eastAsia" w:ascii="宋体" w:hAnsi="宋体"/>
          <w:sz w:val="21"/>
          <w:szCs w:val="21"/>
          <w:highlight w:val="none"/>
        </w:rPr>
        <w:tab/>
      </w:r>
      <w:r>
        <w:rPr>
          <w:rFonts w:hint="eastAsia" w:ascii="宋体" w:hAnsi="宋体"/>
          <w:sz w:val="21"/>
          <w:szCs w:val="21"/>
          <w:highlight w:val="none"/>
        </w:rPr>
        <w:tab/>
      </w:r>
      <w:r>
        <w:rPr>
          <w:rFonts w:ascii="宋体" w:hAnsi="宋体"/>
          <w:sz w:val="21"/>
          <w:szCs w:val="21"/>
          <w:highlight w:val="none"/>
        </w:rPr>
        <w:t>:</w:t>
      </w:r>
      <w:r>
        <w:rPr>
          <w:rFonts w:hint="eastAsia" w:ascii="宋体" w:hAnsi="宋体"/>
          <w:sz w:val="21"/>
          <w:szCs w:val="21"/>
          <w:highlight w:val="none"/>
        </w:rPr>
        <w:tab/>
      </w:r>
      <w:r>
        <w:rPr>
          <w:rFonts w:hint="eastAsia" w:ascii="宋体" w:hAnsi="宋体"/>
          <w:sz w:val="21"/>
          <w:szCs w:val="21"/>
          <w:highlight w:val="none"/>
        </w:rPr>
        <w:t>可以看清楚池底</w:t>
      </w:r>
    </w:p>
    <w:p w14:paraId="7EC014CA">
      <w:pPr>
        <w:spacing w:line="360" w:lineRule="auto"/>
        <w:ind w:left="360" w:firstLine="480"/>
        <w:rPr>
          <w:rFonts w:hint="eastAsia" w:ascii="宋体" w:hAnsi="宋体"/>
          <w:sz w:val="21"/>
          <w:szCs w:val="21"/>
          <w:highlight w:val="none"/>
        </w:rPr>
      </w:pPr>
      <w:r>
        <w:rPr>
          <w:rFonts w:hint="eastAsia" w:ascii="宋体" w:hAnsi="宋体"/>
          <w:sz w:val="21"/>
          <w:szCs w:val="21"/>
          <w:highlight w:val="none"/>
        </w:rPr>
        <w:t>臭氧（采用臭氧消毒时）</w:t>
      </w:r>
      <w:r>
        <w:rPr>
          <w:rFonts w:ascii="宋体" w:hAnsi="宋体"/>
          <w:sz w:val="21"/>
          <w:szCs w:val="21"/>
          <w:highlight w:val="none"/>
        </w:rPr>
        <w:t>:</w:t>
      </w:r>
      <w:r>
        <w:rPr>
          <w:rFonts w:hint="eastAsia" w:ascii="宋体" w:hAnsi="宋体"/>
          <w:sz w:val="21"/>
          <w:szCs w:val="21"/>
          <w:highlight w:val="none"/>
        </w:rPr>
        <w:tab/>
      </w:r>
      <w:r>
        <w:rPr>
          <w:rFonts w:hint="eastAsia" w:ascii="宋体" w:hAnsi="宋体"/>
          <w:sz w:val="21"/>
          <w:szCs w:val="21"/>
          <w:highlight w:val="none"/>
        </w:rPr>
        <w:t>≤0.2mg/m³以下（水面上空气中）</w:t>
      </w:r>
    </w:p>
    <w:p w14:paraId="63DC52BF">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14" w:name="_Toc1555"/>
      <w:bookmarkStart w:id="15" w:name="_Toc8315"/>
      <w:bookmarkStart w:id="16" w:name="_Toc3515"/>
      <w:bookmarkStart w:id="17" w:name="_Toc14000"/>
      <w:r>
        <w:rPr>
          <w:rFonts w:hint="eastAsia" w:ascii="宋体" w:hAnsi="宋体"/>
          <w:b/>
          <w:sz w:val="21"/>
          <w:szCs w:val="21"/>
          <w:highlight w:val="none"/>
        </w:rPr>
        <w:t>设计依据</w:t>
      </w:r>
      <w:bookmarkEnd w:id="14"/>
      <w:bookmarkEnd w:id="15"/>
      <w:bookmarkEnd w:id="16"/>
      <w:bookmarkEnd w:id="17"/>
    </w:p>
    <w:p w14:paraId="6A70C700">
      <w:pPr>
        <w:numPr>
          <w:ilvl w:val="0"/>
          <w:numId w:val="3"/>
        </w:numPr>
        <w:tabs>
          <w:tab w:val="left" w:pos="720"/>
          <w:tab w:val="clear" w:pos="1200"/>
        </w:tabs>
        <w:spacing w:line="360" w:lineRule="auto"/>
        <w:ind w:hanging="840"/>
        <w:rPr>
          <w:rFonts w:hint="eastAsia" w:ascii="宋体" w:hAnsi="宋体"/>
          <w:sz w:val="21"/>
          <w:szCs w:val="21"/>
          <w:highlight w:val="none"/>
        </w:rPr>
      </w:pPr>
      <w:r>
        <w:rPr>
          <w:rFonts w:hint="eastAsia" w:ascii="宋体" w:hAnsi="宋体"/>
          <w:sz w:val="21"/>
          <w:szCs w:val="21"/>
          <w:highlight w:val="none"/>
        </w:rPr>
        <w:t>招标文件及相关图纸资料</w:t>
      </w:r>
    </w:p>
    <w:p w14:paraId="0EEBCC05">
      <w:pPr>
        <w:numPr>
          <w:ilvl w:val="0"/>
          <w:numId w:val="3"/>
        </w:numPr>
        <w:tabs>
          <w:tab w:val="left" w:pos="720"/>
          <w:tab w:val="clear" w:pos="1200"/>
        </w:tabs>
        <w:spacing w:line="360" w:lineRule="auto"/>
        <w:ind w:hanging="840"/>
        <w:rPr>
          <w:rFonts w:ascii="宋体" w:hAnsi="宋体" w:eastAsia="宋体"/>
          <w:kern w:val="2"/>
          <w:sz w:val="21"/>
          <w:szCs w:val="21"/>
          <w:highlight w:val="none"/>
        </w:rPr>
      </w:pPr>
      <w:r>
        <w:rPr>
          <w:rFonts w:hint="eastAsia" w:ascii="宋体" w:hAnsi="宋体" w:eastAsia="宋体"/>
          <w:kern w:val="2"/>
          <w:sz w:val="21"/>
          <w:szCs w:val="21"/>
          <w:highlight w:val="none"/>
        </w:rPr>
        <w:t>设计规范：</w:t>
      </w:r>
    </w:p>
    <w:tbl>
      <w:tblPr>
        <w:tblStyle w:val="15"/>
        <w:tblW w:w="0" w:type="auto"/>
        <w:tblInd w:w="675" w:type="dxa"/>
        <w:tblLayout w:type="fixed"/>
        <w:tblCellMar>
          <w:top w:w="0" w:type="dxa"/>
          <w:left w:w="108" w:type="dxa"/>
          <w:bottom w:w="0" w:type="dxa"/>
          <w:right w:w="108" w:type="dxa"/>
        </w:tblCellMar>
      </w:tblPr>
      <w:tblGrid>
        <w:gridCol w:w="6558"/>
        <w:gridCol w:w="2175"/>
      </w:tblGrid>
      <w:tr w14:paraId="216DCD4F">
        <w:tblPrEx>
          <w:tblCellMar>
            <w:top w:w="0" w:type="dxa"/>
            <w:left w:w="108" w:type="dxa"/>
            <w:bottom w:w="0" w:type="dxa"/>
            <w:right w:w="108" w:type="dxa"/>
          </w:tblCellMar>
        </w:tblPrEx>
        <w:tc>
          <w:tcPr>
            <w:tcW w:w="6558" w:type="dxa"/>
            <w:shd w:val="clear" w:color="auto" w:fill="auto"/>
            <w:noWrap w:val="0"/>
            <w:vAlign w:val="center"/>
          </w:tcPr>
          <w:p w14:paraId="42AB2F58">
            <w:pPr>
              <w:bidi w:val="0"/>
              <w:rPr>
                <w:sz w:val="21"/>
                <w:szCs w:val="21"/>
                <w:highlight w:val="none"/>
              </w:rPr>
            </w:pPr>
            <w:r>
              <w:rPr>
                <w:rFonts w:hint="eastAsia"/>
                <w:sz w:val="21"/>
                <w:szCs w:val="21"/>
                <w:highlight w:val="none"/>
                <w:lang w:val="en-US" w:eastAsia="zh-CN"/>
              </w:rPr>
              <w:t>《游泳池给水排水工程技术规程》</w:t>
            </w:r>
          </w:p>
        </w:tc>
        <w:tc>
          <w:tcPr>
            <w:tcW w:w="2175" w:type="dxa"/>
            <w:shd w:val="clear" w:color="auto" w:fill="auto"/>
            <w:noWrap w:val="0"/>
            <w:vAlign w:val="center"/>
          </w:tcPr>
          <w:p w14:paraId="016C23D9">
            <w:pPr>
              <w:bidi w:val="0"/>
              <w:rPr>
                <w:sz w:val="21"/>
                <w:szCs w:val="21"/>
                <w:highlight w:val="none"/>
              </w:rPr>
            </w:pPr>
            <w:r>
              <w:rPr>
                <w:rFonts w:hint="default"/>
                <w:sz w:val="21"/>
                <w:szCs w:val="21"/>
                <w:highlight w:val="none"/>
                <w:lang w:val="en-US" w:eastAsia="zh-CN"/>
              </w:rPr>
              <w:t>CJJ122-2017</w:t>
            </w:r>
          </w:p>
        </w:tc>
      </w:tr>
      <w:tr w14:paraId="6C5D44D8">
        <w:tblPrEx>
          <w:tblCellMar>
            <w:top w:w="0" w:type="dxa"/>
            <w:left w:w="108" w:type="dxa"/>
            <w:bottom w:w="0" w:type="dxa"/>
            <w:right w:w="108" w:type="dxa"/>
          </w:tblCellMar>
        </w:tblPrEx>
        <w:tc>
          <w:tcPr>
            <w:tcW w:w="6558" w:type="dxa"/>
            <w:shd w:val="clear" w:color="auto" w:fill="auto"/>
            <w:noWrap w:val="0"/>
            <w:vAlign w:val="center"/>
          </w:tcPr>
          <w:p w14:paraId="1449621E">
            <w:pPr>
              <w:bidi w:val="0"/>
              <w:rPr>
                <w:sz w:val="21"/>
                <w:szCs w:val="21"/>
                <w:highlight w:val="none"/>
              </w:rPr>
            </w:pPr>
            <w:r>
              <w:rPr>
                <w:rFonts w:hint="eastAsia"/>
                <w:sz w:val="21"/>
                <w:szCs w:val="21"/>
                <w:highlight w:val="none"/>
                <w:lang w:val="en-US" w:eastAsia="zh-CN"/>
              </w:rPr>
              <w:t>《建筑给水排水设计规范》</w:t>
            </w:r>
          </w:p>
        </w:tc>
        <w:tc>
          <w:tcPr>
            <w:tcW w:w="2175" w:type="dxa"/>
            <w:shd w:val="clear" w:color="auto" w:fill="auto"/>
            <w:noWrap w:val="0"/>
            <w:vAlign w:val="center"/>
          </w:tcPr>
          <w:p w14:paraId="54604F01">
            <w:pPr>
              <w:bidi w:val="0"/>
              <w:rPr>
                <w:sz w:val="21"/>
                <w:szCs w:val="21"/>
                <w:highlight w:val="none"/>
              </w:rPr>
            </w:pPr>
            <w:r>
              <w:rPr>
                <w:rFonts w:hint="default"/>
                <w:sz w:val="21"/>
                <w:szCs w:val="21"/>
                <w:highlight w:val="none"/>
                <w:lang w:val="en-US" w:eastAsia="zh-CN"/>
              </w:rPr>
              <w:t>GB50015-2019</w:t>
            </w:r>
          </w:p>
        </w:tc>
      </w:tr>
      <w:tr w14:paraId="74DD1788">
        <w:tblPrEx>
          <w:tblCellMar>
            <w:top w:w="0" w:type="dxa"/>
            <w:left w:w="108" w:type="dxa"/>
            <w:bottom w:w="0" w:type="dxa"/>
            <w:right w:w="108" w:type="dxa"/>
          </w:tblCellMar>
        </w:tblPrEx>
        <w:tc>
          <w:tcPr>
            <w:tcW w:w="6558" w:type="dxa"/>
            <w:shd w:val="clear" w:color="auto" w:fill="auto"/>
            <w:noWrap w:val="0"/>
            <w:vAlign w:val="center"/>
          </w:tcPr>
          <w:p w14:paraId="29B1DBFB">
            <w:pPr>
              <w:bidi w:val="0"/>
              <w:rPr>
                <w:sz w:val="21"/>
                <w:szCs w:val="21"/>
                <w:highlight w:val="none"/>
              </w:rPr>
            </w:pPr>
            <w:r>
              <w:rPr>
                <w:rFonts w:hint="eastAsia"/>
                <w:sz w:val="21"/>
                <w:szCs w:val="21"/>
                <w:highlight w:val="none"/>
                <w:lang w:val="en-US" w:eastAsia="zh-CN"/>
              </w:rPr>
              <w:t>《建筑设计防火规范》</w:t>
            </w:r>
          </w:p>
        </w:tc>
        <w:tc>
          <w:tcPr>
            <w:tcW w:w="2175" w:type="dxa"/>
            <w:shd w:val="clear" w:color="auto" w:fill="auto"/>
            <w:noWrap w:val="0"/>
            <w:vAlign w:val="center"/>
          </w:tcPr>
          <w:p w14:paraId="1A881908">
            <w:pPr>
              <w:bidi w:val="0"/>
              <w:rPr>
                <w:sz w:val="21"/>
                <w:szCs w:val="21"/>
                <w:highlight w:val="none"/>
              </w:rPr>
            </w:pPr>
            <w:r>
              <w:rPr>
                <w:rFonts w:hint="default"/>
                <w:sz w:val="21"/>
                <w:szCs w:val="21"/>
                <w:highlight w:val="none"/>
                <w:lang w:val="en-US" w:eastAsia="zh-CN"/>
              </w:rPr>
              <w:t>GB50016-2014</w:t>
            </w:r>
          </w:p>
        </w:tc>
      </w:tr>
      <w:tr w14:paraId="629A5CB6">
        <w:tblPrEx>
          <w:tblCellMar>
            <w:top w:w="0" w:type="dxa"/>
            <w:left w:w="108" w:type="dxa"/>
            <w:bottom w:w="0" w:type="dxa"/>
            <w:right w:w="108" w:type="dxa"/>
          </w:tblCellMar>
        </w:tblPrEx>
        <w:tc>
          <w:tcPr>
            <w:tcW w:w="6558" w:type="dxa"/>
            <w:shd w:val="clear" w:color="auto" w:fill="auto"/>
            <w:noWrap w:val="0"/>
            <w:vAlign w:val="center"/>
          </w:tcPr>
          <w:p w14:paraId="4296791E">
            <w:pPr>
              <w:bidi w:val="0"/>
              <w:rPr>
                <w:sz w:val="21"/>
                <w:szCs w:val="21"/>
                <w:highlight w:val="none"/>
              </w:rPr>
            </w:pPr>
            <w:r>
              <w:rPr>
                <w:rFonts w:hint="eastAsia"/>
                <w:sz w:val="21"/>
                <w:szCs w:val="21"/>
                <w:highlight w:val="none"/>
                <w:lang w:val="en-US" w:eastAsia="zh-CN"/>
              </w:rPr>
              <w:t>《公共场所卫生指标及限值要求》</w:t>
            </w:r>
          </w:p>
        </w:tc>
        <w:tc>
          <w:tcPr>
            <w:tcW w:w="2175" w:type="dxa"/>
            <w:shd w:val="clear" w:color="auto" w:fill="auto"/>
            <w:noWrap w:val="0"/>
            <w:vAlign w:val="center"/>
          </w:tcPr>
          <w:p w14:paraId="5CDCB42B">
            <w:pPr>
              <w:bidi w:val="0"/>
              <w:rPr>
                <w:sz w:val="21"/>
                <w:szCs w:val="21"/>
                <w:highlight w:val="none"/>
              </w:rPr>
            </w:pPr>
            <w:r>
              <w:rPr>
                <w:rFonts w:hint="default"/>
                <w:sz w:val="21"/>
                <w:szCs w:val="21"/>
                <w:highlight w:val="none"/>
                <w:lang w:val="en-US" w:eastAsia="zh-CN"/>
              </w:rPr>
              <w:t>GB 37488-2019</w:t>
            </w:r>
          </w:p>
        </w:tc>
      </w:tr>
      <w:tr w14:paraId="5E960A04">
        <w:tblPrEx>
          <w:tblCellMar>
            <w:top w:w="0" w:type="dxa"/>
            <w:left w:w="108" w:type="dxa"/>
            <w:bottom w:w="0" w:type="dxa"/>
            <w:right w:w="108" w:type="dxa"/>
          </w:tblCellMar>
        </w:tblPrEx>
        <w:tc>
          <w:tcPr>
            <w:tcW w:w="6558" w:type="dxa"/>
            <w:shd w:val="clear" w:color="auto" w:fill="auto"/>
            <w:noWrap w:val="0"/>
            <w:vAlign w:val="center"/>
          </w:tcPr>
          <w:p w14:paraId="23881EF1">
            <w:pPr>
              <w:bidi w:val="0"/>
              <w:rPr>
                <w:sz w:val="21"/>
                <w:szCs w:val="21"/>
                <w:highlight w:val="none"/>
              </w:rPr>
            </w:pPr>
            <w:r>
              <w:rPr>
                <w:rFonts w:hint="eastAsia"/>
                <w:sz w:val="21"/>
                <w:szCs w:val="21"/>
                <w:highlight w:val="none"/>
                <w:lang w:val="en-US" w:eastAsia="zh-CN"/>
              </w:rPr>
              <w:t>《体育建筑设计规范》</w:t>
            </w:r>
          </w:p>
        </w:tc>
        <w:tc>
          <w:tcPr>
            <w:tcW w:w="2175" w:type="dxa"/>
            <w:shd w:val="clear" w:color="auto" w:fill="auto"/>
            <w:noWrap w:val="0"/>
            <w:vAlign w:val="center"/>
          </w:tcPr>
          <w:p w14:paraId="785A06E2">
            <w:pPr>
              <w:bidi w:val="0"/>
              <w:rPr>
                <w:sz w:val="21"/>
                <w:szCs w:val="21"/>
                <w:highlight w:val="none"/>
              </w:rPr>
            </w:pPr>
            <w:r>
              <w:rPr>
                <w:rFonts w:hint="default"/>
                <w:sz w:val="21"/>
                <w:szCs w:val="21"/>
                <w:highlight w:val="none"/>
                <w:lang w:val="en-US" w:eastAsia="zh-CN"/>
              </w:rPr>
              <w:t>JGJ31-2003</w:t>
            </w:r>
          </w:p>
        </w:tc>
      </w:tr>
      <w:tr w14:paraId="2E1A30D4">
        <w:tblPrEx>
          <w:tblCellMar>
            <w:top w:w="0" w:type="dxa"/>
            <w:left w:w="108" w:type="dxa"/>
            <w:bottom w:w="0" w:type="dxa"/>
            <w:right w:w="108" w:type="dxa"/>
          </w:tblCellMar>
        </w:tblPrEx>
        <w:tc>
          <w:tcPr>
            <w:tcW w:w="6558" w:type="dxa"/>
            <w:shd w:val="clear" w:color="auto" w:fill="auto"/>
            <w:noWrap w:val="0"/>
            <w:vAlign w:val="center"/>
          </w:tcPr>
          <w:p w14:paraId="4D7DA73B">
            <w:pPr>
              <w:bidi w:val="0"/>
              <w:rPr>
                <w:rFonts w:hint="eastAsia"/>
                <w:sz w:val="21"/>
                <w:szCs w:val="21"/>
                <w:highlight w:val="none"/>
              </w:rPr>
            </w:pPr>
            <w:r>
              <w:rPr>
                <w:rFonts w:hint="eastAsia"/>
                <w:sz w:val="21"/>
                <w:szCs w:val="21"/>
                <w:highlight w:val="none"/>
                <w:lang w:val="en-US" w:eastAsia="zh-CN"/>
              </w:rPr>
              <w:t>《室外给水设计规范》</w:t>
            </w:r>
          </w:p>
        </w:tc>
        <w:tc>
          <w:tcPr>
            <w:tcW w:w="2175" w:type="dxa"/>
            <w:shd w:val="clear" w:color="auto" w:fill="auto"/>
            <w:noWrap w:val="0"/>
            <w:vAlign w:val="center"/>
          </w:tcPr>
          <w:p w14:paraId="7511D68C">
            <w:pPr>
              <w:bidi w:val="0"/>
              <w:rPr>
                <w:sz w:val="21"/>
                <w:szCs w:val="21"/>
                <w:highlight w:val="none"/>
              </w:rPr>
            </w:pPr>
            <w:r>
              <w:rPr>
                <w:rFonts w:hint="default"/>
                <w:sz w:val="21"/>
                <w:szCs w:val="21"/>
                <w:highlight w:val="none"/>
                <w:lang w:val="en-US" w:eastAsia="zh-CN"/>
              </w:rPr>
              <w:t>GB50013-2018</w:t>
            </w:r>
          </w:p>
        </w:tc>
      </w:tr>
      <w:tr w14:paraId="4E2D493C">
        <w:tblPrEx>
          <w:tblCellMar>
            <w:top w:w="0" w:type="dxa"/>
            <w:left w:w="108" w:type="dxa"/>
            <w:bottom w:w="0" w:type="dxa"/>
            <w:right w:w="108" w:type="dxa"/>
          </w:tblCellMar>
        </w:tblPrEx>
        <w:tc>
          <w:tcPr>
            <w:tcW w:w="6558" w:type="dxa"/>
            <w:shd w:val="clear" w:color="auto" w:fill="auto"/>
            <w:noWrap w:val="0"/>
            <w:vAlign w:val="center"/>
          </w:tcPr>
          <w:p w14:paraId="79191492">
            <w:pPr>
              <w:bidi w:val="0"/>
              <w:rPr>
                <w:rFonts w:hint="eastAsia"/>
                <w:sz w:val="21"/>
                <w:szCs w:val="21"/>
                <w:highlight w:val="none"/>
              </w:rPr>
            </w:pPr>
            <w:r>
              <w:rPr>
                <w:rFonts w:hint="eastAsia"/>
                <w:sz w:val="21"/>
                <w:szCs w:val="21"/>
                <w:highlight w:val="none"/>
                <w:lang w:val="en-US" w:eastAsia="zh-CN"/>
              </w:rPr>
              <w:t>《游泳池及水疗池用循环泵》</w:t>
            </w:r>
          </w:p>
        </w:tc>
        <w:tc>
          <w:tcPr>
            <w:tcW w:w="2175" w:type="dxa"/>
            <w:shd w:val="clear" w:color="auto" w:fill="auto"/>
            <w:noWrap w:val="0"/>
            <w:vAlign w:val="center"/>
          </w:tcPr>
          <w:p w14:paraId="223ACEE1">
            <w:pPr>
              <w:bidi w:val="0"/>
              <w:rPr>
                <w:sz w:val="21"/>
                <w:szCs w:val="21"/>
                <w:highlight w:val="none"/>
              </w:rPr>
            </w:pPr>
            <w:r>
              <w:rPr>
                <w:rFonts w:hint="default"/>
                <w:sz w:val="21"/>
                <w:szCs w:val="21"/>
                <w:highlight w:val="none"/>
                <w:lang w:val="en-US" w:eastAsia="zh-CN"/>
              </w:rPr>
              <w:t>CJ/T 534-2018</w:t>
            </w:r>
          </w:p>
        </w:tc>
      </w:tr>
      <w:tr w14:paraId="24AEC5D4">
        <w:tblPrEx>
          <w:tblCellMar>
            <w:top w:w="0" w:type="dxa"/>
            <w:left w:w="108" w:type="dxa"/>
            <w:bottom w:w="0" w:type="dxa"/>
            <w:right w:w="108" w:type="dxa"/>
          </w:tblCellMar>
        </w:tblPrEx>
        <w:tc>
          <w:tcPr>
            <w:tcW w:w="6558" w:type="dxa"/>
            <w:shd w:val="clear" w:color="auto" w:fill="auto"/>
            <w:noWrap w:val="0"/>
            <w:vAlign w:val="center"/>
          </w:tcPr>
          <w:p w14:paraId="06BBAF73">
            <w:pPr>
              <w:bidi w:val="0"/>
              <w:rPr>
                <w:rFonts w:hint="eastAsia"/>
                <w:sz w:val="21"/>
                <w:szCs w:val="21"/>
                <w:highlight w:val="none"/>
              </w:rPr>
            </w:pPr>
            <w:r>
              <w:rPr>
                <w:rFonts w:hint="eastAsia"/>
                <w:sz w:val="21"/>
                <w:szCs w:val="21"/>
                <w:highlight w:val="none"/>
                <w:lang w:val="en-US" w:eastAsia="zh-CN"/>
              </w:rPr>
              <w:t>《化工自控设计规定》</w:t>
            </w:r>
          </w:p>
        </w:tc>
        <w:tc>
          <w:tcPr>
            <w:tcW w:w="2175" w:type="dxa"/>
            <w:shd w:val="clear" w:color="auto" w:fill="auto"/>
            <w:noWrap w:val="0"/>
            <w:vAlign w:val="center"/>
          </w:tcPr>
          <w:p w14:paraId="7CBAE930">
            <w:pPr>
              <w:bidi w:val="0"/>
              <w:rPr>
                <w:sz w:val="21"/>
                <w:szCs w:val="21"/>
                <w:highlight w:val="none"/>
              </w:rPr>
            </w:pPr>
            <w:r>
              <w:rPr>
                <w:rFonts w:hint="default"/>
                <w:sz w:val="21"/>
                <w:szCs w:val="21"/>
                <w:highlight w:val="none"/>
                <w:lang w:val="en-US" w:eastAsia="zh-CN"/>
              </w:rPr>
              <w:t>HG/T 20505-2014</w:t>
            </w:r>
          </w:p>
        </w:tc>
      </w:tr>
      <w:tr w14:paraId="078444BB">
        <w:tblPrEx>
          <w:tblCellMar>
            <w:top w:w="0" w:type="dxa"/>
            <w:left w:w="108" w:type="dxa"/>
            <w:bottom w:w="0" w:type="dxa"/>
            <w:right w:w="108" w:type="dxa"/>
          </w:tblCellMar>
        </w:tblPrEx>
        <w:tc>
          <w:tcPr>
            <w:tcW w:w="6558" w:type="dxa"/>
            <w:shd w:val="clear" w:color="auto" w:fill="auto"/>
            <w:noWrap w:val="0"/>
            <w:vAlign w:val="center"/>
          </w:tcPr>
          <w:p w14:paraId="1280143C">
            <w:pPr>
              <w:bidi w:val="0"/>
              <w:rPr>
                <w:rFonts w:hint="eastAsia"/>
                <w:sz w:val="21"/>
                <w:szCs w:val="21"/>
                <w:highlight w:val="none"/>
              </w:rPr>
            </w:pPr>
            <w:r>
              <w:rPr>
                <w:rFonts w:hint="eastAsia"/>
                <w:sz w:val="21"/>
                <w:szCs w:val="21"/>
                <w:highlight w:val="none"/>
                <w:lang w:val="en-US" w:eastAsia="zh-CN"/>
              </w:rPr>
              <w:t>《体育场所等级的划分第</w:t>
            </w:r>
            <w:r>
              <w:rPr>
                <w:rFonts w:hint="default"/>
                <w:sz w:val="21"/>
                <w:szCs w:val="21"/>
                <w:highlight w:val="none"/>
                <w:lang w:val="en-US" w:eastAsia="zh-CN"/>
              </w:rPr>
              <w:t>3</w:t>
            </w:r>
            <w:r>
              <w:rPr>
                <w:rFonts w:hint="eastAsia"/>
                <w:sz w:val="21"/>
                <w:szCs w:val="21"/>
                <w:highlight w:val="none"/>
                <w:lang w:val="en-US" w:eastAsia="zh-CN"/>
              </w:rPr>
              <w:t>部分：游泳场馆星级划分及评定》</w:t>
            </w:r>
          </w:p>
        </w:tc>
        <w:tc>
          <w:tcPr>
            <w:tcW w:w="2175" w:type="dxa"/>
            <w:shd w:val="clear" w:color="auto" w:fill="auto"/>
            <w:noWrap w:val="0"/>
            <w:vAlign w:val="center"/>
          </w:tcPr>
          <w:p w14:paraId="1A66584D">
            <w:pPr>
              <w:bidi w:val="0"/>
              <w:rPr>
                <w:sz w:val="21"/>
                <w:szCs w:val="21"/>
                <w:highlight w:val="none"/>
              </w:rPr>
            </w:pPr>
            <w:r>
              <w:rPr>
                <w:rFonts w:hint="default"/>
                <w:sz w:val="21"/>
                <w:szCs w:val="21"/>
                <w:highlight w:val="none"/>
                <w:lang w:val="en-US" w:eastAsia="zh-CN"/>
              </w:rPr>
              <w:t>GB/T18266.3/2017</w:t>
            </w:r>
          </w:p>
        </w:tc>
      </w:tr>
      <w:tr w14:paraId="2C61190A">
        <w:tblPrEx>
          <w:tblCellMar>
            <w:top w:w="0" w:type="dxa"/>
            <w:left w:w="108" w:type="dxa"/>
            <w:bottom w:w="0" w:type="dxa"/>
            <w:right w:w="108" w:type="dxa"/>
          </w:tblCellMar>
        </w:tblPrEx>
        <w:tc>
          <w:tcPr>
            <w:tcW w:w="6558" w:type="dxa"/>
            <w:shd w:val="clear" w:color="auto" w:fill="auto"/>
            <w:noWrap w:val="0"/>
            <w:vAlign w:val="center"/>
          </w:tcPr>
          <w:p w14:paraId="7A3A1D4C">
            <w:pPr>
              <w:bidi w:val="0"/>
              <w:rPr>
                <w:rFonts w:hint="eastAsia"/>
                <w:sz w:val="21"/>
                <w:szCs w:val="21"/>
                <w:highlight w:val="none"/>
                <w:lang w:val="en-US" w:eastAsia="zh-CN"/>
              </w:rPr>
            </w:pPr>
            <w:r>
              <w:rPr>
                <w:rFonts w:hint="eastAsia"/>
                <w:sz w:val="21"/>
                <w:szCs w:val="21"/>
                <w:highlight w:val="none"/>
                <w:lang w:val="en-US" w:eastAsia="zh-CN"/>
              </w:rPr>
              <w:t>《民用建筑电气设计规范》</w:t>
            </w:r>
          </w:p>
        </w:tc>
        <w:tc>
          <w:tcPr>
            <w:tcW w:w="2175" w:type="dxa"/>
            <w:shd w:val="clear" w:color="auto" w:fill="auto"/>
            <w:noWrap w:val="0"/>
            <w:vAlign w:val="center"/>
          </w:tcPr>
          <w:p w14:paraId="55360C9B">
            <w:pPr>
              <w:bidi w:val="0"/>
              <w:rPr>
                <w:sz w:val="21"/>
                <w:szCs w:val="21"/>
                <w:highlight w:val="none"/>
              </w:rPr>
            </w:pPr>
            <w:r>
              <w:rPr>
                <w:rFonts w:hint="default"/>
                <w:sz w:val="21"/>
                <w:szCs w:val="21"/>
                <w:highlight w:val="none"/>
                <w:lang w:val="en-US" w:eastAsia="zh-CN"/>
              </w:rPr>
              <w:t>GB 51348-2019</w:t>
            </w:r>
          </w:p>
        </w:tc>
      </w:tr>
      <w:tr w14:paraId="59E5456F">
        <w:tblPrEx>
          <w:tblCellMar>
            <w:top w:w="0" w:type="dxa"/>
            <w:left w:w="108" w:type="dxa"/>
            <w:bottom w:w="0" w:type="dxa"/>
            <w:right w:w="108" w:type="dxa"/>
          </w:tblCellMar>
        </w:tblPrEx>
        <w:tc>
          <w:tcPr>
            <w:tcW w:w="6558" w:type="dxa"/>
            <w:shd w:val="clear" w:color="auto" w:fill="auto"/>
            <w:noWrap w:val="0"/>
            <w:vAlign w:val="center"/>
          </w:tcPr>
          <w:p w14:paraId="6F06C138">
            <w:pPr>
              <w:bidi w:val="0"/>
              <w:rPr>
                <w:rFonts w:hint="eastAsia"/>
                <w:sz w:val="21"/>
                <w:szCs w:val="21"/>
                <w:highlight w:val="none"/>
                <w:lang w:val="en-US" w:eastAsia="zh-CN"/>
              </w:rPr>
            </w:pPr>
            <w:r>
              <w:rPr>
                <w:rFonts w:hint="eastAsia"/>
                <w:sz w:val="21"/>
                <w:szCs w:val="21"/>
                <w:highlight w:val="none"/>
                <w:lang w:val="en-US" w:eastAsia="zh-CN"/>
              </w:rPr>
              <w:t>《建筑电气制图标准》</w:t>
            </w:r>
          </w:p>
        </w:tc>
        <w:tc>
          <w:tcPr>
            <w:tcW w:w="2175" w:type="dxa"/>
            <w:shd w:val="clear" w:color="auto" w:fill="auto"/>
            <w:noWrap w:val="0"/>
            <w:vAlign w:val="center"/>
          </w:tcPr>
          <w:p w14:paraId="36ED7DA4">
            <w:pPr>
              <w:bidi w:val="0"/>
              <w:rPr>
                <w:sz w:val="21"/>
                <w:szCs w:val="21"/>
                <w:highlight w:val="none"/>
              </w:rPr>
            </w:pPr>
            <w:r>
              <w:rPr>
                <w:rFonts w:hint="default"/>
                <w:sz w:val="21"/>
                <w:szCs w:val="21"/>
                <w:highlight w:val="none"/>
                <w:lang w:val="en-US" w:eastAsia="zh-CN"/>
              </w:rPr>
              <w:t>GB/T 50786-2012</w:t>
            </w:r>
          </w:p>
        </w:tc>
      </w:tr>
      <w:tr w14:paraId="43F44C86">
        <w:tblPrEx>
          <w:tblCellMar>
            <w:top w:w="0" w:type="dxa"/>
            <w:left w:w="108" w:type="dxa"/>
            <w:bottom w:w="0" w:type="dxa"/>
            <w:right w:w="108" w:type="dxa"/>
          </w:tblCellMar>
        </w:tblPrEx>
        <w:tc>
          <w:tcPr>
            <w:tcW w:w="6558" w:type="dxa"/>
            <w:shd w:val="clear" w:color="auto" w:fill="auto"/>
            <w:noWrap w:val="0"/>
            <w:vAlign w:val="center"/>
          </w:tcPr>
          <w:p w14:paraId="7AB2731E">
            <w:pPr>
              <w:bidi w:val="0"/>
              <w:rPr>
                <w:rFonts w:hint="eastAsia"/>
                <w:sz w:val="21"/>
                <w:szCs w:val="21"/>
                <w:highlight w:val="none"/>
                <w:lang w:val="en-US" w:eastAsia="zh-CN"/>
              </w:rPr>
            </w:pPr>
            <w:r>
              <w:rPr>
                <w:rFonts w:hint="eastAsia"/>
                <w:sz w:val="21"/>
                <w:szCs w:val="21"/>
                <w:highlight w:val="none"/>
                <w:lang w:val="en-US" w:eastAsia="zh-CN"/>
              </w:rPr>
              <w:t>《建筑电气工程施工质量验收规范》</w:t>
            </w:r>
          </w:p>
        </w:tc>
        <w:tc>
          <w:tcPr>
            <w:tcW w:w="2175" w:type="dxa"/>
            <w:shd w:val="clear" w:color="auto" w:fill="auto"/>
            <w:noWrap w:val="0"/>
            <w:vAlign w:val="center"/>
          </w:tcPr>
          <w:p w14:paraId="06A50BBD">
            <w:pPr>
              <w:bidi w:val="0"/>
              <w:rPr>
                <w:sz w:val="21"/>
                <w:szCs w:val="21"/>
                <w:highlight w:val="none"/>
              </w:rPr>
            </w:pPr>
            <w:r>
              <w:rPr>
                <w:rFonts w:hint="default"/>
                <w:sz w:val="21"/>
                <w:szCs w:val="21"/>
                <w:highlight w:val="none"/>
                <w:lang w:val="en-US" w:eastAsia="zh-CN"/>
              </w:rPr>
              <w:t>GB 50303-2015</w:t>
            </w:r>
          </w:p>
        </w:tc>
      </w:tr>
      <w:tr w14:paraId="5B80D6CC">
        <w:tblPrEx>
          <w:tblCellMar>
            <w:top w:w="0" w:type="dxa"/>
            <w:left w:w="108" w:type="dxa"/>
            <w:bottom w:w="0" w:type="dxa"/>
            <w:right w:w="108" w:type="dxa"/>
          </w:tblCellMar>
        </w:tblPrEx>
        <w:tc>
          <w:tcPr>
            <w:tcW w:w="6558" w:type="dxa"/>
            <w:shd w:val="clear" w:color="auto" w:fill="auto"/>
            <w:noWrap w:val="0"/>
            <w:vAlign w:val="center"/>
          </w:tcPr>
          <w:p w14:paraId="2CB6F50E">
            <w:pPr>
              <w:bidi w:val="0"/>
              <w:rPr>
                <w:rFonts w:hint="eastAsia"/>
                <w:sz w:val="21"/>
                <w:szCs w:val="21"/>
                <w:highlight w:val="none"/>
                <w:lang w:val="en-US" w:eastAsia="zh-CN"/>
              </w:rPr>
            </w:pPr>
            <w:r>
              <w:rPr>
                <w:rFonts w:hint="eastAsia"/>
                <w:sz w:val="21"/>
                <w:szCs w:val="21"/>
                <w:highlight w:val="none"/>
                <w:lang w:val="en-US" w:eastAsia="zh-CN"/>
              </w:rPr>
              <w:t>《给水、排水管道工程施工及验收规范》</w:t>
            </w:r>
          </w:p>
        </w:tc>
        <w:tc>
          <w:tcPr>
            <w:tcW w:w="2175" w:type="dxa"/>
            <w:shd w:val="clear" w:color="auto" w:fill="auto"/>
            <w:noWrap w:val="0"/>
            <w:vAlign w:val="center"/>
          </w:tcPr>
          <w:p w14:paraId="2BB77672">
            <w:pPr>
              <w:bidi w:val="0"/>
              <w:rPr>
                <w:sz w:val="21"/>
                <w:szCs w:val="21"/>
                <w:highlight w:val="none"/>
              </w:rPr>
            </w:pPr>
            <w:r>
              <w:rPr>
                <w:rFonts w:hint="default"/>
                <w:sz w:val="21"/>
                <w:szCs w:val="21"/>
                <w:highlight w:val="none"/>
                <w:lang w:val="en-US" w:eastAsia="zh-CN"/>
              </w:rPr>
              <w:t>GB 50268-2008</w:t>
            </w:r>
          </w:p>
        </w:tc>
      </w:tr>
      <w:tr w14:paraId="4E57AB0C">
        <w:tblPrEx>
          <w:tblCellMar>
            <w:top w:w="0" w:type="dxa"/>
            <w:left w:w="108" w:type="dxa"/>
            <w:bottom w:w="0" w:type="dxa"/>
            <w:right w:w="108" w:type="dxa"/>
          </w:tblCellMar>
        </w:tblPrEx>
        <w:tc>
          <w:tcPr>
            <w:tcW w:w="6558" w:type="dxa"/>
            <w:shd w:val="clear" w:color="auto" w:fill="auto"/>
            <w:noWrap w:val="0"/>
            <w:vAlign w:val="center"/>
          </w:tcPr>
          <w:p w14:paraId="00760B31">
            <w:pPr>
              <w:bidi w:val="0"/>
              <w:rPr>
                <w:rFonts w:hint="eastAsia"/>
                <w:sz w:val="21"/>
                <w:szCs w:val="21"/>
                <w:highlight w:val="none"/>
                <w:lang w:eastAsia="zh-CN"/>
              </w:rPr>
            </w:pPr>
            <w:r>
              <w:rPr>
                <w:rFonts w:hint="eastAsia"/>
                <w:sz w:val="21"/>
                <w:szCs w:val="21"/>
                <w:highlight w:val="none"/>
                <w:lang w:val="en-US" w:eastAsia="zh-CN"/>
              </w:rPr>
              <w:t>《游泳池附件安装及设备选用》</w:t>
            </w:r>
          </w:p>
        </w:tc>
        <w:tc>
          <w:tcPr>
            <w:tcW w:w="2175" w:type="dxa"/>
            <w:shd w:val="clear" w:color="auto" w:fill="auto"/>
            <w:noWrap w:val="0"/>
            <w:vAlign w:val="center"/>
          </w:tcPr>
          <w:p w14:paraId="50D8951E">
            <w:pPr>
              <w:bidi w:val="0"/>
              <w:rPr>
                <w:sz w:val="21"/>
                <w:szCs w:val="21"/>
                <w:highlight w:val="none"/>
              </w:rPr>
            </w:pPr>
            <w:r>
              <w:rPr>
                <w:rFonts w:hint="default"/>
                <w:sz w:val="21"/>
                <w:szCs w:val="21"/>
                <w:highlight w:val="none"/>
                <w:lang w:val="en-US" w:eastAsia="zh-CN"/>
              </w:rPr>
              <w:t>10S605</w:t>
            </w:r>
          </w:p>
        </w:tc>
      </w:tr>
      <w:tr w14:paraId="2BA94627">
        <w:tblPrEx>
          <w:tblCellMar>
            <w:top w:w="0" w:type="dxa"/>
            <w:left w:w="108" w:type="dxa"/>
            <w:bottom w:w="0" w:type="dxa"/>
            <w:right w:w="108" w:type="dxa"/>
          </w:tblCellMar>
        </w:tblPrEx>
        <w:tc>
          <w:tcPr>
            <w:tcW w:w="6558" w:type="dxa"/>
            <w:shd w:val="clear" w:color="auto" w:fill="auto"/>
            <w:noWrap w:val="0"/>
            <w:vAlign w:val="center"/>
          </w:tcPr>
          <w:p w14:paraId="285EA8CE">
            <w:pPr>
              <w:bidi w:val="0"/>
              <w:rPr>
                <w:rFonts w:hint="eastAsia"/>
                <w:sz w:val="21"/>
                <w:szCs w:val="21"/>
                <w:highlight w:val="none"/>
              </w:rPr>
            </w:pPr>
            <w:r>
              <w:rPr>
                <w:rFonts w:hint="eastAsia"/>
                <w:sz w:val="21"/>
                <w:szCs w:val="21"/>
                <w:highlight w:val="none"/>
                <w:lang w:val="en-US" w:eastAsia="zh-CN"/>
              </w:rPr>
              <w:t>《游泳池水质标准》</w:t>
            </w:r>
          </w:p>
        </w:tc>
        <w:tc>
          <w:tcPr>
            <w:tcW w:w="2175" w:type="dxa"/>
            <w:shd w:val="clear" w:color="auto" w:fill="auto"/>
            <w:noWrap w:val="0"/>
            <w:vAlign w:val="center"/>
          </w:tcPr>
          <w:p w14:paraId="1ED22F20">
            <w:pPr>
              <w:bidi w:val="0"/>
              <w:rPr>
                <w:sz w:val="21"/>
                <w:szCs w:val="21"/>
                <w:highlight w:val="none"/>
              </w:rPr>
            </w:pPr>
            <w:r>
              <w:rPr>
                <w:rFonts w:hint="default"/>
                <w:sz w:val="21"/>
                <w:szCs w:val="21"/>
                <w:highlight w:val="none"/>
                <w:lang w:val="en-US" w:eastAsia="zh-CN"/>
              </w:rPr>
              <w:t>GJ/T 244-2016</w:t>
            </w:r>
          </w:p>
        </w:tc>
      </w:tr>
      <w:tr w14:paraId="2D0C4AC9">
        <w:tblPrEx>
          <w:tblCellMar>
            <w:top w:w="0" w:type="dxa"/>
            <w:left w:w="108" w:type="dxa"/>
            <w:bottom w:w="0" w:type="dxa"/>
            <w:right w:w="108" w:type="dxa"/>
          </w:tblCellMar>
        </w:tblPrEx>
        <w:tc>
          <w:tcPr>
            <w:tcW w:w="6558" w:type="dxa"/>
            <w:shd w:val="clear" w:color="auto" w:fill="auto"/>
            <w:noWrap w:val="0"/>
            <w:vAlign w:val="center"/>
          </w:tcPr>
          <w:p w14:paraId="3E76EDE3">
            <w:pPr>
              <w:bidi w:val="0"/>
              <w:rPr>
                <w:rFonts w:hint="eastAsia"/>
                <w:sz w:val="21"/>
                <w:szCs w:val="21"/>
                <w:highlight w:val="none"/>
              </w:rPr>
            </w:pPr>
            <w:r>
              <w:rPr>
                <w:rFonts w:hint="eastAsia"/>
                <w:sz w:val="21"/>
                <w:szCs w:val="21"/>
                <w:highlight w:val="none"/>
                <w:lang w:val="en-US" w:eastAsia="zh-CN"/>
              </w:rPr>
              <w:t>《低压电气装置第</w:t>
            </w:r>
            <w:r>
              <w:rPr>
                <w:rFonts w:hint="default"/>
                <w:sz w:val="21"/>
                <w:szCs w:val="21"/>
                <w:highlight w:val="none"/>
                <w:lang w:val="en-US" w:eastAsia="zh-CN"/>
              </w:rPr>
              <w:t>7-702</w:t>
            </w:r>
            <w:r>
              <w:rPr>
                <w:rFonts w:hint="eastAsia"/>
                <w:sz w:val="21"/>
                <w:szCs w:val="21"/>
                <w:highlight w:val="none"/>
                <w:lang w:val="en-US" w:eastAsia="zh-CN"/>
              </w:rPr>
              <w:t>部分：特殊装置或场所的要求游泳池和喷泉》</w:t>
            </w:r>
          </w:p>
        </w:tc>
        <w:tc>
          <w:tcPr>
            <w:tcW w:w="2175" w:type="dxa"/>
            <w:shd w:val="clear" w:color="auto" w:fill="auto"/>
            <w:noWrap w:val="0"/>
            <w:vAlign w:val="center"/>
          </w:tcPr>
          <w:p w14:paraId="2209649C">
            <w:pPr>
              <w:bidi w:val="0"/>
              <w:rPr>
                <w:sz w:val="21"/>
                <w:szCs w:val="21"/>
                <w:highlight w:val="none"/>
              </w:rPr>
            </w:pPr>
            <w:r>
              <w:rPr>
                <w:rFonts w:hint="default"/>
                <w:sz w:val="21"/>
                <w:szCs w:val="21"/>
                <w:highlight w:val="none"/>
                <w:lang w:val="en-US" w:eastAsia="zh-CN"/>
              </w:rPr>
              <w:t>GB/T16895.19-2017</w:t>
            </w:r>
          </w:p>
        </w:tc>
      </w:tr>
    </w:tbl>
    <w:p w14:paraId="1851FC33">
      <w:pPr>
        <w:numPr>
          <w:ilvl w:val="0"/>
          <w:numId w:val="3"/>
        </w:numPr>
        <w:tabs>
          <w:tab w:val="left" w:pos="720"/>
          <w:tab w:val="clear" w:pos="1200"/>
        </w:tabs>
        <w:spacing w:line="360" w:lineRule="auto"/>
        <w:ind w:hanging="840"/>
        <w:rPr>
          <w:rFonts w:ascii="宋体" w:hAnsi="宋体" w:eastAsia="宋体"/>
          <w:kern w:val="2"/>
          <w:sz w:val="21"/>
          <w:szCs w:val="21"/>
          <w:highlight w:val="none"/>
        </w:rPr>
      </w:pPr>
      <w:r>
        <w:rPr>
          <w:rFonts w:hint="eastAsia" w:ascii="宋体" w:hAnsi="宋体" w:eastAsia="宋体"/>
          <w:kern w:val="2"/>
          <w:sz w:val="21"/>
          <w:szCs w:val="21"/>
          <w:highlight w:val="none"/>
        </w:rPr>
        <w:t>材料标准：</w:t>
      </w:r>
    </w:p>
    <w:tbl>
      <w:tblPr>
        <w:tblStyle w:val="15"/>
        <w:tblW w:w="0" w:type="auto"/>
        <w:tblInd w:w="675" w:type="dxa"/>
        <w:tblLayout w:type="autofit"/>
        <w:tblCellMar>
          <w:top w:w="0" w:type="dxa"/>
          <w:left w:w="108" w:type="dxa"/>
          <w:bottom w:w="0" w:type="dxa"/>
          <w:right w:w="108" w:type="dxa"/>
        </w:tblCellMar>
      </w:tblPr>
      <w:tblGrid>
        <w:gridCol w:w="5920"/>
        <w:gridCol w:w="2602"/>
      </w:tblGrid>
      <w:tr w14:paraId="69F2149C">
        <w:tblPrEx>
          <w:tblCellMar>
            <w:top w:w="0" w:type="dxa"/>
            <w:left w:w="108" w:type="dxa"/>
            <w:bottom w:w="0" w:type="dxa"/>
            <w:right w:w="108" w:type="dxa"/>
          </w:tblCellMar>
        </w:tblPrEx>
        <w:tc>
          <w:tcPr>
            <w:tcW w:w="5920" w:type="dxa"/>
            <w:shd w:val="clear" w:color="auto" w:fill="auto"/>
            <w:noWrap w:val="0"/>
            <w:vAlign w:val="center"/>
          </w:tcPr>
          <w:p w14:paraId="7CA17C46">
            <w:pPr>
              <w:bidi w:val="0"/>
              <w:rPr>
                <w:rFonts w:hint="eastAsia"/>
                <w:sz w:val="21"/>
                <w:szCs w:val="21"/>
                <w:highlight w:val="none"/>
                <w:lang w:val="en-US" w:eastAsia="zh-CN"/>
              </w:rPr>
            </w:pPr>
            <w:r>
              <w:rPr>
                <w:rFonts w:hint="eastAsia"/>
                <w:sz w:val="21"/>
                <w:szCs w:val="21"/>
                <w:highlight w:val="none"/>
                <w:lang w:val="en-US" w:eastAsia="zh-CN"/>
              </w:rPr>
              <w:t>《建筑给水硬聚氯乙烯管道工程技术规程》</w:t>
            </w:r>
          </w:p>
        </w:tc>
        <w:tc>
          <w:tcPr>
            <w:tcW w:w="2602" w:type="dxa"/>
            <w:shd w:val="clear" w:color="auto" w:fill="auto"/>
            <w:noWrap w:val="0"/>
            <w:vAlign w:val="center"/>
          </w:tcPr>
          <w:p w14:paraId="40985EBA">
            <w:pPr>
              <w:bidi w:val="0"/>
              <w:rPr>
                <w:rFonts w:hint="eastAsia"/>
                <w:sz w:val="21"/>
                <w:szCs w:val="21"/>
                <w:highlight w:val="none"/>
                <w:lang w:val="en-US" w:eastAsia="zh-CN"/>
              </w:rPr>
            </w:pPr>
            <w:r>
              <w:rPr>
                <w:rFonts w:hint="eastAsia"/>
                <w:sz w:val="21"/>
                <w:szCs w:val="21"/>
                <w:highlight w:val="none"/>
                <w:lang w:val="en-US" w:eastAsia="zh-CN"/>
              </w:rPr>
              <w:t>CECS 41:2004</w:t>
            </w:r>
          </w:p>
        </w:tc>
      </w:tr>
      <w:tr w14:paraId="29377F4B">
        <w:tblPrEx>
          <w:tblCellMar>
            <w:top w:w="0" w:type="dxa"/>
            <w:left w:w="108" w:type="dxa"/>
            <w:bottom w:w="0" w:type="dxa"/>
            <w:right w:w="108" w:type="dxa"/>
          </w:tblCellMar>
        </w:tblPrEx>
        <w:tc>
          <w:tcPr>
            <w:tcW w:w="5920" w:type="dxa"/>
            <w:shd w:val="clear" w:color="auto" w:fill="auto"/>
            <w:noWrap w:val="0"/>
            <w:vAlign w:val="center"/>
          </w:tcPr>
          <w:p w14:paraId="049393A0">
            <w:pPr>
              <w:bidi w:val="0"/>
              <w:rPr>
                <w:rFonts w:hint="eastAsia"/>
                <w:sz w:val="21"/>
                <w:szCs w:val="21"/>
                <w:highlight w:val="none"/>
                <w:lang w:val="en-US" w:eastAsia="zh-CN"/>
              </w:rPr>
            </w:pPr>
            <w:r>
              <w:rPr>
                <w:rFonts w:hint="eastAsia"/>
                <w:sz w:val="21"/>
                <w:szCs w:val="21"/>
                <w:highlight w:val="none"/>
                <w:lang w:val="en-US" w:eastAsia="zh-CN"/>
              </w:rPr>
              <w:t>《给水、排水管道工程施工及验收规范》</w:t>
            </w:r>
          </w:p>
        </w:tc>
        <w:tc>
          <w:tcPr>
            <w:tcW w:w="2602" w:type="dxa"/>
            <w:shd w:val="clear" w:color="auto" w:fill="auto"/>
            <w:noWrap w:val="0"/>
            <w:vAlign w:val="center"/>
          </w:tcPr>
          <w:p w14:paraId="7E8F4B0B">
            <w:pPr>
              <w:bidi w:val="0"/>
              <w:rPr>
                <w:rFonts w:hint="eastAsia"/>
                <w:sz w:val="21"/>
                <w:szCs w:val="21"/>
                <w:highlight w:val="none"/>
                <w:lang w:val="en-US" w:eastAsia="zh-CN"/>
              </w:rPr>
            </w:pPr>
            <w:r>
              <w:rPr>
                <w:rFonts w:hint="eastAsia"/>
                <w:sz w:val="21"/>
                <w:szCs w:val="21"/>
                <w:highlight w:val="none"/>
                <w:lang w:val="en-US" w:eastAsia="zh-CN"/>
              </w:rPr>
              <w:t>GB50268-2008</w:t>
            </w:r>
          </w:p>
        </w:tc>
      </w:tr>
    </w:tbl>
    <w:p w14:paraId="7EE4B3F5">
      <w:pPr>
        <w:numPr>
          <w:ilvl w:val="0"/>
          <w:numId w:val="3"/>
        </w:numPr>
        <w:tabs>
          <w:tab w:val="left" w:pos="720"/>
          <w:tab w:val="clear" w:pos="1200"/>
        </w:tabs>
        <w:spacing w:line="360" w:lineRule="auto"/>
        <w:ind w:hanging="840"/>
        <w:rPr>
          <w:rFonts w:hint="eastAsia" w:ascii="宋体" w:hAnsi="宋体"/>
          <w:sz w:val="21"/>
          <w:szCs w:val="21"/>
          <w:highlight w:val="none"/>
          <w:u w:val="single"/>
        </w:rPr>
      </w:pPr>
      <w:r>
        <w:rPr>
          <w:rFonts w:hint="eastAsia" w:ascii="宋体" w:hAnsi="宋体"/>
          <w:sz w:val="21"/>
          <w:szCs w:val="21"/>
          <w:highlight w:val="none"/>
        </w:rPr>
        <w:t>国家其他相关规程、规范。</w:t>
      </w:r>
    </w:p>
    <w:p w14:paraId="62E5772C">
      <w:pPr>
        <w:pStyle w:val="23"/>
        <w:numPr>
          <w:ilvl w:val="1"/>
          <w:numId w:val="2"/>
        </w:numPr>
        <w:spacing w:line="360" w:lineRule="auto"/>
        <w:ind w:left="0" w:leftChars="0" w:firstLine="0" w:firstLineChars="0"/>
        <w:jc w:val="left"/>
        <w:outlineLvl w:val="1"/>
        <w:rPr>
          <w:rFonts w:hint="eastAsia" w:ascii="宋体" w:hAnsi="宋体"/>
          <w:b/>
          <w:sz w:val="21"/>
          <w:szCs w:val="21"/>
          <w:highlight w:val="none"/>
        </w:rPr>
      </w:pPr>
      <w:bookmarkStart w:id="18" w:name="_Toc2625"/>
      <w:bookmarkStart w:id="19" w:name="_Toc17509"/>
      <w:bookmarkStart w:id="20" w:name="_Toc20589"/>
      <w:bookmarkStart w:id="21" w:name="_Toc32683"/>
      <w:r>
        <w:rPr>
          <w:rFonts w:hint="eastAsia" w:ascii="宋体" w:hAnsi="宋体"/>
          <w:b/>
          <w:sz w:val="21"/>
          <w:szCs w:val="21"/>
          <w:highlight w:val="none"/>
        </w:rPr>
        <w:t>游泳池循环过滤系统</w:t>
      </w:r>
      <w:bookmarkEnd w:id="18"/>
      <w:bookmarkEnd w:id="19"/>
      <w:bookmarkEnd w:id="20"/>
      <w:bookmarkEnd w:id="21"/>
    </w:p>
    <w:p w14:paraId="57CF466A">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22" w:name="_Toc11384"/>
      <w:bookmarkStart w:id="23" w:name="_Toc9804"/>
      <w:bookmarkStart w:id="24" w:name="_Toc288"/>
      <w:bookmarkStart w:id="25" w:name="_Toc14675"/>
      <w:r>
        <w:rPr>
          <w:rFonts w:hint="eastAsia" w:ascii="宋体" w:hAnsi="宋体"/>
          <w:b/>
          <w:sz w:val="21"/>
          <w:szCs w:val="21"/>
          <w:highlight w:val="none"/>
        </w:rPr>
        <w:t>泳池</w:t>
      </w:r>
      <w:r>
        <w:rPr>
          <w:rFonts w:hint="eastAsia" w:ascii="宋体" w:hAnsi="宋体"/>
          <w:b/>
          <w:sz w:val="21"/>
          <w:szCs w:val="21"/>
          <w:highlight w:val="none"/>
          <w:lang w:val="en-US" w:eastAsia="zh-CN"/>
        </w:rPr>
        <w:t>滤芯过滤</w:t>
      </w:r>
      <w:bookmarkEnd w:id="22"/>
      <w:bookmarkEnd w:id="23"/>
      <w:bookmarkEnd w:id="24"/>
      <w:bookmarkEnd w:id="25"/>
      <w:r>
        <w:rPr>
          <w:rFonts w:hint="eastAsia" w:ascii="宋体" w:hAnsi="宋体"/>
          <w:b/>
          <w:sz w:val="21"/>
          <w:szCs w:val="21"/>
          <w:highlight w:val="none"/>
          <w:lang w:val="en-US" w:eastAsia="zh-CN"/>
        </w:rPr>
        <w:t>系统</w:t>
      </w:r>
    </w:p>
    <w:p w14:paraId="4156C098">
      <w:pPr>
        <w:pStyle w:val="36"/>
        <w:numPr>
          <w:ilvl w:val="0"/>
          <w:numId w:val="4"/>
        </w:numPr>
        <w:adjustRightInd w:val="0"/>
        <w:snapToGrid w:val="0"/>
        <w:spacing w:after="50"/>
        <w:ind w:firstLineChars="0"/>
        <w:rPr>
          <w:rFonts w:hint="eastAsia" w:ascii="宋体" w:hAnsi="宋体" w:cs="阿里巴巴普惠体"/>
          <w:sz w:val="21"/>
          <w:szCs w:val="21"/>
          <w:highlight w:val="none"/>
          <w:lang w:val="en-GB"/>
        </w:rPr>
      </w:pPr>
      <w:bookmarkStart w:id="26" w:name="_Toc9922"/>
      <w:bookmarkStart w:id="27" w:name="_Toc5280"/>
      <w:bookmarkStart w:id="28" w:name="_Toc29423"/>
      <w:bookmarkStart w:id="29" w:name="_Toc11683"/>
      <w:r>
        <w:rPr>
          <w:rFonts w:hint="eastAsia" w:ascii="宋体" w:hAnsi="宋体" w:cs="阿里巴巴普惠体"/>
          <w:sz w:val="21"/>
          <w:szCs w:val="21"/>
          <w:highlight w:val="none"/>
          <w:lang w:val="en-GB"/>
        </w:rPr>
        <w:t>循环流</w:t>
      </w:r>
      <w:r>
        <w:rPr>
          <w:rFonts w:hint="eastAsia" w:ascii="宋体" w:hAnsi="宋体" w:cs="阿里巴巴普惠体"/>
          <w:sz w:val="21"/>
          <w:szCs w:val="21"/>
          <w:highlight w:val="none"/>
          <w:lang w:val="en-US" w:eastAsia="zh-CN"/>
        </w:rPr>
        <w:t>≥25</w:t>
      </w:r>
      <w:r>
        <w:rPr>
          <w:rFonts w:hint="eastAsia" w:ascii="宋体" w:hAnsi="宋体" w:cs="阿里巴巴普惠体"/>
          <w:sz w:val="21"/>
          <w:szCs w:val="21"/>
          <w:highlight w:val="none"/>
          <w:lang w:val="en-GB"/>
        </w:rPr>
        <w:t>m3/h，</w:t>
      </w:r>
      <w:r>
        <w:rPr>
          <w:rFonts w:hint="eastAsia" w:ascii="宋体" w:hAnsi="宋体" w:cs="阿里巴巴普惠体"/>
          <w:sz w:val="21"/>
          <w:szCs w:val="21"/>
          <w:highlight w:val="none"/>
          <w:lang w:val="en-US" w:eastAsia="zh-CN"/>
        </w:rPr>
        <w:t>过滤面积≥48.8m</w:t>
      </w:r>
      <w:r>
        <w:rPr>
          <w:rFonts w:hint="eastAsia" w:ascii="阿里巴巴普惠体" w:hAnsi="阿里巴巴普惠体" w:eastAsia="阿里巴巴普惠体" w:cs="阿里巴巴普惠体"/>
          <w:sz w:val="21"/>
          <w:szCs w:val="21"/>
          <w:highlight w:val="none"/>
          <w:lang w:val="en-US" w:eastAsia="zh-CN"/>
        </w:rPr>
        <w:t>²，</w:t>
      </w:r>
      <w:r>
        <w:rPr>
          <w:rFonts w:hint="eastAsia" w:ascii="宋体" w:hAnsi="宋体" w:cs="阿里巴巴普惠体"/>
          <w:sz w:val="21"/>
          <w:szCs w:val="21"/>
          <w:highlight w:val="none"/>
          <w:lang w:val="en-GB"/>
        </w:rPr>
        <w:t>滤速≤</w:t>
      </w:r>
      <w:r>
        <w:rPr>
          <w:rFonts w:hint="eastAsia" w:ascii="宋体" w:hAnsi="宋体" w:cs="阿里巴巴普惠体"/>
          <w:sz w:val="21"/>
          <w:szCs w:val="21"/>
          <w:highlight w:val="none"/>
          <w:lang w:val="en-US" w:eastAsia="zh-CN"/>
        </w:rPr>
        <w:t>0.6</w:t>
      </w:r>
      <w:r>
        <w:rPr>
          <w:rFonts w:hint="eastAsia" w:ascii="宋体" w:hAnsi="宋体" w:cs="阿里巴巴普惠体"/>
          <w:sz w:val="21"/>
          <w:szCs w:val="21"/>
          <w:highlight w:val="none"/>
          <w:lang w:val="en-GB"/>
        </w:rPr>
        <w:t>m/h；</w:t>
      </w:r>
    </w:p>
    <w:p w14:paraId="5E889061">
      <w:pPr>
        <w:pStyle w:val="36"/>
        <w:numPr>
          <w:ilvl w:val="0"/>
          <w:numId w:val="4"/>
        </w:numPr>
        <w:adjustRightInd w:val="0"/>
        <w:snapToGrid w:val="0"/>
        <w:spacing w:after="50"/>
        <w:ind w:firstLineChars="0"/>
        <w:rPr>
          <w:rFonts w:hint="eastAsia" w:ascii="宋体" w:hAnsi="宋体" w:cs="阿里巴巴普惠体"/>
          <w:sz w:val="21"/>
          <w:szCs w:val="21"/>
          <w:highlight w:val="none"/>
          <w:lang w:val="en-GB"/>
        </w:rPr>
      </w:pPr>
      <w:r>
        <w:rPr>
          <w:rFonts w:hint="eastAsia" w:ascii="宋体" w:hAnsi="宋体" w:cs="阿里巴巴普惠体"/>
          <w:sz w:val="21"/>
          <w:szCs w:val="21"/>
          <w:highlight w:val="none"/>
          <w:lang w:val="en-US" w:eastAsia="zh-CN"/>
        </w:rPr>
        <w:t>采用可重复使用的聚酯纤维滤芯；</w:t>
      </w:r>
    </w:p>
    <w:p w14:paraId="4B23FEFB">
      <w:pPr>
        <w:pStyle w:val="36"/>
        <w:numPr>
          <w:ilvl w:val="0"/>
          <w:numId w:val="4"/>
        </w:numPr>
        <w:adjustRightInd w:val="0"/>
        <w:snapToGrid w:val="0"/>
        <w:spacing w:after="50"/>
        <w:ind w:firstLineChars="0"/>
        <w:rPr>
          <w:rFonts w:hint="eastAsia" w:ascii="宋体" w:hAnsi="宋体" w:cs="阿里巴巴普惠体"/>
          <w:sz w:val="21"/>
          <w:szCs w:val="21"/>
          <w:highlight w:val="none"/>
          <w:lang w:val="en-GB"/>
        </w:rPr>
      </w:pPr>
      <w:r>
        <w:rPr>
          <w:rFonts w:hint="eastAsia" w:ascii="宋体" w:hAnsi="宋体" w:cs="阿里巴巴普惠体"/>
          <w:sz w:val="21"/>
          <w:szCs w:val="21"/>
          <w:highlight w:val="none"/>
          <w:lang w:val="en-GB"/>
        </w:rPr>
        <w:t>尺寸紧凑，可通过900mm 标准的门款</w:t>
      </w:r>
      <w:r>
        <w:rPr>
          <w:rFonts w:hint="eastAsia" w:ascii="宋体" w:hAnsi="宋体" w:cs="阿里巴巴普惠体"/>
          <w:sz w:val="21"/>
          <w:szCs w:val="21"/>
          <w:highlight w:val="none"/>
          <w:lang w:val="en-GB" w:eastAsia="zh-CN"/>
        </w:rPr>
        <w:t>；</w:t>
      </w:r>
    </w:p>
    <w:p w14:paraId="5A4FD470">
      <w:pPr>
        <w:pStyle w:val="36"/>
        <w:numPr>
          <w:ilvl w:val="0"/>
          <w:numId w:val="4"/>
        </w:numPr>
        <w:adjustRightInd w:val="0"/>
        <w:snapToGrid w:val="0"/>
        <w:spacing w:after="50"/>
        <w:ind w:firstLineChars="0"/>
        <w:rPr>
          <w:rFonts w:hint="eastAsia" w:ascii="宋体" w:hAnsi="宋体" w:cs="阿里巴巴普惠体"/>
          <w:sz w:val="21"/>
          <w:szCs w:val="21"/>
          <w:highlight w:val="none"/>
          <w:lang w:val="en-GB"/>
        </w:rPr>
      </w:pPr>
      <w:r>
        <w:rPr>
          <w:rFonts w:hint="eastAsia" w:ascii="宋体" w:hAnsi="宋体" w:cs="阿里巴巴普惠体"/>
          <w:sz w:val="21"/>
          <w:szCs w:val="21"/>
          <w:highlight w:val="none"/>
          <w:lang w:val="en-GB"/>
        </w:rPr>
        <w:t>坚固的加强聚化合物注塑外壳，彻底杜绝化学药剂及盐腐蚀；</w:t>
      </w:r>
    </w:p>
    <w:p w14:paraId="10B580A1">
      <w:pPr>
        <w:pStyle w:val="36"/>
        <w:numPr>
          <w:ilvl w:val="0"/>
          <w:numId w:val="4"/>
        </w:numPr>
        <w:adjustRightInd w:val="0"/>
        <w:snapToGrid w:val="0"/>
        <w:spacing w:after="50"/>
        <w:ind w:firstLineChars="0"/>
        <w:rPr>
          <w:rFonts w:hint="eastAsia" w:ascii="宋体" w:hAnsi="宋体" w:cs="阿里巴巴普惠体"/>
          <w:sz w:val="21"/>
          <w:szCs w:val="21"/>
          <w:highlight w:val="none"/>
          <w:lang w:val="en-GB"/>
        </w:rPr>
      </w:pPr>
      <w:r>
        <w:rPr>
          <w:rFonts w:hint="eastAsia" w:ascii="宋体" w:hAnsi="宋体" w:cs="阿里巴巴普惠体"/>
          <w:sz w:val="21"/>
          <w:szCs w:val="21"/>
          <w:highlight w:val="none"/>
          <w:lang w:val="en-GB"/>
        </w:rPr>
        <w:t>配备有压力表、排气阀、排水塞；</w:t>
      </w:r>
    </w:p>
    <w:p w14:paraId="4EC58572">
      <w:pPr>
        <w:pStyle w:val="36"/>
        <w:numPr>
          <w:ilvl w:val="0"/>
          <w:numId w:val="4"/>
        </w:numPr>
        <w:adjustRightInd w:val="0"/>
        <w:snapToGrid w:val="0"/>
        <w:spacing w:after="50"/>
        <w:ind w:firstLineChars="0"/>
        <w:rPr>
          <w:rFonts w:hint="eastAsia" w:ascii="宋体" w:hAnsi="宋体" w:cs="阿里巴巴普惠体"/>
          <w:sz w:val="21"/>
          <w:szCs w:val="21"/>
          <w:highlight w:val="none"/>
          <w:lang w:val="en-GB"/>
        </w:rPr>
      </w:pPr>
      <w:r>
        <w:rPr>
          <w:rFonts w:hint="eastAsia" w:ascii="宋体" w:hAnsi="宋体" w:cs="阿里巴巴普惠体"/>
          <w:sz w:val="21"/>
          <w:szCs w:val="21"/>
          <w:highlight w:val="none"/>
          <w:lang w:val="en-US" w:eastAsia="zh-CN"/>
        </w:rPr>
        <w:t>自对齐的上壳体和下壳体，更换滤芯更方便、快捷</w:t>
      </w:r>
      <w:r>
        <w:rPr>
          <w:rFonts w:hint="eastAsia" w:ascii="宋体" w:hAnsi="宋体" w:cs="阿里巴巴普惠体"/>
          <w:sz w:val="21"/>
          <w:szCs w:val="21"/>
          <w:highlight w:val="none"/>
          <w:lang w:val="en-GB"/>
        </w:rPr>
        <w:t>；</w:t>
      </w:r>
    </w:p>
    <w:p w14:paraId="742DA75C">
      <w:pPr>
        <w:pStyle w:val="36"/>
        <w:numPr>
          <w:ilvl w:val="0"/>
          <w:numId w:val="4"/>
        </w:numPr>
        <w:adjustRightInd w:val="0"/>
        <w:snapToGrid w:val="0"/>
        <w:spacing w:after="50"/>
        <w:ind w:firstLineChars="0"/>
        <w:rPr>
          <w:rFonts w:hint="eastAsia" w:ascii="宋体" w:hAnsi="宋体" w:cs="阿里巴巴普惠体"/>
          <w:sz w:val="21"/>
          <w:szCs w:val="21"/>
          <w:highlight w:val="none"/>
          <w:lang w:val="en-GB"/>
        </w:rPr>
      </w:pPr>
      <w:r>
        <w:rPr>
          <w:rFonts w:hint="eastAsia" w:ascii="宋体" w:hAnsi="宋体" w:cs="阿里巴巴普惠体"/>
          <w:sz w:val="21"/>
          <w:szCs w:val="21"/>
          <w:highlight w:val="none"/>
          <w:lang w:val="en-GB"/>
        </w:rPr>
        <w:t>整机原装进口，NSF 认证文件，需出具报关证明文件。</w:t>
      </w:r>
    </w:p>
    <w:p w14:paraId="1F01AA83">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r>
        <w:rPr>
          <w:rFonts w:hint="eastAsia" w:ascii="宋体" w:hAnsi="宋体"/>
          <w:b/>
          <w:sz w:val="21"/>
          <w:szCs w:val="21"/>
          <w:highlight w:val="none"/>
        </w:rPr>
        <w:t>设计参数</w:t>
      </w:r>
      <w:bookmarkEnd w:id="26"/>
      <w:bookmarkEnd w:id="27"/>
      <w:bookmarkEnd w:id="28"/>
      <w:bookmarkEnd w:id="29"/>
    </w:p>
    <w:tbl>
      <w:tblPr>
        <w:tblStyle w:val="15"/>
        <w:tblW w:w="9628" w:type="dxa"/>
        <w:tblInd w:w="93" w:type="dxa"/>
        <w:tblLayout w:type="fixed"/>
        <w:tblCellMar>
          <w:top w:w="0" w:type="dxa"/>
          <w:left w:w="108" w:type="dxa"/>
          <w:bottom w:w="0" w:type="dxa"/>
          <w:right w:w="108" w:type="dxa"/>
        </w:tblCellMar>
      </w:tblPr>
      <w:tblGrid>
        <w:gridCol w:w="1278"/>
        <w:gridCol w:w="1025"/>
        <w:gridCol w:w="1162"/>
        <w:gridCol w:w="1150"/>
        <w:gridCol w:w="1263"/>
        <w:gridCol w:w="2012"/>
        <w:gridCol w:w="1738"/>
      </w:tblGrid>
      <w:tr w14:paraId="533806F7">
        <w:tblPrEx>
          <w:tblCellMar>
            <w:top w:w="0" w:type="dxa"/>
            <w:left w:w="108" w:type="dxa"/>
            <w:bottom w:w="0" w:type="dxa"/>
            <w:right w:w="108" w:type="dxa"/>
          </w:tblCellMar>
        </w:tblPrEx>
        <w:trPr>
          <w:trHeight w:val="398" w:hRule="atLeast"/>
        </w:trPr>
        <w:tc>
          <w:tcPr>
            <w:tcW w:w="1278" w:type="dxa"/>
            <w:tcBorders>
              <w:top w:val="single" w:color="auto" w:sz="4" w:space="0"/>
              <w:left w:val="single" w:color="auto" w:sz="4" w:space="0"/>
              <w:bottom w:val="single" w:color="auto" w:sz="4" w:space="0"/>
              <w:right w:val="single" w:color="auto" w:sz="4" w:space="0"/>
            </w:tcBorders>
            <w:shd w:val="clear" w:color="auto" w:fill="C0C0C0"/>
            <w:noWrap/>
            <w:vAlign w:val="center"/>
          </w:tcPr>
          <w:p w14:paraId="4B512B66">
            <w:pPr>
              <w:widowControl/>
              <w:jc w:val="center"/>
              <w:rPr>
                <w:rFonts w:ascii="宋体" w:hAnsi="宋体" w:cs="宋体"/>
                <w:kern w:val="0"/>
                <w:sz w:val="21"/>
                <w:szCs w:val="21"/>
                <w:highlight w:val="none"/>
              </w:rPr>
            </w:pPr>
            <w:r>
              <w:rPr>
                <w:rFonts w:hint="eastAsia" w:ascii="宋体" w:hAnsi="宋体" w:cs="宋体"/>
                <w:kern w:val="0"/>
                <w:sz w:val="21"/>
                <w:szCs w:val="21"/>
                <w:highlight w:val="none"/>
              </w:rPr>
              <w:t>游泳池</w:t>
            </w:r>
          </w:p>
        </w:tc>
        <w:tc>
          <w:tcPr>
            <w:tcW w:w="1025" w:type="dxa"/>
            <w:tcBorders>
              <w:top w:val="single" w:color="auto" w:sz="4" w:space="0"/>
              <w:left w:val="single" w:color="auto" w:sz="4" w:space="0"/>
              <w:bottom w:val="single" w:color="auto" w:sz="4" w:space="0"/>
              <w:right w:val="single" w:color="auto" w:sz="4" w:space="0"/>
            </w:tcBorders>
            <w:shd w:val="clear" w:color="auto" w:fill="C0C0C0"/>
            <w:noWrap/>
            <w:vAlign w:val="center"/>
          </w:tcPr>
          <w:p w14:paraId="70C59EA7">
            <w:pPr>
              <w:widowControl/>
              <w:jc w:val="center"/>
              <w:rPr>
                <w:rFonts w:ascii="宋体" w:hAnsi="宋体" w:cs="宋体"/>
                <w:kern w:val="0"/>
                <w:sz w:val="21"/>
                <w:szCs w:val="21"/>
                <w:highlight w:val="none"/>
              </w:rPr>
            </w:pPr>
            <w:r>
              <w:rPr>
                <w:rFonts w:hint="eastAsia" w:ascii="宋体" w:hAnsi="宋体" w:cs="宋体"/>
                <w:kern w:val="0"/>
                <w:sz w:val="21"/>
                <w:szCs w:val="21"/>
                <w:highlight w:val="none"/>
              </w:rPr>
              <w:t>有效容积</w:t>
            </w:r>
          </w:p>
        </w:tc>
        <w:tc>
          <w:tcPr>
            <w:tcW w:w="1162" w:type="dxa"/>
            <w:tcBorders>
              <w:top w:val="single" w:color="auto" w:sz="4" w:space="0"/>
              <w:left w:val="single" w:color="auto" w:sz="4" w:space="0"/>
              <w:bottom w:val="single" w:color="auto" w:sz="4" w:space="0"/>
              <w:right w:val="single" w:color="auto" w:sz="4" w:space="0"/>
            </w:tcBorders>
            <w:shd w:val="clear" w:color="auto" w:fill="C0C0C0"/>
            <w:noWrap/>
            <w:vAlign w:val="center"/>
          </w:tcPr>
          <w:p w14:paraId="1E589CC2">
            <w:pPr>
              <w:widowControl/>
              <w:jc w:val="center"/>
              <w:rPr>
                <w:rFonts w:ascii="宋体" w:hAnsi="宋体" w:cs="宋体"/>
                <w:kern w:val="0"/>
                <w:sz w:val="21"/>
                <w:szCs w:val="21"/>
                <w:highlight w:val="none"/>
              </w:rPr>
            </w:pPr>
            <w:r>
              <w:rPr>
                <w:rFonts w:hint="eastAsia" w:ascii="宋体" w:hAnsi="宋体" w:cs="宋体"/>
                <w:kern w:val="0"/>
                <w:sz w:val="21"/>
                <w:szCs w:val="21"/>
                <w:highlight w:val="none"/>
              </w:rPr>
              <w:t>循环周期</w:t>
            </w:r>
          </w:p>
        </w:tc>
        <w:tc>
          <w:tcPr>
            <w:tcW w:w="1150" w:type="dxa"/>
            <w:tcBorders>
              <w:top w:val="single" w:color="auto" w:sz="4" w:space="0"/>
              <w:left w:val="single" w:color="auto" w:sz="4" w:space="0"/>
              <w:bottom w:val="single" w:color="auto" w:sz="4" w:space="0"/>
              <w:right w:val="single" w:color="auto" w:sz="4" w:space="0"/>
            </w:tcBorders>
            <w:shd w:val="clear" w:color="auto" w:fill="C0C0C0"/>
            <w:noWrap/>
            <w:vAlign w:val="center"/>
          </w:tcPr>
          <w:p w14:paraId="5DDCFCAE">
            <w:pPr>
              <w:widowControl/>
              <w:jc w:val="center"/>
              <w:rPr>
                <w:rFonts w:ascii="宋体" w:hAnsi="宋体" w:cs="宋体"/>
                <w:kern w:val="0"/>
                <w:sz w:val="21"/>
                <w:szCs w:val="21"/>
                <w:highlight w:val="none"/>
              </w:rPr>
            </w:pPr>
            <w:r>
              <w:rPr>
                <w:rFonts w:hint="eastAsia" w:ascii="宋体" w:hAnsi="宋体" w:cs="宋体"/>
                <w:kern w:val="0"/>
                <w:sz w:val="21"/>
                <w:szCs w:val="21"/>
                <w:highlight w:val="none"/>
              </w:rPr>
              <w:t>循环流量</w:t>
            </w:r>
          </w:p>
        </w:tc>
        <w:tc>
          <w:tcPr>
            <w:tcW w:w="1263" w:type="dxa"/>
            <w:tcBorders>
              <w:top w:val="single" w:color="auto" w:sz="4" w:space="0"/>
              <w:left w:val="single" w:color="auto" w:sz="4" w:space="0"/>
              <w:bottom w:val="single" w:color="auto" w:sz="4" w:space="0"/>
              <w:right w:val="single" w:color="auto" w:sz="4" w:space="0"/>
            </w:tcBorders>
            <w:shd w:val="clear" w:color="auto" w:fill="C0C0C0"/>
            <w:noWrap/>
            <w:vAlign w:val="center"/>
          </w:tcPr>
          <w:p w14:paraId="315929D2">
            <w:pPr>
              <w:widowControl/>
              <w:jc w:val="center"/>
              <w:rPr>
                <w:rFonts w:ascii="宋体" w:hAnsi="宋体" w:cs="宋体"/>
                <w:kern w:val="0"/>
                <w:sz w:val="21"/>
                <w:szCs w:val="21"/>
                <w:highlight w:val="none"/>
              </w:rPr>
            </w:pPr>
            <w:r>
              <w:rPr>
                <w:rFonts w:hint="eastAsia" w:ascii="宋体" w:hAnsi="宋体" w:cs="宋体"/>
                <w:kern w:val="0"/>
                <w:sz w:val="21"/>
                <w:szCs w:val="21"/>
                <w:highlight w:val="none"/>
              </w:rPr>
              <w:t>温度</w:t>
            </w:r>
          </w:p>
        </w:tc>
        <w:tc>
          <w:tcPr>
            <w:tcW w:w="2012" w:type="dxa"/>
            <w:tcBorders>
              <w:top w:val="single" w:color="auto" w:sz="4" w:space="0"/>
              <w:left w:val="single" w:color="auto" w:sz="4" w:space="0"/>
              <w:bottom w:val="single" w:color="auto" w:sz="4" w:space="0"/>
              <w:right w:val="single" w:color="auto" w:sz="4" w:space="0"/>
            </w:tcBorders>
            <w:shd w:val="clear" w:color="auto" w:fill="C0C0C0"/>
            <w:noWrap/>
            <w:vAlign w:val="center"/>
          </w:tcPr>
          <w:p w14:paraId="02989489">
            <w:pPr>
              <w:widowControl/>
              <w:jc w:val="center"/>
              <w:rPr>
                <w:rFonts w:ascii="宋体" w:hAnsi="宋体" w:cs="宋体"/>
                <w:kern w:val="0"/>
                <w:sz w:val="21"/>
                <w:szCs w:val="21"/>
                <w:highlight w:val="none"/>
              </w:rPr>
            </w:pPr>
            <w:r>
              <w:rPr>
                <w:rFonts w:hint="eastAsia" w:ascii="宋体" w:hAnsi="宋体" w:cs="宋体"/>
                <w:kern w:val="0"/>
                <w:sz w:val="21"/>
                <w:szCs w:val="21"/>
                <w:highlight w:val="none"/>
              </w:rPr>
              <w:t>过滤方式</w:t>
            </w:r>
          </w:p>
        </w:tc>
        <w:tc>
          <w:tcPr>
            <w:tcW w:w="1738" w:type="dxa"/>
            <w:tcBorders>
              <w:top w:val="single" w:color="auto" w:sz="4" w:space="0"/>
              <w:left w:val="single" w:color="auto" w:sz="4" w:space="0"/>
              <w:bottom w:val="single" w:color="auto" w:sz="4" w:space="0"/>
              <w:right w:val="single" w:color="auto" w:sz="4" w:space="0"/>
            </w:tcBorders>
            <w:shd w:val="clear" w:color="auto" w:fill="C0C0C0"/>
            <w:noWrap/>
            <w:vAlign w:val="center"/>
          </w:tcPr>
          <w:p w14:paraId="3DC2C77E">
            <w:pPr>
              <w:widowControl/>
              <w:jc w:val="center"/>
              <w:rPr>
                <w:rFonts w:ascii="宋体" w:hAnsi="宋体" w:cs="宋体"/>
                <w:kern w:val="0"/>
                <w:sz w:val="21"/>
                <w:szCs w:val="21"/>
                <w:highlight w:val="none"/>
              </w:rPr>
            </w:pPr>
            <w:r>
              <w:rPr>
                <w:rFonts w:hint="eastAsia" w:ascii="宋体" w:hAnsi="宋体" w:cs="宋体"/>
                <w:kern w:val="0"/>
                <w:sz w:val="21"/>
                <w:szCs w:val="21"/>
                <w:highlight w:val="none"/>
              </w:rPr>
              <w:t>备注</w:t>
            </w:r>
          </w:p>
        </w:tc>
      </w:tr>
      <w:tr w14:paraId="1F4BB48C">
        <w:tblPrEx>
          <w:tblCellMar>
            <w:top w:w="0" w:type="dxa"/>
            <w:left w:w="108" w:type="dxa"/>
            <w:bottom w:w="0" w:type="dxa"/>
            <w:right w:w="108" w:type="dxa"/>
          </w:tblCellMar>
        </w:tblPrEx>
        <w:trPr>
          <w:trHeight w:val="398" w:hRule="atLeast"/>
        </w:trPr>
        <w:tc>
          <w:tcPr>
            <w:tcW w:w="1278" w:type="dxa"/>
            <w:tcBorders>
              <w:top w:val="single" w:color="auto" w:sz="4" w:space="0"/>
              <w:left w:val="single" w:color="auto" w:sz="4" w:space="0"/>
              <w:bottom w:val="single" w:color="auto" w:sz="4" w:space="0"/>
              <w:right w:val="single" w:color="auto" w:sz="4" w:space="0"/>
            </w:tcBorders>
            <w:noWrap/>
            <w:vAlign w:val="center"/>
          </w:tcPr>
          <w:p w14:paraId="3F496A04">
            <w:pPr>
              <w:widowControl/>
              <w:jc w:val="left"/>
              <w:rPr>
                <w:rFonts w:ascii="宋体" w:hAnsi="宋体" w:cs="宋体"/>
                <w:kern w:val="0"/>
                <w:sz w:val="21"/>
                <w:szCs w:val="21"/>
                <w:highlight w:val="none"/>
              </w:rPr>
            </w:pPr>
            <w:r>
              <w:rPr>
                <w:rFonts w:hint="eastAsia" w:ascii="宋体" w:hAnsi="宋体" w:cs="宋体"/>
                <w:kern w:val="0"/>
                <w:sz w:val="21"/>
                <w:szCs w:val="21"/>
                <w:highlight w:val="none"/>
              </w:rPr>
              <w:t>室内泳池</w:t>
            </w:r>
          </w:p>
        </w:tc>
        <w:tc>
          <w:tcPr>
            <w:tcW w:w="1025" w:type="dxa"/>
            <w:tcBorders>
              <w:top w:val="single" w:color="auto" w:sz="4" w:space="0"/>
              <w:left w:val="single" w:color="auto" w:sz="4" w:space="0"/>
              <w:bottom w:val="single" w:color="auto" w:sz="4" w:space="0"/>
              <w:right w:val="single" w:color="auto" w:sz="4" w:space="0"/>
            </w:tcBorders>
            <w:noWrap/>
            <w:vAlign w:val="center"/>
          </w:tcPr>
          <w:p w14:paraId="02DDE7DD">
            <w:pPr>
              <w:widowControl/>
              <w:jc w:val="center"/>
              <w:rPr>
                <w:rFonts w:ascii="宋体" w:hAnsi="宋体" w:cs="宋体"/>
                <w:kern w:val="0"/>
                <w:sz w:val="21"/>
                <w:szCs w:val="21"/>
                <w:highlight w:val="none"/>
              </w:rPr>
            </w:pPr>
            <w:r>
              <w:rPr>
                <w:rFonts w:hint="eastAsia" w:ascii="宋体" w:hAnsi="宋体" w:cs="宋体"/>
                <w:kern w:val="0"/>
                <w:sz w:val="21"/>
                <w:szCs w:val="21"/>
                <w:highlight w:val="none"/>
                <w:lang w:val="en-US" w:eastAsia="zh-CN"/>
              </w:rPr>
              <w:t>261</w:t>
            </w:r>
            <w:r>
              <w:rPr>
                <w:rFonts w:hint="eastAsia" w:ascii="宋体" w:hAnsi="宋体" w:cs="宋体"/>
                <w:kern w:val="0"/>
                <w:sz w:val="21"/>
                <w:szCs w:val="21"/>
                <w:highlight w:val="none"/>
              </w:rPr>
              <w:t>m</w:t>
            </w:r>
            <w:r>
              <w:rPr>
                <w:rFonts w:hint="eastAsia" w:ascii="宋体" w:hAnsi="宋体" w:cs="宋体"/>
                <w:kern w:val="0"/>
                <w:sz w:val="21"/>
                <w:szCs w:val="21"/>
                <w:highlight w:val="none"/>
                <w:vertAlign w:val="superscript"/>
              </w:rPr>
              <w:t>3</w:t>
            </w:r>
          </w:p>
        </w:tc>
        <w:tc>
          <w:tcPr>
            <w:tcW w:w="1162" w:type="dxa"/>
            <w:tcBorders>
              <w:top w:val="single" w:color="auto" w:sz="4" w:space="0"/>
              <w:left w:val="single" w:color="auto" w:sz="4" w:space="0"/>
              <w:bottom w:val="single" w:color="auto" w:sz="4" w:space="0"/>
              <w:right w:val="single" w:color="auto" w:sz="4" w:space="0"/>
            </w:tcBorders>
            <w:noWrap/>
            <w:vAlign w:val="center"/>
          </w:tcPr>
          <w:p w14:paraId="7128E083">
            <w:pPr>
              <w:widowControl/>
              <w:jc w:val="center"/>
              <w:rPr>
                <w:rFonts w:ascii="宋体" w:hAnsi="宋体" w:cs="宋体"/>
                <w:kern w:val="0"/>
                <w:sz w:val="21"/>
                <w:szCs w:val="21"/>
                <w:highlight w:val="none"/>
              </w:rPr>
            </w:pPr>
            <w:r>
              <w:rPr>
                <w:rFonts w:hint="eastAsia" w:ascii="宋体" w:hAnsi="宋体" w:cs="宋体"/>
                <w:kern w:val="0"/>
                <w:sz w:val="21"/>
                <w:szCs w:val="21"/>
                <w:highlight w:val="none"/>
              </w:rPr>
              <w:t>4h</w:t>
            </w:r>
          </w:p>
        </w:tc>
        <w:tc>
          <w:tcPr>
            <w:tcW w:w="1150" w:type="dxa"/>
            <w:tcBorders>
              <w:top w:val="single" w:color="auto" w:sz="4" w:space="0"/>
              <w:left w:val="single" w:color="auto" w:sz="4" w:space="0"/>
              <w:bottom w:val="single" w:color="auto" w:sz="4" w:space="0"/>
              <w:right w:val="single" w:color="auto" w:sz="4" w:space="0"/>
            </w:tcBorders>
            <w:noWrap/>
            <w:vAlign w:val="center"/>
          </w:tcPr>
          <w:p w14:paraId="02786014">
            <w:pPr>
              <w:widowControl/>
              <w:jc w:val="center"/>
              <w:rPr>
                <w:rFonts w:ascii="宋体" w:hAnsi="宋体" w:cs="宋体"/>
                <w:kern w:val="0"/>
                <w:sz w:val="21"/>
                <w:szCs w:val="21"/>
                <w:highlight w:val="none"/>
              </w:rPr>
            </w:pPr>
            <w:r>
              <w:rPr>
                <w:rFonts w:hint="eastAsia" w:ascii="宋体" w:hAnsi="宋体" w:cs="宋体"/>
                <w:kern w:val="0"/>
                <w:sz w:val="21"/>
                <w:szCs w:val="21"/>
                <w:highlight w:val="none"/>
                <w:lang w:val="en-US" w:eastAsia="zh-CN"/>
              </w:rPr>
              <w:t>66</w:t>
            </w:r>
            <w:r>
              <w:rPr>
                <w:rFonts w:hint="eastAsia" w:ascii="宋体" w:hAnsi="宋体" w:cs="宋体"/>
                <w:kern w:val="0"/>
                <w:sz w:val="21"/>
                <w:szCs w:val="21"/>
                <w:highlight w:val="none"/>
              </w:rPr>
              <w:t>m</w:t>
            </w:r>
            <w:r>
              <w:rPr>
                <w:rFonts w:hint="eastAsia" w:ascii="宋体" w:hAnsi="宋体" w:cs="宋体"/>
                <w:kern w:val="0"/>
                <w:sz w:val="21"/>
                <w:szCs w:val="21"/>
                <w:highlight w:val="none"/>
                <w:vertAlign w:val="superscript"/>
              </w:rPr>
              <w:t>3</w:t>
            </w:r>
            <w:r>
              <w:rPr>
                <w:rFonts w:hint="eastAsia" w:ascii="宋体" w:hAnsi="宋体" w:cs="宋体"/>
                <w:kern w:val="0"/>
                <w:sz w:val="21"/>
                <w:szCs w:val="21"/>
                <w:highlight w:val="none"/>
              </w:rPr>
              <w:t>/h</w:t>
            </w:r>
          </w:p>
        </w:tc>
        <w:tc>
          <w:tcPr>
            <w:tcW w:w="1263" w:type="dxa"/>
            <w:tcBorders>
              <w:top w:val="single" w:color="auto" w:sz="4" w:space="0"/>
              <w:left w:val="single" w:color="auto" w:sz="4" w:space="0"/>
              <w:bottom w:val="single" w:color="auto" w:sz="4" w:space="0"/>
              <w:right w:val="single" w:color="auto" w:sz="4" w:space="0"/>
            </w:tcBorders>
            <w:noWrap/>
            <w:vAlign w:val="center"/>
          </w:tcPr>
          <w:p w14:paraId="78BAA7D9">
            <w:pPr>
              <w:widowControl/>
              <w:jc w:val="center"/>
              <w:rPr>
                <w:rFonts w:ascii="宋体" w:hAnsi="宋体" w:cs="宋体"/>
                <w:kern w:val="0"/>
                <w:sz w:val="21"/>
                <w:szCs w:val="21"/>
                <w:highlight w:val="none"/>
              </w:rPr>
            </w:pPr>
            <w:r>
              <w:rPr>
                <w:rFonts w:hint="eastAsia" w:ascii="宋体" w:hAnsi="宋体" w:cs="宋体"/>
                <w:kern w:val="0"/>
                <w:sz w:val="21"/>
                <w:szCs w:val="21"/>
                <w:highlight w:val="none"/>
              </w:rPr>
              <w:t>27～29℃</w:t>
            </w:r>
          </w:p>
        </w:tc>
        <w:tc>
          <w:tcPr>
            <w:tcW w:w="2012" w:type="dxa"/>
            <w:tcBorders>
              <w:top w:val="single" w:color="auto" w:sz="4" w:space="0"/>
              <w:left w:val="single" w:color="auto" w:sz="4" w:space="0"/>
              <w:bottom w:val="single" w:color="auto" w:sz="4" w:space="0"/>
              <w:right w:val="single" w:color="auto" w:sz="4" w:space="0"/>
            </w:tcBorders>
            <w:noWrap/>
            <w:vAlign w:val="center"/>
          </w:tcPr>
          <w:p w14:paraId="5B43B209">
            <w:pPr>
              <w:widowControl/>
              <w:jc w:val="center"/>
              <w:rPr>
                <w:rFonts w:hint="default" w:ascii="宋体" w:hAnsi="宋体" w:cs="宋体" w:eastAsiaTheme="minorEastAsia"/>
                <w:kern w:val="0"/>
                <w:sz w:val="21"/>
                <w:szCs w:val="21"/>
                <w:highlight w:val="none"/>
                <w:lang w:val="en-US" w:eastAsia="zh-CN"/>
              </w:rPr>
            </w:pPr>
            <w:r>
              <w:rPr>
                <w:rFonts w:hint="eastAsia" w:ascii="宋体" w:hAnsi="宋体" w:cs="宋体"/>
                <w:kern w:val="0"/>
                <w:sz w:val="21"/>
                <w:szCs w:val="21"/>
                <w:highlight w:val="none"/>
                <w:lang w:val="en-US" w:eastAsia="zh-CN"/>
              </w:rPr>
              <w:t>滤芯过滤器</w:t>
            </w:r>
          </w:p>
        </w:tc>
        <w:tc>
          <w:tcPr>
            <w:tcW w:w="1738" w:type="dxa"/>
            <w:tcBorders>
              <w:top w:val="single" w:color="auto" w:sz="4" w:space="0"/>
              <w:left w:val="single" w:color="auto" w:sz="4" w:space="0"/>
              <w:bottom w:val="single" w:color="auto" w:sz="4" w:space="0"/>
              <w:right w:val="single" w:color="auto" w:sz="4" w:space="0"/>
            </w:tcBorders>
            <w:noWrap/>
            <w:vAlign w:val="center"/>
          </w:tcPr>
          <w:p w14:paraId="25D25EFA">
            <w:pPr>
              <w:widowControl/>
              <w:jc w:val="center"/>
              <w:rPr>
                <w:rFonts w:hint="default" w:ascii="宋体" w:hAnsi="宋体" w:cs="宋体" w:eastAsiaTheme="minorEastAsia"/>
                <w:kern w:val="0"/>
                <w:sz w:val="21"/>
                <w:szCs w:val="21"/>
                <w:highlight w:val="none"/>
                <w:lang w:val="en-US" w:eastAsia="zh-CN"/>
              </w:rPr>
            </w:pPr>
            <w:r>
              <w:rPr>
                <w:rFonts w:hint="eastAsia" w:ascii="宋体" w:hAnsi="宋体" w:cs="宋体"/>
                <w:kern w:val="0"/>
                <w:sz w:val="21"/>
                <w:szCs w:val="21"/>
                <w:highlight w:val="none"/>
                <w:lang w:val="en-US" w:eastAsia="zh-CN"/>
              </w:rPr>
              <w:t>过滤精度10微米</w:t>
            </w:r>
          </w:p>
        </w:tc>
      </w:tr>
      <w:tr w14:paraId="3D0B76CE">
        <w:tblPrEx>
          <w:tblCellMar>
            <w:top w:w="0" w:type="dxa"/>
            <w:left w:w="108" w:type="dxa"/>
            <w:bottom w:w="0" w:type="dxa"/>
            <w:right w:w="108" w:type="dxa"/>
          </w:tblCellMar>
        </w:tblPrEx>
        <w:trPr>
          <w:trHeight w:val="398" w:hRule="atLeast"/>
        </w:trPr>
        <w:tc>
          <w:tcPr>
            <w:tcW w:w="1278" w:type="dxa"/>
            <w:tcBorders>
              <w:top w:val="single" w:color="auto" w:sz="4" w:space="0"/>
              <w:left w:val="single" w:color="auto" w:sz="4" w:space="0"/>
              <w:bottom w:val="single" w:color="auto" w:sz="4" w:space="0"/>
              <w:right w:val="single" w:color="auto" w:sz="4" w:space="0"/>
            </w:tcBorders>
            <w:noWrap/>
            <w:vAlign w:val="center"/>
          </w:tcPr>
          <w:p w14:paraId="34CD98A8">
            <w:pPr>
              <w:widowControl/>
              <w:jc w:val="left"/>
              <w:rPr>
                <w:rFonts w:hint="eastAsia" w:ascii="宋体" w:hAnsi="宋体" w:cs="宋体" w:eastAsiaTheme="minorEastAsia"/>
                <w:kern w:val="0"/>
                <w:sz w:val="21"/>
                <w:szCs w:val="21"/>
                <w:highlight w:val="none"/>
                <w:lang w:val="en-US" w:eastAsia="zh-CN" w:bidi="ar-SA"/>
              </w:rPr>
            </w:pPr>
            <w:r>
              <w:rPr>
                <w:rFonts w:hint="eastAsia" w:ascii="宋体" w:hAnsi="宋体" w:cs="宋体"/>
                <w:kern w:val="0"/>
                <w:sz w:val="21"/>
                <w:szCs w:val="21"/>
                <w:highlight w:val="none"/>
              </w:rPr>
              <w:t>室内</w:t>
            </w:r>
            <w:r>
              <w:rPr>
                <w:rFonts w:hint="eastAsia" w:ascii="宋体" w:hAnsi="宋体" w:cs="宋体"/>
                <w:kern w:val="0"/>
                <w:sz w:val="21"/>
                <w:szCs w:val="21"/>
                <w:highlight w:val="none"/>
                <w:lang w:val="en-US" w:eastAsia="zh-CN"/>
              </w:rPr>
              <w:t>按摩池</w:t>
            </w:r>
          </w:p>
        </w:tc>
        <w:tc>
          <w:tcPr>
            <w:tcW w:w="1025" w:type="dxa"/>
            <w:tcBorders>
              <w:top w:val="single" w:color="auto" w:sz="4" w:space="0"/>
              <w:left w:val="single" w:color="auto" w:sz="4" w:space="0"/>
              <w:bottom w:val="single" w:color="auto" w:sz="4" w:space="0"/>
              <w:right w:val="single" w:color="auto" w:sz="4" w:space="0"/>
            </w:tcBorders>
            <w:noWrap/>
            <w:vAlign w:val="center"/>
          </w:tcPr>
          <w:p w14:paraId="5C1E7B38">
            <w:pPr>
              <w:widowControl/>
              <w:jc w:val="center"/>
              <w:rPr>
                <w:rFonts w:hint="eastAsia" w:ascii="宋体" w:hAnsi="宋体" w:cs="宋体" w:eastAsiaTheme="minorEastAsia"/>
                <w:kern w:val="0"/>
                <w:sz w:val="21"/>
                <w:szCs w:val="21"/>
                <w:highlight w:val="none"/>
                <w:lang w:val="en-US" w:eastAsia="zh-CN" w:bidi="ar-SA"/>
              </w:rPr>
            </w:pPr>
            <w:r>
              <w:rPr>
                <w:rFonts w:hint="eastAsia" w:ascii="宋体" w:hAnsi="宋体" w:cs="宋体"/>
                <w:kern w:val="0"/>
                <w:sz w:val="21"/>
                <w:szCs w:val="21"/>
                <w:highlight w:val="none"/>
                <w:lang w:val="en-US" w:eastAsia="zh-CN"/>
              </w:rPr>
              <w:t>28</w:t>
            </w:r>
            <w:r>
              <w:rPr>
                <w:rFonts w:hint="eastAsia" w:ascii="宋体" w:hAnsi="宋体" w:cs="宋体"/>
                <w:kern w:val="0"/>
                <w:sz w:val="21"/>
                <w:szCs w:val="21"/>
                <w:highlight w:val="none"/>
              </w:rPr>
              <w:t>m</w:t>
            </w:r>
            <w:r>
              <w:rPr>
                <w:rFonts w:hint="eastAsia" w:ascii="宋体" w:hAnsi="宋体" w:cs="宋体"/>
                <w:kern w:val="0"/>
                <w:sz w:val="21"/>
                <w:szCs w:val="21"/>
                <w:highlight w:val="none"/>
                <w:vertAlign w:val="superscript"/>
              </w:rPr>
              <w:t>3</w:t>
            </w:r>
          </w:p>
        </w:tc>
        <w:tc>
          <w:tcPr>
            <w:tcW w:w="1162" w:type="dxa"/>
            <w:tcBorders>
              <w:top w:val="single" w:color="auto" w:sz="4" w:space="0"/>
              <w:left w:val="single" w:color="auto" w:sz="4" w:space="0"/>
              <w:bottom w:val="single" w:color="auto" w:sz="4" w:space="0"/>
              <w:right w:val="single" w:color="auto" w:sz="4" w:space="0"/>
            </w:tcBorders>
            <w:noWrap/>
            <w:vAlign w:val="center"/>
          </w:tcPr>
          <w:p w14:paraId="2CA5C9F5">
            <w:pPr>
              <w:widowControl/>
              <w:jc w:val="center"/>
              <w:rPr>
                <w:rFonts w:hint="eastAsia" w:ascii="宋体" w:hAnsi="宋体" w:cs="宋体" w:eastAsiaTheme="minorEastAsia"/>
                <w:kern w:val="0"/>
                <w:sz w:val="21"/>
                <w:szCs w:val="21"/>
                <w:highlight w:val="none"/>
                <w:lang w:val="en-US" w:eastAsia="zh-CN" w:bidi="ar-SA"/>
              </w:rPr>
            </w:pPr>
            <w:r>
              <w:rPr>
                <w:rFonts w:hint="eastAsia" w:ascii="宋体" w:hAnsi="宋体" w:cs="宋体"/>
                <w:kern w:val="0"/>
                <w:sz w:val="21"/>
                <w:szCs w:val="21"/>
                <w:highlight w:val="none"/>
                <w:lang w:val="en-US" w:eastAsia="zh-CN"/>
              </w:rPr>
              <w:t>0.5</w:t>
            </w:r>
            <w:r>
              <w:rPr>
                <w:rFonts w:hint="eastAsia" w:ascii="宋体" w:hAnsi="宋体" w:cs="宋体"/>
                <w:kern w:val="0"/>
                <w:sz w:val="21"/>
                <w:szCs w:val="21"/>
                <w:highlight w:val="none"/>
              </w:rPr>
              <w:t>h</w:t>
            </w:r>
          </w:p>
        </w:tc>
        <w:tc>
          <w:tcPr>
            <w:tcW w:w="1150" w:type="dxa"/>
            <w:tcBorders>
              <w:top w:val="single" w:color="auto" w:sz="4" w:space="0"/>
              <w:left w:val="single" w:color="auto" w:sz="4" w:space="0"/>
              <w:bottom w:val="single" w:color="auto" w:sz="4" w:space="0"/>
              <w:right w:val="single" w:color="auto" w:sz="4" w:space="0"/>
            </w:tcBorders>
            <w:noWrap/>
            <w:vAlign w:val="center"/>
          </w:tcPr>
          <w:p w14:paraId="2E18FF28">
            <w:pPr>
              <w:widowControl/>
              <w:jc w:val="center"/>
              <w:rPr>
                <w:rFonts w:hint="eastAsia" w:ascii="宋体" w:hAnsi="宋体" w:cs="宋体" w:eastAsiaTheme="minorEastAsia"/>
                <w:kern w:val="0"/>
                <w:sz w:val="21"/>
                <w:szCs w:val="21"/>
                <w:highlight w:val="none"/>
                <w:lang w:val="en-US" w:eastAsia="zh-CN" w:bidi="ar-SA"/>
              </w:rPr>
            </w:pPr>
            <w:r>
              <w:rPr>
                <w:rFonts w:hint="eastAsia" w:ascii="宋体" w:hAnsi="宋体" w:cs="宋体"/>
                <w:kern w:val="0"/>
                <w:sz w:val="21"/>
                <w:szCs w:val="21"/>
                <w:highlight w:val="none"/>
                <w:lang w:val="en-US" w:eastAsia="zh-CN"/>
              </w:rPr>
              <w:t>60</w:t>
            </w:r>
            <w:r>
              <w:rPr>
                <w:rFonts w:hint="eastAsia" w:ascii="宋体" w:hAnsi="宋体" w:cs="宋体"/>
                <w:kern w:val="0"/>
                <w:sz w:val="21"/>
                <w:szCs w:val="21"/>
                <w:highlight w:val="none"/>
              </w:rPr>
              <w:t>m</w:t>
            </w:r>
            <w:r>
              <w:rPr>
                <w:rFonts w:hint="eastAsia" w:ascii="宋体" w:hAnsi="宋体" w:cs="宋体"/>
                <w:kern w:val="0"/>
                <w:sz w:val="21"/>
                <w:szCs w:val="21"/>
                <w:highlight w:val="none"/>
                <w:vertAlign w:val="superscript"/>
              </w:rPr>
              <w:t>3</w:t>
            </w:r>
            <w:r>
              <w:rPr>
                <w:rFonts w:hint="eastAsia" w:ascii="宋体" w:hAnsi="宋体" w:cs="宋体"/>
                <w:kern w:val="0"/>
                <w:sz w:val="21"/>
                <w:szCs w:val="21"/>
                <w:highlight w:val="none"/>
              </w:rPr>
              <w:t>/h</w:t>
            </w:r>
          </w:p>
        </w:tc>
        <w:tc>
          <w:tcPr>
            <w:tcW w:w="1263" w:type="dxa"/>
            <w:tcBorders>
              <w:top w:val="single" w:color="auto" w:sz="4" w:space="0"/>
              <w:left w:val="single" w:color="auto" w:sz="4" w:space="0"/>
              <w:bottom w:val="single" w:color="auto" w:sz="4" w:space="0"/>
              <w:right w:val="single" w:color="auto" w:sz="4" w:space="0"/>
            </w:tcBorders>
            <w:noWrap/>
            <w:vAlign w:val="center"/>
          </w:tcPr>
          <w:p w14:paraId="5F445E16">
            <w:pPr>
              <w:widowControl/>
              <w:jc w:val="center"/>
              <w:rPr>
                <w:rFonts w:hint="eastAsia" w:ascii="宋体" w:hAnsi="宋体" w:cs="宋体" w:eastAsiaTheme="minorEastAsia"/>
                <w:kern w:val="0"/>
                <w:sz w:val="21"/>
                <w:szCs w:val="21"/>
                <w:highlight w:val="none"/>
                <w:lang w:val="en-US" w:eastAsia="zh-CN" w:bidi="ar-SA"/>
              </w:rPr>
            </w:pPr>
            <w:r>
              <w:rPr>
                <w:rFonts w:hint="eastAsia" w:ascii="宋体" w:hAnsi="宋体" w:cs="宋体"/>
                <w:kern w:val="0"/>
                <w:sz w:val="21"/>
                <w:szCs w:val="21"/>
                <w:highlight w:val="none"/>
                <w:lang w:val="en-US" w:eastAsia="zh-CN"/>
              </w:rPr>
              <w:t>3</w:t>
            </w:r>
            <w:r>
              <w:rPr>
                <w:rFonts w:hint="eastAsia" w:ascii="宋体" w:hAnsi="宋体" w:cs="宋体"/>
                <w:kern w:val="0"/>
                <w:sz w:val="21"/>
                <w:szCs w:val="21"/>
                <w:highlight w:val="none"/>
              </w:rPr>
              <w:t>7～</w:t>
            </w:r>
            <w:r>
              <w:rPr>
                <w:rFonts w:hint="eastAsia" w:ascii="宋体" w:hAnsi="宋体" w:cs="宋体"/>
                <w:kern w:val="0"/>
                <w:sz w:val="21"/>
                <w:szCs w:val="21"/>
                <w:highlight w:val="none"/>
                <w:lang w:val="en-US" w:eastAsia="zh-CN"/>
              </w:rPr>
              <w:t>3</w:t>
            </w:r>
            <w:r>
              <w:rPr>
                <w:rFonts w:hint="eastAsia" w:ascii="宋体" w:hAnsi="宋体" w:cs="宋体"/>
                <w:kern w:val="0"/>
                <w:sz w:val="21"/>
                <w:szCs w:val="21"/>
                <w:highlight w:val="none"/>
              </w:rPr>
              <w:t>9℃</w:t>
            </w:r>
          </w:p>
        </w:tc>
        <w:tc>
          <w:tcPr>
            <w:tcW w:w="2012" w:type="dxa"/>
            <w:tcBorders>
              <w:top w:val="single" w:color="auto" w:sz="4" w:space="0"/>
              <w:left w:val="single" w:color="auto" w:sz="4" w:space="0"/>
              <w:bottom w:val="single" w:color="auto" w:sz="4" w:space="0"/>
              <w:right w:val="single" w:color="auto" w:sz="4" w:space="0"/>
            </w:tcBorders>
            <w:noWrap/>
            <w:vAlign w:val="center"/>
          </w:tcPr>
          <w:p w14:paraId="1EA75E0B">
            <w:pPr>
              <w:widowControl/>
              <w:jc w:val="center"/>
              <w:rPr>
                <w:rFonts w:hint="eastAsia" w:ascii="宋体" w:hAnsi="宋体" w:cs="宋体" w:eastAsiaTheme="minorEastAsia"/>
                <w:kern w:val="0"/>
                <w:sz w:val="21"/>
                <w:szCs w:val="21"/>
                <w:highlight w:val="none"/>
                <w:lang w:val="en-US" w:eastAsia="zh-CN" w:bidi="ar-SA"/>
              </w:rPr>
            </w:pPr>
            <w:r>
              <w:rPr>
                <w:rFonts w:hint="eastAsia" w:ascii="宋体" w:hAnsi="宋体" w:cs="宋体"/>
                <w:kern w:val="0"/>
                <w:sz w:val="21"/>
                <w:szCs w:val="21"/>
                <w:highlight w:val="none"/>
                <w:lang w:val="en-US" w:eastAsia="zh-CN"/>
              </w:rPr>
              <w:t>滤芯过滤器</w:t>
            </w:r>
          </w:p>
        </w:tc>
        <w:tc>
          <w:tcPr>
            <w:tcW w:w="1738" w:type="dxa"/>
            <w:tcBorders>
              <w:top w:val="single" w:color="auto" w:sz="4" w:space="0"/>
              <w:left w:val="single" w:color="auto" w:sz="4" w:space="0"/>
              <w:bottom w:val="single" w:color="auto" w:sz="4" w:space="0"/>
              <w:right w:val="single" w:color="auto" w:sz="4" w:space="0"/>
            </w:tcBorders>
            <w:noWrap/>
            <w:vAlign w:val="center"/>
          </w:tcPr>
          <w:p w14:paraId="41A5B73A">
            <w:pPr>
              <w:widowControl/>
              <w:jc w:val="center"/>
              <w:rPr>
                <w:rFonts w:hint="eastAsia" w:ascii="宋体" w:hAnsi="宋体" w:cs="宋体" w:eastAsiaTheme="minorEastAsia"/>
                <w:kern w:val="0"/>
                <w:sz w:val="21"/>
                <w:szCs w:val="21"/>
                <w:highlight w:val="none"/>
                <w:lang w:val="en-US" w:eastAsia="zh-CN" w:bidi="ar-SA"/>
              </w:rPr>
            </w:pPr>
            <w:r>
              <w:rPr>
                <w:rFonts w:hint="eastAsia" w:ascii="宋体" w:hAnsi="宋体" w:cs="宋体"/>
                <w:kern w:val="0"/>
                <w:sz w:val="21"/>
                <w:szCs w:val="21"/>
                <w:highlight w:val="none"/>
                <w:lang w:val="en-US" w:eastAsia="zh-CN"/>
              </w:rPr>
              <w:t>过滤精度10微米</w:t>
            </w:r>
          </w:p>
        </w:tc>
      </w:tr>
    </w:tbl>
    <w:p w14:paraId="12592063">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30" w:name="_Toc6959"/>
      <w:bookmarkStart w:id="31" w:name="_Toc31092"/>
      <w:bookmarkStart w:id="32" w:name="_Toc8048"/>
      <w:bookmarkStart w:id="33" w:name="_Toc18094"/>
      <w:r>
        <w:rPr>
          <w:rFonts w:hint="eastAsia" w:ascii="宋体" w:hAnsi="宋体"/>
          <w:b/>
          <w:sz w:val="21"/>
          <w:szCs w:val="21"/>
          <w:highlight w:val="none"/>
        </w:rPr>
        <w:t>游泳池水源</w:t>
      </w:r>
      <w:bookmarkEnd w:id="30"/>
      <w:bookmarkEnd w:id="31"/>
      <w:bookmarkEnd w:id="32"/>
      <w:bookmarkEnd w:id="33"/>
    </w:p>
    <w:p w14:paraId="56E7A0FC">
      <w:pPr>
        <w:ind w:firstLine="420"/>
        <w:rPr>
          <w:rFonts w:hint="eastAsia" w:ascii="宋体" w:hAnsi="宋体"/>
          <w:color w:val="FF0000"/>
          <w:sz w:val="21"/>
          <w:szCs w:val="21"/>
          <w:highlight w:val="none"/>
        </w:rPr>
      </w:pPr>
      <w:r>
        <w:rPr>
          <w:rFonts w:hint="eastAsia" w:ascii="宋体" w:hAnsi="宋体"/>
          <w:sz w:val="21"/>
          <w:szCs w:val="21"/>
          <w:highlight w:val="none"/>
        </w:rPr>
        <w:t>游泳池水源应为市政自来水</w:t>
      </w:r>
    </w:p>
    <w:p w14:paraId="05C178DE">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34" w:name="_Toc2705"/>
      <w:bookmarkStart w:id="35" w:name="_Toc2149"/>
      <w:bookmarkStart w:id="36" w:name="_Toc5608"/>
      <w:bookmarkStart w:id="37" w:name="_Toc18411"/>
      <w:r>
        <w:rPr>
          <w:rFonts w:hint="eastAsia" w:ascii="宋体" w:hAnsi="宋体"/>
          <w:b/>
          <w:sz w:val="21"/>
          <w:szCs w:val="21"/>
          <w:highlight w:val="none"/>
        </w:rPr>
        <w:t>游泳池水质处理药剂</w:t>
      </w:r>
      <w:bookmarkEnd w:id="34"/>
      <w:bookmarkEnd w:id="35"/>
      <w:bookmarkEnd w:id="36"/>
      <w:bookmarkEnd w:id="37"/>
    </w:p>
    <w:p w14:paraId="3FEB57B1">
      <w:pPr>
        <w:spacing w:line="360" w:lineRule="auto"/>
        <w:ind w:firstLine="420"/>
        <w:rPr>
          <w:rFonts w:hint="eastAsia" w:ascii="宋体" w:hAnsi="宋体"/>
          <w:sz w:val="21"/>
          <w:szCs w:val="21"/>
          <w:highlight w:val="none"/>
        </w:rPr>
      </w:pPr>
      <w:r>
        <w:rPr>
          <w:rFonts w:hint="eastAsia" w:ascii="宋体" w:hAnsi="宋体"/>
          <w:sz w:val="21"/>
          <w:szCs w:val="21"/>
          <w:highlight w:val="none"/>
        </w:rPr>
        <w:t>泳池池水的循环处理是物理处理（即过滤）跟化学处理相结合的工艺，化学处理就是在循环系统中投加水处理药剂，即：</w:t>
      </w:r>
    </w:p>
    <w:p w14:paraId="3BA63E91">
      <w:pPr>
        <w:spacing w:line="360" w:lineRule="auto"/>
        <w:ind w:firstLine="420"/>
        <w:rPr>
          <w:rFonts w:hint="eastAsia" w:ascii="宋体" w:hAnsi="宋体"/>
          <w:sz w:val="21"/>
          <w:szCs w:val="21"/>
          <w:highlight w:val="none"/>
        </w:rPr>
      </w:pPr>
      <w:r>
        <w:rPr>
          <w:rFonts w:hint="eastAsia" w:ascii="宋体" w:hAnsi="宋体"/>
          <w:sz w:val="21"/>
          <w:szCs w:val="21"/>
          <w:highlight w:val="none"/>
        </w:rPr>
        <w:t>PH调整剂----因池水的PH值会因原水水质、投加的消毒剂种类、天气情况、游泳人数的多少而产生变化，如池水的PH值过高（大于8.5）或过低（小于6.5）均会影响</w:t>
      </w:r>
    </w:p>
    <w:p w14:paraId="07663A13">
      <w:pPr>
        <w:spacing w:line="360" w:lineRule="auto"/>
        <w:ind w:firstLine="420"/>
        <w:rPr>
          <w:rFonts w:hint="eastAsia" w:ascii="宋体" w:hAnsi="宋体"/>
          <w:sz w:val="21"/>
          <w:szCs w:val="21"/>
          <w:highlight w:val="none"/>
        </w:rPr>
      </w:pPr>
      <w:r>
        <w:rPr>
          <w:rFonts w:hint="eastAsia" w:ascii="宋体" w:hAnsi="宋体"/>
          <w:sz w:val="21"/>
          <w:szCs w:val="21"/>
          <w:highlight w:val="none"/>
        </w:rPr>
        <w:t>池水的消毒效果、对设备的腐蚀程度等，因此在游泳池开放的过程中必须向系统中投加PH调整剂，调整池水的PH值。</w:t>
      </w:r>
    </w:p>
    <w:p w14:paraId="5AA79AFA">
      <w:pPr>
        <w:spacing w:line="360" w:lineRule="auto"/>
        <w:ind w:firstLine="420"/>
        <w:rPr>
          <w:rFonts w:hint="eastAsia" w:ascii="宋体" w:hAnsi="宋体"/>
          <w:sz w:val="21"/>
          <w:szCs w:val="21"/>
          <w:highlight w:val="none"/>
        </w:rPr>
      </w:pPr>
      <w:r>
        <w:rPr>
          <w:rFonts w:hint="eastAsia" w:ascii="宋体" w:hAnsi="宋体"/>
          <w:sz w:val="21"/>
          <w:szCs w:val="21"/>
          <w:highlight w:val="none"/>
        </w:rPr>
        <w:t>(</w:t>
      </w:r>
      <w:r>
        <w:rPr>
          <w:rFonts w:hint="eastAsia" w:ascii="宋体" w:hAnsi="宋体"/>
          <w:sz w:val="21"/>
          <w:szCs w:val="21"/>
          <w:highlight w:val="none"/>
          <w:lang w:val="en-US" w:eastAsia="zh-CN"/>
        </w:rPr>
        <w:t>1</w:t>
      </w:r>
      <w:r>
        <w:rPr>
          <w:rFonts w:hint="eastAsia" w:ascii="宋体" w:hAnsi="宋体"/>
          <w:sz w:val="21"/>
          <w:szCs w:val="21"/>
          <w:highlight w:val="none"/>
        </w:rPr>
        <w:t>) PH调整剂（酸剂及碱剂精密计量泵压力式投加，投加点在过滤加热后，设计投加量为1-5mg/L，PH值调整至7.2-7.8；</w:t>
      </w:r>
    </w:p>
    <w:p w14:paraId="32B01EF0">
      <w:pPr>
        <w:spacing w:line="360" w:lineRule="auto"/>
        <w:ind w:firstLine="420"/>
        <w:rPr>
          <w:rFonts w:hint="eastAsia" w:ascii="宋体" w:hAnsi="宋体"/>
          <w:sz w:val="21"/>
          <w:szCs w:val="21"/>
          <w:highlight w:val="none"/>
        </w:rPr>
      </w:pPr>
      <w:r>
        <w:rPr>
          <w:rFonts w:hint="eastAsia" w:ascii="宋体" w:hAnsi="宋体"/>
          <w:sz w:val="21"/>
          <w:szCs w:val="21"/>
          <w:highlight w:val="none"/>
        </w:rPr>
        <w:t>(</w:t>
      </w:r>
      <w:r>
        <w:rPr>
          <w:rFonts w:hint="eastAsia" w:ascii="宋体" w:hAnsi="宋体"/>
          <w:sz w:val="21"/>
          <w:szCs w:val="21"/>
          <w:highlight w:val="none"/>
          <w:lang w:val="en-US" w:eastAsia="zh-CN"/>
        </w:rPr>
        <w:t>2</w:t>
      </w:r>
      <w:r>
        <w:rPr>
          <w:rFonts w:hint="eastAsia" w:ascii="宋体" w:hAnsi="宋体"/>
          <w:sz w:val="21"/>
          <w:szCs w:val="21"/>
          <w:highlight w:val="none"/>
        </w:rPr>
        <w:t>) 采用投加</w:t>
      </w:r>
      <w:r>
        <w:rPr>
          <w:rFonts w:hint="eastAsia" w:ascii="宋体" w:hAnsi="宋体"/>
          <w:sz w:val="21"/>
          <w:szCs w:val="21"/>
          <w:highlight w:val="none"/>
          <w:lang w:val="en-US" w:eastAsia="zh-CN"/>
        </w:rPr>
        <w:t>固体药剂投加装置，自动投加</w:t>
      </w:r>
      <w:r>
        <w:rPr>
          <w:rFonts w:hint="eastAsia" w:ascii="宋体" w:hAnsi="宋体"/>
          <w:sz w:val="21"/>
          <w:szCs w:val="21"/>
          <w:highlight w:val="none"/>
        </w:rPr>
        <w:t>次氯酸</w:t>
      </w:r>
      <w:r>
        <w:rPr>
          <w:rFonts w:hint="eastAsia" w:ascii="宋体" w:hAnsi="宋体"/>
          <w:sz w:val="21"/>
          <w:szCs w:val="21"/>
          <w:highlight w:val="none"/>
          <w:lang w:val="en-US" w:eastAsia="zh-CN"/>
        </w:rPr>
        <w:t>钙药片，直接采用泳池循环水溶解并投加</w:t>
      </w:r>
      <w:r>
        <w:rPr>
          <w:rFonts w:hint="eastAsia" w:ascii="宋体" w:hAnsi="宋体"/>
          <w:sz w:val="21"/>
          <w:szCs w:val="21"/>
          <w:highlight w:val="none"/>
        </w:rPr>
        <w:t>的消毒工艺</w:t>
      </w:r>
      <w:r>
        <w:rPr>
          <w:rFonts w:hint="eastAsia" w:ascii="宋体" w:hAnsi="宋体"/>
          <w:sz w:val="21"/>
          <w:szCs w:val="21"/>
          <w:highlight w:val="none"/>
          <w:lang w:eastAsia="zh-CN"/>
        </w:rPr>
        <w:t>，</w:t>
      </w:r>
      <w:r>
        <w:rPr>
          <w:rFonts w:hint="eastAsia" w:ascii="宋体" w:hAnsi="宋体"/>
          <w:sz w:val="21"/>
          <w:szCs w:val="21"/>
          <w:highlight w:val="none"/>
        </w:rPr>
        <w:t>投加量</w:t>
      </w:r>
      <w:r>
        <w:rPr>
          <w:rFonts w:hint="eastAsia" w:ascii="宋体" w:hAnsi="宋体"/>
          <w:sz w:val="21"/>
          <w:szCs w:val="21"/>
          <w:highlight w:val="none"/>
          <w:lang w:val="en-US" w:eastAsia="zh-CN"/>
        </w:rPr>
        <w:t>使</w:t>
      </w:r>
      <w:r>
        <w:rPr>
          <w:rFonts w:hint="eastAsia" w:ascii="宋体" w:hAnsi="宋体"/>
          <w:sz w:val="21"/>
          <w:szCs w:val="21"/>
          <w:highlight w:val="none"/>
        </w:rPr>
        <w:t>水中余氯保持在0.3-1mg/L；</w:t>
      </w:r>
    </w:p>
    <w:p w14:paraId="4FC3D315">
      <w:pPr>
        <w:pStyle w:val="23"/>
        <w:numPr>
          <w:ilvl w:val="1"/>
          <w:numId w:val="2"/>
        </w:numPr>
        <w:spacing w:line="360" w:lineRule="auto"/>
        <w:ind w:left="0" w:leftChars="0" w:firstLine="0" w:firstLineChars="0"/>
        <w:jc w:val="left"/>
        <w:outlineLvl w:val="1"/>
        <w:rPr>
          <w:rFonts w:hint="eastAsia" w:ascii="宋体" w:hAnsi="宋体"/>
          <w:b/>
          <w:sz w:val="21"/>
          <w:szCs w:val="21"/>
          <w:highlight w:val="none"/>
        </w:rPr>
      </w:pPr>
      <w:bookmarkStart w:id="38" w:name="_Toc5158"/>
      <w:bookmarkStart w:id="39" w:name="_Toc7574"/>
      <w:bookmarkStart w:id="40" w:name="_Toc9455"/>
      <w:bookmarkStart w:id="41" w:name="_Toc26181"/>
      <w:r>
        <w:rPr>
          <w:rFonts w:hint="eastAsia" w:ascii="宋体" w:hAnsi="宋体"/>
          <w:b/>
          <w:sz w:val="21"/>
          <w:szCs w:val="21"/>
          <w:highlight w:val="none"/>
          <w:lang w:val="en-US" w:eastAsia="zh-CN"/>
        </w:rPr>
        <w:t>泳池</w:t>
      </w:r>
      <w:r>
        <w:rPr>
          <w:rFonts w:hint="eastAsia" w:ascii="宋体" w:hAnsi="宋体"/>
          <w:b/>
          <w:sz w:val="21"/>
          <w:szCs w:val="21"/>
          <w:highlight w:val="none"/>
        </w:rPr>
        <w:t>水处理系统主设备技术要求</w:t>
      </w:r>
      <w:bookmarkEnd w:id="38"/>
      <w:bookmarkEnd w:id="39"/>
      <w:bookmarkEnd w:id="40"/>
      <w:bookmarkEnd w:id="41"/>
    </w:p>
    <w:p w14:paraId="03E18E9C">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42" w:name="_Toc23414"/>
      <w:bookmarkStart w:id="43" w:name="_Toc15143"/>
      <w:bookmarkStart w:id="44" w:name="_Toc8145"/>
      <w:bookmarkStart w:id="45" w:name="_Toc9940"/>
      <w:r>
        <w:rPr>
          <w:rFonts w:hint="eastAsia" w:ascii="宋体" w:hAnsi="宋体"/>
          <w:b/>
          <w:sz w:val="21"/>
          <w:szCs w:val="21"/>
          <w:highlight w:val="none"/>
        </w:rPr>
        <w:t>过滤循环水泵</w:t>
      </w:r>
      <w:bookmarkEnd w:id="42"/>
      <w:bookmarkEnd w:id="43"/>
      <w:bookmarkEnd w:id="44"/>
      <w:bookmarkEnd w:id="45"/>
    </w:p>
    <w:p w14:paraId="14931FC7">
      <w:pPr>
        <w:numPr>
          <w:ilvl w:val="0"/>
          <w:numId w:val="5"/>
        </w:numPr>
        <w:tabs>
          <w:tab w:val="left" w:pos="900"/>
        </w:tabs>
        <w:autoSpaceDE w:val="0"/>
        <w:autoSpaceDN w:val="0"/>
        <w:adjustRightInd w:val="0"/>
        <w:spacing w:before="93" w:beforeLines="30" w:after="93" w:afterLines="30" w:line="360" w:lineRule="atLeast"/>
        <w:ind w:left="896" w:right="-23" w:hanging="357"/>
        <w:jc w:val="left"/>
        <w:textAlignment w:val="baseline"/>
        <w:rPr>
          <w:rFonts w:ascii="Arial" w:hAnsi="宋体" w:cs="Arial"/>
          <w:sz w:val="21"/>
          <w:szCs w:val="21"/>
          <w:highlight w:val="none"/>
          <w:lang w:val="en-GB"/>
        </w:rPr>
      </w:pPr>
      <w:r>
        <w:rPr>
          <w:rFonts w:hint="eastAsia" w:ascii="Arial" w:hAnsi="宋体" w:cs="Arial"/>
          <w:sz w:val="21"/>
          <w:szCs w:val="21"/>
          <w:highlight w:val="none"/>
          <w:lang w:val="en-GB"/>
        </w:rPr>
        <w:t>水泵应为卧式工程塑料自</w:t>
      </w:r>
      <w:r>
        <w:rPr>
          <w:rFonts w:hint="eastAsia" w:ascii="Arial" w:hAnsi="宋体" w:cs="Arial"/>
          <w:sz w:val="21"/>
          <w:szCs w:val="21"/>
          <w:highlight w:val="none"/>
          <w:lang w:val="en-US" w:eastAsia="zh-CN"/>
        </w:rPr>
        <w:t>吸</w:t>
      </w:r>
      <w:r>
        <w:rPr>
          <w:rFonts w:hint="eastAsia" w:ascii="Arial" w:hAnsi="宋体" w:cs="Arial"/>
          <w:sz w:val="21"/>
          <w:szCs w:val="21"/>
          <w:highlight w:val="none"/>
          <w:lang w:val="en-GB"/>
        </w:rPr>
        <w:t>式离心泵。泵体及叶轮连轴等材料须不被氯及氯化物腐蚀。</w:t>
      </w:r>
    </w:p>
    <w:p w14:paraId="1EE2BCAE">
      <w:pPr>
        <w:numPr>
          <w:ilvl w:val="0"/>
          <w:numId w:val="5"/>
        </w:numPr>
        <w:tabs>
          <w:tab w:val="left" w:pos="900"/>
        </w:tabs>
        <w:autoSpaceDE w:val="0"/>
        <w:autoSpaceDN w:val="0"/>
        <w:adjustRightInd w:val="0"/>
        <w:spacing w:before="93" w:beforeLines="30" w:after="93" w:afterLines="30" w:line="360" w:lineRule="atLeast"/>
        <w:ind w:left="896" w:right="-23" w:hanging="357"/>
        <w:jc w:val="left"/>
        <w:textAlignment w:val="baseline"/>
        <w:rPr>
          <w:rFonts w:ascii="Arial" w:hAnsi="宋体" w:cs="Arial"/>
          <w:sz w:val="21"/>
          <w:szCs w:val="21"/>
          <w:highlight w:val="none"/>
          <w:lang w:val="en-GB"/>
        </w:rPr>
      </w:pPr>
      <w:r>
        <w:rPr>
          <w:rFonts w:hint="eastAsia" w:ascii="Arial" w:hAnsi="宋体" w:cs="Arial"/>
          <w:sz w:val="21"/>
          <w:szCs w:val="21"/>
          <w:highlight w:val="none"/>
          <w:lang w:val="en-US" w:eastAsia="zh-CN"/>
        </w:rPr>
        <w:t>水泵自带泳池专用毛发收集器，上盖为快开式，开闭简洁，清洗方便。</w:t>
      </w:r>
    </w:p>
    <w:p w14:paraId="77C7E655">
      <w:pPr>
        <w:numPr>
          <w:ilvl w:val="0"/>
          <w:numId w:val="5"/>
        </w:numPr>
        <w:tabs>
          <w:tab w:val="left" w:pos="900"/>
        </w:tabs>
        <w:autoSpaceDE w:val="0"/>
        <w:autoSpaceDN w:val="0"/>
        <w:adjustRightInd w:val="0"/>
        <w:spacing w:before="93" w:beforeLines="30" w:after="93" w:afterLines="30" w:line="360" w:lineRule="atLeast"/>
        <w:ind w:left="896" w:right="-23" w:hanging="357"/>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每组水泵应有“工作泵”和“备用泵”，“工作泵”和“备用泵”应能人为设定。</w:t>
      </w:r>
    </w:p>
    <w:p w14:paraId="4C527D2D">
      <w:pPr>
        <w:numPr>
          <w:ilvl w:val="0"/>
          <w:numId w:val="5"/>
        </w:numPr>
        <w:tabs>
          <w:tab w:val="left" w:pos="900"/>
        </w:tabs>
        <w:autoSpaceDE w:val="0"/>
        <w:autoSpaceDN w:val="0"/>
        <w:adjustRightInd w:val="0"/>
        <w:spacing w:before="93" w:beforeLines="30" w:after="93" w:afterLines="30" w:line="360" w:lineRule="atLeast"/>
        <w:ind w:left="896" w:right="-23" w:hanging="357"/>
        <w:jc w:val="left"/>
        <w:textAlignment w:val="baseline"/>
        <w:rPr>
          <w:rFonts w:ascii="Arial" w:hAnsi="宋体" w:cs="Arial"/>
          <w:sz w:val="21"/>
          <w:szCs w:val="21"/>
          <w:highlight w:val="none"/>
          <w:lang w:val="en-GB"/>
        </w:rPr>
      </w:pPr>
      <w:r>
        <w:rPr>
          <w:rFonts w:hint="eastAsia" w:ascii="Arial" w:hAnsi="宋体" w:cs="Arial"/>
          <w:sz w:val="21"/>
          <w:szCs w:val="21"/>
          <w:highlight w:val="none"/>
          <w:lang w:val="en-GB"/>
        </w:rPr>
        <w:t>水泵运转时产生的噪音和震动应尽量小。</w:t>
      </w:r>
    </w:p>
    <w:p w14:paraId="5FB176EF">
      <w:pPr>
        <w:numPr>
          <w:ilvl w:val="0"/>
          <w:numId w:val="5"/>
        </w:numPr>
        <w:tabs>
          <w:tab w:val="left" w:pos="900"/>
        </w:tabs>
        <w:autoSpaceDE w:val="0"/>
        <w:autoSpaceDN w:val="0"/>
        <w:adjustRightInd w:val="0"/>
        <w:spacing w:before="93" w:beforeLines="30" w:after="93" w:afterLines="30" w:line="360" w:lineRule="atLeast"/>
        <w:ind w:left="896" w:right="-23" w:hanging="357"/>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水泵控制柜上应设有“自动</w:t>
      </w:r>
      <w:r>
        <w:rPr>
          <w:rFonts w:ascii="Arial" w:hAnsi="宋体" w:cs="Arial"/>
          <w:sz w:val="21"/>
          <w:szCs w:val="21"/>
          <w:highlight w:val="none"/>
          <w:lang w:val="en-GB"/>
        </w:rPr>
        <w:t>/</w:t>
      </w:r>
      <w:r>
        <w:rPr>
          <w:rFonts w:hint="eastAsia" w:ascii="Arial" w:hAnsi="宋体" w:cs="Arial"/>
          <w:sz w:val="21"/>
          <w:szCs w:val="21"/>
          <w:highlight w:val="none"/>
          <w:lang w:val="en-GB"/>
        </w:rPr>
        <w:t>手动控制转换装置”。在“自动”工作方式下，当“工作泵”出现故障无法正常工作时，“备用泵”应能自动启动并投入运行。在水泵控制柜上应能对电压</w:t>
      </w:r>
      <w:r>
        <w:rPr>
          <w:rFonts w:ascii="Arial" w:hAnsi="宋体" w:cs="Arial"/>
          <w:sz w:val="21"/>
          <w:szCs w:val="21"/>
          <w:highlight w:val="none"/>
          <w:lang w:val="en-GB"/>
        </w:rPr>
        <w:t>/</w:t>
      </w:r>
      <w:r>
        <w:rPr>
          <w:rFonts w:hint="eastAsia" w:ascii="Arial" w:hAnsi="宋体" w:cs="Arial"/>
          <w:sz w:val="21"/>
          <w:szCs w:val="21"/>
          <w:highlight w:val="none"/>
          <w:lang w:val="en-GB"/>
        </w:rPr>
        <w:t>电流</w:t>
      </w:r>
      <w:r>
        <w:rPr>
          <w:rFonts w:ascii="Arial" w:hAnsi="宋体" w:cs="Arial"/>
          <w:sz w:val="21"/>
          <w:szCs w:val="21"/>
          <w:highlight w:val="none"/>
          <w:lang w:val="en-GB"/>
        </w:rPr>
        <w:t>/</w:t>
      </w:r>
      <w:r>
        <w:rPr>
          <w:rFonts w:hint="eastAsia" w:ascii="Arial" w:hAnsi="宋体" w:cs="Arial"/>
          <w:sz w:val="21"/>
          <w:szCs w:val="21"/>
          <w:highlight w:val="none"/>
          <w:lang w:val="en-GB"/>
        </w:rPr>
        <w:t>水泵的“运行”、“停止”及“故障”状态</w:t>
      </w:r>
      <w:r>
        <w:rPr>
          <w:rFonts w:ascii="Arial" w:hAnsi="宋体" w:cs="Arial"/>
          <w:sz w:val="21"/>
          <w:szCs w:val="21"/>
          <w:highlight w:val="none"/>
          <w:lang w:val="en-GB"/>
        </w:rPr>
        <w:t>/</w:t>
      </w:r>
      <w:r>
        <w:rPr>
          <w:rFonts w:hint="eastAsia" w:ascii="Arial" w:hAnsi="宋体" w:cs="Arial"/>
          <w:sz w:val="21"/>
          <w:szCs w:val="21"/>
          <w:highlight w:val="none"/>
          <w:lang w:val="en-GB"/>
        </w:rPr>
        <w:t>电源的“正常”或“故障”状态参数或信息进行显示；并应设有短路保护</w:t>
      </w:r>
      <w:r>
        <w:rPr>
          <w:rFonts w:ascii="Arial" w:hAnsi="宋体" w:cs="Arial"/>
          <w:sz w:val="21"/>
          <w:szCs w:val="21"/>
          <w:highlight w:val="none"/>
          <w:lang w:val="en-GB"/>
        </w:rPr>
        <w:t>/</w:t>
      </w:r>
      <w:r>
        <w:rPr>
          <w:rFonts w:hint="eastAsia" w:ascii="Arial" w:hAnsi="宋体" w:cs="Arial"/>
          <w:sz w:val="21"/>
          <w:szCs w:val="21"/>
          <w:highlight w:val="none"/>
          <w:lang w:val="en-GB"/>
        </w:rPr>
        <w:t>电动机过载保护</w:t>
      </w:r>
      <w:r>
        <w:rPr>
          <w:rFonts w:ascii="Arial" w:hAnsi="宋体" w:cs="Arial"/>
          <w:sz w:val="21"/>
          <w:szCs w:val="21"/>
          <w:highlight w:val="none"/>
          <w:lang w:val="en-GB"/>
        </w:rPr>
        <w:t>/</w:t>
      </w:r>
      <w:r>
        <w:rPr>
          <w:rFonts w:hint="eastAsia" w:ascii="Arial" w:hAnsi="宋体" w:cs="Arial"/>
          <w:sz w:val="21"/>
          <w:szCs w:val="21"/>
          <w:highlight w:val="none"/>
          <w:lang w:val="en-GB"/>
        </w:rPr>
        <w:t>电源电压过压或欠压保护</w:t>
      </w:r>
      <w:r>
        <w:rPr>
          <w:rFonts w:ascii="Arial" w:hAnsi="宋体" w:cs="Arial"/>
          <w:sz w:val="21"/>
          <w:szCs w:val="21"/>
          <w:highlight w:val="none"/>
          <w:lang w:val="en-GB"/>
        </w:rPr>
        <w:t>/</w:t>
      </w:r>
      <w:r>
        <w:rPr>
          <w:rFonts w:hint="eastAsia" w:ascii="Arial" w:hAnsi="宋体" w:cs="Arial"/>
          <w:sz w:val="21"/>
          <w:szCs w:val="21"/>
          <w:highlight w:val="none"/>
          <w:lang w:val="en-GB"/>
        </w:rPr>
        <w:t>低水位保护装置。</w:t>
      </w:r>
    </w:p>
    <w:p w14:paraId="18C0F86C">
      <w:pPr>
        <w:numPr>
          <w:ilvl w:val="0"/>
          <w:numId w:val="5"/>
        </w:numPr>
        <w:tabs>
          <w:tab w:val="left" w:pos="900"/>
        </w:tabs>
        <w:autoSpaceDE w:val="0"/>
        <w:autoSpaceDN w:val="0"/>
        <w:adjustRightInd w:val="0"/>
        <w:spacing w:before="93" w:beforeLines="30" w:after="93" w:afterLines="30" w:line="360" w:lineRule="atLeast"/>
        <w:ind w:left="896" w:right="-23" w:hanging="357"/>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其他要求详见《水泵技术要求》</w:t>
      </w:r>
    </w:p>
    <w:p w14:paraId="6FF828E0">
      <w:pPr>
        <w:pStyle w:val="23"/>
        <w:numPr>
          <w:ilvl w:val="1"/>
          <w:numId w:val="2"/>
        </w:numPr>
        <w:spacing w:line="360" w:lineRule="auto"/>
        <w:ind w:left="0" w:leftChars="0" w:firstLine="0" w:firstLineChars="0"/>
        <w:jc w:val="left"/>
        <w:outlineLvl w:val="1"/>
        <w:rPr>
          <w:rFonts w:hint="eastAsia" w:ascii="宋体" w:hAnsi="宋体"/>
          <w:b/>
          <w:sz w:val="21"/>
          <w:szCs w:val="21"/>
          <w:highlight w:val="none"/>
        </w:rPr>
      </w:pPr>
      <w:r>
        <w:rPr>
          <w:rFonts w:hint="eastAsia" w:ascii="宋体" w:hAnsi="宋体"/>
          <w:b/>
          <w:sz w:val="21"/>
          <w:szCs w:val="21"/>
          <w:highlight w:val="none"/>
          <w:lang w:val="en-US" w:eastAsia="zh-CN"/>
        </w:rPr>
        <w:t>泳池</w:t>
      </w:r>
      <w:r>
        <w:rPr>
          <w:rFonts w:hint="eastAsia" w:ascii="宋体" w:hAnsi="宋体"/>
          <w:b/>
          <w:sz w:val="21"/>
          <w:szCs w:val="21"/>
          <w:highlight w:val="none"/>
        </w:rPr>
        <w:t>水处理系统水质监测及投药系统技术要求</w:t>
      </w:r>
    </w:p>
    <w:p w14:paraId="04F7E252">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46" w:name="_Toc30709"/>
      <w:bookmarkStart w:id="47" w:name="_Toc1221"/>
      <w:bookmarkStart w:id="48" w:name="_Toc12957"/>
      <w:bookmarkStart w:id="49" w:name="_Toc28937"/>
      <w:r>
        <w:rPr>
          <w:rFonts w:hint="eastAsia" w:ascii="宋体" w:hAnsi="宋体"/>
          <w:b/>
          <w:sz w:val="21"/>
          <w:szCs w:val="21"/>
          <w:highlight w:val="none"/>
        </w:rPr>
        <w:t>一般要求</w:t>
      </w:r>
      <w:bookmarkEnd w:id="46"/>
      <w:bookmarkEnd w:id="47"/>
      <w:bookmarkEnd w:id="48"/>
      <w:bookmarkEnd w:id="49"/>
    </w:p>
    <w:p w14:paraId="053306A4">
      <w:pPr>
        <w:tabs>
          <w:tab w:val="left" w:pos="900"/>
        </w:tabs>
        <w:autoSpaceDE w:val="0"/>
        <w:autoSpaceDN w:val="0"/>
        <w:adjustRightInd w:val="0"/>
        <w:spacing w:before="93" w:beforeLines="30" w:after="93" w:afterLines="30" w:line="360" w:lineRule="atLeast"/>
        <w:ind w:left="539"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除特别注明外，泳池的池水水质监测系统及池水过滤设备应该采用全自动控制。</w:t>
      </w:r>
    </w:p>
    <w:p w14:paraId="67989E44">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50" w:name="_Toc29541"/>
      <w:bookmarkStart w:id="51" w:name="_Toc29760"/>
      <w:bookmarkStart w:id="52" w:name="_Toc24580"/>
      <w:bookmarkStart w:id="53" w:name="_Toc10438"/>
      <w:r>
        <w:rPr>
          <w:rFonts w:hint="eastAsia" w:ascii="宋体" w:hAnsi="宋体"/>
          <w:b/>
          <w:sz w:val="21"/>
          <w:szCs w:val="21"/>
          <w:highlight w:val="none"/>
        </w:rPr>
        <w:t>水质监测</w:t>
      </w:r>
      <w:bookmarkEnd w:id="50"/>
      <w:bookmarkEnd w:id="51"/>
      <w:bookmarkEnd w:id="52"/>
      <w:bookmarkEnd w:id="53"/>
    </w:p>
    <w:p w14:paraId="4940B135">
      <w:pPr>
        <w:tabs>
          <w:tab w:val="left" w:pos="900"/>
        </w:tabs>
        <w:autoSpaceDE w:val="0"/>
        <w:autoSpaceDN w:val="0"/>
        <w:adjustRightInd w:val="0"/>
        <w:spacing w:before="93" w:beforeLines="30" w:after="93" w:afterLines="30" w:line="360" w:lineRule="atLeast"/>
        <w:ind w:left="539"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应监测、显示下列项目</w:t>
      </w:r>
    </w:p>
    <w:p w14:paraId="0E330DD3">
      <w:pPr>
        <w:numPr>
          <w:ilvl w:val="0"/>
          <w:numId w:val="6"/>
        </w:numPr>
        <w:tabs>
          <w:tab w:val="left" w:pos="900"/>
        </w:tabs>
        <w:autoSpaceDE w:val="0"/>
        <w:autoSpaceDN w:val="0"/>
        <w:adjustRightInd w:val="0"/>
        <w:spacing w:before="93" w:beforeLines="30" w:after="93" w:afterLines="30" w:line="360" w:lineRule="atLeast"/>
        <w:ind w:left="896" w:right="-23" w:hanging="357"/>
        <w:jc w:val="left"/>
        <w:textAlignment w:val="baseline"/>
        <w:rPr>
          <w:rFonts w:hint="eastAsia" w:ascii="Arial" w:hAnsi="宋体" w:cs="Arial"/>
          <w:color w:val="auto"/>
          <w:sz w:val="21"/>
          <w:szCs w:val="21"/>
          <w:highlight w:val="none"/>
          <w:lang w:val="en-GB"/>
        </w:rPr>
      </w:pPr>
      <w:r>
        <w:rPr>
          <w:rFonts w:hint="eastAsia" w:ascii="Arial" w:hAnsi="宋体" w:cs="Arial"/>
          <w:color w:val="auto"/>
          <w:sz w:val="21"/>
          <w:szCs w:val="21"/>
          <w:highlight w:val="none"/>
          <w:lang w:val="en-GB"/>
        </w:rPr>
        <w:t>连续监测、显示和记录池水的ORP值、PH值、余氯量、水温</w:t>
      </w:r>
      <w:r>
        <w:rPr>
          <w:rFonts w:hint="eastAsia" w:ascii="Arial" w:hAnsi="宋体" w:cs="Arial"/>
          <w:color w:val="auto"/>
          <w:sz w:val="21"/>
          <w:szCs w:val="21"/>
          <w:highlight w:val="none"/>
          <w:lang w:val="en-US" w:eastAsia="zh-CN"/>
        </w:rPr>
        <w:t>值、浊度</w:t>
      </w:r>
      <w:r>
        <w:rPr>
          <w:rFonts w:hint="eastAsia" w:ascii="Arial" w:hAnsi="宋体" w:cs="Arial"/>
          <w:color w:val="auto"/>
          <w:sz w:val="21"/>
          <w:szCs w:val="21"/>
          <w:highlight w:val="none"/>
          <w:lang w:val="en-GB"/>
        </w:rPr>
        <w:t>。</w:t>
      </w:r>
    </w:p>
    <w:p w14:paraId="0BFF668C">
      <w:pPr>
        <w:numPr>
          <w:ilvl w:val="0"/>
          <w:numId w:val="6"/>
        </w:numPr>
        <w:tabs>
          <w:tab w:val="left" w:pos="900"/>
        </w:tabs>
        <w:autoSpaceDE w:val="0"/>
        <w:autoSpaceDN w:val="0"/>
        <w:adjustRightInd w:val="0"/>
        <w:spacing w:before="93" w:beforeLines="30" w:after="93" w:afterLines="30" w:line="360" w:lineRule="atLeast"/>
        <w:ind w:left="896" w:right="-23" w:hanging="357"/>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投药设备运行状况和其他设备的控制和监测</w:t>
      </w:r>
      <w:r>
        <w:rPr>
          <w:rFonts w:hint="eastAsia" w:ascii="Arial" w:hAnsi="宋体" w:cs="Arial"/>
          <w:sz w:val="21"/>
          <w:szCs w:val="21"/>
          <w:highlight w:val="none"/>
          <w:lang w:val="en-GB" w:eastAsia="zh-CN"/>
        </w:rPr>
        <w:t>。</w:t>
      </w:r>
    </w:p>
    <w:p w14:paraId="0B6E0CD9">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54" w:name="_Toc5289"/>
      <w:bookmarkStart w:id="55" w:name="_Toc7824"/>
      <w:bookmarkStart w:id="56" w:name="_Toc426"/>
      <w:bookmarkStart w:id="57" w:name="_Toc12945"/>
      <w:r>
        <w:rPr>
          <w:rFonts w:hint="eastAsia" w:ascii="宋体" w:hAnsi="宋体"/>
          <w:b/>
          <w:sz w:val="21"/>
          <w:szCs w:val="21"/>
          <w:highlight w:val="none"/>
        </w:rPr>
        <w:t>控制要求</w:t>
      </w:r>
      <w:bookmarkEnd w:id="54"/>
      <w:bookmarkEnd w:id="55"/>
      <w:bookmarkEnd w:id="56"/>
      <w:bookmarkEnd w:id="57"/>
    </w:p>
    <w:p w14:paraId="6F53A0CD">
      <w:pPr>
        <w:pStyle w:val="36"/>
        <w:numPr>
          <w:ilvl w:val="0"/>
          <w:numId w:val="7"/>
        </w:numPr>
        <w:adjustRightInd w:val="0"/>
        <w:snapToGrid w:val="0"/>
        <w:spacing w:after="50"/>
        <w:ind w:firstLineChars="0"/>
        <w:rPr>
          <w:rFonts w:hint="eastAsia" w:ascii="宋体" w:hAnsi="宋体" w:cs="阿里巴巴普惠体"/>
          <w:sz w:val="21"/>
          <w:szCs w:val="21"/>
          <w:highlight w:val="none"/>
        </w:rPr>
      </w:pPr>
      <w:bookmarkStart w:id="58" w:name="_Toc10986"/>
      <w:bookmarkStart w:id="59" w:name="_Toc20165"/>
      <w:bookmarkStart w:id="60" w:name="_Toc19912"/>
      <w:bookmarkStart w:id="61" w:name="_Toc23060"/>
      <w:r>
        <w:rPr>
          <w:rFonts w:hint="eastAsia" w:ascii="宋体" w:hAnsi="宋体" w:cs="阿里巴巴普惠体"/>
          <w:sz w:val="21"/>
          <w:szCs w:val="21"/>
          <w:highlight w:val="none"/>
        </w:rPr>
        <w:t>泳池内须供应及安装</w:t>
      </w:r>
      <w:r>
        <w:rPr>
          <w:rFonts w:hint="eastAsia" w:ascii="宋体" w:hAnsi="宋体" w:cs="阿里巴巴普惠体"/>
          <w:b/>
          <w:bCs/>
          <w:sz w:val="21"/>
          <w:szCs w:val="21"/>
          <w:highlight w:val="none"/>
        </w:rPr>
        <w:t>ORP、PH、余氯、温度</w:t>
      </w:r>
      <w:r>
        <w:rPr>
          <w:rFonts w:hint="eastAsia" w:ascii="宋体" w:hAnsi="宋体" w:cs="阿里巴巴普惠体"/>
          <w:b/>
          <w:bCs/>
          <w:sz w:val="21"/>
          <w:szCs w:val="21"/>
          <w:highlight w:val="none"/>
          <w:lang w:eastAsia="zh-CN"/>
        </w:rPr>
        <w:t>、</w:t>
      </w:r>
      <w:r>
        <w:rPr>
          <w:rFonts w:hint="eastAsia" w:ascii="宋体" w:hAnsi="宋体" w:cs="阿里巴巴普惠体"/>
          <w:b/>
          <w:bCs/>
          <w:sz w:val="21"/>
          <w:szCs w:val="21"/>
          <w:highlight w:val="none"/>
          <w:lang w:val="en-US" w:eastAsia="zh-CN"/>
        </w:rPr>
        <w:t>浊度</w:t>
      </w:r>
      <w:r>
        <w:rPr>
          <w:rFonts w:hint="eastAsia" w:ascii="宋体" w:hAnsi="宋体" w:cs="阿里巴巴普惠体"/>
          <w:sz w:val="21"/>
          <w:szCs w:val="21"/>
          <w:highlight w:val="none"/>
        </w:rPr>
        <w:t>监测仪，以便控制池内的</w:t>
      </w:r>
      <w:r>
        <w:rPr>
          <w:rFonts w:hint="eastAsia" w:ascii="宋体" w:hAnsi="宋体" w:cs="阿里巴巴普惠体"/>
          <w:b/>
          <w:bCs/>
          <w:sz w:val="21"/>
          <w:szCs w:val="21"/>
          <w:highlight w:val="none"/>
        </w:rPr>
        <w:t>ORP、PH、余氯、温度</w:t>
      </w:r>
      <w:r>
        <w:rPr>
          <w:rFonts w:hint="eastAsia" w:ascii="宋体" w:hAnsi="宋体" w:cs="阿里巴巴普惠体"/>
          <w:sz w:val="21"/>
          <w:szCs w:val="21"/>
          <w:highlight w:val="none"/>
        </w:rPr>
        <w:t>值。</w:t>
      </w:r>
    </w:p>
    <w:p w14:paraId="14CC8A21">
      <w:pPr>
        <w:pStyle w:val="36"/>
        <w:numPr>
          <w:ilvl w:val="0"/>
          <w:numId w:val="7"/>
        </w:numPr>
        <w:adjustRightInd w:val="0"/>
        <w:snapToGrid w:val="0"/>
        <w:spacing w:after="50"/>
        <w:ind w:firstLineChars="0"/>
        <w:rPr>
          <w:rFonts w:ascii="宋体" w:hAnsi="宋体" w:cs="阿里巴巴普惠体"/>
          <w:sz w:val="21"/>
          <w:szCs w:val="21"/>
          <w:highlight w:val="none"/>
        </w:rPr>
      </w:pPr>
      <w:r>
        <w:rPr>
          <w:rFonts w:hint="eastAsia" w:ascii="宋体" w:hAnsi="宋体" w:cs="阿里巴巴普惠体"/>
          <w:b/>
          <w:bCs/>
          <w:sz w:val="21"/>
          <w:szCs w:val="21"/>
          <w:highlight w:val="none"/>
        </w:rPr>
        <w:t>ORP、PH、余氯、温度</w:t>
      </w:r>
      <w:r>
        <w:rPr>
          <w:rFonts w:hint="eastAsia" w:ascii="宋体" w:hAnsi="宋体" w:cs="阿里巴巴普惠体"/>
          <w:b/>
          <w:bCs/>
          <w:sz w:val="21"/>
          <w:szCs w:val="21"/>
          <w:highlight w:val="none"/>
          <w:lang w:eastAsia="zh-CN"/>
        </w:rPr>
        <w:t>、</w:t>
      </w:r>
      <w:r>
        <w:rPr>
          <w:rFonts w:hint="eastAsia" w:ascii="宋体" w:hAnsi="宋体" w:cs="阿里巴巴普惠体"/>
          <w:b/>
          <w:bCs/>
          <w:sz w:val="21"/>
          <w:szCs w:val="21"/>
          <w:highlight w:val="none"/>
          <w:lang w:val="en-US" w:eastAsia="zh-CN"/>
        </w:rPr>
        <w:t>浊度</w:t>
      </w:r>
      <w:r>
        <w:rPr>
          <w:rFonts w:hint="eastAsia" w:ascii="宋体" w:hAnsi="宋体" w:cs="阿里巴巴普惠体"/>
          <w:sz w:val="21"/>
          <w:szCs w:val="21"/>
          <w:highlight w:val="none"/>
        </w:rPr>
        <w:t>感应器一般均安装在池内的回水管位置。</w:t>
      </w:r>
    </w:p>
    <w:p w14:paraId="2580A269">
      <w:pPr>
        <w:pStyle w:val="36"/>
        <w:numPr>
          <w:ilvl w:val="0"/>
          <w:numId w:val="7"/>
        </w:numPr>
        <w:adjustRightInd w:val="0"/>
        <w:snapToGrid w:val="0"/>
        <w:spacing w:after="50"/>
        <w:ind w:firstLineChars="0"/>
        <w:rPr>
          <w:rFonts w:ascii="宋体" w:hAnsi="宋体" w:cs="阿里巴巴普惠体"/>
          <w:sz w:val="21"/>
          <w:szCs w:val="21"/>
          <w:highlight w:val="none"/>
        </w:rPr>
      </w:pPr>
      <w:r>
        <w:rPr>
          <w:rFonts w:hint="eastAsia"/>
          <w:sz w:val="21"/>
          <w:szCs w:val="21"/>
          <w:highlight w:val="none"/>
        </w:rPr>
        <w:t>测</w:t>
      </w:r>
      <w:r>
        <w:rPr>
          <w:rFonts w:hint="eastAsia" w:ascii="宋体" w:hAnsi="宋体" w:cs="阿里巴巴普惠体"/>
          <w:sz w:val="21"/>
          <w:szCs w:val="21"/>
          <w:highlight w:val="none"/>
        </w:rPr>
        <w:t>量参数指标和精度要求：</w:t>
      </w:r>
      <w:r>
        <w:rPr>
          <w:rFonts w:ascii="宋体" w:hAnsi="宋体" w:cs="阿里巴巴普惠体"/>
          <w:sz w:val="21"/>
          <w:szCs w:val="21"/>
          <w:highlight w:val="none"/>
        </w:rPr>
        <w:br w:type="textWrapping"/>
      </w:r>
      <w:r>
        <w:rPr>
          <w:rFonts w:hint="eastAsia" w:ascii="宋体" w:hAnsi="宋体" w:cs="阿里巴巴普惠体"/>
          <w:sz w:val="21"/>
          <w:szCs w:val="21"/>
          <w:highlight w:val="none"/>
        </w:rPr>
        <w:t>温度：</w:t>
      </w:r>
      <w:r>
        <w:rPr>
          <w:rFonts w:ascii="宋体" w:hAnsi="宋体" w:cs="阿里巴巴普惠体"/>
          <w:sz w:val="21"/>
          <w:szCs w:val="21"/>
          <w:highlight w:val="none"/>
        </w:rPr>
        <w:t>-5</w:t>
      </w:r>
      <w:r>
        <w:rPr>
          <w:rFonts w:hint="eastAsia" w:ascii="宋体" w:hAnsi="宋体" w:cs="阿里巴巴普惠体"/>
          <w:sz w:val="21"/>
          <w:szCs w:val="21"/>
          <w:highlight w:val="none"/>
        </w:rPr>
        <w:t>-</w:t>
      </w:r>
      <w:r>
        <w:rPr>
          <w:rFonts w:ascii="宋体" w:hAnsi="宋体" w:cs="阿里巴巴普惠体"/>
          <w:sz w:val="21"/>
          <w:szCs w:val="21"/>
          <w:highlight w:val="none"/>
        </w:rPr>
        <w:t>45°C,</w:t>
      </w:r>
      <w:r>
        <w:rPr>
          <w:rFonts w:hint="eastAsia" w:ascii="宋体" w:hAnsi="宋体" w:cs="阿里巴巴普惠体"/>
          <w:sz w:val="21"/>
          <w:szCs w:val="21"/>
          <w:highlight w:val="none"/>
        </w:rPr>
        <w:t>±</w:t>
      </w:r>
      <w:r>
        <w:rPr>
          <w:rFonts w:ascii="宋体" w:hAnsi="宋体" w:cs="阿里巴巴普惠体"/>
          <w:sz w:val="21"/>
          <w:szCs w:val="21"/>
          <w:highlight w:val="none"/>
        </w:rPr>
        <w:t>0.5</w:t>
      </w:r>
      <w:r>
        <w:rPr>
          <w:rFonts w:hint="eastAsia" w:ascii="宋体" w:hAnsi="宋体" w:cs="阿里巴巴普惠体"/>
          <w:sz w:val="21"/>
          <w:szCs w:val="21"/>
          <w:highlight w:val="none"/>
        </w:rPr>
        <w:t>℃</w:t>
      </w:r>
      <w:r>
        <w:rPr>
          <w:rFonts w:ascii="宋体" w:hAnsi="宋体" w:cs="阿里巴巴普惠体"/>
          <w:sz w:val="21"/>
          <w:szCs w:val="21"/>
          <w:highlight w:val="none"/>
        </w:rPr>
        <w:br w:type="textWrapping"/>
      </w:r>
      <w:r>
        <w:rPr>
          <w:rFonts w:ascii="宋体" w:hAnsi="宋体" w:cs="阿里巴巴普惠体"/>
          <w:sz w:val="21"/>
          <w:szCs w:val="21"/>
          <w:highlight w:val="none"/>
        </w:rPr>
        <w:t>pH值：1</w:t>
      </w:r>
      <w:r>
        <w:rPr>
          <w:rFonts w:hint="eastAsia" w:ascii="宋体" w:hAnsi="宋体" w:cs="阿里巴巴普惠体"/>
          <w:sz w:val="21"/>
          <w:szCs w:val="21"/>
          <w:highlight w:val="none"/>
        </w:rPr>
        <w:t>-</w:t>
      </w:r>
      <w:r>
        <w:rPr>
          <w:rFonts w:ascii="宋体" w:hAnsi="宋体" w:cs="阿里巴巴普惠体"/>
          <w:sz w:val="21"/>
          <w:szCs w:val="21"/>
          <w:highlight w:val="none"/>
        </w:rPr>
        <w:t>12,</w:t>
      </w:r>
      <w:r>
        <w:rPr>
          <w:rFonts w:hint="eastAsia" w:ascii="宋体" w:hAnsi="宋体" w:cs="阿里巴巴普惠体"/>
          <w:sz w:val="21"/>
          <w:szCs w:val="21"/>
          <w:highlight w:val="none"/>
        </w:rPr>
        <w:t>±</w:t>
      </w:r>
      <w:r>
        <w:rPr>
          <w:rFonts w:ascii="宋体" w:hAnsi="宋体" w:cs="阿里巴巴普惠体"/>
          <w:sz w:val="21"/>
          <w:szCs w:val="21"/>
          <w:highlight w:val="none"/>
        </w:rPr>
        <w:t>0.05</w:t>
      </w:r>
      <w:r>
        <w:rPr>
          <w:rFonts w:ascii="宋体" w:hAnsi="宋体" w:cs="阿里巴巴普惠体"/>
          <w:sz w:val="21"/>
          <w:szCs w:val="21"/>
          <w:highlight w:val="none"/>
        </w:rPr>
        <w:br w:type="textWrapping"/>
      </w:r>
      <w:r>
        <w:rPr>
          <w:rFonts w:ascii="宋体" w:hAnsi="宋体" w:cs="阿里巴巴普惠体"/>
          <w:sz w:val="21"/>
          <w:szCs w:val="21"/>
          <w:highlight w:val="none"/>
        </w:rPr>
        <w:t>余氯：0.1-10mg/L</w:t>
      </w:r>
      <w:r>
        <w:rPr>
          <w:rFonts w:hint="eastAsia" w:ascii="宋体" w:hAnsi="宋体" w:cs="阿里巴巴普惠体"/>
          <w:sz w:val="21"/>
          <w:szCs w:val="21"/>
          <w:highlight w:val="none"/>
        </w:rPr>
        <w:t>(ppm)</w:t>
      </w:r>
      <w:r>
        <w:rPr>
          <w:rFonts w:ascii="宋体" w:hAnsi="宋体" w:cs="阿里巴巴普惠体"/>
          <w:sz w:val="21"/>
          <w:szCs w:val="21"/>
          <w:highlight w:val="none"/>
        </w:rPr>
        <w:t>,</w:t>
      </w:r>
      <w:r>
        <w:rPr>
          <w:rFonts w:hint="eastAsia" w:ascii="宋体" w:hAnsi="宋体" w:cs="阿里巴巴普惠体"/>
          <w:sz w:val="21"/>
          <w:szCs w:val="21"/>
          <w:highlight w:val="none"/>
        </w:rPr>
        <w:t>±</w:t>
      </w:r>
      <w:r>
        <w:rPr>
          <w:rFonts w:ascii="宋体" w:hAnsi="宋体" w:cs="阿里巴巴普惠体"/>
          <w:sz w:val="21"/>
          <w:szCs w:val="21"/>
          <w:highlight w:val="none"/>
        </w:rPr>
        <w:t>0.05mg/L</w:t>
      </w:r>
      <w:r>
        <w:rPr>
          <w:rFonts w:hint="eastAsia" w:ascii="宋体" w:hAnsi="宋体" w:cs="阿里巴巴普惠体"/>
          <w:sz w:val="21"/>
          <w:szCs w:val="21"/>
          <w:highlight w:val="none"/>
        </w:rPr>
        <w:t>(ppm)</w:t>
      </w:r>
      <w:r>
        <w:rPr>
          <w:rFonts w:ascii="宋体" w:hAnsi="宋体" w:cs="阿里巴巴普惠体"/>
          <w:sz w:val="21"/>
          <w:szCs w:val="21"/>
          <w:highlight w:val="none"/>
        </w:rPr>
        <w:br w:type="textWrapping"/>
      </w:r>
      <w:r>
        <w:rPr>
          <w:rFonts w:ascii="宋体" w:hAnsi="宋体" w:cs="阿里巴巴普惠体"/>
          <w:sz w:val="21"/>
          <w:szCs w:val="21"/>
          <w:highlight w:val="none"/>
        </w:rPr>
        <w:t>浊度：0-10NTU,</w:t>
      </w:r>
      <w:r>
        <w:rPr>
          <w:rFonts w:hint="eastAsia" w:ascii="宋体" w:hAnsi="宋体" w:cs="阿里巴巴普惠体"/>
          <w:sz w:val="21"/>
          <w:szCs w:val="21"/>
          <w:highlight w:val="none"/>
        </w:rPr>
        <w:t>±</w:t>
      </w:r>
      <w:r>
        <w:rPr>
          <w:rFonts w:ascii="宋体" w:hAnsi="宋体" w:cs="阿里巴巴普惠体"/>
          <w:sz w:val="21"/>
          <w:szCs w:val="21"/>
          <w:highlight w:val="none"/>
        </w:rPr>
        <w:t>0.05NTU</w:t>
      </w:r>
    </w:p>
    <w:p w14:paraId="2B629BC4">
      <w:pPr>
        <w:pStyle w:val="36"/>
        <w:numPr>
          <w:ilvl w:val="0"/>
          <w:numId w:val="7"/>
        </w:numPr>
        <w:adjustRightInd w:val="0"/>
        <w:snapToGrid w:val="0"/>
        <w:spacing w:after="50"/>
        <w:ind w:firstLineChars="0"/>
        <w:rPr>
          <w:rFonts w:hint="eastAsia" w:ascii="宋体" w:hAnsi="宋体" w:cs="阿里巴巴普惠体"/>
          <w:sz w:val="21"/>
          <w:szCs w:val="21"/>
          <w:highlight w:val="none"/>
        </w:rPr>
      </w:pPr>
      <w:r>
        <w:rPr>
          <w:rFonts w:hint="eastAsia" w:ascii="宋体" w:hAnsi="宋体" w:cs="阿里巴巴普惠体"/>
          <w:sz w:val="21"/>
          <w:szCs w:val="21"/>
          <w:highlight w:val="none"/>
        </w:rPr>
        <w:t>ORP、余氯值调节一般用以控制氯的投加，当ORP、余氯不符合设定要求时自动控制投药泵进行投加。</w:t>
      </w:r>
    </w:p>
    <w:p w14:paraId="5ADF5389">
      <w:pPr>
        <w:pStyle w:val="36"/>
        <w:numPr>
          <w:ilvl w:val="0"/>
          <w:numId w:val="7"/>
        </w:numPr>
        <w:adjustRightInd w:val="0"/>
        <w:snapToGrid w:val="0"/>
        <w:spacing w:after="50"/>
        <w:ind w:firstLineChars="0"/>
        <w:rPr>
          <w:rFonts w:ascii="宋体" w:hAnsi="宋体" w:cs="阿里巴巴普惠体"/>
          <w:sz w:val="21"/>
          <w:szCs w:val="21"/>
          <w:highlight w:val="none"/>
        </w:rPr>
      </w:pPr>
      <w:r>
        <w:rPr>
          <w:rFonts w:hint="eastAsia" w:ascii="宋体" w:hAnsi="宋体" w:cs="阿里巴巴普惠体"/>
          <w:sz w:val="21"/>
          <w:szCs w:val="21"/>
          <w:highlight w:val="none"/>
        </w:rPr>
        <w:t>测量精度，余氯探头的测量次数要求每秒超过1次。</w:t>
      </w:r>
    </w:p>
    <w:p w14:paraId="269F8233">
      <w:pPr>
        <w:pStyle w:val="36"/>
        <w:numPr>
          <w:ilvl w:val="0"/>
          <w:numId w:val="7"/>
        </w:numPr>
        <w:adjustRightInd w:val="0"/>
        <w:snapToGrid w:val="0"/>
        <w:spacing w:after="50"/>
        <w:ind w:firstLineChars="0"/>
        <w:rPr>
          <w:rFonts w:ascii="宋体" w:hAnsi="宋体" w:cs="阿里巴巴普惠体"/>
          <w:sz w:val="21"/>
          <w:szCs w:val="21"/>
          <w:highlight w:val="none"/>
        </w:rPr>
      </w:pPr>
      <w:r>
        <w:rPr>
          <w:rFonts w:hint="eastAsia" w:ascii="宋体" w:hAnsi="宋体" w:cs="阿里巴巴普惠体"/>
          <w:sz w:val="21"/>
          <w:szCs w:val="21"/>
          <w:highlight w:val="none"/>
        </w:rPr>
        <w:t>自我诊断和自我校准功能。无需校准液或传感器</w:t>
      </w:r>
      <w:r>
        <w:rPr>
          <w:rFonts w:hint="eastAsia" w:ascii="宋体" w:hAnsi="宋体" w:cs="阿里巴巴普惠体"/>
          <w:sz w:val="21"/>
          <w:szCs w:val="21"/>
          <w:highlight w:val="none"/>
          <w:lang w:val="en-US" w:eastAsia="zh-CN"/>
        </w:rPr>
        <w:t>校准</w:t>
      </w:r>
      <w:r>
        <w:rPr>
          <w:rFonts w:hint="eastAsia" w:ascii="宋体" w:hAnsi="宋体" w:cs="阿里巴巴普惠体"/>
          <w:sz w:val="21"/>
          <w:szCs w:val="21"/>
          <w:highlight w:val="none"/>
        </w:rPr>
        <w:t>。</w:t>
      </w:r>
    </w:p>
    <w:p w14:paraId="26931413">
      <w:pPr>
        <w:pStyle w:val="36"/>
        <w:numPr>
          <w:ilvl w:val="0"/>
          <w:numId w:val="7"/>
        </w:numPr>
        <w:adjustRightInd w:val="0"/>
        <w:snapToGrid w:val="0"/>
        <w:spacing w:after="50"/>
        <w:ind w:firstLineChars="0"/>
        <w:rPr>
          <w:rFonts w:ascii="宋体" w:hAnsi="宋体" w:cs="阿里巴巴普惠体"/>
          <w:sz w:val="21"/>
          <w:szCs w:val="21"/>
          <w:highlight w:val="none"/>
        </w:rPr>
      </w:pPr>
      <w:r>
        <w:rPr>
          <w:rFonts w:hint="eastAsia" w:ascii="宋体" w:hAnsi="宋体" w:cs="阿里巴巴普惠体"/>
          <w:sz w:val="21"/>
          <w:szCs w:val="21"/>
          <w:highlight w:val="none"/>
        </w:rPr>
        <w:t>I</w:t>
      </w:r>
      <w:r>
        <w:rPr>
          <w:rFonts w:ascii="宋体" w:hAnsi="宋体" w:cs="阿里巴巴普惠体"/>
          <w:sz w:val="21"/>
          <w:szCs w:val="21"/>
          <w:highlight w:val="none"/>
        </w:rPr>
        <w:t>P</w:t>
      </w:r>
      <w:r>
        <w:rPr>
          <w:rFonts w:hint="eastAsia" w:ascii="宋体" w:hAnsi="宋体" w:cs="阿里巴巴普惠体"/>
          <w:sz w:val="21"/>
          <w:szCs w:val="21"/>
          <w:highlight w:val="none"/>
        </w:rPr>
        <w:t>等级6</w:t>
      </w:r>
      <w:r>
        <w:rPr>
          <w:rFonts w:ascii="宋体" w:hAnsi="宋体" w:cs="阿里巴巴普惠体"/>
          <w:sz w:val="21"/>
          <w:szCs w:val="21"/>
          <w:highlight w:val="none"/>
        </w:rPr>
        <w:t>5</w:t>
      </w:r>
      <w:r>
        <w:rPr>
          <w:rFonts w:hint="eastAsia" w:ascii="宋体" w:hAnsi="宋体" w:cs="阿里巴巴普惠体"/>
          <w:sz w:val="21"/>
          <w:szCs w:val="21"/>
          <w:highlight w:val="none"/>
        </w:rPr>
        <w:t>。</w:t>
      </w:r>
    </w:p>
    <w:p w14:paraId="073DF156">
      <w:pPr>
        <w:pStyle w:val="36"/>
        <w:numPr>
          <w:ilvl w:val="0"/>
          <w:numId w:val="7"/>
        </w:numPr>
        <w:adjustRightInd w:val="0"/>
        <w:snapToGrid w:val="0"/>
        <w:spacing w:after="50"/>
        <w:ind w:firstLineChars="0"/>
        <w:rPr>
          <w:rFonts w:hint="eastAsia" w:ascii="宋体" w:hAnsi="宋体" w:cs="阿里巴巴普惠体"/>
          <w:sz w:val="21"/>
          <w:szCs w:val="21"/>
          <w:highlight w:val="none"/>
        </w:rPr>
      </w:pPr>
      <w:r>
        <w:rPr>
          <w:rFonts w:hint="eastAsia" w:ascii="宋体" w:hAnsi="宋体" w:cs="阿里巴巴普惠体"/>
          <w:sz w:val="21"/>
          <w:szCs w:val="21"/>
          <w:highlight w:val="none"/>
        </w:rPr>
        <w:t>整机原装进口，需出具报关证明文件。</w:t>
      </w:r>
    </w:p>
    <w:p w14:paraId="585BC029">
      <w:pPr>
        <w:pStyle w:val="36"/>
        <w:numPr>
          <w:ilvl w:val="0"/>
          <w:numId w:val="7"/>
        </w:numPr>
        <w:adjustRightInd w:val="0"/>
        <w:snapToGrid w:val="0"/>
        <w:spacing w:after="50"/>
        <w:ind w:firstLineChars="0"/>
        <w:rPr>
          <w:rFonts w:ascii="宋体" w:hAnsi="宋体" w:cs="阿里巴巴普惠体"/>
          <w:sz w:val="21"/>
          <w:szCs w:val="21"/>
          <w:highlight w:val="none"/>
        </w:rPr>
      </w:pPr>
      <w:r>
        <w:rPr>
          <w:rFonts w:hint="eastAsia" w:ascii="宋体" w:hAnsi="宋体" w:cs="阿里巴巴普惠体"/>
          <w:sz w:val="21"/>
          <w:szCs w:val="21"/>
          <w:highlight w:val="none"/>
        </w:rPr>
        <w:t>有关附件用以配合调节器操作亦须由本承包单位负责提供。</w:t>
      </w:r>
    </w:p>
    <w:p w14:paraId="37C01F6C">
      <w:pPr>
        <w:pStyle w:val="36"/>
        <w:numPr>
          <w:ilvl w:val="0"/>
          <w:numId w:val="8"/>
        </w:numPr>
        <w:adjustRightInd w:val="0"/>
        <w:snapToGrid w:val="0"/>
        <w:spacing w:after="50"/>
        <w:ind w:firstLineChars="0"/>
        <w:rPr>
          <w:rFonts w:ascii="宋体" w:hAnsi="宋体" w:cs="阿里巴巴普惠体"/>
          <w:sz w:val="21"/>
          <w:szCs w:val="21"/>
          <w:highlight w:val="none"/>
        </w:rPr>
      </w:pPr>
      <w:r>
        <w:rPr>
          <w:rFonts w:hint="eastAsia" w:ascii="宋体" w:hAnsi="宋体" w:cs="阿里巴巴普惠体"/>
          <w:sz w:val="21"/>
          <w:szCs w:val="21"/>
          <w:highlight w:val="none"/>
          <w:lang w:val="en-GB"/>
        </w:rPr>
        <w:t>整机原装进口，</w:t>
      </w:r>
      <w:r>
        <w:rPr>
          <w:rFonts w:hint="eastAsia" w:ascii="宋体" w:hAnsi="宋体" w:cs="阿里巴巴普惠体"/>
          <w:sz w:val="21"/>
          <w:szCs w:val="21"/>
          <w:highlight w:val="none"/>
          <w:lang w:val="en-US" w:eastAsia="zh-CN"/>
        </w:rPr>
        <w:t>NSF认证文件，</w:t>
      </w:r>
      <w:r>
        <w:rPr>
          <w:rFonts w:hint="eastAsia" w:ascii="宋体" w:hAnsi="宋体" w:cs="阿里巴巴普惠体"/>
          <w:sz w:val="21"/>
          <w:szCs w:val="21"/>
          <w:highlight w:val="none"/>
          <w:lang w:val="en-GB"/>
        </w:rPr>
        <w:t>需出具报关证明文件。</w:t>
      </w:r>
    </w:p>
    <w:p w14:paraId="0D7DD12E">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r>
        <w:rPr>
          <w:rFonts w:hint="eastAsia" w:ascii="宋体" w:hAnsi="宋体"/>
          <w:b/>
          <w:sz w:val="21"/>
          <w:szCs w:val="21"/>
          <w:highlight w:val="none"/>
        </w:rPr>
        <w:t>计量投药装置</w:t>
      </w:r>
      <w:bookmarkEnd w:id="58"/>
      <w:bookmarkEnd w:id="59"/>
      <w:bookmarkEnd w:id="60"/>
      <w:bookmarkEnd w:id="61"/>
    </w:p>
    <w:p w14:paraId="4B116A40">
      <w:pPr>
        <w:numPr>
          <w:ilvl w:val="0"/>
          <w:numId w:val="9"/>
        </w:numPr>
        <w:tabs>
          <w:tab w:val="left" w:pos="900"/>
        </w:tabs>
        <w:autoSpaceDE w:val="0"/>
        <w:autoSpaceDN w:val="0"/>
        <w:adjustRightInd w:val="0"/>
        <w:spacing w:before="93" w:beforeLines="30" w:after="93" w:afterLines="30" w:line="360" w:lineRule="atLeast"/>
        <w:ind w:left="900" w:right="-23" w:hanging="360"/>
        <w:jc w:val="left"/>
        <w:textAlignment w:val="baseline"/>
        <w:rPr>
          <w:rFonts w:ascii="Arial" w:hAnsi="宋体" w:cs="Arial"/>
          <w:sz w:val="21"/>
          <w:szCs w:val="21"/>
          <w:highlight w:val="none"/>
          <w:lang w:val="en-GB"/>
        </w:rPr>
      </w:pPr>
      <w:r>
        <w:rPr>
          <w:rFonts w:hint="eastAsia" w:ascii="Arial" w:hAnsi="宋体" w:cs="Arial"/>
          <w:sz w:val="21"/>
          <w:szCs w:val="21"/>
          <w:highlight w:val="none"/>
        </w:rPr>
        <w:t>设计</w:t>
      </w:r>
      <w:r>
        <w:rPr>
          <w:rFonts w:hint="eastAsia" w:ascii="Arial" w:hAnsi="宋体" w:cs="Arial"/>
          <w:sz w:val="21"/>
          <w:szCs w:val="21"/>
          <w:highlight w:val="none"/>
          <w:lang w:val="en-US" w:eastAsia="zh-CN"/>
        </w:rPr>
        <w:t>1</w:t>
      </w:r>
      <w:r>
        <w:rPr>
          <w:rFonts w:hint="eastAsia" w:ascii="Arial" w:hAnsi="宋体" w:cs="Arial"/>
          <w:sz w:val="21"/>
          <w:szCs w:val="21"/>
          <w:highlight w:val="none"/>
        </w:rPr>
        <w:t>套计量投药装置。</w:t>
      </w:r>
      <w:r>
        <w:rPr>
          <w:rFonts w:ascii="Arial" w:hAnsi="宋体" w:cs="Arial"/>
          <w:sz w:val="21"/>
          <w:szCs w:val="21"/>
          <w:highlight w:val="none"/>
        </w:rPr>
        <w:t>通过监控传输信号控制计量泵的频率用于PH调整剂</w:t>
      </w:r>
      <w:r>
        <w:rPr>
          <w:rFonts w:hint="eastAsia" w:ascii="Arial" w:hAnsi="宋体" w:cs="Arial"/>
          <w:sz w:val="21"/>
          <w:szCs w:val="21"/>
          <w:highlight w:val="none"/>
          <w:lang w:val="en-GB"/>
        </w:rPr>
        <w:t>。</w:t>
      </w:r>
    </w:p>
    <w:p w14:paraId="045FB8FA">
      <w:pPr>
        <w:numPr>
          <w:ilvl w:val="0"/>
          <w:numId w:val="9"/>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ascii="Arial" w:hAnsi="宋体" w:cs="Arial"/>
          <w:sz w:val="21"/>
          <w:szCs w:val="21"/>
          <w:highlight w:val="none"/>
        </w:rPr>
        <w:t>该加药装置罐体为PE材质，耐腐蚀性能好，并配置药</w:t>
      </w:r>
      <w:r>
        <w:rPr>
          <w:rFonts w:hint="eastAsia" w:ascii="Arial" w:hAnsi="宋体" w:cs="Arial"/>
          <w:sz w:val="21"/>
          <w:szCs w:val="21"/>
          <w:highlight w:val="none"/>
        </w:rPr>
        <w:t>剂</w:t>
      </w:r>
      <w:r>
        <w:rPr>
          <w:rFonts w:ascii="Arial" w:hAnsi="宋体" w:cs="Arial"/>
          <w:sz w:val="21"/>
          <w:szCs w:val="21"/>
          <w:highlight w:val="none"/>
        </w:rPr>
        <w:t>计量泵，可根据水质情况随时调节加药量。</w:t>
      </w:r>
    </w:p>
    <w:p w14:paraId="6952CF1C">
      <w:pPr>
        <w:numPr>
          <w:ilvl w:val="0"/>
          <w:numId w:val="9"/>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rPr>
        <w:t>所提供投药泵流量扬程，应能满足系统需求</w:t>
      </w:r>
    </w:p>
    <w:p w14:paraId="3718664F">
      <w:pPr>
        <w:numPr>
          <w:ilvl w:val="0"/>
          <w:numId w:val="9"/>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rPr>
        <w:t>溶药池、定量投加装置和溶液管道应采用不透水和耐腐蚀的材料制造。</w:t>
      </w:r>
    </w:p>
    <w:p w14:paraId="201A9059">
      <w:pPr>
        <w:pStyle w:val="23"/>
        <w:numPr>
          <w:ilvl w:val="1"/>
          <w:numId w:val="2"/>
        </w:numPr>
        <w:shd w:val="clear"/>
        <w:spacing w:line="360" w:lineRule="auto"/>
        <w:ind w:left="0" w:leftChars="0" w:firstLine="0" w:firstLineChars="0"/>
        <w:jc w:val="left"/>
        <w:outlineLvl w:val="1"/>
        <w:rPr>
          <w:rFonts w:hint="eastAsia" w:ascii="宋体" w:hAnsi="宋体"/>
          <w:b/>
          <w:sz w:val="21"/>
          <w:szCs w:val="21"/>
          <w:highlight w:val="none"/>
          <w:lang w:val="en-US" w:eastAsia="zh-CN"/>
        </w:rPr>
      </w:pPr>
      <w:r>
        <w:rPr>
          <w:rFonts w:hint="eastAsia" w:ascii="宋体" w:hAnsi="宋体"/>
          <w:b/>
          <w:sz w:val="21"/>
          <w:szCs w:val="21"/>
          <w:highlight w:val="none"/>
          <w:lang w:val="en-US" w:eastAsia="zh-CN"/>
        </w:rPr>
        <w:t>中压紫外线杀菌技术要求</w:t>
      </w:r>
    </w:p>
    <w:p w14:paraId="302DBD46">
      <w:pPr>
        <w:numPr>
          <w:ilvl w:val="0"/>
          <w:numId w:val="10"/>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US" w:eastAsia="zh-CN"/>
        </w:rPr>
      </w:pPr>
      <w:r>
        <w:rPr>
          <w:rFonts w:hint="eastAsia" w:ascii="Arial" w:hAnsi="宋体" w:cs="Arial"/>
          <w:sz w:val="21"/>
          <w:szCs w:val="21"/>
          <w:highlight w:val="none"/>
          <w:lang w:val="en-US" w:eastAsia="zh-CN"/>
        </w:rPr>
        <w:t>紧凑设计，节约安装所需空间；一体式整机便于安装；提供消毒保障，减少了氯胺的刺激；</w:t>
      </w:r>
    </w:p>
    <w:p w14:paraId="4F6B5BDC">
      <w:pPr>
        <w:numPr>
          <w:ilvl w:val="0"/>
          <w:numId w:val="10"/>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US" w:eastAsia="zh-CN"/>
        </w:rPr>
      </w:pPr>
      <w:r>
        <w:rPr>
          <w:rFonts w:hint="eastAsia" w:ascii="Arial" w:hAnsi="宋体" w:cs="Arial"/>
          <w:sz w:val="21"/>
          <w:szCs w:val="21"/>
          <w:highlight w:val="none"/>
          <w:lang w:val="en-US" w:eastAsia="zh-CN"/>
        </w:rPr>
        <w:t>一个智能的、一体化的设计，有效地运行保证池水的干净；不低于SUS304不锈钢材质腔体；</w:t>
      </w:r>
    </w:p>
    <w:p w14:paraId="50976FFB">
      <w:pPr>
        <w:numPr>
          <w:ilvl w:val="0"/>
          <w:numId w:val="10"/>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US" w:eastAsia="zh-CN"/>
        </w:rPr>
      </w:pPr>
      <w:r>
        <w:rPr>
          <w:rFonts w:hint="eastAsia" w:ascii="Arial" w:hAnsi="宋体" w:cs="Arial"/>
          <w:sz w:val="21"/>
          <w:szCs w:val="21"/>
          <w:highlight w:val="none"/>
          <w:lang w:val="en-US" w:eastAsia="zh-CN"/>
        </w:rPr>
        <w:t>多普段紫外线灯管，紫外线波长范围200-400nm，为确保紫外线杀菌效果，紫外线设备必须配备在线紫外线绝对强度传感器，实时显示紫外线照射剂量及灯光发光强度，并具备可靠的安装报警装置。</w:t>
      </w:r>
    </w:p>
    <w:p w14:paraId="3991278B">
      <w:pPr>
        <w:pStyle w:val="23"/>
        <w:numPr>
          <w:ilvl w:val="1"/>
          <w:numId w:val="2"/>
        </w:numPr>
        <w:shd w:val="clear"/>
        <w:spacing w:line="360" w:lineRule="auto"/>
        <w:ind w:left="0" w:leftChars="0" w:firstLine="0" w:firstLineChars="0"/>
        <w:jc w:val="left"/>
        <w:outlineLvl w:val="1"/>
        <w:rPr>
          <w:rFonts w:hint="eastAsia" w:ascii="宋体" w:hAnsi="宋体"/>
          <w:b/>
          <w:sz w:val="21"/>
          <w:szCs w:val="21"/>
          <w:highlight w:val="none"/>
          <w:lang w:val="en-US" w:eastAsia="zh-CN"/>
        </w:rPr>
      </w:pPr>
      <w:r>
        <w:rPr>
          <w:rFonts w:hint="eastAsia" w:ascii="宋体" w:hAnsi="宋体"/>
          <w:b/>
          <w:sz w:val="21"/>
          <w:szCs w:val="21"/>
          <w:highlight w:val="none"/>
          <w:lang w:val="en-US" w:eastAsia="zh-CN"/>
        </w:rPr>
        <w:t>真空破坏器</w:t>
      </w:r>
    </w:p>
    <w:p w14:paraId="3004CB82">
      <w:pPr>
        <w:numPr>
          <w:ilvl w:val="0"/>
          <w:numId w:val="11"/>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US" w:eastAsia="zh-CN"/>
        </w:rPr>
      </w:pPr>
      <w:r>
        <w:rPr>
          <w:rFonts w:hint="eastAsia" w:ascii="Arial" w:hAnsi="宋体" w:cs="Arial"/>
          <w:sz w:val="21"/>
          <w:szCs w:val="21"/>
          <w:highlight w:val="none"/>
          <w:lang w:val="en-US" w:eastAsia="zh-CN"/>
        </w:rPr>
        <w:t>含单向止回、通风屏，锁定释放机构，浪涌抑制器，旋转螺钉及真空计；</w:t>
      </w:r>
    </w:p>
    <w:p w14:paraId="0D886DF7">
      <w:pPr>
        <w:numPr>
          <w:ilvl w:val="0"/>
          <w:numId w:val="11"/>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US" w:eastAsia="zh-CN"/>
        </w:rPr>
      </w:pPr>
      <w:r>
        <w:rPr>
          <w:rFonts w:hint="eastAsia" w:ascii="Arial" w:hAnsi="宋体" w:cs="Arial"/>
          <w:sz w:val="21"/>
          <w:szCs w:val="21"/>
          <w:highlight w:val="none"/>
          <w:lang w:val="en-US" w:eastAsia="zh-CN"/>
        </w:rPr>
        <w:t>非国标12S108-2《真空破坏器选用与安装》设置在泳池系统充水或补水管道出口与溢流水位之间的空气间隙小于出口管径2.5倍时安装的产品；</w:t>
      </w:r>
    </w:p>
    <w:p w14:paraId="0F59C544">
      <w:pPr>
        <w:numPr>
          <w:ilvl w:val="0"/>
          <w:numId w:val="11"/>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US" w:eastAsia="zh-CN"/>
        </w:rPr>
      </w:pPr>
      <w:r>
        <w:rPr>
          <w:rFonts w:hint="eastAsia" w:ascii="Arial" w:hAnsi="宋体" w:cs="Arial"/>
          <w:sz w:val="21"/>
          <w:szCs w:val="21"/>
          <w:highlight w:val="none"/>
          <w:lang w:val="en-US" w:eastAsia="zh-CN"/>
        </w:rPr>
        <w:t>应用场景为泡池、按摩池主回水主管上安装；</w:t>
      </w:r>
    </w:p>
    <w:p w14:paraId="30CA8F25">
      <w:pPr>
        <w:numPr>
          <w:ilvl w:val="0"/>
          <w:numId w:val="11"/>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US" w:eastAsia="zh-CN"/>
        </w:rPr>
      </w:pPr>
      <w:r>
        <w:rPr>
          <w:rFonts w:hint="eastAsia" w:ascii="Arial" w:hAnsi="宋体" w:cs="Arial"/>
          <w:sz w:val="21"/>
          <w:szCs w:val="21"/>
          <w:highlight w:val="none"/>
          <w:lang w:val="en-US" w:eastAsia="zh-CN"/>
        </w:rPr>
        <w:t>需获得ARL（CERTIFICATE OF COMPLIANCE）认证；</w:t>
      </w:r>
    </w:p>
    <w:p w14:paraId="6BAFE8AB">
      <w:pPr>
        <w:numPr>
          <w:ilvl w:val="0"/>
          <w:numId w:val="11"/>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US" w:eastAsia="zh-CN"/>
        </w:rPr>
      </w:pPr>
      <w:r>
        <w:rPr>
          <w:rFonts w:hint="eastAsia" w:ascii="Arial" w:hAnsi="宋体" w:cs="Arial"/>
          <w:sz w:val="21"/>
          <w:szCs w:val="21"/>
          <w:highlight w:val="none"/>
          <w:lang w:val="en-US" w:eastAsia="zh-CN"/>
        </w:rPr>
        <w:t>真空警报安全真空释放系统的弹簧加载活塞不稳定地反应，打开大气并释放危及生命的排水口吸力。</w:t>
      </w:r>
    </w:p>
    <w:p w14:paraId="673783D0">
      <w:pPr>
        <w:numPr>
          <w:ilvl w:val="0"/>
          <w:numId w:val="11"/>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US" w:eastAsia="zh-CN"/>
        </w:rPr>
      </w:pPr>
      <w:r>
        <w:rPr>
          <w:rFonts w:hint="eastAsia" w:ascii="Arial" w:hAnsi="宋体" w:cs="Arial"/>
          <w:sz w:val="21"/>
          <w:szCs w:val="21"/>
          <w:highlight w:val="none"/>
          <w:lang w:val="en-US" w:eastAsia="zh-CN"/>
        </w:rPr>
        <w:t>其材质为耐腐蚀的PVC和不锈钢结构，确保使用寿命长；</w:t>
      </w:r>
    </w:p>
    <w:p w14:paraId="41ED5ABB">
      <w:pPr>
        <w:numPr>
          <w:ilvl w:val="0"/>
          <w:numId w:val="11"/>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US" w:eastAsia="zh-CN"/>
        </w:rPr>
      </w:pPr>
      <w:r>
        <w:rPr>
          <w:rFonts w:hint="eastAsia" w:ascii="Arial" w:hAnsi="宋体" w:cs="Arial"/>
          <w:sz w:val="21"/>
          <w:szCs w:val="21"/>
          <w:highlight w:val="none"/>
          <w:lang w:val="en-US" w:eastAsia="zh-CN"/>
        </w:rPr>
        <w:t>确保跳闸不损坏水泵。</w:t>
      </w:r>
    </w:p>
    <w:p w14:paraId="53DD4FBC">
      <w:pPr>
        <w:pStyle w:val="23"/>
        <w:numPr>
          <w:ilvl w:val="1"/>
          <w:numId w:val="2"/>
        </w:numPr>
        <w:spacing w:line="360" w:lineRule="auto"/>
        <w:ind w:left="0" w:leftChars="0" w:firstLine="0" w:firstLineChars="0"/>
        <w:jc w:val="left"/>
        <w:outlineLvl w:val="1"/>
        <w:rPr>
          <w:rFonts w:hint="eastAsia" w:ascii="宋体" w:hAnsi="宋体"/>
          <w:b/>
          <w:sz w:val="21"/>
          <w:szCs w:val="21"/>
          <w:highlight w:val="none"/>
        </w:rPr>
      </w:pPr>
      <w:bookmarkStart w:id="62" w:name="_Toc11113"/>
      <w:bookmarkStart w:id="63" w:name="_Toc29397"/>
      <w:bookmarkStart w:id="64" w:name="_Toc15979"/>
      <w:bookmarkStart w:id="65" w:name="_Toc30138"/>
      <w:r>
        <w:rPr>
          <w:rFonts w:hint="eastAsia" w:ascii="宋体" w:hAnsi="宋体"/>
          <w:b/>
          <w:sz w:val="21"/>
          <w:szCs w:val="21"/>
          <w:highlight w:val="none"/>
        </w:rPr>
        <w:t>泳池水口及清洁测试设备技术要求</w:t>
      </w:r>
      <w:bookmarkEnd w:id="62"/>
      <w:bookmarkEnd w:id="63"/>
      <w:bookmarkEnd w:id="64"/>
      <w:bookmarkEnd w:id="65"/>
    </w:p>
    <w:p w14:paraId="3294F77E">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66" w:name="_Toc5753"/>
      <w:bookmarkStart w:id="67" w:name="_Toc29150"/>
      <w:bookmarkStart w:id="68" w:name="_Toc3243"/>
      <w:bookmarkStart w:id="69" w:name="_Toc26944"/>
      <w:r>
        <w:rPr>
          <w:rFonts w:hint="eastAsia" w:ascii="宋体" w:hAnsi="宋体"/>
          <w:b/>
          <w:sz w:val="21"/>
          <w:szCs w:val="21"/>
          <w:highlight w:val="none"/>
        </w:rPr>
        <w:t>水下灯</w:t>
      </w:r>
      <w:bookmarkEnd w:id="66"/>
      <w:bookmarkEnd w:id="67"/>
      <w:bookmarkEnd w:id="68"/>
      <w:bookmarkEnd w:id="69"/>
    </w:p>
    <w:p w14:paraId="4DE52865">
      <w:pPr>
        <w:numPr>
          <w:ilvl w:val="0"/>
          <w:numId w:val="12"/>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游泳池应设置水下照明用水下灯，安装方式为嵌入式安装。</w:t>
      </w:r>
    </w:p>
    <w:p w14:paraId="3B6A494E">
      <w:pPr>
        <w:numPr>
          <w:ilvl w:val="0"/>
          <w:numId w:val="12"/>
        </w:numPr>
        <w:tabs>
          <w:tab w:val="left" w:pos="900"/>
        </w:tabs>
        <w:autoSpaceDE w:val="0"/>
        <w:autoSpaceDN w:val="0"/>
        <w:adjustRightInd w:val="0"/>
        <w:spacing w:before="93" w:beforeLines="30" w:after="93" w:afterLines="30" w:line="360" w:lineRule="atLeast"/>
        <w:ind w:left="900" w:right="-23" w:hanging="360"/>
        <w:jc w:val="left"/>
        <w:textAlignment w:val="baseline"/>
        <w:rPr>
          <w:rFonts w:ascii="Arial" w:hAnsi="宋体" w:cs="Arial"/>
          <w:sz w:val="21"/>
          <w:szCs w:val="21"/>
          <w:highlight w:val="none"/>
          <w:lang w:val="en-GB"/>
        </w:rPr>
      </w:pPr>
      <w:r>
        <w:rPr>
          <w:rFonts w:hint="eastAsia" w:ascii="Arial" w:hAnsi="Arial" w:cs="Arial"/>
          <w:sz w:val="21"/>
          <w:szCs w:val="21"/>
          <w:highlight w:val="none"/>
        </w:rPr>
        <w:t>承包单位需按图纸所示提供各游泳池内的水下灯装置包括潜水式灯具连护罩、潜水式电缆、过路箱、线管、变压器等</w:t>
      </w:r>
    </w:p>
    <w:p w14:paraId="2C5B7494">
      <w:pPr>
        <w:numPr>
          <w:ilvl w:val="0"/>
          <w:numId w:val="12"/>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水下灯应配套塑料预埋件。</w:t>
      </w:r>
    </w:p>
    <w:p w14:paraId="017B0993">
      <w:pPr>
        <w:numPr>
          <w:ilvl w:val="0"/>
          <w:numId w:val="12"/>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变压器应为双绕组结线，单相，二次结线输出电压不得大于12V交流电，并自带高低压漏电保护。一次接线与二次接线之间不得直接或间接连接。两组结线之间应提供接地。二次接线及与其接驳的电路应提供接地至主接地网。</w:t>
      </w:r>
    </w:p>
    <w:p w14:paraId="43C79506">
      <w:pPr>
        <w:numPr>
          <w:ilvl w:val="0"/>
          <w:numId w:val="12"/>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水下照面灯具的安装位置，应保证从灯具的上部边缘至正常水面不低于0.5m。</w:t>
      </w:r>
    </w:p>
    <w:p w14:paraId="71F0109E">
      <w:pPr>
        <w:numPr>
          <w:ilvl w:val="0"/>
          <w:numId w:val="12"/>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灯具必须等电位接地。</w:t>
      </w:r>
    </w:p>
    <w:p w14:paraId="212B89FE">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70" w:name="_Toc22377"/>
      <w:bookmarkStart w:id="71" w:name="_Toc22945"/>
      <w:bookmarkStart w:id="72" w:name="_Toc24646"/>
      <w:bookmarkStart w:id="73" w:name="_Toc26000"/>
      <w:r>
        <w:rPr>
          <w:rFonts w:hint="eastAsia" w:ascii="宋体" w:hAnsi="宋体"/>
          <w:b/>
          <w:sz w:val="21"/>
          <w:szCs w:val="21"/>
          <w:highlight w:val="none"/>
        </w:rPr>
        <w:t>主泄水/回水器配置</w:t>
      </w:r>
      <w:bookmarkEnd w:id="70"/>
      <w:bookmarkEnd w:id="71"/>
      <w:bookmarkEnd w:id="72"/>
      <w:bookmarkEnd w:id="73"/>
    </w:p>
    <w:p w14:paraId="06166E2F">
      <w:pPr>
        <w:numPr>
          <w:ilvl w:val="0"/>
          <w:numId w:val="13"/>
        </w:numPr>
        <w:tabs>
          <w:tab w:val="left" w:pos="900"/>
        </w:tabs>
        <w:autoSpaceDE w:val="0"/>
        <w:autoSpaceDN w:val="0"/>
        <w:adjustRightInd w:val="0"/>
        <w:spacing w:before="93" w:beforeLines="30" w:after="93" w:afterLines="30" w:line="360" w:lineRule="atLeast"/>
        <w:ind w:left="900" w:right="-23" w:hanging="360"/>
        <w:jc w:val="left"/>
        <w:textAlignment w:val="baseline"/>
        <w:rPr>
          <w:rFonts w:ascii="Arial" w:hAnsi="宋体" w:cs="Arial"/>
          <w:sz w:val="21"/>
          <w:szCs w:val="21"/>
          <w:highlight w:val="none"/>
          <w:lang w:val="en-GB"/>
        </w:rPr>
      </w:pPr>
      <w:r>
        <w:rPr>
          <w:rFonts w:hint="eastAsia" w:ascii="Arial" w:hAnsi="宋体" w:cs="Arial"/>
          <w:sz w:val="21"/>
          <w:szCs w:val="21"/>
          <w:highlight w:val="none"/>
          <w:lang w:val="en-GB"/>
        </w:rPr>
        <w:t>游泳池主排水/回水器数量不小于</w:t>
      </w:r>
      <w:r>
        <w:rPr>
          <w:rFonts w:hint="eastAsia" w:ascii="Arial" w:hAnsi="宋体" w:cs="Arial"/>
          <w:sz w:val="21"/>
          <w:szCs w:val="21"/>
          <w:highlight w:val="none"/>
          <w:lang w:val="en-US" w:eastAsia="zh-CN"/>
        </w:rPr>
        <w:t>2</w:t>
      </w:r>
      <w:r>
        <w:rPr>
          <w:rFonts w:hint="eastAsia" w:ascii="Arial" w:hAnsi="宋体" w:cs="Arial"/>
          <w:sz w:val="21"/>
          <w:szCs w:val="21"/>
          <w:highlight w:val="none"/>
          <w:lang w:val="en-GB"/>
        </w:rPr>
        <w:t>个。</w:t>
      </w:r>
    </w:p>
    <w:p w14:paraId="5E0B5C93">
      <w:pPr>
        <w:numPr>
          <w:ilvl w:val="0"/>
          <w:numId w:val="13"/>
        </w:numPr>
        <w:tabs>
          <w:tab w:val="left" w:pos="900"/>
        </w:tabs>
        <w:autoSpaceDE w:val="0"/>
        <w:autoSpaceDN w:val="0"/>
        <w:adjustRightInd w:val="0"/>
        <w:spacing w:before="93" w:beforeLines="30" w:after="93" w:afterLines="30" w:line="360" w:lineRule="atLeast"/>
        <w:ind w:left="900" w:right="-23" w:hanging="360"/>
        <w:jc w:val="left"/>
        <w:textAlignment w:val="baseline"/>
        <w:rPr>
          <w:rFonts w:ascii="Arial" w:hAnsi="宋体" w:cs="Arial"/>
          <w:sz w:val="21"/>
          <w:szCs w:val="21"/>
          <w:highlight w:val="none"/>
          <w:lang w:val="en-GB"/>
        </w:rPr>
      </w:pPr>
      <w:r>
        <w:rPr>
          <w:rFonts w:hint="eastAsia" w:ascii="Arial" w:hAnsi="宋体" w:cs="Arial"/>
          <w:sz w:val="21"/>
          <w:szCs w:val="21"/>
          <w:highlight w:val="none"/>
          <w:lang w:val="en-GB"/>
        </w:rPr>
        <w:t>主排水器及回水装置为提供游泳池底之泄水系统装置，泄水口格栅之总有效截面由本承包商提供尺寸及安装大样。</w:t>
      </w:r>
    </w:p>
    <w:p w14:paraId="30C4D736">
      <w:pPr>
        <w:numPr>
          <w:ilvl w:val="0"/>
          <w:numId w:val="13"/>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其中池底泄水口或回水口的格栅板的格栅孔隙宽度不得超过8mm。</w:t>
      </w:r>
    </w:p>
    <w:p w14:paraId="67EC57B8">
      <w:pPr>
        <w:numPr>
          <w:ilvl w:val="0"/>
          <w:numId w:val="13"/>
        </w:numPr>
        <w:tabs>
          <w:tab w:val="left" w:pos="900"/>
        </w:tabs>
        <w:autoSpaceDE w:val="0"/>
        <w:autoSpaceDN w:val="0"/>
        <w:adjustRightInd w:val="0"/>
        <w:spacing w:before="93" w:beforeLines="30" w:after="93" w:afterLines="30" w:line="360" w:lineRule="atLeast"/>
        <w:ind w:left="900" w:right="-23" w:hanging="360"/>
        <w:jc w:val="left"/>
        <w:textAlignment w:val="baseline"/>
        <w:rPr>
          <w:rFonts w:ascii="Arial" w:hAnsi="宋体" w:cs="Arial"/>
          <w:sz w:val="21"/>
          <w:szCs w:val="21"/>
          <w:highlight w:val="none"/>
          <w:lang w:val="en-GB"/>
        </w:rPr>
      </w:pPr>
      <w:r>
        <w:rPr>
          <w:rFonts w:hint="eastAsia" w:ascii="Arial" w:hAnsi="宋体" w:cs="Arial"/>
          <w:sz w:val="21"/>
          <w:szCs w:val="21"/>
          <w:highlight w:val="none"/>
          <w:lang w:val="en-GB"/>
        </w:rPr>
        <w:t>格栅孔隙的水流速度不应大于0.2m/s。。</w:t>
      </w:r>
    </w:p>
    <w:p w14:paraId="3F0C67F0">
      <w:pPr>
        <w:numPr>
          <w:ilvl w:val="0"/>
          <w:numId w:val="13"/>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主排水器必须用ABS或同类材料</w:t>
      </w:r>
    </w:p>
    <w:p w14:paraId="6AD8155A">
      <w:pPr>
        <w:numPr>
          <w:ilvl w:val="0"/>
          <w:numId w:val="13"/>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应设在游泳池最低标高处</w:t>
      </w:r>
    </w:p>
    <w:p w14:paraId="7D96D9C5">
      <w:pPr>
        <w:numPr>
          <w:ilvl w:val="0"/>
          <w:numId w:val="13"/>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US" w:eastAsia="zh-CN"/>
        </w:rPr>
        <w:t>取得IAPMO认证，防虹吸配件。</w:t>
      </w:r>
    </w:p>
    <w:p w14:paraId="07D2DB07">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74" w:name="_Toc29897"/>
      <w:bookmarkStart w:id="75" w:name="_Toc24636"/>
      <w:bookmarkStart w:id="76" w:name="_Toc800"/>
      <w:bookmarkStart w:id="77" w:name="_Toc20929"/>
      <w:r>
        <w:rPr>
          <w:rFonts w:hint="eastAsia" w:ascii="宋体" w:hAnsi="宋体"/>
          <w:b/>
          <w:sz w:val="21"/>
          <w:szCs w:val="21"/>
          <w:highlight w:val="none"/>
        </w:rPr>
        <w:t>给水口</w:t>
      </w:r>
      <w:bookmarkEnd w:id="74"/>
      <w:bookmarkEnd w:id="75"/>
      <w:bookmarkEnd w:id="76"/>
      <w:bookmarkEnd w:id="77"/>
    </w:p>
    <w:p w14:paraId="1CFB9CB2">
      <w:pPr>
        <w:numPr>
          <w:ilvl w:val="0"/>
          <w:numId w:val="14"/>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rPr>
        <w:t>应采用出水流量为可调节型给水口，形状应为喇叭形，喇叭口面积不得小于连接管截面积。</w:t>
      </w:r>
    </w:p>
    <w:p w14:paraId="0D0D6C3D">
      <w:pPr>
        <w:numPr>
          <w:ilvl w:val="0"/>
          <w:numId w:val="14"/>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rPr>
        <w:t>喇叭口格栅护盖的孔隙不得大于8mm。</w:t>
      </w:r>
    </w:p>
    <w:p w14:paraId="49A64CC1">
      <w:pPr>
        <w:numPr>
          <w:ilvl w:val="0"/>
          <w:numId w:val="14"/>
        </w:numPr>
        <w:tabs>
          <w:tab w:val="left" w:pos="900"/>
        </w:tabs>
        <w:autoSpaceDE w:val="0"/>
        <w:autoSpaceDN w:val="0"/>
        <w:adjustRightInd w:val="0"/>
        <w:spacing w:before="93" w:beforeLines="30" w:after="93" w:afterLines="30" w:line="360" w:lineRule="atLeast"/>
        <w:ind w:left="900" w:right="-23" w:hanging="360"/>
        <w:jc w:val="left"/>
        <w:textAlignment w:val="baseline"/>
        <w:rPr>
          <w:rFonts w:ascii="Arial" w:hAnsi="宋体" w:cs="Arial"/>
          <w:sz w:val="21"/>
          <w:szCs w:val="21"/>
          <w:highlight w:val="none"/>
          <w:lang w:val="en-GB"/>
        </w:rPr>
      </w:pPr>
      <w:r>
        <w:rPr>
          <w:rFonts w:hint="eastAsia" w:ascii="Arial" w:hAnsi="宋体" w:cs="Arial"/>
          <w:sz w:val="21"/>
          <w:szCs w:val="21"/>
          <w:highlight w:val="none"/>
          <w:lang w:val="en-GB"/>
        </w:rPr>
        <w:t>池壁安装给水口，应设在水面以下0.5-1m处。</w:t>
      </w:r>
    </w:p>
    <w:p w14:paraId="5643EB41">
      <w:pPr>
        <w:numPr>
          <w:ilvl w:val="0"/>
          <w:numId w:val="14"/>
        </w:numPr>
        <w:tabs>
          <w:tab w:val="left" w:pos="900"/>
        </w:tabs>
        <w:autoSpaceDE w:val="0"/>
        <w:autoSpaceDN w:val="0"/>
        <w:adjustRightInd w:val="0"/>
        <w:spacing w:before="93" w:beforeLines="30" w:after="93" w:afterLines="30" w:line="360" w:lineRule="atLeast"/>
        <w:ind w:left="900" w:right="-23" w:hanging="360"/>
        <w:jc w:val="left"/>
        <w:textAlignment w:val="baseline"/>
        <w:rPr>
          <w:rFonts w:ascii="Arial" w:hAnsi="宋体" w:cs="Arial"/>
          <w:sz w:val="21"/>
          <w:szCs w:val="21"/>
          <w:highlight w:val="none"/>
          <w:lang w:val="en-GB"/>
        </w:rPr>
      </w:pPr>
      <w:r>
        <w:rPr>
          <w:rFonts w:hint="eastAsia" w:ascii="Arial" w:hAnsi="宋体" w:cs="Arial"/>
          <w:sz w:val="21"/>
          <w:szCs w:val="21"/>
          <w:highlight w:val="none"/>
        </w:rPr>
        <w:t>材质应为ABS或同类材料</w:t>
      </w:r>
      <w:r>
        <w:rPr>
          <w:rFonts w:hint="eastAsia" w:ascii="Arial" w:hAnsi="宋体" w:cs="Arial"/>
          <w:sz w:val="21"/>
          <w:szCs w:val="21"/>
          <w:highlight w:val="none"/>
          <w:lang w:val="en-GB"/>
        </w:rPr>
        <w:t>。</w:t>
      </w:r>
    </w:p>
    <w:p w14:paraId="76002122">
      <w:pPr>
        <w:numPr>
          <w:ilvl w:val="0"/>
          <w:numId w:val="14"/>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rPr>
        <w:t>给水口流速不应大于1m/s</w:t>
      </w:r>
      <w:r>
        <w:rPr>
          <w:rFonts w:hint="eastAsia" w:ascii="Arial" w:hAnsi="宋体" w:cs="Arial"/>
          <w:sz w:val="21"/>
          <w:szCs w:val="21"/>
          <w:highlight w:val="none"/>
          <w:lang w:val="en-GB"/>
        </w:rPr>
        <w:t>。</w:t>
      </w:r>
    </w:p>
    <w:p w14:paraId="6C5E7FCF">
      <w:pPr>
        <w:numPr>
          <w:ilvl w:val="0"/>
          <w:numId w:val="14"/>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逆流式泳池应采用池底布水口。</w:t>
      </w:r>
    </w:p>
    <w:p w14:paraId="59D25E7E">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78" w:name="_Toc30926"/>
      <w:bookmarkStart w:id="79" w:name="_Toc12116"/>
      <w:bookmarkStart w:id="80" w:name="_Toc19655"/>
      <w:bookmarkStart w:id="81" w:name="_Toc4306"/>
      <w:r>
        <w:rPr>
          <w:rFonts w:hint="eastAsia" w:ascii="宋体" w:hAnsi="宋体"/>
          <w:b/>
          <w:sz w:val="21"/>
          <w:szCs w:val="21"/>
          <w:highlight w:val="none"/>
        </w:rPr>
        <w:t>溢流口</w:t>
      </w:r>
      <w:bookmarkEnd w:id="78"/>
      <w:bookmarkEnd w:id="79"/>
      <w:bookmarkEnd w:id="80"/>
      <w:bookmarkEnd w:id="81"/>
    </w:p>
    <w:p w14:paraId="5ED9F0CC">
      <w:pPr>
        <w:numPr>
          <w:ilvl w:val="0"/>
          <w:numId w:val="15"/>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rPr>
        <w:t>材质应为ABS或同类材料。</w:t>
      </w:r>
    </w:p>
    <w:p w14:paraId="283EC0DA">
      <w:pPr>
        <w:numPr>
          <w:ilvl w:val="0"/>
          <w:numId w:val="15"/>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rPr>
        <w:t>形状应为喇叭形，喇叭口有效面积不得小于连接管截面积。</w:t>
      </w:r>
    </w:p>
    <w:p w14:paraId="19F76025">
      <w:pPr>
        <w:numPr>
          <w:ilvl w:val="0"/>
          <w:numId w:val="15"/>
        </w:numPr>
        <w:tabs>
          <w:tab w:val="left" w:pos="900"/>
        </w:tabs>
        <w:autoSpaceDE w:val="0"/>
        <w:autoSpaceDN w:val="0"/>
        <w:adjustRightInd w:val="0"/>
        <w:spacing w:before="93" w:beforeLines="30" w:after="93" w:afterLines="30" w:line="360" w:lineRule="atLeast"/>
        <w:ind w:left="900" w:right="-23" w:hanging="360"/>
        <w:jc w:val="left"/>
        <w:textAlignment w:val="baseline"/>
        <w:rPr>
          <w:rFonts w:ascii="Arial" w:hAnsi="宋体" w:cs="Arial"/>
          <w:sz w:val="21"/>
          <w:szCs w:val="21"/>
          <w:highlight w:val="none"/>
          <w:lang w:val="en-GB"/>
        </w:rPr>
      </w:pPr>
      <w:r>
        <w:rPr>
          <w:rFonts w:hint="eastAsia" w:ascii="Arial" w:hAnsi="宋体" w:cs="Arial"/>
          <w:sz w:val="21"/>
          <w:szCs w:val="21"/>
          <w:highlight w:val="none"/>
          <w:lang w:val="en-GB"/>
        </w:rPr>
        <w:t>应布置在溢流槽内。</w:t>
      </w:r>
    </w:p>
    <w:p w14:paraId="4566D03F">
      <w:pPr>
        <w:numPr>
          <w:ilvl w:val="0"/>
          <w:numId w:val="15"/>
        </w:numPr>
        <w:tabs>
          <w:tab w:val="left" w:pos="900"/>
        </w:tabs>
        <w:autoSpaceDE w:val="0"/>
        <w:autoSpaceDN w:val="0"/>
        <w:adjustRightInd w:val="0"/>
        <w:spacing w:before="93" w:beforeLines="30" w:after="93" w:afterLines="30" w:line="360" w:lineRule="atLeast"/>
        <w:ind w:left="900" w:right="-23" w:hanging="360"/>
        <w:jc w:val="left"/>
        <w:textAlignment w:val="baseline"/>
        <w:rPr>
          <w:rFonts w:ascii="Arial" w:hAnsi="宋体" w:cs="Arial"/>
          <w:sz w:val="21"/>
          <w:szCs w:val="21"/>
          <w:highlight w:val="none"/>
          <w:lang w:val="en-GB"/>
        </w:rPr>
      </w:pPr>
      <w:r>
        <w:rPr>
          <w:rFonts w:hint="eastAsia" w:ascii="Arial" w:hAnsi="宋体" w:cs="Arial"/>
          <w:sz w:val="21"/>
          <w:szCs w:val="21"/>
          <w:highlight w:val="none"/>
        </w:rPr>
        <w:t>材质应为ABS或同类材料</w:t>
      </w:r>
      <w:r>
        <w:rPr>
          <w:rFonts w:hint="eastAsia" w:ascii="Arial" w:hAnsi="宋体" w:cs="Arial"/>
          <w:sz w:val="21"/>
          <w:szCs w:val="21"/>
          <w:highlight w:val="none"/>
          <w:lang w:val="en-GB"/>
        </w:rPr>
        <w:t>。</w:t>
      </w:r>
    </w:p>
    <w:p w14:paraId="4B4AFE8C">
      <w:pPr>
        <w:numPr>
          <w:ilvl w:val="0"/>
          <w:numId w:val="15"/>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形状</w:t>
      </w:r>
      <w:r>
        <w:rPr>
          <w:rFonts w:hint="eastAsia" w:ascii="Arial" w:hAnsi="宋体" w:cs="Arial"/>
          <w:sz w:val="21"/>
          <w:szCs w:val="21"/>
          <w:highlight w:val="none"/>
        </w:rPr>
        <w:t>应</w:t>
      </w:r>
      <w:r>
        <w:rPr>
          <w:rFonts w:hint="eastAsia" w:ascii="Arial" w:hAnsi="宋体" w:cs="Arial"/>
          <w:sz w:val="21"/>
          <w:szCs w:val="21"/>
          <w:highlight w:val="none"/>
          <w:lang w:val="en-GB"/>
        </w:rPr>
        <w:t>为长方形或圆形。</w:t>
      </w:r>
    </w:p>
    <w:p w14:paraId="4B8A52C7">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82" w:name="_Toc1447"/>
      <w:bookmarkStart w:id="83" w:name="_Toc24548"/>
      <w:bookmarkStart w:id="84" w:name="_Toc30627"/>
      <w:bookmarkStart w:id="85" w:name="_Toc21455"/>
      <w:r>
        <w:rPr>
          <w:rFonts w:hint="eastAsia" w:ascii="宋体" w:hAnsi="宋体"/>
          <w:b/>
          <w:sz w:val="21"/>
          <w:szCs w:val="21"/>
          <w:highlight w:val="none"/>
        </w:rPr>
        <w:t>真空吸污口</w:t>
      </w:r>
      <w:bookmarkEnd w:id="82"/>
      <w:bookmarkEnd w:id="83"/>
      <w:bookmarkEnd w:id="84"/>
      <w:bookmarkEnd w:id="85"/>
    </w:p>
    <w:p w14:paraId="11975CCD">
      <w:pPr>
        <w:numPr>
          <w:ilvl w:val="0"/>
          <w:numId w:val="16"/>
        </w:numPr>
        <w:tabs>
          <w:tab w:val="left" w:pos="900"/>
        </w:tabs>
        <w:autoSpaceDE w:val="0"/>
        <w:autoSpaceDN w:val="0"/>
        <w:adjustRightInd w:val="0"/>
        <w:spacing w:before="93" w:beforeLines="30" w:after="93" w:afterLines="30" w:line="360" w:lineRule="atLeast"/>
        <w:ind w:left="900" w:right="-23" w:hanging="360"/>
        <w:jc w:val="left"/>
        <w:textAlignment w:val="baseline"/>
        <w:rPr>
          <w:rFonts w:ascii="Arial" w:hAnsi="宋体" w:cs="Arial"/>
          <w:sz w:val="21"/>
          <w:szCs w:val="21"/>
          <w:highlight w:val="none"/>
          <w:lang w:val="en-GB"/>
        </w:rPr>
      </w:pPr>
      <w:r>
        <w:rPr>
          <w:rFonts w:hint="eastAsia" w:ascii="Arial" w:hAnsi="宋体" w:cs="Arial"/>
          <w:sz w:val="21"/>
          <w:szCs w:val="21"/>
          <w:highlight w:val="none"/>
        </w:rPr>
        <w:t>材质应为ABS或同类材料</w:t>
      </w:r>
      <w:r>
        <w:rPr>
          <w:rFonts w:hint="eastAsia" w:ascii="Arial" w:hAnsi="宋体" w:cs="Arial"/>
          <w:sz w:val="21"/>
          <w:szCs w:val="21"/>
          <w:highlight w:val="none"/>
          <w:lang w:val="en-GB"/>
        </w:rPr>
        <w:t>。</w:t>
      </w:r>
    </w:p>
    <w:p w14:paraId="4F4C859B">
      <w:pPr>
        <w:numPr>
          <w:ilvl w:val="0"/>
          <w:numId w:val="16"/>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应设置有堵盖。</w:t>
      </w:r>
    </w:p>
    <w:p w14:paraId="5807FB04">
      <w:pPr>
        <w:numPr>
          <w:ilvl w:val="0"/>
          <w:numId w:val="16"/>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应可以与吸污用软管连接。</w:t>
      </w:r>
    </w:p>
    <w:p w14:paraId="2DBF15C1">
      <w:pPr>
        <w:numPr>
          <w:ilvl w:val="0"/>
          <w:numId w:val="0"/>
        </w:numPr>
        <w:tabs>
          <w:tab w:val="left" w:pos="900"/>
        </w:tabs>
        <w:autoSpaceDE w:val="0"/>
        <w:autoSpaceDN w:val="0"/>
        <w:adjustRightInd w:val="0"/>
        <w:spacing w:before="93" w:beforeLines="30" w:after="93" w:afterLines="30" w:line="360" w:lineRule="atLeast"/>
        <w:ind w:left="540" w:leftChars="0" w:right="-23" w:rightChars="0"/>
        <w:jc w:val="left"/>
        <w:textAlignment w:val="baseline"/>
        <w:rPr>
          <w:rFonts w:hint="eastAsia" w:ascii="Arial" w:hAnsi="宋体" w:cs="Arial"/>
          <w:sz w:val="21"/>
          <w:szCs w:val="21"/>
          <w:highlight w:val="none"/>
          <w:lang w:val="en-GB"/>
        </w:rPr>
      </w:pPr>
    </w:p>
    <w:p w14:paraId="24EC894D">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86" w:name="_Toc8987"/>
      <w:bookmarkStart w:id="87" w:name="_Toc7177"/>
      <w:bookmarkStart w:id="88" w:name="_Toc5886"/>
      <w:bookmarkStart w:id="89" w:name="_Toc17482"/>
      <w:r>
        <w:rPr>
          <w:rFonts w:hint="eastAsia" w:ascii="宋体" w:hAnsi="宋体"/>
          <w:b/>
          <w:sz w:val="21"/>
          <w:szCs w:val="21"/>
          <w:highlight w:val="none"/>
        </w:rPr>
        <w:t>泳池清洁保养配件</w:t>
      </w:r>
      <w:bookmarkEnd w:id="86"/>
      <w:bookmarkEnd w:id="87"/>
      <w:bookmarkEnd w:id="88"/>
      <w:bookmarkEnd w:id="89"/>
    </w:p>
    <w:p w14:paraId="6AFF3741">
      <w:pPr>
        <w:numPr>
          <w:ilvl w:val="0"/>
          <w:numId w:val="17"/>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rPr>
        <w:t>真空清洁器</w:t>
      </w:r>
    </w:p>
    <w:p w14:paraId="2946F32A">
      <w:pPr>
        <w:tabs>
          <w:tab w:val="left" w:pos="900"/>
        </w:tabs>
        <w:autoSpaceDE w:val="0"/>
        <w:autoSpaceDN w:val="0"/>
        <w:adjustRightInd w:val="0"/>
        <w:spacing w:before="93" w:beforeLines="30" w:after="93" w:afterLines="30" w:line="360" w:lineRule="atLeast"/>
        <w:ind w:left="900" w:right="-23"/>
        <w:jc w:val="left"/>
        <w:textAlignment w:val="baseline"/>
        <w:rPr>
          <w:rFonts w:hint="eastAsia" w:ascii="Arial" w:hAnsi="宋体" w:cs="Arial"/>
          <w:sz w:val="21"/>
          <w:szCs w:val="21"/>
          <w:highlight w:val="none"/>
        </w:rPr>
      </w:pPr>
      <w:r>
        <w:rPr>
          <w:rFonts w:hint="eastAsia" w:ascii="Arial" w:hAnsi="宋体" w:cs="Arial"/>
          <w:sz w:val="21"/>
          <w:szCs w:val="21"/>
          <w:highlight w:val="none"/>
        </w:rPr>
        <w:t>应采用防腐材质，应设有可调节长度的5-15m长手柄，并配置合适的吸污软管</w:t>
      </w:r>
    </w:p>
    <w:p w14:paraId="0C99A5AF">
      <w:pPr>
        <w:tabs>
          <w:tab w:val="left" w:pos="900"/>
        </w:tabs>
        <w:autoSpaceDE w:val="0"/>
        <w:autoSpaceDN w:val="0"/>
        <w:adjustRightInd w:val="0"/>
        <w:spacing w:before="93" w:beforeLines="30" w:after="93" w:afterLines="30" w:line="360" w:lineRule="atLeast"/>
        <w:ind w:left="900"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rPr>
        <w:t>吸污盘底部应配置有尼龙硬毛刷。</w:t>
      </w:r>
    </w:p>
    <w:p w14:paraId="10D64F37">
      <w:pPr>
        <w:numPr>
          <w:ilvl w:val="0"/>
          <w:numId w:val="17"/>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rPr>
        <w:t>池身瓷砖擦头</w:t>
      </w:r>
    </w:p>
    <w:p w14:paraId="64FC5A0A">
      <w:pPr>
        <w:tabs>
          <w:tab w:val="left" w:pos="900"/>
        </w:tabs>
        <w:autoSpaceDE w:val="0"/>
        <w:autoSpaceDN w:val="0"/>
        <w:adjustRightInd w:val="0"/>
        <w:spacing w:before="93" w:beforeLines="30" w:after="93" w:afterLines="30" w:line="360" w:lineRule="atLeast"/>
        <w:ind w:left="900"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rPr>
        <w:t>应采用防腐材质，应配置有尼龙硬毛刷，手柄应可以与吸污用手柄共用。</w:t>
      </w:r>
    </w:p>
    <w:p w14:paraId="5406EF5B">
      <w:pPr>
        <w:numPr>
          <w:ilvl w:val="0"/>
          <w:numId w:val="17"/>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树叶网</w:t>
      </w:r>
    </w:p>
    <w:p w14:paraId="213C07BB">
      <w:pPr>
        <w:tabs>
          <w:tab w:val="left" w:pos="900"/>
        </w:tabs>
        <w:autoSpaceDE w:val="0"/>
        <w:autoSpaceDN w:val="0"/>
        <w:adjustRightInd w:val="0"/>
        <w:spacing w:before="93" w:beforeLines="30" w:after="93" w:afterLines="30" w:line="360" w:lineRule="atLeast"/>
        <w:ind w:left="900"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rPr>
        <w:t>应采用防腐材质，手柄应可以与吸污用手柄共用。</w:t>
      </w:r>
    </w:p>
    <w:p w14:paraId="7EA7BE36">
      <w:pPr>
        <w:pStyle w:val="23"/>
        <w:numPr>
          <w:ilvl w:val="1"/>
          <w:numId w:val="2"/>
        </w:numPr>
        <w:spacing w:line="360" w:lineRule="auto"/>
        <w:ind w:left="0" w:leftChars="0" w:firstLine="0" w:firstLineChars="0"/>
        <w:jc w:val="left"/>
        <w:outlineLvl w:val="1"/>
        <w:rPr>
          <w:rFonts w:hint="eastAsia" w:ascii="宋体" w:hAnsi="宋体"/>
          <w:b/>
          <w:sz w:val="21"/>
          <w:szCs w:val="21"/>
          <w:highlight w:val="none"/>
        </w:rPr>
      </w:pPr>
      <w:bookmarkStart w:id="90" w:name="_Toc18847"/>
      <w:bookmarkStart w:id="91" w:name="_Toc2642"/>
      <w:bookmarkStart w:id="92" w:name="_Toc13296"/>
      <w:bookmarkStart w:id="93" w:name="_Toc19034"/>
      <w:r>
        <w:rPr>
          <w:rFonts w:hint="eastAsia" w:ascii="宋体" w:hAnsi="宋体"/>
          <w:b/>
          <w:sz w:val="21"/>
          <w:szCs w:val="21"/>
          <w:highlight w:val="none"/>
        </w:rPr>
        <w:t>管道技术要求</w:t>
      </w:r>
      <w:bookmarkEnd w:id="90"/>
      <w:bookmarkEnd w:id="91"/>
      <w:bookmarkEnd w:id="92"/>
      <w:bookmarkEnd w:id="93"/>
    </w:p>
    <w:p w14:paraId="1BA3C5A6">
      <w:pPr>
        <w:tabs>
          <w:tab w:val="left" w:pos="900"/>
        </w:tabs>
        <w:autoSpaceDE w:val="0"/>
        <w:autoSpaceDN w:val="0"/>
        <w:adjustRightInd w:val="0"/>
        <w:spacing w:before="93" w:beforeLines="30" w:after="93" w:afterLines="30" w:line="360" w:lineRule="atLeast"/>
        <w:ind w:right="-23"/>
        <w:jc w:val="left"/>
        <w:textAlignment w:val="baseline"/>
        <w:rPr>
          <w:rFonts w:ascii="Arial" w:hAnsi="宋体" w:cs="Arial"/>
          <w:sz w:val="21"/>
          <w:szCs w:val="21"/>
          <w:highlight w:val="none"/>
          <w:lang w:val="en-GB"/>
        </w:rPr>
      </w:pPr>
      <w:r>
        <w:rPr>
          <w:rFonts w:hint="eastAsia" w:ascii="Arial" w:hAnsi="宋体" w:cs="Arial"/>
          <w:sz w:val="21"/>
          <w:szCs w:val="21"/>
          <w:highlight w:val="none"/>
          <w:lang w:val="en-GB"/>
        </w:rPr>
        <w:t>本章说明管道工程的规格及其它附件的安装要求。</w:t>
      </w:r>
    </w:p>
    <w:p w14:paraId="65AE5F4E">
      <w:pPr>
        <w:pStyle w:val="23"/>
        <w:numPr>
          <w:ilvl w:val="2"/>
          <w:numId w:val="2"/>
        </w:numPr>
        <w:spacing w:line="360" w:lineRule="auto"/>
        <w:ind w:left="420" w:leftChars="0" w:firstLine="0" w:firstLineChars="0"/>
        <w:jc w:val="left"/>
        <w:outlineLvl w:val="1"/>
        <w:rPr>
          <w:rFonts w:ascii="宋体" w:hAnsi="宋体"/>
          <w:b/>
          <w:sz w:val="21"/>
          <w:szCs w:val="21"/>
          <w:highlight w:val="none"/>
        </w:rPr>
      </w:pPr>
      <w:bookmarkStart w:id="94" w:name="_Toc29701"/>
      <w:bookmarkStart w:id="95" w:name="_Toc6128"/>
      <w:bookmarkStart w:id="96" w:name="_Toc8094"/>
      <w:bookmarkStart w:id="97" w:name="_Toc28536"/>
      <w:r>
        <w:rPr>
          <w:rFonts w:ascii="宋体" w:hAnsi="宋体"/>
          <w:b/>
          <w:sz w:val="21"/>
          <w:szCs w:val="21"/>
          <w:highlight w:val="none"/>
        </w:rPr>
        <w:t>一般要求</w:t>
      </w:r>
      <w:bookmarkEnd w:id="94"/>
      <w:bookmarkEnd w:id="95"/>
      <w:bookmarkEnd w:id="96"/>
      <w:bookmarkEnd w:id="97"/>
    </w:p>
    <w:p w14:paraId="55EA5BDC">
      <w:pPr>
        <w:numPr>
          <w:ilvl w:val="1"/>
          <w:numId w:val="18"/>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所有送达工地的管道均应为全新的，并有颜色标志以利辨认不同的等级。</w:t>
      </w:r>
    </w:p>
    <w:p w14:paraId="14461B98">
      <w:pPr>
        <w:numPr>
          <w:ilvl w:val="1"/>
          <w:numId w:val="18"/>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管道应以正确的坡度安装，以保证充分的排气和排水。</w:t>
      </w:r>
    </w:p>
    <w:p w14:paraId="359BF2C9">
      <w:pPr>
        <w:numPr>
          <w:ilvl w:val="1"/>
          <w:numId w:val="18"/>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泵送管道的水流速度不宜大于2.5m/s，排水管道的水流速度不宜大于1m/s。</w:t>
      </w:r>
    </w:p>
    <w:p w14:paraId="45FE4443">
      <w:pPr>
        <w:numPr>
          <w:ilvl w:val="1"/>
          <w:numId w:val="18"/>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管道接头不得藏在墙壁或楼板之内。</w:t>
      </w:r>
    </w:p>
    <w:p w14:paraId="1DE8419A">
      <w:pPr>
        <w:numPr>
          <w:ilvl w:val="1"/>
          <w:numId w:val="18"/>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管道须采用套管穿过墙壁和楼板。若所穿过的结构需要防水密封时，须用热浸镀锌厚壁防水套管以法兰型式直接接驳。</w:t>
      </w:r>
    </w:p>
    <w:p w14:paraId="7F50A12D">
      <w:pPr>
        <w:numPr>
          <w:ilvl w:val="1"/>
          <w:numId w:val="18"/>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所有穿过楼宇伸缩缝的管道必须采用活动接头连接。</w:t>
      </w:r>
    </w:p>
    <w:p w14:paraId="45C073F5">
      <w:pPr>
        <w:numPr>
          <w:ilvl w:val="1"/>
          <w:numId w:val="18"/>
        </w:numPr>
        <w:tabs>
          <w:tab w:val="left" w:pos="900"/>
        </w:tabs>
        <w:autoSpaceDE w:val="0"/>
        <w:autoSpaceDN w:val="0"/>
        <w:adjustRightInd w:val="0"/>
        <w:spacing w:before="93" w:beforeLines="30" w:after="93" w:afterLines="30" w:line="360" w:lineRule="atLeast"/>
        <w:ind w:right="-23"/>
        <w:jc w:val="left"/>
        <w:textAlignment w:val="baseline"/>
        <w:rPr>
          <w:rFonts w:ascii="Arial" w:hAnsi="宋体" w:cs="Arial"/>
          <w:sz w:val="21"/>
          <w:szCs w:val="21"/>
          <w:highlight w:val="none"/>
          <w:lang w:val="en-GB"/>
        </w:rPr>
      </w:pPr>
      <w:r>
        <w:rPr>
          <w:rFonts w:hint="eastAsia" w:ascii="Arial" w:hAnsi="宋体" w:cs="Arial"/>
          <w:sz w:val="21"/>
          <w:szCs w:val="21"/>
          <w:highlight w:val="none"/>
          <w:lang w:val="en-GB"/>
        </w:rPr>
        <w:t>所有管道装置应按批准施工图纸安装。</w:t>
      </w:r>
    </w:p>
    <w:p w14:paraId="3F9B1C46">
      <w:pPr>
        <w:pStyle w:val="23"/>
        <w:numPr>
          <w:ilvl w:val="2"/>
          <w:numId w:val="2"/>
        </w:numPr>
        <w:spacing w:line="360" w:lineRule="auto"/>
        <w:ind w:left="420" w:leftChars="0" w:firstLine="0" w:firstLineChars="0"/>
        <w:jc w:val="left"/>
        <w:outlineLvl w:val="1"/>
        <w:rPr>
          <w:rFonts w:ascii="宋体" w:hAnsi="宋体"/>
          <w:b/>
          <w:sz w:val="21"/>
          <w:szCs w:val="21"/>
          <w:highlight w:val="none"/>
        </w:rPr>
      </w:pPr>
      <w:bookmarkStart w:id="98" w:name="_Toc28854"/>
      <w:bookmarkStart w:id="99" w:name="_Toc4694"/>
      <w:bookmarkStart w:id="100" w:name="_Toc16412"/>
      <w:bookmarkStart w:id="101" w:name="_Toc6493"/>
      <w:r>
        <w:rPr>
          <w:rFonts w:ascii="宋体" w:hAnsi="宋体"/>
          <w:b/>
          <w:sz w:val="21"/>
          <w:szCs w:val="21"/>
          <w:highlight w:val="none"/>
        </w:rPr>
        <w:t>质量保证</w:t>
      </w:r>
      <w:bookmarkEnd w:id="98"/>
      <w:bookmarkEnd w:id="99"/>
      <w:bookmarkEnd w:id="100"/>
      <w:bookmarkEnd w:id="101"/>
    </w:p>
    <w:p w14:paraId="560060E2">
      <w:pPr>
        <w:numPr>
          <w:ilvl w:val="0"/>
          <w:numId w:val="19"/>
        </w:numPr>
        <w:tabs>
          <w:tab w:val="left" w:pos="900"/>
        </w:tabs>
        <w:autoSpaceDE w:val="0"/>
        <w:autoSpaceDN w:val="0"/>
        <w:adjustRightInd w:val="0"/>
        <w:spacing w:before="93" w:beforeLines="30" w:after="93" w:afterLines="30" w:line="360" w:lineRule="atLeast"/>
        <w:ind w:right="-23"/>
        <w:jc w:val="left"/>
        <w:textAlignment w:val="baseline"/>
        <w:rPr>
          <w:rFonts w:ascii="Arial" w:hAnsi="宋体" w:cs="Arial"/>
          <w:sz w:val="21"/>
          <w:szCs w:val="21"/>
          <w:highlight w:val="none"/>
          <w:lang w:val="en-GB"/>
        </w:rPr>
      </w:pPr>
      <w:r>
        <w:rPr>
          <w:rFonts w:ascii="Arial" w:hAnsi="宋体" w:cs="Arial"/>
          <w:sz w:val="21"/>
          <w:szCs w:val="21"/>
          <w:highlight w:val="none"/>
          <w:lang w:val="en-GB"/>
        </w:rPr>
        <w:t>所有管道装配和设备安装技工均应具有此行业中三年以上的工作经验。</w:t>
      </w:r>
    </w:p>
    <w:p w14:paraId="546B65A1">
      <w:pPr>
        <w:numPr>
          <w:ilvl w:val="0"/>
          <w:numId w:val="19"/>
        </w:numPr>
        <w:tabs>
          <w:tab w:val="left" w:pos="900"/>
        </w:tabs>
        <w:autoSpaceDE w:val="0"/>
        <w:autoSpaceDN w:val="0"/>
        <w:adjustRightInd w:val="0"/>
        <w:spacing w:before="93" w:beforeLines="30" w:after="93" w:afterLines="30" w:line="360" w:lineRule="atLeast"/>
        <w:ind w:right="-23"/>
        <w:jc w:val="left"/>
        <w:textAlignment w:val="baseline"/>
        <w:rPr>
          <w:rFonts w:ascii="Arial" w:hAnsi="宋体" w:cs="Arial"/>
          <w:sz w:val="21"/>
          <w:szCs w:val="21"/>
          <w:highlight w:val="none"/>
          <w:lang w:val="en-GB"/>
        </w:rPr>
      </w:pPr>
      <w:r>
        <w:rPr>
          <w:rFonts w:ascii="Arial" w:hAnsi="宋体" w:cs="Arial"/>
          <w:sz w:val="21"/>
          <w:szCs w:val="21"/>
          <w:highlight w:val="none"/>
          <w:lang w:val="en-GB"/>
        </w:rPr>
        <w:t>所有烧焊技工必须具备由有关政府部门签发的有效施工证书。</w:t>
      </w:r>
    </w:p>
    <w:p w14:paraId="1A6A4CDF">
      <w:pPr>
        <w:pStyle w:val="23"/>
        <w:numPr>
          <w:ilvl w:val="2"/>
          <w:numId w:val="2"/>
        </w:numPr>
        <w:spacing w:line="360" w:lineRule="auto"/>
        <w:ind w:left="420" w:leftChars="0" w:firstLine="0" w:firstLineChars="0"/>
        <w:jc w:val="left"/>
        <w:outlineLvl w:val="1"/>
        <w:rPr>
          <w:rFonts w:ascii="宋体" w:hAnsi="宋体"/>
          <w:b/>
          <w:sz w:val="21"/>
          <w:szCs w:val="21"/>
          <w:highlight w:val="none"/>
        </w:rPr>
      </w:pPr>
      <w:bookmarkStart w:id="102" w:name="_Toc17737"/>
      <w:bookmarkStart w:id="103" w:name="_Toc6957"/>
      <w:bookmarkStart w:id="104" w:name="_Toc936"/>
      <w:bookmarkStart w:id="105" w:name="_Toc28160"/>
      <w:r>
        <w:rPr>
          <w:rFonts w:ascii="宋体" w:hAnsi="宋体"/>
          <w:b/>
          <w:sz w:val="21"/>
          <w:szCs w:val="21"/>
          <w:highlight w:val="none"/>
        </w:rPr>
        <w:t>资料呈审</w:t>
      </w:r>
      <w:bookmarkEnd w:id="102"/>
      <w:bookmarkEnd w:id="103"/>
      <w:bookmarkEnd w:id="104"/>
      <w:bookmarkEnd w:id="105"/>
    </w:p>
    <w:p w14:paraId="04CCC52C">
      <w:pPr>
        <w:numPr>
          <w:ilvl w:val="0"/>
          <w:numId w:val="20"/>
        </w:numPr>
        <w:tabs>
          <w:tab w:val="left" w:pos="900"/>
        </w:tabs>
        <w:autoSpaceDE w:val="0"/>
        <w:autoSpaceDN w:val="0"/>
        <w:adjustRightInd w:val="0"/>
        <w:spacing w:before="93" w:beforeLines="30" w:after="93" w:afterLines="30" w:line="360" w:lineRule="atLeast"/>
        <w:ind w:right="-23"/>
        <w:jc w:val="left"/>
        <w:textAlignment w:val="baseline"/>
        <w:rPr>
          <w:rFonts w:ascii="Arial" w:hAnsi="宋体" w:cs="Arial"/>
          <w:sz w:val="21"/>
          <w:szCs w:val="21"/>
          <w:highlight w:val="none"/>
          <w:lang w:val="en-GB"/>
        </w:rPr>
      </w:pPr>
      <w:r>
        <w:rPr>
          <w:rFonts w:ascii="Arial" w:hAnsi="宋体" w:cs="Arial"/>
          <w:sz w:val="21"/>
          <w:szCs w:val="21"/>
          <w:highlight w:val="none"/>
          <w:lang w:val="en-GB"/>
        </w:rPr>
        <w:t>提交施工图和制造厂家的技术数据。</w:t>
      </w:r>
    </w:p>
    <w:p w14:paraId="296CEB87">
      <w:pPr>
        <w:numPr>
          <w:ilvl w:val="0"/>
          <w:numId w:val="20"/>
        </w:numPr>
        <w:tabs>
          <w:tab w:val="left" w:pos="900"/>
        </w:tabs>
        <w:autoSpaceDE w:val="0"/>
        <w:autoSpaceDN w:val="0"/>
        <w:adjustRightInd w:val="0"/>
        <w:spacing w:before="93" w:beforeLines="30" w:after="93" w:afterLines="30" w:line="360" w:lineRule="atLeast"/>
        <w:ind w:right="-23"/>
        <w:jc w:val="left"/>
        <w:textAlignment w:val="baseline"/>
        <w:rPr>
          <w:rFonts w:ascii="Arial" w:hAnsi="宋体" w:cs="Arial"/>
          <w:sz w:val="21"/>
          <w:szCs w:val="21"/>
          <w:highlight w:val="none"/>
          <w:lang w:val="en-GB"/>
        </w:rPr>
      </w:pPr>
      <w:r>
        <w:rPr>
          <w:rFonts w:ascii="Arial" w:hAnsi="宋体" w:cs="Arial"/>
          <w:sz w:val="21"/>
          <w:szCs w:val="21"/>
          <w:highlight w:val="none"/>
          <w:lang w:val="en-GB"/>
        </w:rPr>
        <w:t>提交管道试验和清洁程序，以供审批。</w:t>
      </w:r>
    </w:p>
    <w:p w14:paraId="2267286C">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106" w:name="_Toc10349"/>
      <w:bookmarkStart w:id="107" w:name="_Toc24327"/>
      <w:bookmarkStart w:id="108" w:name="_Toc17912"/>
      <w:bookmarkStart w:id="109" w:name="_Toc19603"/>
      <w:r>
        <w:rPr>
          <w:rFonts w:hint="eastAsia" w:ascii="宋体" w:hAnsi="宋体"/>
          <w:b/>
          <w:sz w:val="21"/>
          <w:szCs w:val="21"/>
          <w:highlight w:val="none"/>
        </w:rPr>
        <w:t>管道</w:t>
      </w:r>
      <w:bookmarkEnd w:id="106"/>
      <w:bookmarkEnd w:id="107"/>
      <w:bookmarkEnd w:id="108"/>
      <w:bookmarkEnd w:id="109"/>
    </w:p>
    <w:p w14:paraId="4487010B">
      <w:pPr>
        <w:pStyle w:val="23"/>
        <w:numPr>
          <w:ilvl w:val="3"/>
          <w:numId w:val="2"/>
        </w:numPr>
        <w:spacing w:line="360" w:lineRule="auto"/>
        <w:ind w:left="0" w:leftChars="0" w:firstLine="0" w:firstLineChars="0"/>
        <w:jc w:val="left"/>
        <w:outlineLvl w:val="1"/>
        <w:rPr>
          <w:rFonts w:ascii="宋体" w:hAnsi="宋体"/>
          <w:b/>
          <w:sz w:val="21"/>
          <w:szCs w:val="21"/>
          <w:highlight w:val="none"/>
        </w:rPr>
      </w:pPr>
      <w:bookmarkStart w:id="110" w:name="_Toc29380"/>
      <w:bookmarkStart w:id="111" w:name="_Toc6598"/>
      <w:bookmarkStart w:id="112" w:name="_Toc18511"/>
      <w:bookmarkStart w:id="113" w:name="_Toc28478"/>
      <w:r>
        <w:rPr>
          <w:rFonts w:hint="eastAsia" w:ascii="宋体" w:hAnsi="宋体"/>
          <w:b/>
          <w:sz w:val="21"/>
          <w:szCs w:val="21"/>
          <w:highlight w:val="none"/>
        </w:rPr>
        <w:t>管道工程材料</w:t>
      </w:r>
      <w:bookmarkEnd w:id="110"/>
      <w:bookmarkEnd w:id="111"/>
      <w:bookmarkEnd w:id="112"/>
      <w:bookmarkEnd w:id="113"/>
    </w:p>
    <w:p w14:paraId="6E3F3CC7">
      <w:pPr>
        <w:pStyle w:val="33"/>
        <w:spacing w:after="100" w:afterAutospacing="1" w:line="360" w:lineRule="exact"/>
        <w:ind w:left="720"/>
        <w:rPr>
          <w:rFonts w:ascii="Arial" w:hAnsi="宋体" w:eastAsia="宋体" w:cs="Arial"/>
          <w:spacing w:val="0"/>
          <w:sz w:val="21"/>
          <w:szCs w:val="21"/>
          <w:highlight w:val="none"/>
          <w:lang w:eastAsia="zh-CN"/>
        </w:rPr>
      </w:pPr>
      <w:r>
        <w:rPr>
          <w:rFonts w:ascii="Arial" w:hAnsi="宋体" w:eastAsia="宋体" w:cs="Arial"/>
          <w:spacing w:val="0"/>
          <w:sz w:val="21"/>
          <w:szCs w:val="21"/>
          <w:highlight w:val="none"/>
          <w:lang w:eastAsia="zh-CN"/>
        </w:rPr>
        <w:t>对不同的设施，管道工程的规格应符合下列各表的要求。</w:t>
      </w:r>
    </w:p>
    <w:p w14:paraId="761DCF97">
      <w:pPr>
        <w:pStyle w:val="33"/>
        <w:spacing w:after="100" w:afterAutospacing="1" w:line="360" w:lineRule="exact"/>
        <w:ind w:left="720"/>
        <w:rPr>
          <w:rFonts w:ascii="Arial" w:hAnsi="宋体" w:eastAsia="宋体" w:cs="Arial"/>
          <w:spacing w:val="0"/>
          <w:sz w:val="21"/>
          <w:szCs w:val="21"/>
          <w:highlight w:val="none"/>
          <w:lang w:eastAsia="zh-CN"/>
        </w:rPr>
      </w:pPr>
    </w:p>
    <w:p w14:paraId="4AE3426E">
      <w:pPr>
        <w:pStyle w:val="33"/>
        <w:spacing w:after="100" w:afterAutospacing="1" w:line="360" w:lineRule="exact"/>
        <w:ind w:left="720"/>
        <w:rPr>
          <w:rFonts w:ascii="Arial" w:hAnsi="宋体" w:eastAsia="宋体" w:cs="Arial"/>
          <w:spacing w:val="0"/>
          <w:sz w:val="21"/>
          <w:szCs w:val="21"/>
          <w:highlight w:val="none"/>
          <w:lang w:eastAsia="zh-CN"/>
        </w:rPr>
      </w:pPr>
    </w:p>
    <w:p w14:paraId="65723F5D">
      <w:pPr>
        <w:pStyle w:val="33"/>
        <w:spacing w:after="100" w:afterAutospacing="1" w:line="360" w:lineRule="exact"/>
        <w:ind w:left="720"/>
        <w:rPr>
          <w:rFonts w:ascii="Arial" w:hAnsi="Arial" w:eastAsia="宋体" w:cs="Arial"/>
          <w:spacing w:val="0"/>
          <w:sz w:val="21"/>
          <w:szCs w:val="21"/>
          <w:highlight w:val="none"/>
          <w:lang w:eastAsia="zh-CN"/>
        </w:rPr>
      </w:pPr>
      <w:r>
        <w:rPr>
          <w:rFonts w:ascii="Arial" w:hAnsi="宋体" w:eastAsia="宋体" w:cs="Arial"/>
          <w:spacing w:val="0"/>
          <w:sz w:val="21"/>
          <w:szCs w:val="21"/>
          <w:highlight w:val="none"/>
          <w:lang w:eastAsia="zh-CN"/>
        </w:rPr>
        <w:t>表</w:t>
      </w:r>
      <w:r>
        <w:rPr>
          <w:rFonts w:ascii="Arial" w:hAnsi="Arial" w:eastAsia="宋体" w:cs="Arial"/>
          <w:spacing w:val="0"/>
          <w:sz w:val="21"/>
          <w:szCs w:val="21"/>
          <w:highlight w:val="none"/>
          <w:lang w:eastAsia="zh-CN"/>
        </w:rPr>
        <w:t xml:space="preserve">1 - </w:t>
      </w:r>
      <w:r>
        <w:rPr>
          <w:rFonts w:ascii="Arial" w:hAnsi="宋体" w:eastAsia="宋体" w:cs="Arial"/>
          <w:spacing w:val="0"/>
          <w:sz w:val="21"/>
          <w:szCs w:val="21"/>
          <w:highlight w:val="none"/>
          <w:lang w:eastAsia="zh-CN"/>
        </w:rPr>
        <w:t>管道类别</w:t>
      </w:r>
    </w:p>
    <w:tbl>
      <w:tblPr>
        <w:tblStyle w:val="15"/>
        <w:tblW w:w="4030" w:type="pct"/>
        <w:tblInd w:w="74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155"/>
        <w:gridCol w:w="2658"/>
      </w:tblGrid>
      <w:tr w14:paraId="3007BE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Pr>
        <w:tc>
          <w:tcPr>
            <w:tcW w:w="5156" w:type="dxa"/>
            <w:noWrap w:val="0"/>
            <w:vAlign w:val="top"/>
          </w:tcPr>
          <w:p w14:paraId="676FC2EA">
            <w:pPr>
              <w:pStyle w:val="33"/>
              <w:spacing w:line="240" w:lineRule="atLeast"/>
              <w:ind w:left="0"/>
              <w:rPr>
                <w:rFonts w:ascii="Arial" w:hAnsi="Arial" w:eastAsia="宋体" w:cs="Arial"/>
                <w:b/>
                <w:spacing w:val="0"/>
                <w:sz w:val="21"/>
                <w:szCs w:val="21"/>
                <w:highlight w:val="none"/>
                <w:lang w:eastAsia="zh-CN"/>
              </w:rPr>
            </w:pPr>
            <w:r>
              <w:rPr>
                <w:rFonts w:ascii="Arial" w:hAnsi="宋体" w:eastAsia="宋体" w:cs="Arial"/>
                <w:b/>
                <w:spacing w:val="0"/>
                <w:sz w:val="21"/>
                <w:szCs w:val="21"/>
                <w:highlight w:val="none"/>
                <w:lang w:eastAsia="zh-CN"/>
              </w:rPr>
              <w:t>管道设施</w:t>
            </w:r>
          </w:p>
        </w:tc>
        <w:tc>
          <w:tcPr>
            <w:tcW w:w="2659" w:type="dxa"/>
            <w:noWrap w:val="0"/>
            <w:vAlign w:val="top"/>
          </w:tcPr>
          <w:p w14:paraId="5443086B">
            <w:pPr>
              <w:pStyle w:val="33"/>
              <w:spacing w:line="240" w:lineRule="atLeast"/>
              <w:ind w:left="0"/>
              <w:rPr>
                <w:rFonts w:ascii="Arial" w:hAnsi="Arial" w:eastAsia="宋体" w:cs="Arial"/>
                <w:b/>
                <w:spacing w:val="0"/>
                <w:sz w:val="21"/>
                <w:szCs w:val="21"/>
                <w:highlight w:val="none"/>
                <w:lang w:eastAsia="zh-CN"/>
              </w:rPr>
            </w:pPr>
            <w:r>
              <w:rPr>
                <w:rFonts w:ascii="Arial" w:hAnsi="宋体" w:eastAsia="宋体" w:cs="Arial"/>
                <w:b/>
                <w:spacing w:val="0"/>
                <w:sz w:val="21"/>
                <w:szCs w:val="21"/>
                <w:highlight w:val="none"/>
                <w:lang w:eastAsia="zh-CN"/>
              </w:rPr>
              <w:t>管道类别</w:t>
            </w:r>
          </w:p>
        </w:tc>
      </w:tr>
      <w:tr w14:paraId="4FF8A6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16" w:hRule="atLeast"/>
        </w:trPr>
        <w:tc>
          <w:tcPr>
            <w:tcW w:w="5156" w:type="dxa"/>
            <w:noWrap w:val="0"/>
            <w:vAlign w:val="center"/>
          </w:tcPr>
          <w:p w14:paraId="49F1A256">
            <w:pPr>
              <w:pStyle w:val="33"/>
              <w:spacing w:line="240" w:lineRule="atLeast"/>
              <w:ind w:left="0"/>
              <w:rPr>
                <w:rFonts w:ascii="Arial" w:hAnsi="宋体" w:eastAsia="宋体" w:cs="Arial"/>
                <w:spacing w:val="0"/>
                <w:sz w:val="21"/>
                <w:szCs w:val="21"/>
                <w:highlight w:val="none"/>
                <w:lang w:eastAsia="zh-CN"/>
              </w:rPr>
            </w:pPr>
            <w:r>
              <w:rPr>
                <w:rFonts w:hint="eastAsia" w:ascii="Arial" w:hAnsi="宋体" w:eastAsia="宋体" w:cs="Arial"/>
                <w:bCs/>
                <w:spacing w:val="0"/>
                <w:sz w:val="21"/>
                <w:szCs w:val="21"/>
                <w:highlight w:val="none"/>
                <w:lang w:eastAsia="zh-CN"/>
              </w:rPr>
              <w:t>接驳热媒至游泳池加热器</w:t>
            </w:r>
          </w:p>
        </w:tc>
        <w:tc>
          <w:tcPr>
            <w:tcW w:w="2659" w:type="dxa"/>
            <w:noWrap w:val="0"/>
            <w:vAlign w:val="center"/>
          </w:tcPr>
          <w:p w14:paraId="486539A7">
            <w:pPr>
              <w:pStyle w:val="33"/>
              <w:spacing w:line="240" w:lineRule="atLeast"/>
              <w:ind w:left="0"/>
              <w:rPr>
                <w:rFonts w:hint="eastAsia" w:ascii="Arial" w:hAnsi="Arial" w:eastAsia="宋体" w:cs="Arial"/>
                <w:spacing w:val="0"/>
                <w:sz w:val="21"/>
                <w:szCs w:val="21"/>
                <w:highlight w:val="none"/>
                <w:lang w:val="en-US" w:eastAsia="zh-CN"/>
              </w:rPr>
            </w:pPr>
            <w:r>
              <w:rPr>
                <w:rFonts w:hint="eastAsia" w:ascii="Arial" w:hAnsi="Arial" w:eastAsia="宋体" w:cs="Arial"/>
                <w:spacing w:val="0"/>
                <w:sz w:val="21"/>
                <w:szCs w:val="21"/>
                <w:highlight w:val="none"/>
                <w:lang w:val="en-US" w:eastAsia="zh-CN"/>
              </w:rPr>
              <w:t>B</w:t>
            </w:r>
          </w:p>
        </w:tc>
      </w:tr>
      <w:tr w14:paraId="52F49E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16" w:hRule="atLeast"/>
        </w:trPr>
        <w:tc>
          <w:tcPr>
            <w:tcW w:w="5156" w:type="dxa"/>
            <w:noWrap w:val="0"/>
            <w:vAlign w:val="center"/>
          </w:tcPr>
          <w:p w14:paraId="4A6FED47">
            <w:pPr>
              <w:pStyle w:val="33"/>
              <w:spacing w:line="240" w:lineRule="atLeast"/>
              <w:ind w:left="0"/>
              <w:rPr>
                <w:rFonts w:ascii="Arial" w:hAnsi="Arial" w:eastAsia="宋体" w:cs="Arial"/>
                <w:spacing w:val="0"/>
                <w:sz w:val="21"/>
                <w:szCs w:val="21"/>
                <w:highlight w:val="none"/>
                <w:lang w:eastAsia="zh-CN"/>
              </w:rPr>
            </w:pPr>
            <w:r>
              <w:rPr>
                <w:rFonts w:ascii="Arial" w:hAnsi="宋体" w:eastAsia="宋体" w:cs="Arial"/>
                <w:spacing w:val="0"/>
                <w:sz w:val="21"/>
                <w:szCs w:val="21"/>
                <w:highlight w:val="none"/>
                <w:lang w:eastAsia="zh-CN"/>
              </w:rPr>
              <w:t>所有</w:t>
            </w:r>
            <w:r>
              <w:rPr>
                <w:rFonts w:hint="eastAsia" w:ascii="Arial" w:hAnsi="宋体" w:eastAsia="宋体" w:cs="Arial"/>
                <w:spacing w:val="0"/>
                <w:sz w:val="21"/>
                <w:szCs w:val="21"/>
                <w:highlight w:val="none"/>
                <w:lang w:eastAsia="zh-CN"/>
              </w:rPr>
              <w:t>游泳池</w:t>
            </w:r>
            <w:r>
              <w:rPr>
                <w:rFonts w:ascii="Arial" w:hAnsi="宋体" w:eastAsia="宋体" w:cs="Arial"/>
                <w:spacing w:val="0"/>
                <w:sz w:val="21"/>
                <w:szCs w:val="21"/>
                <w:highlight w:val="none"/>
                <w:lang w:eastAsia="zh-CN"/>
              </w:rPr>
              <w:t>循环过滤系统装置管道</w:t>
            </w:r>
          </w:p>
        </w:tc>
        <w:tc>
          <w:tcPr>
            <w:tcW w:w="2659" w:type="dxa"/>
            <w:noWrap w:val="0"/>
            <w:vAlign w:val="center"/>
          </w:tcPr>
          <w:p w14:paraId="4F15A3C5">
            <w:pPr>
              <w:pStyle w:val="33"/>
              <w:spacing w:line="240" w:lineRule="atLeast"/>
              <w:ind w:left="0"/>
              <w:rPr>
                <w:rFonts w:ascii="Arial" w:hAnsi="Arial" w:eastAsia="宋体" w:cs="Arial"/>
                <w:spacing w:val="0"/>
                <w:sz w:val="21"/>
                <w:szCs w:val="21"/>
                <w:highlight w:val="none"/>
                <w:lang w:val="en-US" w:eastAsia="zh-CN"/>
              </w:rPr>
            </w:pPr>
            <w:r>
              <w:rPr>
                <w:rFonts w:ascii="Arial" w:hAnsi="Arial" w:eastAsia="宋体" w:cs="Arial"/>
                <w:spacing w:val="0"/>
                <w:sz w:val="21"/>
                <w:szCs w:val="21"/>
                <w:highlight w:val="none"/>
                <w:lang w:val="en-US" w:eastAsia="zh-CN"/>
              </w:rPr>
              <w:t>A</w:t>
            </w:r>
          </w:p>
        </w:tc>
      </w:tr>
    </w:tbl>
    <w:p w14:paraId="230D0BEC">
      <w:pPr>
        <w:pStyle w:val="33"/>
        <w:spacing w:after="100" w:afterAutospacing="1" w:line="360" w:lineRule="exact"/>
        <w:ind w:left="720"/>
        <w:rPr>
          <w:rFonts w:hint="eastAsia" w:ascii="Arial" w:hAnsi="宋体" w:eastAsia="宋体" w:cs="Arial"/>
          <w:spacing w:val="0"/>
          <w:sz w:val="21"/>
          <w:szCs w:val="21"/>
          <w:highlight w:val="none"/>
          <w:lang w:eastAsia="zh-CN"/>
        </w:rPr>
      </w:pPr>
      <w:r>
        <w:rPr>
          <w:rFonts w:ascii="Arial" w:hAnsi="宋体" w:eastAsia="宋体" w:cs="Arial"/>
          <w:spacing w:val="0"/>
          <w:sz w:val="21"/>
          <w:szCs w:val="21"/>
          <w:highlight w:val="none"/>
          <w:lang w:eastAsia="zh-CN"/>
        </w:rPr>
        <w:t xml:space="preserve">表2 - 管道规格 </w:t>
      </w:r>
    </w:p>
    <w:tbl>
      <w:tblPr>
        <w:tblStyle w:val="15"/>
        <w:tblW w:w="780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80"/>
        <w:gridCol w:w="2520"/>
        <w:gridCol w:w="2160"/>
      </w:tblGrid>
      <w:tr w14:paraId="499E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trPr>
        <w:tc>
          <w:tcPr>
            <w:tcW w:w="840" w:type="dxa"/>
            <w:noWrap w:val="0"/>
            <w:vAlign w:val="top"/>
          </w:tcPr>
          <w:p w14:paraId="00C4A4F1">
            <w:pPr>
              <w:pStyle w:val="33"/>
              <w:spacing w:line="240" w:lineRule="atLeast"/>
              <w:ind w:left="0"/>
              <w:rPr>
                <w:rFonts w:ascii="Arial" w:hAnsi="Arial" w:eastAsia="宋体" w:cs="Arial"/>
                <w:spacing w:val="0"/>
                <w:sz w:val="21"/>
                <w:szCs w:val="21"/>
                <w:highlight w:val="none"/>
                <w:lang w:val="en-US" w:eastAsia="zh-CN"/>
              </w:rPr>
            </w:pPr>
            <w:r>
              <w:rPr>
                <w:rFonts w:ascii="Arial" w:hAnsi="宋体" w:eastAsia="宋体" w:cs="Arial"/>
                <w:spacing w:val="0"/>
                <w:sz w:val="21"/>
                <w:szCs w:val="21"/>
                <w:highlight w:val="none"/>
                <w:lang w:val="en-US" w:eastAsia="zh-CN"/>
              </w:rPr>
              <w:t>类别</w:t>
            </w:r>
          </w:p>
        </w:tc>
        <w:tc>
          <w:tcPr>
            <w:tcW w:w="2280" w:type="dxa"/>
            <w:noWrap w:val="0"/>
            <w:vAlign w:val="top"/>
          </w:tcPr>
          <w:p w14:paraId="59F0C9FA">
            <w:pPr>
              <w:pStyle w:val="33"/>
              <w:spacing w:line="240" w:lineRule="atLeast"/>
              <w:ind w:left="0"/>
              <w:rPr>
                <w:rFonts w:ascii="Arial" w:hAnsi="Arial" w:eastAsia="宋体" w:cs="Arial"/>
                <w:spacing w:val="0"/>
                <w:sz w:val="21"/>
                <w:szCs w:val="21"/>
                <w:highlight w:val="none"/>
                <w:lang w:val="en-US" w:eastAsia="zh-CN"/>
              </w:rPr>
            </w:pPr>
            <w:r>
              <w:rPr>
                <w:rFonts w:ascii="Arial" w:hAnsi="宋体" w:eastAsia="宋体" w:cs="Arial"/>
                <w:spacing w:val="0"/>
                <w:sz w:val="21"/>
                <w:szCs w:val="21"/>
                <w:highlight w:val="none"/>
                <w:lang w:val="en-US" w:eastAsia="zh-CN"/>
              </w:rPr>
              <w:t>管道</w:t>
            </w:r>
          </w:p>
        </w:tc>
        <w:tc>
          <w:tcPr>
            <w:tcW w:w="2520" w:type="dxa"/>
            <w:noWrap w:val="0"/>
            <w:vAlign w:val="top"/>
          </w:tcPr>
          <w:p w14:paraId="0BE4AA4E">
            <w:pPr>
              <w:pStyle w:val="33"/>
              <w:spacing w:line="240" w:lineRule="atLeast"/>
              <w:ind w:left="0"/>
              <w:rPr>
                <w:rFonts w:ascii="Arial" w:hAnsi="Arial" w:eastAsia="宋体" w:cs="Arial"/>
                <w:spacing w:val="0"/>
                <w:sz w:val="21"/>
                <w:szCs w:val="21"/>
                <w:highlight w:val="none"/>
                <w:lang w:val="en-US" w:eastAsia="zh-CN"/>
              </w:rPr>
            </w:pPr>
            <w:r>
              <w:rPr>
                <w:rFonts w:ascii="Arial" w:hAnsi="宋体" w:eastAsia="宋体" w:cs="Arial"/>
                <w:spacing w:val="0"/>
                <w:sz w:val="21"/>
                <w:szCs w:val="21"/>
                <w:highlight w:val="none"/>
                <w:lang w:val="en-US" w:eastAsia="zh-CN"/>
              </w:rPr>
              <w:t>接口</w:t>
            </w:r>
          </w:p>
        </w:tc>
        <w:tc>
          <w:tcPr>
            <w:tcW w:w="2160" w:type="dxa"/>
            <w:noWrap w:val="0"/>
            <w:vAlign w:val="top"/>
          </w:tcPr>
          <w:p w14:paraId="2497C22F">
            <w:pPr>
              <w:pStyle w:val="33"/>
              <w:spacing w:line="240" w:lineRule="atLeast"/>
              <w:ind w:left="0"/>
              <w:rPr>
                <w:rFonts w:ascii="Arial" w:hAnsi="Arial" w:eastAsia="宋体" w:cs="Arial"/>
                <w:spacing w:val="0"/>
                <w:sz w:val="21"/>
                <w:szCs w:val="21"/>
                <w:highlight w:val="none"/>
                <w:lang w:val="en-US" w:eastAsia="zh-CN"/>
              </w:rPr>
            </w:pPr>
            <w:r>
              <w:rPr>
                <w:rFonts w:ascii="Arial" w:hAnsi="宋体" w:eastAsia="宋体" w:cs="Arial"/>
                <w:spacing w:val="0"/>
                <w:sz w:val="21"/>
                <w:szCs w:val="21"/>
                <w:highlight w:val="none"/>
                <w:lang w:val="en-US" w:eastAsia="zh-CN"/>
              </w:rPr>
              <w:t>管件</w:t>
            </w:r>
          </w:p>
        </w:tc>
      </w:tr>
      <w:tr w14:paraId="66A3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40" w:type="dxa"/>
            <w:noWrap w:val="0"/>
            <w:vAlign w:val="top"/>
          </w:tcPr>
          <w:p w14:paraId="45218A52">
            <w:pPr>
              <w:pStyle w:val="33"/>
              <w:spacing w:line="240" w:lineRule="atLeast"/>
              <w:ind w:left="0"/>
              <w:jc w:val="center"/>
              <w:rPr>
                <w:rFonts w:ascii="Arial" w:hAnsi="Arial" w:eastAsia="宋体" w:cs="Arial"/>
                <w:spacing w:val="0"/>
                <w:sz w:val="21"/>
                <w:szCs w:val="21"/>
                <w:highlight w:val="none"/>
                <w:lang w:val="en-US" w:eastAsia="zh-CN"/>
              </w:rPr>
            </w:pPr>
            <w:r>
              <w:rPr>
                <w:rFonts w:ascii="Arial" w:hAnsi="Arial" w:eastAsia="宋体" w:cs="Arial"/>
                <w:spacing w:val="0"/>
                <w:sz w:val="21"/>
                <w:szCs w:val="21"/>
                <w:highlight w:val="none"/>
                <w:lang w:val="en-US" w:eastAsia="zh-CN"/>
              </w:rPr>
              <w:t>A</w:t>
            </w:r>
          </w:p>
        </w:tc>
        <w:tc>
          <w:tcPr>
            <w:tcW w:w="2280" w:type="dxa"/>
            <w:noWrap w:val="0"/>
            <w:vAlign w:val="top"/>
          </w:tcPr>
          <w:p w14:paraId="46FBE5FA">
            <w:pPr>
              <w:snapToGrid w:val="0"/>
              <w:spacing w:after="240" w:line="240" w:lineRule="atLeast"/>
              <w:rPr>
                <w:rFonts w:hint="default" w:ascii="Arial" w:hAnsi="宋体" w:cs="Arial" w:eastAsiaTheme="minorEastAsia"/>
                <w:sz w:val="21"/>
                <w:szCs w:val="21"/>
                <w:highlight w:val="none"/>
                <w:lang w:val="en-US" w:eastAsia="zh-CN"/>
              </w:rPr>
            </w:pPr>
            <w:r>
              <w:rPr>
                <w:rFonts w:ascii="Arial" w:hAnsi="宋体" w:cs="Arial"/>
                <w:sz w:val="21"/>
                <w:szCs w:val="21"/>
                <w:highlight w:val="none"/>
              </w:rPr>
              <w:t>给水用硬聚氯乙烯管</w:t>
            </w:r>
            <w:r>
              <w:rPr>
                <w:rFonts w:hint="eastAsia" w:ascii="Arial" w:hAnsi="宋体" w:cs="Arial"/>
                <w:sz w:val="21"/>
                <w:szCs w:val="21"/>
                <w:highlight w:val="none"/>
              </w:rPr>
              <w:t>/U-PVC</w:t>
            </w:r>
            <w:r>
              <w:rPr>
                <w:rFonts w:ascii="Arial" w:hAnsi="宋体" w:cs="Arial"/>
                <w:sz w:val="21"/>
                <w:szCs w:val="21"/>
                <w:highlight w:val="none"/>
              </w:rPr>
              <w:t>管材应符合</w:t>
            </w:r>
            <w:r>
              <w:rPr>
                <w:rFonts w:ascii="Arial" w:hAnsi="Arial" w:cs="Arial"/>
                <w:sz w:val="21"/>
                <w:szCs w:val="21"/>
                <w:highlight w:val="none"/>
              </w:rPr>
              <w:t>GB10002.1-</w:t>
            </w:r>
            <w:r>
              <w:rPr>
                <w:rFonts w:hint="eastAsia" w:ascii="Arial" w:hAnsi="Arial" w:cs="Arial"/>
                <w:sz w:val="21"/>
                <w:szCs w:val="21"/>
                <w:highlight w:val="none"/>
                <w:lang w:val="en-US" w:eastAsia="zh-CN"/>
              </w:rPr>
              <w:t>2006</w:t>
            </w:r>
          </w:p>
        </w:tc>
        <w:tc>
          <w:tcPr>
            <w:tcW w:w="2520" w:type="dxa"/>
            <w:noWrap w:val="0"/>
            <w:vAlign w:val="top"/>
          </w:tcPr>
          <w:p w14:paraId="795CFCCB">
            <w:pPr>
              <w:snapToGrid w:val="0"/>
              <w:spacing w:after="240" w:line="240" w:lineRule="atLeast"/>
              <w:rPr>
                <w:rFonts w:ascii="Arial" w:hAnsi="宋体" w:cs="Arial"/>
                <w:sz w:val="21"/>
                <w:szCs w:val="21"/>
                <w:highlight w:val="none"/>
              </w:rPr>
            </w:pPr>
            <w:r>
              <w:rPr>
                <w:rFonts w:ascii="Arial" w:hAnsi="宋体" w:cs="Arial"/>
                <w:sz w:val="21"/>
                <w:szCs w:val="21"/>
                <w:highlight w:val="none"/>
              </w:rPr>
              <w:t>符合国标的溶剂粘合接法：热熔接、法兰接</w:t>
            </w:r>
          </w:p>
        </w:tc>
        <w:tc>
          <w:tcPr>
            <w:tcW w:w="2160" w:type="dxa"/>
            <w:noWrap w:val="0"/>
            <w:vAlign w:val="top"/>
          </w:tcPr>
          <w:p w14:paraId="635001C3">
            <w:pPr>
              <w:snapToGrid w:val="0"/>
              <w:spacing w:after="240" w:line="240" w:lineRule="atLeast"/>
              <w:rPr>
                <w:rFonts w:ascii="Arial" w:hAnsi="宋体" w:cs="Arial"/>
                <w:sz w:val="21"/>
                <w:szCs w:val="21"/>
                <w:highlight w:val="none"/>
              </w:rPr>
            </w:pPr>
            <w:r>
              <w:rPr>
                <w:rFonts w:ascii="Arial" w:hAnsi="宋体" w:cs="Arial"/>
                <w:sz w:val="21"/>
                <w:szCs w:val="21"/>
                <w:highlight w:val="none"/>
              </w:rPr>
              <w:t>符合</w:t>
            </w:r>
            <w:r>
              <w:rPr>
                <w:rFonts w:hint="eastAsia" w:ascii="Arial" w:hAnsi="Arial" w:cs="Arial"/>
                <w:sz w:val="21"/>
                <w:szCs w:val="21"/>
                <w:highlight w:val="none"/>
                <w:lang w:val="en-US" w:eastAsia="zh-CN"/>
              </w:rPr>
              <w:t>GB10002.2-2006</w:t>
            </w:r>
            <w:r>
              <w:rPr>
                <w:rFonts w:ascii="Arial" w:hAnsi="宋体" w:cs="Arial"/>
                <w:sz w:val="21"/>
                <w:szCs w:val="21"/>
                <w:highlight w:val="none"/>
              </w:rPr>
              <w:t>的硬聚氯乙烯管件。</w:t>
            </w:r>
          </w:p>
        </w:tc>
      </w:tr>
    </w:tbl>
    <w:p w14:paraId="31AA8253">
      <w:pPr>
        <w:pStyle w:val="23"/>
        <w:numPr>
          <w:ilvl w:val="3"/>
          <w:numId w:val="2"/>
        </w:numPr>
        <w:spacing w:line="360" w:lineRule="auto"/>
        <w:ind w:left="0" w:leftChars="0" w:firstLine="0" w:firstLineChars="0"/>
        <w:jc w:val="left"/>
        <w:outlineLvl w:val="1"/>
        <w:rPr>
          <w:rFonts w:ascii="宋体" w:hAnsi="宋体"/>
          <w:b/>
          <w:sz w:val="21"/>
          <w:szCs w:val="21"/>
          <w:highlight w:val="none"/>
        </w:rPr>
      </w:pPr>
      <w:bookmarkStart w:id="114" w:name="_Toc18151"/>
      <w:bookmarkStart w:id="115" w:name="_Toc11657"/>
      <w:bookmarkStart w:id="116" w:name="_Toc23838"/>
      <w:bookmarkStart w:id="117" w:name="_Toc31692"/>
      <w:r>
        <w:rPr>
          <w:rFonts w:hint="eastAsia" w:ascii="宋体" w:hAnsi="宋体"/>
          <w:b/>
          <w:sz w:val="21"/>
          <w:szCs w:val="21"/>
          <w:highlight w:val="none"/>
        </w:rPr>
        <w:t>管道接头</w:t>
      </w:r>
      <w:bookmarkEnd w:id="114"/>
      <w:bookmarkEnd w:id="115"/>
      <w:bookmarkEnd w:id="116"/>
      <w:bookmarkEnd w:id="117"/>
    </w:p>
    <w:p w14:paraId="55172D05">
      <w:pPr>
        <w:tabs>
          <w:tab w:val="left" w:pos="900"/>
        </w:tabs>
        <w:autoSpaceDE w:val="0"/>
        <w:autoSpaceDN w:val="0"/>
        <w:adjustRightInd w:val="0"/>
        <w:spacing w:before="93" w:beforeLines="30" w:after="93" w:afterLines="30" w:line="360" w:lineRule="atLeast"/>
        <w:ind w:left="540"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各类的管道连接方法，应按表2的要求进行。除安装必要，接头的间距应不少于3米。</w:t>
      </w:r>
    </w:p>
    <w:p w14:paraId="3B3756AA">
      <w:pPr>
        <w:pStyle w:val="23"/>
        <w:numPr>
          <w:ilvl w:val="3"/>
          <w:numId w:val="2"/>
        </w:numPr>
        <w:spacing w:line="360" w:lineRule="auto"/>
        <w:ind w:left="0" w:leftChars="0" w:firstLine="0" w:firstLineChars="0"/>
        <w:jc w:val="left"/>
        <w:outlineLvl w:val="1"/>
        <w:rPr>
          <w:rFonts w:ascii="宋体" w:hAnsi="宋体"/>
          <w:b/>
          <w:sz w:val="21"/>
          <w:szCs w:val="21"/>
          <w:highlight w:val="none"/>
        </w:rPr>
      </w:pPr>
      <w:bookmarkStart w:id="118" w:name="_Toc25815"/>
      <w:bookmarkStart w:id="119" w:name="_Toc26119"/>
      <w:bookmarkStart w:id="120" w:name="_Toc6434"/>
      <w:bookmarkStart w:id="121" w:name="_Toc4270"/>
      <w:r>
        <w:rPr>
          <w:rFonts w:hint="eastAsia" w:ascii="宋体" w:hAnsi="宋体"/>
          <w:b/>
          <w:sz w:val="21"/>
          <w:szCs w:val="21"/>
          <w:highlight w:val="none"/>
        </w:rPr>
        <w:t>密封垫圈</w:t>
      </w:r>
      <w:bookmarkEnd w:id="118"/>
      <w:bookmarkEnd w:id="119"/>
      <w:bookmarkEnd w:id="120"/>
      <w:bookmarkEnd w:id="121"/>
    </w:p>
    <w:p w14:paraId="434B7765">
      <w:pPr>
        <w:numPr>
          <w:ilvl w:val="0"/>
          <w:numId w:val="21"/>
        </w:numPr>
        <w:tabs>
          <w:tab w:val="left" w:pos="900"/>
        </w:tabs>
        <w:autoSpaceDE w:val="0"/>
        <w:autoSpaceDN w:val="0"/>
        <w:adjustRightInd w:val="0"/>
        <w:spacing w:before="93" w:beforeLines="30" w:after="93" w:afterLines="30" w:line="360" w:lineRule="atLeast"/>
        <w:ind w:right="-23"/>
        <w:jc w:val="left"/>
        <w:textAlignment w:val="baseline"/>
        <w:rPr>
          <w:rFonts w:ascii="Arial" w:hAnsi="宋体" w:cs="Arial"/>
          <w:sz w:val="21"/>
          <w:szCs w:val="21"/>
          <w:highlight w:val="none"/>
          <w:lang w:val="en-GB"/>
        </w:rPr>
      </w:pPr>
      <w:r>
        <w:rPr>
          <w:rFonts w:ascii="Arial" w:hAnsi="宋体" w:cs="Arial"/>
          <w:sz w:val="21"/>
          <w:szCs w:val="21"/>
          <w:highlight w:val="none"/>
          <w:lang w:val="en-GB"/>
        </w:rPr>
        <w:t>法兰连接应采用一片氯丁合成橡胶制成的3.0毫米厚的O型密封垫圈。不得采用含有石棉的密封垫圈。</w:t>
      </w:r>
      <w:r>
        <w:rPr>
          <w:rFonts w:hint="eastAsia" w:ascii="Arial" w:hAnsi="宋体" w:cs="Arial"/>
          <w:sz w:val="21"/>
          <w:szCs w:val="21"/>
          <w:highlight w:val="none"/>
          <w:lang w:val="en-GB"/>
        </w:rPr>
        <w:t>s</w:t>
      </w:r>
    </w:p>
    <w:p w14:paraId="7768A4B2">
      <w:pPr>
        <w:numPr>
          <w:ilvl w:val="0"/>
          <w:numId w:val="21"/>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ascii="Arial" w:hAnsi="宋体" w:cs="Arial"/>
          <w:sz w:val="21"/>
          <w:szCs w:val="21"/>
          <w:highlight w:val="none"/>
          <w:lang w:val="en-GB"/>
        </w:rPr>
        <w:t>不同金属之间的法兰连接:</w:t>
      </w:r>
      <w:r>
        <w:rPr>
          <w:rFonts w:ascii="Arial" w:hAnsi="宋体" w:cs="Arial"/>
          <w:sz w:val="21"/>
          <w:szCs w:val="21"/>
          <w:highlight w:val="none"/>
          <w:lang w:val="en-GB"/>
        </w:rPr>
        <w:tab/>
      </w:r>
      <w:r>
        <w:rPr>
          <w:rFonts w:ascii="Arial" w:hAnsi="宋体" w:cs="Arial"/>
          <w:sz w:val="21"/>
          <w:szCs w:val="21"/>
          <w:highlight w:val="none"/>
          <w:lang w:val="en-GB"/>
        </w:rPr>
        <w:t>在法兰、螺栓和螺帽之间分别采用绝缘之密封垫圈、套环和垫片。绝缘材料应采用聚四氟乙烯(Teflon)或其它同类型产品。</w:t>
      </w:r>
    </w:p>
    <w:p w14:paraId="1075CCF0">
      <w:pPr>
        <w:pStyle w:val="23"/>
        <w:numPr>
          <w:ilvl w:val="3"/>
          <w:numId w:val="2"/>
        </w:numPr>
        <w:spacing w:line="360" w:lineRule="auto"/>
        <w:ind w:left="0" w:leftChars="0" w:firstLine="0" w:firstLineChars="0"/>
        <w:jc w:val="left"/>
        <w:outlineLvl w:val="1"/>
        <w:rPr>
          <w:rFonts w:ascii="宋体" w:hAnsi="宋体"/>
          <w:b/>
          <w:sz w:val="21"/>
          <w:szCs w:val="21"/>
          <w:highlight w:val="none"/>
        </w:rPr>
      </w:pPr>
      <w:bookmarkStart w:id="122" w:name="_Toc3643"/>
      <w:bookmarkStart w:id="123" w:name="_Toc24882"/>
      <w:bookmarkStart w:id="124" w:name="_Toc26640"/>
      <w:bookmarkStart w:id="125" w:name="_Toc20637"/>
      <w:r>
        <w:rPr>
          <w:rFonts w:hint="eastAsia" w:ascii="宋体" w:hAnsi="宋体"/>
          <w:b/>
          <w:sz w:val="21"/>
          <w:szCs w:val="21"/>
          <w:highlight w:val="none"/>
        </w:rPr>
        <w:t>管道支架</w:t>
      </w:r>
      <w:bookmarkEnd w:id="122"/>
      <w:bookmarkEnd w:id="123"/>
      <w:bookmarkEnd w:id="124"/>
      <w:bookmarkEnd w:id="125"/>
    </w:p>
    <w:p w14:paraId="1AADA3F0">
      <w:pPr>
        <w:numPr>
          <w:ilvl w:val="0"/>
          <w:numId w:val="22"/>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供应所有安装用的吊架、支架、导杆和固定支架。其设计应允许在规定范围之内扩展和收缩。</w:t>
      </w:r>
    </w:p>
    <w:p w14:paraId="3799E0EB">
      <w:pPr>
        <w:numPr>
          <w:ilvl w:val="0"/>
          <w:numId w:val="22"/>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管道支架均须为热浸镀锌钢制，可调节高度，设置在水面下的管道支架需做不锈钢制。铁类管件应用铁类托架;聚氯乙烯类管件应用外层包有聚氯乙烯的铁类托架。邻近阀门及其它管道系统安装件的管道均应提供附加支架，以防毗连管道上的过度变形。对泵类连接器等亦应提供附加支架，以防止设备上的过度变形。</w:t>
      </w:r>
    </w:p>
    <w:p w14:paraId="7EE32FDB">
      <w:pPr>
        <w:numPr>
          <w:ilvl w:val="0"/>
          <w:numId w:val="22"/>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除另有规定，各支架之间的间距不应超过表3所规定的中心距。</w:t>
      </w:r>
    </w:p>
    <w:p w14:paraId="6186BEB0">
      <w:pPr>
        <w:numPr>
          <w:ilvl w:val="0"/>
          <w:numId w:val="22"/>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所有固定支架和螺栓必须配有密封垫片和螺帽。</w:t>
      </w:r>
    </w:p>
    <w:p w14:paraId="497145BC">
      <w:pPr>
        <w:numPr>
          <w:ilvl w:val="0"/>
          <w:numId w:val="22"/>
        </w:numPr>
        <w:tabs>
          <w:tab w:val="left" w:pos="900"/>
          <w:tab w:val="clear" w:pos="78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在固定位置前，铸套环必须涂上含沥青的化合物。</w:t>
      </w:r>
    </w:p>
    <w:p w14:paraId="55F68ACF">
      <w:pPr>
        <w:pStyle w:val="33"/>
        <w:spacing w:after="100" w:afterAutospacing="1" w:line="360" w:lineRule="exact"/>
        <w:ind w:left="720"/>
        <w:rPr>
          <w:rFonts w:hint="eastAsia" w:ascii="Arial" w:hAnsi="宋体" w:eastAsia="宋体" w:cs="Arial"/>
          <w:spacing w:val="0"/>
          <w:sz w:val="21"/>
          <w:szCs w:val="21"/>
          <w:highlight w:val="none"/>
          <w:lang w:eastAsia="zh-CN"/>
        </w:rPr>
      </w:pPr>
      <w:r>
        <w:rPr>
          <w:rFonts w:ascii="Arial" w:hAnsi="宋体" w:eastAsia="宋体" w:cs="Arial"/>
          <w:spacing w:val="0"/>
          <w:sz w:val="21"/>
          <w:szCs w:val="21"/>
          <w:highlight w:val="none"/>
          <w:lang w:eastAsia="zh-CN"/>
        </w:rPr>
        <w:t>表</w:t>
      </w:r>
      <w:r>
        <w:rPr>
          <w:rFonts w:hint="eastAsia" w:ascii="Arial" w:hAnsi="宋体" w:eastAsia="宋体" w:cs="Arial"/>
          <w:spacing w:val="0"/>
          <w:sz w:val="21"/>
          <w:szCs w:val="21"/>
          <w:highlight w:val="none"/>
          <w:lang w:eastAsia="zh-CN"/>
        </w:rPr>
        <w:t xml:space="preserve">3 - </w:t>
      </w:r>
      <w:r>
        <w:rPr>
          <w:rFonts w:ascii="Arial" w:hAnsi="宋体" w:eastAsia="宋体" w:cs="Arial"/>
          <w:spacing w:val="0"/>
          <w:sz w:val="21"/>
          <w:szCs w:val="21"/>
          <w:highlight w:val="none"/>
          <w:lang w:eastAsia="zh-CN"/>
        </w:rPr>
        <w:t>给水用硬聚氯乙烯管管道支架的最大间距</w:t>
      </w:r>
    </w:p>
    <w:tbl>
      <w:tblPr>
        <w:tblStyle w:val="15"/>
        <w:tblW w:w="780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771"/>
        <w:gridCol w:w="704"/>
        <w:gridCol w:w="826"/>
        <w:gridCol w:w="704"/>
        <w:gridCol w:w="835"/>
        <w:gridCol w:w="720"/>
        <w:gridCol w:w="720"/>
        <w:gridCol w:w="720"/>
        <w:gridCol w:w="720"/>
      </w:tblGrid>
      <w:tr w14:paraId="06CA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851" w:type="dxa"/>
            <w:gridSpan w:val="2"/>
            <w:tcBorders>
              <w:bottom w:val="single" w:color="auto" w:sz="4" w:space="0"/>
            </w:tcBorders>
            <w:noWrap w:val="0"/>
            <w:vAlign w:val="center"/>
          </w:tcPr>
          <w:p w14:paraId="0AD6B9C0">
            <w:pPr>
              <w:pStyle w:val="34"/>
              <w:spacing w:line="240" w:lineRule="atLeast"/>
              <w:ind w:left="0"/>
              <w:jc w:val="center"/>
              <w:rPr>
                <w:rFonts w:ascii="Arial" w:hAnsi="Arial" w:eastAsia="宋体" w:cs="Arial"/>
                <w:bCs/>
                <w:spacing w:val="0"/>
                <w:sz w:val="21"/>
                <w:szCs w:val="21"/>
                <w:highlight w:val="none"/>
                <w:lang w:eastAsia="zh-CN"/>
              </w:rPr>
            </w:pPr>
            <w:r>
              <w:rPr>
                <w:rFonts w:hint="eastAsia" w:ascii="Arial" w:hAnsi="宋体" w:eastAsia="宋体" w:cs="Arial"/>
                <w:bCs/>
                <w:spacing w:val="0"/>
                <w:sz w:val="21"/>
                <w:szCs w:val="21"/>
                <w:highlight w:val="none"/>
                <w:lang w:eastAsia="zh-CN"/>
              </w:rPr>
              <w:t>公称外径</w:t>
            </w:r>
            <w:r>
              <w:rPr>
                <w:rFonts w:ascii="Arial" w:hAnsi="Arial" w:eastAsia="宋体" w:cs="Arial"/>
                <w:bCs/>
                <w:spacing w:val="0"/>
                <w:sz w:val="21"/>
                <w:szCs w:val="21"/>
                <w:highlight w:val="none"/>
                <w:lang w:eastAsia="zh-CN"/>
              </w:rPr>
              <w:t>(mm)</w:t>
            </w:r>
          </w:p>
        </w:tc>
        <w:tc>
          <w:tcPr>
            <w:tcW w:w="704" w:type="dxa"/>
            <w:noWrap w:val="0"/>
            <w:vAlign w:val="center"/>
          </w:tcPr>
          <w:p w14:paraId="3E107614">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20</w:t>
            </w:r>
          </w:p>
        </w:tc>
        <w:tc>
          <w:tcPr>
            <w:tcW w:w="826" w:type="dxa"/>
            <w:noWrap w:val="0"/>
            <w:vAlign w:val="center"/>
          </w:tcPr>
          <w:p w14:paraId="4A9020BB">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25</w:t>
            </w:r>
          </w:p>
        </w:tc>
        <w:tc>
          <w:tcPr>
            <w:tcW w:w="704" w:type="dxa"/>
            <w:noWrap w:val="0"/>
            <w:vAlign w:val="center"/>
          </w:tcPr>
          <w:p w14:paraId="5FF7A573">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32</w:t>
            </w:r>
          </w:p>
        </w:tc>
        <w:tc>
          <w:tcPr>
            <w:tcW w:w="835" w:type="dxa"/>
            <w:noWrap w:val="0"/>
            <w:vAlign w:val="center"/>
          </w:tcPr>
          <w:p w14:paraId="527E0982">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40</w:t>
            </w:r>
          </w:p>
        </w:tc>
        <w:tc>
          <w:tcPr>
            <w:tcW w:w="720" w:type="dxa"/>
            <w:noWrap w:val="0"/>
            <w:vAlign w:val="center"/>
          </w:tcPr>
          <w:p w14:paraId="1E20C0CC">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50</w:t>
            </w:r>
          </w:p>
        </w:tc>
        <w:tc>
          <w:tcPr>
            <w:tcW w:w="720" w:type="dxa"/>
            <w:noWrap w:val="0"/>
            <w:vAlign w:val="center"/>
          </w:tcPr>
          <w:p w14:paraId="28825FDE">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63</w:t>
            </w:r>
          </w:p>
        </w:tc>
        <w:tc>
          <w:tcPr>
            <w:tcW w:w="720" w:type="dxa"/>
            <w:noWrap w:val="0"/>
            <w:vAlign w:val="center"/>
          </w:tcPr>
          <w:p w14:paraId="3323BCCC">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75</w:t>
            </w:r>
          </w:p>
        </w:tc>
        <w:tc>
          <w:tcPr>
            <w:tcW w:w="720" w:type="dxa"/>
            <w:noWrap w:val="0"/>
            <w:vAlign w:val="center"/>
          </w:tcPr>
          <w:p w14:paraId="7B30FFE2">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90</w:t>
            </w:r>
          </w:p>
        </w:tc>
      </w:tr>
      <w:tr w14:paraId="2F349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080" w:type="dxa"/>
            <w:vMerge w:val="restart"/>
            <w:noWrap w:val="0"/>
            <w:vAlign w:val="center"/>
          </w:tcPr>
          <w:p w14:paraId="4240E71D">
            <w:pPr>
              <w:pStyle w:val="34"/>
              <w:spacing w:line="240" w:lineRule="atLeast"/>
              <w:ind w:left="0"/>
              <w:jc w:val="center"/>
              <w:rPr>
                <w:rFonts w:ascii="Arial" w:hAnsi="Arial" w:eastAsia="宋体" w:cs="Arial"/>
                <w:bCs/>
                <w:spacing w:val="0"/>
                <w:sz w:val="21"/>
                <w:szCs w:val="21"/>
                <w:highlight w:val="none"/>
                <w:lang w:eastAsia="zh-CN"/>
              </w:rPr>
            </w:pPr>
            <w:r>
              <w:rPr>
                <w:rFonts w:hint="eastAsia" w:ascii="Arial" w:hAnsi="宋体" w:eastAsia="宋体" w:cs="Arial"/>
                <w:spacing w:val="0"/>
                <w:sz w:val="21"/>
                <w:szCs w:val="21"/>
                <w:highlight w:val="none"/>
                <w:lang w:eastAsia="zh-CN"/>
              </w:rPr>
              <w:t>支承点</w:t>
            </w:r>
            <w:r>
              <w:rPr>
                <w:rFonts w:hint="eastAsia" w:ascii="Arial" w:hAnsi="宋体" w:eastAsia="宋体" w:cs="Arial"/>
                <w:bCs/>
                <w:spacing w:val="0"/>
                <w:sz w:val="21"/>
                <w:szCs w:val="21"/>
                <w:highlight w:val="none"/>
                <w:lang w:eastAsia="zh-CN"/>
              </w:rPr>
              <w:t>的最大间距</w:t>
            </w:r>
            <w:r>
              <w:rPr>
                <w:rFonts w:ascii="Arial" w:hAnsi="Arial" w:eastAsia="宋体" w:cs="Arial"/>
                <w:bCs/>
                <w:spacing w:val="0"/>
                <w:sz w:val="21"/>
                <w:szCs w:val="21"/>
                <w:highlight w:val="none"/>
                <w:lang w:eastAsia="zh-CN"/>
              </w:rPr>
              <w:t>(m)</w:t>
            </w:r>
          </w:p>
        </w:tc>
        <w:tc>
          <w:tcPr>
            <w:tcW w:w="771" w:type="dxa"/>
            <w:noWrap w:val="0"/>
            <w:vAlign w:val="center"/>
          </w:tcPr>
          <w:p w14:paraId="71371BF0">
            <w:pPr>
              <w:pStyle w:val="34"/>
              <w:spacing w:line="240" w:lineRule="atLeast"/>
              <w:ind w:left="0"/>
              <w:jc w:val="center"/>
              <w:rPr>
                <w:rFonts w:ascii="Arial" w:hAnsi="Arial" w:eastAsia="宋体" w:cs="Arial"/>
                <w:bCs/>
                <w:spacing w:val="0"/>
                <w:sz w:val="21"/>
                <w:szCs w:val="21"/>
                <w:highlight w:val="none"/>
                <w:lang w:eastAsia="zh-CN"/>
              </w:rPr>
            </w:pPr>
            <w:r>
              <w:rPr>
                <w:rFonts w:hint="eastAsia" w:ascii="Arial" w:hAnsi="宋体" w:eastAsia="宋体" w:cs="Arial"/>
                <w:bCs/>
                <w:spacing w:val="0"/>
                <w:sz w:val="21"/>
                <w:szCs w:val="21"/>
                <w:highlight w:val="none"/>
                <w:lang w:eastAsia="zh-CN"/>
              </w:rPr>
              <w:t>立管</w:t>
            </w:r>
          </w:p>
        </w:tc>
        <w:tc>
          <w:tcPr>
            <w:tcW w:w="704" w:type="dxa"/>
            <w:noWrap w:val="0"/>
            <w:vAlign w:val="center"/>
          </w:tcPr>
          <w:p w14:paraId="75452E18">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1.0</w:t>
            </w:r>
          </w:p>
        </w:tc>
        <w:tc>
          <w:tcPr>
            <w:tcW w:w="826" w:type="dxa"/>
            <w:noWrap w:val="0"/>
            <w:vAlign w:val="center"/>
          </w:tcPr>
          <w:p w14:paraId="48DC29FB">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1.1</w:t>
            </w:r>
          </w:p>
        </w:tc>
        <w:tc>
          <w:tcPr>
            <w:tcW w:w="704" w:type="dxa"/>
            <w:noWrap w:val="0"/>
            <w:vAlign w:val="center"/>
          </w:tcPr>
          <w:p w14:paraId="0AB7A7D3">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1.2</w:t>
            </w:r>
          </w:p>
        </w:tc>
        <w:tc>
          <w:tcPr>
            <w:tcW w:w="835" w:type="dxa"/>
            <w:noWrap w:val="0"/>
            <w:vAlign w:val="center"/>
          </w:tcPr>
          <w:p w14:paraId="229F60A9">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1.4</w:t>
            </w:r>
          </w:p>
        </w:tc>
        <w:tc>
          <w:tcPr>
            <w:tcW w:w="720" w:type="dxa"/>
            <w:noWrap w:val="0"/>
            <w:vAlign w:val="center"/>
          </w:tcPr>
          <w:p w14:paraId="4CE215C0">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1.6</w:t>
            </w:r>
          </w:p>
        </w:tc>
        <w:tc>
          <w:tcPr>
            <w:tcW w:w="720" w:type="dxa"/>
            <w:noWrap w:val="0"/>
            <w:vAlign w:val="center"/>
          </w:tcPr>
          <w:p w14:paraId="51CFA77E">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1.8</w:t>
            </w:r>
          </w:p>
        </w:tc>
        <w:tc>
          <w:tcPr>
            <w:tcW w:w="720" w:type="dxa"/>
            <w:noWrap w:val="0"/>
            <w:vAlign w:val="center"/>
          </w:tcPr>
          <w:p w14:paraId="2BB50E8D">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2.1</w:t>
            </w:r>
          </w:p>
        </w:tc>
        <w:tc>
          <w:tcPr>
            <w:tcW w:w="720" w:type="dxa"/>
            <w:noWrap w:val="0"/>
            <w:vAlign w:val="center"/>
          </w:tcPr>
          <w:p w14:paraId="0C06CDF0">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2.4</w:t>
            </w:r>
          </w:p>
        </w:tc>
      </w:tr>
      <w:tr w14:paraId="132EB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080" w:type="dxa"/>
            <w:vMerge w:val="continue"/>
            <w:noWrap w:val="0"/>
            <w:vAlign w:val="center"/>
          </w:tcPr>
          <w:p w14:paraId="370ED63A">
            <w:pPr>
              <w:pStyle w:val="34"/>
              <w:spacing w:line="240" w:lineRule="atLeast"/>
              <w:ind w:left="0"/>
              <w:jc w:val="center"/>
              <w:rPr>
                <w:rFonts w:ascii="Arial" w:hAnsi="Arial" w:eastAsia="宋体" w:cs="Arial"/>
                <w:bCs/>
                <w:spacing w:val="0"/>
                <w:sz w:val="21"/>
                <w:szCs w:val="21"/>
                <w:highlight w:val="none"/>
                <w:lang w:eastAsia="zh-CN"/>
              </w:rPr>
            </w:pPr>
          </w:p>
        </w:tc>
        <w:tc>
          <w:tcPr>
            <w:tcW w:w="771" w:type="dxa"/>
            <w:noWrap w:val="0"/>
            <w:vAlign w:val="center"/>
          </w:tcPr>
          <w:p w14:paraId="58CBB217">
            <w:pPr>
              <w:pStyle w:val="34"/>
              <w:spacing w:line="240" w:lineRule="atLeast"/>
              <w:ind w:left="0"/>
              <w:jc w:val="center"/>
              <w:rPr>
                <w:rFonts w:ascii="Arial" w:hAnsi="Arial" w:eastAsia="宋体" w:cs="Arial"/>
                <w:bCs/>
                <w:spacing w:val="0"/>
                <w:sz w:val="21"/>
                <w:szCs w:val="21"/>
                <w:highlight w:val="none"/>
                <w:lang w:eastAsia="zh-CN"/>
              </w:rPr>
            </w:pPr>
            <w:r>
              <w:rPr>
                <w:rFonts w:hint="eastAsia" w:ascii="Arial" w:hAnsi="宋体" w:eastAsia="宋体" w:cs="Arial"/>
                <w:bCs/>
                <w:spacing w:val="0"/>
                <w:sz w:val="21"/>
                <w:szCs w:val="21"/>
                <w:highlight w:val="none"/>
                <w:lang w:eastAsia="zh-CN"/>
              </w:rPr>
              <w:t>横管</w:t>
            </w:r>
          </w:p>
        </w:tc>
        <w:tc>
          <w:tcPr>
            <w:tcW w:w="704" w:type="dxa"/>
            <w:noWrap w:val="0"/>
            <w:vAlign w:val="center"/>
          </w:tcPr>
          <w:p w14:paraId="1259F94B">
            <w:pPr>
              <w:pStyle w:val="34"/>
              <w:tabs>
                <w:tab w:val="left" w:pos="339"/>
              </w:tabs>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0.6</w:t>
            </w:r>
          </w:p>
        </w:tc>
        <w:tc>
          <w:tcPr>
            <w:tcW w:w="826" w:type="dxa"/>
            <w:noWrap w:val="0"/>
            <w:vAlign w:val="center"/>
          </w:tcPr>
          <w:p w14:paraId="4686C898">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0.65</w:t>
            </w:r>
          </w:p>
        </w:tc>
        <w:tc>
          <w:tcPr>
            <w:tcW w:w="704" w:type="dxa"/>
            <w:noWrap w:val="0"/>
            <w:vAlign w:val="center"/>
          </w:tcPr>
          <w:p w14:paraId="357F55AE">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0.7</w:t>
            </w:r>
          </w:p>
        </w:tc>
        <w:tc>
          <w:tcPr>
            <w:tcW w:w="835" w:type="dxa"/>
            <w:noWrap w:val="0"/>
            <w:vAlign w:val="center"/>
          </w:tcPr>
          <w:p w14:paraId="73B0C52A">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0.9</w:t>
            </w:r>
          </w:p>
        </w:tc>
        <w:tc>
          <w:tcPr>
            <w:tcW w:w="720" w:type="dxa"/>
            <w:noWrap w:val="0"/>
            <w:vAlign w:val="center"/>
          </w:tcPr>
          <w:p w14:paraId="0546BA7F">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1.0</w:t>
            </w:r>
          </w:p>
        </w:tc>
        <w:tc>
          <w:tcPr>
            <w:tcW w:w="720" w:type="dxa"/>
            <w:noWrap w:val="0"/>
            <w:vAlign w:val="center"/>
          </w:tcPr>
          <w:p w14:paraId="7FB595E6">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1.2</w:t>
            </w:r>
          </w:p>
        </w:tc>
        <w:tc>
          <w:tcPr>
            <w:tcW w:w="720" w:type="dxa"/>
            <w:noWrap w:val="0"/>
            <w:vAlign w:val="center"/>
          </w:tcPr>
          <w:p w14:paraId="058A170A">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1.3</w:t>
            </w:r>
          </w:p>
        </w:tc>
        <w:tc>
          <w:tcPr>
            <w:tcW w:w="720" w:type="dxa"/>
            <w:noWrap w:val="0"/>
            <w:vAlign w:val="center"/>
          </w:tcPr>
          <w:p w14:paraId="26AC858F">
            <w:pPr>
              <w:pStyle w:val="34"/>
              <w:spacing w:line="240" w:lineRule="atLeast"/>
              <w:ind w:left="0"/>
              <w:jc w:val="center"/>
              <w:rPr>
                <w:rFonts w:hint="eastAsia" w:ascii="Arial" w:hAnsi="Arial" w:eastAsia="宋体" w:cs="Arial"/>
                <w:bCs/>
                <w:spacing w:val="0"/>
                <w:sz w:val="21"/>
                <w:szCs w:val="21"/>
                <w:highlight w:val="none"/>
                <w:lang w:eastAsia="zh-CN"/>
              </w:rPr>
            </w:pPr>
            <w:r>
              <w:rPr>
                <w:rFonts w:hint="eastAsia" w:ascii="Arial" w:hAnsi="Arial" w:eastAsia="宋体" w:cs="Arial"/>
                <w:bCs/>
                <w:spacing w:val="0"/>
                <w:sz w:val="21"/>
                <w:szCs w:val="21"/>
                <w:highlight w:val="none"/>
                <w:lang w:eastAsia="zh-CN"/>
              </w:rPr>
              <w:t>1.45</w:t>
            </w:r>
          </w:p>
        </w:tc>
      </w:tr>
    </w:tbl>
    <w:p w14:paraId="393C0B26">
      <w:pPr>
        <w:pStyle w:val="23"/>
        <w:numPr>
          <w:ilvl w:val="0"/>
          <w:numId w:val="0"/>
        </w:numPr>
        <w:spacing w:line="360" w:lineRule="auto"/>
        <w:ind w:leftChars="0"/>
        <w:jc w:val="left"/>
        <w:outlineLvl w:val="1"/>
        <w:rPr>
          <w:rFonts w:ascii="宋体" w:hAnsi="宋体"/>
          <w:b/>
          <w:sz w:val="21"/>
          <w:szCs w:val="21"/>
          <w:highlight w:val="none"/>
        </w:rPr>
      </w:pPr>
      <w:bookmarkStart w:id="126" w:name="_Toc23533"/>
      <w:bookmarkStart w:id="127" w:name="_Toc28135"/>
      <w:bookmarkStart w:id="128" w:name="_Toc17728"/>
      <w:bookmarkStart w:id="129" w:name="_Toc10830"/>
    </w:p>
    <w:p w14:paraId="31871928">
      <w:pPr>
        <w:pStyle w:val="23"/>
        <w:numPr>
          <w:ilvl w:val="3"/>
          <w:numId w:val="2"/>
        </w:numPr>
        <w:spacing w:line="360" w:lineRule="auto"/>
        <w:ind w:left="0" w:leftChars="0" w:firstLine="0" w:firstLineChars="0"/>
        <w:jc w:val="left"/>
        <w:outlineLvl w:val="1"/>
        <w:rPr>
          <w:rFonts w:ascii="宋体" w:hAnsi="宋体"/>
          <w:b/>
          <w:sz w:val="21"/>
          <w:szCs w:val="21"/>
          <w:highlight w:val="none"/>
        </w:rPr>
      </w:pPr>
      <w:r>
        <w:rPr>
          <w:rFonts w:hint="eastAsia" w:ascii="宋体" w:hAnsi="宋体"/>
          <w:b/>
          <w:sz w:val="21"/>
          <w:szCs w:val="21"/>
          <w:highlight w:val="none"/>
        </w:rPr>
        <w:t>管道套管</w:t>
      </w:r>
      <w:bookmarkEnd w:id="126"/>
      <w:bookmarkEnd w:id="127"/>
      <w:bookmarkEnd w:id="128"/>
      <w:bookmarkEnd w:id="129"/>
    </w:p>
    <w:p w14:paraId="38FB1C1B">
      <w:pPr>
        <w:numPr>
          <w:ilvl w:val="0"/>
          <w:numId w:val="23"/>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在管道穿过墙壁和楼板处须设置钢类套管。套管和管道隔热层之间的间距必须用软的、不硬化的防水树胶复合物完全填塞，以保证密气。</w:t>
      </w:r>
    </w:p>
    <w:p w14:paraId="3BEE4A7F">
      <w:pPr>
        <w:numPr>
          <w:ilvl w:val="0"/>
          <w:numId w:val="23"/>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在管道穿过泳池池壁处，必须预埋A型刚性防水套管，套管尺寸一般需大于管道尺寸2号，应设止水翼环，套管材质应采用镀锌钢管。</w:t>
      </w:r>
    </w:p>
    <w:p w14:paraId="661CD205">
      <w:pPr>
        <w:numPr>
          <w:ilvl w:val="0"/>
          <w:numId w:val="23"/>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管道应能在套管中自由移动，而套管不应作为支架使用。</w:t>
      </w:r>
    </w:p>
    <w:p w14:paraId="44C9FF9B">
      <w:pPr>
        <w:numPr>
          <w:ilvl w:val="0"/>
          <w:numId w:val="23"/>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在管道穿过防火墙和楼板处时，应用6毫米厚法兰的金属防火板焊在或用螺栓固定在该管子的周围，并位于地板/墙壁厚度的中心，该法兰的直径应与管道套管的内径相同。或在管道与套管空隙处使用与防火间隔相同之耐火柔软填密料完全填塞。在套管两端则用非硬式胶粘剂所填塞。套管孔之修复应由本承包单位负责。</w:t>
      </w:r>
    </w:p>
    <w:p w14:paraId="178C76BA">
      <w:pPr>
        <w:numPr>
          <w:ilvl w:val="0"/>
          <w:numId w:val="23"/>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注意在每楼层之垂直管槽内如设有楼板，而管道穿过管槽楼板时应设置套管。</w:t>
      </w:r>
    </w:p>
    <w:p w14:paraId="019D07BB">
      <w:pPr>
        <w:numPr>
          <w:ilvl w:val="0"/>
          <w:numId w:val="23"/>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所有预埋套管在就位之前，应涂沥青保护层。</w:t>
      </w:r>
    </w:p>
    <w:p w14:paraId="1ADB8BB0">
      <w:pPr>
        <w:widowControl w:val="0"/>
        <w:numPr>
          <w:ilvl w:val="0"/>
          <w:numId w:val="0"/>
        </w:numPr>
        <w:tabs>
          <w:tab w:val="left" w:pos="900"/>
        </w:tabs>
        <w:autoSpaceDE w:val="0"/>
        <w:autoSpaceDN w:val="0"/>
        <w:adjustRightInd w:val="0"/>
        <w:spacing w:before="93" w:beforeLines="30" w:after="93" w:afterLines="30" w:line="360" w:lineRule="atLeast"/>
        <w:ind w:right="-23" w:rightChars="0"/>
        <w:jc w:val="left"/>
        <w:textAlignment w:val="baseline"/>
        <w:rPr>
          <w:rFonts w:hint="eastAsia" w:ascii="Arial" w:hAnsi="宋体" w:cs="Arial"/>
          <w:sz w:val="21"/>
          <w:szCs w:val="21"/>
          <w:highlight w:val="none"/>
          <w:lang w:val="en-GB"/>
        </w:rPr>
      </w:pPr>
    </w:p>
    <w:p w14:paraId="1037E3D7">
      <w:pPr>
        <w:widowControl w:val="0"/>
        <w:numPr>
          <w:ilvl w:val="0"/>
          <w:numId w:val="0"/>
        </w:numPr>
        <w:tabs>
          <w:tab w:val="left" w:pos="900"/>
        </w:tabs>
        <w:autoSpaceDE w:val="0"/>
        <w:autoSpaceDN w:val="0"/>
        <w:adjustRightInd w:val="0"/>
        <w:spacing w:before="93" w:beforeLines="30" w:after="93" w:afterLines="30" w:line="360" w:lineRule="atLeast"/>
        <w:ind w:right="-23" w:rightChars="0"/>
        <w:jc w:val="left"/>
        <w:textAlignment w:val="baseline"/>
        <w:rPr>
          <w:rFonts w:hint="eastAsia" w:ascii="Arial" w:hAnsi="宋体" w:cs="Arial"/>
          <w:sz w:val="21"/>
          <w:szCs w:val="21"/>
          <w:highlight w:val="none"/>
          <w:lang w:val="en-GB"/>
        </w:rPr>
      </w:pPr>
    </w:p>
    <w:p w14:paraId="46A60941">
      <w:pPr>
        <w:pStyle w:val="23"/>
        <w:numPr>
          <w:ilvl w:val="3"/>
          <w:numId w:val="2"/>
        </w:numPr>
        <w:spacing w:line="360" w:lineRule="auto"/>
        <w:ind w:left="0" w:leftChars="0" w:firstLine="0" w:firstLineChars="0"/>
        <w:jc w:val="left"/>
        <w:outlineLvl w:val="1"/>
        <w:rPr>
          <w:rFonts w:ascii="宋体" w:hAnsi="宋体"/>
          <w:b/>
          <w:sz w:val="21"/>
          <w:szCs w:val="21"/>
          <w:highlight w:val="none"/>
        </w:rPr>
      </w:pPr>
      <w:bookmarkStart w:id="130" w:name="_Toc1988"/>
      <w:bookmarkStart w:id="131" w:name="_Toc19738"/>
      <w:bookmarkStart w:id="132" w:name="_Toc4145"/>
      <w:bookmarkStart w:id="133" w:name="_Toc9880"/>
      <w:r>
        <w:rPr>
          <w:rFonts w:hint="eastAsia" w:ascii="宋体" w:hAnsi="宋体"/>
          <w:b/>
          <w:sz w:val="21"/>
          <w:szCs w:val="21"/>
          <w:highlight w:val="none"/>
        </w:rPr>
        <w:t>管道固定支架</w:t>
      </w:r>
      <w:bookmarkEnd w:id="130"/>
      <w:bookmarkEnd w:id="131"/>
      <w:bookmarkEnd w:id="132"/>
      <w:bookmarkEnd w:id="133"/>
    </w:p>
    <w:p w14:paraId="63DA2D10">
      <w:pPr>
        <w:numPr>
          <w:ilvl w:val="0"/>
          <w:numId w:val="24"/>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管道固定支架应设于管道系统改变方向处、伸缩接头以及管弯处，以便吸收因管道伸缩和内部压力所致的应力，并把这些应力传递到适当的结构件上。</w:t>
      </w:r>
    </w:p>
    <w:p w14:paraId="6FDC6BFD">
      <w:pPr>
        <w:numPr>
          <w:ilvl w:val="0"/>
          <w:numId w:val="24"/>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管道固定支架均应能承受水力压力试验时的较高推力。</w:t>
      </w:r>
    </w:p>
    <w:p w14:paraId="7C265BAC">
      <w:pPr>
        <w:pStyle w:val="23"/>
        <w:numPr>
          <w:ilvl w:val="3"/>
          <w:numId w:val="2"/>
        </w:numPr>
        <w:spacing w:line="360" w:lineRule="auto"/>
        <w:ind w:left="0" w:leftChars="0" w:firstLine="0" w:firstLineChars="0"/>
        <w:jc w:val="left"/>
        <w:outlineLvl w:val="1"/>
        <w:rPr>
          <w:rFonts w:ascii="宋体" w:hAnsi="宋体"/>
          <w:b/>
          <w:sz w:val="21"/>
          <w:szCs w:val="21"/>
          <w:highlight w:val="none"/>
        </w:rPr>
      </w:pPr>
      <w:bookmarkStart w:id="134" w:name="_Toc24394"/>
      <w:bookmarkStart w:id="135" w:name="_Toc1678"/>
      <w:bookmarkStart w:id="136" w:name="_Toc11736"/>
      <w:bookmarkStart w:id="137" w:name="_Toc21645"/>
      <w:r>
        <w:rPr>
          <w:rFonts w:hint="eastAsia" w:ascii="宋体" w:hAnsi="宋体"/>
          <w:b/>
          <w:sz w:val="21"/>
          <w:szCs w:val="21"/>
          <w:highlight w:val="none"/>
        </w:rPr>
        <w:t>管道支撑点</w:t>
      </w:r>
      <w:bookmarkEnd w:id="134"/>
      <w:bookmarkEnd w:id="135"/>
      <w:bookmarkEnd w:id="136"/>
      <w:bookmarkEnd w:id="137"/>
    </w:p>
    <w:p w14:paraId="72829D83">
      <w:pPr>
        <w:numPr>
          <w:ilvl w:val="0"/>
          <w:numId w:val="25"/>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管道支撑点应按管道系统的改变而安装在适当的位置，使管道改变方向或在膨胀接头时将压力传到支撑点并建筑结构上。管道支撑点应能抵受管道的试验压力。</w:t>
      </w:r>
    </w:p>
    <w:p w14:paraId="3EE61F92">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138" w:name="_Toc26712"/>
      <w:bookmarkStart w:id="139" w:name="_Toc9506"/>
      <w:bookmarkStart w:id="140" w:name="_Toc17923"/>
      <w:bookmarkStart w:id="141" w:name="_Toc21391"/>
      <w:r>
        <w:rPr>
          <w:rFonts w:hint="eastAsia" w:ascii="宋体" w:hAnsi="宋体"/>
          <w:b/>
          <w:sz w:val="21"/>
          <w:szCs w:val="21"/>
          <w:highlight w:val="none"/>
        </w:rPr>
        <w:t>管道保温</w:t>
      </w:r>
      <w:bookmarkEnd w:id="138"/>
      <w:bookmarkEnd w:id="139"/>
      <w:bookmarkEnd w:id="140"/>
      <w:bookmarkEnd w:id="141"/>
    </w:p>
    <w:p w14:paraId="5E6CD697">
      <w:pPr>
        <w:numPr>
          <w:ilvl w:val="0"/>
          <w:numId w:val="26"/>
        </w:numPr>
        <w:autoSpaceDE w:val="0"/>
        <w:autoSpaceDN w:val="0"/>
        <w:adjustRightInd w:val="0"/>
        <w:jc w:val="left"/>
        <w:rPr>
          <w:rFonts w:hint="eastAsia" w:ascii="宋体" w:hAnsi="宋体" w:cs="宋体"/>
          <w:kern w:val="0"/>
          <w:sz w:val="21"/>
          <w:szCs w:val="21"/>
          <w:highlight w:val="none"/>
        </w:rPr>
      </w:pPr>
      <w:r>
        <w:rPr>
          <w:rFonts w:hint="eastAsia" w:ascii="宋体" w:hAnsi="宋体" w:cs="宋体"/>
          <w:kern w:val="0"/>
          <w:sz w:val="21"/>
          <w:szCs w:val="21"/>
          <w:highlight w:val="none"/>
        </w:rPr>
        <w:t>热水管道（ 适用于热媒供回水管） 需作保温</w:t>
      </w:r>
    </w:p>
    <w:p w14:paraId="4921F68B">
      <w:pPr>
        <w:numPr>
          <w:ilvl w:val="0"/>
          <w:numId w:val="26"/>
        </w:numPr>
        <w:autoSpaceDE w:val="0"/>
        <w:autoSpaceDN w:val="0"/>
        <w:adjustRightInd w:val="0"/>
        <w:jc w:val="left"/>
        <w:rPr>
          <w:rFonts w:hint="eastAsia" w:ascii="宋体" w:hAnsi="宋体" w:cs="宋体"/>
          <w:kern w:val="0"/>
          <w:sz w:val="21"/>
          <w:szCs w:val="21"/>
          <w:highlight w:val="none"/>
        </w:rPr>
      </w:pPr>
      <w:r>
        <w:rPr>
          <w:rFonts w:hint="eastAsia" w:ascii="宋体" w:hAnsi="宋体" w:cs="宋体"/>
          <w:kern w:val="0"/>
          <w:sz w:val="21"/>
          <w:szCs w:val="21"/>
          <w:highlight w:val="none"/>
        </w:rPr>
        <w:t>车库、管井、屋顶范围内冷媒、热媒运输管道采用柔性橡塑保温，保温材料防火等级为B1级及以上等级，外用双导箱胶带缠绕保护；车库及管井内，保温材料厚度≥40mm；</w:t>
      </w:r>
    </w:p>
    <w:p w14:paraId="3BA1FE8F">
      <w:pPr>
        <w:numPr>
          <w:ilvl w:val="0"/>
          <w:numId w:val="26"/>
        </w:numPr>
        <w:autoSpaceDE w:val="0"/>
        <w:autoSpaceDN w:val="0"/>
        <w:adjustRightInd w:val="0"/>
        <w:jc w:val="left"/>
        <w:rPr>
          <w:rFonts w:hint="eastAsia" w:ascii="宋体" w:hAnsi="宋体" w:cs="宋体"/>
          <w:kern w:val="0"/>
          <w:sz w:val="21"/>
          <w:szCs w:val="21"/>
          <w:highlight w:val="none"/>
        </w:rPr>
      </w:pPr>
      <w:r>
        <w:rPr>
          <w:rFonts w:hint="eastAsia" w:ascii="宋体" w:hAnsi="宋体" w:cs="宋体"/>
          <w:kern w:val="0"/>
          <w:sz w:val="21"/>
          <w:szCs w:val="21"/>
          <w:highlight w:val="none"/>
        </w:rPr>
        <w:t>屋顶范围内，保温材料厚度≥50mm。</w:t>
      </w:r>
    </w:p>
    <w:p w14:paraId="36BEFB08">
      <w:pPr>
        <w:numPr>
          <w:ilvl w:val="0"/>
          <w:numId w:val="0"/>
        </w:numPr>
        <w:autoSpaceDE w:val="0"/>
        <w:autoSpaceDN w:val="0"/>
        <w:adjustRightInd w:val="0"/>
        <w:jc w:val="left"/>
        <w:rPr>
          <w:rFonts w:hint="eastAsia" w:ascii="宋体" w:hAnsi="宋体" w:cs="宋体"/>
          <w:kern w:val="0"/>
          <w:sz w:val="21"/>
          <w:szCs w:val="21"/>
          <w:highlight w:val="none"/>
        </w:rPr>
      </w:pPr>
    </w:p>
    <w:p w14:paraId="0C0EDA38">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142" w:name="_Toc21770"/>
      <w:bookmarkStart w:id="143" w:name="_Toc1967"/>
      <w:bookmarkStart w:id="144" w:name="_Toc6967"/>
      <w:bookmarkStart w:id="145" w:name="_Toc2235"/>
      <w:r>
        <w:rPr>
          <w:rFonts w:hint="eastAsia" w:ascii="宋体" w:hAnsi="宋体"/>
          <w:b/>
          <w:sz w:val="21"/>
          <w:szCs w:val="21"/>
          <w:highlight w:val="none"/>
        </w:rPr>
        <w:t>管道施工</w:t>
      </w:r>
      <w:bookmarkEnd w:id="142"/>
      <w:bookmarkEnd w:id="143"/>
      <w:bookmarkEnd w:id="144"/>
      <w:bookmarkEnd w:id="145"/>
    </w:p>
    <w:p w14:paraId="605D9902">
      <w:pPr>
        <w:pStyle w:val="23"/>
        <w:numPr>
          <w:ilvl w:val="3"/>
          <w:numId w:val="2"/>
        </w:numPr>
        <w:spacing w:line="360" w:lineRule="auto"/>
        <w:ind w:left="0" w:leftChars="0" w:firstLine="0" w:firstLineChars="0"/>
        <w:jc w:val="left"/>
        <w:outlineLvl w:val="1"/>
        <w:rPr>
          <w:rFonts w:ascii="宋体" w:hAnsi="宋体"/>
          <w:b/>
          <w:sz w:val="21"/>
          <w:szCs w:val="21"/>
          <w:highlight w:val="none"/>
        </w:rPr>
      </w:pPr>
      <w:bookmarkStart w:id="146" w:name="_Toc30390"/>
      <w:bookmarkStart w:id="147" w:name="_Toc24473"/>
      <w:bookmarkStart w:id="148" w:name="_Toc17459"/>
      <w:bookmarkStart w:id="149" w:name="_Toc23531"/>
      <w:r>
        <w:rPr>
          <w:rFonts w:hint="eastAsia" w:ascii="宋体" w:hAnsi="宋体"/>
          <w:b/>
          <w:sz w:val="21"/>
          <w:szCs w:val="21"/>
          <w:highlight w:val="none"/>
        </w:rPr>
        <w:t>管道安装</w:t>
      </w:r>
      <w:bookmarkEnd w:id="146"/>
      <w:bookmarkEnd w:id="147"/>
      <w:bookmarkEnd w:id="148"/>
      <w:bookmarkEnd w:id="149"/>
    </w:p>
    <w:p w14:paraId="4A905D94">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在每天工作和工作之后应保护所有管道以防湿气或污染。</w:t>
      </w:r>
    </w:p>
    <w:p w14:paraId="6584664C">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安装的管道应与墙壁平行，提供维修空间和保持信道清洁和畅通。</w:t>
      </w:r>
    </w:p>
    <w:p w14:paraId="7016E454">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管件的切割应平滑和精巧且不损坏管件，可能时采用软式割管器，管子端部应铰口以去除毛口。</w:t>
      </w:r>
    </w:p>
    <w:p w14:paraId="7C6EB8F8">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管道支架只能连接在结构构件上，在结构构件需要支撑处，提供适当的过渡金属构造。</w:t>
      </w:r>
    </w:p>
    <w:p w14:paraId="1A1B1FCB">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以足够的间距架设管道以保证适当的排水和通风。</w:t>
      </w:r>
    </w:p>
    <w:p w14:paraId="4EF565A3">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螺管接头应用适当的锥形螺纹接合，接头必须用一氧化铅与甘油的粘稠混合物或用聚四氟乙烯带，或其它有效的螺纹接头复合物加到阳螺纹上，进行接合，在接头完成之后不应露出三圈以上螺纹。</w:t>
      </w:r>
    </w:p>
    <w:p w14:paraId="59C4463D">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安装的管道套槽和接头应符合制造厂的建议。</w:t>
      </w:r>
    </w:p>
    <w:p w14:paraId="7697D642">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每根水管的每个低位端应设置排水阀。</w:t>
      </w:r>
    </w:p>
    <w:p w14:paraId="5062A1D9">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在每根水管的高位处设置手动通气阀，终端泄放管应位于完成地板之上150毫米。</w:t>
      </w:r>
    </w:p>
    <w:p w14:paraId="17B7D432">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法兰和连接管应对准端面，设置气密垫片的法兰，在管道中连接每段管件或设备的连接处前，应设置连接管或法兰，或提供泵、控制阀门及其它类似物品等维修所需的材料，气密垫片应符合国家有关标准及规范。</w:t>
      </w:r>
    </w:p>
    <w:p w14:paraId="2C2BD2F7">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在水平管道中的阀门其阀杆应装成水平或垂直。在任何其它指明为了排水、隔热或分段的地方安装闸阀。每个阀门须加上卷标以便识别。</w:t>
      </w:r>
    </w:p>
    <w:p w14:paraId="1740B9EB">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在所有设备上的管道应独立地支撑，使设备不因管道重量或伸缩而承受压力。</w:t>
      </w:r>
    </w:p>
    <w:p w14:paraId="39492EDA">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按照便于维护、修理和更换的要求，提供螺纹的或法兰的连接管。</w:t>
      </w:r>
    </w:p>
    <w:p w14:paraId="27EA412B">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在整个装配系统的前后过程中，采取一切措施，以防止管道受污染。</w:t>
      </w:r>
    </w:p>
    <w:p w14:paraId="1DC2D2D5">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除得到建筑师批准外，不可采用延展弯头。</w:t>
      </w:r>
    </w:p>
    <w:p w14:paraId="1AAF0FDC">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当管道穿过建筑物的伸缩缝和∕或有移动的可能时，应用认可的活动接头连接以抵消任何造成此移动的应力。</w:t>
      </w:r>
    </w:p>
    <w:p w14:paraId="13B00E49">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所有排水管道必须按锤线安装，或根据规格或图纸上所列的坡度，且必须整齐排列，交加处减至最少，并给以足够的排气、扩张、收缩和移动空间。管道不可安装离完成楼板面100毫米或以下，并须和其它设施和建筑结构维持足够的间隙。</w:t>
      </w:r>
    </w:p>
    <w:p w14:paraId="4809BEC6">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在铺砌地下排水管道之前应检查所有深度，当发现偏差时应立即通知建筑师。</w:t>
      </w:r>
    </w:p>
    <w:p w14:paraId="48E62EB9">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所有铺砌在地下或埋藏于混凝土∕砖墙的镀锌钢管应用麻布或其它认可的物料包扎和涂上沥青以作保护。</w:t>
      </w:r>
    </w:p>
    <w:p w14:paraId="150F622E">
      <w:pPr>
        <w:numPr>
          <w:ilvl w:val="0"/>
          <w:numId w:val="27"/>
        </w:numPr>
        <w:tabs>
          <w:tab w:val="left" w:pos="900"/>
        </w:tabs>
        <w:autoSpaceDE w:val="0"/>
        <w:autoSpaceDN w:val="0"/>
        <w:adjustRightInd w:val="0"/>
        <w:spacing w:before="93" w:beforeLines="30" w:after="93" w:afterLines="30" w:line="360" w:lineRule="atLeast"/>
        <w:ind w:right="-23"/>
        <w:jc w:val="left"/>
        <w:textAlignment w:val="baseline"/>
        <w:rPr>
          <w:rFonts w:ascii="Arial" w:hAnsi="宋体" w:cs="Arial"/>
          <w:sz w:val="21"/>
          <w:szCs w:val="21"/>
          <w:highlight w:val="none"/>
          <w:lang w:val="en-GB"/>
        </w:rPr>
      </w:pPr>
      <w:r>
        <w:rPr>
          <w:rFonts w:hint="eastAsia" w:ascii="Arial" w:hAnsi="宋体" w:cs="Arial"/>
          <w:sz w:val="21"/>
          <w:szCs w:val="21"/>
          <w:highlight w:val="none"/>
          <w:lang w:val="en-GB"/>
        </w:rPr>
        <w:t>所有混凝土结构处理池皆由建筑承包单位负责建造。但所有埋设于结构内的管道、防水套管等均由本承包单位提供。承包单位须与建筑承包单位协调和合作，以保证所有上述管道、防水套管等皆正确安装并符合系统操作要求。</w:t>
      </w:r>
    </w:p>
    <w:p w14:paraId="4C2D30DF">
      <w:pPr>
        <w:pStyle w:val="23"/>
        <w:numPr>
          <w:ilvl w:val="3"/>
          <w:numId w:val="2"/>
        </w:numPr>
        <w:spacing w:line="360" w:lineRule="auto"/>
        <w:ind w:left="0" w:leftChars="0" w:firstLine="0" w:firstLineChars="0"/>
        <w:jc w:val="left"/>
        <w:outlineLvl w:val="1"/>
        <w:rPr>
          <w:rFonts w:ascii="宋体" w:hAnsi="宋体"/>
          <w:b/>
          <w:sz w:val="21"/>
          <w:szCs w:val="21"/>
          <w:highlight w:val="none"/>
        </w:rPr>
      </w:pPr>
      <w:bookmarkStart w:id="150" w:name="_Toc24994"/>
      <w:bookmarkStart w:id="151" w:name="_Toc31707"/>
      <w:bookmarkStart w:id="152" w:name="_Toc8431"/>
      <w:bookmarkStart w:id="153" w:name="_Toc16535"/>
      <w:r>
        <w:rPr>
          <w:rFonts w:hint="eastAsia" w:ascii="宋体" w:hAnsi="宋体"/>
          <w:b/>
          <w:sz w:val="21"/>
          <w:szCs w:val="21"/>
          <w:highlight w:val="none"/>
        </w:rPr>
        <w:t>管道吊架和支架安装</w:t>
      </w:r>
      <w:bookmarkEnd w:id="150"/>
      <w:bookmarkEnd w:id="151"/>
      <w:bookmarkEnd w:id="152"/>
      <w:bookmarkEnd w:id="153"/>
    </w:p>
    <w:p w14:paraId="342E1A17">
      <w:pPr>
        <w:numPr>
          <w:ilvl w:val="0"/>
          <w:numId w:val="28"/>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所需的吊架和支架，包括吊杆、角铁、槽钢和铁板以及由设计指示的任何变化等，均须先获得建筑师的批准后才可进行制造。</w:t>
      </w:r>
    </w:p>
    <w:p w14:paraId="4B5561AD">
      <w:pPr>
        <w:numPr>
          <w:ilvl w:val="0"/>
          <w:numId w:val="28"/>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垂直管道应在每根立管的中部用认可的钢托架支撑，以防摇晃、松垂、震动和共震。避免支架或固定支架之间的曳拉或扭弯而使管道承受压力。</w:t>
      </w:r>
    </w:p>
    <w:p w14:paraId="3EA0EB56">
      <w:pPr>
        <w:numPr>
          <w:ilvl w:val="0"/>
          <w:numId w:val="28"/>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所有固定支架和吊架应用有足够强度的伸缩螺栓所固定。</w:t>
      </w:r>
    </w:p>
    <w:p w14:paraId="5375AD68">
      <w:pPr>
        <w:numPr>
          <w:ilvl w:val="0"/>
          <w:numId w:val="28"/>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把吊架固定到嵌藏在混凝土中的金属嵌件中，如果没有这种嵌件，可用膨胀螺栓锚固于混凝土中。</w:t>
      </w:r>
    </w:p>
    <w:p w14:paraId="2D218900">
      <w:pPr>
        <w:numPr>
          <w:ilvl w:val="0"/>
          <w:numId w:val="28"/>
        </w:numPr>
        <w:tabs>
          <w:tab w:val="left" w:pos="900"/>
        </w:tabs>
        <w:autoSpaceDE w:val="0"/>
        <w:autoSpaceDN w:val="0"/>
        <w:adjustRightInd w:val="0"/>
        <w:spacing w:before="93" w:beforeLines="30" w:after="93" w:afterLines="30" w:line="360" w:lineRule="atLeast"/>
        <w:ind w:right="-23"/>
        <w:jc w:val="left"/>
        <w:textAlignment w:val="baseline"/>
        <w:rPr>
          <w:rFonts w:ascii="Arial" w:hAnsi="宋体" w:cs="Arial"/>
          <w:sz w:val="21"/>
          <w:szCs w:val="21"/>
          <w:highlight w:val="none"/>
          <w:lang w:val="en-GB"/>
        </w:rPr>
      </w:pPr>
      <w:r>
        <w:rPr>
          <w:rFonts w:hint="eastAsia" w:ascii="Arial" w:hAnsi="宋体" w:cs="Arial"/>
          <w:sz w:val="21"/>
          <w:szCs w:val="21"/>
          <w:highlight w:val="none"/>
          <w:lang w:val="en-GB"/>
        </w:rPr>
        <w:t>在夹持器和管子或不同材料之间应安装密封垫片。</w:t>
      </w:r>
    </w:p>
    <w:p w14:paraId="3C534FD9">
      <w:pPr>
        <w:numPr>
          <w:ilvl w:val="0"/>
          <w:numId w:val="0"/>
        </w:numPr>
        <w:tabs>
          <w:tab w:val="left" w:pos="900"/>
        </w:tabs>
        <w:autoSpaceDE w:val="0"/>
        <w:autoSpaceDN w:val="0"/>
        <w:adjustRightInd w:val="0"/>
        <w:spacing w:before="93" w:beforeLines="30" w:after="93" w:afterLines="30" w:line="360" w:lineRule="atLeast"/>
        <w:ind w:left="420" w:leftChars="0" w:right="-23" w:rightChars="0"/>
        <w:jc w:val="left"/>
        <w:textAlignment w:val="baseline"/>
        <w:rPr>
          <w:rFonts w:ascii="Arial" w:hAnsi="宋体" w:cs="Arial"/>
          <w:sz w:val="21"/>
          <w:szCs w:val="21"/>
          <w:highlight w:val="none"/>
          <w:lang w:val="en-GB"/>
        </w:rPr>
      </w:pPr>
    </w:p>
    <w:p w14:paraId="44E9F11F">
      <w:pPr>
        <w:pStyle w:val="23"/>
        <w:numPr>
          <w:ilvl w:val="3"/>
          <w:numId w:val="2"/>
        </w:numPr>
        <w:spacing w:line="360" w:lineRule="auto"/>
        <w:ind w:left="0" w:leftChars="0" w:firstLine="0" w:firstLineChars="0"/>
        <w:jc w:val="left"/>
        <w:outlineLvl w:val="1"/>
        <w:rPr>
          <w:rFonts w:ascii="宋体" w:hAnsi="宋体"/>
          <w:b/>
          <w:sz w:val="21"/>
          <w:szCs w:val="21"/>
          <w:highlight w:val="none"/>
        </w:rPr>
      </w:pPr>
      <w:bookmarkStart w:id="154" w:name="_Toc15632"/>
      <w:bookmarkStart w:id="155" w:name="_Toc25526"/>
      <w:bookmarkStart w:id="156" w:name="_Toc2739"/>
      <w:bookmarkStart w:id="157" w:name="_Toc9974"/>
      <w:r>
        <w:rPr>
          <w:rFonts w:hint="eastAsia" w:ascii="宋体" w:hAnsi="宋体"/>
          <w:b/>
          <w:sz w:val="21"/>
          <w:szCs w:val="21"/>
          <w:highlight w:val="none"/>
        </w:rPr>
        <w:t>清洁步骤</w:t>
      </w:r>
      <w:bookmarkEnd w:id="154"/>
      <w:bookmarkEnd w:id="155"/>
      <w:bookmarkEnd w:id="156"/>
      <w:bookmarkEnd w:id="157"/>
    </w:p>
    <w:p w14:paraId="0D28E5C3">
      <w:pPr>
        <w:numPr>
          <w:ilvl w:val="0"/>
          <w:numId w:val="29"/>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采取一切预防措施，以避免外界物体，诸如焊珠和焊渣或污物侵入管道系统中。敲打已完工的焊缝以使碎屑松脱。所有管道、阀门和配件均应在装配成系统之前，用金属刷和擦扫清除管内的油污、油脂或污物。</w:t>
      </w:r>
    </w:p>
    <w:p w14:paraId="5B01D782">
      <w:pPr>
        <w:numPr>
          <w:ilvl w:val="0"/>
          <w:numId w:val="29"/>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在接合和装配之后，所有150毫米及以下的管件应用清水冲洗直至彻底清除污物、油污和金属屑等为止。在一般情况下，每种尺寸的管子在与更大尺寸的管子连接在一起之前均应分别冲洗。</w:t>
      </w:r>
    </w:p>
    <w:p w14:paraId="2CFB5FEE">
      <w:pPr>
        <w:numPr>
          <w:ilvl w:val="0"/>
          <w:numId w:val="29"/>
        </w:numPr>
        <w:tabs>
          <w:tab w:val="left" w:pos="900"/>
        </w:tabs>
        <w:autoSpaceDE w:val="0"/>
        <w:autoSpaceDN w:val="0"/>
        <w:adjustRightInd w:val="0"/>
        <w:spacing w:before="93" w:beforeLines="30" w:after="93" w:afterLines="30" w:line="360" w:lineRule="atLeast"/>
        <w:ind w:right="-23"/>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200毫米及以上的管件清洗处理应采用钢刷子，牵拉过每段管子的整个长度，随后用比管子内径稍大的纤维刷子或抹布抹刷。</w:t>
      </w:r>
    </w:p>
    <w:p w14:paraId="33043E72">
      <w:pPr>
        <w:numPr>
          <w:ilvl w:val="0"/>
          <w:numId w:val="29"/>
        </w:numPr>
        <w:tabs>
          <w:tab w:val="left" w:pos="900"/>
        </w:tabs>
        <w:autoSpaceDE w:val="0"/>
        <w:autoSpaceDN w:val="0"/>
        <w:adjustRightInd w:val="0"/>
        <w:spacing w:before="93" w:beforeLines="30" w:after="93" w:afterLines="30" w:line="360" w:lineRule="atLeast"/>
        <w:ind w:right="-23"/>
        <w:jc w:val="left"/>
        <w:textAlignment w:val="baseline"/>
        <w:rPr>
          <w:rFonts w:ascii="Arial" w:hAnsi="宋体" w:cs="Arial"/>
          <w:sz w:val="21"/>
          <w:szCs w:val="21"/>
          <w:highlight w:val="none"/>
          <w:lang w:val="en-GB"/>
        </w:rPr>
      </w:pPr>
      <w:r>
        <w:rPr>
          <w:rFonts w:hint="eastAsia" w:ascii="Arial" w:hAnsi="宋体" w:cs="Arial"/>
          <w:sz w:val="21"/>
          <w:szCs w:val="21"/>
          <w:highlight w:val="none"/>
          <w:lang w:val="en-GB"/>
        </w:rPr>
        <w:t>所有清洗处理均应贯通整个管道系统。清洗处理和最后接头完成之后，各管道节段的末端均须紧紧密封，以防任何污物</w:t>
      </w:r>
    </w:p>
    <w:p w14:paraId="409138D3">
      <w:pPr>
        <w:spacing w:line="360" w:lineRule="auto"/>
        <w:rPr>
          <w:rFonts w:hint="eastAsia" w:ascii="宋体" w:hAnsi="宋体"/>
          <w:sz w:val="21"/>
          <w:szCs w:val="21"/>
          <w:highlight w:val="none"/>
          <w:lang w:val="en-GB"/>
        </w:rPr>
      </w:pPr>
    </w:p>
    <w:p w14:paraId="57823A47">
      <w:pPr>
        <w:pStyle w:val="23"/>
        <w:numPr>
          <w:ilvl w:val="1"/>
          <w:numId w:val="2"/>
        </w:numPr>
        <w:spacing w:line="360" w:lineRule="auto"/>
        <w:ind w:left="0" w:leftChars="0" w:firstLine="0" w:firstLineChars="0"/>
        <w:jc w:val="left"/>
        <w:outlineLvl w:val="1"/>
        <w:rPr>
          <w:rFonts w:hint="eastAsia" w:ascii="宋体" w:hAnsi="宋体"/>
          <w:b/>
          <w:sz w:val="21"/>
          <w:szCs w:val="21"/>
          <w:highlight w:val="none"/>
        </w:rPr>
      </w:pPr>
      <w:r>
        <w:rPr>
          <w:rFonts w:ascii="宋体" w:hAnsi="宋体"/>
          <w:sz w:val="21"/>
          <w:szCs w:val="21"/>
          <w:highlight w:val="none"/>
          <w:lang w:val="en-GB"/>
        </w:rPr>
        <w:br w:type="page"/>
      </w:r>
      <w:bookmarkStart w:id="158" w:name="_Toc22043"/>
      <w:bookmarkStart w:id="159" w:name="_Toc4035"/>
      <w:bookmarkStart w:id="160" w:name="_Toc2500"/>
      <w:bookmarkStart w:id="161" w:name="_Toc8390"/>
      <w:r>
        <w:rPr>
          <w:rFonts w:hint="eastAsia" w:ascii="宋体" w:hAnsi="宋体"/>
          <w:b/>
          <w:sz w:val="21"/>
          <w:szCs w:val="21"/>
          <w:highlight w:val="none"/>
        </w:rPr>
        <w:t>阀门与附件技术要求</w:t>
      </w:r>
      <w:bookmarkEnd w:id="158"/>
      <w:bookmarkEnd w:id="159"/>
      <w:bookmarkEnd w:id="160"/>
      <w:bookmarkEnd w:id="161"/>
    </w:p>
    <w:p w14:paraId="5F52058D">
      <w:pPr>
        <w:tabs>
          <w:tab w:val="left" w:pos="900"/>
        </w:tabs>
        <w:autoSpaceDE w:val="0"/>
        <w:autoSpaceDN w:val="0"/>
        <w:adjustRightInd w:val="0"/>
        <w:spacing w:before="93" w:beforeLines="30" w:after="93" w:afterLines="30" w:line="360" w:lineRule="atLeast"/>
        <w:ind w:right="-23"/>
        <w:jc w:val="left"/>
        <w:textAlignment w:val="baseline"/>
        <w:rPr>
          <w:rFonts w:ascii="Arial" w:hAnsi="宋体" w:cs="Arial"/>
          <w:sz w:val="21"/>
          <w:szCs w:val="21"/>
          <w:highlight w:val="none"/>
          <w:lang w:val="en-GB"/>
        </w:rPr>
      </w:pPr>
      <w:r>
        <w:rPr>
          <w:rFonts w:hint="eastAsia" w:ascii="Arial" w:hAnsi="宋体" w:cs="Arial"/>
          <w:sz w:val="21"/>
          <w:szCs w:val="21"/>
          <w:highlight w:val="none"/>
          <w:lang w:val="en-GB"/>
        </w:rPr>
        <w:t>本章说明阀门与配件在管道工程布置的规格，安装及调试的要求。</w:t>
      </w:r>
    </w:p>
    <w:p w14:paraId="4937DD1B">
      <w:pPr>
        <w:pStyle w:val="23"/>
        <w:numPr>
          <w:ilvl w:val="2"/>
          <w:numId w:val="2"/>
        </w:numPr>
        <w:spacing w:line="360" w:lineRule="auto"/>
        <w:ind w:left="420" w:leftChars="0" w:firstLine="0" w:firstLineChars="0"/>
        <w:jc w:val="left"/>
        <w:outlineLvl w:val="1"/>
        <w:rPr>
          <w:rFonts w:ascii="宋体" w:hAnsi="宋体"/>
          <w:b/>
          <w:sz w:val="21"/>
          <w:szCs w:val="21"/>
          <w:highlight w:val="none"/>
        </w:rPr>
      </w:pPr>
      <w:bookmarkStart w:id="162" w:name="_Toc17488"/>
      <w:bookmarkStart w:id="163" w:name="_Toc3694"/>
      <w:bookmarkStart w:id="164" w:name="_Toc30052"/>
      <w:bookmarkStart w:id="165" w:name="_Toc26224"/>
      <w:r>
        <w:rPr>
          <w:rFonts w:ascii="宋体" w:hAnsi="宋体"/>
          <w:b/>
          <w:sz w:val="21"/>
          <w:szCs w:val="21"/>
          <w:highlight w:val="none"/>
        </w:rPr>
        <w:t>一般要求</w:t>
      </w:r>
      <w:bookmarkEnd w:id="162"/>
      <w:bookmarkEnd w:id="163"/>
      <w:bookmarkEnd w:id="164"/>
      <w:bookmarkEnd w:id="165"/>
    </w:p>
    <w:p w14:paraId="03CB6D40">
      <w:pPr>
        <w:numPr>
          <w:ilvl w:val="0"/>
          <w:numId w:val="30"/>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所有送抵工地的阀门均应是新的，并有标示以利辨别其等级。</w:t>
      </w:r>
    </w:p>
    <w:p w14:paraId="575DB3AA">
      <w:pPr>
        <w:numPr>
          <w:ilvl w:val="0"/>
          <w:numId w:val="30"/>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在运送、储存、及安装阀门与配件时须予适当的保护。</w:t>
      </w:r>
    </w:p>
    <w:p w14:paraId="66B11104">
      <w:pPr>
        <w:numPr>
          <w:ilvl w:val="0"/>
          <w:numId w:val="30"/>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在需要系统平衡处如分支管道，旁通管道等安装球形调节阀。</w:t>
      </w:r>
    </w:p>
    <w:p w14:paraId="49F828ED">
      <w:pPr>
        <w:numPr>
          <w:ilvl w:val="0"/>
          <w:numId w:val="30"/>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阀门要有足够的维修间距，于测试压力下防漏。制造厂名或牌子、图号或编号，保证能达到工作压力等，须铸于阀体或阀盖上。除特别用途之外，所有同类同型号阀门要由单一供货商提供。</w:t>
      </w:r>
    </w:p>
    <w:p w14:paraId="100571F3">
      <w:pPr>
        <w:numPr>
          <w:ilvl w:val="0"/>
          <w:numId w:val="30"/>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阀门应配合各系统的工作压力。蝶阀及球阀应适合于受压时作维修。不论安装于任何系统，阀门之额定工作压力不能少于1000kPa。</w:t>
      </w:r>
    </w:p>
    <w:p w14:paraId="1A64B22A">
      <w:pPr>
        <w:numPr>
          <w:ilvl w:val="0"/>
          <w:numId w:val="30"/>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阀门接驳:</w:t>
      </w:r>
    </w:p>
    <w:p w14:paraId="013C0C5C">
      <w:p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ab/>
      </w:r>
      <w:r>
        <w:rPr>
          <w:rFonts w:hint="eastAsia" w:ascii="Arial" w:hAnsi="宋体" w:cs="Arial"/>
          <w:sz w:val="21"/>
          <w:szCs w:val="21"/>
          <w:highlight w:val="none"/>
          <w:lang w:val="en-GB"/>
        </w:rPr>
        <w:t>1.</w:t>
      </w:r>
      <w:r>
        <w:rPr>
          <w:rFonts w:hint="eastAsia" w:ascii="Arial" w:hAnsi="宋体" w:cs="Arial"/>
          <w:sz w:val="21"/>
          <w:szCs w:val="21"/>
          <w:highlight w:val="none"/>
          <w:lang w:val="en-GB"/>
        </w:rPr>
        <w:tab/>
      </w:r>
      <w:r>
        <w:rPr>
          <w:rFonts w:hint="eastAsia" w:ascii="Arial" w:hAnsi="宋体" w:cs="Arial"/>
          <w:sz w:val="21"/>
          <w:szCs w:val="21"/>
          <w:highlight w:val="none"/>
          <w:lang w:val="en-GB"/>
        </w:rPr>
        <w:t>按管道接头的要求提供阀门，与管道相同。</w:t>
      </w:r>
    </w:p>
    <w:p w14:paraId="219E65D8">
      <w:p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ab/>
      </w:r>
      <w:r>
        <w:rPr>
          <w:rFonts w:hint="eastAsia" w:ascii="Arial" w:hAnsi="宋体" w:cs="Arial"/>
          <w:sz w:val="21"/>
          <w:szCs w:val="21"/>
          <w:highlight w:val="none"/>
          <w:lang w:val="en-GB"/>
        </w:rPr>
        <w:t>2.</w:t>
      </w:r>
      <w:r>
        <w:rPr>
          <w:rFonts w:hint="eastAsia" w:ascii="Arial" w:hAnsi="宋体" w:cs="Arial"/>
          <w:sz w:val="21"/>
          <w:szCs w:val="21"/>
          <w:highlight w:val="none"/>
          <w:lang w:val="en-GB"/>
        </w:rPr>
        <w:tab/>
      </w:r>
      <w:r>
        <w:rPr>
          <w:rFonts w:hint="eastAsia" w:ascii="Arial" w:hAnsi="宋体" w:cs="Arial"/>
          <w:sz w:val="21"/>
          <w:szCs w:val="21"/>
          <w:highlight w:val="none"/>
          <w:lang w:val="en-GB"/>
        </w:rPr>
        <w:t>50毫米及以下为螺纹接头。</w:t>
      </w:r>
    </w:p>
    <w:p w14:paraId="5A5362E4">
      <w:p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ab/>
      </w:r>
      <w:r>
        <w:rPr>
          <w:rFonts w:hint="eastAsia" w:ascii="Arial" w:hAnsi="宋体" w:cs="Arial"/>
          <w:sz w:val="21"/>
          <w:szCs w:val="21"/>
          <w:highlight w:val="none"/>
          <w:lang w:val="en-GB"/>
        </w:rPr>
        <w:t>3.</w:t>
      </w:r>
      <w:r>
        <w:rPr>
          <w:rFonts w:hint="eastAsia" w:ascii="Arial" w:hAnsi="宋体" w:cs="Arial"/>
          <w:sz w:val="21"/>
          <w:szCs w:val="21"/>
          <w:highlight w:val="none"/>
          <w:lang w:val="en-GB"/>
        </w:rPr>
        <w:tab/>
      </w:r>
      <w:r>
        <w:rPr>
          <w:rFonts w:hint="eastAsia" w:ascii="Arial" w:hAnsi="宋体" w:cs="Arial"/>
          <w:sz w:val="21"/>
          <w:szCs w:val="21"/>
          <w:highlight w:val="none"/>
          <w:lang w:val="en-GB"/>
        </w:rPr>
        <w:t>65毫米及以上为法兰接头。</w:t>
      </w:r>
    </w:p>
    <w:p w14:paraId="0303DDED">
      <w:pPr>
        <w:numPr>
          <w:ilvl w:val="0"/>
          <w:numId w:val="30"/>
        </w:numPr>
        <w:tabs>
          <w:tab w:val="left" w:pos="900"/>
        </w:tabs>
        <w:autoSpaceDE w:val="0"/>
        <w:autoSpaceDN w:val="0"/>
        <w:adjustRightInd w:val="0"/>
        <w:spacing w:before="93" w:beforeLines="30" w:after="93" w:afterLines="30" w:line="360" w:lineRule="atLeast"/>
        <w:ind w:left="900" w:right="-23" w:hanging="360"/>
        <w:jc w:val="left"/>
        <w:textAlignment w:val="baseline"/>
        <w:rPr>
          <w:rFonts w:ascii="Arial" w:hAnsi="宋体" w:cs="Arial"/>
          <w:sz w:val="21"/>
          <w:szCs w:val="21"/>
          <w:highlight w:val="none"/>
          <w:lang w:val="en-GB"/>
        </w:rPr>
      </w:pPr>
      <w:r>
        <w:rPr>
          <w:rFonts w:hint="eastAsia" w:ascii="Arial" w:hAnsi="宋体" w:cs="Arial"/>
          <w:sz w:val="21"/>
          <w:szCs w:val="21"/>
          <w:highlight w:val="none"/>
          <w:lang w:val="en-GB"/>
        </w:rPr>
        <w:t>除另外规定，所有阀门应与所装接管道的管径相同。</w:t>
      </w:r>
    </w:p>
    <w:p w14:paraId="4A4B3CC5">
      <w:pPr>
        <w:pStyle w:val="23"/>
        <w:numPr>
          <w:ilvl w:val="2"/>
          <w:numId w:val="2"/>
        </w:numPr>
        <w:spacing w:line="360" w:lineRule="auto"/>
        <w:ind w:left="420" w:leftChars="0" w:firstLine="0" w:firstLineChars="0"/>
        <w:jc w:val="left"/>
        <w:outlineLvl w:val="1"/>
        <w:rPr>
          <w:rFonts w:ascii="宋体" w:hAnsi="宋体"/>
          <w:b/>
          <w:sz w:val="21"/>
          <w:szCs w:val="21"/>
          <w:highlight w:val="none"/>
        </w:rPr>
      </w:pPr>
      <w:bookmarkStart w:id="166" w:name="_Toc3778"/>
      <w:bookmarkStart w:id="167" w:name="_Toc61"/>
      <w:bookmarkStart w:id="168" w:name="_Toc10457"/>
      <w:bookmarkStart w:id="169" w:name="_Toc20925"/>
      <w:r>
        <w:rPr>
          <w:rFonts w:ascii="宋体" w:hAnsi="宋体"/>
          <w:b/>
          <w:sz w:val="21"/>
          <w:szCs w:val="21"/>
          <w:highlight w:val="none"/>
        </w:rPr>
        <w:t>质量保证</w:t>
      </w:r>
      <w:bookmarkEnd w:id="166"/>
      <w:bookmarkEnd w:id="167"/>
      <w:bookmarkEnd w:id="168"/>
      <w:bookmarkEnd w:id="169"/>
    </w:p>
    <w:p w14:paraId="30C49CAE">
      <w:pPr>
        <w:numPr>
          <w:ilvl w:val="0"/>
          <w:numId w:val="31"/>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rPr>
      </w:pPr>
      <w:r>
        <w:rPr>
          <w:rFonts w:hint="eastAsia" w:ascii="Arial" w:hAnsi="宋体" w:cs="Arial"/>
          <w:sz w:val="21"/>
          <w:szCs w:val="21"/>
          <w:highlight w:val="none"/>
        </w:rPr>
        <w:t>以下的规例、条例、标准及规范适用于本章所述的工程:</w:t>
      </w:r>
    </w:p>
    <w:p w14:paraId="444A8AB9">
      <w:pPr>
        <w:tabs>
          <w:tab w:val="left" w:pos="900"/>
        </w:tabs>
        <w:autoSpaceDE w:val="0"/>
        <w:autoSpaceDN w:val="0"/>
        <w:adjustRightInd w:val="0"/>
        <w:spacing w:before="93" w:beforeLines="30" w:after="93" w:afterLines="30" w:line="360" w:lineRule="atLeast"/>
        <w:ind w:left="540" w:right="-23"/>
        <w:jc w:val="left"/>
        <w:textAlignment w:val="baseline"/>
        <w:rPr>
          <w:rFonts w:hint="eastAsia" w:ascii="Arial" w:hAnsi="宋体" w:cs="Arial"/>
          <w:sz w:val="21"/>
          <w:szCs w:val="21"/>
          <w:highlight w:val="none"/>
        </w:rPr>
      </w:pPr>
      <w:r>
        <w:rPr>
          <w:rFonts w:hint="eastAsia" w:ascii="Arial" w:hAnsi="宋体" w:cs="Arial"/>
          <w:sz w:val="21"/>
          <w:szCs w:val="21"/>
          <w:highlight w:val="none"/>
        </w:rPr>
        <w:tab/>
      </w:r>
      <w:r>
        <w:rPr>
          <w:rFonts w:hint="eastAsia" w:ascii="Arial" w:hAnsi="宋体" w:cs="Arial"/>
          <w:sz w:val="21"/>
          <w:szCs w:val="21"/>
          <w:highlight w:val="none"/>
        </w:rPr>
        <w:t>1.</w:t>
      </w:r>
      <w:r>
        <w:rPr>
          <w:rFonts w:hint="eastAsia" w:ascii="Arial" w:hAnsi="宋体" w:cs="Arial"/>
          <w:sz w:val="21"/>
          <w:szCs w:val="21"/>
          <w:highlight w:val="none"/>
        </w:rPr>
        <w:tab/>
      </w:r>
      <w:r>
        <w:rPr>
          <w:rFonts w:hint="eastAsia" w:ascii="Arial" w:hAnsi="宋体" w:cs="Arial"/>
          <w:sz w:val="21"/>
          <w:szCs w:val="21"/>
          <w:highlight w:val="none"/>
        </w:rPr>
        <w:t>应符合相关国家规范。</w:t>
      </w:r>
    </w:p>
    <w:p w14:paraId="5683C8D9">
      <w:pPr>
        <w:pStyle w:val="23"/>
        <w:numPr>
          <w:ilvl w:val="2"/>
          <w:numId w:val="2"/>
        </w:numPr>
        <w:spacing w:line="360" w:lineRule="auto"/>
        <w:ind w:left="420" w:leftChars="0" w:firstLine="0" w:firstLineChars="0"/>
        <w:jc w:val="left"/>
        <w:outlineLvl w:val="1"/>
        <w:rPr>
          <w:rFonts w:ascii="宋体" w:hAnsi="宋体"/>
          <w:b/>
          <w:sz w:val="21"/>
          <w:szCs w:val="21"/>
          <w:highlight w:val="none"/>
        </w:rPr>
      </w:pPr>
      <w:bookmarkStart w:id="170" w:name="_Toc24899"/>
      <w:bookmarkStart w:id="171" w:name="_Toc26792"/>
      <w:bookmarkStart w:id="172" w:name="_Toc28102"/>
      <w:bookmarkStart w:id="173" w:name="_Toc26387"/>
      <w:r>
        <w:rPr>
          <w:rFonts w:ascii="宋体" w:hAnsi="宋体"/>
          <w:b/>
          <w:sz w:val="21"/>
          <w:szCs w:val="21"/>
          <w:highlight w:val="none"/>
        </w:rPr>
        <w:t>资料呈审</w:t>
      </w:r>
      <w:bookmarkEnd w:id="170"/>
      <w:bookmarkEnd w:id="171"/>
      <w:bookmarkEnd w:id="172"/>
      <w:bookmarkEnd w:id="173"/>
    </w:p>
    <w:p w14:paraId="2077DCFC">
      <w:pPr>
        <w:numPr>
          <w:ilvl w:val="0"/>
          <w:numId w:val="32"/>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rPr>
      </w:pPr>
      <w:r>
        <w:rPr>
          <w:rFonts w:hint="eastAsia" w:ascii="Arial" w:hAnsi="宋体" w:cs="Arial"/>
          <w:sz w:val="21"/>
          <w:szCs w:val="21"/>
          <w:highlight w:val="none"/>
        </w:rPr>
        <w:t>提交下列连同个别附加要求规格:</w:t>
      </w:r>
    </w:p>
    <w:p w14:paraId="0FC4AD2E">
      <w:pPr>
        <w:tabs>
          <w:tab w:val="left" w:pos="900"/>
        </w:tabs>
        <w:autoSpaceDE w:val="0"/>
        <w:autoSpaceDN w:val="0"/>
        <w:adjustRightInd w:val="0"/>
        <w:spacing w:before="93" w:beforeLines="30" w:after="93" w:afterLines="30" w:line="360" w:lineRule="atLeast"/>
        <w:ind w:left="540" w:right="-23"/>
        <w:jc w:val="left"/>
        <w:textAlignment w:val="baseline"/>
        <w:rPr>
          <w:rFonts w:hint="eastAsia" w:ascii="Arial" w:hAnsi="宋体" w:cs="Arial"/>
          <w:sz w:val="21"/>
          <w:szCs w:val="21"/>
          <w:highlight w:val="none"/>
        </w:rPr>
      </w:pPr>
      <w:r>
        <w:rPr>
          <w:rFonts w:hint="eastAsia" w:ascii="Arial" w:hAnsi="宋体" w:cs="Arial"/>
          <w:sz w:val="21"/>
          <w:szCs w:val="21"/>
          <w:highlight w:val="none"/>
        </w:rPr>
        <w:tab/>
      </w:r>
      <w:r>
        <w:rPr>
          <w:rFonts w:hint="eastAsia" w:ascii="Arial" w:hAnsi="宋体" w:cs="Arial"/>
          <w:sz w:val="21"/>
          <w:szCs w:val="21"/>
          <w:highlight w:val="none"/>
        </w:rPr>
        <w:t>1.</w:t>
      </w:r>
      <w:r>
        <w:rPr>
          <w:rFonts w:hint="eastAsia" w:ascii="Arial" w:hAnsi="宋体" w:cs="Arial"/>
          <w:sz w:val="21"/>
          <w:szCs w:val="21"/>
          <w:highlight w:val="none"/>
        </w:rPr>
        <w:tab/>
      </w:r>
      <w:r>
        <w:rPr>
          <w:rFonts w:hint="eastAsia" w:ascii="Arial" w:hAnsi="宋体" w:cs="Arial"/>
          <w:sz w:val="21"/>
          <w:szCs w:val="21"/>
          <w:highlight w:val="none"/>
        </w:rPr>
        <w:t>制造厂提供的产品资料等。</w:t>
      </w:r>
    </w:p>
    <w:p w14:paraId="634E47AE">
      <w:pPr>
        <w:tabs>
          <w:tab w:val="left" w:pos="900"/>
        </w:tabs>
        <w:autoSpaceDE w:val="0"/>
        <w:autoSpaceDN w:val="0"/>
        <w:adjustRightInd w:val="0"/>
        <w:spacing w:before="93" w:beforeLines="30" w:after="93" w:afterLines="30" w:line="360" w:lineRule="atLeast"/>
        <w:ind w:left="540" w:right="-23"/>
        <w:jc w:val="left"/>
        <w:textAlignment w:val="baseline"/>
        <w:rPr>
          <w:rFonts w:hint="eastAsia" w:ascii="Arial" w:hAnsi="宋体" w:cs="Arial"/>
          <w:sz w:val="21"/>
          <w:szCs w:val="21"/>
          <w:highlight w:val="none"/>
        </w:rPr>
      </w:pPr>
      <w:r>
        <w:rPr>
          <w:rFonts w:hint="eastAsia" w:ascii="Arial" w:hAnsi="宋体" w:cs="Arial"/>
          <w:sz w:val="21"/>
          <w:szCs w:val="21"/>
          <w:highlight w:val="none"/>
        </w:rPr>
        <w:tab/>
      </w:r>
      <w:r>
        <w:rPr>
          <w:rFonts w:hint="eastAsia" w:ascii="Arial" w:hAnsi="宋体" w:cs="Arial"/>
          <w:sz w:val="21"/>
          <w:szCs w:val="21"/>
          <w:highlight w:val="none"/>
        </w:rPr>
        <w:t>2.</w:t>
      </w:r>
      <w:r>
        <w:rPr>
          <w:rFonts w:hint="eastAsia" w:ascii="Arial" w:hAnsi="宋体" w:cs="Arial"/>
          <w:sz w:val="21"/>
          <w:szCs w:val="21"/>
          <w:highlight w:val="none"/>
        </w:rPr>
        <w:tab/>
      </w:r>
      <w:r>
        <w:rPr>
          <w:rFonts w:hint="eastAsia" w:ascii="Arial" w:hAnsi="宋体" w:cs="Arial"/>
          <w:sz w:val="21"/>
          <w:szCs w:val="21"/>
          <w:highlight w:val="none"/>
        </w:rPr>
        <w:t>符合规格要求的证书。</w:t>
      </w:r>
    </w:p>
    <w:p w14:paraId="0FB272EC">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174" w:name="_Toc25863"/>
      <w:bookmarkStart w:id="175" w:name="_Toc24126"/>
      <w:bookmarkStart w:id="176" w:name="_Toc29350"/>
      <w:bookmarkStart w:id="177" w:name="_Toc25186"/>
      <w:r>
        <w:rPr>
          <w:rFonts w:hint="eastAsia" w:ascii="宋体" w:hAnsi="宋体"/>
          <w:b/>
          <w:sz w:val="21"/>
          <w:szCs w:val="21"/>
          <w:highlight w:val="none"/>
        </w:rPr>
        <w:t>阀门要求</w:t>
      </w:r>
      <w:bookmarkEnd w:id="174"/>
      <w:bookmarkEnd w:id="175"/>
      <w:bookmarkEnd w:id="176"/>
      <w:bookmarkEnd w:id="177"/>
    </w:p>
    <w:p w14:paraId="1EC33C1C">
      <w:pPr>
        <w:pStyle w:val="33"/>
        <w:spacing w:after="100" w:afterAutospacing="1" w:line="360" w:lineRule="exact"/>
        <w:ind w:left="720"/>
        <w:rPr>
          <w:rFonts w:hint="eastAsia" w:ascii="Arial" w:hAnsi="宋体" w:eastAsia="宋体" w:cs="Arial"/>
          <w:spacing w:val="0"/>
          <w:sz w:val="21"/>
          <w:szCs w:val="21"/>
          <w:highlight w:val="none"/>
          <w:lang w:eastAsia="zh-CN"/>
        </w:rPr>
      </w:pPr>
      <w:r>
        <w:rPr>
          <w:rFonts w:ascii="Arial" w:hAnsi="宋体" w:eastAsia="宋体" w:cs="Arial"/>
          <w:spacing w:val="0"/>
          <w:sz w:val="21"/>
          <w:szCs w:val="21"/>
          <w:highlight w:val="none"/>
          <w:lang w:eastAsia="zh-CN"/>
        </w:rPr>
        <w:t>对不同的设施，管道工程的规格应符合下列各表的要求。</w:t>
      </w:r>
    </w:p>
    <w:p w14:paraId="1E546CAC">
      <w:pPr>
        <w:pStyle w:val="33"/>
        <w:spacing w:after="100" w:afterAutospacing="1" w:line="360" w:lineRule="exact"/>
        <w:ind w:left="720"/>
        <w:rPr>
          <w:rFonts w:ascii="Arial" w:hAnsi="Arial" w:eastAsia="宋体" w:cs="Arial"/>
          <w:spacing w:val="0"/>
          <w:sz w:val="21"/>
          <w:szCs w:val="21"/>
          <w:highlight w:val="none"/>
          <w:lang w:eastAsia="zh-CN"/>
        </w:rPr>
      </w:pPr>
      <w:r>
        <w:rPr>
          <w:rFonts w:ascii="Arial" w:hAnsi="宋体" w:eastAsia="宋体" w:cs="Arial"/>
          <w:spacing w:val="0"/>
          <w:sz w:val="21"/>
          <w:szCs w:val="21"/>
          <w:highlight w:val="none"/>
          <w:lang w:eastAsia="zh-CN"/>
        </w:rPr>
        <w:t>表</w:t>
      </w:r>
      <w:r>
        <w:rPr>
          <w:rFonts w:ascii="Arial" w:hAnsi="Arial" w:eastAsia="宋体" w:cs="Arial"/>
          <w:spacing w:val="0"/>
          <w:sz w:val="21"/>
          <w:szCs w:val="21"/>
          <w:highlight w:val="none"/>
          <w:lang w:eastAsia="zh-CN"/>
        </w:rPr>
        <w:t xml:space="preserve">1 - </w:t>
      </w:r>
      <w:r>
        <w:rPr>
          <w:rFonts w:ascii="Arial" w:hAnsi="宋体" w:eastAsia="宋体" w:cs="Arial"/>
          <w:spacing w:val="0"/>
          <w:sz w:val="21"/>
          <w:szCs w:val="21"/>
          <w:highlight w:val="none"/>
          <w:lang w:eastAsia="zh-CN"/>
        </w:rPr>
        <w:t>管道类别</w:t>
      </w:r>
    </w:p>
    <w:tbl>
      <w:tblPr>
        <w:tblStyle w:val="15"/>
        <w:tblW w:w="7781"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84"/>
        <w:gridCol w:w="1584"/>
        <w:gridCol w:w="2304"/>
        <w:gridCol w:w="2309"/>
      </w:tblGrid>
      <w:tr w14:paraId="57A05D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trPr>
        <w:tc>
          <w:tcPr>
            <w:tcW w:w="1584" w:type="dxa"/>
            <w:noWrap w:val="0"/>
            <w:vAlign w:val="top"/>
          </w:tcPr>
          <w:p w14:paraId="63395628">
            <w:pPr>
              <w:pStyle w:val="33"/>
              <w:spacing w:line="240" w:lineRule="atLeast"/>
              <w:ind w:left="0"/>
              <w:rPr>
                <w:rFonts w:ascii="Arial" w:hAnsi="Arial" w:eastAsia="宋体" w:cs="Arial"/>
                <w:b/>
                <w:spacing w:val="0"/>
                <w:sz w:val="21"/>
                <w:szCs w:val="21"/>
                <w:highlight w:val="none"/>
                <w:lang w:eastAsia="zh-CN"/>
              </w:rPr>
            </w:pPr>
            <w:r>
              <w:rPr>
                <w:rFonts w:ascii="Arial" w:hAnsi="宋体" w:eastAsia="宋体" w:cs="Arial"/>
                <w:b/>
                <w:spacing w:val="0"/>
                <w:sz w:val="21"/>
                <w:szCs w:val="21"/>
                <w:highlight w:val="none"/>
                <w:lang w:eastAsia="zh-CN"/>
              </w:rPr>
              <w:t>阀门类型</w:t>
            </w:r>
          </w:p>
        </w:tc>
        <w:tc>
          <w:tcPr>
            <w:tcW w:w="1584" w:type="dxa"/>
            <w:noWrap w:val="0"/>
            <w:vAlign w:val="top"/>
          </w:tcPr>
          <w:p w14:paraId="646B4497">
            <w:pPr>
              <w:pStyle w:val="33"/>
              <w:spacing w:line="240" w:lineRule="atLeast"/>
              <w:ind w:left="0"/>
              <w:rPr>
                <w:rFonts w:ascii="Arial" w:hAnsi="Arial" w:eastAsia="宋体" w:cs="Arial"/>
                <w:b/>
                <w:spacing w:val="0"/>
                <w:sz w:val="21"/>
                <w:szCs w:val="21"/>
                <w:highlight w:val="none"/>
                <w:lang w:eastAsia="zh-CN"/>
              </w:rPr>
            </w:pPr>
            <w:r>
              <w:rPr>
                <w:rFonts w:ascii="Arial" w:hAnsi="宋体" w:eastAsia="宋体" w:cs="Arial"/>
                <w:b/>
                <w:spacing w:val="0"/>
                <w:sz w:val="21"/>
                <w:szCs w:val="21"/>
                <w:highlight w:val="none"/>
                <w:lang w:eastAsia="zh-CN"/>
              </w:rPr>
              <w:t>尺码</w:t>
            </w:r>
            <w:r>
              <w:rPr>
                <w:rFonts w:ascii="Arial" w:hAnsi="Arial" w:eastAsia="宋体" w:cs="Arial"/>
                <w:b/>
                <w:spacing w:val="0"/>
                <w:sz w:val="21"/>
                <w:szCs w:val="21"/>
                <w:highlight w:val="none"/>
                <w:lang w:eastAsia="zh-CN"/>
              </w:rPr>
              <w:t>(mm)</w:t>
            </w:r>
          </w:p>
        </w:tc>
        <w:tc>
          <w:tcPr>
            <w:tcW w:w="2304" w:type="dxa"/>
            <w:noWrap w:val="0"/>
            <w:vAlign w:val="top"/>
          </w:tcPr>
          <w:p w14:paraId="654C354B">
            <w:pPr>
              <w:pStyle w:val="33"/>
              <w:spacing w:line="240" w:lineRule="atLeast"/>
              <w:ind w:left="0"/>
              <w:rPr>
                <w:rFonts w:ascii="Arial" w:hAnsi="Arial" w:eastAsia="宋体" w:cs="Arial"/>
                <w:b/>
                <w:spacing w:val="0"/>
                <w:sz w:val="21"/>
                <w:szCs w:val="21"/>
                <w:highlight w:val="none"/>
                <w:lang w:eastAsia="zh-CN"/>
              </w:rPr>
            </w:pPr>
            <w:r>
              <w:rPr>
                <w:rFonts w:ascii="Arial" w:hAnsi="宋体" w:eastAsia="宋体" w:cs="Arial"/>
                <w:b/>
                <w:spacing w:val="0"/>
                <w:sz w:val="21"/>
                <w:szCs w:val="21"/>
                <w:highlight w:val="none"/>
                <w:lang w:eastAsia="zh-CN"/>
              </w:rPr>
              <w:t>阀体材料</w:t>
            </w:r>
          </w:p>
        </w:tc>
        <w:tc>
          <w:tcPr>
            <w:tcW w:w="2309" w:type="dxa"/>
            <w:noWrap w:val="0"/>
            <w:vAlign w:val="top"/>
          </w:tcPr>
          <w:p w14:paraId="5B21EFC4">
            <w:pPr>
              <w:pStyle w:val="33"/>
              <w:spacing w:line="240" w:lineRule="atLeast"/>
              <w:ind w:left="0"/>
              <w:rPr>
                <w:rFonts w:ascii="Arial" w:hAnsi="Arial" w:eastAsia="宋体" w:cs="Arial"/>
                <w:b/>
                <w:spacing w:val="0"/>
                <w:sz w:val="21"/>
                <w:szCs w:val="21"/>
                <w:highlight w:val="none"/>
                <w:lang w:eastAsia="zh-CN"/>
              </w:rPr>
            </w:pPr>
            <w:r>
              <w:rPr>
                <w:rFonts w:ascii="Arial" w:hAnsi="宋体" w:eastAsia="宋体" w:cs="Arial"/>
                <w:b/>
                <w:spacing w:val="0"/>
                <w:sz w:val="21"/>
                <w:szCs w:val="21"/>
                <w:highlight w:val="none"/>
                <w:lang w:eastAsia="zh-CN"/>
              </w:rPr>
              <w:t>圆盘及阀座材料</w:t>
            </w:r>
          </w:p>
        </w:tc>
      </w:tr>
      <w:tr w14:paraId="639450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84" w:type="dxa"/>
            <w:noWrap w:val="0"/>
            <w:vAlign w:val="top"/>
          </w:tcPr>
          <w:p w14:paraId="23B5355F">
            <w:pPr>
              <w:pStyle w:val="33"/>
              <w:spacing w:line="240" w:lineRule="atLeast"/>
              <w:ind w:left="0"/>
              <w:rPr>
                <w:rFonts w:ascii="Arial" w:hAnsi="Arial" w:eastAsia="宋体" w:cs="Arial"/>
                <w:spacing w:val="0"/>
                <w:sz w:val="21"/>
                <w:szCs w:val="21"/>
                <w:highlight w:val="none"/>
              </w:rPr>
            </w:pPr>
            <w:r>
              <w:rPr>
                <w:rFonts w:ascii="Arial" w:hAnsi="宋体" w:eastAsia="宋体" w:cs="Arial"/>
                <w:spacing w:val="0"/>
                <w:sz w:val="21"/>
                <w:szCs w:val="21"/>
                <w:highlight w:val="none"/>
                <w:lang w:eastAsia="zh-CN"/>
              </w:rPr>
              <w:t>蝶阀</w:t>
            </w:r>
          </w:p>
        </w:tc>
        <w:tc>
          <w:tcPr>
            <w:tcW w:w="1584" w:type="dxa"/>
            <w:noWrap w:val="0"/>
            <w:vAlign w:val="top"/>
          </w:tcPr>
          <w:p w14:paraId="26ADE51C">
            <w:pPr>
              <w:pStyle w:val="33"/>
              <w:spacing w:line="240" w:lineRule="atLeast"/>
              <w:ind w:left="0"/>
              <w:rPr>
                <w:rFonts w:ascii="Arial" w:hAnsi="Arial" w:eastAsia="宋体" w:cs="Arial"/>
                <w:spacing w:val="0"/>
                <w:sz w:val="21"/>
                <w:szCs w:val="21"/>
                <w:highlight w:val="none"/>
              </w:rPr>
            </w:pPr>
            <w:r>
              <w:rPr>
                <w:rFonts w:hint="eastAsia" w:ascii="Arial" w:hAnsi="Arial" w:eastAsia="宋体" w:cs="Arial"/>
                <w:spacing w:val="0"/>
                <w:sz w:val="21"/>
                <w:szCs w:val="21"/>
                <w:highlight w:val="none"/>
                <w:lang w:val="en-US" w:eastAsia="zh-CN"/>
              </w:rPr>
              <w:t>80</w:t>
            </w:r>
            <w:r>
              <w:rPr>
                <w:rFonts w:ascii="Arial" w:hAnsi="宋体" w:eastAsia="宋体" w:cs="Arial"/>
                <w:spacing w:val="0"/>
                <w:sz w:val="21"/>
                <w:szCs w:val="21"/>
                <w:highlight w:val="none"/>
                <w:lang w:eastAsia="zh-CN"/>
              </w:rPr>
              <w:t>或以上</w:t>
            </w:r>
          </w:p>
        </w:tc>
        <w:tc>
          <w:tcPr>
            <w:tcW w:w="2304" w:type="dxa"/>
            <w:noWrap w:val="0"/>
            <w:vAlign w:val="top"/>
          </w:tcPr>
          <w:p w14:paraId="62C3407E">
            <w:pPr>
              <w:pStyle w:val="33"/>
              <w:spacing w:line="240" w:lineRule="atLeast"/>
              <w:ind w:left="0"/>
              <w:rPr>
                <w:rFonts w:ascii="Arial" w:hAnsi="Arial" w:eastAsia="宋体" w:cs="Arial"/>
                <w:spacing w:val="0"/>
                <w:sz w:val="21"/>
                <w:szCs w:val="21"/>
                <w:highlight w:val="none"/>
                <w:lang w:eastAsia="zh-CN"/>
              </w:rPr>
            </w:pPr>
            <w:r>
              <w:rPr>
                <w:rFonts w:hint="eastAsia" w:ascii="Arial" w:hAnsi="宋体" w:eastAsia="宋体" w:cs="Arial"/>
                <w:spacing w:val="0"/>
                <w:sz w:val="21"/>
                <w:szCs w:val="21"/>
                <w:highlight w:val="none"/>
                <w:lang w:eastAsia="zh-CN"/>
              </w:rPr>
              <w:t>UPVC</w:t>
            </w:r>
            <w:r>
              <w:rPr>
                <w:rFonts w:ascii="Arial" w:hAnsi="宋体" w:eastAsia="宋体" w:cs="Arial"/>
                <w:spacing w:val="0"/>
                <w:sz w:val="21"/>
                <w:szCs w:val="21"/>
                <w:highlight w:val="none"/>
                <w:lang w:eastAsia="zh-CN"/>
              </w:rPr>
              <w:t>或</w:t>
            </w:r>
            <w:r>
              <w:rPr>
                <w:rFonts w:hint="eastAsia" w:ascii="Arial" w:hAnsi="宋体" w:eastAsia="宋体" w:cs="Arial"/>
                <w:spacing w:val="0"/>
                <w:sz w:val="21"/>
                <w:szCs w:val="21"/>
                <w:highlight w:val="none"/>
                <w:lang w:eastAsia="zh-CN"/>
              </w:rPr>
              <w:t>球墨铸铁</w:t>
            </w:r>
          </w:p>
        </w:tc>
        <w:tc>
          <w:tcPr>
            <w:tcW w:w="2309" w:type="dxa"/>
            <w:noWrap w:val="0"/>
            <w:vAlign w:val="top"/>
          </w:tcPr>
          <w:p w14:paraId="5DCB1FD9">
            <w:pPr>
              <w:pStyle w:val="33"/>
              <w:spacing w:line="240" w:lineRule="atLeast"/>
              <w:ind w:left="0"/>
              <w:rPr>
                <w:rFonts w:ascii="Arial" w:hAnsi="Arial" w:eastAsia="宋体" w:cs="Arial"/>
                <w:spacing w:val="0"/>
                <w:sz w:val="21"/>
                <w:szCs w:val="21"/>
                <w:highlight w:val="none"/>
                <w:lang w:eastAsia="zh-CN"/>
              </w:rPr>
            </w:pPr>
            <w:r>
              <w:rPr>
                <w:rFonts w:hint="eastAsia" w:ascii="Arial" w:hAnsi="宋体" w:eastAsia="宋体" w:cs="Arial"/>
                <w:spacing w:val="0"/>
                <w:sz w:val="21"/>
                <w:szCs w:val="21"/>
                <w:highlight w:val="none"/>
                <w:lang w:eastAsia="zh-CN"/>
              </w:rPr>
              <w:t>UPVC</w:t>
            </w:r>
            <w:r>
              <w:rPr>
                <w:rFonts w:ascii="Arial" w:hAnsi="宋体" w:eastAsia="宋体" w:cs="Arial"/>
                <w:spacing w:val="0"/>
                <w:sz w:val="21"/>
                <w:szCs w:val="21"/>
                <w:highlight w:val="none"/>
                <w:lang w:eastAsia="zh-CN"/>
              </w:rPr>
              <w:t>或不锈钢</w:t>
            </w:r>
          </w:p>
        </w:tc>
      </w:tr>
      <w:tr w14:paraId="1B2C34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84" w:type="dxa"/>
            <w:noWrap w:val="0"/>
            <w:vAlign w:val="top"/>
          </w:tcPr>
          <w:p w14:paraId="70BB780E">
            <w:pPr>
              <w:pStyle w:val="33"/>
              <w:spacing w:line="240" w:lineRule="atLeast"/>
              <w:ind w:left="0"/>
              <w:rPr>
                <w:rFonts w:ascii="Arial" w:hAnsi="Arial" w:eastAsia="宋体" w:cs="Arial"/>
                <w:spacing w:val="0"/>
                <w:sz w:val="21"/>
                <w:szCs w:val="21"/>
                <w:highlight w:val="none"/>
              </w:rPr>
            </w:pPr>
            <w:r>
              <w:rPr>
                <w:rFonts w:hint="eastAsia" w:ascii="Arial" w:hAnsi="宋体" w:eastAsia="宋体" w:cs="Arial"/>
                <w:spacing w:val="0"/>
                <w:sz w:val="21"/>
                <w:szCs w:val="21"/>
                <w:highlight w:val="none"/>
                <w:lang w:eastAsia="zh-CN"/>
              </w:rPr>
              <w:t>球</w:t>
            </w:r>
            <w:r>
              <w:rPr>
                <w:rFonts w:ascii="Arial" w:hAnsi="宋体" w:eastAsia="宋体" w:cs="Arial"/>
                <w:spacing w:val="0"/>
                <w:sz w:val="21"/>
                <w:szCs w:val="21"/>
                <w:highlight w:val="none"/>
                <w:lang w:eastAsia="zh-CN"/>
              </w:rPr>
              <w:t>阀</w:t>
            </w:r>
          </w:p>
        </w:tc>
        <w:tc>
          <w:tcPr>
            <w:tcW w:w="1584" w:type="dxa"/>
            <w:noWrap w:val="0"/>
            <w:vAlign w:val="top"/>
          </w:tcPr>
          <w:p w14:paraId="55D61A98">
            <w:pPr>
              <w:pStyle w:val="33"/>
              <w:spacing w:line="240" w:lineRule="atLeast"/>
              <w:ind w:left="0"/>
              <w:rPr>
                <w:rFonts w:hint="eastAsia" w:ascii="Arial" w:hAnsi="Arial" w:eastAsia="宋体" w:cs="Arial"/>
                <w:spacing w:val="0"/>
                <w:sz w:val="21"/>
                <w:szCs w:val="21"/>
                <w:highlight w:val="none"/>
              </w:rPr>
            </w:pPr>
            <w:r>
              <w:rPr>
                <w:rFonts w:hint="eastAsia" w:ascii="Arial" w:hAnsi="宋体" w:eastAsia="宋体" w:cs="Arial"/>
                <w:spacing w:val="0"/>
                <w:sz w:val="21"/>
                <w:szCs w:val="21"/>
                <w:highlight w:val="none"/>
                <w:lang w:val="en-US" w:eastAsia="zh-CN"/>
              </w:rPr>
              <w:t>80</w:t>
            </w:r>
            <w:r>
              <w:rPr>
                <w:rFonts w:ascii="Arial" w:hAnsi="宋体" w:eastAsia="宋体" w:cs="Arial"/>
                <w:spacing w:val="0"/>
                <w:sz w:val="21"/>
                <w:szCs w:val="21"/>
                <w:highlight w:val="none"/>
                <w:lang w:eastAsia="zh-CN"/>
              </w:rPr>
              <w:t>或以</w:t>
            </w:r>
            <w:r>
              <w:rPr>
                <w:rFonts w:hint="eastAsia" w:ascii="Arial" w:hAnsi="宋体" w:eastAsia="宋体" w:cs="Arial"/>
                <w:spacing w:val="0"/>
                <w:sz w:val="21"/>
                <w:szCs w:val="21"/>
                <w:highlight w:val="none"/>
                <w:lang w:eastAsia="zh-CN"/>
              </w:rPr>
              <w:t>下</w:t>
            </w:r>
          </w:p>
        </w:tc>
        <w:tc>
          <w:tcPr>
            <w:tcW w:w="2304" w:type="dxa"/>
            <w:noWrap w:val="0"/>
            <w:vAlign w:val="top"/>
          </w:tcPr>
          <w:p w14:paraId="2E49EF9B">
            <w:pPr>
              <w:pStyle w:val="33"/>
              <w:spacing w:line="240" w:lineRule="atLeast"/>
              <w:ind w:left="0"/>
              <w:rPr>
                <w:rFonts w:hint="eastAsia" w:ascii="Arial" w:hAnsi="Arial" w:eastAsia="宋体" w:cs="Arial"/>
                <w:spacing w:val="0"/>
                <w:sz w:val="21"/>
                <w:szCs w:val="21"/>
                <w:highlight w:val="none"/>
                <w:lang w:eastAsia="zh-CN"/>
              </w:rPr>
            </w:pPr>
            <w:r>
              <w:rPr>
                <w:rFonts w:hint="eastAsia" w:ascii="Arial" w:hAnsi="宋体" w:eastAsia="宋体" w:cs="Arial"/>
                <w:spacing w:val="0"/>
                <w:sz w:val="21"/>
                <w:szCs w:val="21"/>
                <w:highlight w:val="none"/>
                <w:lang w:eastAsia="zh-CN"/>
              </w:rPr>
              <w:t>UPVC</w:t>
            </w:r>
            <w:r>
              <w:rPr>
                <w:rFonts w:ascii="Arial" w:hAnsi="宋体" w:eastAsia="宋体" w:cs="Arial"/>
                <w:spacing w:val="0"/>
                <w:sz w:val="21"/>
                <w:szCs w:val="21"/>
                <w:highlight w:val="none"/>
                <w:lang w:eastAsia="zh-CN"/>
              </w:rPr>
              <w:t>或黄铜</w:t>
            </w:r>
          </w:p>
        </w:tc>
        <w:tc>
          <w:tcPr>
            <w:tcW w:w="2309" w:type="dxa"/>
            <w:noWrap w:val="0"/>
            <w:vAlign w:val="top"/>
          </w:tcPr>
          <w:p w14:paraId="3347F686">
            <w:pPr>
              <w:pStyle w:val="33"/>
              <w:spacing w:line="240" w:lineRule="atLeast"/>
              <w:ind w:left="0"/>
              <w:rPr>
                <w:rFonts w:ascii="Arial" w:hAnsi="Arial" w:eastAsia="宋体" w:cs="Arial"/>
                <w:spacing w:val="0"/>
                <w:sz w:val="21"/>
                <w:szCs w:val="21"/>
                <w:highlight w:val="none"/>
                <w:lang w:eastAsia="zh-CN"/>
              </w:rPr>
            </w:pPr>
            <w:r>
              <w:rPr>
                <w:rFonts w:hint="eastAsia" w:ascii="Arial" w:hAnsi="宋体" w:eastAsia="宋体" w:cs="Arial"/>
                <w:spacing w:val="0"/>
                <w:sz w:val="21"/>
                <w:szCs w:val="21"/>
                <w:highlight w:val="none"/>
                <w:lang w:eastAsia="zh-CN"/>
              </w:rPr>
              <w:t>UPVC</w:t>
            </w:r>
            <w:r>
              <w:rPr>
                <w:rFonts w:ascii="Arial" w:hAnsi="宋体" w:eastAsia="宋体" w:cs="Arial"/>
                <w:spacing w:val="0"/>
                <w:sz w:val="21"/>
                <w:szCs w:val="21"/>
                <w:highlight w:val="none"/>
                <w:lang w:eastAsia="zh-CN"/>
              </w:rPr>
              <w:t>或黄铜</w:t>
            </w:r>
          </w:p>
        </w:tc>
      </w:tr>
      <w:tr w14:paraId="5FEB53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84" w:type="dxa"/>
            <w:noWrap w:val="0"/>
            <w:vAlign w:val="top"/>
          </w:tcPr>
          <w:p w14:paraId="04E2499D">
            <w:pPr>
              <w:pStyle w:val="33"/>
              <w:spacing w:line="240" w:lineRule="atLeast"/>
              <w:ind w:left="0"/>
              <w:rPr>
                <w:rFonts w:ascii="Arial" w:hAnsi="Arial" w:eastAsia="宋体" w:cs="Arial"/>
                <w:spacing w:val="0"/>
                <w:sz w:val="21"/>
                <w:szCs w:val="21"/>
                <w:highlight w:val="none"/>
                <w:lang w:eastAsia="zh-CN"/>
              </w:rPr>
            </w:pPr>
            <w:r>
              <w:rPr>
                <w:rFonts w:ascii="Arial" w:hAnsi="宋体" w:eastAsia="宋体" w:cs="Arial"/>
                <w:spacing w:val="0"/>
                <w:sz w:val="21"/>
                <w:szCs w:val="21"/>
                <w:highlight w:val="none"/>
                <w:lang w:eastAsia="zh-CN"/>
              </w:rPr>
              <w:t>无声止回阀</w:t>
            </w:r>
          </w:p>
        </w:tc>
        <w:tc>
          <w:tcPr>
            <w:tcW w:w="1584" w:type="dxa"/>
            <w:noWrap w:val="0"/>
            <w:vAlign w:val="top"/>
          </w:tcPr>
          <w:p w14:paraId="3CE5E01A">
            <w:pPr>
              <w:pStyle w:val="33"/>
              <w:spacing w:line="240" w:lineRule="atLeast"/>
              <w:ind w:left="0"/>
              <w:rPr>
                <w:rFonts w:ascii="Arial" w:hAnsi="Arial" w:eastAsia="宋体" w:cs="Arial"/>
                <w:spacing w:val="0"/>
                <w:sz w:val="21"/>
                <w:szCs w:val="21"/>
                <w:highlight w:val="none"/>
                <w:lang w:eastAsia="zh-CN"/>
              </w:rPr>
            </w:pPr>
            <w:r>
              <w:rPr>
                <w:rFonts w:hint="eastAsia" w:ascii="Arial" w:hAnsi="Arial" w:eastAsia="宋体" w:cs="Arial"/>
                <w:spacing w:val="0"/>
                <w:sz w:val="21"/>
                <w:szCs w:val="21"/>
                <w:highlight w:val="none"/>
                <w:lang w:eastAsia="zh-CN"/>
              </w:rPr>
              <w:t>5</w:t>
            </w:r>
            <w:r>
              <w:rPr>
                <w:rFonts w:ascii="Arial" w:hAnsi="Arial" w:eastAsia="宋体" w:cs="Arial"/>
                <w:spacing w:val="0"/>
                <w:sz w:val="21"/>
                <w:szCs w:val="21"/>
                <w:highlight w:val="none"/>
                <w:lang w:eastAsia="zh-CN"/>
              </w:rPr>
              <w:t>0</w:t>
            </w:r>
            <w:r>
              <w:rPr>
                <w:rFonts w:ascii="Arial" w:hAnsi="宋体" w:eastAsia="宋体" w:cs="Arial"/>
                <w:spacing w:val="0"/>
                <w:sz w:val="21"/>
                <w:szCs w:val="21"/>
                <w:highlight w:val="none"/>
                <w:lang w:eastAsia="zh-CN"/>
              </w:rPr>
              <w:t>及以下</w:t>
            </w:r>
          </w:p>
        </w:tc>
        <w:tc>
          <w:tcPr>
            <w:tcW w:w="2304" w:type="dxa"/>
            <w:noWrap w:val="0"/>
            <w:vAlign w:val="top"/>
          </w:tcPr>
          <w:p w14:paraId="328E4CE5">
            <w:pPr>
              <w:pStyle w:val="33"/>
              <w:spacing w:line="240" w:lineRule="atLeast"/>
              <w:ind w:left="0"/>
              <w:rPr>
                <w:rFonts w:ascii="Arial" w:hAnsi="Arial" w:eastAsia="宋体" w:cs="Arial"/>
                <w:spacing w:val="0"/>
                <w:sz w:val="21"/>
                <w:szCs w:val="21"/>
                <w:highlight w:val="none"/>
                <w:lang w:eastAsia="zh-CN"/>
              </w:rPr>
            </w:pPr>
            <w:r>
              <w:rPr>
                <w:rFonts w:hint="eastAsia" w:ascii="Arial" w:hAnsi="宋体" w:eastAsia="宋体" w:cs="Arial"/>
                <w:spacing w:val="0"/>
                <w:sz w:val="21"/>
                <w:szCs w:val="21"/>
                <w:highlight w:val="none"/>
                <w:lang w:eastAsia="zh-CN"/>
              </w:rPr>
              <w:t>UPVC</w:t>
            </w:r>
            <w:r>
              <w:rPr>
                <w:rFonts w:ascii="Arial" w:hAnsi="宋体" w:eastAsia="宋体" w:cs="Arial"/>
                <w:spacing w:val="0"/>
                <w:sz w:val="21"/>
                <w:szCs w:val="21"/>
                <w:highlight w:val="none"/>
                <w:lang w:eastAsia="zh-CN"/>
              </w:rPr>
              <w:t>或黄铜</w:t>
            </w:r>
          </w:p>
        </w:tc>
        <w:tc>
          <w:tcPr>
            <w:tcW w:w="2309" w:type="dxa"/>
            <w:noWrap w:val="0"/>
            <w:vAlign w:val="top"/>
          </w:tcPr>
          <w:p w14:paraId="6954F4EB">
            <w:pPr>
              <w:pStyle w:val="33"/>
              <w:spacing w:line="240" w:lineRule="atLeast"/>
              <w:ind w:left="0"/>
              <w:rPr>
                <w:rFonts w:ascii="Arial" w:hAnsi="Arial" w:eastAsia="宋体" w:cs="Arial"/>
                <w:spacing w:val="0"/>
                <w:sz w:val="21"/>
                <w:szCs w:val="21"/>
                <w:highlight w:val="none"/>
                <w:lang w:eastAsia="zh-CN"/>
              </w:rPr>
            </w:pPr>
            <w:r>
              <w:rPr>
                <w:rFonts w:hint="eastAsia" w:ascii="Arial" w:hAnsi="宋体" w:eastAsia="宋体" w:cs="Arial"/>
                <w:spacing w:val="0"/>
                <w:sz w:val="21"/>
                <w:szCs w:val="21"/>
                <w:highlight w:val="none"/>
                <w:lang w:eastAsia="zh-CN"/>
              </w:rPr>
              <w:t>UPVC</w:t>
            </w:r>
            <w:r>
              <w:rPr>
                <w:rFonts w:ascii="Arial" w:hAnsi="宋体" w:eastAsia="宋体" w:cs="Arial"/>
                <w:spacing w:val="0"/>
                <w:sz w:val="21"/>
                <w:szCs w:val="21"/>
                <w:highlight w:val="none"/>
                <w:lang w:eastAsia="zh-CN"/>
              </w:rPr>
              <w:t>或黄铜</w:t>
            </w:r>
          </w:p>
        </w:tc>
      </w:tr>
      <w:tr w14:paraId="35BCDF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84" w:type="dxa"/>
            <w:noWrap w:val="0"/>
            <w:vAlign w:val="top"/>
          </w:tcPr>
          <w:p w14:paraId="138487BB">
            <w:pPr>
              <w:pStyle w:val="33"/>
              <w:spacing w:line="240" w:lineRule="atLeast"/>
              <w:ind w:left="0"/>
              <w:rPr>
                <w:rFonts w:ascii="Arial" w:hAnsi="Arial" w:eastAsia="宋体" w:cs="Arial"/>
                <w:spacing w:val="0"/>
                <w:sz w:val="21"/>
                <w:szCs w:val="21"/>
                <w:highlight w:val="none"/>
                <w:lang w:eastAsia="zh-CN"/>
              </w:rPr>
            </w:pPr>
            <w:r>
              <w:rPr>
                <w:rFonts w:ascii="Arial" w:hAnsi="宋体" w:eastAsia="宋体" w:cs="Arial"/>
                <w:spacing w:val="0"/>
                <w:sz w:val="21"/>
                <w:szCs w:val="21"/>
                <w:highlight w:val="none"/>
                <w:lang w:eastAsia="zh-CN"/>
              </w:rPr>
              <w:t>摆荡止回阀</w:t>
            </w:r>
          </w:p>
        </w:tc>
        <w:tc>
          <w:tcPr>
            <w:tcW w:w="1584" w:type="dxa"/>
            <w:noWrap w:val="0"/>
            <w:vAlign w:val="top"/>
          </w:tcPr>
          <w:p w14:paraId="1C5879CD">
            <w:pPr>
              <w:pStyle w:val="33"/>
              <w:spacing w:line="240" w:lineRule="atLeast"/>
              <w:ind w:left="0"/>
              <w:rPr>
                <w:rFonts w:ascii="Arial" w:hAnsi="Arial" w:eastAsia="宋体" w:cs="Arial"/>
                <w:spacing w:val="0"/>
                <w:sz w:val="21"/>
                <w:szCs w:val="21"/>
                <w:highlight w:val="none"/>
                <w:lang w:eastAsia="zh-CN"/>
              </w:rPr>
            </w:pPr>
            <w:r>
              <w:rPr>
                <w:rFonts w:hint="eastAsia" w:ascii="Arial" w:hAnsi="Arial" w:eastAsia="宋体" w:cs="Arial"/>
                <w:spacing w:val="0"/>
                <w:sz w:val="21"/>
                <w:szCs w:val="21"/>
                <w:highlight w:val="none"/>
                <w:lang w:eastAsia="zh-CN"/>
              </w:rPr>
              <w:t>65</w:t>
            </w:r>
            <w:r>
              <w:rPr>
                <w:rFonts w:ascii="Arial" w:hAnsi="宋体" w:eastAsia="宋体" w:cs="Arial"/>
                <w:spacing w:val="0"/>
                <w:sz w:val="21"/>
                <w:szCs w:val="21"/>
                <w:highlight w:val="none"/>
                <w:lang w:eastAsia="zh-CN"/>
              </w:rPr>
              <w:t>及以上</w:t>
            </w:r>
          </w:p>
        </w:tc>
        <w:tc>
          <w:tcPr>
            <w:tcW w:w="2304" w:type="dxa"/>
            <w:noWrap w:val="0"/>
            <w:vAlign w:val="top"/>
          </w:tcPr>
          <w:p w14:paraId="4C37ABA9">
            <w:pPr>
              <w:pStyle w:val="33"/>
              <w:spacing w:line="240" w:lineRule="atLeast"/>
              <w:ind w:left="0"/>
              <w:rPr>
                <w:rFonts w:ascii="Arial" w:hAnsi="Arial" w:eastAsia="宋体" w:cs="Arial"/>
                <w:spacing w:val="0"/>
                <w:sz w:val="21"/>
                <w:szCs w:val="21"/>
                <w:highlight w:val="none"/>
                <w:lang w:eastAsia="zh-CN"/>
              </w:rPr>
            </w:pPr>
            <w:r>
              <w:rPr>
                <w:rFonts w:hint="eastAsia" w:ascii="Arial" w:hAnsi="宋体" w:eastAsia="宋体" w:cs="Arial"/>
                <w:spacing w:val="0"/>
                <w:sz w:val="21"/>
                <w:szCs w:val="21"/>
                <w:highlight w:val="none"/>
                <w:lang w:eastAsia="zh-CN"/>
              </w:rPr>
              <w:t>UPVC</w:t>
            </w:r>
            <w:r>
              <w:rPr>
                <w:rFonts w:ascii="Arial" w:hAnsi="宋体" w:eastAsia="宋体" w:cs="Arial"/>
                <w:spacing w:val="0"/>
                <w:sz w:val="21"/>
                <w:szCs w:val="21"/>
                <w:highlight w:val="none"/>
                <w:lang w:eastAsia="zh-CN"/>
              </w:rPr>
              <w:t>或球墨铸铁</w:t>
            </w:r>
          </w:p>
        </w:tc>
        <w:tc>
          <w:tcPr>
            <w:tcW w:w="2309" w:type="dxa"/>
            <w:noWrap w:val="0"/>
            <w:vAlign w:val="top"/>
          </w:tcPr>
          <w:p w14:paraId="7C1E49A4">
            <w:pPr>
              <w:pStyle w:val="33"/>
              <w:spacing w:line="240" w:lineRule="atLeast"/>
              <w:ind w:left="0"/>
              <w:rPr>
                <w:rFonts w:ascii="Arial" w:hAnsi="Arial" w:eastAsia="宋体" w:cs="Arial"/>
                <w:spacing w:val="0"/>
                <w:sz w:val="21"/>
                <w:szCs w:val="21"/>
                <w:highlight w:val="none"/>
                <w:lang w:eastAsia="zh-CN"/>
              </w:rPr>
            </w:pPr>
            <w:r>
              <w:rPr>
                <w:rFonts w:hint="eastAsia" w:ascii="Arial" w:hAnsi="宋体" w:eastAsia="宋体" w:cs="Arial"/>
                <w:spacing w:val="0"/>
                <w:sz w:val="21"/>
                <w:szCs w:val="21"/>
                <w:highlight w:val="none"/>
                <w:lang w:eastAsia="zh-CN"/>
              </w:rPr>
              <w:t>UPVC</w:t>
            </w:r>
            <w:r>
              <w:rPr>
                <w:rFonts w:ascii="Arial" w:hAnsi="宋体" w:eastAsia="宋体" w:cs="Arial"/>
                <w:spacing w:val="0"/>
                <w:sz w:val="21"/>
                <w:szCs w:val="21"/>
                <w:highlight w:val="none"/>
                <w:lang w:eastAsia="zh-CN"/>
              </w:rPr>
              <w:t>或不锈钢</w:t>
            </w:r>
          </w:p>
        </w:tc>
      </w:tr>
    </w:tbl>
    <w:p w14:paraId="6BFD9918">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178" w:name="_Toc28792"/>
      <w:bookmarkStart w:id="179" w:name="_Toc22168"/>
      <w:bookmarkStart w:id="180" w:name="_Toc17682"/>
      <w:bookmarkStart w:id="181" w:name="_Toc28934"/>
      <w:r>
        <w:rPr>
          <w:rFonts w:hint="eastAsia" w:ascii="宋体" w:hAnsi="宋体"/>
          <w:b/>
          <w:sz w:val="21"/>
          <w:szCs w:val="21"/>
          <w:highlight w:val="none"/>
        </w:rPr>
        <w:t>施工</w:t>
      </w:r>
      <w:bookmarkEnd w:id="178"/>
      <w:bookmarkEnd w:id="179"/>
      <w:bookmarkEnd w:id="180"/>
      <w:bookmarkEnd w:id="181"/>
    </w:p>
    <w:p w14:paraId="092599A9">
      <w:pPr>
        <w:pStyle w:val="23"/>
        <w:numPr>
          <w:ilvl w:val="3"/>
          <w:numId w:val="2"/>
        </w:numPr>
        <w:spacing w:line="360" w:lineRule="auto"/>
        <w:ind w:left="0" w:leftChars="0" w:firstLine="0" w:firstLineChars="0"/>
        <w:jc w:val="left"/>
        <w:outlineLvl w:val="1"/>
        <w:rPr>
          <w:rFonts w:ascii="宋体" w:hAnsi="宋体"/>
          <w:b/>
          <w:sz w:val="21"/>
          <w:szCs w:val="21"/>
          <w:highlight w:val="none"/>
        </w:rPr>
      </w:pPr>
      <w:bookmarkStart w:id="182" w:name="_Toc9923"/>
      <w:bookmarkStart w:id="183" w:name="_Toc16551"/>
      <w:bookmarkStart w:id="184" w:name="_Toc17916"/>
      <w:bookmarkStart w:id="185" w:name="_Toc13964"/>
      <w:r>
        <w:rPr>
          <w:rFonts w:hint="eastAsia" w:ascii="宋体" w:hAnsi="宋体"/>
          <w:b/>
          <w:sz w:val="21"/>
          <w:szCs w:val="21"/>
          <w:highlight w:val="none"/>
        </w:rPr>
        <w:t>说明</w:t>
      </w:r>
      <w:bookmarkEnd w:id="182"/>
      <w:bookmarkEnd w:id="183"/>
      <w:bookmarkEnd w:id="184"/>
      <w:bookmarkEnd w:id="185"/>
    </w:p>
    <w:p w14:paraId="3948F0D1">
      <w:pPr>
        <w:numPr>
          <w:ilvl w:val="0"/>
          <w:numId w:val="33"/>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按图纸所示或规格说明书要求，提供阀门并排列以达致整个系统的控制。安装位置须方便操作及易于维修。</w:t>
      </w:r>
    </w:p>
    <w:p w14:paraId="28773721">
      <w:pPr>
        <w:pStyle w:val="23"/>
        <w:numPr>
          <w:ilvl w:val="3"/>
          <w:numId w:val="2"/>
        </w:numPr>
        <w:spacing w:line="360" w:lineRule="auto"/>
        <w:ind w:left="0" w:leftChars="0" w:firstLine="0" w:firstLineChars="0"/>
        <w:jc w:val="left"/>
        <w:outlineLvl w:val="1"/>
        <w:rPr>
          <w:rFonts w:ascii="宋体" w:hAnsi="宋体"/>
          <w:b/>
          <w:sz w:val="21"/>
          <w:szCs w:val="21"/>
          <w:highlight w:val="none"/>
        </w:rPr>
      </w:pPr>
      <w:bookmarkStart w:id="186" w:name="_Toc30464"/>
      <w:bookmarkStart w:id="187" w:name="_Toc1807"/>
      <w:bookmarkStart w:id="188" w:name="_Toc23556"/>
      <w:bookmarkStart w:id="189" w:name="_Toc30773"/>
      <w:r>
        <w:rPr>
          <w:rFonts w:hint="eastAsia" w:ascii="宋体" w:hAnsi="宋体"/>
          <w:b/>
          <w:sz w:val="21"/>
          <w:szCs w:val="21"/>
          <w:highlight w:val="none"/>
        </w:rPr>
        <w:t>管道吊架和支架安装</w:t>
      </w:r>
      <w:bookmarkEnd w:id="186"/>
      <w:bookmarkEnd w:id="187"/>
      <w:bookmarkEnd w:id="188"/>
      <w:bookmarkEnd w:id="189"/>
    </w:p>
    <w:p w14:paraId="3A68B2E6">
      <w:pPr>
        <w:numPr>
          <w:ilvl w:val="0"/>
          <w:numId w:val="34"/>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安装使阀杆向上或水平，但不可向下。</w:t>
      </w:r>
    </w:p>
    <w:p w14:paraId="3040CE66">
      <w:pPr>
        <w:numPr>
          <w:ilvl w:val="0"/>
          <w:numId w:val="34"/>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安装闸阀及蝶阀作为关闭和隔离系统，使隔离设备系统一部分或垂直立管等。</w:t>
      </w:r>
    </w:p>
    <w:p w14:paraId="428CCFCC">
      <w:pPr>
        <w:numPr>
          <w:ilvl w:val="0"/>
          <w:numId w:val="34"/>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安装球阀作为节流或调控和水表旁通管。</w:t>
      </w:r>
    </w:p>
    <w:p w14:paraId="1886C938">
      <w:pPr>
        <w:numPr>
          <w:ilvl w:val="0"/>
          <w:numId w:val="34"/>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安装排放阀于主要蝶阀及管道设备等的低位。</w:t>
      </w:r>
    </w:p>
    <w:p w14:paraId="20BF0CB0">
      <w:pPr>
        <w:numPr>
          <w:ilvl w:val="0"/>
          <w:numId w:val="34"/>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排放阀须有螺纹接头接驳软管。</w:t>
      </w:r>
    </w:p>
    <w:p w14:paraId="0567F510">
      <w:pPr>
        <w:numPr>
          <w:ilvl w:val="0"/>
          <w:numId w:val="34"/>
        </w:numPr>
        <w:tabs>
          <w:tab w:val="left" w:pos="900"/>
        </w:tabs>
        <w:autoSpaceDE w:val="0"/>
        <w:autoSpaceDN w:val="0"/>
        <w:adjustRightInd w:val="0"/>
        <w:spacing w:before="93" w:beforeLines="30" w:after="93" w:afterLines="30" w:line="360" w:lineRule="atLeast"/>
        <w:ind w:left="900" w:right="-23" w:hanging="360"/>
        <w:jc w:val="left"/>
        <w:textAlignment w:val="baseline"/>
        <w:rPr>
          <w:rFonts w:hint="eastAsia" w:ascii="Arial" w:hAnsi="宋体" w:cs="Arial"/>
          <w:sz w:val="21"/>
          <w:szCs w:val="21"/>
          <w:highlight w:val="none"/>
          <w:lang w:val="en-GB"/>
        </w:rPr>
      </w:pPr>
      <w:r>
        <w:rPr>
          <w:rFonts w:hint="eastAsia" w:ascii="Arial" w:hAnsi="宋体" w:cs="Arial"/>
          <w:sz w:val="21"/>
          <w:szCs w:val="21"/>
          <w:highlight w:val="none"/>
          <w:lang w:val="en-GB"/>
        </w:rPr>
        <w:t>安装弹簧止回阀于水泵排放管。</w:t>
      </w:r>
    </w:p>
    <w:p w14:paraId="2C6B1C42">
      <w:pPr>
        <w:pStyle w:val="23"/>
        <w:numPr>
          <w:ilvl w:val="2"/>
          <w:numId w:val="2"/>
        </w:numPr>
        <w:spacing w:line="360" w:lineRule="auto"/>
        <w:ind w:left="420" w:leftChars="0" w:firstLine="0" w:firstLineChars="0"/>
        <w:jc w:val="left"/>
        <w:outlineLvl w:val="1"/>
        <w:rPr>
          <w:rFonts w:ascii="宋体" w:hAnsi="宋体"/>
          <w:b/>
          <w:sz w:val="21"/>
          <w:szCs w:val="21"/>
          <w:highlight w:val="none"/>
        </w:rPr>
      </w:pPr>
      <w:bookmarkStart w:id="190" w:name="_Toc3291"/>
      <w:bookmarkStart w:id="191" w:name="_Toc11831"/>
      <w:bookmarkStart w:id="192" w:name="_Toc16380"/>
      <w:bookmarkStart w:id="193" w:name="_Toc31711"/>
      <w:r>
        <w:rPr>
          <w:rFonts w:hint="eastAsia" w:ascii="宋体" w:hAnsi="宋体"/>
          <w:b/>
          <w:sz w:val="21"/>
          <w:szCs w:val="21"/>
          <w:highlight w:val="none"/>
        </w:rPr>
        <w:t>泳池风管</w:t>
      </w:r>
      <w:bookmarkEnd w:id="190"/>
      <w:bookmarkEnd w:id="191"/>
      <w:bookmarkEnd w:id="192"/>
      <w:bookmarkEnd w:id="193"/>
    </w:p>
    <w:p w14:paraId="0225D57C">
      <w:pPr>
        <w:spacing w:line="360" w:lineRule="auto"/>
        <w:rPr>
          <w:rFonts w:hint="default" w:ascii="宋体" w:hAnsi="宋体"/>
          <w:sz w:val="21"/>
          <w:szCs w:val="21"/>
          <w:highlight w:val="none"/>
          <w:lang w:val="en-US"/>
        </w:rPr>
      </w:pPr>
      <w:r>
        <w:rPr>
          <w:rFonts w:hint="eastAsia" w:asciiTheme="minorEastAsia" w:hAnsiTheme="minorEastAsia" w:cstheme="minorEastAsia"/>
          <w:sz w:val="21"/>
          <w:szCs w:val="21"/>
          <w:lang w:val="en-US" w:eastAsia="zh-CN"/>
        </w:rPr>
        <w:t>详见风管相关文件。</w:t>
      </w:r>
    </w:p>
    <w:p w14:paraId="5CDD593F">
      <w:pPr>
        <w:pStyle w:val="23"/>
        <w:numPr>
          <w:ilvl w:val="1"/>
          <w:numId w:val="2"/>
        </w:numPr>
        <w:spacing w:line="360" w:lineRule="auto"/>
        <w:ind w:left="0" w:leftChars="0" w:firstLine="0" w:firstLineChars="0"/>
        <w:jc w:val="left"/>
        <w:outlineLvl w:val="1"/>
        <w:rPr>
          <w:rFonts w:hint="eastAsia" w:ascii="宋体" w:hAnsi="宋体"/>
          <w:b/>
          <w:sz w:val="21"/>
          <w:szCs w:val="21"/>
          <w:highlight w:val="none"/>
        </w:rPr>
      </w:pPr>
      <w:r>
        <w:rPr>
          <w:rFonts w:ascii="宋体" w:hAnsi="宋体"/>
          <w:b/>
          <w:sz w:val="21"/>
          <w:szCs w:val="21"/>
          <w:highlight w:val="none"/>
        </w:rPr>
        <w:br w:type="page"/>
      </w:r>
      <w:bookmarkStart w:id="194" w:name="_Toc29000"/>
      <w:bookmarkStart w:id="195" w:name="_Toc14355"/>
      <w:bookmarkStart w:id="196" w:name="_Toc17414"/>
      <w:bookmarkStart w:id="197" w:name="_Toc17767"/>
      <w:r>
        <w:rPr>
          <w:rFonts w:hint="eastAsia" w:ascii="宋体" w:hAnsi="宋体"/>
          <w:b/>
          <w:sz w:val="21"/>
          <w:szCs w:val="21"/>
          <w:highlight w:val="none"/>
        </w:rPr>
        <w:t>游泳池热泵型除湿机设备技术要求</w:t>
      </w:r>
      <w:bookmarkEnd w:id="194"/>
      <w:bookmarkEnd w:id="195"/>
      <w:bookmarkEnd w:id="196"/>
      <w:bookmarkEnd w:id="197"/>
    </w:p>
    <w:p w14:paraId="5AECC78D">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198" w:name="_Toc12474"/>
      <w:bookmarkStart w:id="199" w:name="_Toc16508"/>
      <w:bookmarkStart w:id="200" w:name="_Toc6654"/>
      <w:bookmarkStart w:id="201" w:name="_Toc3174"/>
      <w:r>
        <w:rPr>
          <w:rFonts w:hint="eastAsia" w:ascii="宋体" w:hAnsi="宋体"/>
          <w:b/>
          <w:sz w:val="21"/>
          <w:szCs w:val="21"/>
          <w:highlight w:val="none"/>
        </w:rPr>
        <w:t xml:space="preserve">第1部分 </w:t>
      </w:r>
      <w:r>
        <w:rPr>
          <w:rFonts w:ascii="宋体" w:hAnsi="宋体"/>
          <w:b/>
          <w:sz w:val="21"/>
          <w:szCs w:val="21"/>
          <w:highlight w:val="none"/>
        </w:rPr>
        <w:t>–</w:t>
      </w:r>
      <w:r>
        <w:rPr>
          <w:rFonts w:hint="eastAsia" w:ascii="宋体" w:hAnsi="宋体"/>
          <w:b/>
          <w:sz w:val="21"/>
          <w:szCs w:val="21"/>
          <w:highlight w:val="none"/>
        </w:rPr>
        <w:t xml:space="preserve"> 概述</w:t>
      </w:r>
      <w:bookmarkEnd w:id="198"/>
      <w:bookmarkEnd w:id="199"/>
      <w:bookmarkEnd w:id="200"/>
      <w:bookmarkEnd w:id="201"/>
    </w:p>
    <w:p w14:paraId="14E801FE">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02" w:name="_Toc13471"/>
      <w:bookmarkStart w:id="203" w:name="_Toc3440"/>
      <w:bookmarkStart w:id="204" w:name="_Toc9291"/>
      <w:bookmarkStart w:id="205" w:name="_Toc30820"/>
      <w:r>
        <w:rPr>
          <w:rFonts w:hint="eastAsia" w:ascii="宋体" w:hAnsi="宋体"/>
          <w:b/>
          <w:sz w:val="21"/>
          <w:szCs w:val="21"/>
          <w:highlight w:val="none"/>
        </w:rPr>
        <w:t>说明</w:t>
      </w:r>
      <w:bookmarkEnd w:id="202"/>
      <w:bookmarkEnd w:id="203"/>
      <w:bookmarkEnd w:id="204"/>
      <w:bookmarkEnd w:id="205"/>
    </w:p>
    <w:p w14:paraId="180505D2">
      <w:pPr>
        <w:numPr>
          <w:ilvl w:val="0"/>
          <w:numId w:val="35"/>
        </w:numPr>
        <w:spacing w:line="340" w:lineRule="exact"/>
        <w:rPr>
          <w:rFonts w:hint="eastAsia" w:ascii="Arial" w:hAnsi="Arial" w:cs="Arial"/>
          <w:sz w:val="21"/>
          <w:szCs w:val="21"/>
          <w:highlight w:val="none"/>
        </w:rPr>
      </w:pPr>
      <w:r>
        <w:rPr>
          <w:rFonts w:hint="eastAsia" w:ascii="Arial" w:hAnsi="Arial" w:cs="Arial"/>
          <w:sz w:val="21"/>
          <w:szCs w:val="21"/>
          <w:highlight w:val="none"/>
        </w:rPr>
        <w:t>在指定地点提供和安装工厂原装游泳池环境控制/能源回收系统。该系统组成包括机械热回收，送、回风机，新风/排风和再循环空气风量电动比例调节阀，泳池空间除湿，池水加热器，微电脑控制系统。</w:t>
      </w:r>
    </w:p>
    <w:p w14:paraId="3091ED0C">
      <w:pPr>
        <w:numPr>
          <w:ilvl w:val="0"/>
          <w:numId w:val="35"/>
        </w:numPr>
        <w:spacing w:line="340" w:lineRule="exact"/>
        <w:rPr>
          <w:rFonts w:hint="eastAsia" w:ascii="Arial" w:hAnsi="Arial" w:cs="Arial"/>
          <w:sz w:val="21"/>
          <w:szCs w:val="21"/>
          <w:highlight w:val="none"/>
        </w:rPr>
      </w:pPr>
      <w:r>
        <w:rPr>
          <w:rFonts w:hint="eastAsia" w:ascii="Arial" w:hAnsi="Arial" w:cs="Arial"/>
          <w:sz w:val="21"/>
          <w:szCs w:val="21"/>
          <w:highlight w:val="none"/>
        </w:rPr>
        <w:t>设备专门针对室内恒温泳池除湿任务而专门设计制造和测试的。现场安装的或经过修改的标准商业级设备是不能接受的。</w:t>
      </w:r>
    </w:p>
    <w:p w14:paraId="51A58760">
      <w:pPr>
        <w:numPr>
          <w:ilvl w:val="0"/>
          <w:numId w:val="35"/>
        </w:numPr>
        <w:spacing w:line="340" w:lineRule="exact"/>
        <w:rPr>
          <w:rFonts w:hint="eastAsia" w:ascii="Arial" w:hAnsi="Arial" w:cs="Arial"/>
          <w:sz w:val="21"/>
          <w:szCs w:val="21"/>
          <w:highlight w:val="none"/>
        </w:rPr>
      </w:pPr>
      <w:r>
        <w:rPr>
          <w:rFonts w:hint="eastAsia" w:ascii="Arial" w:hAnsi="Arial" w:cs="Arial"/>
          <w:sz w:val="21"/>
          <w:szCs w:val="21"/>
          <w:highlight w:val="none"/>
        </w:rPr>
        <w:t>制造商品牌在制造类似设备方面具有十年或以上的经验；如果属于国外品牌在中国境内独资或合资生产（在中国境内生产的产品，必须与原厂生产的产品类型、技术标准及制造标准一致），则要求原厂具备十五年以上的同类产品制造经验。</w:t>
      </w:r>
    </w:p>
    <w:p w14:paraId="6FB79DDB">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06" w:name="_Toc13235"/>
      <w:bookmarkStart w:id="207" w:name="_Toc8779"/>
      <w:bookmarkStart w:id="208" w:name="_Toc7756"/>
      <w:bookmarkStart w:id="209" w:name="_Toc30704"/>
      <w:r>
        <w:rPr>
          <w:rFonts w:hint="eastAsia" w:ascii="宋体" w:hAnsi="宋体"/>
          <w:b/>
          <w:sz w:val="21"/>
          <w:szCs w:val="21"/>
          <w:highlight w:val="none"/>
        </w:rPr>
        <w:t>意图</w:t>
      </w:r>
      <w:bookmarkEnd w:id="206"/>
      <w:bookmarkEnd w:id="207"/>
      <w:bookmarkEnd w:id="208"/>
      <w:bookmarkEnd w:id="209"/>
    </w:p>
    <w:p w14:paraId="45C871B5">
      <w:pPr>
        <w:numPr>
          <w:ilvl w:val="0"/>
          <w:numId w:val="36"/>
        </w:numPr>
        <w:spacing w:line="340" w:lineRule="exact"/>
        <w:rPr>
          <w:rFonts w:hint="eastAsia" w:ascii="Arial" w:hAnsi="Arial" w:cs="Arial"/>
          <w:sz w:val="21"/>
          <w:szCs w:val="21"/>
          <w:highlight w:val="none"/>
        </w:rPr>
      </w:pPr>
      <w:r>
        <w:rPr>
          <w:rFonts w:hint="eastAsia" w:ascii="Arial" w:hAnsi="Arial" w:cs="Arial"/>
          <w:sz w:val="21"/>
          <w:szCs w:val="21"/>
          <w:highlight w:val="none"/>
        </w:rPr>
        <w:t>技术规范本节的意图是提供一套可操作的经过调整的游泳池空间除湿系统，如技术参数表所示和规定。</w:t>
      </w:r>
    </w:p>
    <w:p w14:paraId="62098241">
      <w:pPr>
        <w:spacing w:line="260" w:lineRule="exact"/>
        <w:rPr>
          <w:rFonts w:hint="eastAsia"/>
          <w:sz w:val="21"/>
          <w:szCs w:val="21"/>
          <w:highlight w:val="none"/>
        </w:rPr>
      </w:pPr>
    </w:p>
    <w:p w14:paraId="0DABF553">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210" w:name="_Toc24698"/>
      <w:bookmarkStart w:id="211" w:name="_Toc9995"/>
      <w:bookmarkStart w:id="212" w:name="_Toc5473"/>
      <w:bookmarkStart w:id="213" w:name="_Toc13038"/>
      <w:r>
        <w:rPr>
          <w:rFonts w:hint="eastAsia" w:ascii="宋体" w:hAnsi="宋体"/>
          <w:b/>
          <w:sz w:val="21"/>
          <w:szCs w:val="21"/>
          <w:highlight w:val="none"/>
        </w:rPr>
        <w:t xml:space="preserve">第2部分 </w:t>
      </w:r>
      <w:r>
        <w:rPr>
          <w:rFonts w:ascii="宋体" w:hAnsi="宋体"/>
          <w:b/>
          <w:sz w:val="21"/>
          <w:szCs w:val="21"/>
          <w:highlight w:val="none"/>
        </w:rPr>
        <w:t>–</w:t>
      </w:r>
      <w:r>
        <w:rPr>
          <w:rFonts w:hint="eastAsia" w:ascii="宋体" w:hAnsi="宋体"/>
          <w:b/>
          <w:sz w:val="21"/>
          <w:szCs w:val="21"/>
          <w:highlight w:val="none"/>
        </w:rPr>
        <w:t xml:space="preserve"> 产品</w:t>
      </w:r>
      <w:bookmarkEnd w:id="210"/>
      <w:bookmarkEnd w:id="211"/>
      <w:bookmarkEnd w:id="212"/>
      <w:bookmarkEnd w:id="213"/>
    </w:p>
    <w:p w14:paraId="32519E0E">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14" w:name="_Toc22023"/>
      <w:bookmarkStart w:id="215" w:name="_Toc28906"/>
      <w:bookmarkStart w:id="216" w:name="_Toc23601"/>
      <w:bookmarkStart w:id="217" w:name="_Toc16247"/>
      <w:r>
        <w:rPr>
          <w:rFonts w:hint="eastAsia" w:ascii="宋体" w:hAnsi="宋体"/>
          <w:b/>
          <w:sz w:val="21"/>
          <w:szCs w:val="21"/>
          <w:highlight w:val="none"/>
        </w:rPr>
        <w:t>操作原理</w:t>
      </w:r>
      <w:bookmarkEnd w:id="214"/>
      <w:bookmarkEnd w:id="215"/>
      <w:bookmarkEnd w:id="216"/>
      <w:bookmarkEnd w:id="217"/>
    </w:p>
    <w:p w14:paraId="3D2E30F2">
      <w:pPr>
        <w:numPr>
          <w:ilvl w:val="0"/>
          <w:numId w:val="37"/>
        </w:numPr>
        <w:spacing w:line="340" w:lineRule="exact"/>
        <w:rPr>
          <w:rFonts w:hint="eastAsia" w:ascii="Arial" w:hAnsi="Arial" w:cs="Arial"/>
          <w:sz w:val="21"/>
          <w:szCs w:val="21"/>
          <w:highlight w:val="none"/>
        </w:rPr>
      </w:pPr>
      <w:r>
        <w:rPr>
          <w:rFonts w:hint="eastAsia" w:ascii="Arial" w:hAnsi="Arial" w:cs="Arial"/>
          <w:sz w:val="21"/>
          <w:szCs w:val="21"/>
          <w:highlight w:val="none"/>
        </w:rPr>
        <w:t>设备将控制空间温度，相对湿度，游泳池水温并提供有控制的通风。游泳池暖湿空气由回风机抽吸通过蒸发器盘管,除去空气中潜热和显热。该过程所捕获的热量和压缩机耗能所产生的热量为一机械制冷系统所吸收。不断产生的较干较凉的空气被回风机送入混合箱中。设备应具有一种自动新风节能器控制功能，功能的系统逻辑能够确定离开蒸发器的多大比例的空气要被从混合箱中排出，并用相同量的新风加以替换。选择的排风量应能够基于新风温度和湿度的对比、回风温度和湿度对比以及离开蒸发器的空气温度和湿度对比，使设备产生最小的电耗。来自混合箱的空气由送风机抽吸通过再加热冷凝器盘管和辅助加热盘管。</w:t>
      </w:r>
    </w:p>
    <w:p w14:paraId="25B2D98A">
      <w:pPr>
        <w:spacing w:line="260" w:lineRule="exact"/>
        <w:ind w:left="1050" w:leftChars="200" w:hanging="630" w:hangingChars="300"/>
        <w:rPr>
          <w:rFonts w:hint="eastAsia"/>
          <w:sz w:val="21"/>
          <w:szCs w:val="21"/>
          <w:highlight w:val="none"/>
        </w:rPr>
      </w:pPr>
    </w:p>
    <w:p w14:paraId="7ED72BDE">
      <w:pPr>
        <w:numPr>
          <w:ilvl w:val="0"/>
          <w:numId w:val="37"/>
        </w:numPr>
        <w:spacing w:line="340" w:lineRule="exact"/>
        <w:rPr>
          <w:rFonts w:hint="eastAsia" w:ascii="Arial" w:hAnsi="Arial" w:cs="Arial"/>
          <w:sz w:val="21"/>
          <w:szCs w:val="21"/>
          <w:highlight w:val="none"/>
        </w:rPr>
      </w:pPr>
      <w:r>
        <w:rPr>
          <w:rFonts w:hint="eastAsia" w:ascii="Arial" w:hAnsi="Arial" w:cs="Arial"/>
          <w:sz w:val="21"/>
          <w:szCs w:val="21"/>
          <w:highlight w:val="none"/>
        </w:rPr>
        <w:t>发生下列情况时制冷系统即被起动：</w:t>
      </w:r>
    </w:p>
    <w:p w14:paraId="4D51F409">
      <w:pPr>
        <w:numPr>
          <w:ilvl w:val="0"/>
          <w:numId w:val="38"/>
        </w:numPr>
        <w:spacing w:line="340" w:lineRule="exact"/>
        <w:rPr>
          <w:rFonts w:hint="eastAsia" w:ascii="Arial" w:hAnsi="Arial" w:cs="Arial"/>
          <w:sz w:val="21"/>
          <w:szCs w:val="21"/>
          <w:highlight w:val="none"/>
        </w:rPr>
      </w:pPr>
      <w:r>
        <w:rPr>
          <w:rFonts w:hint="eastAsia" w:ascii="Arial" w:hAnsi="Arial" w:cs="Arial"/>
          <w:sz w:val="21"/>
          <w:szCs w:val="21"/>
          <w:highlight w:val="none"/>
        </w:rPr>
        <w:t>新风不能节能且空间温度降至设定值以下。</w:t>
      </w:r>
    </w:p>
    <w:p w14:paraId="4BED3A68">
      <w:pPr>
        <w:numPr>
          <w:ilvl w:val="0"/>
          <w:numId w:val="38"/>
        </w:numPr>
        <w:spacing w:line="340" w:lineRule="exact"/>
        <w:rPr>
          <w:rFonts w:hint="eastAsia" w:ascii="Arial" w:hAnsi="Arial" w:cs="Arial"/>
          <w:sz w:val="21"/>
          <w:szCs w:val="21"/>
          <w:highlight w:val="none"/>
        </w:rPr>
      </w:pPr>
      <w:r>
        <w:rPr>
          <w:rFonts w:hint="eastAsia" w:ascii="Arial" w:hAnsi="Arial" w:cs="Arial"/>
          <w:sz w:val="21"/>
          <w:szCs w:val="21"/>
          <w:highlight w:val="none"/>
        </w:rPr>
        <w:t>相对湿度已经高于设定值</w:t>
      </w:r>
    </w:p>
    <w:p w14:paraId="3E0BB193">
      <w:pPr>
        <w:numPr>
          <w:ilvl w:val="0"/>
          <w:numId w:val="38"/>
        </w:numPr>
        <w:spacing w:line="340" w:lineRule="exact"/>
        <w:rPr>
          <w:rFonts w:hint="eastAsia" w:ascii="Arial" w:hAnsi="Arial" w:cs="Arial"/>
          <w:sz w:val="21"/>
          <w:szCs w:val="21"/>
          <w:highlight w:val="none"/>
        </w:rPr>
      </w:pPr>
      <w:r>
        <w:rPr>
          <w:rFonts w:hint="eastAsia" w:ascii="Arial" w:hAnsi="Arial" w:cs="Arial"/>
          <w:sz w:val="21"/>
          <w:szCs w:val="21"/>
          <w:highlight w:val="none"/>
        </w:rPr>
        <w:t>空间温度已经高于设定值。</w:t>
      </w:r>
    </w:p>
    <w:p w14:paraId="221EFB10">
      <w:pPr>
        <w:spacing w:line="260" w:lineRule="exact"/>
        <w:ind w:left="1050" w:leftChars="200" w:hanging="630" w:hangingChars="300"/>
        <w:rPr>
          <w:rFonts w:hint="eastAsia"/>
          <w:sz w:val="21"/>
          <w:szCs w:val="21"/>
          <w:highlight w:val="none"/>
        </w:rPr>
      </w:pPr>
    </w:p>
    <w:p w14:paraId="2A7EA38B">
      <w:pPr>
        <w:numPr>
          <w:ilvl w:val="0"/>
          <w:numId w:val="37"/>
        </w:numPr>
        <w:spacing w:line="340" w:lineRule="exact"/>
        <w:rPr>
          <w:rFonts w:hint="eastAsia" w:ascii="Arial" w:hAnsi="Arial" w:cs="Arial"/>
          <w:sz w:val="21"/>
          <w:szCs w:val="21"/>
          <w:highlight w:val="none"/>
        </w:rPr>
      </w:pPr>
      <w:r>
        <w:rPr>
          <w:rFonts w:hint="eastAsia" w:ascii="Arial" w:hAnsi="Arial" w:cs="Arial"/>
          <w:sz w:val="21"/>
          <w:szCs w:val="21"/>
          <w:highlight w:val="none"/>
        </w:rPr>
        <w:t>设备将监测室内空间温度和相对湿度、户外新风温度和相对湿度、池水温度和室内建筑表面温度。</w:t>
      </w:r>
    </w:p>
    <w:p w14:paraId="10EA3F14">
      <w:pPr>
        <w:spacing w:line="260" w:lineRule="exact"/>
        <w:ind w:left="1050" w:leftChars="200" w:hanging="630" w:hangingChars="300"/>
        <w:rPr>
          <w:rFonts w:hint="eastAsia"/>
          <w:sz w:val="21"/>
          <w:szCs w:val="21"/>
          <w:highlight w:val="none"/>
        </w:rPr>
      </w:pPr>
    </w:p>
    <w:p w14:paraId="35BB674C">
      <w:pPr>
        <w:numPr>
          <w:ilvl w:val="0"/>
          <w:numId w:val="37"/>
        </w:numPr>
        <w:spacing w:line="340" w:lineRule="exact"/>
        <w:rPr>
          <w:rFonts w:hint="eastAsia" w:ascii="Arial" w:hAnsi="Arial" w:cs="Arial"/>
          <w:sz w:val="21"/>
          <w:szCs w:val="21"/>
          <w:highlight w:val="none"/>
        </w:rPr>
      </w:pPr>
      <w:r>
        <w:rPr>
          <w:rFonts w:hint="eastAsia" w:ascii="Arial" w:hAnsi="Arial" w:cs="Arial"/>
          <w:sz w:val="21"/>
          <w:szCs w:val="21"/>
          <w:highlight w:val="none"/>
        </w:rPr>
        <w:t>由制冷系统吸收的热能将按下列方式进行分配：</w:t>
      </w:r>
    </w:p>
    <w:p w14:paraId="3A91DFFE">
      <w:pPr>
        <w:numPr>
          <w:ilvl w:val="0"/>
          <w:numId w:val="39"/>
        </w:numPr>
        <w:spacing w:line="340" w:lineRule="exact"/>
        <w:rPr>
          <w:rFonts w:hint="eastAsia" w:ascii="Arial" w:hAnsi="Arial" w:cs="Arial"/>
          <w:sz w:val="21"/>
          <w:szCs w:val="21"/>
          <w:highlight w:val="none"/>
        </w:rPr>
      </w:pPr>
      <w:r>
        <w:rPr>
          <w:rFonts w:hint="eastAsia" w:ascii="Arial" w:hAnsi="Arial" w:cs="Arial"/>
          <w:sz w:val="21"/>
          <w:szCs w:val="21"/>
          <w:highlight w:val="none"/>
        </w:rPr>
        <w:t>首先是维持游泳池空间空气温度。</w:t>
      </w:r>
    </w:p>
    <w:p w14:paraId="7022AF70">
      <w:pPr>
        <w:numPr>
          <w:ilvl w:val="0"/>
          <w:numId w:val="39"/>
        </w:numPr>
        <w:spacing w:line="340" w:lineRule="exact"/>
        <w:rPr>
          <w:rFonts w:hint="eastAsia" w:ascii="Arial" w:hAnsi="Arial" w:cs="Arial"/>
          <w:sz w:val="21"/>
          <w:szCs w:val="21"/>
          <w:highlight w:val="none"/>
        </w:rPr>
      </w:pPr>
      <w:r>
        <w:rPr>
          <w:rFonts w:hint="eastAsia" w:ascii="Arial" w:hAnsi="Arial" w:cs="Arial"/>
          <w:sz w:val="21"/>
          <w:szCs w:val="21"/>
          <w:highlight w:val="none"/>
        </w:rPr>
        <w:t>次优先权为保持游泳池水温。</w:t>
      </w:r>
    </w:p>
    <w:p w14:paraId="11B00AB0">
      <w:pPr>
        <w:numPr>
          <w:ilvl w:val="0"/>
          <w:numId w:val="39"/>
        </w:numPr>
        <w:spacing w:line="340" w:lineRule="exact"/>
        <w:rPr>
          <w:rFonts w:hint="eastAsia" w:ascii="Arial" w:hAnsi="Arial" w:cs="Arial"/>
          <w:sz w:val="21"/>
          <w:szCs w:val="21"/>
          <w:highlight w:val="none"/>
        </w:rPr>
      </w:pPr>
      <w:r>
        <w:rPr>
          <w:rFonts w:hint="eastAsia" w:ascii="Arial" w:hAnsi="Arial" w:cs="Arial"/>
          <w:sz w:val="21"/>
          <w:szCs w:val="21"/>
          <w:highlight w:val="none"/>
        </w:rPr>
        <w:t>所有剩余热量然后才被转换到冷凝器，如下文第条所述。</w:t>
      </w:r>
    </w:p>
    <w:p w14:paraId="29FBD73C">
      <w:pPr>
        <w:spacing w:line="260" w:lineRule="exact"/>
        <w:ind w:left="1050" w:leftChars="200" w:hanging="630" w:hangingChars="300"/>
        <w:rPr>
          <w:rFonts w:hint="eastAsia"/>
          <w:sz w:val="21"/>
          <w:szCs w:val="21"/>
          <w:highlight w:val="none"/>
        </w:rPr>
      </w:pPr>
    </w:p>
    <w:p w14:paraId="5A87CEF0">
      <w:pPr>
        <w:spacing w:line="260" w:lineRule="exact"/>
        <w:rPr>
          <w:rFonts w:hint="eastAsia"/>
          <w:sz w:val="21"/>
          <w:szCs w:val="21"/>
          <w:highlight w:val="none"/>
        </w:rPr>
      </w:pPr>
    </w:p>
    <w:p w14:paraId="765C77EB">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18" w:name="_Toc30205"/>
      <w:bookmarkStart w:id="219" w:name="_Toc23260"/>
      <w:bookmarkStart w:id="220" w:name="_Toc28181"/>
      <w:bookmarkStart w:id="221" w:name="_Toc11389"/>
      <w:r>
        <w:rPr>
          <w:rFonts w:hint="eastAsia" w:ascii="宋体" w:hAnsi="宋体"/>
          <w:b/>
          <w:sz w:val="21"/>
          <w:szCs w:val="21"/>
          <w:highlight w:val="none"/>
        </w:rPr>
        <w:t>设备壳体</w:t>
      </w:r>
      <w:bookmarkEnd w:id="218"/>
      <w:bookmarkEnd w:id="219"/>
      <w:bookmarkEnd w:id="220"/>
      <w:bookmarkEnd w:id="221"/>
    </w:p>
    <w:p w14:paraId="2F2220EF">
      <w:pPr>
        <w:numPr>
          <w:ilvl w:val="0"/>
          <w:numId w:val="40"/>
        </w:numPr>
        <w:spacing w:line="340" w:lineRule="exact"/>
        <w:rPr>
          <w:rFonts w:hint="eastAsia" w:ascii="Arial" w:hAnsi="Arial" w:cs="Arial"/>
          <w:sz w:val="21"/>
          <w:szCs w:val="21"/>
          <w:highlight w:val="none"/>
        </w:rPr>
      </w:pPr>
      <w:r>
        <w:rPr>
          <w:rFonts w:hint="eastAsia" w:ascii="Arial" w:hAnsi="Arial" w:cs="Arial"/>
          <w:sz w:val="21"/>
          <w:szCs w:val="21"/>
          <w:highlight w:val="none"/>
        </w:rPr>
        <w:t>所有与回风有接触的面板</w:t>
      </w:r>
      <w:r>
        <w:rPr>
          <w:rFonts w:hint="eastAsia" w:ascii="Arial" w:hAnsi="Arial" w:cs="Arial"/>
          <w:sz w:val="21"/>
          <w:szCs w:val="21"/>
          <w:highlight w:val="none"/>
          <w:lang w:eastAsia="zh-CN"/>
        </w:rPr>
        <w:t>为冷镀锌板，外表面为冷轧板烤漆，中间为不小于</w:t>
      </w:r>
      <w:r>
        <w:rPr>
          <w:rFonts w:hint="eastAsia" w:ascii="Arial" w:hAnsi="Arial" w:cs="Arial"/>
          <w:sz w:val="21"/>
          <w:szCs w:val="21"/>
          <w:highlight w:val="none"/>
          <w:lang w:val="en-US" w:eastAsia="zh-CN"/>
        </w:rPr>
        <w:t>30mm的聚氨酯发泡</w:t>
      </w:r>
      <w:r>
        <w:rPr>
          <w:rFonts w:hint="eastAsia" w:ascii="Arial" w:hAnsi="Arial" w:cs="Arial"/>
          <w:sz w:val="21"/>
          <w:szCs w:val="21"/>
          <w:highlight w:val="none"/>
        </w:rPr>
        <w:t>保温层。</w:t>
      </w:r>
    </w:p>
    <w:p w14:paraId="00963332">
      <w:pPr>
        <w:numPr>
          <w:ilvl w:val="0"/>
          <w:numId w:val="40"/>
        </w:numPr>
        <w:spacing w:line="340" w:lineRule="exact"/>
        <w:rPr>
          <w:rFonts w:hint="eastAsia" w:ascii="Arial" w:hAnsi="Arial" w:cs="Arial"/>
          <w:sz w:val="21"/>
          <w:szCs w:val="21"/>
          <w:highlight w:val="none"/>
        </w:rPr>
      </w:pPr>
      <w:r>
        <w:rPr>
          <w:rFonts w:hint="eastAsia" w:ascii="Arial" w:hAnsi="Arial" w:cs="Arial"/>
          <w:sz w:val="21"/>
          <w:szCs w:val="21"/>
          <w:highlight w:val="none"/>
        </w:rPr>
        <w:t>所有接缝均应栓紧密封以防止泄漏。</w:t>
      </w:r>
    </w:p>
    <w:p w14:paraId="082F6B72">
      <w:pPr>
        <w:numPr>
          <w:ilvl w:val="0"/>
          <w:numId w:val="40"/>
        </w:numPr>
        <w:spacing w:line="340" w:lineRule="exact"/>
        <w:rPr>
          <w:rFonts w:hint="eastAsia" w:ascii="Arial" w:hAnsi="Arial" w:cs="Arial"/>
          <w:sz w:val="21"/>
          <w:szCs w:val="21"/>
          <w:highlight w:val="none"/>
        </w:rPr>
      </w:pPr>
      <w:r>
        <w:rPr>
          <w:rFonts w:hint="eastAsia" w:ascii="Arial" w:hAnsi="Arial" w:cs="Arial"/>
          <w:sz w:val="21"/>
          <w:szCs w:val="21"/>
          <w:highlight w:val="none"/>
        </w:rPr>
        <w:t>压缩机，池水热量回收设备，控制器，包括电磁阀，膨胀阀及制冷剂观察门，均应设置在舱内与设备气流相分离，以便于维护及免于受腐蚀性气体的腐蚀。</w:t>
      </w:r>
    </w:p>
    <w:p w14:paraId="07D948E8">
      <w:pPr>
        <w:numPr>
          <w:ilvl w:val="0"/>
          <w:numId w:val="40"/>
        </w:numPr>
        <w:spacing w:line="340" w:lineRule="exact"/>
        <w:rPr>
          <w:rFonts w:hint="eastAsia" w:ascii="Arial" w:hAnsi="Arial" w:cs="Arial"/>
          <w:sz w:val="21"/>
          <w:szCs w:val="21"/>
          <w:highlight w:val="none"/>
        </w:rPr>
      </w:pPr>
      <w:r>
        <w:rPr>
          <w:rFonts w:hint="eastAsia" w:ascii="Arial" w:hAnsi="Arial" w:cs="Arial"/>
          <w:sz w:val="21"/>
          <w:szCs w:val="21"/>
          <w:highlight w:val="none"/>
        </w:rPr>
        <w:t>压缩机，空气过滤器，电控箱，风机，电动机及驱动器均应加设检修门。</w:t>
      </w:r>
    </w:p>
    <w:p w14:paraId="15150995">
      <w:pPr>
        <w:spacing w:line="260" w:lineRule="exact"/>
        <w:ind w:left="1050" w:leftChars="200" w:hanging="630" w:hangingChars="300"/>
        <w:rPr>
          <w:rFonts w:hint="eastAsia"/>
          <w:i/>
          <w:iCs/>
          <w:sz w:val="21"/>
          <w:szCs w:val="21"/>
          <w:highlight w:val="none"/>
        </w:rPr>
      </w:pPr>
    </w:p>
    <w:p w14:paraId="2099907B">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22" w:name="_Toc7922"/>
      <w:bookmarkStart w:id="223" w:name="_Toc8637"/>
      <w:bookmarkStart w:id="224" w:name="_Toc3461"/>
      <w:bookmarkStart w:id="225" w:name="_Toc32398"/>
      <w:r>
        <w:rPr>
          <w:rFonts w:hint="eastAsia" w:ascii="宋体" w:hAnsi="宋体"/>
          <w:b/>
          <w:sz w:val="21"/>
          <w:szCs w:val="21"/>
          <w:highlight w:val="none"/>
        </w:rPr>
        <w:t>压缩机</w:t>
      </w:r>
      <w:bookmarkEnd w:id="222"/>
      <w:bookmarkEnd w:id="223"/>
      <w:bookmarkEnd w:id="224"/>
      <w:bookmarkEnd w:id="225"/>
    </w:p>
    <w:p w14:paraId="3255F917">
      <w:pPr>
        <w:numPr>
          <w:ilvl w:val="0"/>
          <w:numId w:val="41"/>
        </w:numPr>
        <w:spacing w:line="340" w:lineRule="exact"/>
        <w:rPr>
          <w:rFonts w:hint="eastAsia" w:ascii="Arial" w:hAnsi="Arial" w:cs="Arial"/>
          <w:sz w:val="21"/>
          <w:szCs w:val="21"/>
          <w:highlight w:val="none"/>
        </w:rPr>
      </w:pPr>
      <w:r>
        <w:rPr>
          <w:rFonts w:hint="eastAsia" w:ascii="Arial" w:hAnsi="Arial" w:cs="Arial"/>
          <w:sz w:val="21"/>
          <w:szCs w:val="21"/>
          <w:highlight w:val="none"/>
        </w:rPr>
        <w:t>除湿机配用</w:t>
      </w:r>
      <w:r>
        <w:rPr>
          <w:rFonts w:hint="eastAsia" w:ascii="Arial" w:hAnsi="Arial" w:cs="Arial"/>
          <w:sz w:val="21"/>
          <w:szCs w:val="21"/>
          <w:highlight w:val="none"/>
          <w:lang w:val="en-US" w:eastAsia="zh-CN"/>
        </w:rPr>
        <w:t>全封闭</w:t>
      </w:r>
      <w:r>
        <w:rPr>
          <w:rFonts w:hint="eastAsia" w:ascii="Arial" w:hAnsi="Arial" w:cs="Arial"/>
          <w:sz w:val="21"/>
          <w:szCs w:val="21"/>
          <w:highlight w:val="none"/>
        </w:rPr>
        <w:t>型涡旋式压缩机。压缩机配备电动机过载保护装置。所有元件均应与气流隔离。</w:t>
      </w:r>
    </w:p>
    <w:p w14:paraId="1713FA0C">
      <w:pPr>
        <w:spacing w:line="260" w:lineRule="exact"/>
        <w:ind w:left="1050" w:leftChars="200" w:hanging="630" w:hangingChars="300"/>
        <w:rPr>
          <w:rFonts w:hint="eastAsia"/>
          <w:sz w:val="21"/>
          <w:szCs w:val="21"/>
          <w:highlight w:val="none"/>
        </w:rPr>
      </w:pPr>
    </w:p>
    <w:p w14:paraId="75EE9291">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26" w:name="_Toc1888"/>
      <w:bookmarkStart w:id="227" w:name="_Toc4571"/>
      <w:bookmarkStart w:id="228" w:name="_Toc18770"/>
      <w:bookmarkStart w:id="229" w:name="_Toc18672"/>
      <w:r>
        <w:rPr>
          <w:rFonts w:hint="eastAsia" w:ascii="宋体" w:hAnsi="宋体"/>
          <w:b/>
          <w:sz w:val="21"/>
          <w:szCs w:val="21"/>
          <w:highlight w:val="none"/>
        </w:rPr>
        <w:t>池水加热器</w:t>
      </w:r>
      <w:bookmarkEnd w:id="226"/>
      <w:bookmarkEnd w:id="227"/>
      <w:bookmarkEnd w:id="228"/>
      <w:bookmarkEnd w:id="229"/>
    </w:p>
    <w:p w14:paraId="10F0FF90">
      <w:pPr>
        <w:numPr>
          <w:ilvl w:val="0"/>
          <w:numId w:val="42"/>
        </w:numPr>
        <w:spacing w:line="340" w:lineRule="exact"/>
        <w:rPr>
          <w:rFonts w:hint="eastAsia" w:ascii="Arial" w:hAnsi="Arial" w:cs="Arial"/>
          <w:sz w:val="21"/>
          <w:szCs w:val="21"/>
          <w:highlight w:val="none"/>
        </w:rPr>
      </w:pPr>
      <w:r>
        <w:rPr>
          <w:rFonts w:hint="eastAsia" w:ascii="Arial" w:hAnsi="Arial" w:cs="Arial"/>
          <w:sz w:val="21"/>
          <w:szCs w:val="21"/>
          <w:highlight w:val="none"/>
        </w:rPr>
        <w:t>内置池水加热器应能够排出由压缩机和蒸发器回收的全部热量（100%）。</w:t>
      </w:r>
    </w:p>
    <w:p w14:paraId="39A1A3D8">
      <w:pPr>
        <w:numPr>
          <w:ilvl w:val="0"/>
          <w:numId w:val="42"/>
        </w:numPr>
        <w:spacing w:line="340" w:lineRule="exact"/>
        <w:rPr>
          <w:rFonts w:hint="eastAsia" w:ascii="Arial" w:hAnsi="Arial" w:cs="Arial"/>
          <w:sz w:val="21"/>
          <w:szCs w:val="21"/>
          <w:highlight w:val="none"/>
        </w:rPr>
      </w:pPr>
      <w:r>
        <w:rPr>
          <w:rFonts w:hint="eastAsia" w:ascii="Arial" w:hAnsi="Arial" w:cs="Arial"/>
          <w:sz w:val="21"/>
          <w:szCs w:val="21"/>
          <w:highlight w:val="none"/>
        </w:rPr>
        <w:t>池水加热器应为</w:t>
      </w:r>
      <w:r>
        <w:rPr>
          <w:rFonts w:hint="eastAsia" w:ascii="Arial" w:hAnsi="Arial" w:cs="Arial"/>
          <w:sz w:val="21"/>
          <w:szCs w:val="21"/>
          <w:highlight w:val="none"/>
          <w:lang w:eastAsia="zh-CN"/>
        </w:rPr>
        <w:t>盘管壳式换热器</w:t>
      </w:r>
      <w:r>
        <w:rPr>
          <w:rFonts w:hint="eastAsia" w:ascii="Arial" w:hAnsi="Arial" w:cs="Arial"/>
          <w:sz w:val="21"/>
          <w:szCs w:val="21"/>
          <w:highlight w:val="none"/>
        </w:rPr>
        <w:t>。</w:t>
      </w:r>
      <w:r>
        <w:rPr>
          <w:rFonts w:hint="eastAsia" w:ascii="Arial" w:hAnsi="Arial" w:cs="Arial"/>
          <w:sz w:val="21"/>
          <w:szCs w:val="21"/>
          <w:highlight w:val="none"/>
          <w:lang w:eastAsia="zh-CN"/>
        </w:rPr>
        <w:t>换热管为钛金属，外壳为</w:t>
      </w:r>
      <w:r>
        <w:rPr>
          <w:rFonts w:hint="eastAsia" w:ascii="Arial" w:hAnsi="Arial" w:cs="Arial"/>
          <w:sz w:val="21"/>
          <w:szCs w:val="21"/>
          <w:highlight w:val="none"/>
          <w:lang w:val="en-US" w:eastAsia="zh-CN"/>
        </w:rPr>
        <w:t>PVC</w:t>
      </w:r>
      <w:r>
        <w:rPr>
          <w:rFonts w:hint="eastAsia" w:ascii="Arial" w:hAnsi="Arial" w:cs="Arial"/>
          <w:sz w:val="21"/>
          <w:szCs w:val="21"/>
          <w:highlight w:val="none"/>
        </w:rPr>
        <w:t>。</w:t>
      </w:r>
    </w:p>
    <w:p w14:paraId="0FC0C1C9">
      <w:pPr>
        <w:numPr>
          <w:ilvl w:val="0"/>
          <w:numId w:val="42"/>
        </w:numPr>
        <w:spacing w:line="340" w:lineRule="exact"/>
        <w:rPr>
          <w:rFonts w:hint="eastAsia" w:ascii="Arial" w:hAnsi="Arial" w:cs="Arial"/>
          <w:sz w:val="21"/>
          <w:szCs w:val="21"/>
          <w:highlight w:val="none"/>
        </w:rPr>
      </w:pPr>
      <w:r>
        <w:rPr>
          <w:rFonts w:hint="eastAsia" w:ascii="Arial" w:hAnsi="Arial" w:cs="Arial"/>
          <w:sz w:val="21"/>
          <w:szCs w:val="21"/>
          <w:highlight w:val="none"/>
        </w:rPr>
        <w:t>池水加热受气态制冷剂电磁阀控制，作为控制系统的一种响应将高温气态制冷剂导入池水冷凝器。水路配备UPVC管接头装置。</w:t>
      </w:r>
    </w:p>
    <w:p w14:paraId="18B31353">
      <w:pPr>
        <w:pStyle w:val="7"/>
        <w:rPr>
          <w:rFonts w:hint="eastAsia"/>
          <w:sz w:val="21"/>
          <w:szCs w:val="21"/>
        </w:rPr>
      </w:pPr>
    </w:p>
    <w:p w14:paraId="45253D3A">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30" w:name="_Toc27856"/>
      <w:bookmarkStart w:id="231" w:name="_Toc19385"/>
      <w:bookmarkStart w:id="232" w:name="_Toc13231"/>
      <w:bookmarkStart w:id="233" w:name="_Toc30932"/>
      <w:r>
        <w:rPr>
          <w:rFonts w:hint="eastAsia" w:ascii="宋体" w:hAnsi="宋体"/>
          <w:b/>
          <w:sz w:val="21"/>
          <w:szCs w:val="21"/>
          <w:highlight w:val="none"/>
        </w:rPr>
        <w:t>蒸发器盘管</w:t>
      </w:r>
      <w:bookmarkEnd w:id="230"/>
      <w:bookmarkEnd w:id="231"/>
      <w:bookmarkEnd w:id="232"/>
      <w:bookmarkEnd w:id="233"/>
    </w:p>
    <w:p w14:paraId="133BDB11">
      <w:pPr>
        <w:numPr>
          <w:ilvl w:val="0"/>
          <w:numId w:val="0"/>
        </w:numPr>
        <w:spacing w:line="340" w:lineRule="exact"/>
        <w:ind w:leftChars="0"/>
        <w:rPr>
          <w:rFonts w:hint="eastAsia"/>
          <w:sz w:val="21"/>
          <w:szCs w:val="21"/>
          <w:highlight w:val="none"/>
        </w:rPr>
      </w:pPr>
      <w:r>
        <w:rPr>
          <w:rFonts w:hint="eastAsia" w:ascii="Arial" w:hAnsi="Arial" w:cs="Arial"/>
          <w:sz w:val="21"/>
          <w:szCs w:val="21"/>
          <w:highlight w:val="none"/>
        </w:rPr>
        <w:t>蒸发器盘管应采用铜管</w:t>
      </w:r>
      <w:r>
        <w:rPr>
          <w:rFonts w:hint="eastAsia" w:ascii="Arial" w:hAnsi="Arial" w:cs="Arial"/>
          <w:sz w:val="21"/>
          <w:szCs w:val="21"/>
          <w:highlight w:val="none"/>
          <w:lang w:eastAsia="zh-CN"/>
        </w:rPr>
        <w:t>铝</w:t>
      </w:r>
      <w:r>
        <w:rPr>
          <w:rFonts w:hint="eastAsia" w:ascii="Arial" w:hAnsi="Arial" w:cs="Arial"/>
          <w:sz w:val="21"/>
          <w:szCs w:val="21"/>
          <w:highlight w:val="none"/>
        </w:rPr>
        <w:t>翅片,</w:t>
      </w:r>
      <w:r>
        <w:rPr>
          <w:rFonts w:hint="eastAsia" w:ascii="Arial" w:hAnsi="Arial" w:cs="Arial"/>
          <w:sz w:val="21"/>
          <w:szCs w:val="21"/>
          <w:highlight w:val="none"/>
          <w:lang w:eastAsia="zh-CN"/>
        </w:rPr>
        <w:t>并整体</w:t>
      </w:r>
      <w:r>
        <w:rPr>
          <w:rFonts w:hint="eastAsia" w:ascii="Arial" w:hAnsi="Arial" w:cs="Arial"/>
          <w:sz w:val="21"/>
          <w:szCs w:val="21"/>
          <w:highlight w:val="none"/>
        </w:rPr>
        <w:t>采用</w:t>
      </w:r>
      <w:r>
        <w:rPr>
          <w:rFonts w:hint="eastAsia" w:ascii="Arial" w:hAnsi="Arial" w:cs="Arial"/>
          <w:sz w:val="21"/>
          <w:szCs w:val="21"/>
          <w:highlight w:val="none"/>
          <w:lang w:eastAsia="zh-CN"/>
        </w:rPr>
        <w:t>防腐</w:t>
      </w:r>
      <w:r>
        <w:rPr>
          <w:rFonts w:hint="eastAsia" w:ascii="Arial" w:hAnsi="Arial" w:cs="Arial"/>
          <w:sz w:val="21"/>
          <w:szCs w:val="21"/>
          <w:highlight w:val="none"/>
        </w:rPr>
        <w:t>处理。</w:t>
      </w:r>
    </w:p>
    <w:p w14:paraId="2B8C550C">
      <w:pPr>
        <w:pStyle w:val="7"/>
        <w:rPr>
          <w:rFonts w:hint="eastAsia"/>
          <w:sz w:val="21"/>
          <w:szCs w:val="21"/>
        </w:rPr>
      </w:pPr>
    </w:p>
    <w:p w14:paraId="162CF686">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34" w:name="_Toc4302"/>
      <w:bookmarkStart w:id="235" w:name="_Toc27777"/>
      <w:bookmarkStart w:id="236" w:name="_Toc11600"/>
      <w:bookmarkStart w:id="237" w:name="_Toc29308"/>
      <w:r>
        <w:rPr>
          <w:rFonts w:hint="eastAsia" w:ascii="宋体" w:hAnsi="宋体"/>
          <w:b/>
          <w:sz w:val="21"/>
          <w:szCs w:val="21"/>
          <w:highlight w:val="none"/>
        </w:rPr>
        <w:t>冷凝器盘管（空气再热盘管）</w:t>
      </w:r>
      <w:bookmarkEnd w:id="234"/>
      <w:bookmarkEnd w:id="235"/>
      <w:bookmarkEnd w:id="236"/>
      <w:bookmarkEnd w:id="237"/>
    </w:p>
    <w:p w14:paraId="6071FAC4">
      <w:pPr>
        <w:numPr>
          <w:ilvl w:val="0"/>
          <w:numId w:val="0"/>
        </w:numPr>
        <w:spacing w:line="340" w:lineRule="exact"/>
        <w:ind w:leftChars="0"/>
        <w:rPr>
          <w:rFonts w:hint="eastAsia" w:ascii="Arial" w:hAnsi="Arial" w:cs="Arial"/>
          <w:sz w:val="21"/>
          <w:szCs w:val="21"/>
          <w:highlight w:val="none"/>
        </w:rPr>
      </w:pPr>
      <w:r>
        <w:rPr>
          <w:rFonts w:hint="eastAsia" w:ascii="Arial" w:hAnsi="Arial" w:cs="Arial"/>
          <w:sz w:val="21"/>
          <w:szCs w:val="21"/>
          <w:highlight w:val="none"/>
        </w:rPr>
        <w:t>冷凝器盘管应能够排出由压缩机和蒸发器回收的全部热量（100%）</w:t>
      </w:r>
      <w:r>
        <w:rPr>
          <w:rFonts w:hint="eastAsia" w:ascii="Arial" w:hAnsi="Arial" w:cs="Arial"/>
          <w:sz w:val="21"/>
          <w:szCs w:val="21"/>
          <w:highlight w:val="none"/>
          <w:lang w:eastAsia="zh-CN"/>
        </w:rPr>
        <w:t>，</w:t>
      </w:r>
      <w:r>
        <w:rPr>
          <w:rFonts w:hint="eastAsia" w:ascii="Arial" w:hAnsi="Arial" w:cs="Arial"/>
          <w:sz w:val="21"/>
          <w:szCs w:val="21"/>
          <w:highlight w:val="none"/>
          <w:lang w:val="en-US" w:eastAsia="zh-CN"/>
        </w:rPr>
        <w:t>并整体采用防腐处理</w:t>
      </w:r>
      <w:r>
        <w:rPr>
          <w:rFonts w:hint="eastAsia" w:ascii="Arial" w:hAnsi="Arial" w:cs="Arial"/>
          <w:sz w:val="21"/>
          <w:szCs w:val="21"/>
          <w:highlight w:val="none"/>
        </w:rPr>
        <w:t>。</w:t>
      </w:r>
    </w:p>
    <w:p w14:paraId="37DEDADC">
      <w:pPr>
        <w:pStyle w:val="7"/>
        <w:rPr>
          <w:rFonts w:hint="eastAsia"/>
          <w:sz w:val="21"/>
          <w:szCs w:val="21"/>
        </w:rPr>
      </w:pPr>
    </w:p>
    <w:p w14:paraId="6F809A6D">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38" w:name="_Toc9921"/>
      <w:bookmarkStart w:id="239" w:name="_Toc12808"/>
      <w:bookmarkStart w:id="240" w:name="_Toc18831"/>
      <w:bookmarkStart w:id="241" w:name="_Toc29284"/>
      <w:r>
        <w:rPr>
          <w:rFonts w:hint="eastAsia" w:ascii="宋体" w:hAnsi="宋体"/>
          <w:b/>
          <w:sz w:val="21"/>
          <w:szCs w:val="21"/>
          <w:highlight w:val="none"/>
        </w:rPr>
        <w:t>空气过滤器</w:t>
      </w:r>
      <w:bookmarkEnd w:id="238"/>
      <w:bookmarkEnd w:id="239"/>
      <w:bookmarkEnd w:id="240"/>
      <w:bookmarkEnd w:id="241"/>
    </w:p>
    <w:p w14:paraId="4E86DA5B">
      <w:pPr>
        <w:numPr>
          <w:ilvl w:val="0"/>
          <w:numId w:val="0"/>
        </w:numPr>
        <w:spacing w:line="340" w:lineRule="exact"/>
        <w:ind w:leftChars="0"/>
        <w:rPr>
          <w:rFonts w:hint="eastAsia" w:ascii="Arial" w:hAnsi="Arial" w:cs="Arial"/>
          <w:sz w:val="21"/>
          <w:szCs w:val="21"/>
          <w:highlight w:val="none"/>
        </w:rPr>
      </w:pPr>
      <w:r>
        <w:rPr>
          <w:rFonts w:hint="eastAsia" w:ascii="Arial" w:hAnsi="Arial" w:cs="Arial"/>
          <w:sz w:val="21"/>
          <w:szCs w:val="21"/>
          <w:highlight w:val="none"/>
        </w:rPr>
        <w:t>蒸发器和冷凝器应分别采用独立的上游空气过滤器系统进行保护。过滤器为</w:t>
      </w:r>
      <w:r>
        <w:rPr>
          <w:rFonts w:hint="eastAsia" w:ascii="Arial" w:hAnsi="Arial" w:cs="Arial"/>
          <w:sz w:val="21"/>
          <w:szCs w:val="21"/>
          <w:highlight w:val="none"/>
          <w:lang w:val="en-US" w:eastAsia="zh-CN"/>
        </w:rPr>
        <w:t>50</w:t>
      </w:r>
      <w:r>
        <w:rPr>
          <w:rFonts w:hint="eastAsia" w:ascii="Arial" w:hAnsi="Arial" w:cs="Arial"/>
          <w:sz w:val="21"/>
          <w:szCs w:val="21"/>
          <w:highlight w:val="none"/>
        </w:rPr>
        <w:t>mm厚</w:t>
      </w:r>
      <w:r>
        <w:rPr>
          <w:rFonts w:hint="eastAsia" w:ascii="Arial" w:hAnsi="Arial" w:cs="Arial"/>
          <w:sz w:val="21"/>
          <w:szCs w:val="21"/>
          <w:highlight w:val="none"/>
          <w:lang w:eastAsia="zh-CN"/>
        </w:rPr>
        <w:t>折叠式初效过滤器</w:t>
      </w:r>
      <w:r>
        <w:rPr>
          <w:rFonts w:hint="eastAsia" w:ascii="Arial" w:hAnsi="Arial" w:cs="Arial"/>
          <w:sz w:val="21"/>
          <w:szCs w:val="21"/>
          <w:highlight w:val="none"/>
        </w:rPr>
        <w:t>，可</w:t>
      </w:r>
      <w:r>
        <w:rPr>
          <w:rFonts w:hint="eastAsia" w:ascii="Arial" w:hAnsi="Arial" w:cs="Arial"/>
          <w:sz w:val="21"/>
          <w:szCs w:val="21"/>
          <w:highlight w:val="none"/>
          <w:lang w:eastAsia="zh-CN"/>
        </w:rPr>
        <w:t>清洗和</w:t>
      </w:r>
      <w:r>
        <w:rPr>
          <w:rFonts w:hint="eastAsia" w:ascii="Arial" w:hAnsi="Arial" w:cs="Arial"/>
          <w:sz w:val="21"/>
          <w:szCs w:val="21"/>
          <w:highlight w:val="none"/>
        </w:rPr>
        <w:t>更换。</w:t>
      </w:r>
    </w:p>
    <w:p w14:paraId="5C6E80EA">
      <w:pPr>
        <w:pStyle w:val="7"/>
        <w:rPr>
          <w:rFonts w:hint="eastAsia" w:ascii="Arial" w:hAnsi="Arial" w:cs="Arial"/>
          <w:sz w:val="21"/>
          <w:szCs w:val="21"/>
          <w:highlight w:val="none"/>
        </w:rPr>
      </w:pPr>
    </w:p>
    <w:p w14:paraId="6BC1512A">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42" w:name="_Toc15086"/>
      <w:bookmarkStart w:id="243" w:name="_Toc29671"/>
      <w:bookmarkStart w:id="244" w:name="_Toc9151"/>
      <w:bookmarkStart w:id="245" w:name="_Toc13032"/>
      <w:r>
        <w:rPr>
          <w:rFonts w:hint="eastAsia" w:ascii="宋体" w:hAnsi="宋体"/>
          <w:b/>
          <w:sz w:val="21"/>
          <w:szCs w:val="21"/>
          <w:highlight w:val="none"/>
        </w:rPr>
        <w:t>送风机和回风机</w:t>
      </w:r>
      <w:bookmarkEnd w:id="242"/>
      <w:bookmarkEnd w:id="243"/>
      <w:bookmarkEnd w:id="244"/>
      <w:bookmarkEnd w:id="245"/>
    </w:p>
    <w:p w14:paraId="1C49C813">
      <w:pPr>
        <w:numPr>
          <w:ilvl w:val="0"/>
          <w:numId w:val="43"/>
        </w:numPr>
        <w:spacing w:line="340" w:lineRule="exact"/>
        <w:rPr>
          <w:rFonts w:hint="eastAsia" w:ascii="Arial" w:hAnsi="Arial" w:cs="Arial"/>
          <w:sz w:val="21"/>
          <w:szCs w:val="21"/>
          <w:highlight w:val="none"/>
        </w:rPr>
      </w:pPr>
      <w:r>
        <w:rPr>
          <w:rFonts w:hint="eastAsia" w:ascii="Arial" w:hAnsi="Arial" w:cs="Arial"/>
          <w:sz w:val="21"/>
          <w:szCs w:val="21"/>
          <w:highlight w:val="none"/>
        </w:rPr>
        <w:t>设备工厂原装送风机和回风机。该送风机和回风机尺寸将按设备表所示功率计算产生的风量和静压确定。风机应加以平衡以确保按计划条件保持游泳池室内负压。该风机必须采用V形带驱动，离心式双进气口采用多叶片</w:t>
      </w:r>
      <w:r>
        <w:rPr>
          <w:rFonts w:hint="eastAsia" w:ascii="Arial" w:hAnsi="Arial" w:cs="Arial"/>
          <w:color w:val="FF0000"/>
          <w:sz w:val="21"/>
          <w:szCs w:val="21"/>
          <w:highlight w:val="none"/>
        </w:rPr>
        <w:t>后</w:t>
      </w:r>
      <w:r>
        <w:rPr>
          <w:rFonts w:hint="eastAsia" w:ascii="Arial" w:hAnsi="Arial" w:cs="Arial"/>
          <w:sz w:val="21"/>
          <w:szCs w:val="21"/>
          <w:highlight w:val="none"/>
        </w:rPr>
        <w:t>弯曲叶轮。构造为镀锌钢。风机应经过动态和静态平衡，并进行过气流试验。风机轴承采用油脂润滑，所选</w:t>
      </w:r>
      <w:r>
        <w:rPr>
          <w:rFonts w:hint="eastAsia" w:ascii="Arial" w:hAnsi="Arial" w:cs="Arial"/>
          <w:color w:val="FF0000"/>
          <w:sz w:val="21"/>
          <w:szCs w:val="21"/>
          <w:highlight w:val="none"/>
        </w:rPr>
        <w:t>轴承</w:t>
      </w:r>
      <w:r>
        <w:rPr>
          <w:rFonts w:hint="eastAsia" w:ascii="Arial" w:hAnsi="Arial" w:cs="Arial"/>
          <w:sz w:val="21"/>
          <w:szCs w:val="21"/>
          <w:highlight w:val="none"/>
        </w:rPr>
        <w:t>的平均寿命为200，000小时。</w:t>
      </w:r>
    </w:p>
    <w:p w14:paraId="5B8E8DDB">
      <w:pPr>
        <w:spacing w:line="340" w:lineRule="exact"/>
        <w:rPr>
          <w:rFonts w:hint="eastAsia" w:ascii="Arial" w:hAnsi="Arial" w:cs="Arial"/>
          <w:sz w:val="21"/>
          <w:szCs w:val="21"/>
          <w:highlight w:val="none"/>
        </w:rPr>
      </w:pPr>
    </w:p>
    <w:p w14:paraId="1E8AED0C">
      <w:pPr>
        <w:numPr>
          <w:ilvl w:val="0"/>
          <w:numId w:val="43"/>
        </w:numPr>
        <w:spacing w:line="340" w:lineRule="exact"/>
        <w:rPr>
          <w:rFonts w:hint="eastAsia" w:ascii="Arial" w:hAnsi="Arial" w:cs="Arial"/>
          <w:sz w:val="21"/>
          <w:szCs w:val="21"/>
          <w:highlight w:val="none"/>
        </w:rPr>
      </w:pPr>
      <w:r>
        <w:rPr>
          <w:rFonts w:hint="eastAsia" w:ascii="Arial" w:hAnsi="Arial" w:cs="Arial"/>
          <w:sz w:val="21"/>
          <w:szCs w:val="21"/>
          <w:highlight w:val="none"/>
        </w:rPr>
        <w:t>风机装置应采用减震弹簧设计。弹簧减震器可在运输过程中“锁定”。送风机和电动机应安装在共用钢架上以消除谐和振动。</w:t>
      </w:r>
    </w:p>
    <w:p w14:paraId="2720903A">
      <w:pPr>
        <w:pStyle w:val="7"/>
        <w:rPr>
          <w:rFonts w:hint="eastAsia"/>
          <w:sz w:val="21"/>
          <w:szCs w:val="21"/>
        </w:rPr>
      </w:pPr>
    </w:p>
    <w:p w14:paraId="21121FED">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46" w:name="_Toc12503"/>
      <w:bookmarkStart w:id="247" w:name="_Toc29983"/>
      <w:bookmarkStart w:id="248" w:name="_Toc13388"/>
      <w:bookmarkStart w:id="249" w:name="_Toc4478"/>
      <w:r>
        <w:rPr>
          <w:rFonts w:hint="eastAsia" w:ascii="宋体" w:hAnsi="宋体"/>
          <w:b/>
          <w:sz w:val="21"/>
          <w:szCs w:val="21"/>
          <w:highlight w:val="none"/>
        </w:rPr>
        <w:t>风机电动机</w:t>
      </w:r>
      <w:bookmarkEnd w:id="246"/>
      <w:bookmarkEnd w:id="247"/>
      <w:bookmarkEnd w:id="248"/>
      <w:bookmarkEnd w:id="249"/>
    </w:p>
    <w:p w14:paraId="102B1011">
      <w:pPr>
        <w:numPr>
          <w:ilvl w:val="0"/>
          <w:numId w:val="0"/>
        </w:numPr>
        <w:spacing w:line="340" w:lineRule="exact"/>
        <w:ind w:leftChars="0"/>
        <w:rPr>
          <w:rFonts w:hint="eastAsia" w:ascii="Arial" w:hAnsi="Arial" w:cs="Arial"/>
          <w:sz w:val="21"/>
          <w:szCs w:val="21"/>
          <w:highlight w:val="none"/>
        </w:rPr>
      </w:pPr>
      <w:r>
        <w:rPr>
          <w:rFonts w:hint="eastAsia" w:ascii="Arial" w:hAnsi="Arial" w:cs="Arial"/>
          <w:sz w:val="21"/>
          <w:szCs w:val="21"/>
          <w:highlight w:val="none"/>
        </w:rPr>
        <w:t>风机电动机为全封闭风扇冷却式（TEFC），绝缘等级F，预润滑球轴承，可调底座安装。带有可调热过载保护装置。</w:t>
      </w:r>
    </w:p>
    <w:p w14:paraId="7CC8269E">
      <w:pPr>
        <w:pStyle w:val="7"/>
        <w:rPr>
          <w:rFonts w:hint="eastAsia"/>
          <w:sz w:val="21"/>
          <w:szCs w:val="21"/>
        </w:rPr>
      </w:pPr>
    </w:p>
    <w:p w14:paraId="5F402E11">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50" w:name="_Toc11945"/>
      <w:bookmarkStart w:id="251" w:name="_Toc23703"/>
      <w:bookmarkStart w:id="252" w:name="_Toc31162"/>
      <w:bookmarkStart w:id="253" w:name="_Toc20971"/>
      <w:r>
        <w:rPr>
          <w:rFonts w:hint="eastAsia" w:ascii="宋体" w:hAnsi="宋体"/>
          <w:b/>
          <w:sz w:val="21"/>
          <w:szCs w:val="21"/>
          <w:highlight w:val="none"/>
        </w:rPr>
        <w:t>承液盘</w:t>
      </w:r>
      <w:bookmarkEnd w:id="250"/>
      <w:bookmarkEnd w:id="251"/>
      <w:bookmarkEnd w:id="252"/>
      <w:bookmarkEnd w:id="253"/>
    </w:p>
    <w:p w14:paraId="1A9AAEEE">
      <w:pPr>
        <w:numPr>
          <w:ilvl w:val="0"/>
          <w:numId w:val="0"/>
        </w:numPr>
        <w:spacing w:line="340" w:lineRule="exact"/>
        <w:ind w:leftChars="0"/>
        <w:rPr>
          <w:rFonts w:hint="eastAsia" w:ascii="Arial" w:hAnsi="Arial" w:cs="Arial"/>
          <w:sz w:val="21"/>
          <w:szCs w:val="21"/>
          <w:highlight w:val="none"/>
        </w:rPr>
      </w:pPr>
      <w:r>
        <w:rPr>
          <w:rFonts w:hint="eastAsia" w:ascii="Arial" w:hAnsi="Arial" w:cs="Arial"/>
          <w:color w:val="auto"/>
          <w:sz w:val="21"/>
          <w:szCs w:val="21"/>
          <w:highlight w:val="none"/>
        </w:rPr>
        <w:t>蒸发盘管和冷凝盘管下的承液盘采用</w:t>
      </w:r>
      <w:r>
        <w:rPr>
          <w:rFonts w:hint="eastAsia" w:ascii="Arial" w:hAnsi="Arial" w:cs="Arial"/>
          <w:color w:val="auto"/>
          <w:sz w:val="21"/>
          <w:szCs w:val="21"/>
          <w:highlight w:val="none"/>
          <w:lang w:val="en-US" w:eastAsia="zh-CN"/>
        </w:rPr>
        <w:t>304</w:t>
      </w:r>
      <w:r>
        <w:rPr>
          <w:rFonts w:hint="eastAsia" w:ascii="Arial" w:hAnsi="Arial" w:cs="Arial"/>
          <w:color w:val="auto"/>
          <w:sz w:val="21"/>
          <w:szCs w:val="21"/>
          <w:highlight w:val="none"/>
        </w:rPr>
        <w:t>不锈钢材料。用排水管连接到从设备两侧均可接近的共</w:t>
      </w:r>
      <w:r>
        <w:rPr>
          <w:rFonts w:hint="eastAsia" w:ascii="Arial" w:hAnsi="Arial" w:cs="Arial"/>
          <w:sz w:val="21"/>
          <w:szCs w:val="21"/>
          <w:highlight w:val="none"/>
        </w:rPr>
        <w:t>用排水口。</w:t>
      </w:r>
    </w:p>
    <w:p w14:paraId="27C1BD80">
      <w:pPr>
        <w:pStyle w:val="7"/>
        <w:rPr>
          <w:rFonts w:hint="eastAsia"/>
          <w:sz w:val="21"/>
          <w:szCs w:val="21"/>
        </w:rPr>
      </w:pPr>
    </w:p>
    <w:p w14:paraId="1565057C">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54" w:name="_Toc1434"/>
      <w:bookmarkStart w:id="255" w:name="_Toc16621"/>
      <w:bookmarkStart w:id="256" w:name="_Toc1940"/>
      <w:bookmarkStart w:id="257" w:name="_Toc2959"/>
      <w:r>
        <w:rPr>
          <w:rFonts w:hint="eastAsia" w:ascii="宋体" w:hAnsi="宋体"/>
          <w:b/>
          <w:sz w:val="21"/>
          <w:szCs w:val="21"/>
          <w:highlight w:val="none"/>
        </w:rPr>
        <w:t>制冷回路</w:t>
      </w:r>
      <w:bookmarkEnd w:id="254"/>
      <w:bookmarkEnd w:id="255"/>
      <w:bookmarkEnd w:id="256"/>
      <w:bookmarkEnd w:id="257"/>
    </w:p>
    <w:p w14:paraId="754F5CD8">
      <w:pPr>
        <w:numPr>
          <w:ilvl w:val="0"/>
          <w:numId w:val="0"/>
        </w:numPr>
        <w:spacing w:line="340" w:lineRule="exact"/>
        <w:ind w:leftChars="0"/>
        <w:rPr>
          <w:rFonts w:hint="eastAsia" w:ascii="Arial" w:hAnsi="Arial" w:cs="Arial"/>
          <w:color w:val="auto"/>
          <w:sz w:val="21"/>
          <w:szCs w:val="21"/>
          <w:highlight w:val="none"/>
        </w:rPr>
      </w:pPr>
      <w:r>
        <w:rPr>
          <w:rFonts w:hint="eastAsia" w:ascii="Arial" w:hAnsi="Arial" w:cs="Arial"/>
          <w:color w:val="auto"/>
          <w:sz w:val="21"/>
          <w:szCs w:val="21"/>
          <w:highlight w:val="none"/>
        </w:rPr>
        <w:t>压缩机吸管应采用</w:t>
      </w:r>
      <w:r>
        <w:rPr>
          <w:rFonts w:hint="eastAsia" w:ascii="Arial" w:hAnsi="Arial" w:cs="Arial"/>
          <w:color w:val="auto"/>
          <w:sz w:val="21"/>
          <w:szCs w:val="21"/>
          <w:highlight w:val="none"/>
          <w:lang w:val="en-US" w:eastAsia="zh-CN"/>
        </w:rPr>
        <w:t>橡塑</w:t>
      </w:r>
      <w:r>
        <w:rPr>
          <w:rFonts w:hint="eastAsia" w:ascii="Arial" w:hAnsi="Arial" w:cs="Arial"/>
          <w:color w:val="auto"/>
          <w:sz w:val="21"/>
          <w:szCs w:val="21"/>
          <w:highlight w:val="none"/>
        </w:rPr>
        <w:t>保温材料进行全保温处理。高低压控制器和制冷维修用的阀门的位置应与气流分离。</w:t>
      </w:r>
    </w:p>
    <w:p w14:paraId="50958C44">
      <w:pPr>
        <w:pStyle w:val="7"/>
        <w:rPr>
          <w:rFonts w:hint="eastAsia"/>
          <w:sz w:val="21"/>
          <w:szCs w:val="21"/>
        </w:rPr>
      </w:pPr>
    </w:p>
    <w:p w14:paraId="34EB066F">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58" w:name="_Toc27110"/>
      <w:bookmarkStart w:id="259" w:name="_Toc1912"/>
      <w:bookmarkStart w:id="260" w:name="_Toc30568"/>
      <w:bookmarkStart w:id="261" w:name="_Toc20580"/>
      <w:r>
        <w:rPr>
          <w:rFonts w:hint="eastAsia" w:ascii="宋体" w:hAnsi="宋体"/>
          <w:b/>
          <w:sz w:val="21"/>
          <w:szCs w:val="21"/>
          <w:highlight w:val="none"/>
        </w:rPr>
        <w:t>操作与安全控制器</w:t>
      </w:r>
      <w:bookmarkEnd w:id="258"/>
      <w:bookmarkEnd w:id="259"/>
      <w:bookmarkEnd w:id="260"/>
      <w:bookmarkEnd w:id="261"/>
    </w:p>
    <w:p w14:paraId="66CE4B99">
      <w:pPr>
        <w:numPr>
          <w:ilvl w:val="0"/>
          <w:numId w:val="44"/>
        </w:numPr>
        <w:spacing w:line="340" w:lineRule="exact"/>
        <w:rPr>
          <w:rFonts w:hint="eastAsia" w:ascii="Arial" w:hAnsi="Arial" w:cs="Arial"/>
          <w:sz w:val="21"/>
          <w:szCs w:val="21"/>
          <w:highlight w:val="none"/>
        </w:rPr>
      </w:pPr>
      <w:r>
        <w:rPr>
          <w:rFonts w:hint="eastAsia" w:ascii="Arial" w:hAnsi="Arial" w:cs="Arial"/>
          <w:sz w:val="21"/>
          <w:szCs w:val="21"/>
          <w:highlight w:val="none"/>
        </w:rPr>
        <w:t>各设备将配备全套操作与安全逻辑控制系统。当出现制冷剂压力过高，制冷剂压力过低和/或电动机电流过高的情况时，控制系统将关闭压缩机。如果电源线路出现异常时，全部设备（风机和压缩机）将被关闭以保护电动机。</w:t>
      </w:r>
    </w:p>
    <w:p w14:paraId="53B65CF1">
      <w:pPr>
        <w:spacing w:line="340" w:lineRule="exact"/>
        <w:rPr>
          <w:rFonts w:hint="eastAsia" w:ascii="Arial" w:hAnsi="Arial" w:cs="Arial"/>
          <w:sz w:val="21"/>
          <w:szCs w:val="21"/>
          <w:highlight w:val="none"/>
        </w:rPr>
      </w:pPr>
    </w:p>
    <w:p w14:paraId="374FCE1C">
      <w:pPr>
        <w:numPr>
          <w:ilvl w:val="0"/>
          <w:numId w:val="44"/>
        </w:numPr>
        <w:spacing w:line="340" w:lineRule="exact"/>
        <w:rPr>
          <w:rFonts w:hint="eastAsia" w:ascii="Arial" w:hAnsi="Arial" w:cs="Arial"/>
          <w:sz w:val="21"/>
          <w:szCs w:val="21"/>
          <w:highlight w:val="none"/>
        </w:rPr>
      </w:pPr>
      <w:r>
        <w:rPr>
          <w:rFonts w:hint="eastAsia" w:ascii="Arial" w:hAnsi="Arial" w:cs="Arial"/>
          <w:sz w:val="21"/>
          <w:szCs w:val="21"/>
          <w:highlight w:val="none"/>
        </w:rPr>
        <w:t>操作与安全控制系统的构成将包括操纵整个系统所必须的电动机控制器，传感器和开关。</w:t>
      </w:r>
    </w:p>
    <w:p w14:paraId="2EFF8A68">
      <w:pPr>
        <w:pStyle w:val="7"/>
        <w:rPr>
          <w:rFonts w:hint="eastAsia"/>
          <w:sz w:val="21"/>
          <w:szCs w:val="21"/>
        </w:rPr>
      </w:pPr>
    </w:p>
    <w:p w14:paraId="27C2D5B1">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62" w:name="_Toc23192"/>
      <w:bookmarkStart w:id="263" w:name="_Toc16579"/>
      <w:bookmarkStart w:id="264" w:name="_Toc31940"/>
      <w:bookmarkStart w:id="265" w:name="_Toc18091"/>
      <w:r>
        <w:rPr>
          <w:rFonts w:hint="eastAsia" w:ascii="宋体" w:hAnsi="宋体"/>
          <w:b/>
          <w:sz w:val="21"/>
          <w:szCs w:val="21"/>
          <w:highlight w:val="none"/>
        </w:rPr>
        <w:t>微处理机控制器</w:t>
      </w:r>
      <w:bookmarkEnd w:id="262"/>
      <w:bookmarkEnd w:id="263"/>
      <w:bookmarkEnd w:id="264"/>
      <w:bookmarkEnd w:id="265"/>
    </w:p>
    <w:p w14:paraId="176E63F1">
      <w:pPr>
        <w:numPr>
          <w:ilvl w:val="0"/>
          <w:numId w:val="45"/>
        </w:numPr>
        <w:spacing w:line="340" w:lineRule="exact"/>
        <w:rPr>
          <w:rFonts w:hint="eastAsia" w:ascii="Arial" w:hAnsi="Arial" w:cs="Arial"/>
          <w:sz w:val="21"/>
          <w:szCs w:val="21"/>
          <w:highlight w:val="none"/>
        </w:rPr>
      </w:pPr>
      <w:r>
        <w:rPr>
          <w:rFonts w:hint="eastAsia" w:ascii="Arial" w:hAnsi="Arial" w:cs="Arial"/>
          <w:sz w:val="21"/>
          <w:szCs w:val="21"/>
          <w:highlight w:val="none"/>
        </w:rPr>
        <w:t>控制器应基于微处理机，以下功能/设定值可在控制面板上编程：</w:t>
      </w:r>
    </w:p>
    <w:p w14:paraId="1F0C3F51">
      <w:pPr>
        <w:numPr>
          <w:ilvl w:val="0"/>
          <w:numId w:val="46"/>
        </w:numPr>
        <w:spacing w:line="340" w:lineRule="exact"/>
        <w:rPr>
          <w:rFonts w:hint="eastAsia" w:ascii="Arial" w:hAnsi="Arial" w:cs="Arial"/>
          <w:sz w:val="21"/>
          <w:szCs w:val="21"/>
          <w:highlight w:val="none"/>
        </w:rPr>
      </w:pPr>
      <w:r>
        <w:rPr>
          <w:rFonts w:hint="eastAsia" w:ascii="Arial" w:hAnsi="Arial" w:cs="Arial"/>
          <w:sz w:val="21"/>
          <w:szCs w:val="21"/>
          <w:highlight w:val="none"/>
        </w:rPr>
        <w:t>空气温度</w:t>
      </w:r>
    </w:p>
    <w:p w14:paraId="0D487AE8">
      <w:pPr>
        <w:numPr>
          <w:ilvl w:val="0"/>
          <w:numId w:val="46"/>
        </w:numPr>
        <w:spacing w:line="340" w:lineRule="exact"/>
        <w:rPr>
          <w:rFonts w:hint="eastAsia" w:ascii="Arial" w:hAnsi="Arial" w:cs="Arial"/>
          <w:sz w:val="21"/>
          <w:szCs w:val="21"/>
          <w:highlight w:val="none"/>
        </w:rPr>
      </w:pPr>
      <w:r>
        <w:rPr>
          <w:rFonts w:hint="eastAsia" w:ascii="Arial" w:hAnsi="Arial" w:cs="Arial"/>
          <w:sz w:val="21"/>
          <w:szCs w:val="21"/>
          <w:highlight w:val="none"/>
        </w:rPr>
        <w:t>相对湿度</w:t>
      </w:r>
    </w:p>
    <w:p w14:paraId="72C9FF13">
      <w:pPr>
        <w:numPr>
          <w:ilvl w:val="0"/>
          <w:numId w:val="46"/>
        </w:numPr>
        <w:spacing w:line="340" w:lineRule="exact"/>
        <w:rPr>
          <w:rFonts w:hint="eastAsia" w:ascii="Arial" w:hAnsi="Arial" w:cs="Arial"/>
          <w:sz w:val="21"/>
          <w:szCs w:val="21"/>
          <w:highlight w:val="none"/>
        </w:rPr>
      </w:pPr>
      <w:r>
        <w:rPr>
          <w:rFonts w:hint="eastAsia" w:ascii="Arial" w:hAnsi="Arial" w:cs="Arial"/>
          <w:sz w:val="21"/>
          <w:szCs w:val="21"/>
          <w:highlight w:val="none"/>
        </w:rPr>
        <w:t>游泳池水温</w:t>
      </w:r>
    </w:p>
    <w:p w14:paraId="27D87F6E">
      <w:pPr>
        <w:numPr>
          <w:ilvl w:val="0"/>
          <w:numId w:val="45"/>
        </w:numPr>
        <w:spacing w:line="340" w:lineRule="exact"/>
        <w:rPr>
          <w:rFonts w:hint="eastAsia" w:ascii="Arial" w:hAnsi="Arial" w:cs="Arial"/>
          <w:sz w:val="21"/>
          <w:szCs w:val="21"/>
          <w:highlight w:val="none"/>
        </w:rPr>
      </w:pPr>
      <w:r>
        <w:rPr>
          <w:rFonts w:hint="eastAsia" w:ascii="Arial" w:hAnsi="Arial" w:cs="Arial"/>
          <w:sz w:val="21"/>
          <w:szCs w:val="21"/>
          <w:highlight w:val="none"/>
        </w:rPr>
        <w:t>所安装的设备或远程安装的背光液晶显示器上应提供下列读出或指示灯光：</w:t>
      </w:r>
    </w:p>
    <w:p w14:paraId="102E9635">
      <w:pPr>
        <w:numPr>
          <w:ilvl w:val="0"/>
          <w:numId w:val="47"/>
        </w:numPr>
        <w:spacing w:line="340" w:lineRule="exact"/>
        <w:rPr>
          <w:rFonts w:hint="eastAsia" w:ascii="Arial" w:hAnsi="Arial" w:cs="Arial"/>
          <w:sz w:val="21"/>
          <w:szCs w:val="21"/>
          <w:highlight w:val="none"/>
        </w:rPr>
      </w:pPr>
      <w:r>
        <w:rPr>
          <w:rFonts w:hint="eastAsia" w:ascii="Arial" w:hAnsi="Arial" w:cs="Arial"/>
          <w:sz w:val="21"/>
          <w:szCs w:val="21"/>
          <w:highlight w:val="none"/>
        </w:rPr>
        <w:t>电源接通</w:t>
      </w:r>
    </w:p>
    <w:p w14:paraId="32F722B7">
      <w:pPr>
        <w:numPr>
          <w:ilvl w:val="0"/>
          <w:numId w:val="47"/>
        </w:numPr>
        <w:spacing w:line="340" w:lineRule="exact"/>
        <w:rPr>
          <w:rFonts w:hint="eastAsia" w:ascii="Arial" w:hAnsi="Arial" w:cs="Arial"/>
          <w:sz w:val="21"/>
          <w:szCs w:val="21"/>
          <w:highlight w:val="none"/>
        </w:rPr>
      </w:pPr>
      <w:r>
        <w:rPr>
          <w:rFonts w:hint="eastAsia" w:ascii="Arial" w:hAnsi="Arial" w:cs="Arial"/>
          <w:sz w:val="21"/>
          <w:szCs w:val="21"/>
          <w:highlight w:val="none"/>
          <w:lang w:val="en-US" w:eastAsia="zh-CN"/>
        </w:rPr>
        <w:t>室内</w:t>
      </w:r>
      <w:r>
        <w:rPr>
          <w:rFonts w:hint="eastAsia" w:ascii="Arial" w:hAnsi="Arial" w:cs="Arial"/>
          <w:sz w:val="21"/>
          <w:szCs w:val="21"/>
          <w:highlight w:val="none"/>
        </w:rPr>
        <w:t>空间温度</w:t>
      </w:r>
    </w:p>
    <w:p w14:paraId="5B619E83">
      <w:pPr>
        <w:numPr>
          <w:ilvl w:val="0"/>
          <w:numId w:val="47"/>
        </w:numPr>
        <w:spacing w:line="340" w:lineRule="exact"/>
        <w:rPr>
          <w:rFonts w:hint="eastAsia" w:ascii="Arial" w:hAnsi="Arial" w:cs="Arial"/>
          <w:sz w:val="21"/>
          <w:szCs w:val="21"/>
          <w:highlight w:val="none"/>
        </w:rPr>
      </w:pPr>
      <w:r>
        <w:rPr>
          <w:rFonts w:hint="eastAsia" w:ascii="Arial" w:hAnsi="Arial" w:cs="Arial"/>
          <w:sz w:val="21"/>
          <w:szCs w:val="21"/>
          <w:highlight w:val="none"/>
          <w:lang w:val="en-US" w:eastAsia="zh-CN"/>
        </w:rPr>
        <w:t>室内</w:t>
      </w:r>
      <w:r>
        <w:rPr>
          <w:rFonts w:hint="eastAsia" w:ascii="Arial" w:hAnsi="Arial" w:cs="Arial"/>
          <w:sz w:val="21"/>
          <w:szCs w:val="21"/>
          <w:highlight w:val="none"/>
        </w:rPr>
        <w:t>空间相对湿度</w:t>
      </w:r>
    </w:p>
    <w:p w14:paraId="4627550C">
      <w:pPr>
        <w:numPr>
          <w:ilvl w:val="0"/>
          <w:numId w:val="47"/>
        </w:numPr>
        <w:spacing w:line="340" w:lineRule="exact"/>
        <w:rPr>
          <w:rFonts w:hint="eastAsia" w:ascii="Arial" w:hAnsi="Arial" w:cs="Arial"/>
          <w:sz w:val="21"/>
          <w:szCs w:val="21"/>
          <w:highlight w:val="none"/>
        </w:rPr>
      </w:pPr>
      <w:r>
        <w:rPr>
          <w:rFonts w:hint="eastAsia" w:ascii="Arial" w:hAnsi="Arial" w:cs="Arial"/>
          <w:sz w:val="21"/>
          <w:szCs w:val="21"/>
          <w:highlight w:val="none"/>
        </w:rPr>
        <w:t>游泳池水温</w:t>
      </w:r>
    </w:p>
    <w:p w14:paraId="392605E9">
      <w:pPr>
        <w:numPr>
          <w:ilvl w:val="0"/>
          <w:numId w:val="47"/>
        </w:numPr>
        <w:spacing w:line="340" w:lineRule="exact"/>
        <w:rPr>
          <w:rFonts w:hint="eastAsia" w:ascii="Arial" w:hAnsi="Arial" w:cs="Arial"/>
          <w:sz w:val="21"/>
          <w:szCs w:val="21"/>
          <w:highlight w:val="none"/>
        </w:rPr>
      </w:pPr>
      <w:r>
        <w:rPr>
          <w:rFonts w:hint="eastAsia" w:ascii="Arial" w:hAnsi="Arial" w:cs="Arial"/>
          <w:sz w:val="21"/>
          <w:szCs w:val="21"/>
          <w:highlight w:val="none"/>
          <w:lang w:val="en-US" w:eastAsia="zh-CN"/>
        </w:rPr>
        <w:t>风机运行情况</w:t>
      </w:r>
    </w:p>
    <w:p w14:paraId="20D08A1A">
      <w:pPr>
        <w:numPr>
          <w:ilvl w:val="0"/>
          <w:numId w:val="47"/>
        </w:numPr>
        <w:spacing w:line="340" w:lineRule="exact"/>
        <w:rPr>
          <w:rFonts w:hint="eastAsia" w:ascii="Arial" w:hAnsi="Arial" w:cs="Arial"/>
          <w:sz w:val="21"/>
          <w:szCs w:val="21"/>
          <w:highlight w:val="none"/>
        </w:rPr>
      </w:pPr>
      <w:r>
        <w:rPr>
          <w:rFonts w:hint="eastAsia" w:ascii="Arial" w:hAnsi="Arial" w:cs="Arial"/>
          <w:sz w:val="21"/>
          <w:szCs w:val="21"/>
          <w:highlight w:val="none"/>
          <w:lang w:val="en-US" w:eastAsia="zh-CN"/>
        </w:rPr>
        <w:t>压缩机分级启动</w:t>
      </w:r>
    </w:p>
    <w:p w14:paraId="3FD7B32A">
      <w:pPr>
        <w:numPr>
          <w:ilvl w:val="0"/>
          <w:numId w:val="47"/>
        </w:numPr>
        <w:spacing w:line="340" w:lineRule="exact"/>
        <w:rPr>
          <w:rFonts w:hint="eastAsia" w:ascii="Arial" w:hAnsi="Arial" w:cs="Arial"/>
          <w:sz w:val="21"/>
          <w:szCs w:val="21"/>
          <w:highlight w:val="none"/>
          <w:lang w:val="en-US" w:eastAsia="zh-CN"/>
        </w:rPr>
      </w:pPr>
      <w:r>
        <w:rPr>
          <w:rFonts w:hint="eastAsia" w:ascii="Arial" w:hAnsi="Arial" w:cs="Arial"/>
          <w:sz w:val="21"/>
          <w:szCs w:val="21"/>
          <w:highlight w:val="none"/>
          <w:lang w:val="en-US" w:eastAsia="zh-CN"/>
        </w:rPr>
        <w:t>设备进入空气加热模式</w:t>
      </w:r>
    </w:p>
    <w:p w14:paraId="05526450">
      <w:pPr>
        <w:numPr>
          <w:ilvl w:val="0"/>
          <w:numId w:val="47"/>
        </w:numPr>
        <w:spacing w:line="340" w:lineRule="exact"/>
        <w:rPr>
          <w:rFonts w:hint="eastAsia" w:ascii="Arial" w:hAnsi="Arial" w:cs="Arial"/>
          <w:sz w:val="21"/>
          <w:szCs w:val="21"/>
          <w:highlight w:val="none"/>
          <w:lang w:val="en-US" w:eastAsia="zh-CN"/>
        </w:rPr>
      </w:pPr>
      <w:r>
        <w:rPr>
          <w:rFonts w:hint="eastAsia" w:ascii="Arial" w:hAnsi="Arial" w:cs="Arial"/>
          <w:sz w:val="21"/>
          <w:szCs w:val="21"/>
          <w:highlight w:val="none"/>
          <w:lang w:val="en-US" w:eastAsia="zh-CN"/>
        </w:rPr>
        <w:t>设备进入除湿模式</w:t>
      </w:r>
    </w:p>
    <w:p w14:paraId="291E1E1F">
      <w:pPr>
        <w:numPr>
          <w:ilvl w:val="0"/>
          <w:numId w:val="47"/>
        </w:numPr>
        <w:spacing w:line="340" w:lineRule="exact"/>
        <w:rPr>
          <w:rFonts w:hint="eastAsia" w:ascii="Arial" w:hAnsi="Arial" w:cs="Arial"/>
          <w:sz w:val="21"/>
          <w:szCs w:val="21"/>
          <w:highlight w:val="none"/>
        </w:rPr>
      </w:pPr>
      <w:r>
        <w:rPr>
          <w:rFonts w:hint="eastAsia" w:ascii="Arial" w:hAnsi="Arial" w:cs="Arial"/>
          <w:sz w:val="21"/>
          <w:szCs w:val="21"/>
          <w:highlight w:val="none"/>
        </w:rPr>
        <w:t>辅助空气加热盘管起动</w:t>
      </w:r>
    </w:p>
    <w:p w14:paraId="1F0205B3">
      <w:pPr>
        <w:numPr>
          <w:ilvl w:val="0"/>
          <w:numId w:val="47"/>
        </w:numPr>
        <w:spacing w:line="340" w:lineRule="exact"/>
        <w:rPr>
          <w:rFonts w:hint="eastAsia" w:ascii="Arial" w:hAnsi="Arial" w:cs="Arial"/>
          <w:sz w:val="21"/>
          <w:szCs w:val="21"/>
          <w:highlight w:val="none"/>
        </w:rPr>
      </w:pPr>
      <w:r>
        <w:rPr>
          <w:rFonts w:hint="eastAsia" w:ascii="Arial" w:hAnsi="Arial" w:cs="Arial"/>
          <w:sz w:val="21"/>
          <w:szCs w:val="21"/>
          <w:highlight w:val="none"/>
        </w:rPr>
        <w:t>池水加热起动</w:t>
      </w:r>
    </w:p>
    <w:p w14:paraId="7E73050C">
      <w:pPr>
        <w:numPr>
          <w:ilvl w:val="0"/>
          <w:numId w:val="47"/>
        </w:numPr>
        <w:spacing w:line="340" w:lineRule="exact"/>
        <w:rPr>
          <w:rFonts w:hint="eastAsia" w:ascii="Arial" w:hAnsi="Arial" w:cs="Arial"/>
          <w:sz w:val="21"/>
          <w:szCs w:val="21"/>
          <w:highlight w:val="none"/>
        </w:rPr>
      </w:pPr>
      <w:r>
        <w:rPr>
          <w:rFonts w:hint="eastAsia" w:ascii="Arial" w:hAnsi="Arial" w:cs="Arial"/>
          <w:sz w:val="21"/>
          <w:szCs w:val="21"/>
          <w:highlight w:val="none"/>
        </w:rPr>
        <w:t>每天的时间/日期/星期几</w:t>
      </w:r>
    </w:p>
    <w:p w14:paraId="3A6C8E7B">
      <w:pPr>
        <w:pStyle w:val="7"/>
        <w:rPr>
          <w:rFonts w:hint="eastAsia"/>
          <w:sz w:val="21"/>
          <w:szCs w:val="21"/>
        </w:rPr>
      </w:pPr>
    </w:p>
    <w:p w14:paraId="6F77FC74">
      <w:pPr>
        <w:numPr>
          <w:ilvl w:val="0"/>
          <w:numId w:val="45"/>
        </w:numPr>
        <w:spacing w:line="340" w:lineRule="exact"/>
        <w:rPr>
          <w:rFonts w:hint="eastAsia" w:ascii="Arial" w:hAnsi="Arial" w:cs="Arial"/>
          <w:sz w:val="21"/>
          <w:szCs w:val="21"/>
          <w:highlight w:val="none"/>
        </w:rPr>
      </w:pPr>
      <w:r>
        <w:rPr>
          <w:rFonts w:hint="eastAsia" w:ascii="Arial" w:hAnsi="Arial" w:cs="Arial"/>
          <w:sz w:val="21"/>
          <w:szCs w:val="21"/>
          <w:highlight w:val="none"/>
        </w:rPr>
        <w:t>控制面板与设备为一体式结构，设置在一个独立的舱体内，与气流相隔离。电源端子条可用于不同线号连接。所有连接线都要进行编号和加彩码以便于查找故障。压缩机应配备断路器保护，并具有防再循环计时器。风机电动机应配备可调热过载保护装置。</w:t>
      </w:r>
    </w:p>
    <w:p w14:paraId="2E55A5D5">
      <w:pPr>
        <w:spacing w:line="340" w:lineRule="exact"/>
        <w:rPr>
          <w:rFonts w:hint="eastAsia" w:ascii="Arial" w:hAnsi="Arial" w:cs="Arial"/>
          <w:sz w:val="21"/>
          <w:szCs w:val="21"/>
          <w:highlight w:val="none"/>
        </w:rPr>
      </w:pPr>
    </w:p>
    <w:p w14:paraId="71346018">
      <w:pPr>
        <w:numPr>
          <w:ilvl w:val="0"/>
          <w:numId w:val="45"/>
        </w:numPr>
        <w:spacing w:line="340" w:lineRule="exact"/>
        <w:rPr>
          <w:rFonts w:hint="eastAsia" w:ascii="Arial" w:hAnsi="Arial" w:cs="Arial"/>
          <w:sz w:val="21"/>
          <w:szCs w:val="21"/>
          <w:highlight w:val="none"/>
        </w:rPr>
      </w:pPr>
      <w:r>
        <w:rPr>
          <w:rFonts w:hint="eastAsia" w:ascii="Arial" w:hAnsi="Arial" w:cs="Arial"/>
          <w:sz w:val="21"/>
          <w:szCs w:val="21"/>
          <w:highlight w:val="none"/>
        </w:rPr>
        <w:t>微处理机控制面板存储器应具有故障代码历史记录。该故障代码历史记录将按发生顺序记录最后50个故障代码。每个故障代码的记录均附带发生的日期和时间以及故障发生时的主要系统参数值。该故障代码历史记录可在设备控制器的显示器上和标准远程接口设备(RIU)上进行存取；或采用可选的远程访问软件包，基于</w:t>
      </w:r>
      <w:r>
        <w:rPr>
          <w:rFonts w:ascii="Arial" w:hAnsi="Arial" w:cs="Arial"/>
          <w:sz w:val="21"/>
          <w:szCs w:val="21"/>
          <w:highlight w:val="none"/>
        </w:rPr>
        <w:t>LonWorks</w:t>
      </w:r>
      <w:r>
        <w:rPr>
          <w:rFonts w:hint="eastAsia" w:ascii="Arial" w:hAnsi="Arial" w:cs="Arial"/>
          <w:sz w:val="21"/>
          <w:szCs w:val="21"/>
          <w:highlight w:val="none"/>
        </w:rPr>
        <w:t>的网络服务器通过调制解调器（电话线）或通过以太网/互联网连接进行访问。</w:t>
      </w:r>
    </w:p>
    <w:p w14:paraId="4ABD9C49">
      <w:pPr>
        <w:numPr>
          <w:ilvl w:val="0"/>
          <w:numId w:val="0"/>
        </w:numPr>
        <w:spacing w:line="340" w:lineRule="exact"/>
        <w:ind w:leftChars="0"/>
        <w:rPr>
          <w:rFonts w:hint="eastAsia" w:ascii="Arial" w:hAnsi="Arial" w:cs="Arial"/>
          <w:sz w:val="21"/>
          <w:szCs w:val="21"/>
          <w:highlight w:val="none"/>
        </w:rPr>
      </w:pPr>
    </w:p>
    <w:p w14:paraId="44C03887">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66" w:name="_Toc13397"/>
      <w:bookmarkStart w:id="267" w:name="_Toc15503"/>
      <w:bookmarkStart w:id="268" w:name="_Toc19118"/>
      <w:bookmarkStart w:id="269" w:name="_Toc15874"/>
      <w:r>
        <w:rPr>
          <w:rFonts w:hint="eastAsia" w:ascii="宋体" w:hAnsi="宋体"/>
          <w:b/>
          <w:sz w:val="21"/>
          <w:szCs w:val="21"/>
          <w:highlight w:val="none"/>
        </w:rPr>
        <w:t>控制传感器</w:t>
      </w:r>
      <w:bookmarkEnd w:id="266"/>
      <w:bookmarkEnd w:id="267"/>
      <w:bookmarkEnd w:id="268"/>
      <w:bookmarkEnd w:id="269"/>
    </w:p>
    <w:p w14:paraId="1EBC4BBE">
      <w:pPr>
        <w:numPr>
          <w:ilvl w:val="0"/>
          <w:numId w:val="48"/>
        </w:numPr>
        <w:spacing w:line="340" w:lineRule="exact"/>
        <w:rPr>
          <w:rFonts w:hint="eastAsia" w:ascii="Arial" w:hAnsi="Arial" w:cs="Arial"/>
          <w:sz w:val="21"/>
          <w:szCs w:val="21"/>
          <w:highlight w:val="none"/>
        </w:rPr>
      </w:pPr>
      <w:r>
        <w:rPr>
          <w:rFonts w:hint="eastAsia" w:ascii="Arial" w:hAnsi="Arial" w:cs="Arial"/>
          <w:sz w:val="21"/>
          <w:szCs w:val="21"/>
          <w:highlight w:val="none"/>
        </w:rPr>
        <w:t>设备应配置以下工厂原装接线的控制传感器：</w:t>
      </w:r>
    </w:p>
    <w:p w14:paraId="695F01CE">
      <w:pPr>
        <w:numPr>
          <w:ilvl w:val="0"/>
          <w:numId w:val="49"/>
        </w:numPr>
        <w:spacing w:line="340" w:lineRule="exact"/>
        <w:rPr>
          <w:rFonts w:hint="eastAsia" w:ascii="Arial" w:hAnsi="Arial" w:cs="Arial"/>
          <w:sz w:val="21"/>
          <w:szCs w:val="21"/>
          <w:highlight w:val="none"/>
        </w:rPr>
      </w:pPr>
      <w:r>
        <w:rPr>
          <w:rFonts w:hint="eastAsia" w:ascii="Arial" w:hAnsi="Arial" w:cs="Arial"/>
          <w:sz w:val="21"/>
          <w:szCs w:val="21"/>
          <w:highlight w:val="none"/>
        </w:rPr>
        <w:t>空间干球温度</w:t>
      </w:r>
    </w:p>
    <w:p w14:paraId="3FCE980F">
      <w:pPr>
        <w:numPr>
          <w:ilvl w:val="0"/>
          <w:numId w:val="49"/>
        </w:numPr>
        <w:spacing w:line="340" w:lineRule="exact"/>
        <w:rPr>
          <w:rFonts w:hint="eastAsia" w:ascii="Arial" w:hAnsi="Arial" w:cs="Arial"/>
          <w:sz w:val="21"/>
          <w:szCs w:val="21"/>
          <w:highlight w:val="none"/>
        </w:rPr>
      </w:pPr>
      <w:r>
        <w:rPr>
          <w:rFonts w:hint="eastAsia" w:ascii="Arial" w:hAnsi="Arial" w:cs="Arial"/>
          <w:sz w:val="21"/>
          <w:szCs w:val="21"/>
          <w:highlight w:val="none"/>
        </w:rPr>
        <w:t>空间相对湿度</w:t>
      </w:r>
    </w:p>
    <w:p w14:paraId="0AE53B67">
      <w:pPr>
        <w:numPr>
          <w:ilvl w:val="0"/>
          <w:numId w:val="49"/>
        </w:numPr>
        <w:spacing w:line="340" w:lineRule="exact"/>
        <w:rPr>
          <w:rFonts w:hint="eastAsia" w:ascii="Arial" w:hAnsi="Arial" w:cs="Arial"/>
          <w:sz w:val="21"/>
          <w:szCs w:val="21"/>
          <w:highlight w:val="none"/>
        </w:rPr>
      </w:pPr>
      <w:r>
        <w:rPr>
          <w:rFonts w:hint="eastAsia" w:ascii="Arial" w:hAnsi="Arial" w:cs="Arial"/>
          <w:sz w:val="21"/>
          <w:szCs w:val="21"/>
          <w:highlight w:val="none"/>
        </w:rPr>
        <w:t>游泳池水温</w:t>
      </w:r>
    </w:p>
    <w:p w14:paraId="4DB7F242">
      <w:pPr>
        <w:numPr>
          <w:ilvl w:val="0"/>
          <w:numId w:val="48"/>
        </w:numPr>
        <w:spacing w:line="340" w:lineRule="exact"/>
        <w:rPr>
          <w:rFonts w:hint="eastAsia" w:ascii="Arial" w:hAnsi="Arial" w:cs="Arial"/>
          <w:sz w:val="21"/>
          <w:szCs w:val="21"/>
          <w:highlight w:val="none"/>
          <w:lang w:val="en-GB"/>
        </w:rPr>
      </w:pPr>
      <w:r>
        <w:rPr>
          <w:rFonts w:hint="eastAsia" w:ascii="Arial" w:hAnsi="Arial" w:cs="Arial"/>
          <w:sz w:val="21"/>
          <w:szCs w:val="21"/>
          <w:highlight w:val="none"/>
          <w:lang w:val="en-GB"/>
        </w:rPr>
        <w:t>设备采用压力传感器检测冷媒系统压力并换算成相应温度值。</w:t>
      </w:r>
    </w:p>
    <w:p w14:paraId="152C68B3">
      <w:pPr>
        <w:numPr>
          <w:ilvl w:val="0"/>
          <w:numId w:val="48"/>
        </w:numPr>
        <w:spacing w:line="340" w:lineRule="exact"/>
        <w:rPr>
          <w:rFonts w:hint="eastAsia" w:ascii="Arial" w:hAnsi="Arial" w:cs="Arial"/>
          <w:sz w:val="21"/>
          <w:szCs w:val="21"/>
          <w:highlight w:val="none"/>
        </w:rPr>
      </w:pPr>
      <w:r>
        <w:rPr>
          <w:rFonts w:hint="eastAsia" w:ascii="Arial" w:hAnsi="Arial" w:cs="Arial"/>
          <w:sz w:val="21"/>
          <w:szCs w:val="21"/>
          <w:highlight w:val="none"/>
          <w:lang w:val="en-GB"/>
        </w:rPr>
        <w:t>设备控制系统配备延时计时器防止压缩机短时循环启动。</w:t>
      </w:r>
    </w:p>
    <w:p w14:paraId="75AA75B0">
      <w:pPr>
        <w:numPr>
          <w:ilvl w:val="0"/>
          <w:numId w:val="48"/>
        </w:numPr>
        <w:spacing w:line="340" w:lineRule="exact"/>
        <w:rPr>
          <w:rFonts w:hint="eastAsia" w:ascii="Arial" w:hAnsi="Arial" w:cs="Arial"/>
          <w:sz w:val="21"/>
          <w:szCs w:val="21"/>
          <w:highlight w:val="none"/>
        </w:rPr>
      </w:pPr>
      <w:r>
        <w:rPr>
          <w:rFonts w:hint="eastAsia" w:ascii="Arial" w:hAnsi="Arial" w:cs="Arial"/>
          <w:sz w:val="21"/>
          <w:szCs w:val="21"/>
          <w:highlight w:val="none"/>
          <w:lang w:val="en-GB"/>
        </w:rPr>
        <w:t>在正常情况下，设备风机应连续运转为游泳池室内提供空气循环。</w:t>
      </w:r>
    </w:p>
    <w:p w14:paraId="03B1FF87">
      <w:pPr>
        <w:spacing w:line="260" w:lineRule="exact"/>
        <w:ind w:left="840"/>
        <w:rPr>
          <w:rFonts w:hint="eastAsia" w:ascii="Arial" w:hAnsi="Arial" w:cs="Arial"/>
          <w:sz w:val="21"/>
          <w:szCs w:val="21"/>
          <w:highlight w:val="none"/>
        </w:rPr>
      </w:pPr>
    </w:p>
    <w:p w14:paraId="575C5FF0">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70" w:name="_Toc26615"/>
      <w:bookmarkStart w:id="271" w:name="_Toc15188"/>
      <w:bookmarkStart w:id="272" w:name="_Toc5801"/>
      <w:bookmarkStart w:id="273" w:name="_Toc21061"/>
      <w:r>
        <w:rPr>
          <w:rFonts w:hint="eastAsia" w:ascii="宋体" w:hAnsi="宋体"/>
          <w:b/>
          <w:sz w:val="21"/>
          <w:szCs w:val="21"/>
          <w:highlight w:val="none"/>
        </w:rPr>
        <w:t>操作序列</w:t>
      </w:r>
      <w:bookmarkEnd w:id="270"/>
      <w:bookmarkEnd w:id="271"/>
      <w:bookmarkEnd w:id="272"/>
      <w:bookmarkEnd w:id="273"/>
    </w:p>
    <w:p w14:paraId="33338DD3">
      <w:pPr>
        <w:numPr>
          <w:ilvl w:val="0"/>
          <w:numId w:val="50"/>
        </w:numPr>
        <w:spacing w:line="340" w:lineRule="exact"/>
        <w:rPr>
          <w:rFonts w:hint="eastAsia" w:ascii="Arial" w:hAnsi="Arial" w:cs="Arial"/>
          <w:sz w:val="21"/>
          <w:szCs w:val="21"/>
          <w:highlight w:val="none"/>
        </w:rPr>
      </w:pPr>
      <w:r>
        <w:rPr>
          <w:rFonts w:hint="eastAsia" w:ascii="Arial" w:hAnsi="Arial" w:cs="Arial"/>
          <w:sz w:val="21"/>
          <w:szCs w:val="21"/>
          <w:highlight w:val="none"/>
        </w:rPr>
        <w:t>所有的操作和逻辑控制器均应由工厂在设备上安装和接线。控制序列应特别针对游泳池环境条件而设计。</w:t>
      </w:r>
    </w:p>
    <w:p w14:paraId="4533D54C">
      <w:pPr>
        <w:spacing w:line="340" w:lineRule="exact"/>
        <w:rPr>
          <w:rFonts w:hint="eastAsia" w:ascii="Arial" w:hAnsi="Arial" w:cs="Arial"/>
          <w:sz w:val="21"/>
          <w:szCs w:val="21"/>
          <w:highlight w:val="none"/>
        </w:rPr>
      </w:pPr>
    </w:p>
    <w:p w14:paraId="7B71C7E9">
      <w:pPr>
        <w:numPr>
          <w:ilvl w:val="0"/>
          <w:numId w:val="50"/>
        </w:numPr>
        <w:spacing w:line="340" w:lineRule="exact"/>
        <w:rPr>
          <w:rFonts w:hint="eastAsia" w:ascii="Arial" w:hAnsi="Arial" w:cs="Arial"/>
          <w:sz w:val="21"/>
          <w:szCs w:val="21"/>
          <w:highlight w:val="none"/>
        </w:rPr>
      </w:pPr>
      <w:r>
        <w:rPr>
          <w:rFonts w:hint="eastAsia" w:ascii="Arial" w:hAnsi="Arial" w:cs="Arial"/>
          <w:sz w:val="21"/>
          <w:szCs w:val="21"/>
          <w:highlight w:val="none"/>
        </w:rPr>
        <w:t>控制系统应通过干球温度、相对湿度、冷墙表面防冷凝湿度复位及通风量的比例控制，提供热回收/加热系统的全面调制。</w:t>
      </w:r>
    </w:p>
    <w:p w14:paraId="1E8D47AD">
      <w:pPr>
        <w:spacing w:line="340" w:lineRule="exact"/>
        <w:rPr>
          <w:rFonts w:hint="eastAsia" w:ascii="Arial" w:hAnsi="Arial" w:cs="Arial"/>
          <w:sz w:val="21"/>
          <w:szCs w:val="21"/>
          <w:highlight w:val="none"/>
        </w:rPr>
      </w:pPr>
    </w:p>
    <w:p w14:paraId="5DC8A40A">
      <w:pPr>
        <w:numPr>
          <w:ilvl w:val="0"/>
          <w:numId w:val="50"/>
        </w:numPr>
        <w:spacing w:line="340" w:lineRule="exact"/>
        <w:rPr>
          <w:rFonts w:hint="eastAsia" w:ascii="Arial" w:hAnsi="Arial" w:cs="Arial"/>
          <w:sz w:val="21"/>
          <w:szCs w:val="21"/>
          <w:highlight w:val="none"/>
        </w:rPr>
      </w:pPr>
      <w:r>
        <w:rPr>
          <w:rFonts w:hint="eastAsia" w:ascii="Arial" w:hAnsi="Arial" w:cs="Arial"/>
          <w:sz w:val="21"/>
          <w:szCs w:val="21"/>
          <w:highlight w:val="none"/>
        </w:rPr>
        <w:t>控制器可响应最大要求自动控制加热系统，除湿系统和热回收系统，调节设备输出，维持建筑物状态。设备和控制器应能够提供充分的空气加热或水加热容量。控制器应能够通过压缩机容量负载分级控制加热除湿。在建筑物要求得到满足之后，设备应自动卸载并关闭。</w:t>
      </w:r>
    </w:p>
    <w:p w14:paraId="54AC74FD">
      <w:pPr>
        <w:spacing w:line="260" w:lineRule="exact"/>
        <w:rPr>
          <w:rFonts w:hint="eastAsia" w:ascii="Arial" w:hAnsi="Arial" w:cs="Arial"/>
          <w:sz w:val="21"/>
          <w:szCs w:val="21"/>
          <w:highlight w:val="none"/>
        </w:rPr>
      </w:pPr>
    </w:p>
    <w:p w14:paraId="3F175CD5">
      <w:pPr>
        <w:numPr>
          <w:ilvl w:val="0"/>
          <w:numId w:val="50"/>
        </w:numPr>
        <w:spacing w:line="340" w:lineRule="exact"/>
        <w:rPr>
          <w:rFonts w:hint="eastAsia" w:ascii="Arial" w:hAnsi="Arial" w:cs="Arial"/>
          <w:sz w:val="21"/>
          <w:szCs w:val="21"/>
          <w:highlight w:val="none"/>
        </w:rPr>
      </w:pPr>
      <w:r>
        <w:rPr>
          <w:rFonts w:hint="eastAsia" w:ascii="Arial" w:hAnsi="Arial" w:cs="Arial"/>
          <w:sz w:val="21"/>
          <w:szCs w:val="21"/>
          <w:highlight w:val="none"/>
        </w:rPr>
        <w:t>设备应提供如下功能：</w:t>
      </w:r>
    </w:p>
    <w:p w14:paraId="127BC686">
      <w:pPr>
        <w:numPr>
          <w:ilvl w:val="0"/>
          <w:numId w:val="51"/>
        </w:numPr>
        <w:spacing w:line="340" w:lineRule="exact"/>
        <w:rPr>
          <w:rFonts w:hint="eastAsia" w:ascii="Arial" w:hAnsi="Arial" w:cs="Arial"/>
          <w:b/>
          <w:sz w:val="21"/>
          <w:szCs w:val="21"/>
          <w:highlight w:val="none"/>
        </w:rPr>
      </w:pPr>
      <w:r>
        <w:rPr>
          <w:rFonts w:hint="eastAsia" w:ascii="Arial" w:hAnsi="Arial" w:cs="Arial"/>
          <w:b/>
          <w:sz w:val="21"/>
          <w:szCs w:val="21"/>
          <w:highlight w:val="none"/>
        </w:rPr>
        <w:t>池水加热：</w:t>
      </w:r>
      <w:r>
        <w:rPr>
          <w:rFonts w:hint="eastAsia" w:ascii="Arial" w:hAnsi="Arial" w:cs="Arial"/>
          <w:sz w:val="21"/>
          <w:szCs w:val="21"/>
          <w:highlight w:val="none"/>
        </w:rPr>
        <w:t>如果空间温度达到或超过设定值而游泳池水温低于设定值时，压缩机运行时便将高温气态制冷剂导入池水冷凝器。在池水需要加热的其他时间，设备将起动辅助池水加热器。</w:t>
      </w:r>
    </w:p>
    <w:p w14:paraId="244AC2A0">
      <w:pPr>
        <w:numPr>
          <w:ilvl w:val="0"/>
          <w:numId w:val="51"/>
        </w:numPr>
        <w:spacing w:line="340" w:lineRule="exact"/>
        <w:rPr>
          <w:rFonts w:hint="eastAsia" w:ascii="Arial" w:hAnsi="Arial" w:cs="Arial"/>
          <w:b/>
          <w:sz w:val="21"/>
          <w:szCs w:val="21"/>
          <w:highlight w:val="none"/>
        </w:rPr>
      </w:pPr>
      <w:r>
        <w:rPr>
          <w:rFonts w:hint="eastAsia" w:ascii="Arial" w:hAnsi="Arial" w:cs="Arial"/>
          <w:b/>
          <w:sz w:val="21"/>
          <w:szCs w:val="21"/>
          <w:highlight w:val="none"/>
        </w:rPr>
        <w:t>湿度控制：</w:t>
      </w:r>
    </w:p>
    <w:p w14:paraId="77474B0A">
      <w:pPr>
        <w:numPr>
          <w:ilvl w:val="0"/>
          <w:numId w:val="52"/>
        </w:numPr>
        <w:spacing w:line="340" w:lineRule="exact"/>
        <w:ind w:left="1051" w:leftChars="304" w:hanging="413" w:hangingChars="197"/>
        <w:rPr>
          <w:rFonts w:hint="eastAsia" w:ascii="Arial" w:hAnsi="Arial" w:cs="Arial"/>
          <w:sz w:val="21"/>
          <w:szCs w:val="21"/>
          <w:highlight w:val="none"/>
        </w:rPr>
      </w:pPr>
      <w:r>
        <w:rPr>
          <w:rFonts w:hint="eastAsia" w:ascii="Arial" w:hAnsi="Arial" w:cs="Arial"/>
          <w:sz w:val="21"/>
          <w:szCs w:val="21"/>
          <w:highlight w:val="none"/>
        </w:rPr>
        <w:t>由分级设备容量对湿度进行全比例控制。湿度控制器起动压缩机，在空间需要加热时将高温气态制冷剂导入空气再加热冷凝器，池水温度低于设定值时将高温气态制冷剂导入池水冷凝器新风绝对湿度低于游泳池室内的绝对湿度。</w:t>
      </w:r>
    </w:p>
    <w:p w14:paraId="20F6F03D">
      <w:pPr>
        <w:numPr>
          <w:ilvl w:val="0"/>
          <w:numId w:val="52"/>
        </w:numPr>
        <w:spacing w:line="340" w:lineRule="exact"/>
        <w:ind w:left="1051" w:leftChars="304" w:hanging="413" w:hangingChars="197"/>
        <w:rPr>
          <w:rFonts w:hint="eastAsia" w:ascii="Arial" w:hAnsi="Arial" w:cs="Arial"/>
          <w:sz w:val="21"/>
          <w:szCs w:val="21"/>
          <w:highlight w:val="none"/>
        </w:rPr>
      </w:pPr>
      <w:r>
        <w:rPr>
          <w:rFonts w:hint="eastAsia" w:ascii="Arial" w:hAnsi="Arial" w:cs="Arial"/>
          <w:sz w:val="21"/>
          <w:szCs w:val="21"/>
          <w:highlight w:val="none"/>
        </w:rPr>
        <w:t>如果需要除湿，气温和水温均得到满足时，那么就将高温气态制冷剂导入外部风冷式冷凝器。</w:t>
      </w:r>
    </w:p>
    <w:p w14:paraId="4C0C9D19">
      <w:pPr>
        <w:numPr>
          <w:ilvl w:val="0"/>
          <w:numId w:val="0"/>
        </w:numPr>
        <w:spacing w:line="340" w:lineRule="exact"/>
        <w:ind w:leftChars="200"/>
        <w:rPr>
          <w:rFonts w:hint="eastAsia" w:ascii="Arial" w:hAnsi="Arial" w:cs="Arial"/>
          <w:sz w:val="21"/>
          <w:szCs w:val="21"/>
          <w:highlight w:val="none"/>
        </w:rPr>
      </w:pPr>
      <w:r>
        <w:rPr>
          <w:rFonts w:hint="eastAsia" w:ascii="Arial" w:hAnsi="Arial" w:cs="Arial"/>
          <w:sz w:val="21"/>
          <w:szCs w:val="21"/>
          <w:highlight w:val="none"/>
        </w:rPr>
        <w:t>按照本文件所示计划和技术参数规定提供和安装具有空气对水和空气对空气热量回收功能的室内游泳池热泵除湿系统。热泵型除湿机设备整机为工厂组装，包括所有的内部管道和控制线路。热泵制造商根据项目现场情况，对机组进行分段运输。</w:t>
      </w:r>
      <w:bookmarkStart w:id="274" w:name="_Toc325989576"/>
    </w:p>
    <w:bookmarkEnd w:id="274"/>
    <w:p w14:paraId="6616E17F">
      <w:pPr>
        <w:numPr>
          <w:ilvl w:val="0"/>
          <w:numId w:val="0"/>
        </w:numPr>
        <w:spacing w:line="340" w:lineRule="exact"/>
        <w:ind w:leftChars="200"/>
        <w:rPr>
          <w:rFonts w:hint="eastAsia" w:ascii="Arial" w:hAnsi="Arial" w:cs="Arial"/>
          <w:sz w:val="21"/>
          <w:szCs w:val="21"/>
          <w:highlight w:val="none"/>
        </w:rPr>
      </w:pPr>
      <w:r>
        <w:rPr>
          <w:rFonts w:hint="eastAsia" w:ascii="Arial" w:hAnsi="Arial" w:cs="Arial"/>
          <w:sz w:val="21"/>
          <w:szCs w:val="21"/>
          <w:highlight w:val="none"/>
        </w:rPr>
        <w:t>本技术规范部分的意图是提供完整的、可操作的、可调节的室内游泳池除湿系统，如计划和技术参数所示。</w:t>
      </w:r>
    </w:p>
    <w:p w14:paraId="3B71B6B2">
      <w:pPr>
        <w:numPr>
          <w:ilvl w:val="0"/>
          <w:numId w:val="0"/>
        </w:numPr>
        <w:spacing w:line="340" w:lineRule="exact"/>
        <w:ind w:leftChars="200"/>
        <w:rPr>
          <w:rFonts w:hint="eastAsia" w:ascii="Arial" w:hAnsi="Arial" w:cs="Arial"/>
          <w:sz w:val="21"/>
          <w:szCs w:val="21"/>
          <w:highlight w:val="none"/>
        </w:rPr>
      </w:pPr>
      <w:r>
        <w:rPr>
          <w:rFonts w:hint="eastAsia" w:ascii="Arial" w:hAnsi="Arial" w:cs="Arial"/>
          <w:sz w:val="21"/>
          <w:szCs w:val="21"/>
          <w:highlight w:val="none"/>
        </w:rPr>
        <w:t>设计参数：泳池设计参数详招标图纸；室内空气温度为30℃；相对湿度为65％。</w:t>
      </w:r>
    </w:p>
    <w:p w14:paraId="5DFC7B0F">
      <w:pPr>
        <w:pStyle w:val="7"/>
        <w:rPr>
          <w:rFonts w:hint="eastAsia" w:ascii="Arial" w:hAnsi="Arial" w:cs="Arial"/>
          <w:sz w:val="21"/>
          <w:szCs w:val="21"/>
          <w:highlight w:val="none"/>
        </w:rPr>
      </w:pPr>
    </w:p>
    <w:p w14:paraId="02D1DD47">
      <w:pPr>
        <w:pStyle w:val="7"/>
        <w:rPr>
          <w:rFonts w:hint="eastAsia" w:ascii="Arial" w:hAnsi="Arial" w:cs="Arial"/>
          <w:sz w:val="21"/>
          <w:szCs w:val="21"/>
          <w:highlight w:val="none"/>
        </w:rPr>
      </w:pPr>
    </w:p>
    <w:p w14:paraId="7857DF65">
      <w:pPr>
        <w:pStyle w:val="23"/>
        <w:numPr>
          <w:ilvl w:val="2"/>
          <w:numId w:val="2"/>
        </w:numPr>
        <w:spacing w:line="360" w:lineRule="auto"/>
        <w:ind w:left="420" w:leftChars="0" w:firstLine="0" w:firstLineChars="0"/>
        <w:jc w:val="left"/>
        <w:outlineLvl w:val="1"/>
        <w:rPr>
          <w:rFonts w:hint="eastAsia" w:ascii="宋体" w:hAnsi="宋体"/>
          <w:b/>
          <w:sz w:val="21"/>
          <w:szCs w:val="21"/>
          <w:highlight w:val="none"/>
        </w:rPr>
      </w:pPr>
      <w:bookmarkStart w:id="275" w:name="_Toc10053"/>
      <w:bookmarkStart w:id="276" w:name="_Toc608"/>
      <w:bookmarkStart w:id="277" w:name="_Toc14304"/>
      <w:bookmarkStart w:id="278" w:name="_Toc30668"/>
      <w:r>
        <w:rPr>
          <w:rFonts w:hint="eastAsia" w:ascii="宋体" w:hAnsi="宋体"/>
          <w:b/>
          <w:sz w:val="21"/>
          <w:szCs w:val="21"/>
          <w:highlight w:val="none"/>
        </w:rPr>
        <w:t xml:space="preserve">第3部分 </w:t>
      </w:r>
      <w:r>
        <w:rPr>
          <w:rFonts w:ascii="宋体" w:hAnsi="宋体"/>
          <w:b/>
          <w:sz w:val="21"/>
          <w:szCs w:val="21"/>
          <w:highlight w:val="none"/>
        </w:rPr>
        <w:t>–</w:t>
      </w:r>
      <w:r>
        <w:rPr>
          <w:rFonts w:hint="eastAsia" w:ascii="宋体" w:hAnsi="宋体"/>
          <w:b/>
          <w:sz w:val="21"/>
          <w:szCs w:val="21"/>
          <w:highlight w:val="none"/>
        </w:rPr>
        <w:t xml:space="preserve"> 执行</w:t>
      </w:r>
      <w:bookmarkEnd w:id="275"/>
      <w:bookmarkEnd w:id="276"/>
      <w:bookmarkEnd w:id="277"/>
      <w:bookmarkEnd w:id="278"/>
    </w:p>
    <w:p w14:paraId="567D2C9F">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r>
        <w:rPr>
          <w:rFonts w:hint="eastAsia" w:ascii="宋体" w:hAnsi="宋体"/>
          <w:b/>
          <w:sz w:val="21"/>
          <w:szCs w:val="21"/>
          <w:highlight w:val="none"/>
          <w:lang w:val="en-US" w:eastAsia="zh-CN"/>
        </w:rPr>
        <w:t>工厂测试</w:t>
      </w:r>
    </w:p>
    <w:p w14:paraId="45CCADDA">
      <w:pPr>
        <w:numPr>
          <w:ilvl w:val="0"/>
          <w:numId w:val="0"/>
        </w:numPr>
        <w:spacing w:line="340" w:lineRule="exact"/>
        <w:ind w:leftChars="200"/>
        <w:rPr>
          <w:rFonts w:hint="eastAsia" w:ascii="Arial" w:hAnsi="Arial" w:cs="Arial"/>
          <w:sz w:val="21"/>
          <w:szCs w:val="21"/>
          <w:highlight w:val="none"/>
        </w:rPr>
      </w:pPr>
      <w:r>
        <w:rPr>
          <w:rFonts w:hint="eastAsia" w:ascii="Arial" w:hAnsi="Arial" w:cs="Arial"/>
          <w:sz w:val="21"/>
          <w:szCs w:val="21"/>
          <w:highlight w:val="none"/>
          <w:lang w:val="en-GB"/>
        </w:rPr>
        <w:t>制冷系统和电气系统的操作与规范在交货前应经过工厂测试校验。</w:t>
      </w:r>
    </w:p>
    <w:p w14:paraId="6A54FE8C">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r>
        <w:rPr>
          <w:rFonts w:hint="eastAsia" w:ascii="宋体" w:hAnsi="宋体"/>
          <w:b/>
          <w:sz w:val="21"/>
          <w:szCs w:val="21"/>
          <w:highlight w:val="none"/>
          <w:lang w:val="en-US" w:eastAsia="zh-CN"/>
        </w:rPr>
        <w:t>安装</w:t>
      </w:r>
    </w:p>
    <w:p w14:paraId="068DB027">
      <w:pPr>
        <w:numPr>
          <w:ilvl w:val="0"/>
          <w:numId w:val="53"/>
        </w:numPr>
        <w:spacing w:line="340" w:lineRule="exact"/>
        <w:rPr>
          <w:rFonts w:hint="eastAsia" w:ascii="Arial" w:hAnsi="Arial" w:cs="Arial"/>
          <w:sz w:val="21"/>
          <w:szCs w:val="21"/>
          <w:highlight w:val="none"/>
        </w:rPr>
      </w:pPr>
      <w:r>
        <w:rPr>
          <w:rFonts w:hint="eastAsia" w:ascii="Arial" w:hAnsi="Arial" w:cs="Arial"/>
          <w:sz w:val="21"/>
          <w:szCs w:val="21"/>
          <w:highlight w:val="none"/>
        </w:rPr>
        <w:t>除了另行出示或规定更严格的要求及制造商技术代表有另外的指导之外，一般应遵循厂家印制的说明书。</w:t>
      </w:r>
    </w:p>
    <w:p w14:paraId="70EC500A">
      <w:pPr>
        <w:numPr>
          <w:ilvl w:val="0"/>
          <w:numId w:val="53"/>
        </w:numPr>
        <w:spacing w:line="340" w:lineRule="exact"/>
        <w:rPr>
          <w:rFonts w:hint="eastAsia" w:ascii="Arial" w:hAnsi="Arial" w:cs="Arial"/>
          <w:sz w:val="21"/>
          <w:szCs w:val="21"/>
          <w:highlight w:val="none"/>
        </w:rPr>
      </w:pPr>
      <w:r>
        <w:rPr>
          <w:rFonts w:hint="eastAsia" w:ascii="Arial" w:hAnsi="Arial" w:cs="Arial"/>
          <w:sz w:val="21"/>
          <w:szCs w:val="21"/>
          <w:highlight w:val="none"/>
        </w:rPr>
        <w:t>按图纸规定位置安装设备。四周留出1米空隙，压缩机段周围留出1.2米用于空气流通和维修。</w:t>
      </w:r>
    </w:p>
    <w:p w14:paraId="375794B7">
      <w:pPr>
        <w:pStyle w:val="7"/>
        <w:rPr>
          <w:rFonts w:hint="eastAsia"/>
          <w:sz w:val="21"/>
          <w:szCs w:val="21"/>
        </w:rPr>
      </w:pPr>
    </w:p>
    <w:p w14:paraId="0FE92C71">
      <w:pPr>
        <w:pStyle w:val="23"/>
        <w:numPr>
          <w:ilvl w:val="3"/>
          <w:numId w:val="2"/>
        </w:numPr>
        <w:spacing w:line="360" w:lineRule="auto"/>
        <w:ind w:left="0" w:leftChars="0" w:firstLine="0" w:firstLineChars="0"/>
        <w:jc w:val="left"/>
        <w:outlineLvl w:val="1"/>
        <w:rPr>
          <w:rFonts w:hint="eastAsia" w:ascii="宋体" w:hAnsi="宋体"/>
          <w:b/>
          <w:sz w:val="21"/>
          <w:szCs w:val="21"/>
          <w:highlight w:val="none"/>
        </w:rPr>
      </w:pPr>
      <w:bookmarkStart w:id="279" w:name="_Toc5469"/>
      <w:bookmarkStart w:id="280" w:name="_Toc11240"/>
      <w:bookmarkStart w:id="281" w:name="_Toc27417"/>
      <w:bookmarkStart w:id="282" w:name="_Toc18491"/>
      <w:r>
        <w:rPr>
          <w:rFonts w:hint="eastAsia" w:ascii="宋体" w:hAnsi="宋体"/>
          <w:b/>
          <w:sz w:val="21"/>
          <w:szCs w:val="21"/>
          <w:highlight w:val="none"/>
        </w:rPr>
        <w:t>试车，业主培训和保修</w:t>
      </w:r>
      <w:bookmarkEnd w:id="279"/>
      <w:bookmarkEnd w:id="280"/>
      <w:bookmarkEnd w:id="281"/>
      <w:bookmarkEnd w:id="282"/>
    </w:p>
    <w:p w14:paraId="492380C2">
      <w:pPr>
        <w:numPr>
          <w:ilvl w:val="0"/>
          <w:numId w:val="54"/>
        </w:numPr>
        <w:spacing w:line="340" w:lineRule="exact"/>
        <w:rPr>
          <w:rFonts w:hint="eastAsia" w:ascii="Arial" w:hAnsi="Arial" w:cs="Arial"/>
          <w:sz w:val="21"/>
          <w:szCs w:val="21"/>
          <w:highlight w:val="none"/>
        </w:rPr>
      </w:pPr>
      <w:r>
        <w:rPr>
          <w:rFonts w:hint="eastAsia" w:ascii="Arial" w:hAnsi="Arial" w:cs="Arial"/>
          <w:sz w:val="21"/>
          <w:szCs w:val="21"/>
          <w:highlight w:val="none"/>
        </w:rPr>
        <w:t>所有设备都应在投入使用之前由安装承包商按照说明书要求进行彻底清洗。</w:t>
      </w:r>
    </w:p>
    <w:p w14:paraId="525C26B0">
      <w:pPr>
        <w:numPr>
          <w:ilvl w:val="0"/>
          <w:numId w:val="54"/>
        </w:numPr>
        <w:spacing w:line="340" w:lineRule="exact"/>
        <w:rPr>
          <w:rFonts w:hint="eastAsia" w:ascii="Arial" w:hAnsi="Arial" w:cs="Arial"/>
          <w:sz w:val="21"/>
          <w:szCs w:val="21"/>
          <w:highlight w:val="none"/>
        </w:rPr>
      </w:pPr>
      <w:r>
        <w:rPr>
          <w:rFonts w:hint="eastAsia" w:ascii="Arial" w:hAnsi="Arial" w:cs="Arial"/>
          <w:sz w:val="21"/>
          <w:szCs w:val="21"/>
          <w:highlight w:val="none"/>
        </w:rPr>
        <w:t>试车服务应当由设备制造商的授权代表提供，包括对所有控制器和设备运行进行全面试验。负责试车的机构应记录下制冷压力和电气运行数据。该数据副本提交给业主。</w:t>
      </w:r>
    </w:p>
    <w:p w14:paraId="594D2647">
      <w:pPr>
        <w:numPr>
          <w:ilvl w:val="0"/>
          <w:numId w:val="54"/>
        </w:numPr>
        <w:spacing w:line="340" w:lineRule="exact"/>
        <w:rPr>
          <w:rFonts w:hint="eastAsia" w:ascii="Arial" w:hAnsi="Arial" w:cs="Arial"/>
          <w:sz w:val="21"/>
          <w:szCs w:val="21"/>
          <w:highlight w:val="none"/>
        </w:rPr>
      </w:pPr>
      <w:r>
        <w:rPr>
          <w:rFonts w:hint="eastAsia" w:ascii="Arial" w:hAnsi="Arial" w:cs="Arial"/>
          <w:sz w:val="21"/>
          <w:szCs w:val="21"/>
          <w:highlight w:val="none"/>
        </w:rPr>
        <w:t>应向业主提供完整的操作维护手册，其中包括接线图，起动操作顺序和材料清单。应向业主提供完整的操作维护程序说明书。</w:t>
      </w:r>
    </w:p>
    <w:p w14:paraId="202645C6">
      <w:pPr>
        <w:numPr>
          <w:ilvl w:val="0"/>
          <w:numId w:val="54"/>
        </w:numPr>
        <w:spacing w:line="340" w:lineRule="exact"/>
        <w:rPr>
          <w:rFonts w:hint="eastAsia" w:ascii="Arial" w:hAnsi="Arial" w:cs="Arial"/>
          <w:sz w:val="21"/>
          <w:szCs w:val="21"/>
          <w:highlight w:val="none"/>
        </w:rPr>
      </w:pPr>
      <w:r>
        <w:rPr>
          <w:rFonts w:hint="eastAsia" w:ascii="Arial" w:hAnsi="Arial" w:cs="Arial"/>
          <w:sz w:val="21"/>
          <w:szCs w:val="21"/>
          <w:highlight w:val="none"/>
        </w:rPr>
        <w:t>制造商应派遣工厂服务人员向业主提供四小时有关本设备操作维护方面的现场培训。首次培训课程应在将设备交付给业主时授课。</w:t>
      </w:r>
    </w:p>
    <w:p w14:paraId="579141C2">
      <w:pPr>
        <w:numPr>
          <w:ilvl w:val="0"/>
          <w:numId w:val="54"/>
        </w:numPr>
        <w:spacing w:line="340" w:lineRule="exact"/>
        <w:rPr>
          <w:rFonts w:hint="eastAsia" w:ascii="Arial" w:hAnsi="Arial" w:cs="Arial"/>
          <w:sz w:val="21"/>
          <w:szCs w:val="21"/>
          <w:highlight w:val="none"/>
        </w:rPr>
      </w:pPr>
      <w:r>
        <w:rPr>
          <w:rFonts w:hint="eastAsia" w:ascii="Arial" w:hAnsi="Arial" w:cs="Arial"/>
          <w:sz w:val="21"/>
          <w:szCs w:val="21"/>
          <w:highlight w:val="none"/>
        </w:rPr>
        <w:t>制造商应对整个设备提供</w:t>
      </w:r>
      <w:r>
        <w:rPr>
          <w:rFonts w:hint="eastAsia" w:ascii="Arial" w:hAnsi="Arial" w:cs="Arial"/>
          <w:sz w:val="21"/>
          <w:szCs w:val="21"/>
          <w:highlight w:val="none"/>
          <w:lang w:val="en-US" w:eastAsia="zh-CN"/>
        </w:rPr>
        <w:t>2</w:t>
      </w:r>
      <w:r>
        <w:rPr>
          <w:rFonts w:hint="eastAsia" w:ascii="Arial" w:hAnsi="Arial" w:cs="Arial"/>
          <w:sz w:val="21"/>
          <w:szCs w:val="21"/>
          <w:highlight w:val="none"/>
        </w:rPr>
        <w:t>年保修。</w:t>
      </w:r>
    </w:p>
    <w:p w14:paraId="2649034F">
      <w:pPr>
        <w:spacing w:line="260" w:lineRule="exact"/>
        <w:rPr>
          <w:rFonts w:hint="eastAsia" w:ascii="Arial" w:hAnsi="Arial" w:cs="Arial"/>
          <w:sz w:val="21"/>
          <w:szCs w:val="21"/>
          <w:highlight w:val="none"/>
        </w:rPr>
      </w:pPr>
    </w:p>
    <w:p w14:paraId="45B54E27">
      <w:pPr>
        <w:spacing w:line="260" w:lineRule="exact"/>
        <w:rPr>
          <w:rFonts w:hint="eastAsia" w:ascii="Arial" w:hAnsi="Arial" w:cs="Arial"/>
          <w:sz w:val="21"/>
          <w:szCs w:val="21"/>
          <w:highlight w:val="none"/>
        </w:rPr>
      </w:pPr>
    </w:p>
    <w:p w14:paraId="20D1DF78">
      <w:pPr>
        <w:pStyle w:val="23"/>
        <w:numPr>
          <w:ilvl w:val="1"/>
          <w:numId w:val="2"/>
        </w:numPr>
        <w:spacing w:line="360" w:lineRule="auto"/>
        <w:ind w:left="0" w:leftChars="0" w:firstLine="0" w:firstLineChars="0"/>
        <w:jc w:val="left"/>
        <w:outlineLvl w:val="1"/>
        <w:rPr>
          <w:rFonts w:ascii="宋体" w:hAnsi="宋体"/>
          <w:b/>
          <w:sz w:val="21"/>
          <w:szCs w:val="21"/>
          <w:highlight w:val="none"/>
        </w:rPr>
      </w:pPr>
      <w:r>
        <w:rPr>
          <w:rFonts w:ascii="宋体" w:hAnsi="宋体"/>
          <w:b/>
          <w:sz w:val="21"/>
          <w:szCs w:val="21"/>
          <w:highlight w:val="none"/>
        </w:rPr>
        <w:br w:type="page"/>
      </w:r>
      <w:bookmarkStart w:id="283" w:name="_Toc1810"/>
      <w:bookmarkStart w:id="284" w:name="_Toc10978"/>
      <w:bookmarkStart w:id="285" w:name="_Toc29418"/>
      <w:bookmarkStart w:id="286" w:name="_Toc16587"/>
      <w:r>
        <w:rPr>
          <w:rFonts w:hint="eastAsia" w:ascii="宋体" w:hAnsi="宋体"/>
          <w:b/>
          <w:sz w:val="21"/>
          <w:szCs w:val="21"/>
          <w:highlight w:val="none"/>
        </w:rPr>
        <w:t>游泳池系统控制装置</w:t>
      </w:r>
      <w:bookmarkEnd w:id="283"/>
      <w:bookmarkEnd w:id="284"/>
      <w:bookmarkEnd w:id="285"/>
      <w:bookmarkEnd w:id="286"/>
    </w:p>
    <w:p w14:paraId="750504C9">
      <w:pPr>
        <w:autoSpaceDE w:val="0"/>
        <w:autoSpaceDN w:val="0"/>
        <w:adjustRightInd w:val="0"/>
        <w:jc w:val="left"/>
        <w:rPr>
          <w:rFonts w:ascii="宋体" w:cs="宋体"/>
          <w:kern w:val="0"/>
          <w:sz w:val="21"/>
          <w:szCs w:val="21"/>
          <w:highlight w:val="none"/>
        </w:rPr>
      </w:pPr>
      <w:r>
        <w:rPr>
          <w:rFonts w:hint="eastAsia" w:ascii="宋体" w:cs="宋体"/>
          <w:kern w:val="0"/>
          <w:sz w:val="21"/>
          <w:szCs w:val="21"/>
          <w:highlight w:val="none"/>
        </w:rPr>
        <w:t>提供完整设备说明书及所有材料和设备，包括各系统、控制屏电路和控制示意图之施工图。</w:t>
      </w:r>
    </w:p>
    <w:p w14:paraId="006F3B43">
      <w:pPr>
        <w:autoSpaceDE w:val="0"/>
        <w:autoSpaceDN w:val="0"/>
        <w:adjustRightInd w:val="0"/>
        <w:jc w:val="left"/>
        <w:rPr>
          <w:rFonts w:ascii="宋体" w:cs="宋体"/>
          <w:kern w:val="0"/>
          <w:sz w:val="21"/>
          <w:szCs w:val="21"/>
          <w:highlight w:val="none"/>
        </w:rPr>
      </w:pPr>
      <w:r>
        <w:rPr>
          <w:rFonts w:hint="eastAsia" w:ascii="宋体" w:cs="宋体"/>
          <w:kern w:val="0"/>
          <w:sz w:val="21"/>
          <w:szCs w:val="21"/>
          <w:highlight w:val="none"/>
        </w:rPr>
        <w:t>控制装置及程序</w:t>
      </w:r>
    </w:p>
    <w:p w14:paraId="628CB6A1">
      <w:pPr>
        <w:numPr>
          <w:ilvl w:val="0"/>
          <w:numId w:val="55"/>
        </w:numPr>
        <w:spacing w:line="340" w:lineRule="exact"/>
        <w:rPr>
          <w:rFonts w:ascii="Arial" w:hAnsi="Arial" w:cs="Arial"/>
          <w:sz w:val="21"/>
          <w:szCs w:val="21"/>
          <w:highlight w:val="none"/>
        </w:rPr>
      </w:pPr>
      <w:r>
        <w:rPr>
          <w:rFonts w:hint="eastAsia" w:ascii="Arial" w:hAnsi="Arial" w:cs="Arial"/>
          <w:sz w:val="21"/>
          <w:szCs w:val="21"/>
          <w:highlight w:val="none"/>
        </w:rPr>
        <w:t>循环水泵</w:t>
      </w:r>
    </w:p>
    <w:p w14:paraId="35F4370F">
      <w:pPr>
        <w:autoSpaceDE w:val="0"/>
        <w:autoSpaceDN w:val="0"/>
        <w:adjustRightInd w:val="0"/>
        <w:jc w:val="left"/>
        <w:rPr>
          <w:rFonts w:ascii="宋体" w:cs="宋体"/>
          <w:kern w:val="0"/>
          <w:sz w:val="21"/>
          <w:szCs w:val="21"/>
          <w:highlight w:val="none"/>
        </w:rPr>
      </w:pPr>
      <w:r>
        <w:rPr>
          <w:rFonts w:ascii="Arial" w:hAnsi="Arial" w:cs="Arial"/>
          <w:kern w:val="0"/>
          <w:sz w:val="21"/>
          <w:szCs w:val="21"/>
          <w:highlight w:val="none"/>
        </w:rPr>
        <w:t xml:space="preserve">A. </w:t>
      </w:r>
      <w:r>
        <w:rPr>
          <w:rFonts w:hint="eastAsia" w:ascii="宋体" w:cs="宋体"/>
          <w:kern w:val="0"/>
          <w:sz w:val="21"/>
          <w:szCs w:val="21"/>
          <w:highlight w:val="none"/>
        </w:rPr>
        <w:t>每一个系统中应考虑水泵备用，而水泵则按照预设之可调校时间开关器而自动启、停及切换。</w:t>
      </w:r>
    </w:p>
    <w:p w14:paraId="6265A815">
      <w:pPr>
        <w:autoSpaceDE w:val="0"/>
        <w:autoSpaceDN w:val="0"/>
        <w:adjustRightInd w:val="0"/>
        <w:jc w:val="left"/>
        <w:rPr>
          <w:rFonts w:ascii="宋体" w:cs="宋体"/>
          <w:kern w:val="0"/>
          <w:sz w:val="21"/>
          <w:szCs w:val="21"/>
          <w:highlight w:val="none"/>
        </w:rPr>
      </w:pPr>
      <w:r>
        <w:rPr>
          <w:rFonts w:ascii="Arial" w:hAnsi="Arial" w:cs="Arial"/>
          <w:kern w:val="0"/>
          <w:sz w:val="21"/>
          <w:szCs w:val="21"/>
          <w:highlight w:val="none"/>
        </w:rPr>
        <w:t xml:space="preserve">C. </w:t>
      </w:r>
      <w:r>
        <w:rPr>
          <w:rFonts w:hint="eastAsia" w:ascii="宋体" w:cs="宋体"/>
          <w:kern w:val="0"/>
          <w:sz w:val="21"/>
          <w:szCs w:val="21"/>
          <w:highlight w:val="none"/>
        </w:rPr>
        <w:t>时间开关器之开关时间可任意调校及可挑选两个或以上之开关次数。</w:t>
      </w:r>
    </w:p>
    <w:p w14:paraId="1FC085A0">
      <w:pPr>
        <w:autoSpaceDE w:val="0"/>
        <w:autoSpaceDN w:val="0"/>
        <w:adjustRightInd w:val="0"/>
        <w:jc w:val="left"/>
        <w:rPr>
          <w:rFonts w:ascii="宋体" w:cs="宋体"/>
          <w:kern w:val="0"/>
          <w:sz w:val="21"/>
          <w:szCs w:val="21"/>
          <w:highlight w:val="none"/>
        </w:rPr>
      </w:pPr>
      <w:r>
        <w:rPr>
          <w:rFonts w:ascii="Arial" w:hAnsi="Arial" w:cs="Arial"/>
          <w:kern w:val="0"/>
          <w:sz w:val="21"/>
          <w:szCs w:val="21"/>
          <w:highlight w:val="none"/>
        </w:rPr>
        <w:t xml:space="preserve">D. </w:t>
      </w:r>
      <w:r>
        <w:rPr>
          <w:rFonts w:hint="eastAsia" w:ascii="宋体" w:cs="宋体"/>
          <w:kern w:val="0"/>
          <w:sz w:val="21"/>
          <w:szCs w:val="21"/>
          <w:highlight w:val="none"/>
        </w:rPr>
        <w:t>系统应装有自动交替设备，</w:t>
      </w:r>
      <w:r>
        <w:rPr>
          <w:rFonts w:ascii="宋体" w:cs="宋体"/>
          <w:kern w:val="0"/>
          <w:sz w:val="21"/>
          <w:szCs w:val="21"/>
          <w:highlight w:val="none"/>
        </w:rPr>
        <w:t xml:space="preserve"> </w:t>
      </w:r>
      <w:r>
        <w:rPr>
          <w:rFonts w:hint="eastAsia" w:ascii="宋体" w:cs="宋体"/>
          <w:kern w:val="0"/>
          <w:sz w:val="21"/>
          <w:szCs w:val="21"/>
          <w:highlight w:val="none"/>
        </w:rPr>
        <w:t>将工作与备用水泵交替。</w:t>
      </w:r>
    </w:p>
    <w:p w14:paraId="497808FD">
      <w:pPr>
        <w:autoSpaceDE w:val="0"/>
        <w:autoSpaceDN w:val="0"/>
        <w:adjustRightInd w:val="0"/>
        <w:jc w:val="left"/>
        <w:rPr>
          <w:rFonts w:ascii="宋体" w:hAnsi="Arial" w:cs="宋体"/>
          <w:kern w:val="0"/>
          <w:sz w:val="21"/>
          <w:szCs w:val="21"/>
          <w:highlight w:val="none"/>
        </w:rPr>
      </w:pPr>
      <w:r>
        <w:rPr>
          <w:rFonts w:ascii="Arial" w:hAnsi="Arial" w:cs="Arial"/>
          <w:kern w:val="0"/>
          <w:sz w:val="21"/>
          <w:szCs w:val="21"/>
          <w:highlight w:val="none"/>
        </w:rPr>
        <w:t xml:space="preserve">E. </w:t>
      </w:r>
      <w:r>
        <w:rPr>
          <w:rFonts w:hint="eastAsia" w:ascii="宋体" w:hAnsi="Arial" w:cs="宋体"/>
          <w:kern w:val="0"/>
          <w:sz w:val="21"/>
          <w:szCs w:val="21"/>
          <w:highlight w:val="none"/>
        </w:rPr>
        <w:t>自动交替设备应在工作水泵发生故障时，</w:t>
      </w:r>
      <w:r>
        <w:rPr>
          <w:rFonts w:ascii="宋体" w:hAnsi="Arial" w:cs="宋体"/>
          <w:kern w:val="0"/>
          <w:sz w:val="21"/>
          <w:szCs w:val="21"/>
          <w:highlight w:val="none"/>
        </w:rPr>
        <w:t xml:space="preserve"> </w:t>
      </w:r>
      <w:r>
        <w:rPr>
          <w:rFonts w:hint="eastAsia" w:ascii="宋体" w:hAnsi="Arial" w:cs="宋体"/>
          <w:kern w:val="0"/>
          <w:sz w:val="21"/>
          <w:szCs w:val="21"/>
          <w:highlight w:val="none"/>
        </w:rPr>
        <w:t>自动转用备用水泵。</w:t>
      </w:r>
    </w:p>
    <w:p w14:paraId="42DCBC59">
      <w:pPr>
        <w:autoSpaceDE w:val="0"/>
        <w:autoSpaceDN w:val="0"/>
        <w:adjustRightInd w:val="0"/>
        <w:jc w:val="left"/>
        <w:rPr>
          <w:rFonts w:ascii="宋体" w:hAnsi="Arial" w:cs="宋体"/>
          <w:kern w:val="0"/>
          <w:sz w:val="21"/>
          <w:szCs w:val="21"/>
          <w:highlight w:val="none"/>
        </w:rPr>
      </w:pPr>
      <w:r>
        <w:rPr>
          <w:rFonts w:ascii="Arial" w:hAnsi="Arial" w:cs="Arial"/>
          <w:kern w:val="0"/>
          <w:sz w:val="21"/>
          <w:szCs w:val="21"/>
          <w:highlight w:val="none"/>
        </w:rPr>
        <w:t xml:space="preserve">F. </w:t>
      </w:r>
      <w:r>
        <w:rPr>
          <w:rFonts w:hint="eastAsia" w:ascii="宋体" w:hAnsi="Arial" w:cs="宋体"/>
          <w:kern w:val="0"/>
          <w:sz w:val="21"/>
          <w:szCs w:val="21"/>
          <w:highlight w:val="none"/>
        </w:rPr>
        <w:t>系统内应装工作</w:t>
      </w:r>
      <w:r>
        <w:rPr>
          <w:rFonts w:ascii="Arial" w:hAnsi="Arial" w:cs="Arial"/>
          <w:kern w:val="0"/>
          <w:sz w:val="21"/>
          <w:szCs w:val="21"/>
          <w:highlight w:val="none"/>
        </w:rPr>
        <w:t>/</w:t>
      </w:r>
      <w:r>
        <w:rPr>
          <w:rFonts w:hint="eastAsia" w:ascii="宋体" w:hAnsi="Arial" w:cs="宋体"/>
          <w:kern w:val="0"/>
          <w:sz w:val="21"/>
          <w:szCs w:val="21"/>
          <w:highlight w:val="none"/>
        </w:rPr>
        <w:t>备用和自动</w:t>
      </w:r>
      <w:r>
        <w:rPr>
          <w:rFonts w:ascii="Arial" w:hAnsi="Arial" w:cs="Arial"/>
          <w:kern w:val="0"/>
          <w:sz w:val="21"/>
          <w:szCs w:val="21"/>
          <w:highlight w:val="none"/>
        </w:rPr>
        <w:t>/</w:t>
      </w:r>
      <w:r>
        <w:rPr>
          <w:rFonts w:hint="eastAsia" w:ascii="宋体" w:hAnsi="Arial" w:cs="宋体"/>
          <w:kern w:val="0"/>
          <w:sz w:val="21"/>
          <w:szCs w:val="21"/>
          <w:highlight w:val="none"/>
        </w:rPr>
        <w:t>手动</w:t>
      </w:r>
      <w:r>
        <w:rPr>
          <w:rFonts w:ascii="Arial" w:hAnsi="Arial" w:cs="Arial"/>
          <w:kern w:val="0"/>
          <w:sz w:val="21"/>
          <w:szCs w:val="21"/>
          <w:highlight w:val="none"/>
        </w:rPr>
        <w:t>/</w:t>
      </w:r>
      <w:r>
        <w:rPr>
          <w:rFonts w:hint="eastAsia" w:ascii="宋体" w:hAnsi="Arial" w:cs="宋体"/>
          <w:kern w:val="0"/>
          <w:sz w:val="21"/>
          <w:szCs w:val="21"/>
          <w:highlight w:val="none"/>
        </w:rPr>
        <w:t>停止的选择按钮。</w:t>
      </w:r>
    </w:p>
    <w:p w14:paraId="67515E6C">
      <w:pPr>
        <w:numPr>
          <w:ilvl w:val="0"/>
          <w:numId w:val="55"/>
        </w:numPr>
        <w:spacing w:line="340" w:lineRule="exact"/>
        <w:rPr>
          <w:rFonts w:ascii="Arial" w:hAnsi="Arial" w:cs="Arial"/>
          <w:sz w:val="21"/>
          <w:szCs w:val="21"/>
          <w:highlight w:val="none"/>
        </w:rPr>
      </w:pPr>
      <w:r>
        <w:rPr>
          <w:rFonts w:hint="eastAsia" w:ascii="Arial" w:hAnsi="Arial" w:cs="Arial"/>
          <w:sz w:val="21"/>
          <w:szCs w:val="21"/>
          <w:highlight w:val="none"/>
        </w:rPr>
        <w:t>泳池温度、水质监测及控制</w:t>
      </w:r>
    </w:p>
    <w:p w14:paraId="7FD649B4">
      <w:pPr>
        <w:autoSpaceDE w:val="0"/>
        <w:autoSpaceDN w:val="0"/>
        <w:adjustRightInd w:val="0"/>
        <w:jc w:val="left"/>
        <w:rPr>
          <w:rFonts w:ascii="宋体" w:cs="宋体"/>
          <w:kern w:val="0"/>
          <w:sz w:val="21"/>
          <w:szCs w:val="21"/>
          <w:highlight w:val="none"/>
        </w:rPr>
      </w:pPr>
      <w:r>
        <w:rPr>
          <w:rFonts w:hint="eastAsia" w:ascii="宋体" w:cs="宋体"/>
          <w:kern w:val="0"/>
          <w:sz w:val="21"/>
          <w:szCs w:val="21"/>
          <w:highlight w:val="none"/>
        </w:rPr>
        <w:t>A</w:t>
      </w:r>
      <w:r>
        <w:rPr>
          <w:rFonts w:ascii="宋体" w:cs="宋体"/>
          <w:kern w:val="0"/>
          <w:sz w:val="21"/>
          <w:szCs w:val="21"/>
          <w:highlight w:val="none"/>
        </w:rPr>
        <w:t xml:space="preserve">. </w:t>
      </w:r>
      <w:r>
        <w:rPr>
          <w:rFonts w:hint="eastAsia" w:ascii="宋体" w:cs="宋体"/>
          <w:kern w:val="0"/>
          <w:sz w:val="21"/>
          <w:szCs w:val="21"/>
          <w:highlight w:val="none"/>
        </w:rPr>
        <w:t>泳池内设置温度传感器进行监测，根据设定温度进行水温调节及热回收连锁控制；</w:t>
      </w:r>
    </w:p>
    <w:p w14:paraId="24E4BE9E">
      <w:pPr>
        <w:autoSpaceDE w:val="0"/>
        <w:autoSpaceDN w:val="0"/>
        <w:adjustRightInd w:val="0"/>
        <w:jc w:val="left"/>
        <w:rPr>
          <w:rFonts w:ascii="宋体" w:cs="宋体"/>
          <w:kern w:val="0"/>
          <w:sz w:val="21"/>
          <w:szCs w:val="21"/>
          <w:highlight w:val="none"/>
        </w:rPr>
      </w:pPr>
      <w:r>
        <w:rPr>
          <w:rFonts w:hint="eastAsia" w:ascii="宋体" w:cs="宋体"/>
          <w:kern w:val="0"/>
          <w:sz w:val="21"/>
          <w:szCs w:val="21"/>
          <w:highlight w:val="none"/>
        </w:rPr>
        <w:t>B</w:t>
      </w:r>
      <w:r>
        <w:rPr>
          <w:rFonts w:ascii="宋体" w:cs="宋体"/>
          <w:kern w:val="0"/>
          <w:sz w:val="21"/>
          <w:szCs w:val="21"/>
          <w:highlight w:val="none"/>
        </w:rPr>
        <w:t xml:space="preserve">. </w:t>
      </w:r>
      <w:r>
        <w:rPr>
          <w:rFonts w:hint="eastAsia" w:ascii="宋体" w:cs="宋体"/>
          <w:kern w:val="0"/>
          <w:sz w:val="21"/>
          <w:szCs w:val="21"/>
          <w:highlight w:val="none"/>
        </w:rPr>
        <w:t>水质监测采用循环分流式取样监测，</w:t>
      </w:r>
      <w:r>
        <w:rPr>
          <w:rFonts w:ascii="宋体" w:cs="宋体"/>
          <w:kern w:val="0"/>
          <w:sz w:val="21"/>
          <w:szCs w:val="21"/>
          <w:highlight w:val="none"/>
        </w:rPr>
        <w:t xml:space="preserve"> </w:t>
      </w:r>
      <w:r>
        <w:rPr>
          <w:rFonts w:hint="eastAsia" w:ascii="宋体" w:cs="宋体"/>
          <w:kern w:val="0"/>
          <w:sz w:val="21"/>
          <w:szCs w:val="21"/>
          <w:highlight w:val="none"/>
        </w:rPr>
        <w:t>即通过取自</w:t>
      </w:r>
      <w:r>
        <w:rPr>
          <w:rFonts w:hint="eastAsia" w:ascii="宋体" w:cs="宋体"/>
          <w:kern w:val="0"/>
          <w:sz w:val="21"/>
          <w:szCs w:val="21"/>
          <w:highlight w:val="none"/>
          <w:lang w:val="en-US" w:eastAsia="zh-CN"/>
        </w:rPr>
        <w:t>硅藻土过滤器</w:t>
      </w:r>
      <w:r>
        <w:rPr>
          <w:rFonts w:hint="eastAsia" w:ascii="宋体" w:cs="宋体"/>
          <w:kern w:val="0"/>
          <w:sz w:val="21"/>
          <w:szCs w:val="21"/>
          <w:highlight w:val="none"/>
        </w:rPr>
        <w:t>的泳池回水流入取样管并流入传感器室，传感器室装有</w:t>
      </w:r>
      <w:r>
        <w:rPr>
          <w:rFonts w:ascii="宋体" w:cs="宋体"/>
          <w:kern w:val="0"/>
          <w:sz w:val="21"/>
          <w:szCs w:val="21"/>
          <w:highlight w:val="none"/>
        </w:rPr>
        <w:t xml:space="preserve">PH </w:t>
      </w:r>
      <w:r>
        <w:rPr>
          <w:rFonts w:hint="eastAsia" w:ascii="宋体" w:cs="宋体"/>
          <w:kern w:val="0"/>
          <w:sz w:val="21"/>
          <w:szCs w:val="21"/>
          <w:highlight w:val="none"/>
        </w:rPr>
        <w:t>传感器、余氯传感器，同时取样水经取样回水管回至水泵前端。</w:t>
      </w:r>
    </w:p>
    <w:p w14:paraId="0A603259">
      <w:pPr>
        <w:autoSpaceDE w:val="0"/>
        <w:autoSpaceDN w:val="0"/>
        <w:adjustRightInd w:val="0"/>
        <w:jc w:val="left"/>
        <w:rPr>
          <w:rFonts w:hint="eastAsia" w:ascii="宋体" w:cs="宋体"/>
          <w:kern w:val="0"/>
          <w:sz w:val="21"/>
          <w:szCs w:val="21"/>
          <w:highlight w:val="none"/>
        </w:rPr>
      </w:pPr>
      <w:r>
        <w:rPr>
          <w:rFonts w:hint="eastAsia" w:ascii="宋体" w:cs="宋体"/>
          <w:kern w:val="0"/>
          <w:sz w:val="21"/>
          <w:szCs w:val="21"/>
          <w:highlight w:val="none"/>
        </w:rPr>
        <w:t>C</w:t>
      </w:r>
      <w:r>
        <w:rPr>
          <w:rFonts w:ascii="宋体" w:cs="宋体"/>
          <w:kern w:val="0"/>
          <w:sz w:val="21"/>
          <w:szCs w:val="21"/>
          <w:highlight w:val="none"/>
        </w:rPr>
        <w:t xml:space="preserve">. </w:t>
      </w:r>
      <w:r>
        <w:rPr>
          <w:rFonts w:hint="eastAsia" w:ascii="宋体" w:cs="宋体"/>
          <w:kern w:val="0"/>
          <w:sz w:val="21"/>
          <w:szCs w:val="21"/>
          <w:highlight w:val="none"/>
        </w:rPr>
        <w:t>水质传感器由电极及变送器组成，变送器将水质情况变为标准</w:t>
      </w:r>
      <w:r>
        <w:rPr>
          <w:rFonts w:ascii="宋体" w:cs="宋体"/>
          <w:kern w:val="0"/>
          <w:sz w:val="21"/>
          <w:szCs w:val="21"/>
          <w:highlight w:val="none"/>
        </w:rPr>
        <w:t xml:space="preserve">0-10V </w:t>
      </w:r>
      <w:r>
        <w:rPr>
          <w:rFonts w:hint="eastAsia" w:ascii="宋体" w:cs="宋体"/>
          <w:kern w:val="0"/>
          <w:sz w:val="21"/>
          <w:szCs w:val="21"/>
          <w:highlight w:val="none"/>
        </w:rPr>
        <w:t>或</w:t>
      </w:r>
      <w:r>
        <w:rPr>
          <w:rFonts w:ascii="宋体" w:cs="宋体"/>
          <w:kern w:val="0"/>
          <w:sz w:val="21"/>
          <w:szCs w:val="21"/>
          <w:highlight w:val="none"/>
        </w:rPr>
        <w:t xml:space="preserve">4-20mA </w:t>
      </w:r>
      <w:r>
        <w:rPr>
          <w:rFonts w:hint="eastAsia" w:ascii="宋体" w:cs="宋体"/>
          <w:kern w:val="0"/>
          <w:sz w:val="21"/>
          <w:szCs w:val="21"/>
          <w:highlight w:val="none"/>
        </w:rPr>
        <w:t>电流信号送至</w:t>
      </w:r>
      <w:r>
        <w:rPr>
          <w:rFonts w:ascii="宋体" w:cs="宋体"/>
          <w:kern w:val="0"/>
          <w:sz w:val="21"/>
          <w:szCs w:val="21"/>
          <w:highlight w:val="none"/>
        </w:rPr>
        <w:t xml:space="preserve">PLC </w:t>
      </w:r>
      <w:r>
        <w:rPr>
          <w:rFonts w:hint="eastAsia" w:ascii="宋体" w:cs="宋体"/>
          <w:kern w:val="0"/>
          <w:sz w:val="21"/>
          <w:szCs w:val="21"/>
          <w:highlight w:val="none"/>
        </w:rPr>
        <w:t>仿真量采集板，进行数模转换。</w:t>
      </w:r>
    </w:p>
    <w:p w14:paraId="220EA5B2">
      <w:pPr>
        <w:numPr>
          <w:ilvl w:val="0"/>
          <w:numId w:val="55"/>
        </w:numPr>
        <w:spacing w:line="340" w:lineRule="exact"/>
        <w:rPr>
          <w:rFonts w:ascii="Arial" w:hAnsi="Arial" w:cs="Arial"/>
          <w:sz w:val="21"/>
          <w:szCs w:val="21"/>
          <w:highlight w:val="none"/>
        </w:rPr>
      </w:pPr>
      <w:r>
        <w:rPr>
          <w:rFonts w:hint="eastAsia" w:ascii="Arial" w:hAnsi="Arial" w:cs="Arial"/>
          <w:sz w:val="21"/>
          <w:szCs w:val="21"/>
          <w:highlight w:val="none"/>
        </w:rPr>
        <w:t>与楼宇中央管理系统或其他系统的连接</w:t>
      </w:r>
    </w:p>
    <w:p w14:paraId="020ACD78">
      <w:pPr>
        <w:autoSpaceDE w:val="0"/>
        <w:autoSpaceDN w:val="0"/>
        <w:adjustRightInd w:val="0"/>
        <w:jc w:val="left"/>
        <w:rPr>
          <w:rFonts w:hint="eastAsia" w:ascii="宋体" w:hAnsi="Arial" w:cs="宋体"/>
          <w:kern w:val="0"/>
          <w:sz w:val="21"/>
          <w:szCs w:val="21"/>
          <w:highlight w:val="none"/>
        </w:rPr>
      </w:pPr>
      <w:r>
        <w:rPr>
          <w:rFonts w:hint="eastAsia" w:ascii="宋体" w:hAnsi="Arial" w:cs="宋体"/>
          <w:kern w:val="0"/>
          <w:sz w:val="21"/>
          <w:szCs w:val="21"/>
          <w:highlight w:val="none"/>
        </w:rPr>
        <w:t>泳池控制系统应采用通用开放式协议，并可通过网关接口接入</w:t>
      </w:r>
      <w:r>
        <w:rPr>
          <w:rFonts w:ascii="Arial" w:hAnsi="Arial" w:cs="Arial"/>
          <w:kern w:val="0"/>
          <w:sz w:val="21"/>
          <w:szCs w:val="21"/>
          <w:highlight w:val="none"/>
        </w:rPr>
        <w:t>BA</w:t>
      </w:r>
      <w:r>
        <w:rPr>
          <w:rFonts w:hint="eastAsia" w:ascii="宋体" w:hAnsi="Arial" w:cs="宋体"/>
          <w:kern w:val="0"/>
          <w:sz w:val="21"/>
          <w:szCs w:val="21"/>
          <w:highlight w:val="none"/>
        </w:rPr>
        <w:t>系统，使之能够对整个系统进行监控：泳池控制系统需预留高阶接口，以备接入</w:t>
      </w:r>
      <w:r>
        <w:rPr>
          <w:rFonts w:ascii="Arial" w:hAnsi="Arial" w:cs="Arial"/>
          <w:kern w:val="0"/>
          <w:sz w:val="21"/>
          <w:szCs w:val="21"/>
          <w:highlight w:val="none"/>
        </w:rPr>
        <w:t xml:space="preserve">BA </w:t>
      </w:r>
      <w:r>
        <w:rPr>
          <w:rFonts w:hint="eastAsia" w:ascii="宋体" w:hAnsi="Arial" w:cs="宋体"/>
          <w:kern w:val="0"/>
          <w:sz w:val="21"/>
          <w:szCs w:val="21"/>
          <w:highlight w:val="none"/>
        </w:rPr>
        <w:t>系统。</w:t>
      </w:r>
    </w:p>
    <w:p w14:paraId="290CBB02">
      <w:pPr>
        <w:rPr>
          <w:sz w:val="21"/>
          <w:szCs w:val="21"/>
          <w:highlight w:val="none"/>
        </w:rPr>
      </w:pPr>
    </w:p>
    <w:p w14:paraId="32C9B834">
      <w:pPr>
        <w:pStyle w:val="23"/>
        <w:numPr>
          <w:ilvl w:val="1"/>
          <w:numId w:val="2"/>
        </w:numPr>
        <w:spacing w:line="360" w:lineRule="auto"/>
        <w:ind w:left="0" w:leftChars="0" w:firstLine="0" w:firstLineChars="0"/>
        <w:jc w:val="left"/>
        <w:outlineLvl w:val="1"/>
        <w:rPr>
          <w:b/>
          <w:bCs/>
          <w:sz w:val="21"/>
          <w:szCs w:val="21"/>
          <w:highlight w:val="none"/>
        </w:rPr>
      </w:pPr>
      <w:r>
        <w:rPr>
          <w:rFonts w:hint="eastAsia"/>
          <w:b/>
          <w:bCs/>
          <w:sz w:val="21"/>
          <w:szCs w:val="21"/>
          <w:highlight w:val="none"/>
        </w:rPr>
        <w:t>技术规范规程及相关法律法规</w:t>
      </w:r>
    </w:p>
    <w:p w14:paraId="096F8EB8">
      <w:pPr>
        <w:pStyle w:val="23"/>
        <w:spacing w:line="360" w:lineRule="auto"/>
        <w:ind w:left="425" w:firstLine="0" w:firstLineChars="0"/>
        <w:rPr>
          <w:sz w:val="21"/>
          <w:szCs w:val="21"/>
          <w:highlight w:val="none"/>
        </w:rPr>
      </w:pPr>
      <w:r>
        <w:rPr>
          <w:rFonts w:hint="eastAsia"/>
          <w:sz w:val="21"/>
          <w:szCs w:val="21"/>
          <w:highlight w:val="none"/>
        </w:rPr>
        <w:t>本工程执行以下技术规范规程及相关法律法规</w:t>
      </w:r>
    </w:p>
    <w:p w14:paraId="1001C24C">
      <w:pPr>
        <w:spacing w:line="360" w:lineRule="auto"/>
        <w:rPr>
          <w:i/>
          <w:color w:val="FF0000"/>
          <w:sz w:val="21"/>
          <w:szCs w:val="21"/>
          <w:highlight w:val="none"/>
        </w:rPr>
      </w:pPr>
    </w:p>
    <w:tbl>
      <w:tblPr>
        <w:tblStyle w:val="15"/>
        <w:tblW w:w="0" w:type="auto"/>
        <w:tblInd w:w="675" w:type="dxa"/>
        <w:tblLayout w:type="fixed"/>
        <w:tblCellMar>
          <w:top w:w="0" w:type="dxa"/>
          <w:left w:w="108" w:type="dxa"/>
          <w:bottom w:w="0" w:type="dxa"/>
          <w:right w:w="108" w:type="dxa"/>
        </w:tblCellMar>
      </w:tblPr>
      <w:tblGrid>
        <w:gridCol w:w="6558"/>
        <w:gridCol w:w="2175"/>
      </w:tblGrid>
      <w:tr w14:paraId="1D4E368B">
        <w:tblPrEx>
          <w:tblCellMar>
            <w:top w:w="0" w:type="dxa"/>
            <w:left w:w="108" w:type="dxa"/>
            <w:bottom w:w="0" w:type="dxa"/>
            <w:right w:w="108" w:type="dxa"/>
          </w:tblCellMar>
        </w:tblPrEx>
        <w:tc>
          <w:tcPr>
            <w:tcW w:w="6558" w:type="dxa"/>
            <w:shd w:val="clear" w:color="auto" w:fill="auto"/>
            <w:noWrap w:val="0"/>
            <w:vAlign w:val="center"/>
          </w:tcPr>
          <w:p w14:paraId="4F1B86C9">
            <w:pPr>
              <w:bidi w:val="0"/>
              <w:rPr>
                <w:sz w:val="21"/>
                <w:szCs w:val="21"/>
                <w:highlight w:val="none"/>
              </w:rPr>
            </w:pPr>
            <w:r>
              <w:rPr>
                <w:rFonts w:hint="eastAsia"/>
                <w:sz w:val="21"/>
                <w:szCs w:val="21"/>
                <w:highlight w:val="none"/>
                <w:lang w:val="en-US" w:eastAsia="zh-CN"/>
              </w:rPr>
              <w:t>《游泳池给水排水工程技术规程》</w:t>
            </w:r>
          </w:p>
        </w:tc>
        <w:tc>
          <w:tcPr>
            <w:tcW w:w="2175" w:type="dxa"/>
            <w:shd w:val="clear" w:color="auto" w:fill="auto"/>
            <w:noWrap w:val="0"/>
            <w:vAlign w:val="center"/>
          </w:tcPr>
          <w:p w14:paraId="0DFD97D2">
            <w:pPr>
              <w:bidi w:val="0"/>
              <w:rPr>
                <w:sz w:val="21"/>
                <w:szCs w:val="21"/>
                <w:highlight w:val="none"/>
              </w:rPr>
            </w:pPr>
            <w:r>
              <w:rPr>
                <w:rFonts w:hint="default"/>
                <w:sz w:val="21"/>
                <w:szCs w:val="21"/>
                <w:highlight w:val="none"/>
                <w:lang w:val="en-US" w:eastAsia="zh-CN"/>
              </w:rPr>
              <w:t>CJJ122-2017</w:t>
            </w:r>
          </w:p>
        </w:tc>
      </w:tr>
      <w:tr w14:paraId="646AF7D7">
        <w:tblPrEx>
          <w:tblCellMar>
            <w:top w:w="0" w:type="dxa"/>
            <w:left w:w="108" w:type="dxa"/>
            <w:bottom w:w="0" w:type="dxa"/>
            <w:right w:w="108" w:type="dxa"/>
          </w:tblCellMar>
        </w:tblPrEx>
        <w:tc>
          <w:tcPr>
            <w:tcW w:w="6558" w:type="dxa"/>
            <w:shd w:val="clear" w:color="auto" w:fill="auto"/>
            <w:noWrap w:val="0"/>
            <w:vAlign w:val="center"/>
          </w:tcPr>
          <w:p w14:paraId="0DD837EB">
            <w:pPr>
              <w:bidi w:val="0"/>
              <w:rPr>
                <w:sz w:val="21"/>
                <w:szCs w:val="21"/>
                <w:highlight w:val="none"/>
              </w:rPr>
            </w:pPr>
            <w:r>
              <w:rPr>
                <w:rFonts w:hint="eastAsia"/>
                <w:sz w:val="21"/>
                <w:szCs w:val="21"/>
                <w:highlight w:val="none"/>
                <w:lang w:val="en-US" w:eastAsia="zh-CN"/>
              </w:rPr>
              <w:t>《建筑给水排水设计规范》</w:t>
            </w:r>
          </w:p>
        </w:tc>
        <w:tc>
          <w:tcPr>
            <w:tcW w:w="2175" w:type="dxa"/>
            <w:shd w:val="clear" w:color="auto" w:fill="auto"/>
            <w:noWrap w:val="0"/>
            <w:vAlign w:val="center"/>
          </w:tcPr>
          <w:p w14:paraId="0F655C02">
            <w:pPr>
              <w:bidi w:val="0"/>
              <w:rPr>
                <w:sz w:val="21"/>
                <w:szCs w:val="21"/>
                <w:highlight w:val="none"/>
              </w:rPr>
            </w:pPr>
            <w:r>
              <w:rPr>
                <w:rFonts w:hint="default"/>
                <w:sz w:val="21"/>
                <w:szCs w:val="21"/>
                <w:highlight w:val="none"/>
                <w:lang w:val="en-US" w:eastAsia="zh-CN"/>
              </w:rPr>
              <w:t>GB50015-2019</w:t>
            </w:r>
          </w:p>
        </w:tc>
      </w:tr>
      <w:tr w14:paraId="27C0BFF6">
        <w:tblPrEx>
          <w:tblCellMar>
            <w:top w:w="0" w:type="dxa"/>
            <w:left w:w="108" w:type="dxa"/>
            <w:bottom w:w="0" w:type="dxa"/>
            <w:right w:w="108" w:type="dxa"/>
          </w:tblCellMar>
        </w:tblPrEx>
        <w:tc>
          <w:tcPr>
            <w:tcW w:w="6558" w:type="dxa"/>
            <w:shd w:val="clear" w:color="auto" w:fill="auto"/>
            <w:noWrap w:val="0"/>
            <w:vAlign w:val="center"/>
          </w:tcPr>
          <w:p w14:paraId="6412B19D">
            <w:pPr>
              <w:bidi w:val="0"/>
              <w:rPr>
                <w:sz w:val="21"/>
                <w:szCs w:val="21"/>
                <w:highlight w:val="none"/>
              </w:rPr>
            </w:pPr>
            <w:r>
              <w:rPr>
                <w:rFonts w:hint="eastAsia"/>
                <w:sz w:val="21"/>
                <w:szCs w:val="21"/>
                <w:highlight w:val="none"/>
                <w:lang w:val="en-US" w:eastAsia="zh-CN"/>
              </w:rPr>
              <w:t>《建筑设计防火规范》</w:t>
            </w:r>
          </w:p>
        </w:tc>
        <w:tc>
          <w:tcPr>
            <w:tcW w:w="2175" w:type="dxa"/>
            <w:shd w:val="clear" w:color="auto" w:fill="auto"/>
            <w:noWrap w:val="0"/>
            <w:vAlign w:val="center"/>
          </w:tcPr>
          <w:p w14:paraId="47D85F92">
            <w:pPr>
              <w:bidi w:val="0"/>
              <w:rPr>
                <w:sz w:val="21"/>
                <w:szCs w:val="21"/>
                <w:highlight w:val="none"/>
              </w:rPr>
            </w:pPr>
            <w:r>
              <w:rPr>
                <w:rFonts w:hint="default"/>
                <w:sz w:val="21"/>
                <w:szCs w:val="21"/>
                <w:highlight w:val="none"/>
                <w:lang w:val="en-US" w:eastAsia="zh-CN"/>
              </w:rPr>
              <w:t>GB50016-2014</w:t>
            </w:r>
          </w:p>
        </w:tc>
      </w:tr>
      <w:tr w14:paraId="68D764E1">
        <w:tblPrEx>
          <w:tblCellMar>
            <w:top w:w="0" w:type="dxa"/>
            <w:left w:w="108" w:type="dxa"/>
            <w:bottom w:w="0" w:type="dxa"/>
            <w:right w:w="108" w:type="dxa"/>
          </w:tblCellMar>
        </w:tblPrEx>
        <w:tc>
          <w:tcPr>
            <w:tcW w:w="6558" w:type="dxa"/>
            <w:shd w:val="clear" w:color="auto" w:fill="auto"/>
            <w:noWrap w:val="0"/>
            <w:vAlign w:val="center"/>
          </w:tcPr>
          <w:p w14:paraId="7A0DB242">
            <w:pPr>
              <w:bidi w:val="0"/>
              <w:rPr>
                <w:sz w:val="21"/>
                <w:szCs w:val="21"/>
                <w:highlight w:val="none"/>
              </w:rPr>
            </w:pPr>
            <w:r>
              <w:rPr>
                <w:rFonts w:hint="eastAsia"/>
                <w:sz w:val="21"/>
                <w:szCs w:val="21"/>
                <w:highlight w:val="none"/>
                <w:lang w:val="en-US" w:eastAsia="zh-CN"/>
              </w:rPr>
              <w:t>《公共场所卫生指标及限值要求》</w:t>
            </w:r>
          </w:p>
        </w:tc>
        <w:tc>
          <w:tcPr>
            <w:tcW w:w="2175" w:type="dxa"/>
            <w:shd w:val="clear" w:color="auto" w:fill="auto"/>
            <w:noWrap w:val="0"/>
            <w:vAlign w:val="center"/>
          </w:tcPr>
          <w:p w14:paraId="52DA9DF2">
            <w:pPr>
              <w:bidi w:val="0"/>
              <w:rPr>
                <w:sz w:val="21"/>
                <w:szCs w:val="21"/>
                <w:highlight w:val="none"/>
              </w:rPr>
            </w:pPr>
            <w:r>
              <w:rPr>
                <w:rFonts w:hint="default"/>
                <w:sz w:val="21"/>
                <w:szCs w:val="21"/>
                <w:highlight w:val="none"/>
                <w:lang w:val="en-US" w:eastAsia="zh-CN"/>
              </w:rPr>
              <w:t>GB 37488-2019</w:t>
            </w:r>
          </w:p>
        </w:tc>
      </w:tr>
      <w:tr w14:paraId="35A952F6">
        <w:tblPrEx>
          <w:tblCellMar>
            <w:top w:w="0" w:type="dxa"/>
            <w:left w:w="108" w:type="dxa"/>
            <w:bottom w:w="0" w:type="dxa"/>
            <w:right w:w="108" w:type="dxa"/>
          </w:tblCellMar>
        </w:tblPrEx>
        <w:tc>
          <w:tcPr>
            <w:tcW w:w="6558" w:type="dxa"/>
            <w:shd w:val="clear" w:color="auto" w:fill="auto"/>
            <w:noWrap w:val="0"/>
            <w:vAlign w:val="center"/>
          </w:tcPr>
          <w:p w14:paraId="52A6B3C7">
            <w:pPr>
              <w:bidi w:val="0"/>
              <w:rPr>
                <w:sz w:val="21"/>
                <w:szCs w:val="21"/>
                <w:highlight w:val="none"/>
              </w:rPr>
            </w:pPr>
            <w:r>
              <w:rPr>
                <w:rFonts w:hint="eastAsia"/>
                <w:sz w:val="21"/>
                <w:szCs w:val="21"/>
                <w:highlight w:val="none"/>
                <w:lang w:val="en-US" w:eastAsia="zh-CN"/>
              </w:rPr>
              <w:t>《体育建筑设计规范》</w:t>
            </w:r>
          </w:p>
        </w:tc>
        <w:tc>
          <w:tcPr>
            <w:tcW w:w="2175" w:type="dxa"/>
            <w:shd w:val="clear" w:color="auto" w:fill="auto"/>
            <w:noWrap w:val="0"/>
            <w:vAlign w:val="center"/>
          </w:tcPr>
          <w:p w14:paraId="46D8950B">
            <w:pPr>
              <w:bidi w:val="0"/>
              <w:rPr>
                <w:sz w:val="21"/>
                <w:szCs w:val="21"/>
                <w:highlight w:val="none"/>
              </w:rPr>
            </w:pPr>
            <w:r>
              <w:rPr>
                <w:rFonts w:hint="default"/>
                <w:sz w:val="21"/>
                <w:szCs w:val="21"/>
                <w:highlight w:val="none"/>
                <w:lang w:val="en-US" w:eastAsia="zh-CN"/>
              </w:rPr>
              <w:t>JGJ31-2003</w:t>
            </w:r>
          </w:p>
        </w:tc>
      </w:tr>
      <w:tr w14:paraId="4A6AD327">
        <w:tblPrEx>
          <w:tblCellMar>
            <w:top w:w="0" w:type="dxa"/>
            <w:left w:w="108" w:type="dxa"/>
            <w:bottom w:w="0" w:type="dxa"/>
            <w:right w:w="108" w:type="dxa"/>
          </w:tblCellMar>
        </w:tblPrEx>
        <w:tc>
          <w:tcPr>
            <w:tcW w:w="6558" w:type="dxa"/>
            <w:shd w:val="clear" w:color="auto" w:fill="auto"/>
            <w:noWrap w:val="0"/>
            <w:vAlign w:val="center"/>
          </w:tcPr>
          <w:p w14:paraId="60960980">
            <w:pPr>
              <w:bidi w:val="0"/>
              <w:rPr>
                <w:rFonts w:hint="eastAsia"/>
                <w:sz w:val="21"/>
                <w:szCs w:val="21"/>
                <w:highlight w:val="none"/>
              </w:rPr>
            </w:pPr>
            <w:r>
              <w:rPr>
                <w:rFonts w:hint="eastAsia"/>
                <w:sz w:val="21"/>
                <w:szCs w:val="21"/>
                <w:highlight w:val="none"/>
                <w:lang w:val="en-US" w:eastAsia="zh-CN"/>
              </w:rPr>
              <w:t>《室外给水设计规范》</w:t>
            </w:r>
          </w:p>
        </w:tc>
        <w:tc>
          <w:tcPr>
            <w:tcW w:w="2175" w:type="dxa"/>
            <w:shd w:val="clear" w:color="auto" w:fill="auto"/>
            <w:noWrap w:val="0"/>
            <w:vAlign w:val="center"/>
          </w:tcPr>
          <w:p w14:paraId="2997B17C">
            <w:pPr>
              <w:bidi w:val="0"/>
              <w:rPr>
                <w:sz w:val="21"/>
                <w:szCs w:val="21"/>
                <w:highlight w:val="none"/>
              </w:rPr>
            </w:pPr>
            <w:r>
              <w:rPr>
                <w:rFonts w:hint="default"/>
                <w:sz w:val="21"/>
                <w:szCs w:val="21"/>
                <w:highlight w:val="none"/>
                <w:lang w:val="en-US" w:eastAsia="zh-CN"/>
              </w:rPr>
              <w:t>GB50013-2018</w:t>
            </w:r>
          </w:p>
        </w:tc>
      </w:tr>
      <w:tr w14:paraId="7C0EE616">
        <w:tblPrEx>
          <w:tblCellMar>
            <w:top w:w="0" w:type="dxa"/>
            <w:left w:w="108" w:type="dxa"/>
            <w:bottom w:w="0" w:type="dxa"/>
            <w:right w:w="108" w:type="dxa"/>
          </w:tblCellMar>
        </w:tblPrEx>
        <w:tc>
          <w:tcPr>
            <w:tcW w:w="6558" w:type="dxa"/>
            <w:shd w:val="clear" w:color="auto" w:fill="auto"/>
            <w:noWrap w:val="0"/>
            <w:vAlign w:val="center"/>
          </w:tcPr>
          <w:p w14:paraId="121A65DE">
            <w:pPr>
              <w:bidi w:val="0"/>
              <w:rPr>
                <w:rFonts w:hint="eastAsia"/>
                <w:sz w:val="21"/>
                <w:szCs w:val="21"/>
                <w:highlight w:val="none"/>
              </w:rPr>
            </w:pPr>
            <w:r>
              <w:rPr>
                <w:rFonts w:hint="eastAsia"/>
                <w:sz w:val="21"/>
                <w:szCs w:val="21"/>
                <w:highlight w:val="none"/>
                <w:lang w:val="en-US" w:eastAsia="zh-CN"/>
              </w:rPr>
              <w:t>《游泳池及水疗池用循环泵》</w:t>
            </w:r>
          </w:p>
        </w:tc>
        <w:tc>
          <w:tcPr>
            <w:tcW w:w="2175" w:type="dxa"/>
            <w:shd w:val="clear" w:color="auto" w:fill="auto"/>
            <w:noWrap w:val="0"/>
            <w:vAlign w:val="center"/>
          </w:tcPr>
          <w:p w14:paraId="15DAC62B">
            <w:pPr>
              <w:bidi w:val="0"/>
              <w:rPr>
                <w:sz w:val="21"/>
                <w:szCs w:val="21"/>
                <w:highlight w:val="none"/>
              </w:rPr>
            </w:pPr>
            <w:r>
              <w:rPr>
                <w:rFonts w:hint="default"/>
                <w:sz w:val="21"/>
                <w:szCs w:val="21"/>
                <w:highlight w:val="none"/>
                <w:lang w:val="en-US" w:eastAsia="zh-CN"/>
              </w:rPr>
              <w:t>CJ/T 534-2018</w:t>
            </w:r>
          </w:p>
        </w:tc>
      </w:tr>
      <w:tr w14:paraId="360FBC16">
        <w:tblPrEx>
          <w:tblCellMar>
            <w:top w:w="0" w:type="dxa"/>
            <w:left w:w="108" w:type="dxa"/>
            <w:bottom w:w="0" w:type="dxa"/>
            <w:right w:w="108" w:type="dxa"/>
          </w:tblCellMar>
        </w:tblPrEx>
        <w:tc>
          <w:tcPr>
            <w:tcW w:w="6558" w:type="dxa"/>
            <w:shd w:val="clear" w:color="auto" w:fill="auto"/>
            <w:noWrap w:val="0"/>
            <w:vAlign w:val="center"/>
          </w:tcPr>
          <w:p w14:paraId="36C2DCB5">
            <w:pPr>
              <w:bidi w:val="0"/>
              <w:rPr>
                <w:rFonts w:hint="eastAsia"/>
                <w:sz w:val="21"/>
                <w:szCs w:val="21"/>
                <w:highlight w:val="none"/>
              </w:rPr>
            </w:pPr>
            <w:r>
              <w:rPr>
                <w:rFonts w:hint="eastAsia"/>
                <w:sz w:val="21"/>
                <w:szCs w:val="21"/>
                <w:highlight w:val="none"/>
                <w:lang w:val="en-US" w:eastAsia="zh-CN"/>
              </w:rPr>
              <w:t>《化工自控设计规定》</w:t>
            </w:r>
          </w:p>
        </w:tc>
        <w:tc>
          <w:tcPr>
            <w:tcW w:w="2175" w:type="dxa"/>
            <w:shd w:val="clear" w:color="auto" w:fill="auto"/>
            <w:noWrap w:val="0"/>
            <w:vAlign w:val="center"/>
          </w:tcPr>
          <w:p w14:paraId="76A8B74B">
            <w:pPr>
              <w:bidi w:val="0"/>
              <w:rPr>
                <w:sz w:val="21"/>
                <w:szCs w:val="21"/>
                <w:highlight w:val="none"/>
              </w:rPr>
            </w:pPr>
            <w:r>
              <w:rPr>
                <w:rFonts w:hint="default"/>
                <w:sz w:val="21"/>
                <w:szCs w:val="21"/>
                <w:highlight w:val="none"/>
                <w:lang w:val="en-US" w:eastAsia="zh-CN"/>
              </w:rPr>
              <w:t>HG/T 20505-2014</w:t>
            </w:r>
          </w:p>
        </w:tc>
      </w:tr>
      <w:tr w14:paraId="39100F9D">
        <w:tblPrEx>
          <w:tblCellMar>
            <w:top w:w="0" w:type="dxa"/>
            <w:left w:w="108" w:type="dxa"/>
            <w:bottom w:w="0" w:type="dxa"/>
            <w:right w:w="108" w:type="dxa"/>
          </w:tblCellMar>
        </w:tblPrEx>
        <w:tc>
          <w:tcPr>
            <w:tcW w:w="6558" w:type="dxa"/>
            <w:shd w:val="clear" w:color="auto" w:fill="auto"/>
            <w:noWrap w:val="0"/>
            <w:vAlign w:val="center"/>
          </w:tcPr>
          <w:p w14:paraId="7F936EC6">
            <w:pPr>
              <w:bidi w:val="0"/>
              <w:rPr>
                <w:rFonts w:hint="eastAsia"/>
                <w:sz w:val="21"/>
                <w:szCs w:val="21"/>
                <w:highlight w:val="none"/>
              </w:rPr>
            </w:pPr>
            <w:r>
              <w:rPr>
                <w:rFonts w:hint="eastAsia"/>
                <w:sz w:val="21"/>
                <w:szCs w:val="21"/>
                <w:highlight w:val="none"/>
                <w:lang w:val="en-US" w:eastAsia="zh-CN"/>
              </w:rPr>
              <w:t>《体育场所等级的划分第</w:t>
            </w:r>
            <w:r>
              <w:rPr>
                <w:rFonts w:hint="default"/>
                <w:sz w:val="21"/>
                <w:szCs w:val="21"/>
                <w:highlight w:val="none"/>
                <w:lang w:val="en-US" w:eastAsia="zh-CN"/>
              </w:rPr>
              <w:t>3</w:t>
            </w:r>
            <w:r>
              <w:rPr>
                <w:rFonts w:hint="eastAsia"/>
                <w:sz w:val="21"/>
                <w:szCs w:val="21"/>
                <w:highlight w:val="none"/>
                <w:lang w:val="en-US" w:eastAsia="zh-CN"/>
              </w:rPr>
              <w:t>部分：游泳场馆星级划分及评定》</w:t>
            </w:r>
          </w:p>
        </w:tc>
        <w:tc>
          <w:tcPr>
            <w:tcW w:w="2175" w:type="dxa"/>
            <w:shd w:val="clear" w:color="auto" w:fill="auto"/>
            <w:noWrap w:val="0"/>
            <w:vAlign w:val="center"/>
          </w:tcPr>
          <w:p w14:paraId="3A2D0086">
            <w:pPr>
              <w:bidi w:val="0"/>
              <w:rPr>
                <w:sz w:val="21"/>
                <w:szCs w:val="21"/>
                <w:highlight w:val="none"/>
              </w:rPr>
            </w:pPr>
            <w:r>
              <w:rPr>
                <w:rFonts w:hint="default"/>
                <w:sz w:val="21"/>
                <w:szCs w:val="21"/>
                <w:highlight w:val="none"/>
                <w:lang w:val="en-US" w:eastAsia="zh-CN"/>
              </w:rPr>
              <w:t>GB/T18266.3/2017</w:t>
            </w:r>
          </w:p>
        </w:tc>
      </w:tr>
      <w:tr w14:paraId="51F29A74">
        <w:tblPrEx>
          <w:tblCellMar>
            <w:top w:w="0" w:type="dxa"/>
            <w:left w:w="108" w:type="dxa"/>
            <w:bottom w:w="0" w:type="dxa"/>
            <w:right w:w="108" w:type="dxa"/>
          </w:tblCellMar>
        </w:tblPrEx>
        <w:tc>
          <w:tcPr>
            <w:tcW w:w="6558" w:type="dxa"/>
            <w:shd w:val="clear" w:color="auto" w:fill="auto"/>
            <w:noWrap w:val="0"/>
            <w:vAlign w:val="center"/>
          </w:tcPr>
          <w:p w14:paraId="023B075A">
            <w:pPr>
              <w:bidi w:val="0"/>
              <w:rPr>
                <w:rFonts w:hint="eastAsia"/>
                <w:sz w:val="21"/>
                <w:szCs w:val="21"/>
                <w:highlight w:val="none"/>
                <w:lang w:val="en-US" w:eastAsia="zh-CN"/>
              </w:rPr>
            </w:pPr>
            <w:r>
              <w:rPr>
                <w:rFonts w:hint="eastAsia"/>
                <w:sz w:val="21"/>
                <w:szCs w:val="21"/>
                <w:highlight w:val="none"/>
                <w:lang w:val="en-US" w:eastAsia="zh-CN"/>
              </w:rPr>
              <w:t>《民用建筑电气设计规范》</w:t>
            </w:r>
          </w:p>
        </w:tc>
        <w:tc>
          <w:tcPr>
            <w:tcW w:w="2175" w:type="dxa"/>
            <w:shd w:val="clear" w:color="auto" w:fill="auto"/>
            <w:noWrap w:val="0"/>
            <w:vAlign w:val="center"/>
          </w:tcPr>
          <w:p w14:paraId="14FCE0BD">
            <w:pPr>
              <w:bidi w:val="0"/>
              <w:rPr>
                <w:sz w:val="21"/>
                <w:szCs w:val="21"/>
                <w:highlight w:val="none"/>
              </w:rPr>
            </w:pPr>
            <w:r>
              <w:rPr>
                <w:rFonts w:hint="default"/>
                <w:sz w:val="21"/>
                <w:szCs w:val="21"/>
                <w:highlight w:val="none"/>
                <w:lang w:val="en-US" w:eastAsia="zh-CN"/>
              </w:rPr>
              <w:t>GB 51348-2019</w:t>
            </w:r>
          </w:p>
        </w:tc>
      </w:tr>
      <w:tr w14:paraId="264AC43C">
        <w:tblPrEx>
          <w:tblCellMar>
            <w:top w:w="0" w:type="dxa"/>
            <w:left w:w="108" w:type="dxa"/>
            <w:bottom w:w="0" w:type="dxa"/>
            <w:right w:w="108" w:type="dxa"/>
          </w:tblCellMar>
        </w:tblPrEx>
        <w:tc>
          <w:tcPr>
            <w:tcW w:w="6558" w:type="dxa"/>
            <w:shd w:val="clear" w:color="auto" w:fill="auto"/>
            <w:noWrap w:val="0"/>
            <w:vAlign w:val="center"/>
          </w:tcPr>
          <w:p w14:paraId="1AB466C9">
            <w:pPr>
              <w:bidi w:val="0"/>
              <w:rPr>
                <w:rFonts w:hint="eastAsia"/>
                <w:sz w:val="21"/>
                <w:szCs w:val="21"/>
                <w:highlight w:val="none"/>
                <w:lang w:val="en-US" w:eastAsia="zh-CN"/>
              </w:rPr>
            </w:pPr>
            <w:r>
              <w:rPr>
                <w:rFonts w:hint="eastAsia"/>
                <w:sz w:val="21"/>
                <w:szCs w:val="21"/>
                <w:highlight w:val="none"/>
                <w:lang w:val="en-US" w:eastAsia="zh-CN"/>
              </w:rPr>
              <w:t>《建筑电气制图标准》</w:t>
            </w:r>
          </w:p>
        </w:tc>
        <w:tc>
          <w:tcPr>
            <w:tcW w:w="2175" w:type="dxa"/>
            <w:shd w:val="clear" w:color="auto" w:fill="auto"/>
            <w:noWrap w:val="0"/>
            <w:vAlign w:val="center"/>
          </w:tcPr>
          <w:p w14:paraId="103D2476">
            <w:pPr>
              <w:bidi w:val="0"/>
              <w:rPr>
                <w:sz w:val="21"/>
                <w:szCs w:val="21"/>
                <w:highlight w:val="none"/>
              </w:rPr>
            </w:pPr>
            <w:r>
              <w:rPr>
                <w:rFonts w:hint="default"/>
                <w:sz w:val="21"/>
                <w:szCs w:val="21"/>
                <w:highlight w:val="none"/>
                <w:lang w:val="en-US" w:eastAsia="zh-CN"/>
              </w:rPr>
              <w:t>GB/T 50786-2012</w:t>
            </w:r>
          </w:p>
        </w:tc>
      </w:tr>
      <w:tr w14:paraId="6380F873">
        <w:tblPrEx>
          <w:tblCellMar>
            <w:top w:w="0" w:type="dxa"/>
            <w:left w:w="108" w:type="dxa"/>
            <w:bottom w:w="0" w:type="dxa"/>
            <w:right w:w="108" w:type="dxa"/>
          </w:tblCellMar>
        </w:tblPrEx>
        <w:tc>
          <w:tcPr>
            <w:tcW w:w="6558" w:type="dxa"/>
            <w:shd w:val="clear" w:color="auto" w:fill="auto"/>
            <w:noWrap w:val="0"/>
            <w:vAlign w:val="center"/>
          </w:tcPr>
          <w:p w14:paraId="78DE63EE">
            <w:pPr>
              <w:bidi w:val="0"/>
              <w:rPr>
                <w:rFonts w:hint="eastAsia"/>
                <w:sz w:val="21"/>
                <w:szCs w:val="21"/>
                <w:highlight w:val="none"/>
                <w:lang w:val="en-US" w:eastAsia="zh-CN"/>
              </w:rPr>
            </w:pPr>
            <w:r>
              <w:rPr>
                <w:rFonts w:hint="eastAsia"/>
                <w:sz w:val="21"/>
                <w:szCs w:val="21"/>
                <w:highlight w:val="none"/>
                <w:lang w:val="en-US" w:eastAsia="zh-CN"/>
              </w:rPr>
              <w:t>《建筑电气工程施工质量验收规范》</w:t>
            </w:r>
          </w:p>
        </w:tc>
        <w:tc>
          <w:tcPr>
            <w:tcW w:w="2175" w:type="dxa"/>
            <w:shd w:val="clear" w:color="auto" w:fill="auto"/>
            <w:noWrap w:val="0"/>
            <w:vAlign w:val="center"/>
          </w:tcPr>
          <w:p w14:paraId="24B44E48">
            <w:pPr>
              <w:bidi w:val="0"/>
              <w:rPr>
                <w:sz w:val="21"/>
                <w:szCs w:val="21"/>
                <w:highlight w:val="none"/>
              </w:rPr>
            </w:pPr>
            <w:r>
              <w:rPr>
                <w:rFonts w:hint="default"/>
                <w:sz w:val="21"/>
                <w:szCs w:val="21"/>
                <w:highlight w:val="none"/>
                <w:lang w:val="en-US" w:eastAsia="zh-CN"/>
              </w:rPr>
              <w:t>GB 50303-2015</w:t>
            </w:r>
          </w:p>
        </w:tc>
      </w:tr>
      <w:tr w14:paraId="2AE210CD">
        <w:tblPrEx>
          <w:tblCellMar>
            <w:top w:w="0" w:type="dxa"/>
            <w:left w:w="108" w:type="dxa"/>
            <w:bottom w:w="0" w:type="dxa"/>
            <w:right w:w="108" w:type="dxa"/>
          </w:tblCellMar>
        </w:tblPrEx>
        <w:tc>
          <w:tcPr>
            <w:tcW w:w="6558" w:type="dxa"/>
            <w:shd w:val="clear" w:color="auto" w:fill="auto"/>
            <w:noWrap w:val="0"/>
            <w:vAlign w:val="center"/>
          </w:tcPr>
          <w:p w14:paraId="3449FF47">
            <w:pPr>
              <w:bidi w:val="0"/>
              <w:rPr>
                <w:rFonts w:hint="eastAsia"/>
                <w:sz w:val="21"/>
                <w:szCs w:val="21"/>
                <w:highlight w:val="none"/>
                <w:lang w:val="en-US" w:eastAsia="zh-CN"/>
              </w:rPr>
            </w:pPr>
            <w:r>
              <w:rPr>
                <w:rFonts w:hint="eastAsia"/>
                <w:sz w:val="21"/>
                <w:szCs w:val="21"/>
                <w:highlight w:val="none"/>
                <w:lang w:val="en-US" w:eastAsia="zh-CN"/>
              </w:rPr>
              <w:t>《给水、排水管道工程施工及验收规范》</w:t>
            </w:r>
          </w:p>
        </w:tc>
        <w:tc>
          <w:tcPr>
            <w:tcW w:w="2175" w:type="dxa"/>
            <w:shd w:val="clear" w:color="auto" w:fill="auto"/>
            <w:noWrap w:val="0"/>
            <w:vAlign w:val="center"/>
          </w:tcPr>
          <w:p w14:paraId="607F0DF2">
            <w:pPr>
              <w:bidi w:val="0"/>
              <w:rPr>
                <w:sz w:val="21"/>
                <w:szCs w:val="21"/>
                <w:highlight w:val="none"/>
              </w:rPr>
            </w:pPr>
            <w:r>
              <w:rPr>
                <w:rFonts w:hint="default"/>
                <w:sz w:val="21"/>
                <w:szCs w:val="21"/>
                <w:highlight w:val="none"/>
                <w:lang w:val="en-US" w:eastAsia="zh-CN"/>
              </w:rPr>
              <w:t>GB 50268-2008</w:t>
            </w:r>
          </w:p>
        </w:tc>
      </w:tr>
      <w:tr w14:paraId="43165ED6">
        <w:tblPrEx>
          <w:tblCellMar>
            <w:top w:w="0" w:type="dxa"/>
            <w:left w:w="108" w:type="dxa"/>
            <w:bottom w:w="0" w:type="dxa"/>
            <w:right w:w="108" w:type="dxa"/>
          </w:tblCellMar>
        </w:tblPrEx>
        <w:tc>
          <w:tcPr>
            <w:tcW w:w="6558" w:type="dxa"/>
            <w:shd w:val="clear" w:color="auto" w:fill="auto"/>
            <w:noWrap w:val="0"/>
            <w:vAlign w:val="center"/>
          </w:tcPr>
          <w:p w14:paraId="1C488524">
            <w:pPr>
              <w:bidi w:val="0"/>
              <w:rPr>
                <w:rFonts w:hint="eastAsia"/>
                <w:sz w:val="21"/>
                <w:szCs w:val="21"/>
                <w:highlight w:val="none"/>
                <w:lang w:eastAsia="zh-CN"/>
              </w:rPr>
            </w:pPr>
            <w:r>
              <w:rPr>
                <w:rFonts w:hint="eastAsia"/>
                <w:sz w:val="21"/>
                <w:szCs w:val="21"/>
                <w:highlight w:val="none"/>
                <w:lang w:val="en-US" w:eastAsia="zh-CN"/>
              </w:rPr>
              <w:t>《游泳池附件安装及设备选用》</w:t>
            </w:r>
          </w:p>
        </w:tc>
        <w:tc>
          <w:tcPr>
            <w:tcW w:w="2175" w:type="dxa"/>
            <w:shd w:val="clear" w:color="auto" w:fill="auto"/>
            <w:noWrap w:val="0"/>
            <w:vAlign w:val="center"/>
          </w:tcPr>
          <w:p w14:paraId="0926F9C0">
            <w:pPr>
              <w:bidi w:val="0"/>
              <w:rPr>
                <w:sz w:val="21"/>
                <w:szCs w:val="21"/>
                <w:highlight w:val="none"/>
              </w:rPr>
            </w:pPr>
            <w:r>
              <w:rPr>
                <w:rFonts w:hint="default"/>
                <w:sz w:val="21"/>
                <w:szCs w:val="21"/>
                <w:highlight w:val="none"/>
                <w:lang w:val="en-US" w:eastAsia="zh-CN"/>
              </w:rPr>
              <w:t>10S605</w:t>
            </w:r>
          </w:p>
        </w:tc>
      </w:tr>
      <w:tr w14:paraId="218C8232">
        <w:tblPrEx>
          <w:tblCellMar>
            <w:top w:w="0" w:type="dxa"/>
            <w:left w:w="108" w:type="dxa"/>
            <w:bottom w:w="0" w:type="dxa"/>
            <w:right w:w="108" w:type="dxa"/>
          </w:tblCellMar>
        </w:tblPrEx>
        <w:tc>
          <w:tcPr>
            <w:tcW w:w="6558" w:type="dxa"/>
            <w:shd w:val="clear" w:color="auto" w:fill="auto"/>
            <w:noWrap w:val="0"/>
            <w:vAlign w:val="center"/>
          </w:tcPr>
          <w:p w14:paraId="4043C8F2">
            <w:pPr>
              <w:bidi w:val="0"/>
              <w:rPr>
                <w:rFonts w:hint="eastAsia"/>
                <w:sz w:val="21"/>
                <w:szCs w:val="21"/>
                <w:highlight w:val="none"/>
              </w:rPr>
            </w:pPr>
            <w:r>
              <w:rPr>
                <w:rFonts w:hint="eastAsia"/>
                <w:sz w:val="21"/>
                <w:szCs w:val="21"/>
                <w:highlight w:val="none"/>
                <w:lang w:val="en-US" w:eastAsia="zh-CN"/>
              </w:rPr>
              <w:t>《游泳池水质标准》</w:t>
            </w:r>
          </w:p>
        </w:tc>
        <w:tc>
          <w:tcPr>
            <w:tcW w:w="2175" w:type="dxa"/>
            <w:shd w:val="clear" w:color="auto" w:fill="auto"/>
            <w:noWrap w:val="0"/>
            <w:vAlign w:val="center"/>
          </w:tcPr>
          <w:p w14:paraId="18D9E4A1">
            <w:pPr>
              <w:bidi w:val="0"/>
              <w:rPr>
                <w:sz w:val="21"/>
                <w:szCs w:val="21"/>
                <w:highlight w:val="none"/>
              </w:rPr>
            </w:pPr>
            <w:r>
              <w:rPr>
                <w:rFonts w:hint="default"/>
                <w:sz w:val="21"/>
                <w:szCs w:val="21"/>
                <w:highlight w:val="none"/>
                <w:lang w:val="en-US" w:eastAsia="zh-CN"/>
              </w:rPr>
              <w:t>GJ/T 244-2016</w:t>
            </w:r>
          </w:p>
        </w:tc>
      </w:tr>
      <w:tr w14:paraId="3FE32E9E">
        <w:tblPrEx>
          <w:tblCellMar>
            <w:top w:w="0" w:type="dxa"/>
            <w:left w:w="108" w:type="dxa"/>
            <w:bottom w:w="0" w:type="dxa"/>
            <w:right w:w="108" w:type="dxa"/>
          </w:tblCellMar>
        </w:tblPrEx>
        <w:tc>
          <w:tcPr>
            <w:tcW w:w="6558" w:type="dxa"/>
            <w:shd w:val="clear" w:color="auto" w:fill="auto"/>
            <w:noWrap w:val="0"/>
            <w:vAlign w:val="center"/>
          </w:tcPr>
          <w:p w14:paraId="365E3795">
            <w:pPr>
              <w:bidi w:val="0"/>
              <w:rPr>
                <w:rFonts w:hint="eastAsia"/>
                <w:sz w:val="21"/>
                <w:szCs w:val="21"/>
                <w:highlight w:val="none"/>
              </w:rPr>
            </w:pPr>
            <w:r>
              <w:rPr>
                <w:rFonts w:hint="eastAsia"/>
                <w:sz w:val="21"/>
                <w:szCs w:val="21"/>
                <w:highlight w:val="none"/>
                <w:lang w:val="en-US" w:eastAsia="zh-CN"/>
              </w:rPr>
              <w:t>《低压电气装置第</w:t>
            </w:r>
            <w:r>
              <w:rPr>
                <w:rFonts w:hint="default"/>
                <w:sz w:val="21"/>
                <w:szCs w:val="21"/>
                <w:highlight w:val="none"/>
                <w:lang w:val="en-US" w:eastAsia="zh-CN"/>
              </w:rPr>
              <w:t>7-702</w:t>
            </w:r>
            <w:r>
              <w:rPr>
                <w:rFonts w:hint="eastAsia"/>
                <w:sz w:val="21"/>
                <w:szCs w:val="21"/>
                <w:highlight w:val="none"/>
                <w:lang w:val="en-US" w:eastAsia="zh-CN"/>
              </w:rPr>
              <w:t>部分：特殊装置或场所的要求游泳池和喷泉》</w:t>
            </w:r>
          </w:p>
        </w:tc>
        <w:tc>
          <w:tcPr>
            <w:tcW w:w="2175" w:type="dxa"/>
            <w:shd w:val="clear" w:color="auto" w:fill="auto"/>
            <w:noWrap w:val="0"/>
            <w:vAlign w:val="center"/>
          </w:tcPr>
          <w:p w14:paraId="5A0C8DE1">
            <w:pPr>
              <w:bidi w:val="0"/>
              <w:rPr>
                <w:sz w:val="21"/>
                <w:szCs w:val="21"/>
                <w:highlight w:val="none"/>
              </w:rPr>
            </w:pPr>
            <w:r>
              <w:rPr>
                <w:rFonts w:hint="default"/>
                <w:sz w:val="21"/>
                <w:szCs w:val="21"/>
                <w:highlight w:val="none"/>
                <w:lang w:val="en-US" w:eastAsia="zh-CN"/>
              </w:rPr>
              <w:t>GB/T16895.19-2017</w:t>
            </w:r>
          </w:p>
        </w:tc>
      </w:tr>
    </w:tbl>
    <w:p w14:paraId="194F114A">
      <w:pPr>
        <w:rPr>
          <w:sz w:val="21"/>
          <w:szCs w:val="21"/>
          <w:highlight w:val="none"/>
        </w:rPr>
      </w:pPr>
    </w:p>
    <w:p w14:paraId="1940CC94">
      <w:pPr>
        <w:pStyle w:val="23"/>
        <w:numPr>
          <w:ilvl w:val="1"/>
          <w:numId w:val="2"/>
        </w:numPr>
        <w:spacing w:line="360" w:lineRule="auto"/>
        <w:ind w:left="0" w:leftChars="0" w:firstLine="0" w:firstLineChars="0"/>
        <w:jc w:val="left"/>
        <w:outlineLvl w:val="1"/>
        <w:rPr>
          <w:rFonts w:hint="eastAsia"/>
          <w:b/>
          <w:bCs/>
          <w:sz w:val="21"/>
          <w:szCs w:val="21"/>
          <w:highlight w:val="none"/>
        </w:rPr>
      </w:pPr>
      <w:r>
        <w:rPr>
          <w:rFonts w:hint="eastAsia"/>
          <w:b/>
          <w:bCs/>
          <w:sz w:val="21"/>
          <w:szCs w:val="21"/>
          <w:highlight w:val="none"/>
        </w:rPr>
        <w:t>其他规范和图集要求</w:t>
      </w:r>
      <w:bookmarkStart w:id="287" w:name="_现场管理要求"/>
      <w:bookmarkEnd w:id="287"/>
    </w:p>
    <w:p w14:paraId="326D79EF">
      <w:pPr>
        <w:pStyle w:val="23"/>
        <w:numPr>
          <w:ilvl w:val="0"/>
          <w:numId w:val="56"/>
        </w:numPr>
        <w:spacing w:line="360" w:lineRule="auto"/>
        <w:ind w:leftChars="100" w:firstLineChars="0"/>
        <w:rPr>
          <w:sz w:val="21"/>
          <w:szCs w:val="21"/>
          <w:highlight w:val="none"/>
        </w:rPr>
      </w:pPr>
      <w:r>
        <w:rPr>
          <w:rFonts w:hint="eastAsia"/>
          <w:sz w:val="21"/>
          <w:szCs w:val="21"/>
          <w:highlight w:val="none"/>
          <w:lang w:val="en-US" w:eastAsia="zh-CN"/>
        </w:rPr>
        <w:t>详见施工图纸说明</w:t>
      </w:r>
    </w:p>
    <w:p w14:paraId="50E02202">
      <w:pPr>
        <w:pStyle w:val="23"/>
        <w:widowControl w:val="0"/>
        <w:numPr>
          <w:ilvl w:val="0"/>
          <w:numId w:val="0"/>
        </w:numPr>
        <w:spacing w:line="360" w:lineRule="auto"/>
        <w:jc w:val="both"/>
        <w:rPr>
          <w:sz w:val="21"/>
          <w:szCs w:val="21"/>
          <w:highlight w:val="none"/>
        </w:rPr>
      </w:pPr>
    </w:p>
    <w:p w14:paraId="1BDF64C5">
      <w:pPr>
        <w:pStyle w:val="23"/>
        <w:numPr>
          <w:ilvl w:val="1"/>
          <w:numId w:val="2"/>
        </w:numPr>
        <w:spacing w:line="360" w:lineRule="auto"/>
        <w:ind w:left="0" w:leftChars="0" w:firstLine="0" w:firstLineChars="0"/>
        <w:jc w:val="left"/>
        <w:outlineLvl w:val="1"/>
        <w:rPr>
          <w:rFonts w:hint="eastAsia"/>
          <w:b/>
          <w:bCs/>
          <w:sz w:val="21"/>
          <w:szCs w:val="21"/>
          <w:highlight w:val="none"/>
        </w:rPr>
      </w:pPr>
      <w:r>
        <w:rPr>
          <w:rFonts w:hint="eastAsia"/>
          <w:b/>
          <w:bCs/>
          <w:sz w:val="21"/>
          <w:szCs w:val="21"/>
          <w:highlight w:val="none"/>
        </w:rPr>
        <w:t>特别说明</w:t>
      </w:r>
    </w:p>
    <w:p w14:paraId="76708889">
      <w:pPr>
        <w:pStyle w:val="23"/>
        <w:numPr>
          <w:ilvl w:val="0"/>
          <w:numId w:val="57"/>
        </w:numPr>
        <w:spacing w:line="360" w:lineRule="auto"/>
        <w:ind w:left="845" w:leftChars="0" w:hanging="425" w:firstLineChars="0"/>
        <w:rPr>
          <w:sz w:val="21"/>
          <w:szCs w:val="21"/>
          <w:highlight w:val="none"/>
        </w:rPr>
      </w:pPr>
      <w:r>
        <w:rPr>
          <w:rFonts w:hint="eastAsia"/>
          <w:sz w:val="21"/>
          <w:szCs w:val="21"/>
          <w:highlight w:val="none"/>
        </w:rPr>
        <w:t>《江苏</w:t>
      </w:r>
      <w:r>
        <w:rPr>
          <w:sz w:val="21"/>
          <w:szCs w:val="21"/>
          <w:highlight w:val="none"/>
        </w:rPr>
        <w:t>省住宅工程质量通病防治</w:t>
      </w:r>
      <w:r>
        <w:rPr>
          <w:rFonts w:hint="eastAsia"/>
          <w:sz w:val="21"/>
          <w:szCs w:val="21"/>
          <w:highlight w:val="none"/>
        </w:rPr>
        <w:t>》等国家、行业和地方现行施工标准等。</w:t>
      </w:r>
    </w:p>
    <w:p w14:paraId="5AD1D2B8">
      <w:pPr>
        <w:pStyle w:val="23"/>
        <w:numPr>
          <w:ilvl w:val="0"/>
          <w:numId w:val="57"/>
        </w:numPr>
        <w:spacing w:line="360" w:lineRule="auto"/>
        <w:ind w:left="845" w:leftChars="0" w:hanging="425" w:firstLineChars="0"/>
        <w:rPr>
          <w:sz w:val="21"/>
          <w:szCs w:val="21"/>
          <w:highlight w:val="none"/>
        </w:rPr>
      </w:pPr>
      <w:r>
        <w:rPr>
          <w:rFonts w:hint="eastAsia"/>
          <w:sz w:val="21"/>
          <w:szCs w:val="21"/>
          <w:highlight w:val="none"/>
        </w:rPr>
        <w:t>如上述标准及规范要求有出入则以较严格者为准，如标准、规范修改或更新的，则以修改或更新后的内容为准。</w:t>
      </w:r>
    </w:p>
    <w:p w14:paraId="48517650">
      <w:pPr>
        <w:pStyle w:val="23"/>
        <w:numPr>
          <w:ilvl w:val="0"/>
          <w:numId w:val="57"/>
        </w:numPr>
        <w:spacing w:line="360" w:lineRule="auto"/>
        <w:ind w:left="845" w:leftChars="0" w:hanging="425" w:firstLineChars="0"/>
        <w:rPr>
          <w:sz w:val="21"/>
          <w:szCs w:val="21"/>
          <w:highlight w:val="none"/>
        </w:rPr>
      </w:pPr>
      <w:r>
        <w:rPr>
          <w:rFonts w:hint="eastAsia"/>
          <w:sz w:val="21"/>
          <w:szCs w:val="21"/>
          <w:highlight w:val="none"/>
        </w:rPr>
        <w:t>除了上述约定的工程建设技术标准外，有关招标项目所采用的其他国家、行业和地方工程建设标准详见招标文件《专用合同条款》“招标项目专用经济技术要求”中的规定。</w:t>
      </w:r>
    </w:p>
    <w:p w14:paraId="493A741B">
      <w:pPr>
        <w:pStyle w:val="23"/>
        <w:numPr>
          <w:ilvl w:val="0"/>
          <w:numId w:val="57"/>
        </w:numPr>
        <w:spacing w:line="360" w:lineRule="auto"/>
        <w:ind w:left="845" w:leftChars="0" w:hanging="425" w:firstLineChars="0"/>
        <w:rPr>
          <w:sz w:val="21"/>
          <w:szCs w:val="21"/>
          <w:highlight w:val="none"/>
        </w:rPr>
      </w:pPr>
      <w:r>
        <w:rPr>
          <w:rFonts w:hint="eastAsia"/>
          <w:sz w:val="21"/>
          <w:szCs w:val="21"/>
          <w:highlight w:val="none"/>
        </w:rPr>
        <w:t>本工程约定的其他标准文件和内容：</w:t>
      </w:r>
    </w:p>
    <w:p w14:paraId="11E1A014">
      <w:pPr>
        <w:pStyle w:val="23"/>
        <w:numPr>
          <w:ilvl w:val="0"/>
          <w:numId w:val="0"/>
        </w:numPr>
        <w:spacing w:line="360" w:lineRule="auto"/>
        <w:ind w:left="420" w:leftChars="0"/>
        <w:rPr>
          <w:sz w:val="21"/>
          <w:szCs w:val="21"/>
          <w:highlight w:val="none"/>
        </w:rPr>
      </w:pPr>
    </w:p>
    <w:p w14:paraId="462F8C1F">
      <w:pPr>
        <w:pStyle w:val="23"/>
        <w:numPr>
          <w:ilvl w:val="0"/>
          <w:numId w:val="2"/>
        </w:numPr>
        <w:spacing w:line="360" w:lineRule="auto"/>
        <w:ind w:firstLineChars="0"/>
        <w:jc w:val="left"/>
        <w:outlineLvl w:val="1"/>
        <w:rPr>
          <w:rFonts w:asciiTheme="majorEastAsia" w:hAnsiTheme="majorEastAsia" w:eastAsiaTheme="majorEastAsia"/>
          <w:b/>
          <w:sz w:val="21"/>
          <w:szCs w:val="21"/>
          <w:highlight w:val="none"/>
        </w:rPr>
      </w:pPr>
      <w:r>
        <w:rPr>
          <w:rFonts w:hint="eastAsia" w:asciiTheme="majorEastAsia" w:hAnsiTheme="majorEastAsia" w:eastAsiaTheme="majorEastAsia"/>
          <w:b/>
          <w:sz w:val="21"/>
          <w:szCs w:val="21"/>
          <w:highlight w:val="none"/>
        </w:rPr>
        <w:t>质量标准和要求</w:t>
      </w:r>
    </w:p>
    <w:p w14:paraId="40981A4D">
      <w:pPr>
        <w:pStyle w:val="23"/>
        <w:numPr>
          <w:ilvl w:val="1"/>
          <w:numId w:val="2"/>
        </w:numPr>
        <w:spacing w:line="360" w:lineRule="auto"/>
        <w:ind w:left="0" w:leftChars="0" w:firstLine="0" w:firstLineChars="0"/>
        <w:jc w:val="left"/>
        <w:outlineLvl w:val="1"/>
        <w:rPr>
          <w:b/>
          <w:bCs/>
          <w:sz w:val="21"/>
          <w:szCs w:val="21"/>
          <w:highlight w:val="none"/>
        </w:rPr>
      </w:pPr>
      <w:r>
        <w:rPr>
          <w:rFonts w:hint="eastAsia"/>
          <w:b/>
          <w:bCs/>
          <w:sz w:val="21"/>
          <w:szCs w:val="21"/>
          <w:highlight w:val="none"/>
        </w:rPr>
        <w:t>工程质量标准等级</w:t>
      </w:r>
    </w:p>
    <w:p w14:paraId="6E2BB94F">
      <w:pPr>
        <w:spacing w:line="360" w:lineRule="auto"/>
        <w:rPr>
          <w:sz w:val="21"/>
          <w:szCs w:val="21"/>
          <w:highlight w:val="none"/>
        </w:rPr>
      </w:pPr>
      <w:r>
        <w:rPr>
          <w:rFonts w:hint="eastAsia"/>
          <w:sz w:val="21"/>
          <w:szCs w:val="21"/>
          <w:highlight w:val="none"/>
        </w:rPr>
        <w:t>本工程的质量标准等级要求为：</w:t>
      </w:r>
      <w:r>
        <w:rPr>
          <w:rFonts w:hint="eastAsia" w:ascii="宋体" w:hAnsi="宋体"/>
          <w:bCs/>
          <w:sz w:val="21"/>
          <w:szCs w:val="21"/>
          <w:highlight w:val="none"/>
        </w:rPr>
        <w:t>■合格；</w:t>
      </w:r>
      <w:r>
        <w:rPr>
          <w:rFonts w:ascii="宋体" w:hAnsi="宋体"/>
          <w:bCs/>
          <w:sz w:val="21"/>
          <w:szCs w:val="21"/>
          <w:highlight w:val="none"/>
        </w:rPr>
        <w:t>□</w:t>
      </w:r>
      <w:r>
        <w:rPr>
          <w:rFonts w:hint="eastAsia" w:ascii="宋体" w:hAnsi="宋体"/>
          <w:bCs/>
          <w:sz w:val="21"/>
          <w:szCs w:val="21"/>
          <w:highlight w:val="none"/>
        </w:rPr>
        <w:t>优良，具体评定标准执行</w:t>
      </w:r>
      <w:r>
        <w:rPr>
          <w:rFonts w:hint="eastAsia"/>
          <w:sz w:val="21"/>
          <w:szCs w:val="21"/>
          <w:highlight w:val="none"/>
        </w:rPr>
        <w:t>《</w:t>
      </w:r>
      <w:r>
        <w:rPr>
          <w:rFonts w:ascii="宋体" w:hAnsi="宋体"/>
          <w:bCs/>
          <w:sz w:val="21"/>
          <w:szCs w:val="21"/>
          <w:highlight w:val="none"/>
        </w:rPr>
        <w:t>建筑工程施工质量验收统一标准</w:t>
      </w:r>
      <w:r>
        <w:rPr>
          <w:rFonts w:hint="eastAsia"/>
          <w:sz w:val="21"/>
          <w:szCs w:val="21"/>
          <w:highlight w:val="none"/>
        </w:rPr>
        <w:t>》。</w:t>
      </w:r>
    </w:p>
    <w:p w14:paraId="2F9B399E">
      <w:pPr>
        <w:pStyle w:val="23"/>
        <w:numPr>
          <w:ilvl w:val="1"/>
          <w:numId w:val="2"/>
        </w:numPr>
        <w:spacing w:line="360" w:lineRule="auto"/>
        <w:ind w:left="0" w:leftChars="0" w:firstLine="0" w:firstLineChars="0"/>
        <w:jc w:val="left"/>
        <w:outlineLvl w:val="1"/>
        <w:rPr>
          <w:b/>
          <w:sz w:val="21"/>
          <w:szCs w:val="21"/>
          <w:highlight w:val="none"/>
        </w:rPr>
      </w:pPr>
      <w:r>
        <w:rPr>
          <w:rFonts w:hint="eastAsia"/>
          <w:b/>
          <w:sz w:val="21"/>
          <w:szCs w:val="21"/>
          <w:highlight w:val="none"/>
        </w:rPr>
        <w:t>各分部分项工程质量要求要点</w:t>
      </w:r>
    </w:p>
    <w:p w14:paraId="4CB9D5BD">
      <w:pPr>
        <w:spacing w:line="360" w:lineRule="auto"/>
        <w:ind w:firstLine="420" w:firstLineChars="200"/>
        <w:rPr>
          <w:sz w:val="21"/>
          <w:szCs w:val="21"/>
          <w:highlight w:val="none"/>
        </w:rPr>
      </w:pPr>
      <w:r>
        <w:rPr>
          <w:rFonts w:hint="eastAsia" w:ascii="Times New Roman" w:hAnsi="Times New Roman"/>
          <w:sz w:val="21"/>
          <w:szCs w:val="21"/>
          <w:highlight w:val="none"/>
        </w:rPr>
        <w:t>严格</w:t>
      </w:r>
      <w:r>
        <w:rPr>
          <w:rFonts w:ascii="Times New Roman" w:hAnsi="Times New Roman"/>
          <w:sz w:val="21"/>
          <w:szCs w:val="21"/>
          <w:highlight w:val="none"/>
        </w:rPr>
        <w:t>依据</w:t>
      </w:r>
      <w:r>
        <w:rPr>
          <w:rFonts w:hint="eastAsia" w:ascii="Times New Roman" w:hAnsi="Times New Roman"/>
          <w:sz w:val="21"/>
          <w:szCs w:val="21"/>
          <w:highlight w:val="none"/>
        </w:rPr>
        <w:t>招标人提供图纸施工。</w:t>
      </w:r>
    </w:p>
    <w:p w14:paraId="14279837">
      <w:pPr>
        <w:spacing w:line="360" w:lineRule="auto"/>
        <w:ind w:firstLine="420" w:firstLineChars="200"/>
        <w:rPr>
          <w:sz w:val="21"/>
          <w:szCs w:val="21"/>
          <w:highlight w:val="none"/>
        </w:rPr>
      </w:pPr>
      <w:r>
        <w:rPr>
          <w:rFonts w:hint="eastAsia"/>
          <w:sz w:val="21"/>
          <w:szCs w:val="21"/>
          <w:highlight w:val="none"/>
        </w:rPr>
        <w:t>其他要求如下：</w:t>
      </w:r>
    </w:p>
    <w:p w14:paraId="325A6240">
      <w:pPr>
        <w:pStyle w:val="23"/>
        <w:numPr>
          <w:ilvl w:val="0"/>
          <w:numId w:val="58"/>
        </w:numPr>
        <w:spacing w:line="360" w:lineRule="auto"/>
        <w:ind w:firstLineChars="0"/>
        <w:rPr>
          <w:sz w:val="21"/>
          <w:szCs w:val="21"/>
          <w:highlight w:val="none"/>
        </w:rPr>
      </w:pPr>
      <w:r>
        <w:rPr>
          <w:rFonts w:hint="eastAsia"/>
          <w:sz w:val="21"/>
          <w:szCs w:val="21"/>
          <w:highlight w:val="none"/>
        </w:rPr>
        <w:t>严把材料采购质量关，确保进场的材料质量满足要求。</w:t>
      </w:r>
    </w:p>
    <w:p w14:paraId="77731A25">
      <w:pPr>
        <w:pStyle w:val="23"/>
        <w:numPr>
          <w:ilvl w:val="0"/>
          <w:numId w:val="58"/>
        </w:numPr>
        <w:spacing w:line="360" w:lineRule="auto"/>
        <w:ind w:firstLineChars="0"/>
        <w:rPr>
          <w:sz w:val="21"/>
          <w:szCs w:val="21"/>
          <w:highlight w:val="none"/>
        </w:rPr>
      </w:pPr>
      <w:r>
        <w:rPr>
          <w:rFonts w:hint="eastAsia"/>
          <w:sz w:val="21"/>
          <w:szCs w:val="21"/>
          <w:highlight w:val="none"/>
        </w:rPr>
        <w:t>基础与设备安装牢固，在安装前由项目部技术人员进行检查，检查合格后才可进行施工。</w:t>
      </w:r>
    </w:p>
    <w:p w14:paraId="1474AFB9">
      <w:pPr>
        <w:pStyle w:val="23"/>
        <w:numPr>
          <w:ilvl w:val="0"/>
          <w:numId w:val="58"/>
        </w:numPr>
        <w:spacing w:line="360" w:lineRule="auto"/>
        <w:ind w:firstLineChars="0"/>
        <w:rPr>
          <w:sz w:val="21"/>
          <w:szCs w:val="21"/>
          <w:highlight w:val="none"/>
        </w:rPr>
      </w:pPr>
      <w:r>
        <w:rPr>
          <w:rFonts w:hint="eastAsia"/>
          <w:sz w:val="21"/>
          <w:szCs w:val="21"/>
          <w:highlight w:val="none"/>
        </w:rPr>
        <w:t>泳池设备安装在施工中必须保证施工人员及行人安全，对施工现场的废料、工具、材料等及时规整。</w:t>
      </w:r>
    </w:p>
    <w:p w14:paraId="189BC611">
      <w:pPr>
        <w:pStyle w:val="23"/>
        <w:numPr>
          <w:ilvl w:val="0"/>
          <w:numId w:val="58"/>
        </w:numPr>
        <w:spacing w:line="360" w:lineRule="auto"/>
        <w:ind w:firstLineChars="0"/>
        <w:rPr>
          <w:sz w:val="21"/>
          <w:szCs w:val="21"/>
          <w:highlight w:val="none"/>
        </w:rPr>
      </w:pPr>
      <w:r>
        <w:rPr>
          <w:rFonts w:hint="eastAsia"/>
          <w:sz w:val="21"/>
          <w:szCs w:val="21"/>
          <w:highlight w:val="none"/>
        </w:rPr>
        <w:t>泳池设备安装过程中须安排专人负责对各设备进行专项检查。</w:t>
      </w:r>
    </w:p>
    <w:p w14:paraId="428CD4E3">
      <w:pPr>
        <w:pStyle w:val="23"/>
        <w:numPr>
          <w:ilvl w:val="0"/>
          <w:numId w:val="58"/>
        </w:numPr>
        <w:spacing w:line="360" w:lineRule="auto"/>
        <w:ind w:firstLineChars="0"/>
        <w:rPr>
          <w:sz w:val="21"/>
          <w:szCs w:val="21"/>
          <w:highlight w:val="none"/>
        </w:rPr>
      </w:pPr>
      <w:r>
        <w:rPr>
          <w:rFonts w:hint="eastAsia"/>
          <w:sz w:val="21"/>
          <w:szCs w:val="21"/>
          <w:highlight w:val="none"/>
        </w:rPr>
        <w:t>加强日常安全巡视工作，发现安全隐患立即进行防护处理。</w:t>
      </w:r>
    </w:p>
    <w:p w14:paraId="35DE938D">
      <w:pPr>
        <w:pStyle w:val="23"/>
        <w:numPr>
          <w:ilvl w:val="0"/>
          <w:numId w:val="58"/>
        </w:numPr>
        <w:spacing w:line="360" w:lineRule="auto"/>
        <w:ind w:firstLineChars="0"/>
        <w:rPr>
          <w:sz w:val="21"/>
          <w:szCs w:val="21"/>
          <w:highlight w:val="none"/>
        </w:rPr>
      </w:pPr>
      <w:r>
        <w:rPr>
          <w:rFonts w:hint="eastAsia"/>
          <w:sz w:val="21"/>
          <w:szCs w:val="21"/>
          <w:highlight w:val="none"/>
        </w:rPr>
        <w:t>泳池设备安装过程中要随时注意预留预埋管线情况，如有管线或设备影响工程施工，需通知建设单位确认现场做法并对局部位置采取措施，因此产生的费用由中标人负责。</w:t>
      </w:r>
    </w:p>
    <w:p w14:paraId="0532E44C">
      <w:pPr>
        <w:pStyle w:val="23"/>
        <w:numPr>
          <w:ilvl w:val="0"/>
          <w:numId w:val="58"/>
        </w:numPr>
        <w:spacing w:line="360" w:lineRule="auto"/>
        <w:ind w:firstLineChars="0"/>
        <w:rPr>
          <w:sz w:val="21"/>
          <w:szCs w:val="21"/>
          <w:highlight w:val="none"/>
        </w:rPr>
      </w:pPr>
      <w:r>
        <w:rPr>
          <w:rFonts w:hint="eastAsia"/>
          <w:sz w:val="21"/>
          <w:szCs w:val="21"/>
          <w:highlight w:val="none"/>
        </w:rPr>
        <w:t>各泳池预埋件应严格按照图纸进行预埋，保证预埋件的定位准确与牢固。</w:t>
      </w:r>
    </w:p>
    <w:p w14:paraId="1BB9D341">
      <w:pPr>
        <w:pStyle w:val="23"/>
        <w:numPr>
          <w:ilvl w:val="0"/>
          <w:numId w:val="58"/>
        </w:numPr>
        <w:spacing w:line="360" w:lineRule="auto"/>
        <w:ind w:firstLineChars="0"/>
        <w:rPr>
          <w:sz w:val="21"/>
          <w:szCs w:val="21"/>
          <w:highlight w:val="none"/>
        </w:rPr>
      </w:pPr>
      <w:r>
        <w:rPr>
          <w:rFonts w:hint="eastAsia"/>
          <w:sz w:val="21"/>
          <w:szCs w:val="21"/>
          <w:highlight w:val="none"/>
        </w:rPr>
        <w:t>各设备安装前必须等基础砼养护达到一定强度后，按照图纸间距测放出设备及各管线位置，必须保证设备和管线安装稳定与牢固。</w:t>
      </w:r>
    </w:p>
    <w:p w14:paraId="5C61D52E">
      <w:pPr>
        <w:pStyle w:val="23"/>
        <w:numPr>
          <w:ilvl w:val="1"/>
          <w:numId w:val="2"/>
        </w:numPr>
        <w:spacing w:line="360" w:lineRule="auto"/>
        <w:ind w:left="0" w:leftChars="0" w:firstLine="0" w:firstLineChars="0"/>
        <w:jc w:val="left"/>
        <w:outlineLvl w:val="1"/>
        <w:rPr>
          <w:rFonts w:ascii="宋体" w:hAnsi="宋体"/>
          <w:b/>
          <w:sz w:val="21"/>
          <w:szCs w:val="21"/>
          <w:highlight w:val="none"/>
        </w:rPr>
      </w:pPr>
      <w:r>
        <w:rPr>
          <w:rFonts w:hint="eastAsia" w:ascii="宋体" w:hAnsi="宋体"/>
          <w:b/>
          <w:sz w:val="21"/>
          <w:szCs w:val="21"/>
          <w:highlight w:val="none"/>
        </w:rPr>
        <w:t>建筑质量通病防治措施</w:t>
      </w:r>
    </w:p>
    <w:p w14:paraId="2D76A005">
      <w:pPr>
        <w:spacing w:line="360" w:lineRule="auto"/>
        <w:rPr>
          <w:rFonts w:hint="eastAsia" w:ascii="宋体" w:hAnsi="宋体"/>
          <w:sz w:val="21"/>
          <w:szCs w:val="21"/>
          <w:highlight w:val="none"/>
        </w:rPr>
      </w:pPr>
      <w:r>
        <w:rPr>
          <w:rFonts w:hint="eastAsia" w:ascii="宋体" w:hAnsi="宋体"/>
          <w:sz w:val="21"/>
          <w:szCs w:val="21"/>
          <w:highlight w:val="none"/>
        </w:rPr>
        <w:t>建筑质量通病防治措施一览表</w:t>
      </w:r>
    </w:p>
    <w:p w14:paraId="43001C8E">
      <w:pPr>
        <w:pStyle w:val="23"/>
        <w:numPr>
          <w:ilvl w:val="1"/>
          <w:numId w:val="2"/>
        </w:numPr>
        <w:spacing w:line="360" w:lineRule="auto"/>
        <w:ind w:left="0" w:leftChars="0" w:firstLine="0" w:firstLineChars="0"/>
        <w:jc w:val="left"/>
        <w:outlineLvl w:val="1"/>
        <w:rPr>
          <w:rFonts w:ascii="宋体" w:hAnsi="宋体"/>
          <w:b/>
          <w:sz w:val="21"/>
          <w:szCs w:val="21"/>
          <w:highlight w:val="none"/>
        </w:rPr>
      </w:pPr>
      <w:r>
        <w:rPr>
          <w:rFonts w:hint="eastAsia" w:ascii="宋体" w:hAnsi="宋体"/>
          <w:b/>
          <w:sz w:val="21"/>
          <w:szCs w:val="21"/>
          <w:highlight w:val="none"/>
        </w:rPr>
        <w:t>建筑质量通病防治方案要求</w:t>
      </w:r>
    </w:p>
    <w:p w14:paraId="75D46121">
      <w:pPr>
        <w:spacing w:line="360" w:lineRule="auto"/>
        <w:rPr>
          <w:rFonts w:hint="eastAsia" w:ascii="宋体" w:hAnsi="宋体"/>
          <w:sz w:val="21"/>
          <w:szCs w:val="21"/>
          <w:highlight w:val="none"/>
        </w:rPr>
      </w:pPr>
      <w:r>
        <w:rPr>
          <w:rFonts w:hint="eastAsia" w:ascii="宋体" w:hAnsi="宋体"/>
          <w:sz w:val="21"/>
          <w:szCs w:val="21"/>
          <w:highlight w:val="none"/>
        </w:rPr>
        <w:t>承包人在中标后应结合本单位施工经验重点就常见质量通病防治措施编制专项施工方案，在实施时对质量通病问题的整改应有针对性的处理方案。</w:t>
      </w:r>
    </w:p>
    <w:p w14:paraId="0F6D4A7F">
      <w:pPr>
        <w:spacing w:line="360" w:lineRule="auto"/>
        <w:rPr>
          <w:rFonts w:hint="eastAsia" w:ascii="宋体" w:hAnsi="宋体"/>
          <w:sz w:val="21"/>
          <w:szCs w:val="21"/>
          <w:highlight w:val="none"/>
        </w:rPr>
      </w:pPr>
    </w:p>
    <w:p w14:paraId="21BDB5DD">
      <w:pPr>
        <w:spacing w:line="360" w:lineRule="auto"/>
        <w:rPr>
          <w:rFonts w:hint="eastAsia" w:ascii="宋体" w:hAnsi="宋体"/>
          <w:sz w:val="21"/>
          <w:szCs w:val="21"/>
          <w:highlight w:val="none"/>
        </w:rPr>
      </w:pPr>
    </w:p>
    <w:p w14:paraId="38B27958">
      <w:pPr>
        <w:pStyle w:val="23"/>
        <w:numPr>
          <w:ilvl w:val="0"/>
          <w:numId w:val="2"/>
        </w:numPr>
        <w:spacing w:line="360" w:lineRule="auto"/>
        <w:ind w:firstLineChars="0"/>
        <w:jc w:val="left"/>
        <w:outlineLvl w:val="1"/>
        <w:rPr>
          <w:rFonts w:asciiTheme="majorEastAsia" w:hAnsiTheme="majorEastAsia" w:eastAsiaTheme="majorEastAsia"/>
          <w:b/>
          <w:sz w:val="21"/>
          <w:szCs w:val="21"/>
          <w:highlight w:val="none"/>
        </w:rPr>
      </w:pPr>
      <w:r>
        <w:rPr>
          <w:rFonts w:hint="eastAsia" w:asciiTheme="majorEastAsia" w:hAnsiTheme="majorEastAsia" w:eastAsiaTheme="majorEastAsia"/>
          <w:b/>
          <w:sz w:val="21"/>
          <w:szCs w:val="21"/>
          <w:highlight w:val="none"/>
        </w:rPr>
        <w:t>材料设备品牌要求</w:t>
      </w:r>
    </w:p>
    <w:p w14:paraId="03E21FE0">
      <w:pPr>
        <w:numPr>
          <w:ilvl w:val="1"/>
          <w:numId w:val="2"/>
        </w:numPr>
        <w:spacing w:line="360" w:lineRule="auto"/>
        <w:rPr>
          <w:sz w:val="21"/>
          <w:szCs w:val="21"/>
          <w:highlight w:val="none"/>
        </w:rPr>
      </w:pPr>
      <w:r>
        <w:rPr>
          <w:rFonts w:hint="eastAsia"/>
          <w:sz w:val="21"/>
          <w:szCs w:val="21"/>
          <w:highlight w:val="none"/>
        </w:rPr>
        <w:t>甲供材料设备：无</w:t>
      </w:r>
    </w:p>
    <w:p w14:paraId="4A74C91A">
      <w:pPr>
        <w:numPr>
          <w:ilvl w:val="1"/>
          <w:numId w:val="2"/>
        </w:numPr>
        <w:spacing w:line="360" w:lineRule="auto"/>
        <w:rPr>
          <w:rFonts w:hint="eastAsia"/>
          <w:sz w:val="21"/>
          <w:szCs w:val="21"/>
          <w:highlight w:val="none"/>
        </w:rPr>
      </w:pPr>
      <w:r>
        <w:rPr>
          <w:rFonts w:hint="eastAsia"/>
          <w:sz w:val="21"/>
          <w:szCs w:val="21"/>
          <w:highlight w:val="none"/>
        </w:rPr>
        <w:t>乙购材料设备品牌要求</w:t>
      </w:r>
    </w:p>
    <w:tbl>
      <w:tblPr>
        <w:tblStyle w:val="15"/>
        <w:tblW w:w="49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
        <w:gridCol w:w="3833"/>
        <w:gridCol w:w="1"/>
        <w:gridCol w:w="830"/>
        <w:gridCol w:w="4354"/>
        <w:gridCol w:w="1"/>
      </w:tblGrid>
      <w:tr w14:paraId="75B8E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360" w:hRule="atLeast"/>
          <w:tblHeader/>
        </w:trPr>
        <w:tc>
          <w:tcPr>
            <w:tcW w:w="679" w:type="dxa"/>
            <w:shd w:val="clear" w:color="auto" w:fill="D7D7D7" w:themeFill="background1" w:themeFillShade="D8"/>
            <w:vAlign w:val="center"/>
          </w:tcPr>
          <w:p w14:paraId="3D6803D5">
            <w:pPr>
              <w:rPr>
                <w:rFonts w:asciiTheme="minorEastAsia" w:hAnsiTheme="minorEastAsia" w:cstheme="minorEastAsia"/>
                <w:sz w:val="21"/>
                <w:szCs w:val="21"/>
              </w:rPr>
            </w:pPr>
            <w:r>
              <w:rPr>
                <w:rFonts w:hint="eastAsia" w:asciiTheme="minorEastAsia" w:hAnsiTheme="minorEastAsia" w:cstheme="minorEastAsia"/>
                <w:sz w:val="21"/>
                <w:szCs w:val="21"/>
              </w:rPr>
              <w:t>编号</w:t>
            </w:r>
          </w:p>
        </w:tc>
        <w:tc>
          <w:tcPr>
            <w:tcW w:w="3834" w:type="dxa"/>
            <w:gridSpan w:val="2"/>
            <w:shd w:val="clear" w:color="auto" w:fill="D7D7D7" w:themeFill="background1" w:themeFillShade="D8"/>
            <w:vAlign w:val="center"/>
          </w:tcPr>
          <w:p w14:paraId="56B541C6">
            <w:pPr>
              <w:rPr>
                <w:rFonts w:asciiTheme="minorEastAsia" w:hAnsiTheme="minorEastAsia" w:cstheme="minorEastAsia"/>
                <w:sz w:val="21"/>
                <w:szCs w:val="21"/>
              </w:rPr>
            </w:pPr>
            <w:r>
              <w:rPr>
                <w:rFonts w:hint="eastAsia" w:asciiTheme="minorEastAsia" w:hAnsiTheme="minorEastAsia" w:cstheme="minorEastAsia"/>
                <w:sz w:val="21"/>
                <w:szCs w:val="21"/>
              </w:rPr>
              <w:t>项目名称</w:t>
            </w:r>
          </w:p>
        </w:tc>
        <w:tc>
          <w:tcPr>
            <w:tcW w:w="831" w:type="dxa"/>
            <w:gridSpan w:val="2"/>
            <w:shd w:val="clear" w:color="auto" w:fill="D7D7D7" w:themeFill="background1" w:themeFillShade="D8"/>
            <w:vAlign w:val="center"/>
          </w:tcPr>
          <w:p w14:paraId="02D295DE">
            <w:pPr>
              <w:rPr>
                <w:rFonts w:asciiTheme="minorEastAsia" w:hAnsiTheme="minorEastAsia" w:cstheme="minorEastAsia"/>
                <w:sz w:val="21"/>
                <w:szCs w:val="21"/>
              </w:rPr>
            </w:pPr>
            <w:r>
              <w:rPr>
                <w:rFonts w:hint="eastAsia" w:asciiTheme="minorEastAsia" w:hAnsiTheme="minorEastAsia" w:cstheme="minorEastAsia"/>
                <w:sz w:val="21"/>
                <w:szCs w:val="21"/>
              </w:rPr>
              <w:t>产地</w:t>
            </w:r>
          </w:p>
        </w:tc>
        <w:tc>
          <w:tcPr>
            <w:tcW w:w="4354" w:type="dxa"/>
            <w:shd w:val="clear" w:color="auto" w:fill="D7D7D7" w:themeFill="background1" w:themeFillShade="D8"/>
            <w:vAlign w:val="center"/>
          </w:tcPr>
          <w:p w14:paraId="27E1E22B">
            <w:pPr>
              <w:rPr>
                <w:rFonts w:asciiTheme="minorEastAsia" w:hAnsiTheme="minorEastAsia" w:cstheme="minorEastAsia"/>
                <w:sz w:val="21"/>
                <w:szCs w:val="21"/>
              </w:rPr>
            </w:pPr>
            <w:r>
              <w:rPr>
                <w:rFonts w:hint="eastAsia" w:asciiTheme="minorEastAsia" w:hAnsiTheme="minorEastAsia" w:cstheme="minorEastAsia"/>
                <w:sz w:val="21"/>
                <w:szCs w:val="21"/>
              </w:rPr>
              <w:t>技术部可接受生产厂家或品牌</w:t>
            </w:r>
          </w:p>
        </w:tc>
      </w:tr>
      <w:tr w14:paraId="21119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360" w:hRule="atLeast"/>
        </w:trPr>
        <w:tc>
          <w:tcPr>
            <w:tcW w:w="9698" w:type="dxa"/>
            <w:gridSpan w:val="6"/>
            <w:shd w:val="clear" w:color="auto" w:fill="F1F1F1" w:themeFill="background1" w:themeFillShade="F2"/>
            <w:vAlign w:val="center"/>
          </w:tcPr>
          <w:p w14:paraId="322B915E">
            <w:pPr>
              <w:rPr>
                <w:rFonts w:asciiTheme="minorEastAsia" w:hAnsiTheme="minorEastAsia" w:cstheme="minorEastAsia"/>
                <w:sz w:val="21"/>
                <w:szCs w:val="21"/>
              </w:rPr>
            </w:pPr>
            <w:r>
              <w:rPr>
                <w:rFonts w:hint="eastAsia" w:asciiTheme="minorEastAsia" w:hAnsiTheme="minorEastAsia" w:cstheme="minorEastAsia"/>
                <w:sz w:val="21"/>
                <w:szCs w:val="21"/>
              </w:rPr>
              <w:t>游泳池设备</w:t>
            </w:r>
          </w:p>
        </w:tc>
      </w:tr>
      <w:tr w14:paraId="33B4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360" w:hRule="atLeast"/>
        </w:trPr>
        <w:tc>
          <w:tcPr>
            <w:tcW w:w="679" w:type="dxa"/>
            <w:shd w:val="clear" w:color="auto" w:fill="auto"/>
            <w:vAlign w:val="center"/>
          </w:tcPr>
          <w:p w14:paraId="3B4A946B">
            <w:pPr>
              <w:rPr>
                <w:rFonts w:asciiTheme="minorEastAsia" w:hAnsiTheme="minorEastAsia" w:cstheme="minorEastAsia"/>
                <w:sz w:val="21"/>
                <w:szCs w:val="21"/>
              </w:rPr>
            </w:pPr>
          </w:p>
        </w:tc>
        <w:tc>
          <w:tcPr>
            <w:tcW w:w="3834" w:type="dxa"/>
            <w:gridSpan w:val="2"/>
            <w:shd w:val="clear" w:color="auto" w:fill="auto"/>
            <w:vAlign w:val="center"/>
          </w:tcPr>
          <w:p w14:paraId="1A82659F">
            <w:pPr>
              <w:rPr>
                <w:rFonts w:asciiTheme="minorEastAsia" w:hAnsiTheme="minorEastAsia" w:cstheme="minorEastAsia"/>
                <w:sz w:val="21"/>
                <w:szCs w:val="21"/>
              </w:rPr>
            </w:pPr>
            <w:r>
              <w:rPr>
                <w:rFonts w:hint="eastAsia" w:asciiTheme="minorEastAsia" w:hAnsiTheme="minorEastAsia" w:cstheme="minorEastAsia"/>
                <w:sz w:val="21"/>
                <w:szCs w:val="21"/>
              </w:rPr>
              <w:t>循环水泵（带毛发过滤器）</w:t>
            </w:r>
          </w:p>
        </w:tc>
        <w:tc>
          <w:tcPr>
            <w:tcW w:w="831" w:type="dxa"/>
            <w:gridSpan w:val="2"/>
            <w:shd w:val="clear" w:color="auto" w:fill="auto"/>
            <w:vAlign w:val="center"/>
          </w:tcPr>
          <w:p w14:paraId="6D17A12F">
            <w:pPr>
              <w:rPr>
                <w:rFonts w:asciiTheme="minorEastAsia" w:hAnsiTheme="minorEastAsia" w:cstheme="minorEastAsia"/>
                <w:sz w:val="21"/>
                <w:szCs w:val="21"/>
              </w:rPr>
            </w:pPr>
            <w:r>
              <w:rPr>
                <w:rFonts w:hint="eastAsia" w:asciiTheme="minorEastAsia" w:hAnsiTheme="minorEastAsia" w:cstheme="minorEastAsia"/>
                <w:sz w:val="21"/>
                <w:szCs w:val="21"/>
              </w:rPr>
              <w:t>进口</w:t>
            </w:r>
          </w:p>
        </w:tc>
        <w:tc>
          <w:tcPr>
            <w:tcW w:w="4354" w:type="dxa"/>
            <w:shd w:val="clear" w:color="auto" w:fill="auto"/>
            <w:vAlign w:val="center"/>
          </w:tcPr>
          <w:p w14:paraId="48DA1C3E">
            <w:pPr>
              <w:rPr>
                <w:rFonts w:asciiTheme="minorEastAsia" w:hAnsiTheme="minorEastAsia" w:cstheme="minorEastAsia"/>
                <w:sz w:val="21"/>
                <w:szCs w:val="21"/>
              </w:rPr>
            </w:pPr>
            <w:r>
              <w:rPr>
                <w:rFonts w:hint="eastAsia" w:asciiTheme="minorEastAsia" w:hAnsiTheme="minorEastAsia" w:cstheme="minorEastAsia"/>
                <w:sz w:val="21"/>
                <w:szCs w:val="21"/>
              </w:rPr>
              <w:t>亨沃Hayward/滨特尔Pentair/亚士图ASTRAL</w:t>
            </w:r>
          </w:p>
        </w:tc>
      </w:tr>
      <w:tr w14:paraId="1ECFB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360" w:hRule="atLeast"/>
        </w:trPr>
        <w:tc>
          <w:tcPr>
            <w:tcW w:w="679" w:type="dxa"/>
            <w:shd w:val="clear" w:color="auto" w:fill="auto"/>
            <w:vAlign w:val="center"/>
          </w:tcPr>
          <w:p w14:paraId="5BB925DC">
            <w:pPr>
              <w:rPr>
                <w:rFonts w:asciiTheme="minorEastAsia" w:hAnsiTheme="minorEastAsia" w:cstheme="minorEastAsia"/>
                <w:sz w:val="21"/>
                <w:szCs w:val="21"/>
              </w:rPr>
            </w:pPr>
          </w:p>
        </w:tc>
        <w:tc>
          <w:tcPr>
            <w:tcW w:w="3834" w:type="dxa"/>
            <w:gridSpan w:val="2"/>
            <w:shd w:val="clear" w:color="auto" w:fill="auto"/>
            <w:vAlign w:val="center"/>
          </w:tcPr>
          <w:p w14:paraId="76A2301B">
            <w:pPr>
              <w:rPr>
                <w:rFonts w:asciiTheme="minorEastAsia" w:hAnsiTheme="minorEastAsia" w:cstheme="minorEastAsia"/>
                <w:sz w:val="21"/>
                <w:szCs w:val="21"/>
              </w:rPr>
            </w:pPr>
            <w:r>
              <w:rPr>
                <w:rFonts w:hint="eastAsia" w:asciiTheme="minorEastAsia" w:hAnsiTheme="minorEastAsia" w:cstheme="minorEastAsia"/>
                <w:sz w:val="21"/>
                <w:szCs w:val="21"/>
              </w:rPr>
              <w:t>滤芯过滤器</w:t>
            </w:r>
          </w:p>
        </w:tc>
        <w:tc>
          <w:tcPr>
            <w:tcW w:w="831" w:type="dxa"/>
            <w:gridSpan w:val="2"/>
            <w:shd w:val="clear" w:color="auto" w:fill="auto"/>
            <w:vAlign w:val="center"/>
          </w:tcPr>
          <w:p w14:paraId="325B41E4">
            <w:pPr>
              <w:rPr>
                <w:rFonts w:asciiTheme="minorEastAsia" w:hAnsiTheme="minorEastAsia" w:cstheme="minorEastAsia"/>
                <w:sz w:val="21"/>
                <w:szCs w:val="21"/>
              </w:rPr>
            </w:pPr>
            <w:r>
              <w:rPr>
                <w:rFonts w:hint="eastAsia" w:asciiTheme="minorEastAsia" w:hAnsiTheme="minorEastAsia" w:cstheme="minorEastAsia"/>
                <w:sz w:val="21"/>
                <w:szCs w:val="21"/>
              </w:rPr>
              <w:t>进口</w:t>
            </w:r>
          </w:p>
        </w:tc>
        <w:tc>
          <w:tcPr>
            <w:tcW w:w="4354" w:type="dxa"/>
            <w:shd w:val="clear" w:color="auto" w:fill="auto"/>
            <w:vAlign w:val="center"/>
          </w:tcPr>
          <w:p w14:paraId="332E7C62">
            <w:pPr>
              <w:rPr>
                <w:rFonts w:asciiTheme="minorEastAsia" w:hAnsiTheme="minorEastAsia" w:cstheme="minorEastAsia"/>
                <w:sz w:val="21"/>
                <w:szCs w:val="21"/>
              </w:rPr>
            </w:pPr>
            <w:r>
              <w:rPr>
                <w:rFonts w:hint="eastAsia" w:asciiTheme="minorEastAsia" w:hAnsiTheme="minorEastAsia" w:cstheme="minorEastAsia"/>
                <w:sz w:val="21"/>
                <w:szCs w:val="21"/>
              </w:rPr>
              <w:t>滨特尔Pentair/亚士图ASTRAL/亨沃Hayward</w:t>
            </w:r>
          </w:p>
        </w:tc>
      </w:tr>
      <w:tr w14:paraId="060EC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340" w:hRule="atLeast"/>
        </w:trPr>
        <w:tc>
          <w:tcPr>
            <w:tcW w:w="679" w:type="dxa"/>
            <w:shd w:val="clear" w:color="auto" w:fill="auto"/>
            <w:vAlign w:val="center"/>
          </w:tcPr>
          <w:p w14:paraId="70FB0019">
            <w:pPr>
              <w:rPr>
                <w:rFonts w:asciiTheme="minorEastAsia" w:hAnsiTheme="minorEastAsia" w:cstheme="minorEastAsia"/>
                <w:sz w:val="21"/>
                <w:szCs w:val="21"/>
              </w:rPr>
            </w:pPr>
          </w:p>
        </w:tc>
        <w:tc>
          <w:tcPr>
            <w:tcW w:w="3834" w:type="dxa"/>
            <w:gridSpan w:val="2"/>
            <w:shd w:val="clear" w:color="auto" w:fill="auto"/>
            <w:vAlign w:val="center"/>
          </w:tcPr>
          <w:p w14:paraId="74428DBD">
            <w:pPr>
              <w:rPr>
                <w:rFonts w:asciiTheme="minorEastAsia" w:hAnsiTheme="minorEastAsia" w:cstheme="minorEastAsia"/>
                <w:sz w:val="21"/>
                <w:szCs w:val="21"/>
              </w:rPr>
            </w:pPr>
            <w:r>
              <w:rPr>
                <w:rFonts w:hint="eastAsia" w:asciiTheme="minorEastAsia" w:hAnsiTheme="minorEastAsia" w:cstheme="minorEastAsia"/>
                <w:sz w:val="21"/>
                <w:szCs w:val="21"/>
              </w:rPr>
              <w:t>水质监测仪</w:t>
            </w:r>
          </w:p>
        </w:tc>
        <w:tc>
          <w:tcPr>
            <w:tcW w:w="831" w:type="dxa"/>
            <w:gridSpan w:val="2"/>
            <w:shd w:val="clear" w:color="auto" w:fill="auto"/>
            <w:vAlign w:val="center"/>
          </w:tcPr>
          <w:p w14:paraId="717028F1">
            <w:pPr>
              <w:rPr>
                <w:rFonts w:asciiTheme="minorEastAsia" w:hAnsiTheme="minorEastAsia" w:cstheme="minorEastAsia"/>
                <w:sz w:val="21"/>
                <w:szCs w:val="21"/>
              </w:rPr>
            </w:pPr>
            <w:r>
              <w:rPr>
                <w:rFonts w:hint="eastAsia" w:asciiTheme="minorEastAsia" w:hAnsiTheme="minorEastAsia" w:cstheme="minorEastAsia"/>
                <w:sz w:val="21"/>
                <w:szCs w:val="21"/>
              </w:rPr>
              <w:t>进口</w:t>
            </w:r>
          </w:p>
        </w:tc>
        <w:tc>
          <w:tcPr>
            <w:tcW w:w="4354" w:type="dxa"/>
            <w:shd w:val="clear" w:color="auto" w:fill="auto"/>
            <w:vAlign w:val="center"/>
          </w:tcPr>
          <w:p w14:paraId="71B31D85">
            <w:pPr>
              <w:rPr>
                <w:rFonts w:asciiTheme="minorEastAsia" w:hAnsiTheme="minorEastAsia" w:cstheme="minorEastAsia"/>
                <w:sz w:val="21"/>
                <w:szCs w:val="21"/>
              </w:rPr>
            </w:pPr>
            <w:r>
              <w:rPr>
                <w:rFonts w:hint="eastAsia" w:asciiTheme="minorEastAsia" w:hAnsiTheme="minorEastAsia" w:cstheme="minorEastAsia"/>
                <w:sz w:val="21"/>
                <w:szCs w:val="21"/>
              </w:rPr>
              <w:t>Wallace&amp;Tiernan/Ocedis/ Promiment</w:t>
            </w:r>
          </w:p>
        </w:tc>
      </w:tr>
      <w:tr w14:paraId="616B2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360" w:hRule="atLeast"/>
        </w:trPr>
        <w:tc>
          <w:tcPr>
            <w:tcW w:w="679" w:type="dxa"/>
            <w:shd w:val="clear" w:color="auto" w:fill="auto"/>
            <w:vAlign w:val="center"/>
          </w:tcPr>
          <w:p w14:paraId="421F5DCB">
            <w:pPr>
              <w:rPr>
                <w:rFonts w:asciiTheme="minorEastAsia" w:hAnsiTheme="minorEastAsia" w:cstheme="minorEastAsia"/>
                <w:sz w:val="21"/>
                <w:szCs w:val="21"/>
              </w:rPr>
            </w:pPr>
          </w:p>
        </w:tc>
        <w:tc>
          <w:tcPr>
            <w:tcW w:w="3834" w:type="dxa"/>
            <w:gridSpan w:val="2"/>
            <w:shd w:val="clear" w:color="auto" w:fill="auto"/>
            <w:vAlign w:val="center"/>
          </w:tcPr>
          <w:p w14:paraId="57C92F41">
            <w:pP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中压紫外线</w:t>
            </w:r>
          </w:p>
        </w:tc>
        <w:tc>
          <w:tcPr>
            <w:tcW w:w="831" w:type="dxa"/>
            <w:gridSpan w:val="2"/>
            <w:shd w:val="clear" w:color="auto" w:fill="auto"/>
            <w:vAlign w:val="center"/>
          </w:tcPr>
          <w:p w14:paraId="7484D343">
            <w:pPr>
              <w:rPr>
                <w:rFonts w:asciiTheme="minorEastAsia" w:hAnsiTheme="minorEastAsia" w:cstheme="minorEastAsia"/>
                <w:sz w:val="21"/>
                <w:szCs w:val="21"/>
              </w:rPr>
            </w:pPr>
            <w:r>
              <w:rPr>
                <w:rFonts w:hint="eastAsia" w:asciiTheme="minorEastAsia" w:hAnsiTheme="minorEastAsia" w:cstheme="minorEastAsia"/>
                <w:sz w:val="21"/>
                <w:szCs w:val="21"/>
              </w:rPr>
              <w:t>进口</w:t>
            </w:r>
          </w:p>
        </w:tc>
        <w:tc>
          <w:tcPr>
            <w:tcW w:w="4354" w:type="dxa"/>
            <w:shd w:val="clear" w:color="auto" w:fill="auto"/>
            <w:vAlign w:val="center"/>
          </w:tcPr>
          <w:p w14:paraId="0EE25E43">
            <w:pP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TRIOGEN/ATG/EMAX</w:t>
            </w:r>
          </w:p>
        </w:tc>
      </w:tr>
      <w:tr w14:paraId="0C6AB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340" w:hRule="atLeast"/>
        </w:trPr>
        <w:tc>
          <w:tcPr>
            <w:tcW w:w="679" w:type="dxa"/>
            <w:shd w:val="clear" w:color="auto" w:fill="auto"/>
            <w:vAlign w:val="center"/>
          </w:tcPr>
          <w:p w14:paraId="19D6DB65">
            <w:pPr>
              <w:rPr>
                <w:rFonts w:asciiTheme="minorEastAsia" w:hAnsiTheme="minorEastAsia" w:cstheme="minorEastAsia"/>
                <w:sz w:val="21"/>
                <w:szCs w:val="21"/>
              </w:rPr>
            </w:pPr>
          </w:p>
        </w:tc>
        <w:tc>
          <w:tcPr>
            <w:tcW w:w="3834" w:type="dxa"/>
            <w:gridSpan w:val="2"/>
            <w:shd w:val="clear" w:color="auto" w:fill="auto"/>
            <w:vAlign w:val="center"/>
          </w:tcPr>
          <w:p w14:paraId="05034AC4">
            <w:pPr>
              <w:rPr>
                <w:rFonts w:asciiTheme="minorEastAsia" w:hAnsiTheme="minorEastAsia" w:cstheme="minorEastAsia"/>
                <w:sz w:val="21"/>
                <w:szCs w:val="21"/>
              </w:rPr>
            </w:pPr>
            <w:r>
              <w:rPr>
                <w:rFonts w:hint="eastAsia" w:asciiTheme="minorEastAsia" w:hAnsiTheme="minorEastAsia" w:cstheme="minorEastAsia"/>
                <w:sz w:val="21"/>
                <w:szCs w:val="21"/>
              </w:rPr>
              <w:t>加药装置计量泵</w:t>
            </w:r>
          </w:p>
        </w:tc>
        <w:tc>
          <w:tcPr>
            <w:tcW w:w="831" w:type="dxa"/>
            <w:gridSpan w:val="2"/>
            <w:shd w:val="clear" w:color="auto" w:fill="auto"/>
            <w:vAlign w:val="center"/>
          </w:tcPr>
          <w:p w14:paraId="223BB84E">
            <w:pPr>
              <w:rPr>
                <w:rFonts w:asciiTheme="minorEastAsia" w:hAnsiTheme="minorEastAsia" w:cstheme="minorEastAsia"/>
                <w:sz w:val="21"/>
                <w:szCs w:val="21"/>
              </w:rPr>
            </w:pPr>
            <w:r>
              <w:rPr>
                <w:rFonts w:hint="eastAsia" w:asciiTheme="minorEastAsia" w:hAnsiTheme="minorEastAsia" w:cstheme="minorEastAsia"/>
                <w:sz w:val="21"/>
                <w:szCs w:val="21"/>
              </w:rPr>
              <w:t>国产</w:t>
            </w:r>
          </w:p>
        </w:tc>
        <w:tc>
          <w:tcPr>
            <w:tcW w:w="4354" w:type="dxa"/>
            <w:shd w:val="clear" w:color="auto" w:fill="auto"/>
            <w:vAlign w:val="center"/>
          </w:tcPr>
          <w:p w14:paraId="283D6400">
            <w:pPr>
              <w:rPr>
                <w:rFonts w:asciiTheme="minorEastAsia" w:hAnsiTheme="minorEastAsia" w:cstheme="minorEastAsia"/>
                <w:sz w:val="21"/>
                <w:szCs w:val="21"/>
              </w:rPr>
            </w:pPr>
            <w:r>
              <w:rPr>
                <w:rFonts w:hint="eastAsia" w:asciiTheme="minorEastAsia" w:hAnsiTheme="minorEastAsia" w:cstheme="minorEastAsia"/>
                <w:sz w:val="21"/>
                <w:szCs w:val="21"/>
              </w:rPr>
              <w:t>西科/爱克/威浪仕</w:t>
            </w:r>
          </w:p>
        </w:tc>
      </w:tr>
      <w:tr w14:paraId="43C5F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454" w:hRule="atLeast"/>
        </w:trPr>
        <w:tc>
          <w:tcPr>
            <w:tcW w:w="679" w:type="dxa"/>
            <w:shd w:val="clear" w:color="auto" w:fill="auto"/>
            <w:vAlign w:val="center"/>
          </w:tcPr>
          <w:p w14:paraId="75B727AA">
            <w:pPr>
              <w:rPr>
                <w:rFonts w:asciiTheme="minorEastAsia" w:hAnsiTheme="minorEastAsia" w:cstheme="minorEastAsia"/>
                <w:sz w:val="21"/>
                <w:szCs w:val="21"/>
              </w:rPr>
            </w:pPr>
          </w:p>
        </w:tc>
        <w:tc>
          <w:tcPr>
            <w:tcW w:w="3834" w:type="dxa"/>
            <w:gridSpan w:val="2"/>
            <w:shd w:val="clear" w:color="auto" w:fill="auto"/>
            <w:vAlign w:val="center"/>
          </w:tcPr>
          <w:p w14:paraId="449BCE80">
            <w:pPr>
              <w:rPr>
                <w:rFonts w:asciiTheme="minorEastAsia" w:hAnsiTheme="minorEastAsia" w:cstheme="minorEastAsia"/>
                <w:sz w:val="21"/>
                <w:szCs w:val="21"/>
              </w:rPr>
            </w:pPr>
            <w:r>
              <w:rPr>
                <w:rFonts w:hint="eastAsia" w:asciiTheme="minorEastAsia" w:hAnsiTheme="minorEastAsia" w:cstheme="minorEastAsia"/>
                <w:sz w:val="21"/>
                <w:szCs w:val="21"/>
              </w:rPr>
              <w:t>游泳池配件（给水口、防虹吸主回水器、吸污口、溢流口等）</w:t>
            </w:r>
          </w:p>
        </w:tc>
        <w:tc>
          <w:tcPr>
            <w:tcW w:w="831" w:type="dxa"/>
            <w:gridSpan w:val="2"/>
            <w:shd w:val="clear" w:color="auto" w:fill="auto"/>
            <w:vAlign w:val="center"/>
          </w:tcPr>
          <w:p w14:paraId="608E3A70">
            <w:pPr>
              <w:rPr>
                <w:rFonts w:asciiTheme="minorEastAsia" w:hAnsiTheme="minorEastAsia" w:cstheme="minorEastAsia"/>
                <w:sz w:val="21"/>
                <w:szCs w:val="21"/>
              </w:rPr>
            </w:pPr>
            <w:r>
              <w:rPr>
                <w:rFonts w:hint="eastAsia" w:asciiTheme="minorEastAsia" w:hAnsiTheme="minorEastAsia" w:cstheme="minorEastAsia"/>
                <w:sz w:val="21"/>
                <w:szCs w:val="21"/>
              </w:rPr>
              <w:t>进口</w:t>
            </w:r>
          </w:p>
        </w:tc>
        <w:tc>
          <w:tcPr>
            <w:tcW w:w="4354" w:type="dxa"/>
            <w:shd w:val="clear" w:color="auto" w:fill="auto"/>
            <w:vAlign w:val="center"/>
          </w:tcPr>
          <w:p w14:paraId="6434AD5E">
            <w:pPr>
              <w:rPr>
                <w:rFonts w:asciiTheme="minorEastAsia" w:hAnsiTheme="minorEastAsia" w:cstheme="minorEastAsia"/>
                <w:sz w:val="21"/>
                <w:szCs w:val="21"/>
              </w:rPr>
            </w:pPr>
            <w:r>
              <w:rPr>
                <w:rFonts w:hint="eastAsia" w:asciiTheme="minorEastAsia" w:hAnsiTheme="minorEastAsia" w:cstheme="minorEastAsia"/>
                <w:sz w:val="21"/>
                <w:szCs w:val="21"/>
              </w:rPr>
              <w:t>亨沃Hayward /亚士图ASTRAL/滨特尔Pentair</w:t>
            </w:r>
          </w:p>
        </w:tc>
      </w:tr>
      <w:tr w14:paraId="39E6A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0" w:type="dxa"/>
            <w:gridSpan w:val="2"/>
            <w:shd w:val="clear" w:color="auto" w:fill="auto"/>
            <w:noWrap w:val="0"/>
            <w:vAlign w:val="center"/>
          </w:tcPr>
          <w:p w14:paraId="7BA0CCE3">
            <w:pPr>
              <w:rPr>
                <w:sz w:val="21"/>
                <w:szCs w:val="21"/>
                <w:highlight w:val="none"/>
              </w:rPr>
            </w:pPr>
          </w:p>
        </w:tc>
        <w:tc>
          <w:tcPr>
            <w:tcW w:w="3834" w:type="dxa"/>
            <w:gridSpan w:val="2"/>
            <w:shd w:val="clear" w:color="auto" w:fill="auto"/>
            <w:noWrap w:val="0"/>
            <w:vAlign w:val="center"/>
          </w:tcPr>
          <w:p w14:paraId="7BF0C2A0">
            <w:pPr>
              <w:rPr>
                <w:rFonts w:hint="default"/>
                <w:sz w:val="21"/>
                <w:szCs w:val="21"/>
                <w:highlight w:val="none"/>
                <w:lang w:val="en-US" w:eastAsia="zh-CN"/>
              </w:rPr>
            </w:pPr>
            <w:r>
              <w:rPr>
                <w:rFonts w:hint="eastAsia"/>
                <w:sz w:val="21"/>
                <w:szCs w:val="21"/>
                <w:highlight w:val="none"/>
                <w:lang w:val="en-US" w:eastAsia="zh-CN"/>
              </w:rPr>
              <w:t>真空破坏器</w:t>
            </w:r>
          </w:p>
        </w:tc>
        <w:tc>
          <w:tcPr>
            <w:tcW w:w="830" w:type="dxa"/>
            <w:shd w:val="clear" w:color="auto" w:fill="auto"/>
            <w:noWrap w:val="0"/>
            <w:vAlign w:val="center"/>
          </w:tcPr>
          <w:p w14:paraId="1DA50182">
            <w:pPr>
              <w:rPr>
                <w:rFonts w:hint="eastAsia" w:eastAsiaTheme="minorEastAsia"/>
                <w:sz w:val="21"/>
                <w:szCs w:val="21"/>
                <w:highlight w:val="none"/>
                <w:lang w:val="en-US" w:eastAsia="zh-CN"/>
              </w:rPr>
            </w:pPr>
            <w:r>
              <w:rPr>
                <w:rFonts w:hint="eastAsia"/>
                <w:sz w:val="21"/>
                <w:szCs w:val="21"/>
                <w:highlight w:val="none"/>
                <w:lang w:val="en-US" w:eastAsia="zh-CN"/>
              </w:rPr>
              <w:t>进口</w:t>
            </w:r>
          </w:p>
        </w:tc>
        <w:tc>
          <w:tcPr>
            <w:tcW w:w="4355" w:type="dxa"/>
            <w:gridSpan w:val="2"/>
            <w:shd w:val="clear" w:color="auto" w:fill="auto"/>
            <w:noWrap w:val="0"/>
            <w:vAlign w:val="center"/>
          </w:tcPr>
          <w:p w14:paraId="6DC82DB2">
            <w:pPr>
              <w:rPr>
                <w:rFonts w:hint="default" w:eastAsiaTheme="minorEastAsia"/>
                <w:sz w:val="21"/>
                <w:szCs w:val="21"/>
                <w:highlight w:val="none"/>
                <w:lang w:val="en-US" w:eastAsia="zh-CN"/>
              </w:rPr>
            </w:pPr>
            <w:r>
              <w:rPr>
                <w:sz w:val="21"/>
                <w:szCs w:val="21"/>
                <w:highlight w:val="none"/>
              </w:rPr>
              <w:t>Hayward</w:t>
            </w:r>
            <w:r>
              <w:rPr>
                <w:rFonts w:hint="eastAsia"/>
                <w:sz w:val="21"/>
                <w:szCs w:val="21"/>
                <w:highlight w:val="none"/>
                <w:lang w:eastAsia="zh-CN"/>
              </w:rPr>
              <w:t>（</w:t>
            </w:r>
            <w:r>
              <w:rPr>
                <w:rFonts w:hint="eastAsia"/>
                <w:sz w:val="21"/>
                <w:szCs w:val="21"/>
                <w:highlight w:val="none"/>
                <w:lang w:val="en-US" w:eastAsia="zh-CN"/>
              </w:rPr>
              <w:t>美国</w:t>
            </w:r>
            <w:r>
              <w:rPr>
                <w:rFonts w:hint="eastAsia"/>
                <w:sz w:val="21"/>
                <w:szCs w:val="21"/>
                <w:highlight w:val="none"/>
                <w:lang w:eastAsia="zh-CN"/>
              </w:rPr>
              <w:t>）</w:t>
            </w:r>
            <w:r>
              <w:rPr>
                <w:sz w:val="21"/>
                <w:szCs w:val="21"/>
                <w:highlight w:val="none"/>
              </w:rPr>
              <w:t>/</w:t>
            </w:r>
            <w:r>
              <w:rPr>
                <w:rFonts w:hint="eastAsia"/>
                <w:sz w:val="21"/>
                <w:szCs w:val="21"/>
                <w:highlight w:val="none"/>
              </w:rPr>
              <w:t>Vac-Alert</w:t>
            </w:r>
            <w:r>
              <w:rPr>
                <w:rFonts w:hint="eastAsia"/>
                <w:sz w:val="21"/>
                <w:szCs w:val="21"/>
                <w:highlight w:val="none"/>
                <w:lang w:eastAsia="zh-CN"/>
              </w:rPr>
              <w:t>（</w:t>
            </w:r>
            <w:r>
              <w:rPr>
                <w:rFonts w:hint="eastAsia"/>
                <w:sz w:val="21"/>
                <w:szCs w:val="21"/>
                <w:highlight w:val="none"/>
                <w:lang w:val="en-US" w:eastAsia="zh-CN"/>
              </w:rPr>
              <w:t>美国</w:t>
            </w:r>
            <w:r>
              <w:rPr>
                <w:rFonts w:hint="eastAsia"/>
                <w:sz w:val="21"/>
                <w:szCs w:val="21"/>
                <w:highlight w:val="none"/>
                <w:lang w:eastAsia="zh-CN"/>
              </w:rPr>
              <w:t>）</w:t>
            </w:r>
            <w:r>
              <w:rPr>
                <w:rFonts w:hint="eastAsia"/>
                <w:sz w:val="21"/>
                <w:szCs w:val="21"/>
                <w:highlight w:val="none"/>
                <w:lang w:val="en-US" w:eastAsia="zh-CN"/>
              </w:rPr>
              <w:t>/AmerTec（美国）/vacless（美国）</w:t>
            </w:r>
          </w:p>
        </w:tc>
      </w:tr>
      <w:tr w14:paraId="62A38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399" w:hRule="atLeast"/>
        </w:trPr>
        <w:tc>
          <w:tcPr>
            <w:tcW w:w="9698" w:type="dxa"/>
            <w:gridSpan w:val="6"/>
            <w:shd w:val="clear" w:color="auto" w:fill="F1F1F1" w:themeFill="background1" w:themeFillShade="F2"/>
            <w:vAlign w:val="center"/>
          </w:tcPr>
          <w:p w14:paraId="1A682CAA">
            <w:pPr>
              <w:rPr>
                <w:rFonts w:asciiTheme="minorEastAsia" w:hAnsiTheme="minorEastAsia" w:cstheme="minorEastAsia"/>
                <w:sz w:val="21"/>
                <w:szCs w:val="21"/>
              </w:rPr>
            </w:pPr>
            <w:r>
              <w:rPr>
                <w:rFonts w:hint="eastAsia" w:asciiTheme="minorEastAsia" w:hAnsiTheme="minorEastAsia" w:cstheme="minorEastAsia"/>
                <w:sz w:val="21"/>
                <w:szCs w:val="21"/>
              </w:rPr>
              <w:t>泳池系统水管路及配件</w:t>
            </w:r>
          </w:p>
        </w:tc>
      </w:tr>
      <w:tr w14:paraId="3FBB0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524" w:hRule="atLeast"/>
        </w:trPr>
        <w:tc>
          <w:tcPr>
            <w:tcW w:w="679" w:type="dxa"/>
            <w:shd w:val="clear" w:color="auto" w:fill="auto"/>
            <w:vAlign w:val="center"/>
          </w:tcPr>
          <w:p w14:paraId="32A94220">
            <w:pPr>
              <w:rPr>
                <w:rFonts w:asciiTheme="minorEastAsia" w:hAnsiTheme="minorEastAsia" w:cstheme="minorEastAsia"/>
                <w:sz w:val="21"/>
                <w:szCs w:val="21"/>
              </w:rPr>
            </w:pPr>
          </w:p>
        </w:tc>
        <w:tc>
          <w:tcPr>
            <w:tcW w:w="3834" w:type="dxa"/>
            <w:gridSpan w:val="2"/>
            <w:shd w:val="clear" w:color="auto" w:fill="auto"/>
            <w:vAlign w:val="center"/>
          </w:tcPr>
          <w:p w14:paraId="69DABB7C">
            <w:pPr>
              <w:rPr>
                <w:rFonts w:asciiTheme="minorEastAsia" w:hAnsiTheme="minorEastAsia" w:cstheme="minorEastAsia"/>
                <w:sz w:val="21"/>
                <w:szCs w:val="21"/>
              </w:rPr>
            </w:pPr>
            <w:r>
              <w:rPr>
                <w:rFonts w:hint="eastAsia" w:asciiTheme="minorEastAsia" w:hAnsiTheme="minorEastAsia" w:cstheme="minorEastAsia"/>
                <w:sz w:val="21"/>
                <w:szCs w:val="21"/>
              </w:rPr>
              <w:t>UPVC给水管及管配件</w:t>
            </w:r>
          </w:p>
        </w:tc>
        <w:tc>
          <w:tcPr>
            <w:tcW w:w="831" w:type="dxa"/>
            <w:gridSpan w:val="2"/>
            <w:shd w:val="clear" w:color="auto" w:fill="auto"/>
            <w:vAlign w:val="center"/>
          </w:tcPr>
          <w:p w14:paraId="7EFA02A0">
            <w:pPr>
              <w:rPr>
                <w:rFonts w:asciiTheme="minorEastAsia" w:hAnsiTheme="minorEastAsia" w:cstheme="minorEastAsia"/>
                <w:sz w:val="21"/>
                <w:szCs w:val="21"/>
              </w:rPr>
            </w:pPr>
            <w:r>
              <w:rPr>
                <w:rFonts w:hint="eastAsia" w:asciiTheme="minorEastAsia" w:hAnsiTheme="minorEastAsia" w:cstheme="minorEastAsia"/>
                <w:sz w:val="21"/>
                <w:szCs w:val="21"/>
              </w:rPr>
              <w:t>国产</w:t>
            </w:r>
          </w:p>
        </w:tc>
        <w:tc>
          <w:tcPr>
            <w:tcW w:w="4354" w:type="dxa"/>
            <w:shd w:val="clear" w:color="auto" w:fill="auto"/>
            <w:vAlign w:val="center"/>
          </w:tcPr>
          <w:p w14:paraId="6D943B41">
            <w:pPr>
              <w:rPr>
                <w:rFonts w:asciiTheme="minorEastAsia" w:hAnsiTheme="minorEastAsia" w:cstheme="minorEastAsia"/>
                <w:sz w:val="21"/>
                <w:szCs w:val="21"/>
              </w:rPr>
            </w:pPr>
            <w:r>
              <w:rPr>
                <w:rFonts w:hint="eastAsia" w:asciiTheme="minorEastAsia" w:hAnsiTheme="minorEastAsia" w:cstheme="minorEastAsia"/>
                <w:sz w:val="21"/>
                <w:szCs w:val="21"/>
              </w:rPr>
              <w:t>中财/华亚/联塑</w:t>
            </w:r>
          </w:p>
        </w:tc>
      </w:tr>
      <w:tr w14:paraId="6FD75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360" w:hRule="atLeast"/>
        </w:trPr>
        <w:tc>
          <w:tcPr>
            <w:tcW w:w="9698" w:type="dxa"/>
            <w:gridSpan w:val="6"/>
            <w:shd w:val="clear" w:color="auto" w:fill="auto"/>
            <w:vAlign w:val="center"/>
          </w:tcPr>
          <w:p w14:paraId="1EB67599">
            <w:pPr>
              <w:rPr>
                <w:rFonts w:asciiTheme="minorEastAsia" w:hAnsiTheme="minorEastAsia" w:cstheme="minorEastAsia"/>
                <w:sz w:val="21"/>
                <w:szCs w:val="21"/>
              </w:rPr>
            </w:pPr>
            <w:r>
              <w:rPr>
                <w:rFonts w:hint="eastAsia" w:asciiTheme="minorEastAsia" w:hAnsiTheme="minorEastAsia" w:cstheme="minorEastAsia"/>
                <w:sz w:val="21"/>
                <w:szCs w:val="21"/>
              </w:rPr>
              <w:t>泳池系统水管阀门及仪表</w:t>
            </w:r>
          </w:p>
        </w:tc>
      </w:tr>
      <w:tr w14:paraId="224A7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454" w:hRule="atLeast"/>
        </w:trPr>
        <w:tc>
          <w:tcPr>
            <w:tcW w:w="679" w:type="dxa"/>
            <w:shd w:val="clear" w:color="auto" w:fill="auto"/>
            <w:vAlign w:val="center"/>
          </w:tcPr>
          <w:p w14:paraId="512DD2B9">
            <w:pPr>
              <w:rPr>
                <w:rFonts w:asciiTheme="minorEastAsia" w:hAnsiTheme="minorEastAsia" w:cstheme="minorEastAsia"/>
                <w:sz w:val="21"/>
                <w:szCs w:val="21"/>
              </w:rPr>
            </w:pPr>
          </w:p>
        </w:tc>
        <w:tc>
          <w:tcPr>
            <w:tcW w:w="3834" w:type="dxa"/>
            <w:gridSpan w:val="2"/>
            <w:shd w:val="clear" w:color="auto" w:fill="auto"/>
            <w:vAlign w:val="center"/>
          </w:tcPr>
          <w:p w14:paraId="43647E0B">
            <w:pPr>
              <w:rPr>
                <w:rFonts w:asciiTheme="minorEastAsia" w:hAnsiTheme="minorEastAsia" w:cstheme="minorEastAsia"/>
                <w:sz w:val="21"/>
                <w:szCs w:val="21"/>
              </w:rPr>
            </w:pPr>
            <w:r>
              <w:rPr>
                <w:rFonts w:hint="eastAsia" w:asciiTheme="minorEastAsia" w:hAnsiTheme="minorEastAsia" w:cstheme="minorEastAsia"/>
                <w:sz w:val="21"/>
                <w:szCs w:val="21"/>
              </w:rPr>
              <w:t>UPVC阀门</w:t>
            </w:r>
          </w:p>
        </w:tc>
        <w:tc>
          <w:tcPr>
            <w:tcW w:w="831" w:type="dxa"/>
            <w:gridSpan w:val="2"/>
            <w:shd w:val="clear" w:color="auto" w:fill="auto"/>
            <w:vAlign w:val="center"/>
          </w:tcPr>
          <w:p w14:paraId="77754500">
            <w:pPr>
              <w:rPr>
                <w:rFonts w:asciiTheme="minorEastAsia" w:hAnsiTheme="minorEastAsia" w:cstheme="minorEastAsia"/>
                <w:sz w:val="21"/>
                <w:szCs w:val="21"/>
              </w:rPr>
            </w:pPr>
            <w:r>
              <w:rPr>
                <w:rFonts w:hint="eastAsia" w:asciiTheme="minorEastAsia" w:hAnsiTheme="minorEastAsia" w:cstheme="minorEastAsia"/>
                <w:sz w:val="21"/>
                <w:szCs w:val="21"/>
              </w:rPr>
              <w:t>国产</w:t>
            </w:r>
          </w:p>
        </w:tc>
        <w:tc>
          <w:tcPr>
            <w:tcW w:w="4354" w:type="dxa"/>
            <w:shd w:val="clear" w:color="auto" w:fill="auto"/>
            <w:vAlign w:val="center"/>
          </w:tcPr>
          <w:p w14:paraId="534AC187">
            <w:pPr>
              <w:rPr>
                <w:rFonts w:asciiTheme="minorEastAsia" w:hAnsiTheme="minorEastAsia" w:cstheme="minorEastAsia"/>
                <w:sz w:val="21"/>
                <w:szCs w:val="21"/>
              </w:rPr>
            </w:pPr>
            <w:r>
              <w:rPr>
                <w:rFonts w:hint="eastAsia" w:asciiTheme="minorEastAsia" w:hAnsiTheme="minorEastAsia" w:cstheme="minorEastAsia"/>
                <w:sz w:val="21"/>
                <w:szCs w:val="21"/>
              </w:rPr>
              <w:t>中财/华亚/联塑</w:t>
            </w:r>
          </w:p>
        </w:tc>
      </w:tr>
      <w:tr w14:paraId="434E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360" w:hRule="atLeast"/>
        </w:trPr>
        <w:tc>
          <w:tcPr>
            <w:tcW w:w="9698" w:type="dxa"/>
            <w:gridSpan w:val="6"/>
            <w:shd w:val="clear" w:color="auto" w:fill="F1F1F1" w:themeFill="background1" w:themeFillShade="F2"/>
            <w:vAlign w:val="center"/>
          </w:tcPr>
          <w:p w14:paraId="219842B6">
            <w:pPr>
              <w:rPr>
                <w:rFonts w:asciiTheme="minorEastAsia" w:hAnsiTheme="minorEastAsia" w:cstheme="minorEastAsia"/>
                <w:sz w:val="21"/>
                <w:szCs w:val="21"/>
              </w:rPr>
            </w:pPr>
            <w:r>
              <w:rPr>
                <w:rFonts w:hint="eastAsia" w:asciiTheme="minorEastAsia" w:hAnsiTheme="minorEastAsia" w:cstheme="minorEastAsia"/>
                <w:sz w:val="21"/>
                <w:szCs w:val="21"/>
              </w:rPr>
              <w:t>除湿系统</w:t>
            </w:r>
          </w:p>
        </w:tc>
      </w:tr>
      <w:tr w14:paraId="653A9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454" w:hRule="atLeast"/>
        </w:trPr>
        <w:tc>
          <w:tcPr>
            <w:tcW w:w="679" w:type="dxa"/>
            <w:shd w:val="clear" w:color="auto" w:fill="auto"/>
            <w:vAlign w:val="center"/>
          </w:tcPr>
          <w:p w14:paraId="196CACA0">
            <w:pPr>
              <w:rPr>
                <w:rFonts w:asciiTheme="minorEastAsia" w:hAnsiTheme="minorEastAsia" w:cstheme="minorEastAsia"/>
                <w:sz w:val="21"/>
                <w:szCs w:val="21"/>
              </w:rPr>
            </w:pPr>
          </w:p>
        </w:tc>
        <w:tc>
          <w:tcPr>
            <w:tcW w:w="3834" w:type="dxa"/>
            <w:gridSpan w:val="2"/>
            <w:shd w:val="clear" w:color="auto" w:fill="auto"/>
            <w:vAlign w:val="center"/>
          </w:tcPr>
          <w:p w14:paraId="375A1F39">
            <w:pPr>
              <w:rPr>
                <w:rFonts w:hint="eastAsia" w:asciiTheme="minorEastAsia" w:hAnsiTheme="minorEastAsia" w:eastAsiaTheme="minorEastAsia" w:cstheme="minorEastAsia"/>
                <w:sz w:val="21"/>
                <w:szCs w:val="21"/>
                <w:lang w:eastAsia="zh-CN"/>
              </w:rPr>
            </w:pPr>
            <w:r>
              <w:rPr>
                <w:rFonts w:hint="eastAsia" w:asciiTheme="minorEastAsia" w:hAnsiTheme="minorEastAsia" w:cstheme="minorEastAsia"/>
                <w:sz w:val="21"/>
                <w:szCs w:val="21"/>
              </w:rPr>
              <w:t>泳池恒温除湿热泵机组</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lang w:val="en-US" w:eastAsia="zh-CN"/>
              </w:rPr>
              <w:t>水冷机组</w:t>
            </w:r>
            <w:r>
              <w:rPr>
                <w:rFonts w:hint="eastAsia" w:asciiTheme="minorEastAsia" w:hAnsiTheme="minorEastAsia" w:cstheme="minorEastAsia"/>
                <w:sz w:val="21"/>
                <w:szCs w:val="21"/>
                <w:lang w:eastAsia="zh-CN"/>
              </w:rPr>
              <w:t>）</w:t>
            </w:r>
          </w:p>
        </w:tc>
        <w:tc>
          <w:tcPr>
            <w:tcW w:w="831" w:type="dxa"/>
            <w:gridSpan w:val="2"/>
            <w:shd w:val="clear" w:color="auto" w:fill="auto"/>
            <w:vAlign w:val="center"/>
          </w:tcPr>
          <w:p w14:paraId="5DCE9038">
            <w:pPr>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中国工厂</w:t>
            </w:r>
          </w:p>
        </w:tc>
        <w:tc>
          <w:tcPr>
            <w:tcW w:w="4354" w:type="dxa"/>
            <w:shd w:val="clear" w:color="auto" w:fill="auto"/>
            <w:vAlign w:val="center"/>
          </w:tcPr>
          <w:p w14:paraId="4989D12B">
            <w:pPr>
              <w:spacing w:beforeLines="0" w:afterLines="0"/>
              <w:jc w:val="left"/>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cstheme="minorEastAsia"/>
                <w:sz w:val="21"/>
                <w:szCs w:val="21"/>
              </w:rPr>
              <w:t>易达 Ve-Tech</w:t>
            </w:r>
            <w:r>
              <w:rPr>
                <w:rFonts w:hint="eastAsia" w:asciiTheme="minorEastAsia" w:hAnsiTheme="minorEastAsia" w:cstheme="minorEastAsia"/>
                <w:sz w:val="21"/>
                <w:szCs w:val="21"/>
                <w:lang w:val="en-US" w:eastAsia="zh-CN"/>
              </w:rPr>
              <w:t>/</w:t>
            </w:r>
            <w:r>
              <w:rPr>
                <w:rFonts w:hint="eastAsia" w:asciiTheme="minorEastAsia" w:hAnsiTheme="minorEastAsia" w:cstheme="minorEastAsia"/>
                <w:sz w:val="21"/>
                <w:szCs w:val="21"/>
              </w:rPr>
              <w:t xml:space="preserve">亨沃Hayward/英国加路力士Calorex </w:t>
            </w:r>
          </w:p>
        </w:tc>
      </w:tr>
      <w:tr w14:paraId="5C972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454" w:hRule="atLeast"/>
        </w:trPr>
        <w:tc>
          <w:tcPr>
            <w:tcW w:w="679" w:type="dxa"/>
            <w:shd w:val="clear" w:color="auto" w:fill="auto"/>
            <w:vAlign w:val="center"/>
          </w:tcPr>
          <w:p w14:paraId="37465AFF">
            <w:pPr>
              <w:rPr>
                <w:rFonts w:asciiTheme="minorEastAsia" w:hAnsiTheme="minorEastAsia" w:cstheme="minorEastAsia"/>
                <w:sz w:val="21"/>
                <w:szCs w:val="21"/>
              </w:rPr>
            </w:pPr>
          </w:p>
        </w:tc>
        <w:tc>
          <w:tcPr>
            <w:tcW w:w="3834" w:type="dxa"/>
            <w:gridSpan w:val="2"/>
            <w:shd w:val="clear" w:color="auto" w:fill="auto"/>
            <w:vAlign w:val="center"/>
          </w:tcPr>
          <w:p w14:paraId="07E1B81C">
            <w:pPr>
              <w:rPr>
                <w:rFonts w:asciiTheme="minorEastAsia" w:hAnsiTheme="minorEastAsia" w:cstheme="minorEastAsia"/>
                <w:sz w:val="21"/>
                <w:szCs w:val="21"/>
              </w:rPr>
            </w:pPr>
            <w:r>
              <w:rPr>
                <w:rFonts w:hint="eastAsia" w:asciiTheme="minorEastAsia" w:hAnsiTheme="minorEastAsia" w:cstheme="minorEastAsia"/>
                <w:sz w:val="21"/>
                <w:szCs w:val="21"/>
              </w:rPr>
              <w:t>除湿热回收泵</w:t>
            </w:r>
          </w:p>
        </w:tc>
        <w:tc>
          <w:tcPr>
            <w:tcW w:w="831" w:type="dxa"/>
            <w:gridSpan w:val="2"/>
            <w:shd w:val="clear" w:color="auto" w:fill="auto"/>
            <w:vAlign w:val="center"/>
          </w:tcPr>
          <w:p w14:paraId="6AC82A53">
            <w:pPr>
              <w:rPr>
                <w:rFonts w:asciiTheme="minorEastAsia" w:hAnsiTheme="minorEastAsia" w:cstheme="minorEastAsia"/>
                <w:sz w:val="21"/>
                <w:szCs w:val="21"/>
              </w:rPr>
            </w:pPr>
            <w:r>
              <w:rPr>
                <w:rFonts w:hint="eastAsia" w:asciiTheme="minorEastAsia" w:hAnsiTheme="minorEastAsia" w:cstheme="minorEastAsia"/>
                <w:sz w:val="21"/>
                <w:szCs w:val="21"/>
              </w:rPr>
              <w:t>进口</w:t>
            </w:r>
          </w:p>
        </w:tc>
        <w:tc>
          <w:tcPr>
            <w:tcW w:w="4354" w:type="dxa"/>
            <w:shd w:val="clear" w:color="auto" w:fill="auto"/>
            <w:vAlign w:val="center"/>
          </w:tcPr>
          <w:p w14:paraId="6CE4D986">
            <w:pPr>
              <w:rPr>
                <w:rFonts w:asciiTheme="minorEastAsia" w:hAnsiTheme="minorEastAsia" w:cstheme="minorEastAsia"/>
                <w:sz w:val="21"/>
                <w:szCs w:val="21"/>
              </w:rPr>
            </w:pPr>
            <w:r>
              <w:rPr>
                <w:rFonts w:hint="eastAsia" w:asciiTheme="minorEastAsia" w:hAnsiTheme="minorEastAsia" w:cstheme="minorEastAsia"/>
                <w:sz w:val="21"/>
                <w:szCs w:val="21"/>
              </w:rPr>
              <w:t>亨沃Hayward/滨特尔Pentair/亚士图ASTRAL</w:t>
            </w:r>
          </w:p>
        </w:tc>
      </w:tr>
      <w:tr w14:paraId="1B7A9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360" w:hRule="atLeast"/>
        </w:trPr>
        <w:tc>
          <w:tcPr>
            <w:tcW w:w="9698" w:type="dxa"/>
            <w:gridSpan w:val="6"/>
            <w:shd w:val="clear" w:color="auto" w:fill="F1F1F1" w:themeFill="background1" w:themeFillShade="F2"/>
            <w:vAlign w:val="center"/>
          </w:tcPr>
          <w:p w14:paraId="4D6E7D67">
            <w:pPr>
              <w:rPr>
                <w:rFonts w:asciiTheme="minorEastAsia" w:hAnsiTheme="minorEastAsia" w:cstheme="minorEastAsia"/>
                <w:sz w:val="21"/>
                <w:szCs w:val="21"/>
              </w:rPr>
            </w:pPr>
            <w:r>
              <w:rPr>
                <w:rFonts w:hint="eastAsia" w:asciiTheme="minorEastAsia" w:hAnsiTheme="minorEastAsia" w:cstheme="minorEastAsia"/>
                <w:sz w:val="21"/>
                <w:szCs w:val="21"/>
              </w:rPr>
              <w:t>电气设备</w:t>
            </w:r>
          </w:p>
        </w:tc>
      </w:tr>
      <w:tr w14:paraId="7632F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454" w:hRule="atLeast"/>
        </w:trPr>
        <w:tc>
          <w:tcPr>
            <w:tcW w:w="679" w:type="dxa"/>
            <w:shd w:val="clear" w:color="auto" w:fill="auto"/>
            <w:vAlign w:val="center"/>
          </w:tcPr>
          <w:p w14:paraId="293D4178">
            <w:pPr>
              <w:rPr>
                <w:rFonts w:asciiTheme="minorEastAsia" w:hAnsiTheme="minorEastAsia" w:cstheme="minorEastAsia"/>
                <w:sz w:val="21"/>
                <w:szCs w:val="21"/>
              </w:rPr>
            </w:pPr>
          </w:p>
        </w:tc>
        <w:tc>
          <w:tcPr>
            <w:tcW w:w="3834" w:type="dxa"/>
            <w:gridSpan w:val="2"/>
            <w:shd w:val="clear" w:color="auto" w:fill="auto"/>
            <w:vAlign w:val="center"/>
          </w:tcPr>
          <w:p w14:paraId="4A59D6AE">
            <w:pPr>
              <w:rPr>
                <w:rFonts w:asciiTheme="minorEastAsia" w:hAnsiTheme="minorEastAsia" w:cstheme="minorEastAsia"/>
                <w:sz w:val="21"/>
                <w:szCs w:val="21"/>
              </w:rPr>
            </w:pPr>
            <w:r>
              <w:rPr>
                <w:rFonts w:hint="eastAsia" w:asciiTheme="minorEastAsia" w:hAnsiTheme="minorEastAsia" w:cstheme="minorEastAsia"/>
                <w:sz w:val="21"/>
                <w:szCs w:val="21"/>
              </w:rPr>
              <w:t>非标配电箱、非标控制箱其中的电气元件</w:t>
            </w:r>
          </w:p>
        </w:tc>
        <w:tc>
          <w:tcPr>
            <w:tcW w:w="831" w:type="dxa"/>
            <w:gridSpan w:val="2"/>
            <w:shd w:val="clear" w:color="auto" w:fill="auto"/>
            <w:vAlign w:val="center"/>
          </w:tcPr>
          <w:p w14:paraId="7BEDB61F">
            <w:pPr>
              <w:rPr>
                <w:rFonts w:asciiTheme="minorEastAsia" w:hAnsiTheme="minorEastAsia" w:cstheme="minorEastAsia"/>
                <w:sz w:val="21"/>
                <w:szCs w:val="21"/>
              </w:rPr>
            </w:pPr>
            <w:r>
              <w:rPr>
                <w:rFonts w:hint="eastAsia" w:asciiTheme="minorEastAsia" w:hAnsiTheme="minorEastAsia" w:cstheme="minorEastAsia"/>
                <w:sz w:val="21"/>
                <w:szCs w:val="21"/>
              </w:rPr>
              <w:t>合资</w:t>
            </w:r>
          </w:p>
        </w:tc>
        <w:tc>
          <w:tcPr>
            <w:tcW w:w="4354" w:type="dxa"/>
            <w:shd w:val="clear" w:color="auto" w:fill="auto"/>
            <w:vAlign w:val="center"/>
          </w:tcPr>
          <w:p w14:paraId="3BF39406">
            <w:pPr>
              <w:rPr>
                <w:rFonts w:asciiTheme="minorEastAsia" w:hAnsiTheme="minorEastAsia" w:cstheme="minorEastAsia"/>
                <w:b/>
                <w:bCs/>
                <w:sz w:val="21"/>
                <w:szCs w:val="21"/>
              </w:rPr>
            </w:pPr>
            <w:r>
              <w:rPr>
                <w:rFonts w:hint="eastAsia" w:asciiTheme="minorEastAsia" w:hAnsiTheme="minorEastAsia" w:cstheme="minorEastAsia"/>
                <w:sz w:val="21"/>
                <w:szCs w:val="21"/>
              </w:rPr>
              <w:t>ABB/施耐德Schneider/西门子Siemens</w:t>
            </w:r>
          </w:p>
        </w:tc>
      </w:tr>
      <w:tr w14:paraId="5A00D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680" w:hRule="atLeast"/>
        </w:trPr>
        <w:tc>
          <w:tcPr>
            <w:tcW w:w="679" w:type="dxa"/>
            <w:shd w:val="clear" w:color="auto" w:fill="auto"/>
            <w:vAlign w:val="center"/>
          </w:tcPr>
          <w:p w14:paraId="23E84CC0">
            <w:pPr>
              <w:rPr>
                <w:rFonts w:asciiTheme="minorEastAsia" w:hAnsiTheme="minorEastAsia" w:cstheme="minorEastAsia"/>
                <w:sz w:val="21"/>
                <w:szCs w:val="21"/>
              </w:rPr>
            </w:pPr>
          </w:p>
        </w:tc>
        <w:tc>
          <w:tcPr>
            <w:tcW w:w="3834" w:type="dxa"/>
            <w:gridSpan w:val="2"/>
            <w:shd w:val="clear" w:color="auto" w:fill="auto"/>
            <w:vAlign w:val="center"/>
          </w:tcPr>
          <w:p w14:paraId="5905BBF9">
            <w:pPr>
              <w:rPr>
                <w:rFonts w:asciiTheme="minorEastAsia" w:hAnsiTheme="minorEastAsia" w:cstheme="minorEastAsia"/>
                <w:sz w:val="21"/>
                <w:szCs w:val="21"/>
              </w:rPr>
            </w:pPr>
            <w:r>
              <w:rPr>
                <w:rFonts w:hint="eastAsia" w:asciiTheme="minorEastAsia" w:hAnsiTheme="minorEastAsia" w:cstheme="minorEastAsia"/>
                <w:sz w:val="21"/>
                <w:szCs w:val="21"/>
              </w:rPr>
              <w:t>微型断路器、接触器、热过载继电器、中间继电器、软启动器、可编程控制器PLC、电涌保护器SPD、控制继电器</w:t>
            </w:r>
          </w:p>
        </w:tc>
        <w:tc>
          <w:tcPr>
            <w:tcW w:w="831" w:type="dxa"/>
            <w:gridSpan w:val="2"/>
            <w:shd w:val="clear" w:color="auto" w:fill="auto"/>
            <w:vAlign w:val="center"/>
          </w:tcPr>
          <w:p w14:paraId="4D95ACDF">
            <w:pPr>
              <w:rPr>
                <w:rFonts w:asciiTheme="minorEastAsia" w:hAnsiTheme="minorEastAsia" w:cstheme="minorEastAsia"/>
                <w:sz w:val="21"/>
                <w:szCs w:val="21"/>
              </w:rPr>
            </w:pPr>
            <w:r>
              <w:rPr>
                <w:rFonts w:hint="eastAsia" w:asciiTheme="minorEastAsia" w:hAnsiTheme="minorEastAsia" w:cstheme="minorEastAsia"/>
                <w:sz w:val="21"/>
                <w:szCs w:val="21"/>
              </w:rPr>
              <w:t>合资</w:t>
            </w:r>
          </w:p>
        </w:tc>
        <w:tc>
          <w:tcPr>
            <w:tcW w:w="4354" w:type="dxa"/>
            <w:shd w:val="clear" w:color="auto" w:fill="auto"/>
            <w:vAlign w:val="center"/>
          </w:tcPr>
          <w:p w14:paraId="231B094E">
            <w:pPr>
              <w:rPr>
                <w:rFonts w:asciiTheme="minorEastAsia" w:hAnsiTheme="minorEastAsia" w:cstheme="minorEastAsia"/>
                <w:sz w:val="21"/>
                <w:szCs w:val="21"/>
              </w:rPr>
            </w:pPr>
            <w:r>
              <w:rPr>
                <w:rFonts w:hint="eastAsia" w:asciiTheme="minorEastAsia" w:hAnsiTheme="minorEastAsia" w:cstheme="minorEastAsia"/>
                <w:sz w:val="21"/>
                <w:szCs w:val="21"/>
              </w:rPr>
              <w:t xml:space="preserve">ABB/施耐德Schneider/西门子Siemens </w:t>
            </w:r>
          </w:p>
        </w:tc>
      </w:tr>
      <w:tr w14:paraId="0322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cantSplit/>
          <w:trHeight w:val="360" w:hRule="atLeast"/>
        </w:trPr>
        <w:tc>
          <w:tcPr>
            <w:tcW w:w="679" w:type="dxa"/>
            <w:shd w:val="clear" w:color="auto" w:fill="auto"/>
            <w:vAlign w:val="center"/>
          </w:tcPr>
          <w:p w14:paraId="5597808C">
            <w:pPr>
              <w:rPr>
                <w:rFonts w:asciiTheme="minorEastAsia" w:hAnsiTheme="minorEastAsia" w:cstheme="minorEastAsia"/>
                <w:sz w:val="21"/>
                <w:szCs w:val="21"/>
              </w:rPr>
            </w:pPr>
          </w:p>
        </w:tc>
        <w:tc>
          <w:tcPr>
            <w:tcW w:w="3834" w:type="dxa"/>
            <w:gridSpan w:val="2"/>
            <w:shd w:val="clear" w:color="auto" w:fill="auto"/>
            <w:vAlign w:val="center"/>
          </w:tcPr>
          <w:p w14:paraId="7BA0FE54">
            <w:pPr>
              <w:rPr>
                <w:rFonts w:asciiTheme="minorEastAsia" w:hAnsiTheme="minorEastAsia" w:cstheme="minorEastAsia"/>
                <w:sz w:val="21"/>
                <w:szCs w:val="21"/>
              </w:rPr>
            </w:pPr>
            <w:r>
              <w:rPr>
                <w:rFonts w:hint="eastAsia" w:asciiTheme="minorEastAsia" w:hAnsiTheme="minorEastAsia" w:cstheme="minorEastAsia"/>
                <w:sz w:val="21"/>
                <w:szCs w:val="21"/>
              </w:rPr>
              <w:t>指示灯、按钮、万转开关、互感器</w:t>
            </w:r>
          </w:p>
        </w:tc>
        <w:tc>
          <w:tcPr>
            <w:tcW w:w="831" w:type="dxa"/>
            <w:gridSpan w:val="2"/>
            <w:shd w:val="clear" w:color="auto" w:fill="auto"/>
            <w:vAlign w:val="center"/>
          </w:tcPr>
          <w:p w14:paraId="5636C3A4">
            <w:pPr>
              <w:rPr>
                <w:rFonts w:asciiTheme="minorEastAsia" w:hAnsiTheme="minorEastAsia" w:cstheme="minorEastAsia"/>
                <w:sz w:val="21"/>
                <w:szCs w:val="21"/>
              </w:rPr>
            </w:pPr>
            <w:r>
              <w:rPr>
                <w:rFonts w:hint="eastAsia" w:asciiTheme="minorEastAsia" w:hAnsiTheme="minorEastAsia" w:cstheme="minorEastAsia"/>
                <w:sz w:val="21"/>
                <w:szCs w:val="21"/>
              </w:rPr>
              <w:t>合资</w:t>
            </w:r>
          </w:p>
        </w:tc>
        <w:tc>
          <w:tcPr>
            <w:tcW w:w="4354" w:type="dxa"/>
            <w:shd w:val="clear" w:color="auto" w:fill="auto"/>
            <w:vAlign w:val="center"/>
          </w:tcPr>
          <w:p w14:paraId="1C11B9F1">
            <w:pPr>
              <w:rPr>
                <w:rFonts w:asciiTheme="minorEastAsia" w:hAnsiTheme="minorEastAsia" w:cstheme="minorEastAsia"/>
                <w:sz w:val="21"/>
                <w:szCs w:val="21"/>
              </w:rPr>
            </w:pPr>
            <w:r>
              <w:rPr>
                <w:rFonts w:hint="eastAsia" w:asciiTheme="minorEastAsia" w:hAnsiTheme="minorEastAsia" w:cstheme="minorEastAsia"/>
                <w:sz w:val="21"/>
                <w:szCs w:val="21"/>
              </w:rPr>
              <w:t>ABB/施耐德Schneider/西门子Siemens</w:t>
            </w:r>
          </w:p>
        </w:tc>
      </w:tr>
    </w:tbl>
    <w:p w14:paraId="609AD35C">
      <w:pPr>
        <w:spacing w:line="360" w:lineRule="auto"/>
        <w:rPr>
          <w:rFonts w:hint="eastAsia"/>
          <w:sz w:val="21"/>
          <w:szCs w:val="21"/>
          <w:highlight w:val="none"/>
        </w:rPr>
      </w:pPr>
      <w:r>
        <w:rPr>
          <w:rFonts w:hint="eastAsia"/>
          <w:sz w:val="21"/>
          <w:szCs w:val="21"/>
          <w:highlight w:val="none"/>
        </w:rPr>
        <w:t>本项目工程中各种材料</w:t>
      </w:r>
      <w:r>
        <w:rPr>
          <w:rFonts w:hint="eastAsia"/>
          <w:sz w:val="21"/>
          <w:szCs w:val="21"/>
          <w:highlight w:val="none"/>
          <w:lang w:val="en-US" w:eastAsia="zh-CN"/>
        </w:rPr>
        <w:t>除满足以上品牌要求外，还</w:t>
      </w:r>
      <w:r>
        <w:rPr>
          <w:rFonts w:hint="eastAsia"/>
          <w:sz w:val="21"/>
          <w:szCs w:val="21"/>
          <w:highlight w:val="none"/>
        </w:rPr>
        <w:t>必须满足《</w:t>
      </w:r>
      <w:r>
        <w:rPr>
          <w:rFonts w:hint="eastAsia"/>
          <w:sz w:val="21"/>
          <w:szCs w:val="21"/>
          <w:highlight w:val="none"/>
          <w:lang w:val="en-US" w:eastAsia="zh-CN"/>
        </w:rPr>
        <w:t>施工图纸</w:t>
      </w:r>
      <w:r>
        <w:rPr>
          <w:rFonts w:hint="eastAsia"/>
          <w:sz w:val="21"/>
          <w:szCs w:val="21"/>
          <w:highlight w:val="none"/>
        </w:rPr>
        <w:t>》中的要求，并提供合格证明，各种材料用于施工前应得到招标人认可，否则因此拆改带来的费用及工期要求，由投标人负责。</w:t>
      </w:r>
      <w:bookmarkEnd w:id="5"/>
      <w:bookmarkStart w:id="288" w:name="_Toc81381934"/>
    </w:p>
    <w:p w14:paraId="25D98027">
      <w:pPr>
        <w:pStyle w:val="23"/>
        <w:numPr>
          <w:ilvl w:val="0"/>
          <w:numId w:val="2"/>
        </w:numPr>
        <w:spacing w:line="360" w:lineRule="auto"/>
        <w:ind w:firstLineChars="0"/>
        <w:jc w:val="left"/>
        <w:outlineLvl w:val="1"/>
        <w:rPr>
          <w:rFonts w:asciiTheme="majorEastAsia" w:hAnsiTheme="majorEastAsia" w:eastAsiaTheme="majorEastAsia"/>
          <w:b/>
          <w:sz w:val="21"/>
          <w:szCs w:val="21"/>
          <w:highlight w:val="none"/>
        </w:rPr>
      </w:pPr>
      <w:r>
        <w:rPr>
          <w:rFonts w:hint="eastAsia" w:asciiTheme="majorEastAsia" w:hAnsiTheme="majorEastAsia" w:eastAsiaTheme="majorEastAsia"/>
          <w:b/>
          <w:sz w:val="21"/>
          <w:szCs w:val="21"/>
          <w:highlight w:val="none"/>
        </w:rPr>
        <w:t>施工组织安排及现场管理要求</w:t>
      </w:r>
      <w:bookmarkEnd w:id="288"/>
      <w:bookmarkStart w:id="289" w:name="_Toc81381935"/>
    </w:p>
    <w:bookmarkEnd w:id="289"/>
    <w:p w14:paraId="34C0F880">
      <w:pPr>
        <w:pStyle w:val="23"/>
        <w:numPr>
          <w:ilvl w:val="0"/>
          <w:numId w:val="59"/>
        </w:numPr>
        <w:spacing w:line="360" w:lineRule="auto"/>
        <w:ind w:left="425" w:leftChars="0" w:hanging="425" w:firstLineChars="0"/>
        <w:rPr>
          <w:sz w:val="21"/>
          <w:szCs w:val="21"/>
          <w:highlight w:val="none"/>
        </w:rPr>
      </w:pPr>
      <w:r>
        <w:rPr>
          <w:rFonts w:hint="eastAsia"/>
          <w:sz w:val="21"/>
          <w:szCs w:val="21"/>
          <w:highlight w:val="none"/>
        </w:rPr>
        <w:t>中标人必须按招标人要求的施工顺序及工期要求先后组织施工。中标人如未按经招标人确定的施工组织设计方案约定的节点工期竣工，按合同条款中第三部分：专用合同条款中第</w:t>
      </w:r>
      <w:r>
        <w:rPr>
          <w:rFonts w:hint="eastAsia"/>
          <w:sz w:val="21"/>
          <w:szCs w:val="21"/>
          <w:highlight w:val="none"/>
          <w:lang w:val="en-US" w:eastAsia="zh-CN"/>
        </w:rPr>
        <w:t>7.5.2</w:t>
      </w:r>
      <w:r>
        <w:rPr>
          <w:rFonts w:hint="eastAsia"/>
          <w:sz w:val="21"/>
          <w:szCs w:val="21"/>
          <w:highlight w:val="none"/>
        </w:rPr>
        <w:t>条执行。</w:t>
      </w:r>
    </w:p>
    <w:p w14:paraId="0FE305A7">
      <w:pPr>
        <w:pStyle w:val="23"/>
        <w:numPr>
          <w:ilvl w:val="0"/>
          <w:numId w:val="59"/>
        </w:numPr>
        <w:spacing w:line="360" w:lineRule="auto"/>
        <w:ind w:left="425" w:leftChars="0" w:hanging="425" w:firstLineChars="0"/>
        <w:rPr>
          <w:sz w:val="21"/>
          <w:szCs w:val="21"/>
          <w:highlight w:val="none"/>
        </w:rPr>
      </w:pPr>
      <w:r>
        <w:rPr>
          <w:rFonts w:hint="eastAsia"/>
          <w:sz w:val="21"/>
          <w:szCs w:val="21"/>
          <w:highlight w:val="none"/>
        </w:rPr>
        <w:t>由于中标人的原因，未能按招标人要求进场施工，则按每延迟一天2000元的工程延误损失从工程付款中扣除。</w:t>
      </w:r>
    </w:p>
    <w:p w14:paraId="1ED14C30">
      <w:pPr>
        <w:pStyle w:val="23"/>
        <w:numPr>
          <w:ilvl w:val="0"/>
          <w:numId w:val="59"/>
        </w:numPr>
        <w:spacing w:line="360" w:lineRule="auto"/>
        <w:ind w:left="425" w:leftChars="0" w:hanging="425" w:firstLineChars="0"/>
        <w:rPr>
          <w:sz w:val="21"/>
          <w:szCs w:val="21"/>
          <w:highlight w:val="none"/>
        </w:rPr>
      </w:pPr>
      <w:r>
        <w:rPr>
          <w:rFonts w:hint="eastAsia"/>
          <w:sz w:val="21"/>
          <w:szCs w:val="21"/>
          <w:highlight w:val="none"/>
        </w:rPr>
        <w:t>中标人必须配备完善的工程责任人和相关管理人员和施工人员，并明确岗位职责，并书面告知发包方。否则不予进场，造成损失由中标方负责。</w:t>
      </w:r>
    </w:p>
    <w:p w14:paraId="3552C75B">
      <w:pPr>
        <w:pStyle w:val="23"/>
        <w:numPr>
          <w:ilvl w:val="0"/>
          <w:numId w:val="59"/>
        </w:numPr>
        <w:spacing w:line="360" w:lineRule="auto"/>
        <w:ind w:left="425" w:leftChars="0" w:hanging="425" w:firstLineChars="0"/>
        <w:rPr>
          <w:sz w:val="21"/>
          <w:szCs w:val="21"/>
          <w:highlight w:val="none"/>
        </w:rPr>
      </w:pPr>
      <w:r>
        <w:rPr>
          <w:rFonts w:hint="eastAsia"/>
          <w:sz w:val="21"/>
          <w:szCs w:val="21"/>
          <w:highlight w:val="none"/>
        </w:rPr>
        <w:t>中标人在施工现场的人员必须服从发包方的管理，对于发包方的书面通知和整改通知书，必须及时书面回复。在发包方发出2天内没响应，或回复不符合要求的，每次1000元从当期工程款中扣出，以弥补对工程相关方的损失，保留损失超过的增加追索的权利。</w:t>
      </w:r>
    </w:p>
    <w:p w14:paraId="4EF74632">
      <w:pPr>
        <w:pStyle w:val="23"/>
        <w:numPr>
          <w:ilvl w:val="0"/>
          <w:numId w:val="59"/>
        </w:numPr>
        <w:spacing w:line="360" w:lineRule="auto"/>
        <w:ind w:left="425" w:leftChars="0" w:hanging="425" w:firstLineChars="0"/>
        <w:rPr>
          <w:sz w:val="21"/>
          <w:szCs w:val="21"/>
          <w:highlight w:val="none"/>
        </w:rPr>
      </w:pPr>
      <w:r>
        <w:rPr>
          <w:rFonts w:hint="eastAsia"/>
          <w:sz w:val="21"/>
          <w:szCs w:val="21"/>
          <w:highlight w:val="none"/>
        </w:rPr>
        <w:t>进场材料指定场地内堆放整齐，有防止材料倾倒的措施。</w:t>
      </w:r>
    </w:p>
    <w:p w14:paraId="02000606">
      <w:pPr>
        <w:pStyle w:val="23"/>
        <w:numPr>
          <w:ilvl w:val="0"/>
          <w:numId w:val="59"/>
        </w:numPr>
        <w:spacing w:line="360" w:lineRule="auto"/>
        <w:ind w:left="425" w:leftChars="0" w:hanging="425" w:firstLineChars="0"/>
        <w:rPr>
          <w:sz w:val="21"/>
          <w:szCs w:val="21"/>
          <w:highlight w:val="none"/>
        </w:rPr>
      </w:pPr>
      <w:r>
        <w:rPr>
          <w:rFonts w:hint="eastAsia"/>
          <w:sz w:val="21"/>
          <w:szCs w:val="21"/>
          <w:highlight w:val="none"/>
        </w:rPr>
        <w:t>材料堆场周边设置临时安全警示，注意安全用电。</w:t>
      </w:r>
    </w:p>
    <w:p w14:paraId="26E9D1F9">
      <w:pPr>
        <w:pStyle w:val="23"/>
        <w:numPr>
          <w:ilvl w:val="0"/>
          <w:numId w:val="59"/>
        </w:numPr>
        <w:spacing w:line="360" w:lineRule="auto"/>
        <w:ind w:left="425" w:leftChars="0" w:hanging="425" w:firstLineChars="0"/>
        <w:rPr>
          <w:rFonts w:hint="eastAsia"/>
          <w:sz w:val="21"/>
          <w:szCs w:val="21"/>
          <w:highlight w:val="none"/>
        </w:rPr>
      </w:pPr>
      <w:r>
        <w:rPr>
          <w:rFonts w:hint="eastAsia"/>
          <w:sz w:val="21"/>
          <w:szCs w:val="21"/>
          <w:highlight w:val="none"/>
        </w:rPr>
        <w:t>进出工地的车辆应冲洗干净后方可驶出工地，严禁工地内的土、垃圾带出工地污染市政道路，保持道路的干净整洁。若因此收到相关行政部门处罚，中标人除负责该部分处罚外，招标人有权处以5000元/每次的罚款，从工程款中扣除。</w:t>
      </w:r>
    </w:p>
    <w:p w14:paraId="088696CB">
      <w:pPr>
        <w:pStyle w:val="23"/>
        <w:numPr>
          <w:ilvl w:val="0"/>
          <w:numId w:val="59"/>
        </w:numPr>
        <w:spacing w:line="360" w:lineRule="auto"/>
        <w:ind w:left="425" w:leftChars="0" w:hanging="425" w:firstLineChars="0"/>
        <w:rPr>
          <w:rFonts w:hint="eastAsia"/>
          <w:sz w:val="21"/>
          <w:szCs w:val="21"/>
          <w:highlight w:val="none"/>
        </w:rPr>
      </w:pPr>
      <w:r>
        <w:rPr>
          <w:rFonts w:hint="eastAsia"/>
          <w:sz w:val="21"/>
          <w:szCs w:val="21"/>
          <w:highlight w:val="none"/>
        </w:rPr>
        <w:t>随时关注本地天气情况，项目部加强与当地气象部门的联系，得到台风、大风信息或通知后立即安排专人对</w:t>
      </w:r>
      <w:r>
        <w:rPr>
          <w:rFonts w:hint="eastAsia"/>
          <w:sz w:val="21"/>
          <w:szCs w:val="21"/>
          <w:highlight w:val="none"/>
          <w:lang w:val="en-US" w:eastAsia="zh-CN"/>
        </w:rPr>
        <w:t>泳池设备</w:t>
      </w:r>
      <w:r>
        <w:rPr>
          <w:rFonts w:hint="eastAsia"/>
          <w:sz w:val="21"/>
          <w:szCs w:val="21"/>
          <w:highlight w:val="none"/>
        </w:rPr>
        <w:t>进行检查、加固，并安排专人在现场24 小时执勤，直至天气好转后恢复正常执勤状况。</w:t>
      </w:r>
    </w:p>
    <w:p w14:paraId="24A4A4EF">
      <w:pPr>
        <w:pStyle w:val="23"/>
        <w:numPr>
          <w:ilvl w:val="0"/>
          <w:numId w:val="2"/>
        </w:numPr>
        <w:spacing w:before="240" w:after="240" w:line="360" w:lineRule="auto"/>
        <w:ind w:firstLineChars="0"/>
        <w:jc w:val="left"/>
        <w:outlineLvl w:val="1"/>
        <w:rPr>
          <w:rFonts w:asciiTheme="majorEastAsia" w:hAnsiTheme="majorEastAsia" w:eastAsiaTheme="majorEastAsia"/>
          <w:b/>
          <w:sz w:val="21"/>
          <w:szCs w:val="21"/>
          <w:highlight w:val="none"/>
        </w:rPr>
      </w:pPr>
      <w:bookmarkStart w:id="290" w:name="_Toc81381944"/>
      <w:r>
        <w:rPr>
          <w:rFonts w:asciiTheme="majorEastAsia" w:hAnsiTheme="majorEastAsia" w:eastAsiaTheme="majorEastAsia"/>
          <w:b/>
          <w:sz w:val="21"/>
          <w:szCs w:val="21"/>
          <w:highlight w:val="none"/>
        </w:rPr>
        <w:t>工期节点要求</w:t>
      </w:r>
      <w:bookmarkEnd w:id="290"/>
    </w:p>
    <w:p w14:paraId="0523E05F">
      <w:pPr>
        <w:spacing w:line="360" w:lineRule="auto"/>
        <w:ind w:firstLine="420" w:firstLineChars="200"/>
        <w:rPr>
          <w:rFonts w:hint="eastAsia" w:ascii="宋体" w:hAnsi="宋体"/>
          <w:bCs/>
          <w:sz w:val="21"/>
          <w:szCs w:val="21"/>
          <w:highlight w:val="none"/>
        </w:rPr>
      </w:pPr>
      <w:r>
        <w:rPr>
          <w:rFonts w:hint="eastAsia" w:ascii="宋体" w:hAnsi="宋体"/>
          <w:sz w:val="21"/>
          <w:szCs w:val="21"/>
          <w:highlight w:val="none"/>
        </w:rPr>
        <w:t>本</w:t>
      </w:r>
      <w:r>
        <w:rPr>
          <w:rFonts w:hint="eastAsia" w:ascii="宋体" w:hAnsi="宋体"/>
          <w:bCs/>
          <w:sz w:val="21"/>
          <w:szCs w:val="21"/>
          <w:highlight w:val="none"/>
        </w:rPr>
        <w:t>项目总工期：</w:t>
      </w:r>
      <w:r>
        <w:rPr>
          <w:rFonts w:hint="eastAsia" w:ascii="宋体" w:hAnsi="宋体"/>
          <w:bCs/>
          <w:sz w:val="21"/>
          <w:szCs w:val="21"/>
          <w:highlight w:val="none"/>
          <w:u w:val="single"/>
        </w:rPr>
        <w:t xml:space="preserve"> </w:t>
      </w:r>
      <w:r>
        <w:rPr>
          <w:rFonts w:hint="eastAsia" w:ascii="宋体" w:hAnsi="宋体"/>
          <w:bCs/>
          <w:sz w:val="21"/>
          <w:szCs w:val="21"/>
          <w:highlight w:val="none"/>
          <w:u w:val="single"/>
          <w:lang w:val="en-US" w:eastAsia="zh-CN"/>
        </w:rPr>
        <w:t xml:space="preserve">   </w:t>
      </w:r>
      <w:r>
        <w:rPr>
          <w:rFonts w:ascii="宋体" w:hAnsi="宋体"/>
          <w:bCs/>
          <w:sz w:val="21"/>
          <w:szCs w:val="21"/>
          <w:highlight w:val="none"/>
          <w:u w:val="single"/>
        </w:rPr>
        <w:t xml:space="preserve"> </w:t>
      </w:r>
      <w:r>
        <w:rPr>
          <w:rFonts w:hint="eastAsia" w:ascii="宋体" w:hAnsi="宋体"/>
          <w:bCs/>
          <w:sz w:val="21"/>
          <w:szCs w:val="21"/>
          <w:highlight w:val="none"/>
        </w:rPr>
        <w:t>日历天；计划开工日期：</w:t>
      </w:r>
      <w:r>
        <w:rPr>
          <w:rFonts w:ascii="宋体" w:hAnsi="宋体"/>
          <w:bCs/>
          <w:sz w:val="21"/>
          <w:szCs w:val="21"/>
          <w:highlight w:val="none"/>
        </w:rPr>
        <w:t>202</w:t>
      </w:r>
      <w:r>
        <w:rPr>
          <w:rFonts w:hint="eastAsia" w:ascii="宋体" w:hAnsi="宋体"/>
          <w:bCs/>
          <w:sz w:val="21"/>
          <w:szCs w:val="21"/>
          <w:highlight w:val="none"/>
          <w:u w:val="single"/>
          <w:lang w:val="en-US" w:eastAsia="zh-CN"/>
        </w:rPr>
        <w:t xml:space="preserve">   </w:t>
      </w:r>
      <w:r>
        <w:rPr>
          <w:rFonts w:hint="eastAsia" w:ascii="宋体" w:hAnsi="宋体"/>
          <w:bCs/>
          <w:sz w:val="21"/>
          <w:szCs w:val="21"/>
          <w:highlight w:val="none"/>
        </w:rPr>
        <w:t>年</w:t>
      </w:r>
      <w:r>
        <w:rPr>
          <w:rFonts w:hint="eastAsia" w:ascii="宋体" w:hAnsi="宋体"/>
          <w:bCs/>
          <w:sz w:val="21"/>
          <w:szCs w:val="21"/>
          <w:highlight w:val="none"/>
          <w:u w:val="single"/>
        </w:rPr>
        <w:t xml:space="preserve"> </w:t>
      </w:r>
      <w:r>
        <w:rPr>
          <w:rFonts w:hint="eastAsia" w:ascii="宋体" w:hAnsi="宋体"/>
          <w:bCs/>
          <w:sz w:val="21"/>
          <w:szCs w:val="21"/>
          <w:highlight w:val="none"/>
          <w:u w:val="single"/>
          <w:lang w:val="en-US" w:eastAsia="zh-CN"/>
        </w:rPr>
        <w:t xml:space="preserve">   </w:t>
      </w:r>
      <w:r>
        <w:rPr>
          <w:rFonts w:ascii="宋体" w:hAnsi="宋体"/>
          <w:bCs/>
          <w:sz w:val="21"/>
          <w:szCs w:val="21"/>
          <w:highlight w:val="none"/>
          <w:u w:val="single"/>
        </w:rPr>
        <w:t xml:space="preserve"> </w:t>
      </w:r>
      <w:r>
        <w:rPr>
          <w:rFonts w:hint="eastAsia" w:ascii="宋体" w:hAnsi="宋体"/>
          <w:bCs/>
          <w:sz w:val="21"/>
          <w:szCs w:val="21"/>
          <w:highlight w:val="none"/>
        </w:rPr>
        <w:t>月</w:t>
      </w:r>
      <w:r>
        <w:rPr>
          <w:rFonts w:hint="eastAsia" w:ascii="宋体" w:hAnsi="宋体"/>
          <w:bCs/>
          <w:sz w:val="21"/>
          <w:szCs w:val="21"/>
          <w:highlight w:val="none"/>
          <w:u w:val="single"/>
        </w:rPr>
        <w:t xml:space="preserve"> </w:t>
      </w:r>
      <w:r>
        <w:rPr>
          <w:rFonts w:hint="eastAsia" w:ascii="宋体" w:hAnsi="宋体"/>
          <w:bCs/>
          <w:sz w:val="21"/>
          <w:szCs w:val="21"/>
          <w:highlight w:val="none"/>
          <w:u w:val="single"/>
          <w:lang w:val="en-US" w:eastAsia="zh-CN"/>
        </w:rPr>
        <w:t xml:space="preserve">   </w:t>
      </w:r>
      <w:r>
        <w:rPr>
          <w:rFonts w:ascii="宋体" w:hAnsi="宋体"/>
          <w:bCs/>
          <w:sz w:val="21"/>
          <w:szCs w:val="21"/>
          <w:highlight w:val="none"/>
          <w:u w:val="single"/>
        </w:rPr>
        <w:t xml:space="preserve"> </w:t>
      </w:r>
      <w:r>
        <w:rPr>
          <w:rFonts w:hint="eastAsia" w:ascii="宋体" w:hAnsi="宋体"/>
          <w:bCs/>
          <w:sz w:val="21"/>
          <w:szCs w:val="21"/>
          <w:highlight w:val="none"/>
        </w:rPr>
        <w:t>日，</w:t>
      </w:r>
      <w:r>
        <w:rPr>
          <w:rFonts w:hint="eastAsia" w:ascii="宋体" w:hAnsi="宋体"/>
          <w:bCs/>
          <w:sz w:val="21"/>
          <w:szCs w:val="21"/>
          <w:highlight w:val="none"/>
          <w:lang w:val="en-US" w:eastAsia="zh-CN"/>
        </w:rPr>
        <w:t>计划</w:t>
      </w:r>
      <w:r>
        <w:rPr>
          <w:rFonts w:hint="eastAsia" w:ascii="宋体" w:hAnsi="宋体"/>
          <w:bCs/>
          <w:sz w:val="21"/>
          <w:szCs w:val="21"/>
          <w:highlight w:val="none"/>
        </w:rPr>
        <w:t>竣工日期：</w:t>
      </w:r>
      <w:r>
        <w:rPr>
          <w:rFonts w:ascii="宋体" w:hAnsi="宋体"/>
          <w:bCs/>
          <w:sz w:val="21"/>
          <w:szCs w:val="21"/>
          <w:highlight w:val="none"/>
        </w:rPr>
        <w:t>20</w:t>
      </w:r>
      <w:r>
        <w:rPr>
          <w:rFonts w:hint="eastAsia" w:ascii="宋体" w:hAnsi="宋体"/>
          <w:bCs/>
          <w:sz w:val="21"/>
          <w:szCs w:val="21"/>
          <w:highlight w:val="none"/>
        </w:rPr>
        <w:t>2</w:t>
      </w:r>
      <w:r>
        <w:rPr>
          <w:rFonts w:hint="eastAsia" w:ascii="宋体" w:hAnsi="宋体"/>
          <w:bCs/>
          <w:sz w:val="21"/>
          <w:szCs w:val="21"/>
          <w:highlight w:val="none"/>
          <w:u w:val="single"/>
          <w:lang w:val="en-US" w:eastAsia="zh-CN"/>
        </w:rPr>
        <w:t xml:space="preserve">   </w:t>
      </w:r>
      <w:r>
        <w:rPr>
          <w:rFonts w:hint="eastAsia" w:ascii="宋体" w:hAnsi="宋体"/>
          <w:bCs/>
          <w:sz w:val="21"/>
          <w:szCs w:val="21"/>
          <w:highlight w:val="none"/>
        </w:rPr>
        <w:t>年</w:t>
      </w:r>
      <w:r>
        <w:rPr>
          <w:rFonts w:hint="eastAsia" w:ascii="宋体" w:hAnsi="宋体"/>
          <w:bCs/>
          <w:sz w:val="21"/>
          <w:szCs w:val="21"/>
          <w:highlight w:val="none"/>
          <w:u w:val="single"/>
          <w:lang w:val="en-US" w:eastAsia="zh-CN"/>
        </w:rPr>
        <w:t xml:space="preserve">   </w:t>
      </w:r>
      <w:r>
        <w:rPr>
          <w:rFonts w:hint="eastAsia" w:ascii="宋体" w:hAnsi="宋体"/>
          <w:bCs/>
          <w:sz w:val="21"/>
          <w:szCs w:val="21"/>
          <w:highlight w:val="none"/>
        </w:rPr>
        <w:t>月</w:t>
      </w:r>
      <w:r>
        <w:rPr>
          <w:rFonts w:hint="eastAsia" w:ascii="宋体" w:hAnsi="宋体"/>
          <w:bCs/>
          <w:sz w:val="21"/>
          <w:szCs w:val="21"/>
          <w:highlight w:val="none"/>
          <w:u w:val="single"/>
          <w:lang w:val="en-US" w:eastAsia="zh-CN"/>
        </w:rPr>
        <w:t xml:space="preserve">   </w:t>
      </w:r>
      <w:r>
        <w:rPr>
          <w:rFonts w:hint="eastAsia" w:ascii="宋体" w:hAnsi="宋体"/>
          <w:bCs/>
          <w:sz w:val="21"/>
          <w:szCs w:val="21"/>
          <w:highlight w:val="none"/>
        </w:rPr>
        <w:t>日。具体开工日期以发包人签发的开工令为准，竣工日期根据开工日期进行调整。</w:t>
      </w:r>
    </w:p>
    <w:p w14:paraId="49F70B52">
      <w:pPr>
        <w:spacing w:line="360" w:lineRule="auto"/>
        <w:ind w:firstLine="420" w:firstLineChars="200"/>
        <w:rPr>
          <w:rFonts w:hint="eastAsia" w:ascii="宋体" w:hAnsi="宋体"/>
          <w:bCs/>
          <w:sz w:val="21"/>
          <w:szCs w:val="21"/>
          <w:highlight w:val="none"/>
        </w:rPr>
      </w:pPr>
      <w:r>
        <w:rPr>
          <w:rFonts w:hint="eastAsia" w:ascii="宋体" w:hAnsi="宋体"/>
          <w:bCs/>
          <w:sz w:val="21"/>
          <w:szCs w:val="21"/>
          <w:highlight w:val="none"/>
        </w:rPr>
        <w:t>各专业工程关键工序的时间节点要求，详见下表：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5529"/>
        <w:gridCol w:w="3118"/>
      </w:tblGrid>
      <w:tr w14:paraId="55A77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83" w:type="dxa"/>
            <w:vAlign w:val="center"/>
          </w:tcPr>
          <w:p w14:paraId="2E40B731">
            <w:pPr>
              <w:snapToGrid w:val="0"/>
              <w:jc w:val="center"/>
              <w:rPr>
                <w:b/>
                <w:sz w:val="21"/>
                <w:szCs w:val="21"/>
                <w:highlight w:val="none"/>
              </w:rPr>
            </w:pPr>
            <w:r>
              <w:rPr>
                <w:rFonts w:hint="eastAsia"/>
                <w:b/>
                <w:sz w:val="21"/>
                <w:szCs w:val="21"/>
                <w:highlight w:val="none"/>
              </w:rPr>
              <w:t>序号</w:t>
            </w:r>
          </w:p>
        </w:tc>
        <w:tc>
          <w:tcPr>
            <w:tcW w:w="5529" w:type="dxa"/>
            <w:vAlign w:val="center"/>
          </w:tcPr>
          <w:p w14:paraId="46BA22A6">
            <w:pPr>
              <w:snapToGrid w:val="0"/>
              <w:jc w:val="center"/>
              <w:rPr>
                <w:b/>
                <w:sz w:val="21"/>
                <w:szCs w:val="21"/>
                <w:highlight w:val="none"/>
              </w:rPr>
            </w:pPr>
            <w:r>
              <w:rPr>
                <w:rFonts w:hint="eastAsia"/>
                <w:b/>
                <w:sz w:val="21"/>
                <w:szCs w:val="21"/>
                <w:highlight w:val="none"/>
              </w:rPr>
              <w:t>各专业工程关键工序名称</w:t>
            </w:r>
          </w:p>
        </w:tc>
        <w:tc>
          <w:tcPr>
            <w:tcW w:w="3118" w:type="dxa"/>
            <w:vAlign w:val="center"/>
          </w:tcPr>
          <w:p w14:paraId="7276D289">
            <w:pPr>
              <w:snapToGrid w:val="0"/>
              <w:jc w:val="center"/>
              <w:rPr>
                <w:rFonts w:ascii="宋体" w:hAnsi="宋体"/>
                <w:sz w:val="21"/>
                <w:szCs w:val="21"/>
                <w:highlight w:val="none"/>
              </w:rPr>
            </w:pPr>
            <w:r>
              <w:rPr>
                <w:rFonts w:hint="eastAsia" w:ascii="宋体" w:hAnsi="宋体"/>
                <w:sz w:val="21"/>
                <w:szCs w:val="21"/>
                <w:highlight w:val="none"/>
              </w:rPr>
              <w:t>要求完成节点时间要求</w:t>
            </w:r>
          </w:p>
        </w:tc>
      </w:tr>
      <w:tr w14:paraId="3C79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83" w:type="dxa"/>
            <w:vAlign w:val="center"/>
          </w:tcPr>
          <w:p w14:paraId="27B9620C">
            <w:pPr>
              <w:snapToGrid w:val="0"/>
              <w:jc w:val="center"/>
              <w:rPr>
                <w:b w:val="0"/>
                <w:bCs/>
                <w:sz w:val="21"/>
                <w:szCs w:val="21"/>
                <w:highlight w:val="none"/>
              </w:rPr>
            </w:pPr>
            <w:r>
              <w:rPr>
                <w:rFonts w:hint="eastAsia"/>
                <w:b w:val="0"/>
                <w:bCs/>
                <w:sz w:val="21"/>
                <w:szCs w:val="21"/>
                <w:highlight w:val="none"/>
              </w:rPr>
              <w:t>1</w:t>
            </w:r>
          </w:p>
        </w:tc>
        <w:tc>
          <w:tcPr>
            <w:tcW w:w="5529" w:type="dxa"/>
            <w:vAlign w:val="center"/>
          </w:tcPr>
          <w:p w14:paraId="0251BA51">
            <w:pPr>
              <w:snapToGrid w:val="0"/>
              <w:jc w:val="center"/>
              <w:rPr>
                <w:rFonts w:hint="default" w:eastAsiaTheme="minorEastAsia"/>
                <w:b w:val="0"/>
                <w:bCs/>
                <w:sz w:val="21"/>
                <w:szCs w:val="21"/>
                <w:highlight w:val="none"/>
                <w:lang w:val="en-US" w:eastAsia="zh-CN"/>
              </w:rPr>
            </w:pPr>
            <w:r>
              <w:rPr>
                <w:rFonts w:hint="eastAsia"/>
                <w:b w:val="0"/>
                <w:bCs/>
                <w:sz w:val="21"/>
                <w:szCs w:val="21"/>
                <w:highlight w:val="none"/>
                <w:lang w:val="en-US" w:eastAsia="zh-CN"/>
              </w:rPr>
              <w:t>泳池设备采购及安装工程</w:t>
            </w:r>
          </w:p>
        </w:tc>
        <w:tc>
          <w:tcPr>
            <w:tcW w:w="3118" w:type="dxa"/>
            <w:vAlign w:val="center"/>
          </w:tcPr>
          <w:p w14:paraId="374BB3B0">
            <w:pPr>
              <w:snapToGrid w:val="0"/>
              <w:jc w:val="center"/>
              <w:rPr>
                <w:rFonts w:hint="default" w:ascii="宋体" w:hAnsi="宋体" w:eastAsiaTheme="minorEastAsia"/>
                <w:b w:val="0"/>
                <w:bCs/>
                <w:sz w:val="21"/>
                <w:szCs w:val="21"/>
                <w:highlight w:val="none"/>
                <w:lang w:val="en-US" w:eastAsia="zh-CN"/>
              </w:rPr>
            </w:pPr>
          </w:p>
        </w:tc>
      </w:tr>
    </w:tbl>
    <w:p w14:paraId="6F7CD727">
      <w:pPr>
        <w:pStyle w:val="23"/>
        <w:numPr>
          <w:ilvl w:val="0"/>
          <w:numId w:val="2"/>
        </w:numPr>
        <w:spacing w:before="240" w:after="240" w:line="360" w:lineRule="auto"/>
        <w:ind w:firstLineChars="0"/>
        <w:jc w:val="left"/>
        <w:outlineLvl w:val="1"/>
        <w:rPr>
          <w:rFonts w:asciiTheme="majorEastAsia" w:hAnsiTheme="majorEastAsia" w:eastAsiaTheme="majorEastAsia"/>
          <w:b/>
          <w:sz w:val="21"/>
          <w:szCs w:val="21"/>
          <w:highlight w:val="none"/>
        </w:rPr>
      </w:pPr>
      <w:bookmarkStart w:id="291" w:name="_Toc81381945"/>
      <w:r>
        <w:rPr>
          <w:rFonts w:hint="eastAsia" w:asciiTheme="majorEastAsia" w:hAnsiTheme="majorEastAsia" w:eastAsiaTheme="majorEastAsia"/>
          <w:b/>
          <w:sz w:val="21"/>
          <w:szCs w:val="21"/>
          <w:highlight w:val="none"/>
        </w:rPr>
        <w:t>销售配合要求</w:t>
      </w:r>
      <w:bookmarkEnd w:id="291"/>
    </w:p>
    <w:p w14:paraId="05CE9C2C">
      <w:pPr>
        <w:spacing w:line="360" w:lineRule="auto"/>
        <w:ind w:firstLine="420" w:firstLineChars="200"/>
        <w:rPr>
          <w:rFonts w:hint="eastAsia" w:ascii="宋体" w:hAnsi="宋体"/>
          <w:bCs/>
          <w:sz w:val="21"/>
          <w:szCs w:val="21"/>
          <w:highlight w:val="none"/>
        </w:rPr>
      </w:pPr>
      <w:r>
        <w:rPr>
          <w:rFonts w:hint="eastAsia" w:ascii="宋体" w:hAnsi="宋体"/>
          <w:bCs/>
          <w:sz w:val="21"/>
          <w:szCs w:val="21"/>
          <w:highlight w:val="none"/>
        </w:rPr>
        <w:t>本</w:t>
      </w:r>
      <w:r>
        <w:rPr>
          <w:rFonts w:hint="eastAsia" w:ascii="宋体" w:hAnsi="宋体"/>
          <w:bCs/>
          <w:sz w:val="21"/>
          <w:szCs w:val="21"/>
          <w:highlight w:val="none"/>
          <w:lang w:val="en-US" w:eastAsia="zh-CN"/>
        </w:rPr>
        <w:t>项目</w:t>
      </w:r>
      <w:r>
        <w:rPr>
          <w:rFonts w:hint="eastAsia" w:ascii="宋体" w:hAnsi="宋体"/>
          <w:bCs/>
          <w:sz w:val="21"/>
          <w:szCs w:val="21"/>
          <w:highlight w:val="none"/>
        </w:rPr>
        <w:t>展示区</w:t>
      </w:r>
      <w:r>
        <w:rPr>
          <w:rFonts w:hint="eastAsia" w:ascii="宋体" w:hAnsi="宋体"/>
          <w:bCs/>
          <w:sz w:val="21"/>
          <w:szCs w:val="21"/>
          <w:highlight w:val="none"/>
          <w:lang w:val="en-US" w:eastAsia="zh-CN"/>
        </w:rPr>
        <w:t>施工</w:t>
      </w:r>
      <w:r>
        <w:rPr>
          <w:rFonts w:hint="eastAsia" w:ascii="宋体" w:hAnsi="宋体"/>
          <w:bCs/>
          <w:sz w:val="21"/>
          <w:szCs w:val="21"/>
          <w:highlight w:val="none"/>
        </w:rPr>
        <w:t>工期较紧，承包人需无条件配合发包人因销售需求而导致的赶工抢工措施，相应费用已包含在合同总价内，不再增加任何其他费用。</w:t>
      </w:r>
    </w:p>
    <w:p w14:paraId="6BAD9474">
      <w:pPr>
        <w:pStyle w:val="23"/>
        <w:numPr>
          <w:ilvl w:val="0"/>
          <w:numId w:val="2"/>
        </w:numPr>
        <w:spacing w:before="240" w:after="240" w:line="360" w:lineRule="auto"/>
        <w:ind w:firstLineChars="0"/>
        <w:jc w:val="left"/>
        <w:outlineLvl w:val="1"/>
        <w:rPr>
          <w:rFonts w:hint="eastAsia"/>
          <w:b/>
          <w:bCs/>
          <w:sz w:val="21"/>
          <w:szCs w:val="21"/>
          <w:highlight w:val="none"/>
        </w:rPr>
      </w:pPr>
      <w:r>
        <w:rPr>
          <w:rFonts w:hint="eastAsia"/>
          <w:b/>
          <w:bCs/>
          <w:sz w:val="21"/>
          <w:szCs w:val="21"/>
          <w:highlight w:val="none"/>
          <w:lang w:val="en-US" w:eastAsia="zh-CN"/>
        </w:rPr>
        <w:t>招标图纸</w:t>
      </w:r>
    </w:p>
    <w:p w14:paraId="668A5261">
      <w:pPr>
        <w:numPr>
          <w:ilvl w:val="0"/>
          <w:numId w:val="60"/>
        </w:numPr>
        <w:spacing w:line="360" w:lineRule="auto"/>
        <w:rPr>
          <w:sz w:val="21"/>
          <w:szCs w:val="21"/>
          <w:highlight w:val="none"/>
        </w:rPr>
      </w:pPr>
      <w:r>
        <w:rPr>
          <w:rFonts w:hint="eastAsia"/>
          <w:sz w:val="21"/>
          <w:szCs w:val="21"/>
          <w:highlight w:val="none"/>
        </w:rPr>
        <w:t>设计单位：</w:t>
      </w:r>
      <w:r>
        <w:rPr>
          <w:rFonts w:hint="eastAsia"/>
          <w:sz w:val="21"/>
          <w:szCs w:val="21"/>
          <w:highlight w:val="none"/>
          <w:lang w:eastAsia="zh-CN"/>
        </w:rPr>
        <w:t>中国联合工程有限公司</w:t>
      </w:r>
    </w:p>
    <w:p w14:paraId="3918AEE6">
      <w:pPr>
        <w:numPr>
          <w:ilvl w:val="0"/>
          <w:numId w:val="60"/>
        </w:numPr>
        <w:spacing w:line="360" w:lineRule="auto"/>
        <w:rPr>
          <w:sz w:val="21"/>
          <w:szCs w:val="21"/>
          <w:highlight w:val="none"/>
        </w:rPr>
      </w:pPr>
      <w:r>
        <w:rPr>
          <w:rFonts w:hint="eastAsia"/>
          <w:sz w:val="21"/>
          <w:szCs w:val="21"/>
          <w:highlight w:val="none"/>
        </w:rPr>
        <w:t>审图单位：无</w:t>
      </w:r>
    </w:p>
    <w:p w14:paraId="6C0C9299">
      <w:pPr>
        <w:numPr>
          <w:ilvl w:val="0"/>
          <w:numId w:val="60"/>
        </w:numPr>
        <w:spacing w:line="360" w:lineRule="auto"/>
        <w:rPr>
          <w:sz w:val="21"/>
          <w:szCs w:val="21"/>
          <w:highlight w:val="none"/>
        </w:rPr>
      </w:pPr>
      <w:r>
        <w:rPr>
          <w:rFonts w:hint="eastAsia"/>
          <w:sz w:val="21"/>
          <w:szCs w:val="21"/>
          <w:highlight w:val="none"/>
        </w:rPr>
        <w:t>图纸目录</w:t>
      </w:r>
    </w:p>
    <w:tbl>
      <w:tblPr>
        <w:tblStyle w:val="15"/>
        <w:tblW w:w="102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5"/>
        <w:gridCol w:w="4391"/>
        <w:gridCol w:w="690"/>
        <w:gridCol w:w="1311"/>
        <w:gridCol w:w="989"/>
        <w:gridCol w:w="2050"/>
      </w:tblGrid>
      <w:tr w14:paraId="21FDAD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815" w:type="dxa"/>
            <w:noWrap w:val="0"/>
            <w:vAlign w:val="center"/>
          </w:tcPr>
          <w:p w14:paraId="3737EF15">
            <w:pPr>
              <w:spacing w:line="360" w:lineRule="auto"/>
              <w:jc w:val="center"/>
              <w:rPr>
                <w:sz w:val="21"/>
                <w:szCs w:val="21"/>
                <w:highlight w:val="none"/>
              </w:rPr>
            </w:pPr>
            <w:r>
              <w:rPr>
                <w:rFonts w:hint="eastAsia"/>
                <w:sz w:val="21"/>
                <w:szCs w:val="21"/>
                <w:highlight w:val="none"/>
              </w:rPr>
              <w:t>序号</w:t>
            </w:r>
          </w:p>
        </w:tc>
        <w:tc>
          <w:tcPr>
            <w:tcW w:w="4391" w:type="dxa"/>
            <w:noWrap w:val="0"/>
            <w:vAlign w:val="center"/>
          </w:tcPr>
          <w:p w14:paraId="2A40683B">
            <w:pPr>
              <w:spacing w:line="360" w:lineRule="auto"/>
              <w:jc w:val="center"/>
              <w:rPr>
                <w:sz w:val="21"/>
                <w:szCs w:val="21"/>
                <w:highlight w:val="none"/>
              </w:rPr>
            </w:pPr>
            <w:r>
              <w:rPr>
                <w:rFonts w:hint="eastAsia"/>
                <w:sz w:val="21"/>
                <w:szCs w:val="21"/>
                <w:highlight w:val="none"/>
              </w:rPr>
              <w:t>图纸名称</w:t>
            </w:r>
          </w:p>
        </w:tc>
        <w:tc>
          <w:tcPr>
            <w:tcW w:w="690" w:type="dxa"/>
            <w:noWrap w:val="0"/>
            <w:vAlign w:val="center"/>
          </w:tcPr>
          <w:p w14:paraId="3EE14E87">
            <w:pPr>
              <w:spacing w:line="360" w:lineRule="auto"/>
              <w:jc w:val="center"/>
              <w:rPr>
                <w:sz w:val="21"/>
                <w:szCs w:val="21"/>
                <w:highlight w:val="none"/>
              </w:rPr>
            </w:pPr>
            <w:r>
              <w:rPr>
                <w:rFonts w:hint="eastAsia"/>
                <w:sz w:val="21"/>
                <w:szCs w:val="21"/>
                <w:highlight w:val="none"/>
              </w:rPr>
              <w:t>页数</w:t>
            </w:r>
          </w:p>
        </w:tc>
        <w:tc>
          <w:tcPr>
            <w:tcW w:w="1311" w:type="dxa"/>
            <w:noWrap w:val="0"/>
            <w:vAlign w:val="center"/>
          </w:tcPr>
          <w:p w14:paraId="0534EDB1">
            <w:pPr>
              <w:spacing w:line="360" w:lineRule="auto"/>
              <w:jc w:val="center"/>
              <w:rPr>
                <w:sz w:val="21"/>
                <w:szCs w:val="21"/>
                <w:highlight w:val="none"/>
              </w:rPr>
            </w:pPr>
            <w:r>
              <w:rPr>
                <w:rFonts w:hint="eastAsia"/>
                <w:sz w:val="21"/>
                <w:szCs w:val="21"/>
                <w:highlight w:val="none"/>
              </w:rPr>
              <w:t>出图日期</w:t>
            </w:r>
          </w:p>
        </w:tc>
        <w:tc>
          <w:tcPr>
            <w:tcW w:w="989" w:type="dxa"/>
            <w:noWrap w:val="0"/>
            <w:vAlign w:val="center"/>
          </w:tcPr>
          <w:p w14:paraId="08E1574A">
            <w:pPr>
              <w:spacing w:line="360" w:lineRule="auto"/>
              <w:jc w:val="center"/>
              <w:rPr>
                <w:sz w:val="21"/>
                <w:szCs w:val="21"/>
                <w:highlight w:val="none"/>
              </w:rPr>
            </w:pPr>
            <w:r>
              <w:rPr>
                <w:rFonts w:hint="eastAsia"/>
                <w:sz w:val="21"/>
                <w:szCs w:val="21"/>
                <w:highlight w:val="none"/>
              </w:rPr>
              <w:t>版次</w:t>
            </w:r>
          </w:p>
        </w:tc>
        <w:tc>
          <w:tcPr>
            <w:tcW w:w="2050" w:type="dxa"/>
            <w:noWrap w:val="0"/>
            <w:vAlign w:val="center"/>
          </w:tcPr>
          <w:p w14:paraId="61123A42">
            <w:pPr>
              <w:spacing w:line="360" w:lineRule="auto"/>
              <w:jc w:val="center"/>
              <w:rPr>
                <w:sz w:val="21"/>
                <w:szCs w:val="21"/>
                <w:highlight w:val="none"/>
              </w:rPr>
            </w:pPr>
            <w:r>
              <w:rPr>
                <w:rFonts w:hint="eastAsia"/>
                <w:sz w:val="21"/>
                <w:szCs w:val="21"/>
                <w:highlight w:val="none"/>
              </w:rPr>
              <w:t>备注</w:t>
            </w:r>
          </w:p>
        </w:tc>
      </w:tr>
      <w:tr w14:paraId="40EC25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exact"/>
          <w:jc w:val="center"/>
        </w:trPr>
        <w:tc>
          <w:tcPr>
            <w:tcW w:w="815" w:type="dxa"/>
            <w:noWrap w:val="0"/>
            <w:vAlign w:val="center"/>
          </w:tcPr>
          <w:p w14:paraId="34AF4345">
            <w:pPr>
              <w:snapToGrid w:val="0"/>
              <w:jc w:val="center"/>
              <w:rPr>
                <w:rFonts w:hint="eastAsia"/>
                <w:b w:val="0"/>
                <w:bCs/>
                <w:sz w:val="21"/>
                <w:szCs w:val="21"/>
                <w:highlight w:val="none"/>
              </w:rPr>
            </w:pPr>
            <w:r>
              <w:rPr>
                <w:rFonts w:hint="eastAsia"/>
                <w:b w:val="0"/>
                <w:bCs/>
                <w:sz w:val="21"/>
                <w:szCs w:val="21"/>
                <w:highlight w:val="none"/>
              </w:rPr>
              <w:t>1</w:t>
            </w:r>
          </w:p>
        </w:tc>
        <w:tc>
          <w:tcPr>
            <w:tcW w:w="4391" w:type="dxa"/>
            <w:noWrap w:val="0"/>
            <w:vAlign w:val="center"/>
          </w:tcPr>
          <w:p w14:paraId="1F880816">
            <w:pPr>
              <w:snapToGrid w:val="0"/>
              <w:jc w:val="center"/>
              <w:rPr>
                <w:rFonts w:hint="eastAsia"/>
                <w:b w:val="0"/>
                <w:bCs/>
                <w:sz w:val="21"/>
                <w:szCs w:val="21"/>
                <w:highlight w:val="none"/>
              </w:rPr>
            </w:pPr>
          </w:p>
        </w:tc>
        <w:tc>
          <w:tcPr>
            <w:tcW w:w="690" w:type="dxa"/>
            <w:noWrap w:val="0"/>
            <w:vAlign w:val="center"/>
          </w:tcPr>
          <w:p w14:paraId="1858B755">
            <w:pPr>
              <w:snapToGrid w:val="0"/>
              <w:jc w:val="center"/>
              <w:rPr>
                <w:rFonts w:hint="eastAsia"/>
                <w:b w:val="0"/>
                <w:bCs/>
                <w:sz w:val="21"/>
                <w:szCs w:val="21"/>
                <w:highlight w:val="none"/>
              </w:rPr>
            </w:pPr>
          </w:p>
        </w:tc>
        <w:tc>
          <w:tcPr>
            <w:tcW w:w="1311" w:type="dxa"/>
            <w:noWrap w:val="0"/>
            <w:vAlign w:val="center"/>
          </w:tcPr>
          <w:p w14:paraId="2C966393">
            <w:pPr>
              <w:snapToGrid w:val="0"/>
              <w:jc w:val="center"/>
              <w:rPr>
                <w:rFonts w:hint="eastAsia"/>
                <w:b w:val="0"/>
                <w:bCs/>
                <w:sz w:val="21"/>
                <w:szCs w:val="21"/>
                <w:highlight w:val="none"/>
              </w:rPr>
            </w:pPr>
          </w:p>
        </w:tc>
        <w:tc>
          <w:tcPr>
            <w:tcW w:w="989" w:type="dxa"/>
            <w:noWrap w:val="0"/>
            <w:vAlign w:val="center"/>
          </w:tcPr>
          <w:p w14:paraId="0F42F62A">
            <w:pPr>
              <w:snapToGrid w:val="0"/>
              <w:jc w:val="center"/>
              <w:rPr>
                <w:rFonts w:hint="eastAsia"/>
                <w:b w:val="0"/>
                <w:bCs/>
                <w:sz w:val="21"/>
                <w:szCs w:val="21"/>
                <w:highlight w:val="none"/>
              </w:rPr>
            </w:pPr>
          </w:p>
        </w:tc>
        <w:tc>
          <w:tcPr>
            <w:tcW w:w="2050" w:type="dxa"/>
            <w:noWrap w:val="0"/>
            <w:vAlign w:val="center"/>
          </w:tcPr>
          <w:p w14:paraId="6A70FA34">
            <w:pPr>
              <w:snapToGrid w:val="0"/>
              <w:jc w:val="center"/>
              <w:rPr>
                <w:rFonts w:hint="eastAsia"/>
                <w:b w:val="0"/>
                <w:bCs/>
                <w:sz w:val="21"/>
                <w:szCs w:val="21"/>
                <w:highlight w:val="none"/>
              </w:rPr>
            </w:pPr>
            <w:r>
              <w:rPr>
                <w:rFonts w:hint="eastAsia"/>
                <w:b w:val="0"/>
                <w:bCs/>
                <w:sz w:val="21"/>
                <w:szCs w:val="21"/>
                <w:highlight w:val="none"/>
              </w:rPr>
              <w:t>提供电子版图</w:t>
            </w:r>
          </w:p>
        </w:tc>
      </w:tr>
    </w:tbl>
    <w:p w14:paraId="6800C85B">
      <w:pPr>
        <w:pStyle w:val="23"/>
        <w:numPr>
          <w:ilvl w:val="0"/>
          <w:numId w:val="2"/>
        </w:numPr>
        <w:spacing w:before="240" w:after="240" w:line="360" w:lineRule="auto"/>
        <w:ind w:firstLineChars="0"/>
        <w:jc w:val="left"/>
        <w:outlineLvl w:val="1"/>
        <w:rPr>
          <w:rFonts w:asciiTheme="majorEastAsia" w:hAnsiTheme="majorEastAsia" w:eastAsiaTheme="majorEastAsia"/>
          <w:b/>
          <w:sz w:val="21"/>
          <w:szCs w:val="21"/>
          <w:highlight w:val="none"/>
        </w:rPr>
      </w:pPr>
      <w:r>
        <w:rPr>
          <w:rFonts w:hint="eastAsia" w:asciiTheme="majorEastAsia" w:hAnsiTheme="majorEastAsia" w:eastAsiaTheme="majorEastAsia"/>
          <w:b/>
          <w:sz w:val="21"/>
          <w:szCs w:val="21"/>
          <w:highlight w:val="none"/>
          <w:lang w:val="en-US" w:eastAsia="zh-CN"/>
        </w:rPr>
        <w:t>其他要求</w:t>
      </w:r>
    </w:p>
    <w:p w14:paraId="57B3D0AB">
      <w:pPr>
        <w:numPr>
          <w:ilvl w:val="0"/>
          <w:numId w:val="61"/>
        </w:numPr>
        <w:spacing w:line="360" w:lineRule="auto"/>
        <w:ind w:left="425" w:leftChars="0" w:hanging="425" w:firstLineChars="0"/>
        <w:rPr>
          <w:rFonts w:hint="eastAsia"/>
          <w:sz w:val="21"/>
          <w:szCs w:val="21"/>
          <w:highlight w:val="none"/>
        </w:rPr>
      </w:pPr>
      <w:r>
        <w:rPr>
          <w:rFonts w:hint="eastAsia"/>
          <w:sz w:val="21"/>
          <w:szCs w:val="21"/>
          <w:highlight w:val="none"/>
        </w:rPr>
        <w:t>现场踏勘、图纸深化设计、材料与设备采购(含安装辅材)、材料设备装卸、材料设备运输与转运、材料与设备安装、成品保护、绿色施工安全防护措施费、系统调试、管道通水通风试验、完工后场地清理等。</w:t>
      </w:r>
    </w:p>
    <w:p w14:paraId="683A3E42">
      <w:pPr>
        <w:numPr>
          <w:ilvl w:val="0"/>
          <w:numId w:val="61"/>
        </w:numPr>
        <w:spacing w:line="360" w:lineRule="auto"/>
        <w:ind w:left="425" w:leftChars="0" w:hanging="425" w:firstLineChars="0"/>
        <w:rPr>
          <w:rFonts w:hint="eastAsia"/>
          <w:sz w:val="21"/>
          <w:szCs w:val="21"/>
          <w:highlight w:val="none"/>
        </w:rPr>
      </w:pPr>
      <w:r>
        <w:rPr>
          <w:rFonts w:hint="eastAsia"/>
          <w:sz w:val="21"/>
          <w:szCs w:val="21"/>
          <w:highlight w:val="none"/>
        </w:rPr>
        <w:t>材料与设备安装，包含但不限于：泳池水循环系统、水处理系统、淋浴系统、通风空调系统、恒温除湿系统、电箱、线管线、管道、风管、补水口、溢水口、放空口、地漏、阀门、风阀、风口、保温棉、泳池灯等施工图纸上所有泳池设备、主材、辅材的安装。</w:t>
      </w:r>
    </w:p>
    <w:p w14:paraId="50B68C50">
      <w:pPr>
        <w:numPr>
          <w:ilvl w:val="0"/>
          <w:numId w:val="61"/>
        </w:numPr>
        <w:spacing w:line="360" w:lineRule="auto"/>
        <w:ind w:left="425" w:leftChars="0" w:hanging="425" w:firstLineChars="0"/>
        <w:rPr>
          <w:rFonts w:hint="eastAsia"/>
          <w:sz w:val="21"/>
          <w:szCs w:val="21"/>
          <w:highlight w:val="none"/>
        </w:rPr>
      </w:pPr>
      <w:r>
        <w:rPr>
          <w:rFonts w:hint="eastAsia"/>
          <w:sz w:val="21"/>
          <w:szCs w:val="21"/>
          <w:highlight w:val="none"/>
        </w:rPr>
        <w:t>泳池给排水系统：含泳池相关设备、配套设施、阀门、管道、辅材、辅件、穿过泳池壁的管道须设置防水套管并做孔洞密闭封堵、防水处理等。给水主管阀门起至泳池给水系统；泳池排空管、溢流管等排水管，由</w:t>
      </w:r>
      <w:r>
        <w:rPr>
          <w:rFonts w:hint="eastAsia"/>
          <w:sz w:val="21"/>
          <w:szCs w:val="21"/>
          <w:highlight w:val="none"/>
          <w:lang w:val="en-US" w:eastAsia="zh-CN"/>
        </w:rPr>
        <w:t>承包人</w:t>
      </w:r>
      <w:r>
        <w:rPr>
          <w:rFonts w:hint="eastAsia"/>
          <w:sz w:val="21"/>
          <w:szCs w:val="21"/>
          <w:highlight w:val="none"/>
        </w:rPr>
        <w:t>接至最近集体井。</w:t>
      </w:r>
    </w:p>
    <w:p w14:paraId="3DD15696">
      <w:pPr>
        <w:numPr>
          <w:ilvl w:val="0"/>
          <w:numId w:val="61"/>
        </w:numPr>
        <w:spacing w:line="360" w:lineRule="auto"/>
        <w:ind w:left="425" w:leftChars="0" w:hanging="425" w:firstLineChars="0"/>
        <w:rPr>
          <w:rFonts w:hint="eastAsia"/>
          <w:sz w:val="21"/>
          <w:szCs w:val="21"/>
          <w:highlight w:val="none"/>
        </w:rPr>
      </w:pPr>
      <w:r>
        <w:rPr>
          <w:rFonts w:hint="eastAsia"/>
          <w:sz w:val="21"/>
          <w:szCs w:val="21"/>
          <w:highlight w:val="none"/>
        </w:rPr>
        <w:t>泳池电气系统：含配电箱、相关配管配线、线槽、灯具、变压器等泳池设备配电系统相关的设施配套。</w:t>
      </w:r>
    </w:p>
    <w:p w14:paraId="523D3707">
      <w:pPr>
        <w:numPr>
          <w:ilvl w:val="0"/>
          <w:numId w:val="61"/>
        </w:numPr>
        <w:spacing w:line="360" w:lineRule="auto"/>
        <w:ind w:left="425" w:leftChars="0" w:hanging="425" w:firstLineChars="0"/>
        <w:rPr>
          <w:rFonts w:hint="eastAsia"/>
          <w:sz w:val="21"/>
          <w:szCs w:val="21"/>
          <w:highlight w:val="none"/>
        </w:rPr>
      </w:pPr>
      <w:r>
        <w:rPr>
          <w:rFonts w:hint="eastAsia"/>
          <w:sz w:val="21"/>
          <w:szCs w:val="21"/>
          <w:highlight w:val="none"/>
        </w:rPr>
        <w:t>主配电箱和进线电缆总承包方负责，总配电箱出线到控制柜以及控制柜后的电线电缆均由中标单位负责。</w:t>
      </w:r>
    </w:p>
    <w:p w14:paraId="134180C0">
      <w:pPr>
        <w:numPr>
          <w:ilvl w:val="0"/>
          <w:numId w:val="61"/>
        </w:numPr>
        <w:spacing w:line="360" w:lineRule="auto"/>
        <w:ind w:left="425" w:leftChars="0" w:hanging="425" w:firstLineChars="0"/>
        <w:rPr>
          <w:rFonts w:hint="eastAsia" w:asciiTheme="majorEastAsia" w:hAnsiTheme="majorEastAsia" w:eastAsiaTheme="majorEastAsia"/>
          <w:color w:val="auto"/>
          <w:sz w:val="21"/>
          <w:szCs w:val="21"/>
          <w:highlight w:val="none"/>
        </w:rPr>
      </w:pPr>
      <w:r>
        <w:rPr>
          <w:rFonts w:hint="eastAsia"/>
          <w:sz w:val="21"/>
          <w:szCs w:val="21"/>
          <w:highlight w:val="none"/>
        </w:rPr>
        <w:t>其他工作：水电挂表与线路连接、跟进总承包方对泳池设备基础施工预留预埋与复核、确保设备调试后正常运行、及时提供结算资料与施工资料、保修期内保修。</w:t>
      </w:r>
    </w:p>
    <w:p w14:paraId="5B5F84D6">
      <w:pPr>
        <w:pStyle w:val="23"/>
        <w:numPr>
          <w:ilvl w:val="0"/>
          <w:numId w:val="2"/>
        </w:numPr>
        <w:spacing w:before="240" w:after="240" w:line="360" w:lineRule="auto"/>
        <w:ind w:firstLineChars="0"/>
        <w:jc w:val="left"/>
        <w:outlineLvl w:val="1"/>
        <w:rPr>
          <w:rFonts w:hint="eastAsia"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lang w:val="en-US" w:eastAsia="zh-CN"/>
        </w:rPr>
        <w:t>施工界面：</w:t>
      </w:r>
    </w:p>
    <w:p w14:paraId="11BE6797">
      <w:pPr>
        <w:pStyle w:val="4"/>
        <w:numPr>
          <w:ilvl w:val="0"/>
          <w:numId w:val="62"/>
        </w:numPr>
        <w:spacing w:before="0" w:after="0" w:line="240" w:lineRule="auto"/>
        <w:rPr>
          <w:rFonts w:asciiTheme="minorEastAsia" w:hAnsiTheme="minorEastAsia" w:eastAsiaTheme="minorEastAsia" w:cstheme="minorEastAsia"/>
          <w:bCs w:val="0"/>
          <w:kern w:val="2"/>
          <w:sz w:val="21"/>
          <w:szCs w:val="21"/>
        </w:rPr>
      </w:pPr>
      <w:r>
        <w:rPr>
          <w:rFonts w:hint="eastAsia" w:asciiTheme="minorEastAsia" w:hAnsiTheme="minorEastAsia" w:eastAsiaTheme="minorEastAsia" w:cstheme="minorEastAsia"/>
          <w:bCs w:val="0"/>
          <w:kern w:val="2"/>
          <w:sz w:val="21"/>
          <w:szCs w:val="21"/>
        </w:rPr>
        <w:t>泳池水处理机房施工界面划分</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6137"/>
        <w:gridCol w:w="1346"/>
        <w:gridCol w:w="1513"/>
      </w:tblGrid>
      <w:tr w14:paraId="7B11D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58" w:type="dxa"/>
            <w:vAlign w:val="center"/>
          </w:tcPr>
          <w:p w14:paraId="29716AE4">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序号</w:t>
            </w:r>
          </w:p>
        </w:tc>
        <w:tc>
          <w:tcPr>
            <w:tcW w:w="6137" w:type="dxa"/>
            <w:vAlign w:val="center"/>
          </w:tcPr>
          <w:p w14:paraId="60E83F86">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工作内容</w:t>
            </w:r>
          </w:p>
        </w:tc>
        <w:tc>
          <w:tcPr>
            <w:tcW w:w="1346" w:type="dxa"/>
            <w:vAlign w:val="center"/>
          </w:tcPr>
          <w:p w14:paraId="4F1D2ECD">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其他单位</w:t>
            </w:r>
          </w:p>
        </w:tc>
        <w:tc>
          <w:tcPr>
            <w:tcW w:w="1513" w:type="dxa"/>
            <w:vAlign w:val="center"/>
          </w:tcPr>
          <w:p w14:paraId="7F8BA98D">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泳池设备供应/安装单位</w:t>
            </w:r>
          </w:p>
        </w:tc>
      </w:tr>
      <w:tr w14:paraId="01F69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vAlign w:val="center"/>
          </w:tcPr>
          <w:p w14:paraId="6357C49F">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5E2A1E0D">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机房主体结构、内墙砌筑和抹灰等</w:t>
            </w:r>
          </w:p>
        </w:tc>
        <w:tc>
          <w:tcPr>
            <w:tcW w:w="1346" w:type="dxa"/>
            <w:vAlign w:val="center"/>
          </w:tcPr>
          <w:p w14:paraId="1D518C38">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513" w:type="dxa"/>
            <w:vAlign w:val="center"/>
          </w:tcPr>
          <w:p w14:paraId="65F41D6C">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3643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58" w:type="dxa"/>
            <w:vAlign w:val="center"/>
          </w:tcPr>
          <w:p w14:paraId="5B4FBC48">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5DBF3E78">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机房地面找平及垫层、设备基础、建筑垃圾清理。</w:t>
            </w:r>
          </w:p>
        </w:tc>
        <w:tc>
          <w:tcPr>
            <w:tcW w:w="1346" w:type="dxa"/>
            <w:vAlign w:val="center"/>
          </w:tcPr>
          <w:p w14:paraId="0E03B4E5">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513" w:type="dxa"/>
            <w:vAlign w:val="center"/>
          </w:tcPr>
          <w:p w14:paraId="723EE85B">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105F4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58" w:type="dxa"/>
            <w:vAlign w:val="center"/>
          </w:tcPr>
          <w:p w14:paraId="4E5C7B5D">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08E29DAD">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机房内精装工程的防水、天棚抹灰和其他装修工作</w:t>
            </w:r>
          </w:p>
        </w:tc>
        <w:tc>
          <w:tcPr>
            <w:tcW w:w="1346" w:type="dxa"/>
            <w:vAlign w:val="center"/>
          </w:tcPr>
          <w:p w14:paraId="07F8F507">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513" w:type="dxa"/>
            <w:vAlign w:val="center"/>
          </w:tcPr>
          <w:p w14:paraId="63621AF3">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30A06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vAlign w:val="center"/>
          </w:tcPr>
          <w:p w14:paraId="5523F09F">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4C259A8E">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在砼结构及砌块墙体上的预留孔、洞</w:t>
            </w:r>
          </w:p>
        </w:tc>
        <w:tc>
          <w:tcPr>
            <w:tcW w:w="1346" w:type="dxa"/>
            <w:vAlign w:val="center"/>
          </w:tcPr>
          <w:p w14:paraId="7C540A1B">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513" w:type="dxa"/>
            <w:vAlign w:val="center"/>
          </w:tcPr>
          <w:p w14:paraId="7F189CD2">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22E81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vAlign w:val="center"/>
          </w:tcPr>
          <w:p w14:paraId="58B8AD16">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193FFB10">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总电箱下桩头接线至泳池设备配电箱（包含除湿系统主机）及之后包含泳池配电箱的所有配电工程</w:t>
            </w:r>
          </w:p>
        </w:tc>
        <w:tc>
          <w:tcPr>
            <w:tcW w:w="1346" w:type="dxa"/>
            <w:vAlign w:val="center"/>
          </w:tcPr>
          <w:p w14:paraId="5E33B2E5">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c>
          <w:tcPr>
            <w:tcW w:w="1513" w:type="dxa"/>
            <w:vAlign w:val="center"/>
          </w:tcPr>
          <w:p w14:paraId="5DE5F8F6">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r>
      <w:tr w14:paraId="6BF3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vAlign w:val="center"/>
          </w:tcPr>
          <w:p w14:paraId="236C9524">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23DF8158">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带有阀门的市政补水管按图纸规格，分别接进泳池设备房、淋浴设备房内（进机房1米内），市政补水管需做好水表、倒流防止器、Y型过滤器等。</w:t>
            </w:r>
          </w:p>
        </w:tc>
        <w:tc>
          <w:tcPr>
            <w:tcW w:w="1346" w:type="dxa"/>
            <w:vAlign w:val="center"/>
          </w:tcPr>
          <w:p w14:paraId="0415944D">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513" w:type="dxa"/>
            <w:vAlign w:val="center"/>
          </w:tcPr>
          <w:p w14:paraId="559AE854">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71A8A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vAlign w:val="center"/>
          </w:tcPr>
          <w:p w14:paraId="480E0F6E">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6BFCD92E">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市政补水管接入泳池系统；</w:t>
            </w:r>
          </w:p>
        </w:tc>
        <w:tc>
          <w:tcPr>
            <w:tcW w:w="1346" w:type="dxa"/>
            <w:vAlign w:val="center"/>
          </w:tcPr>
          <w:p w14:paraId="6A08E98F">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c>
          <w:tcPr>
            <w:tcW w:w="1513" w:type="dxa"/>
            <w:vAlign w:val="center"/>
          </w:tcPr>
          <w:p w14:paraId="23774150">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r>
      <w:tr w14:paraId="70F7E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vAlign w:val="center"/>
          </w:tcPr>
          <w:p w14:paraId="35B1ADA8">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7EFDD01B">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泳池水处理设备及管道的安装；</w:t>
            </w:r>
          </w:p>
        </w:tc>
        <w:tc>
          <w:tcPr>
            <w:tcW w:w="1346" w:type="dxa"/>
            <w:vAlign w:val="center"/>
          </w:tcPr>
          <w:p w14:paraId="50C52B0C">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c>
          <w:tcPr>
            <w:tcW w:w="1513" w:type="dxa"/>
            <w:vAlign w:val="center"/>
          </w:tcPr>
          <w:p w14:paraId="51DFEEB5">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r>
      <w:tr w14:paraId="39383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vAlign w:val="center"/>
          </w:tcPr>
          <w:p w14:paraId="3EAF37E0">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5D3BA004">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集水井以及机房内坡向集水井的排水沟的设计和预留，并做好盖板</w:t>
            </w:r>
          </w:p>
        </w:tc>
        <w:tc>
          <w:tcPr>
            <w:tcW w:w="1346" w:type="dxa"/>
            <w:vAlign w:val="center"/>
          </w:tcPr>
          <w:p w14:paraId="66EBB1C3">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513" w:type="dxa"/>
            <w:vAlign w:val="center"/>
          </w:tcPr>
          <w:p w14:paraId="0E85E539">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68FFF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vAlign w:val="center"/>
          </w:tcPr>
          <w:p w14:paraId="1CF24D9C">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522D5D4C">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集水井内潜水排污泵应按满足图纸要求的设计流量提供并安装，以及排污管路的安装，以及集水井内潜污泵、闸阀、压力表、单向阀、软接、及污水排出管</w:t>
            </w:r>
          </w:p>
        </w:tc>
        <w:tc>
          <w:tcPr>
            <w:tcW w:w="1346" w:type="dxa"/>
            <w:vAlign w:val="center"/>
          </w:tcPr>
          <w:p w14:paraId="3A6A964F">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513" w:type="dxa"/>
            <w:vAlign w:val="center"/>
          </w:tcPr>
          <w:p w14:paraId="538660F0">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531D3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58" w:type="dxa"/>
            <w:vAlign w:val="center"/>
          </w:tcPr>
          <w:p w14:paraId="14F42F67">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7FA580BF">
            <w:pPr>
              <w:adjustRightInd w:val="0"/>
              <w:snapToGrid w:val="0"/>
              <w:rPr>
                <w:rFonts w:asciiTheme="minorEastAsia" w:hAnsiTheme="minorEastAsia" w:cstheme="minorEastAsia"/>
                <w:kern w:val="0"/>
                <w:sz w:val="21"/>
                <w:szCs w:val="21"/>
              </w:rPr>
            </w:pPr>
            <w:r>
              <w:rPr>
                <w:rFonts w:hint="eastAsia" w:asciiTheme="minorEastAsia" w:hAnsiTheme="minorEastAsia" w:cstheme="minorEastAsia"/>
                <w:kern w:val="0"/>
                <w:sz w:val="21"/>
                <w:szCs w:val="21"/>
              </w:rPr>
              <w:t>机房内所有排水沟渠盖板。</w:t>
            </w:r>
          </w:p>
        </w:tc>
        <w:tc>
          <w:tcPr>
            <w:tcW w:w="1346" w:type="dxa"/>
            <w:vAlign w:val="center"/>
          </w:tcPr>
          <w:p w14:paraId="4A748DF4">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513" w:type="dxa"/>
            <w:vAlign w:val="center"/>
          </w:tcPr>
          <w:p w14:paraId="4D9C1368">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122C3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vAlign w:val="center"/>
          </w:tcPr>
          <w:p w14:paraId="1CBBF78D">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23B8F727">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机房内空调及通风系统工程。</w:t>
            </w:r>
          </w:p>
        </w:tc>
        <w:tc>
          <w:tcPr>
            <w:tcW w:w="1346" w:type="dxa"/>
            <w:vAlign w:val="center"/>
          </w:tcPr>
          <w:p w14:paraId="5557217B">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513" w:type="dxa"/>
            <w:vAlign w:val="center"/>
          </w:tcPr>
          <w:p w14:paraId="6D659CF4">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05A17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vAlign w:val="center"/>
          </w:tcPr>
          <w:p w14:paraId="680A67BA">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5885CD52">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机房内照明、应急与疏散及消防工程。</w:t>
            </w:r>
          </w:p>
        </w:tc>
        <w:tc>
          <w:tcPr>
            <w:tcW w:w="1346" w:type="dxa"/>
            <w:vAlign w:val="center"/>
          </w:tcPr>
          <w:p w14:paraId="05187584">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513" w:type="dxa"/>
            <w:vAlign w:val="center"/>
          </w:tcPr>
          <w:p w14:paraId="433C4533">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780F6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 w:hRule="atLeast"/>
        </w:trPr>
        <w:tc>
          <w:tcPr>
            <w:tcW w:w="858" w:type="dxa"/>
            <w:vAlign w:val="center"/>
          </w:tcPr>
          <w:p w14:paraId="28D9F86E">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732CE25A">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机房等电位扁铁的提供，以及扁铁与建筑物等电位的连接</w:t>
            </w:r>
          </w:p>
        </w:tc>
        <w:tc>
          <w:tcPr>
            <w:tcW w:w="1346" w:type="dxa"/>
            <w:vAlign w:val="center"/>
          </w:tcPr>
          <w:p w14:paraId="1673E6DC">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513" w:type="dxa"/>
            <w:vAlign w:val="center"/>
          </w:tcPr>
          <w:p w14:paraId="4A283A4D">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5AB0E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vAlign w:val="center"/>
          </w:tcPr>
          <w:p w14:paraId="2C6FF9BF">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5C11027D">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机房等电位扁铁到各金属设备之间的等电位连接</w:t>
            </w:r>
          </w:p>
        </w:tc>
        <w:tc>
          <w:tcPr>
            <w:tcW w:w="1346" w:type="dxa"/>
            <w:vAlign w:val="center"/>
          </w:tcPr>
          <w:p w14:paraId="769DAEE2">
            <w:pPr>
              <w:widowControl/>
              <w:adjustRightInd w:val="0"/>
              <w:snapToGrid w:val="0"/>
              <w:jc w:val="center"/>
              <w:rPr>
                <w:rFonts w:asciiTheme="minorEastAsia" w:hAnsiTheme="minorEastAsia" w:cstheme="minorEastAsia"/>
                <w:kern w:val="0"/>
                <w:sz w:val="21"/>
                <w:szCs w:val="21"/>
              </w:rPr>
            </w:pPr>
          </w:p>
        </w:tc>
        <w:tc>
          <w:tcPr>
            <w:tcW w:w="1513" w:type="dxa"/>
            <w:vAlign w:val="center"/>
          </w:tcPr>
          <w:p w14:paraId="0656DD60">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r>
      <w:tr w14:paraId="5A509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vAlign w:val="center"/>
          </w:tcPr>
          <w:p w14:paraId="3FCBBCD2">
            <w:pPr>
              <w:widowControl/>
              <w:adjustRightInd w:val="0"/>
              <w:snapToGrid w:val="0"/>
              <w:jc w:val="center"/>
              <w:rPr>
                <w:rFonts w:asciiTheme="minorEastAsia" w:hAnsiTheme="minorEastAsia" w:cstheme="minorEastAsia"/>
                <w:kern w:val="0"/>
                <w:sz w:val="21"/>
                <w:szCs w:val="21"/>
              </w:rPr>
            </w:pPr>
          </w:p>
        </w:tc>
        <w:tc>
          <w:tcPr>
            <w:tcW w:w="6137" w:type="dxa"/>
            <w:shd w:val="clear" w:color="auto" w:fill="FFFF00"/>
            <w:vAlign w:val="center"/>
          </w:tcPr>
          <w:p w14:paraId="3E77CDC7">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除湿热泵系统风管、风口、风阀、静压箱等的安装</w:t>
            </w:r>
          </w:p>
        </w:tc>
        <w:tc>
          <w:tcPr>
            <w:tcW w:w="1346" w:type="dxa"/>
            <w:shd w:val="clear" w:color="auto" w:fill="FFFF00"/>
            <w:vAlign w:val="center"/>
          </w:tcPr>
          <w:p w14:paraId="708296AB">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513" w:type="dxa"/>
            <w:shd w:val="clear" w:color="auto" w:fill="FFFF00"/>
            <w:vAlign w:val="center"/>
          </w:tcPr>
          <w:p w14:paraId="56A6A8AC">
            <w:pPr>
              <w:widowControl/>
              <w:adjustRightInd w:val="0"/>
              <w:snapToGrid w:val="0"/>
              <w:jc w:val="center"/>
              <w:rPr>
                <w:rFonts w:asciiTheme="minorEastAsia" w:hAnsiTheme="minorEastAsia" w:cstheme="minorEastAsia"/>
                <w:kern w:val="0"/>
                <w:sz w:val="21"/>
                <w:szCs w:val="21"/>
              </w:rPr>
            </w:pPr>
          </w:p>
        </w:tc>
      </w:tr>
      <w:tr w14:paraId="0347A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vAlign w:val="center"/>
          </w:tcPr>
          <w:p w14:paraId="3A5A50F9">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6FB3A86E">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除湿热泵热回收设备及管路的安装；</w:t>
            </w:r>
          </w:p>
        </w:tc>
        <w:tc>
          <w:tcPr>
            <w:tcW w:w="1346" w:type="dxa"/>
            <w:vAlign w:val="center"/>
          </w:tcPr>
          <w:p w14:paraId="69F87EA8">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c>
          <w:tcPr>
            <w:tcW w:w="1513" w:type="dxa"/>
            <w:vAlign w:val="center"/>
          </w:tcPr>
          <w:p w14:paraId="34F2E2B6">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r>
      <w:tr w14:paraId="7D429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vAlign w:val="center"/>
          </w:tcPr>
          <w:p w14:paraId="336418A1">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77F6CC35">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在砼结构及砌块墙体上的预留孔洞、管、盒、防水套管、预埋件等施工的封堵。</w:t>
            </w:r>
          </w:p>
        </w:tc>
        <w:tc>
          <w:tcPr>
            <w:tcW w:w="1346" w:type="dxa"/>
            <w:vAlign w:val="center"/>
          </w:tcPr>
          <w:p w14:paraId="3654FCD4">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c>
          <w:tcPr>
            <w:tcW w:w="1513" w:type="dxa"/>
            <w:vAlign w:val="center"/>
          </w:tcPr>
          <w:p w14:paraId="59F68EEC">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r>
      <w:tr w14:paraId="3D970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8" w:hRule="atLeast"/>
        </w:trPr>
        <w:tc>
          <w:tcPr>
            <w:tcW w:w="858" w:type="dxa"/>
            <w:vAlign w:val="center"/>
          </w:tcPr>
          <w:p w14:paraId="3CCDB57D">
            <w:pPr>
              <w:widowControl/>
              <w:adjustRightInd w:val="0"/>
              <w:snapToGrid w:val="0"/>
              <w:jc w:val="center"/>
              <w:rPr>
                <w:rFonts w:asciiTheme="minorEastAsia" w:hAnsiTheme="minorEastAsia" w:cstheme="minorEastAsia"/>
                <w:kern w:val="0"/>
                <w:sz w:val="21"/>
                <w:szCs w:val="21"/>
              </w:rPr>
            </w:pPr>
          </w:p>
        </w:tc>
        <w:tc>
          <w:tcPr>
            <w:tcW w:w="6137" w:type="dxa"/>
            <w:vAlign w:val="center"/>
          </w:tcPr>
          <w:p w14:paraId="1934D85B">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泳池系统水处理及循环管道及设备（包含但不局限于其手自动控制及故障报警，泳池配电箱预留无缘干接点，输出对应信号，预留接入楼宇控制系统端口）</w:t>
            </w:r>
          </w:p>
        </w:tc>
        <w:tc>
          <w:tcPr>
            <w:tcW w:w="1346" w:type="dxa"/>
            <w:vAlign w:val="center"/>
          </w:tcPr>
          <w:p w14:paraId="7F137838">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c>
          <w:tcPr>
            <w:tcW w:w="1513" w:type="dxa"/>
            <w:vAlign w:val="center"/>
          </w:tcPr>
          <w:p w14:paraId="72A85DF3">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r>
    </w:tbl>
    <w:p w14:paraId="6B7DF464">
      <w:pPr>
        <w:rPr>
          <w:rFonts w:asciiTheme="minorEastAsia" w:hAnsiTheme="minorEastAsia" w:cstheme="minorEastAsia"/>
          <w:sz w:val="21"/>
          <w:szCs w:val="21"/>
        </w:rPr>
      </w:pPr>
    </w:p>
    <w:p w14:paraId="6EB2F79E">
      <w:pPr>
        <w:pStyle w:val="4"/>
        <w:numPr>
          <w:ilvl w:val="0"/>
          <w:numId w:val="62"/>
        </w:numPr>
        <w:spacing w:before="0" w:after="0" w:line="240" w:lineRule="auto"/>
        <w:rPr>
          <w:rFonts w:asciiTheme="minorEastAsia" w:hAnsiTheme="minorEastAsia" w:eastAsiaTheme="minorEastAsia" w:cstheme="minorEastAsia"/>
          <w:bCs w:val="0"/>
          <w:kern w:val="2"/>
          <w:sz w:val="21"/>
          <w:szCs w:val="21"/>
        </w:rPr>
      </w:pPr>
      <w:r>
        <w:rPr>
          <w:rFonts w:hint="eastAsia" w:asciiTheme="minorEastAsia" w:hAnsiTheme="minorEastAsia" w:eastAsiaTheme="minorEastAsia" w:cstheme="minorEastAsia"/>
          <w:bCs w:val="0"/>
          <w:kern w:val="2"/>
          <w:sz w:val="21"/>
          <w:szCs w:val="21"/>
        </w:rPr>
        <w:t>泳池区域施工界面划分</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6296"/>
        <w:gridCol w:w="1380"/>
        <w:gridCol w:w="1483"/>
      </w:tblGrid>
      <w:tr w14:paraId="4FF2E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14:paraId="5916EF92">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序号</w:t>
            </w:r>
          </w:p>
        </w:tc>
        <w:tc>
          <w:tcPr>
            <w:tcW w:w="6296" w:type="dxa"/>
            <w:vAlign w:val="center"/>
          </w:tcPr>
          <w:p w14:paraId="10956B51">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工作内容</w:t>
            </w:r>
          </w:p>
        </w:tc>
        <w:tc>
          <w:tcPr>
            <w:tcW w:w="1380" w:type="dxa"/>
            <w:vAlign w:val="center"/>
          </w:tcPr>
          <w:p w14:paraId="56F44C4E">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其他单位</w:t>
            </w:r>
          </w:p>
        </w:tc>
        <w:tc>
          <w:tcPr>
            <w:tcW w:w="1483" w:type="dxa"/>
            <w:vAlign w:val="center"/>
          </w:tcPr>
          <w:p w14:paraId="76A227FB">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泳池设备供应/安装单位</w:t>
            </w:r>
          </w:p>
        </w:tc>
      </w:tr>
      <w:tr w14:paraId="791A9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14:paraId="624A406F">
            <w:pPr>
              <w:widowControl/>
              <w:adjustRightInd w:val="0"/>
              <w:snapToGrid w:val="0"/>
              <w:jc w:val="center"/>
              <w:rPr>
                <w:rFonts w:asciiTheme="minorEastAsia" w:hAnsiTheme="minorEastAsia" w:cstheme="minorEastAsia"/>
                <w:kern w:val="0"/>
                <w:sz w:val="21"/>
                <w:szCs w:val="21"/>
              </w:rPr>
            </w:pPr>
          </w:p>
        </w:tc>
        <w:tc>
          <w:tcPr>
            <w:tcW w:w="6296" w:type="dxa"/>
            <w:vAlign w:val="center"/>
          </w:tcPr>
          <w:p w14:paraId="396B5799">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泳池池体结构，溢水沟结构</w:t>
            </w:r>
          </w:p>
        </w:tc>
        <w:tc>
          <w:tcPr>
            <w:tcW w:w="1380" w:type="dxa"/>
            <w:vAlign w:val="center"/>
          </w:tcPr>
          <w:p w14:paraId="1974EDC0">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483" w:type="dxa"/>
            <w:vAlign w:val="center"/>
          </w:tcPr>
          <w:p w14:paraId="174E731A">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1E114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14:paraId="13BB49A6">
            <w:pPr>
              <w:widowControl/>
              <w:adjustRightInd w:val="0"/>
              <w:snapToGrid w:val="0"/>
              <w:jc w:val="center"/>
              <w:rPr>
                <w:rFonts w:asciiTheme="minorEastAsia" w:hAnsiTheme="minorEastAsia" w:cstheme="minorEastAsia"/>
                <w:kern w:val="0"/>
                <w:sz w:val="21"/>
                <w:szCs w:val="21"/>
              </w:rPr>
            </w:pPr>
          </w:p>
        </w:tc>
        <w:tc>
          <w:tcPr>
            <w:tcW w:w="6296" w:type="dxa"/>
            <w:vAlign w:val="center"/>
          </w:tcPr>
          <w:p w14:paraId="24F7F38B">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泳池池底回填找平、池壁内二次结构体以及抹平，池底池壁贴马赛克，池壁压顶石的设置以及水沟的装修工作</w:t>
            </w:r>
          </w:p>
        </w:tc>
        <w:tc>
          <w:tcPr>
            <w:tcW w:w="1380" w:type="dxa"/>
            <w:vAlign w:val="center"/>
          </w:tcPr>
          <w:p w14:paraId="12940770">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483" w:type="dxa"/>
            <w:vAlign w:val="center"/>
          </w:tcPr>
          <w:p w14:paraId="5F26DEB7">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7BB74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14:paraId="7206C04C">
            <w:pPr>
              <w:widowControl/>
              <w:adjustRightInd w:val="0"/>
              <w:snapToGrid w:val="0"/>
              <w:jc w:val="center"/>
              <w:rPr>
                <w:rFonts w:asciiTheme="minorEastAsia" w:hAnsiTheme="minorEastAsia" w:cstheme="minorEastAsia"/>
                <w:kern w:val="0"/>
                <w:sz w:val="21"/>
                <w:szCs w:val="21"/>
              </w:rPr>
            </w:pPr>
          </w:p>
        </w:tc>
        <w:tc>
          <w:tcPr>
            <w:tcW w:w="6296" w:type="dxa"/>
            <w:vAlign w:val="center"/>
          </w:tcPr>
          <w:p w14:paraId="2C154C2F">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泳池套管的预埋、模板开孔、套管定位定标高等；</w:t>
            </w:r>
          </w:p>
        </w:tc>
        <w:tc>
          <w:tcPr>
            <w:tcW w:w="1380" w:type="dxa"/>
            <w:vAlign w:val="center"/>
          </w:tcPr>
          <w:p w14:paraId="0DC803B1">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483" w:type="dxa"/>
            <w:vAlign w:val="center"/>
          </w:tcPr>
          <w:p w14:paraId="06DA9C97">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49A53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14:paraId="4A4285FB">
            <w:pPr>
              <w:widowControl/>
              <w:adjustRightInd w:val="0"/>
              <w:snapToGrid w:val="0"/>
              <w:jc w:val="center"/>
              <w:rPr>
                <w:rFonts w:asciiTheme="minorEastAsia" w:hAnsiTheme="minorEastAsia" w:cstheme="minorEastAsia"/>
                <w:kern w:val="0"/>
                <w:sz w:val="21"/>
                <w:szCs w:val="21"/>
              </w:rPr>
            </w:pPr>
          </w:p>
        </w:tc>
        <w:tc>
          <w:tcPr>
            <w:tcW w:w="6296" w:type="dxa"/>
            <w:vAlign w:val="center"/>
          </w:tcPr>
          <w:p w14:paraId="5AFAAC10">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不锈钢扶梯预埋件的预埋；</w:t>
            </w:r>
          </w:p>
        </w:tc>
        <w:tc>
          <w:tcPr>
            <w:tcW w:w="1380" w:type="dxa"/>
            <w:vAlign w:val="center"/>
          </w:tcPr>
          <w:p w14:paraId="4ED8D5F8">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483" w:type="dxa"/>
            <w:vAlign w:val="center"/>
          </w:tcPr>
          <w:p w14:paraId="66A0B8E3">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74373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14:paraId="1CAD115F">
            <w:pPr>
              <w:widowControl/>
              <w:adjustRightInd w:val="0"/>
              <w:snapToGrid w:val="0"/>
              <w:jc w:val="center"/>
              <w:rPr>
                <w:rFonts w:asciiTheme="minorEastAsia" w:hAnsiTheme="minorEastAsia" w:cstheme="minorEastAsia"/>
                <w:kern w:val="0"/>
                <w:sz w:val="21"/>
                <w:szCs w:val="21"/>
              </w:rPr>
            </w:pPr>
          </w:p>
        </w:tc>
        <w:tc>
          <w:tcPr>
            <w:tcW w:w="6296" w:type="dxa"/>
            <w:vAlign w:val="center"/>
          </w:tcPr>
          <w:p w14:paraId="0C43C460">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泳池布水口、池底防虹吸回水器</w:t>
            </w:r>
          </w:p>
        </w:tc>
        <w:tc>
          <w:tcPr>
            <w:tcW w:w="1380" w:type="dxa"/>
            <w:vAlign w:val="center"/>
          </w:tcPr>
          <w:p w14:paraId="7D43CE0B">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c>
          <w:tcPr>
            <w:tcW w:w="1483" w:type="dxa"/>
            <w:vAlign w:val="center"/>
          </w:tcPr>
          <w:p w14:paraId="24D83CED">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r>
      <w:tr w14:paraId="7B25A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14:paraId="1AB45818">
            <w:pPr>
              <w:widowControl/>
              <w:adjustRightInd w:val="0"/>
              <w:snapToGrid w:val="0"/>
              <w:jc w:val="center"/>
              <w:rPr>
                <w:rFonts w:asciiTheme="minorEastAsia" w:hAnsiTheme="minorEastAsia" w:cstheme="minorEastAsia"/>
                <w:kern w:val="0"/>
                <w:sz w:val="21"/>
                <w:szCs w:val="21"/>
              </w:rPr>
            </w:pPr>
          </w:p>
        </w:tc>
        <w:tc>
          <w:tcPr>
            <w:tcW w:w="6296" w:type="dxa"/>
            <w:vAlign w:val="center"/>
          </w:tcPr>
          <w:p w14:paraId="16922FD4">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LED嵌壁水下灯等附件的安装；</w:t>
            </w:r>
          </w:p>
        </w:tc>
        <w:tc>
          <w:tcPr>
            <w:tcW w:w="1380" w:type="dxa"/>
            <w:vAlign w:val="center"/>
          </w:tcPr>
          <w:p w14:paraId="0A19AD72">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483" w:type="dxa"/>
            <w:vAlign w:val="center"/>
          </w:tcPr>
          <w:p w14:paraId="25DF4BB3">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0E18D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14:paraId="5B39737E">
            <w:pPr>
              <w:widowControl/>
              <w:adjustRightInd w:val="0"/>
              <w:snapToGrid w:val="0"/>
              <w:jc w:val="center"/>
              <w:rPr>
                <w:rFonts w:asciiTheme="minorEastAsia" w:hAnsiTheme="minorEastAsia" w:cstheme="minorEastAsia"/>
                <w:kern w:val="0"/>
                <w:sz w:val="21"/>
                <w:szCs w:val="21"/>
              </w:rPr>
            </w:pPr>
          </w:p>
        </w:tc>
        <w:tc>
          <w:tcPr>
            <w:tcW w:w="6296" w:type="dxa"/>
            <w:vAlign w:val="center"/>
          </w:tcPr>
          <w:p w14:paraId="73B32D36">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泳池各附件连接到泳池机房设备的管路安装</w:t>
            </w:r>
          </w:p>
        </w:tc>
        <w:tc>
          <w:tcPr>
            <w:tcW w:w="1380" w:type="dxa"/>
            <w:vAlign w:val="center"/>
          </w:tcPr>
          <w:p w14:paraId="7FF2E40D">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c>
          <w:tcPr>
            <w:tcW w:w="1483" w:type="dxa"/>
            <w:vAlign w:val="center"/>
          </w:tcPr>
          <w:p w14:paraId="575C370B">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r>
      <w:tr w14:paraId="275A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14:paraId="70D76403">
            <w:pPr>
              <w:widowControl/>
              <w:adjustRightInd w:val="0"/>
              <w:snapToGrid w:val="0"/>
              <w:jc w:val="center"/>
              <w:rPr>
                <w:rFonts w:asciiTheme="minorEastAsia" w:hAnsiTheme="minorEastAsia" w:cstheme="minorEastAsia"/>
                <w:kern w:val="0"/>
                <w:sz w:val="21"/>
                <w:szCs w:val="21"/>
              </w:rPr>
            </w:pPr>
          </w:p>
        </w:tc>
        <w:tc>
          <w:tcPr>
            <w:tcW w:w="6296" w:type="dxa"/>
            <w:vAlign w:val="center"/>
          </w:tcPr>
          <w:p w14:paraId="45A9F232">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泳池溢水格栅等配套设施的安装；</w:t>
            </w:r>
          </w:p>
        </w:tc>
        <w:tc>
          <w:tcPr>
            <w:tcW w:w="1380" w:type="dxa"/>
            <w:vAlign w:val="center"/>
          </w:tcPr>
          <w:p w14:paraId="69D2ECDD">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483" w:type="dxa"/>
            <w:vAlign w:val="center"/>
          </w:tcPr>
          <w:p w14:paraId="219F9F02">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5E710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14:paraId="4ECCF8E5">
            <w:pPr>
              <w:widowControl/>
              <w:adjustRightInd w:val="0"/>
              <w:snapToGrid w:val="0"/>
              <w:jc w:val="center"/>
              <w:rPr>
                <w:rFonts w:asciiTheme="minorEastAsia" w:hAnsiTheme="minorEastAsia" w:cstheme="minorEastAsia"/>
                <w:kern w:val="0"/>
                <w:sz w:val="21"/>
                <w:szCs w:val="21"/>
              </w:rPr>
            </w:pPr>
          </w:p>
        </w:tc>
        <w:tc>
          <w:tcPr>
            <w:tcW w:w="6296" w:type="dxa"/>
            <w:vAlign w:val="center"/>
          </w:tcPr>
          <w:p w14:paraId="0B367181">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浸脚池的施工包含土建部分及给排水部分</w:t>
            </w:r>
          </w:p>
        </w:tc>
        <w:tc>
          <w:tcPr>
            <w:tcW w:w="1380" w:type="dxa"/>
            <w:vAlign w:val="center"/>
          </w:tcPr>
          <w:p w14:paraId="2161D94E">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483" w:type="dxa"/>
            <w:vAlign w:val="center"/>
          </w:tcPr>
          <w:p w14:paraId="34B7233B">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4B9C3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14:paraId="0A16B88E">
            <w:pPr>
              <w:widowControl/>
              <w:adjustRightInd w:val="0"/>
              <w:snapToGrid w:val="0"/>
              <w:jc w:val="center"/>
              <w:rPr>
                <w:rFonts w:asciiTheme="minorEastAsia" w:hAnsiTheme="minorEastAsia" w:cstheme="minorEastAsia"/>
                <w:kern w:val="0"/>
                <w:sz w:val="21"/>
                <w:szCs w:val="21"/>
              </w:rPr>
            </w:pPr>
          </w:p>
        </w:tc>
        <w:tc>
          <w:tcPr>
            <w:tcW w:w="6296" w:type="dxa"/>
            <w:vAlign w:val="center"/>
          </w:tcPr>
          <w:p w14:paraId="630AA373">
            <w:pPr>
              <w:widowControl/>
              <w:adjustRightInd w:val="0"/>
              <w:snapToGrid w:val="0"/>
              <w:jc w:val="left"/>
              <w:rPr>
                <w:rFonts w:asciiTheme="minorEastAsia" w:hAnsiTheme="minorEastAsia" w:cstheme="minorEastAsia"/>
                <w:kern w:val="0"/>
                <w:sz w:val="21"/>
                <w:szCs w:val="21"/>
              </w:rPr>
            </w:pPr>
            <w:r>
              <w:rPr>
                <w:rFonts w:hint="eastAsia" w:asciiTheme="minorEastAsia" w:hAnsiTheme="minorEastAsia" w:cstheme="minorEastAsia"/>
                <w:kern w:val="0"/>
                <w:sz w:val="21"/>
                <w:szCs w:val="21"/>
              </w:rPr>
              <w:t>泳池周边废水排水管及相关地漏的安装</w:t>
            </w:r>
          </w:p>
        </w:tc>
        <w:tc>
          <w:tcPr>
            <w:tcW w:w="1380" w:type="dxa"/>
            <w:vAlign w:val="center"/>
          </w:tcPr>
          <w:p w14:paraId="3D4CEF8F">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483" w:type="dxa"/>
            <w:vAlign w:val="center"/>
          </w:tcPr>
          <w:p w14:paraId="5EE4EE2D">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r w14:paraId="3E409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14:paraId="0E4AFED1">
            <w:pPr>
              <w:widowControl/>
              <w:adjustRightInd w:val="0"/>
              <w:snapToGrid w:val="0"/>
              <w:jc w:val="center"/>
              <w:rPr>
                <w:rFonts w:asciiTheme="minorEastAsia" w:hAnsiTheme="minorEastAsia" w:cstheme="minorEastAsia"/>
                <w:kern w:val="0"/>
                <w:sz w:val="21"/>
                <w:szCs w:val="21"/>
              </w:rPr>
            </w:pPr>
          </w:p>
        </w:tc>
        <w:tc>
          <w:tcPr>
            <w:tcW w:w="6296" w:type="dxa"/>
            <w:vAlign w:val="center"/>
          </w:tcPr>
          <w:p w14:paraId="453F1997">
            <w:pPr>
              <w:widowControl/>
              <w:adjustRightInd w:val="0"/>
              <w:snapToGrid w:val="0"/>
              <w:jc w:val="left"/>
              <w:rPr>
                <w:rFonts w:asciiTheme="minorEastAsia" w:hAnsiTheme="minorEastAsia" w:cstheme="minorEastAsia"/>
                <w:kern w:val="0"/>
                <w:sz w:val="21"/>
                <w:szCs w:val="21"/>
              </w:rPr>
            </w:pPr>
            <w:bookmarkStart w:id="292" w:name="_GoBack"/>
            <w:bookmarkEnd w:id="292"/>
            <w:r>
              <w:rPr>
                <w:rFonts w:hint="eastAsia" w:asciiTheme="minorEastAsia" w:hAnsiTheme="minorEastAsia" w:cstheme="minorEastAsia"/>
                <w:kern w:val="0"/>
                <w:sz w:val="21"/>
                <w:szCs w:val="21"/>
              </w:rPr>
              <w:t>浸脚池等给排水部分</w:t>
            </w:r>
          </w:p>
        </w:tc>
        <w:tc>
          <w:tcPr>
            <w:tcW w:w="1380" w:type="dxa"/>
            <w:vAlign w:val="center"/>
          </w:tcPr>
          <w:p w14:paraId="0B7275E4">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w:t>
            </w:r>
          </w:p>
        </w:tc>
        <w:tc>
          <w:tcPr>
            <w:tcW w:w="1483" w:type="dxa"/>
            <w:vAlign w:val="center"/>
          </w:tcPr>
          <w:p w14:paraId="223A1CB8">
            <w:pPr>
              <w:widowControl/>
              <w:adjustRightInd w:val="0"/>
              <w:snapToGrid w:val="0"/>
              <w:jc w:val="center"/>
              <w:rPr>
                <w:rFonts w:asciiTheme="minorEastAsia" w:hAnsiTheme="minorEastAsia" w:cstheme="minorEastAsia"/>
                <w:kern w:val="0"/>
                <w:sz w:val="21"/>
                <w:szCs w:val="21"/>
              </w:rPr>
            </w:pPr>
            <w:r>
              <w:rPr>
                <w:rFonts w:hint="eastAsia" w:asciiTheme="minorEastAsia" w:hAnsiTheme="minorEastAsia" w:cstheme="minorEastAsia"/>
                <w:kern w:val="0"/>
                <w:sz w:val="21"/>
                <w:szCs w:val="21"/>
              </w:rPr>
              <w:t>　</w:t>
            </w:r>
          </w:p>
        </w:tc>
      </w:tr>
    </w:tbl>
    <w:p w14:paraId="3A433DBD">
      <w:pPr>
        <w:pStyle w:val="23"/>
        <w:spacing w:before="240" w:after="240"/>
        <w:ind w:firstLine="0" w:firstLineChars="0"/>
        <w:jc w:val="left"/>
        <w:outlineLvl w:val="1"/>
        <w:rPr>
          <w:rFonts w:hint="eastAsia" w:asciiTheme="minorEastAsia" w:hAnsiTheme="minorEastAsia" w:cstheme="minorEastAsia"/>
          <w:sz w:val="21"/>
          <w:szCs w:val="21"/>
        </w:rPr>
      </w:pP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4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阿里巴巴普惠体">
    <w:altName w:val="宋体"/>
    <w:panose1 w:val="00020600040101010101"/>
    <w:charset w:val="86"/>
    <w:family w:val="auto"/>
    <w:pitch w:val="default"/>
    <w:sig w:usb0="00000000" w:usb1="00000000" w:usb2="0000001E" w:usb3="00000000" w:csb0="0004009F"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0CD01">
    <w:pPr>
      <w:pStyle w:val="9"/>
      <w:ind w:right="90"/>
      <w:jc w:val="right"/>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joinstyle="miter"/>
          <v:imagedata o:title=""/>
          <o:lock v:ext="edit"/>
          <v:textbox inset="0mm,0mm,0mm,0mm" style="mso-fit-shape-to-text:t;">
            <w:txbxContent>
              <w:p w14:paraId="1AAF8170">
                <w:pPr>
                  <w:pStyle w:val="9"/>
                  <w:ind w:right="90"/>
                  <w:jc w:val="right"/>
                </w:pPr>
                <w:r>
                  <w:fldChar w:fldCharType="begin"/>
                </w:r>
                <w:r>
                  <w:instrText xml:space="preserve"> PAGE   \* MERGEFORMAT </w:instrText>
                </w:r>
                <w:r>
                  <w:fldChar w:fldCharType="separate"/>
                </w:r>
                <w:r>
                  <w:rPr>
                    <w:lang w:val="zh-CN"/>
                  </w:rPr>
                  <w:t>27</w:t>
                </w:r>
                <w:r>
                  <w:rPr>
                    <w:lang w:val="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238FC6"/>
    <w:multiLevelType w:val="multilevel"/>
    <w:tmpl w:val="AB238FC6"/>
    <w:lvl w:ilvl="0" w:tentative="0">
      <w:start w:val="1"/>
      <w:numFmt w:val="upperLetter"/>
      <w:lvlText w:val="%1."/>
      <w:lvlJc w:val="left"/>
      <w:pPr>
        <w:ind w:left="17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AFB60DEA"/>
    <w:multiLevelType w:val="multilevel"/>
    <w:tmpl w:val="AFB60DEA"/>
    <w:lvl w:ilvl="0" w:tentative="0">
      <w:start w:val="1"/>
      <w:numFmt w:val="upperLetter"/>
      <w:lvlText w:val="%1."/>
      <w:lvlJc w:val="left"/>
      <w:pPr>
        <w:ind w:left="1740" w:hanging="420"/>
      </w:pPr>
    </w:lvl>
    <w:lvl w:ilvl="1" w:tentative="0">
      <w:start w:val="1"/>
      <w:numFmt w:val="lowerLetter"/>
      <w:lvlText w:val="%2)"/>
      <w:lvlJc w:val="left"/>
      <w:pPr>
        <w:ind w:left="2160" w:hanging="420"/>
      </w:p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2">
    <w:nsid w:val="C56D857D"/>
    <w:multiLevelType w:val="singleLevel"/>
    <w:tmpl w:val="C56D857D"/>
    <w:lvl w:ilvl="0" w:tentative="0">
      <w:start w:val="1"/>
      <w:numFmt w:val="decimal"/>
      <w:lvlText w:val="%1)"/>
      <w:lvlJc w:val="left"/>
      <w:pPr>
        <w:tabs>
          <w:tab w:val="left" w:pos="420"/>
        </w:tabs>
        <w:ind w:left="845" w:hanging="425"/>
      </w:pPr>
      <w:rPr>
        <w:rFonts w:hint="default"/>
      </w:rPr>
    </w:lvl>
  </w:abstractNum>
  <w:abstractNum w:abstractNumId="3">
    <w:nsid w:val="D7C1BCE2"/>
    <w:multiLevelType w:val="singleLevel"/>
    <w:tmpl w:val="D7C1BCE2"/>
    <w:lvl w:ilvl="0" w:tentative="0">
      <w:start w:val="1"/>
      <w:numFmt w:val="decimal"/>
      <w:lvlText w:val="%1)"/>
      <w:lvlJc w:val="left"/>
      <w:pPr>
        <w:ind w:left="425" w:hanging="425"/>
      </w:pPr>
      <w:rPr>
        <w:rFonts w:hint="default"/>
      </w:rPr>
    </w:lvl>
  </w:abstractNum>
  <w:abstractNum w:abstractNumId="4">
    <w:nsid w:val="DA08B0CF"/>
    <w:multiLevelType w:val="multilevel"/>
    <w:tmpl w:val="DA08B0CF"/>
    <w:lvl w:ilvl="0" w:tentative="0">
      <w:start w:val="1"/>
      <w:numFmt w:val="upperLetter"/>
      <w:lvlText w:val="%1."/>
      <w:lvlJc w:val="left"/>
      <w:pPr>
        <w:ind w:left="1211" w:hanging="360"/>
      </w:pPr>
      <w:rPr>
        <w:rFonts w:hint="default"/>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5">
    <w:nsid w:val="F10769D2"/>
    <w:multiLevelType w:val="multilevel"/>
    <w:tmpl w:val="F10769D2"/>
    <w:lvl w:ilvl="0" w:tentative="0">
      <w:start w:val="1"/>
      <w:numFmt w:val="decimal"/>
      <w:lvlText w:val="%1."/>
      <w:lvlJc w:val="left"/>
      <w:pPr>
        <w:ind w:left="0" w:firstLine="0"/>
      </w:pPr>
      <w:rPr>
        <w:rFonts w:hint="eastAsia"/>
      </w:rPr>
    </w:lvl>
    <w:lvl w:ilvl="1" w:tentative="0">
      <w:start w:val="1"/>
      <w:numFmt w:val="decimal"/>
      <w:suff w:val="nothing"/>
      <w:lvlText w:val="%1.%2."/>
      <w:lvlJc w:val="left"/>
      <w:pPr>
        <w:ind w:left="0" w:firstLine="0"/>
      </w:pPr>
      <w:rPr>
        <w:rFonts w:hint="eastAsia" w:eastAsia="宋体" w:asciiTheme="minorEastAsia" w:hAnsiTheme="minorEastAsia"/>
      </w:rPr>
    </w:lvl>
    <w:lvl w:ilvl="2" w:tentative="0">
      <w:start w:val="1"/>
      <w:numFmt w:val="decimal"/>
      <w:suff w:val="nothing"/>
      <w:lvlText w:val="%1.%2.%3."/>
      <w:lvlJc w:val="left"/>
      <w:pPr>
        <w:ind w:left="420" w:firstLine="0"/>
      </w:pPr>
      <w:rPr>
        <w:rFonts w:hint="eastAsia" w:eastAsia="宋体" w:asciiTheme="minorEastAsia" w:hAnsiTheme="minorEastAsia"/>
      </w:rPr>
    </w:lvl>
    <w:lvl w:ilvl="3" w:tentative="0">
      <w:start w:val="1"/>
      <w:numFmt w:val="decimal"/>
      <w:suff w:val="nothing"/>
      <w:lvlText w:val="%1.%2.%3.%4."/>
      <w:lvlJc w:val="left"/>
      <w:pPr>
        <w:ind w:left="0" w:firstLine="0"/>
      </w:pPr>
      <w:rPr>
        <w:rFonts w:hint="eastAsia" w:eastAsia="宋体" w:asciiTheme="minorEastAsia" w:hAnsiTheme="minor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6">
    <w:nsid w:val="08037EA0"/>
    <w:multiLevelType w:val="multilevel"/>
    <w:tmpl w:val="08037EA0"/>
    <w:lvl w:ilvl="0" w:tentative="0">
      <w:start w:val="1"/>
      <w:numFmt w:val="upperLetter"/>
      <w:lvlText w:val="%1."/>
      <w:lvlJc w:val="left"/>
      <w:pPr>
        <w:ind w:left="17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8677897"/>
    <w:multiLevelType w:val="multilevel"/>
    <w:tmpl w:val="08677897"/>
    <w:lvl w:ilvl="0" w:tentative="0">
      <w:start w:val="1"/>
      <w:numFmt w:val="upperLetter"/>
      <w:lvlText w:val="%1."/>
      <w:lvlJc w:val="left"/>
      <w:pPr>
        <w:ind w:left="17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8A73076"/>
    <w:multiLevelType w:val="multilevel"/>
    <w:tmpl w:val="08A73076"/>
    <w:lvl w:ilvl="0" w:tentative="0">
      <w:start w:val="1"/>
      <w:numFmt w:val="upperLetter"/>
      <w:lvlText w:val="%1."/>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95062BC"/>
    <w:multiLevelType w:val="multilevel"/>
    <w:tmpl w:val="095062BC"/>
    <w:lvl w:ilvl="0" w:tentative="0">
      <w:start w:val="1"/>
      <w:numFmt w:val="upperLetter"/>
      <w:lvlText w:val="%1."/>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A3F4E7A"/>
    <w:multiLevelType w:val="multilevel"/>
    <w:tmpl w:val="0A3F4E7A"/>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A6616DB"/>
    <w:multiLevelType w:val="multilevel"/>
    <w:tmpl w:val="0A6616DB"/>
    <w:lvl w:ilvl="0" w:tentative="0">
      <w:start w:val="1"/>
      <w:numFmt w:val="upperLetter"/>
      <w:lvlText w:val="%1."/>
      <w:lvlJc w:val="left"/>
      <w:pPr>
        <w:tabs>
          <w:tab w:val="left" w:pos="0"/>
        </w:tabs>
        <w:ind w:left="1740" w:hanging="420"/>
      </w:pPr>
      <w:rPr>
        <w:rFonts w:hint="eastAsia"/>
      </w:rPr>
    </w:lvl>
    <w:lvl w:ilvl="1" w:tentative="0">
      <w:start w:val="1"/>
      <w:numFmt w:val="upperLetter"/>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BFF2F1D"/>
    <w:multiLevelType w:val="singleLevel"/>
    <w:tmpl w:val="0BFF2F1D"/>
    <w:lvl w:ilvl="0" w:tentative="0">
      <w:start w:val="1"/>
      <w:numFmt w:val="decimal"/>
      <w:lvlText w:val="(%1)"/>
      <w:lvlJc w:val="left"/>
      <w:pPr>
        <w:ind w:left="425" w:hanging="425"/>
      </w:pPr>
      <w:rPr>
        <w:rFonts w:hint="default"/>
      </w:rPr>
    </w:lvl>
  </w:abstractNum>
  <w:abstractNum w:abstractNumId="13">
    <w:nsid w:val="0C16A244"/>
    <w:multiLevelType w:val="singleLevel"/>
    <w:tmpl w:val="0C16A244"/>
    <w:lvl w:ilvl="0" w:tentative="0">
      <w:start w:val="1"/>
      <w:numFmt w:val="decimal"/>
      <w:lvlText w:val="%1)"/>
      <w:lvlJc w:val="left"/>
      <w:pPr>
        <w:ind w:left="425" w:hanging="425"/>
      </w:pPr>
      <w:rPr>
        <w:rFonts w:hint="default"/>
      </w:rPr>
    </w:lvl>
  </w:abstractNum>
  <w:abstractNum w:abstractNumId="14">
    <w:nsid w:val="0EE63C03"/>
    <w:multiLevelType w:val="multilevel"/>
    <w:tmpl w:val="0EE63C03"/>
    <w:lvl w:ilvl="0" w:tentative="0">
      <w:start w:val="1"/>
      <w:numFmt w:val="upperLetter"/>
      <w:lvlText w:val="%1."/>
      <w:lvlJc w:val="left"/>
      <w:pPr>
        <w:ind w:left="17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10925126"/>
    <w:multiLevelType w:val="multilevel"/>
    <w:tmpl w:val="10925126"/>
    <w:lvl w:ilvl="0" w:tentative="0">
      <w:start w:val="1"/>
      <w:numFmt w:val="upperLetter"/>
      <w:lvlText w:val="%1."/>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1AD23224"/>
    <w:multiLevelType w:val="multilevel"/>
    <w:tmpl w:val="1AD23224"/>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1CF17607"/>
    <w:multiLevelType w:val="multilevel"/>
    <w:tmpl w:val="1CF17607"/>
    <w:lvl w:ilvl="0" w:tentative="0">
      <w:start w:val="1"/>
      <w:numFmt w:val="upperLetter"/>
      <w:lvlText w:val="%1."/>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1E6F334C"/>
    <w:multiLevelType w:val="multilevel"/>
    <w:tmpl w:val="1E6F334C"/>
    <w:lvl w:ilvl="0" w:tentative="0">
      <w:start w:val="1"/>
      <w:numFmt w:val="lowerLetter"/>
      <w:lvlText w:val="%1."/>
      <w:lvlJc w:val="left"/>
      <w:pPr>
        <w:tabs>
          <w:tab w:val="left" w:pos="1080"/>
        </w:tabs>
        <w:ind w:left="1080" w:hanging="360"/>
      </w:pPr>
      <w:rPr>
        <w:rFonts w:hint="default"/>
        <w:b w:val="0"/>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360"/>
        </w:tabs>
        <w:ind w:left="360" w:hanging="420"/>
      </w:pPr>
    </w:lvl>
    <w:lvl w:ilvl="3" w:tentative="0">
      <w:start w:val="1"/>
      <w:numFmt w:val="decimal"/>
      <w:lvlText w:val="%4."/>
      <w:lvlJc w:val="left"/>
      <w:pPr>
        <w:tabs>
          <w:tab w:val="left" w:pos="780"/>
        </w:tabs>
        <w:ind w:left="780" w:hanging="420"/>
      </w:pPr>
    </w:lvl>
    <w:lvl w:ilvl="4" w:tentative="0">
      <w:start w:val="1"/>
      <w:numFmt w:val="lowerLetter"/>
      <w:lvlText w:val="%5)"/>
      <w:lvlJc w:val="left"/>
      <w:pPr>
        <w:tabs>
          <w:tab w:val="left" w:pos="1200"/>
        </w:tabs>
        <w:ind w:left="1200" w:hanging="420"/>
      </w:pPr>
    </w:lvl>
    <w:lvl w:ilvl="5" w:tentative="0">
      <w:start w:val="1"/>
      <w:numFmt w:val="lowerRoman"/>
      <w:lvlText w:val="%6."/>
      <w:lvlJc w:val="right"/>
      <w:pPr>
        <w:tabs>
          <w:tab w:val="left" w:pos="1620"/>
        </w:tabs>
        <w:ind w:left="1620" w:hanging="420"/>
      </w:pPr>
    </w:lvl>
    <w:lvl w:ilvl="6" w:tentative="0">
      <w:start w:val="1"/>
      <w:numFmt w:val="decimal"/>
      <w:lvlText w:val="%7."/>
      <w:lvlJc w:val="left"/>
      <w:pPr>
        <w:tabs>
          <w:tab w:val="left" w:pos="2040"/>
        </w:tabs>
        <w:ind w:left="2040" w:hanging="420"/>
      </w:pPr>
    </w:lvl>
    <w:lvl w:ilvl="7" w:tentative="0">
      <w:start w:val="1"/>
      <w:numFmt w:val="lowerLetter"/>
      <w:lvlText w:val="%8)"/>
      <w:lvlJc w:val="left"/>
      <w:pPr>
        <w:tabs>
          <w:tab w:val="left" w:pos="2460"/>
        </w:tabs>
        <w:ind w:left="2460" w:hanging="420"/>
      </w:pPr>
    </w:lvl>
    <w:lvl w:ilvl="8" w:tentative="0">
      <w:start w:val="1"/>
      <w:numFmt w:val="lowerRoman"/>
      <w:lvlText w:val="%9."/>
      <w:lvlJc w:val="right"/>
      <w:pPr>
        <w:tabs>
          <w:tab w:val="left" w:pos="2880"/>
        </w:tabs>
        <w:ind w:left="2880" w:hanging="420"/>
      </w:pPr>
    </w:lvl>
  </w:abstractNum>
  <w:abstractNum w:abstractNumId="19">
    <w:nsid w:val="1F460B34"/>
    <w:multiLevelType w:val="multilevel"/>
    <w:tmpl w:val="1F460B34"/>
    <w:lvl w:ilvl="0" w:tentative="0">
      <w:start w:val="1"/>
      <w:numFmt w:val="upperLetter"/>
      <w:lvlText w:val="%1."/>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1FB35C76"/>
    <w:multiLevelType w:val="multilevel"/>
    <w:tmpl w:val="1FB35C76"/>
    <w:lvl w:ilvl="0" w:tentative="0">
      <w:start w:val="1"/>
      <w:numFmt w:val="lowerLetter"/>
      <w:lvlText w:val="%1."/>
      <w:lvlJc w:val="left"/>
      <w:pPr>
        <w:tabs>
          <w:tab w:val="left" w:pos="990"/>
        </w:tabs>
        <w:ind w:left="990" w:hanging="360"/>
      </w:pPr>
      <w:rPr>
        <w:rFonts w:hint="default"/>
      </w:rPr>
    </w:lvl>
    <w:lvl w:ilvl="1" w:tentative="0">
      <w:start w:val="1"/>
      <w:numFmt w:val="lowerLetter"/>
      <w:lvlText w:val="%2)"/>
      <w:lvlJc w:val="left"/>
      <w:pPr>
        <w:tabs>
          <w:tab w:val="left" w:pos="-150"/>
        </w:tabs>
        <w:ind w:left="-150" w:hanging="420"/>
      </w:pPr>
    </w:lvl>
    <w:lvl w:ilvl="2" w:tentative="0">
      <w:start w:val="1"/>
      <w:numFmt w:val="lowerRoman"/>
      <w:lvlText w:val="%3."/>
      <w:lvlJc w:val="right"/>
      <w:pPr>
        <w:tabs>
          <w:tab w:val="left" w:pos="270"/>
        </w:tabs>
        <w:ind w:left="270" w:hanging="420"/>
      </w:pPr>
    </w:lvl>
    <w:lvl w:ilvl="3" w:tentative="0">
      <w:start w:val="1"/>
      <w:numFmt w:val="decimal"/>
      <w:lvlText w:val="%4."/>
      <w:lvlJc w:val="left"/>
      <w:pPr>
        <w:tabs>
          <w:tab w:val="left" w:pos="690"/>
        </w:tabs>
        <w:ind w:left="690" w:hanging="420"/>
      </w:pPr>
    </w:lvl>
    <w:lvl w:ilvl="4" w:tentative="0">
      <w:start w:val="1"/>
      <w:numFmt w:val="lowerLetter"/>
      <w:lvlText w:val="%5)"/>
      <w:lvlJc w:val="left"/>
      <w:pPr>
        <w:tabs>
          <w:tab w:val="left" w:pos="1110"/>
        </w:tabs>
        <w:ind w:left="1110" w:hanging="420"/>
      </w:pPr>
    </w:lvl>
    <w:lvl w:ilvl="5" w:tentative="0">
      <w:start w:val="1"/>
      <w:numFmt w:val="lowerRoman"/>
      <w:lvlText w:val="%6."/>
      <w:lvlJc w:val="right"/>
      <w:pPr>
        <w:tabs>
          <w:tab w:val="left" w:pos="1530"/>
        </w:tabs>
        <w:ind w:left="1530" w:hanging="420"/>
      </w:pPr>
    </w:lvl>
    <w:lvl w:ilvl="6" w:tentative="0">
      <w:start w:val="1"/>
      <w:numFmt w:val="decimal"/>
      <w:lvlText w:val="%7."/>
      <w:lvlJc w:val="left"/>
      <w:pPr>
        <w:tabs>
          <w:tab w:val="left" w:pos="1950"/>
        </w:tabs>
        <w:ind w:left="1950" w:hanging="420"/>
      </w:pPr>
    </w:lvl>
    <w:lvl w:ilvl="7" w:tentative="0">
      <w:start w:val="1"/>
      <w:numFmt w:val="lowerLetter"/>
      <w:lvlText w:val="%8)"/>
      <w:lvlJc w:val="left"/>
      <w:pPr>
        <w:tabs>
          <w:tab w:val="left" w:pos="2370"/>
        </w:tabs>
        <w:ind w:left="2370" w:hanging="420"/>
      </w:pPr>
    </w:lvl>
    <w:lvl w:ilvl="8" w:tentative="0">
      <w:start w:val="1"/>
      <w:numFmt w:val="lowerRoman"/>
      <w:lvlText w:val="%9."/>
      <w:lvlJc w:val="right"/>
      <w:pPr>
        <w:tabs>
          <w:tab w:val="left" w:pos="2790"/>
        </w:tabs>
        <w:ind w:left="2790" w:hanging="420"/>
      </w:pPr>
    </w:lvl>
  </w:abstractNum>
  <w:abstractNum w:abstractNumId="21">
    <w:nsid w:val="204411A5"/>
    <w:multiLevelType w:val="multilevel"/>
    <w:tmpl w:val="204411A5"/>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2260637B"/>
    <w:multiLevelType w:val="multilevel"/>
    <w:tmpl w:val="2260637B"/>
    <w:lvl w:ilvl="0" w:tentative="0">
      <w:start w:val="1"/>
      <w:numFmt w:val="upperLetter"/>
      <w:lvlText w:val="%1."/>
      <w:lvlJc w:val="left"/>
      <w:pPr>
        <w:ind w:left="17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246273E5"/>
    <w:multiLevelType w:val="multilevel"/>
    <w:tmpl w:val="246273E5"/>
    <w:lvl w:ilvl="0" w:tentative="0">
      <w:start w:val="1"/>
      <w:numFmt w:val="decimal"/>
      <w:lvlText w:val="(%1)"/>
      <w:lvlJc w:val="left"/>
      <w:pPr>
        <w:tabs>
          <w:tab w:val="left" w:pos="1200"/>
        </w:tabs>
        <w:ind w:left="1200" w:hanging="360"/>
      </w:pPr>
      <w:rPr>
        <w:rFonts w:hint="default"/>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24">
    <w:nsid w:val="29461F54"/>
    <w:multiLevelType w:val="multilevel"/>
    <w:tmpl w:val="29461F54"/>
    <w:lvl w:ilvl="0" w:tentative="0">
      <w:start w:val="1"/>
      <w:numFmt w:val="upperLetter"/>
      <w:lvlText w:val="%1."/>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2A2B1BFB"/>
    <w:multiLevelType w:val="singleLevel"/>
    <w:tmpl w:val="2A2B1BFB"/>
    <w:lvl w:ilvl="0" w:tentative="0">
      <w:start w:val="1"/>
      <w:numFmt w:val="decimalEnclosedCircleChinese"/>
      <w:suff w:val="nothing"/>
      <w:lvlText w:val="%1　"/>
      <w:lvlJc w:val="left"/>
      <w:pPr>
        <w:ind w:left="0" w:firstLine="400"/>
      </w:pPr>
      <w:rPr>
        <w:rFonts w:hint="eastAsia"/>
      </w:rPr>
    </w:lvl>
  </w:abstractNum>
  <w:abstractNum w:abstractNumId="26">
    <w:nsid w:val="2C613C5D"/>
    <w:multiLevelType w:val="multilevel"/>
    <w:tmpl w:val="2C613C5D"/>
    <w:lvl w:ilvl="0" w:tentative="0">
      <w:start w:val="1"/>
      <w:numFmt w:val="upperLetter"/>
      <w:lvlText w:val="%1."/>
      <w:lvlJc w:val="left"/>
      <w:pPr>
        <w:ind w:left="17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2FB15D12"/>
    <w:multiLevelType w:val="multilevel"/>
    <w:tmpl w:val="2FB15D12"/>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31147F7F"/>
    <w:multiLevelType w:val="multilevel"/>
    <w:tmpl w:val="31147F7F"/>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336E39A8"/>
    <w:multiLevelType w:val="multilevel"/>
    <w:tmpl w:val="336E39A8"/>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34805B8C"/>
    <w:multiLevelType w:val="multilevel"/>
    <w:tmpl w:val="34805B8C"/>
    <w:lvl w:ilvl="0" w:tentative="0">
      <w:start w:val="1"/>
      <w:numFmt w:val="upperLetter"/>
      <w:lvlText w:val="%1."/>
      <w:lvlJc w:val="left"/>
      <w:pPr>
        <w:ind w:left="17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3C141BFD"/>
    <w:multiLevelType w:val="multilevel"/>
    <w:tmpl w:val="3C141BFD"/>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3C722960"/>
    <w:multiLevelType w:val="multilevel"/>
    <w:tmpl w:val="3C722960"/>
    <w:lvl w:ilvl="0" w:tentative="0">
      <w:start w:val="1"/>
      <w:numFmt w:val="upperLetter"/>
      <w:lvlText w:val="%1."/>
      <w:lvlJc w:val="left"/>
      <w:pPr>
        <w:ind w:left="17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419F3FB0"/>
    <w:multiLevelType w:val="multilevel"/>
    <w:tmpl w:val="419F3FB0"/>
    <w:lvl w:ilvl="0" w:tentative="0">
      <w:start w:val="1"/>
      <w:numFmt w:val="upperLetter"/>
      <w:lvlText w:val="%1."/>
      <w:lvlJc w:val="left"/>
      <w:pPr>
        <w:ind w:left="17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4">
    <w:nsid w:val="41F81177"/>
    <w:multiLevelType w:val="multilevel"/>
    <w:tmpl w:val="41F81177"/>
    <w:lvl w:ilvl="0" w:tentative="0">
      <w:start w:val="1"/>
      <w:numFmt w:val="upperLetter"/>
      <w:lvlText w:val="%1."/>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42D356AD"/>
    <w:multiLevelType w:val="multilevel"/>
    <w:tmpl w:val="42D356AD"/>
    <w:lvl w:ilvl="0" w:tentative="0">
      <w:start w:val="1"/>
      <w:numFmt w:val="upperLetter"/>
      <w:lvlText w:val="%1."/>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435E2D74"/>
    <w:multiLevelType w:val="multilevel"/>
    <w:tmpl w:val="435E2D74"/>
    <w:lvl w:ilvl="0" w:tentative="0">
      <w:start w:val="1"/>
      <w:numFmt w:val="upperLetter"/>
      <w:lvlText w:val="%1."/>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45201604"/>
    <w:multiLevelType w:val="multilevel"/>
    <w:tmpl w:val="45201604"/>
    <w:lvl w:ilvl="0" w:tentative="0">
      <w:start w:val="1"/>
      <w:numFmt w:val="upperLetter"/>
      <w:lvlText w:val="%1."/>
      <w:lvlJc w:val="left"/>
      <w:pPr>
        <w:ind w:left="1211" w:hanging="360"/>
      </w:pPr>
      <w:rPr>
        <w:rFonts w:hint="default"/>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38">
    <w:nsid w:val="46346AB3"/>
    <w:multiLevelType w:val="multilevel"/>
    <w:tmpl w:val="46346AB3"/>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9">
    <w:nsid w:val="47F44AC9"/>
    <w:multiLevelType w:val="multilevel"/>
    <w:tmpl w:val="47F44AC9"/>
    <w:lvl w:ilvl="0" w:tentative="0">
      <w:start w:val="1"/>
      <w:numFmt w:val="upperLetter"/>
      <w:lvlText w:val="%1."/>
      <w:lvlJc w:val="left"/>
      <w:pPr>
        <w:ind w:left="17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0">
    <w:nsid w:val="4A58523F"/>
    <w:multiLevelType w:val="multilevel"/>
    <w:tmpl w:val="4A58523F"/>
    <w:lvl w:ilvl="0" w:tentative="0">
      <w:start w:val="1"/>
      <w:numFmt w:val="upperLetter"/>
      <w:lvlText w:val="%1."/>
      <w:lvlJc w:val="left"/>
      <w:pPr>
        <w:ind w:left="17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1">
    <w:nsid w:val="4D7E186B"/>
    <w:multiLevelType w:val="multilevel"/>
    <w:tmpl w:val="4D7E186B"/>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42">
    <w:nsid w:val="4E6663D7"/>
    <w:multiLevelType w:val="multilevel"/>
    <w:tmpl w:val="4E6663D7"/>
    <w:lvl w:ilvl="0" w:tentative="0">
      <w:start w:val="1"/>
      <w:numFmt w:val="upperLetter"/>
      <w:lvlText w:val="%1."/>
      <w:lvlJc w:val="left"/>
      <w:pPr>
        <w:ind w:left="17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3">
    <w:nsid w:val="4FD55ADD"/>
    <w:multiLevelType w:val="multilevel"/>
    <w:tmpl w:val="4FD55ADD"/>
    <w:lvl w:ilvl="0" w:tentative="0">
      <w:start w:val="1"/>
      <w:numFmt w:val="lowerLetter"/>
      <w:lvlText w:val="%1."/>
      <w:lvlJc w:val="left"/>
      <w:pPr>
        <w:tabs>
          <w:tab w:val="left" w:pos="1080"/>
        </w:tabs>
        <w:ind w:left="1080" w:hanging="360"/>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360"/>
        </w:tabs>
        <w:ind w:left="360" w:hanging="420"/>
      </w:pPr>
    </w:lvl>
    <w:lvl w:ilvl="3" w:tentative="0">
      <w:start w:val="1"/>
      <w:numFmt w:val="decimal"/>
      <w:lvlText w:val="%4."/>
      <w:lvlJc w:val="left"/>
      <w:pPr>
        <w:tabs>
          <w:tab w:val="left" w:pos="780"/>
        </w:tabs>
        <w:ind w:left="780" w:hanging="420"/>
      </w:pPr>
    </w:lvl>
    <w:lvl w:ilvl="4" w:tentative="0">
      <w:start w:val="1"/>
      <w:numFmt w:val="lowerLetter"/>
      <w:lvlText w:val="%5)"/>
      <w:lvlJc w:val="left"/>
      <w:pPr>
        <w:tabs>
          <w:tab w:val="left" w:pos="1200"/>
        </w:tabs>
        <w:ind w:left="1200" w:hanging="420"/>
      </w:pPr>
    </w:lvl>
    <w:lvl w:ilvl="5" w:tentative="0">
      <w:start w:val="1"/>
      <w:numFmt w:val="lowerRoman"/>
      <w:lvlText w:val="%6."/>
      <w:lvlJc w:val="right"/>
      <w:pPr>
        <w:tabs>
          <w:tab w:val="left" w:pos="1620"/>
        </w:tabs>
        <w:ind w:left="1620" w:hanging="420"/>
      </w:pPr>
    </w:lvl>
    <w:lvl w:ilvl="6" w:tentative="0">
      <w:start w:val="1"/>
      <w:numFmt w:val="decimal"/>
      <w:lvlText w:val="%7."/>
      <w:lvlJc w:val="left"/>
      <w:pPr>
        <w:tabs>
          <w:tab w:val="left" w:pos="2040"/>
        </w:tabs>
        <w:ind w:left="2040" w:hanging="420"/>
      </w:pPr>
    </w:lvl>
    <w:lvl w:ilvl="7" w:tentative="0">
      <w:start w:val="1"/>
      <w:numFmt w:val="lowerLetter"/>
      <w:lvlText w:val="%8)"/>
      <w:lvlJc w:val="left"/>
      <w:pPr>
        <w:tabs>
          <w:tab w:val="left" w:pos="2460"/>
        </w:tabs>
        <w:ind w:left="2460" w:hanging="420"/>
      </w:pPr>
    </w:lvl>
    <w:lvl w:ilvl="8" w:tentative="0">
      <w:start w:val="1"/>
      <w:numFmt w:val="lowerRoman"/>
      <w:lvlText w:val="%9."/>
      <w:lvlJc w:val="right"/>
      <w:pPr>
        <w:tabs>
          <w:tab w:val="left" w:pos="2880"/>
        </w:tabs>
        <w:ind w:left="2880" w:hanging="420"/>
      </w:pPr>
    </w:lvl>
  </w:abstractNum>
  <w:abstractNum w:abstractNumId="44">
    <w:nsid w:val="536E6590"/>
    <w:multiLevelType w:val="multilevel"/>
    <w:tmpl w:val="536E659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5">
    <w:nsid w:val="53F47E3D"/>
    <w:multiLevelType w:val="multilevel"/>
    <w:tmpl w:val="53F47E3D"/>
    <w:lvl w:ilvl="0" w:tentative="0">
      <w:start w:val="1"/>
      <w:numFmt w:val="lowerLetter"/>
      <w:lvlText w:val="%1."/>
      <w:lvlJc w:val="left"/>
      <w:pPr>
        <w:tabs>
          <w:tab w:val="left" w:pos="1080"/>
        </w:tabs>
        <w:ind w:left="1080" w:hanging="360"/>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360"/>
        </w:tabs>
        <w:ind w:left="360" w:hanging="420"/>
      </w:pPr>
    </w:lvl>
    <w:lvl w:ilvl="3" w:tentative="0">
      <w:start w:val="1"/>
      <w:numFmt w:val="decimal"/>
      <w:lvlText w:val="%4."/>
      <w:lvlJc w:val="left"/>
      <w:pPr>
        <w:tabs>
          <w:tab w:val="left" w:pos="780"/>
        </w:tabs>
        <w:ind w:left="780" w:hanging="420"/>
      </w:pPr>
    </w:lvl>
    <w:lvl w:ilvl="4" w:tentative="0">
      <w:start w:val="1"/>
      <w:numFmt w:val="lowerLetter"/>
      <w:lvlText w:val="%5)"/>
      <w:lvlJc w:val="left"/>
      <w:pPr>
        <w:tabs>
          <w:tab w:val="left" w:pos="1200"/>
        </w:tabs>
        <w:ind w:left="1200" w:hanging="420"/>
      </w:pPr>
    </w:lvl>
    <w:lvl w:ilvl="5" w:tentative="0">
      <w:start w:val="1"/>
      <w:numFmt w:val="lowerRoman"/>
      <w:lvlText w:val="%6."/>
      <w:lvlJc w:val="right"/>
      <w:pPr>
        <w:tabs>
          <w:tab w:val="left" w:pos="1620"/>
        </w:tabs>
        <w:ind w:left="1620" w:hanging="420"/>
      </w:pPr>
    </w:lvl>
    <w:lvl w:ilvl="6" w:tentative="0">
      <w:start w:val="1"/>
      <w:numFmt w:val="decimal"/>
      <w:lvlText w:val="%7."/>
      <w:lvlJc w:val="left"/>
      <w:pPr>
        <w:tabs>
          <w:tab w:val="left" w:pos="2040"/>
        </w:tabs>
        <w:ind w:left="2040" w:hanging="420"/>
      </w:pPr>
    </w:lvl>
    <w:lvl w:ilvl="7" w:tentative="0">
      <w:start w:val="1"/>
      <w:numFmt w:val="lowerLetter"/>
      <w:lvlText w:val="%8)"/>
      <w:lvlJc w:val="left"/>
      <w:pPr>
        <w:tabs>
          <w:tab w:val="left" w:pos="2460"/>
        </w:tabs>
        <w:ind w:left="2460" w:hanging="420"/>
      </w:pPr>
    </w:lvl>
    <w:lvl w:ilvl="8" w:tentative="0">
      <w:start w:val="1"/>
      <w:numFmt w:val="lowerRoman"/>
      <w:lvlText w:val="%9."/>
      <w:lvlJc w:val="right"/>
      <w:pPr>
        <w:tabs>
          <w:tab w:val="left" w:pos="2880"/>
        </w:tabs>
        <w:ind w:left="2880" w:hanging="420"/>
      </w:pPr>
    </w:lvl>
  </w:abstractNum>
  <w:abstractNum w:abstractNumId="46">
    <w:nsid w:val="55D7613D"/>
    <w:multiLevelType w:val="multilevel"/>
    <w:tmpl w:val="55D7613D"/>
    <w:lvl w:ilvl="0" w:tentative="0">
      <w:start w:val="1"/>
      <w:numFmt w:val="upperLetter"/>
      <w:lvlText w:val="%1."/>
      <w:lvlJc w:val="left"/>
      <w:pPr>
        <w:ind w:left="17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7">
    <w:nsid w:val="5B593042"/>
    <w:multiLevelType w:val="multilevel"/>
    <w:tmpl w:val="5B593042"/>
    <w:lvl w:ilvl="0" w:tentative="0">
      <w:start w:val="1"/>
      <w:numFmt w:val="lowerLetter"/>
      <w:lvlText w:val="%1."/>
      <w:lvlJc w:val="left"/>
      <w:pPr>
        <w:tabs>
          <w:tab w:val="left" w:pos="1080"/>
        </w:tabs>
        <w:ind w:left="1080" w:hanging="360"/>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360"/>
        </w:tabs>
        <w:ind w:left="360" w:hanging="420"/>
      </w:pPr>
    </w:lvl>
    <w:lvl w:ilvl="3" w:tentative="0">
      <w:start w:val="1"/>
      <w:numFmt w:val="decimal"/>
      <w:lvlText w:val="%4."/>
      <w:lvlJc w:val="left"/>
      <w:pPr>
        <w:tabs>
          <w:tab w:val="left" w:pos="780"/>
        </w:tabs>
        <w:ind w:left="780" w:hanging="420"/>
      </w:pPr>
    </w:lvl>
    <w:lvl w:ilvl="4" w:tentative="0">
      <w:start w:val="1"/>
      <w:numFmt w:val="lowerLetter"/>
      <w:lvlText w:val="%5)"/>
      <w:lvlJc w:val="left"/>
      <w:pPr>
        <w:tabs>
          <w:tab w:val="left" w:pos="1200"/>
        </w:tabs>
        <w:ind w:left="1200" w:hanging="420"/>
      </w:pPr>
    </w:lvl>
    <w:lvl w:ilvl="5" w:tentative="0">
      <w:start w:val="1"/>
      <w:numFmt w:val="lowerRoman"/>
      <w:lvlText w:val="%6."/>
      <w:lvlJc w:val="right"/>
      <w:pPr>
        <w:tabs>
          <w:tab w:val="left" w:pos="1620"/>
        </w:tabs>
        <w:ind w:left="1620" w:hanging="420"/>
      </w:pPr>
    </w:lvl>
    <w:lvl w:ilvl="6" w:tentative="0">
      <w:start w:val="1"/>
      <w:numFmt w:val="decimal"/>
      <w:lvlText w:val="%7."/>
      <w:lvlJc w:val="left"/>
      <w:pPr>
        <w:tabs>
          <w:tab w:val="left" w:pos="2040"/>
        </w:tabs>
        <w:ind w:left="2040" w:hanging="420"/>
      </w:pPr>
    </w:lvl>
    <w:lvl w:ilvl="7" w:tentative="0">
      <w:start w:val="1"/>
      <w:numFmt w:val="lowerLetter"/>
      <w:lvlText w:val="%8)"/>
      <w:lvlJc w:val="left"/>
      <w:pPr>
        <w:tabs>
          <w:tab w:val="left" w:pos="2460"/>
        </w:tabs>
        <w:ind w:left="2460" w:hanging="420"/>
      </w:pPr>
    </w:lvl>
    <w:lvl w:ilvl="8" w:tentative="0">
      <w:start w:val="1"/>
      <w:numFmt w:val="lowerRoman"/>
      <w:lvlText w:val="%9."/>
      <w:lvlJc w:val="right"/>
      <w:pPr>
        <w:tabs>
          <w:tab w:val="left" w:pos="2880"/>
        </w:tabs>
        <w:ind w:left="2880" w:hanging="420"/>
      </w:pPr>
    </w:lvl>
  </w:abstractNum>
  <w:abstractNum w:abstractNumId="48">
    <w:nsid w:val="5CE808D9"/>
    <w:multiLevelType w:val="multilevel"/>
    <w:tmpl w:val="5CE808D9"/>
    <w:lvl w:ilvl="0" w:tentative="0">
      <w:start w:val="1"/>
      <w:numFmt w:val="upperLetter"/>
      <w:lvlText w:val="%1."/>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9">
    <w:nsid w:val="5E1E5C8B"/>
    <w:multiLevelType w:val="multilevel"/>
    <w:tmpl w:val="5E1E5C8B"/>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0">
    <w:nsid w:val="63C11D37"/>
    <w:multiLevelType w:val="multilevel"/>
    <w:tmpl w:val="63C11D37"/>
    <w:lvl w:ilvl="0" w:tentative="0">
      <w:start w:val="1"/>
      <w:numFmt w:val="upperLetter"/>
      <w:lvlText w:val="%1."/>
      <w:lvlJc w:val="left"/>
      <w:pPr>
        <w:ind w:left="17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1">
    <w:nsid w:val="6473530A"/>
    <w:multiLevelType w:val="multilevel"/>
    <w:tmpl w:val="6473530A"/>
    <w:lvl w:ilvl="0" w:tentative="0">
      <w:start w:val="1"/>
      <w:numFmt w:val="upperLetter"/>
      <w:lvlText w:val="%1."/>
      <w:lvlJc w:val="left"/>
      <w:pPr>
        <w:ind w:left="1243" w:hanging="360"/>
      </w:pPr>
      <w:rPr>
        <w:rFonts w:hint="default"/>
      </w:rPr>
    </w:lvl>
    <w:lvl w:ilvl="1" w:tentative="0">
      <w:start w:val="1"/>
      <w:numFmt w:val="lowerLetter"/>
      <w:lvlText w:val="%2)"/>
      <w:lvlJc w:val="left"/>
      <w:pPr>
        <w:ind w:left="1723" w:hanging="420"/>
      </w:pPr>
    </w:lvl>
    <w:lvl w:ilvl="2" w:tentative="0">
      <w:start w:val="1"/>
      <w:numFmt w:val="lowerRoman"/>
      <w:lvlText w:val="%3."/>
      <w:lvlJc w:val="right"/>
      <w:pPr>
        <w:ind w:left="2143" w:hanging="420"/>
      </w:pPr>
    </w:lvl>
    <w:lvl w:ilvl="3" w:tentative="0">
      <w:start w:val="1"/>
      <w:numFmt w:val="decimal"/>
      <w:lvlText w:val="%4."/>
      <w:lvlJc w:val="left"/>
      <w:pPr>
        <w:ind w:left="2563" w:hanging="420"/>
      </w:pPr>
    </w:lvl>
    <w:lvl w:ilvl="4" w:tentative="0">
      <w:start w:val="1"/>
      <w:numFmt w:val="lowerLetter"/>
      <w:lvlText w:val="%5)"/>
      <w:lvlJc w:val="left"/>
      <w:pPr>
        <w:ind w:left="2983" w:hanging="420"/>
      </w:pPr>
    </w:lvl>
    <w:lvl w:ilvl="5" w:tentative="0">
      <w:start w:val="1"/>
      <w:numFmt w:val="lowerRoman"/>
      <w:lvlText w:val="%6."/>
      <w:lvlJc w:val="right"/>
      <w:pPr>
        <w:ind w:left="3403" w:hanging="420"/>
      </w:pPr>
    </w:lvl>
    <w:lvl w:ilvl="6" w:tentative="0">
      <w:start w:val="1"/>
      <w:numFmt w:val="decimal"/>
      <w:lvlText w:val="%7."/>
      <w:lvlJc w:val="left"/>
      <w:pPr>
        <w:ind w:left="3823" w:hanging="420"/>
      </w:pPr>
    </w:lvl>
    <w:lvl w:ilvl="7" w:tentative="0">
      <w:start w:val="1"/>
      <w:numFmt w:val="lowerLetter"/>
      <w:lvlText w:val="%8)"/>
      <w:lvlJc w:val="left"/>
      <w:pPr>
        <w:ind w:left="4243" w:hanging="420"/>
      </w:pPr>
    </w:lvl>
    <w:lvl w:ilvl="8" w:tentative="0">
      <w:start w:val="1"/>
      <w:numFmt w:val="lowerRoman"/>
      <w:lvlText w:val="%9."/>
      <w:lvlJc w:val="right"/>
      <w:pPr>
        <w:ind w:left="4663" w:hanging="420"/>
      </w:pPr>
    </w:lvl>
  </w:abstractNum>
  <w:abstractNum w:abstractNumId="52">
    <w:nsid w:val="6BC07223"/>
    <w:multiLevelType w:val="multilevel"/>
    <w:tmpl w:val="6BC0722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6CF96B5D"/>
    <w:multiLevelType w:val="multilevel"/>
    <w:tmpl w:val="6CF96B5D"/>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4">
    <w:nsid w:val="6F6250C2"/>
    <w:multiLevelType w:val="multilevel"/>
    <w:tmpl w:val="6F6250C2"/>
    <w:lvl w:ilvl="0" w:tentative="0">
      <w:start w:val="1"/>
      <w:numFmt w:val="chineseCountingThousand"/>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6FBC540E"/>
    <w:multiLevelType w:val="multilevel"/>
    <w:tmpl w:val="6FBC540E"/>
    <w:lvl w:ilvl="0" w:tentative="0">
      <w:start w:val="1"/>
      <w:numFmt w:val="upperLetter"/>
      <w:lvlText w:val="%1."/>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6">
    <w:nsid w:val="6FC7023F"/>
    <w:multiLevelType w:val="multilevel"/>
    <w:tmpl w:val="6FC7023F"/>
    <w:lvl w:ilvl="0" w:tentative="0">
      <w:start w:val="1"/>
      <w:numFmt w:val="decimal"/>
      <w:lvlText w:val="%1."/>
      <w:lvlJc w:val="left"/>
      <w:pPr>
        <w:ind w:left="0" w:firstLine="0"/>
      </w:pPr>
      <w:rPr>
        <w:rFonts w:hint="eastAsia"/>
      </w:rPr>
    </w:lvl>
    <w:lvl w:ilvl="1" w:tentative="0">
      <w:start w:val="1"/>
      <w:numFmt w:val="decimal"/>
      <w:suff w:val="nothing"/>
      <w:lvlText w:val="%1.%2."/>
      <w:lvlJc w:val="left"/>
      <w:pPr>
        <w:ind w:left="0" w:firstLine="0"/>
      </w:pPr>
      <w:rPr>
        <w:rFonts w:hint="eastAsia" w:eastAsia="宋体" w:asciiTheme="minorEastAsia" w:hAnsiTheme="minorEastAsia"/>
      </w:rPr>
    </w:lvl>
    <w:lvl w:ilvl="2" w:tentative="0">
      <w:start w:val="1"/>
      <w:numFmt w:val="decimal"/>
      <w:suff w:val="nothing"/>
      <w:lvlText w:val="%1.%2.%3."/>
      <w:lvlJc w:val="left"/>
      <w:pPr>
        <w:ind w:left="420" w:firstLine="0"/>
      </w:pPr>
      <w:rPr>
        <w:rFonts w:hint="eastAsia" w:eastAsia="宋体" w:asciiTheme="minorEastAsia" w:hAnsiTheme="minorEastAsia"/>
      </w:rPr>
    </w:lvl>
    <w:lvl w:ilvl="3" w:tentative="0">
      <w:start w:val="1"/>
      <w:numFmt w:val="decimal"/>
      <w:suff w:val="nothing"/>
      <w:lvlText w:val="%1.%2.%3.%4."/>
      <w:lvlJc w:val="left"/>
      <w:pPr>
        <w:ind w:left="0" w:firstLine="0"/>
      </w:pPr>
      <w:rPr>
        <w:rFonts w:hint="eastAsia" w:eastAsia="宋体" w:asciiTheme="minorEastAsia" w:hAnsiTheme="minor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57">
    <w:nsid w:val="70D02128"/>
    <w:multiLevelType w:val="multilevel"/>
    <w:tmpl w:val="70D02128"/>
    <w:lvl w:ilvl="0" w:tentative="0">
      <w:start w:val="1"/>
      <w:numFmt w:val="upperLetter"/>
      <w:lvlText w:val="%1."/>
      <w:lvlJc w:val="left"/>
      <w:pPr>
        <w:ind w:left="1740" w:hanging="420"/>
      </w:pPr>
    </w:lvl>
    <w:lvl w:ilvl="1" w:tentative="0">
      <w:start w:val="1"/>
      <w:numFmt w:val="lowerLetter"/>
      <w:lvlText w:val="%2)"/>
      <w:lvlJc w:val="left"/>
      <w:pPr>
        <w:ind w:left="2160" w:hanging="420"/>
      </w:p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58">
    <w:nsid w:val="712E43F0"/>
    <w:multiLevelType w:val="multilevel"/>
    <w:tmpl w:val="712E43F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9">
    <w:nsid w:val="761566E2"/>
    <w:multiLevelType w:val="multilevel"/>
    <w:tmpl w:val="761566E2"/>
    <w:lvl w:ilvl="0" w:tentative="0">
      <w:start w:val="1"/>
      <w:numFmt w:val="lowerLetter"/>
      <w:lvlText w:val="%1."/>
      <w:lvlJc w:val="left"/>
      <w:pPr>
        <w:tabs>
          <w:tab w:val="left" w:pos="990"/>
        </w:tabs>
        <w:ind w:left="990" w:hanging="360"/>
      </w:pPr>
      <w:rPr>
        <w:rFonts w:hint="default"/>
      </w:rPr>
    </w:lvl>
    <w:lvl w:ilvl="1" w:tentative="0">
      <w:start w:val="1"/>
      <w:numFmt w:val="lowerLetter"/>
      <w:lvlText w:val="%2)"/>
      <w:lvlJc w:val="left"/>
      <w:pPr>
        <w:tabs>
          <w:tab w:val="left" w:pos="-150"/>
        </w:tabs>
        <w:ind w:left="-150" w:hanging="420"/>
      </w:pPr>
    </w:lvl>
    <w:lvl w:ilvl="2" w:tentative="0">
      <w:start w:val="1"/>
      <w:numFmt w:val="lowerRoman"/>
      <w:lvlText w:val="%3."/>
      <w:lvlJc w:val="right"/>
      <w:pPr>
        <w:tabs>
          <w:tab w:val="left" w:pos="270"/>
        </w:tabs>
        <w:ind w:left="270" w:hanging="420"/>
      </w:pPr>
    </w:lvl>
    <w:lvl w:ilvl="3" w:tentative="0">
      <w:start w:val="1"/>
      <w:numFmt w:val="decimal"/>
      <w:lvlText w:val="%4."/>
      <w:lvlJc w:val="left"/>
      <w:pPr>
        <w:tabs>
          <w:tab w:val="left" w:pos="690"/>
        </w:tabs>
        <w:ind w:left="690" w:hanging="420"/>
      </w:pPr>
    </w:lvl>
    <w:lvl w:ilvl="4" w:tentative="0">
      <w:start w:val="1"/>
      <w:numFmt w:val="lowerLetter"/>
      <w:lvlText w:val="%5)"/>
      <w:lvlJc w:val="left"/>
      <w:pPr>
        <w:tabs>
          <w:tab w:val="left" w:pos="1110"/>
        </w:tabs>
        <w:ind w:left="1110" w:hanging="420"/>
      </w:pPr>
    </w:lvl>
    <w:lvl w:ilvl="5" w:tentative="0">
      <w:start w:val="1"/>
      <w:numFmt w:val="lowerRoman"/>
      <w:lvlText w:val="%6."/>
      <w:lvlJc w:val="right"/>
      <w:pPr>
        <w:tabs>
          <w:tab w:val="left" w:pos="1530"/>
        </w:tabs>
        <w:ind w:left="1530" w:hanging="420"/>
      </w:pPr>
    </w:lvl>
    <w:lvl w:ilvl="6" w:tentative="0">
      <w:start w:val="1"/>
      <w:numFmt w:val="decimal"/>
      <w:lvlText w:val="%7."/>
      <w:lvlJc w:val="left"/>
      <w:pPr>
        <w:tabs>
          <w:tab w:val="left" w:pos="1950"/>
        </w:tabs>
        <w:ind w:left="1950" w:hanging="420"/>
      </w:pPr>
    </w:lvl>
    <w:lvl w:ilvl="7" w:tentative="0">
      <w:start w:val="1"/>
      <w:numFmt w:val="lowerLetter"/>
      <w:lvlText w:val="%8)"/>
      <w:lvlJc w:val="left"/>
      <w:pPr>
        <w:tabs>
          <w:tab w:val="left" w:pos="2370"/>
        </w:tabs>
        <w:ind w:left="2370" w:hanging="420"/>
      </w:pPr>
    </w:lvl>
    <w:lvl w:ilvl="8" w:tentative="0">
      <w:start w:val="1"/>
      <w:numFmt w:val="lowerRoman"/>
      <w:lvlText w:val="%9."/>
      <w:lvlJc w:val="right"/>
      <w:pPr>
        <w:tabs>
          <w:tab w:val="left" w:pos="2790"/>
        </w:tabs>
        <w:ind w:left="2790" w:hanging="420"/>
      </w:pPr>
    </w:lvl>
  </w:abstractNum>
  <w:abstractNum w:abstractNumId="60">
    <w:nsid w:val="7C25700D"/>
    <w:multiLevelType w:val="multilevel"/>
    <w:tmpl w:val="7C25700D"/>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1">
    <w:nsid w:val="7CA93711"/>
    <w:multiLevelType w:val="multilevel"/>
    <w:tmpl w:val="7CA93711"/>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6"/>
  </w:num>
  <w:num w:numId="2">
    <w:abstractNumId w:val="5"/>
  </w:num>
  <w:num w:numId="3">
    <w:abstractNumId w:val="23"/>
  </w:num>
  <w:num w:numId="4">
    <w:abstractNumId w:val="37"/>
  </w:num>
  <w:num w:numId="5">
    <w:abstractNumId w:val="57"/>
  </w:num>
  <w:num w:numId="6">
    <w:abstractNumId w:val="1"/>
  </w:num>
  <w:num w:numId="7">
    <w:abstractNumId w:val="51"/>
  </w:num>
  <w:num w:numId="8">
    <w:abstractNumId w:val="4"/>
  </w:num>
  <w:num w:numId="9">
    <w:abstractNumId w:val="42"/>
  </w:num>
  <w:num w:numId="10">
    <w:abstractNumId w:val="39"/>
  </w:num>
  <w:num w:numId="11">
    <w:abstractNumId w:val="0"/>
  </w:num>
  <w:num w:numId="12">
    <w:abstractNumId w:val="50"/>
  </w:num>
  <w:num w:numId="13">
    <w:abstractNumId w:val="14"/>
  </w:num>
  <w:num w:numId="14">
    <w:abstractNumId w:val="30"/>
  </w:num>
  <w:num w:numId="15">
    <w:abstractNumId w:val="32"/>
  </w:num>
  <w:num w:numId="16">
    <w:abstractNumId w:val="40"/>
  </w:num>
  <w:num w:numId="17">
    <w:abstractNumId w:val="22"/>
  </w:num>
  <w:num w:numId="18">
    <w:abstractNumId w:val="11"/>
  </w:num>
  <w:num w:numId="19">
    <w:abstractNumId w:val="36"/>
  </w:num>
  <w:num w:numId="20">
    <w:abstractNumId w:val="17"/>
  </w:num>
  <w:num w:numId="21">
    <w:abstractNumId w:val="48"/>
  </w:num>
  <w:num w:numId="22">
    <w:abstractNumId w:val="8"/>
  </w:num>
  <w:num w:numId="23">
    <w:abstractNumId w:val="15"/>
  </w:num>
  <w:num w:numId="24">
    <w:abstractNumId w:val="55"/>
  </w:num>
  <w:num w:numId="25">
    <w:abstractNumId w:val="9"/>
  </w:num>
  <w:num w:numId="26">
    <w:abstractNumId w:val="34"/>
  </w:num>
  <w:num w:numId="27">
    <w:abstractNumId w:val="19"/>
  </w:num>
  <w:num w:numId="28">
    <w:abstractNumId w:val="24"/>
  </w:num>
  <w:num w:numId="29">
    <w:abstractNumId w:val="35"/>
  </w:num>
  <w:num w:numId="30">
    <w:abstractNumId w:val="33"/>
  </w:num>
  <w:num w:numId="31">
    <w:abstractNumId w:val="7"/>
  </w:num>
  <w:num w:numId="32">
    <w:abstractNumId w:val="46"/>
  </w:num>
  <w:num w:numId="33">
    <w:abstractNumId w:val="6"/>
  </w:num>
  <w:num w:numId="34">
    <w:abstractNumId w:val="26"/>
  </w:num>
  <w:num w:numId="35">
    <w:abstractNumId w:val="10"/>
  </w:num>
  <w:num w:numId="36">
    <w:abstractNumId w:val="49"/>
  </w:num>
  <w:num w:numId="37">
    <w:abstractNumId w:val="28"/>
  </w:num>
  <w:num w:numId="38">
    <w:abstractNumId w:val="59"/>
  </w:num>
  <w:num w:numId="39">
    <w:abstractNumId w:val="20"/>
  </w:num>
  <w:num w:numId="40">
    <w:abstractNumId w:val="58"/>
  </w:num>
  <w:num w:numId="41">
    <w:abstractNumId w:val="29"/>
  </w:num>
  <w:num w:numId="42">
    <w:abstractNumId w:val="44"/>
  </w:num>
  <w:num w:numId="43">
    <w:abstractNumId w:val="31"/>
  </w:num>
  <w:num w:numId="44">
    <w:abstractNumId w:val="16"/>
  </w:num>
  <w:num w:numId="45">
    <w:abstractNumId w:val="27"/>
  </w:num>
  <w:num w:numId="46">
    <w:abstractNumId w:val="47"/>
  </w:num>
  <w:num w:numId="47">
    <w:abstractNumId w:val="45"/>
  </w:num>
  <w:num w:numId="48">
    <w:abstractNumId w:val="21"/>
  </w:num>
  <w:num w:numId="49">
    <w:abstractNumId w:val="43"/>
  </w:num>
  <w:num w:numId="50">
    <w:abstractNumId w:val="60"/>
  </w:num>
  <w:num w:numId="51">
    <w:abstractNumId w:val="18"/>
  </w:num>
  <w:num w:numId="52">
    <w:abstractNumId w:val="25"/>
  </w:num>
  <w:num w:numId="53">
    <w:abstractNumId w:val="53"/>
  </w:num>
  <w:num w:numId="54">
    <w:abstractNumId w:val="61"/>
  </w:num>
  <w:num w:numId="55">
    <w:abstractNumId w:val="38"/>
  </w:num>
  <w:num w:numId="56">
    <w:abstractNumId w:val="41"/>
  </w:num>
  <w:num w:numId="57">
    <w:abstractNumId w:val="2"/>
  </w:num>
  <w:num w:numId="58">
    <w:abstractNumId w:val="52"/>
  </w:num>
  <w:num w:numId="59">
    <w:abstractNumId w:val="3"/>
  </w:num>
  <w:num w:numId="60">
    <w:abstractNumId w:val="54"/>
  </w:num>
  <w:num w:numId="61">
    <w:abstractNumId w:val="13"/>
  </w:num>
  <w:num w:numId="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hM2M2YzY4YTgzYWU0NjU2NjFhNjY5NGYyZWQ4ZDAifQ=="/>
    <w:docVar w:name="KGWebUrl" w:val="https://eip.shenyejituan.com/sys/attachment/sys_att_main/jg_service.jsp"/>
  </w:docVars>
  <w:rsids>
    <w:rsidRoot w:val="00172A27"/>
    <w:rsid w:val="00026883"/>
    <w:rsid w:val="00041918"/>
    <w:rsid w:val="00111CBB"/>
    <w:rsid w:val="0015751A"/>
    <w:rsid w:val="00197BCD"/>
    <w:rsid w:val="001A7C65"/>
    <w:rsid w:val="001B56AC"/>
    <w:rsid w:val="001E6B86"/>
    <w:rsid w:val="001F51FD"/>
    <w:rsid w:val="002259B1"/>
    <w:rsid w:val="003C2E5F"/>
    <w:rsid w:val="00435A01"/>
    <w:rsid w:val="00484B24"/>
    <w:rsid w:val="004D304D"/>
    <w:rsid w:val="00541817"/>
    <w:rsid w:val="0054334B"/>
    <w:rsid w:val="005514CC"/>
    <w:rsid w:val="00581B3D"/>
    <w:rsid w:val="005B54AC"/>
    <w:rsid w:val="00645458"/>
    <w:rsid w:val="0064594E"/>
    <w:rsid w:val="00671CBE"/>
    <w:rsid w:val="007420F3"/>
    <w:rsid w:val="00757EA1"/>
    <w:rsid w:val="00781BA2"/>
    <w:rsid w:val="008151D0"/>
    <w:rsid w:val="008C0DF1"/>
    <w:rsid w:val="008D3617"/>
    <w:rsid w:val="0092297A"/>
    <w:rsid w:val="009707D0"/>
    <w:rsid w:val="009C2698"/>
    <w:rsid w:val="009C7C80"/>
    <w:rsid w:val="00A11170"/>
    <w:rsid w:val="00AB0634"/>
    <w:rsid w:val="00B95944"/>
    <w:rsid w:val="00BF5F08"/>
    <w:rsid w:val="00C151EC"/>
    <w:rsid w:val="00C950A7"/>
    <w:rsid w:val="00CA7E6E"/>
    <w:rsid w:val="00CE3FAD"/>
    <w:rsid w:val="00CE41E2"/>
    <w:rsid w:val="00CF4EBF"/>
    <w:rsid w:val="00CF7DE9"/>
    <w:rsid w:val="00D0756D"/>
    <w:rsid w:val="00D7549F"/>
    <w:rsid w:val="00DE68C3"/>
    <w:rsid w:val="00E26996"/>
    <w:rsid w:val="00E4688E"/>
    <w:rsid w:val="00EE554C"/>
    <w:rsid w:val="00EF5B4C"/>
    <w:rsid w:val="00EF7FB1"/>
    <w:rsid w:val="00F57179"/>
    <w:rsid w:val="00FC151A"/>
    <w:rsid w:val="00FC6554"/>
    <w:rsid w:val="013819F7"/>
    <w:rsid w:val="016352CD"/>
    <w:rsid w:val="01830BB5"/>
    <w:rsid w:val="02C27C0D"/>
    <w:rsid w:val="02FA2BB9"/>
    <w:rsid w:val="039573F8"/>
    <w:rsid w:val="03E22A9D"/>
    <w:rsid w:val="0433622D"/>
    <w:rsid w:val="05365440"/>
    <w:rsid w:val="05582C73"/>
    <w:rsid w:val="058C1A4C"/>
    <w:rsid w:val="059311AB"/>
    <w:rsid w:val="0625232B"/>
    <w:rsid w:val="06C75597"/>
    <w:rsid w:val="07354320"/>
    <w:rsid w:val="073855E3"/>
    <w:rsid w:val="07F31085"/>
    <w:rsid w:val="08266DE3"/>
    <w:rsid w:val="08C330CA"/>
    <w:rsid w:val="0926188E"/>
    <w:rsid w:val="094E0401"/>
    <w:rsid w:val="0A596577"/>
    <w:rsid w:val="0A6F3CAF"/>
    <w:rsid w:val="0AA563FF"/>
    <w:rsid w:val="0AE46B0D"/>
    <w:rsid w:val="0B6B391E"/>
    <w:rsid w:val="0B6C50CC"/>
    <w:rsid w:val="0B743BC2"/>
    <w:rsid w:val="0CA71764"/>
    <w:rsid w:val="0CAB26A1"/>
    <w:rsid w:val="0CC25966"/>
    <w:rsid w:val="0F78711C"/>
    <w:rsid w:val="0FCA13A5"/>
    <w:rsid w:val="10A44CCA"/>
    <w:rsid w:val="10DE719D"/>
    <w:rsid w:val="10F5028E"/>
    <w:rsid w:val="128F16C3"/>
    <w:rsid w:val="12B10FDA"/>
    <w:rsid w:val="12B74DD0"/>
    <w:rsid w:val="12EA71DB"/>
    <w:rsid w:val="135D761F"/>
    <w:rsid w:val="144B05EB"/>
    <w:rsid w:val="145103B1"/>
    <w:rsid w:val="15482FBC"/>
    <w:rsid w:val="159D7523"/>
    <w:rsid w:val="15CE53F2"/>
    <w:rsid w:val="15E26217"/>
    <w:rsid w:val="1633411E"/>
    <w:rsid w:val="173E61DA"/>
    <w:rsid w:val="17A9152D"/>
    <w:rsid w:val="18747BFC"/>
    <w:rsid w:val="18B17B62"/>
    <w:rsid w:val="18C65E6F"/>
    <w:rsid w:val="195538D9"/>
    <w:rsid w:val="19813499"/>
    <w:rsid w:val="19A67794"/>
    <w:rsid w:val="19F569B0"/>
    <w:rsid w:val="1A24590D"/>
    <w:rsid w:val="1A401743"/>
    <w:rsid w:val="1A662A48"/>
    <w:rsid w:val="1AAE228B"/>
    <w:rsid w:val="1BF069D4"/>
    <w:rsid w:val="1C4049D9"/>
    <w:rsid w:val="1C9C2DC8"/>
    <w:rsid w:val="1CC836D4"/>
    <w:rsid w:val="1CEC674F"/>
    <w:rsid w:val="1D6A4180"/>
    <w:rsid w:val="1DD064B5"/>
    <w:rsid w:val="1E3B0E16"/>
    <w:rsid w:val="1E8F4DC2"/>
    <w:rsid w:val="1EEB349E"/>
    <w:rsid w:val="1EF3481D"/>
    <w:rsid w:val="1F1908F3"/>
    <w:rsid w:val="1FF82EC5"/>
    <w:rsid w:val="20252EB2"/>
    <w:rsid w:val="215B0723"/>
    <w:rsid w:val="21AD6D40"/>
    <w:rsid w:val="21EA5B0F"/>
    <w:rsid w:val="229B2E55"/>
    <w:rsid w:val="22AA1D5C"/>
    <w:rsid w:val="23012C36"/>
    <w:rsid w:val="238C76F9"/>
    <w:rsid w:val="25407489"/>
    <w:rsid w:val="27AB2029"/>
    <w:rsid w:val="27C31603"/>
    <w:rsid w:val="27EB411E"/>
    <w:rsid w:val="286A63F2"/>
    <w:rsid w:val="28813AAE"/>
    <w:rsid w:val="28AE4155"/>
    <w:rsid w:val="28EB20EC"/>
    <w:rsid w:val="293E09FD"/>
    <w:rsid w:val="298B65A2"/>
    <w:rsid w:val="29FD6F9B"/>
    <w:rsid w:val="2A4249BF"/>
    <w:rsid w:val="2B1E5C08"/>
    <w:rsid w:val="2BF2649D"/>
    <w:rsid w:val="2C887F26"/>
    <w:rsid w:val="2D321209"/>
    <w:rsid w:val="2D3A44A6"/>
    <w:rsid w:val="2D4056DF"/>
    <w:rsid w:val="2D8549FC"/>
    <w:rsid w:val="2E122BB5"/>
    <w:rsid w:val="2E5730DD"/>
    <w:rsid w:val="2E5F2BB8"/>
    <w:rsid w:val="2E723A8D"/>
    <w:rsid w:val="2E8D7CA6"/>
    <w:rsid w:val="2EB5277A"/>
    <w:rsid w:val="2ECB3491"/>
    <w:rsid w:val="2F6A18D1"/>
    <w:rsid w:val="31153933"/>
    <w:rsid w:val="3178492C"/>
    <w:rsid w:val="318327C5"/>
    <w:rsid w:val="31CD3FAA"/>
    <w:rsid w:val="31E87190"/>
    <w:rsid w:val="31FD0796"/>
    <w:rsid w:val="332F70B0"/>
    <w:rsid w:val="340336E4"/>
    <w:rsid w:val="348613C5"/>
    <w:rsid w:val="34DA72B8"/>
    <w:rsid w:val="34E6729C"/>
    <w:rsid w:val="35013D5D"/>
    <w:rsid w:val="355F210B"/>
    <w:rsid w:val="36547A0F"/>
    <w:rsid w:val="370E56BF"/>
    <w:rsid w:val="373C5DAE"/>
    <w:rsid w:val="376637F5"/>
    <w:rsid w:val="37BC7B18"/>
    <w:rsid w:val="37E20AC5"/>
    <w:rsid w:val="37E54704"/>
    <w:rsid w:val="396562F6"/>
    <w:rsid w:val="396A3AE0"/>
    <w:rsid w:val="39A9270E"/>
    <w:rsid w:val="3A0E0AF7"/>
    <w:rsid w:val="3A2F3AD0"/>
    <w:rsid w:val="3A7E2C07"/>
    <w:rsid w:val="3AC54CA3"/>
    <w:rsid w:val="3B1C075F"/>
    <w:rsid w:val="3C0C6291"/>
    <w:rsid w:val="3C506703"/>
    <w:rsid w:val="3C9B51C1"/>
    <w:rsid w:val="3D1837B0"/>
    <w:rsid w:val="3D3A7709"/>
    <w:rsid w:val="3D917AEA"/>
    <w:rsid w:val="3D935A2B"/>
    <w:rsid w:val="3E8D432B"/>
    <w:rsid w:val="3EE34D88"/>
    <w:rsid w:val="3F2C62FE"/>
    <w:rsid w:val="3F48688F"/>
    <w:rsid w:val="3FAB5367"/>
    <w:rsid w:val="40071207"/>
    <w:rsid w:val="406D4A72"/>
    <w:rsid w:val="41E607D6"/>
    <w:rsid w:val="41F34798"/>
    <w:rsid w:val="422C14E5"/>
    <w:rsid w:val="43D92002"/>
    <w:rsid w:val="43EF40CE"/>
    <w:rsid w:val="44837539"/>
    <w:rsid w:val="44854976"/>
    <w:rsid w:val="449C7FF0"/>
    <w:rsid w:val="44D1136F"/>
    <w:rsid w:val="452E2CF6"/>
    <w:rsid w:val="452E7DF2"/>
    <w:rsid w:val="47103FD2"/>
    <w:rsid w:val="473D10D1"/>
    <w:rsid w:val="47675E98"/>
    <w:rsid w:val="47A46021"/>
    <w:rsid w:val="47F20945"/>
    <w:rsid w:val="48425784"/>
    <w:rsid w:val="48886B24"/>
    <w:rsid w:val="493255F5"/>
    <w:rsid w:val="49477B97"/>
    <w:rsid w:val="4A1A7E5E"/>
    <w:rsid w:val="4A777D56"/>
    <w:rsid w:val="4A7F6CBF"/>
    <w:rsid w:val="4B5407D2"/>
    <w:rsid w:val="4BAD1889"/>
    <w:rsid w:val="4BB14C65"/>
    <w:rsid w:val="4BD56F8A"/>
    <w:rsid w:val="4D625C0A"/>
    <w:rsid w:val="4DF57F10"/>
    <w:rsid w:val="4E5157B7"/>
    <w:rsid w:val="4E62568B"/>
    <w:rsid w:val="4E833050"/>
    <w:rsid w:val="4FCC4FA7"/>
    <w:rsid w:val="507B7251"/>
    <w:rsid w:val="50A00299"/>
    <w:rsid w:val="50D87CBE"/>
    <w:rsid w:val="518D579F"/>
    <w:rsid w:val="51EF7E75"/>
    <w:rsid w:val="52242F2D"/>
    <w:rsid w:val="52381EF5"/>
    <w:rsid w:val="526112FD"/>
    <w:rsid w:val="52D257AC"/>
    <w:rsid w:val="52D970E6"/>
    <w:rsid w:val="53DE7930"/>
    <w:rsid w:val="560122CC"/>
    <w:rsid w:val="56056AFB"/>
    <w:rsid w:val="56D072BA"/>
    <w:rsid w:val="57027EEB"/>
    <w:rsid w:val="57040CC9"/>
    <w:rsid w:val="574504A8"/>
    <w:rsid w:val="57470CB3"/>
    <w:rsid w:val="57FE4811"/>
    <w:rsid w:val="58FE0B13"/>
    <w:rsid w:val="59682F71"/>
    <w:rsid w:val="596D08D0"/>
    <w:rsid w:val="5A341747"/>
    <w:rsid w:val="5B160E16"/>
    <w:rsid w:val="5B2F10F9"/>
    <w:rsid w:val="5B3E43A3"/>
    <w:rsid w:val="5B756E45"/>
    <w:rsid w:val="5BB81C2C"/>
    <w:rsid w:val="5BC85F49"/>
    <w:rsid w:val="5C441A74"/>
    <w:rsid w:val="5CB846FB"/>
    <w:rsid w:val="5CD03307"/>
    <w:rsid w:val="5CDA3B02"/>
    <w:rsid w:val="5D342588"/>
    <w:rsid w:val="5D6A16C7"/>
    <w:rsid w:val="5E9B1A0D"/>
    <w:rsid w:val="5EF132F3"/>
    <w:rsid w:val="5F3369A6"/>
    <w:rsid w:val="603757F8"/>
    <w:rsid w:val="60471C25"/>
    <w:rsid w:val="607864DE"/>
    <w:rsid w:val="609B544C"/>
    <w:rsid w:val="62125165"/>
    <w:rsid w:val="62DB565C"/>
    <w:rsid w:val="641206A9"/>
    <w:rsid w:val="642C14CF"/>
    <w:rsid w:val="660A77D1"/>
    <w:rsid w:val="66B72C46"/>
    <w:rsid w:val="66DA0645"/>
    <w:rsid w:val="674D5E15"/>
    <w:rsid w:val="678D0BEC"/>
    <w:rsid w:val="67A911D1"/>
    <w:rsid w:val="680F2EA9"/>
    <w:rsid w:val="68796315"/>
    <w:rsid w:val="68F359DE"/>
    <w:rsid w:val="69325114"/>
    <w:rsid w:val="6957371E"/>
    <w:rsid w:val="698C550D"/>
    <w:rsid w:val="69B640CE"/>
    <w:rsid w:val="69CA35C9"/>
    <w:rsid w:val="6A0735DD"/>
    <w:rsid w:val="6A241FFF"/>
    <w:rsid w:val="6A930B6D"/>
    <w:rsid w:val="6ABE28D9"/>
    <w:rsid w:val="6B113A2A"/>
    <w:rsid w:val="6B451B65"/>
    <w:rsid w:val="6BE762A4"/>
    <w:rsid w:val="6C1B1FCB"/>
    <w:rsid w:val="6C22623B"/>
    <w:rsid w:val="6C46458F"/>
    <w:rsid w:val="6C664FA6"/>
    <w:rsid w:val="6C7B65C3"/>
    <w:rsid w:val="6CE26CE2"/>
    <w:rsid w:val="6FA4221E"/>
    <w:rsid w:val="6FC72780"/>
    <w:rsid w:val="6FFE69A1"/>
    <w:rsid w:val="70273076"/>
    <w:rsid w:val="704B155D"/>
    <w:rsid w:val="7082127F"/>
    <w:rsid w:val="7186425D"/>
    <w:rsid w:val="721B6DE5"/>
    <w:rsid w:val="73D16CA4"/>
    <w:rsid w:val="748264A1"/>
    <w:rsid w:val="749D0C7C"/>
    <w:rsid w:val="749E2864"/>
    <w:rsid w:val="74B16311"/>
    <w:rsid w:val="75265D63"/>
    <w:rsid w:val="76735858"/>
    <w:rsid w:val="767B38B6"/>
    <w:rsid w:val="768B06FF"/>
    <w:rsid w:val="76C1645A"/>
    <w:rsid w:val="770C6FB1"/>
    <w:rsid w:val="77B866B7"/>
    <w:rsid w:val="77DA3971"/>
    <w:rsid w:val="780A0CC4"/>
    <w:rsid w:val="78117248"/>
    <w:rsid w:val="797A1F2A"/>
    <w:rsid w:val="79F509C7"/>
    <w:rsid w:val="7ACF4985"/>
    <w:rsid w:val="7C7B4632"/>
    <w:rsid w:val="7D547C69"/>
    <w:rsid w:val="7D8F77DE"/>
    <w:rsid w:val="7DD31DA1"/>
    <w:rsid w:val="7DE7268B"/>
    <w:rsid w:val="7EE74DC1"/>
    <w:rsid w:val="7F732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0" w:semiHidden="0"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99"/>
    <w:pPr>
      <w:keepNext/>
      <w:keepLines/>
      <w:spacing w:before="260" w:after="260" w:line="416" w:lineRule="auto"/>
      <w:outlineLvl w:val="1"/>
    </w:pPr>
    <w:rPr>
      <w:rFonts w:ascii="楷体_GB2312" w:hAnsi="楷体_GB2312" w:eastAsia="楷体"/>
      <w:color w:val="000000"/>
      <w:kern w:val="0"/>
      <w:sz w:val="28"/>
      <w:szCs w:val="20"/>
    </w:rPr>
  </w:style>
  <w:style w:type="paragraph" w:styleId="4">
    <w:name w:val="heading 3"/>
    <w:basedOn w:val="1"/>
    <w:next w:val="1"/>
    <w:qFormat/>
    <w:uiPriority w:val="0"/>
    <w:pPr>
      <w:keepNext/>
      <w:keepLines/>
      <w:spacing w:before="260" w:after="260" w:line="416" w:lineRule="auto"/>
      <w:outlineLvl w:val="2"/>
    </w:pPr>
    <w:rPr>
      <w:rFonts w:ascii="Times New Roman" w:hAnsi="Times New Roman" w:eastAsia="仿宋"/>
      <w:bCs/>
      <w:kern w:val="0"/>
      <w:sz w:val="28"/>
      <w:szCs w:val="32"/>
    </w:rPr>
  </w:style>
  <w:style w:type="paragraph" w:styleId="5">
    <w:name w:val="heading 5"/>
    <w:basedOn w:val="1"/>
    <w:next w:val="1"/>
    <w:unhideWhenUsed/>
    <w:qFormat/>
    <w:uiPriority w:val="9"/>
    <w:pPr>
      <w:keepNext/>
      <w:keepLines/>
      <w:spacing w:line="360" w:lineRule="auto"/>
      <w:outlineLvl w:val="4"/>
    </w:pPr>
    <w:rPr>
      <w:rFonts w:eastAsia="宋体"/>
      <w:b/>
      <w:sz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8"/>
    <w:semiHidden/>
    <w:unhideWhenUsed/>
    <w:qFormat/>
    <w:uiPriority w:val="99"/>
    <w:pPr>
      <w:jc w:val="left"/>
    </w:pPr>
  </w:style>
  <w:style w:type="paragraph" w:styleId="7">
    <w:name w:val="Body Text"/>
    <w:basedOn w:val="1"/>
    <w:qFormat/>
    <w:uiPriority w:val="99"/>
    <w:pPr>
      <w:spacing w:line="320" w:lineRule="exact"/>
      <w:jc w:val="left"/>
    </w:pPr>
    <w:rPr>
      <w:rFonts w:ascii="Times New Roman" w:hAnsi="Times New Roman" w:eastAsia="宋体" w:cs="Times New Roman"/>
      <w:b/>
      <w:bCs/>
      <w:szCs w:val="24"/>
    </w:rPr>
  </w:style>
  <w:style w:type="paragraph" w:styleId="8">
    <w:name w:val="Balloon Text"/>
    <w:basedOn w:val="1"/>
    <w:link w:val="26"/>
    <w:semiHidden/>
    <w:unhideWhenUsed/>
    <w:qFormat/>
    <w:uiPriority w:val="99"/>
    <w:rPr>
      <w:sz w:val="18"/>
      <w:szCs w:val="18"/>
    </w:rPr>
  </w:style>
  <w:style w:type="paragraph" w:styleId="9">
    <w:name w:val="footer"/>
    <w:basedOn w:val="1"/>
    <w:link w:val="22"/>
    <w:unhideWhenUsed/>
    <w:qFormat/>
    <w:uiPriority w:val="99"/>
    <w:pPr>
      <w:tabs>
        <w:tab w:val="center" w:pos="4153"/>
        <w:tab w:val="right" w:pos="8306"/>
      </w:tabs>
      <w:snapToGrid w:val="0"/>
      <w:jc w:val="left"/>
    </w:pPr>
    <w:rPr>
      <w:sz w:val="18"/>
      <w:szCs w:val="18"/>
    </w:rPr>
  </w:style>
  <w:style w:type="paragraph" w:styleId="10">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tabs>
        <w:tab w:val="right" w:leader="dot" w:pos="8296"/>
      </w:tabs>
      <w:spacing w:line="360" w:lineRule="auto"/>
    </w:pPr>
  </w:style>
  <w:style w:type="paragraph" w:styleId="12">
    <w:name w:val="toc 2"/>
    <w:basedOn w:val="1"/>
    <w:next w:val="1"/>
    <w:unhideWhenUsed/>
    <w:qFormat/>
    <w:uiPriority w:val="39"/>
    <w:pPr>
      <w:ind w:left="420" w:leftChars="200"/>
    </w:pPr>
  </w:style>
  <w:style w:type="paragraph" w:styleId="13">
    <w:name w:val="annotation subject"/>
    <w:basedOn w:val="6"/>
    <w:next w:val="6"/>
    <w:link w:val="29"/>
    <w:semiHidden/>
    <w:unhideWhenUsed/>
    <w:qFormat/>
    <w:uiPriority w:val="99"/>
    <w:rPr>
      <w:b/>
      <w:bCs/>
    </w:rPr>
  </w:style>
  <w:style w:type="paragraph" w:styleId="14">
    <w:name w:val="Body Text First Indent"/>
    <w:basedOn w:val="7"/>
    <w:qFormat/>
    <w:uiPriority w:val="0"/>
    <w:pPr>
      <w:ind w:firstLine="420" w:firstLineChars="100"/>
    </w:pPr>
  </w:style>
  <w:style w:type="table" w:styleId="16">
    <w:name w:val="Table Grid"/>
    <w:basedOn w:val="15"/>
    <w:qFormat/>
    <w:uiPriority w:val="59"/>
    <w:rPr>
      <w:rFonts w:ascii="Times New Roman" w:hAnsi="Times New Roman"/>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8">
    <w:name w:val="Emphasis"/>
    <w:basedOn w:val="17"/>
    <w:qFormat/>
    <w:uiPriority w:val="99"/>
    <w:rPr>
      <w:rFonts w:cs="Times New Roman"/>
      <w:color w:val="CC0000"/>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styleId="20">
    <w:name w:val="annotation reference"/>
    <w:basedOn w:val="17"/>
    <w:semiHidden/>
    <w:unhideWhenUsed/>
    <w:qFormat/>
    <w:uiPriority w:val="99"/>
    <w:rPr>
      <w:sz w:val="21"/>
      <w:szCs w:val="21"/>
    </w:rPr>
  </w:style>
  <w:style w:type="character" w:customStyle="1" w:styleId="21">
    <w:name w:val="页眉 字符"/>
    <w:basedOn w:val="17"/>
    <w:link w:val="10"/>
    <w:qFormat/>
    <w:uiPriority w:val="99"/>
    <w:rPr>
      <w:sz w:val="18"/>
      <w:szCs w:val="18"/>
    </w:rPr>
  </w:style>
  <w:style w:type="character" w:customStyle="1" w:styleId="22">
    <w:name w:val="页脚 字符"/>
    <w:basedOn w:val="17"/>
    <w:link w:val="9"/>
    <w:qFormat/>
    <w:uiPriority w:val="99"/>
    <w:rPr>
      <w:sz w:val="18"/>
      <w:szCs w:val="18"/>
    </w:rPr>
  </w:style>
  <w:style w:type="paragraph" w:styleId="23">
    <w:name w:val="List Paragraph"/>
    <w:basedOn w:val="1"/>
    <w:qFormat/>
    <w:uiPriority w:val="34"/>
    <w:pPr>
      <w:ind w:firstLine="420" w:firstLineChars="200"/>
    </w:pPr>
  </w:style>
  <w:style w:type="character" w:customStyle="1" w:styleId="24">
    <w:name w:val="标题 1 字符"/>
    <w:basedOn w:val="17"/>
    <w:link w:val="2"/>
    <w:qFormat/>
    <w:uiPriority w:val="9"/>
    <w:rPr>
      <w:b/>
      <w:bCs/>
      <w:kern w:val="44"/>
      <w:sz w:val="44"/>
      <w:szCs w:val="44"/>
    </w:rPr>
  </w:style>
  <w:style w:type="paragraph" w:customStyle="1" w:styleId="25">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6">
    <w:name w:val="批注框文本 字符"/>
    <w:basedOn w:val="17"/>
    <w:link w:val="8"/>
    <w:semiHidden/>
    <w:qFormat/>
    <w:uiPriority w:val="99"/>
    <w:rPr>
      <w:sz w:val="18"/>
      <w:szCs w:val="18"/>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7"/>
    <w:link w:val="6"/>
    <w:semiHidden/>
    <w:qFormat/>
    <w:uiPriority w:val="99"/>
    <w:rPr>
      <w:rFonts w:asciiTheme="minorHAnsi" w:hAnsiTheme="minorHAnsi" w:eastAsiaTheme="minorEastAsia" w:cstheme="minorBidi"/>
      <w:kern w:val="2"/>
      <w:sz w:val="21"/>
      <w:szCs w:val="22"/>
    </w:rPr>
  </w:style>
  <w:style w:type="character" w:customStyle="1" w:styleId="29">
    <w:name w:val="批注主题 字符"/>
    <w:basedOn w:val="28"/>
    <w:link w:val="13"/>
    <w:semiHidden/>
    <w:qFormat/>
    <w:uiPriority w:val="99"/>
    <w:rPr>
      <w:rFonts w:asciiTheme="minorHAnsi" w:hAnsiTheme="minorHAnsi" w:eastAsiaTheme="minorEastAsia" w:cstheme="minorBidi"/>
      <w:b/>
      <w:bCs/>
      <w:kern w:val="2"/>
      <w:sz w:val="21"/>
      <w:szCs w:val="22"/>
    </w:rPr>
  </w:style>
  <w:style w:type="paragraph" w:customStyle="1" w:styleId="30">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31">
    <w:name w:val="font21"/>
    <w:qFormat/>
    <w:uiPriority w:val="0"/>
    <w:rPr>
      <w:rFonts w:hint="eastAsia" w:ascii="宋体" w:hAnsi="宋体" w:eastAsia="宋体" w:cs="宋体"/>
      <w:color w:val="000000"/>
      <w:sz w:val="20"/>
      <w:szCs w:val="20"/>
      <w:u w:val="none"/>
    </w:rPr>
  </w:style>
  <w:style w:type="paragraph" w:customStyle="1" w:styleId="32">
    <w:name w:val="Normal_7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3">
    <w:name w:val="P2"/>
    <w:qFormat/>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30"/>
      <w:sz w:val="24"/>
      <w:lang w:val="en-GB" w:eastAsia="zh-TW" w:bidi="ar-SA"/>
    </w:rPr>
  </w:style>
  <w:style w:type="paragraph" w:customStyle="1" w:styleId="34">
    <w:name w:val="P5"/>
    <w:qFormat/>
    <w:uiPriority w:val="0"/>
    <w:pPr>
      <w:widowControl w:val="0"/>
      <w:adjustRightInd w:val="0"/>
      <w:spacing w:after="240" w:line="0" w:lineRule="atLeast"/>
      <w:ind w:left="2304"/>
      <w:jc w:val="both"/>
      <w:textAlignment w:val="baseline"/>
    </w:pPr>
    <w:rPr>
      <w:rFonts w:ascii="Times New Roman" w:hAnsi="Times New Roman" w:eastAsia="全真中明體" w:cs="Times New Roman"/>
      <w:spacing w:val="30"/>
      <w:sz w:val="24"/>
      <w:lang w:val="en-GB" w:eastAsia="zh-TW" w:bidi="ar-SA"/>
    </w:rPr>
  </w:style>
  <w:style w:type="paragraph" w:customStyle="1" w:styleId="35">
    <w:name w:val="p17"/>
    <w:basedOn w:val="1"/>
    <w:qFormat/>
    <w:uiPriority w:val="0"/>
    <w:pPr>
      <w:widowControl/>
      <w:spacing w:before="100" w:beforeAutospacing="1" w:after="100" w:afterAutospacing="1"/>
      <w:ind w:left="602"/>
    </w:pPr>
    <w:rPr>
      <w:rFonts w:ascii="Calibri" w:hAnsi="Calibri" w:cs="宋体"/>
      <w:kern w:val="0"/>
      <w:sz w:val="24"/>
      <w:szCs w:val="24"/>
    </w:rPr>
  </w:style>
  <w:style w:type="paragraph" w:styleId="36">
    <w:name w:val="No Spacing"/>
    <w:qFormat/>
    <w:uiPriority w:val="1"/>
    <w:pPr>
      <w:widowControl w:val="0"/>
      <w:spacing w:line="360" w:lineRule="auto"/>
      <w:ind w:firstLine="200" w:firstLineChars="200"/>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1509A9-810D-46D9-BC86-7E9B797609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12977</Words>
  <Characters>14258</Characters>
  <Lines>3</Lines>
  <Paragraphs>22</Paragraphs>
  <TotalTime>17</TotalTime>
  <ScaleCrop>false</ScaleCrop>
  <LinksUpToDate>false</LinksUpToDate>
  <CharactersWithSpaces>14381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2022-03-17T03:27:00Z</dcterms:created>
  <dc:creator>易达科技</dc:creator>
  <cp:lastModifiedBy>健康第1站</cp:lastModifiedBy>
  <dcterms:modified xsi:type="dcterms:W3CDTF">2026-05-17T03:00:16Z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9DA405ED33C840319267C9A1027F4E65_13</vt:lpwstr>
  </property>
  <property fmtid="{D5CDD505-2E9C-101B-9397-08002B2CF9AE}" pid="4" name="commondata">
    <vt:lpwstr>eyJoZGlkIjoiZmVlMGNkZjdhYmYxODU1ZmE3MWU4MjY0ZWFmYTRmZGMifQ==</vt:lpwstr>
  </property>
  <property fmtid="{D5CDD505-2E9C-101B-9397-08002B2CF9AE}" pid="5" name="KSOTemplateDocerSaveRecord">
    <vt:lpwstr>eyJoZGlkIjoiYmZjZTY1NmIyNjAyYzczYTJlNDcyY2I0NWVlYThmOWYiLCJ1c2VySWQiOiIzMDA0Mzc0ODgifQ==</vt:lpwstr>
  </property>
</Properties>
</file>