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6C2A08">
      <w:pPr>
        <w:keepNext w:val="0"/>
        <w:keepLines w:val="0"/>
        <w:widowControl/>
        <w:numPr>
          <w:ilvl w:val="0"/>
          <w:numId w:val="0"/>
        </w:numPr>
        <w:suppressLineNumbers w:val="0"/>
        <w:shd w:val="clear" w:fill="FFFFFF"/>
        <w:wordWrap/>
        <w:bidi w:val="0"/>
        <w:spacing w:before="0" w:beforeAutospacing="0" w:after="0" w:afterAutospacing="0" w:line="500" w:lineRule="atLeast"/>
        <w:ind w:right="0" w:rightChars="0"/>
        <w:jc w:val="both"/>
        <w:rPr>
          <w:rFonts w:hint="default" w:ascii="Calibri" w:hAnsi="Calibri" w:eastAsia="仿宋_GB2312" w:cs="Calibri"/>
          <w:i w:val="0"/>
          <w:iCs w:val="0"/>
          <w:caps w:val="0"/>
          <w:color w:val="000000"/>
          <w:spacing w:val="0"/>
          <w:kern w:val="0"/>
          <w:sz w:val="32"/>
          <w:szCs w:val="32"/>
          <w:shd w:val="clear" w:fill="FFFFFF"/>
          <w:lang w:val="en-US" w:eastAsia="zh-CN" w:bidi="ar"/>
        </w:rPr>
      </w:pPr>
    </w:p>
    <w:p w14:paraId="2BA13759">
      <w:pPr>
        <w:keepNext w:val="0"/>
        <w:keepLines w:val="0"/>
        <w:widowControl/>
        <w:numPr>
          <w:ilvl w:val="0"/>
          <w:numId w:val="0"/>
        </w:numPr>
        <w:suppressLineNumbers w:val="0"/>
        <w:shd w:val="clear" w:fill="FFFFFF"/>
        <w:wordWrap/>
        <w:bidi w:val="0"/>
        <w:spacing w:before="0" w:beforeAutospacing="0" w:after="0" w:afterAutospacing="0" w:line="500" w:lineRule="atLeast"/>
        <w:ind w:right="0" w:rightChars="0"/>
        <w:jc w:val="both"/>
        <w:rPr>
          <w:rFonts w:hint="default" w:ascii="Calibri" w:hAnsi="Calibri" w:eastAsia="仿宋_GB2312" w:cs="Calibri"/>
          <w:i w:val="0"/>
          <w:iCs w:val="0"/>
          <w:caps w:val="0"/>
          <w:color w:val="auto"/>
          <w:spacing w:val="0"/>
          <w:kern w:val="0"/>
          <w:sz w:val="32"/>
          <w:szCs w:val="32"/>
          <w:highlight w:val="none"/>
          <w:shd w:val="clear" w:fill="FFFFFF"/>
          <w:lang w:val="en-US" w:eastAsia="zh-CN" w:bidi="ar"/>
        </w:rPr>
      </w:pPr>
    </w:p>
    <w:p w14:paraId="4FD429F6">
      <w:pPr>
        <w:jc w:val="center"/>
        <w:rPr>
          <w:rFonts w:ascii="宋体" w:hAnsi="宋体"/>
          <w:bCs/>
          <w:color w:val="auto"/>
          <w:sz w:val="48"/>
          <w:highlight w:val="none"/>
        </w:rPr>
      </w:pPr>
      <w:r>
        <w:rPr>
          <w:rFonts w:hint="eastAsia" w:ascii="宋体" w:hAnsi="宋体" w:eastAsia="宋体"/>
          <w:bCs/>
          <w:color w:val="auto"/>
          <w:sz w:val="48"/>
          <w:highlight w:val="none"/>
        </w:rPr>
        <w:t>临海市限额以下建设工程</w:t>
      </w:r>
    </w:p>
    <w:p w14:paraId="2002BAA3">
      <w:pPr>
        <w:jc w:val="center"/>
        <w:rPr>
          <w:rFonts w:ascii="宋体" w:hAnsi="宋体"/>
          <w:color w:val="auto"/>
          <w:sz w:val="72"/>
          <w:highlight w:val="none"/>
        </w:rPr>
      </w:pPr>
      <w:r>
        <w:rPr>
          <w:rFonts w:hint="eastAsia" w:ascii="宋体" w:hAnsi="宋体" w:eastAsia="宋体"/>
          <w:b/>
          <w:color w:val="auto"/>
          <w:sz w:val="84"/>
          <w:highlight w:val="none"/>
        </w:rPr>
        <w:t>招 标 文 件</w:t>
      </w:r>
    </w:p>
    <w:p w14:paraId="005BDC18">
      <w:pPr>
        <w:spacing w:line="440" w:lineRule="exact"/>
        <w:ind w:left="1148"/>
        <w:rPr>
          <w:rFonts w:ascii="宋体" w:hAnsi="宋体" w:eastAsia="宋体"/>
          <w:b/>
          <w:bCs/>
          <w:color w:val="auto"/>
          <w:sz w:val="28"/>
          <w:highlight w:val="none"/>
        </w:rPr>
      </w:pPr>
    </w:p>
    <w:p w14:paraId="18369C0B">
      <w:pPr>
        <w:spacing w:line="440" w:lineRule="exact"/>
        <w:jc w:val="center"/>
        <w:rPr>
          <w:rFonts w:ascii="宋体" w:hAnsi="宋体" w:eastAsia="宋体"/>
          <w:bCs/>
          <w:color w:val="auto"/>
          <w:sz w:val="28"/>
          <w:highlight w:val="none"/>
        </w:rPr>
      </w:pPr>
      <w:r>
        <w:rPr>
          <w:rFonts w:hint="eastAsia" w:ascii="宋体" w:hAnsi="宋体" w:eastAsia="宋体"/>
          <w:bCs/>
          <w:color w:val="auto"/>
          <w:sz w:val="28"/>
          <w:highlight w:val="none"/>
        </w:rPr>
        <w:t>备案登记号：临建招备小额[202</w:t>
      </w:r>
      <w:r>
        <w:rPr>
          <w:rFonts w:hint="eastAsia" w:ascii="宋体" w:hAnsi="宋体" w:eastAsia="宋体"/>
          <w:bCs/>
          <w:color w:val="auto"/>
          <w:sz w:val="28"/>
          <w:highlight w:val="none"/>
          <w:lang w:val="en-US" w:eastAsia="zh-CN"/>
        </w:rPr>
        <w:t>6</w:t>
      </w:r>
      <w:r>
        <w:rPr>
          <w:rFonts w:hint="eastAsia" w:ascii="宋体" w:hAnsi="宋体" w:eastAsia="宋体"/>
          <w:bCs/>
          <w:color w:val="auto"/>
          <w:sz w:val="28"/>
          <w:highlight w:val="none"/>
        </w:rPr>
        <w:t>]</w:t>
      </w:r>
      <w:r>
        <w:rPr>
          <w:rFonts w:hint="eastAsia" w:ascii="宋体" w:hAnsi="宋体" w:eastAsia="宋体"/>
          <w:bCs/>
          <w:color w:val="auto"/>
          <w:sz w:val="28"/>
          <w:highlight w:val="none"/>
          <w:u w:val="single"/>
        </w:rPr>
        <w:t xml:space="preserve">  </w:t>
      </w:r>
      <w:r>
        <w:rPr>
          <w:rFonts w:hint="eastAsia" w:ascii="宋体" w:hAnsi="宋体" w:eastAsia="宋体"/>
          <w:bCs/>
          <w:color w:val="auto"/>
          <w:sz w:val="28"/>
          <w:highlight w:val="none"/>
          <w:u w:val="single"/>
          <w:lang w:val="en-US" w:eastAsia="zh-CN"/>
        </w:rPr>
        <w:t xml:space="preserve">28 </w:t>
      </w:r>
      <w:r>
        <w:rPr>
          <w:rFonts w:hint="eastAsia" w:ascii="宋体" w:hAnsi="宋体" w:eastAsia="宋体"/>
          <w:bCs/>
          <w:color w:val="auto"/>
          <w:sz w:val="28"/>
          <w:highlight w:val="none"/>
          <w:u w:val="single"/>
        </w:rPr>
        <w:t xml:space="preserve">  </w:t>
      </w:r>
      <w:r>
        <w:rPr>
          <w:rFonts w:hint="eastAsia" w:ascii="宋体" w:hAnsi="宋体" w:eastAsia="宋体"/>
          <w:bCs/>
          <w:color w:val="auto"/>
          <w:sz w:val="28"/>
          <w:highlight w:val="none"/>
        </w:rPr>
        <w:t>号</w:t>
      </w:r>
    </w:p>
    <w:p w14:paraId="4EC07096">
      <w:pPr>
        <w:spacing w:line="660" w:lineRule="exact"/>
        <w:ind w:firstLine="1120" w:firstLineChars="400"/>
        <w:rPr>
          <w:rFonts w:ascii="宋体" w:hAnsi="宋体" w:eastAsia="宋体"/>
          <w:bCs/>
          <w:color w:val="auto"/>
          <w:sz w:val="28"/>
          <w:highlight w:val="none"/>
        </w:rPr>
      </w:pPr>
    </w:p>
    <w:p w14:paraId="4CF60799">
      <w:pPr>
        <w:spacing w:line="660" w:lineRule="exact"/>
        <w:ind w:firstLine="1120" w:firstLineChars="400"/>
        <w:rPr>
          <w:rFonts w:ascii="宋体" w:hAnsi="宋体" w:eastAsia="宋体"/>
          <w:bCs/>
          <w:color w:val="auto"/>
          <w:sz w:val="28"/>
          <w:highlight w:val="none"/>
        </w:rPr>
      </w:pPr>
    </w:p>
    <w:p w14:paraId="31BAB530">
      <w:pPr>
        <w:spacing w:line="288" w:lineRule="auto"/>
        <w:rPr>
          <w:rFonts w:ascii="宋体" w:hAnsi="宋体" w:eastAsia="宋体"/>
          <w:color w:val="auto"/>
          <w:sz w:val="28"/>
          <w:highlight w:val="none"/>
        </w:rPr>
      </w:pPr>
    </w:p>
    <w:p w14:paraId="59B2C8E0">
      <w:pPr>
        <w:spacing w:line="660" w:lineRule="exact"/>
        <w:ind w:left="2510" w:leftChars="522" w:hanging="840" w:hangingChars="300"/>
        <w:rPr>
          <w:rFonts w:hint="eastAsia" w:ascii="宋体" w:hAnsi="宋体" w:eastAsia="宋体" w:cs="宋体"/>
          <w:color w:val="auto"/>
          <w:sz w:val="28"/>
          <w:highlight w:val="none"/>
          <w:u w:val="none"/>
          <w:lang w:eastAsia="zh-CN"/>
        </w:rPr>
      </w:pPr>
      <w:r>
        <w:rPr>
          <w:rFonts w:hint="eastAsia" w:ascii="宋体" w:hAnsi="宋体" w:eastAsia="宋体"/>
          <w:bCs/>
          <w:color w:val="auto"/>
          <w:sz w:val="28"/>
          <w:highlight w:val="none"/>
        </w:rPr>
        <w:t>招标项</w:t>
      </w:r>
      <w:r>
        <w:rPr>
          <w:rFonts w:hint="eastAsia" w:ascii="宋体" w:hAnsi="宋体" w:eastAsia="宋体"/>
          <w:bCs/>
          <w:color w:val="auto"/>
          <w:sz w:val="28"/>
          <w:highlight w:val="none"/>
          <w:u w:val="none"/>
        </w:rPr>
        <w:t>目：</w:t>
      </w:r>
      <w:r>
        <w:rPr>
          <w:rFonts w:hint="eastAsia" w:ascii="Times New Roman" w:hAnsi="Times New Roman" w:eastAsia="宋体"/>
          <w:color w:val="auto"/>
          <w:sz w:val="28"/>
          <w:highlight w:val="none"/>
          <w:u w:val="none"/>
          <w:lang w:eastAsia="zh-CN"/>
        </w:rPr>
        <w:t>许墅村道路及附属项目</w:t>
      </w:r>
    </w:p>
    <w:p w14:paraId="772D6545">
      <w:pPr>
        <w:spacing w:line="660" w:lineRule="exact"/>
        <w:ind w:firstLine="1680" w:firstLineChars="600"/>
        <w:rPr>
          <w:rFonts w:ascii="宋体" w:hAnsi="宋体" w:eastAsia="宋体"/>
          <w:color w:val="auto"/>
          <w:sz w:val="28"/>
          <w:szCs w:val="22"/>
          <w:highlight w:val="none"/>
          <w:u w:val="none"/>
        </w:rPr>
      </w:pPr>
      <w:r>
        <w:rPr>
          <w:rFonts w:hint="eastAsia" w:ascii="宋体" w:hAnsi="宋体" w:eastAsia="宋体"/>
          <w:color w:val="auto"/>
          <w:sz w:val="28"/>
          <w:highlight w:val="none"/>
          <w:u w:val="none"/>
        </w:rPr>
        <w:t>招 标 人</w:t>
      </w:r>
      <w:r>
        <w:rPr>
          <w:rFonts w:hint="eastAsia" w:ascii="宋体" w:hAnsi="宋体" w:eastAsia="宋体"/>
          <w:color w:val="auto"/>
          <w:sz w:val="28"/>
          <w:szCs w:val="22"/>
          <w:highlight w:val="none"/>
          <w:u w:val="none"/>
        </w:rPr>
        <w:t>：</w:t>
      </w:r>
      <w:r>
        <w:rPr>
          <w:rFonts w:hint="eastAsia" w:ascii="宋体" w:hAnsi="宋体" w:eastAsia="宋体"/>
          <w:color w:val="auto"/>
          <w:sz w:val="28"/>
          <w:szCs w:val="22"/>
          <w:highlight w:val="none"/>
          <w:u w:val="none"/>
          <w:lang w:val="en-US" w:eastAsia="zh-CN"/>
        </w:rPr>
        <w:t>临海市古城街道许墅村集体经济组织</w:t>
      </w:r>
      <w:r>
        <w:rPr>
          <w:rFonts w:hint="eastAsia" w:ascii="宋体" w:hAnsi="宋体" w:eastAsia="宋体"/>
          <w:color w:val="auto"/>
          <w:sz w:val="28"/>
          <w:szCs w:val="22"/>
          <w:highlight w:val="none"/>
          <w:u w:val="none"/>
        </w:rPr>
        <w:t>（盖章）</w:t>
      </w:r>
    </w:p>
    <w:p w14:paraId="61A6ECCC">
      <w:pPr>
        <w:spacing w:line="660" w:lineRule="exact"/>
        <w:ind w:firstLine="1680" w:firstLineChars="600"/>
        <w:rPr>
          <w:rFonts w:hint="default" w:ascii="宋体" w:hAnsi="宋体" w:eastAsia="宋体"/>
          <w:color w:val="auto"/>
          <w:sz w:val="28"/>
          <w:szCs w:val="22"/>
          <w:highlight w:val="none"/>
          <w:u w:val="none"/>
          <w:lang w:val="en-US" w:eastAsia="zh-CN"/>
        </w:rPr>
      </w:pPr>
      <w:r>
        <w:rPr>
          <w:rFonts w:hint="eastAsia" w:ascii="宋体" w:hAnsi="宋体" w:eastAsia="宋体"/>
          <w:color w:val="auto"/>
          <w:sz w:val="28"/>
          <w:szCs w:val="22"/>
          <w:highlight w:val="none"/>
          <w:u w:val="none"/>
          <w:lang w:val="en-US" w:eastAsia="zh-CN"/>
        </w:rPr>
        <w:t>联 系 人：陈先生          联系电话：13676666397</w:t>
      </w:r>
    </w:p>
    <w:p w14:paraId="47FF7E68">
      <w:pPr>
        <w:spacing w:line="360" w:lineRule="auto"/>
        <w:ind w:firstLine="826" w:firstLineChars="295"/>
        <w:rPr>
          <w:rFonts w:ascii="宋体" w:hAnsi="宋体" w:eastAsia="宋体"/>
          <w:color w:val="auto"/>
          <w:sz w:val="28"/>
          <w:highlight w:val="none"/>
          <w:u w:val="none"/>
        </w:rPr>
      </w:pPr>
    </w:p>
    <w:p w14:paraId="52BAF446">
      <w:pPr>
        <w:spacing w:line="360" w:lineRule="auto"/>
        <w:rPr>
          <w:rFonts w:ascii="宋体" w:hAnsi="宋体" w:eastAsia="宋体"/>
          <w:color w:val="auto"/>
          <w:sz w:val="32"/>
          <w:szCs w:val="32"/>
          <w:highlight w:val="none"/>
          <w:u w:val="none"/>
        </w:rPr>
      </w:pPr>
    </w:p>
    <w:p w14:paraId="4AD3F319">
      <w:pPr>
        <w:spacing w:line="660" w:lineRule="exact"/>
        <w:ind w:left="2510" w:leftChars="522" w:hanging="840" w:hangingChars="300"/>
        <w:rPr>
          <w:rFonts w:ascii="宋体" w:hAnsi="宋体" w:eastAsia="宋体"/>
          <w:bCs/>
          <w:color w:val="auto"/>
          <w:sz w:val="28"/>
          <w:highlight w:val="none"/>
          <w:u w:val="none"/>
        </w:rPr>
      </w:pPr>
      <w:r>
        <w:rPr>
          <w:rFonts w:hint="eastAsia" w:ascii="宋体" w:hAnsi="宋体" w:eastAsia="宋体"/>
          <w:bCs/>
          <w:color w:val="auto"/>
          <w:sz w:val="28"/>
          <w:highlight w:val="none"/>
          <w:u w:val="none"/>
        </w:rPr>
        <w:t>招标代理机构：</w:t>
      </w:r>
      <w:r>
        <w:rPr>
          <w:rFonts w:hint="eastAsia" w:ascii="宋体" w:hAnsi="宋体" w:eastAsia="宋体"/>
          <w:bCs/>
          <w:color w:val="auto"/>
          <w:sz w:val="28"/>
          <w:highlight w:val="none"/>
          <w:u w:val="none"/>
          <w:lang w:eastAsia="zh-CN"/>
        </w:rPr>
        <w:t>浙江华耀建设咨询有限公司</w:t>
      </w:r>
      <w:r>
        <w:rPr>
          <w:rFonts w:hint="eastAsia" w:ascii="宋体" w:hAnsi="宋体" w:eastAsia="宋体"/>
          <w:bCs/>
          <w:color w:val="auto"/>
          <w:sz w:val="28"/>
          <w:highlight w:val="none"/>
          <w:u w:val="none"/>
        </w:rPr>
        <w:t xml:space="preserve">（盖章）   </w:t>
      </w:r>
    </w:p>
    <w:p w14:paraId="5760C578">
      <w:pPr>
        <w:spacing w:line="660" w:lineRule="exact"/>
        <w:ind w:left="2510" w:leftChars="522" w:hanging="840" w:hangingChars="300"/>
        <w:rPr>
          <w:rFonts w:hint="default" w:ascii="宋体" w:hAnsi="宋体" w:eastAsia="宋体"/>
          <w:bCs/>
          <w:color w:val="auto"/>
          <w:sz w:val="28"/>
          <w:highlight w:val="none"/>
          <w:u w:val="none"/>
          <w:lang w:val="en-US" w:eastAsia="zh-CN"/>
        </w:rPr>
      </w:pPr>
      <w:r>
        <w:rPr>
          <w:rFonts w:hint="eastAsia" w:ascii="宋体" w:hAnsi="宋体" w:eastAsia="宋体"/>
          <w:bCs/>
          <w:color w:val="auto"/>
          <w:sz w:val="28"/>
          <w:highlight w:val="none"/>
          <w:u w:val="none"/>
        </w:rPr>
        <w:t>联 系 人：</w:t>
      </w:r>
      <w:r>
        <w:rPr>
          <w:rFonts w:hint="eastAsia" w:ascii="宋体" w:hAnsi="宋体" w:eastAsia="宋体"/>
          <w:bCs/>
          <w:color w:val="auto"/>
          <w:sz w:val="28"/>
          <w:highlight w:val="none"/>
          <w:u w:val="none"/>
          <w:lang w:val="en-US" w:eastAsia="zh-CN"/>
        </w:rPr>
        <w:t>陶先生</w:t>
      </w:r>
      <w:r>
        <w:rPr>
          <w:rFonts w:hint="eastAsia" w:ascii="宋体" w:hAnsi="宋体" w:eastAsia="宋体"/>
          <w:bCs/>
          <w:color w:val="auto"/>
          <w:sz w:val="28"/>
          <w:highlight w:val="none"/>
          <w:u w:val="none"/>
        </w:rPr>
        <w:t xml:space="preserve">          联系电话：</w:t>
      </w:r>
      <w:r>
        <w:rPr>
          <w:rFonts w:hint="eastAsia" w:ascii="宋体" w:hAnsi="宋体" w:eastAsia="宋体"/>
          <w:bCs/>
          <w:color w:val="auto"/>
          <w:sz w:val="28"/>
          <w:highlight w:val="none"/>
          <w:u w:val="none"/>
          <w:lang w:val="en-US" w:eastAsia="zh-CN"/>
        </w:rPr>
        <w:t>0576-85021266</w:t>
      </w:r>
    </w:p>
    <w:p w14:paraId="7BF597F3">
      <w:pPr>
        <w:spacing w:line="360" w:lineRule="auto"/>
        <w:rPr>
          <w:rFonts w:ascii="宋体" w:hAnsi="宋体" w:eastAsia="宋体"/>
          <w:color w:val="auto"/>
          <w:sz w:val="28"/>
          <w:highlight w:val="none"/>
        </w:rPr>
      </w:pPr>
    </w:p>
    <w:p w14:paraId="09EEE001">
      <w:pPr>
        <w:spacing w:line="360" w:lineRule="auto"/>
        <w:ind w:firstLine="826" w:firstLineChars="295"/>
        <w:rPr>
          <w:rFonts w:ascii="宋体" w:hAnsi="宋体" w:eastAsia="宋体"/>
          <w:color w:val="auto"/>
          <w:sz w:val="28"/>
          <w:highlight w:val="none"/>
        </w:rPr>
      </w:pPr>
    </w:p>
    <w:p w14:paraId="7CF1E641">
      <w:pPr>
        <w:spacing w:line="288" w:lineRule="auto"/>
        <w:rPr>
          <w:rFonts w:ascii="宋体" w:hAnsi="宋体" w:eastAsia="宋体"/>
          <w:color w:val="auto"/>
          <w:sz w:val="28"/>
          <w:highlight w:val="none"/>
        </w:rPr>
      </w:pPr>
    </w:p>
    <w:p w14:paraId="7F63E1C3">
      <w:pPr>
        <w:spacing w:line="288" w:lineRule="auto"/>
        <w:rPr>
          <w:rFonts w:ascii="宋体" w:hAnsi="宋体" w:eastAsia="宋体"/>
          <w:color w:val="auto"/>
          <w:sz w:val="28"/>
          <w:highlight w:val="none"/>
        </w:rPr>
      </w:pPr>
    </w:p>
    <w:p w14:paraId="4E290E5B">
      <w:pPr>
        <w:spacing w:line="288" w:lineRule="auto"/>
        <w:rPr>
          <w:rFonts w:ascii="宋体" w:hAnsi="宋体" w:eastAsia="宋体"/>
          <w:color w:val="auto"/>
          <w:sz w:val="28"/>
          <w:szCs w:val="22"/>
          <w:highlight w:val="none"/>
        </w:rPr>
      </w:pPr>
    </w:p>
    <w:p w14:paraId="1EFA073C">
      <w:pPr>
        <w:spacing w:line="288" w:lineRule="auto"/>
        <w:rPr>
          <w:rFonts w:ascii="宋体" w:hAnsi="宋体" w:eastAsia="宋体"/>
          <w:color w:val="auto"/>
          <w:sz w:val="28"/>
          <w:szCs w:val="22"/>
          <w:highlight w:val="none"/>
        </w:rPr>
      </w:pPr>
    </w:p>
    <w:p w14:paraId="1A4BE2EB">
      <w:pPr>
        <w:spacing w:line="288" w:lineRule="auto"/>
        <w:jc w:val="center"/>
        <w:rPr>
          <w:rFonts w:ascii="宋体" w:hAnsi="宋体" w:eastAsia="宋体"/>
          <w:b/>
          <w:color w:val="auto"/>
          <w:sz w:val="48"/>
          <w:highlight w:val="none"/>
        </w:rPr>
        <w:sectPr>
          <w:headerReference r:id="rId5" w:type="first"/>
          <w:footerReference r:id="rId8" w:type="first"/>
          <w:headerReference r:id="rId3" w:type="default"/>
          <w:footerReference r:id="rId6" w:type="default"/>
          <w:headerReference r:id="rId4" w:type="even"/>
          <w:footerReference r:id="rId7" w:type="even"/>
          <w:footnotePr>
            <w:numRestart w:val="eachPage"/>
          </w:footnotePr>
          <w:endnotePr>
            <w:numRestart w:val="eachSect"/>
          </w:endnotePr>
          <w:pgSz w:w="11907" w:h="16840"/>
          <w:pgMar w:top="1440" w:right="1080" w:bottom="1440" w:left="1080" w:header="851" w:footer="992" w:gutter="0"/>
          <w:pgNumType w:start="1"/>
          <w:cols w:space="720" w:num="1"/>
          <w:titlePg/>
          <w:docGrid w:linePitch="435" w:charSpace="-6554"/>
        </w:sectPr>
      </w:pPr>
      <w:r>
        <w:rPr>
          <w:rFonts w:hint="eastAsia" w:ascii="宋体" w:hAnsi="宋体" w:eastAsia="宋体"/>
          <w:color w:val="auto"/>
          <w:sz w:val="28"/>
          <w:szCs w:val="22"/>
          <w:highlight w:val="none"/>
        </w:rPr>
        <w:t xml:space="preserve"> 202</w:t>
      </w:r>
      <w:r>
        <w:rPr>
          <w:rFonts w:hint="eastAsia" w:ascii="宋体" w:hAnsi="宋体" w:eastAsia="宋体"/>
          <w:color w:val="auto"/>
          <w:sz w:val="28"/>
          <w:szCs w:val="22"/>
          <w:highlight w:val="none"/>
          <w:lang w:val="en-US" w:eastAsia="zh-CN"/>
        </w:rPr>
        <w:t>6</w:t>
      </w:r>
      <w:r>
        <w:rPr>
          <w:rFonts w:hint="eastAsia" w:ascii="宋体" w:hAnsi="宋体" w:eastAsia="宋体"/>
          <w:color w:val="auto"/>
          <w:sz w:val="28"/>
          <w:szCs w:val="22"/>
          <w:highlight w:val="none"/>
        </w:rPr>
        <w:t>年</w:t>
      </w:r>
      <w:r>
        <w:rPr>
          <w:rFonts w:hint="eastAsia" w:ascii="宋体" w:hAnsi="宋体" w:eastAsia="宋体"/>
          <w:color w:val="auto"/>
          <w:sz w:val="28"/>
          <w:szCs w:val="22"/>
          <w:highlight w:val="none"/>
          <w:lang w:val="en-US" w:eastAsia="zh-CN"/>
        </w:rPr>
        <w:t>5</w:t>
      </w:r>
      <w:r>
        <w:rPr>
          <w:rFonts w:hint="eastAsia" w:ascii="宋体" w:hAnsi="宋体" w:eastAsia="宋体"/>
          <w:color w:val="auto"/>
          <w:sz w:val="28"/>
          <w:szCs w:val="22"/>
          <w:highlight w:val="none"/>
        </w:rPr>
        <w:t>月</w:t>
      </w:r>
    </w:p>
    <w:p w14:paraId="6AE85332">
      <w:pPr>
        <w:jc w:val="center"/>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目录</w:t>
      </w:r>
    </w:p>
    <w:p w14:paraId="39629F0C">
      <w:pPr>
        <w:jc w:val="center"/>
        <w:rPr>
          <w:rFonts w:ascii="宋体" w:hAnsi="宋体" w:eastAsia="宋体" w:cs="宋体"/>
          <w:b/>
          <w:bCs/>
          <w:color w:val="auto"/>
          <w:sz w:val="48"/>
          <w:szCs w:val="48"/>
          <w:highlight w:val="none"/>
        </w:rPr>
      </w:pPr>
    </w:p>
    <w:p w14:paraId="5336CD38">
      <w:pPr>
        <w:pStyle w:val="30"/>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"_Toc5497" </w:instrText>
      </w:r>
      <w:r>
        <w:rPr>
          <w:color w:val="auto"/>
          <w:highlight w:val="none"/>
        </w:rPr>
        <w:fldChar w:fldCharType="separate"/>
      </w:r>
      <w:r>
        <w:rPr>
          <w:rFonts w:hint="eastAsia" w:ascii="宋体" w:hAnsi="宋体" w:cs="宋体"/>
          <w:color w:val="auto"/>
          <w:sz w:val="28"/>
          <w:szCs w:val="28"/>
          <w:highlight w:val="none"/>
        </w:rPr>
        <w:t>投标须知前附表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_Toc5497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B86331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"_Toc9614" </w:instrText>
      </w:r>
      <w:r>
        <w:rPr>
          <w:color w:val="auto"/>
          <w:highlight w:val="none"/>
        </w:rPr>
        <w:fldChar w:fldCharType="separate"/>
      </w:r>
      <w:r>
        <w:rPr>
          <w:rFonts w:hint="eastAsia" w:ascii="宋体" w:hAnsi="宋体" w:cs="宋体"/>
          <w:color w:val="auto"/>
          <w:sz w:val="28"/>
          <w:szCs w:val="28"/>
          <w:highlight w:val="none"/>
        </w:rPr>
        <w:t>第一章  投标须知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_Toc9614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689F0DF">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"_Toc20217" </w:instrText>
      </w:r>
      <w:r>
        <w:rPr>
          <w:color w:val="auto"/>
          <w:highlight w:val="none"/>
        </w:rPr>
        <w:fldChar w:fldCharType="separate"/>
      </w:r>
      <w:r>
        <w:rPr>
          <w:rFonts w:hint="eastAsia" w:ascii="宋体" w:hAnsi="宋体" w:cs="宋体"/>
          <w:color w:val="auto"/>
          <w:sz w:val="28"/>
          <w:szCs w:val="28"/>
          <w:highlight w:val="none"/>
        </w:rPr>
        <w:t>第二章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_Toc20217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D99DFFE">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"_Toc26088" </w:instrText>
      </w:r>
      <w:r>
        <w:rPr>
          <w:color w:val="auto"/>
          <w:highlight w:val="none"/>
        </w:rPr>
        <w:fldChar w:fldCharType="separate"/>
      </w:r>
      <w:r>
        <w:rPr>
          <w:rFonts w:hint="eastAsia" w:ascii="宋体" w:hAnsi="宋体" w:cs="宋体"/>
          <w:color w:val="auto"/>
          <w:sz w:val="28"/>
          <w:szCs w:val="28"/>
          <w:highlight w:val="none"/>
        </w:rPr>
        <w:t>第三章  合同条款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7</w:t>
      </w:r>
    </w:p>
    <w:p w14:paraId="5A2641D4">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"_Toc21472" </w:instrText>
      </w:r>
      <w:r>
        <w:rPr>
          <w:color w:val="auto"/>
          <w:highlight w:val="none"/>
        </w:rPr>
        <w:fldChar w:fldCharType="separate"/>
      </w:r>
      <w:r>
        <w:rPr>
          <w:rFonts w:hint="eastAsia" w:ascii="宋体" w:hAnsi="宋体" w:cs="宋体"/>
          <w:color w:val="auto"/>
          <w:sz w:val="28"/>
          <w:szCs w:val="28"/>
          <w:highlight w:val="none"/>
        </w:rPr>
        <w:t>第四章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0</w:t>
      </w:r>
    </w:p>
    <w:p w14:paraId="3978F9B9">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"_Toc30668" </w:instrText>
      </w:r>
      <w:r>
        <w:rPr>
          <w:color w:val="auto"/>
          <w:highlight w:val="none"/>
        </w:rPr>
        <w:fldChar w:fldCharType="separate"/>
      </w:r>
      <w:r>
        <w:rPr>
          <w:rFonts w:hint="eastAsia" w:ascii="宋体" w:hAnsi="宋体" w:cs="宋体"/>
          <w:color w:val="auto"/>
          <w:sz w:val="28"/>
          <w:szCs w:val="28"/>
          <w:highlight w:val="none"/>
        </w:rPr>
        <w:t>附件一：投标函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_Toc30668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44CD80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"_Toc23377" </w:instrText>
      </w:r>
      <w:r>
        <w:rPr>
          <w:color w:val="auto"/>
          <w:highlight w:val="none"/>
        </w:rPr>
        <w:fldChar w:fldCharType="separate"/>
      </w:r>
      <w:r>
        <w:rPr>
          <w:rFonts w:hint="eastAsia" w:ascii="宋体" w:hAnsi="宋体" w:cs="宋体"/>
          <w:color w:val="auto"/>
          <w:sz w:val="28"/>
          <w:szCs w:val="28"/>
          <w:highlight w:val="none"/>
        </w:rPr>
        <w:t>附件二：临海市建设工程安全生产任职资格承诺书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_Toc23377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74D7A49">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"_Toc30036" </w:instrText>
      </w:r>
      <w:r>
        <w:rPr>
          <w:color w:val="auto"/>
          <w:highlight w:val="none"/>
        </w:rPr>
        <w:fldChar w:fldCharType="separate"/>
      </w:r>
      <w:r>
        <w:rPr>
          <w:rFonts w:hint="eastAsia" w:ascii="宋体" w:hAnsi="宋体" w:cs="宋体"/>
          <w:color w:val="auto"/>
          <w:sz w:val="28"/>
          <w:szCs w:val="28"/>
          <w:highlight w:val="none"/>
        </w:rPr>
        <w:t>附件三：项目负责人简历表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_Toc30036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269342C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"_Toc581" </w:instrText>
      </w:r>
      <w:r>
        <w:rPr>
          <w:color w:val="auto"/>
          <w:highlight w:val="none"/>
        </w:rPr>
        <w:fldChar w:fldCharType="separate"/>
      </w:r>
      <w:r>
        <w:rPr>
          <w:rFonts w:hint="eastAsia" w:ascii="宋体" w:hAnsi="宋体" w:cs="宋体"/>
          <w:color w:val="auto"/>
          <w:sz w:val="28"/>
          <w:szCs w:val="28"/>
          <w:highlight w:val="none"/>
        </w:rPr>
        <w:t>附件四：技术负责人简历表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_Toc581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74D7704">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"_Toc4216" </w:instrText>
      </w:r>
      <w:r>
        <w:rPr>
          <w:color w:val="auto"/>
          <w:highlight w:val="none"/>
        </w:rPr>
        <w:fldChar w:fldCharType="separate"/>
      </w:r>
      <w:r>
        <w:rPr>
          <w:rFonts w:hint="eastAsia" w:ascii="宋体" w:hAnsi="宋体" w:cs="宋体"/>
          <w:color w:val="auto"/>
          <w:sz w:val="28"/>
          <w:szCs w:val="28"/>
          <w:highlight w:val="none"/>
        </w:rPr>
        <w:t>附件五：项目负责人在建项目承诺书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5</w:t>
      </w:r>
    </w:p>
    <w:p w14:paraId="637835FB">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"_Toc13566" </w:instrText>
      </w:r>
      <w:r>
        <w:rPr>
          <w:color w:val="auto"/>
          <w:highlight w:val="none"/>
        </w:rPr>
        <w:fldChar w:fldCharType="separate"/>
      </w:r>
      <w:r>
        <w:rPr>
          <w:rFonts w:hint="eastAsia" w:ascii="宋体" w:hAnsi="宋体" w:cs="宋体"/>
          <w:color w:val="auto"/>
          <w:sz w:val="28"/>
          <w:szCs w:val="28"/>
          <w:highlight w:val="none"/>
        </w:rPr>
        <w:t>附件六：主要施工机械设备表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6</w:t>
      </w:r>
    </w:p>
    <w:p w14:paraId="46480C75">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"_Toc20350" </w:instrText>
      </w:r>
      <w:r>
        <w:rPr>
          <w:color w:val="auto"/>
          <w:highlight w:val="none"/>
        </w:rPr>
        <w:fldChar w:fldCharType="separate"/>
      </w:r>
      <w:r>
        <w:rPr>
          <w:rFonts w:hint="eastAsia" w:ascii="宋体" w:hAnsi="宋体" w:cs="宋体"/>
          <w:color w:val="auto"/>
          <w:sz w:val="28"/>
          <w:szCs w:val="28"/>
          <w:highlight w:val="none"/>
        </w:rPr>
        <w:t>附件七：临海市建设工程诚信投标承诺书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7</w:t>
      </w:r>
    </w:p>
    <w:p w14:paraId="6705D15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"_Toc18290" </w:instrText>
      </w:r>
      <w:r>
        <w:rPr>
          <w:color w:val="auto"/>
          <w:highlight w:val="none"/>
        </w:rPr>
        <w:fldChar w:fldCharType="separate"/>
      </w:r>
      <w:r>
        <w:rPr>
          <w:rFonts w:hint="eastAsia" w:ascii="宋体" w:hAnsi="宋体" w:cs="宋体"/>
          <w:color w:val="auto"/>
          <w:sz w:val="28"/>
          <w:szCs w:val="28"/>
          <w:highlight w:val="none"/>
        </w:rPr>
        <w:t>附件八：法定代表人授权委托书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8</w:t>
      </w:r>
    </w:p>
    <w:p w14:paraId="1C7E4B34">
      <w:pPr>
        <w:pStyle w:val="30"/>
        <w:tabs>
          <w:tab w:val="right" w:leader="dot" w:pos="9185"/>
        </w:tabs>
        <w:spacing w:line="360" w:lineRule="auto"/>
        <w:rPr>
          <w:rFonts w:ascii="宋体" w:hAnsi="宋体" w:cs="宋体"/>
          <w:color w:val="auto"/>
          <w:sz w:val="28"/>
          <w:szCs w:val="28"/>
          <w:highlight w:val="none"/>
        </w:rPr>
        <w:sectPr>
          <w:headerReference r:id="rId9" w:type="default"/>
          <w:footerReference r:id="rId10"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highlight w:val="none"/>
        </w:rPr>
        <w:t>附</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件九：法定代表人身份证明......................................59</w:t>
      </w:r>
    </w:p>
    <w:p w14:paraId="075DD915">
      <w:pPr>
        <w:keepNext/>
        <w:keepLines/>
        <w:spacing w:before="120" w:after="120"/>
        <w:jc w:val="center"/>
        <w:outlineLvl w:val="0"/>
        <w:rPr>
          <w:rFonts w:ascii="黑体" w:hAnsi="黑体" w:eastAsia="黑体"/>
          <w:b/>
          <w:color w:val="auto"/>
          <w:kern w:val="44"/>
          <w:sz w:val="30"/>
          <w:highlight w:val="none"/>
        </w:rPr>
      </w:pPr>
      <w:bookmarkStart w:id="0" w:name="_Toc5497"/>
      <w:bookmarkStart w:id="1" w:name="_Toc22713"/>
      <w:bookmarkStart w:id="2" w:name="_Toc1787"/>
      <w:bookmarkStart w:id="3" w:name="_Toc386121751"/>
      <w:bookmarkStart w:id="4" w:name="_Toc500208499"/>
      <w:bookmarkStart w:id="5" w:name="_Toc500209421"/>
      <w:bookmarkStart w:id="6" w:name="_Toc386121562"/>
      <w:r>
        <w:rPr>
          <w:rFonts w:hint="eastAsia" w:ascii="黑体" w:hAnsi="黑体" w:eastAsia="黑体"/>
          <w:b/>
          <w:color w:val="auto"/>
          <w:kern w:val="44"/>
          <w:sz w:val="30"/>
          <w:highlight w:val="none"/>
        </w:rPr>
        <w:t>投标须知</w:t>
      </w:r>
      <w:bookmarkStart w:id="7" w:name="_Toc1731"/>
      <w:r>
        <w:rPr>
          <w:rFonts w:hint="eastAsia" w:ascii="黑体" w:hAnsi="黑体" w:eastAsia="黑体"/>
          <w:b/>
          <w:color w:val="auto"/>
          <w:kern w:val="44"/>
          <w:sz w:val="30"/>
          <w:highlight w:val="none"/>
        </w:rPr>
        <w:t>前附表</w:t>
      </w:r>
      <w:bookmarkEnd w:id="0"/>
      <w:bookmarkEnd w:id="1"/>
      <w:bookmarkEnd w:id="2"/>
      <w:bookmarkEnd w:id="7"/>
    </w:p>
    <w:tbl>
      <w:tblPr>
        <w:tblStyle w:val="22"/>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05005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70B63CBE">
            <w:pPr>
              <w:jc w:val="center"/>
              <w:rPr>
                <w:rFonts w:ascii="宋体" w:hAnsi="宋体" w:eastAsia="宋体"/>
                <w:color w:val="auto"/>
                <w:sz w:val="21"/>
                <w:highlight w:val="none"/>
              </w:rPr>
            </w:pPr>
            <w:r>
              <w:rPr>
                <w:rFonts w:hint="eastAsia" w:ascii="宋体" w:hAnsi="宋体" w:eastAsia="宋体"/>
                <w:color w:val="auto"/>
                <w:sz w:val="21"/>
                <w:highlight w:val="none"/>
              </w:rPr>
              <w:t>序号</w:t>
            </w:r>
          </w:p>
        </w:tc>
        <w:tc>
          <w:tcPr>
            <w:tcW w:w="861" w:type="dxa"/>
            <w:vAlign w:val="center"/>
          </w:tcPr>
          <w:p w14:paraId="0AC8E685">
            <w:pPr>
              <w:jc w:val="center"/>
              <w:rPr>
                <w:rFonts w:ascii="宋体" w:hAnsi="宋体" w:eastAsia="宋体"/>
                <w:color w:val="auto"/>
                <w:sz w:val="21"/>
                <w:highlight w:val="none"/>
              </w:rPr>
            </w:pPr>
            <w:r>
              <w:rPr>
                <w:rFonts w:hint="eastAsia" w:ascii="宋体" w:hAnsi="宋体" w:eastAsia="宋体"/>
                <w:color w:val="auto"/>
                <w:sz w:val="21"/>
                <w:highlight w:val="none"/>
              </w:rPr>
              <w:t>条款号</w:t>
            </w:r>
          </w:p>
        </w:tc>
        <w:tc>
          <w:tcPr>
            <w:tcW w:w="1722" w:type="dxa"/>
            <w:vAlign w:val="center"/>
          </w:tcPr>
          <w:p w14:paraId="69464A56">
            <w:pPr>
              <w:jc w:val="center"/>
              <w:rPr>
                <w:rFonts w:ascii="宋体" w:hAnsi="宋体" w:eastAsia="宋体"/>
                <w:color w:val="auto"/>
                <w:sz w:val="21"/>
                <w:highlight w:val="none"/>
              </w:rPr>
            </w:pPr>
            <w:r>
              <w:rPr>
                <w:rFonts w:hint="eastAsia" w:ascii="宋体" w:hAnsi="宋体" w:eastAsia="宋体"/>
                <w:color w:val="auto"/>
                <w:sz w:val="21"/>
                <w:highlight w:val="none"/>
              </w:rPr>
              <w:t>内  容</w:t>
            </w:r>
          </w:p>
        </w:tc>
        <w:tc>
          <w:tcPr>
            <w:tcW w:w="5919" w:type="dxa"/>
            <w:vAlign w:val="center"/>
          </w:tcPr>
          <w:p w14:paraId="472C4A14">
            <w:pPr>
              <w:jc w:val="center"/>
              <w:rPr>
                <w:rFonts w:ascii="宋体" w:hAnsi="宋体" w:eastAsia="宋体"/>
                <w:color w:val="auto"/>
                <w:sz w:val="21"/>
                <w:highlight w:val="none"/>
              </w:rPr>
            </w:pPr>
            <w:r>
              <w:rPr>
                <w:rFonts w:hint="eastAsia" w:ascii="宋体" w:hAnsi="宋体" w:eastAsia="宋体"/>
                <w:color w:val="auto"/>
                <w:sz w:val="21"/>
                <w:highlight w:val="none"/>
              </w:rPr>
              <w:t>说明与要求</w:t>
            </w:r>
          </w:p>
        </w:tc>
      </w:tr>
      <w:tr w14:paraId="22882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45FDB222">
            <w:pPr>
              <w:jc w:val="center"/>
              <w:rPr>
                <w:rFonts w:ascii="宋体" w:hAnsi="宋体" w:eastAsia="宋体"/>
                <w:color w:val="auto"/>
                <w:sz w:val="21"/>
                <w:highlight w:val="none"/>
              </w:rPr>
            </w:pPr>
            <w:r>
              <w:rPr>
                <w:rFonts w:hint="eastAsia" w:ascii="宋体" w:hAnsi="宋体" w:eastAsia="宋体"/>
                <w:color w:val="auto"/>
                <w:sz w:val="21"/>
                <w:highlight w:val="none"/>
              </w:rPr>
              <w:t>1</w:t>
            </w:r>
          </w:p>
        </w:tc>
        <w:tc>
          <w:tcPr>
            <w:tcW w:w="861" w:type="dxa"/>
            <w:tcBorders>
              <w:bottom w:val="single" w:color="auto" w:sz="4" w:space="0"/>
            </w:tcBorders>
            <w:vAlign w:val="center"/>
          </w:tcPr>
          <w:p w14:paraId="1E10327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209AE420">
            <w:pPr>
              <w:jc w:val="center"/>
              <w:rPr>
                <w:rFonts w:ascii="宋体" w:hAnsi="宋体" w:eastAsia="宋体"/>
                <w:color w:val="auto"/>
                <w:sz w:val="21"/>
                <w:highlight w:val="none"/>
              </w:rPr>
            </w:pPr>
            <w:r>
              <w:rPr>
                <w:rFonts w:hint="eastAsia" w:ascii="宋体" w:hAnsi="宋体" w:eastAsia="宋体"/>
                <w:color w:val="auto"/>
                <w:sz w:val="21"/>
                <w:highlight w:val="none"/>
              </w:rPr>
              <w:t>工程名称</w:t>
            </w:r>
          </w:p>
        </w:tc>
        <w:tc>
          <w:tcPr>
            <w:tcW w:w="5919" w:type="dxa"/>
            <w:tcBorders>
              <w:bottom w:val="single" w:color="auto" w:sz="4" w:space="0"/>
            </w:tcBorders>
            <w:vAlign w:val="center"/>
          </w:tcPr>
          <w:p w14:paraId="1AD17117">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许墅村道路及附属项目</w:t>
            </w:r>
          </w:p>
        </w:tc>
      </w:tr>
      <w:tr w14:paraId="6751C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52B5C562">
            <w:pPr>
              <w:jc w:val="center"/>
              <w:rPr>
                <w:rFonts w:ascii="宋体" w:hAnsi="宋体" w:eastAsia="宋体"/>
                <w:color w:val="auto"/>
                <w:sz w:val="21"/>
                <w:highlight w:val="none"/>
              </w:rPr>
            </w:pPr>
            <w:r>
              <w:rPr>
                <w:rFonts w:hint="eastAsia" w:ascii="宋体" w:hAnsi="宋体" w:eastAsia="宋体"/>
                <w:color w:val="auto"/>
                <w:sz w:val="21"/>
                <w:highlight w:val="none"/>
              </w:rPr>
              <w:t>2</w:t>
            </w:r>
          </w:p>
        </w:tc>
        <w:tc>
          <w:tcPr>
            <w:tcW w:w="861" w:type="dxa"/>
            <w:tcBorders>
              <w:bottom w:val="single" w:color="auto" w:sz="4" w:space="0"/>
            </w:tcBorders>
            <w:vAlign w:val="center"/>
          </w:tcPr>
          <w:p w14:paraId="406AD5B8">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495C4A8F">
            <w:pPr>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919" w:type="dxa"/>
            <w:tcBorders>
              <w:bottom w:val="single" w:color="auto" w:sz="4" w:space="0"/>
            </w:tcBorders>
            <w:vAlign w:val="center"/>
          </w:tcPr>
          <w:p w14:paraId="417F01C7">
            <w:pPr>
              <w:adjustRightInd w:val="0"/>
              <w:snapToGrid w:val="0"/>
              <w:rPr>
                <w:rFonts w:hint="default" w:ascii="宋体" w:hAnsi="宋体" w:eastAsia="宋体"/>
                <w:bCs/>
                <w:color w:val="auto"/>
                <w:sz w:val="21"/>
                <w:highlight w:val="none"/>
                <w:lang w:val="en-US" w:eastAsia="zh-CN"/>
              </w:rPr>
            </w:pPr>
            <w:r>
              <w:rPr>
                <w:rFonts w:hint="eastAsia" w:ascii="宋体" w:hAnsi="宋体" w:eastAsia="宋体"/>
                <w:bCs/>
                <w:color w:val="auto"/>
                <w:sz w:val="21"/>
                <w:highlight w:val="none"/>
                <w:lang w:eastAsia="zh-CN"/>
              </w:rPr>
              <w:t>临海市古城街道许墅村</w:t>
            </w:r>
          </w:p>
        </w:tc>
      </w:tr>
      <w:tr w14:paraId="3458D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trPr>
        <w:tc>
          <w:tcPr>
            <w:tcW w:w="682" w:type="dxa"/>
            <w:tcBorders>
              <w:bottom w:val="single" w:color="auto" w:sz="4" w:space="0"/>
            </w:tcBorders>
            <w:vAlign w:val="center"/>
          </w:tcPr>
          <w:p w14:paraId="04247CA4">
            <w:pPr>
              <w:jc w:val="center"/>
              <w:rPr>
                <w:rFonts w:ascii="宋体" w:hAnsi="宋体" w:eastAsia="宋体"/>
                <w:color w:val="auto"/>
                <w:sz w:val="21"/>
                <w:highlight w:val="none"/>
              </w:rPr>
            </w:pPr>
            <w:r>
              <w:rPr>
                <w:rFonts w:hint="eastAsia" w:ascii="宋体" w:hAnsi="宋体" w:eastAsia="宋体"/>
                <w:color w:val="auto"/>
                <w:sz w:val="21"/>
                <w:highlight w:val="none"/>
              </w:rPr>
              <w:t>3</w:t>
            </w:r>
          </w:p>
        </w:tc>
        <w:tc>
          <w:tcPr>
            <w:tcW w:w="861" w:type="dxa"/>
            <w:tcBorders>
              <w:bottom w:val="single" w:color="auto" w:sz="4" w:space="0"/>
            </w:tcBorders>
            <w:vAlign w:val="center"/>
          </w:tcPr>
          <w:p w14:paraId="0539D848">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0FECA05E">
            <w:pPr>
              <w:jc w:val="center"/>
              <w:rPr>
                <w:rFonts w:ascii="宋体" w:hAnsi="宋体" w:eastAsia="宋体"/>
                <w:color w:val="auto"/>
                <w:sz w:val="21"/>
                <w:highlight w:val="none"/>
              </w:rPr>
            </w:pPr>
            <w:r>
              <w:rPr>
                <w:rFonts w:hint="eastAsia" w:ascii="宋体" w:hAnsi="宋体" w:eastAsia="宋体"/>
                <w:color w:val="auto"/>
                <w:sz w:val="21"/>
                <w:highlight w:val="none"/>
              </w:rPr>
              <w:t>建设规模</w:t>
            </w:r>
          </w:p>
        </w:tc>
        <w:tc>
          <w:tcPr>
            <w:tcW w:w="5919" w:type="dxa"/>
            <w:tcBorders>
              <w:bottom w:val="single" w:color="auto" w:sz="4" w:space="0"/>
            </w:tcBorders>
            <w:vAlign w:val="center"/>
          </w:tcPr>
          <w:p w14:paraId="3E6B8065">
            <w:pPr>
              <w:adjustRightInd w:val="0"/>
              <w:snapToGrid w:val="0"/>
              <w:rPr>
                <w:rFonts w:hint="default" w:ascii="宋体" w:hAnsi="宋体" w:eastAsia="宋体"/>
                <w:bCs/>
                <w:color w:val="auto"/>
                <w:sz w:val="21"/>
                <w:highlight w:val="none"/>
                <w:lang w:val="en-US" w:eastAsia="zh-CN"/>
              </w:rPr>
            </w:pPr>
            <w:r>
              <w:rPr>
                <w:rFonts w:hint="eastAsia" w:ascii="宋体" w:hAnsi="宋体" w:eastAsia="宋体"/>
                <w:bCs/>
                <w:color w:val="auto"/>
                <w:sz w:val="21"/>
                <w:highlight w:val="none"/>
                <w:lang w:val="en-US" w:eastAsia="zh-CN"/>
              </w:rPr>
              <w:t>许墅村的村内旧路破除，水泥路新做，块石驳岸，桥面修缮，室外排水，路灯及监控建设等。</w:t>
            </w:r>
          </w:p>
        </w:tc>
      </w:tr>
      <w:tr w14:paraId="7CE38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6642C86D">
            <w:pPr>
              <w:jc w:val="center"/>
              <w:rPr>
                <w:rFonts w:ascii="宋体" w:hAnsi="宋体" w:eastAsia="宋体"/>
                <w:color w:val="auto"/>
                <w:sz w:val="21"/>
                <w:highlight w:val="none"/>
              </w:rPr>
            </w:pPr>
            <w:r>
              <w:rPr>
                <w:rFonts w:hint="eastAsia" w:ascii="宋体" w:hAnsi="宋体" w:eastAsia="宋体"/>
                <w:color w:val="auto"/>
                <w:sz w:val="21"/>
                <w:highlight w:val="none"/>
              </w:rPr>
              <w:t>4</w:t>
            </w:r>
          </w:p>
        </w:tc>
        <w:tc>
          <w:tcPr>
            <w:tcW w:w="861" w:type="dxa"/>
            <w:tcBorders>
              <w:bottom w:val="single" w:color="auto" w:sz="4" w:space="0"/>
            </w:tcBorders>
            <w:vAlign w:val="center"/>
          </w:tcPr>
          <w:p w14:paraId="02D3A687">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4B75D058">
            <w:pPr>
              <w:jc w:val="center"/>
              <w:rPr>
                <w:rFonts w:ascii="宋体" w:hAnsi="宋体" w:eastAsia="宋体"/>
                <w:color w:val="auto"/>
                <w:sz w:val="21"/>
                <w:highlight w:val="none"/>
              </w:rPr>
            </w:pPr>
            <w:r>
              <w:rPr>
                <w:rFonts w:hint="eastAsia" w:ascii="宋体" w:hAnsi="宋体" w:eastAsia="宋体"/>
                <w:color w:val="auto"/>
                <w:sz w:val="21"/>
                <w:highlight w:val="none"/>
              </w:rPr>
              <w:t>预算造价</w:t>
            </w:r>
          </w:p>
        </w:tc>
        <w:tc>
          <w:tcPr>
            <w:tcW w:w="5919" w:type="dxa"/>
            <w:tcBorders>
              <w:bottom w:val="single" w:color="auto" w:sz="4" w:space="0"/>
            </w:tcBorders>
            <w:vAlign w:val="center"/>
          </w:tcPr>
          <w:p w14:paraId="39E6384E">
            <w:pPr>
              <w:widowControl/>
              <w:jc w:val="left"/>
              <w:rPr>
                <w:rFonts w:ascii="宋体" w:hAnsi="宋体" w:eastAsia="宋体"/>
                <w:color w:val="auto"/>
                <w:sz w:val="21"/>
                <w:highlight w:val="none"/>
              </w:rPr>
            </w:pPr>
            <w:r>
              <w:rPr>
                <w:rFonts w:hint="eastAsia" w:ascii="宋体" w:hAnsi="宋体" w:eastAsia="宋体"/>
                <w:color w:val="auto"/>
                <w:sz w:val="21"/>
                <w:highlight w:val="none"/>
                <w:lang w:val="en-US" w:eastAsia="zh-CN"/>
              </w:rPr>
              <w:t>971252</w:t>
            </w:r>
            <w:r>
              <w:rPr>
                <w:rFonts w:hint="eastAsia" w:ascii="宋体" w:hAnsi="宋体" w:eastAsia="宋体"/>
                <w:color w:val="auto"/>
                <w:sz w:val="21"/>
                <w:highlight w:val="none"/>
              </w:rPr>
              <w:t>元（详见招标人预算书）</w:t>
            </w:r>
          </w:p>
        </w:tc>
      </w:tr>
      <w:tr w14:paraId="2A797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0065FA8A">
            <w:pPr>
              <w:jc w:val="center"/>
              <w:rPr>
                <w:rFonts w:ascii="宋体" w:hAnsi="宋体" w:eastAsia="宋体"/>
                <w:color w:val="auto"/>
                <w:sz w:val="21"/>
                <w:highlight w:val="none"/>
              </w:rPr>
            </w:pPr>
            <w:r>
              <w:rPr>
                <w:rFonts w:hint="eastAsia" w:ascii="宋体" w:hAnsi="宋体" w:eastAsia="宋体"/>
                <w:color w:val="auto"/>
                <w:sz w:val="21"/>
                <w:highlight w:val="none"/>
              </w:rPr>
              <w:t>5</w:t>
            </w:r>
          </w:p>
        </w:tc>
        <w:tc>
          <w:tcPr>
            <w:tcW w:w="861" w:type="dxa"/>
            <w:tcBorders>
              <w:bottom w:val="single" w:color="auto" w:sz="4" w:space="0"/>
            </w:tcBorders>
            <w:vAlign w:val="center"/>
          </w:tcPr>
          <w:p w14:paraId="3BABEC44">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3808D5AD">
            <w:pPr>
              <w:jc w:val="center"/>
              <w:rPr>
                <w:rFonts w:ascii="宋体" w:hAnsi="宋体" w:eastAsia="宋体"/>
                <w:color w:val="auto"/>
                <w:sz w:val="21"/>
                <w:highlight w:val="none"/>
              </w:rPr>
            </w:pPr>
            <w:r>
              <w:rPr>
                <w:rFonts w:hint="eastAsia" w:ascii="宋体" w:hAnsi="宋体" w:eastAsia="宋体"/>
                <w:color w:val="auto"/>
                <w:sz w:val="21"/>
                <w:highlight w:val="none"/>
              </w:rPr>
              <w:t>承包方式</w:t>
            </w:r>
          </w:p>
        </w:tc>
        <w:tc>
          <w:tcPr>
            <w:tcW w:w="5919" w:type="dxa"/>
            <w:tcBorders>
              <w:bottom w:val="single" w:color="auto" w:sz="4" w:space="0"/>
            </w:tcBorders>
            <w:vAlign w:val="center"/>
          </w:tcPr>
          <w:p w14:paraId="4B8ED676">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包工包料</w:t>
            </w:r>
          </w:p>
        </w:tc>
      </w:tr>
      <w:tr w14:paraId="46134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2DACBD24">
            <w:pPr>
              <w:jc w:val="center"/>
              <w:rPr>
                <w:rFonts w:ascii="宋体" w:hAnsi="宋体" w:eastAsia="宋体"/>
                <w:color w:val="auto"/>
                <w:sz w:val="21"/>
                <w:highlight w:val="none"/>
              </w:rPr>
            </w:pPr>
            <w:r>
              <w:rPr>
                <w:rFonts w:hint="eastAsia" w:ascii="宋体" w:hAnsi="宋体" w:eastAsia="宋体"/>
                <w:color w:val="auto"/>
                <w:sz w:val="21"/>
                <w:highlight w:val="none"/>
              </w:rPr>
              <w:t>6</w:t>
            </w:r>
          </w:p>
        </w:tc>
        <w:tc>
          <w:tcPr>
            <w:tcW w:w="861" w:type="dxa"/>
            <w:tcBorders>
              <w:bottom w:val="single" w:color="auto" w:sz="4" w:space="0"/>
            </w:tcBorders>
            <w:vAlign w:val="center"/>
          </w:tcPr>
          <w:p w14:paraId="56DBFE1E">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72046F44">
            <w:pPr>
              <w:jc w:val="center"/>
              <w:rPr>
                <w:rFonts w:ascii="宋体" w:hAnsi="宋体" w:eastAsia="宋体"/>
                <w:color w:val="auto"/>
                <w:sz w:val="21"/>
                <w:highlight w:val="none"/>
              </w:rPr>
            </w:pPr>
            <w:r>
              <w:rPr>
                <w:rFonts w:hint="eastAsia" w:ascii="宋体" w:hAnsi="宋体" w:eastAsia="宋体"/>
                <w:color w:val="auto"/>
                <w:sz w:val="21"/>
                <w:highlight w:val="none"/>
              </w:rPr>
              <w:t>质量标准</w:t>
            </w:r>
          </w:p>
        </w:tc>
        <w:tc>
          <w:tcPr>
            <w:tcW w:w="5919" w:type="dxa"/>
            <w:tcBorders>
              <w:bottom w:val="single" w:color="auto" w:sz="4" w:space="0"/>
            </w:tcBorders>
            <w:vAlign w:val="center"/>
          </w:tcPr>
          <w:p w14:paraId="04AA3730">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合格</w:t>
            </w:r>
          </w:p>
        </w:tc>
      </w:tr>
      <w:tr w14:paraId="547FF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7C7E0773">
            <w:pPr>
              <w:jc w:val="center"/>
              <w:rPr>
                <w:rFonts w:ascii="宋体" w:hAnsi="宋体" w:eastAsia="宋体"/>
                <w:color w:val="auto"/>
                <w:sz w:val="21"/>
                <w:highlight w:val="none"/>
              </w:rPr>
            </w:pPr>
            <w:r>
              <w:rPr>
                <w:rFonts w:hint="eastAsia" w:ascii="宋体" w:hAnsi="宋体" w:eastAsia="宋体"/>
                <w:color w:val="auto"/>
                <w:sz w:val="21"/>
                <w:highlight w:val="none"/>
              </w:rPr>
              <w:t>7</w:t>
            </w:r>
          </w:p>
        </w:tc>
        <w:tc>
          <w:tcPr>
            <w:tcW w:w="861" w:type="dxa"/>
            <w:tcBorders>
              <w:bottom w:val="single" w:color="auto" w:sz="4" w:space="0"/>
            </w:tcBorders>
            <w:vAlign w:val="center"/>
          </w:tcPr>
          <w:p w14:paraId="795B22DE">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00AA3A44">
            <w:pPr>
              <w:jc w:val="center"/>
              <w:rPr>
                <w:rFonts w:ascii="宋体" w:hAnsi="宋体" w:eastAsia="宋体"/>
                <w:color w:val="auto"/>
                <w:sz w:val="21"/>
                <w:highlight w:val="none"/>
              </w:rPr>
            </w:pPr>
            <w:r>
              <w:rPr>
                <w:rFonts w:hint="eastAsia" w:ascii="宋体" w:hAnsi="宋体" w:eastAsia="宋体"/>
                <w:color w:val="auto"/>
                <w:sz w:val="21"/>
                <w:highlight w:val="none"/>
              </w:rPr>
              <w:t>工期要求</w:t>
            </w:r>
          </w:p>
        </w:tc>
        <w:tc>
          <w:tcPr>
            <w:tcW w:w="5919" w:type="dxa"/>
            <w:tcBorders>
              <w:bottom w:val="single" w:color="auto" w:sz="4" w:space="0"/>
            </w:tcBorders>
            <w:vAlign w:val="center"/>
          </w:tcPr>
          <w:p w14:paraId="1B6ED44E">
            <w:pPr>
              <w:rPr>
                <w:rFonts w:ascii="宋体" w:hAnsi="宋体" w:eastAsia="宋体"/>
                <w:color w:val="auto"/>
                <w:sz w:val="21"/>
                <w:highlight w:val="none"/>
              </w:rPr>
            </w:pPr>
            <w:r>
              <w:rPr>
                <w:rFonts w:hint="eastAsia" w:ascii="宋体" w:hAnsi="宋体" w:eastAsia="宋体"/>
                <w:color w:val="auto"/>
                <w:sz w:val="21"/>
                <w:highlight w:val="none"/>
              </w:rPr>
              <w:t>不超过</w:t>
            </w:r>
            <w:r>
              <w:rPr>
                <w:rFonts w:hint="eastAsia" w:ascii="宋体" w:hAnsi="宋体" w:eastAsia="宋体"/>
                <w:color w:val="auto"/>
                <w:sz w:val="21"/>
                <w:highlight w:val="none"/>
                <w:u w:val="single"/>
                <w:lang w:val="en-US" w:eastAsia="zh-CN"/>
              </w:rPr>
              <w:t xml:space="preserve"> 90 </w:t>
            </w:r>
            <w:r>
              <w:rPr>
                <w:rFonts w:hint="eastAsia" w:ascii="宋体" w:hAnsi="宋体" w:eastAsia="宋体"/>
                <w:color w:val="auto"/>
                <w:sz w:val="21"/>
                <w:highlight w:val="none"/>
              </w:rPr>
              <w:t>日历天</w:t>
            </w:r>
          </w:p>
        </w:tc>
      </w:tr>
      <w:tr w14:paraId="0751F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14EA143B">
            <w:pPr>
              <w:jc w:val="center"/>
              <w:rPr>
                <w:rFonts w:ascii="宋体" w:hAnsi="宋体" w:eastAsia="宋体"/>
                <w:color w:val="auto"/>
                <w:sz w:val="21"/>
                <w:highlight w:val="none"/>
              </w:rPr>
            </w:pPr>
            <w:r>
              <w:rPr>
                <w:rFonts w:hint="eastAsia" w:ascii="宋体" w:hAnsi="宋体" w:eastAsia="宋体"/>
                <w:color w:val="auto"/>
                <w:sz w:val="21"/>
                <w:highlight w:val="none"/>
              </w:rPr>
              <w:t>8</w:t>
            </w:r>
          </w:p>
        </w:tc>
        <w:tc>
          <w:tcPr>
            <w:tcW w:w="861" w:type="dxa"/>
            <w:vAlign w:val="center"/>
          </w:tcPr>
          <w:p w14:paraId="52365069">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1722" w:type="dxa"/>
            <w:vAlign w:val="center"/>
          </w:tcPr>
          <w:p w14:paraId="64C36C9B">
            <w:pPr>
              <w:jc w:val="center"/>
              <w:rPr>
                <w:rFonts w:ascii="宋体" w:hAnsi="宋体" w:eastAsia="宋体"/>
                <w:color w:val="auto"/>
                <w:sz w:val="21"/>
                <w:highlight w:val="none"/>
              </w:rPr>
            </w:pPr>
            <w:r>
              <w:rPr>
                <w:rFonts w:hint="eastAsia" w:ascii="宋体" w:hAnsi="宋体" w:eastAsia="宋体"/>
                <w:color w:val="auto"/>
                <w:sz w:val="21"/>
                <w:highlight w:val="none"/>
              </w:rPr>
              <w:t>招标方式</w:t>
            </w:r>
          </w:p>
        </w:tc>
        <w:tc>
          <w:tcPr>
            <w:tcW w:w="5919" w:type="dxa"/>
            <w:vAlign w:val="center"/>
          </w:tcPr>
          <w:p w14:paraId="55B2D4FE">
            <w:pPr>
              <w:rPr>
                <w:rFonts w:ascii="宋体" w:hAnsi="宋体" w:eastAsia="宋体"/>
                <w:color w:val="auto"/>
                <w:sz w:val="21"/>
                <w:highlight w:val="none"/>
              </w:rPr>
            </w:pPr>
            <w:r>
              <w:rPr>
                <w:rFonts w:hint="eastAsia" w:ascii="宋体" w:hAnsi="宋体" w:eastAsia="宋体"/>
                <w:color w:val="auto"/>
                <w:sz w:val="21"/>
                <w:highlight w:val="none"/>
              </w:rPr>
              <w:t>公开招标</w:t>
            </w:r>
          </w:p>
        </w:tc>
      </w:tr>
      <w:tr w14:paraId="476F4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682" w:type="dxa"/>
            <w:tcBorders>
              <w:bottom w:val="single" w:color="auto" w:sz="4" w:space="0"/>
            </w:tcBorders>
            <w:vAlign w:val="center"/>
          </w:tcPr>
          <w:p w14:paraId="3D83B667">
            <w:pPr>
              <w:jc w:val="center"/>
              <w:rPr>
                <w:rFonts w:ascii="宋体" w:hAnsi="宋体" w:eastAsia="宋体"/>
                <w:color w:val="auto"/>
                <w:sz w:val="21"/>
                <w:highlight w:val="none"/>
              </w:rPr>
            </w:pPr>
            <w:r>
              <w:rPr>
                <w:rFonts w:hint="eastAsia" w:ascii="宋体" w:hAnsi="宋体" w:eastAsia="宋体"/>
                <w:color w:val="auto"/>
                <w:sz w:val="21"/>
                <w:highlight w:val="none"/>
              </w:rPr>
              <w:t>9</w:t>
            </w:r>
          </w:p>
        </w:tc>
        <w:tc>
          <w:tcPr>
            <w:tcW w:w="861" w:type="dxa"/>
            <w:tcBorders>
              <w:bottom w:val="single" w:color="auto" w:sz="4" w:space="0"/>
            </w:tcBorders>
            <w:vAlign w:val="center"/>
          </w:tcPr>
          <w:p w14:paraId="4B3DB28E">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1722" w:type="dxa"/>
            <w:tcBorders>
              <w:bottom w:val="single" w:color="auto" w:sz="4" w:space="0"/>
            </w:tcBorders>
            <w:vAlign w:val="center"/>
          </w:tcPr>
          <w:p w14:paraId="7178848F">
            <w:pPr>
              <w:jc w:val="center"/>
              <w:rPr>
                <w:rFonts w:ascii="宋体" w:hAnsi="宋体" w:eastAsia="宋体"/>
                <w:color w:val="auto"/>
                <w:sz w:val="21"/>
                <w:highlight w:val="none"/>
              </w:rPr>
            </w:pPr>
            <w:r>
              <w:rPr>
                <w:rFonts w:hint="eastAsia" w:ascii="宋体" w:hAnsi="宋体" w:eastAsia="宋体"/>
                <w:color w:val="auto"/>
                <w:sz w:val="21"/>
                <w:highlight w:val="none"/>
              </w:rPr>
              <w:t>招标范围</w:t>
            </w:r>
          </w:p>
        </w:tc>
        <w:tc>
          <w:tcPr>
            <w:tcW w:w="5919" w:type="dxa"/>
            <w:tcBorders>
              <w:bottom w:val="single" w:color="auto" w:sz="4" w:space="0"/>
            </w:tcBorders>
            <w:vAlign w:val="center"/>
          </w:tcPr>
          <w:p w14:paraId="5B0FE838">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招标人提供的施工图纸所包含的</w:t>
            </w:r>
            <w:r>
              <w:rPr>
                <w:rFonts w:hint="eastAsia" w:ascii="宋体" w:hAnsi="宋体" w:eastAsia="宋体"/>
                <w:bCs/>
                <w:color w:val="auto"/>
                <w:sz w:val="21"/>
                <w:highlight w:val="none"/>
                <w:lang w:eastAsia="zh-CN"/>
              </w:rPr>
              <w:t>许墅村道路及附属项目</w:t>
            </w:r>
            <w:r>
              <w:rPr>
                <w:rFonts w:hint="eastAsia" w:ascii="宋体" w:hAnsi="宋体" w:eastAsia="宋体"/>
                <w:color w:val="auto"/>
                <w:sz w:val="21"/>
                <w:highlight w:val="none"/>
              </w:rPr>
              <w:t>的全部内容，具体内容以招标人提供的</w:t>
            </w:r>
            <w:r>
              <w:rPr>
                <w:rFonts w:hint="eastAsia" w:ascii="宋体" w:hAnsi="宋体" w:eastAsia="宋体"/>
                <w:color w:val="auto"/>
                <w:sz w:val="21"/>
                <w:szCs w:val="22"/>
                <w:highlight w:val="none"/>
              </w:rPr>
              <w:t>预算书</w:t>
            </w:r>
            <w:r>
              <w:rPr>
                <w:rFonts w:hint="eastAsia" w:ascii="宋体" w:hAnsi="宋体" w:eastAsia="宋体"/>
                <w:color w:val="auto"/>
                <w:sz w:val="21"/>
                <w:highlight w:val="none"/>
              </w:rPr>
              <w:t>为准。</w:t>
            </w:r>
          </w:p>
        </w:tc>
      </w:tr>
      <w:tr w14:paraId="7916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4332911E">
            <w:pPr>
              <w:jc w:val="center"/>
              <w:rPr>
                <w:rFonts w:ascii="宋体" w:hAnsi="宋体" w:eastAsia="宋体"/>
                <w:color w:val="auto"/>
                <w:sz w:val="21"/>
                <w:highlight w:val="none"/>
              </w:rPr>
            </w:pPr>
            <w:r>
              <w:rPr>
                <w:rFonts w:hint="eastAsia" w:ascii="宋体" w:hAnsi="宋体" w:eastAsia="宋体"/>
                <w:color w:val="auto"/>
                <w:sz w:val="21"/>
                <w:highlight w:val="none"/>
              </w:rPr>
              <w:t>10</w:t>
            </w:r>
          </w:p>
        </w:tc>
        <w:tc>
          <w:tcPr>
            <w:tcW w:w="861" w:type="dxa"/>
            <w:tcBorders>
              <w:bottom w:val="single" w:color="auto" w:sz="4" w:space="0"/>
            </w:tcBorders>
            <w:vAlign w:val="center"/>
          </w:tcPr>
          <w:p w14:paraId="0B455A51">
            <w:pPr>
              <w:jc w:val="center"/>
              <w:rPr>
                <w:rFonts w:ascii="宋体" w:hAnsi="宋体" w:eastAsia="宋体"/>
                <w:color w:val="auto"/>
                <w:sz w:val="21"/>
                <w:highlight w:val="none"/>
              </w:rPr>
            </w:pPr>
            <w:r>
              <w:rPr>
                <w:rFonts w:hint="eastAsia" w:ascii="宋体" w:hAnsi="宋体" w:eastAsia="宋体"/>
                <w:color w:val="auto"/>
                <w:sz w:val="21"/>
                <w:highlight w:val="none"/>
              </w:rPr>
              <w:t>3.1</w:t>
            </w:r>
          </w:p>
        </w:tc>
        <w:tc>
          <w:tcPr>
            <w:tcW w:w="1722" w:type="dxa"/>
            <w:tcBorders>
              <w:bottom w:val="single" w:color="auto" w:sz="4" w:space="0"/>
            </w:tcBorders>
            <w:vAlign w:val="center"/>
          </w:tcPr>
          <w:p w14:paraId="7A2CBC7B">
            <w:pPr>
              <w:jc w:val="center"/>
              <w:rPr>
                <w:rFonts w:ascii="宋体" w:hAnsi="宋体" w:eastAsia="宋体"/>
                <w:color w:val="auto"/>
                <w:sz w:val="21"/>
                <w:highlight w:val="none"/>
              </w:rPr>
            </w:pPr>
            <w:r>
              <w:rPr>
                <w:rFonts w:hint="eastAsia" w:ascii="宋体" w:hAnsi="宋体" w:eastAsia="宋体"/>
                <w:color w:val="auto"/>
                <w:sz w:val="21"/>
                <w:highlight w:val="none"/>
              </w:rPr>
              <w:t>资金来源</w:t>
            </w:r>
          </w:p>
        </w:tc>
        <w:tc>
          <w:tcPr>
            <w:tcW w:w="5919" w:type="dxa"/>
            <w:tcBorders>
              <w:bottom w:val="single" w:color="auto" w:sz="4" w:space="0"/>
            </w:tcBorders>
            <w:vAlign w:val="center"/>
          </w:tcPr>
          <w:p w14:paraId="53806051">
            <w:pPr>
              <w:adjustRightInd w:val="0"/>
              <w:snapToGrid w:val="0"/>
              <w:rPr>
                <w:rFonts w:ascii="宋体" w:hAnsi="宋体" w:eastAsia="宋体"/>
                <w:color w:val="auto"/>
                <w:sz w:val="21"/>
                <w:highlight w:val="none"/>
              </w:rPr>
            </w:pPr>
            <w:r>
              <w:rPr>
                <w:rFonts w:hint="eastAsia" w:ascii="宋体" w:hAnsi="宋体" w:eastAsia="宋体"/>
                <w:color w:val="auto"/>
                <w:sz w:val="21"/>
                <w:highlight w:val="none"/>
                <w:lang w:val="en-US" w:eastAsia="zh-CN"/>
              </w:rPr>
              <w:t>财政最高补助投资额100万元的三分之二，超出部分由村自筹</w:t>
            </w:r>
          </w:p>
        </w:tc>
      </w:tr>
      <w:tr w14:paraId="0785F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3AB80E4C">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861" w:type="dxa"/>
            <w:tcBorders>
              <w:bottom w:val="single" w:color="auto" w:sz="4" w:space="0"/>
            </w:tcBorders>
            <w:vAlign w:val="center"/>
          </w:tcPr>
          <w:p w14:paraId="1DA71500">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tcBorders>
              <w:bottom w:val="single" w:color="auto" w:sz="4" w:space="0"/>
            </w:tcBorders>
            <w:vAlign w:val="center"/>
          </w:tcPr>
          <w:p w14:paraId="43939D77">
            <w:pPr>
              <w:jc w:val="center"/>
              <w:rPr>
                <w:rFonts w:ascii="宋体" w:hAnsi="宋体" w:eastAsia="宋体"/>
                <w:color w:val="auto"/>
                <w:sz w:val="21"/>
                <w:highlight w:val="none"/>
              </w:rPr>
            </w:pPr>
            <w:r>
              <w:rPr>
                <w:rFonts w:hint="eastAsia" w:ascii="宋体" w:hAnsi="宋体" w:eastAsia="宋体"/>
                <w:color w:val="auto"/>
                <w:sz w:val="21"/>
                <w:highlight w:val="none"/>
              </w:rPr>
              <w:t>投标人要求</w:t>
            </w:r>
          </w:p>
        </w:tc>
        <w:tc>
          <w:tcPr>
            <w:tcW w:w="5919" w:type="dxa"/>
            <w:tcBorders>
              <w:bottom w:val="single" w:color="auto" w:sz="4" w:space="0"/>
            </w:tcBorders>
            <w:vAlign w:val="center"/>
          </w:tcPr>
          <w:p w14:paraId="63D31A86">
            <w:pPr>
              <w:rPr>
                <w:rFonts w:ascii="宋体" w:hAnsi="宋体" w:eastAsia="宋体"/>
                <w:color w:val="auto"/>
                <w:sz w:val="21"/>
                <w:highlight w:val="none"/>
              </w:rPr>
            </w:pPr>
            <w:r>
              <w:rPr>
                <w:rFonts w:hint="eastAsia" w:ascii="宋体" w:hAnsi="宋体" w:eastAsia="宋体"/>
                <w:color w:val="auto"/>
                <w:sz w:val="21"/>
                <w:highlight w:val="none"/>
              </w:rPr>
              <w:t>全国范围内市政公用工程施工总承包三级及以上资质；</w:t>
            </w:r>
          </w:p>
        </w:tc>
      </w:tr>
      <w:tr w14:paraId="254B6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462AF599">
            <w:pPr>
              <w:jc w:val="center"/>
              <w:rPr>
                <w:rFonts w:ascii="宋体" w:hAnsi="宋体" w:eastAsia="宋体"/>
                <w:color w:val="auto"/>
                <w:sz w:val="21"/>
                <w:highlight w:val="none"/>
              </w:rPr>
            </w:pPr>
            <w:r>
              <w:rPr>
                <w:rFonts w:hint="eastAsia" w:ascii="宋体" w:hAnsi="宋体" w:eastAsia="宋体"/>
                <w:color w:val="auto"/>
                <w:sz w:val="21"/>
                <w:highlight w:val="none"/>
              </w:rPr>
              <w:t>12</w:t>
            </w:r>
          </w:p>
        </w:tc>
        <w:tc>
          <w:tcPr>
            <w:tcW w:w="861" w:type="dxa"/>
            <w:vAlign w:val="center"/>
          </w:tcPr>
          <w:p w14:paraId="7DC650AB">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vAlign w:val="center"/>
          </w:tcPr>
          <w:p w14:paraId="6E943D13">
            <w:pPr>
              <w:jc w:val="center"/>
              <w:rPr>
                <w:rFonts w:ascii="宋体" w:hAnsi="宋体" w:eastAsia="宋体"/>
                <w:color w:val="auto"/>
                <w:sz w:val="21"/>
                <w:highlight w:val="none"/>
              </w:rPr>
            </w:pPr>
            <w:r>
              <w:rPr>
                <w:rFonts w:hint="eastAsia" w:ascii="宋体" w:hAnsi="宋体" w:eastAsia="宋体"/>
                <w:color w:val="auto"/>
                <w:sz w:val="21"/>
                <w:highlight w:val="none"/>
              </w:rPr>
              <w:t>项目负责人要求</w:t>
            </w:r>
          </w:p>
        </w:tc>
        <w:tc>
          <w:tcPr>
            <w:tcW w:w="5919" w:type="dxa"/>
            <w:vAlign w:val="center"/>
          </w:tcPr>
          <w:p w14:paraId="4BB0F634">
            <w:pPr>
              <w:rPr>
                <w:rFonts w:ascii="宋体" w:hAnsi="宋体" w:eastAsia="宋体"/>
                <w:color w:val="auto"/>
                <w:sz w:val="21"/>
                <w:highlight w:val="none"/>
              </w:rPr>
            </w:pPr>
            <w:r>
              <w:rPr>
                <w:rFonts w:hint="eastAsia" w:ascii="宋体" w:hAnsi="宋体" w:eastAsia="宋体"/>
                <w:color w:val="auto"/>
                <w:sz w:val="21"/>
                <w:highlight w:val="none"/>
              </w:rPr>
              <w:t>注册建造师（市政公用工程）二级及以上；</w:t>
            </w:r>
          </w:p>
        </w:tc>
      </w:tr>
      <w:tr w14:paraId="41B8B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682" w:type="dxa"/>
            <w:vAlign w:val="center"/>
          </w:tcPr>
          <w:p w14:paraId="6030B2CE">
            <w:pPr>
              <w:jc w:val="center"/>
              <w:rPr>
                <w:rFonts w:ascii="宋体" w:hAnsi="宋体" w:eastAsia="宋体"/>
                <w:color w:val="auto"/>
                <w:sz w:val="21"/>
                <w:highlight w:val="none"/>
              </w:rPr>
            </w:pPr>
            <w:r>
              <w:rPr>
                <w:rFonts w:hint="eastAsia" w:ascii="宋体" w:hAnsi="宋体" w:eastAsia="宋体"/>
                <w:color w:val="auto"/>
                <w:sz w:val="21"/>
                <w:highlight w:val="none"/>
              </w:rPr>
              <w:t>13</w:t>
            </w:r>
          </w:p>
        </w:tc>
        <w:tc>
          <w:tcPr>
            <w:tcW w:w="861" w:type="dxa"/>
            <w:vAlign w:val="center"/>
          </w:tcPr>
          <w:p w14:paraId="2450C54B">
            <w:pPr>
              <w:jc w:val="center"/>
              <w:rPr>
                <w:rFonts w:ascii="宋体" w:hAnsi="宋体" w:eastAsia="宋体"/>
                <w:color w:val="auto"/>
                <w:sz w:val="21"/>
                <w:highlight w:val="none"/>
              </w:rPr>
            </w:pPr>
            <w:r>
              <w:rPr>
                <w:rFonts w:hint="eastAsia" w:ascii="宋体" w:hAnsi="宋体" w:eastAsia="宋体"/>
                <w:color w:val="auto"/>
                <w:sz w:val="21"/>
                <w:highlight w:val="none"/>
              </w:rPr>
              <w:t>4.2</w:t>
            </w:r>
          </w:p>
        </w:tc>
        <w:tc>
          <w:tcPr>
            <w:tcW w:w="1722" w:type="dxa"/>
            <w:vAlign w:val="center"/>
          </w:tcPr>
          <w:p w14:paraId="227904D8">
            <w:pPr>
              <w:jc w:val="center"/>
              <w:rPr>
                <w:rFonts w:ascii="宋体" w:hAnsi="宋体" w:eastAsia="宋体"/>
                <w:color w:val="auto"/>
                <w:sz w:val="21"/>
                <w:highlight w:val="none"/>
              </w:rPr>
            </w:pPr>
            <w:r>
              <w:rPr>
                <w:rFonts w:hint="eastAsia" w:ascii="宋体" w:hAnsi="宋体" w:eastAsia="宋体"/>
                <w:color w:val="auto"/>
                <w:sz w:val="21"/>
                <w:highlight w:val="none"/>
              </w:rPr>
              <w:t>投标人确定方式</w:t>
            </w:r>
          </w:p>
        </w:tc>
        <w:tc>
          <w:tcPr>
            <w:tcW w:w="5919" w:type="dxa"/>
            <w:vAlign w:val="center"/>
          </w:tcPr>
          <w:p w14:paraId="3DAD9D92">
            <w:pPr>
              <w:rPr>
                <w:rFonts w:ascii="宋体" w:hAnsi="宋体" w:eastAsia="宋体"/>
                <w:color w:val="auto"/>
                <w:sz w:val="21"/>
                <w:highlight w:val="none"/>
              </w:rPr>
            </w:pPr>
            <w:r>
              <w:rPr>
                <w:rFonts w:hint="eastAsia" w:ascii="宋体" w:hAnsi="宋体" w:eastAsia="宋体"/>
                <w:color w:val="auto"/>
                <w:sz w:val="21"/>
                <w:highlight w:val="none"/>
              </w:rPr>
              <w:t>资格后审</w:t>
            </w:r>
          </w:p>
        </w:tc>
      </w:tr>
      <w:tr w14:paraId="06BA6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7B628321">
            <w:pPr>
              <w:jc w:val="center"/>
              <w:rPr>
                <w:rFonts w:ascii="宋体" w:hAnsi="宋体" w:eastAsia="宋体"/>
                <w:color w:val="auto"/>
                <w:sz w:val="21"/>
                <w:highlight w:val="none"/>
              </w:rPr>
            </w:pPr>
            <w:r>
              <w:rPr>
                <w:rFonts w:hint="eastAsia" w:ascii="宋体" w:hAnsi="宋体" w:eastAsia="宋体"/>
                <w:color w:val="auto"/>
                <w:sz w:val="21"/>
                <w:highlight w:val="none"/>
              </w:rPr>
              <w:t>14</w:t>
            </w:r>
          </w:p>
        </w:tc>
        <w:tc>
          <w:tcPr>
            <w:tcW w:w="861" w:type="dxa"/>
            <w:vAlign w:val="center"/>
          </w:tcPr>
          <w:p w14:paraId="555B38DB">
            <w:pPr>
              <w:jc w:val="center"/>
              <w:rPr>
                <w:rFonts w:ascii="宋体" w:hAnsi="宋体" w:eastAsia="宋体"/>
                <w:color w:val="auto"/>
                <w:sz w:val="21"/>
                <w:highlight w:val="none"/>
              </w:rPr>
            </w:pPr>
            <w:r>
              <w:rPr>
                <w:rFonts w:hint="eastAsia" w:ascii="宋体" w:hAnsi="宋体" w:eastAsia="宋体"/>
                <w:color w:val="auto"/>
                <w:sz w:val="21"/>
                <w:highlight w:val="none"/>
              </w:rPr>
              <w:t>13.1</w:t>
            </w:r>
          </w:p>
        </w:tc>
        <w:tc>
          <w:tcPr>
            <w:tcW w:w="1722" w:type="dxa"/>
            <w:vAlign w:val="center"/>
          </w:tcPr>
          <w:p w14:paraId="4E43D4FE">
            <w:pPr>
              <w:jc w:val="center"/>
              <w:rPr>
                <w:rFonts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5919" w:type="dxa"/>
          </w:tcPr>
          <w:p w14:paraId="2CB2B9FE">
            <w:pPr>
              <w:adjustRightInd w:val="0"/>
              <w:snapToGrid w:val="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5E691665">
            <w:pPr>
              <w:ind w:left="-5"/>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622BD5C0">
            <w:pPr>
              <w:ind w:left="-5"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530339C5">
            <w:pPr>
              <w:rPr>
                <w:rFonts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5FC6F000">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4C3E3A6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27494A74">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00E1B01D">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59383D75">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2D652B5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17F72D7F">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（7）法定代表人授权委托书（投标文件格式八）或法定代表人身份证明（投标文件格式九）</w:t>
            </w:r>
            <w:r>
              <w:rPr>
                <w:rFonts w:hint="eastAsia" w:ascii="宋体" w:hAnsi="宋体" w:eastAsia="宋体" w:cs="宋体"/>
                <w:color w:val="auto"/>
                <w:sz w:val="21"/>
                <w:szCs w:val="21"/>
                <w:highlight w:val="none"/>
              </w:rPr>
              <w:t>；</w:t>
            </w:r>
          </w:p>
          <w:p w14:paraId="139CBCBF">
            <w:pPr>
              <w:spacing w:line="300" w:lineRule="exact"/>
              <w:ind w:firstLine="420" w:firstLineChars="200"/>
              <w:rPr>
                <w:rFonts w:ascii="宋体" w:hAnsi="宋体" w:eastAsia="宋体"/>
                <w:b/>
                <w:color w:val="auto"/>
                <w:sz w:val="21"/>
                <w:highlight w:val="none"/>
              </w:rPr>
            </w:pPr>
            <w:r>
              <w:rPr>
                <w:rFonts w:hint="eastAsia" w:ascii="宋体" w:hAnsi="宋体" w:eastAsia="宋体" w:cs="宋体"/>
                <w:color w:val="auto"/>
                <w:sz w:val="21"/>
                <w:szCs w:val="21"/>
                <w:highlight w:val="none"/>
              </w:rPr>
              <w:t>（8）证书材料（仅提供证书扫描件或电子证书）：</w:t>
            </w:r>
            <w:r>
              <w:rPr>
                <w:rFonts w:ascii="宋体" w:hAnsi="宋体" w:eastAsia="宋体"/>
                <w:b/>
                <w:color w:val="auto"/>
                <w:sz w:val="21"/>
                <w:highlight w:val="none"/>
              </w:rPr>
              <w:t xml:space="preserve"> </w:t>
            </w:r>
          </w:p>
          <w:p w14:paraId="629D2408">
            <w:pPr>
              <w:spacing w:line="288" w:lineRule="auto"/>
              <w:ind w:right="200" w:firstLine="420" w:firstLineChars="200"/>
              <w:rPr>
                <w:rFonts w:ascii="宋体" w:hAnsi="宋体" w:eastAsia="宋体"/>
                <w:b/>
                <w:color w:val="auto"/>
                <w:sz w:val="21"/>
                <w:highlight w:val="none"/>
              </w:rPr>
            </w:pPr>
            <w:r>
              <w:rPr>
                <w:rFonts w:hint="eastAsia" w:ascii="宋体" w:hAnsi="宋体" w:eastAsia="宋体"/>
                <w:color w:val="auto"/>
                <w:sz w:val="21"/>
                <w:highlight w:val="none"/>
              </w:rPr>
              <w:t>①《建筑业企业资质证书》</w:t>
            </w:r>
            <w:r>
              <w:rPr>
                <w:rFonts w:hint="eastAsia" w:ascii="宋体" w:hAnsi="宋体" w:eastAsia="宋体"/>
                <w:b/>
                <w:color w:val="auto"/>
                <w:sz w:val="21"/>
                <w:highlight w:val="none"/>
              </w:rPr>
              <w:t>；（若为住房和城乡建设部同意企业资质电子化试点的省、市可提供企业电子资质证书），投标人提供的《建筑业企业资质证书》上的有关内容真实性均以全国建筑市场监管公共服务平台查询网址：</w:t>
            </w:r>
            <w:r>
              <w:rPr>
                <w:color w:val="auto"/>
                <w:highlight w:val="none"/>
              </w:rPr>
              <w:fldChar w:fldCharType="begin"/>
            </w:r>
            <w:r>
              <w:rPr>
                <w:color w:val="auto"/>
                <w:highlight w:val="none"/>
              </w:rPr>
              <w:instrText xml:space="preserve"> HYPERLINK "http://jzsc.mohurd.gov.cn/（或省、直辖市相应平台）中查询结果为准。" </w:instrText>
            </w:r>
            <w:r>
              <w:rPr>
                <w:color w:val="auto"/>
                <w:highlight w:val="none"/>
              </w:rPr>
              <w:fldChar w:fldCharType="separate"/>
            </w:r>
            <w:r>
              <w:rPr>
                <w:rFonts w:hint="eastAsia" w:ascii="宋体" w:hAnsi="宋体" w:eastAsia="宋体"/>
                <w:b/>
                <w:color w:val="auto"/>
                <w:sz w:val="21"/>
                <w:highlight w:val="none"/>
              </w:rPr>
              <w:t>http://jzsc.mohurd.gov.cn/（或省、直辖市相应平台）中查询结果为准</w:t>
            </w:r>
            <w:r>
              <w:rPr>
                <w:rFonts w:hint="eastAsia" w:ascii="宋体" w:hAnsi="宋体" w:eastAsia="宋体"/>
                <w:b/>
                <w:color w:val="auto"/>
                <w:sz w:val="21"/>
                <w:highlight w:val="none"/>
              </w:rPr>
              <w:fldChar w:fldCharType="end"/>
            </w:r>
            <w:r>
              <w:rPr>
                <w:rFonts w:hint="eastAsia" w:ascii="宋体" w:hAnsi="宋体" w:eastAsia="宋体"/>
                <w:b/>
                <w:color w:val="auto"/>
                <w:sz w:val="21"/>
                <w:highlight w:val="none"/>
              </w:rPr>
              <w:t>；</w:t>
            </w:r>
          </w:p>
          <w:p w14:paraId="4492B3CF">
            <w:pPr>
              <w:pStyle w:val="5"/>
              <w:adjustRightInd w:val="0"/>
              <w:ind w:firstLine="422"/>
              <w:rPr>
                <w:rFonts w:ascii="宋体" w:hAnsi="宋体" w:eastAsia="宋体" w:cs="宋体"/>
                <w:color w:val="auto"/>
                <w:sz w:val="21"/>
                <w:szCs w:val="21"/>
                <w:highlight w:val="none"/>
              </w:rPr>
            </w:pPr>
            <w:r>
              <w:rPr>
                <w:rFonts w:hint="eastAsia" w:ascii="宋体" w:hAnsi="宋体" w:eastAsia="宋体"/>
                <w:color w:val="auto"/>
                <w:sz w:val="21"/>
                <w:szCs w:val="22"/>
                <w:highlight w:val="none"/>
              </w:rPr>
              <w:t>②</w:t>
            </w:r>
            <w:r>
              <w:rPr>
                <w:rFonts w:ascii="宋体" w:hAnsi="宋体" w:eastAsia="宋体" w:cs="宋体"/>
                <w:color w:val="auto"/>
                <w:sz w:val="21"/>
                <w:szCs w:val="21"/>
                <w:highlight w:val="none"/>
              </w:rPr>
              <w:t>企业</w:t>
            </w:r>
            <w:r>
              <w:rPr>
                <w:rFonts w:hint="eastAsia" w:ascii="宋体" w:hAnsi="宋体" w:eastAsia="宋体" w:cs="宋体"/>
                <w:color w:val="auto"/>
                <w:sz w:val="21"/>
                <w:szCs w:val="21"/>
                <w:highlight w:val="none"/>
              </w:rPr>
              <w:t>法定代表人、项目负责人身份证扫描件；</w:t>
            </w:r>
          </w:p>
          <w:p w14:paraId="4B8A438C">
            <w:pPr>
              <w:pStyle w:val="5"/>
              <w:adjustRightInd w:val="0"/>
              <w:ind w:firstLine="422"/>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430FFA2D">
            <w:pPr>
              <w:spacing w:line="300" w:lineRule="exact"/>
              <w:ind w:firstLine="420" w:firstLineChars="200"/>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auto"/>
                <w:sz w:val="21"/>
                <w:szCs w:val="21"/>
                <w:highlight w:val="none"/>
              </w:rPr>
              <w:t>一级建造师电子证书打印后，应在个人签名处手写本人签名，未手写签名或与签名图像笔迹不一致的，该电子证书无效。</w:t>
            </w:r>
          </w:p>
          <w:p w14:paraId="58608E79">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④《省外企业进浙承接业务备案证明》或“浙江省建筑市场监管公共服务系统”对外发布的通过审核形成的备案信息网页截图（仅指浙江省省外企业）；</w:t>
            </w:r>
          </w:p>
          <w:p w14:paraId="4CEF592A">
            <w:pPr>
              <w:spacing w:line="300" w:lineRule="exact"/>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302FDC4F">
            <w:pPr>
              <w:spacing w:beforeLines="50"/>
              <w:ind w:firstLine="420"/>
              <w:rPr>
                <w:rFonts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7A9C1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3E9AA487">
            <w:pPr>
              <w:jc w:val="center"/>
              <w:rPr>
                <w:rFonts w:ascii="宋体" w:hAnsi="宋体" w:eastAsia="宋体"/>
                <w:color w:val="auto"/>
                <w:sz w:val="21"/>
                <w:highlight w:val="none"/>
              </w:rPr>
            </w:pPr>
            <w:r>
              <w:rPr>
                <w:rFonts w:hint="eastAsia" w:ascii="宋体" w:hAnsi="宋体" w:eastAsia="宋体"/>
                <w:color w:val="auto"/>
                <w:sz w:val="21"/>
                <w:highlight w:val="none"/>
              </w:rPr>
              <w:t>15</w:t>
            </w:r>
          </w:p>
        </w:tc>
        <w:tc>
          <w:tcPr>
            <w:tcW w:w="861" w:type="dxa"/>
            <w:vAlign w:val="center"/>
          </w:tcPr>
          <w:p w14:paraId="664295F7">
            <w:pPr>
              <w:jc w:val="center"/>
              <w:rPr>
                <w:rFonts w:ascii="宋体" w:hAnsi="宋体" w:eastAsia="宋体"/>
                <w:color w:val="auto"/>
                <w:sz w:val="21"/>
                <w:highlight w:val="none"/>
              </w:rPr>
            </w:pPr>
            <w:r>
              <w:rPr>
                <w:rFonts w:hint="eastAsia" w:ascii="宋体" w:hAnsi="宋体" w:eastAsia="宋体"/>
                <w:color w:val="auto"/>
                <w:sz w:val="21"/>
                <w:highlight w:val="none"/>
              </w:rPr>
              <w:t>14.1</w:t>
            </w:r>
          </w:p>
        </w:tc>
        <w:tc>
          <w:tcPr>
            <w:tcW w:w="1722" w:type="dxa"/>
            <w:vAlign w:val="center"/>
          </w:tcPr>
          <w:p w14:paraId="0DF7FED6">
            <w:pPr>
              <w:jc w:val="center"/>
              <w:rPr>
                <w:rFonts w:ascii="宋体" w:hAnsi="宋体" w:eastAsia="宋体"/>
                <w:color w:val="auto"/>
                <w:sz w:val="21"/>
                <w:highlight w:val="none"/>
              </w:rPr>
            </w:pPr>
            <w:r>
              <w:rPr>
                <w:rFonts w:hint="eastAsia" w:ascii="宋体" w:hAnsi="宋体" w:eastAsia="宋体"/>
                <w:color w:val="auto"/>
                <w:sz w:val="21"/>
                <w:highlight w:val="none"/>
              </w:rPr>
              <w:t>投标文件格式</w:t>
            </w:r>
          </w:p>
        </w:tc>
        <w:tc>
          <w:tcPr>
            <w:tcW w:w="5919" w:type="dxa"/>
            <w:vAlign w:val="center"/>
          </w:tcPr>
          <w:p w14:paraId="5FE0D43B">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1、投标人应使用招标文件中提供的附件格式。表格如不够用时，可以按同样格式扩展。</w:t>
            </w:r>
          </w:p>
          <w:p w14:paraId="16CABE13">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6BF08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682" w:type="dxa"/>
            <w:vAlign w:val="center"/>
          </w:tcPr>
          <w:p w14:paraId="3E16665A">
            <w:pPr>
              <w:jc w:val="center"/>
              <w:rPr>
                <w:rFonts w:ascii="宋体" w:hAnsi="宋体" w:eastAsia="宋体"/>
                <w:color w:val="auto"/>
                <w:sz w:val="21"/>
                <w:highlight w:val="none"/>
              </w:rPr>
            </w:pPr>
            <w:r>
              <w:rPr>
                <w:rFonts w:hint="eastAsia" w:ascii="宋体" w:hAnsi="宋体" w:eastAsia="宋体"/>
                <w:color w:val="auto"/>
                <w:sz w:val="21"/>
                <w:highlight w:val="none"/>
              </w:rPr>
              <w:t>16</w:t>
            </w:r>
          </w:p>
        </w:tc>
        <w:tc>
          <w:tcPr>
            <w:tcW w:w="861" w:type="dxa"/>
            <w:vAlign w:val="center"/>
          </w:tcPr>
          <w:p w14:paraId="7DEE143A">
            <w:pPr>
              <w:jc w:val="center"/>
              <w:rPr>
                <w:rFonts w:ascii="宋体" w:hAnsi="宋体" w:eastAsia="宋体"/>
                <w:color w:val="auto"/>
                <w:sz w:val="21"/>
                <w:highlight w:val="none"/>
              </w:rPr>
            </w:pPr>
            <w:r>
              <w:rPr>
                <w:rFonts w:hint="eastAsia" w:ascii="宋体" w:hAnsi="宋体" w:eastAsia="宋体"/>
                <w:color w:val="auto"/>
                <w:sz w:val="21"/>
                <w:highlight w:val="none"/>
              </w:rPr>
              <w:t>15.1</w:t>
            </w:r>
          </w:p>
        </w:tc>
        <w:tc>
          <w:tcPr>
            <w:tcW w:w="1722" w:type="dxa"/>
            <w:vAlign w:val="center"/>
          </w:tcPr>
          <w:p w14:paraId="58C5B9CB">
            <w:pPr>
              <w:jc w:val="center"/>
              <w:rPr>
                <w:rFonts w:ascii="宋体" w:hAnsi="宋体" w:eastAsia="宋体"/>
                <w:color w:val="auto"/>
                <w:sz w:val="21"/>
                <w:highlight w:val="none"/>
              </w:rPr>
            </w:pPr>
            <w:r>
              <w:rPr>
                <w:rFonts w:hint="eastAsia" w:ascii="宋体" w:hAnsi="宋体" w:eastAsia="宋体"/>
                <w:color w:val="auto"/>
                <w:sz w:val="21"/>
                <w:highlight w:val="none"/>
              </w:rPr>
              <w:t>报价方式</w:t>
            </w:r>
          </w:p>
        </w:tc>
        <w:tc>
          <w:tcPr>
            <w:tcW w:w="5919" w:type="dxa"/>
            <w:vAlign w:val="center"/>
          </w:tcPr>
          <w:p w14:paraId="351F15E2">
            <w:pPr>
              <w:rPr>
                <w:rFonts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报价方式采用明标暗投的方式进行报价。各投标人根据现场堪踏和自身情况、市场风险因素，在最高投标限价内报价，超过此价格的按无效标处理。</w:t>
            </w:r>
          </w:p>
        </w:tc>
      </w:tr>
      <w:tr w14:paraId="3C12C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5197F041">
            <w:pPr>
              <w:jc w:val="center"/>
              <w:rPr>
                <w:rFonts w:ascii="宋体" w:hAnsi="宋体" w:eastAsia="宋体"/>
                <w:color w:val="auto"/>
                <w:sz w:val="21"/>
                <w:highlight w:val="none"/>
              </w:rPr>
            </w:pPr>
            <w:r>
              <w:rPr>
                <w:rFonts w:hint="eastAsia" w:ascii="宋体" w:hAnsi="宋体" w:eastAsia="宋体"/>
                <w:color w:val="auto"/>
                <w:sz w:val="21"/>
                <w:highlight w:val="none"/>
              </w:rPr>
              <w:t>17</w:t>
            </w:r>
          </w:p>
        </w:tc>
        <w:tc>
          <w:tcPr>
            <w:tcW w:w="861" w:type="dxa"/>
            <w:vAlign w:val="center"/>
          </w:tcPr>
          <w:p w14:paraId="1A708B7D">
            <w:pPr>
              <w:jc w:val="center"/>
              <w:rPr>
                <w:rFonts w:ascii="宋体" w:hAnsi="宋体" w:eastAsia="宋体"/>
                <w:color w:val="auto"/>
                <w:sz w:val="21"/>
                <w:highlight w:val="none"/>
              </w:rPr>
            </w:pPr>
            <w:r>
              <w:rPr>
                <w:rFonts w:hint="eastAsia" w:ascii="宋体" w:hAnsi="宋体" w:eastAsia="宋体"/>
                <w:color w:val="auto"/>
                <w:sz w:val="21"/>
                <w:highlight w:val="none"/>
              </w:rPr>
              <w:t>16.3</w:t>
            </w:r>
          </w:p>
        </w:tc>
        <w:tc>
          <w:tcPr>
            <w:tcW w:w="1722" w:type="dxa"/>
            <w:vAlign w:val="center"/>
          </w:tcPr>
          <w:p w14:paraId="1C3E7458">
            <w:pPr>
              <w:jc w:val="center"/>
              <w:rPr>
                <w:rFonts w:ascii="宋体" w:hAnsi="宋体" w:eastAsia="宋体"/>
                <w:color w:val="auto"/>
                <w:sz w:val="21"/>
                <w:highlight w:val="none"/>
              </w:rPr>
            </w:pPr>
            <w:r>
              <w:rPr>
                <w:rFonts w:hint="eastAsia" w:ascii="宋体" w:hAnsi="宋体" w:eastAsia="宋体" w:cs="宋体"/>
                <w:color w:val="auto"/>
                <w:sz w:val="21"/>
                <w:szCs w:val="21"/>
                <w:highlight w:val="none"/>
              </w:rPr>
              <w:t>招标控制价及最高投标限价</w:t>
            </w:r>
          </w:p>
        </w:tc>
        <w:tc>
          <w:tcPr>
            <w:tcW w:w="5919" w:type="dxa"/>
            <w:vAlign w:val="center"/>
          </w:tcPr>
          <w:p w14:paraId="617D682E">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招标控制价：</w:t>
            </w:r>
            <w:r>
              <w:rPr>
                <w:rFonts w:hint="eastAsia" w:ascii="宋体" w:hAnsi="宋体" w:eastAsia="宋体"/>
                <w:color w:val="auto"/>
                <w:sz w:val="21"/>
                <w:highlight w:val="none"/>
                <w:u w:val="single"/>
                <w:lang w:val="en-US" w:eastAsia="zh-CN"/>
              </w:rPr>
              <w:t>971252</w:t>
            </w:r>
            <w:r>
              <w:rPr>
                <w:rFonts w:hint="eastAsia" w:ascii="宋体" w:hAnsi="宋体" w:eastAsia="宋体" w:cs="宋体"/>
                <w:color w:val="auto"/>
                <w:sz w:val="21"/>
                <w:szCs w:val="21"/>
                <w:highlight w:val="none"/>
              </w:rPr>
              <w:t>元；</w:t>
            </w:r>
          </w:p>
          <w:p w14:paraId="20DEBAAA">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w:t>
            </w:r>
            <w:r>
              <w:rPr>
                <w:rFonts w:hint="eastAsia" w:ascii="宋体" w:hAnsi="宋体" w:eastAsia="宋体" w:cs="宋体"/>
                <w:color w:val="auto"/>
                <w:sz w:val="21"/>
                <w:szCs w:val="21"/>
                <w:highlight w:val="none"/>
                <w:u w:val="single"/>
                <w:lang w:val="en-US" w:eastAsia="zh-CN"/>
              </w:rPr>
              <w:t xml:space="preserve">835277 </w:t>
            </w:r>
            <w:r>
              <w:rPr>
                <w:rFonts w:hint="eastAsia" w:ascii="宋体" w:hAnsi="宋体" w:eastAsia="宋体" w:cs="宋体"/>
                <w:color w:val="auto"/>
                <w:sz w:val="21"/>
                <w:szCs w:val="21"/>
                <w:highlight w:val="none"/>
              </w:rPr>
              <w:t xml:space="preserve">元   </w:t>
            </w:r>
          </w:p>
          <w:p w14:paraId="378D6718">
            <w:pPr>
              <w:pStyle w:val="9"/>
              <w:rPr>
                <w:b/>
                <w:color w:val="auto"/>
                <w:sz w:val="24"/>
                <w:szCs w:val="24"/>
                <w:highlight w:val="none"/>
              </w:rPr>
            </w:pPr>
            <w:r>
              <w:rPr>
                <w:rFonts w:hint="eastAsia" w:cs="宋体"/>
                <w:color w:val="auto"/>
                <w:szCs w:val="21"/>
                <w:highlight w:val="none"/>
              </w:rPr>
              <w:t>最高投标限价=招标控制价</w:t>
            </w:r>
            <w:r>
              <w:rPr>
                <w:rFonts w:hint="eastAsia" w:cs="宋体"/>
                <w:color w:val="auto"/>
                <w:szCs w:val="21"/>
                <w:highlight w:val="none"/>
                <w:lang w:val="en-US" w:eastAsia="zh-CN"/>
              </w:rPr>
              <w:t>*</w:t>
            </w:r>
            <w:r>
              <w:rPr>
                <w:rFonts w:hint="eastAsia" w:cs="宋体"/>
                <w:color w:val="auto"/>
                <w:szCs w:val="21"/>
                <w:highlight w:val="none"/>
                <w:u w:val="none"/>
                <w:lang w:val="en-US" w:eastAsia="zh-CN"/>
              </w:rPr>
              <w:t>86</w:t>
            </w:r>
            <w:r>
              <w:rPr>
                <w:rFonts w:hint="eastAsia" w:cs="宋体"/>
                <w:color w:val="auto"/>
                <w:szCs w:val="21"/>
                <w:highlight w:val="none"/>
                <w:u w:val="none"/>
              </w:rPr>
              <w:t>%</w:t>
            </w:r>
          </w:p>
        </w:tc>
      </w:tr>
      <w:tr w14:paraId="780A2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98DF232">
            <w:pPr>
              <w:jc w:val="center"/>
              <w:rPr>
                <w:rFonts w:ascii="宋体" w:hAnsi="宋体" w:eastAsia="宋体"/>
                <w:color w:val="auto"/>
                <w:sz w:val="21"/>
                <w:highlight w:val="none"/>
              </w:rPr>
            </w:pPr>
            <w:r>
              <w:rPr>
                <w:rFonts w:hint="eastAsia" w:ascii="宋体" w:hAnsi="宋体" w:eastAsia="宋体"/>
                <w:color w:val="auto"/>
                <w:sz w:val="21"/>
                <w:highlight w:val="none"/>
              </w:rPr>
              <w:t>18</w:t>
            </w:r>
          </w:p>
        </w:tc>
        <w:tc>
          <w:tcPr>
            <w:tcW w:w="861" w:type="dxa"/>
            <w:vAlign w:val="center"/>
          </w:tcPr>
          <w:p w14:paraId="07C08D5D">
            <w:pPr>
              <w:jc w:val="center"/>
              <w:rPr>
                <w:rFonts w:ascii="宋体" w:hAnsi="宋体" w:eastAsia="宋体"/>
                <w:color w:val="auto"/>
                <w:sz w:val="21"/>
                <w:highlight w:val="none"/>
              </w:rPr>
            </w:pPr>
            <w:r>
              <w:rPr>
                <w:rFonts w:hint="eastAsia" w:ascii="宋体" w:hAnsi="宋体" w:eastAsia="宋体"/>
                <w:color w:val="auto"/>
                <w:sz w:val="21"/>
                <w:highlight w:val="none"/>
              </w:rPr>
              <w:t>17.1</w:t>
            </w:r>
          </w:p>
        </w:tc>
        <w:tc>
          <w:tcPr>
            <w:tcW w:w="1722" w:type="dxa"/>
            <w:vAlign w:val="center"/>
          </w:tcPr>
          <w:p w14:paraId="5248E662">
            <w:pPr>
              <w:jc w:val="center"/>
              <w:rPr>
                <w:rFonts w:ascii="宋体" w:hAnsi="宋体" w:eastAsia="宋体"/>
                <w:color w:val="auto"/>
                <w:sz w:val="21"/>
                <w:highlight w:val="none"/>
              </w:rPr>
            </w:pPr>
            <w:r>
              <w:rPr>
                <w:rFonts w:hint="eastAsia" w:ascii="宋体" w:hAnsi="宋体" w:eastAsia="宋体"/>
                <w:color w:val="auto"/>
                <w:sz w:val="21"/>
                <w:highlight w:val="none"/>
              </w:rPr>
              <w:t>投标担保要求</w:t>
            </w:r>
          </w:p>
        </w:tc>
        <w:tc>
          <w:tcPr>
            <w:tcW w:w="5919" w:type="dxa"/>
            <w:vAlign w:val="center"/>
          </w:tcPr>
          <w:p w14:paraId="5A712D30">
            <w:pPr>
              <w:rPr>
                <w:rFonts w:ascii="宋体" w:hAnsi="宋体" w:eastAsia="宋体"/>
                <w:b/>
                <w:bCs/>
                <w:color w:val="auto"/>
                <w:sz w:val="21"/>
                <w:highlight w:val="none"/>
              </w:rPr>
            </w:pPr>
            <w:r>
              <w:rPr>
                <w:rFonts w:hint="eastAsia" w:ascii="宋体" w:hAnsi="宋体" w:eastAsia="宋体"/>
                <w:b/>
                <w:bCs/>
                <w:color w:val="auto"/>
                <w:sz w:val="21"/>
                <w:highlight w:val="none"/>
              </w:rPr>
              <w:t>1、投标保证金金额：</w:t>
            </w:r>
            <w:r>
              <w:rPr>
                <w:rFonts w:hint="eastAsia" w:ascii="宋体" w:hAnsi="宋体" w:eastAsia="宋体"/>
                <w:b/>
                <w:bCs/>
                <w:color w:val="auto"/>
                <w:sz w:val="21"/>
                <w:highlight w:val="none"/>
                <w:u w:val="single"/>
                <w:lang w:val="en-US" w:eastAsia="zh-CN"/>
              </w:rPr>
              <w:t>1.9</w:t>
            </w:r>
            <w:r>
              <w:rPr>
                <w:rFonts w:hint="eastAsia" w:ascii="宋体" w:hAnsi="宋体" w:eastAsia="宋体"/>
                <w:b/>
                <w:bCs/>
                <w:color w:val="auto"/>
                <w:sz w:val="21"/>
                <w:highlight w:val="none"/>
              </w:rPr>
              <w:t>万元。</w:t>
            </w:r>
          </w:p>
          <w:p w14:paraId="4A024947">
            <w:pPr>
              <w:pStyle w:val="29"/>
              <w:rPr>
                <w:color w:val="auto"/>
                <w:highlight w:val="none"/>
              </w:rPr>
            </w:pPr>
            <w:r>
              <w:rPr>
                <w:rFonts w:hint="eastAsia" w:ascii="宋体" w:hAnsi="宋体" w:cs="宋体"/>
                <w:color w:val="auto"/>
                <w:spacing w:val="13"/>
                <w:sz w:val="21"/>
                <w:szCs w:val="21"/>
                <w:highlight w:val="none"/>
              </w:rPr>
              <w:t>2、投标保证金缴纳方式：网上银行转账或工程保函。</w:t>
            </w:r>
          </w:p>
          <w:p w14:paraId="6529F79E">
            <w:pPr>
              <w:spacing w:line="320" w:lineRule="exact"/>
              <w:rPr>
                <w:rFonts w:ascii="宋体" w:hAnsi="宋体" w:eastAsia="宋体" w:cs="宋体"/>
                <w:color w:val="auto"/>
                <w:spacing w:val="13"/>
                <w:kern w:val="0"/>
                <w:sz w:val="21"/>
                <w:szCs w:val="21"/>
                <w:highlight w:val="none"/>
              </w:rPr>
            </w:pPr>
            <w:r>
              <w:rPr>
                <w:rStyle w:val="38"/>
                <w:rFonts w:hint="eastAsia" w:ascii="宋体" w:hAnsi="宋体"/>
                <w:b/>
                <w:color w:val="auto"/>
                <w:sz w:val="24"/>
                <w:highlight w:val="none"/>
              </w:rPr>
              <w:t>(1)</w:t>
            </w:r>
            <w:r>
              <w:rPr>
                <w:rStyle w:val="38"/>
                <w:rFonts w:hint="eastAsia" w:ascii="宋体" w:hAnsi="宋体" w:eastAsia="宋体" w:cs="宋体"/>
                <w:b/>
                <w:color w:val="auto"/>
                <w:sz w:val="24"/>
                <w:highlight w:val="none"/>
              </w:rPr>
              <w:t xml:space="preserve"> 担保形式</w:t>
            </w:r>
            <w:r>
              <w:rPr>
                <w:rStyle w:val="38"/>
                <w:rFonts w:hint="eastAsia" w:ascii="宋体" w:hAnsi="宋体"/>
                <w:b/>
                <w:color w:val="auto"/>
                <w:sz w:val="24"/>
                <w:highlight w:val="none"/>
              </w:rPr>
              <w:t>：</w:t>
            </w:r>
            <w:r>
              <w:rPr>
                <w:rFonts w:hint="eastAsia" w:ascii="宋体" w:hAnsi="宋体" w:eastAsia="宋体" w:cs="宋体"/>
                <w:color w:val="auto"/>
                <w:spacing w:val="13"/>
                <w:kern w:val="0"/>
                <w:sz w:val="21"/>
                <w:szCs w:val="21"/>
                <w:highlight w:val="none"/>
              </w:rPr>
              <w:t>网上银行转账。</w:t>
            </w:r>
          </w:p>
          <w:p w14:paraId="086D8CF4">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开户名：临海市产权交易所有限公司</w:t>
            </w:r>
          </w:p>
          <w:p w14:paraId="151AB96E">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开户行：浙江临海农村商业银行股份有限公司科技支行；</w:t>
            </w:r>
          </w:p>
          <w:p w14:paraId="49F61F79">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投标保证金账号：201000105503123000001</w:t>
            </w:r>
          </w:p>
          <w:p w14:paraId="103487BB">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投标保证金应在投标截止时间前到达指定账户；</w:t>
            </w:r>
          </w:p>
          <w:p w14:paraId="07B83FA3">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投标单位汇出账号必须是企业基本账户。</w:t>
            </w:r>
          </w:p>
          <w:p w14:paraId="225BB13E">
            <w:pPr>
              <w:jc w:val="left"/>
              <w:rPr>
                <w:rFonts w:ascii="宋体" w:hAnsi="宋体" w:eastAsia="宋体" w:cs="宋体"/>
                <w:b/>
                <w:color w:val="auto"/>
                <w:sz w:val="24"/>
                <w:highlight w:val="none"/>
              </w:rPr>
            </w:pPr>
            <w:r>
              <w:rPr>
                <w:rStyle w:val="38"/>
                <w:rFonts w:hint="eastAsia" w:ascii="宋体" w:hAnsi="宋体"/>
                <w:b/>
                <w:color w:val="auto"/>
                <w:sz w:val="24"/>
                <w:highlight w:val="none"/>
              </w:rPr>
              <w:t>(2)</w:t>
            </w:r>
            <w:r>
              <w:rPr>
                <w:rStyle w:val="38"/>
                <w:rFonts w:hint="eastAsia" w:ascii="宋体" w:hAnsi="宋体" w:eastAsia="宋体" w:cs="宋体"/>
                <w:b/>
                <w:color w:val="auto"/>
                <w:sz w:val="24"/>
                <w:highlight w:val="none"/>
              </w:rPr>
              <w:t>担保</w:t>
            </w:r>
            <w:r>
              <w:rPr>
                <w:rFonts w:hint="eastAsia" w:ascii="宋体" w:hAnsi="宋体" w:eastAsia="宋体" w:cs="宋体"/>
                <w:b/>
                <w:color w:val="auto"/>
                <w:sz w:val="24"/>
                <w:highlight w:val="none"/>
              </w:rPr>
              <w:t>形式：工程保函</w:t>
            </w:r>
          </w:p>
          <w:p w14:paraId="51DF6D69">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保函形式：须为银行保函、保险机构保证保险保单或融资担保公司保函。</w:t>
            </w:r>
          </w:p>
          <w:p w14:paraId="62AEE85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工程保函的受益人：</w:t>
            </w:r>
            <w:r>
              <w:rPr>
                <w:rFonts w:hint="eastAsia" w:ascii="宋体" w:hAnsi="宋体" w:eastAsia="宋体" w:cs="宋体"/>
                <w:color w:val="auto"/>
                <w:spacing w:val="13"/>
                <w:kern w:val="0"/>
                <w:sz w:val="21"/>
                <w:szCs w:val="21"/>
                <w:highlight w:val="none"/>
                <w:u w:val="single"/>
                <w:lang w:eastAsia="zh-CN"/>
              </w:rPr>
              <w:t>临海市古城街道许墅村集体经济组织</w:t>
            </w:r>
            <w:r>
              <w:rPr>
                <w:rFonts w:hint="eastAsia" w:ascii="宋体" w:hAnsi="宋体" w:eastAsia="宋体" w:cs="宋体"/>
                <w:color w:val="auto"/>
                <w:spacing w:val="13"/>
                <w:kern w:val="0"/>
                <w:sz w:val="21"/>
                <w:szCs w:val="21"/>
                <w:highlight w:val="none"/>
              </w:rPr>
              <w:t>（招标人名称）；</w:t>
            </w:r>
          </w:p>
          <w:p w14:paraId="74DC3F45">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工程保函的有效期为1年（工程保函有效期起始时间最早为招标公告发布之日，最迟为投标截止日）；</w:t>
            </w:r>
          </w:p>
          <w:p w14:paraId="201D79CB">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保函递交方式：工程电子保函形式或工程纸质保函形式</w:t>
            </w:r>
            <w:r>
              <w:rPr>
                <w:rFonts w:hint="eastAsia" w:ascii="宋体" w:hAnsi="宋体" w:eastAsia="宋体" w:cs="宋体"/>
                <w:color w:val="auto"/>
                <w:spacing w:val="13"/>
                <w:kern w:val="0"/>
                <w:sz w:val="21"/>
                <w:szCs w:val="21"/>
                <w:highlight w:val="none"/>
              </w:rPr>
              <w:t>。</w:t>
            </w:r>
          </w:p>
          <w:p w14:paraId="3DF00F68">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①用工程电子保函形式</w:t>
            </w:r>
            <w:r>
              <w:rPr>
                <w:rFonts w:hint="eastAsia" w:ascii="宋体" w:hAnsi="宋体" w:eastAsia="宋体" w:cs="宋体"/>
                <w:color w:val="auto"/>
                <w:spacing w:val="13"/>
                <w:kern w:val="0"/>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0075B377">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z w:val="24"/>
                <w:highlight w:val="none"/>
              </w:rPr>
              <w:t>②</w:t>
            </w:r>
            <w:r>
              <w:rPr>
                <w:rFonts w:hint="eastAsia" w:ascii="宋体" w:hAnsi="宋体" w:eastAsia="宋体" w:cs="宋体"/>
                <w:b/>
                <w:bCs/>
                <w:color w:val="auto"/>
                <w:spacing w:val="13"/>
                <w:kern w:val="0"/>
                <w:sz w:val="21"/>
                <w:szCs w:val="21"/>
                <w:highlight w:val="none"/>
              </w:rPr>
              <w:t>用工程纸质保函形式</w:t>
            </w:r>
            <w:r>
              <w:rPr>
                <w:rFonts w:hint="eastAsia" w:ascii="宋体" w:hAnsi="宋体" w:eastAsia="宋体" w:cs="宋体"/>
                <w:color w:val="auto"/>
                <w:spacing w:val="13"/>
                <w:kern w:val="0"/>
                <w:sz w:val="21"/>
                <w:szCs w:val="21"/>
                <w:highlight w:val="none"/>
              </w:rPr>
              <w:t>：保费应一函一付，通过企业基本账户支付。投标人须在投标截止时间前在开标现场递交工程保函纸质原件、基本账户证明、保费支付的银行回单（以上资料均需加盖投标人公章）等保函相关资料。</w:t>
            </w:r>
          </w:p>
          <w:p w14:paraId="3A7B93E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递交方式：开标现场递交；</w:t>
            </w:r>
            <w:r>
              <w:rPr>
                <w:rFonts w:hint="eastAsia" w:ascii="宋体" w:hAnsi="宋体" w:eastAsia="宋体" w:cs="宋体"/>
                <w:color w:val="auto"/>
                <w:spacing w:val="13"/>
                <w:kern w:val="0"/>
                <w:sz w:val="21"/>
                <w:szCs w:val="21"/>
                <w:highlight w:val="none"/>
              </w:rPr>
              <w:t xml:space="preserve"> </w:t>
            </w:r>
          </w:p>
          <w:p w14:paraId="0BA9290B">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566E6B72">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递交时间及地点：详见招标公告或招标文件；</w:t>
            </w:r>
            <w:r>
              <w:rPr>
                <w:rFonts w:hint="eastAsia" w:ascii="宋体" w:hAnsi="宋体" w:eastAsia="宋体" w:cs="宋体"/>
                <w:color w:val="auto"/>
                <w:spacing w:val="13"/>
                <w:kern w:val="0"/>
                <w:sz w:val="21"/>
                <w:szCs w:val="21"/>
                <w:highlight w:val="none"/>
              </w:rPr>
              <w:t xml:space="preserve"> </w:t>
            </w:r>
          </w:p>
          <w:p w14:paraId="1D1CCA65">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接收人：</w:t>
            </w:r>
            <w:r>
              <w:rPr>
                <w:rFonts w:hint="eastAsia" w:ascii="宋体" w:hAnsi="宋体" w:eastAsia="宋体" w:cs="宋体"/>
                <w:color w:val="auto"/>
                <w:spacing w:val="13"/>
                <w:kern w:val="0"/>
                <w:sz w:val="21"/>
                <w:szCs w:val="21"/>
                <w:highlight w:val="none"/>
                <w:u w:val="single"/>
                <w:lang w:eastAsia="zh-CN"/>
              </w:rPr>
              <w:t>浙江华耀建设咨询有限公司</w:t>
            </w:r>
            <w:r>
              <w:rPr>
                <w:rFonts w:hint="eastAsia" w:ascii="宋体" w:hAnsi="宋体" w:eastAsia="宋体" w:cs="宋体"/>
                <w:color w:val="auto"/>
                <w:spacing w:val="13"/>
                <w:kern w:val="0"/>
                <w:sz w:val="21"/>
                <w:szCs w:val="21"/>
                <w:highlight w:val="none"/>
              </w:rPr>
              <w:t xml:space="preserve">（代理机构）； </w:t>
            </w:r>
          </w:p>
          <w:p w14:paraId="7ED82D3F">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接收人联系方式：</w:t>
            </w:r>
            <w:r>
              <w:rPr>
                <w:rFonts w:hint="eastAsia" w:ascii="宋体" w:hAnsi="宋体" w:eastAsia="宋体" w:cs="宋体"/>
                <w:color w:val="auto"/>
                <w:spacing w:val="13"/>
                <w:kern w:val="0"/>
                <w:sz w:val="21"/>
                <w:szCs w:val="21"/>
                <w:highlight w:val="none"/>
                <w:u w:val="single"/>
                <w:lang w:val="en-US" w:eastAsia="zh-CN"/>
              </w:rPr>
              <w:t>0576-85021266</w:t>
            </w:r>
            <w:r>
              <w:rPr>
                <w:rFonts w:hint="eastAsia" w:ascii="宋体" w:hAnsi="宋体" w:eastAsia="宋体" w:cs="宋体"/>
                <w:color w:val="auto"/>
                <w:spacing w:val="13"/>
                <w:kern w:val="0"/>
                <w:sz w:val="21"/>
                <w:szCs w:val="21"/>
                <w:highlight w:val="none"/>
              </w:rPr>
              <w:t xml:space="preserve">（代理机构联系方式）； </w:t>
            </w:r>
          </w:p>
          <w:p w14:paraId="5E335266">
            <w:pPr>
              <w:snapToGrid w:val="0"/>
              <w:textAlignment w:val="baseline"/>
              <w:rPr>
                <w:rFonts w:ascii="宋体" w:hAnsi="宋体" w:eastAsia="宋体" w:cs="宋体"/>
                <w:color w:val="auto"/>
                <w:spacing w:val="13"/>
                <w:kern w:val="0"/>
                <w:sz w:val="21"/>
                <w:szCs w:val="21"/>
                <w:highlight w:val="none"/>
              </w:rPr>
            </w:pPr>
          </w:p>
          <w:p w14:paraId="1CA3F800">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3、若招标文件允许联合体投标且投标人以联合体身份投标的，由联合体牵头人提交工程投标保证金。</w:t>
            </w:r>
          </w:p>
          <w:p w14:paraId="1633C44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4、投标人投标保证金未满足上述要求的，按无效标处理。</w:t>
            </w:r>
          </w:p>
          <w:p w14:paraId="75374E42">
            <w:pPr>
              <w:snapToGrid w:val="0"/>
              <w:textAlignment w:val="baseline"/>
              <w:rPr>
                <w:rFonts w:ascii="宋体" w:hAnsi="宋体" w:eastAsia="宋体" w:cs="宋体"/>
                <w:color w:val="auto"/>
                <w:spacing w:val="13"/>
                <w:kern w:val="0"/>
                <w:sz w:val="21"/>
                <w:szCs w:val="21"/>
                <w:highlight w:val="none"/>
              </w:rPr>
            </w:pPr>
          </w:p>
          <w:p w14:paraId="5086F260">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咨询电话：</w:t>
            </w:r>
          </w:p>
          <w:p w14:paraId="0E912F57">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招天下公司技术服务电话：0576-85407095。</w:t>
            </w:r>
          </w:p>
          <w:p w14:paraId="1F123430">
            <w:pPr>
              <w:rPr>
                <w:rFonts w:ascii="黑体" w:hAnsi="宋体" w:eastAsia="黑体"/>
                <w:b/>
                <w:color w:val="auto"/>
                <w:sz w:val="24"/>
                <w:szCs w:val="24"/>
                <w:highlight w:val="none"/>
              </w:rPr>
            </w:pPr>
            <w:r>
              <w:rPr>
                <w:rFonts w:hint="eastAsia" w:ascii="宋体" w:hAnsi="宋体" w:eastAsia="宋体" w:cs="宋体"/>
                <w:color w:val="auto"/>
                <w:spacing w:val="13"/>
                <w:kern w:val="0"/>
                <w:sz w:val="21"/>
                <w:szCs w:val="21"/>
                <w:highlight w:val="none"/>
              </w:rPr>
              <w:t>平台财务咨询电话：0576-85407100。</w:t>
            </w:r>
          </w:p>
        </w:tc>
      </w:tr>
      <w:tr w14:paraId="214EA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1ECDD083">
            <w:pPr>
              <w:jc w:val="center"/>
              <w:rPr>
                <w:rFonts w:ascii="宋体" w:hAnsi="宋体" w:eastAsia="宋体"/>
                <w:color w:val="auto"/>
                <w:sz w:val="21"/>
                <w:highlight w:val="none"/>
              </w:rPr>
            </w:pPr>
            <w:r>
              <w:rPr>
                <w:rFonts w:hint="eastAsia" w:ascii="宋体" w:hAnsi="宋体" w:eastAsia="宋体"/>
                <w:color w:val="auto"/>
                <w:sz w:val="21"/>
                <w:highlight w:val="none"/>
              </w:rPr>
              <w:t xml:space="preserve"> 19</w:t>
            </w:r>
          </w:p>
        </w:tc>
        <w:tc>
          <w:tcPr>
            <w:tcW w:w="861" w:type="dxa"/>
            <w:vAlign w:val="center"/>
          </w:tcPr>
          <w:p w14:paraId="169DEC58">
            <w:pPr>
              <w:jc w:val="center"/>
              <w:rPr>
                <w:rFonts w:ascii="宋体" w:hAnsi="宋体" w:eastAsia="宋体"/>
                <w:color w:val="auto"/>
                <w:sz w:val="21"/>
                <w:highlight w:val="none"/>
              </w:rPr>
            </w:pPr>
            <w:r>
              <w:rPr>
                <w:rFonts w:hint="eastAsia" w:ascii="宋体" w:hAnsi="宋体" w:eastAsia="宋体"/>
                <w:color w:val="auto"/>
                <w:sz w:val="21"/>
                <w:highlight w:val="none"/>
              </w:rPr>
              <w:t>18.1</w:t>
            </w:r>
          </w:p>
        </w:tc>
        <w:tc>
          <w:tcPr>
            <w:tcW w:w="1722" w:type="dxa"/>
            <w:vAlign w:val="center"/>
          </w:tcPr>
          <w:p w14:paraId="7777F211">
            <w:pPr>
              <w:jc w:val="center"/>
              <w:rPr>
                <w:rFonts w:ascii="宋体" w:hAnsi="宋体" w:eastAsia="宋体"/>
                <w:color w:val="auto"/>
                <w:sz w:val="21"/>
                <w:highlight w:val="none"/>
              </w:rPr>
            </w:pPr>
            <w:r>
              <w:rPr>
                <w:rFonts w:hint="eastAsia" w:ascii="宋体" w:hAnsi="宋体" w:eastAsia="宋体"/>
                <w:color w:val="auto"/>
                <w:sz w:val="21"/>
                <w:highlight w:val="none"/>
              </w:rPr>
              <w:t>投标有效期</w:t>
            </w:r>
          </w:p>
        </w:tc>
        <w:tc>
          <w:tcPr>
            <w:tcW w:w="5919" w:type="dxa"/>
            <w:vAlign w:val="center"/>
          </w:tcPr>
          <w:p w14:paraId="1FDE928C">
            <w:pPr>
              <w:rPr>
                <w:rFonts w:ascii="宋体" w:hAnsi="宋体" w:eastAsia="宋体"/>
                <w:color w:val="auto"/>
                <w:sz w:val="21"/>
                <w:highlight w:val="none"/>
              </w:rPr>
            </w:pPr>
            <w:r>
              <w:rPr>
                <w:rFonts w:hint="eastAsia" w:ascii="宋体" w:hAnsi="宋体" w:eastAsia="宋体"/>
                <w:color w:val="auto"/>
                <w:sz w:val="21"/>
                <w:highlight w:val="none"/>
                <w:lang w:val="en-US" w:eastAsia="zh-CN"/>
              </w:rPr>
              <w:t>9</w:t>
            </w:r>
            <w:r>
              <w:rPr>
                <w:rFonts w:hint="eastAsia" w:ascii="宋体" w:hAnsi="宋体" w:eastAsia="宋体"/>
                <w:color w:val="auto"/>
                <w:sz w:val="21"/>
                <w:highlight w:val="none"/>
              </w:rPr>
              <w:t>0日历天（自投标截止日起计算）</w:t>
            </w:r>
          </w:p>
        </w:tc>
      </w:tr>
      <w:tr w14:paraId="7D5D5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F792E6C">
            <w:pPr>
              <w:jc w:val="center"/>
              <w:rPr>
                <w:rFonts w:ascii="宋体" w:hAnsi="宋体" w:eastAsia="宋体"/>
                <w:color w:val="auto"/>
                <w:sz w:val="21"/>
                <w:highlight w:val="none"/>
              </w:rPr>
            </w:pPr>
            <w:r>
              <w:rPr>
                <w:rFonts w:hint="eastAsia" w:ascii="宋体" w:hAnsi="宋体" w:eastAsia="宋体"/>
                <w:color w:val="auto"/>
                <w:sz w:val="21"/>
                <w:highlight w:val="none"/>
              </w:rPr>
              <w:t>20</w:t>
            </w:r>
          </w:p>
        </w:tc>
        <w:tc>
          <w:tcPr>
            <w:tcW w:w="861" w:type="dxa"/>
            <w:vAlign w:val="center"/>
          </w:tcPr>
          <w:p w14:paraId="7BA102BE">
            <w:pPr>
              <w:jc w:val="center"/>
              <w:rPr>
                <w:rFonts w:ascii="宋体" w:hAnsi="宋体" w:eastAsia="宋体"/>
                <w:color w:val="auto"/>
                <w:sz w:val="21"/>
                <w:highlight w:val="none"/>
              </w:rPr>
            </w:pPr>
            <w:r>
              <w:rPr>
                <w:rFonts w:hint="eastAsia" w:ascii="宋体" w:hAnsi="宋体" w:eastAsia="宋体"/>
                <w:color w:val="auto"/>
                <w:sz w:val="21"/>
                <w:highlight w:val="none"/>
              </w:rPr>
              <w:t>19.1</w:t>
            </w:r>
          </w:p>
        </w:tc>
        <w:tc>
          <w:tcPr>
            <w:tcW w:w="1722" w:type="dxa"/>
            <w:vAlign w:val="center"/>
          </w:tcPr>
          <w:p w14:paraId="743A1C57">
            <w:pPr>
              <w:jc w:val="center"/>
              <w:rPr>
                <w:rFonts w:ascii="宋体" w:hAnsi="宋体" w:eastAsia="宋体"/>
                <w:color w:val="auto"/>
                <w:sz w:val="21"/>
                <w:highlight w:val="none"/>
              </w:rPr>
            </w:pPr>
            <w:r>
              <w:rPr>
                <w:rFonts w:hint="eastAsia" w:ascii="宋体" w:hAnsi="宋体" w:eastAsia="宋体"/>
                <w:color w:val="auto"/>
                <w:sz w:val="21"/>
                <w:highlight w:val="none"/>
              </w:rPr>
              <w:t>投标文件份数</w:t>
            </w:r>
          </w:p>
        </w:tc>
        <w:tc>
          <w:tcPr>
            <w:tcW w:w="5919" w:type="dxa"/>
            <w:vAlign w:val="center"/>
          </w:tcPr>
          <w:p w14:paraId="3CEECCF8">
            <w:pPr>
              <w:rPr>
                <w:rFonts w:ascii="宋体" w:hAnsi="宋体" w:eastAsia="宋体"/>
                <w:color w:val="auto"/>
                <w:sz w:val="21"/>
                <w:highlight w:val="none"/>
              </w:rPr>
            </w:pPr>
            <w:r>
              <w:rPr>
                <w:rFonts w:hint="eastAsia" w:ascii="宋体" w:hAnsi="宋体" w:eastAsia="宋体"/>
                <w:color w:val="auto"/>
                <w:sz w:val="21"/>
                <w:highlight w:val="none"/>
              </w:rPr>
              <w:t>投标文件份数：</w:t>
            </w:r>
          </w:p>
          <w:p w14:paraId="0CE63651">
            <w:pPr>
              <w:rPr>
                <w:rFonts w:ascii="宋体" w:hAnsi="宋体" w:eastAsia="宋体"/>
                <w:b/>
                <w:color w:val="auto"/>
                <w:sz w:val="21"/>
                <w:highlight w:val="none"/>
              </w:rPr>
            </w:pPr>
            <w:r>
              <w:rPr>
                <w:rFonts w:hint="eastAsia" w:ascii="宋体" w:hAnsi="宋体" w:eastAsia="宋体"/>
                <w:color w:val="auto"/>
                <w:sz w:val="21"/>
                <w:highlight w:val="none"/>
              </w:rPr>
              <w:t>a加密电子投标文件（.投标文件）一份（上传至交易平台），作为投标文件正本。</w:t>
            </w:r>
          </w:p>
          <w:p w14:paraId="4858210B">
            <w:pPr>
              <w:rPr>
                <w:rFonts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6F0BF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3C3F781">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861" w:type="dxa"/>
            <w:vAlign w:val="center"/>
          </w:tcPr>
          <w:p w14:paraId="64F2E2B5">
            <w:pPr>
              <w:jc w:val="center"/>
              <w:rPr>
                <w:rFonts w:ascii="宋体" w:hAnsi="宋体" w:eastAsia="宋体"/>
                <w:color w:val="auto"/>
                <w:sz w:val="21"/>
                <w:highlight w:val="none"/>
              </w:rPr>
            </w:pPr>
            <w:r>
              <w:rPr>
                <w:rFonts w:hint="eastAsia" w:ascii="宋体" w:hAnsi="宋体" w:eastAsia="宋体"/>
                <w:color w:val="auto"/>
                <w:sz w:val="21"/>
                <w:highlight w:val="none"/>
              </w:rPr>
              <w:t>20.1</w:t>
            </w:r>
          </w:p>
        </w:tc>
        <w:tc>
          <w:tcPr>
            <w:tcW w:w="1722" w:type="dxa"/>
            <w:vAlign w:val="center"/>
          </w:tcPr>
          <w:p w14:paraId="4973CF44">
            <w:pPr>
              <w:jc w:val="center"/>
              <w:rPr>
                <w:rFonts w:ascii="宋体" w:hAnsi="宋体" w:eastAsia="宋体"/>
                <w:color w:val="auto"/>
                <w:sz w:val="21"/>
                <w:highlight w:val="none"/>
              </w:rPr>
            </w:pPr>
            <w:r>
              <w:rPr>
                <w:rFonts w:hint="eastAsia" w:ascii="宋体" w:hAnsi="宋体" w:eastAsia="宋体"/>
                <w:color w:val="auto"/>
                <w:sz w:val="21"/>
                <w:highlight w:val="none"/>
              </w:rPr>
              <w:t>投标文件递交</w:t>
            </w:r>
          </w:p>
          <w:p w14:paraId="741E6883">
            <w:pPr>
              <w:jc w:val="center"/>
              <w:rPr>
                <w:rFonts w:ascii="宋体" w:hAnsi="宋体" w:eastAsia="宋体"/>
                <w:color w:val="auto"/>
                <w:sz w:val="21"/>
                <w:highlight w:val="none"/>
              </w:rPr>
            </w:pPr>
            <w:r>
              <w:rPr>
                <w:rFonts w:hint="eastAsia" w:ascii="宋体" w:hAnsi="宋体" w:eastAsia="宋体"/>
                <w:color w:val="auto"/>
                <w:sz w:val="21"/>
                <w:highlight w:val="none"/>
              </w:rPr>
              <w:t>要求</w:t>
            </w:r>
          </w:p>
        </w:tc>
        <w:tc>
          <w:tcPr>
            <w:tcW w:w="5919" w:type="dxa"/>
            <w:vAlign w:val="center"/>
          </w:tcPr>
          <w:p w14:paraId="274ED895">
            <w:pPr>
              <w:jc w:val="left"/>
              <w:rPr>
                <w:rFonts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开启解密通道后60分钟内解密。未满足上述条件的投标人，其投标文件作无效标处理。</w:t>
            </w:r>
          </w:p>
        </w:tc>
      </w:tr>
      <w:tr w14:paraId="75010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0CFB5221">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861" w:type="dxa"/>
            <w:vAlign w:val="center"/>
          </w:tcPr>
          <w:p w14:paraId="20E481E7">
            <w:pPr>
              <w:jc w:val="center"/>
              <w:rPr>
                <w:rFonts w:ascii="宋体" w:hAnsi="宋体" w:eastAsia="宋体"/>
                <w:color w:val="auto"/>
                <w:sz w:val="21"/>
                <w:highlight w:val="none"/>
              </w:rPr>
            </w:pPr>
            <w:r>
              <w:rPr>
                <w:rFonts w:hint="eastAsia" w:ascii="宋体" w:hAnsi="宋体" w:eastAsia="宋体"/>
                <w:color w:val="auto"/>
                <w:sz w:val="21"/>
                <w:highlight w:val="none"/>
              </w:rPr>
              <w:t>20.3</w:t>
            </w:r>
          </w:p>
        </w:tc>
        <w:tc>
          <w:tcPr>
            <w:tcW w:w="1722" w:type="dxa"/>
            <w:vAlign w:val="center"/>
          </w:tcPr>
          <w:p w14:paraId="14E1568E">
            <w:pPr>
              <w:jc w:val="center"/>
              <w:rPr>
                <w:rFonts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5919" w:type="dxa"/>
            <w:vAlign w:val="center"/>
          </w:tcPr>
          <w:p w14:paraId="1267D824">
            <w:pPr>
              <w:jc w:val="left"/>
              <w:rPr>
                <w:rFonts w:hint="eastAsia" w:ascii="宋体" w:hAnsi="宋体" w:eastAsia="宋体"/>
                <w:color w:val="auto"/>
                <w:sz w:val="21"/>
                <w:highlight w:val="none"/>
                <w:u w:val="single"/>
                <w:lang w:eastAsia="zh-CN"/>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（工程纸质保函除外）</w:t>
            </w:r>
          </w:p>
        </w:tc>
      </w:tr>
      <w:tr w14:paraId="00322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82" w:type="dxa"/>
            <w:vAlign w:val="center"/>
          </w:tcPr>
          <w:p w14:paraId="49F33F06">
            <w:pPr>
              <w:jc w:val="center"/>
              <w:rPr>
                <w:rFonts w:ascii="宋体" w:hAnsi="宋体" w:eastAsia="宋体"/>
                <w:color w:val="auto"/>
                <w:sz w:val="21"/>
                <w:highlight w:val="none"/>
              </w:rPr>
            </w:pPr>
            <w:r>
              <w:rPr>
                <w:rFonts w:hint="eastAsia" w:ascii="宋体" w:hAnsi="宋体" w:eastAsia="宋体"/>
                <w:color w:val="auto"/>
                <w:sz w:val="21"/>
                <w:highlight w:val="none"/>
              </w:rPr>
              <w:t>23</w:t>
            </w:r>
          </w:p>
        </w:tc>
        <w:tc>
          <w:tcPr>
            <w:tcW w:w="861" w:type="dxa"/>
            <w:vAlign w:val="center"/>
          </w:tcPr>
          <w:p w14:paraId="23E3E049">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06DCCB17">
            <w:pPr>
              <w:jc w:val="center"/>
              <w:rPr>
                <w:rFonts w:ascii="宋体" w:hAnsi="宋体" w:eastAsia="宋体"/>
                <w:color w:val="auto"/>
                <w:sz w:val="21"/>
                <w:highlight w:val="none"/>
              </w:rPr>
            </w:pPr>
            <w:r>
              <w:rPr>
                <w:rFonts w:hint="eastAsia" w:ascii="宋体" w:hAnsi="宋体" w:eastAsia="宋体"/>
                <w:color w:val="auto"/>
                <w:sz w:val="21"/>
                <w:highlight w:val="none"/>
              </w:rPr>
              <w:t>开标时间和地点</w:t>
            </w:r>
          </w:p>
        </w:tc>
        <w:tc>
          <w:tcPr>
            <w:tcW w:w="5919" w:type="dxa"/>
            <w:vAlign w:val="center"/>
          </w:tcPr>
          <w:p w14:paraId="128A62ED">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74E675DD">
            <w:pPr>
              <w:rPr>
                <w:rFonts w:hint="eastAsia" w:ascii="宋体" w:hAnsi="宋体" w:eastAsia="宋体"/>
                <w:color w:val="auto"/>
                <w:sz w:val="21"/>
                <w:highlight w:val="none"/>
                <w:lang w:val="en-US" w:eastAsia="zh-CN"/>
              </w:rPr>
            </w:pPr>
            <w:r>
              <w:rPr>
                <w:rFonts w:hint="eastAsia" w:ascii="宋体" w:hAnsi="宋体" w:eastAsia="宋体"/>
                <w:color w:val="auto"/>
                <w:sz w:val="21"/>
                <w:highlight w:val="none"/>
              </w:rPr>
              <w:t>开标地点：</w:t>
            </w:r>
            <w:r>
              <w:rPr>
                <w:rFonts w:ascii="Arial" w:hAnsi="Arial" w:eastAsia="宋体" w:cs="Arial"/>
                <w:color w:val="auto"/>
                <w:sz w:val="21"/>
                <w:szCs w:val="21"/>
                <w:highlight w:val="none"/>
                <w:shd w:val="clear" w:color="auto" w:fill="FFFFFF"/>
              </w:rPr>
              <w:t>临海市限额以下公共资源交易区域平台</w:t>
            </w:r>
            <w:r>
              <w:rPr>
                <w:rFonts w:hint="eastAsia" w:ascii="Arial" w:hAnsi="Arial" w:eastAsia="宋体" w:cs="Arial"/>
                <w:color w:val="auto"/>
                <w:sz w:val="21"/>
                <w:szCs w:val="21"/>
                <w:highlight w:val="none"/>
                <w:shd w:val="clear" w:color="auto" w:fill="FFFFFF"/>
                <w:lang w:val="en-US" w:eastAsia="zh-CN"/>
              </w:rPr>
              <w:t>南</w:t>
            </w:r>
            <w:r>
              <w:rPr>
                <w:rFonts w:hint="eastAsia" w:ascii="Arial" w:hAnsi="Arial" w:eastAsia="宋体" w:cs="Arial"/>
                <w:color w:val="auto"/>
                <w:sz w:val="21"/>
                <w:szCs w:val="21"/>
                <w:highlight w:val="none"/>
                <w:shd w:val="clear" w:color="auto" w:fill="FFFFFF"/>
              </w:rPr>
              <w:t>部</w:t>
            </w:r>
            <w:r>
              <w:rPr>
                <w:rFonts w:ascii="Arial" w:hAnsi="Arial" w:eastAsia="宋体" w:cs="Arial"/>
                <w:color w:val="auto"/>
                <w:sz w:val="21"/>
                <w:szCs w:val="21"/>
                <w:highlight w:val="none"/>
                <w:shd w:val="clear" w:color="auto" w:fill="FFFFFF"/>
              </w:rPr>
              <w:t>开标室</w:t>
            </w:r>
            <w:r>
              <w:rPr>
                <w:rFonts w:hint="eastAsia" w:ascii="Arial" w:hAnsi="Arial" w:eastAsia="宋体" w:cs="Arial"/>
                <w:color w:val="auto"/>
                <w:sz w:val="21"/>
                <w:szCs w:val="21"/>
                <w:highlight w:val="none"/>
                <w:shd w:val="clear" w:color="auto" w:fill="FFFFFF"/>
                <w:lang w:val="en-US" w:eastAsia="zh-CN"/>
              </w:rPr>
              <w:t>一</w:t>
            </w:r>
          </w:p>
        </w:tc>
      </w:tr>
      <w:tr w14:paraId="54433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682" w:type="dxa"/>
            <w:vAlign w:val="center"/>
          </w:tcPr>
          <w:p w14:paraId="34CF275B">
            <w:pPr>
              <w:jc w:val="center"/>
              <w:rPr>
                <w:rFonts w:ascii="宋体" w:hAnsi="宋体" w:eastAsia="宋体"/>
                <w:color w:val="auto"/>
                <w:sz w:val="21"/>
                <w:highlight w:val="none"/>
              </w:rPr>
            </w:pPr>
            <w:r>
              <w:rPr>
                <w:rFonts w:hint="eastAsia" w:ascii="宋体" w:hAnsi="宋体" w:eastAsia="宋体"/>
                <w:color w:val="auto"/>
                <w:sz w:val="21"/>
                <w:highlight w:val="none"/>
              </w:rPr>
              <w:t>24</w:t>
            </w:r>
          </w:p>
        </w:tc>
        <w:tc>
          <w:tcPr>
            <w:tcW w:w="861" w:type="dxa"/>
            <w:vAlign w:val="center"/>
          </w:tcPr>
          <w:p w14:paraId="613F6E68">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6DF4E5C1">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7BCBF305">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5919" w:type="dxa"/>
            <w:vAlign w:val="center"/>
          </w:tcPr>
          <w:p w14:paraId="30B6D61F">
            <w:pPr>
              <w:rPr>
                <w:rFonts w:ascii="宋体" w:hAnsi="宋体" w:eastAsia="宋体"/>
                <w:color w:val="auto"/>
                <w:sz w:val="21"/>
                <w:highlight w:val="none"/>
              </w:rPr>
            </w:pPr>
            <w:r>
              <w:rPr>
                <w:rFonts w:hint="eastAsia" w:ascii="宋体" w:hAnsi="宋体" w:eastAsia="宋体"/>
                <w:color w:val="auto"/>
                <w:sz w:val="21"/>
                <w:highlight w:val="none"/>
                <w:u w:val="single"/>
              </w:rPr>
              <w:t>202</w:t>
            </w:r>
            <w:r>
              <w:rPr>
                <w:rFonts w:hint="eastAsia" w:ascii="宋体" w:hAnsi="宋体" w:eastAsia="宋体"/>
                <w:color w:val="auto"/>
                <w:sz w:val="21"/>
                <w:highlight w:val="none"/>
                <w:u w:val="single"/>
                <w:lang w:val="en-US" w:eastAsia="zh-CN"/>
              </w:rPr>
              <w:t>6</w:t>
            </w:r>
            <w:r>
              <w:rPr>
                <w:rFonts w:hint="eastAsia" w:ascii="宋体" w:hAnsi="宋体" w:eastAsia="宋体"/>
                <w:color w:val="auto"/>
                <w:sz w:val="21"/>
                <w:highlight w:val="none"/>
                <w:u w:val="single"/>
              </w:rPr>
              <w:t>年</w:t>
            </w:r>
            <w:r>
              <w:rPr>
                <w:rFonts w:hint="eastAsia" w:ascii="宋体" w:hAnsi="宋体" w:eastAsia="宋体"/>
                <w:color w:val="auto"/>
                <w:sz w:val="21"/>
                <w:highlight w:val="none"/>
                <w:u w:val="single"/>
                <w:lang w:val="en-US" w:eastAsia="zh-CN"/>
              </w:rPr>
              <w:t>6</w:t>
            </w:r>
            <w:r>
              <w:rPr>
                <w:rFonts w:hint="eastAsia" w:ascii="宋体" w:hAnsi="宋体" w:eastAsia="宋体"/>
                <w:color w:val="auto"/>
                <w:sz w:val="21"/>
                <w:highlight w:val="none"/>
                <w:u w:val="single"/>
              </w:rPr>
              <w:t>月</w:t>
            </w:r>
            <w:r>
              <w:rPr>
                <w:rFonts w:hint="eastAsia" w:ascii="宋体" w:hAnsi="宋体" w:eastAsia="宋体"/>
                <w:color w:val="auto"/>
                <w:sz w:val="21"/>
                <w:highlight w:val="none"/>
                <w:u w:val="single"/>
                <w:lang w:val="en-US" w:eastAsia="zh-CN"/>
              </w:rPr>
              <w:t>9</w:t>
            </w:r>
            <w:r>
              <w:rPr>
                <w:rFonts w:hint="eastAsia" w:ascii="宋体" w:hAnsi="宋体" w:eastAsia="宋体"/>
                <w:color w:val="auto"/>
                <w:sz w:val="21"/>
                <w:highlight w:val="none"/>
                <w:u w:val="single"/>
              </w:rPr>
              <w:t>日</w:t>
            </w:r>
            <w:r>
              <w:rPr>
                <w:rFonts w:hint="eastAsia" w:ascii="宋体" w:hAnsi="宋体" w:eastAsia="宋体"/>
                <w:color w:val="auto"/>
                <w:sz w:val="21"/>
                <w:highlight w:val="none"/>
                <w:u w:val="single"/>
                <w:lang w:val="en-US" w:eastAsia="zh-CN"/>
              </w:rPr>
              <w:t xml:space="preserve"> 15</w:t>
            </w:r>
            <w:r>
              <w:rPr>
                <w:rFonts w:hint="eastAsia" w:ascii="宋体" w:hAnsi="宋体" w:eastAsia="宋体"/>
                <w:color w:val="auto"/>
                <w:sz w:val="21"/>
                <w:highlight w:val="none"/>
                <w:u w:val="single"/>
              </w:rPr>
              <w:t>时</w:t>
            </w:r>
            <w:r>
              <w:rPr>
                <w:rFonts w:hint="eastAsia" w:ascii="宋体" w:hAnsi="宋体" w:eastAsia="宋体"/>
                <w:color w:val="auto"/>
                <w:sz w:val="21"/>
                <w:highlight w:val="none"/>
                <w:u w:val="single"/>
                <w:lang w:val="en-US" w:eastAsia="zh-CN"/>
              </w:rPr>
              <w:t>00</w:t>
            </w:r>
            <w:r>
              <w:rPr>
                <w:rFonts w:hint="eastAsia" w:ascii="宋体" w:hAnsi="宋体" w:eastAsia="宋体"/>
                <w:color w:val="auto"/>
                <w:sz w:val="21"/>
                <w:highlight w:val="none"/>
                <w:u w:val="single"/>
              </w:rPr>
              <w:t>分</w:t>
            </w:r>
            <w:r>
              <w:rPr>
                <w:rFonts w:hint="eastAsia" w:ascii="宋体" w:hAnsi="宋体" w:eastAsia="宋体"/>
                <w:color w:val="auto"/>
                <w:sz w:val="21"/>
                <w:highlight w:val="none"/>
              </w:rPr>
              <w:t>；</w:t>
            </w:r>
          </w:p>
        </w:tc>
      </w:tr>
      <w:tr w14:paraId="0F074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4F45E468">
            <w:pPr>
              <w:jc w:val="center"/>
              <w:rPr>
                <w:rFonts w:ascii="宋体" w:hAnsi="宋体" w:eastAsia="宋体"/>
                <w:color w:val="auto"/>
                <w:sz w:val="21"/>
                <w:highlight w:val="none"/>
              </w:rPr>
            </w:pPr>
            <w:r>
              <w:rPr>
                <w:rFonts w:hint="eastAsia" w:ascii="宋体" w:hAnsi="宋体" w:eastAsia="宋体"/>
                <w:color w:val="auto"/>
                <w:sz w:val="21"/>
                <w:highlight w:val="none"/>
              </w:rPr>
              <w:t>25</w:t>
            </w:r>
          </w:p>
        </w:tc>
        <w:tc>
          <w:tcPr>
            <w:tcW w:w="861" w:type="dxa"/>
            <w:vAlign w:val="center"/>
          </w:tcPr>
          <w:p w14:paraId="0AE30BD3">
            <w:pPr>
              <w:jc w:val="center"/>
              <w:rPr>
                <w:rFonts w:ascii="宋体" w:hAnsi="宋体" w:eastAsia="宋体"/>
                <w:color w:val="auto"/>
                <w:sz w:val="21"/>
                <w:highlight w:val="none"/>
              </w:rPr>
            </w:pPr>
            <w:r>
              <w:rPr>
                <w:rFonts w:hint="eastAsia" w:ascii="宋体" w:hAnsi="宋体" w:eastAsia="宋体"/>
                <w:color w:val="auto"/>
                <w:sz w:val="21"/>
                <w:highlight w:val="none"/>
              </w:rPr>
              <w:t>22.3</w:t>
            </w:r>
          </w:p>
        </w:tc>
        <w:tc>
          <w:tcPr>
            <w:tcW w:w="1722" w:type="dxa"/>
            <w:vAlign w:val="center"/>
          </w:tcPr>
          <w:p w14:paraId="3A8A5D6E">
            <w:pPr>
              <w:jc w:val="center"/>
              <w:rPr>
                <w:rFonts w:ascii="宋体" w:hAnsi="宋体" w:eastAsia="宋体"/>
                <w:color w:val="auto"/>
                <w:sz w:val="21"/>
                <w:highlight w:val="none"/>
              </w:rPr>
            </w:pPr>
            <w:r>
              <w:rPr>
                <w:rFonts w:hint="eastAsia" w:ascii="宋体" w:hAnsi="宋体" w:eastAsia="宋体"/>
                <w:color w:val="auto"/>
                <w:sz w:val="21"/>
                <w:highlight w:val="none"/>
              </w:rPr>
              <w:t>开标顺序</w:t>
            </w:r>
          </w:p>
        </w:tc>
        <w:tc>
          <w:tcPr>
            <w:tcW w:w="5919" w:type="dxa"/>
            <w:vAlign w:val="center"/>
          </w:tcPr>
          <w:p w14:paraId="30723E2F">
            <w:pPr>
              <w:ind w:firstLine="422" w:firstLineChars="200"/>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70B9838D">
            <w:pPr>
              <w:rPr>
                <w:rFonts w:ascii="宋体" w:hAnsi="宋体" w:eastAsia="宋体"/>
                <w:i/>
                <w:color w:val="auto"/>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747ED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82" w:type="dxa"/>
            <w:vAlign w:val="center"/>
          </w:tcPr>
          <w:p w14:paraId="7BFF90B1">
            <w:pPr>
              <w:jc w:val="center"/>
              <w:rPr>
                <w:rFonts w:ascii="宋体" w:hAnsi="宋体" w:eastAsia="宋体"/>
                <w:color w:val="auto"/>
                <w:sz w:val="21"/>
                <w:highlight w:val="none"/>
              </w:rPr>
            </w:pPr>
            <w:r>
              <w:rPr>
                <w:rFonts w:hint="eastAsia" w:ascii="宋体" w:hAnsi="宋体" w:eastAsia="宋体"/>
                <w:color w:val="auto"/>
                <w:sz w:val="21"/>
                <w:highlight w:val="none"/>
              </w:rPr>
              <w:t>26</w:t>
            </w:r>
          </w:p>
        </w:tc>
        <w:tc>
          <w:tcPr>
            <w:tcW w:w="861" w:type="dxa"/>
            <w:vAlign w:val="center"/>
          </w:tcPr>
          <w:p w14:paraId="0815775B">
            <w:pPr>
              <w:jc w:val="center"/>
              <w:rPr>
                <w:rFonts w:ascii="宋体" w:hAnsi="宋体" w:eastAsia="宋体"/>
                <w:color w:val="auto"/>
                <w:sz w:val="21"/>
                <w:highlight w:val="none"/>
              </w:rPr>
            </w:pPr>
            <w:r>
              <w:rPr>
                <w:rFonts w:hint="eastAsia" w:ascii="宋体" w:hAnsi="宋体" w:eastAsia="宋体"/>
                <w:color w:val="auto"/>
                <w:sz w:val="21"/>
                <w:highlight w:val="none"/>
              </w:rPr>
              <w:t>31.1</w:t>
            </w:r>
          </w:p>
        </w:tc>
        <w:tc>
          <w:tcPr>
            <w:tcW w:w="1722" w:type="dxa"/>
            <w:vAlign w:val="center"/>
          </w:tcPr>
          <w:p w14:paraId="08A4E2DC">
            <w:pPr>
              <w:jc w:val="center"/>
              <w:rPr>
                <w:rFonts w:ascii="宋体" w:hAnsi="宋体" w:eastAsia="宋体"/>
                <w:color w:val="auto"/>
                <w:sz w:val="21"/>
                <w:highlight w:val="none"/>
              </w:rPr>
            </w:pPr>
            <w:r>
              <w:rPr>
                <w:rFonts w:hint="eastAsia" w:ascii="宋体" w:hAnsi="宋体" w:eastAsia="宋体"/>
                <w:color w:val="auto"/>
                <w:sz w:val="21"/>
                <w:highlight w:val="none"/>
              </w:rPr>
              <w:t>评标办法</w:t>
            </w:r>
          </w:p>
        </w:tc>
        <w:tc>
          <w:tcPr>
            <w:tcW w:w="5919" w:type="dxa"/>
            <w:vAlign w:val="center"/>
          </w:tcPr>
          <w:p w14:paraId="769F12C1">
            <w:pPr>
              <w:rPr>
                <w:rFonts w:ascii="宋体" w:hAnsi="宋体" w:eastAsia="宋体"/>
                <w:color w:val="auto"/>
                <w:sz w:val="21"/>
                <w:highlight w:val="none"/>
              </w:rPr>
            </w:pPr>
            <w:r>
              <w:rPr>
                <w:rFonts w:hint="eastAsia" w:ascii="宋体" w:hAnsi="宋体" w:eastAsia="宋体"/>
                <w:color w:val="auto"/>
                <w:sz w:val="21"/>
                <w:szCs w:val="22"/>
                <w:highlight w:val="none"/>
              </w:rPr>
              <w:t>临海市限额以下公共资源交易工程建设项目(房建市政项目评标办法)</w:t>
            </w:r>
          </w:p>
        </w:tc>
      </w:tr>
      <w:tr w14:paraId="35EDD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544B83CC">
            <w:pPr>
              <w:jc w:val="center"/>
              <w:rPr>
                <w:rFonts w:ascii="宋体" w:hAnsi="宋体" w:eastAsia="宋体"/>
                <w:color w:val="auto"/>
                <w:sz w:val="21"/>
                <w:highlight w:val="none"/>
              </w:rPr>
            </w:pPr>
            <w:r>
              <w:rPr>
                <w:rFonts w:hint="eastAsia" w:ascii="宋体" w:hAnsi="宋体" w:eastAsia="宋体"/>
                <w:color w:val="auto"/>
                <w:sz w:val="21"/>
                <w:highlight w:val="none"/>
              </w:rPr>
              <w:t>27</w:t>
            </w:r>
          </w:p>
        </w:tc>
        <w:tc>
          <w:tcPr>
            <w:tcW w:w="861" w:type="dxa"/>
            <w:vAlign w:val="center"/>
          </w:tcPr>
          <w:p w14:paraId="2A3B7089">
            <w:pPr>
              <w:jc w:val="center"/>
              <w:rPr>
                <w:rFonts w:ascii="宋体" w:hAnsi="宋体" w:eastAsia="宋体"/>
                <w:color w:val="auto"/>
                <w:sz w:val="21"/>
                <w:highlight w:val="none"/>
              </w:rPr>
            </w:pPr>
            <w:r>
              <w:rPr>
                <w:rFonts w:hint="eastAsia" w:ascii="宋体" w:hAnsi="宋体" w:eastAsia="宋体"/>
                <w:color w:val="auto"/>
                <w:sz w:val="21"/>
                <w:highlight w:val="none"/>
              </w:rPr>
              <w:t>34.1</w:t>
            </w:r>
          </w:p>
        </w:tc>
        <w:tc>
          <w:tcPr>
            <w:tcW w:w="1722" w:type="dxa"/>
            <w:vAlign w:val="center"/>
          </w:tcPr>
          <w:p w14:paraId="6D7EFE97">
            <w:pPr>
              <w:jc w:val="center"/>
              <w:rPr>
                <w:rFonts w:ascii="宋体" w:hAnsi="宋体" w:eastAsia="宋体"/>
                <w:color w:val="auto"/>
                <w:sz w:val="21"/>
                <w:highlight w:val="none"/>
              </w:rPr>
            </w:pPr>
            <w:r>
              <w:rPr>
                <w:rFonts w:hint="eastAsia" w:ascii="宋体" w:hAnsi="宋体" w:eastAsia="宋体"/>
                <w:color w:val="auto"/>
                <w:sz w:val="21"/>
                <w:highlight w:val="none"/>
              </w:rPr>
              <w:t>工程担保</w:t>
            </w:r>
          </w:p>
        </w:tc>
        <w:tc>
          <w:tcPr>
            <w:tcW w:w="5919" w:type="dxa"/>
            <w:vAlign w:val="center"/>
          </w:tcPr>
          <w:p w14:paraId="758FA4A7">
            <w:pPr>
              <w:jc w:val="left"/>
              <w:rPr>
                <w:color w:val="auto"/>
                <w:highlight w:val="none"/>
              </w:rPr>
            </w:pPr>
            <w:r>
              <w:rPr>
                <w:rFonts w:hint="eastAsia" w:ascii="宋体" w:hAnsi="宋体" w:eastAsia="宋体"/>
                <w:color w:val="auto"/>
                <w:sz w:val="21"/>
                <w:szCs w:val="22"/>
                <w:highlight w:val="none"/>
              </w:rPr>
              <w:t>履约担保金额为中标价的2%。</w:t>
            </w:r>
          </w:p>
        </w:tc>
      </w:tr>
      <w:tr w14:paraId="29E55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184" w:type="dxa"/>
            <w:gridSpan w:val="4"/>
            <w:vAlign w:val="center"/>
          </w:tcPr>
          <w:p w14:paraId="44E5511E">
            <w:pPr>
              <w:pStyle w:val="10"/>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06AC9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0A7717E1">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641" w:type="dxa"/>
            <w:gridSpan w:val="2"/>
            <w:vAlign w:val="center"/>
          </w:tcPr>
          <w:p w14:paraId="3606D73F">
            <w:pPr>
              <w:pStyle w:val="9"/>
              <w:rPr>
                <w:rFonts w:cs="宋体"/>
                <w:color w:val="auto"/>
                <w:kern w:val="0"/>
                <w:szCs w:val="21"/>
                <w:highlight w:val="none"/>
              </w:rPr>
            </w:pPr>
            <w:r>
              <w:rPr>
                <w:rFonts w:hint="eastAsia" w:cs="宋体"/>
                <w:color w:val="auto"/>
                <w:kern w:val="0"/>
                <w:szCs w:val="21"/>
                <w:highlight w:val="none"/>
              </w:rPr>
              <w:t>项目金额50万元以下收费100元，50万元以上收费150元。</w:t>
            </w:r>
          </w:p>
          <w:p w14:paraId="2FEE7E49">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781B19BF">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7CDEED32">
            <w:pPr>
              <w:pStyle w:val="9"/>
              <w:rPr>
                <w:rFonts w:cs="宋体"/>
                <w:color w:val="auto"/>
                <w:kern w:val="0"/>
                <w:szCs w:val="21"/>
                <w:highlight w:val="none"/>
              </w:rPr>
            </w:pPr>
            <w:r>
              <w:rPr>
                <w:rFonts w:hint="eastAsia" w:cs="宋体"/>
                <w:color w:val="auto"/>
                <w:kern w:val="0"/>
                <w:szCs w:val="21"/>
                <w:highlight w:val="none"/>
              </w:rPr>
              <w:t>平台使用费账号：201000105503123000003</w:t>
            </w:r>
          </w:p>
          <w:p w14:paraId="29A4713D">
            <w:pPr>
              <w:pStyle w:val="9"/>
              <w:rPr>
                <w:rFonts w:cs="宋体"/>
                <w:color w:val="auto"/>
                <w:kern w:val="0"/>
                <w:szCs w:val="21"/>
                <w:highlight w:val="none"/>
              </w:rPr>
            </w:pPr>
            <w:r>
              <w:rPr>
                <w:rFonts w:hint="eastAsia" w:cs="宋体"/>
                <w:color w:val="auto"/>
                <w:kern w:val="0"/>
                <w:szCs w:val="21"/>
                <w:highlight w:val="none"/>
              </w:rPr>
              <w:t>临海市产权交易所有限公司财务咨询电话：0576-85407100。</w:t>
            </w:r>
          </w:p>
          <w:p w14:paraId="53E09042">
            <w:pPr>
              <w:pStyle w:val="9"/>
              <w:rPr>
                <w:rFonts w:hint="eastAsia" w:cs="宋体"/>
                <w:color w:val="auto"/>
                <w:kern w:val="0"/>
                <w:szCs w:val="21"/>
                <w:highlight w:val="none"/>
              </w:rPr>
            </w:pPr>
            <w:r>
              <w:rPr>
                <w:rFonts w:hint="eastAsia" w:cs="宋体"/>
                <w:color w:val="auto"/>
                <w:kern w:val="0"/>
                <w:szCs w:val="21"/>
                <w:highlight w:val="none"/>
              </w:rPr>
              <w:t>注意：请提前缴纳相关费用，以防影响正常投标。</w:t>
            </w:r>
          </w:p>
          <w:p w14:paraId="3D7F07BC">
            <w:pPr>
              <w:pStyle w:val="9"/>
              <w:rPr>
                <w:rFonts w:hint="eastAsia" w:cs="宋体"/>
                <w:color w:val="auto"/>
                <w:kern w:val="0"/>
                <w:szCs w:val="21"/>
                <w:highlight w:val="none"/>
              </w:rPr>
            </w:pPr>
            <w:r>
              <w:rPr>
                <w:rFonts w:hint="eastAsia"/>
                <w:b/>
                <w:bCs/>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bookmarkStart w:id="214" w:name="_GoBack"/>
            <w:bookmarkEnd w:id="214"/>
          </w:p>
        </w:tc>
      </w:tr>
      <w:tr w14:paraId="24248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043ADE86">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641" w:type="dxa"/>
            <w:gridSpan w:val="2"/>
            <w:vAlign w:val="center"/>
          </w:tcPr>
          <w:p w14:paraId="31AC8D06">
            <w:pPr>
              <w:pStyle w:val="9"/>
              <w:rPr>
                <w:rFonts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16FF00ED">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41C9960F">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0EDA0E48">
            <w:pPr>
              <w:pStyle w:val="9"/>
              <w:rPr>
                <w:rFonts w:cs="宋体"/>
                <w:color w:val="auto"/>
                <w:kern w:val="0"/>
                <w:szCs w:val="21"/>
                <w:highlight w:val="none"/>
              </w:rPr>
            </w:pPr>
            <w:r>
              <w:rPr>
                <w:rFonts w:hint="eastAsia" w:cs="宋体"/>
                <w:color w:val="auto"/>
                <w:kern w:val="0"/>
                <w:szCs w:val="21"/>
                <w:highlight w:val="none"/>
              </w:rPr>
              <w:t>中标服务费账号：201000105503123000004</w:t>
            </w:r>
          </w:p>
          <w:p w14:paraId="55411A1E">
            <w:pPr>
              <w:pStyle w:val="9"/>
              <w:rPr>
                <w:rFonts w:cs="宋体"/>
                <w:color w:val="auto"/>
                <w:szCs w:val="21"/>
                <w:highlight w:val="none"/>
              </w:rPr>
            </w:pPr>
            <w:r>
              <w:rPr>
                <w:rFonts w:hint="eastAsia" w:cs="宋体"/>
                <w:color w:val="auto"/>
                <w:kern w:val="0"/>
                <w:szCs w:val="21"/>
                <w:highlight w:val="none"/>
              </w:rPr>
              <w:t>临海市产权交易所有限公司财务咨询电话：0576-85407100。</w:t>
            </w:r>
          </w:p>
        </w:tc>
      </w:tr>
      <w:tr w14:paraId="5338F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7AD8D03B">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641" w:type="dxa"/>
            <w:gridSpan w:val="2"/>
            <w:vAlign w:val="center"/>
          </w:tcPr>
          <w:p w14:paraId="2ADA5BBE">
            <w:pPr>
              <w:rPr>
                <w:rFonts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76611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4E43C723">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641" w:type="dxa"/>
            <w:gridSpan w:val="2"/>
            <w:vAlign w:val="center"/>
          </w:tcPr>
          <w:p w14:paraId="2D5A7387">
            <w:pPr>
              <w:pStyle w:val="29"/>
              <w:spacing w:line="260" w:lineRule="exact"/>
              <w:rPr>
                <w:rFonts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42E4C886">
            <w:pPr>
              <w:pStyle w:val="29"/>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04C573D1">
            <w:pPr>
              <w:pStyle w:val="29"/>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269028F1">
            <w:pPr>
              <w:pStyle w:val="29"/>
              <w:spacing w:line="260" w:lineRule="exact"/>
              <w:ind w:firstLine="273" w:firstLineChars="130"/>
              <w:rPr>
                <w:rFonts w:hint="eastAsia" w:ascii="Calibri" w:hAnsi="宋体"/>
                <w:color w:val="auto"/>
                <w:sz w:val="21"/>
                <w:szCs w:val="21"/>
                <w:highlight w:val="none"/>
              </w:rPr>
            </w:pPr>
            <w:r>
              <w:rPr>
                <w:rFonts w:hint="eastAsia" w:ascii="Calibri" w:hAnsi="宋体"/>
                <w:color w:val="auto"/>
                <w:sz w:val="21"/>
                <w:szCs w:val="21"/>
                <w:highlight w:val="none"/>
              </w:rPr>
              <w:t>软件技术支持电话：15267291759（同微信）。</w:t>
            </w:r>
          </w:p>
          <w:p w14:paraId="3ABA5F9D">
            <w:pPr>
              <w:pStyle w:val="9"/>
              <w:ind w:firstLine="210" w:firstLineChars="100"/>
              <w:jc w:val="both"/>
              <w:rPr>
                <w:rFonts w:hint="eastAsia" w:cs="宋体"/>
                <w:color w:val="auto"/>
                <w:kern w:val="0"/>
                <w:szCs w:val="21"/>
                <w:highlight w:val="none"/>
                <w:lang w:eastAsia="zh-CN"/>
              </w:rPr>
            </w:pPr>
            <w:r>
              <w:rPr>
                <w:rFonts w:hint="eastAsia" w:ascii="Calibri" w:hAnsi="宋体"/>
                <w:color w:val="auto"/>
                <w:sz w:val="21"/>
                <w:szCs w:val="21"/>
                <w:highlight w:val="none"/>
                <w:lang w:val="en-US" w:eastAsia="zh-CN"/>
              </w:rPr>
              <w:t>3、</w:t>
            </w:r>
            <w:r>
              <w:rPr>
                <w:rFonts w:hint="eastAsia" w:cs="宋体"/>
                <w:color w:val="auto"/>
                <w:kern w:val="0"/>
                <w:szCs w:val="21"/>
                <w:highlight w:val="none"/>
                <w:lang w:eastAsia="zh-CN"/>
              </w:rPr>
              <w:t>招标监管机构：临海市建设工程招标投标事务中心</w:t>
            </w:r>
          </w:p>
          <w:p w14:paraId="513F4D62">
            <w:pPr>
              <w:pStyle w:val="29"/>
              <w:spacing w:line="260" w:lineRule="exact"/>
              <w:ind w:firstLine="273" w:firstLineChars="130"/>
              <w:rPr>
                <w:rFonts w:hint="eastAsia" w:ascii="Calibri" w:hAnsi="宋体"/>
                <w:color w:val="auto"/>
                <w:sz w:val="21"/>
                <w:szCs w:val="21"/>
                <w:highlight w:val="none"/>
              </w:rPr>
            </w:pPr>
            <w:r>
              <w:rPr>
                <w:rFonts w:hint="eastAsia" w:ascii="宋体" w:hAnsi="宋体" w:eastAsia="宋体" w:cs="宋体"/>
                <w:color w:val="auto"/>
                <w:kern w:val="0"/>
                <w:sz w:val="21"/>
                <w:szCs w:val="21"/>
                <w:highlight w:val="none"/>
                <w:lang w:val="en-US" w:eastAsia="zh-CN" w:bidi="ar-SA"/>
              </w:rPr>
              <w:t>联系电话：0576-85280256</w:t>
            </w:r>
          </w:p>
        </w:tc>
      </w:tr>
    </w:tbl>
    <w:p w14:paraId="1D8B6D7A">
      <w:pPr>
        <w:jc w:val="center"/>
        <w:rPr>
          <w:rFonts w:ascii="宋体" w:hAnsi="宋体"/>
          <w:color w:val="auto"/>
          <w:highlight w:val="none"/>
        </w:rPr>
        <w:sectPr>
          <w:headerReference r:id="rId11" w:type="first"/>
          <w:footerReference r:id="rId13" w:type="first"/>
          <w:footerReference r:id="rId12"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3C707BDE">
      <w:pPr>
        <w:keepNext/>
        <w:keepLines/>
        <w:spacing w:before="120" w:after="120"/>
        <w:jc w:val="center"/>
        <w:outlineLvl w:val="0"/>
        <w:rPr>
          <w:rFonts w:ascii="黑体" w:hAnsi="黑体" w:eastAsia="黑体"/>
          <w:b/>
          <w:color w:val="auto"/>
          <w:kern w:val="44"/>
          <w:sz w:val="30"/>
          <w:highlight w:val="none"/>
        </w:rPr>
      </w:pPr>
      <w:bookmarkStart w:id="8" w:name="_Toc26109"/>
      <w:bookmarkStart w:id="9" w:name="_Toc500208463"/>
      <w:bookmarkStart w:id="10" w:name="_Toc500209412"/>
      <w:bookmarkStart w:id="11" w:name="_Toc9614"/>
      <w:bookmarkStart w:id="12" w:name="_Toc10147"/>
      <w:r>
        <w:rPr>
          <w:rFonts w:hint="eastAsia" w:ascii="黑体" w:hAnsi="黑体" w:eastAsia="黑体"/>
          <w:b/>
          <w:color w:val="auto"/>
          <w:kern w:val="44"/>
          <w:sz w:val="30"/>
          <w:highlight w:val="none"/>
        </w:rPr>
        <w:t>第一章  投标须知</w:t>
      </w:r>
      <w:bookmarkEnd w:id="8"/>
      <w:bookmarkEnd w:id="9"/>
      <w:bookmarkEnd w:id="10"/>
      <w:bookmarkEnd w:id="11"/>
      <w:bookmarkEnd w:id="12"/>
    </w:p>
    <w:p w14:paraId="46CC462A">
      <w:pPr>
        <w:spacing w:before="360" w:afterLines="50" w:line="320" w:lineRule="exact"/>
        <w:ind w:left="839"/>
        <w:jc w:val="left"/>
        <w:outlineLvl w:val="1"/>
        <w:rPr>
          <w:rFonts w:ascii="Arial" w:hAnsi="Arial" w:eastAsia="黑体" w:cs="Arial"/>
          <w:b/>
          <w:color w:val="auto"/>
          <w:szCs w:val="24"/>
          <w:highlight w:val="none"/>
        </w:rPr>
      </w:pPr>
      <w:bookmarkStart w:id="13" w:name="_Toc4837"/>
      <w:bookmarkStart w:id="14" w:name="_Toc500208464"/>
      <w:bookmarkStart w:id="15" w:name="_Toc32149"/>
      <w:bookmarkStart w:id="16" w:name="_Toc500209413"/>
      <w:r>
        <w:rPr>
          <w:rFonts w:hint="eastAsia" w:ascii="Arial" w:hAnsi="Arial" w:eastAsia="黑体" w:cs="Arial"/>
          <w:b/>
          <w:color w:val="auto"/>
          <w:szCs w:val="24"/>
          <w:highlight w:val="none"/>
        </w:rPr>
        <w:t xml:space="preserve">                 第一节  总  则</w:t>
      </w:r>
      <w:bookmarkEnd w:id="13"/>
      <w:bookmarkEnd w:id="14"/>
      <w:bookmarkEnd w:id="15"/>
      <w:bookmarkEnd w:id="16"/>
    </w:p>
    <w:p w14:paraId="4815D270">
      <w:pPr>
        <w:keepNext/>
        <w:keepLines/>
        <w:numPr>
          <w:ilvl w:val="0"/>
          <w:numId w:val="3"/>
        </w:numPr>
        <w:spacing w:before="360" w:line="288" w:lineRule="auto"/>
        <w:jc w:val="left"/>
        <w:outlineLvl w:val="2"/>
        <w:rPr>
          <w:rFonts w:ascii="黑体" w:hAnsi="宋体" w:eastAsia="黑体"/>
          <w:b/>
          <w:color w:val="auto"/>
          <w:sz w:val="21"/>
          <w:highlight w:val="none"/>
        </w:rPr>
      </w:pPr>
      <w:bookmarkStart w:id="17" w:name="_Toc169487776"/>
      <w:bookmarkStart w:id="18" w:name="_Toc155342528"/>
      <w:bookmarkStart w:id="19" w:name="_Toc500208465"/>
      <w:r>
        <w:rPr>
          <w:rFonts w:hint="eastAsia" w:ascii="黑体" w:hAnsi="宋体" w:eastAsia="黑体"/>
          <w:b/>
          <w:color w:val="auto"/>
          <w:sz w:val="21"/>
          <w:highlight w:val="none"/>
        </w:rPr>
        <w:t>工程说明</w:t>
      </w:r>
      <w:bookmarkEnd w:id="17"/>
      <w:bookmarkEnd w:id="18"/>
    </w:p>
    <w:p w14:paraId="6A5E6B0D">
      <w:pPr>
        <w:ind w:firstLine="420"/>
        <w:rPr>
          <w:rFonts w:ascii="宋体" w:hAnsi="宋体" w:eastAsia="宋体"/>
          <w:color w:val="auto"/>
          <w:sz w:val="21"/>
          <w:highlight w:val="none"/>
        </w:rPr>
      </w:pPr>
      <w:r>
        <w:rPr>
          <w:rFonts w:hint="eastAsia" w:ascii="宋体" w:hAnsi="宋体" w:eastAsia="宋体"/>
          <w:color w:val="auto"/>
          <w:sz w:val="21"/>
          <w:highlight w:val="none"/>
        </w:rPr>
        <w:t>1.1本招标工程项目说明详见本须知前附表第1项～第7项。</w:t>
      </w:r>
    </w:p>
    <w:p w14:paraId="7AC256D6">
      <w:pPr>
        <w:keepNext/>
        <w:keepLines/>
        <w:numPr>
          <w:ilvl w:val="0"/>
          <w:numId w:val="3"/>
        </w:numPr>
        <w:spacing w:before="360" w:line="288" w:lineRule="auto"/>
        <w:jc w:val="left"/>
        <w:outlineLvl w:val="2"/>
        <w:rPr>
          <w:rFonts w:ascii="黑体" w:hAnsi="宋体" w:eastAsia="黑体"/>
          <w:b/>
          <w:color w:val="auto"/>
          <w:sz w:val="21"/>
          <w:highlight w:val="none"/>
        </w:rPr>
      </w:pPr>
      <w:bookmarkStart w:id="20" w:name="_Toc169487777"/>
      <w:bookmarkStart w:id="21" w:name="_Toc155342529"/>
      <w:r>
        <w:rPr>
          <w:rFonts w:hint="eastAsia" w:ascii="黑体" w:hAnsi="宋体" w:eastAsia="黑体"/>
          <w:b/>
          <w:color w:val="auto"/>
          <w:sz w:val="21"/>
          <w:highlight w:val="none"/>
        </w:rPr>
        <w:t>招标范围</w:t>
      </w:r>
      <w:bookmarkEnd w:id="19"/>
      <w:bookmarkEnd w:id="20"/>
      <w:bookmarkEnd w:id="21"/>
    </w:p>
    <w:p w14:paraId="30D3B9CE">
      <w:pPr>
        <w:pStyle w:val="9"/>
        <w:numPr>
          <w:ilvl w:val="1"/>
          <w:numId w:val="3"/>
        </w:numPr>
        <w:ind w:firstLine="420" w:firstLineChars="200"/>
        <w:rPr>
          <w:color w:val="auto"/>
          <w:highlight w:val="none"/>
        </w:rPr>
      </w:pPr>
      <w:bookmarkStart w:id="22" w:name="_Toc500208466"/>
      <w:r>
        <w:rPr>
          <w:rFonts w:hint="eastAsia"/>
          <w:color w:val="auto"/>
          <w:highlight w:val="none"/>
        </w:rPr>
        <w:t>本招标工程项目的招标方式详见本须知前附表第8项。</w:t>
      </w:r>
    </w:p>
    <w:p w14:paraId="2FE02CD9">
      <w:pPr>
        <w:pStyle w:val="9"/>
        <w:numPr>
          <w:ilvl w:val="1"/>
          <w:numId w:val="3"/>
        </w:numPr>
        <w:ind w:firstLine="420" w:firstLineChars="200"/>
        <w:rPr>
          <w:color w:val="auto"/>
          <w:highlight w:val="none"/>
        </w:rPr>
      </w:pPr>
      <w:r>
        <w:rPr>
          <w:rFonts w:hint="eastAsia"/>
          <w:color w:val="auto"/>
          <w:highlight w:val="none"/>
        </w:rPr>
        <w:t>本招标工程项目的招标范围详见本须知前附表第9项。</w:t>
      </w:r>
    </w:p>
    <w:p w14:paraId="45D3B814">
      <w:pPr>
        <w:keepNext/>
        <w:keepLines/>
        <w:numPr>
          <w:ilvl w:val="0"/>
          <w:numId w:val="3"/>
        </w:numPr>
        <w:spacing w:before="360" w:line="288" w:lineRule="auto"/>
        <w:jc w:val="left"/>
        <w:outlineLvl w:val="2"/>
        <w:rPr>
          <w:rFonts w:ascii="黑体" w:hAnsi="宋体" w:eastAsia="黑体"/>
          <w:b/>
          <w:color w:val="auto"/>
          <w:sz w:val="21"/>
          <w:highlight w:val="none"/>
        </w:rPr>
      </w:pPr>
      <w:bookmarkStart w:id="23" w:name="_Toc155342530"/>
      <w:bookmarkStart w:id="24" w:name="_Toc169487778"/>
      <w:r>
        <w:rPr>
          <w:rFonts w:hint="eastAsia" w:ascii="黑体" w:hAnsi="宋体" w:eastAsia="黑体"/>
          <w:b/>
          <w:color w:val="auto"/>
          <w:sz w:val="21"/>
          <w:highlight w:val="none"/>
        </w:rPr>
        <w:t>资金来源</w:t>
      </w:r>
      <w:bookmarkEnd w:id="22"/>
      <w:bookmarkEnd w:id="23"/>
      <w:bookmarkEnd w:id="24"/>
    </w:p>
    <w:p w14:paraId="361F13B3">
      <w:pPr>
        <w:pStyle w:val="9"/>
        <w:numPr>
          <w:ilvl w:val="1"/>
          <w:numId w:val="3"/>
        </w:numPr>
        <w:ind w:firstLine="420" w:firstLineChars="200"/>
        <w:rPr>
          <w:color w:val="auto"/>
          <w:highlight w:val="none"/>
        </w:rPr>
      </w:pPr>
      <w:r>
        <w:rPr>
          <w:rFonts w:hint="eastAsia"/>
          <w:color w:val="auto"/>
          <w:highlight w:val="none"/>
        </w:rPr>
        <w:t>本招标工程项目资金来源详见本须知前附表第10项，其中部分资金用于本工程项目合同项下的合格支付。</w:t>
      </w:r>
    </w:p>
    <w:p w14:paraId="20B5EA7B">
      <w:pPr>
        <w:keepNext/>
        <w:keepLines/>
        <w:numPr>
          <w:ilvl w:val="0"/>
          <w:numId w:val="3"/>
        </w:numPr>
        <w:spacing w:before="360" w:line="288" w:lineRule="auto"/>
        <w:jc w:val="left"/>
        <w:outlineLvl w:val="2"/>
        <w:rPr>
          <w:rFonts w:ascii="黑体" w:hAnsi="宋体" w:eastAsia="黑体"/>
          <w:b/>
          <w:color w:val="auto"/>
          <w:sz w:val="21"/>
          <w:szCs w:val="22"/>
          <w:highlight w:val="none"/>
        </w:rPr>
      </w:pPr>
      <w:bookmarkStart w:id="25" w:name="_Toc155342532"/>
      <w:bookmarkStart w:id="26" w:name="_Toc169487780"/>
      <w:r>
        <w:rPr>
          <w:rFonts w:hint="eastAsia" w:ascii="黑体" w:hAnsi="宋体" w:eastAsia="黑体"/>
          <w:b/>
          <w:color w:val="auto"/>
          <w:sz w:val="21"/>
          <w:szCs w:val="22"/>
          <w:highlight w:val="none"/>
        </w:rPr>
        <w:t>投标人资格</w:t>
      </w:r>
    </w:p>
    <w:p w14:paraId="3BE1B84A">
      <w:pPr>
        <w:pStyle w:val="9"/>
        <w:ind w:firstLine="420" w:firstLineChars="200"/>
        <w:rPr>
          <w:color w:val="auto"/>
          <w:szCs w:val="22"/>
          <w:highlight w:val="none"/>
        </w:rPr>
      </w:pPr>
      <w:r>
        <w:rPr>
          <w:rFonts w:hint="eastAsia"/>
          <w:color w:val="auto"/>
          <w:szCs w:val="22"/>
          <w:highlight w:val="none"/>
        </w:rPr>
        <w:t>4.1投标人与项目负责人资格要求详见本须知前附表第11项和第12项。</w:t>
      </w:r>
    </w:p>
    <w:p w14:paraId="5B2A8CD1">
      <w:pPr>
        <w:pStyle w:val="9"/>
        <w:ind w:firstLine="420" w:firstLineChars="200"/>
        <w:rPr>
          <w:color w:val="auto"/>
          <w:szCs w:val="22"/>
          <w:highlight w:val="none"/>
        </w:rPr>
      </w:pPr>
      <w:r>
        <w:rPr>
          <w:rFonts w:hint="eastAsia"/>
          <w:color w:val="auto"/>
          <w:szCs w:val="22"/>
          <w:highlight w:val="none"/>
        </w:rPr>
        <w:t>4.2投标人确定方式详见本须知前附表第13项。投标人应按规定取得交易席位资格。</w:t>
      </w:r>
    </w:p>
    <w:p w14:paraId="1CD8D4F7">
      <w:pPr>
        <w:pStyle w:val="9"/>
        <w:ind w:firstLine="420" w:firstLineChars="200"/>
        <w:rPr>
          <w:rFonts w:hint="eastAsia"/>
          <w:color w:val="auto"/>
          <w:szCs w:val="22"/>
          <w:highlight w:val="none"/>
        </w:rPr>
      </w:pPr>
      <w:r>
        <w:rPr>
          <w:rFonts w:hint="eastAsia"/>
          <w:color w:val="auto"/>
          <w:szCs w:val="22"/>
          <w:highlight w:val="none"/>
        </w:rPr>
        <w:t>4.3对项目负责人“有在建合同工程”的认定标准：</w:t>
      </w:r>
    </w:p>
    <w:p w14:paraId="282D2880">
      <w:pPr>
        <w:pStyle w:val="9"/>
        <w:ind w:firstLine="630" w:firstLineChars="300"/>
        <w:rPr>
          <w:rFonts w:hint="eastAsia"/>
          <w:color w:val="auto"/>
          <w:szCs w:val="22"/>
          <w:highlight w:val="none"/>
        </w:rPr>
      </w:pPr>
      <w:r>
        <w:rPr>
          <w:rFonts w:hint="eastAsia"/>
          <w:color w:val="auto"/>
          <w:szCs w:val="22"/>
          <w:highlight w:val="none"/>
        </w:rPr>
        <w:t>（1）拟派项目负责人以注册建造师身份承接工程建设项目的。</w:t>
      </w:r>
    </w:p>
    <w:p w14:paraId="7E28A8C8">
      <w:pPr>
        <w:pStyle w:val="9"/>
        <w:ind w:firstLine="630" w:firstLineChars="300"/>
        <w:rPr>
          <w:rFonts w:hint="eastAsia"/>
          <w:color w:val="auto"/>
          <w:szCs w:val="22"/>
          <w:highlight w:val="none"/>
        </w:rPr>
      </w:pPr>
      <w:r>
        <w:rPr>
          <w:rFonts w:hint="eastAsia"/>
          <w:color w:val="auto"/>
          <w:szCs w:val="22"/>
          <w:highlight w:val="none"/>
        </w:rPr>
        <w:t>（2）拟派项目负责人在投标截止时间尚有在中华人民共和国境内其他在建合同工程建设项目中担任项目负责人的情形为“有在建合同工程”。</w:t>
      </w:r>
    </w:p>
    <w:p w14:paraId="60ECD88A">
      <w:pPr>
        <w:pStyle w:val="9"/>
        <w:ind w:firstLine="630" w:firstLineChars="300"/>
        <w:rPr>
          <w:rFonts w:hint="eastAsia"/>
          <w:color w:val="auto"/>
          <w:szCs w:val="22"/>
          <w:highlight w:val="none"/>
        </w:rPr>
      </w:pPr>
      <w:r>
        <w:rPr>
          <w:rFonts w:hint="eastAsia"/>
          <w:color w:val="auto"/>
          <w:szCs w:val="22"/>
          <w:highlight w:val="none"/>
        </w:rPr>
        <w:t>（3）在建合同工程的时间界定：在建合同工程的开始时间为合同工程中标通知书发出日期，或者不通过招标方式的则以合同签订日期为开始时间，结束时间为该合同工程验收合格或合同解除日期）。</w:t>
      </w:r>
    </w:p>
    <w:p w14:paraId="604A6317">
      <w:pPr>
        <w:pStyle w:val="9"/>
        <w:ind w:firstLine="630" w:firstLineChars="300"/>
        <w:rPr>
          <w:rFonts w:hint="eastAsia"/>
          <w:color w:val="auto"/>
          <w:szCs w:val="22"/>
          <w:highlight w:val="none"/>
        </w:rPr>
      </w:pPr>
      <w:r>
        <w:rPr>
          <w:rFonts w:hint="eastAsia"/>
          <w:color w:val="auto"/>
          <w:szCs w:val="22"/>
          <w:highlight w:val="none"/>
        </w:rPr>
        <w:t>以下情形视为“有在建合同工程”：</w:t>
      </w:r>
    </w:p>
    <w:p w14:paraId="07638D0F">
      <w:pPr>
        <w:pStyle w:val="9"/>
        <w:ind w:firstLine="630" w:firstLineChars="300"/>
        <w:rPr>
          <w:rFonts w:hint="eastAsia"/>
          <w:color w:val="auto"/>
          <w:szCs w:val="22"/>
          <w:highlight w:val="none"/>
        </w:rPr>
      </w:pPr>
      <w:r>
        <w:rPr>
          <w:rFonts w:hint="eastAsia"/>
          <w:color w:val="auto"/>
          <w:szCs w:val="22"/>
          <w:highlight w:val="none"/>
        </w:rPr>
        <w:t>拟派项目负责人在投标截止期前承接的原项目（中标通知书或合同协议书中载明项目负责人的项目）中发生项目负责人变更的，并在投标截止时间前未通过工程竣工验收的，视为“有在建合同工程”。</w:t>
      </w:r>
    </w:p>
    <w:p w14:paraId="71B4268B">
      <w:pPr>
        <w:pStyle w:val="9"/>
        <w:ind w:firstLine="630" w:firstLineChars="300"/>
        <w:rPr>
          <w:rFonts w:hint="eastAsia"/>
          <w:color w:val="auto"/>
          <w:szCs w:val="22"/>
          <w:highlight w:val="none"/>
        </w:rPr>
      </w:pPr>
      <w:r>
        <w:rPr>
          <w:rFonts w:hint="eastAsia"/>
          <w:color w:val="auto"/>
          <w:szCs w:val="22"/>
          <w:highlight w:val="none"/>
        </w:rPr>
        <w:t>发生下列情形之一的除外：</w:t>
      </w:r>
    </w:p>
    <w:p w14:paraId="37CB895B">
      <w:pPr>
        <w:pStyle w:val="9"/>
        <w:ind w:firstLine="630" w:firstLineChars="300"/>
        <w:rPr>
          <w:rFonts w:hint="eastAsia"/>
          <w:color w:val="auto"/>
          <w:szCs w:val="22"/>
          <w:highlight w:val="none"/>
        </w:rPr>
      </w:pPr>
      <w:r>
        <w:rPr>
          <w:rFonts w:hint="eastAsia"/>
          <w:color w:val="auto"/>
          <w:szCs w:val="22"/>
          <w:highlight w:val="none"/>
        </w:rPr>
        <w:t>a.原承接的项目与本工程属于同一工程相邻分段发包或分期施工的；</w:t>
      </w:r>
    </w:p>
    <w:p w14:paraId="07F7392C">
      <w:pPr>
        <w:pStyle w:val="9"/>
        <w:ind w:firstLine="630" w:firstLineChars="300"/>
        <w:rPr>
          <w:rFonts w:hint="eastAsia"/>
          <w:color w:val="auto"/>
          <w:szCs w:val="22"/>
          <w:highlight w:val="none"/>
        </w:rPr>
      </w:pPr>
      <w:r>
        <w:rPr>
          <w:rFonts w:hint="eastAsia"/>
          <w:color w:val="auto"/>
          <w:szCs w:val="22"/>
          <w:highlight w:val="none"/>
        </w:rPr>
        <w:t>b.因非承包方原因致使工程项目停工超过120天（含），经原建设单位同意的；</w:t>
      </w:r>
    </w:p>
    <w:p w14:paraId="7823C10F">
      <w:pPr>
        <w:pStyle w:val="9"/>
        <w:ind w:firstLine="630" w:firstLineChars="300"/>
        <w:rPr>
          <w:rFonts w:hint="eastAsia"/>
          <w:color w:val="auto"/>
          <w:szCs w:val="22"/>
          <w:highlight w:val="none"/>
        </w:rPr>
      </w:pPr>
      <w:r>
        <w:rPr>
          <w:rFonts w:hint="eastAsia"/>
          <w:color w:val="auto"/>
          <w:szCs w:val="22"/>
          <w:highlight w:val="none"/>
        </w:rPr>
        <w:t>c.合同约定的工程已完工，承包方向建设单位提交竣工报告时间已超过120天（含），经原建设单位同意的。</w:t>
      </w:r>
    </w:p>
    <w:p w14:paraId="6B62C15B">
      <w:pPr>
        <w:pStyle w:val="9"/>
        <w:ind w:firstLine="630" w:firstLineChars="300"/>
        <w:rPr>
          <w:rFonts w:hint="eastAsia"/>
          <w:color w:val="auto"/>
          <w:szCs w:val="22"/>
          <w:highlight w:val="none"/>
        </w:rPr>
      </w:pPr>
      <w:r>
        <w:rPr>
          <w:rFonts w:hint="eastAsia"/>
          <w:color w:val="auto"/>
          <w:szCs w:val="22"/>
          <w:highlight w:val="none"/>
        </w:rPr>
        <w:t>如发生以上a、b、c情形的，投标人应在投标文件中提交有关书面证明材料（以电子文档形式随资格标上传，招标文件提供证明格式的须按照该格式提交），投标截止时间后提供的证明材料视为瞒报、漏报，将不予认可。</w:t>
      </w:r>
    </w:p>
    <w:p w14:paraId="3F8545B2">
      <w:pPr>
        <w:pStyle w:val="9"/>
        <w:ind w:firstLine="630" w:firstLineChars="300"/>
        <w:rPr>
          <w:rFonts w:hint="eastAsia"/>
          <w:color w:val="auto"/>
          <w:szCs w:val="22"/>
          <w:highlight w:val="none"/>
        </w:rPr>
      </w:pPr>
      <w:r>
        <w:rPr>
          <w:rFonts w:hint="eastAsia"/>
          <w:color w:val="auto"/>
          <w:szCs w:val="22"/>
          <w:highlight w:val="none"/>
        </w:rPr>
        <w:t>若是年度招标项目则以具体项目的承接作为是否已承接该项目的判断依据。</w:t>
      </w:r>
    </w:p>
    <w:p w14:paraId="32552565">
      <w:pPr>
        <w:pStyle w:val="9"/>
        <w:ind w:firstLine="630" w:firstLineChars="300"/>
        <w:rPr>
          <w:b/>
          <w:bCs/>
          <w:color w:val="auto"/>
          <w:szCs w:val="22"/>
          <w:highlight w:val="none"/>
        </w:rPr>
      </w:pPr>
      <w:r>
        <w:rPr>
          <w:rFonts w:hint="eastAsia"/>
          <w:color w:val="auto"/>
          <w:szCs w:val="22"/>
          <w:highlight w:val="none"/>
        </w:rPr>
        <w:t>（</w:t>
      </w:r>
      <w:r>
        <w:rPr>
          <w:rFonts w:hint="eastAsia"/>
          <w:color w:val="auto"/>
          <w:szCs w:val="22"/>
          <w:highlight w:val="none"/>
          <w:lang w:val="en-US" w:eastAsia="zh-CN"/>
        </w:rPr>
        <w:t>4</w:t>
      </w:r>
      <w:r>
        <w:rPr>
          <w:rFonts w:hint="eastAsia"/>
          <w:color w:val="auto"/>
          <w:szCs w:val="22"/>
          <w:highlight w:val="none"/>
        </w:rPr>
        <w:t>）在建合同工程和人员信息可参照全国和浙江省建筑市场监管公共服务系统发布的信息。若全国或浙江省建筑市场监管公共服务系统上的工程和人员信息为在建状态但该工程已通过工程竣工验收的：a.已取得《工程竣工验收备案表》的，需提供由该工程备案机关在《工程竣工验收备案表》复印件上盖章确认，随资格标上传；b.未取得《工程竣工验收备案表》的，需按附件格式随资格标上传工程竣工验收证明。投标截止时间后提供的证明材料视为瞒报、漏报，将不予认可。</w:t>
      </w:r>
    </w:p>
    <w:p w14:paraId="57E8C1F3">
      <w:pPr>
        <w:pStyle w:val="9"/>
        <w:ind w:firstLine="422" w:firstLineChars="200"/>
        <w:rPr>
          <w:b/>
          <w:bCs/>
          <w:color w:val="auto"/>
          <w:szCs w:val="22"/>
          <w:highlight w:val="none"/>
        </w:rPr>
      </w:pPr>
      <w:r>
        <w:rPr>
          <w:rFonts w:hint="eastAsia"/>
          <w:b/>
          <w:bCs/>
          <w:color w:val="auto"/>
          <w:szCs w:val="22"/>
          <w:highlight w:val="none"/>
        </w:rPr>
        <w:t xml:space="preserve"> 项目负责人不得同时在两个或者两个以上单位受聘或者执业（仅指项目负责人不得同时是其他单位的公务员或者事业单位在编人员，涉及到其他情形的，投标资格不受影响）。</w:t>
      </w:r>
    </w:p>
    <w:p w14:paraId="54C6158B">
      <w:pPr>
        <w:pStyle w:val="9"/>
        <w:ind w:firstLine="420" w:firstLineChars="200"/>
        <w:rPr>
          <w:color w:val="auto"/>
          <w:szCs w:val="22"/>
          <w:highlight w:val="none"/>
        </w:rPr>
      </w:pPr>
      <w:r>
        <w:rPr>
          <w:rFonts w:hint="eastAsia"/>
          <w:color w:val="auto"/>
          <w:szCs w:val="22"/>
          <w:highlight w:val="none"/>
        </w:rPr>
        <w:t>4.4投标人有以下情形之一的，不得参加本项目投标：</w:t>
      </w:r>
    </w:p>
    <w:p w14:paraId="7EF466D4">
      <w:pPr>
        <w:pStyle w:val="9"/>
        <w:ind w:firstLine="315" w:firstLineChars="150"/>
        <w:rPr>
          <w:color w:val="auto"/>
          <w:szCs w:val="22"/>
          <w:highlight w:val="none"/>
        </w:rPr>
      </w:pPr>
      <w:r>
        <w:rPr>
          <w:rFonts w:hint="eastAsia"/>
          <w:color w:val="auto"/>
          <w:szCs w:val="22"/>
          <w:highlight w:val="none"/>
        </w:rPr>
        <w:t xml:space="preserve">（1）为招标人不具有独立法人资格的附属机构（单位）； </w:t>
      </w:r>
    </w:p>
    <w:p w14:paraId="19D0E164">
      <w:pPr>
        <w:pStyle w:val="9"/>
        <w:ind w:firstLine="315" w:firstLineChars="150"/>
        <w:rPr>
          <w:color w:val="auto"/>
          <w:szCs w:val="22"/>
          <w:highlight w:val="none"/>
        </w:rPr>
      </w:pPr>
      <w:r>
        <w:rPr>
          <w:rFonts w:hint="eastAsia"/>
          <w:color w:val="auto"/>
          <w:szCs w:val="22"/>
          <w:highlight w:val="none"/>
        </w:rPr>
        <w:t xml:space="preserve">（2）为本工程前期准备提供设计或咨询服务的，但设计施工总承包的除外； </w:t>
      </w:r>
    </w:p>
    <w:p w14:paraId="6F81D32A">
      <w:pPr>
        <w:pStyle w:val="9"/>
        <w:ind w:firstLine="315" w:firstLineChars="150"/>
        <w:rPr>
          <w:color w:val="auto"/>
          <w:szCs w:val="22"/>
          <w:highlight w:val="none"/>
        </w:rPr>
      </w:pPr>
      <w:r>
        <w:rPr>
          <w:rFonts w:hint="eastAsia"/>
          <w:color w:val="auto"/>
          <w:szCs w:val="22"/>
          <w:highlight w:val="none"/>
        </w:rPr>
        <w:t>（3）为本工程的监理人；</w:t>
      </w:r>
    </w:p>
    <w:p w14:paraId="34BF6299">
      <w:pPr>
        <w:pStyle w:val="9"/>
        <w:ind w:firstLine="315" w:firstLineChars="150"/>
        <w:rPr>
          <w:color w:val="auto"/>
          <w:szCs w:val="22"/>
          <w:highlight w:val="none"/>
        </w:rPr>
      </w:pPr>
      <w:r>
        <w:rPr>
          <w:rFonts w:hint="eastAsia"/>
          <w:color w:val="auto"/>
          <w:szCs w:val="22"/>
          <w:highlight w:val="none"/>
        </w:rPr>
        <w:t xml:space="preserve">（4）为本工程的代建人； </w:t>
      </w:r>
    </w:p>
    <w:p w14:paraId="73CD52F2">
      <w:pPr>
        <w:pStyle w:val="9"/>
        <w:ind w:firstLine="315" w:firstLineChars="150"/>
        <w:rPr>
          <w:color w:val="auto"/>
          <w:szCs w:val="22"/>
          <w:highlight w:val="none"/>
        </w:rPr>
      </w:pPr>
      <w:r>
        <w:rPr>
          <w:rFonts w:hint="eastAsia"/>
          <w:color w:val="auto"/>
          <w:szCs w:val="22"/>
          <w:highlight w:val="none"/>
        </w:rPr>
        <w:t xml:space="preserve">（5）为本工程提供招标代理服务的； </w:t>
      </w:r>
    </w:p>
    <w:p w14:paraId="4CD0B33F">
      <w:pPr>
        <w:pStyle w:val="9"/>
        <w:ind w:firstLine="315" w:firstLineChars="150"/>
        <w:rPr>
          <w:color w:val="auto"/>
          <w:szCs w:val="22"/>
          <w:highlight w:val="none"/>
        </w:rPr>
      </w:pPr>
      <w:r>
        <w:rPr>
          <w:rFonts w:hint="eastAsia"/>
          <w:color w:val="auto"/>
          <w:szCs w:val="22"/>
          <w:highlight w:val="none"/>
        </w:rPr>
        <w:t>（6）与本工程的监理人或代建人或招标代理机构同为一个法定代表人的；</w:t>
      </w:r>
    </w:p>
    <w:p w14:paraId="44FBB97B">
      <w:pPr>
        <w:pStyle w:val="9"/>
        <w:ind w:firstLine="315" w:firstLineChars="150"/>
        <w:rPr>
          <w:color w:val="auto"/>
          <w:szCs w:val="22"/>
          <w:highlight w:val="none"/>
        </w:rPr>
      </w:pPr>
      <w:r>
        <w:rPr>
          <w:rFonts w:hint="eastAsia"/>
          <w:color w:val="auto"/>
          <w:szCs w:val="22"/>
          <w:highlight w:val="none"/>
        </w:rPr>
        <w:t>（7）与本工程的监理人或代建人或招标代理机构相互控股或参股的；</w:t>
      </w:r>
    </w:p>
    <w:p w14:paraId="37A683B2">
      <w:pPr>
        <w:pStyle w:val="9"/>
        <w:ind w:firstLine="315" w:firstLineChars="150"/>
        <w:rPr>
          <w:color w:val="auto"/>
          <w:szCs w:val="22"/>
          <w:highlight w:val="none"/>
        </w:rPr>
      </w:pPr>
      <w:r>
        <w:rPr>
          <w:rFonts w:hint="eastAsia"/>
          <w:color w:val="auto"/>
          <w:szCs w:val="22"/>
          <w:highlight w:val="none"/>
        </w:rPr>
        <w:t>（8）与本工程的监理人或代建人或招标代理机构相互任职或工作的；</w:t>
      </w:r>
    </w:p>
    <w:p w14:paraId="64697F49">
      <w:pPr>
        <w:pStyle w:val="9"/>
        <w:ind w:firstLine="315" w:firstLineChars="150"/>
        <w:rPr>
          <w:color w:val="auto"/>
          <w:szCs w:val="22"/>
          <w:highlight w:val="none"/>
        </w:rPr>
      </w:pPr>
      <w:r>
        <w:rPr>
          <w:rFonts w:hint="eastAsia"/>
          <w:color w:val="auto"/>
          <w:szCs w:val="22"/>
          <w:highlight w:val="none"/>
        </w:rPr>
        <w:t xml:space="preserve">（9）被责令停业的； </w:t>
      </w:r>
    </w:p>
    <w:p w14:paraId="7BAD81DF">
      <w:pPr>
        <w:pStyle w:val="9"/>
        <w:ind w:firstLine="315" w:firstLineChars="150"/>
        <w:rPr>
          <w:color w:val="auto"/>
          <w:szCs w:val="22"/>
          <w:highlight w:val="none"/>
        </w:rPr>
      </w:pPr>
      <w:r>
        <w:rPr>
          <w:rFonts w:hint="eastAsia"/>
          <w:color w:val="auto"/>
          <w:szCs w:val="22"/>
          <w:highlight w:val="none"/>
        </w:rPr>
        <w:t xml:space="preserve">（10）被暂停或取消投标资格的（包括项目负责人）； </w:t>
      </w:r>
    </w:p>
    <w:p w14:paraId="41F5BAAB">
      <w:pPr>
        <w:pStyle w:val="9"/>
        <w:ind w:firstLine="315" w:firstLineChars="150"/>
        <w:rPr>
          <w:color w:val="auto"/>
          <w:szCs w:val="22"/>
          <w:highlight w:val="none"/>
        </w:rPr>
      </w:pPr>
      <w:r>
        <w:rPr>
          <w:rFonts w:hint="eastAsia"/>
          <w:color w:val="auto"/>
          <w:szCs w:val="22"/>
          <w:highlight w:val="none"/>
        </w:rPr>
        <w:t>（11）安全生产许可证超出有效期或处于暂扣时限内的；</w:t>
      </w:r>
    </w:p>
    <w:p w14:paraId="08A9DEE2">
      <w:pPr>
        <w:pStyle w:val="9"/>
        <w:ind w:firstLine="315" w:firstLineChars="150"/>
        <w:rPr>
          <w:color w:val="auto"/>
          <w:szCs w:val="22"/>
          <w:highlight w:val="none"/>
        </w:rPr>
      </w:pPr>
      <w:r>
        <w:rPr>
          <w:rFonts w:hint="eastAsia"/>
          <w:color w:val="auto"/>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42948FFC">
      <w:pPr>
        <w:pStyle w:val="9"/>
        <w:ind w:firstLine="315" w:firstLineChars="150"/>
        <w:rPr>
          <w:color w:val="auto"/>
          <w:szCs w:val="22"/>
          <w:highlight w:val="none"/>
        </w:rPr>
      </w:pPr>
      <w:r>
        <w:rPr>
          <w:rFonts w:hint="eastAsia"/>
          <w:color w:val="auto"/>
          <w:szCs w:val="22"/>
          <w:highlight w:val="none"/>
        </w:rPr>
        <w:t>（13）投标人及相关管理人员（包括项目负责人）安全生产任职资格不符合相关规定；</w:t>
      </w:r>
    </w:p>
    <w:p w14:paraId="3661D951">
      <w:pPr>
        <w:pStyle w:val="9"/>
        <w:ind w:firstLine="420" w:firstLineChars="200"/>
        <w:rPr>
          <w:color w:val="auto"/>
          <w:szCs w:val="22"/>
          <w:highlight w:val="none"/>
        </w:rPr>
      </w:pPr>
      <w:r>
        <w:rPr>
          <w:rFonts w:hint="eastAsia"/>
          <w:color w:val="auto"/>
          <w:szCs w:val="22"/>
          <w:highlight w:val="none"/>
        </w:rPr>
        <w:t xml:space="preserve">4.5如投标人系联合体，则联合体的组成及联合体各方的权利、义务须符合有关法律、法规、规章的要求。 </w:t>
      </w:r>
    </w:p>
    <w:p w14:paraId="1BFE9C27">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投标费用</w:t>
      </w:r>
      <w:bookmarkEnd w:id="25"/>
      <w:bookmarkEnd w:id="26"/>
    </w:p>
    <w:p w14:paraId="36906A97">
      <w:pPr>
        <w:pStyle w:val="9"/>
        <w:numPr>
          <w:ilvl w:val="1"/>
          <w:numId w:val="3"/>
        </w:numPr>
        <w:ind w:firstLine="420" w:firstLineChars="200"/>
        <w:rPr>
          <w:color w:val="auto"/>
          <w:highlight w:val="none"/>
        </w:rPr>
      </w:pPr>
      <w:r>
        <w:rPr>
          <w:rFonts w:hint="eastAsia"/>
          <w:color w:val="auto"/>
          <w:highlight w:val="none"/>
        </w:rPr>
        <w:t>投标人应自行承担其参加投标活动自身发生的费用。</w:t>
      </w:r>
    </w:p>
    <w:p w14:paraId="17C43881">
      <w:pPr>
        <w:keepNext/>
        <w:keepLines/>
        <w:numPr>
          <w:ilvl w:val="0"/>
          <w:numId w:val="3"/>
        </w:numPr>
        <w:spacing w:before="360" w:line="288" w:lineRule="auto"/>
        <w:jc w:val="left"/>
        <w:outlineLvl w:val="2"/>
        <w:rPr>
          <w:rFonts w:ascii="黑体" w:hAnsi="宋体" w:eastAsia="黑体"/>
          <w:b/>
          <w:color w:val="auto"/>
          <w:sz w:val="21"/>
          <w:highlight w:val="none"/>
        </w:rPr>
      </w:pPr>
      <w:bookmarkStart w:id="27" w:name="_Toc155342533"/>
      <w:bookmarkStart w:id="28" w:name="_Toc169487781"/>
      <w:r>
        <w:rPr>
          <w:rFonts w:hint="eastAsia" w:ascii="黑体" w:hAnsi="宋体" w:eastAsia="黑体"/>
          <w:b/>
          <w:color w:val="auto"/>
          <w:sz w:val="21"/>
          <w:highlight w:val="none"/>
        </w:rPr>
        <w:t>现场条件</w:t>
      </w:r>
      <w:bookmarkEnd w:id="27"/>
      <w:bookmarkEnd w:id="28"/>
    </w:p>
    <w:p w14:paraId="76B617EE">
      <w:pPr>
        <w:pStyle w:val="9"/>
        <w:numPr>
          <w:ilvl w:val="1"/>
          <w:numId w:val="3"/>
        </w:numPr>
        <w:ind w:firstLine="420" w:firstLineChars="200"/>
        <w:rPr>
          <w:color w:val="auto"/>
          <w:highlight w:val="none"/>
        </w:rPr>
      </w:pPr>
      <w:r>
        <w:rPr>
          <w:rFonts w:hint="eastAsia"/>
          <w:color w:val="auto"/>
          <w:highlight w:val="none"/>
        </w:rPr>
        <w:t>施工现场“三通一平”已经完成。</w:t>
      </w:r>
    </w:p>
    <w:p w14:paraId="7814239F">
      <w:pPr>
        <w:keepNext/>
        <w:keepLines/>
        <w:numPr>
          <w:ilvl w:val="0"/>
          <w:numId w:val="3"/>
        </w:numPr>
        <w:spacing w:before="360" w:line="288" w:lineRule="auto"/>
        <w:jc w:val="left"/>
        <w:outlineLvl w:val="2"/>
        <w:rPr>
          <w:rFonts w:ascii="黑体" w:hAnsi="宋体" w:eastAsia="黑体"/>
          <w:b/>
          <w:color w:val="auto"/>
          <w:sz w:val="21"/>
          <w:highlight w:val="none"/>
        </w:rPr>
      </w:pPr>
      <w:bookmarkStart w:id="29" w:name="_Toc155342534"/>
      <w:bookmarkStart w:id="30" w:name="_Toc169487782"/>
      <w:r>
        <w:rPr>
          <w:rFonts w:hint="eastAsia" w:ascii="黑体" w:hAnsi="宋体" w:eastAsia="黑体"/>
          <w:b/>
          <w:color w:val="auto"/>
          <w:sz w:val="21"/>
          <w:highlight w:val="none"/>
        </w:rPr>
        <w:t>踏勘现场</w:t>
      </w:r>
      <w:bookmarkEnd w:id="29"/>
      <w:bookmarkEnd w:id="30"/>
    </w:p>
    <w:p w14:paraId="3CF23C52">
      <w:pPr>
        <w:pStyle w:val="9"/>
        <w:numPr>
          <w:ilvl w:val="1"/>
          <w:numId w:val="3"/>
        </w:numPr>
        <w:ind w:firstLine="420" w:firstLineChars="200"/>
        <w:rPr>
          <w:color w:val="auto"/>
          <w:highlight w:val="none"/>
        </w:rPr>
      </w:pPr>
      <w:r>
        <w:rPr>
          <w:rFonts w:hint="eastAsia"/>
          <w:color w:val="auto"/>
          <w:highlight w:val="none"/>
        </w:rPr>
        <w:t>投标人可对工程施工现场和周围环境进行踏勘，以获取编制投标文件和签署合同所需的资料。踏勘现场所发生的费用由投标人自己承担。</w:t>
      </w:r>
    </w:p>
    <w:p w14:paraId="6AE5A6D8">
      <w:pPr>
        <w:pStyle w:val="9"/>
        <w:numPr>
          <w:ilvl w:val="1"/>
          <w:numId w:val="3"/>
        </w:numPr>
        <w:ind w:firstLine="420" w:firstLineChars="200"/>
        <w:rPr>
          <w:color w:val="auto"/>
          <w:highlight w:val="none"/>
        </w:rPr>
      </w:pPr>
      <w:r>
        <w:rPr>
          <w:rFonts w:hint="eastAsia"/>
          <w:color w:val="auto"/>
          <w:highlight w:val="none"/>
        </w:rPr>
        <w:t>招标人向投标人提供的有关施工现场的资料和数据，是招标人现有的能使投标人利用的资料。招标人对投标人由此而作出的推论、理解、结论概不负责。</w:t>
      </w:r>
    </w:p>
    <w:p w14:paraId="5A5DA37E">
      <w:pPr>
        <w:pStyle w:val="9"/>
        <w:numPr>
          <w:ilvl w:val="1"/>
          <w:numId w:val="3"/>
        </w:numPr>
        <w:ind w:firstLine="420" w:firstLineChars="200"/>
        <w:rPr>
          <w:color w:val="auto"/>
          <w:highlight w:val="none"/>
        </w:rPr>
      </w:pPr>
      <w:r>
        <w:rPr>
          <w:rFonts w:hint="eastAsia"/>
          <w:color w:val="auto"/>
          <w:highlight w:val="none"/>
        </w:rPr>
        <w:t>除招标人向投标人提供本工程有关的情况外，投标人应通过自行调查取得与本工程施工承包可能发生的费用等有关的全部情况，包括交通、环保、治安等规定和要求。</w:t>
      </w:r>
    </w:p>
    <w:p w14:paraId="1CC5E913">
      <w:pPr>
        <w:spacing w:before="360" w:afterLines="50" w:line="320" w:lineRule="exact"/>
        <w:ind w:left="2159" w:hanging="1320"/>
        <w:jc w:val="center"/>
        <w:outlineLvl w:val="1"/>
        <w:rPr>
          <w:rFonts w:ascii="Arial" w:hAnsi="Arial" w:eastAsia="黑体" w:cs="Arial"/>
          <w:b/>
          <w:color w:val="auto"/>
          <w:szCs w:val="24"/>
          <w:highlight w:val="none"/>
        </w:rPr>
      </w:pPr>
      <w:bookmarkStart w:id="31" w:name="_Toc500209414"/>
      <w:bookmarkStart w:id="32" w:name="_Toc500208467"/>
      <w:bookmarkStart w:id="33" w:name="_Toc24275"/>
      <w:bookmarkStart w:id="34" w:name="_Toc20890"/>
      <w:r>
        <w:rPr>
          <w:rFonts w:hint="eastAsia" w:ascii="Arial" w:hAnsi="Arial" w:eastAsia="黑体" w:cs="Arial"/>
          <w:b/>
          <w:color w:val="auto"/>
          <w:szCs w:val="24"/>
          <w:highlight w:val="none"/>
        </w:rPr>
        <w:t>第二节  招标文件</w:t>
      </w:r>
      <w:bookmarkEnd w:id="31"/>
      <w:bookmarkEnd w:id="32"/>
      <w:bookmarkEnd w:id="33"/>
      <w:bookmarkEnd w:id="34"/>
    </w:p>
    <w:p w14:paraId="15806D7E">
      <w:pPr>
        <w:keepNext/>
        <w:keepLines/>
        <w:numPr>
          <w:ilvl w:val="0"/>
          <w:numId w:val="3"/>
        </w:numPr>
        <w:spacing w:before="360" w:line="288" w:lineRule="auto"/>
        <w:jc w:val="left"/>
        <w:outlineLvl w:val="2"/>
        <w:rPr>
          <w:rFonts w:ascii="黑体" w:hAnsi="宋体" w:eastAsia="黑体"/>
          <w:b/>
          <w:color w:val="auto"/>
          <w:sz w:val="21"/>
          <w:highlight w:val="none"/>
        </w:rPr>
      </w:pPr>
      <w:bookmarkStart w:id="35" w:name="_Toc155342536"/>
      <w:bookmarkStart w:id="36" w:name="_Toc500208468"/>
      <w:bookmarkStart w:id="37" w:name="_Toc169487784"/>
      <w:r>
        <w:rPr>
          <w:rFonts w:hint="eastAsia" w:ascii="黑体" w:hAnsi="宋体" w:eastAsia="黑体"/>
          <w:b/>
          <w:color w:val="auto"/>
          <w:sz w:val="21"/>
          <w:highlight w:val="none"/>
        </w:rPr>
        <w:t>招标文件的组成</w:t>
      </w:r>
      <w:bookmarkEnd w:id="35"/>
      <w:bookmarkEnd w:id="36"/>
      <w:bookmarkEnd w:id="37"/>
    </w:p>
    <w:p w14:paraId="1878FFC1">
      <w:pPr>
        <w:pStyle w:val="9"/>
        <w:numPr>
          <w:ilvl w:val="1"/>
          <w:numId w:val="3"/>
        </w:numPr>
        <w:ind w:firstLine="420" w:firstLineChars="200"/>
        <w:rPr>
          <w:color w:val="auto"/>
          <w:highlight w:val="none"/>
        </w:rPr>
      </w:pPr>
      <w:r>
        <w:rPr>
          <w:rFonts w:hint="eastAsia"/>
          <w:color w:val="auto"/>
          <w:highlight w:val="none"/>
        </w:rPr>
        <w:t>招标文件包括下列内容：</w:t>
      </w:r>
    </w:p>
    <w:p w14:paraId="6489E592">
      <w:pPr>
        <w:pStyle w:val="9"/>
        <w:ind w:firstLine="420" w:firstLineChars="200"/>
        <w:rPr>
          <w:color w:val="auto"/>
          <w:highlight w:val="none"/>
        </w:rPr>
      </w:pPr>
      <w:r>
        <w:rPr>
          <w:rFonts w:hint="eastAsia"/>
          <w:color w:val="auto"/>
          <w:highlight w:val="none"/>
        </w:rPr>
        <w:t>第一章 投标须知及投标须知前附表；</w:t>
      </w:r>
    </w:p>
    <w:p w14:paraId="237DAC32">
      <w:pPr>
        <w:pStyle w:val="9"/>
        <w:ind w:firstLine="420" w:firstLineChars="200"/>
        <w:rPr>
          <w:color w:val="auto"/>
          <w:highlight w:val="none"/>
        </w:rPr>
      </w:pPr>
      <w:r>
        <w:rPr>
          <w:rFonts w:hint="eastAsia"/>
          <w:color w:val="auto"/>
          <w:highlight w:val="none"/>
        </w:rPr>
        <w:t>第二章 合同条款；</w:t>
      </w:r>
    </w:p>
    <w:p w14:paraId="1551E9E8">
      <w:pPr>
        <w:pStyle w:val="9"/>
        <w:ind w:firstLine="420" w:firstLineChars="200"/>
        <w:rPr>
          <w:color w:val="auto"/>
          <w:highlight w:val="none"/>
        </w:rPr>
      </w:pPr>
      <w:r>
        <w:rPr>
          <w:rFonts w:hint="eastAsia"/>
          <w:color w:val="auto"/>
          <w:highlight w:val="none"/>
        </w:rPr>
        <w:t>第三章 评标办法；</w:t>
      </w:r>
    </w:p>
    <w:p w14:paraId="7403F4A7">
      <w:pPr>
        <w:pStyle w:val="9"/>
        <w:ind w:firstLine="422" w:firstLineChars="200"/>
        <w:rPr>
          <w:b/>
          <w:color w:val="auto"/>
          <w:highlight w:val="none"/>
        </w:rPr>
      </w:pPr>
      <w:r>
        <w:rPr>
          <w:rFonts w:hint="eastAsia"/>
          <w:b/>
          <w:color w:val="auto"/>
          <w:highlight w:val="none"/>
        </w:rPr>
        <w:t>第四章 投标文件格式；</w:t>
      </w:r>
    </w:p>
    <w:p w14:paraId="40A81D49">
      <w:pPr>
        <w:pStyle w:val="9"/>
        <w:ind w:firstLine="422" w:firstLineChars="200"/>
        <w:rPr>
          <w:b/>
          <w:color w:val="auto"/>
          <w:highlight w:val="none"/>
        </w:rPr>
      </w:pPr>
      <w:r>
        <w:rPr>
          <w:rFonts w:hint="eastAsia"/>
          <w:b/>
          <w:color w:val="auto"/>
          <w:highlight w:val="none"/>
        </w:rPr>
        <w:t>其他附件材料：</w:t>
      </w:r>
    </w:p>
    <w:p w14:paraId="1892CE48">
      <w:pPr>
        <w:pStyle w:val="9"/>
        <w:ind w:firstLine="422" w:firstLineChars="200"/>
        <w:rPr>
          <w:b/>
          <w:color w:val="auto"/>
          <w:highlight w:val="none"/>
        </w:rPr>
      </w:pPr>
      <w:r>
        <w:rPr>
          <w:rFonts w:hint="eastAsia"/>
          <w:b/>
          <w:color w:val="auto"/>
          <w:highlight w:val="none"/>
        </w:rPr>
        <w:t>（1）施工图预算书（以下简称招标人预算书）；</w:t>
      </w:r>
    </w:p>
    <w:p w14:paraId="61DC7538">
      <w:pPr>
        <w:pStyle w:val="9"/>
        <w:ind w:firstLine="422" w:firstLineChars="200"/>
        <w:rPr>
          <w:b/>
          <w:color w:val="auto"/>
          <w:highlight w:val="none"/>
        </w:rPr>
      </w:pPr>
      <w:r>
        <w:rPr>
          <w:rFonts w:hint="eastAsia"/>
          <w:b/>
          <w:color w:val="auto"/>
          <w:highlight w:val="none"/>
        </w:rPr>
        <w:t>（2）施工图纸。</w:t>
      </w:r>
    </w:p>
    <w:p w14:paraId="24345718">
      <w:pPr>
        <w:pStyle w:val="9"/>
        <w:numPr>
          <w:ilvl w:val="1"/>
          <w:numId w:val="3"/>
        </w:numPr>
        <w:ind w:firstLine="420" w:firstLineChars="200"/>
        <w:rPr>
          <w:color w:val="auto"/>
          <w:highlight w:val="none"/>
        </w:rPr>
      </w:pPr>
      <w:r>
        <w:rPr>
          <w:color w:val="auto"/>
          <w:highlight w:val="none"/>
        </w:rPr>
        <w:t>除</w:t>
      </w:r>
      <w:r>
        <w:rPr>
          <w:rFonts w:hint="eastAsia"/>
          <w:color w:val="auto"/>
          <w:highlight w:val="none"/>
        </w:rPr>
        <w:t>上款</w:t>
      </w:r>
      <w:r>
        <w:rPr>
          <w:color w:val="auto"/>
          <w:highlight w:val="none"/>
        </w:rPr>
        <w:t>内容外，招标人在提交投标文件截止时间</w:t>
      </w:r>
      <w:r>
        <w:rPr>
          <w:rFonts w:hint="eastAsia"/>
          <w:color w:val="auto"/>
          <w:highlight w:val="none"/>
        </w:rPr>
        <w:t>前，在交易场所（发布招标公告的媒体上）发布的对招标文件的澄清或修改内容，均为招标文件的组成部分，对招标人和投标人起约束作用。</w:t>
      </w:r>
    </w:p>
    <w:p w14:paraId="7064E06B">
      <w:pPr>
        <w:pStyle w:val="9"/>
        <w:numPr>
          <w:ilvl w:val="1"/>
          <w:numId w:val="3"/>
        </w:numPr>
        <w:ind w:firstLine="420"/>
        <w:rPr>
          <w:color w:val="auto"/>
          <w:highlight w:val="none"/>
        </w:rPr>
      </w:pPr>
      <w:r>
        <w:rPr>
          <w:color w:val="auto"/>
          <w:highlight w:val="none"/>
        </w:rPr>
        <w:t>投标人</w:t>
      </w:r>
      <w:r>
        <w:rPr>
          <w:rFonts w:hint="eastAsia"/>
          <w:color w:val="auto"/>
          <w:highlight w:val="none"/>
        </w:rPr>
        <w:t>通过在交易场所（发布招标公告的媒体上）自行下载的方式获取招标文件及相关附件。投标人在</w:t>
      </w:r>
      <w:r>
        <w:rPr>
          <w:color w:val="auto"/>
          <w:highlight w:val="none"/>
        </w:rPr>
        <w:t>获取招标文件后，应仔细检查招标文件的所有内容，如有残缺等问题应</w:t>
      </w:r>
      <w:r>
        <w:rPr>
          <w:rFonts w:hint="eastAsia"/>
          <w:color w:val="auto"/>
          <w:highlight w:val="none"/>
        </w:rPr>
        <w:t>自招标文件发布在交易场所（发布招标公告的媒体上）2日内</w:t>
      </w:r>
      <w:r>
        <w:rPr>
          <w:color w:val="auto"/>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42081AE9">
      <w:pPr>
        <w:keepNext/>
        <w:keepLines/>
        <w:numPr>
          <w:ilvl w:val="0"/>
          <w:numId w:val="3"/>
        </w:numPr>
        <w:spacing w:before="360" w:line="288" w:lineRule="auto"/>
        <w:jc w:val="left"/>
        <w:outlineLvl w:val="2"/>
        <w:rPr>
          <w:rFonts w:ascii="黑体" w:hAnsi="宋体" w:eastAsia="黑体"/>
          <w:b/>
          <w:color w:val="auto"/>
          <w:sz w:val="21"/>
          <w:highlight w:val="none"/>
        </w:rPr>
      </w:pPr>
      <w:bookmarkStart w:id="38" w:name="_Toc500208469"/>
      <w:bookmarkStart w:id="39" w:name="_Toc169487785"/>
      <w:bookmarkStart w:id="40" w:name="_Toc155342537"/>
      <w:r>
        <w:rPr>
          <w:rFonts w:hint="eastAsia" w:ascii="黑体" w:hAnsi="宋体" w:eastAsia="黑体"/>
          <w:b/>
          <w:color w:val="auto"/>
          <w:sz w:val="21"/>
          <w:highlight w:val="none"/>
        </w:rPr>
        <w:t>招标文件的</w:t>
      </w:r>
      <w:bookmarkEnd w:id="38"/>
      <w:r>
        <w:rPr>
          <w:rFonts w:hint="eastAsia" w:ascii="黑体" w:hAnsi="宋体" w:eastAsia="黑体"/>
          <w:b/>
          <w:color w:val="auto"/>
          <w:sz w:val="21"/>
          <w:highlight w:val="none"/>
        </w:rPr>
        <w:t>澄清</w:t>
      </w:r>
      <w:bookmarkEnd w:id="39"/>
      <w:bookmarkEnd w:id="40"/>
    </w:p>
    <w:p w14:paraId="7FACC4C3">
      <w:pPr>
        <w:pStyle w:val="9"/>
        <w:numPr>
          <w:ilvl w:val="1"/>
          <w:numId w:val="3"/>
        </w:numPr>
        <w:ind w:firstLine="420" w:firstLineChars="200"/>
        <w:rPr>
          <w:color w:val="auto"/>
          <w:highlight w:val="none"/>
        </w:rPr>
      </w:pPr>
      <w:r>
        <w:rPr>
          <w:rFonts w:hint="eastAsia"/>
          <w:color w:val="auto"/>
          <w:highlight w:val="none"/>
        </w:rPr>
        <w:t>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2742E108">
      <w:pPr>
        <w:keepNext/>
        <w:keepLines/>
        <w:numPr>
          <w:ilvl w:val="0"/>
          <w:numId w:val="3"/>
        </w:numPr>
        <w:spacing w:before="360" w:line="288" w:lineRule="auto"/>
        <w:jc w:val="left"/>
        <w:outlineLvl w:val="2"/>
        <w:rPr>
          <w:rFonts w:ascii="黑体" w:hAnsi="宋体" w:eastAsia="黑体"/>
          <w:b/>
          <w:color w:val="auto"/>
          <w:sz w:val="21"/>
          <w:highlight w:val="none"/>
        </w:rPr>
      </w:pPr>
      <w:bookmarkStart w:id="41" w:name="_Toc500208470"/>
      <w:bookmarkStart w:id="42" w:name="_Toc169487786"/>
      <w:bookmarkStart w:id="43" w:name="_Toc155342538"/>
      <w:r>
        <w:rPr>
          <w:rFonts w:hint="eastAsia" w:ascii="黑体" w:hAnsi="宋体" w:eastAsia="黑体"/>
          <w:b/>
          <w:color w:val="auto"/>
          <w:sz w:val="21"/>
          <w:highlight w:val="none"/>
        </w:rPr>
        <w:t>招标文件的修改</w:t>
      </w:r>
      <w:bookmarkEnd w:id="41"/>
      <w:bookmarkEnd w:id="42"/>
      <w:bookmarkEnd w:id="43"/>
    </w:p>
    <w:p w14:paraId="28DCE30A">
      <w:pPr>
        <w:pStyle w:val="9"/>
        <w:numPr>
          <w:ilvl w:val="1"/>
          <w:numId w:val="3"/>
        </w:numPr>
        <w:ind w:firstLine="420" w:firstLineChars="200"/>
        <w:rPr>
          <w:color w:val="auto"/>
          <w:highlight w:val="none"/>
        </w:rPr>
      </w:pPr>
      <w:r>
        <w:rPr>
          <w:rFonts w:hint="eastAsia"/>
          <w:color w:val="auto"/>
          <w:highlight w:val="none"/>
        </w:rPr>
        <w:t>在投标截止时间2天前，招标人可以书面形式修改招标文件，并发布在交易场所（发布招标公告的媒体上）。如果修改招标文件的时间距投标截止时间不足2天，相应延长投标截止时间。</w:t>
      </w:r>
    </w:p>
    <w:p w14:paraId="0CE3E71E">
      <w:pPr>
        <w:pStyle w:val="9"/>
        <w:spacing w:line="360" w:lineRule="exact"/>
        <w:ind w:left="425"/>
        <w:rPr>
          <w:color w:val="auto"/>
          <w:highlight w:val="none"/>
        </w:rPr>
      </w:pPr>
      <w:r>
        <w:rPr>
          <w:rFonts w:hint="eastAsia"/>
          <w:color w:val="auto"/>
          <w:highlight w:val="none"/>
        </w:rPr>
        <w:t>10.2在在投标截止日期前，招标人可能以补充通知的方式修改招标文件。</w:t>
      </w:r>
    </w:p>
    <w:p w14:paraId="002A2C4D">
      <w:pPr>
        <w:pStyle w:val="9"/>
        <w:spacing w:line="360" w:lineRule="exact"/>
        <w:ind w:left="425"/>
        <w:rPr>
          <w:color w:val="auto"/>
          <w:highlight w:val="none"/>
        </w:rPr>
      </w:pPr>
      <w:r>
        <w:rPr>
          <w:rFonts w:hint="eastAsia"/>
          <w:color w:val="auto"/>
          <w:highlight w:val="none"/>
        </w:rPr>
        <w:t>10.3</w:t>
      </w:r>
      <w:r>
        <w:rPr>
          <w:color w:val="auto"/>
          <w:highlight w:val="none"/>
        </w:rPr>
        <w:t>招标文件的澄清、修改、补充等内容均以</w:t>
      </w:r>
      <w:r>
        <w:rPr>
          <w:rFonts w:hint="eastAsia"/>
          <w:color w:val="auto"/>
          <w:highlight w:val="none"/>
        </w:rPr>
        <w:t>发布在交易场所（发布招标公告的媒体上）</w:t>
      </w:r>
      <w:r>
        <w:rPr>
          <w:color w:val="auto"/>
          <w:highlight w:val="none"/>
        </w:rPr>
        <w:t>的内容为准。当招标文件、招标文件的澄清、修改、补充等在同一内容的表述上不一致时，以最后发出的文件为准。</w:t>
      </w:r>
    </w:p>
    <w:p w14:paraId="406198B3">
      <w:pPr>
        <w:pStyle w:val="9"/>
        <w:ind w:left="421"/>
        <w:rPr>
          <w:color w:val="auto"/>
          <w:highlight w:val="none"/>
        </w:rPr>
      </w:pPr>
      <w:r>
        <w:rPr>
          <w:rFonts w:hint="eastAsia"/>
          <w:color w:val="auto"/>
          <w:highlight w:val="none"/>
        </w:rPr>
        <w:t>10.4招标文件的澄清、修改、补充等内容将发布在交易场所（发布招标公告的媒体上），这些内容作为招标文件的组成部分，对投标人起约束作用。</w:t>
      </w:r>
    </w:p>
    <w:p w14:paraId="56BF5FC9">
      <w:pPr>
        <w:keepNext/>
        <w:keepLines/>
        <w:numPr>
          <w:ilvl w:val="0"/>
          <w:numId w:val="3"/>
        </w:numPr>
        <w:spacing w:before="360" w:line="288" w:lineRule="auto"/>
        <w:jc w:val="left"/>
        <w:outlineLvl w:val="2"/>
        <w:rPr>
          <w:rFonts w:ascii="黑体" w:hAnsi="宋体" w:eastAsia="黑体"/>
          <w:b/>
          <w:color w:val="auto"/>
          <w:sz w:val="21"/>
          <w:highlight w:val="none"/>
        </w:rPr>
      </w:pPr>
      <w:bookmarkStart w:id="44" w:name="_Toc155342539"/>
      <w:bookmarkStart w:id="45" w:name="_Toc169487787"/>
      <w:r>
        <w:rPr>
          <w:rFonts w:hint="eastAsia" w:ascii="黑体" w:hAnsi="宋体" w:eastAsia="黑体"/>
          <w:b/>
          <w:color w:val="auto"/>
          <w:sz w:val="21"/>
          <w:highlight w:val="none"/>
        </w:rPr>
        <w:t>招标文件的备案</w:t>
      </w:r>
      <w:bookmarkEnd w:id="44"/>
      <w:bookmarkEnd w:id="45"/>
    </w:p>
    <w:p w14:paraId="34DC3445">
      <w:pPr>
        <w:pStyle w:val="9"/>
        <w:numPr>
          <w:ilvl w:val="1"/>
          <w:numId w:val="3"/>
        </w:numPr>
        <w:ind w:firstLine="420" w:firstLineChars="200"/>
        <w:rPr>
          <w:color w:val="auto"/>
          <w:highlight w:val="none"/>
        </w:rPr>
      </w:pPr>
      <w:r>
        <w:rPr>
          <w:rFonts w:hint="eastAsia"/>
          <w:color w:val="auto"/>
          <w:highlight w:val="none"/>
        </w:rPr>
        <w:t>本招标文件（包括澄清、修改、补充文件、答复等）未经</w:t>
      </w:r>
      <w:r>
        <w:rPr>
          <w:rFonts w:hint="eastAsia" w:cs="宋体"/>
          <w:color w:val="auto"/>
          <w:highlight w:val="none"/>
        </w:rPr>
        <w:t>招标监管机构</w:t>
      </w:r>
      <w:r>
        <w:rPr>
          <w:rFonts w:hint="eastAsia"/>
          <w:color w:val="auto"/>
          <w:highlight w:val="none"/>
        </w:rPr>
        <w:t>备案的一律无效。</w:t>
      </w:r>
    </w:p>
    <w:p w14:paraId="6DD0D1F2">
      <w:pPr>
        <w:keepNext/>
        <w:keepLines/>
        <w:numPr>
          <w:ilvl w:val="0"/>
          <w:numId w:val="3"/>
        </w:numPr>
        <w:spacing w:before="360" w:line="288" w:lineRule="auto"/>
        <w:jc w:val="left"/>
        <w:outlineLvl w:val="2"/>
        <w:rPr>
          <w:rFonts w:ascii="黑体" w:hAnsi="宋体" w:eastAsia="黑体"/>
          <w:b/>
          <w:color w:val="auto"/>
          <w:sz w:val="21"/>
          <w:highlight w:val="none"/>
        </w:rPr>
      </w:pPr>
      <w:bookmarkStart w:id="46" w:name="_Toc169487788"/>
      <w:bookmarkStart w:id="47" w:name="_Toc155342540"/>
      <w:r>
        <w:rPr>
          <w:rFonts w:hint="eastAsia" w:ascii="黑体" w:hAnsi="宋体" w:eastAsia="黑体"/>
          <w:b/>
          <w:color w:val="auto"/>
          <w:sz w:val="21"/>
          <w:highlight w:val="none"/>
        </w:rPr>
        <w:t>招标文件的解释权</w:t>
      </w:r>
      <w:bookmarkEnd w:id="46"/>
      <w:bookmarkEnd w:id="47"/>
    </w:p>
    <w:p w14:paraId="158DCA44">
      <w:pPr>
        <w:pStyle w:val="9"/>
        <w:numPr>
          <w:ilvl w:val="1"/>
          <w:numId w:val="3"/>
        </w:numPr>
        <w:ind w:firstLine="420" w:firstLineChars="200"/>
        <w:rPr>
          <w:color w:val="auto"/>
          <w:highlight w:val="none"/>
        </w:rPr>
      </w:pPr>
      <w:r>
        <w:rPr>
          <w:rFonts w:hint="eastAsia"/>
          <w:color w:val="auto"/>
          <w:highlight w:val="none"/>
        </w:rPr>
        <w:t>本招标文件（包括澄清、修改、补充文件、答复等）的解释权属</w:t>
      </w:r>
      <w:r>
        <w:rPr>
          <w:rFonts w:hint="eastAsia" w:cs="宋体"/>
          <w:color w:val="auto"/>
          <w:highlight w:val="none"/>
        </w:rPr>
        <w:t>招标人</w:t>
      </w:r>
      <w:r>
        <w:rPr>
          <w:rFonts w:hint="eastAsia"/>
          <w:color w:val="auto"/>
          <w:highlight w:val="none"/>
        </w:rPr>
        <w:t>。</w:t>
      </w:r>
    </w:p>
    <w:p w14:paraId="06F30084">
      <w:pPr>
        <w:spacing w:before="360" w:afterLines="50" w:line="320" w:lineRule="exact"/>
        <w:ind w:left="2159" w:hanging="1320"/>
        <w:jc w:val="center"/>
        <w:outlineLvl w:val="1"/>
        <w:rPr>
          <w:rFonts w:ascii="Arial" w:hAnsi="Arial" w:eastAsia="黑体" w:cs="Arial"/>
          <w:b/>
          <w:color w:val="auto"/>
          <w:szCs w:val="24"/>
          <w:highlight w:val="none"/>
        </w:rPr>
      </w:pPr>
      <w:bookmarkStart w:id="48" w:name="_Toc500208475"/>
      <w:bookmarkStart w:id="49" w:name="_Toc20604"/>
      <w:bookmarkStart w:id="50" w:name="_Toc7036"/>
      <w:bookmarkStart w:id="51" w:name="_Toc500209416"/>
      <w:r>
        <w:rPr>
          <w:rFonts w:hint="eastAsia" w:ascii="Arial" w:hAnsi="Arial" w:eastAsia="黑体" w:cs="Arial"/>
          <w:b/>
          <w:color w:val="auto"/>
          <w:szCs w:val="24"/>
          <w:highlight w:val="none"/>
        </w:rPr>
        <w:t>第三节  投标文件的编制</w:t>
      </w:r>
      <w:bookmarkEnd w:id="48"/>
      <w:bookmarkEnd w:id="49"/>
      <w:bookmarkEnd w:id="50"/>
      <w:bookmarkEnd w:id="51"/>
    </w:p>
    <w:p w14:paraId="1E276434">
      <w:pPr>
        <w:keepNext/>
        <w:keepLines/>
        <w:numPr>
          <w:ilvl w:val="0"/>
          <w:numId w:val="3"/>
        </w:numPr>
        <w:spacing w:before="360" w:line="288" w:lineRule="auto"/>
        <w:jc w:val="left"/>
        <w:outlineLvl w:val="2"/>
        <w:rPr>
          <w:rFonts w:ascii="黑体" w:hAnsi="宋体" w:eastAsia="黑体"/>
          <w:b/>
          <w:color w:val="auto"/>
          <w:sz w:val="21"/>
          <w:highlight w:val="none"/>
        </w:rPr>
      </w:pPr>
      <w:bookmarkStart w:id="52" w:name="_Toc69095786"/>
      <w:bookmarkStart w:id="53" w:name="_Toc500208476"/>
      <w:bookmarkStart w:id="54" w:name="_Toc169487790"/>
      <w:bookmarkStart w:id="55" w:name="_Toc155342542"/>
      <w:bookmarkStart w:id="56" w:name="_Toc500208477"/>
      <w:r>
        <w:rPr>
          <w:rFonts w:hint="eastAsia" w:ascii="黑体" w:hAnsi="宋体" w:eastAsia="黑体"/>
          <w:b/>
          <w:color w:val="auto"/>
          <w:sz w:val="21"/>
          <w:highlight w:val="none"/>
        </w:rPr>
        <w:t>投标文件的组成</w:t>
      </w:r>
      <w:bookmarkEnd w:id="52"/>
      <w:bookmarkEnd w:id="53"/>
      <w:bookmarkEnd w:id="54"/>
      <w:bookmarkEnd w:id="55"/>
    </w:p>
    <w:p w14:paraId="3789B8A3">
      <w:pPr>
        <w:pStyle w:val="9"/>
        <w:numPr>
          <w:ilvl w:val="1"/>
          <w:numId w:val="3"/>
        </w:numPr>
        <w:ind w:firstLine="420" w:firstLineChars="200"/>
        <w:rPr>
          <w:color w:val="auto"/>
          <w:highlight w:val="none"/>
        </w:rPr>
      </w:pPr>
      <w:r>
        <w:rPr>
          <w:rFonts w:hint="eastAsia"/>
          <w:color w:val="auto"/>
          <w:highlight w:val="none"/>
        </w:rPr>
        <w:t>本招标工程项目的投标文件组成详见本须知前附表第14项。</w:t>
      </w:r>
    </w:p>
    <w:p w14:paraId="6037F76D">
      <w:pPr>
        <w:keepNext/>
        <w:keepLines/>
        <w:numPr>
          <w:ilvl w:val="0"/>
          <w:numId w:val="3"/>
        </w:numPr>
        <w:spacing w:before="360" w:line="288" w:lineRule="auto"/>
        <w:jc w:val="left"/>
        <w:outlineLvl w:val="2"/>
        <w:rPr>
          <w:rFonts w:ascii="黑体" w:hAnsi="宋体" w:eastAsia="黑体"/>
          <w:b/>
          <w:color w:val="auto"/>
          <w:sz w:val="21"/>
          <w:highlight w:val="none"/>
        </w:rPr>
      </w:pPr>
      <w:bookmarkStart w:id="57" w:name="_Toc155342544"/>
      <w:bookmarkStart w:id="58" w:name="_Toc169487791"/>
      <w:r>
        <w:rPr>
          <w:rFonts w:hint="eastAsia" w:ascii="黑体" w:hAnsi="宋体" w:eastAsia="黑体"/>
          <w:b/>
          <w:color w:val="auto"/>
          <w:sz w:val="21"/>
          <w:highlight w:val="none"/>
        </w:rPr>
        <w:t>投标文件的格式</w:t>
      </w:r>
      <w:bookmarkEnd w:id="57"/>
      <w:bookmarkEnd w:id="58"/>
    </w:p>
    <w:p w14:paraId="32100D91">
      <w:pPr>
        <w:pStyle w:val="9"/>
        <w:numPr>
          <w:ilvl w:val="1"/>
          <w:numId w:val="3"/>
        </w:numPr>
        <w:ind w:firstLine="420" w:firstLineChars="200"/>
        <w:rPr>
          <w:color w:val="auto"/>
          <w:highlight w:val="none"/>
        </w:rPr>
      </w:pPr>
      <w:r>
        <w:rPr>
          <w:rFonts w:hint="eastAsia"/>
          <w:color w:val="auto"/>
          <w:highlight w:val="none"/>
        </w:rPr>
        <w:t>本招标工程项目的投标文件格式要求详见本须知前附表第15项。</w:t>
      </w:r>
    </w:p>
    <w:p w14:paraId="3728AA0C">
      <w:pPr>
        <w:keepNext/>
        <w:keepLines/>
        <w:numPr>
          <w:ilvl w:val="0"/>
          <w:numId w:val="3"/>
        </w:numPr>
        <w:spacing w:before="360" w:line="288" w:lineRule="auto"/>
        <w:jc w:val="left"/>
        <w:outlineLvl w:val="2"/>
        <w:rPr>
          <w:rFonts w:ascii="黑体" w:hAnsi="宋体" w:eastAsia="黑体"/>
          <w:b/>
          <w:color w:val="auto"/>
          <w:sz w:val="21"/>
          <w:highlight w:val="none"/>
        </w:rPr>
      </w:pPr>
      <w:bookmarkStart w:id="59" w:name="_Toc155342545"/>
      <w:bookmarkStart w:id="60" w:name="_Toc169487792"/>
      <w:r>
        <w:rPr>
          <w:rFonts w:hint="eastAsia" w:ascii="黑体" w:hAnsi="宋体" w:eastAsia="黑体"/>
          <w:b/>
          <w:color w:val="auto"/>
          <w:sz w:val="21"/>
          <w:highlight w:val="none"/>
        </w:rPr>
        <w:t>投标报价组成</w:t>
      </w:r>
      <w:bookmarkEnd w:id="59"/>
      <w:bookmarkEnd w:id="60"/>
    </w:p>
    <w:p w14:paraId="1756F897">
      <w:pPr>
        <w:pStyle w:val="9"/>
        <w:numPr>
          <w:ilvl w:val="1"/>
          <w:numId w:val="3"/>
        </w:numPr>
        <w:ind w:left="0" w:firstLine="420" w:firstLineChars="200"/>
        <w:rPr>
          <w:color w:val="auto"/>
          <w:highlight w:val="none"/>
        </w:rPr>
      </w:pPr>
      <w:r>
        <w:rPr>
          <w:rFonts w:hint="eastAsia"/>
          <w:color w:val="auto"/>
          <w:highlight w:val="none"/>
        </w:rPr>
        <w:t>报价方式：本工程项目报价方式详见本须知前附表第16项。</w:t>
      </w:r>
      <w:bookmarkStart w:id="61" w:name="_Toc500208474"/>
    </w:p>
    <w:p w14:paraId="609C37B6">
      <w:pPr>
        <w:pStyle w:val="9"/>
        <w:snapToGrid w:val="0"/>
        <w:spacing w:line="360" w:lineRule="auto"/>
        <w:ind w:firstLine="420" w:firstLineChars="200"/>
        <w:rPr>
          <w:color w:val="auto"/>
          <w:highlight w:val="none"/>
        </w:rPr>
      </w:pPr>
      <w:r>
        <w:rPr>
          <w:rFonts w:hint="eastAsia"/>
          <w:color w:val="auto"/>
          <w:szCs w:val="21"/>
          <w:highlight w:val="none"/>
        </w:rPr>
        <w:t>15.2 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w:t>
      </w:r>
      <w:r>
        <w:rPr>
          <w:rFonts w:hint="eastAsia"/>
          <w:color w:val="auto"/>
          <w:highlight w:val="none"/>
        </w:rPr>
        <w:t>在最高投标限价内报价，超过此价格的按无效标处理。</w:t>
      </w:r>
    </w:p>
    <w:p w14:paraId="31C48971">
      <w:pPr>
        <w:keepNext/>
        <w:keepLines/>
        <w:numPr>
          <w:ilvl w:val="0"/>
          <w:numId w:val="3"/>
        </w:numPr>
        <w:spacing w:before="360" w:line="288" w:lineRule="auto"/>
        <w:jc w:val="left"/>
        <w:outlineLvl w:val="2"/>
        <w:rPr>
          <w:rFonts w:ascii="黑体" w:hAnsi="宋体" w:eastAsia="黑体"/>
          <w:b/>
          <w:color w:val="auto"/>
          <w:sz w:val="21"/>
          <w:highlight w:val="none"/>
        </w:rPr>
      </w:pPr>
      <w:bookmarkStart w:id="62" w:name="_Toc169487793"/>
      <w:bookmarkStart w:id="63" w:name="_Toc155342546"/>
      <w:r>
        <w:rPr>
          <w:rFonts w:hint="eastAsia" w:ascii="黑体" w:hAnsi="宋体" w:eastAsia="黑体"/>
          <w:b/>
          <w:color w:val="auto"/>
          <w:sz w:val="21"/>
          <w:highlight w:val="none"/>
        </w:rPr>
        <w:t>投标报价要求</w:t>
      </w:r>
      <w:bookmarkEnd w:id="62"/>
      <w:bookmarkEnd w:id="63"/>
    </w:p>
    <w:p w14:paraId="3944BB54">
      <w:pPr>
        <w:pStyle w:val="9"/>
        <w:numPr>
          <w:ilvl w:val="1"/>
          <w:numId w:val="3"/>
        </w:numPr>
        <w:ind w:firstLine="420" w:firstLineChars="200"/>
        <w:rPr>
          <w:color w:val="auto"/>
          <w:highlight w:val="none"/>
        </w:rPr>
      </w:pPr>
      <w:r>
        <w:rPr>
          <w:rFonts w:hint="eastAsia"/>
          <w:color w:val="auto"/>
          <w:highlight w:val="none"/>
        </w:rPr>
        <w:t>招标人预算书</w:t>
      </w:r>
      <w:r>
        <w:rPr>
          <w:rFonts w:hint="eastAsia"/>
          <w:color w:val="auto"/>
          <w:highlight w:val="none"/>
          <w:lang w:val="en-US" w:eastAsia="zh-CN"/>
        </w:rPr>
        <w:t>采用2018年浙江省定额编制</w:t>
      </w:r>
      <w:r>
        <w:rPr>
          <w:rFonts w:hint="eastAsia" w:ascii="宋体" w:hAnsi="宋体" w:eastAsia="宋体"/>
          <w:color w:val="auto"/>
          <w:highlight w:val="none"/>
          <w:lang w:eastAsia="zh-CN"/>
        </w:rPr>
        <w:t>。</w:t>
      </w:r>
      <w:r>
        <w:rPr>
          <w:rFonts w:hint="eastAsia"/>
          <w:color w:val="auto"/>
          <w:highlight w:val="none"/>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3162F852">
      <w:pPr>
        <w:pStyle w:val="9"/>
        <w:numPr>
          <w:ilvl w:val="1"/>
          <w:numId w:val="3"/>
        </w:numPr>
        <w:ind w:firstLine="420" w:firstLineChars="200"/>
        <w:rPr>
          <w:color w:val="auto"/>
          <w:highlight w:val="none"/>
        </w:rPr>
      </w:pPr>
      <w:r>
        <w:rPr>
          <w:rFonts w:hint="eastAsia"/>
          <w:color w:val="auto"/>
          <w:highlight w:val="none"/>
        </w:rPr>
        <w:t>附件中除空白部分由投标人自报外，其余内容作为投标报价的共同基础</w:t>
      </w:r>
      <w:r>
        <w:rPr>
          <w:rFonts w:hint="eastAsia" w:ascii="黑体" w:eastAsia="黑体"/>
          <w:color w:val="auto"/>
          <w:highlight w:val="none"/>
        </w:rPr>
        <w:t>。</w:t>
      </w:r>
    </w:p>
    <w:p w14:paraId="5998CFC6">
      <w:pPr>
        <w:pStyle w:val="9"/>
        <w:numPr>
          <w:ilvl w:val="1"/>
          <w:numId w:val="3"/>
        </w:numPr>
        <w:ind w:firstLine="422" w:firstLineChars="200"/>
        <w:rPr>
          <w:rFonts w:ascii="黑体" w:eastAsia="黑体"/>
          <w:b/>
          <w:color w:val="auto"/>
          <w:highlight w:val="none"/>
        </w:rPr>
      </w:pPr>
      <w:r>
        <w:rPr>
          <w:rFonts w:hint="eastAsia" w:ascii="黑体" w:eastAsia="黑体"/>
          <w:b/>
          <w:bCs/>
          <w:color w:val="auto"/>
          <w:highlight w:val="none"/>
        </w:rPr>
        <w:t>投标人的报价要求详见</w:t>
      </w:r>
      <w:r>
        <w:rPr>
          <w:rFonts w:hint="eastAsia" w:ascii="黑体" w:eastAsia="黑体"/>
          <w:b/>
          <w:color w:val="auto"/>
          <w:highlight w:val="none"/>
        </w:rPr>
        <w:t>本须知前附表第17项，未</w:t>
      </w:r>
      <w:r>
        <w:rPr>
          <w:rFonts w:hint="eastAsia" w:ascii="黑体" w:eastAsia="黑体"/>
          <w:b/>
          <w:bCs/>
          <w:color w:val="auto"/>
          <w:highlight w:val="none"/>
        </w:rPr>
        <w:t>按要求报价的，作无效标处理</w:t>
      </w:r>
      <w:r>
        <w:rPr>
          <w:rFonts w:hint="eastAsia" w:ascii="黑体" w:eastAsia="黑体"/>
          <w:b/>
          <w:color w:val="auto"/>
          <w:highlight w:val="none"/>
        </w:rPr>
        <w:t>。</w:t>
      </w:r>
    </w:p>
    <w:bookmarkEnd w:id="61"/>
    <w:p w14:paraId="35718EFB">
      <w:pPr>
        <w:keepNext/>
        <w:keepLines/>
        <w:numPr>
          <w:ilvl w:val="0"/>
          <w:numId w:val="3"/>
        </w:numPr>
        <w:spacing w:before="360" w:line="288" w:lineRule="auto"/>
        <w:jc w:val="left"/>
        <w:outlineLvl w:val="2"/>
        <w:rPr>
          <w:rFonts w:ascii="黑体" w:hAnsi="宋体" w:eastAsia="黑体"/>
          <w:b/>
          <w:color w:val="auto"/>
          <w:sz w:val="21"/>
          <w:highlight w:val="none"/>
        </w:rPr>
      </w:pPr>
      <w:bookmarkStart w:id="64" w:name="_Toc169487794"/>
      <w:bookmarkStart w:id="65" w:name="_Toc155342547"/>
      <w:r>
        <w:rPr>
          <w:rFonts w:hint="eastAsia" w:ascii="黑体" w:hAnsi="宋体" w:eastAsia="黑体"/>
          <w:b/>
          <w:color w:val="auto"/>
          <w:sz w:val="21"/>
          <w:highlight w:val="none"/>
        </w:rPr>
        <w:t>投标</w:t>
      </w:r>
      <w:bookmarkEnd w:id="56"/>
      <w:r>
        <w:rPr>
          <w:rFonts w:hint="eastAsia" w:ascii="黑体" w:hAnsi="宋体" w:eastAsia="黑体"/>
          <w:b/>
          <w:color w:val="auto"/>
          <w:sz w:val="21"/>
          <w:highlight w:val="none"/>
        </w:rPr>
        <w:t>担保</w:t>
      </w:r>
      <w:bookmarkEnd w:id="64"/>
      <w:bookmarkEnd w:id="65"/>
    </w:p>
    <w:p w14:paraId="5BB6DD50">
      <w:pPr>
        <w:pStyle w:val="9"/>
        <w:numPr>
          <w:ilvl w:val="1"/>
          <w:numId w:val="3"/>
        </w:numPr>
        <w:ind w:firstLine="420" w:firstLineChars="200"/>
        <w:rPr>
          <w:color w:val="auto"/>
          <w:highlight w:val="none"/>
        </w:rPr>
      </w:pPr>
      <w:r>
        <w:rPr>
          <w:rFonts w:hint="eastAsia"/>
          <w:color w:val="auto"/>
          <w:highlight w:val="none"/>
        </w:rPr>
        <w:t>投标人在递交投标文件的同时，应按投标人须知前附表规定递交担保。</w:t>
      </w:r>
    </w:p>
    <w:p w14:paraId="596F4540">
      <w:pPr>
        <w:pStyle w:val="9"/>
        <w:numPr>
          <w:ilvl w:val="1"/>
          <w:numId w:val="3"/>
        </w:numPr>
        <w:ind w:firstLine="420" w:firstLineChars="200"/>
        <w:rPr>
          <w:color w:val="auto"/>
          <w:highlight w:val="none"/>
        </w:rPr>
      </w:pPr>
      <w:r>
        <w:rPr>
          <w:rFonts w:hint="eastAsia"/>
          <w:color w:val="auto"/>
          <w:highlight w:val="none"/>
        </w:rPr>
        <w:t>投标人未能按本章17.1项要求提交投标担保的，招标人将视为不响应投标而予以拒绝。</w:t>
      </w:r>
    </w:p>
    <w:p w14:paraId="6322B766">
      <w:pPr>
        <w:pStyle w:val="9"/>
        <w:numPr>
          <w:ilvl w:val="1"/>
          <w:numId w:val="3"/>
        </w:numPr>
        <w:ind w:firstLine="420" w:firstLineChars="200"/>
        <w:rPr>
          <w:color w:val="auto"/>
          <w:highlight w:val="none"/>
        </w:rPr>
      </w:pPr>
      <w:r>
        <w:rPr>
          <w:rFonts w:hint="eastAsia"/>
          <w:color w:val="auto"/>
          <w:highlight w:val="none"/>
        </w:rPr>
        <w:t>投标担保按以下方式退还：</w:t>
      </w:r>
    </w:p>
    <w:p w14:paraId="00009BDD">
      <w:pPr>
        <w:pStyle w:val="9"/>
        <w:ind w:firstLine="420" w:firstLineChars="200"/>
        <w:rPr>
          <w:color w:val="auto"/>
          <w:highlight w:val="none"/>
        </w:rPr>
      </w:pPr>
      <w:r>
        <w:rPr>
          <w:rFonts w:hint="eastAsia"/>
          <w:color w:val="auto"/>
          <w:highlight w:val="none"/>
        </w:rPr>
        <w:t>（1）未中标人投标保证金在中标公告发布后可退回；</w:t>
      </w:r>
    </w:p>
    <w:p w14:paraId="77629DDD">
      <w:pPr>
        <w:pStyle w:val="9"/>
        <w:ind w:firstLine="420" w:firstLineChars="200"/>
        <w:rPr>
          <w:color w:val="auto"/>
          <w:highlight w:val="none"/>
        </w:rPr>
      </w:pPr>
      <w:r>
        <w:rPr>
          <w:rFonts w:hint="eastAsia"/>
          <w:color w:val="auto"/>
          <w:highlight w:val="none"/>
        </w:rPr>
        <w:t>（2）中标人的投标保证金在缴纳履约保证金和签订合同后退回。</w:t>
      </w:r>
    </w:p>
    <w:p w14:paraId="0F2BFB2B">
      <w:pPr>
        <w:pStyle w:val="9"/>
        <w:numPr>
          <w:ilvl w:val="1"/>
          <w:numId w:val="3"/>
        </w:numPr>
        <w:ind w:firstLine="420" w:firstLineChars="200"/>
        <w:rPr>
          <w:color w:val="auto"/>
          <w:highlight w:val="none"/>
        </w:rPr>
      </w:pPr>
      <w:r>
        <w:rPr>
          <w:rFonts w:hint="eastAsia"/>
          <w:color w:val="auto"/>
          <w:highlight w:val="none"/>
        </w:rPr>
        <w:t>如投标人有下列情况，投标担保将被没收：</w:t>
      </w:r>
    </w:p>
    <w:p w14:paraId="10F8AE62">
      <w:pPr>
        <w:spacing w:line="288" w:lineRule="auto"/>
        <w:ind w:left="-6" w:leftChars="-2" w:firstLine="420" w:firstLineChars="200"/>
        <w:rPr>
          <w:rFonts w:ascii="宋体" w:hAnsi="宋体" w:eastAsia="宋体"/>
          <w:color w:val="auto"/>
          <w:sz w:val="21"/>
          <w:highlight w:val="none"/>
        </w:rPr>
      </w:pPr>
      <w:r>
        <w:rPr>
          <w:rFonts w:hint="eastAsia" w:ascii="宋体" w:hAnsi="宋体" w:eastAsia="宋体"/>
          <w:color w:val="auto"/>
          <w:sz w:val="21"/>
          <w:highlight w:val="none"/>
        </w:rPr>
        <w:t>（1）投标人在投标有效期内撤销其投标文件；</w:t>
      </w:r>
    </w:p>
    <w:p w14:paraId="77FBEC22">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（2）中标人未能在规定期限内提交履约担保或签署合同协议；</w:t>
      </w:r>
    </w:p>
    <w:p w14:paraId="18A769B4">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（3）投标人在投标期间内有串标、哄抬标价等违法违规行为；</w:t>
      </w:r>
    </w:p>
    <w:p w14:paraId="4B2D5D7D">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（4）投标人违反《临海市建设工程诚信投标承诺书》承诺内容的；</w:t>
      </w:r>
    </w:p>
    <w:p w14:paraId="3503818D">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szCs w:val="22"/>
          <w:highlight w:val="none"/>
        </w:rPr>
        <w:t>（5）投标人自动放弃中标候选人或中标资格的（没收的投标担保不能弥补由于其放弃中标权而给招标人造成报价的差额损失的，由放弃中标权的中标候选人承担）。</w:t>
      </w:r>
    </w:p>
    <w:p w14:paraId="144F6381">
      <w:pPr>
        <w:keepNext/>
        <w:keepLines/>
        <w:numPr>
          <w:ilvl w:val="0"/>
          <w:numId w:val="3"/>
        </w:numPr>
        <w:spacing w:before="360" w:line="288" w:lineRule="auto"/>
        <w:jc w:val="left"/>
        <w:outlineLvl w:val="2"/>
        <w:rPr>
          <w:rFonts w:ascii="黑体" w:hAnsi="宋体" w:eastAsia="黑体"/>
          <w:b/>
          <w:color w:val="auto"/>
          <w:sz w:val="21"/>
          <w:highlight w:val="none"/>
        </w:rPr>
      </w:pPr>
      <w:bookmarkStart w:id="66" w:name="_Toc169487795"/>
      <w:bookmarkStart w:id="67" w:name="_Toc155342548"/>
      <w:bookmarkStart w:id="68" w:name="_Toc500208478"/>
      <w:r>
        <w:rPr>
          <w:rFonts w:hint="eastAsia" w:ascii="黑体" w:hAnsi="宋体" w:eastAsia="黑体"/>
          <w:b/>
          <w:color w:val="auto"/>
          <w:sz w:val="21"/>
          <w:highlight w:val="none"/>
        </w:rPr>
        <w:t>投标有效期</w:t>
      </w:r>
      <w:bookmarkEnd w:id="66"/>
      <w:bookmarkEnd w:id="67"/>
    </w:p>
    <w:p w14:paraId="558020F9">
      <w:pPr>
        <w:pStyle w:val="9"/>
        <w:numPr>
          <w:ilvl w:val="1"/>
          <w:numId w:val="3"/>
        </w:numPr>
        <w:ind w:firstLine="420" w:firstLineChars="200"/>
        <w:rPr>
          <w:color w:val="auto"/>
          <w:highlight w:val="none"/>
        </w:rPr>
      </w:pPr>
      <w:r>
        <w:rPr>
          <w:color w:val="auto"/>
          <w:highlight w:val="none"/>
        </w:rPr>
        <w:t>投标有效期</w:t>
      </w:r>
      <w:r>
        <w:rPr>
          <w:rFonts w:hint="eastAsia"/>
          <w:color w:val="auto"/>
          <w:highlight w:val="none"/>
        </w:rPr>
        <w:t>详</w:t>
      </w:r>
      <w:r>
        <w:rPr>
          <w:color w:val="auto"/>
          <w:highlight w:val="none"/>
        </w:rPr>
        <w:t>见本须知前附表</w:t>
      </w:r>
      <w:r>
        <w:rPr>
          <w:rFonts w:hint="eastAsia"/>
          <w:color w:val="auto"/>
          <w:highlight w:val="none"/>
        </w:rPr>
        <w:t>第19项</w:t>
      </w:r>
      <w:r>
        <w:rPr>
          <w:color w:val="auto"/>
          <w:highlight w:val="none"/>
        </w:rPr>
        <w:t>，在此期限内，凡符合本招标文件要求的投标文件均保持有效。</w:t>
      </w:r>
    </w:p>
    <w:p w14:paraId="56A72F4E">
      <w:pPr>
        <w:pStyle w:val="9"/>
        <w:numPr>
          <w:ilvl w:val="1"/>
          <w:numId w:val="3"/>
        </w:numPr>
        <w:ind w:firstLine="420" w:firstLineChars="200"/>
        <w:rPr>
          <w:color w:val="auto"/>
          <w:highlight w:val="none"/>
        </w:rPr>
      </w:pPr>
      <w:r>
        <w:rPr>
          <w:rFonts w:hint="eastAsia"/>
          <w:color w:val="auto"/>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62973204">
      <w:pPr>
        <w:keepNext/>
        <w:keepLines/>
        <w:numPr>
          <w:ilvl w:val="0"/>
          <w:numId w:val="3"/>
        </w:numPr>
        <w:spacing w:before="360" w:line="288" w:lineRule="auto"/>
        <w:jc w:val="left"/>
        <w:outlineLvl w:val="2"/>
        <w:rPr>
          <w:rFonts w:ascii="黑体" w:hAnsi="宋体" w:eastAsia="黑体"/>
          <w:b/>
          <w:color w:val="auto"/>
          <w:sz w:val="21"/>
          <w:highlight w:val="none"/>
        </w:rPr>
      </w:pPr>
      <w:bookmarkStart w:id="69" w:name="_Toc155342549"/>
      <w:bookmarkStart w:id="70" w:name="_Toc500208479"/>
      <w:bookmarkStart w:id="71" w:name="_Toc169487796"/>
      <w:r>
        <w:rPr>
          <w:rFonts w:hint="eastAsia" w:ascii="黑体" w:hAnsi="宋体" w:eastAsia="黑体"/>
          <w:b/>
          <w:color w:val="auto"/>
          <w:sz w:val="21"/>
          <w:highlight w:val="none"/>
        </w:rPr>
        <w:t>投标文件的份数和签署</w:t>
      </w:r>
      <w:bookmarkEnd w:id="69"/>
      <w:bookmarkEnd w:id="70"/>
      <w:bookmarkEnd w:id="71"/>
    </w:p>
    <w:p w14:paraId="2FB11FED">
      <w:pPr>
        <w:pStyle w:val="9"/>
        <w:numPr>
          <w:ilvl w:val="1"/>
          <w:numId w:val="3"/>
        </w:numPr>
        <w:ind w:firstLine="420" w:firstLineChars="200"/>
        <w:rPr>
          <w:color w:val="auto"/>
          <w:highlight w:val="none"/>
        </w:rPr>
      </w:pPr>
      <w:r>
        <w:rPr>
          <w:rFonts w:hint="eastAsia"/>
          <w:color w:val="auto"/>
          <w:highlight w:val="none"/>
        </w:rPr>
        <w:t>投标人按本须知前附表第20项规定的份数递交投标文件。</w:t>
      </w:r>
    </w:p>
    <w:p w14:paraId="06BC5ECD">
      <w:pPr>
        <w:pStyle w:val="9"/>
        <w:numPr>
          <w:ilvl w:val="1"/>
          <w:numId w:val="3"/>
        </w:numPr>
        <w:ind w:firstLine="420" w:firstLineChars="200"/>
        <w:rPr>
          <w:color w:val="auto"/>
          <w:highlight w:val="none"/>
        </w:rPr>
      </w:pPr>
      <w:r>
        <w:rPr>
          <w:rFonts w:hint="eastAsia"/>
          <w:color w:val="auto"/>
          <w:szCs w:val="22"/>
          <w:highlight w:val="none"/>
        </w:rPr>
        <w:t>投标文件以电子投标文件为准（若由于网络或停电等原因无法打开投标人的电子投标文件时，经市公管办(根据实际定)、市产权交易公司、行政监管机构认定后项目延期评审）。</w:t>
      </w:r>
    </w:p>
    <w:p w14:paraId="0D9A9EE9">
      <w:pPr>
        <w:spacing w:before="360" w:afterLines="50" w:line="320" w:lineRule="exact"/>
        <w:ind w:left="2159" w:hanging="1320"/>
        <w:jc w:val="center"/>
        <w:outlineLvl w:val="1"/>
        <w:rPr>
          <w:rFonts w:ascii="Arial" w:hAnsi="Arial" w:eastAsia="黑体" w:cs="Arial"/>
          <w:b/>
          <w:color w:val="auto"/>
          <w:szCs w:val="24"/>
          <w:highlight w:val="none"/>
        </w:rPr>
      </w:pPr>
      <w:bookmarkStart w:id="72" w:name="_Toc500209417"/>
      <w:bookmarkStart w:id="73" w:name="_Toc21898"/>
      <w:bookmarkStart w:id="74" w:name="_Toc500208480"/>
      <w:bookmarkStart w:id="75" w:name="_Toc21258"/>
      <w:r>
        <w:rPr>
          <w:rFonts w:hint="eastAsia" w:ascii="Arial" w:hAnsi="Arial" w:eastAsia="黑体" w:cs="Arial"/>
          <w:b/>
          <w:color w:val="auto"/>
          <w:szCs w:val="24"/>
          <w:highlight w:val="none"/>
        </w:rPr>
        <w:t>第四节  投标文件的递交</w:t>
      </w:r>
      <w:bookmarkEnd w:id="72"/>
      <w:bookmarkEnd w:id="73"/>
      <w:bookmarkEnd w:id="74"/>
      <w:bookmarkEnd w:id="75"/>
    </w:p>
    <w:p w14:paraId="3C08759D">
      <w:pPr>
        <w:keepNext/>
        <w:keepLines/>
        <w:numPr>
          <w:ilvl w:val="0"/>
          <w:numId w:val="3"/>
        </w:numPr>
        <w:spacing w:before="360" w:line="288" w:lineRule="auto"/>
        <w:jc w:val="left"/>
        <w:outlineLvl w:val="2"/>
        <w:rPr>
          <w:rFonts w:ascii="黑体" w:hAnsi="宋体" w:eastAsia="黑体"/>
          <w:b/>
          <w:color w:val="auto"/>
          <w:sz w:val="21"/>
          <w:highlight w:val="none"/>
        </w:rPr>
      </w:pPr>
      <w:bookmarkStart w:id="76" w:name="_Toc169487799"/>
      <w:bookmarkStart w:id="77" w:name="_Toc155342552"/>
      <w:bookmarkStart w:id="78" w:name="_Toc500208482"/>
      <w:r>
        <w:rPr>
          <w:rFonts w:hint="eastAsia" w:ascii="黑体" w:hAnsi="宋体" w:eastAsia="黑体"/>
          <w:b/>
          <w:color w:val="auto"/>
          <w:sz w:val="21"/>
          <w:highlight w:val="none"/>
        </w:rPr>
        <w:t>投标文件的递交</w:t>
      </w:r>
      <w:bookmarkEnd w:id="76"/>
      <w:bookmarkEnd w:id="77"/>
    </w:p>
    <w:p w14:paraId="507ECBBE">
      <w:pPr>
        <w:pStyle w:val="9"/>
        <w:numPr>
          <w:ilvl w:val="1"/>
          <w:numId w:val="3"/>
        </w:numPr>
        <w:ind w:firstLine="420" w:firstLineChars="200"/>
        <w:rPr>
          <w:color w:val="auto"/>
          <w:highlight w:val="none"/>
        </w:rPr>
      </w:pPr>
      <w:r>
        <w:rPr>
          <w:rStyle w:val="26"/>
          <w:rFonts w:hint="eastAsia"/>
          <w:color w:val="auto"/>
          <w:szCs w:val="21"/>
          <w:highlight w:val="none"/>
        </w:rPr>
        <w:t>投标人应按招标文件规定要求上传电子投标文件，未在投标截止时间前完成上传的电子投标文件均作无效处理。</w:t>
      </w:r>
    </w:p>
    <w:p w14:paraId="47E5DA2D">
      <w:pPr>
        <w:keepNext/>
        <w:keepLines/>
        <w:numPr>
          <w:ilvl w:val="0"/>
          <w:numId w:val="3"/>
        </w:numPr>
        <w:spacing w:before="360" w:line="288" w:lineRule="auto"/>
        <w:jc w:val="left"/>
        <w:outlineLvl w:val="2"/>
        <w:rPr>
          <w:rFonts w:ascii="黑体" w:hAnsi="宋体" w:eastAsia="黑体"/>
          <w:b/>
          <w:color w:val="auto"/>
          <w:sz w:val="21"/>
          <w:highlight w:val="none"/>
        </w:rPr>
      </w:pPr>
      <w:bookmarkStart w:id="79" w:name="_Toc169487800"/>
      <w:bookmarkStart w:id="80" w:name="_Toc155342553"/>
      <w:r>
        <w:rPr>
          <w:rFonts w:hint="eastAsia" w:ascii="黑体" w:hAnsi="宋体" w:eastAsia="黑体"/>
          <w:b/>
          <w:color w:val="auto"/>
          <w:sz w:val="21"/>
          <w:highlight w:val="none"/>
        </w:rPr>
        <w:t>投标截止期</w:t>
      </w:r>
      <w:bookmarkEnd w:id="78"/>
      <w:bookmarkEnd w:id="79"/>
      <w:bookmarkEnd w:id="80"/>
    </w:p>
    <w:p w14:paraId="466DB8A4">
      <w:pPr>
        <w:pStyle w:val="9"/>
        <w:numPr>
          <w:ilvl w:val="1"/>
          <w:numId w:val="3"/>
        </w:numPr>
        <w:ind w:firstLine="420" w:firstLineChars="200"/>
        <w:rPr>
          <w:color w:val="auto"/>
          <w:highlight w:val="none"/>
        </w:rPr>
      </w:pPr>
      <w:r>
        <w:rPr>
          <w:color w:val="auto"/>
          <w:highlight w:val="none"/>
        </w:rPr>
        <w:t>投标文件的截止时间</w:t>
      </w:r>
      <w:r>
        <w:rPr>
          <w:rFonts w:hint="eastAsia"/>
          <w:color w:val="auto"/>
          <w:highlight w:val="none"/>
        </w:rPr>
        <w:t>详见</w:t>
      </w:r>
      <w:r>
        <w:rPr>
          <w:color w:val="auto"/>
          <w:highlight w:val="none"/>
        </w:rPr>
        <w:t>本须知前附表</w:t>
      </w:r>
      <w:r>
        <w:rPr>
          <w:rFonts w:hint="eastAsia"/>
          <w:color w:val="auto"/>
          <w:highlight w:val="none"/>
        </w:rPr>
        <w:t>第24项</w:t>
      </w:r>
      <w:r>
        <w:rPr>
          <w:color w:val="auto"/>
          <w:highlight w:val="none"/>
        </w:rPr>
        <w:t>。</w:t>
      </w:r>
    </w:p>
    <w:p w14:paraId="72CBD3DA">
      <w:pPr>
        <w:pStyle w:val="9"/>
        <w:numPr>
          <w:ilvl w:val="1"/>
          <w:numId w:val="3"/>
        </w:numPr>
        <w:ind w:firstLine="420" w:firstLineChars="200"/>
        <w:rPr>
          <w:color w:val="auto"/>
          <w:highlight w:val="none"/>
        </w:rPr>
      </w:pPr>
      <w:r>
        <w:rPr>
          <w:color w:val="auto"/>
          <w:highlight w:val="none"/>
        </w:rPr>
        <w:t>招标人可以补充通知的方式，酌情延长提交投标文件的截止时间。在此情况下，投标人的所有权利和义务以及投标人受制约的截止时间，均以延长后新的投标截止时间为准。</w:t>
      </w:r>
    </w:p>
    <w:p w14:paraId="23D1E2CD">
      <w:pPr>
        <w:pStyle w:val="9"/>
        <w:numPr>
          <w:ilvl w:val="1"/>
          <w:numId w:val="3"/>
        </w:numPr>
        <w:ind w:firstLine="420" w:firstLineChars="200"/>
        <w:rPr>
          <w:color w:val="auto"/>
          <w:highlight w:val="none"/>
        </w:rPr>
      </w:pPr>
      <w:r>
        <w:rPr>
          <w:rFonts w:hint="eastAsia"/>
          <w:color w:val="auto"/>
          <w:highlight w:val="none"/>
        </w:rPr>
        <w:t>到投标截止时间止，招标人收到的投标文件少于3个的，招标人将依法重新组织招标。</w:t>
      </w:r>
    </w:p>
    <w:p w14:paraId="4754FE05">
      <w:pPr>
        <w:spacing w:before="360" w:afterLines="50" w:line="320" w:lineRule="exact"/>
        <w:ind w:left="2159" w:hanging="1320"/>
        <w:jc w:val="center"/>
        <w:outlineLvl w:val="1"/>
        <w:rPr>
          <w:rFonts w:ascii="Arial" w:hAnsi="Arial" w:eastAsia="黑体" w:cs="Arial"/>
          <w:b/>
          <w:color w:val="auto"/>
          <w:szCs w:val="24"/>
          <w:highlight w:val="none"/>
        </w:rPr>
      </w:pPr>
      <w:bookmarkStart w:id="81" w:name="_Toc15794"/>
      <w:bookmarkStart w:id="82" w:name="_Toc9012"/>
      <w:bookmarkStart w:id="83" w:name="_Toc500209418"/>
      <w:bookmarkStart w:id="84" w:name="_Toc500208484"/>
      <w:r>
        <w:rPr>
          <w:rFonts w:hint="eastAsia" w:ascii="Arial" w:hAnsi="Arial" w:eastAsia="黑体" w:cs="Arial"/>
          <w:b/>
          <w:color w:val="auto"/>
          <w:szCs w:val="24"/>
          <w:highlight w:val="none"/>
        </w:rPr>
        <w:t>第五节  开   标</w:t>
      </w:r>
      <w:bookmarkEnd w:id="81"/>
      <w:bookmarkEnd w:id="82"/>
      <w:bookmarkEnd w:id="83"/>
      <w:bookmarkEnd w:id="84"/>
    </w:p>
    <w:p w14:paraId="3DC3B1DC">
      <w:pPr>
        <w:keepNext/>
        <w:keepLines/>
        <w:numPr>
          <w:ilvl w:val="0"/>
          <w:numId w:val="3"/>
        </w:numPr>
        <w:spacing w:before="360" w:line="288" w:lineRule="auto"/>
        <w:jc w:val="left"/>
        <w:outlineLvl w:val="2"/>
        <w:rPr>
          <w:rFonts w:ascii="黑体" w:hAnsi="宋体" w:eastAsia="黑体"/>
          <w:b/>
          <w:color w:val="auto"/>
          <w:sz w:val="21"/>
          <w:highlight w:val="none"/>
        </w:rPr>
      </w:pPr>
      <w:bookmarkStart w:id="85" w:name="_Toc169487803"/>
      <w:bookmarkStart w:id="86" w:name="_Toc155342556"/>
      <w:bookmarkStart w:id="87" w:name="_Toc500208485"/>
      <w:r>
        <w:rPr>
          <w:rFonts w:hint="eastAsia" w:ascii="黑体" w:hAnsi="宋体" w:eastAsia="黑体"/>
          <w:b/>
          <w:color w:val="auto"/>
          <w:sz w:val="21"/>
          <w:highlight w:val="none"/>
        </w:rPr>
        <w:t>开标</w:t>
      </w:r>
      <w:bookmarkEnd w:id="85"/>
      <w:bookmarkEnd w:id="86"/>
      <w:bookmarkEnd w:id="87"/>
    </w:p>
    <w:p w14:paraId="7E665712">
      <w:pPr>
        <w:pStyle w:val="9"/>
        <w:numPr>
          <w:ilvl w:val="1"/>
          <w:numId w:val="3"/>
        </w:numPr>
        <w:ind w:firstLine="420" w:firstLineChars="200"/>
        <w:rPr>
          <w:color w:val="auto"/>
          <w:highlight w:val="none"/>
        </w:rPr>
      </w:pPr>
      <w:r>
        <w:rPr>
          <w:rFonts w:hint="eastAsia"/>
          <w:color w:val="auto"/>
          <w:highlight w:val="none"/>
        </w:rPr>
        <w:t>招标人将于投标截止期的同一时间按本须知前附表第23项所规定的地点公开举行开标会议。</w:t>
      </w:r>
    </w:p>
    <w:p w14:paraId="62C57081">
      <w:pPr>
        <w:pStyle w:val="9"/>
        <w:numPr>
          <w:ilvl w:val="1"/>
          <w:numId w:val="3"/>
        </w:numPr>
        <w:ind w:firstLine="420" w:firstLineChars="200"/>
        <w:rPr>
          <w:color w:val="auto"/>
          <w:highlight w:val="none"/>
        </w:rPr>
      </w:pPr>
      <w:r>
        <w:rPr>
          <w:rFonts w:hint="eastAsia"/>
          <w:color w:val="auto"/>
          <w:highlight w:val="none"/>
        </w:rPr>
        <w:t>开标会议由招标人组织并主持。</w:t>
      </w:r>
    </w:p>
    <w:p w14:paraId="39530648">
      <w:pPr>
        <w:pStyle w:val="9"/>
        <w:numPr>
          <w:ilvl w:val="1"/>
          <w:numId w:val="3"/>
        </w:numPr>
        <w:ind w:firstLine="420" w:firstLineChars="200"/>
        <w:rPr>
          <w:color w:val="auto"/>
          <w:highlight w:val="none"/>
        </w:rPr>
      </w:pPr>
      <w:r>
        <w:rPr>
          <w:rFonts w:hint="eastAsia"/>
          <w:color w:val="auto"/>
          <w:highlight w:val="none"/>
        </w:rPr>
        <w:t>开标顺序</w:t>
      </w:r>
      <w:r>
        <w:rPr>
          <w:rFonts w:hint="eastAsia"/>
          <w:bCs/>
          <w:color w:val="auto"/>
          <w:highlight w:val="none"/>
        </w:rPr>
        <w:t>详见本须知前附表第25项。</w:t>
      </w:r>
    </w:p>
    <w:p w14:paraId="439E94BE">
      <w:pPr>
        <w:keepNext/>
        <w:keepLines/>
        <w:numPr>
          <w:ilvl w:val="0"/>
          <w:numId w:val="3"/>
        </w:numPr>
        <w:spacing w:before="360" w:line="288" w:lineRule="auto"/>
        <w:jc w:val="left"/>
        <w:outlineLvl w:val="2"/>
        <w:rPr>
          <w:rFonts w:ascii="黑体" w:hAnsi="宋体" w:eastAsia="黑体"/>
          <w:b/>
          <w:color w:val="auto"/>
          <w:sz w:val="21"/>
          <w:highlight w:val="none"/>
        </w:rPr>
      </w:pPr>
      <w:bookmarkStart w:id="88" w:name="_Toc169487804"/>
      <w:bookmarkStart w:id="89" w:name="_Toc155342557"/>
      <w:r>
        <w:rPr>
          <w:rFonts w:hint="eastAsia" w:ascii="黑体" w:hAnsi="宋体" w:eastAsia="黑体"/>
          <w:b/>
          <w:color w:val="auto"/>
          <w:sz w:val="21"/>
          <w:highlight w:val="none"/>
        </w:rPr>
        <w:t>投标文件公布</w:t>
      </w:r>
      <w:bookmarkEnd w:id="88"/>
      <w:bookmarkEnd w:id="89"/>
    </w:p>
    <w:p w14:paraId="6573182F">
      <w:pPr>
        <w:pStyle w:val="9"/>
        <w:numPr>
          <w:ilvl w:val="1"/>
          <w:numId w:val="3"/>
        </w:numPr>
        <w:ind w:firstLine="420" w:firstLineChars="200"/>
        <w:rPr>
          <w:color w:val="auto"/>
          <w:highlight w:val="none"/>
        </w:rPr>
      </w:pPr>
      <w:r>
        <w:rPr>
          <w:rFonts w:hint="eastAsia"/>
          <w:color w:val="auto"/>
          <w:highlight w:val="none"/>
        </w:rPr>
        <w:t>招标人将对开标过程进行记录，以存档备查</w:t>
      </w:r>
      <w:r>
        <w:rPr>
          <w:color w:val="auto"/>
          <w:highlight w:val="none"/>
        </w:rPr>
        <w:t>。</w:t>
      </w:r>
    </w:p>
    <w:p w14:paraId="543F30E0">
      <w:pPr>
        <w:spacing w:before="360" w:afterLines="50" w:line="320" w:lineRule="exact"/>
        <w:ind w:left="2159" w:hanging="1320"/>
        <w:jc w:val="center"/>
        <w:outlineLvl w:val="1"/>
        <w:rPr>
          <w:rFonts w:ascii="Arial" w:hAnsi="Arial" w:eastAsia="黑体" w:cs="Arial"/>
          <w:b/>
          <w:color w:val="auto"/>
          <w:szCs w:val="24"/>
          <w:highlight w:val="none"/>
        </w:rPr>
      </w:pPr>
      <w:bookmarkStart w:id="90" w:name="_Toc15849"/>
      <w:bookmarkStart w:id="91" w:name="_Toc500208488"/>
      <w:bookmarkStart w:id="92" w:name="_Toc500209419"/>
      <w:bookmarkStart w:id="93" w:name="_Toc31728"/>
      <w:bookmarkStart w:id="94" w:name="_Toc500209420"/>
      <w:bookmarkStart w:id="95" w:name="_Toc500208495"/>
      <w:r>
        <w:rPr>
          <w:rFonts w:hint="eastAsia" w:ascii="Arial" w:hAnsi="Arial" w:eastAsia="黑体" w:cs="Arial"/>
          <w:b/>
          <w:color w:val="auto"/>
          <w:szCs w:val="24"/>
          <w:highlight w:val="none"/>
        </w:rPr>
        <w:t>第六节  评   标</w:t>
      </w:r>
      <w:bookmarkEnd w:id="90"/>
      <w:bookmarkEnd w:id="91"/>
      <w:bookmarkEnd w:id="92"/>
      <w:bookmarkEnd w:id="93"/>
    </w:p>
    <w:p w14:paraId="09D978B9">
      <w:pPr>
        <w:keepNext/>
        <w:keepLines/>
        <w:numPr>
          <w:ilvl w:val="0"/>
          <w:numId w:val="3"/>
        </w:numPr>
        <w:spacing w:before="360" w:line="288" w:lineRule="auto"/>
        <w:jc w:val="left"/>
        <w:outlineLvl w:val="2"/>
        <w:rPr>
          <w:rFonts w:ascii="黑体" w:hAnsi="宋体" w:eastAsia="黑体"/>
          <w:b/>
          <w:color w:val="auto"/>
          <w:sz w:val="21"/>
          <w:highlight w:val="none"/>
        </w:rPr>
      </w:pPr>
      <w:bookmarkStart w:id="96" w:name="_Toc500208489"/>
      <w:bookmarkStart w:id="97" w:name="_Toc155342559"/>
      <w:bookmarkStart w:id="98" w:name="_Toc169487806"/>
      <w:r>
        <w:rPr>
          <w:rFonts w:hint="eastAsia" w:ascii="黑体" w:hAnsi="宋体" w:eastAsia="黑体"/>
          <w:b/>
          <w:color w:val="auto"/>
          <w:sz w:val="21"/>
          <w:highlight w:val="none"/>
        </w:rPr>
        <w:t>评标会议</w:t>
      </w:r>
      <w:bookmarkEnd w:id="96"/>
      <w:bookmarkEnd w:id="97"/>
      <w:bookmarkEnd w:id="98"/>
    </w:p>
    <w:p w14:paraId="64453CA0">
      <w:pPr>
        <w:pStyle w:val="9"/>
        <w:numPr>
          <w:ilvl w:val="1"/>
          <w:numId w:val="3"/>
        </w:numPr>
        <w:ind w:firstLine="420" w:firstLineChars="200"/>
        <w:rPr>
          <w:color w:val="auto"/>
          <w:highlight w:val="none"/>
        </w:rPr>
      </w:pPr>
      <w:r>
        <w:rPr>
          <w:color w:val="auto"/>
          <w:highlight w:val="none"/>
        </w:rPr>
        <w:t>评标委员会由招标人依法组建，负责评标活动。</w:t>
      </w:r>
    </w:p>
    <w:p w14:paraId="42E0B90E">
      <w:pPr>
        <w:pStyle w:val="9"/>
        <w:numPr>
          <w:ilvl w:val="1"/>
          <w:numId w:val="3"/>
        </w:numPr>
        <w:ind w:firstLine="420" w:firstLineChars="200"/>
        <w:rPr>
          <w:color w:val="auto"/>
          <w:highlight w:val="none"/>
        </w:rPr>
      </w:pPr>
      <w:r>
        <w:rPr>
          <w:color w:val="auto"/>
          <w:highlight w:val="none"/>
        </w:rPr>
        <w:t>开标结束后，开始评标，评标采用保密方式进行。</w:t>
      </w:r>
    </w:p>
    <w:p w14:paraId="39657EEB">
      <w:pPr>
        <w:pStyle w:val="9"/>
        <w:numPr>
          <w:ilvl w:val="1"/>
          <w:numId w:val="3"/>
        </w:numPr>
        <w:ind w:firstLine="420" w:firstLineChars="200"/>
        <w:rPr>
          <w:color w:val="auto"/>
          <w:highlight w:val="none"/>
        </w:rPr>
      </w:pPr>
      <w:r>
        <w:rPr>
          <w:rFonts w:hint="eastAsia"/>
          <w:color w:val="auto"/>
          <w:highlight w:val="none"/>
        </w:rPr>
        <w:t>评标委员会在评标前须签订《临海市建设工程公正评标承诺书》。</w:t>
      </w:r>
    </w:p>
    <w:p w14:paraId="239FB9D4">
      <w:pPr>
        <w:keepNext/>
        <w:keepLines/>
        <w:numPr>
          <w:ilvl w:val="0"/>
          <w:numId w:val="3"/>
        </w:numPr>
        <w:spacing w:before="360" w:line="288" w:lineRule="auto"/>
        <w:jc w:val="left"/>
        <w:outlineLvl w:val="2"/>
        <w:rPr>
          <w:rFonts w:ascii="黑体" w:hAnsi="宋体" w:eastAsia="黑体"/>
          <w:b/>
          <w:color w:val="auto"/>
          <w:sz w:val="21"/>
          <w:highlight w:val="none"/>
        </w:rPr>
      </w:pPr>
      <w:bookmarkStart w:id="99" w:name="_Toc155342560"/>
      <w:bookmarkStart w:id="100" w:name="_Toc169487807"/>
      <w:r>
        <w:rPr>
          <w:rFonts w:hint="eastAsia" w:ascii="黑体" w:hAnsi="宋体" w:eastAsia="黑体"/>
          <w:b/>
          <w:color w:val="auto"/>
          <w:sz w:val="21"/>
          <w:highlight w:val="none"/>
        </w:rPr>
        <w:t>评标过程的保密</w:t>
      </w:r>
      <w:bookmarkEnd w:id="99"/>
      <w:bookmarkEnd w:id="100"/>
    </w:p>
    <w:p w14:paraId="078014EB">
      <w:pPr>
        <w:pStyle w:val="9"/>
        <w:numPr>
          <w:ilvl w:val="1"/>
          <w:numId w:val="3"/>
        </w:numPr>
        <w:ind w:firstLine="420" w:firstLineChars="200"/>
        <w:rPr>
          <w:color w:val="auto"/>
          <w:highlight w:val="none"/>
        </w:rPr>
      </w:pPr>
      <w:r>
        <w:rPr>
          <w:color w:val="auto"/>
          <w:highlight w:val="none"/>
        </w:rPr>
        <w:t>开标后，直至授予中标人合同为止，凡属于对投标文件的审查、澄清、评价和比较的有关资料以及中标候选人的推荐情况，与评标有关的其他任何情况均严格保密。</w:t>
      </w:r>
    </w:p>
    <w:p w14:paraId="7A38892B">
      <w:pPr>
        <w:pStyle w:val="9"/>
        <w:numPr>
          <w:ilvl w:val="1"/>
          <w:numId w:val="3"/>
        </w:numPr>
        <w:ind w:firstLine="420" w:firstLineChars="200"/>
        <w:rPr>
          <w:color w:val="auto"/>
          <w:highlight w:val="none"/>
        </w:rPr>
      </w:pPr>
      <w:r>
        <w:rPr>
          <w:color w:val="auto"/>
          <w:highlight w:val="none"/>
        </w:rPr>
        <w:t>在投标文件的评审和比较、中标候选人推荐以及授予合同的过程中，投标人向招标人和评标委员会施加影响的任何行为，都将会导致其投标被拒绝。</w:t>
      </w:r>
    </w:p>
    <w:p w14:paraId="7F40495F">
      <w:pPr>
        <w:pStyle w:val="9"/>
        <w:numPr>
          <w:ilvl w:val="1"/>
          <w:numId w:val="3"/>
        </w:numPr>
        <w:ind w:firstLine="420" w:firstLineChars="200"/>
        <w:rPr>
          <w:color w:val="auto"/>
          <w:highlight w:val="none"/>
        </w:rPr>
      </w:pPr>
      <w:r>
        <w:rPr>
          <w:color w:val="auto"/>
          <w:highlight w:val="none"/>
        </w:rPr>
        <w:t>中标人确定后，招标人不对未中标人就评标过程以及未能中标原因作出任何解释。未中标人不得向评标委员会组成人员或其他有关人员索问评标过程的情况和材料。</w:t>
      </w:r>
    </w:p>
    <w:p w14:paraId="1AF98175">
      <w:pPr>
        <w:keepNext/>
        <w:keepLines/>
        <w:numPr>
          <w:ilvl w:val="0"/>
          <w:numId w:val="3"/>
        </w:numPr>
        <w:spacing w:before="360" w:line="288" w:lineRule="auto"/>
        <w:jc w:val="left"/>
        <w:outlineLvl w:val="2"/>
        <w:rPr>
          <w:rFonts w:ascii="黑体" w:hAnsi="宋体" w:eastAsia="黑体"/>
          <w:b/>
          <w:color w:val="auto"/>
          <w:sz w:val="21"/>
          <w:highlight w:val="none"/>
        </w:rPr>
      </w:pPr>
      <w:bookmarkStart w:id="101" w:name="_Toc169487808"/>
      <w:bookmarkStart w:id="102" w:name="_Toc155342561"/>
      <w:r>
        <w:rPr>
          <w:rFonts w:hint="eastAsia" w:ascii="黑体" w:hAnsi="宋体" w:eastAsia="黑体"/>
          <w:b/>
          <w:color w:val="auto"/>
          <w:sz w:val="21"/>
          <w:highlight w:val="none"/>
        </w:rPr>
        <w:t>投标文件符合性鉴定</w:t>
      </w:r>
      <w:bookmarkEnd w:id="101"/>
      <w:bookmarkEnd w:id="102"/>
    </w:p>
    <w:p w14:paraId="6F16FF62">
      <w:pPr>
        <w:pStyle w:val="9"/>
        <w:numPr>
          <w:ilvl w:val="1"/>
          <w:numId w:val="3"/>
        </w:numPr>
        <w:ind w:left="149" w:firstLine="420" w:firstLineChars="200"/>
        <w:rPr>
          <w:color w:val="auto"/>
          <w:highlight w:val="none"/>
        </w:rPr>
      </w:pPr>
      <w:r>
        <w:rPr>
          <w:rFonts w:hint="eastAsia"/>
          <w:color w:val="auto"/>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6D3DADB6">
      <w:pPr>
        <w:pStyle w:val="9"/>
        <w:numPr>
          <w:ilvl w:val="1"/>
          <w:numId w:val="3"/>
        </w:numPr>
        <w:ind w:left="149" w:firstLine="420" w:firstLineChars="200"/>
        <w:rPr>
          <w:color w:val="auto"/>
          <w:highlight w:val="none"/>
        </w:rPr>
      </w:pPr>
      <w:r>
        <w:rPr>
          <w:rFonts w:hint="eastAsia"/>
          <w:color w:val="auto"/>
          <w:highlight w:val="none"/>
        </w:rPr>
        <w:t>如果投标文件实质上不响应招标文件各项要求，评标委员会将予以拒绝，并且不允许投标人通过修改或撤销其不符合要求的差异或保留，使之成为具有响应性的投标</w:t>
      </w:r>
      <w:r>
        <w:rPr>
          <w:color w:val="auto"/>
          <w:highlight w:val="none"/>
        </w:rPr>
        <w:t>。</w:t>
      </w:r>
    </w:p>
    <w:p w14:paraId="0D1C9762">
      <w:pPr>
        <w:keepNext/>
        <w:keepLines/>
        <w:numPr>
          <w:ilvl w:val="0"/>
          <w:numId w:val="3"/>
        </w:numPr>
        <w:spacing w:before="360" w:line="288" w:lineRule="auto"/>
        <w:jc w:val="left"/>
        <w:outlineLvl w:val="2"/>
        <w:rPr>
          <w:rFonts w:ascii="黑体" w:hAnsi="宋体" w:eastAsia="黑体"/>
          <w:b/>
          <w:color w:val="auto"/>
          <w:sz w:val="21"/>
          <w:highlight w:val="none"/>
        </w:rPr>
      </w:pPr>
      <w:bookmarkStart w:id="103" w:name="_Toc155342562"/>
      <w:bookmarkStart w:id="104" w:name="_Toc169487809"/>
      <w:r>
        <w:rPr>
          <w:rFonts w:hint="eastAsia" w:ascii="黑体" w:hAnsi="宋体" w:eastAsia="黑体"/>
          <w:b/>
          <w:color w:val="auto"/>
          <w:sz w:val="21"/>
          <w:highlight w:val="none"/>
        </w:rPr>
        <w:t>投标文件的澄清</w:t>
      </w:r>
      <w:bookmarkEnd w:id="103"/>
      <w:bookmarkEnd w:id="104"/>
    </w:p>
    <w:p w14:paraId="095674A8">
      <w:pPr>
        <w:pStyle w:val="9"/>
        <w:numPr>
          <w:ilvl w:val="1"/>
          <w:numId w:val="3"/>
        </w:numPr>
        <w:ind w:firstLine="420" w:firstLineChars="200"/>
        <w:rPr>
          <w:color w:val="auto"/>
          <w:highlight w:val="none"/>
        </w:rPr>
      </w:pPr>
      <w:r>
        <w:rPr>
          <w:rFonts w:hint="eastAsia"/>
          <w:color w:val="auto"/>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11220CE3">
      <w:pPr>
        <w:pStyle w:val="9"/>
        <w:numPr>
          <w:ilvl w:val="1"/>
          <w:numId w:val="3"/>
        </w:numPr>
        <w:ind w:firstLine="420" w:firstLineChars="200"/>
        <w:rPr>
          <w:color w:val="auto"/>
          <w:highlight w:val="none"/>
        </w:rPr>
      </w:pPr>
      <w:r>
        <w:rPr>
          <w:rFonts w:hint="eastAsia"/>
          <w:color w:val="auto"/>
          <w:highlight w:val="none"/>
        </w:rPr>
        <w:t>评审过程中，评标委员会可能以书面形式通知投标人要求投标人就投标文件中的内容进行</w:t>
      </w:r>
      <w:r>
        <w:rPr>
          <w:rFonts w:hint="eastAsia"/>
          <w:color w:val="auto"/>
          <w:szCs w:val="21"/>
          <w:highlight w:val="none"/>
        </w:rPr>
        <w:t>澄清或说明</w:t>
      </w:r>
      <w:r>
        <w:rPr>
          <w:rFonts w:hint="eastAsia"/>
          <w:color w:val="auto"/>
          <w:highlight w:val="none"/>
        </w:rPr>
        <w:t>。投标人应在接到询标通知后30分钟内作出答复，若在规定时间内未作出答复的，</w:t>
      </w:r>
      <w:r>
        <w:rPr>
          <w:rFonts w:hint="eastAsia"/>
          <w:color w:val="auto"/>
          <w:szCs w:val="21"/>
          <w:highlight w:val="none"/>
        </w:rPr>
        <w:t>可视作拒绝或放弃澄清或说明。</w:t>
      </w:r>
    </w:p>
    <w:p w14:paraId="5F6FFA3B">
      <w:pPr>
        <w:keepNext/>
        <w:keepLines/>
        <w:numPr>
          <w:ilvl w:val="0"/>
          <w:numId w:val="3"/>
        </w:numPr>
        <w:spacing w:before="360" w:line="288" w:lineRule="auto"/>
        <w:jc w:val="left"/>
        <w:outlineLvl w:val="2"/>
        <w:rPr>
          <w:rFonts w:ascii="黑体" w:hAnsi="宋体" w:eastAsia="黑体"/>
          <w:b/>
          <w:color w:val="auto"/>
          <w:sz w:val="21"/>
          <w:highlight w:val="none"/>
        </w:rPr>
      </w:pPr>
      <w:bookmarkStart w:id="105" w:name="_Toc155342563"/>
      <w:bookmarkStart w:id="106" w:name="_Toc169487810"/>
      <w:r>
        <w:rPr>
          <w:rFonts w:hint="eastAsia" w:ascii="黑体" w:hAnsi="宋体" w:eastAsia="黑体"/>
          <w:b/>
          <w:color w:val="auto"/>
          <w:sz w:val="21"/>
          <w:highlight w:val="none"/>
        </w:rPr>
        <w:t>投标文件的评审</w:t>
      </w:r>
      <w:bookmarkEnd w:id="105"/>
      <w:bookmarkEnd w:id="106"/>
    </w:p>
    <w:p w14:paraId="6A080C02">
      <w:pPr>
        <w:pStyle w:val="9"/>
        <w:adjustRightInd w:val="0"/>
        <w:snapToGrid w:val="0"/>
        <w:ind w:firstLine="422" w:firstLineChars="200"/>
        <w:rPr>
          <w:rFonts w:ascii="黑体" w:eastAsia="黑体"/>
          <w:b/>
          <w:color w:val="auto"/>
          <w:highlight w:val="none"/>
        </w:rPr>
      </w:pPr>
      <w:r>
        <w:rPr>
          <w:rFonts w:hint="eastAsia" w:ascii="黑体" w:eastAsia="黑体"/>
          <w:b/>
          <w:bCs/>
          <w:color w:val="auto"/>
          <w:highlight w:val="none"/>
        </w:rPr>
        <w:t>28.1</w:t>
      </w:r>
      <w:r>
        <w:rPr>
          <w:rFonts w:hint="eastAsia" w:ascii="黑体" w:eastAsia="黑体"/>
          <w:b/>
          <w:color w:val="auto"/>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8D218FA">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（1）投标文件内容存在错漏之处一致或异常雷同现象；</w:t>
      </w:r>
    </w:p>
    <w:p w14:paraId="0022B8D4">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（2）投标文件中载明的项目管理班子系有同一人担任；</w:t>
      </w:r>
    </w:p>
    <w:p w14:paraId="00FAD38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（3）投标文件由同一台电脑编制或同一附属设备打印；</w:t>
      </w:r>
    </w:p>
    <w:p w14:paraId="599F376B">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（4）涉嫌故意拉高或压低投标报价；</w:t>
      </w:r>
    </w:p>
    <w:p w14:paraId="21B52BE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（5）不同投标人的投标文件由同一单位（或个人）编制或提供投标咨询服务；</w:t>
      </w:r>
    </w:p>
    <w:p w14:paraId="1777007E">
      <w:pPr>
        <w:spacing w:line="288" w:lineRule="auto"/>
        <w:ind w:firstLine="420"/>
        <w:rPr>
          <w:rFonts w:ascii="黑体" w:eastAsia="黑体"/>
          <w:b/>
          <w:color w:val="auto"/>
          <w:sz w:val="21"/>
          <w:highlight w:val="none"/>
        </w:rPr>
      </w:pPr>
      <w:r>
        <w:rPr>
          <w:rFonts w:hint="eastAsia" w:ascii="黑体" w:hAnsi="宋体" w:eastAsia="黑体"/>
          <w:b/>
          <w:color w:val="auto"/>
          <w:sz w:val="21"/>
          <w:highlight w:val="none"/>
        </w:rPr>
        <w:t>28.2投标文件有下列情形之一的，由评标委员会初审后按无效标处理：</w:t>
      </w:r>
    </w:p>
    <w:p w14:paraId="7F50B627">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（1）投标人递交两份或多份内容不同的投标文件，或在一份投标文件中对同一招标项目报有两个或多个报价，且未声明哪一个有效，按招标文件规定提交备选投标方案的除外；</w:t>
      </w:r>
    </w:p>
    <w:p w14:paraId="0653CF5C">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（2）投标文件未按招标文件签署条款要求签章的；</w:t>
      </w:r>
    </w:p>
    <w:p w14:paraId="54984FF5">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（3）投标文件份数不符合</w:t>
      </w:r>
      <w:r>
        <w:rPr>
          <w:rFonts w:ascii="宋体" w:hAnsi="宋体" w:eastAsia="宋体"/>
          <w:color w:val="auto"/>
          <w:sz w:val="21"/>
          <w:highlight w:val="none"/>
        </w:rPr>
        <w:t>招标文件</w:t>
      </w:r>
      <w:r>
        <w:rPr>
          <w:rFonts w:hint="eastAsia" w:ascii="宋体" w:hAnsi="宋体" w:eastAsia="宋体"/>
          <w:color w:val="auto"/>
          <w:sz w:val="21"/>
          <w:highlight w:val="none"/>
        </w:rPr>
        <w:t>前附表</w:t>
      </w:r>
      <w:r>
        <w:rPr>
          <w:rFonts w:ascii="宋体" w:hAnsi="宋体" w:eastAsia="宋体"/>
          <w:color w:val="auto"/>
          <w:sz w:val="21"/>
          <w:highlight w:val="none"/>
        </w:rPr>
        <w:t>要求的</w:t>
      </w:r>
      <w:r>
        <w:rPr>
          <w:rFonts w:hint="eastAsia" w:ascii="宋体" w:hAnsi="宋体" w:eastAsia="宋体"/>
          <w:color w:val="auto"/>
          <w:sz w:val="21"/>
          <w:highlight w:val="none"/>
        </w:rPr>
        <w:t>；</w:t>
      </w:r>
    </w:p>
    <w:p w14:paraId="1A199E9E">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（4）投标文件组成不符合招标文件要求的；</w:t>
      </w:r>
    </w:p>
    <w:p w14:paraId="5B394076">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（5）投标资格不符合招标文件要求的；</w:t>
      </w:r>
    </w:p>
    <w:p w14:paraId="2474A59F">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（6）联合体投标未附联合体各方共同投标协议的；</w:t>
      </w:r>
    </w:p>
    <w:p w14:paraId="4AD2D280">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（7）法律法规规定无效标的。</w:t>
      </w:r>
    </w:p>
    <w:p w14:paraId="7CE146CE">
      <w:pPr>
        <w:spacing w:line="288" w:lineRule="auto"/>
        <w:ind w:left="-6" w:leftChars="-2" w:firstLine="422" w:firstLineChars="200"/>
        <w:rPr>
          <w:rFonts w:ascii="黑体" w:hAnsi="宋体" w:eastAsia="黑体"/>
          <w:b/>
          <w:color w:val="auto"/>
          <w:sz w:val="21"/>
          <w:highlight w:val="none"/>
        </w:rPr>
      </w:pPr>
      <w:r>
        <w:rPr>
          <w:rFonts w:hint="eastAsia" w:ascii="黑体" w:hAnsi="宋体" w:eastAsia="黑体"/>
          <w:b/>
          <w:bCs/>
          <w:color w:val="auto"/>
          <w:sz w:val="21"/>
          <w:highlight w:val="none"/>
        </w:rPr>
        <w:t>28.3</w:t>
      </w:r>
      <w:r>
        <w:rPr>
          <w:rFonts w:hint="eastAsia" w:ascii="黑体" w:hAnsi="宋体" w:eastAsia="黑体"/>
          <w:b/>
          <w:color w:val="auto"/>
          <w:sz w:val="21"/>
          <w:highlight w:val="none"/>
        </w:rPr>
        <w:t>投标文件有下列情形之一的，由评标委员会进行实质性评审后按无效标处理：</w:t>
      </w:r>
    </w:p>
    <w:p w14:paraId="467EEB7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（1）投标承诺的总报价、工期、质量、投标资格等不符合招标文件前附表要求的；</w:t>
      </w:r>
    </w:p>
    <w:p w14:paraId="292910ED">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（2）招标文件报价要求中规定作无效标的；</w:t>
      </w:r>
    </w:p>
    <w:p w14:paraId="63BB3844">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（3）违反招标文件其他实质性条款规定的。</w:t>
      </w:r>
    </w:p>
    <w:p w14:paraId="18A3E99D">
      <w:pPr>
        <w:spacing w:line="288" w:lineRule="auto"/>
        <w:ind w:left="-6" w:leftChars="-2" w:firstLine="422" w:firstLineChars="200"/>
        <w:rPr>
          <w:rFonts w:ascii="黑体" w:hAnsi="宋体" w:eastAsia="黑体"/>
          <w:b/>
          <w:color w:val="auto"/>
          <w:sz w:val="21"/>
          <w:szCs w:val="21"/>
          <w:highlight w:val="none"/>
        </w:rPr>
      </w:pPr>
      <w:r>
        <w:rPr>
          <w:rFonts w:hint="eastAsia" w:ascii="黑体" w:hAnsi="宋体" w:eastAsia="黑体"/>
          <w:b/>
          <w:bCs/>
          <w:color w:val="auto"/>
          <w:sz w:val="21"/>
          <w:highlight w:val="none"/>
        </w:rPr>
        <w:t>28.4</w:t>
      </w:r>
      <w:r>
        <w:rPr>
          <w:rFonts w:hint="eastAsia" w:ascii="黑体" w:hAnsi="宋体" w:eastAsia="黑体"/>
          <w:b/>
          <w:color w:val="auto"/>
          <w:sz w:val="21"/>
          <w:highlight w:val="none"/>
        </w:rPr>
        <w:t>投标文件有下列情形之一的，</w:t>
      </w:r>
      <w:r>
        <w:rPr>
          <w:rFonts w:hint="eastAsia" w:ascii="黑体" w:hAnsi="宋体" w:eastAsia="黑体"/>
          <w:b/>
          <w:color w:val="auto"/>
          <w:sz w:val="21"/>
          <w:szCs w:val="21"/>
          <w:highlight w:val="none"/>
        </w:rPr>
        <w:t>经评标委员会详细评审后认定该投标文件对招标文件要求存在重大偏离的，则该投标文件按无效标处理：</w:t>
      </w:r>
    </w:p>
    <w:p w14:paraId="2ABCE9D6">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（1）经商务标修正后，属招标文件报价要求或商务标的修正中规定作无效标处理的；</w:t>
      </w:r>
    </w:p>
    <w:p w14:paraId="5115EE30">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（2）招标文件中其他内容明确规定作无效标的。</w:t>
      </w:r>
    </w:p>
    <w:p w14:paraId="7B62A346">
      <w:pPr>
        <w:pStyle w:val="9"/>
        <w:ind w:firstLine="420" w:firstLineChars="200"/>
        <w:rPr>
          <w:color w:val="auto"/>
          <w:highlight w:val="none"/>
        </w:rPr>
      </w:pPr>
      <w:r>
        <w:rPr>
          <w:rFonts w:hint="eastAsia" w:ascii="黑体" w:eastAsia="黑体"/>
          <w:bCs/>
          <w:color w:val="auto"/>
          <w:highlight w:val="none"/>
        </w:rPr>
        <w:t>28.5</w:t>
      </w:r>
      <w:r>
        <w:rPr>
          <w:rFonts w:hint="eastAsia"/>
          <w:color w:val="auto"/>
          <w:highlight w:val="none"/>
        </w:rPr>
        <w:t>如有效标不足三家使得投标明显缺乏竞争的，评标委员会可以否决全部投标。所有投标被否决的，则本次招标失败，重新组织招标。</w:t>
      </w:r>
    </w:p>
    <w:p w14:paraId="44891F25">
      <w:pPr>
        <w:keepNext/>
        <w:keepLines/>
        <w:numPr>
          <w:ilvl w:val="0"/>
          <w:numId w:val="3"/>
        </w:numPr>
        <w:spacing w:before="360" w:line="288" w:lineRule="auto"/>
        <w:jc w:val="left"/>
        <w:outlineLvl w:val="2"/>
        <w:rPr>
          <w:rFonts w:ascii="黑体" w:hAnsi="宋体" w:eastAsia="黑体"/>
          <w:b/>
          <w:color w:val="auto"/>
          <w:sz w:val="21"/>
          <w:highlight w:val="none"/>
        </w:rPr>
      </w:pPr>
      <w:bookmarkStart w:id="107" w:name="_Toc155342564"/>
      <w:bookmarkStart w:id="108" w:name="_Toc169487811"/>
      <w:r>
        <w:rPr>
          <w:rFonts w:hint="eastAsia" w:ascii="黑体" w:hAnsi="宋体" w:eastAsia="黑体"/>
          <w:b/>
          <w:color w:val="auto"/>
          <w:sz w:val="21"/>
          <w:highlight w:val="none"/>
        </w:rPr>
        <w:t>商务标的修正</w:t>
      </w:r>
      <w:bookmarkEnd w:id="107"/>
      <w:bookmarkEnd w:id="108"/>
    </w:p>
    <w:p w14:paraId="0F634411">
      <w:pPr>
        <w:pStyle w:val="9"/>
        <w:ind w:left="106" w:leftChars="33" w:firstLine="420" w:firstLineChars="200"/>
        <w:rPr>
          <w:color w:val="auto"/>
          <w:highlight w:val="none"/>
        </w:rPr>
      </w:pPr>
      <w:r>
        <w:rPr>
          <w:rFonts w:hint="eastAsia"/>
          <w:color w:val="auto"/>
          <w:highlight w:val="none"/>
        </w:rPr>
        <w:t>评标委员会对确定为实质上响应招标文件要求的投标文件进行复核, 看其是否有表达上的错误。修正错误的顺序和原则如下：</w:t>
      </w:r>
    </w:p>
    <w:p w14:paraId="5573764A">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（1）《投标函》中的文字表示的量和以数字表示的量不一致时，以文字表示的量为准。</w:t>
      </w:r>
    </w:p>
    <w:p w14:paraId="4B3E94C0">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按上述修正错误的原则，调整或修正投标文件的投标报价，经投标人确认后，调整后的投标组价对投标人起约束作用</w:t>
      </w:r>
      <w:r>
        <w:rPr>
          <w:rFonts w:ascii="宋体" w:hAnsi="宋体" w:eastAsia="宋体"/>
          <w:color w:val="auto"/>
          <w:sz w:val="21"/>
          <w:szCs w:val="21"/>
          <w:highlight w:val="none"/>
        </w:rPr>
        <w:t>。</w:t>
      </w:r>
      <w:r>
        <w:rPr>
          <w:rFonts w:hint="eastAsia" w:ascii="宋体" w:hAnsi="宋体" w:eastAsia="宋体"/>
          <w:color w:val="auto"/>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47390063">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报价范围</w:t>
      </w:r>
    </w:p>
    <w:p w14:paraId="02B9D5A1">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highlight w:val="none"/>
        </w:rPr>
        <w:t>30.1经商务标修正后，需对投标人的投标总报价进行报价范围界定。如有投标人的投标总报价超出报价范围的，其投标文件作无效标处理。</w:t>
      </w:r>
    </w:p>
    <w:p w14:paraId="3A88F36E">
      <w:pPr>
        <w:keepNext/>
        <w:keepLines/>
        <w:numPr>
          <w:ilvl w:val="0"/>
          <w:numId w:val="3"/>
        </w:numPr>
        <w:spacing w:before="360" w:line="288" w:lineRule="auto"/>
        <w:jc w:val="left"/>
        <w:outlineLvl w:val="2"/>
        <w:rPr>
          <w:rFonts w:ascii="黑体" w:hAnsi="宋体" w:eastAsia="黑体"/>
          <w:b/>
          <w:color w:val="auto"/>
          <w:sz w:val="21"/>
          <w:highlight w:val="none"/>
        </w:rPr>
      </w:pPr>
      <w:bookmarkStart w:id="109" w:name="_Toc169487812"/>
      <w:bookmarkStart w:id="110" w:name="_Toc155342565"/>
      <w:r>
        <w:rPr>
          <w:rFonts w:hint="eastAsia" w:ascii="黑体" w:hAnsi="宋体" w:eastAsia="黑体"/>
          <w:b/>
          <w:color w:val="auto"/>
          <w:sz w:val="21"/>
          <w:highlight w:val="none"/>
        </w:rPr>
        <w:t>评标办法</w:t>
      </w:r>
      <w:bookmarkEnd w:id="109"/>
      <w:bookmarkEnd w:id="110"/>
    </w:p>
    <w:p w14:paraId="1EDBB3F8">
      <w:pPr>
        <w:ind w:firstLine="420"/>
        <w:rPr>
          <w:rFonts w:ascii="宋体" w:hAnsi="宋体" w:eastAsia="宋体"/>
          <w:bCs/>
          <w:color w:val="auto"/>
          <w:sz w:val="21"/>
          <w:highlight w:val="none"/>
        </w:rPr>
      </w:pPr>
      <w:r>
        <w:rPr>
          <w:rFonts w:hint="eastAsia" w:ascii="宋体" w:hAnsi="宋体" w:eastAsia="宋体"/>
          <w:bCs/>
          <w:color w:val="auto"/>
          <w:sz w:val="21"/>
          <w:highlight w:val="none"/>
        </w:rPr>
        <w:t>31.1本工程项目采用的评标办法见本须知前附表第26项，具体内容详见本招标文件第二章。</w:t>
      </w:r>
    </w:p>
    <w:p w14:paraId="0A5A1114">
      <w:pPr>
        <w:spacing w:before="360" w:afterLines="50" w:line="320" w:lineRule="exact"/>
        <w:ind w:left="2159" w:hanging="1320"/>
        <w:jc w:val="center"/>
        <w:outlineLvl w:val="1"/>
        <w:rPr>
          <w:rFonts w:ascii="Arial" w:hAnsi="Arial" w:eastAsia="黑体" w:cs="Arial"/>
          <w:b/>
          <w:color w:val="auto"/>
          <w:szCs w:val="24"/>
          <w:highlight w:val="none"/>
        </w:rPr>
      </w:pPr>
      <w:bookmarkStart w:id="111" w:name="_Toc15646"/>
      <w:bookmarkStart w:id="112" w:name="_Toc1799"/>
      <w:r>
        <w:rPr>
          <w:rFonts w:hint="eastAsia" w:ascii="Arial" w:hAnsi="Arial" w:eastAsia="黑体" w:cs="Arial"/>
          <w:b/>
          <w:color w:val="auto"/>
          <w:szCs w:val="24"/>
          <w:highlight w:val="none"/>
        </w:rPr>
        <w:t>第七节  授予合同</w:t>
      </w:r>
      <w:bookmarkEnd w:id="94"/>
      <w:bookmarkEnd w:id="95"/>
      <w:bookmarkEnd w:id="111"/>
      <w:bookmarkEnd w:id="112"/>
    </w:p>
    <w:p w14:paraId="03FE95C5">
      <w:pPr>
        <w:keepNext/>
        <w:keepLines/>
        <w:numPr>
          <w:ilvl w:val="0"/>
          <w:numId w:val="3"/>
        </w:numPr>
        <w:spacing w:before="360" w:line="288" w:lineRule="auto"/>
        <w:jc w:val="left"/>
        <w:outlineLvl w:val="2"/>
        <w:rPr>
          <w:rFonts w:ascii="黑体" w:hAnsi="宋体" w:eastAsia="黑体"/>
          <w:b/>
          <w:color w:val="auto"/>
          <w:sz w:val="21"/>
          <w:highlight w:val="none"/>
        </w:rPr>
      </w:pPr>
      <w:bookmarkStart w:id="113" w:name="_Toc169487814"/>
      <w:bookmarkStart w:id="114" w:name="_Toc155342567"/>
      <w:bookmarkStart w:id="115" w:name="_Toc500208496"/>
      <w:r>
        <w:rPr>
          <w:rFonts w:hint="eastAsia" w:ascii="黑体" w:hAnsi="宋体" w:eastAsia="黑体"/>
          <w:b/>
          <w:color w:val="auto"/>
          <w:sz w:val="21"/>
          <w:highlight w:val="none"/>
        </w:rPr>
        <w:t>中标候选人公示</w:t>
      </w:r>
      <w:bookmarkEnd w:id="113"/>
      <w:bookmarkEnd w:id="114"/>
    </w:p>
    <w:p w14:paraId="76E235C4">
      <w:pPr>
        <w:pStyle w:val="9"/>
        <w:numPr>
          <w:ilvl w:val="1"/>
          <w:numId w:val="3"/>
        </w:numPr>
        <w:ind w:firstLine="420" w:firstLineChars="200"/>
        <w:rPr>
          <w:color w:val="auto"/>
          <w:highlight w:val="none"/>
        </w:rPr>
      </w:pPr>
      <w:bookmarkStart w:id="116" w:name="_Toc155342568"/>
      <w:bookmarkStart w:id="117" w:name="_Toc169487815"/>
      <w:r>
        <w:rPr>
          <w:rFonts w:hint="eastAsia"/>
          <w:color w:val="auto"/>
          <w:highlight w:val="none"/>
        </w:rPr>
        <w:t>招标人应当将评标委员会推荐的中标候选人在交易场所（发布招标公告的媒体上）进行公示，公示期不得少于1个工作日。</w:t>
      </w:r>
    </w:p>
    <w:p w14:paraId="09F6C0D4">
      <w:pPr>
        <w:pStyle w:val="9"/>
        <w:numPr>
          <w:ilvl w:val="1"/>
          <w:numId w:val="3"/>
        </w:numPr>
        <w:ind w:firstLine="420" w:firstLineChars="200"/>
        <w:rPr>
          <w:color w:val="auto"/>
          <w:highlight w:val="none"/>
        </w:rPr>
      </w:pPr>
      <w:r>
        <w:rPr>
          <w:rFonts w:hint="eastAsia"/>
          <w:color w:val="auto"/>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3F1B0253">
      <w:pPr>
        <w:pStyle w:val="9"/>
        <w:numPr>
          <w:ilvl w:val="1"/>
          <w:numId w:val="3"/>
        </w:numPr>
        <w:ind w:firstLine="420" w:firstLineChars="200"/>
        <w:rPr>
          <w:color w:val="auto"/>
          <w:highlight w:val="none"/>
        </w:rPr>
      </w:pPr>
      <w:r>
        <w:rPr>
          <w:rFonts w:hint="eastAsia"/>
          <w:color w:val="auto"/>
          <w:highlight w:val="none"/>
        </w:rPr>
        <w:t>涉及中标候选人投标资格等情形的，招标人（招标代理机构）可以书面形式要求其进行澄清或说明。中标候选人应自收到书面通知之日起3日内进行澄清或说明。</w:t>
      </w:r>
    </w:p>
    <w:p w14:paraId="54906286">
      <w:pPr>
        <w:pStyle w:val="9"/>
        <w:numPr>
          <w:ilvl w:val="1"/>
          <w:numId w:val="3"/>
        </w:numPr>
        <w:ind w:firstLine="420" w:firstLineChars="200"/>
        <w:rPr>
          <w:color w:val="auto"/>
          <w:highlight w:val="none"/>
        </w:rPr>
      </w:pPr>
      <w:r>
        <w:rPr>
          <w:rFonts w:hint="eastAsia"/>
          <w:color w:val="auto"/>
          <w:highlight w:val="none"/>
        </w:rPr>
        <w:t>中标候选人有以下情形之一的，其资格无效：</w:t>
      </w:r>
    </w:p>
    <w:p w14:paraId="1DA2E388">
      <w:pPr>
        <w:numPr>
          <w:ilvl w:val="0"/>
          <w:numId w:val="4"/>
        </w:num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投标资格不符合本章第4项规定的；</w:t>
      </w:r>
    </w:p>
    <w:p w14:paraId="1DF3AFA4">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（2）投标人提供虚假材料骗取投标资格的；</w:t>
      </w:r>
    </w:p>
    <w:p w14:paraId="356F0F80">
      <w:pPr>
        <w:spacing w:line="288" w:lineRule="auto"/>
        <w:ind w:firstLine="420" w:firstLineChars="200"/>
        <w:rPr>
          <w:color w:val="auto"/>
          <w:highlight w:val="none"/>
        </w:rPr>
      </w:pPr>
      <w:r>
        <w:rPr>
          <w:rFonts w:hint="eastAsia" w:ascii="宋体" w:hAnsi="宋体" w:eastAsia="宋体"/>
          <w:color w:val="auto"/>
          <w:sz w:val="21"/>
          <w:highlight w:val="none"/>
        </w:rPr>
        <w:t>（3）按本章第28项规定应作无效标处理的；</w:t>
      </w:r>
    </w:p>
    <w:p w14:paraId="79BE591D">
      <w:pPr>
        <w:spacing w:line="288" w:lineRule="auto"/>
        <w:ind w:firstLine="420" w:firstLineChars="200"/>
        <w:rPr>
          <w:color w:val="auto"/>
          <w:highlight w:val="none"/>
        </w:rPr>
      </w:pPr>
      <w:r>
        <w:rPr>
          <w:rFonts w:hint="eastAsia" w:ascii="宋体" w:hAnsi="宋体" w:eastAsia="宋体"/>
          <w:color w:val="auto"/>
          <w:sz w:val="21"/>
          <w:highlight w:val="none"/>
        </w:rPr>
        <w:t>（4）拒绝按本章第32.3款规定进行说明或不能合理说明理由的；</w:t>
      </w:r>
    </w:p>
    <w:p w14:paraId="52D1846C">
      <w:pPr>
        <w:spacing w:line="288" w:lineRule="auto"/>
        <w:ind w:firstLine="420"/>
        <w:rPr>
          <w:rFonts w:ascii="宋体" w:hAnsi="宋体" w:eastAsia="宋体"/>
          <w:color w:val="auto"/>
          <w:sz w:val="21"/>
          <w:highlight w:val="none"/>
        </w:rPr>
      </w:pPr>
      <w:r>
        <w:rPr>
          <w:rFonts w:hint="eastAsia" w:ascii="宋体" w:hAnsi="宋体" w:eastAsia="宋体"/>
          <w:color w:val="auto"/>
          <w:sz w:val="21"/>
          <w:highlight w:val="none"/>
        </w:rPr>
        <w:t>（5）法律法规规定作无效标处理的其它情形。</w:t>
      </w:r>
    </w:p>
    <w:bookmarkEnd w:id="115"/>
    <w:bookmarkEnd w:id="116"/>
    <w:bookmarkEnd w:id="117"/>
    <w:p w14:paraId="2A8B57C7">
      <w:pPr>
        <w:keepNext/>
        <w:keepLines/>
        <w:numPr>
          <w:ilvl w:val="0"/>
          <w:numId w:val="3"/>
        </w:numPr>
        <w:spacing w:before="360" w:line="288" w:lineRule="auto"/>
        <w:jc w:val="left"/>
        <w:outlineLvl w:val="2"/>
        <w:rPr>
          <w:rFonts w:ascii="黑体" w:hAnsi="宋体" w:eastAsia="黑体"/>
          <w:b/>
          <w:color w:val="auto"/>
          <w:sz w:val="21"/>
          <w:highlight w:val="none"/>
        </w:rPr>
      </w:pPr>
      <w:bookmarkStart w:id="118" w:name="_Toc169487816"/>
      <w:bookmarkStart w:id="119" w:name="_Toc500208498"/>
      <w:r>
        <w:rPr>
          <w:rFonts w:hint="eastAsia" w:ascii="黑体" w:hAnsi="宋体" w:eastAsia="黑体"/>
          <w:b/>
          <w:color w:val="auto"/>
          <w:sz w:val="21"/>
          <w:highlight w:val="none"/>
        </w:rPr>
        <w:t>中标通知书</w:t>
      </w:r>
      <w:bookmarkEnd w:id="118"/>
    </w:p>
    <w:p w14:paraId="199EAB44">
      <w:pPr>
        <w:pStyle w:val="9"/>
        <w:numPr>
          <w:ilvl w:val="1"/>
          <w:numId w:val="3"/>
        </w:numPr>
        <w:ind w:firstLine="420" w:firstLineChars="200"/>
        <w:rPr>
          <w:b/>
          <w:color w:val="auto"/>
          <w:highlight w:val="none"/>
        </w:rPr>
      </w:pPr>
      <w:bookmarkStart w:id="120" w:name="_Toc155342569"/>
      <w:bookmarkStart w:id="121" w:name="_Toc169487817"/>
      <w:r>
        <w:rPr>
          <w:rFonts w:hint="eastAsia"/>
          <w:color w:val="auto"/>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color w:val="auto"/>
          <w:szCs w:val="32"/>
          <w:highlight w:val="none"/>
        </w:rPr>
        <w:t>如涉及到其他投标人资格无效，则评标结果不作调整。</w:t>
      </w:r>
    </w:p>
    <w:p w14:paraId="7C199276">
      <w:pPr>
        <w:pStyle w:val="9"/>
        <w:numPr>
          <w:ilvl w:val="1"/>
          <w:numId w:val="3"/>
        </w:numPr>
        <w:ind w:firstLine="420" w:firstLineChars="200"/>
        <w:rPr>
          <w:color w:val="auto"/>
          <w:highlight w:val="none"/>
        </w:rPr>
      </w:pPr>
      <w:r>
        <w:rPr>
          <w:rFonts w:hint="eastAsia"/>
          <w:color w:val="auto"/>
          <w:szCs w:val="32"/>
          <w:highlight w:val="none"/>
        </w:rPr>
        <w:t>中标人确定后，招标人应当向中标人发出《建设工程中标通知书》。</w:t>
      </w:r>
    </w:p>
    <w:p w14:paraId="676B9715">
      <w:pPr>
        <w:pStyle w:val="9"/>
        <w:numPr>
          <w:ilvl w:val="1"/>
          <w:numId w:val="3"/>
        </w:numPr>
        <w:ind w:firstLine="420" w:firstLineChars="200"/>
        <w:rPr>
          <w:color w:val="auto"/>
          <w:szCs w:val="32"/>
          <w:highlight w:val="none"/>
        </w:rPr>
      </w:pPr>
      <w:r>
        <w:rPr>
          <w:rFonts w:hint="eastAsia"/>
          <w:color w:val="auto"/>
          <w:szCs w:val="32"/>
          <w:highlight w:val="none"/>
        </w:rPr>
        <w:t>招标人在发出《建设工程中标通知书》的同时，应当将中标结果发布在交易场所（发布招标公告的媒体上）。</w:t>
      </w:r>
    </w:p>
    <w:p w14:paraId="330DA2ED">
      <w:pPr>
        <w:pStyle w:val="9"/>
        <w:numPr>
          <w:ilvl w:val="1"/>
          <w:numId w:val="3"/>
        </w:numPr>
        <w:ind w:firstLine="420" w:firstLineChars="200"/>
        <w:rPr>
          <w:color w:val="auto"/>
          <w:highlight w:val="none"/>
        </w:rPr>
      </w:pPr>
      <w:r>
        <w:rPr>
          <w:rFonts w:hint="eastAsia"/>
          <w:color w:val="auto"/>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535A93BD">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合同签订</w:t>
      </w:r>
      <w:bookmarkEnd w:id="120"/>
      <w:bookmarkEnd w:id="121"/>
    </w:p>
    <w:p w14:paraId="3EF58CF6">
      <w:pPr>
        <w:pStyle w:val="9"/>
        <w:numPr>
          <w:ilvl w:val="1"/>
          <w:numId w:val="3"/>
        </w:numPr>
        <w:ind w:firstLine="420" w:firstLineChars="200"/>
        <w:rPr>
          <w:color w:val="auto"/>
          <w:highlight w:val="none"/>
        </w:rPr>
      </w:pPr>
      <w:r>
        <w:rPr>
          <w:color w:val="auto"/>
          <w:highlight w:val="none"/>
        </w:rPr>
        <w:t>中标人应在签订合同前向招标人提交履约担保，未提交履约担保的，不授予合同。履约担保额度详见投标人须知前附表，履约担保</w:t>
      </w:r>
      <w:r>
        <w:rPr>
          <w:rFonts w:hint="eastAsia"/>
          <w:color w:val="auto"/>
          <w:highlight w:val="none"/>
        </w:rPr>
        <w:t>可以</w:t>
      </w:r>
      <w:r>
        <w:rPr>
          <w:color w:val="auto"/>
          <w:highlight w:val="none"/>
        </w:rPr>
        <w:t>采用</w:t>
      </w:r>
      <w:r>
        <w:rPr>
          <w:rFonts w:hint="eastAsia"/>
          <w:b/>
          <w:color w:val="auto"/>
          <w:highlight w:val="none"/>
        </w:rPr>
        <w:t>工程保函（银行保函、保险机构保证保险保单和融资担保公司保函 ）</w:t>
      </w:r>
      <w:r>
        <w:rPr>
          <w:rFonts w:hint="eastAsia"/>
          <w:color w:val="auto"/>
          <w:highlight w:val="none"/>
        </w:rPr>
        <w:t xml:space="preserve"> 或现金形式</w:t>
      </w:r>
      <w:r>
        <w:rPr>
          <w:color w:val="auto"/>
          <w:highlight w:val="none"/>
        </w:rPr>
        <w:t>。</w:t>
      </w:r>
    </w:p>
    <w:p w14:paraId="6F031143">
      <w:pPr>
        <w:pStyle w:val="9"/>
        <w:numPr>
          <w:ilvl w:val="1"/>
          <w:numId w:val="3"/>
        </w:numPr>
        <w:ind w:firstLine="420" w:firstLineChars="200"/>
        <w:rPr>
          <w:color w:val="auto"/>
          <w:highlight w:val="none"/>
        </w:rPr>
      </w:pPr>
      <w:r>
        <w:rPr>
          <w:rFonts w:hint="eastAsia"/>
          <w:color w:val="auto"/>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2412AD9A">
      <w:pPr>
        <w:pStyle w:val="9"/>
        <w:numPr>
          <w:ilvl w:val="1"/>
          <w:numId w:val="3"/>
        </w:numPr>
        <w:ind w:firstLine="420" w:firstLineChars="200"/>
        <w:rPr>
          <w:color w:val="auto"/>
          <w:highlight w:val="none"/>
        </w:rPr>
      </w:pPr>
      <w:r>
        <w:rPr>
          <w:rFonts w:hint="eastAsia"/>
          <w:color w:val="auto"/>
          <w:szCs w:val="32"/>
          <w:highlight w:val="none"/>
        </w:rPr>
        <w:t>招标人与中标人须根据国家、省、市建设工程施工合同管理的规定及招标文件、投标文件，草签施工合同，待合同管理部门审查后正式签订。</w:t>
      </w:r>
    </w:p>
    <w:p w14:paraId="7AB35A91">
      <w:pPr>
        <w:pStyle w:val="9"/>
        <w:numPr>
          <w:ilvl w:val="1"/>
          <w:numId w:val="3"/>
        </w:numPr>
        <w:ind w:firstLine="420" w:firstLineChars="200"/>
        <w:rPr>
          <w:color w:val="auto"/>
          <w:highlight w:val="none"/>
        </w:rPr>
      </w:pPr>
      <w:r>
        <w:rPr>
          <w:rFonts w:hint="eastAsia"/>
          <w:color w:val="auto"/>
          <w:szCs w:val="32"/>
          <w:highlight w:val="none"/>
        </w:rPr>
        <w:t>招标人与中标人应当</w:t>
      </w:r>
      <w:r>
        <w:rPr>
          <w:rFonts w:hint="eastAsia"/>
          <w:color w:val="auto"/>
          <w:highlight w:val="none"/>
        </w:rPr>
        <w:t>按照《关于在我市工程建设领域推行廉政合同的通知》（台纪[2001]19号）的要求签订《廉政合同》。</w:t>
      </w:r>
      <w:bookmarkEnd w:id="119"/>
    </w:p>
    <w:bookmarkEnd w:id="3"/>
    <w:bookmarkEnd w:id="4"/>
    <w:bookmarkEnd w:id="5"/>
    <w:bookmarkEnd w:id="6"/>
    <w:p w14:paraId="030FB37E">
      <w:pPr>
        <w:pStyle w:val="2"/>
        <w:spacing w:line="288" w:lineRule="auto"/>
        <w:ind w:left="300"/>
        <w:rPr>
          <w:rFonts w:ascii="宋体" w:eastAsia="宋体"/>
          <w:b w:val="0"/>
          <w:bCs/>
          <w:color w:val="auto"/>
          <w:sz w:val="44"/>
          <w:highlight w:val="none"/>
        </w:rPr>
      </w:pPr>
      <w:bookmarkStart w:id="122" w:name="_Toc386121757"/>
      <w:bookmarkStart w:id="123" w:name="_Toc386121568"/>
      <w:bookmarkStart w:id="124" w:name="_Toc169487823"/>
      <w:bookmarkStart w:id="125" w:name="_Toc511741120"/>
    </w:p>
    <w:p w14:paraId="04F04442">
      <w:pPr>
        <w:rPr>
          <w:rFonts w:ascii="宋体" w:eastAsia="宋体"/>
          <w:bCs/>
          <w:color w:val="auto"/>
          <w:sz w:val="44"/>
          <w:highlight w:val="none"/>
        </w:rPr>
      </w:pPr>
    </w:p>
    <w:p w14:paraId="6F8CE88B">
      <w:pPr>
        <w:rPr>
          <w:rFonts w:ascii="宋体" w:eastAsia="宋体"/>
          <w:bCs/>
          <w:color w:val="auto"/>
          <w:sz w:val="44"/>
          <w:highlight w:val="none"/>
        </w:rPr>
      </w:pPr>
    </w:p>
    <w:p w14:paraId="1B67D551">
      <w:pPr>
        <w:pStyle w:val="20"/>
        <w:rPr>
          <w:color w:val="auto"/>
          <w:highlight w:val="none"/>
        </w:rPr>
      </w:pPr>
    </w:p>
    <w:p w14:paraId="10C12EF1">
      <w:pPr>
        <w:rPr>
          <w:color w:val="auto"/>
          <w:highlight w:val="none"/>
        </w:rPr>
      </w:pPr>
    </w:p>
    <w:p w14:paraId="26DDEF19">
      <w:pPr>
        <w:pStyle w:val="8"/>
        <w:outlineLvl w:val="0"/>
        <w:rPr>
          <w:rFonts w:hint="eastAsia" w:ascii="黑体" w:hAnsi="黑体" w:eastAsia="黑体"/>
          <w:b/>
          <w:color w:val="auto"/>
          <w:sz w:val="32"/>
          <w:szCs w:val="32"/>
          <w:highlight w:val="none"/>
        </w:rPr>
      </w:pPr>
      <w:bookmarkStart w:id="126" w:name="_Toc20217"/>
      <w:bookmarkStart w:id="127" w:name="_Toc484683196"/>
      <w:bookmarkStart w:id="128" w:name="_Toc561"/>
    </w:p>
    <w:p w14:paraId="24A46DFE">
      <w:pPr>
        <w:pStyle w:val="8"/>
        <w:outlineLvl w:val="0"/>
        <w:rPr>
          <w:rFonts w:hint="eastAsia" w:ascii="黑体" w:hAnsi="黑体" w:eastAsia="黑体"/>
          <w:b/>
          <w:color w:val="auto"/>
          <w:sz w:val="32"/>
          <w:szCs w:val="32"/>
          <w:highlight w:val="none"/>
        </w:rPr>
      </w:pPr>
    </w:p>
    <w:p w14:paraId="6AFC0B29">
      <w:pPr>
        <w:pStyle w:val="8"/>
        <w:outlineLvl w:val="0"/>
        <w:rPr>
          <w:rFonts w:hint="eastAsia" w:ascii="黑体" w:hAnsi="黑体" w:eastAsia="黑体"/>
          <w:b/>
          <w:color w:val="auto"/>
          <w:sz w:val="32"/>
          <w:szCs w:val="32"/>
          <w:highlight w:val="none"/>
        </w:rPr>
      </w:pPr>
    </w:p>
    <w:p w14:paraId="474424B6">
      <w:pPr>
        <w:pStyle w:val="8"/>
        <w:outlineLvl w:val="0"/>
        <w:rPr>
          <w:rFonts w:hint="eastAsia" w:ascii="黑体" w:hAnsi="黑体" w:eastAsia="黑体"/>
          <w:b/>
          <w:color w:val="auto"/>
          <w:sz w:val="32"/>
          <w:szCs w:val="32"/>
          <w:highlight w:val="none"/>
        </w:rPr>
      </w:pPr>
    </w:p>
    <w:p w14:paraId="57EC6ED8">
      <w:pPr>
        <w:pStyle w:val="8"/>
        <w:outlineLvl w:val="0"/>
        <w:rPr>
          <w:rFonts w:hint="eastAsia" w:ascii="黑体" w:hAnsi="黑体" w:eastAsia="黑体"/>
          <w:b/>
          <w:color w:val="auto"/>
          <w:sz w:val="32"/>
          <w:szCs w:val="32"/>
          <w:highlight w:val="none"/>
        </w:rPr>
      </w:pPr>
    </w:p>
    <w:p w14:paraId="0D3E7572">
      <w:pPr>
        <w:pStyle w:val="8"/>
        <w:outlineLvl w:val="0"/>
        <w:rPr>
          <w:b/>
          <w:color w:val="auto"/>
          <w:highlight w:val="none"/>
        </w:rPr>
      </w:pPr>
      <w:r>
        <w:rPr>
          <w:rFonts w:hint="eastAsia" w:ascii="黑体" w:hAnsi="黑体" w:eastAsia="黑体"/>
          <w:b/>
          <w:color w:val="auto"/>
          <w:sz w:val="32"/>
          <w:szCs w:val="32"/>
          <w:highlight w:val="none"/>
        </w:rPr>
        <w:t>第二章  评标办法</w:t>
      </w:r>
      <w:bookmarkEnd w:id="126"/>
      <w:bookmarkEnd w:id="127"/>
    </w:p>
    <w:p w14:paraId="26CD6D0A">
      <w:pPr>
        <w:spacing w:line="720" w:lineRule="exact"/>
        <w:jc w:val="center"/>
        <w:rPr>
          <w:rFonts w:ascii="方正小标宋简体" w:hAnsi="方正小标宋简体" w:eastAsia="方正小标宋简体" w:cs="方正小标宋简体"/>
          <w:color w:val="auto"/>
          <w:sz w:val="38"/>
          <w:szCs w:val="38"/>
          <w:highlight w:val="none"/>
        </w:rPr>
      </w:pPr>
      <w:r>
        <w:rPr>
          <w:rFonts w:hint="eastAsia" w:ascii="方正小标宋简体" w:hAnsi="方正小标宋简体" w:eastAsia="方正小标宋简体" w:cs="方正小标宋简体"/>
          <w:color w:val="auto"/>
          <w:sz w:val="38"/>
          <w:szCs w:val="38"/>
          <w:highlight w:val="none"/>
        </w:rPr>
        <w:t>临海市限额以下公共资源交易工程建设项目</w:t>
      </w:r>
    </w:p>
    <w:p w14:paraId="29A7290E">
      <w:pPr>
        <w:spacing w:line="720" w:lineRule="exact"/>
        <w:jc w:val="center"/>
        <w:rPr>
          <w:rFonts w:eastAsia="黑体"/>
          <w:color w:val="auto"/>
          <w:kern w:val="0"/>
          <w:szCs w:val="32"/>
          <w:highlight w:val="none"/>
        </w:rPr>
      </w:pPr>
      <w:r>
        <w:rPr>
          <w:rFonts w:ascii="方正小标宋简体" w:hAnsi="方正小标宋简体" w:eastAsia="方正小标宋简体" w:cs="方正小标宋简体"/>
          <w:color w:val="auto"/>
          <w:sz w:val="38"/>
          <w:szCs w:val="38"/>
          <w:highlight w:val="none"/>
        </w:rPr>
        <w:t>房建市政项目</w:t>
      </w:r>
      <w:r>
        <w:rPr>
          <w:rFonts w:hint="eastAsia" w:ascii="方正小标宋简体" w:hAnsi="方正小标宋简体" w:eastAsia="方正小标宋简体" w:cs="方正小标宋简体"/>
          <w:color w:val="auto"/>
          <w:sz w:val="38"/>
          <w:szCs w:val="38"/>
          <w:highlight w:val="none"/>
        </w:rPr>
        <w:t>评标办法</w:t>
      </w:r>
    </w:p>
    <w:p w14:paraId="173F5B3A">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评标顺序</w:t>
      </w:r>
    </w:p>
    <w:p w14:paraId="35C73135">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（一）商务标评审</w:t>
      </w:r>
    </w:p>
    <w:p w14:paraId="4A1BABEB">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（二）资信标评审</w:t>
      </w:r>
    </w:p>
    <w:p w14:paraId="42A06788">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(三)确定中标候选人</w:t>
      </w:r>
    </w:p>
    <w:p w14:paraId="592C64CD">
      <w:pPr>
        <w:snapToGrid w:val="0"/>
        <w:spacing w:line="360" w:lineRule="auto"/>
        <w:ind w:firstLine="422" w:firstLineChars="200"/>
        <w:outlineLvl w:val="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一、商务标评审（100分）</w:t>
      </w:r>
    </w:p>
    <w:p w14:paraId="3F647499">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（一）评标标底价</w:t>
      </w:r>
    </w:p>
    <w:p w14:paraId="2118A927">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最高投标限价乘以调整系数作为评标标底价，即评标标底价＝最高投标限价×调整系数。（以元为单位，保留整数，小数点后第1位四舍五入）</w:t>
      </w:r>
    </w:p>
    <w:p w14:paraId="16F240EE">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调整系数＝（100–D）%，D值在0.000～0.999范围内随机抽取产生。先从0～9中抽取十分位数字X，再从0～9中抽取百分位数字Y，再从0～9中抽取千分位数字Z，则抽取的D值即为0.XYZ。</w:t>
      </w:r>
    </w:p>
    <w:p w14:paraId="3C47B34F">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（二）商务标得分</w:t>
      </w:r>
    </w:p>
    <w:p w14:paraId="006458B2">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2A5C3B50">
      <w:pPr>
        <w:snapToGrid w:val="0"/>
        <w:spacing w:line="360"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二、资信标评审</w:t>
      </w:r>
    </w:p>
    <w:p w14:paraId="7A3F5EEF">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50B59315">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在必要情况下，评标委员会可对全部投标单位资信标进行核查。</w:t>
      </w:r>
    </w:p>
    <w:p w14:paraId="7483CCBA">
      <w:pPr>
        <w:snapToGrid w:val="0"/>
        <w:spacing w:line="360" w:lineRule="auto"/>
        <w:ind w:firstLine="420" w:firstLineChars="200"/>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三、</w:t>
      </w:r>
      <w:r>
        <w:rPr>
          <w:rFonts w:hint="eastAsia" w:ascii="宋体" w:hAnsi="宋体" w:eastAsia="宋体" w:cs="宋体"/>
          <w:b/>
          <w:bCs/>
          <w:color w:val="auto"/>
          <w:sz w:val="21"/>
          <w:szCs w:val="21"/>
          <w:highlight w:val="none"/>
        </w:rPr>
        <w:t>中标候选人的确定</w:t>
      </w:r>
    </w:p>
    <w:p w14:paraId="2006EB70">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30A57FC8">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（一）投标报价低者；</w:t>
      </w:r>
    </w:p>
    <w:p w14:paraId="529D5ACE">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（二）抽签确定。</w:t>
      </w:r>
    </w:p>
    <w:p w14:paraId="7BC68920">
      <w:pPr>
        <w:spacing w:line="288" w:lineRule="auto"/>
        <w:ind w:firstLine="525" w:firstLineChars="250"/>
        <w:rPr>
          <w:rFonts w:ascii="宋体" w:hAnsi="宋体" w:eastAsia="宋体"/>
          <w:color w:val="auto"/>
          <w:sz w:val="21"/>
          <w:highlight w:val="none"/>
        </w:rPr>
      </w:pPr>
    </w:p>
    <w:p w14:paraId="30F72DE9">
      <w:pPr>
        <w:pStyle w:val="2"/>
        <w:spacing w:line="288" w:lineRule="auto"/>
        <w:jc w:val="both"/>
        <w:rPr>
          <w:rFonts w:hAnsi="黑体"/>
          <w:color w:val="auto"/>
          <w:sz w:val="30"/>
          <w:szCs w:val="22"/>
          <w:highlight w:val="none"/>
        </w:rPr>
      </w:pPr>
    </w:p>
    <w:p w14:paraId="452DD19E">
      <w:pPr>
        <w:rPr>
          <w:rFonts w:hAnsi="黑体"/>
          <w:color w:val="auto"/>
          <w:sz w:val="30"/>
          <w:szCs w:val="22"/>
          <w:highlight w:val="none"/>
        </w:rPr>
      </w:pPr>
    </w:p>
    <w:p w14:paraId="4EB8A7FA">
      <w:pPr>
        <w:pStyle w:val="20"/>
        <w:rPr>
          <w:color w:val="auto"/>
          <w:highlight w:val="none"/>
        </w:rPr>
      </w:pPr>
    </w:p>
    <w:p w14:paraId="76C074F4">
      <w:pPr>
        <w:pStyle w:val="2"/>
        <w:spacing w:line="288" w:lineRule="auto"/>
        <w:rPr>
          <w:rFonts w:hAnsi="黑体"/>
          <w:color w:val="auto"/>
          <w:sz w:val="30"/>
          <w:szCs w:val="22"/>
          <w:highlight w:val="none"/>
        </w:rPr>
      </w:pPr>
      <w:r>
        <w:rPr>
          <w:rFonts w:hint="eastAsia" w:hAnsi="黑体"/>
          <w:color w:val="auto"/>
          <w:sz w:val="30"/>
          <w:szCs w:val="22"/>
          <w:highlight w:val="none"/>
        </w:rPr>
        <w:t>第三章  合同条款</w:t>
      </w:r>
    </w:p>
    <w:p w14:paraId="115BB305">
      <w:pPr>
        <w:pStyle w:val="31"/>
        <w:spacing w:line="288" w:lineRule="auto"/>
        <w:rPr>
          <w:rFonts w:ascii="宋体" w:hAnsi="宋体" w:eastAsia="宋体" w:cs="宋体"/>
          <w:color w:val="auto"/>
          <w:sz w:val="24"/>
          <w:szCs w:val="24"/>
          <w:highlight w:val="none"/>
        </w:rPr>
      </w:pPr>
    </w:p>
    <w:p w14:paraId="27850BDB">
      <w:pPr>
        <w:pStyle w:val="31"/>
        <w:spacing w:line="288" w:lineRule="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合同文本采用</w:t>
      </w:r>
      <w:r>
        <w:rPr>
          <w:rFonts w:hint="eastAsia" w:ascii="宋体" w:hAnsi="宋体" w:eastAsia="宋体" w:cs="宋体"/>
          <w:b/>
          <w:bCs/>
          <w:color w:val="auto"/>
          <w:sz w:val="21"/>
          <w:szCs w:val="21"/>
          <w:highlight w:val="none"/>
        </w:rPr>
        <w:t>《建设工程施工合同（GF—2017—0201）专用条款台州示范文本（定额计价）》（台建〔2020〕120号）</w:t>
      </w:r>
      <w:r>
        <w:rPr>
          <w:rFonts w:hint="eastAsia" w:ascii="宋体" w:hAnsi="宋体" w:eastAsia="宋体" w:cs="宋体"/>
          <w:color w:val="auto"/>
          <w:sz w:val="21"/>
          <w:szCs w:val="21"/>
          <w:highlight w:val="none"/>
        </w:rPr>
        <w:t>。</w:t>
      </w:r>
    </w:p>
    <w:p w14:paraId="0E5CD398">
      <w:pPr>
        <w:spacing w:line="3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合同通用条款采用《台州市建设工程施工合同（示范文本）》的通用条款。</w:t>
      </w:r>
    </w:p>
    <w:p w14:paraId="1214B605">
      <w:pPr>
        <w:spacing w:line="3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合同专用条款中的主要条款将由招标人(发包人)与中标人(承包人)根据各具体工程的投标文件签订。</w:t>
      </w:r>
    </w:p>
    <w:p w14:paraId="4CA7B48D">
      <w:pPr>
        <w:pStyle w:val="10"/>
        <w:ind w:left="1920"/>
        <w:rPr>
          <w:color w:val="auto"/>
          <w:highlight w:val="none"/>
        </w:rPr>
        <w:sectPr>
          <w:footerReference r:id="rId14"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00D15B3E">
      <w:pPr>
        <w:pStyle w:val="4"/>
        <w:numPr>
          <w:ilvl w:val="0"/>
          <w:numId w:val="0"/>
        </w:numPr>
        <w:spacing w:line="400" w:lineRule="exact"/>
        <w:ind w:left="574"/>
        <w:jc w:val="center"/>
        <w:rPr>
          <w:rFonts w:ascii="宋体" w:eastAsia="宋体" w:cs="宋体"/>
          <w:color w:val="auto"/>
          <w:sz w:val="32"/>
          <w:szCs w:val="32"/>
          <w:highlight w:val="none"/>
        </w:rPr>
      </w:pPr>
      <w:bookmarkStart w:id="129" w:name="_Toc239477934"/>
      <w:bookmarkStart w:id="130" w:name="_Toc267580969"/>
      <w:bookmarkStart w:id="131" w:name="_Toc511741122"/>
      <w:r>
        <w:rPr>
          <w:rFonts w:hint="eastAsia" w:ascii="宋体" w:eastAsia="宋体" w:cs="宋体"/>
          <w:color w:val="auto"/>
          <w:sz w:val="32"/>
          <w:szCs w:val="32"/>
          <w:highlight w:val="none"/>
        </w:rPr>
        <w:t>第一部分  合同协议书</w:t>
      </w:r>
    </w:p>
    <w:p w14:paraId="2892D565">
      <w:pPr>
        <w:spacing w:line="400" w:lineRule="exact"/>
        <w:rPr>
          <w:rFonts w:ascii="宋体" w:hAnsi="宋体" w:eastAsia="宋体" w:cs="宋体"/>
          <w:color w:val="auto"/>
          <w:sz w:val="21"/>
          <w:szCs w:val="21"/>
          <w:highlight w:val="none"/>
        </w:rPr>
      </w:pPr>
    </w:p>
    <w:p w14:paraId="6DA9987C">
      <w:pPr>
        <w:spacing w:line="360" w:lineRule="exact"/>
        <w:rPr>
          <w:rFonts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发包人（全称）：</w:t>
      </w:r>
      <w:r>
        <w:rPr>
          <w:rFonts w:hint="eastAsia" w:ascii="宋体" w:hAnsi="宋体" w:eastAsia="宋体" w:cs="宋体"/>
          <w:b/>
          <w:bCs/>
          <w:color w:val="auto"/>
          <w:sz w:val="21"/>
          <w:szCs w:val="21"/>
          <w:highlight w:val="none"/>
          <w:u w:val="single"/>
          <w:lang w:val="en-US" w:eastAsia="zh-CN"/>
        </w:rPr>
        <w:t>临海市古城街道许墅村集体经济组织</w:t>
      </w:r>
    </w:p>
    <w:p w14:paraId="12A30EE7">
      <w:pPr>
        <w:spacing w:line="360" w:lineRule="exact"/>
        <w:rPr>
          <w:rFonts w:hint="default" w:ascii="宋体" w:hAnsi="宋体" w:eastAsia="宋体" w:cs="宋体"/>
          <w:b/>
          <w:color w:val="auto"/>
          <w:sz w:val="21"/>
          <w:szCs w:val="21"/>
          <w:highlight w:val="none"/>
          <w:u w:val="single"/>
          <w:lang w:val="en-US" w:eastAsia="zh-CN"/>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p w14:paraId="058AAA22">
      <w:pPr>
        <w:spacing w:line="360" w:lineRule="exact"/>
        <w:ind w:firstLine="412"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eastAsia="zh-CN"/>
        </w:rPr>
        <w:t>许墅村道路及附属项目</w:t>
      </w:r>
      <w:r>
        <w:rPr>
          <w:rFonts w:hint="eastAsia" w:ascii="宋体" w:hAnsi="宋体" w:eastAsia="宋体" w:cs="宋体"/>
          <w:color w:val="auto"/>
          <w:sz w:val="21"/>
          <w:szCs w:val="21"/>
          <w:highlight w:val="none"/>
        </w:rPr>
        <w:t>工程施工及有关事项协商一致，共同达成如下协议：</w:t>
      </w:r>
    </w:p>
    <w:p w14:paraId="3CEBA9C3">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一、工程概况</w:t>
      </w:r>
    </w:p>
    <w:p w14:paraId="5BF3E069">
      <w:pPr>
        <w:spacing w:line="360" w:lineRule="exact"/>
        <w:ind w:firstLine="404" w:firstLineChars="196"/>
        <w:rPr>
          <w:rFonts w:hint="eastAsia" w:ascii="宋体" w:hAnsi="宋体" w:eastAsia="宋体" w:cs="宋体"/>
          <w:b/>
          <w:bCs/>
          <w:color w:val="auto"/>
          <w:sz w:val="21"/>
          <w:szCs w:val="21"/>
          <w:highlight w:val="none"/>
          <w:u w:val="single"/>
          <w:lang w:eastAsia="zh-CN"/>
        </w:rPr>
      </w:pPr>
      <w:r>
        <w:rPr>
          <w:rFonts w:hint="eastAsia" w:ascii="宋体" w:hAnsi="宋体" w:eastAsia="宋体" w:cs="宋体"/>
          <w:bCs/>
          <w:color w:val="auto"/>
          <w:sz w:val="21"/>
          <w:szCs w:val="21"/>
          <w:highlight w:val="none"/>
        </w:rPr>
        <w:t>1．工程名称</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u w:val="single"/>
          <w:lang w:eastAsia="zh-CN"/>
        </w:rPr>
        <w:t>许墅村道路及附属项目</w:t>
      </w:r>
    </w:p>
    <w:p w14:paraId="16D3F3B8">
      <w:pPr>
        <w:spacing w:line="360" w:lineRule="exact"/>
        <w:ind w:firstLine="404" w:firstLineChars="196"/>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2．工程地点：</w:t>
      </w:r>
      <w:r>
        <w:rPr>
          <w:rFonts w:hint="eastAsia" w:ascii="宋体" w:hAnsi="宋体" w:eastAsia="宋体" w:cs="宋体"/>
          <w:b/>
          <w:bCs/>
          <w:color w:val="auto"/>
          <w:sz w:val="21"/>
          <w:szCs w:val="21"/>
          <w:highlight w:val="none"/>
          <w:u w:val="single"/>
          <w:lang w:eastAsia="zh-CN"/>
        </w:rPr>
        <w:t>临海市古城街道许墅村</w:t>
      </w:r>
    </w:p>
    <w:p w14:paraId="5EF1255C">
      <w:pPr>
        <w:spacing w:line="360" w:lineRule="exact"/>
        <w:ind w:firstLine="404" w:firstLineChars="196"/>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3．工程立项批准文号：</w:t>
      </w:r>
      <w:r>
        <w:rPr>
          <w:rFonts w:hint="eastAsia" w:ascii="宋体" w:hAnsi="宋体" w:eastAsia="宋体" w:cs="宋体"/>
          <w:bCs/>
          <w:color w:val="auto"/>
          <w:sz w:val="21"/>
          <w:szCs w:val="21"/>
          <w:highlight w:val="none"/>
          <w:u w:val="single"/>
          <w:lang w:val="en-US" w:eastAsia="zh-CN"/>
        </w:rPr>
        <w:t xml:space="preserve">                </w:t>
      </w:r>
    </w:p>
    <w:p w14:paraId="20B817ED">
      <w:pPr>
        <w:spacing w:line="360" w:lineRule="exact"/>
        <w:ind w:firstLine="404" w:firstLineChars="196"/>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4．资金来源：</w:t>
      </w:r>
      <w:r>
        <w:rPr>
          <w:rFonts w:hint="eastAsia" w:ascii="宋体" w:hAnsi="宋体" w:eastAsia="宋体"/>
          <w:color w:val="auto"/>
          <w:sz w:val="21"/>
          <w:highlight w:val="none"/>
          <w:u w:val="single"/>
          <w:lang w:val="en-US" w:eastAsia="zh-CN"/>
        </w:rPr>
        <w:t>财政最高补助投资额100万元的三分之二，超出部分由村自筹</w:t>
      </w:r>
    </w:p>
    <w:p w14:paraId="323F87DA">
      <w:pPr>
        <w:spacing w:line="360" w:lineRule="exact"/>
        <w:ind w:firstLine="404" w:firstLineChars="196"/>
        <w:rPr>
          <w:rFonts w:hint="eastAsia" w:ascii="宋体" w:hAnsi="宋体" w:eastAsia="宋体"/>
          <w:color w:val="auto"/>
          <w:sz w:val="21"/>
          <w:highlight w:val="none"/>
          <w:lang w:eastAsia="zh-CN"/>
        </w:rPr>
      </w:pPr>
      <w:r>
        <w:rPr>
          <w:rFonts w:hint="eastAsia" w:ascii="宋体" w:hAnsi="宋体" w:eastAsia="宋体" w:cs="宋体"/>
          <w:bCs/>
          <w:color w:val="auto"/>
          <w:sz w:val="21"/>
          <w:szCs w:val="21"/>
          <w:highlight w:val="none"/>
        </w:rPr>
        <w:t>5．工程内容：</w:t>
      </w:r>
      <w:r>
        <w:rPr>
          <w:rFonts w:hint="eastAsia" w:ascii="宋体" w:hAnsi="宋体" w:eastAsia="宋体" w:cs="宋体"/>
          <w:bCs/>
          <w:color w:val="auto"/>
          <w:sz w:val="21"/>
          <w:szCs w:val="21"/>
          <w:highlight w:val="none"/>
          <w:u w:val="single"/>
          <w:lang w:eastAsia="zh-CN"/>
        </w:rPr>
        <w:t>许墅村道路及附属项目</w:t>
      </w:r>
    </w:p>
    <w:p w14:paraId="761680CE">
      <w:pPr>
        <w:spacing w:line="360" w:lineRule="exact"/>
        <w:ind w:firstLine="404" w:firstLineChars="196"/>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群体工程应附《承包人承揽工程项目一览表》（附件1）。</w:t>
      </w:r>
    </w:p>
    <w:p w14:paraId="3BB754FA">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6．工程承包范围：</w:t>
      </w:r>
    </w:p>
    <w:p w14:paraId="6DCAF1E8">
      <w:pPr>
        <w:spacing w:line="36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发包人提供的图纸范围内的</w:t>
      </w:r>
      <w:r>
        <w:rPr>
          <w:rFonts w:hint="eastAsia" w:ascii="宋体" w:hAnsi="宋体" w:eastAsia="宋体" w:cs="宋体"/>
          <w:b/>
          <w:bCs/>
          <w:color w:val="auto"/>
          <w:sz w:val="21"/>
          <w:szCs w:val="21"/>
          <w:highlight w:val="none"/>
          <w:u w:val="single"/>
          <w:lang w:eastAsia="zh-CN"/>
        </w:rPr>
        <w:t>许墅村道路及附属项目</w:t>
      </w:r>
      <w:r>
        <w:rPr>
          <w:rFonts w:hint="eastAsia" w:ascii="宋体" w:hAnsi="宋体" w:eastAsia="宋体" w:cs="宋体"/>
          <w:color w:val="auto"/>
          <w:sz w:val="21"/>
          <w:szCs w:val="21"/>
          <w:highlight w:val="none"/>
          <w:u w:val="single"/>
        </w:rPr>
        <w:t>，具体内容以发包人提供的预算为准。</w:t>
      </w:r>
    </w:p>
    <w:p w14:paraId="6F4A944F">
      <w:pPr>
        <w:pStyle w:val="6"/>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二、合同工期</w:t>
      </w:r>
    </w:p>
    <w:p w14:paraId="54A21CCA">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color w:val="auto"/>
          <w:sz w:val="21"/>
          <w:szCs w:val="21"/>
          <w:highlight w:val="none"/>
          <w:u w:val="single"/>
        </w:rPr>
        <w:t>以发包人的开工通知为准。</w:t>
      </w:r>
    </w:p>
    <w:p w14:paraId="5C0A5C44">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计划竣工日期：</w:t>
      </w:r>
      <w:r>
        <w:rPr>
          <w:rFonts w:hint="eastAsia" w:ascii="宋体" w:hAnsi="宋体" w:eastAsia="宋体" w:cs="宋体"/>
          <w:color w:val="auto"/>
          <w:sz w:val="21"/>
          <w:szCs w:val="21"/>
          <w:highlight w:val="none"/>
          <w:u w:val="single"/>
        </w:rPr>
        <w:t>按合同工期顺推。</w:t>
      </w:r>
    </w:p>
    <w:p w14:paraId="5AD10890">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工期总日历天数：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天。工期总日历天数与根据前述计划开、竣工日期计算的工期天数不一致的，以工期总日历天数为准。</w:t>
      </w:r>
    </w:p>
    <w:p w14:paraId="7332D645">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三、质量标准</w:t>
      </w:r>
    </w:p>
    <w:p w14:paraId="09BAE418">
      <w:pPr>
        <w:spacing w:line="360" w:lineRule="exact"/>
        <w:ind w:firstLine="459"/>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标准。</w:t>
      </w:r>
    </w:p>
    <w:p w14:paraId="000D4D2F">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四、签约合同价与合同价格形式</w:t>
      </w:r>
    </w:p>
    <w:p w14:paraId="590D825A">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1．签约合同价为：</w:t>
      </w:r>
    </w:p>
    <w:p w14:paraId="707DA41C">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0E124ADC">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2．合同价格形式：</w:t>
      </w:r>
      <w:r>
        <w:rPr>
          <w:rFonts w:hint="eastAsia" w:ascii="宋体" w:hAnsi="宋体" w:eastAsia="宋体" w:cs="宋体"/>
          <w:color w:val="auto"/>
          <w:sz w:val="21"/>
          <w:szCs w:val="21"/>
          <w:highlight w:val="none"/>
          <w:u w:val="single"/>
        </w:rPr>
        <w:t>其他价格形式合同</w:t>
      </w:r>
      <w:r>
        <w:rPr>
          <w:rFonts w:hint="eastAsia" w:ascii="宋体" w:hAnsi="宋体" w:eastAsia="宋体" w:cs="宋体"/>
          <w:color w:val="auto"/>
          <w:sz w:val="21"/>
          <w:szCs w:val="21"/>
          <w:highlight w:val="none"/>
        </w:rPr>
        <w:t>。</w:t>
      </w:r>
    </w:p>
    <w:p w14:paraId="1C9F697E">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3．发包人向承包人支付工程价款及其他应当支付的款项均须汇入承包人合同协议书中的银行账户（先开票后付款）。</w:t>
      </w:r>
    </w:p>
    <w:p w14:paraId="4F7C948D">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承包人完成本合同项下应税行为的计税方式按</w:t>
      </w:r>
      <w:r>
        <w:rPr>
          <w:rFonts w:hint="eastAsia" w:ascii="宋体" w:hAnsi="宋体" w:eastAsia="宋体" w:cs="宋体"/>
          <w:color w:val="auto"/>
          <w:sz w:val="21"/>
          <w:szCs w:val="21"/>
          <w:highlight w:val="none"/>
        </w:rPr>
        <w:t>以下第</w:t>
      </w:r>
      <w:r>
        <w:rPr>
          <w:rFonts w:hint="eastAsia" w:ascii="宋体" w:hAnsi="宋体" w:eastAsia="宋体" w:cs="宋体"/>
          <w:color w:val="auto"/>
          <w:sz w:val="21"/>
          <w:szCs w:val="21"/>
          <w:highlight w:val="none"/>
          <w:u w:val="single"/>
          <w:shd w:val="clear" w:color="auto" w:fill="FFFFFF"/>
        </w:rPr>
        <w:t xml:space="preserve">  1  </w:t>
      </w:r>
      <w:r>
        <w:rPr>
          <w:rFonts w:hint="eastAsia" w:ascii="宋体" w:hAnsi="宋体" w:eastAsia="宋体" w:cs="宋体"/>
          <w:color w:val="auto"/>
          <w:sz w:val="21"/>
          <w:szCs w:val="21"/>
          <w:highlight w:val="none"/>
          <w:shd w:val="clear" w:color="auto" w:fill="FFFFFF"/>
        </w:rPr>
        <w:t>种方法，并与</w:t>
      </w:r>
      <w:r>
        <w:rPr>
          <w:rFonts w:hint="eastAsia" w:ascii="宋体" w:hAnsi="宋体" w:eastAsia="宋体" w:cs="宋体"/>
          <w:color w:val="auto"/>
          <w:sz w:val="21"/>
          <w:szCs w:val="21"/>
          <w:highlight w:val="none"/>
        </w:rPr>
        <w:t>工程计价时采用的计税方法一致。</w:t>
      </w:r>
    </w:p>
    <w:p w14:paraId="25F5239C">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（1）一般计税方法。</w:t>
      </w:r>
    </w:p>
    <w:p w14:paraId="264EA856">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shd w:val="clear" w:color="auto" w:fill="FFFFFF"/>
        </w:rPr>
        <w:t>简易计税方法。</w:t>
      </w:r>
    </w:p>
    <w:p w14:paraId="635E47AE">
      <w:pPr>
        <w:pStyle w:val="6"/>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五、项目经理</w:t>
      </w:r>
    </w:p>
    <w:p w14:paraId="24101CA2">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承包人项目经理：</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17DF7909">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六、合同文件构成</w:t>
      </w:r>
    </w:p>
    <w:p w14:paraId="2BD39DE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本协议书与下列文件一起构成合同文件：</w:t>
      </w:r>
    </w:p>
    <w:p w14:paraId="7682F5B7">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（1）中标通知书（如果有）；</w:t>
      </w:r>
    </w:p>
    <w:p w14:paraId="58C488BF">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（2）投标函及其附录（如果有）；</w:t>
      </w:r>
    </w:p>
    <w:p w14:paraId="0533E620">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（3）专用合同条款及其附件；</w:t>
      </w:r>
    </w:p>
    <w:p w14:paraId="7ECB06DD">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3786BF05">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w:t>
      </w:r>
    </w:p>
    <w:p w14:paraId="7C78349A">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419EE221">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（7）已标价工程量清单或预算书；</w:t>
      </w:r>
    </w:p>
    <w:p w14:paraId="1CCD5F0E">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2FAD279A">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14:paraId="6261B6B4">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4ABD07AC">
      <w:pPr>
        <w:pStyle w:val="6"/>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七、创优目标</w:t>
      </w:r>
    </w:p>
    <w:p w14:paraId="1DDD64A8">
      <w:pPr>
        <w:pStyle w:val="6"/>
        <w:keepNext w:val="0"/>
        <w:keepLines w:val="0"/>
        <w:spacing w:line="360" w:lineRule="exact"/>
        <w:ind w:firstLine="412" w:firstLineChars="200"/>
        <w:rPr>
          <w:rFonts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本工程</w:t>
      </w:r>
      <w:r>
        <w:rPr>
          <w:rFonts w:hint="eastAsia" w:ascii="宋体" w:hAnsi="宋体" w:eastAsia="宋体" w:cs="宋体"/>
          <w:b w:val="0"/>
          <w:bCs w:val="0"/>
          <w:color w:val="auto"/>
          <w:sz w:val="21"/>
          <w:szCs w:val="21"/>
          <w:highlight w:val="none"/>
          <w:u w:val="single"/>
        </w:rPr>
        <w:t>无创优质工程目标</w:t>
      </w:r>
      <w:r>
        <w:rPr>
          <w:rFonts w:hint="eastAsia" w:ascii="宋体" w:hAnsi="宋体" w:eastAsia="宋体" w:cs="宋体"/>
          <w:b w:val="0"/>
          <w:bCs w:val="0"/>
          <w:color w:val="auto"/>
          <w:sz w:val="21"/>
          <w:szCs w:val="21"/>
          <w:highlight w:val="none"/>
        </w:rPr>
        <w:t>。</w:t>
      </w:r>
    </w:p>
    <w:p w14:paraId="1439A8D8">
      <w:pPr>
        <w:pStyle w:val="6"/>
        <w:keepNext w:val="0"/>
        <w:keepLines w:val="0"/>
        <w:spacing w:line="360" w:lineRule="exact"/>
        <w:rPr>
          <w:rFonts w:ascii="宋体" w:hAnsi="宋体" w:eastAsia="宋体" w:cs="宋体"/>
          <w:b w:val="0"/>
          <w:bCs w:val="0"/>
          <w:color w:val="auto"/>
          <w:sz w:val="21"/>
          <w:szCs w:val="21"/>
          <w:highlight w:val="none"/>
        </w:rPr>
      </w:pPr>
      <w:r>
        <w:rPr>
          <w:rFonts w:hint="eastAsia" w:ascii="宋体" w:hAnsi="宋体" w:eastAsia="宋体" w:cs="宋体"/>
          <w:b w:val="0"/>
          <w:color w:val="auto"/>
          <w:sz w:val="21"/>
          <w:szCs w:val="21"/>
          <w:highlight w:val="none"/>
        </w:rPr>
        <w:t>八、承诺</w:t>
      </w:r>
    </w:p>
    <w:p w14:paraId="41BAF39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1．发包人承诺按照法律规定履行项目审批手续、筹集工程建设资金并按照合同约定的期限和方式支付合同价款。</w:t>
      </w:r>
    </w:p>
    <w:p w14:paraId="38B67FC5">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54BA93B7">
      <w:pPr>
        <w:tabs>
          <w:tab w:val="left" w:pos="0"/>
        </w:tabs>
        <w:spacing w:line="36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color w:val="auto"/>
          <w:kern w:val="0"/>
          <w:sz w:val="21"/>
          <w:szCs w:val="21"/>
          <w:highlight w:val="none"/>
        </w:rPr>
        <w:t>承包人</w:t>
      </w:r>
      <w:r>
        <w:rPr>
          <w:rFonts w:hint="eastAsia" w:ascii="宋体" w:hAnsi="宋体" w:eastAsia="宋体" w:cs="宋体"/>
          <w:bCs/>
          <w:color w:val="auto"/>
          <w:sz w:val="21"/>
          <w:szCs w:val="21"/>
          <w:highlight w:val="none"/>
        </w:rPr>
        <w:t>承诺</w:t>
      </w:r>
      <w:r>
        <w:rPr>
          <w:rFonts w:hint="eastAsia" w:ascii="宋体" w:hAnsi="宋体" w:eastAsia="宋体" w:cs="宋体"/>
          <w:color w:val="auto"/>
          <w:kern w:val="0"/>
          <w:sz w:val="21"/>
          <w:szCs w:val="21"/>
          <w:highlight w:val="none"/>
        </w:rPr>
        <w:t>不拖欠工人工资，因拖欠工资造成的一切后果，均由承包人承担，发包人有权将应拔付的工程款，先代付工人工资。</w:t>
      </w:r>
    </w:p>
    <w:p w14:paraId="4175449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4．发包人和承包人通过招投标形式签订合同的，双方理解并承诺不再就同一工程另行签订与合同实质性内容相背离的协议。</w:t>
      </w:r>
    </w:p>
    <w:p w14:paraId="5C46F0FE">
      <w:pPr>
        <w:spacing w:line="360" w:lineRule="exact"/>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九、词语含义</w:t>
      </w:r>
    </w:p>
    <w:p w14:paraId="5155787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本协议书中词语含义与第二部分通用合同条款中赋予的含义相同。</w:t>
      </w:r>
    </w:p>
    <w:p w14:paraId="2840AD7A">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十、签订时间</w:t>
      </w:r>
    </w:p>
    <w:p w14:paraId="47563B7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日签订。</w:t>
      </w:r>
    </w:p>
    <w:p w14:paraId="211E48DA">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十一、签订地点</w:t>
      </w:r>
    </w:p>
    <w:p w14:paraId="06CE8E3C">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签订。</w:t>
      </w:r>
    </w:p>
    <w:p w14:paraId="3B6739B7">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十二、补充协议</w:t>
      </w:r>
    </w:p>
    <w:p w14:paraId="17EA3B10">
      <w:pPr>
        <w:spacing w:line="360" w:lineRule="exact"/>
        <w:ind w:firstLine="412" w:firstLineChars="200"/>
        <w:rPr>
          <w:rFonts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合同未尽事宜，合同当事人另行签订补充协议，补充协议是合同的组成部分。</w:t>
      </w:r>
    </w:p>
    <w:p w14:paraId="41867645">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十三、合同生效</w:t>
      </w:r>
    </w:p>
    <w:p w14:paraId="41A92E64">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hint="eastAsia" w:ascii="宋体" w:hAnsi="宋体" w:eastAsia="宋体" w:cs="宋体"/>
          <w:bCs/>
          <w:color w:val="auto"/>
          <w:sz w:val="21"/>
          <w:szCs w:val="21"/>
          <w:highlight w:val="none"/>
          <w:u w:val="single"/>
        </w:rPr>
        <w:t xml:space="preserve"> 双方法定代表人或委托代理人签字并加盖公章后 </w:t>
      </w:r>
      <w:r>
        <w:rPr>
          <w:rFonts w:hint="eastAsia" w:ascii="宋体" w:hAnsi="宋体" w:eastAsia="宋体" w:cs="宋体"/>
          <w:bCs/>
          <w:color w:val="auto"/>
          <w:sz w:val="21"/>
          <w:szCs w:val="21"/>
          <w:highlight w:val="none"/>
        </w:rPr>
        <w:t>生效。</w:t>
      </w:r>
    </w:p>
    <w:p w14:paraId="3D9512B7">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十四、合同份数</w:t>
      </w:r>
    </w:p>
    <w:p w14:paraId="7DCD58AC">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本合同一式</w:t>
      </w:r>
      <w:r>
        <w:rPr>
          <w:rFonts w:hint="eastAsia" w:ascii="宋体" w:hAnsi="宋体" w:eastAsia="宋体" w:cs="宋体"/>
          <w:bCs/>
          <w:color w:val="auto"/>
          <w:sz w:val="21"/>
          <w:szCs w:val="21"/>
          <w:highlight w:val="none"/>
          <w:u w:val="single"/>
        </w:rPr>
        <w:t xml:space="preserve"> 捌 </w:t>
      </w:r>
      <w:r>
        <w:rPr>
          <w:rFonts w:hint="eastAsia" w:ascii="宋体" w:hAnsi="宋体" w:eastAsia="宋体" w:cs="宋体"/>
          <w:bCs/>
          <w:color w:val="auto"/>
          <w:sz w:val="21"/>
          <w:szCs w:val="21"/>
          <w:highlight w:val="none"/>
        </w:rPr>
        <w:t>份，均具有同等法律效力，发包人执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份，承包人执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份，招标代理机构执</w:t>
      </w:r>
      <w:r>
        <w:rPr>
          <w:rFonts w:hint="eastAsia" w:ascii="宋体" w:hAnsi="宋体" w:eastAsia="宋体" w:cs="宋体"/>
          <w:bCs/>
          <w:color w:val="auto"/>
          <w:sz w:val="21"/>
          <w:szCs w:val="21"/>
          <w:highlight w:val="none"/>
          <w:u w:val="single"/>
        </w:rPr>
        <w:t xml:space="preserve"> 贰 </w:t>
      </w:r>
      <w:r>
        <w:rPr>
          <w:rFonts w:hint="eastAsia" w:ascii="宋体" w:hAnsi="宋体" w:eastAsia="宋体" w:cs="宋体"/>
          <w:bCs/>
          <w:color w:val="auto"/>
          <w:sz w:val="21"/>
          <w:szCs w:val="21"/>
          <w:highlight w:val="none"/>
        </w:rPr>
        <w:t>份。</w:t>
      </w:r>
    </w:p>
    <w:p w14:paraId="060348CB">
      <w:pPr>
        <w:spacing w:line="360" w:lineRule="exact"/>
        <w:ind w:firstLine="412" w:firstLineChars="200"/>
        <w:rPr>
          <w:rFonts w:ascii="宋体" w:hAnsi="宋体" w:eastAsia="宋体" w:cs="宋体"/>
          <w:bCs/>
          <w:color w:val="auto"/>
          <w:sz w:val="21"/>
          <w:szCs w:val="21"/>
          <w:highlight w:val="none"/>
        </w:rPr>
      </w:pPr>
    </w:p>
    <w:tbl>
      <w:tblPr>
        <w:tblStyle w:val="22"/>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78DB5B1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05C4FB4C">
            <w:pPr>
              <w:spacing w:line="360" w:lineRule="exact"/>
              <w:ind w:firstLine="412" w:firstLineChars="200"/>
              <w:rPr>
                <w:rFonts w:ascii="宋体" w:hAnsi="宋体" w:eastAsia="宋体" w:cs="宋体"/>
                <w:bCs/>
                <w:color w:val="auto"/>
                <w:sz w:val="21"/>
                <w:szCs w:val="21"/>
                <w:highlight w:val="none"/>
              </w:rPr>
            </w:pPr>
          </w:p>
          <w:p w14:paraId="5AD44A2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发包人：（公章或合同专用章）</w:t>
            </w:r>
          </w:p>
          <w:p w14:paraId="1F8EB8B9">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14:paraId="03122DB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法定代表人(签字)</w:t>
            </w:r>
          </w:p>
          <w:p w14:paraId="05D3DF14">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或委托代理人(签字)：</w:t>
            </w:r>
          </w:p>
          <w:p w14:paraId="072B2C83">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14:paraId="77EAB3A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14:paraId="7A46387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54A5CEA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14:paraId="68940460">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w:t>
            </w:r>
          </w:p>
          <w:p w14:paraId="0EE6BE5B">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c>
          <w:tcPr>
            <w:tcW w:w="4620" w:type="dxa"/>
          </w:tcPr>
          <w:p w14:paraId="551F3F9B">
            <w:pPr>
              <w:spacing w:line="360" w:lineRule="exact"/>
              <w:ind w:firstLine="412" w:firstLineChars="200"/>
              <w:rPr>
                <w:rFonts w:ascii="宋体" w:hAnsi="宋体" w:eastAsia="宋体" w:cs="宋体"/>
                <w:bCs/>
                <w:color w:val="auto"/>
                <w:sz w:val="21"/>
                <w:szCs w:val="21"/>
                <w:highlight w:val="none"/>
              </w:rPr>
            </w:pPr>
          </w:p>
          <w:p w14:paraId="6E5C20E3">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承包人：（公章或合同专用章）</w:t>
            </w:r>
          </w:p>
          <w:p w14:paraId="615F3EAA">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14:paraId="7DA769B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法定代表人(签字)：</w:t>
            </w:r>
          </w:p>
          <w:p w14:paraId="16FC93C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或委托代理人(签字)：</w:t>
            </w:r>
          </w:p>
          <w:p w14:paraId="4A2D008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14:paraId="54C81D4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14:paraId="5645CB30">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3746F87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14:paraId="49B1357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　　　　</w:t>
            </w:r>
          </w:p>
          <w:p w14:paraId="78C298E1">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r>
    </w:tbl>
    <w:p w14:paraId="134EFF28">
      <w:pPr>
        <w:pStyle w:val="4"/>
        <w:numPr>
          <w:ilvl w:val="0"/>
          <w:numId w:val="0"/>
        </w:numPr>
        <w:spacing w:line="400" w:lineRule="exact"/>
        <w:jc w:val="center"/>
        <w:rPr>
          <w:rFonts w:ascii="宋体" w:eastAsia="宋体" w:cs="宋体"/>
          <w:color w:val="auto"/>
          <w:sz w:val="32"/>
          <w:szCs w:val="32"/>
          <w:highlight w:val="none"/>
        </w:rPr>
      </w:pPr>
      <w:r>
        <w:rPr>
          <w:rFonts w:hint="eastAsia" w:ascii="宋体" w:eastAsia="宋体" w:cs="宋体"/>
          <w:color w:val="auto"/>
          <w:szCs w:val="21"/>
          <w:highlight w:val="none"/>
        </w:rPr>
        <w:br w:type="page"/>
      </w:r>
      <w:r>
        <w:rPr>
          <w:rFonts w:hint="eastAsia" w:ascii="宋体" w:eastAsia="宋体" w:cs="宋体"/>
          <w:color w:val="auto"/>
          <w:sz w:val="32"/>
          <w:szCs w:val="32"/>
          <w:highlight w:val="none"/>
        </w:rPr>
        <w:t>第二部分 通用条款（略）</w:t>
      </w:r>
    </w:p>
    <w:p w14:paraId="7969DBC4">
      <w:pPr>
        <w:rPr>
          <w:rFonts w:ascii="宋体" w:hAnsi="宋体" w:eastAsia="宋体" w:cs="宋体"/>
          <w:b/>
          <w:color w:val="auto"/>
          <w:sz w:val="28"/>
          <w:szCs w:val="28"/>
          <w:highlight w:val="none"/>
        </w:rPr>
      </w:pPr>
    </w:p>
    <w:p w14:paraId="73FA4231">
      <w:pPr>
        <w:rPr>
          <w:rFonts w:ascii="宋体" w:hAnsi="宋体" w:eastAsia="宋体" w:cs="宋体"/>
          <w:b/>
          <w:color w:val="auto"/>
          <w:sz w:val="21"/>
          <w:szCs w:val="21"/>
          <w:highlight w:val="none"/>
        </w:rPr>
      </w:pPr>
    </w:p>
    <w:p w14:paraId="4FABFE47">
      <w:pPr>
        <w:rPr>
          <w:rFonts w:ascii="宋体" w:hAnsi="宋体" w:eastAsia="宋体" w:cs="宋体"/>
          <w:b/>
          <w:color w:val="auto"/>
          <w:sz w:val="21"/>
          <w:szCs w:val="21"/>
          <w:highlight w:val="none"/>
        </w:rPr>
      </w:pPr>
    </w:p>
    <w:p w14:paraId="07C63803">
      <w:pPr>
        <w:rPr>
          <w:rFonts w:ascii="宋体" w:hAnsi="宋体" w:eastAsia="宋体" w:cs="宋体"/>
          <w:b/>
          <w:color w:val="auto"/>
          <w:sz w:val="21"/>
          <w:szCs w:val="21"/>
          <w:highlight w:val="none"/>
        </w:rPr>
      </w:pPr>
    </w:p>
    <w:p w14:paraId="7C6626BB">
      <w:pPr>
        <w:rPr>
          <w:rFonts w:ascii="宋体" w:hAnsi="宋体" w:eastAsia="宋体" w:cs="宋体"/>
          <w:b/>
          <w:color w:val="auto"/>
          <w:sz w:val="21"/>
          <w:szCs w:val="21"/>
          <w:highlight w:val="none"/>
        </w:rPr>
      </w:pPr>
    </w:p>
    <w:p w14:paraId="62A02A31">
      <w:pPr>
        <w:rPr>
          <w:rFonts w:ascii="宋体" w:hAnsi="宋体" w:eastAsia="宋体" w:cs="宋体"/>
          <w:b/>
          <w:color w:val="auto"/>
          <w:sz w:val="21"/>
          <w:szCs w:val="21"/>
          <w:highlight w:val="none"/>
        </w:rPr>
      </w:pPr>
    </w:p>
    <w:p w14:paraId="459DA755">
      <w:pPr>
        <w:rPr>
          <w:rFonts w:ascii="宋体" w:hAnsi="宋体" w:eastAsia="宋体" w:cs="宋体"/>
          <w:b/>
          <w:color w:val="auto"/>
          <w:sz w:val="21"/>
          <w:szCs w:val="21"/>
          <w:highlight w:val="none"/>
        </w:rPr>
      </w:pPr>
    </w:p>
    <w:p w14:paraId="4D7C8B7C">
      <w:pPr>
        <w:rPr>
          <w:rFonts w:ascii="宋体" w:hAnsi="宋体" w:eastAsia="宋体" w:cs="宋体"/>
          <w:b/>
          <w:color w:val="auto"/>
          <w:sz w:val="21"/>
          <w:szCs w:val="21"/>
          <w:highlight w:val="none"/>
        </w:rPr>
      </w:pPr>
    </w:p>
    <w:p w14:paraId="5B46581B">
      <w:pPr>
        <w:rPr>
          <w:rFonts w:ascii="宋体" w:hAnsi="宋体" w:eastAsia="宋体" w:cs="宋体"/>
          <w:b/>
          <w:color w:val="auto"/>
          <w:sz w:val="21"/>
          <w:szCs w:val="21"/>
          <w:highlight w:val="none"/>
        </w:rPr>
      </w:pPr>
    </w:p>
    <w:p w14:paraId="0BD7C1F4">
      <w:pPr>
        <w:rPr>
          <w:rFonts w:ascii="宋体" w:hAnsi="宋体" w:eastAsia="宋体" w:cs="宋体"/>
          <w:b/>
          <w:color w:val="auto"/>
          <w:sz w:val="21"/>
          <w:szCs w:val="21"/>
          <w:highlight w:val="none"/>
        </w:rPr>
      </w:pPr>
    </w:p>
    <w:p w14:paraId="4431194C">
      <w:pPr>
        <w:rPr>
          <w:rFonts w:ascii="宋体" w:hAnsi="宋体" w:eastAsia="宋体" w:cs="宋体"/>
          <w:b/>
          <w:color w:val="auto"/>
          <w:sz w:val="21"/>
          <w:szCs w:val="21"/>
          <w:highlight w:val="none"/>
        </w:rPr>
      </w:pPr>
    </w:p>
    <w:p w14:paraId="07CC3043">
      <w:pPr>
        <w:rPr>
          <w:rFonts w:ascii="宋体" w:hAnsi="宋体" w:eastAsia="宋体" w:cs="宋体"/>
          <w:b/>
          <w:color w:val="auto"/>
          <w:sz w:val="21"/>
          <w:szCs w:val="21"/>
          <w:highlight w:val="none"/>
        </w:rPr>
      </w:pPr>
    </w:p>
    <w:p w14:paraId="2D5CC43C">
      <w:pPr>
        <w:rPr>
          <w:rFonts w:ascii="宋体" w:hAnsi="宋体" w:eastAsia="宋体" w:cs="宋体"/>
          <w:b/>
          <w:color w:val="auto"/>
          <w:sz w:val="21"/>
          <w:szCs w:val="21"/>
          <w:highlight w:val="none"/>
        </w:rPr>
      </w:pPr>
    </w:p>
    <w:p w14:paraId="46146E50">
      <w:pPr>
        <w:rPr>
          <w:rFonts w:ascii="宋体" w:hAnsi="宋体" w:eastAsia="宋体" w:cs="宋体"/>
          <w:b/>
          <w:color w:val="auto"/>
          <w:sz w:val="21"/>
          <w:szCs w:val="21"/>
          <w:highlight w:val="none"/>
        </w:rPr>
      </w:pPr>
    </w:p>
    <w:p w14:paraId="217082B2">
      <w:pPr>
        <w:rPr>
          <w:rFonts w:ascii="宋体" w:hAnsi="宋体" w:eastAsia="宋体" w:cs="宋体"/>
          <w:b/>
          <w:color w:val="auto"/>
          <w:sz w:val="21"/>
          <w:szCs w:val="21"/>
          <w:highlight w:val="none"/>
        </w:rPr>
      </w:pPr>
    </w:p>
    <w:p w14:paraId="7585778F">
      <w:pPr>
        <w:rPr>
          <w:rFonts w:ascii="宋体" w:hAnsi="宋体" w:eastAsia="宋体" w:cs="宋体"/>
          <w:b/>
          <w:color w:val="auto"/>
          <w:sz w:val="21"/>
          <w:szCs w:val="21"/>
          <w:highlight w:val="none"/>
        </w:rPr>
      </w:pPr>
    </w:p>
    <w:p w14:paraId="57560F53">
      <w:pPr>
        <w:rPr>
          <w:rFonts w:ascii="宋体" w:hAnsi="宋体" w:eastAsia="宋体" w:cs="宋体"/>
          <w:b/>
          <w:color w:val="auto"/>
          <w:sz w:val="21"/>
          <w:szCs w:val="21"/>
          <w:highlight w:val="none"/>
        </w:rPr>
      </w:pPr>
    </w:p>
    <w:p w14:paraId="6AE7C3BC">
      <w:pPr>
        <w:rPr>
          <w:rFonts w:ascii="宋体" w:hAnsi="宋体" w:eastAsia="宋体" w:cs="宋体"/>
          <w:b/>
          <w:color w:val="auto"/>
          <w:sz w:val="21"/>
          <w:szCs w:val="21"/>
          <w:highlight w:val="none"/>
        </w:rPr>
      </w:pPr>
    </w:p>
    <w:p w14:paraId="189BE5ED">
      <w:pPr>
        <w:rPr>
          <w:rFonts w:ascii="宋体" w:hAnsi="宋体" w:eastAsia="宋体" w:cs="宋体"/>
          <w:b/>
          <w:color w:val="auto"/>
          <w:sz w:val="21"/>
          <w:szCs w:val="21"/>
          <w:highlight w:val="none"/>
        </w:rPr>
      </w:pPr>
    </w:p>
    <w:p w14:paraId="35705124">
      <w:pPr>
        <w:widowControl/>
        <w:jc w:val="left"/>
        <w:rPr>
          <w:rFonts w:ascii="宋体" w:hAnsi="宋体" w:eastAsia="宋体" w:cs="宋体"/>
          <w:b/>
          <w:color w:val="auto"/>
          <w:sz w:val="21"/>
          <w:szCs w:val="21"/>
          <w:highlight w:val="none"/>
        </w:rPr>
      </w:pPr>
      <w:r>
        <w:rPr>
          <w:rFonts w:ascii="宋体" w:hAnsi="宋体" w:eastAsia="宋体" w:cs="宋体"/>
          <w:b/>
          <w:color w:val="auto"/>
          <w:sz w:val="21"/>
          <w:szCs w:val="21"/>
          <w:highlight w:val="none"/>
        </w:rPr>
        <w:br w:type="page"/>
      </w:r>
    </w:p>
    <w:p w14:paraId="4F374A70">
      <w:pPr>
        <w:pStyle w:val="4"/>
        <w:numPr>
          <w:ilvl w:val="0"/>
          <w:numId w:val="0"/>
        </w:numPr>
        <w:spacing w:line="400" w:lineRule="exact"/>
        <w:jc w:val="center"/>
        <w:rPr>
          <w:rFonts w:ascii="宋体" w:eastAsia="宋体" w:cs="宋体"/>
          <w:color w:val="auto"/>
          <w:sz w:val="32"/>
          <w:szCs w:val="32"/>
          <w:highlight w:val="none"/>
        </w:rPr>
      </w:pPr>
      <w:r>
        <w:rPr>
          <w:rFonts w:hint="eastAsia" w:ascii="宋体" w:eastAsia="宋体" w:cs="宋体"/>
          <w:color w:val="auto"/>
          <w:sz w:val="32"/>
          <w:szCs w:val="32"/>
          <w:highlight w:val="none"/>
        </w:rPr>
        <w:t>第三部分  专用合同条款</w:t>
      </w:r>
    </w:p>
    <w:p w14:paraId="7CF6354A">
      <w:pPr>
        <w:spacing w:line="400" w:lineRule="exact"/>
        <w:rPr>
          <w:rFonts w:ascii="宋体" w:hAnsi="宋体" w:eastAsia="宋体" w:cs="宋体"/>
          <w:color w:val="auto"/>
          <w:sz w:val="21"/>
          <w:szCs w:val="21"/>
          <w:highlight w:val="none"/>
        </w:rPr>
      </w:pPr>
    </w:p>
    <w:p w14:paraId="77BF43B3">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1．一般约定</w:t>
      </w:r>
    </w:p>
    <w:p w14:paraId="368C31F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 词语定义</w:t>
      </w:r>
    </w:p>
    <w:p w14:paraId="11262AA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1.1.1合同</w:t>
      </w:r>
    </w:p>
    <w:p w14:paraId="542E376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1.1.1.10其他合同文件包括：</w:t>
      </w:r>
      <w:r>
        <w:rPr>
          <w:rFonts w:hint="eastAsia" w:ascii="宋体" w:hAnsi="宋体" w:eastAsia="宋体" w:cs="宋体"/>
          <w:color w:val="auto"/>
          <w:kern w:val="0"/>
          <w:sz w:val="21"/>
          <w:szCs w:val="21"/>
          <w:highlight w:val="none"/>
          <w:u w:val="single"/>
        </w:rPr>
        <w:t>工程招标文件、《关于进一步完善政府投资项目管理的若干意见》（临政办发〔2018〕167号）、除投标函及其附录和已标价工程量清单或预算书外的其它投标文件。</w:t>
      </w:r>
    </w:p>
    <w:p w14:paraId="008DA8E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1.1.2合同当事人及其他相关方</w:t>
      </w:r>
    </w:p>
    <w:p w14:paraId="0D3FCD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1.1.2.4监理人：</w:t>
      </w:r>
    </w:p>
    <w:p w14:paraId="317A4AB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2CE223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194383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F20E35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3453B4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A229CC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1.1.2.5设计人：</w:t>
      </w:r>
    </w:p>
    <w:p w14:paraId="4ED2A8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DA047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FD1955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4AF65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30843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C4909F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1.1.3工程和设备</w:t>
      </w:r>
    </w:p>
    <w:p w14:paraId="29C4C93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1.1.3.7作为施工现场组成部分的其他场所包括：</w:t>
      </w:r>
      <w:r>
        <w:rPr>
          <w:rFonts w:hint="eastAsia" w:ascii="宋体" w:hAnsi="宋体" w:eastAsia="宋体" w:cs="宋体"/>
          <w:color w:val="auto"/>
          <w:kern w:val="0"/>
          <w:sz w:val="21"/>
          <w:szCs w:val="21"/>
          <w:highlight w:val="none"/>
          <w:u w:val="single"/>
        </w:rPr>
        <w:t xml:space="preserve">                                        </w:t>
      </w:r>
    </w:p>
    <w:p w14:paraId="5603FF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1.1.3.9永久占地包括：</w:t>
      </w:r>
      <w:r>
        <w:rPr>
          <w:rFonts w:hint="eastAsia" w:ascii="宋体" w:hAnsi="宋体" w:eastAsia="宋体" w:cs="宋体"/>
          <w:color w:val="auto"/>
          <w:kern w:val="0"/>
          <w:sz w:val="21"/>
          <w:szCs w:val="21"/>
          <w:highlight w:val="none"/>
          <w:u w:val="single"/>
        </w:rPr>
        <w:t xml:space="preserve">                                                             </w:t>
      </w:r>
    </w:p>
    <w:p w14:paraId="5C20B8A1">
      <w:pPr>
        <w:spacing w:line="400" w:lineRule="exact"/>
        <w:ind w:firstLine="412" w:firstLineChars="200"/>
        <w:rPr>
          <w:rFonts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1.1.3.10临时占地包括：</w:t>
      </w:r>
      <w:r>
        <w:rPr>
          <w:rFonts w:hint="eastAsia" w:ascii="宋体" w:hAnsi="宋体" w:eastAsia="宋体" w:cs="宋体"/>
          <w:color w:val="auto"/>
          <w:kern w:val="0"/>
          <w:sz w:val="21"/>
          <w:szCs w:val="21"/>
          <w:highlight w:val="none"/>
          <w:u w:val="single"/>
          <w:shd w:val="clear" w:color="auto" w:fill="auto"/>
        </w:rPr>
        <w:t xml:space="preserve">                                                            </w:t>
      </w:r>
    </w:p>
    <w:p w14:paraId="2857579E">
      <w:pPr>
        <w:spacing w:line="400" w:lineRule="exact"/>
        <w:ind w:firstLine="412" w:firstLineChars="20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1.3 法律</w:t>
      </w:r>
    </w:p>
    <w:p w14:paraId="01781659">
      <w:pPr>
        <w:autoSpaceDE w:val="0"/>
        <w:autoSpaceDN w:val="0"/>
        <w:adjustRightInd w:val="0"/>
        <w:spacing w:line="400" w:lineRule="exact"/>
        <w:ind w:firstLine="412" w:firstLineChars="200"/>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u w:val="single"/>
          <w:shd w:val="clear" w:color="auto" w:fill="auto"/>
        </w:rPr>
        <w:t>适用于合同的其他规范性文件：</w:t>
      </w:r>
      <w:r>
        <w:rPr>
          <w:rFonts w:hint="eastAsia" w:ascii="宋体" w:hAnsi="宋体" w:eastAsia="宋体" w:cs="宋体"/>
          <w:color w:val="auto"/>
          <w:sz w:val="21"/>
          <w:szCs w:val="21"/>
          <w:highlight w:val="none"/>
          <w:u w:val="single"/>
          <w:shd w:val="clear" w:color="auto" w:fill="auto"/>
          <w:lang w:val="en-US" w:eastAsia="zh-CN"/>
        </w:rPr>
        <w:t>工程所在地现行的有关工程造价方面规定文件等</w:t>
      </w:r>
      <w:r>
        <w:rPr>
          <w:rFonts w:hint="eastAsia" w:ascii="宋体" w:hAnsi="宋体" w:eastAsia="宋体" w:cs="宋体"/>
          <w:color w:val="auto"/>
          <w:sz w:val="21"/>
          <w:szCs w:val="21"/>
          <w:highlight w:val="none"/>
          <w:u w:val="single"/>
          <w:shd w:val="clear" w:color="auto" w:fill="auto"/>
          <w:lang w:eastAsia="zh-CN"/>
        </w:rPr>
        <w:t>。</w:t>
      </w:r>
    </w:p>
    <w:p w14:paraId="25246551">
      <w:pPr>
        <w:spacing w:line="400" w:lineRule="exact"/>
        <w:ind w:firstLine="412" w:firstLineChars="20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1.4 标准和规范</w:t>
      </w:r>
    </w:p>
    <w:p w14:paraId="661EA1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auto"/>
        </w:rPr>
        <w:t>1.4.1适用于工程的标准规范包括：</w:t>
      </w:r>
      <w:r>
        <w:rPr>
          <w:rFonts w:hint="eastAsia" w:ascii="宋体" w:hAnsi="宋体" w:eastAsia="宋体" w:cs="宋体"/>
          <w:color w:val="auto"/>
          <w:sz w:val="21"/>
          <w:szCs w:val="21"/>
          <w:highlight w:val="none"/>
          <w:u w:val="single"/>
          <w:shd w:val="clear" w:color="auto" w:fill="auto"/>
        </w:rPr>
        <w:t>现行的国家、省、市施工验收规范、质量评定标准及有关规定。合同工期内</w:t>
      </w:r>
      <w:r>
        <w:rPr>
          <w:rFonts w:hint="eastAsia" w:ascii="宋体" w:hAnsi="宋体" w:eastAsia="宋体" w:cs="宋体"/>
          <w:color w:val="auto"/>
          <w:sz w:val="21"/>
          <w:szCs w:val="21"/>
          <w:highlight w:val="none"/>
          <w:u w:val="single"/>
        </w:rPr>
        <w:t>的标准、规范，招标文件中的技术要求等</w:t>
      </w:r>
      <w:r>
        <w:rPr>
          <w:rFonts w:hint="eastAsia" w:ascii="宋体" w:hAnsi="宋体" w:eastAsia="宋体" w:cs="宋体"/>
          <w:color w:val="auto"/>
          <w:sz w:val="21"/>
          <w:szCs w:val="21"/>
          <w:highlight w:val="none"/>
        </w:rPr>
        <w:t>。</w:t>
      </w:r>
    </w:p>
    <w:p w14:paraId="575A4CB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1.4.2发包人提供国外标准、规范的名称：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3F1D80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发包人提供国外标准、规范的份数：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1B6ED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0AAD48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1.4.3发包人对工程的技术标准和功能要求的特殊要求：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C6F0D20">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（国家没有相应标准、规范且不使用国外标准、规范时，按发包人和承包人商定的方案施工）</w:t>
      </w:r>
      <w:r>
        <w:rPr>
          <w:rFonts w:hint="eastAsia" w:ascii="宋体" w:hAnsi="宋体" w:eastAsia="宋体" w:cs="宋体"/>
          <w:color w:val="auto"/>
          <w:sz w:val="21"/>
          <w:szCs w:val="21"/>
          <w:highlight w:val="none"/>
        </w:rPr>
        <w:t>。</w:t>
      </w:r>
    </w:p>
    <w:p w14:paraId="7BCAC6E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 合同文件的优先顺序</w:t>
      </w:r>
    </w:p>
    <w:p w14:paraId="7ED3A7E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合同文件组成及优先顺序为：</w:t>
      </w:r>
      <w:r>
        <w:rPr>
          <w:rFonts w:hint="eastAsia" w:ascii="宋体" w:hAnsi="宋体" w:eastAsia="宋体" w:cs="宋体"/>
          <w:color w:val="auto"/>
          <w:sz w:val="21"/>
          <w:szCs w:val="21"/>
          <w:highlight w:val="none"/>
          <w:u w:val="single"/>
        </w:rPr>
        <w:t>按合同通用条款。</w:t>
      </w:r>
    </w:p>
    <w:p w14:paraId="599F0CD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 图纸和承包人文件</w:t>
      </w:r>
      <w:r>
        <w:rPr>
          <w:rFonts w:hint="eastAsia" w:ascii="宋体" w:hAnsi="宋体" w:eastAsia="宋体" w:cs="宋体"/>
          <w:color w:val="auto"/>
          <w:sz w:val="21"/>
          <w:szCs w:val="21"/>
          <w:highlight w:val="none"/>
        </w:rPr>
        <w:tab/>
      </w:r>
    </w:p>
    <w:p w14:paraId="49759D2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1.6.1图纸的提供</w:t>
      </w:r>
    </w:p>
    <w:p w14:paraId="1A96E00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发包人向承包人提供图纸的期限：</w:t>
      </w:r>
      <w:r>
        <w:rPr>
          <w:rFonts w:hint="eastAsia" w:ascii="宋体" w:hAnsi="宋体" w:eastAsia="宋体" w:cs="宋体"/>
          <w:color w:val="auto"/>
          <w:sz w:val="21"/>
          <w:szCs w:val="21"/>
          <w:highlight w:val="none"/>
          <w:u w:val="single"/>
        </w:rPr>
        <w:t>开工日期14天前</w:t>
      </w:r>
      <w:r>
        <w:rPr>
          <w:rFonts w:hint="eastAsia" w:ascii="宋体" w:hAnsi="宋体" w:eastAsia="宋体" w:cs="宋体"/>
          <w:color w:val="auto"/>
          <w:sz w:val="21"/>
          <w:szCs w:val="21"/>
          <w:highlight w:val="none"/>
        </w:rPr>
        <w:t>；</w:t>
      </w:r>
    </w:p>
    <w:p w14:paraId="18C1BC1D">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发包人向承包人提供图纸的数量：</w:t>
      </w:r>
      <w:r>
        <w:rPr>
          <w:rFonts w:hint="eastAsia" w:ascii="宋体" w:hAnsi="宋体" w:eastAsia="宋体" w:cs="宋体"/>
          <w:color w:val="auto"/>
          <w:sz w:val="21"/>
          <w:szCs w:val="21"/>
          <w:highlight w:val="none"/>
          <w:u w:val="single"/>
        </w:rPr>
        <w:t>纸质施工图叁套并附目录清单及与其一致的电子版施工图。</w:t>
      </w:r>
    </w:p>
    <w:p w14:paraId="6E4783A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发包人向承包人提供图纸的内容：</w:t>
      </w:r>
      <w:r>
        <w:rPr>
          <w:rFonts w:hint="eastAsia" w:ascii="宋体" w:hAnsi="宋体" w:eastAsia="宋体" w:cs="宋体"/>
          <w:color w:val="auto"/>
          <w:sz w:val="21"/>
          <w:szCs w:val="21"/>
          <w:highlight w:val="none"/>
          <w:u w:val="single"/>
        </w:rPr>
        <w:t>须载明施工图纸名称、工程号、版本、出图日期、目录、已有的变更联系单编号等</w:t>
      </w:r>
      <w:r>
        <w:rPr>
          <w:rFonts w:hint="eastAsia" w:ascii="宋体" w:hAnsi="宋体" w:eastAsia="宋体" w:cs="宋体"/>
          <w:color w:val="auto"/>
          <w:sz w:val="21"/>
          <w:szCs w:val="21"/>
          <w:highlight w:val="none"/>
        </w:rPr>
        <w:t>。</w:t>
      </w:r>
    </w:p>
    <w:p w14:paraId="010248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1.6.4承包人文件</w:t>
      </w:r>
    </w:p>
    <w:p w14:paraId="2114BA4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需要由承包人提供的文件，包括：</w:t>
      </w:r>
      <w:r>
        <w:rPr>
          <w:rFonts w:hint="eastAsia" w:ascii="宋体" w:hAnsi="宋体" w:eastAsia="宋体" w:cs="宋体"/>
          <w:color w:val="auto"/>
          <w:sz w:val="21"/>
          <w:szCs w:val="21"/>
          <w:highlight w:val="none"/>
          <w:u w:val="single"/>
        </w:rPr>
        <w:t>资金月使用计划，施工组织设计、专项施工方案、工程总进度计划、工程月进度计划表等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color w:val="auto"/>
          <w:sz w:val="21"/>
          <w:szCs w:val="21"/>
          <w:highlight w:val="none"/>
        </w:rPr>
        <w:t>；</w:t>
      </w:r>
    </w:p>
    <w:p w14:paraId="1B76850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承包人提供的文件的期限为：</w:t>
      </w:r>
      <w:r>
        <w:rPr>
          <w:rFonts w:hint="eastAsia" w:ascii="宋体" w:hAnsi="宋体" w:eastAsia="宋体" w:cs="宋体"/>
          <w:color w:val="auto"/>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color w:val="auto"/>
          <w:sz w:val="21"/>
          <w:szCs w:val="21"/>
          <w:highlight w:val="none"/>
        </w:rPr>
        <w:t>；</w:t>
      </w:r>
    </w:p>
    <w:p w14:paraId="3353E4D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承包人提供的文件的数量为：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按照发包人要求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2019D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承包人提供的文件的形式为：</w:t>
      </w:r>
      <w:r>
        <w:rPr>
          <w:rFonts w:hint="eastAsia" w:ascii="宋体" w:hAnsi="宋体" w:eastAsia="宋体" w:cs="宋体"/>
          <w:color w:val="auto"/>
          <w:sz w:val="21"/>
          <w:szCs w:val="21"/>
          <w:highlight w:val="none"/>
          <w:u w:val="single"/>
        </w:rPr>
        <w:t xml:space="preserve">       纸质及电子版本      </w:t>
      </w:r>
      <w:r>
        <w:rPr>
          <w:rFonts w:hint="eastAsia" w:ascii="宋体" w:hAnsi="宋体" w:eastAsia="宋体" w:cs="宋体"/>
          <w:color w:val="auto"/>
          <w:sz w:val="21"/>
          <w:szCs w:val="21"/>
          <w:highlight w:val="none"/>
        </w:rPr>
        <w:t>；</w:t>
      </w:r>
    </w:p>
    <w:p w14:paraId="364CC5A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发包人审批承包人文件的期限：</w:t>
      </w:r>
      <w:r>
        <w:rPr>
          <w:rFonts w:hint="eastAsia" w:ascii="宋体" w:hAnsi="宋体" w:eastAsia="宋体" w:cs="宋体"/>
          <w:color w:val="auto"/>
          <w:sz w:val="21"/>
          <w:szCs w:val="21"/>
          <w:highlight w:val="none"/>
          <w:u w:val="single"/>
        </w:rPr>
        <w:t xml:space="preserve">   收到相应文件后7天内  </w:t>
      </w:r>
      <w:r>
        <w:rPr>
          <w:rFonts w:hint="eastAsia" w:ascii="宋体" w:hAnsi="宋体" w:eastAsia="宋体" w:cs="宋体"/>
          <w:color w:val="auto"/>
          <w:sz w:val="21"/>
          <w:szCs w:val="21"/>
          <w:highlight w:val="none"/>
        </w:rPr>
        <w:t>。</w:t>
      </w:r>
    </w:p>
    <w:p w14:paraId="3AEF7AD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1.6.5现场图纸准备</w:t>
      </w:r>
    </w:p>
    <w:p w14:paraId="379E304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关于现场图纸准备的约定：</w:t>
      </w:r>
      <w:r>
        <w:rPr>
          <w:rFonts w:hint="eastAsia" w:ascii="宋体" w:hAnsi="宋体" w:eastAsia="宋体" w:cs="宋体"/>
          <w:color w:val="auto"/>
          <w:sz w:val="21"/>
          <w:szCs w:val="21"/>
          <w:highlight w:val="none"/>
          <w:u w:val="single"/>
        </w:rPr>
        <w:t>由监理人在现场保管一套完整施工图，供发包人、监理人及有关人员进行工程检查等活动时使用</w:t>
      </w:r>
      <w:r>
        <w:rPr>
          <w:rFonts w:hint="eastAsia" w:ascii="宋体" w:hAnsi="宋体" w:eastAsia="宋体" w:cs="宋体"/>
          <w:color w:val="auto"/>
          <w:sz w:val="21"/>
          <w:szCs w:val="21"/>
          <w:highlight w:val="none"/>
        </w:rPr>
        <w:t>。</w:t>
      </w:r>
    </w:p>
    <w:p w14:paraId="580061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 联络</w:t>
      </w:r>
    </w:p>
    <w:p w14:paraId="305359BC">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1.7.1发包人和承包人应当在</w:t>
      </w:r>
      <w:r>
        <w:rPr>
          <w:rFonts w:hint="eastAsia" w:ascii="宋体" w:hAnsi="宋体" w:eastAsia="宋体" w:cs="宋体"/>
          <w:color w:val="auto"/>
          <w:sz w:val="21"/>
          <w:szCs w:val="21"/>
          <w:highlight w:val="none"/>
          <w:u w:val="single"/>
        </w:rPr>
        <w:t xml:space="preserve">  7  </w:t>
      </w:r>
      <w:r>
        <w:rPr>
          <w:rFonts w:hint="eastAsia" w:ascii="宋体" w:hAnsi="宋体" w:eastAsia="宋体" w:cs="宋体"/>
          <w:color w:val="auto"/>
          <w:kern w:val="0"/>
          <w:sz w:val="21"/>
          <w:szCs w:val="21"/>
          <w:highlight w:val="none"/>
        </w:rPr>
        <w:t>天内将与合同有关的通知、批准、证明、证书、指示、指令、要求、请求、同意、意见、确定和决定等书面函件送达对方当事人。</w:t>
      </w:r>
    </w:p>
    <w:p w14:paraId="12ADBC5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1.7.2发包人接收文件的地点：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6525916">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发包人接收文件的电子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57A707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72576CB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A533E5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E587DC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67B993B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A89D02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AC2746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3A29E53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发包人、承包人、监理人的文件接收地址、接收人（含联系电话）发生变动的，应提前3天通知各方。</w:t>
      </w:r>
    </w:p>
    <w:p w14:paraId="6DB33E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 交通运输</w:t>
      </w:r>
    </w:p>
    <w:p w14:paraId="5FCF203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1.10.1出入现场的权利</w:t>
      </w:r>
    </w:p>
    <w:p w14:paraId="5859E33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关于出入现场的权利的约定：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B3A63D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1.10.3场内交通</w:t>
      </w:r>
    </w:p>
    <w:p w14:paraId="077AC7C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关于场外交通和场内交通的边界的约定：</w:t>
      </w:r>
      <w:r>
        <w:rPr>
          <w:rFonts w:hint="eastAsia" w:ascii="宋体" w:hAnsi="宋体" w:eastAsia="宋体" w:cs="宋体"/>
          <w:color w:val="auto"/>
          <w:spacing w:val="6"/>
          <w:kern w:val="0"/>
          <w:sz w:val="21"/>
          <w:szCs w:val="21"/>
          <w:highlight w:val="none"/>
          <w:u w:val="single"/>
        </w:rPr>
        <w:t>以现场实际施工条件为准</w:t>
      </w:r>
      <w:r>
        <w:rPr>
          <w:rFonts w:hint="eastAsia" w:ascii="宋体" w:hAnsi="宋体" w:eastAsia="宋体" w:cs="宋体"/>
          <w:color w:val="auto"/>
          <w:spacing w:val="6"/>
          <w:sz w:val="21"/>
          <w:szCs w:val="21"/>
          <w:highlight w:val="none"/>
          <w:u w:val="single"/>
        </w:rPr>
        <w:t>。</w:t>
      </w:r>
    </w:p>
    <w:p w14:paraId="6A40972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关于发包人向承包人免费提供满足工程施工需要的场内道路和交通设施的约定：</w:t>
      </w:r>
      <w:r>
        <w:rPr>
          <w:rFonts w:hint="eastAsia" w:ascii="宋体" w:hAnsi="宋体" w:eastAsia="宋体" w:cs="宋体"/>
          <w:color w:val="auto"/>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202E1CA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1.10.4超大件和超重件的运输</w:t>
      </w:r>
    </w:p>
    <w:p w14:paraId="1030AAC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运输超大件或超重件所需的道路和桥梁临时加固改造费用和其他有关费用</w:t>
      </w:r>
      <w:r>
        <w:rPr>
          <w:rFonts w:hint="eastAsia" w:ascii="宋体" w:hAnsi="宋体" w:eastAsia="宋体" w:cs="宋体"/>
          <w:color w:val="auto"/>
          <w:sz w:val="21"/>
          <w:szCs w:val="21"/>
          <w:highlight w:val="none"/>
          <w:u w:val="single"/>
        </w:rPr>
        <w:t>由承包人在报价中综合考虑并承担相关费用。</w:t>
      </w:r>
    </w:p>
    <w:p w14:paraId="6ADC24C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 知识产权</w:t>
      </w:r>
    </w:p>
    <w:p w14:paraId="0FCB735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4CCB081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关于发包人提供的上述文件的使用限制的要求：</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4DA0FC3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1.11.2关于承包人为实施工程所编制文件的著作权的归属：</w:t>
      </w:r>
      <w:r>
        <w:rPr>
          <w:rFonts w:hint="eastAsia" w:ascii="宋体" w:hAnsi="宋体" w:eastAsia="宋体" w:cs="宋体"/>
          <w:color w:val="auto"/>
          <w:sz w:val="21"/>
          <w:szCs w:val="21"/>
          <w:highlight w:val="none"/>
          <w:u w:val="single"/>
        </w:rPr>
        <w:t>发包人</w:t>
      </w:r>
      <w:r>
        <w:rPr>
          <w:rFonts w:hint="eastAsia" w:ascii="宋体" w:hAnsi="宋体" w:eastAsia="宋体" w:cs="宋体"/>
          <w:color w:val="auto"/>
          <w:sz w:val="21"/>
          <w:szCs w:val="21"/>
          <w:highlight w:val="none"/>
        </w:rPr>
        <w:t>。</w:t>
      </w:r>
    </w:p>
    <w:p w14:paraId="01DF9DE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关于承包人提供的上述文件的使用限制的要求：</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75E03A3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1.11.4承包人在施工过程中所采用的专利、专有技术、技术秘密的使用费的承担方式：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  包含在签约合同价内  </w:t>
      </w:r>
      <w:r>
        <w:rPr>
          <w:rFonts w:hint="eastAsia" w:ascii="宋体" w:hAnsi="宋体" w:eastAsia="宋体" w:cs="宋体"/>
          <w:color w:val="auto"/>
          <w:kern w:val="0"/>
          <w:sz w:val="21"/>
          <w:szCs w:val="21"/>
          <w:highlight w:val="none"/>
        </w:rPr>
        <w:t>。</w:t>
      </w:r>
    </w:p>
    <w:p w14:paraId="6E47903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 工程量清单错误的修正：</w:t>
      </w:r>
      <w:r>
        <w:rPr>
          <w:rFonts w:hint="eastAsia" w:ascii="宋体" w:hAnsi="宋体" w:eastAsia="宋体" w:cs="宋体"/>
          <w:color w:val="auto"/>
          <w:sz w:val="21"/>
          <w:szCs w:val="21"/>
          <w:highlight w:val="none"/>
          <w:u w:val="single"/>
        </w:rPr>
        <w:t>本工程按定额计价不涉及工程量清单相关规则。</w:t>
      </w:r>
    </w:p>
    <w:p w14:paraId="4EB2099E">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2．发包人</w:t>
      </w:r>
    </w:p>
    <w:p w14:paraId="17E41F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2.2 发包人代表</w:t>
      </w:r>
    </w:p>
    <w:p w14:paraId="04ED574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w:t>
      </w:r>
    </w:p>
    <w:p w14:paraId="0BC5B4D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F2ECB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F19F9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AE3117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3FF46E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A5DF7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AFB2398">
      <w:pPr>
        <w:spacing w:line="400" w:lineRule="exact"/>
        <w:ind w:firstLine="200"/>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发包人对发包人代表的授权范围如下：</w:t>
      </w:r>
      <w:r>
        <w:rPr>
          <w:rFonts w:hint="eastAsia" w:ascii="宋体" w:hAnsi="宋体" w:eastAsia="宋体" w:cs="宋体"/>
          <w:color w:val="auto"/>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color w:val="auto"/>
          <w:sz w:val="21"/>
          <w:szCs w:val="21"/>
          <w:highlight w:val="none"/>
        </w:rPr>
        <w:t>。</w:t>
      </w:r>
    </w:p>
    <w:p w14:paraId="138A320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 施工现场、施工条件和基础资料的提供</w:t>
      </w:r>
    </w:p>
    <w:p w14:paraId="5EC9FFC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2.4.1提供施工现场</w:t>
      </w:r>
    </w:p>
    <w:p w14:paraId="3AEB5F7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关于发包人移交施工现场的期限要求：</w:t>
      </w:r>
      <w:r>
        <w:rPr>
          <w:rFonts w:hint="eastAsia" w:ascii="宋体" w:hAnsi="宋体" w:eastAsia="宋体" w:cs="宋体"/>
          <w:color w:val="auto"/>
          <w:sz w:val="21"/>
          <w:szCs w:val="21"/>
          <w:highlight w:val="none"/>
          <w:u w:val="single"/>
        </w:rPr>
        <w:t xml:space="preserve">  开工日期7天前  </w:t>
      </w:r>
      <w:r>
        <w:rPr>
          <w:rFonts w:hint="eastAsia" w:ascii="宋体" w:hAnsi="宋体" w:eastAsia="宋体" w:cs="宋体"/>
          <w:color w:val="auto"/>
          <w:sz w:val="21"/>
          <w:szCs w:val="21"/>
          <w:highlight w:val="none"/>
        </w:rPr>
        <w:t>。</w:t>
      </w:r>
    </w:p>
    <w:p w14:paraId="4FC079F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2.4.2提供施工条件</w:t>
      </w:r>
    </w:p>
    <w:p w14:paraId="2073591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关于发包人应负责提供施工所需要的条件，包括：</w:t>
      </w:r>
      <w:r>
        <w:rPr>
          <w:rFonts w:hint="eastAsia" w:ascii="宋体" w:hAnsi="宋体" w:eastAsia="宋体" w:cs="宋体"/>
          <w:color w:val="auto"/>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color w:val="auto"/>
          <w:sz w:val="21"/>
          <w:szCs w:val="21"/>
          <w:highlight w:val="none"/>
        </w:rPr>
        <w:t>。</w:t>
      </w:r>
    </w:p>
    <w:p w14:paraId="3915D74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2.5 资金来源证明及支付担保</w:t>
      </w:r>
    </w:p>
    <w:p w14:paraId="156BA19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发包人提供资金来源证明的期限要求：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8E1E4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发包人是否提供支付担保：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不提供</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FDD45B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发包人提供支付担保的形式：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5DAA1E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2.6 支付合同价款</w:t>
      </w:r>
    </w:p>
    <w:p w14:paraId="598CA5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发包人应按合同约定向承包人及时支付合同价款。</w:t>
      </w:r>
    </w:p>
    <w:p w14:paraId="769424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2.7 组织竣工验收</w:t>
      </w:r>
    </w:p>
    <w:p w14:paraId="6FB04D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发包人应按合同约定及时组织竣工验收。</w:t>
      </w:r>
    </w:p>
    <w:p w14:paraId="14E11ED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承包人完成合同范围内工程内容，发包人应根据施工图纸、现行施工验收规范和质量验收标准及时组织工程质量验收。</w:t>
      </w:r>
    </w:p>
    <w:p w14:paraId="3346660A">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3．承包人</w:t>
      </w:r>
    </w:p>
    <w:p w14:paraId="7AD0B32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3.1 承包人的一般义务</w:t>
      </w:r>
    </w:p>
    <w:p w14:paraId="2342CE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（9）</w:t>
      </w:r>
      <w:r>
        <w:rPr>
          <w:rFonts w:hint="eastAsia" w:ascii="宋体" w:hAnsi="宋体" w:eastAsia="宋体" w:cs="宋体"/>
          <w:color w:val="auto"/>
          <w:sz w:val="21"/>
          <w:szCs w:val="21"/>
          <w:highlight w:val="none"/>
        </w:rPr>
        <w:t>承包人提交的竣工资料的内容：</w:t>
      </w:r>
      <w:r>
        <w:rPr>
          <w:rFonts w:hint="eastAsia" w:ascii="宋体" w:hAnsi="宋体" w:eastAsia="宋体" w:cs="宋体"/>
          <w:color w:val="auto"/>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color w:val="auto"/>
          <w:sz w:val="21"/>
          <w:szCs w:val="21"/>
          <w:highlight w:val="none"/>
        </w:rPr>
        <w:t>。</w:t>
      </w:r>
    </w:p>
    <w:p w14:paraId="2379FE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承包人需要提交的竣工资料套数：</w:t>
      </w:r>
      <w:r>
        <w:rPr>
          <w:rFonts w:hint="eastAsia" w:ascii="宋体" w:hAnsi="宋体" w:eastAsia="宋体" w:cs="宋体"/>
          <w:color w:val="auto"/>
          <w:sz w:val="21"/>
          <w:szCs w:val="21"/>
          <w:highlight w:val="none"/>
          <w:u w:val="single"/>
        </w:rPr>
        <w:t xml:space="preserve">   满足发包人需求份数    </w:t>
      </w:r>
      <w:r>
        <w:rPr>
          <w:rFonts w:hint="eastAsia" w:ascii="宋体" w:hAnsi="宋体" w:eastAsia="宋体" w:cs="宋体"/>
          <w:color w:val="auto"/>
          <w:sz w:val="21"/>
          <w:szCs w:val="21"/>
          <w:highlight w:val="none"/>
        </w:rPr>
        <w:t>。</w:t>
      </w:r>
    </w:p>
    <w:p w14:paraId="69DF735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承包人提交的竣工资料的费用承担：</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7DE2226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承包人提交的竣工资料移交时间：</w:t>
      </w:r>
      <w:r>
        <w:rPr>
          <w:rFonts w:hint="eastAsia" w:ascii="宋体" w:hAnsi="宋体" w:eastAsia="宋体" w:cs="宋体"/>
          <w:color w:val="auto"/>
          <w:sz w:val="21"/>
          <w:szCs w:val="21"/>
          <w:highlight w:val="none"/>
          <w:u w:val="single"/>
        </w:rPr>
        <w:t>工程竣工验收合格后7天内</w:t>
      </w:r>
      <w:r>
        <w:rPr>
          <w:rFonts w:hint="eastAsia" w:ascii="宋体" w:hAnsi="宋体" w:eastAsia="宋体" w:cs="宋体"/>
          <w:color w:val="auto"/>
          <w:sz w:val="21"/>
          <w:szCs w:val="21"/>
          <w:highlight w:val="none"/>
        </w:rPr>
        <w:t>。</w:t>
      </w:r>
    </w:p>
    <w:p w14:paraId="73533F5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承包人提交的竣工资料形式要求：</w:t>
      </w:r>
      <w:r>
        <w:rPr>
          <w:rFonts w:hint="eastAsia" w:ascii="宋体" w:hAnsi="宋体" w:eastAsia="宋体" w:cs="宋体"/>
          <w:color w:val="auto"/>
          <w:sz w:val="21"/>
          <w:szCs w:val="21"/>
          <w:highlight w:val="none"/>
          <w:u w:val="single"/>
        </w:rPr>
        <w:t xml:space="preserve">   纸质及相关电子数据   </w:t>
      </w:r>
      <w:r>
        <w:rPr>
          <w:rFonts w:hint="eastAsia" w:ascii="宋体" w:hAnsi="宋体" w:eastAsia="宋体" w:cs="宋体"/>
          <w:color w:val="auto"/>
          <w:sz w:val="21"/>
          <w:szCs w:val="21"/>
          <w:highlight w:val="none"/>
        </w:rPr>
        <w:t>。</w:t>
      </w:r>
    </w:p>
    <w:p w14:paraId="5223142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（10）承包人应履行的其他义务：</w:t>
      </w:r>
    </w:p>
    <w:p w14:paraId="0A3C349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a.向发包人、监理人提供施工现场办公室各1间免费使用。</w:t>
      </w:r>
    </w:p>
    <w:p w14:paraId="40DBCAE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b.在施工中必须严格按照规范操作，对不按规范要求施工或未采取防护措施，造成的损失由承包人承担。</w:t>
      </w:r>
    </w:p>
    <w:p w14:paraId="4A1B852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c.本项目施工安全由承包人负总责。</w:t>
      </w:r>
    </w:p>
    <w:p w14:paraId="578513EF">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u w:val="single"/>
        </w:rPr>
        <w:t>d.按当地有关部门要求，</w:t>
      </w:r>
      <w:r>
        <w:rPr>
          <w:rFonts w:hint="eastAsia" w:ascii="宋体" w:hAnsi="宋体" w:eastAsia="宋体" w:cs="宋体"/>
          <w:color w:val="auto"/>
          <w:kern w:val="0"/>
          <w:sz w:val="21"/>
          <w:szCs w:val="21"/>
          <w:highlight w:val="none"/>
          <w:u w:val="single"/>
        </w:rPr>
        <w:t>由承包人办理有关施工场地交通、环卫和施工噪音排放等手续。</w:t>
      </w:r>
    </w:p>
    <w:p w14:paraId="1131F971">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e、承包人必须按台州市、临海市有关规定进行施工现场围护（全封闭围挡）及文明施工管理。</w:t>
      </w:r>
    </w:p>
    <w:p w14:paraId="1AD7754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f. 其他：</w:t>
      </w:r>
    </w:p>
    <w:p w14:paraId="0A5F090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65AB6CF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②承包人承担施工期间的水、电费用，承包人必须每月按水、电部门的计价标准，按所需缴纳金额及时足额向水、电部门缴纳，若承包人不按时缴纳，则发包人有权采取相应措施。</w:t>
      </w:r>
    </w:p>
    <w:p w14:paraId="3DF5573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③对发包人的现场监督工作予以充分的配合与协助。承包人服从发包人、监理公司的管理，做好交叉施工事宜及其他与本工程施工相关的工作。</w:t>
      </w:r>
    </w:p>
    <w:p w14:paraId="2A6443D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④从合同生效之日起至工程通过竣工验收的期间内，承包人应承担合同规定的现场各项临时房屋、设施、设备的修建、购置、安装、管理、保养、维修及拆除工作，并提供必要的设施保洁服务。</w:t>
      </w:r>
    </w:p>
    <w:p w14:paraId="5BAD60F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7234B2A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3A26FC0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⑦要加强工程施工车辆的管理，施工车辆不得无故堵塞道路交通，不得沿途抛洒丢弃。</w:t>
      </w:r>
    </w:p>
    <w:p w14:paraId="3FBF224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⑧承包人在施工期间配备专职安保人员，负责整个施工现场内外的保安、保卫工作；对工地出入口车辆、人员进出进行管理，工地出入口应24小时有人值守，相关费用含在合同价款中。</w:t>
      </w:r>
    </w:p>
    <w:p w14:paraId="2FB8114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⑨施工现场的标语、条幅和围挡图案、廉政文化宣传等制作，在悬挂和喷涂前应征得发包人同意，如发包人提出修改意见，承包人应无条件修改，直到符合要求为止，合同价款不予调整。</w:t>
      </w:r>
    </w:p>
    <w:p w14:paraId="2F4C224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378172C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⑪承包人进场后需对场地标高进行测量，测量过程应通知监理人及发包人代表到场，并提供测量成果，此结果在得到监理人及发包人代表确认后做为土方工程计量的依据。</w:t>
      </w:r>
    </w:p>
    <w:p w14:paraId="53A2AD1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⑫承包人在合同履行过程中，应严格遵守和执行发包人制定的各项管理制度和规定，严格执行发包人关于工程设计变更、签证等方面的审批程序及制度。</w:t>
      </w:r>
    </w:p>
    <w:p w14:paraId="4326114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5AD85821">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20676B1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5915104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⑯由承包人的质量安全职能部门每月对本工程施工现场的质量、安全文明、进度等进行全面督查，并将督查结果向发包人汇报。</w:t>
      </w:r>
    </w:p>
    <w:p w14:paraId="3E9EE496">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5B893BF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⑱工程质量保修期间，承包人须设立电子邮箱，发包人的通知指令发送至承包人设立的电子邮箱，即视为承包人已收到发包人的相关通知。</w:t>
      </w:r>
    </w:p>
    <w:p w14:paraId="76796B4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⑲已竣工工程未交付之前，承包人按协议条款约定负责已完工程的保护工作，保护期间发生损坏，责任方自费予以修复至符合验收条件。</w:t>
      </w:r>
    </w:p>
    <w:p w14:paraId="1CC3647C">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⑳承包人应做好安全文明施工，确保施工现场封闭施工和安全隔离工作，相关费用含在合同价款中，不再另外计取。承包人在加固过程中应确保车辆通行，如有必要须封道的应提前通知发包人。</w:t>
      </w:r>
    </w:p>
    <w:p w14:paraId="3F589533">
      <w:pPr>
        <w:numPr>
          <w:ilvl w:val="0"/>
          <w:numId w:val="5"/>
        </w:numPr>
        <w:spacing w:line="400" w:lineRule="exac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承包人诚实信用的承诺：</w:t>
      </w:r>
      <w:r>
        <w:rPr>
          <w:rFonts w:hint="eastAsia" w:ascii="宋体" w:hAnsi="宋体" w:eastAsia="宋体" w:cs="宋体"/>
          <w:color w:val="auto"/>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color w:val="auto"/>
          <w:kern w:val="0"/>
          <w:sz w:val="21"/>
          <w:szCs w:val="21"/>
          <w:highlight w:val="none"/>
        </w:rPr>
        <w:t>。</w:t>
      </w:r>
    </w:p>
    <w:p w14:paraId="4BBC1AEF">
      <w:pPr>
        <w:pStyle w:val="29"/>
        <w:spacing w:line="400" w:lineRule="exact"/>
        <w:rPr>
          <w:rFonts w:ascii="宋体" w:hAnsi="宋体" w:cs="宋体"/>
          <w:color w:val="auto"/>
          <w:sz w:val="21"/>
          <w:szCs w:val="21"/>
          <w:highlight w:val="none"/>
          <w:u w:val="singl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u w:val="single"/>
        </w:rPr>
        <w:t>施工过程中应注重安全文明施工及环境保护，施工过程中如有出现人员伤亡情况，责任均由施工方承担。</w:t>
      </w:r>
    </w:p>
    <w:p w14:paraId="54C90DFC">
      <w:pPr>
        <w:spacing w:line="400" w:lineRule="exact"/>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（13）承包人使用新技术、工法、工艺的承诺：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6B108B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3.2 项目经理</w:t>
      </w:r>
    </w:p>
    <w:p w14:paraId="4CE6B9A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3.2.1</w:t>
      </w:r>
      <w:r>
        <w:rPr>
          <w:rFonts w:hint="eastAsia" w:ascii="宋体" w:hAnsi="宋体" w:eastAsia="宋体" w:cs="宋体"/>
          <w:color w:val="auto"/>
          <w:sz w:val="21"/>
          <w:szCs w:val="21"/>
          <w:highlight w:val="none"/>
        </w:rPr>
        <w:t>项目经理：</w:t>
      </w:r>
    </w:p>
    <w:p w14:paraId="32572EC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6A26FA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A2F869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建造师执业资格等级：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6CF14D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建造师注册证书号：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5E54B2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建造师执业印章号：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7F5D5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DC50B1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C33B8F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339EB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ABCD0F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承包人对项目经理的授权范围如下：</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375770E">
      <w:pPr>
        <w:spacing w:line="400" w:lineRule="exact"/>
        <w:ind w:firstLine="436" w:firstLineChars="200"/>
        <w:rPr>
          <w:rFonts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rPr>
        <w:t>关于项目经理每月在施工现场的时间要求</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月到岗须不少于24天。月到岗达不到约定天数，每不足一天扣1000元作为违约金，</w:t>
      </w:r>
      <w:r>
        <w:rPr>
          <w:rFonts w:hint="eastAsia" w:ascii="宋体" w:hAnsi="宋体" w:eastAsia="宋体" w:cs="宋体"/>
          <w:color w:val="auto"/>
          <w:sz w:val="21"/>
          <w:szCs w:val="21"/>
          <w:highlight w:val="none"/>
          <w:u w:val="single"/>
        </w:rPr>
        <w:t>在当期工程款支付时扣除</w:t>
      </w:r>
      <w:r>
        <w:rPr>
          <w:rFonts w:hint="eastAsia" w:ascii="宋体" w:hAnsi="宋体" w:eastAsia="宋体" w:cs="宋体"/>
          <w:color w:val="auto"/>
          <w:kern w:val="0"/>
          <w:sz w:val="21"/>
          <w:szCs w:val="21"/>
          <w:highlight w:val="none"/>
        </w:rPr>
        <w:t>。</w:t>
      </w:r>
    </w:p>
    <w:p w14:paraId="44C13B7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承包人未提交劳动合同，以及没有为项目经理缴纳社会保险证明的违约责任：</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4DE4D8A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项目经理未经批准，擅自离开施工现场的违约责任：</w:t>
      </w:r>
      <w:r>
        <w:rPr>
          <w:rFonts w:hint="eastAsia" w:ascii="宋体" w:hAnsi="宋体" w:eastAsia="宋体" w:cs="宋体"/>
          <w:color w:val="auto"/>
          <w:sz w:val="21"/>
          <w:szCs w:val="21"/>
          <w:highlight w:val="none"/>
          <w:u w:val="single"/>
        </w:rPr>
        <w:t xml:space="preserve">  遇有工程检查、验收或参观等活动时，无特殊原因不得离开施工现场 </w:t>
      </w:r>
      <w:r>
        <w:rPr>
          <w:rFonts w:hint="eastAsia" w:ascii="宋体" w:hAnsi="宋体" w:eastAsia="宋体" w:cs="宋体"/>
          <w:color w:val="auto"/>
          <w:sz w:val="21"/>
          <w:szCs w:val="21"/>
          <w:highlight w:val="none"/>
        </w:rPr>
        <w:t>。</w:t>
      </w:r>
    </w:p>
    <w:p w14:paraId="39484F19">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3.2.3承包人擅自更换项目经理的违约责任：</w:t>
      </w:r>
      <w:r>
        <w:rPr>
          <w:rFonts w:hint="eastAsia" w:ascii="宋体" w:hAnsi="宋体" w:eastAsia="宋体" w:cs="宋体"/>
          <w:color w:val="auto"/>
          <w:sz w:val="21"/>
          <w:szCs w:val="21"/>
          <w:highlight w:val="none"/>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color w:val="auto"/>
          <w:sz w:val="21"/>
          <w:szCs w:val="21"/>
          <w:highlight w:val="none"/>
        </w:rPr>
        <w:t>。</w:t>
      </w:r>
    </w:p>
    <w:p w14:paraId="1669B0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3.2.4承包人无正当理由拒绝更换项目经理的违约责任：</w:t>
      </w:r>
      <w:r>
        <w:rPr>
          <w:rFonts w:hint="eastAsia" w:ascii="宋体" w:hAnsi="宋体" w:eastAsia="宋体" w:cs="宋体"/>
          <w:color w:val="auto"/>
          <w:sz w:val="21"/>
          <w:szCs w:val="21"/>
          <w:highlight w:val="none"/>
          <w:u w:val="single"/>
        </w:rPr>
        <w:t>发包人可通知承包人解除合同，所有履约担保金不予返还。</w:t>
      </w:r>
    </w:p>
    <w:p w14:paraId="262B7F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 承包人人员</w:t>
      </w:r>
    </w:p>
    <w:p w14:paraId="41E5832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3.3.1承包人提交项目管理机构及施工现场管理人员安排报告的期限：</w:t>
      </w:r>
      <w:r>
        <w:rPr>
          <w:rFonts w:hint="eastAsia" w:ascii="宋体" w:hAnsi="宋体" w:eastAsia="宋体" w:cs="宋体"/>
          <w:color w:val="auto"/>
          <w:sz w:val="21"/>
          <w:szCs w:val="21"/>
          <w:highlight w:val="none"/>
          <w:u w:val="single"/>
        </w:rPr>
        <w:t xml:space="preserve"> 接到开工通知（或确定开工日期）后7天内 </w:t>
      </w:r>
      <w:r>
        <w:rPr>
          <w:rFonts w:hint="eastAsia" w:ascii="宋体" w:hAnsi="宋体" w:eastAsia="宋体" w:cs="宋体"/>
          <w:color w:val="auto"/>
          <w:sz w:val="21"/>
          <w:szCs w:val="21"/>
          <w:highlight w:val="none"/>
        </w:rPr>
        <w:t>。</w:t>
      </w:r>
    </w:p>
    <w:p w14:paraId="4F21D0E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3.3.3承包人无正当理由拒绝撤换主要施工管理人员的违约责任：</w:t>
      </w:r>
      <w:r>
        <w:rPr>
          <w:rFonts w:hint="eastAsia" w:ascii="宋体" w:hAnsi="宋体" w:eastAsia="宋体" w:cs="宋体"/>
          <w:color w:val="auto"/>
          <w:sz w:val="21"/>
          <w:szCs w:val="21"/>
          <w:highlight w:val="none"/>
          <w:u w:val="single"/>
        </w:rPr>
        <w:t>发包人可通知承包人全部解除合同，所有履约担保金不予返还，同时赔偿发包人损失。</w:t>
      </w:r>
    </w:p>
    <w:p w14:paraId="290CBC9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3.3.4承包人主要施工管理人员离开施工现场的批准要求：</w:t>
      </w:r>
      <w:r>
        <w:rPr>
          <w:rFonts w:hint="eastAsia" w:ascii="宋体" w:hAnsi="宋体" w:eastAsia="宋体" w:cs="宋体"/>
          <w:color w:val="auto"/>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color w:val="auto"/>
          <w:sz w:val="21"/>
          <w:szCs w:val="21"/>
          <w:highlight w:val="none"/>
        </w:rPr>
        <w:t>。</w:t>
      </w:r>
    </w:p>
    <w:p w14:paraId="5DF314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3.3.5承包人擅自更换主要施工管理人员的违约责任：</w:t>
      </w:r>
      <w:r>
        <w:rPr>
          <w:rFonts w:hint="eastAsia" w:ascii="宋体" w:hAnsi="宋体" w:eastAsia="宋体" w:cs="宋体"/>
          <w:color w:val="auto"/>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09A75A0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承包人主要施工管理人员擅自离开施工现场的违约责任：</w:t>
      </w:r>
      <w:r>
        <w:rPr>
          <w:rFonts w:hint="eastAsia" w:ascii="宋体" w:hAnsi="宋体" w:eastAsia="宋体" w:cs="宋体"/>
          <w:color w:val="auto"/>
          <w:sz w:val="21"/>
          <w:szCs w:val="21"/>
          <w:highlight w:val="none"/>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color w:val="auto"/>
          <w:sz w:val="21"/>
          <w:szCs w:val="21"/>
          <w:highlight w:val="none"/>
        </w:rPr>
        <w:t>。</w:t>
      </w:r>
    </w:p>
    <w:p w14:paraId="757BA0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 分包</w:t>
      </w:r>
    </w:p>
    <w:p w14:paraId="0A305D5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3.5.1分包的一般约定</w:t>
      </w:r>
    </w:p>
    <w:p w14:paraId="492A262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禁止分包的工程包括：</w:t>
      </w:r>
      <w:r>
        <w:rPr>
          <w:rFonts w:hint="eastAsia" w:ascii="宋体" w:hAnsi="宋体" w:eastAsia="宋体" w:cs="宋体"/>
          <w:color w:val="auto"/>
          <w:sz w:val="21"/>
          <w:szCs w:val="21"/>
          <w:highlight w:val="none"/>
          <w:u w:val="single"/>
        </w:rPr>
        <w:t xml:space="preserve">   工程主体结构、关键性工作   </w:t>
      </w:r>
      <w:r>
        <w:rPr>
          <w:rFonts w:hint="eastAsia" w:ascii="宋体" w:hAnsi="宋体" w:eastAsia="宋体" w:cs="宋体"/>
          <w:color w:val="auto"/>
          <w:sz w:val="21"/>
          <w:szCs w:val="21"/>
          <w:highlight w:val="none"/>
        </w:rPr>
        <w:t>。</w:t>
      </w:r>
    </w:p>
    <w:p w14:paraId="195157B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主体结构、关键性工作的范围：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B893BD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3.5.2分包的确定</w:t>
      </w:r>
    </w:p>
    <w:p w14:paraId="1E1B2B3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允许分包的专业工程包括：</w:t>
      </w:r>
      <w:r>
        <w:rPr>
          <w:rFonts w:hint="eastAsia" w:ascii="宋体" w:hAnsi="宋体" w:eastAsia="宋体" w:cs="宋体"/>
          <w:color w:val="auto"/>
          <w:sz w:val="21"/>
          <w:szCs w:val="21"/>
          <w:highlight w:val="none"/>
          <w:u w:val="single"/>
          <w:lang w:val="en-US" w:eastAsia="zh-CN"/>
        </w:rPr>
        <w:t xml:space="preserve"> 本项目不允许分包  </w:t>
      </w:r>
      <w:r>
        <w:rPr>
          <w:rFonts w:hint="eastAsia" w:ascii="宋体" w:hAnsi="宋体" w:eastAsia="宋体" w:cs="宋体"/>
          <w:color w:val="auto"/>
          <w:sz w:val="21"/>
          <w:szCs w:val="21"/>
          <w:highlight w:val="none"/>
        </w:rPr>
        <w:t>。</w:t>
      </w:r>
    </w:p>
    <w:p w14:paraId="4B4FAA5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其他关于分包的约定：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8F1FC8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3.5.4分包合同价款</w:t>
      </w:r>
    </w:p>
    <w:p w14:paraId="2468458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关于分包合同价款支付的约定：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EFD0CB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3.6 工程照管与成品、半成品保护</w:t>
      </w:r>
    </w:p>
    <w:p w14:paraId="17BB4D5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承包人负责照管工程及工程相关的材料、工程设备的起始时间：</w:t>
      </w:r>
      <w:r>
        <w:rPr>
          <w:rFonts w:hint="eastAsia" w:ascii="宋体" w:hAnsi="宋体" w:eastAsia="宋体" w:cs="宋体"/>
          <w:color w:val="auto"/>
          <w:kern w:val="0"/>
          <w:sz w:val="21"/>
          <w:szCs w:val="21"/>
          <w:highlight w:val="none"/>
          <w:u w:val="single"/>
        </w:rPr>
        <w:t>按合同通用条款执行</w:t>
      </w:r>
      <w:r>
        <w:rPr>
          <w:rFonts w:hint="eastAsia" w:ascii="宋体" w:hAnsi="宋体" w:eastAsia="宋体" w:cs="宋体"/>
          <w:color w:val="auto"/>
          <w:kern w:val="0"/>
          <w:sz w:val="21"/>
          <w:szCs w:val="21"/>
          <w:highlight w:val="none"/>
        </w:rPr>
        <w:t>。</w:t>
      </w:r>
    </w:p>
    <w:p w14:paraId="104F543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3.7 履约担保</w:t>
      </w:r>
    </w:p>
    <w:p w14:paraId="0744A00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承包人是否提供履约担保：</w:t>
      </w:r>
      <w:r>
        <w:rPr>
          <w:rFonts w:hint="eastAsia" w:ascii="宋体" w:hAnsi="宋体" w:eastAsia="宋体" w:cs="宋体"/>
          <w:color w:val="auto"/>
          <w:sz w:val="21"/>
          <w:szCs w:val="21"/>
          <w:highlight w:val="none"/>
          <w:u w:val="single"/>
        </w:rPr>
        <w:t>提供履约担保</w:t>
      </w:r>
      <w:r>
        <w:rPr>
          <w:rFonts w:hint="eastAsia" w:ascii="宋体" w:hAnsi="宋体" w:eastAsia="宋体" w:cs="宋体"/>
          <w:color w:val="auto"/>
          <w:sz w:val="21"/>
          <w:szCs w:val="21"/>
          <w:highlight w:val="none"/>
        </w:rPr>
        <w:t>。</w:t>
      </w:r>
    </w:p>
    <w:p w14:paraId="32B21BB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承包人提供履约担保的形式、金额及期限：</w:t>
      </w:r>
      <w:r>
        <w:rPr>
          <w:rFonts w:hint="eastAsia" w:ascii="宋体" w:hAnsi="宋体" w:eastAsia="宋体" w:cs="宋体"/>
          <w:color w:val="auto"/>
          <w:sz w:val="21"/>
          <w:szCs w:val="21"/>
          <w:highlight w:val="none"/>
          <w:u w:val="single"/>
        </w:rPr>
        <w:t>按招标文件规定执行，履约担保金额为中标合同金额的2%。签订工程合同时提供履约保函，保函形式为工程保函（银行保函、保险机构保证保险保单和融资担保公司保函 ）</w:t>
      </w:r>
    </w:p>
    <w:p w14:paraId="4DC64E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发包人在工程竣工验收后10天内，向承包人全额返还；承包人应保证履约担保在工程竣工验收前持续有效。</w:t>
      </w:r>
    </w:p>
    <w:p w14:paraId="7EC1A8D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非承包人原因导致的工期延长，承包人继续提供履约担保所增加的费用由发包人承担。</w:t>
      </w:r>
    </w:p>
    <w:p w14:paraId="13C22DE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4．监理人</w:t>
      </w:r>
    </w:p>
    <w:p w14:paraId="6E7787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4.1 监理人的一般规定</w:t>
      </w:r>
    </w:p>
    <w:p w14:paraId="3F812A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关于监理人的监理内容：</w:t>
      </w:r>
      <w:r>
        <w:rPr>
          <w:rFonts w:hint="eastAsia" w:ascii="宋体" w:hAnsi="宋体" w:eastAsia="宋体" w:cs="宋体"/>
          <w:color w:val="auto"/>
          <w:sz w:val="21"/>
          <w:szCs w:val="21"/>
          <w:highlight w:val="none"/>
          <w:u w:val="single"/>
        </w:rPr>
        <w:t xml:space="preserve"> 按本工程监理合同约定内容</w:t>
      </w:r>
      <w:r>
        <w:rPr>
          <w:rFonts w:hint="eastAsia" w:ascii="宋体" w:hAnsi="宋体" w:eastAsia="宋体" w:cs="宋体"/>
          <w:color w:val="auto"/>
          <w:sz w:val="21"/>
          <w:szCs w:val="21"/>
          <w:highlight w:val="none"/>
        </w:rPr>
        <w:t>。</w:t>
      </w:r>
    </w:p>
    <w:p w14:paraId="22BF55D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关于监理人的监理权限：〔</w:t>
      </w:r>
      <w:r>
        <w:rPr>
          <w:rFonts w:hint="eastAsia" w:ascii="宋体" w:hAnsi="宋体" w:eastAsia="宋体" w:cs="宋体"/>
          <w:color w:val="auto"/>
          <w:sz w:val="21"/>
          <w:szCs w:val="21"/>
          <w:highlight w:val="none"/>
          <w:u w:val="single"/>
        </w:rPr>
        <w:t>按本工程监理合同约定内容，涉及工程变更（含设计变更等参建各方变更）均需报发包人审批后生效</w:t>
      </w:r>
      <w:r>
        <w:rPr>
          <w:rFonts w:hint="eastAsia" w:ascii="宋体" w:hAnsi="宋体" w:eastAsia="宋体" w:cs="宋体"/>
          <w:color w:val="auto"/>
          <w:sz w:val="21"/>
          <w:szCs w:val="21"/>
          <w:highlight w:val="none"/>
        </w:rPr>
        <w:t>〕。</w:t>
      </w:r>
    </w:p>
    <w:p w14:paraId="01E574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关于监理人在施工现场的办公场所、生活场所的提供和费用承担的约定：</w:t>
      </w:r>
      <w:r>
        <w:rPr>
          <w:rFonts w:hint="eastAsia" w:ascii="宋体" w:hAnsi="宋体" w:eastAsia="宋体" w:cs="宋体"/>
          <w:color w:val="auto"/>
          <w:sz w:val="21"/>
          <w:szCs w:val="21"/>
          <w:highlight w:val="none"/>
          <w:u w:val="single"/>
        </w:rPr>
        <w:t xml:space="preserve"> 由承包人免费提供办公室1间使用。</w:t>
      </w:r>
    </w:p>
    <w:p w14:paraId="2814F8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4.2 监理人员</w:t>
      </w:r>
    </w:p>
    <w:p w14:paraId="0CECD2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7D9992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B606E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427ED8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监理工程师执业资格证书号：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B59DD0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3C0BCE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37E244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C89DF4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关于监理人的其他约定：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72DADD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（1）监理人授权超出合同约定，承包人有权提出异议，如监理人对于承包人合理的异议不予接受，则承包人可要求发包人就该事项作出处理决定；</w:t>
      </w:r>
    </w:p>
    <w:p w14:paraId="54DCAF9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（2）对于监理人更换其委派的监理人员，监理人在征得发包人同意后应当提前48小时书面通知承包人；</w:t>
      </w:r>
    </w:p>
    <w:p w14:paraId="3B90841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（3）监理人对其监理人员的任何授权，承包人均有权要求监理人提供书面的授权文件，否则，承包人有权拒绝接受监理人员的指示。</w:t>
      </w:r>
    </w:p>
    <w:p w14:paraId="440E9AF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4.4 商定或确定</w:t>
      </w:r>
    </w:p>
    <w:p w14:paraId="2E599A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在发包人和承包人不能通过协商达成一致意见时，发包人授权监理人对以下事项进行确定：</w:t>
      </w:r>
    </w:p>
    <w:p w14:paraId="0E592793">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984742E">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C5DA454">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7E5BC54">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5．工程质量</w:t>
      </w:r>
    </w:p>
    <w:p w14:paraId="4700073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 质量要求</w:t>
      </w:r>
    </w:p>
    <w:p w14:paraId="4D1F69E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5.1.1特殊质量标准和要求：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EDD348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关于工程质量奖项的约定：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B333DA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5.3 隐蔽工程检查</w:t>
      </w:r>
    </w:p>
    <w:p w14:paraId="7546A7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5.3.2承包人提前通知监理人隐蔽工程检查的期限的约定：</w:t>
      </w:r>
      <w:r>
        <w:rPr>
          <w:rFonts w:hint="eastAsia" w:ascii="宋体" w:hAnsi="宋体" w:eastAsia="宋体" w:cs="宋体"/>
          <w:color w:val="auto"/>
          <w:sz w:val="21"/>
          <w:szCs w:val="21"/>
          <w:highlight w:val="none"/>
          <w:u w:val="single"/>
        </w:rPr>
        <w:t xml:space="preserve"> 按合同通用条款执行。</w:t>
      </w:r>
    </w:p>
    <w:p w14:paraId="6FBEFC2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75D28E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小时，由此导致工期延误的，工期予以顺延。</w:t>
      </w:r>
    </w:p>
    <w:p w14:paraId="19A0FB0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重要节点的隐蔽工程验收过程、验收部位除办理纸质验收记录，承包人还应保留验收部位、验收过程、验收人员相片、影像等资料。</w:t>
      </w:r>
    </w:p>
    <w:p w14:paraId="2376EBAD">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6．安全文明施工与环境保护</w:t>
      </w:r>
    </w:p>
    <w:p w14:paraId="1CA4D35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 安全文明施工</w:t>
      </w:r>
    </w:p>
    <w:p w14:paraId="66BEEB5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6.1.1项目安全生产的达标目标及相应事项的约定：</w:t>
      </w:r>
      <w:r>
        <w:rPr>
          <w:rFonts w:hint="eastAsia" w:ascii="宋体" w:hAnsi="宋体" w:eastAsia="宋体" w:cs="宋体"/>
          <w:color w:val="auto"/>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color w:val="auto"/>
          <w:sz w:val="21"/>
          <w:szCs w:val="21"/>
          <w:highlight w:val="none"/>
        </w:rPr>
        <w:t>。</w:t>
      </w:r>
    </w:p>
    <w:p w14:paraId="182B6B3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6.1.4关于治安保卫的特别约定：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232A527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关于编制施工场地治安管理计划的约定：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37B378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6.1.5文明施工</w:t>
      </w:r>
    </w:p>
    <w:p w14:paraId="094479E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合同当事人对文明施工的要求：</w:t>
      </w:r>
      <w:r>
        <w:rPr>
          <w:rFonts w:hint="eastAsia" w:ascii="宋体" w:hAnsi="宋体" w:eastAsia="宋体" w:cs="宋体"/>
          <w:color w:val="auto"/>
          <w:sz w:val="21"/>
          <w:szCs w:val="21"/>
          <w:highlight w:val="none"/>
          <w:u w:val="single"/>
        </w:rPr>
        <w:t>按省、市发有关文明施工管理规定执行</w:t>
      </w:r>
      <w:r>
        <w:rPr>
          <w:rFonts w:hint="eastAsia" w:ascii="宋体" w:hAnsi="宋体" w:eastAsia="宋体" w:cs="宋体"/>
          <w:color w:val="auto"/>
          <w:sz w:val="21"/>
          <w:szCs w:val="21"/>
          <w:highlight w:val="none"/>
        </w:rPr>
        <w:t>。</w:t>
      </w:r>
    </w:p>
    <w:p w14:paraId="27B65EF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6.1.6关于安全文明施工费支付比例和支付期限的约定：</w:t>
      </w:r>
      <w:r>
        <w:rPr>
          <w:rFonts w:hint="eastAsia" w:ascii="宋体" w:hAnsi="宋体" w:eastAsia="宋体" w:cs="宋体"/>
          <w:color w:val="auto"/>
          <w:sz w:val="21"/>
          <w:szCs w:val="21"/>
          <w:highlight w:val="none"/>
          <w:u w:val="single"/>
        </w:rPr>
        <w:t>安全文明施工费预付费用包含在工程预付款内，支付比例为安全文明施工费总额的100% ；安全文明施工费的使用按通用条款执行。</w:t>
      </w:r>
    </w:p>
    <w:p w14:paraId="5DBF619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p>
    <w:p w14:paraId="5694B7B8">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7．工期和进度</w:t>
      </w:r>
    </w:p>
    <w:p w14:paraId="08F13C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7.1 施工组织设计</w:t>
      </w:r>
    </w:p>
    <w:p w14:paraId="6C2112A1">
      <w:pPr>
        <w:autoSpaceDE w:val="0"/>
        <w:autoSpaceDN w:val="0"/>
        <w:adjustRightInd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7.1.1合</w:t>
      </w:r>
      <w:r>
        <w:rPr>
          <w:rFonts w:hint="eastAsia" w:ascii="宋体" w:hAnsi="宋体" w:eastAsia="宋体" w:cs="宋体"/>
          <w:color w:val="auto"/>
          <w:kern w:val="0"/>
          <w:sz w:val="21"/>
          <w:szCs w:val="21"/>
          <w:highlight w:val="none"/>
        </w:rPr>
        <w:t>同当事人约定的施工组织设计应包括的其他内容：</w:t>
      </w:r>
      <w:r>
        <w:rPr>
          <w:rFonts w:hint="eastAsia" w:ascii="宋体" w:hAnsi="宋体" w:eastAsia="宋体" w:cs="宋体"/>
          <w:color w:val="auto"/>
          <w:sz w:val="21"/>
          <w:szCs w:val="21"/>
          <w:highlight w:val="none"/>
          <w:u w:val="single"/>
        </w:rPr>
        <w:t xml:space="preserve"> 对特殊工艺施工、危险性较大分部分项工程施工，应按规定办理审批手续和按当地建设行政主管部门要求组织专家论证。</w:t>
      </w:r>
    </w:p>
    <w:p w14:paraId="2993CB50">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7.1.2</w:t>
      </w:r>
      <w:r>
        <w:rPr>
          <w:rFonts w:hint="eastAsia" w:ascii="宋体" w:hAnsi="宋体" w:eastAsia="宋体" w:cs="宋体"/>
          <w:color w:val="auto"/>
          <w:kern w:val="0"/>
          <w:sz w:val="21"/>
          <w:szCs w:val="21"/>
          <w:highlight w:val="none"/>
        </w:rPr>
        <w:t>施工组织设计的提交和修改</w:t>
      </w:r>
    </w:p>
    <w:p w14:paraId="21A75A81">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承包人提交详细施工组织设计的期限的约定：</w:t>
      </w:r>
      <w:r>
        <w:rPr>
          <w:rFonts w:hint="eastAsia" w:ascii="宋体" w:hAnsi="宋体" w:eastAsia="宋体" w:cs="宋体"/>
          <w:color w:val="auto"/>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color w:val="auto"/>
          <w:sz w:val="21"/>
          <w:szCs w:val="21"/>
          <w:highlight w:val="none"/>
        </w:rPr>
        <w:t>；</w:t>
      </w:r>
    </w:p>
    <w:p w14:paraId="292FEF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发包人和监理人在收到详细的施工组织设计后确认或提出修改意见的期限：</w:t>
      </w:r>
      <w:r>
        <w:rPr>
          <w:rFonts w:hint="eastAsia" w:ascii="宋体" w:hAnsi="宋体" w:eastAsia="宋体" w:cs="宋体"/>
          <w:color w:val="auto"/>
          <w:sz w:val="21"/>
          <w:szCs w:val="21"/>
          <w:highlight w:val="none"/>
          <w:u w:val="single"/>
        </w:rPr>
        <w:t>收到相应文件后7天内</w:t>
      </w:r>
      <w:r>
        <w:rPr>
          <w:rFonts w:hint="eastAsia" w:ascii="宋体" w:hAnsi="宋体" w:eastAsia="宋体" w:cs="宋体"/>
          <w:color w:val="auto"/>
          <w:sz w:val="21"/>
          <w:szCs w:val="21"/>
          <w:highlight w:val="none"/>
        </w:rPr>
        <w:t>。</w:t>
      </w:r>
    </w:p>
    <w:p w14:paraId="794C712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7.2 施工进度计划</w:t>
      </w:r>
    </w:p>
    <w:p w14:paraId="288328E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7.2.2施工进度计划的修订</w:t>
      </w:r>
    </w:p>
    <w:p w14:paraId="202629C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 收到相应文件后7天内 </w:t>
      </w:r>
      <w:r>
        <w:rPr>
          <w:rFonts w:hint="eastAsia" w:ascii="宋体" w:hAnsi="宋体" w:eastAsia="宋体" w:cs="宋体"/>
          <w:color w:val="auto"/>
          <w:sz w:val="21"/>
          <w:szCs w:val="21"/>
          <w:highlight w:val="none"/>
        </w:rPr>
        <w:t>。</w:t>
      </w:r>
    </w:p>
    <w:p w14:paraId="506AF7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 开工</w:t>
      </w:r>
    </w:p>
    <w:p w14:paraId="25F4F9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7.3.1开工准备</w:t>
      </w:r>
    </w:p>
    <w:p w14:paraId="580CC95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关于承包人提交</w:t>
      </w:r>
      <w:r>
        <w:rPr>
          <w:rFonts w:hint="eastAsia" w:ascii="宋体" w:hAnsi="宋体" w:eastAsia="宋体" w:cs="宋体"/>
          <w:color w:val="auto"/>
          <w:kern w:val="0"/>
          <w:sz w:val="21"/>
          <w:szCs w:val="21"/>
          <w:highlight w:val="none"/>
        </w:rPr>
        <w:t>工程开工报审表的期限：</w:t>
      </w:r>
      <w:r>
        <w:rPr>
          <w:rFonts w:hint="eastAsia" w:ascii="宋体" w:hAnsi="宋体" w:eastAsia="宋体" w:cs="宋体"/>
          <w:color w:val="auto"/>
          <w:sz w:val="21"/>
          <w:szCs w:val="21"/>
          <w:highlight w:val="none"/>
          <w:u w:val="single"/>
        </w:rPr>
        <w:t>接到开工通知（或确定开工日期）后7天内</w:t>
      </w:r>
      <w:r>
        <w:rPr>
          <w:rFonts w:hint="eastAsia" w:ascii="宋体" w:hAnsi="宋体" w:eastAsia="宋体" w:cs="宋体"/>
          <w:color w:val="auto"/>
          <w:sz w:val="21"/>
          <w:szCs w:val="21"/>
          <w:highlight w:val="none"/>
        </w:rPr>
        <w:t>。</w:t>
      </w:r>
    </w:p>
    <w:p w14:paraId="4F34238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关于发包人应完成的其他开工准备工作及期限：</w:t>
      </w:r>
      <w:r>
        <w:rPr>
          <w:rFonts w:hint="eastAsia" w:ascii="宋体" w:hAnsi="宋体" w:eastAsia="宋体" w:cs="宋体"/>
          <w:color w:val="auto"/>
          <w:sz w:val="21"/>
          <w:szCs w:val="21"/>
          <w:highlight w:val="none"/>
          <w:u w:val="single"/>
        </w:rPr>
        <w:t>开工前7天</w:t>
      </w:r>
      <w:r>
        <w:rPr>
          <w:rFonts w:hint="eastAsia" w:ascii="宋体" w:hAnsi="宋体" w:eastAsia="宋体" w:cs="宋体"/>
          <w:color w:val="auto"/>
          <w:sz w:val="21"/>
          <w:szCs w:val="21"/>
          <w:highlight w:val="none"/>
        </w:rPr>
        <w:t>。</w:t>
      </w:r>
    </w:p>
    <w:p w14:paraId="12340A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关于承包人应完成的其他开工准备工作及期限：</w:t>
      </w:r>
      <w:r>
        <w:rPr>
          <w:rFonts w:hint="eastAsia" w:ascii="宋体" w:hAnsi="宋体" w:eastAsia="宋体" w:cs="宋体"/>
          <w:color w:val="auto"/>
          <w:sz w:val="21"/>
          <w:szCs w:val="21"/>
          <w:highlight w:val="none"/>
          <w:u w:val="single"/>
        </w:rPr>
        <w:t>开工前。</w:t>
      </w:r>
    </w:p>
    <w:p w14:paraId="1D4F4B4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7.3.2开工通知</w:t>
      </w:r>
    </w:p>
    <w:p w14:paraId="156AECB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发包人（或监理人）在计划开工日期前7天向承包人发出开工通知，工期自开工通知中载明的开工日期起算。</w:t>
      </w:r>
    </w:p>
    <w:p w14:paraId="140E1E9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p>
    <w:p w14:paraId="6C56312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7.4 测量放线</w:t>
      </w:r>
    </w:p>
    <w:p w14:paraId="01393F6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 按合同通用条款执行 </w:t>
      </w:r>
      <w:r>
        <w:rPr>
          <w:rFonts w:hint="eastAsia" w:ascii="宋体" w:hAnsi="宋体" w:eastAsia="宋体" w:cs="宋体"/>
          <w:color w:val="auto"/>
          <w:sz w:val="21"/>
          <w:szCs w:val="21"/>
          <w:highlight w:val="none"/>
        </w:rPr>
        <w:t>。</w:t>
      </w:r>
    </w:p>
    <w:p w14:paraId="663B7AD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 工期延误</w:t>
      </w:r>
    </w:p>
    <w:p w14:paraId="330ADBF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7.5.1因发包人原因导致工期延误</w:t>
      </w:r>
    </w:p>
    <w:p w14:paraId="56E7B5B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（7）因发包人原因导致工期延误的其他情形：</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473252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7.5.2因承包人原因导致工期延误</w:t>
      </w:r>
    </w:p>
    <w:p w14:paraId="4770C55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因承包人原因造成工期延误，逾期竣工违约金的计算方法为：</w:t>
      </w:r>
      <w:r>
        <w:rPr>
          <w:rFonts w:hint="eastAsia" w:ascii="宋体" w:hAnsi="宋体" w:eastAsia="宋体" w:cs="宋体"/>
          <w:color w:val="auto"/>
          <w:sz w:val="21"/>
          <w:szCs w:val="21"/>
          <w:highlight w:val="none"/>
          <w:u w:val="single"/>
        </w:rPr>
        <w:t>每天200元</w:t>
      </w:r>
      <w:r>
        <w:rPr>
          <w:rFonts w:hint="eastAsia" w:ascii="宋体" w:hAnsi="宋体" w:eastAsia="宋体" w:cs="宋体"/>
          <w:color w:val="auto"/>
          <w:sz w:val="21"/>
          <w:szCs w:val="21"/>
          <w:highlight w:val="none"/>
        </w:rPr>
        <w:t>。</w:t>
      </w:r>
    </w:p>
    <w:p w14:paraId="1D53FE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因承包人原因造成工期延误，逾期竣工违约金的上限：</w:t>
      </w:r>
      <w:r>
        <w:rPr>
          <w:rFonts w:hint="eastAsia" w:ascii="宋体" w:hAnsi="宋体" w:eastAsia="宋体" w:cs="宋体"/>
          <w:color w:val="auto"/>
          <w:sz w:val="21"/>
          <w:szCs w:val="21"/>
          <w:highlight w:val="none"/>
          <w:u w:val="single"/>
        </w:rPr>
        <w:t>履约保证金额度，对发包人造成损失超过违约金的，除承担违约金外同时赔偿发包人损失</w:t>
      </w:r>
      <w:r>
        <w:rPr>
          <w:rFonts w:hint="eastAsia" w:ascii="宋体" w:hAnsi="宋体" w:eastAsia="宋体" w:cs="宋体"/>
          <w:color w:val="auto"/>
          <w:sz w:val="21"/>
          <w:szCs w:val="21"/>
          <w:highlight w:val="none"/>
        </w:rPr>
        <w:t>。</w:t>
      </w:r>
    </w:p>
    <w:p w14:paraId="567021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7.6 不利物质条件</w:t>
      </w:r>
    </w:p>
    <w:p w14:paraId="2C6B8C6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不利物质条件的其他情形和有关约定：</w:t>
      </w:r>
    </w:p>
    <w:p w14:paraId="6EB7683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每天连续停水、停电超过8小时以上。</w:t>
      </w:r>
    </w:p>
    <w:p w14:paraId="28BDA28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因政府行政命令（因承包人原因的除外）。</w:t>
      </w:r>
    </w:p>
    <w:p w14:paraId="477E06A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非因双方原因而无法控制的爆炸、火灾等事件。</w:t>
      </w:r>
    </w:p>
    <w:p w14:paraId="74EC971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u w:val="single"/>
        </w:rPr>
        <w:t>施工场地周围地下管线保护，地下障碍物和污染物排除，邻近建筑物、构筑物的保护要求。</w:t>
      </w:r>
    </w:p>
    <w:p w14:paraId="42FA63B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u w:val="single"/>
        </w:rPr>
        <w:t>地质勘探资料未涉及的地下管道、暗沟、岩层等。</w:t>
      </w:r>
    </w:p>
    <w:p w14:paraId="22F3D0F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0AE3459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7.7 异常恶劣的气候条件</w:t>
      </w:r>
    </w:p>
    <w:p w14:paraId="63DA007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发包人和承包人同意以下情形视为异常恶劣的气候条件：</w:t>
      </w:r>
    </w:p>
    <w:p w14:paraId="5D19A0F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8-10级（含10级）持续24小时的大风（台风）</w:t>
      </w:r>
      <w:r>
        <w:rPr>
          <w:rFonts w:hint="eastAsia" w:ascii="宋体" w:hAnsi="宋体" w:eastAsia="宋体" w:cs="宋体"/>
          <w:color w:val="auto"/>
          <w:sz w:val="21"/>
          <w:szCs w:val="21"/>
          <w:highlight w:val="none"/>
        </w:rPr>
        <w:t>；</w:t>
      </w:r>
    </w:p>
    <w:p w14:paraId="1EB9DFB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24小时内持续降雨且降水量为200mm以上</w:t>
      </w:r>
      <w:r>
        <w:rPr>
          <w:rFonts w:hint="eastAsia" w:ascii="宋体" w:hAnsi="宋体" w:eastAsia="宋体" w:cs="宋体"/>
          <w:color w:val="auto"/>
          <w:sz w:val="21"/>
          <w:szCs w:val="21"/>
          <w:highlight w:val="none"/>
        </w:rPr>
        <w:t>；</w:t>
      </w:r>
    </w:p>
    <w:p w14:paraId="4511139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40摄氏度及以上且持续2天以上的高温天气</w:t>
      </w:r>
      <w:r>
        <w:rPr>
          <w:rFonts w:hint="eastAsia" w:ascii="宋体" w:hAnsi="宋体" w:eastAsia="宋体" w:cs="宋体"/>
          <w:color w:val="auto"/>
          <w:sz w:val="21"/>
          <w:szCs w:val="21"/>
          <w:highlight w:val="none"/>
        </w:rPr>
        <w:t>。</w:t>
      </w:r>
    </w:p>
    <w:p w14:paraId="419D391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p>
    <w:p w14:paraId="260EF7D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7.9 提前竣工的奖励</w:t>
      </w:r>
    </w:p>
    <w:p w14:paraId="5652C0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7.9.2提前竣工的奖励：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A2D9278">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8．材料与设备</w:t>
      </w:r>
    </w:p>
    <w:p w14:paraId="1A2D75D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8.1 发包人供应材料与工程设备</w:t>
      </w:r>
    </w:p>
    <w:p w14:paraId="15FDA53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本工程中</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材料由发包人提供。</w:t>
      </w:r>
    </w:p>
    <w:p w14:paraId="6A3872A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发包人提供的</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材料费用（除税价款）在每期应付工程款（或竣工结算）的税前工程造价中扣回。（适用一般计税方法）</w:t>
      </w:r>
    </w:p>
    <w:p w14:paraId="2AB65D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8.2 承包人采购材料与工程设备</w:t>
      </w:r>
    </w:p>
    <w:p w14:paraId="353A8B7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（1）材料品牌、规格和使用要求：按招标文件（相应）技术标准和要求执行。</w:t>
      </w:r>
    </w:p>
    <w:p w14:paraId="3BCBB1D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（2）本工程已确定承包价的建筑材料均由承包人自行询价、采购、运输和保管。散装水泥及新型墙体材料的使用须符合相关规定，否则相关押金由承包人承担。</w:t>
      </w:r>
    </w:p>
    <w:p w14:paraId="2504228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（3）本工程要求使用材料要求：商品混凝土。</w:t>
      </w:r>
    </w:p>
    <w:p w14:paraId="3C0CCA1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（4）所有材料必须有质保书或合格证，符合施工图纸和规范要求，且品牌、产地需报发包人备案，否则，因此产生的后果均由承包人负责。</w:t>
      </w:r>
    </w:p>
    <w:p w14:paraId="60D3895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凡是招标文件注明规格、型号或相当于的厂家（品牌、产地）的材料，承包人必须按照招标文件要求采购和施工，优先使用相当于的厂家（品牌、产地），如需调整，必须经得发包人认可，否则由此引起的后果由承包人承担。</w:t>
      </w:r>
    </w:p>
    <w:p w14:paraId="5865CCC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（6）所有设备、材料和预制构件等均需有产品合格证和质保书、试验（试车）报告等必要资料，符合国家规定的技术标准和设计图纸要求的标准，并且须经发包人及监理单位验收合格后方可使用。</w:t>
      </w:r>
    </w:p>
    <w:p w14:paraId="04132AB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（7）根据工程需要，发包人有权对承包人投标时确认的品牌进行更换，更换后的材料价格由发包人签证进行结算。</w:t>
      </w:r>
    </w:p>
    <w:p w14:paraId="1BA16FF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（8）合同中原暂定价材料或由工程变更产生的无价材料（按有关规定可不组织招标采购的）由承包人采购时，应由发包人签证确定价格后采购，发包人收到承包人价格确定申请后，7日内审批完毕。</w:t>
      </w:r>
    </w:p>
    <w:p w14:paraId="014AB8E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8.4 材料与工程设备的保管与使用</w:t>
      </w:r>
    </w:p>
    <w:p w14:paraId="4FE3EE7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8.4.1发包人供应的材料设备的保管费用的承担：</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D5B894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8.6 样品</w:t>
      </w:r>
    </w:p>
    <w:p w14:paraId="2FFAAEC9">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8.6.1样品的报送与封存</w:t>
      </w:r>
    </w:p>
    <w:p w14:paraId="1254D03C">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需要承包人报送样品的材料或工程设备，样品的种类、名称、规格、数量要求：</w:t>
      </w:r>
      <w:r>
        <w:rPr>
          <w:rFonts w:hint="eastAsia" w:ascii="宋体" w:hAnsi="宋体" w:eastAsia="宋体" w:cs="宋体"/>
          <w:color w:val="auto"/>
          <w:sz w:val="21"/>
          <w:szCs w:val="21"/>
          <w:highlight w:val="none"/>
          <w:u w:val="single"/>
        </w:rPr>
        <w:t xml:space="preserve"> （如有要封存样品，明确具体样品名称）  </w:t>
      </w:r>
      <w:r>
        <w:rPr>
          <w:rFonts w:hint="eastAsia" w:ascii="宋体" w:hAnsi="宋体" w:eastAsia="宋体" w:cs="宋体"/>
          <w:color w:val="auto"/>
          <w:sz w:val="21"/>
          <w:szCs w:val="21"/>
          <w:highlight w:val="none"/>
        </w:rPr>
        <w:t>。</w:t>
      </w:r>
    </w:p>
    <w:p w14:paraId="1924D3A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8.8 施工设备和临时设施</w:t>
      </w:r>
    </w:p>
    <w:p w14:paraId="2A7C6C4F">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8.8.1承包人提供的施工设备和临时设施</w:t>
      </w:r>
    </w:p>
    <w:p w14:paraId="7AC76C30">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关于修建临时设施费用承担的约定：</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3A6E32B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9．试验与检验</w:t>
      </w:r>
    </w:p>
    <w:p w14:paraId="531433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9.1 试验设备与试验人员</w:t>
      </w:r>
    </w:p>
    <w:p w14:paraId="19478F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9.1.2试验设备</w:t>
      </w:r>
    </w:p>
    <w:p w14:paraId="2AD69A3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施工现场需要配置的试验场所：</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4DA932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施工现场需要配备的试验设备：</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29927CA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施工现场需要具备的其他试验条件：</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701364A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9.3 材料、工程设备和工程的试验和检验</w:t>
      </w:r>
    </w:p>
    <w:p w14:paraId="1404525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9.3.4材料、设备和工程的试验和检验的费用：</w:t>
      </w:r>
    </w:p>
    <w:p w14:paraId="27F323B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6AA995B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002A169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159A8FE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28CDBE4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9.4 现场工艺试验</w:t>
      </w:r>
    </w:p>
    <w:p w14:paraId="072202A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现场工艺试验的有关约定：</w:t>
      </w:r>
      <w:r>
        <w:rPr>
          <w:rFonts w:hint="eastAsia" w:ascii="宋体" w:hAnsi="宋体" w:eastAsia="宋体" w:cs="宋体"/>
          <w:color w:val="auto"/>
          <w:sz w:val="21"/>
          <w:szCs w:val="21"/>
          <w:highlight w:val="none"/>
          <w:u w:val="single"/>
        </w:rPr>
        <w:t>按国家及当地法律法规规定执行</w:t>
      </w:r>
      <w:r>
        <w:rPr>
          <w:rFonts w:hint="eastAsia" w:ascii="宋体" w:hAnsi="宋体" w:eastAsia="宋体" w:cs="宋体"/>
          <w:color w:val="auto"/>
          <w:sz w:val="21"/>
          <w:szCs w:val="21"/>
          <w:highlight w:val="none"/>
        </w:rPr>
        <w:t>。</w:t>
      </w:r>
    </w:p>
    <w:p w14:paraId="18BFAE14">
      <w:pPr>
        <w:pStyle w:val="6"/>
        <w:keepNext w:val="0"/>
        <w:keepLines w:val="0"/>
        <w:numPr>
          <w:ilvl w:val="0"/>
          <w:numId w:val="6"/>
        </w:numPr>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变更</w:t>
      </w:r>
    </w:p>
    <w:p w14:paraId="60EE4C1A">
      <w:pPr>
        <w:spacing w:line="400" w:lineRule="exact"/>
        <w:ind w:firstLine="412" w:firstLineChars="200"/>
        <w:rPr>
          <w:color w:val="auto"/>
          <w:highlight w:val="none"/>
        </w:rPr>
      </w:pPr>
      <w:r>
        <w:rPr>
          <w:rFonts w:hint="eastAsia" w:ascii="宋体" w:hAnsi="宋体" w:eastAsia="宋体" w:cs="宋体"/>
          <w:color w:val="auto"/>
          <w:sz w:val="21"/>
          <w:szCs w:val="21"/>
          <w:highlight w:val="none"/>
          <w:u w:val="single"/>
        </w:rPr>
        <w:t>工程变更按照临海市人民政府办公室印发的《关于进一步完善政府投资项目管理的若干意见》（临政办发〔2018〕167号）办理。</w:t>
      </w:r>
    </w:p>
    <w:p w14:paraId="058D064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10.1 变更的范围</w:t>
      </w:r>
    </w:p>
    <w:p w14:paraId="782A42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关于变更的范围的约定：</w:t>
      </w:r>
      <w:r>
        <w:rPr>
          <w:rFonts w:hint="eastAsia" w:ascii="宋体" w:hAnsi="宋体" w:eastAsia="宋体" w:cs="宋体"/>
          <w:color w:val="auto"/>
          <w:sz w:val="21"/>
          <w:szCs w:val="21"/>
          <w:highlight w:val="none"/>
          <w:u w:val="single"/>
        </w:rPr>
        <w:t>按合同通用条款。工程变更引起工程量的减少或增加，承包人不得因此拒绝施工。</w:t>
      </w:r>
    </w:p>
    <w:p w14:paraId="13EF65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 变更估价</w:t>
      </w:r>
    </w:p>
    <w:p w14:paraId="2E9025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10.4.1变更估价原则</w:t>
      </w:r>
    </w:p>
    <w:p w14:paraId="6B4AD8A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 </w:t>
      </w:r>
      <w:r>
        <w:rPr>
          <w:rFonts w:hint="eastAsia" w:ascii="宋体" w:hAnsi="宋体" w:eastAsia="宋体" w:cs="宋体"/>
          <w:color w:val="auto"/>
          <w:sz w:val="21"/>
          <w:szCs w:val="21"/>
          <w:highlight w:val="none"/>
          <w:u w:val="single"/>
        </w:rPr>
        <w:t>变更项目的计价口径同合同约定计价方法，按约定的工程预算定额计价，预算定额中无合适定额子目的由发包人签证确定。</w:t>
      </w:r>
    </w:p>
    <w:p w14:paraId="598E2D0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10.4.2变更估价程序</w:t>
      </w:r>
    </w:p>
    <w:p w14:paraId="5EE5D30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承包人收到发包人、监理人、设计单位的变更指示后14天内向发包人提交变更估价申请。</w:t>
      </w:r>
    </w:p>
    <w:p w14:paraId="225F610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承包人提出工程变更、专项施工方案等变更应同时提交变更估价申请。</w:t>
      </w:r>
    </w:p>
    <w:p w14:paraId="32A6B1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承包人提交的变更估价申请，发包人和监理人应予以签收，并在14天内审批完毕。</w:t>
      </w:r>
    </w:p>
    <w:p w14:paraId="5B24052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10.5 承包人的合理化建议</w:t>
      </w:r>
    </w:p>
    <w:p w14:paraId="0F9E69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监理人审查承包人合理化建议的期限：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0B8DB1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发包人审批承包人合理化建议的期限：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672857F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0EED71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 暂估价</w:t>
      </w:r>
    </w:p>
    <w:p w14:paraId="02C879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暂估价材料和工程设备的明细详见附件11：</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6CFF957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10.7.1依法必须招标的暂估价项目</w:t>
      </w:r>
    </w:p>
    <w:p w14:paraId="5CA4828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539BA1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10.7.2不属于依法必须招标的暂估价项目：</w:t>
      </w:r>
      <w:r>
        <w:rPr>
          <w:rFonts w:hint="eastAsia" w:ascii="宋体" w:hAnsi="宋体" w:eastAsia="宋体" w:cs="宋体"/>
          <w:color w:val="auto"/>
          <w:sz w:val="21"/>
          <w:szCs w:val="21"/>
          <w:highlight w:val="none"/>
          <w:u w:val="single"/>
        </w:rPr>
        <w:t>按合同通用条款。</w:t>
      </w:r>
    </w:p>
    <w:p w14:paraId="49B8A7E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第3种方式：</w:t>
      </w:r>
      <w:r>
        <w:rPr>
          <w:rFonts w:hint="eastAsia" w:ascii="宋体" w:hAnsi="宋体" w:eastAsia="宋体" w:cs="宋体"/>
          <w:color w:val="auto"/>
          <w:kern w:val="0"/>
          <w:sz w:val="21"/>
          <w:szCs w:val="21"/>
          <w:highlight w:val="none"/>
        </w:rPr>
        <w:t>承包人直接实施的暂估价项目</w:t>
      </w:r>
    </w:p>
    <w:p w14:paraId="4FE4EB1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承包人直接实施的暂估价项目的约定：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3C96F9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10.8 暂列金额</w:t>
      </w:r>
    </w:p>
    <w:p w14:paraId="4E00BBC4">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合同当事人关于暂列金额使用的约定：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39D04D1B">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11．价格调整</w:t>
      </w:r>
    </w:p>
    <w:p w14:paraId="5521C3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 市场价格波动引起的调整</w:t>
      </w:r>
    </w:p>
    <w:p w14:paraId="63DCEB4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市场价格波动是否调整合同价格的约定：</w:t>
      </w:r>
      <w:r>
        <w:rPr>
          <w:rFonts w:hint="eastAsia" w:ascii="宋体" w:hAnsi="宋体" w:eastAsia="宋体" w:cs="宋体"/>
          <w:color w:val="auto"/>
          <w:sz w:val="21"/>
          <w:szCs w:val="21"/>
          <w:highlight w:val="none"/>
          <w:u w:val="single"/>
        </w:rPr>
        <w:t>人工、材料结算价格按以下方法调整。本条约定的调整时间均为在施工工期范围内。人工（含机上人工）调整的差价部分只计取税金及民工工伤保险费。</w:t>
      </w:r>
    </w:p>
    <w:p w14:paraId="5F9B45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因市场价格波动调整合同价格，采用以下第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种方式对合同价格进行调整：</w:t>
      </w:r>
    </w:p>
    <w:p w14:paraId="627001F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第1种方式：采用价格指数进行价格调整。</w:t>
      </w:r>
    </w:p>
    <w:p w14:paraId="1252E0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第2种方式：本工程的人工、材料结算单价，按施工期内的信息价《台州造价（正刊）》（工程所在地）的平均值计算。</w:t>
      </w:r>
    </w:p>
    <w:p w14:paraId="104866F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第3种方式：其他价格调整方式：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15504E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 法律变化引起的调整 ：</w:t>
      </w:r>
      <w:r>
        <w:rPr>
          <w:rFonts w:hint="eastAsia" w:ascii="宋体" w:hAnsi="宋体" w:eastAsia="宋体" w:cs="宋体"/>
          <w:color w:val="auto"/>
          <w:sz w:val="21"/>
          <w:szCs w:val="21"/>
          <w:highlight w:val="none"/>
          <w:u w:val="single"/>
        </w:rPr>
        <w:t xml:space="preserve"> 按省级或行业建设主管部门或其授权的工程造价管理机构发布的规定执行。</w:t>
      </w:r>
    </w:p>
    <w:p w14:paraId="754442F4">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12．合同价格、计量与支付</w:t>
      </w:r>
    </w:p>
    <w:p w14:paraId="4A924C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12.1 合同价格形式</w:t>
      </w:r>
    </w:p>
    <w:p w14:paraId="21E057B3">
      <w:pPr>
        <w:pStyle w:val="11"/>
        <w:adjustRightInd w:val="0"/>
        <w:spacing w:line="400" w:lineRule="exact"/>
        <w:ind w:firstLine="412" w:firstLineChars="200"/>
        <w:rPr>
          <w:rFonts w:hAnsi="宋体" w:eastAsia="宋体" w:cs="宋体"/>
          <w:color w:val="auto"/>
          <w:kern w:val="0"/>
          <w:sz w:val="21"/>
          <w:szCs w:val="21"/>
          <w:highlight w:val="none"/>
        </w:rPr>
      </w:pPr>
      <w:r>
        <w:rPr>
          <w:rFonts w:hint="eastAsia" w:hAnsi="宋体" w:eastAsia="宋体" w:cs="宋体"/>
          <w:color w:val="auto"/>
          <w:kern w:val="0"/>
          <w:sz w:val="21"/>
          <w:szCs w:val="21"/>
          <w:highlight w:val="none"/>
        </w:rPr>
        <w:t>本合同价款采用第</w:t>
      </w:r>
      <w:r>
        <w:rPr>
          <w:rFonts w:hint="eastAsia" w:hAnsi="宋体" w:eastAsia="宋体" w:cs="宋体"/>
          <w:color w:val="auto"/>
          <w:kern w:val="0"/>
          <w:sz w:val="21"/>
          <w:szCs w:val="21"/>
          <w:highlight w:val="none"/>
          <w:u w:val="single"/>
        </w:rPr>
        <w:t xml:space="preserve">  3  </w:t>
      </w:r>
      <w:r>
        <w:rPr>
          <w:rFonts w:hint="eastAsia" w:hAnsi="宋体" w:eastAsia="宋体" w:cs="宋体"/>
          <w:color w:val="auto"/>
          <w:kern w:val="0"/>
          <w:sz w:val="21"/>
          <w:szCs w:val="21"/>
          <w:highlight w:val="none"/>
        </w:rPr>
        <w:t>种方式</w:t>
      </w:r>
      <w:r>
        <w:rPr>
          <w:rFonts w:hint="eastAsia" w:hAnsi="宋体" w:eastAsia="宋体" w:cs="宋体"/>
          <w:color w:val="auto"/>
          <w:sz w:val="21"/>
          <w:szCs w:val="21"/>
          <w:highlight w:val="none"/>
          <w:u w:val="single"/>
        </w:rPr>
        <w:t>其他价格形式合同</w:t>
      </w:r>
      <w:r>
        <w:rPr>
          <w:rFonts w:hint="eastAsia" w:hAnsi="宋体" w:eastAsia="宋体" w:cs="宋体"/>
          <w:color w:val="auto"/>
          <w:kern w:val="0"/>
          <w:sz w:val="21"/>
          <w:szCs w:val="21"/>
          <w:highlight w:val="none"/>
        </w:rPr>
        <w:t>确定。</w:t>
      </w:r>
    </w:p>
    <w:p w14:paraId="73DC9E7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6288AB6">
      <w:pPr>
        <w:tabs>
          <w:tab w:val="left" w:pos="0"/>
        </w:tabs>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2.总价合同：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EB0D1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总价包含的风险范围：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34826D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82281E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8BFC372">
      <w:pPr>
        <w:tabs>
          <w:tab w:val="left" w:pos="0"/>
        </w:tabs>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w:t>
      </w:r>
      <w:r>
        <w:rPr>
          <w:rFonts w:hint="eastAsia" w:ascii="宋体" w:hAnsi="宋体" w:eastAsia="宋体" w:cs="宋体"/>
          <w:color w:val="auto"/>
          <w:kern w:val="0"/>
          <w:sz w:val="21"/>
          <w:szCs w:val="21"/>
          <w:highlight w:val="none"/>
          <w:u w:val="single"/>
        </w:rPr>
        <w:t>工程造价按工程预算定额计价乘以结算率（1-下浮率）确定。</w:t>
      </w:r>
    </w:p>
    <w:p w14:paraId="49D6E8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合同约定的风险范围：</w:t>
      </w:r>
    </w:p>
    <w:p w14:paraId="5F56124E">
      <w:pPr>
        <w:pStyle w:val="11"/>
        <w:widowControl/>
        <w:adjustRightInd w:val="0"/>
        <w:spacing w:line="400" w:lineRule="exact"/>
        <w:ind w:firstLine="412" w:firstLineChars="200"/>
        <w:rPr>
          <w:rFonts w:hAnsi="宋体" w:eastAsia="宋体" w:cs="宋体"/>
          <w:color w:val="auto"/>
          <w:kern w:val="0"/>
          <w:sz w:val="21"/>
          <w:szCs w:val="21"/>
          <w:highlight w:val="none"/>
          <w:u w:val="single"/>
          <w:shd w:val="clear" w:color="auto" w:fill="auto"/>
        </w:rPr>
      </w:pPr>
      <w:r>
        <w:rPr>
          <w:rFonts w:hint="eastAsia" w:hAnsi="宋体" w:eastAsia="宋体" w:cs="宋体"/>
          <w:color w:val="auto"/>
          <w:kern w:val="0"/>
          <w:sz w:val="21"/>
          <w:szCs w:val="21"/>
          <w:highlight w:val="none"/>
          <w:u w:val="single"/>
          <w:shd w:val="clear" w:color="auto" w:fill="auto"/>
        </w:rPr>
        <w:t>本工程结算价的计算方式按以下第（1）约定工程造价计算规则，结合投标工程结算率和市场价格波动调整办法计算工程造价。除风险范围以外约定调整外，以下内容按承包人的投标承诺不作调整：</w:t>
      </w:r>
    </w:p>
    <w:p w14:paraId="3B439884">
      <w:pPr>
        <w:pStyle w:val="11"/>
        <w:widowControl/>
        <w:adjustRightInd w:val="0"/>
        <w:spacing w:line="400" w:lineRule="exact"/>
        <w:ind w:firstLine="412" w:firstLineChars="200"/>
        <w:rPr>
          <w:rFonts w:hAnsi="宋体" w:eastAsia="宋体" w:cs="宋体"/>
          <w:color w:val="auto"/>
          <w:kern w:val="0"/>
          <w:sz w:val="21"/>
          <w:szCs w:val="21"/>
          <w:highlight w:val="none"/>
          <w:u w:val="single"/>
          <w:shd w:val="clear" w:color="auto" w:fill="auto"/>
        </w:rPr>
      </w:pPr>
      <w:r>
        <w:rPr>
          <w:rFonts w:hint="eastAsia" w:hAnsi="宋体" w:eastAsia="宋体" w:cs="宋体"/>
          <w:color w:val="auto"/>
          <w:kern w:val="0"/>
          <w:sz w:val="21"/>
          <w:szCs w:val="21"/>
          <w:highlight w:val="none"/>
          <w:u w:val="single"/>
          <w:shd w:val="clear" w:color="auto" w:fill="auto"/>
        </w:rPr>
        <w:t>（1）《浙江省建设工程计价规则》（2018版）、《浙江省通用安装工程预算定额》（2018版）、《浙江省市政工程预算定额》（2018版）等浙江省2018版计价依据、关于增值税调整后我省建设工程计价依据增值税税率及有关计价调整的通知（浙建建〔2019〕92号）等省、市有关文件</w:t>
      </w:r>
      <w:r>
        <w:rPr>
          <w:rFonts w:hint="eastAsia" w:hAnsi="宋体" w:eastAsia="宋体" w:cs="宋体"/>
          <w:color w:val="auto"/>
          <w:kern w:val="0"/>
          <w:sz w:val="21"/>
          <w:szCs w:val="21"/>
          <w:highlight w:val="none"/>
          <w:u w:val="single"/>
          <w:shd w:val="clear" w:color="auto" w:fill="auto"/>
          <w:lang w:eastAsia="zh-CN"/>
        </w:rPr>
        <w:t>，浙建建函〔2025〕320 号</w:t>
      </w:r>
      <w:r>
        <w:rPr>
          <w:rFonts w:hint="eastAsia" w:hAnsi="宋体" w:eastAsia="宋体" w:cs="宋体"/>
          <w:color w:val="auto"/>
          <w:kern w:val="0"/>
          <w:sz w:val="21"/>
          <w:szCs w:val="21"/>
          <w:highlight w:val="none"/>
          <w:u w:val="single"/>
          <w:shd w:val="clear" w:color="auto" w:fill="auto"/>
          <w:lang w:val="en-US" w:eastAsia="zh-CN"/>
        </w:rPr>
        <w:t>省</w:t>
      </w:r>
      <w:r>
        <w:rPr>
          <w:rFonts w:hint="eastAsia" w:hAnsi="宋体" w:eastAsia="宋体" w:cs="宋体"/>
          <w:color w:val="auto"/>
          <w:kern w:val="0"/>
          <w:sz w:val="21"/>
          <w:szCs w:val="21"/>
          <w:highlight w:val="none"/>
          <w:u w:val="single"/>
          <w:shd w:val="clear" w:color="auto" w:fill="auto"/>
          <w:lang w:eastAsia="zh-CN"/>
        </w:rPr>
        <w:t>建设厅关于调整我省 2018 版建筑安装工程安全文</w:t>
      </w:r>
      <w:r>
        <w:rPr>
          <w:rFonts w:hint="eastAsia" w:hAnsi="宋体" w:eastAsia="宋体" w:cs="宋体"/>
          <w:color w:val="auto"/>
          <w:kern w:val="0"/>
          <w:sz w:val="21"/>
          <w:szCs w:val="21"/>
          <w:highlight w:val="none"/>
          <w:u w:val="single"/>
          <w:shd w:val="clear" w:color="auto" w:fill="auto"/>
          <w:lang w:val="en-US" w:eastAsia="zh-CN"/>
        </w:rPr>
        <w:t>明</w:t>
      </w:r>
      <w:r>
        <w:rPr>
          <w:rFonts w:hint="eastAsia" w:hAnsi="宋体" w:eastAsia="宋体" w:cs="宋体"/>
          <w:color w:val="auto"/>
          <w:kern w:val="0"/>
          <w:sz w:val="21"/>
          <w:szCs w:val="21"/>
          <w:highlight w:val="none"/>
          <w:u w:val="single"/>
          <w:shd w:val="clear" w:color="auto" w:fill="auto"/>
          <w:lang w:eastAsia="zh-CN"/>
        </w:rPr>
        <w:t>施工费的通知。</w:t>
      </w:r>
    </w:p>
    <w:p w14:paraId="609A66EA">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（2）工程结算率：           ；</w:t>
      </w:r>
    </w:p>
    <w:p w14:paraId="5B237885">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（3）施工组织措施项目内容及对应费率：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w:t>
      </w:r>
    </w:p>
    <w:p w14:paraId="29E27CF9">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（4）规费费率：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  税金税率：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 xml:space="preserve"> ；</w:t>
      </w:r>
    </w:p>
    <w:p w14:paraId="5D7FF934">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（5）企业管理费、利润、施工组织措施费、规费的计算基数为人工及机械台班费，基数中单价按人工、机械台班的定额单价计算；</w:t>
      </w:r>
    </w:p>
    <w:p w14:paraId="4733B7DB">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（6）签证确定的某个施工内容的施工价（或工料机完全价）仅计算税金及工伤保险费，不纳入工程下浮率（或结算率计算）。</w:t>
      </w:r>
    </w:p>
    <w:p w14:paraId="4CECDA89">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无承包价（暂定价）或工程变更新增的单项材料、设备、专业分包工程由发包人签证或招标确定的价格，不纳入工程下浮率（或结算率）计算；</w:t>
      </w:r>
    </w:p>
    <w:p w14:paraId="66CF5563">
      <w:pPr>
        <w:pStyle w:val="11"/>
        <w:widowControl/>
        <w:numPr>
          <w:ilvl w:val="0"/>
          <w:numId w:val="7"/>
        </w:numPr>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计日工综合单价（工数经发包人签证，综合单价按技术工</w:t>
      </w:r>
      <w:r>
        <w:rPr>
          <w:rFonts w:hint="eastAsia" w:hAnsi="宋体" w:eastAsia="宋体" w:cs="宋体"/>
          <w:color w:val="auto"/>
          <w:kern w:val="0"/>
          <w:sz w:val="21"/>
          <w:szCs w:val="21"/>
          <w:highlight w:val="none"/>
          <w:u w:val="single"/>
          <w:lang w:val="en-US" w:eastAsia="zh-CN"/>
        </w:rPr>
        <w:t>260</w:t>
      </w:r>
      <w:r>
        <w:rPr>
          <w:rFonts w:hint="eastAsia" w:hAnsi="宋体" w:eastAsia="宋体" w:cs="宋体"/>
          <w:color w:val="auto"/>
          <w:kern w:val="0"/>
          <w:sz w:val="21"/>
          <w:szCs w:val="21"/>
          <w:highlight w:val="none"/>
          <w:u w:val="single"/>
        </w:rPr>
        <w:t>元/工日、普工</w:t>
      </w:r>
      <w:r>
        <w:rPr>
          <w:rFonts w:hint="eastAsia" w:hAnsi="宋体" w:eastAsia="宋体" w:cs="宋体"/>
          <w:color w:val="auto"/>
          <w:kern w:val="0"/>
          <w:sz w:val="21"/>
          <w:szCs w:val="21"/>
          <w:highlight w:val="none"/>
          <w:u w:val="single"/>
          <w:lang w:val="en-US" w:eastAsia="zh-CN"/>
        </w:rPr>
        <w:t>180</w:t>
      </w:r>
      <w:r>
        <w:rPr>
          <w:rFonts w:hint="eastAsia" w:hAnsi="宋体" w:eastAsia="宋体" w:cs="宋体"/>
          <w:color w:val="auto"/>
          <w:kern w:val="0"/>
          <w:sz w:val="21"/>
          <w:szCs w:val="21"/>
          <w:highlight w:val="none"/>
          <w:u w:val="single"/>
        </w:rPr>
        <w:t>元/工日计取）；该项费用仅另计算税金。</w:t>
      </w:r>
    </w:p>
    <w:p w14:paraId="7F3FD030">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（8）其他可能发生的费用：</w:t>
      </w:r>
    </w:p>
    <w:p w14:paraId="3388ADA3">
      <w:pPr>
        <w:pStyle w:val="11"/>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61001936">
      <w:pPr>
        <w:pStyle w:val="11"/>
        <w:widowControl/>
        <w:adjustRightInd w:val="0"/>
        <w:spacing w:line="400" w:lineRule="exact"/>
        <w:ind w:firstLine="412" w:firstLineChars="200"/>
        <w:rPr>
          <w:rFonts w:hint="eastAsia"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b.实际施工中可能发生街道管理费、干扰费、环保费、占道押金等其它管理费；</w:t>
      </w:r>
    </w:p>
    <w:p w14:paraId="03E6FADC">
      <w:pPr>
        <w:pStyle w:val="11"/>
        <w:widowControl/>
        <w:adjustRightInd w:val="0"/>
        <w:spacing w:line="400" w:lineRule="exact"/>
        <w:ind w:firstLine="412" w:firstLineChars="200"/>
        <w:rPr>
          <w:rFonts w:hint="default"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c.根据《省建设厅关于开展房屋市政工程建筑垃圾减量化专项治理行动的通知》浙建质安函〔2025)366号规定，承包人须编制施工现场建筑垃圾减量化专项方案，明确建筑垃圾减量化目标、职责分工和具体措施，并与建筑垃圾处理方案内容做好衔接：加强与设计人的衔接沟通，减少施工过程设计变更。承包人须按照相关文件办理好相关备案手续。相关费用由承包人在投标报价时综合考虑，结算时不再另行计取。</w:t>
      </w:r>
    </w:p>
    <w:p w14:paraId="570D8005">
      <w:pPr>
        <w:pStyle w:val="11"/>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d.建筑垃圾及多余土方，全部外运，运距按1公里考虑，结算不调整；</w:t>
      </w:r>
    </w:p>
    <w:p w14:paraId="71F25EFF">
      <w:pPr>
        <w:pStyle w:val="11"/>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e.现场施工范围内的临时建筑及堆放物品等拆除、移除费用，在本次预算内均未考虑，结算按实调整。</w:t>
      </w:r>
    </w:p>
    <w:p w14:paraId="4F319232">
      <w:pPr>
        <w:pStyle w:val="11"/>
        <w:widowControl/>
        <w:adjustRightInd w:val="0"/>
        <w:spacing w:line="400" w:lineRule="exact"/>
        <w:ind w:firstLine="412" w:firstLineChars="200"/>
        <w:rPr>
          <w:rFonts w:hint="eastAsia" w:ascii="宋体"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f</w:t>
      </w:r>
      <w:r>
        <w:rPr>
          <w:rFonts w:hint="eastAsia" w:ascii="宋体" w:hAnsi="宋体" w:eastAsia="宋体" w:cs="宋体"/>
          <w:color w:val="auto"/>
          <w:kern w:val="0"/>
          <w:sz w:val="21"/>
          <w:szCs w:val="21"/>
          <w:highlight w:val="none"/>
          <w:u w:val="single"/>
          <w:lang w:val="en-US" w:eastAsia="zh-CN"/>
        </w:rPr>
        <w:t>.现场路面高差过大，找平涉及的挖土及填土，在本次预算内均未考虑，结算按实调整；</w:t>
      </w:r>
    </w:p>
    <w:p w14:paraId="724230AF">
      <w:pPr>
        <w:pStyle w:val="11"/>
        <w:widowControl/>
        <w:adjustRightInd w:val="0"/>
        <w:spacing w:line="400" w:lineRule="exact"/>
        <w:ind w:firstLine="412" w:firstLineChars="200"/>
        <w:rPr>
          <w:rFonts w:hint="eastAsia" w:ascii="宋体" w:hAnsi="宋体" w:eastAsia="宋体" w:cs="宋体"/>
          <w:color w:val="auto"/>
          <w:kern w:val="0"/>
          <w:sz w:val="21"/>
          <w:szCs w:val="21"/>
          <w:highlight w:val="none"/>
          <w:u w:val="single"/>
          <w:lang w:val="en-US" w:eastAsia="zh-CN" w:bidi="ar-SA"/>
        </w:rPr>
      </w:pPr>
      <w:r>
        <w:rPr>
          <w:rFonts w:hint="eastAsia" w:hAnsi="宋体" w:eastAsia="宋体" w:cs="宋体"/>
          <w:color w:val="auto"/>
          <w:kern w:val="0"/>
          <w:sz w:val="21"/>
          <w:szCs w:val="21"/>
          <w:highlight w:val="none"/>
          <w:u w:val="single"/>
          <w:lang w:val="en-US" w:eastAsia="zh-CN"/>
        </w:rPr>
        <w:t>g</w:t>
      </w:r>
      <w:r>
        <w:rPr>
          <w:rFonts w:hint="eastAsia" w:ascii="宋体" w:hAnsi="宋体" w:eastAsia="宋体" w:cs="宋体"/>
          <w:color w:val="auto"/>
          <w:kern w:val="0"/>
          <w:sz w:val="21"/>
          <w:szCs w:val="21"/>
          <w:highlight w:val="none"/>
          <w:u w:val="single"/>
          <w:lang w:val="en-US" w:eastAsia="zh-CN"/>
        </w:rPr>
        <w:t>.商品混凝土运距按7KM计算</w:t>
      </w:r>
      <w:r>
        <w:rPr>
          <w:rFonts w:hint="eastAsia" w:ascii="宋体" w:hAnsi="宋体" w:eastAsia="宋体" w:cs="宋体"/>
          <w:color w:val="auto"/>
          <w:kern w:val="0"/>
          <w:sz w:val="21"/>
          <w:szCs w:val="21"/>
          <w:highlight w:val="none"/>
          <w:u w:val="single"/>
          <w:lang w:val="en-US" w:eastAsia="zh-CN" w:bidi="ar-SA"/>
        </w:rPr>
        <w:t>；</w:t>
      </w:r>
    </w:p>
    <w:p w14:paraId="71BE7EAB">
      <w:pPr>
        <w:pStyle w:val="11"/>
        <w:widowControl/>
        <w:adjustRightInd w:val="0"/>
        <w:spacing w:line="400" w:lineRule="exact"/>
        <w:ind w:firstLine="412" w:firstLineChars="200"/>
        <w:rPr>
          <w:rFonts w:hint="eastAsia" w:ascii="宋体" w:hAnsi="宋体" w:eastAsia="宋体" w:cs="宋体"/>
          <w:color w:val="auto"/>
          <w:kern w:val="0"/>
          <w:sz w:val="21"/>
          <w:szCs w:val="21"/>
          <w:highlight w:val="none"/>
          <w:u w:val="single"/>
          <w:lang w:val="en-US" w:eastAsia="zh-CN" w:bidi="ar-SA"/>
        </w:rPr>
      </w:pPr>
      <w:r>
        <w:rPr>
          <w:rFonts w:hint="eastAsia" w:hAnsi="宋体" w:eastAsia="宋体" w:cs="宋体"/>
          <w:color w:val="auto"/>
          <w:kern w:val="0"/>
          <w:sz w:val="21"/>
          <w:szCs w:val="21"/>
          <w:highlight w:val="none"/>
          <w:u w:val="single"/>
          <w:lang w:val="en-US" w:eastAsia="zh-CN" w:bidi="ar-SA"/>
        </w:rPr>
        <w:t>h</w:t>
      </w:r>
      <w:r>
        <w:rPr>
          <w:rFonts w:hint="eastAsia" w:ascii="宋体" w:hAnsi="宋体" w:eastAsia="宋体" w:cs="宋体"/>
          <w:color w:val="auto"/>
          <w:kern w:val="0"/>
          <w:sz w:val="21"/>
          <w:szCs w:val="21"/>
          <w:highlight w:val="none"/>
          <w:u w:val="single"/>
          <w:lang w:val="en-US" w:eastAsia="zh-CN" w:bidi="ar-SA"/>
        </w:rPr>
        <w:t>.接入现状排水、排污井，原井修复按完全价400元/座计入；</w:t>
      </w:r>
    </w:p>
    <w:p w14:paraId="6C68C85B">
      <w:pPr>
        <w:pStyle w:val="11"/>
        <w:widowControl/>
        <w:adjustRightInd w:val="0"/>
        <w:spacing w:line="400" w:lineRule="exact"/>
        <w:ind w:firstLine="412" w:firstLineChars="200"/>
        <w:rPr>
          <w:rFonts w:hint="eastAsia" w:ascii="宋体" w:hAnsi="宋体" w:eastAsia="宋体" w:cs="宋体"/>
          <w:color w:val="auto"/>
          <w:kern w:val="0"/>
          <w:sz w:val="21"/>
          <w:szCs w:val="21"/>
          <w:highlight w:val="none"/>
          <w:u w:val="single"/>
          <w:lang w:val="en-US" w:eastAsia="zh-CN" w:bidi="ar-SA"/>
        </w:rPr>
      </w:pPr>
      <w:r>
        <w:rPr>
          <w:rFonts w:hint="eastAsia" w:hAnsi="宋体" w:eastAsia="宋体" w:cs="宋体"/>
          <w:color w:val="auto"/>
          <w:kern w:val="0"/>
          <w:sz w:val="21"/>
          <w:szCs w:val="21"/>
          <w:highlight w:val="none"/>
          <w:u w:val="single"/>
          <w:lang w:val="en-US" w:eastAsia="zh-CN" w:bidi="ar-SA"/>
        </w:rPr>
        <w:t>i</w:t>
      </w:r>
      <w:r>
        <w:rPr>
          <w:rFonts w:hint="eastAsia" w:ascii="宋体" w:hAnsi="宋体" w:eastAsia="宋体" w:cs="宋体"/>
          <w:color w:val="auto"/>
          <w:kern w:val="0"/>
          <w:sz w:val="21"/>
          <w:szCs w:val="21"/>
          <w:highlight w:val="none"/>
          <w:u w:val="single"/>
          <w:lang w:val="en-US" w:eastAsia="zh-CN" w:bidi="ar-SA"/>
        </w:rPr>
        <w:t>.监控摄像机抱杆安装于原有电话柱和路灯杆；</w:t>
      </w:r>
    </w:p>
    <w:p w14:paraId="509A6DD2">
      <w:pPr>
        <w:pStyle w:val="11"/>
        <w:widowControl/>
        <w:adjustRightInd w:val="0"/>
        <w:spacing w:line="400" w:lineRule="exact"/>
        <w:ind w:firstLine="412" w:firstLineChars="200"/>
        <w:rPr>
          <w:rFonts w:hint="default" w:hAnsi="宋体" w:eastAsia="宋体" w:cs="宋体"/>
          <w:color w:val="auto"/>
          <w:kern w:val="0"/>
          <w:sz w:val="21"/>
          <w:szCs w:val="21"/>
          <w:highlight w:val="none"/>
          <w:u w:val="single"/>
          <w:lang w:val="en-US" w:eastAsia="zh-CN" w:bidi="ar-SA"/>
        </w:rPr>
      </w:pPr>
      <w:r>
        <w:rPr>
          <w:rFonts w:hint="eastAsia" w:hAnsi="宋体" w:eastAsia="宋体" w:cs="宋体"/>
          <w:color w:val="auto"/>
          <w:kern w:val="0"/>
          <w:sz w:val="21"/>
          <w:szCs w:val="21"/>
          <w:highlight w:val="none"/>
          <w:u w:val="single"/>
          <w:lang w:val="en-US" w:eastAsia="zh-CN" w:bidi="ar-SA"/>
        </w:rPr>
        <w:t>j.老路破除的废料不利旧，外运1公里考虑，结算不调整；</w:t>
      </w:r>
    </w:p>
    <w:p w14:paraId="190F4E67">
      <w:pPr>
        <w:pStyle w:val="11"/>
        <w:widowControl/>
        <w:adjustRightInd w:val="0"/>
        <w:spacing w:line="400" w:lineRule="exact"/>
        <w:ind w:firstLine="412" w:firstLineChars="200"/>
        <w:rPr>
          <w:rFonts w:hint="default" w:hAnsi="宋体" w:eastAsia="宋体" w:cs="宋体"/>
          <w:color w:val="auto"/>
          <w:kern w:val="0"/>
          <w:sz w:val="21"/>
          <w:szCs w:val="21"/>
          <w:highlight w:val="none"/>
          <w:u w:val="single"/>
          <w:lang w:val="en-US" w:eastAsia="zh-CN" w:bidi="ar-SA"/>
        </w:rPr>
      </w:pPr>
      <w:r>
        <w:rPr>
          <w:rFonts w:hint="eastAsia" w:hAnsi="宋体" w:eastAsia="宋体" w:cs="宋体"/>
          <w:color w:val="auto"/>
          <w:kern w:val="0"/>
          <w:sz w:val="21"/>
          <w:szCs w:val="21"/>
          <w:highlight w:val="none"/>
          <w:u w:val="single"/>
          <w:lang w:val="en-US" w:eastAsia="zh-CN" w:bidi="ar-SA"/>
        </w:rPr>
        <w:t>k.履带式挖掘机按1台班计入本次预算，压路机按0.5台班计入本次预算；</w:t>
      </w:r>
    </w:p>
    <w:p w14:paraId="706CC97E">
      <w:pPr>
        <w:pStyle w:val="11"/>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l.其他参照预算书</w:t>
      </w:r>
    </w:p>
    <w:p w14:paraId="00DC86C0">
      <w:pPr>
        <w:pStyle w:val="10"/>
        <w:ind w:left="0" w:leftChars="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风险费用的计算方法：已包含在合同价内。</w:t>
      </w:r>
    </w:p>
    <w:p w14:paraId="3F27012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p>
    <w:p w14:paraId="43985F0D">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zh-CN"/>
        </w:rPr>
        <w:t>（1）</w:t>
      </w:r>
      <w:r>
        <w:rPr>
          <w:rFonts w:hint="eastAsia" w:ascii="宋体" w:hAnsi="宋体" w:eastAsia="宋体" w:cs="宋体"/>
          <w:color w:val="auto"/>
          <w:sz w:val="21"/>
          <w:szCs w:val="21"/>
          <w:highlight w:val="none"/>
          <w:u w:val="single"/>
        </w:rPr>
        <w:t>工程量按照专用合同条款12.3.1条规定，由承包人计量，发包人或其委托的相关中介机构审核。</w:t>
      </w:r>
    </w:p>
    <w:p w14:paraId="3B2B0EA6">
      <w:pPr>
        <w:autoSpaceDE w:val="0"/>
        <w:autoSpaceDN w:val="0"/>
        <w:spacing w:line="400" w:lineRule="exact"/>
        <w:ind w:firstLine="412" w:firstLineChars="200"/>
        <w:rPr>
          <w:rFonts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u w:val="single"/>
        </w:rPr>
        <w:t>（2）</w:t>
      </w:r>
      <w:r>
        <w:rPr>
          <w:rFonts w:hint="eastAsia" w:ascii="宋体" w:hAnsi="宋体" w:eastAsia="宋体" w:cs="宋体"/>
          <w:color w:val="auto"/>
          <w:kern w:val="0"/>
          <w:sz w:val="21"/>
          <w:szCs w:val="21"/>
          <w:highlight w:val="none"/>
          <w:u w:val="single"/>
        </w:rPr>
        <w:t>因市场价格波动引起人工、材料价格变化的调整，按</w:t>
      </w:r>
      <w:r>
        <w:rPr>
          <w:rFonts w:hint="eastAsia" w:ascii="宋体" w:hAnsi="宋体" w:eastAsia="宋体" w:cs="宋体"/>
          <w:color w:val="auto"/>
          <w:sz w:val="21"/>
          <w:szCs w:val="21"/>
          <w:highlight w:val="none"/>
          <w:u w:val="single"/>
        </w:rPr>
        <w:t>本专用合同条款第11.1款约定调整。</w:t>
      </w:r>
    </w:p>
    <w:p w14:paraId="7929F688">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（3）未在投标价中包含的专项施工方案的施工及论证费用，根据施工现场实际按照合同约定方法确定费用或签证。</w:t>
      </w:r>
    </w:p>
    <w:p w14:paraId="6A4D06EA">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（4）政策性调整及各级建设行政主管部门发布的计价依据调整按规定调整。</w:t>
      </w:r>
    </w:p>
    <w:p w14:paraId="0BDBCAA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 预付款</w:t>
      </w:r>
    </w:p>
    <w:p w14:paraId="73A380B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12.2.1预付款的支付</w:t>
      </w:r>
    </w:p>
    <w:p w14:paraId="692C28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预付款支付比例或金额：</w:t>
      </w:r>
      <w:r>
        <w:rPr>
          <w:rFonts w:hint="eastAsia" w:ascii="宋体" w:hAnsi="宋体" w:eastAsia="宋体" w:cs="宋体"/>
          <w:color w:val="auto"/>
          <w:sz w:val="21"/>
          <w:szCs w:val="21"/>
          <w:highlight w:val="none"/>
          <w:u w:val="single"/>
        </w:rPr>
        <w:t>签约合同价的10%，包含专用条款6.1.6条所列的安全文明施工费。</w:t>
      </w:r>
    </w:p>
    <w:p w14:paraId="138A72A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预付款支付期限：</w:t>
      </w:r>
      <w:r>
        <w:rPr>
          <w:rFonts w:hint="eastAsia" w:ascii="宋体" w:hAnsi="宋体" w:eastAsia="宋体" w:cs="宋体"/>
          <w:color w:val="auto"/>
          <w:sz w:val="21"/>
          <w:szCs w:val="21"/>
          <w:highlight w:val="none"/>
          <w:u w:val="single"/>
        </w:rPr>
        <w:t>按投标时承诺的人员、机械设备进场开工后7天内。</w:t>
      </w:r>
    </w:p>
    <w:p w14:paraId="6404C11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eastAsia="宋体" w:cs="宋体"/>
          <w:color w:val="auto"/>
          <w:sz w:val="21"/>
          <w:szCs w:val="21"/>
          <w:highlight w:val="none"/>
          <w:u w:val="single"/>
        </w:rPr>
        <w:t>不扣回，作为工程款</w:t>
      </w:r>
      <w:r>
        <w:rPr>
          <w:rFonts w:hint="eastAsia" w:ascii="宋体" w:hAnsi="宋体" w:eastAsia="宋体" w:cs="宋体"/>
          <w:color w:val="auto"/>
          <w:sz w:val="21"/>
          <w:szCs w:val="21"/>
          <w:highlight w:val="none"/>
        </w:rPr>
        <w:t>。</w:t>
      </w:r>
    </w:p>
    <w:p w14:paraId="3C45A5B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12.2.2预付款担保</w:t>
      </w:r>
    </w:p>
    <w:p w14:paraId="2565C85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承包人提交预付款担保的期限：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348C883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预付款担保的形式为：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152064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 计量</w:t>
      </w:r>
    </w:p>
    <w:p w14:paraId="604E333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12.3.1计量原则</w:t>
      </w:r>
    </w:p>
    <w:p w14:paraId="1023EB4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工程量计算按照实际完成施工图纸范围内和经发包人同意增加的施工内容按实计算，工程量计算规则按照</w:t>
      </w:r>
      <w:r>
        <w:rPr>
          <w:rFonts w:hint="eastAsia" w:hAnsi="宋体" w:eastAsia="宋体" w:cs="宋体"/>
          <w:color w:val="auto"/>
          <w:kern w:val="0"/>
          <w:sz w:val="21"/>
          <w:szCs w:val="21"/>
          <w:highlight w:val="none"/>
          <w:u w:val="single"/>
          <w:shd w:val="clear" w:color="auto" w:fill="auto"/>
        </w:rPr>
        <w:t>《浙江省建设工程计价规则》（2018版）、《浙江省通用安装工程预算定额》（2018版）、《浙江省市政工程预算定额》（2018版）等浙江省2018版计价依据、关于增值税调整后我省建设工程计价依据增值税税率及有关计价调整的通知（浙建建〔2019〕92号）等省、市有关文件</w:t>
      </w:r>
      <w:r>
        <w:rPr>
          <w:rFonts w:hint="eastAsia" w:hAnsi="宋体" w:eastAsia="宋体" w:cs="宋体"/>
          <w:color w:val="auto"/>
          <w:kern w:val="0"/>
          <w:sz w:val="21"/>
          <w:szCs w:val="21"/>
          <w:highlight w:val="none"/>
          <w:u w:val="single"/>
          <w:shd w:val="clear" w:color="auto" w:fill="auto"/>
          <w:lang w:eastAsia="zh-CN"/>
        </w:rPr>
        <w:t>，浙建建函〔2025〕320 号</w:t>
      </w:r>
      <w:r>
        <w:rPr>
          <w:rFonts w:hint="eastAsia" w:hAnsi="宋体" w:eastAsia="宋体" w:cs="宋体"/>
          <w:color w:val="auto"/>
          <w:kern w:val="0"/>
          <w:sz w:val="21"/>
          <w:szCs w:val="21"/>
          <w:highlight w:val="none"/>
          <w:u w:val="single"/>
          <w:shd w:val="clear" w:color="auto" w:fill="auto"/>
          <w:lang w:val="en-US" w:eastAsia="zh-CN"/>
        </w:rPr>
        <w:t>省</w:t>
      </w:r>
      <w:r>
        <w:rPr>
          <w:rFonts w:hint="eastAsia" w:hAnsi="宋体" w:eastAsia="宋体" w:cs="宋体"/>
          <w:color w:val="auto"/>
          <w:kern w:val="0"/>
          <w:sz w:val="21"/>
          <w:szCs w:val="21"/>
          <w:highlight w:val="none"/>
          <w:u w:val="single"/>
          <w:shd w:val="clear" w:color="auto" w:fill="auto"/>
          <w:lang w:eastAsia="zh-CN"/>
        </w:rPr>
        <w:t>建设厅关于调整我省 2018 版建筑安装工程安全文</w:t>
      </w:r>
      <w:r>
        <w:rPr>
          <w:rFonts w:hint="eastAsia" w:hAnsi="宋体" w:eastAsia="宋体" w:cs="宋体"/>
          <w:color w:val="auto"/>
          <w:kern w:val="0"/>
          <w:sz w:val="21"/>
          <w:szCs w:val="21"/>
          <w:highlight w:val="none"/>
          <w:u w:val="single"/>
          <w:shd w:val="clear" w:color="auto" w:fill="auto"/>
          <w:lang w:val="en-US" w:eastAsia="zh-CN"/>
        </w:rPr>
        <w:t>明</w:t>
      </w:r>
      <w:r>
        <w:rPr>
          <w:rFonts w:hint="eastAsia" w:hAnsi="宋体" w:eastAsia="宋体" w:cs="宋体"/>
          <w:color w:val="auto"/>
          <w:kern w:val="0"/>
          <w:sz w:val="21"/>
          <w:szCs w:val="21"/>
          <w:highlight w:val="none"/>
          <w:u w:val="single"/>
          <w:shd w:val="clear" w:color="auto" w:fill="auto"/>
          <w:lang w:eastAsia="zh-CN"/>
        </w:rPr>
        <w:t>施工费的通知</w:t>
      </w:r>
      <w:r>
        <w:rPr>
          <w:rFonts w:hint="eastAsia" w:ascii="宋体" w:hAnsi="宋体" w:eastAsia="宋体" w:cs="宋体"/>
          <w:color w:val="auto"/>
          <w:sz w:val="21"/>
          <w:szCs w:val="21"/>
          <w:highlight w:val="none"/>
          <w:u w:val="single"/>
        </w:rPr>
        <w:t>；发包人提供的工程量计算规则计量。</w:t>
      </w:r>
    </w:p>
    <w:p w14:paraId="127D147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12.3.2计量周期：</w:t>
      </w:r>
    </w:p>
    <w:p w14:paraId="74E197C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关于计量周期的约定：</w:t>
      </w:r>
      <w:r>
        <w:rPr>
          <w:rFonts w:hint="eastAsia" w:ascii="宋体" w:hAnsi="宋体" w:eastAsia="宋体" w:cs="宋体"/>
          <w:color w:val="auto"/>
          <w:sz w:val="21"/>
          <w:szCs w:val="21"/>
          <w:highlight w:val="none"/>
          <w:u w:val="single"/>
        </w:rPr>
        <w:t>按月计量。</w:t>
      </w:r>
    </w:p>
    <w:p w14:paraId="02A93C6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12.3.3单价合同的计量</w:t>
      </w:r>
    </w:p>
    <w:p w14:paraId="69BE14C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关于单价合同计量的约定：</w:t>
      </w:r>
      <w:r>
        <w:rPr>
          <w:rFonts w:hint="eastAsia" w:ascii="宋体" w:hAnsi="宋体" w:eastAsia="宋体" w:cs="宋体"/>
          <w:color w:val="auto"/>
          <w:sz w:val="21"/>
          <w:szCs w:val="21"/>
          <w:highlight w:val="none"/>
          <w:u w:val="single"/>
        </w:rPr>
        <w:t>按合同通用条款执行。</w:t>
      </w:r>
    </w:p>
    <w:p w14:paraId="240C5F7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（4）但确认的工程量和单价仅作为本期工程款支付的依据。</w:t>
      </w:r>
    </w:p>
    <w:p w14:paraId="4BA04FF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12.3.4总价合同的计量</w:t>
      </w:r>
    </w:p>
    <w:p w14:paraId="3D625D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0A7360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12.3.5总价合同采用支付分解表计量支付的，是否适用第</w:t>
      </w:r>
      <w:r>
        <w:rPr>
          <w:rFonts w:hint="eastAsia" w:ascii="宋体" w:hAnsi="宋体" w:eastAsia="宋体" w:cs="宋体"/>
          <w:color w:val="auto"/>
          <w:kern w:val="0"/>
          <w:sz w:val="21"/>
          <w:szCs w:val="21"/>
          <w:highlight w:val="none"/>
        </w:rPr>
        <w:t xml:space="preserve">12.3.4 </w:t>
      </w:r>
      <w:r>
        <w:rPr>
          <w:rFonts w:hint="eastAsia" w:ascii="宋体" w:hAnsi="宋体" w:eastAsia="宋体" w:cs="宋体"/>
          <w:color w:val="auto"/>
          <w:sz w:val="21"/>
          <w:szCs w:val="21"/>
          <w:highlight w:val="none"/>
        </w:rPr>
        <w:t>项</w:t>
      </w:r>
      <w:r>
        <w:rPr>
          <w:rFonts w:hint="eastAsia" w:ascii="宋体" w:hAnsi="宋体" w:eastAsia="宋体" w:cs="宋体"/>
          <w:color w:val="auto"/>
          <w:kern w:val="0"/>
          <w:sz w:val="21"/>
          <w:szCs w:val="21"/>
          <w:highlight w:val="none"/>
        </w:rPr>
        <w:t>〔总价合同的计量〕</w:t>
      </w:r>
      <w:r>
        <w:rPr>
          <w:rFonts w:hint="eastAsia" w:ascii="宋体" w:hAnsi="宋体" w:eastAsia="宋体" w:cs="宋体"/>
          <w:color w:val="auto"/>
          <w:sz w:val="21"/>
          <w:szCs w:val="21"/>
          <w:highlight w:val="none"/>
        </w:rPr>
        <w:t>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B33C99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12.3.6其他价格形式合同的计量</w:t>
      </w:r>
    </w:p>
    <w:p w14:paraId="7F0D4BA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其他价格形式的计量方式和程序：</w:t>
      </w:r>
      <w:r>
        <w:rPr>
          <w:rFonts w:hint="eastAsia" w:ascii="宋体" w:hAnsi="宋体" w:eastAsia="宋体" w:cs="宋体"/>
          <w:color w:val="auto"/>
          <w:sz w:val="21"/>
          <w:szCs w:val="21"/>
          <w:highlight w:val="none"/>
          <w:u w:val="single"/>
        </w:rPr>
        <w:t xml:space="preserve"> 人工、材料价格调整引起合同价款调整，在完成本合同专用条款第11.1款约定的调整节点后，计入该节点所在当期工程价款；工程变更按规定办理完毕的，计入当期工程价款 。</w:t>
      </w:r>
    </w:p>
    <w:p w14:paraId="2F579C1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 工程进度款支付</w:t>
      </w:r>
    </w:p>
    <w:p w14:paraId="3465A81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12.4.1付款周期</w:t>
      </w:r>
    </w:p>
    <w:p w14:paraId="440E6F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关于付款周期的约定：</w:t>
      </w:r>
      <w:r>
        <w:rPr>
          <w:rFonts w:hint="eastAsia" w:ascii="宋体" w:hAnsi="宋体" w:eastAsia="宋体" w:cs="宋体"/>
          <w:color w:val="auto"/>
          <w:sz w:val="21"/>
          <w:szCs w:val="21"/>
          <w:highlight w:val="none"/>
          <w:u w:val="single"/>
        </w:rPr>
        <w:t>本工程按月支付工程进度款，承包人必须每月25日前将当月实际完成的各部位的已完工程量报告送交工程师。</w:t>
      </w:r>
    </w:p>
    <w:p w14:paraId="49DA454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12.4.2进度付款申请单的编制</w:t>
      </w:r>
    </w:p>
    <w:p w14:paraId="5FB70FF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关于进度付款申请单编制的约定：</w:t>
      </w:r>
      <w:r>
        <w:rPr>
          <w:rFonts w:hint="eastAsia" w:ascii="宋体" w:hAnsi="宋体" w:eastAsia="宋体" w:cs="宋体"/>
          <w:color w:val="auto"/>
          <w:sz w:val="21"/>
          <w:szCs w:val="21"/>
          <w:highlight w:val="none"/>
          <w:u w:val="single"/>
        </w:rPr>
        <w:t>发包人向承包人支付当期按12.1、12.3款计量工程量价款的</w:t>
      </w:r>
      <w:r>
        <w:rPr>
          <w:rFonts w:ascii="宋体" w:hAnsi="宋体" w:eastAsia="宋体" w:cs="宋体"/>
          <w:color w:val="auto"/>
          <w:sz w:val="21"/>
          <w:szCs w:val="21"/>
          <w:highlight w:val="none"/>
          <w:u w:val="single"/>
        </w:rPr>
        <w:t>75</w:t>
      </w:r>
      <w:r>
        <w:rPr>
          <w:rFonts w:hint="eastAsia" w:ascii="宋体" w:hAnsi="宋体" w:eastAsia="宋体" w:cs="宋体"/>
          <w:color w:val="auto"/>
          <w:sz w:val="21"/>
          <w:szCs w:val="21"/>
          <w:highlight w:val="none"/>
          <w:u w:val="single"/>
        </w:rPr>
        <w:t>%工程价款。人工、材料市场价格调整引起合同价款调整，在完成专用条款第11.1条约定的调整节点后，计入该节点所在当期工程进度款；工程变更、索赔、现场签证等办理完毕的，计入当期工程进度款。</w:t>
      </w:r>
    </w:p>
    <w:p w14:paraId="4FF53B40">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合同范围内的施工内容施工完成，参建各方（建设、监理、施工、勘察、设计单位等）对工程验收并签署工程质量合格文件后，支付至进度款审核汇总的合同价格的</w:t>
      </w:r>
      <w:r>
        <w:rPr>
          <w:rFonts w:hint="eastAsia" w:ascii="宋体" w:hAnsi="宋体" w:eastAsia="宋体" w:cs="宋体"/>
          <w:color w:val="auto"/>
          <w:sz w:val="21"/>
          <w:szCs w:val="21"/>
          <w:highlight w:val="none"/>
          <w:u w:val="single"/>
          <w:lang w:val="en-US" w:eastAsia="zh-CN"/>
        </w:rPr>
        <w:t>85</w:t>
      </w:r>
      <w:r>
        <w:rPr>
          <w:rFonts w:hint="eastAsia" w:ascii="宋体" w:hAnsi="宋体" w:eastAsia="宋体" w:cs="宋体"/>
          <w:color w:val="auto"/>
          <w:sz w:val="21"/>
          <w:szCs w:val="21"/>
          <w:highlight w:val="none"/>
          <w:u w:val="single"/>
        </w:rPr>
        <w:t>%。</w:t>
      </w:r>
    </w:p>
    <w:p w14:paraId="6351474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其余按合同通用条款</w:t>
      </w:r>
      <w:r>
        <w:rPr>
          <w:rFonts w:hint="eastAsia" w:ascii="宋体" w:hAnsi="宋体" w:eastAsia="宋体" w:cs="宋体"/>
          <w:color w:val="auto"/>
          <w:sz w:val="21"/>
          <w:szCs w:val="21"/>
          <w:highlight w:val="none"/>
        </w:rPr>
        <w:t>。</w:t>
      </w:r>
    </w:p>
    <w:p w14:paraId="6C0BB02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12.4.3进度付款申请单的提交</w:t>
      </w:r>
    </w:p>
    <w:p w14:paraId="261D048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（1）单价合同进度付款申请单提交的约定：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C2705B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114C89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C22BC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12.4.4进度款审核和支付</w:t>
      </w:r>
    </w:p>
    <w:p w14:paraId="0D02815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（1）监理人审查并报送发包人的期限：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4CBACA4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发包人完成审批并签发进度款支付证书的期限：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659F838F">
      <w:pPr>
        <w:spacing w:line="400" w:lineRule="exact"/>
        <w:ind w:firstLine="412" w:firstLineChars="200"/>
        <w:jc w:val="lef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（2）发包人支付进度款的期限：</w:t>
      </w:r>
      <w:r>
        <w:rPr>
          <w:rFonts w:hint="eastAsia" w:ascii="宋体" w:hAnsi="宋体" w:eastAsia="宋体" w:cs="宋体"/>
          <w:color w:val="auto"/>
          <w:sz w:val="21"/>
          <w:szCs w:val="21"/>
          <w:highlight w:val="none"/>
          <w:u w:val="single"/>
        </w:rPr>
        <w:t>在发包人确认计量结果后14天内完成支付。</w:t>
      </w:r>
    </w:p>
    <w:p w14:paraId="54B18B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发包人逾期支付进度款的违约金的计算方式：</w:t>
      </w:r>
      <w:r>
        <w:rPr>
          <w:rFonts w:hint="eastAsia" w:ascii="宋体" w:hAnsi="宋体" w:eastAsia="宋体" w:cs="宋体"/>
          <w:color w:val="auto"/>
          <w:sz w:val="21"/>
          <w:szCs w:val="21"/>
          <w:highlight w:val="none"/>
          <w:u w:val="single"/>
        </w:rPr>
        <w:t>支付应付工程进度款的利息，利率按同期全国银行间同业拆借中心公布的贷款市场报价利率，时间为从约定应付之日起至支付之日止计算利息。</w:t>
      </w:r>
    </w:p>
    <w:p w14:paraId="435189D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6819318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12.4.6支付分解表的编制</w:t>
      </w:r>
    </w:p>
    <w:p w14:paraId="0CFB16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526185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0C1559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12.5 支付帐户</w:t>
      </w:r>
    </w:p>
    <w:p w14:paraId="5B614DB2">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发包人应将合同价款支至合同协议书中约定的承包人帐户：</w:t>
      </w:r>
      <w:r>
        <w:rPr>
          <w:rFonts w:hint="eastAsia" w:ascii="宋体" w:hAnsi="宋体" w:eastAsia="宋体"/>
          <w:color w:val="auto"/>
          <w:sz w:val="21"/>
          <w:highlight w:val="none"/>
          <w:u w:val="single"/>
        </w:rPr>
        <w:t>开户行：              帐号：                       。</w:t>
      </w:r>
      <w:r>
        <w:rPr>
          <w:rFonts w:hint="eastAsia" w:ascii="宋体" w:hAnsi="宋体" w:eastAsia="宋体"/>
          <w:color w:val="auto"/>
          <w:sz w:val="21"/>
          <w:highlight w:val="none"/>
        </w:rPr>
        <w:t>承包人收取款项时应开具增值税发票。</w:t>
      </w:r>
    </w:p>
    <w:p w14:paraId="279449C2">
      <w:pPr>
        <w:spacing w:line="400" w:lineRule="exact"/>
        <w:ind w:firstLine="41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农民工工资专用账户建立及管理按《关于实行建设务工人员实名制信息化管理与建立农民工工资专业账户的通知》临建规[2017]137号文件规定执行。依据文件规定发包人将当期应付工程进度款的（  ）%拨付到承包人的农民工工资专用账户:</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；其余合同价款支付至合同协议书中约定的承包人帐户。</w:t>
      </w:r>
    </w:p>
    <w:p w14:paraId="7E4875AF">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13．验收和工程试车</w:t>
      </w:r>
    </w:p>
    <w:p w14:paraId="12273FA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13.1 分部分项工程验收</w:t>
      </w:r>
    </w:p>
    <w:p w14:paraId="4824C37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1D8B326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w:t>
      </w:r>
    </w:p>
    <w:p w14:paraId="5C03DC3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工程验收过程、验收部位除办理纸质验收记录，还应留置验收部位、验收过程、主要验收人员相片、影像等资料。</w:t>
      </w:r>
    </w:p>
    <w:p w14:paraId="45FBDF7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 竣工验收</w:t>
      </w:r>
    </w:p>
    <w:p w14:paraId="666DC2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13.2.2竣工验收程序</w:t>
      </w:r>
    </w:p>
    <w:p w14:paraId="4ADD996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关于竣工验收程序的约定：</w:t>
      </w:r>
      <w:r>
        <w:rPr>
          <w:rFonts w:hint="eastAsia" w:ascii="宋体" w:hAnsi="宋体" w:eastAsia="宋体" w:cs="宋体"/>
          <w:color w:val="auto"/>
          <w:sz w:val="21"/>
          <w:szCs w:val="21"/>
          <w:highlight w:val="none"/>
          <w:u w:val="single"/>
        </w:rPr>
        <w:t>按合同通用条款。</w:t>
      </w:r>
    </w:p>
    <w:p w14:paraId="38AD6CB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承包人须配合发包人进行工程竣工验收。</w:t>
      </w:r>
    </w:p>
    <w:p w14:paraId="349A862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发包人不按照本项约定组织竣工验收、颁发工程接收证书的违约金的计算方法：</w:t>
      </w:r>
      <w:r>
        <w:rPr>
          <w:rFonts w:hint="eastAsia" w:ascii="宋体" w:hAnsi="宋体" w:eastAsia="宋体" w:cs="宋体"/>
          <w:color w:val="auto"/>
          <w:sz w:val="21"/>
          <w:szCs w:val="21"/>
          <w:highlight w:val="none"/>
          <w:u w:val="single"/>
        </w:rPr>
        <w:t>不计违约金。</w:t>
      </w:r>
    </w:p>
    <w:p w14:paraId="28BDBB6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color w:val="auto"/>
          <w:sz w:val="21"/>
          <w:szCs w:val="21"/>
          <w:highlight w:val="none"/>
        </w:rPr>
        <w:t>。</w:t>
      </w:r>
    </w:p>
    <w:p w14:paraId="58F96BD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13.2.3竣工日期</w:t>
      </w:r>
    </w:p>
    <w:p w14:paraId="498D197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（1）承包人完成合同范围内的全部工程以及有关工作，工程经验收合格的，以承包人提交验收申请报告之日为计算合同工期终止日。</w:t>
      </w:r>
    </w:p>
    <w:p w14:paraId="76AFEB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（2）其余按合同通用条款。</w:t>
      </w:r>
    </w:p>
    <w:p w14:paraId="1397A72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13.2.5移交、接收全部与部分工程</w:t>
      </w:r>
    </w:p>
    <w:p w14:paraId="22906D7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承包人向发包人移交工程的期限：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283BF06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发包人未按本合同约定接收全部或部分工程的，违约金的计算方法为：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4EA114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承包人未按时移交工程的，违约金的计算方法为：</w:t>
      </w:r>
      <w:r>
        <w:rPr>
          <w:rFonts w:hint="eastAsia" w:ascii="宋体" w:hAnsi="宋体" w:eastAsia="宋体" w:cs="宋体"/>
          <w:color w:val="auto"/>
          <w:sz w:val="21"/>
          <w:szCs w:val="21"/>
          <w:highlight w:val="none"/>
          <w:u w:val="single"/>
        </w:rPr>
        <w:t xml:space="preserve">  按每天200元计取 </w:t>
      </w:r>
      <w:r>
        <w:rPr>
          <w:rFonts w:hint="eastAsia" w:ascii="宋体" w:hAnsi="宋体" w:eastAsia="宋体" w:cs="宋体"/>
          <w:color w:val="auto"/>
          <w:sz w:val="21"/>
          <w:szCs w:val="21"/>
          <w:highlight w:val="none"/>
        </w:rPr>
        <w:t>。</w:t>
      </w:r>
    </w:p>
    <w:p w14:paraId="7C754C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13.3 工程试车</w:t>
      </w:r>
    </w:p>
    <w:p w14:paraId="5620EB9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13.3.1试车程序</w:t>
      </w:r>
    </w:p>
    <w:p w14:paraId="76C4FEC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工程试车内容：</w:t>
      </w:r>
      <w:r>
        <w:rPr>
          <w:rFonts w:hint="eastAsia" w:ascii="宋体" w:hAnsi="宋体" w:eastAsia="宋体" w:cs="宋体"/>
          <w:color w:val="auto"/>
          <w:kern w:val="0"/>
          <w:sz w:val="21"/>
          <w:szCs w:val="21"/>
          <w:highlight w:val="none"/>
          <w:u w:val="single"/>
        </w:rPr>
        <w:t xml:space="preserve">     按规定执行   </w:t>
      </w: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sz w:val="21"/>
          <w:szCs w:val="21"/>
          <w:highlight w:val="none"/>
        </w:rPr>
        <w:t>。</w:t>
      </w:r>
    </w:p>
    <w:p w14:paraId="2F549AC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（1）单机无负荷试车费用由</w:t>
      </w:r>
      <w:r>
        <w:rPr>
          <w:rFonts w:hint="eastAsia" w:ascii="宋体" w:hAnsi="宋体" w:eastAsia="宋体" w:cs="宋体"/>
          <w:color w:val="auto"/>
          <w:kern w:val="0"/>
          <w:sz w:val="21"/>
          <w:szCs w:val="21"/>
          <w:highlight w:val="none"/>
          <w:u w:val="single"/>
        </w:rPr>
        <w:t xml:space="preserve">  承包人  </w:t>
      </w:r>
      <w:r>
        <w:rPr>
          <w:rFonts w:hint="eastAsia" w:ascii="宋体" w:hAnsi="宋体" w:eastAsia="宋体" w:cs="宋体"/>
          <w:color w:val="auto"/>
          <w:kern w:val="0"/>
          <w:sz w:val="21"/>
          <w:szCs w:val="21"/>
          <w:highlight w:val="none"/>
        </w:rPr>
        <w:t>承担；</w:t>
      </w:r>
    </w:p>
    <w:p w14:paraId="05CE011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（2）无负荷联动试车费用由</w:t>
      </w:r>
      <w:r>
        <w:rPr>
          <w:rFonts w:hint="eastAsia" w:ascii="宋体" w:hAnsi="宋体" w:eastAsia="宋体" w:cs="宋体"/>
          <w:color w:val="auto"/>
          <w:kern w:val="0"/>
          <w:sz w:val="21"/>
          <w:szCs w:val="21"/>
          <w:highlight w:val="none"/>
          <w:u w:val="single"/>
        </w:rPr>
        <w:t xml:space="preserve">  承包人  </w:t>
      </w:r>
      <w:r>
        <w:rPr>
          <w:rFonts w:hint="eastAsia" w:ascii="宋体" w:hAnsi="宋体" w:eastAsia="宋体" w:cs="宋体"/>
          <w:color w:val="auto"/>
          <w:kern w:val="0"/>
          <w:sz w:val="21"/>
          <w:szCs w:val="21"/>
          <w:highlight w:val="none"/>
        </w:rPr>
        <w:t>承担。</w:t>
      </w:r>
    </w:p>
    <w:p w14:paraId="16BDA85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13.3.3投料试车</w:t>
      </w:r>
    </w:p>
    <w:p w14:paraId="1C99087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关于投料试车相关事项的约定：</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sz w:val="21"/>
          <w:szCs w:val="21"/>
          <w:highlight w:val="none"/>
        </w:rPr>
        <w:t>。</w:t>
      </w:r>
    </w:p>
    <w:p w14:paraId="0F29E8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13.6 竣工退场</w:t>
      </w:r>
    </w:p>
    <w:p w14:paraId="29E7292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13.6.1竣工退场</w:t>
      </w:r>
    </w:p>
    <w:p w14:paraId="1881D8A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承包人完成竣工退场的期限：</w:t>
      </w:r>
      <w:r>
        <w:rPr>
          <w:rFonts w:hint="eastAsia" w:ascii="宋体" w:hAnsi="宋体" w:eastAsia="宋体" w:cs="宋体"/>
          <w:color w:val="auto"/>
          <w:sz w:val="21"/>
          <w:szCs w:val="21"/>
          <w:highlight w:val="none"/>
          <w:u w:val="single"/>
        </w:rPr>
        <w:t>颁发工程接收证书后7天内</w:t>
      </w:r>
      <w:r>
        <w:rPr>
          <w:rFonts w:hint="eastAsia" w:ascii="宋体" w:hAnsi="宋体" w:eastAsia="宋体" w:cs="宋体"/>
          <w:color w:val="auto"/>
          <w:kern w:val="0"/>
          <w:sz w:val="21"/>
          <w:szCs w:val="21"/>
          <w:highlight w:val="none"/>
        </w:rPr>
        <w:t>。</w:t>
      </w:r>
    </w:p>
    <w:p w14:paraId="4D2C2F9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13.6.2地表还原</w:t>
      </w:r>
    </w:p>
    <w:p w14:paraId="11712BC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79572BC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本工程场地恢复的要求：</w:t>
      </w:r>
    </w:p>
    <w:p w14:paraId="4A054790">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（1）清理完成施工现场垃圾，临建的拆除与场地复原；</w:t>
      </w:r>
    </w:p>
    <w:p w14:paraId="147926E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（2）施工后废弃材料、设备清理撤离；</w:t>
      </w:r>
    </w:p>
    <w:p w14:paraId="749448C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（3）承包人造成的施工现场周边施工堆积物及场地清理。</w:t>
      </w:r>
    </w:p>
    <w:p w14:paraId="497E175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（4）其它要求：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9CB72FE">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14．竣工结算</w:t>
      </w:r>
    </w:p>
    <w:p w14:paraId="1AEB54B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14.1 竣工结算申请</w:t>
      </w:r>
    </w:p>
    <w:p w14:paraId="44E6C3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1.承包人提交竣工结算申请的期限：</w:t>
      </w:r>
    </w:p>
    <w:p w14:paraId="541D2BF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color w:val="auto"/>
          <w:sz w:val="21"/>
          <w:szCs w:val="21"/>
          <w:highlight w:val="none"/>
          <w:u w:val="single"/>
        </w:rPr>
        <w:t>28天</w:t>
      </w:r>
      <w:r>
        <w:rPr>
          <w:rFonts w:hint="eastAsia" w:ascii="宋体" w:hAnsi="宋体" w:eastAsia="宋体" w:cs="宋体"/>
          <w:color w:val="auto"/>
          <w:sz w:val="21"/>
          <w:szCs w:val="21"/>
          <w:highlight w:val="none"/>
          <w:u w:val="single"/>
        </w:rPr>
        <w:t>内，向发包人或监理人、发包人委托的中介机构提交最终工程结算申请，并提交完整的工程结算资料一套。</w:t>
      </w:r>
    </w:p>
    <w:p w14:paraId="6FEFE85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p>
    <w:p w14:paraId="1FD7CFD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2.竣工结算申请单应包括的内容：</w:t>
      </w:r>
      <w:r>
        <w:rPr>
          <w:rFonts w:hint="eastAsia" w:ascii="宋体" w:hAnsi="宋体" w:eastAsia="宋体" w:cs="宋体"/>
          <w:color w:val="auto"/>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7461262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14.2 竣工结算审核</w:t>
      </w:r>
    </w:p>
    <w:p w14:paraId="0DA1CF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（1）发包人结算审核时间：</w:t>
      </w:r>
    </w:p>
    <w:p w14:paraId="15F141B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发包人收到承包人递交的最终工程结算报告及结算资料后，在180天内审核完毕，并签发最终工程结算证书。</w:t>
      </w:r>
    </w:p>
    <w:p w14:paraId="4E4535D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16C2E42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39C59EA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5825117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p>
    <w:p w14:paraId="0FF5771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14.4 最终结清</w:t>
      </w:r>
    </w:p>
    <w:p w14:paraId="18C4C50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14.4.1最终结清申请单</w:t>
      </w:r>
    </w:p>
    <w:p w14:paraId="6E3402F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承包人提交最终结清申请单的份数：</w:t>
      </w:r>
      <w:r>
        <w:rPr>
          <w:rFonts w:hint="eastAsia" w:ascii="宋体" w:hAnsi="宋体" w:eastAsia="宋体" w:cs="宋体"/>
          <w:color w:val="auto"/>
          <w:sz w:val="21"/>
          <w:szCs w:val="21"/>
          <w:highlight w:val="none"/>
          <w:u w:val="single"/>
        </w:rPr>
        <w:t xml:space="preserve">  2份  </w:t>
      </w:r>
      <w:r>
        <w:rPr>
          <w:rFonts w:hint="eastAsia" w:ascii="宋体" w:hAnsi="宋体" w:eastAsia="宋体" w:cs="宋体"/>
          <w:color w:val="auto"/>
          <w:sz w:val="21"/>
          <w:szCs w:val="21"/>
          <w:highlight w:val="none"/>
        </w:rPr>
        <w:t>。</w:t>
      </w:r>
    </w:p>
    <w:p w14:paraId="24E64D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承包人提交最终结算申请单的期限：</w:t>
      </w:r>
      <w:r>
        <w:rPr>
          <w:rFonts w:hint="eastAsia" w:ascii="宋体" w:hAnsi="宋体" w:eastAsia="宋体" w:cs="宋体"/>
          <w:color w:val="auto"/>
          <w:sz w:val="21"/>
          <w:szCs w:val="21"/>
          <w:highlight w:val="none"/>
          <w:u w:val="single"/>
        </w:rPr>
        <w:t xml:space="preserve"> 缺陷责任期终止后7天内 </w:t>
      </w:r>
      <w:r>
        <w:rPr>
          <w:rFonts w:hint="eastAsia" w:ascii="宋体" w:hAnsi="宋体" w:eastAsia="宋体" w:cs="宋体"/>
          <w:color w:val="auto"/>
          <w:sz w:val="21"/>
          <w:szCs w:val="21"/>
          <w:highlight w:val="none"/>
        </w:rPr>
        <w:t xml:space="preserve">。 </w:t>
      </w:r>
    </w:p>
    <w:p w14:paraId="16CC2F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14.4.2最终结清证书和支付</w:t>
      </w:r>
    </w:p>
    <w:p w14:paraId="49E41D8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（1）发包人完成最终结清申请单的审批并颁发最终结清证书的期限：</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215ACA4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（2）发包人完成支付的期限：</w:t>
      </w:r>
      <w:r>
        <w:rPr>
          <w:rFonts w:hint="eastAsia" w:ascii="宋体" w:hAnsi="宋体" w:eastAsia="宋体" w:cs="宋体"/>
          <w:color w:val="auto"/>
          <w:sz w:val="21"/>
          <w:szCs w:val="21"/>
          <w:highlight w:val="none"/>
          <w:u w:val="single"/>
        </w:rPr>
        <w:t>按通用条款</w:t>
      </w:r>
      <w:r>
        <w:rPr>
          <w:rFonts w:hint="eastAsia" w:ascii="宋体" w:hAnsi="宋体" w:eastAsia="宋体" w:cs="宋体"/>
          <w:color w:val="auto"/>
          <w:sz w:val="21"/>
          <w:szCs w:val="21"/>
          <w:highlight w:val="none"/>
        </w:rPr>
        <w:t>。</w:t>
      </w:r>
    </w:p>
    <w:p w14:paraId="08E0C598">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15．缺陷责任期与保修</w:t>
      </w:r>
    </w:p>
    <w:p w14:paraId="1874CB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15.2 缺陷责任期</w:t>
      </w:r>
    </w:p>
    <w:p w14:paraId="323F81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缺陷责任期的具体期限：</w:t>
      </w:r>
      <w:r>
        <w:rPr>
          <w:rFonts w:hint="eastAsia" w:ascii="宋体" w:hAnsi="宋体" w:eastAsia="宋体" w:cs="宋体"/>
          <w:color w:val="auto"/>
          <w:sz w:val="21"/>
          <w:szCs w:val="21"/>
          <w:highlight w:val="none"/>
          <w:u w:val="single"/>
        </w:rPr>
        <w:t>缺陷责任期</w:t>
      </w:r>
      <w:r>
        <w:rPr>
          <w:rFonts w:hint="eastAsia" w:ascii="宋体" w:hAnsi="宋体" w:eastAsia="宋体" w:cs="宋体"/>
          <w:color w:val="auto"/>
          <w:sz w:val="21"/>
          <w:szCs w:val="21"/>
          <w:highlight w:val="none"/>
          <w:u w:val="single"/>
          <w:lang w:val="en-US" w:eastAsia="zh-CN"/>
        </w:rPr>
        <w:t>24</w:t>
      </w:r>
      <w:r>
        <w:rPr>
          <w:rFonts w:hint="eastAsia" w:ascii="宋体" w:hAnsi="宋体" w:eastAsia="宋体" w:cs="宋体"/>
          <w:color w:val="auto"/>
          <w:sz w:val="21"/>
          <w:szCs w:val="21"/>
          <w:highlight w:val="none"/>
          <w:u w:val="single"/>
        </w:rPr>
        <w:t>个月，其余按通用条款执行</w:t>
      </w:r>
      <w:r>
        <w:rPr>
          <w:rFonts w:hint="eastAsia" w:ascii="宋体" w:hAnsi="宋体" w:eastAsia="宋体" w:cs="宋体"/>
          <w:color w:val="auto"/>
          <w:sz w:val="21"/>
          <w:szCs w:val="21"/>
          <w:highlight w:val="none"/>
        </w:rPr>
        <w:t>。</w:t>
      </w:r>
    </w:p>
    <w:p w14:paraId="6EBB54A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 质量保证金</w:t>
      </w:r>
    </w:p>
    <w:p w14:paraId="4DFEB6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关于是否扣留质量保证金的约定：</w:t>
      </w:r>
      <w:r>
        <w:rPr>
          <w:rFonts w:hint="eastAsia" w:ascii="宋体" w:hAnsi="宋体" w:eastAsia="宋体" w:cs="宋体"/>
          <w:color w:val="auto"/>
          <w:sz w:val="21"/>
          <w:szCs w:val="21"/>
          <w:highlight w:val="none"/>
          <w:u w:val="single"/>
        </w:rPr>
        <w:t xml:space="preserve"> 留置质量保证金 </w:t>
      </w:r>
      <w:r>
        <w:rPr>
          <w:rFonts w:hint="eastAsia" w:ascii="宋体" w:hAnsi="宋体" w:eastAsia="宋体" w:cs="宋体"/>
          <w:color w:val="auto"/>
          <w:sz w:val="21"/>
          <w:szCs w:val="21"/>
          <w:highlight w:val="none"/>
        </w:rPr>
        <w:t>。</w:t>
      </w:r>
    </w:p>
    <w:p w14:paraId="361CB2A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15.3.1承包人提供质量保证金的方式</w:t>
      </w:r>
    </w:p>
    <w:p w14:paraId="70ADB71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质量保证金采用以下第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种方式：</w:t>
      </w:r>
    </w:p>
    <w:p w14:paraId="65587A71">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（1）质量保证金保函，</w:t>
      </w:r>
      <w:r>
        <w:rPr>
          <w:rFonts w:hint="eastAsia" w:ascii="宋体" w:hAnsi="宋体" w:eastAsia="宋体" w:cs="宋体"/>
          <w:color w:val="auto"/>
          <w:sz w:val="21"/>
          <w:szCs w:val="21"/>
          <w:highlight w:val="none"/>
        </w:rPr>
        <w:t xml:space="preserve">保函形式为银行保函、保险机构保证保险保单或融资担保公司保函中任选一种，金额为1.5%的工程结算价款； </w:t>
      </w:r>
    </w:p>
    <w:p w14:paraId="2D43A000">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1.5%</w:t>
      </w:r>
      <w:r>
        <w:rPr>
          <w:rFonts w:hint="eastAsia" w:ascii="宋体" w:hAnsi="宋体" w:eastAsia="宋体" w:cs="宋体"/>
          <w:color w:val="auto"/>
          <w:kern w:val="0"/>
          <w:sz w:val="21"/>
          <w:szCs w:val="21"/>
          <w:highlight w:val="none"/>
        </w:rPr>
        <w:t>的工程结算价款；</w:t>
      </w:r>
    </w:p>
    <w:p w14:paraId="4B4A1451">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（3）其他方式:</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D30F0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15.3.2质量保证金的扣留 </w:t>
      </w:r>
    </w:p>
    <w:p w14:paraId="3365F4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质量保证金的扣留采取以下第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种方式：</w:t>
      </w:r>
    </w:p>
    <w:p w14:paraId="43DC53CA">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（1）在支付工程进度款时逐次扣留，在此情形下，质量保证金的计算基数不包括预付款的支付、扣回以及价格调整的金额；</w:t>
      </w:r>
    </w:p>
    <w:p w14:paraId="1C3018EF">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（2）工程竣工结算时一次性扣留质量保证金；</w:t>
      </w:r>
    </w:p>
    <w:p w14:paraId="5C4996AE">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（3）其他扣留方式:</w:t>
      </w:r>
      <w:r>
        <w:rPr>
          <w:rFonts w:hint="eastAsia" w:ascii="宋体" w:hAnsi="宋体" w:eastAsia="宋体" w:cs="宋体"/>
          <w:color w:val="auto"/>
          <w:kern w:val="0"/>
          <w:sz w:val="21"/>
          <w:szCs w:val="21"/>
          <w:highlight w:val="none"/>
          <w:u w:val="single"/>
        </w:rPr>
        <w:t xml:space="preserve"> 发包人支付完成最后工程结算付款前，承包人提供质量保证金保函 </w:t>
      </w:r>
      <w:r>
        <w:rPr>
          <w:rFonts w:hint="eastAsia" w:ascii="宋体" w:hAnsi="宋体" w:eastAsia="宋体" w:cs="宋体"/>
          <w:color w:val="auto"/>
          <w:kern w:val="0"/>
          <w:sz w:val="21"/>
          <w:szCs w:val="21"/>
          <w:highlight w:val="none"/>
        </w:rPr>
        <w:t>。</w:t>
      </w:r>
    </w:p>
    <w:p w14:paraId="7CA4784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关于质量保证金的补充约定：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kern w:val="0"/>
          <w:sz w:val="21"/>
          <w:szCs w:val="21"/>
          <w:highlight w:val="none"/>
        </w:rPr>
        <w:t>。</w:t>
      </w:r>
    </w:p>
    <w:p w14:paraId="67F2BA2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15.3.3质量保证金的退还</w:t>
      </w:r>
    </w:p>
    <w:p w14:paraId="03C553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质量保证金按以下第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方式退回：</w:t>
      </w:r>
    </w:p>
    <w:p w14:paraId="1FB87D8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（1）缺陷责任期终止后，发包人退还剩余的质量保证金。</w:t>
      </w:r>
    </w:p>
    <w:p w14:paraId="74B73CFB">
      <w:pPr>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（2）建筑工程：工程竣工验收合格后满1年返还质量保证金的30%，满2年返还全部预留的质量保证金。</w:t>
      </w:r>
    </w:p>
    <w:p w14:paraId="09643004">
      <w:pPr>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（3）市政工程：工程竣工验收合格后满2年返还全部质量保证金。</w:t>
      </w:r>
    </w:p>
    <w:p w14:paraId="3059546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（4）其它：</w:t>
      </w:r>
      <w:r>
        <w:rPr>
          <w:rFonts w:hint="eastAsia" w:ascii="宋体" w:hAnsi="宋体" w:eastAsia="宋体" w:cs="宋体"/>
          <w:color w:val="auto"/>
          <w:sz w:val="21"/>
          <w:szCs w:val="21"/>
          <w:highlight w:val="none"/>
          <w:u w:val="single"/>
        </w:rPr>
        <w:t>缺陷责任期终止后</w:t>
      </w:r>
      <w:r>
        <w:rPr>
          <w:rFonts w:hint="eastAsia" w:ascii="宋体" w:hAnsi="宋体" w:eastAsia="宋体" w:cs="宋体"/>
          <w:color w:val="auto"/>
          <w:sz w:val="21"/>
          <w:szCs w:val="21"/>
          <w:highlight w:val="none"/>
          <w:u w:val="single"/>
          <w:lang w:eastAsia="zh-CN"/>
        </w:rPr>
        <w:t>，质量保证金保函自动失效。</w:t>
      </w:r>
    </w:p>
    <w:p w14:paraId="4BAF860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 保修</w:t>
      </w:r>
    </w:p>
    <w:p w14:paraId="2105777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15.4.1保修责任</w:t>
      </w:r>
    </w:p>
    <w:p w14:paraId="360EA10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工程保修期为：</w:t>
      </w:r>
      <w:r>
        <w:rPr>
          <w:rFonts w:hint="eastAsia" w:ascii="宋体" w:hAnsi="宋体" w:eastAsia="宋体" w:cs="宋体"/>
          <w:color w:val="auto"/>
          <w:kern w:val="0"/>
          <w:sz w:val="21"/>
          <w:szCs w:val="21"/>
          <w:highlight w:val="none"/>
          <w:u w:val="single"/>
        </w:rPr>
        <w:t xml:space="preserve"> 按本合同附件3《工程质量保修书》 </w:t>
      </w:r>
      <w:r>
        <w:rPr>
          <w:rFonts w:hint="eastAsia" w:ascii="宋体" w:hAnsi="宋体" w:eastAsia="宋体" w:cs="宋体"/>
          <w:color w:val="auto"/>
          <w:kern w:val="0"/>
          <w:sz w:val="21"/>
          <w:szCs w:val="21"/>
          <w:highlight w:val="none"/>
        </w:rPr>
        <w:t>。</w:t>
      </w:r>
    </w:p>
    <w:p w14:paraId="5173E5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15.4.3修复通知</w:t>
      </w:r>
    </w:p>
    <w:p w14:paraId="4820E17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承包人收到保修通知并到达工程现场的合理时间：</w:t>
      </w:r>
      <w:r>
        <w:rPr>
          <w:rFonts w:hint="eastAsia" w:ascii="宋体" w:hAnsi="宋体" w:eastAsia="宋体" w:cs="宋体"/>
          <w:color w:val="auto"/>
          <w:kern w:val="0"/>
          <w:sz w:val="21"/>
          <w:szCs w:val="21"/>
          <w:highlight w:val="none"/>
          <w:u w:val="single"/>
        </w:rPr>
        <w:t xml:space="preserve"> 按通用条款 </w:t>
      </w:r>
      <w:r>
        <w:rPr>
          <w:rFonts w:hint="eastAsia" w:ascii="宋体" w:hAnsi="宋体" w:eastAsia="宋体" w:cs="宋体"/>
          <w:color w:val="auto"/>
          <w:kern w:val="0"/>
          <w:sz w:val="21"/>
          <w:szCs w:val="21"/>
          <w:highlight w:val="none"/>
        </w:rPr>
        <w:t>。</w:t>
      </w:r>
    </w:p>
    <w:p w14:paraId="64F2296E">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16．违约</w:t>
      </w:r>
    </w:p>
    <w:p w14:paraId="6D1B32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 发包人违约</w:t>
      </w:r>
    </w:p>
    <w:p w14:paraId="17E8CDB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16.1.1发包人违约的情形</w:t>
      </w:r>
    </w:p>
    <w:p w14:paraId="4B0C6836">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发包人违约的其他情形：</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67B1F80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16.1.2发包人违约的责任</w:t>
      </w:r>
    </w:p>
    <w:p w14:paraId="212CB8B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发包人违约责任的承担方式和计算方法：</w:t>
      </w:r>
    </w:p>
    <w:p w14:paraId="53617B7A">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（1）因发包人原因未能在计划开工日期前7天内下达开工通知的违约责任：</w:t>
      </w:r>
      <w:r>
        <w:rPr>
          <w:rFonts w:hint="eastAsia" w:ascii="宋体" w:hAnsi="宋体" w:eastAsia="宋体" w:cs="宋体"/>
          <w:color w:val="auto"/>
          <w:kern w:val="0"/>
          <w:sz w:val="21"/>
          <w:szCs w:val="21"/>
          <w:highlight w:val="none"/>
          <w:u w:val="single"/>
        </w:rPr>
        <w:t>赔偿承包人相关损失；属于专用合同条款7.3.2条约定情形的，按该条款约定处理；</w:t>
      </w:r>
    </w:p>
    <w:p w14:paraId="1C42C3F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（2）因发包人原因未能按合同约定支付合同价款的违约责任：</w:t>
      </w:r>
      <w:r>
        <w:rPr>
          <w:rFonts w:hint="eastAsia" w:ascii="宋体" w:hAnsi="宋体" w:eastAsia="宋体" w:cs="宋体"/>
          <w:color w:val="auto"/>
          <w:sz w:val="21"/>
          <w:szCs w:val="21"/>
          <w:highlight w:val="none"/>
          <w:u w:val="single"/>
        </w:rPr>
        <w:t>支付违约金，违约金为应付合同价款的利息；造成工期延误的顺延工期，并承担承包人的相应损失费用；</w:t>
      </w:r>
    </w:p>
    <w:p w14:paraId="7BF9674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（3）发包人违反第10.1款〔变更的范围〕第（2）项约定，自行实施被取消的工作或转由他人实施的违约责任：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p>
    <w:p w14:paraId="199A191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33E7709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（5）因发包人违反合同约定造成暂停施工的违约责任：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6BBA966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（6）发包人无正当理由没有在约定期限内发出复工指示，导致承包人无法复工的违约责任：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2E9F687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（7）其他：</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03D49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16.1.3因发包人违约解除合同</w:t>
      </w:r>
    </w:p>
    <w:p w14:paraId="6E43266A">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承包人按16.1.1项〔发包人违约的情形〕约定暂停施工满</w:t>
      </w:r>
      <w:r>
        <w:rPr>
          <w:rFonts w:hint="eastAsia" w:ascii="宋体" w:hAnsi="宋体" w:eastAsia="宋体" w:cs="宋体"/>
          <w:color w:val="auto"/>
          <w:kern w:val="0"/>
          <w:sz w:val="21"/>
          <w:szCs w:val="21"/>
          <w:highlight w:val="none"/>
          <w:u w:val="single"/>
        </w:rPr>
        <w:t xml:space="preserve"> 28 </w:t>
      </w:r>
      <w:r>
        <w:rPr>
          <w:rFonts w:hint="eastAsia" w:ascii="宋体" w:hAnsi="宋体" w:eastAsia="宋体" w:cs="宋体"/>
          <w:color w:val="auto"/>
          <w:kern w:val="0"/>
          <w:sz w:val="21"/>
          <w:szCs w:val="21"/>
          <w:highlight w:val="none"/>
        </w:rPr>
        <w:t>天后发包人仍不纠正其违约行为并致使合同目的不能实现的，承包人有权解除合同。</w:t>
      </w:r>
    </w:p>
    <w:p w14:paraId="1D012F6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 承包人违约</w:t>
      </w:r>
    </w:p>
    <w:p w14:paraId="0A0F7A4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16.2.1承包人违约的情形</w:t>
      </w:r>
    </w:p>
    <w:p w14:paraId="19B1F387">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承包人违约的其他情形：</w:t>
      </w:r>
    </w:p>
    <w:p w14:paraId="7FBA99A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w:t>
      </w:r>
      <w:r>
        <w:rPr>
          <w:rFonts w:hint="eastAsia" w:ascii="宋体" w:hAnsi="宋体" w:eastAsia="宋体" w:cs="宋体"/>
          <w:color w:val="auto"/>
          <w:sz w:val="21"/>
          <w:szCs w:val="21"/>
          <w:highlight w:val="none"/>
          <w:u w:val="single"/>
        </w:rPr>
        <w:t>机械设备、施工项目班子未按投标承诺及时到位；</w:t>
      </w:r>
    </w:p>
    <w:p w14:paraId="4EF94C4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）本工程在实施过程中，承包人的施工队伍素质、施工力量、现场安全文明施工不符合投标书的承诺，造成现场管理混乱、工程质量和进度达不到投标所承诺的要求；</w:t>
      </w:r>
    </w:p>
    <w:p w14:paraId="3F4473C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）承包人允许其他人挂靠经营、私自转包</w:t>
      </w:r>
      <w:r>
        <w:rPr>
          <w:rFonts w:hint="eastAsia" w:ascii="宋体" w:hAnsi="宋体" w:eastAsia="宋体" w:cs="宋体"/>
          <w:color w:val="auto"/>
          <w:kern w:val="0"/>
          <w:sz w:val="21"/>
          <w:szCs w:val="21"/>
          <w:highlight w:val="none"/>
        </w:rPr>
        <w:t>；</w:t>
      </w:r>
    </w:p>
    <w:p w14:paraId="13D629B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（4</w:t>
      </w:r>
      <w:r>
        <w:rPr>
          <w:rFonts w:hint="eastAsia" w:ascii="宋体" w:hAnsi="宋体" w:eastAsia="宋体" w:cs="宋体"/>
          <w:color w:val="auto"/>
          <w:kern w:val="0"/>
          <w:sz w:val="21"/>
          <w:szCs w:val="21"/>
          <w:highlight w:val="none"/>
          <w:u w:val="single"/>
        </w:rPr>
        <w:t>）承包人未达到投标时所承诺的诚信与技术标准。</w:t>
      </w:r>
    </w:p>
    <w:p w14:paraId="3FAA503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16.2.2承包人违约的责任</w:t>
      </w:r>
    </w:p>
    <w:p w14:paraId="7C8CBCF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承包人违约责任的承担方式和计算方法：</w:t>
      </w:r>
    </w:p>
    <w:p w14:paraId="1374F4C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机械设备未按投标承诺到位，每项扣除履约担保金2%；</w:t>
      </w:r>
    </w:p>
    <w:p w14:paraId="15F1E5D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z w:val="21"/>
          <w:szCs w:val="21"/>
          <w:highlight w:val="none"/>
          <w:u w:val="single"/>
        </w:rPr>
        <w:t>现场安全文明施工不符合投标书承诺，扣减相应安全文明施工费用；</w:t>
      </w:r>
      <w:r>
        <w:rPr>
          <w:rFonts w:hint="eastAsia" w:ascii="宋体" w:hAnsi="宋体" w:eastAsia="宋体" w:cs="宋体"/>
          <w:color w:val="auto"/>
          <w:kern w:val="0"/>
          <w:sz w:val="21"/>
          <w:szCs w:val="21"/>
          <w:highlight w:val="none"/>
          <w:u w:val="single"/>
        </w:rPr>
        <w:t>承包人原因造成现场管理混乱、</w:t>
      </w:r>
      <w:r>
        <w:rPr>
          <w:rFonts w:hint="eastAsia" w:ascii="宋体" w:hAnsi="宋体" w:eastAsia="宋体" w:cs="宋体"/>
          <w:color w:val="auto"/>
          <w:sz w:val="21"/>
          <w:szCs w:val="21"/>
          <w:highlight w:val="none"/>
          <w:u w:val="single"/>
        </w:rPr>
        <w:t>工程质量和进度达不到投标承诺的要求，发包人有权要求承包人调整充实施工力量、更换项目班子，及至解除施工合同，所有履约担保金不予退还，并赔偿发包人损失。</w:t>
      </w:r>
    </w:p>
    <w:p w14:paraId="1AC9EF4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z w:val="21"/>
          <w:szCs w:val="21"/>
          <w:highlight w:val="none"/>
          <w:u w:val="single"/>
        </w:rPr>
        <w:t>发现承包人允许其他人挂靠经营、私自转包，所有履约担保归发包人，同时赔偿发包人损失，并责令退出工地。</w:t>
      </w:r>
    </w:p>
    <w:p w14:paraId="775F595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z w:val="21"/>
          <w:szCs w:val="21"/>
          <w:highlight w:val="none"/>
          <w:u w:val="single"/>
        </w:rPr>
        <w:t>未达到投标所承诺的诚信、技术标准及创优、创标化工程目标，按每一项扣减履约担保金的10%。</w:t>
      </w:r>
    </w:p>
    <w:p w14:paraId="293FFB7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47B3ED5F">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u w:val="single"/>
        </w:rPr>
        <w:t>承包人无法继续履行、明确表示不履行或实质上已停止履行合同，发包人可通知承包人全部解除合同，所有履约担保不予退还，同时赔偿发包人损失。</w:t>
      </w:r>
    </w:p>
    <w:p w14:paraId="2AC4506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16.2.3因承包人违约解除合同</w:t>
      </w:r>
    </w:p>
    <w:p w14:paraId="3D0F6628">
      <w:pPr>
        <w:autoSpaceDE w:val="0"/>
        <w:autoSpaceDN w:val="0"/>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关于承包人违约解除合同的特别约定：</w:t>
      </w:r>
      <w:r>
        <w:rPr>
          <w:rFonts w:hint="eastAsia" w:ascii="宋体" w:hAnsi="宋体" w:eastAsia="宋体" w:cs="宋体"/>
          <w:color w:val="auto"/>
          <w:kern w:val="0"/>
          <w:sz w:val="21"/>
          <w:szCs w:val="21"/>
          <w:highlight w:val="none"/>
          <w:u w:val="single"/>
        </w:rPr>
        <w:t xml:space="preserve"> 因承包人原因造成本合同无法履行时，发包人有权解除或终止本合同，承包人的履约保证金不予退还，由此造成的各项损失均由承包人承担。</w:t>
      </w:r>
    </w:p>
    <w:p w14:paraId="3E15717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color w:val="auto"/>
          <w:kern w:val="0"/>
          <w:sz w:val="21"/>
          <w:szCs w:val="21"/>
          <w:highlight w:val="none"/>
        </w:rPr>
        <w:t>。</w:t>
      </w:r>
    </w:p>
    <w:p w14:paraId="4218C26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16.2.4因承包人违约解除合同后的处理</w:t>
      </w:r>
    </w:p>
    <w:p w14:paraId="1C38E2B1">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17．不可抗力</w:t>
      </w:r>
    </w:p>
    <w:p w14:paraId="08CA7B8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17.1 不可抗力的确认</w:t>
      </w:r>
    </w:p>
    <w:p w14:paraId="4202768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除通用合同条款约定的不可抗力事件之外，视为不可抗力的其他情形：</w:t>
      </w:r>
      <w:r>
        <w:rPr>
          <w:rFonts w:hint="eastAsia" w:ascii="宋体" w:hAnsi="宋体" w:eastAsia="宋体" w:cs="宋体"/>
          <w:color w:val="auto"/>
          <w:kern w:val="0"/>
          <w:sz w:val="21"/>
          <w:szCs w:val="21"/>
          <w:highlight w:val="none"/>
          <w:u w:val="single"/>
        </w:rPr>
        <w:t xml:space="preserve"> 10级（不含10级）以上台风、10年一遇洪水、暴风雪、干旱，罢工、政府禁令</w:t>
      </w:r>
      <w:r>
        <w:rPr>
          <w:rFonts w:hint="eastAsia" w:ascii="宋体" w:hAnsi="宋体" w:eastAsia="宋体" w:cs="宋体"/>
          <w:color w:val="auto"/>
          <w:kern w:val="0"/>
          <w:sz w:val="21"/>
          <w:szCs w:val="21"/>
          <w:highlight w:val="none"/>
        </w:rPr>
        <w:t>。</w:t>
      </w:r>
    </w:p>
    <w:p w14:paraId="1E8FC49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 不可抗力的通知</w:t>
      </w:r>
    </w:p>
    <w:p w14:paraId="0248702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62E2EF0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17.3 不可抗力后果的承担</w:t>
      </w:r>
      <w:r>
        <w:rPr>
          <w:rFonts w:hint="eastAsia" w:ascii="宋体" w:hAnsi="宋体" w:eastAsia="宋体" w:cs="宋体"/>
          <w:color w:val="auto"/>
          <w:kern w:val="0"/>
          <w:sz w:val="21"/>
          <w:szCs w:val="21"/>
          <w:highlight w:val="none"/>
          <w:u w:val="single"/>
        </w:rPr>
        <w:t>：按通用条款。</w:t>
      </w:r>
    </w:p>
    <w:p w14:paraId="4C97476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17.4 因不可抗力解除合同</w:t>
      </w:r>
    </w:p>
    <w:p w14:paraId="011D00A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合同解除后，发包人应在商定或确定发包人应支付款项后</w:t>
      </w:r>
      <w:r>
        <w:rPr>
          <w:rFonts w:hint="eastAsia" w:ascii="宋体" w:hAnsi="宋体" w:eastAsia="宋体" w:cs="宋体"/>
          <w:color w:val="auto"/>
          <w:sz w:val="21"/>
          <w:szCs w:val="21"/>
          <w:highlight w:val="none"/>
          <w:u w:val="single"/>
        </w:rPr>
        <w:t xml:space="preserve">  60  </w:t>
      </w:r>
      <w:r>
        <w:rPr>
          <w:rFonts w:hint="eastAsia" w:ascii="宋体" w:hAnsi="宋体" w:eastAsia="宋体" w:cs="宋体"/>
          <w:color w:val="auto"/>
          <w:sz w:val="21"/>
          <w:szCs w:val="21"/>
          <w:highlight w:val="none"/>
        </w:rPr>
        <w:t>天内完成款项的支付。</w:t>
      </w:r>
    </w:p>
    <w:p w14:paraId="1C6848A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18．保险</w:t>
      </w:r>
    </w:p>
    <w:p w14:paraId="18C720D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18.1 工程保险</w:t>
      </w:r>
    </w:p>
    <w:p w14:paraId="411564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关于工程保险的特别约定：</w:t>
      </w:r>
      <w:r>
        <w:rPr>
          <w:rFonts w:hint="eastAsia" w:ascii="宋体" w:hAnsi="宋体" w:eastAsia="宋体" w:cs="宋体"/>
          <w:color w:val="auto"/>
          <w:kern w:val="0"/>
          <w:sz w:val="21"/>
          <w:szCs w:val="21"/>
          <w:highlight w:val="none"/>
          <w:u w:val="single"/>
        </w:rPr>
        <w:t xml:space="preserve">   按通用条款   </w:t>
      </w:r>
      <w:r>
        <w:rPr>
          <w:rFonts w:hint="eastAsia" w:ascii="宋体" w:hAnsi="宋体" w:eastAsia="宋体" w:cs="宋体"/>
          <w:color w:val="auto"/>
          <w:kern w:val="0"/>
          <w:sz w:val="21"/>
          <w:szCs w:val="21"/>
          <w:highlight w:val="none"/>
        </w:rPr>
        <w:t>。</w:t>
      </w:r>
    </w:p>
    <w:p w14:paraId="727FD79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18.3 其他保险</w:t>
      </w:r>
    </w:p>
    <w:p w14:paraId="48CA77B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关于其他保险的约定：</w:t>
      </w:r>
      <w:r>
        <w:rPr>
          <w:rFonts w:hint="eastAsia" w:ascii="宋体" w:hAnsi="宋体" w:eastAsia="宋体" w:cs="宋体"/>
          <w:color w:val="auto"/>
          <w:kern w:val="0"/>
          <w:sz w:val="21"/>
          <w:szCs w:val="21"/>
          <w:highlight w:val="none"/>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color w:val="auto"/>
          <w:kern w:val="0"/>
          <w:sz w:val="21"/>
          <w:szCs w:val="21"/>
          <w:highlight w:val="none"/>
        </w:rPr>
        <w:t>。</w:t>
      </w:r>
    </w:p>
    <w:p w14:paraId="51060AB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承包人是否应为其施工设备等办理财产保险：</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08954A7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18.7 通知义务</w:t>
      </w:r>
    </w:p>
    <w:p w14:paraId="201D02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关于变更保险合同时的通知义务的约定：</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79553DC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20．争议解决</w:t>
      </w:r>
    </w:p>
    <w:p w14:paraId="6BFEFB6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20.3 争议评审</w:t>
      </w:r>
    </w:p>
    <w:p w14:paraId="51A17EF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合同当事人是否同意将工程争议提交争议评审小组决定：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22E51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20.3.1争议评审小组的确定</w:t>
      </w:r>
    </w:p>
    <w:p w14:paraId="5BECAB6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争议评审小组成员的确定：</w:t>
      </w:r>
      <w:r>
        <w:rPr>
          <w:rFonts w:hint="eastAsia" w:ascii="宋体" w:hAnsi="宋体" w:eastAsia="宋体" w:cs="宋体"/>
          <w:color w:val="auto"/>
          <w:sz w:val="21"/>
          <w:szCs w:val="21"/>
          <w:highlight w:val="none"/>
          <w:u w:val="single"/>
        </w:rPr>
        <w:t xml:space="preserve"> 提交争议评审时再选定 </w:t>
      </w:r>
      <w:r>
        <w:rPr>
          <w:rFonts w:hint="eastAsia" w:ascii="宋体" w:hAnsi="宋体" w:eastAsia="宋体" w:cs="宋体"/>
          <w:color w:val="auto"/>
          <w:sz w:val="21"/>
          <w:szCs w:val="21"/>
          <w:highlight w:val="none"/>
        </w:rPr>
        <w:t>。</w:t>
      </w:r>
    </w:p>
    <w:p w14:paraId="7D60A3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选定争议评审员的期限：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EA1794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争议评审小组成员的报酬承担方式：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18C3FC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13E9AF3">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20.3.2争议评审小组的决定</w:t>
      </w:r>
    </w:p>
    <w:p w14:paraId="5E58A84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合同当事人关于本项的约定：</w:t>
      </w:r>
      <w:r>
        <w:rPr>
          <w:rFonts w:hint="eastAsia" w:ascii="宋体" w:hAnsi="宋体" w:eastAsia="宋体" w:cs="宋体"/>
          <w:color w:val="auto"/>
          <w:sz w:val="21"/>
          <w:szCs w:val="21"/>
          <w:highlight w:val="none"/>
          <w:u w:val="single"/>
        </w:rPr>
        <w:t xml:space="preserve">  按通用条款。</w:t>
      </w:r>
    </w:p>
    <w:p w14:paraId="0BEAF6D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20.3.3争议评审小组决定的效力：</w:t>
      </w:r>
      <w:r>
        <w:rPr>
          <w:rFonts w:hint="eastAsia" w:ascii="宋体" w:hAnsi="宋体" w:eastAsia="宋体" w:cs="宋体"/>
          <w:color w:val="auto"/>
          <w:sz w:val="21"/>
          <w:szCs w:val="21"/>
          <w:highlight w:val="none"/>
          <w:u w:val="single"/>
        </w:rPr>
        <w:t>按通用条款执行。</w:t>
      </w:r>
    </w:p>
    <w:p w14:paraId="352290A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20.4 仲裁或诉讼</w:t>
      </w:r>
    </w:p>
    <w:p w14:paraId="7536080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种方式解决：</w:t>
      </w:r>
    </w:p>
    <w:p w14:paraId="71C5F2E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（1）向</w:t>
      </w:r>
      <w:r>
        <w:rPr>
          <w:rFonts w:hint="eastAsia" w:ascii="宋体" w:hAnsi="宋体" w:eastAsia="宋体" w:cs="宋体"/>
          <w:color w:val="auto"/>
          <w:sz w:val="21"/>
          <w:szCs w:val="21"/>
          <w:highlight w:val="none"/>
          <w:u w:val="single"/>
        </w:rPr>
        <w:t>台州</w:t>
      </w:r>
      <w:r>
        <w:rPr>
          <w:rFonts w:hint="eastAsia" w:ascii="宋体" w:hAnsi="宋体" w:eastAsia="宋体" w:cs="宋体"/>
          <w:color w:val="auto"/>
          <w:sz w:val="21"/>
          <w:szCs w:val="21"/>
          <w:highlight w:val="none"/>
        </w:rPr>
        <w:t>仲裁委员会申请仲裁；</w:t>
      </w:r>
    </w:p>
    <w:p w14:paraId="3BDFF9A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 xml:space="preserve">  工程所在地  </w:t>
      </w:r>
      <w:r>
        <w:rPr>
          <w:rFonts w:hint="eastAsia" w:ascii="宋体" w:hAnsi="宋体" w:eastAsia="宋体" w:cs="宋体"/>
          <w:color w:val="auto"/>
          <w:sz w:val="21"/>
          <w:szCs w:val="21"/>
          <w:highlight w:val="none"/>
        </w:rPr>
        <w:t>人民法院起诉。</w:t>
      </w:r>
    </w:p>
    <w:p w14:paraId="36F33ADF">
      <w:pPr>
        <w:spacing w:line="400" w:lineRule="exact"/>
        <w:ind w:firstLine="412" w:firstLineChars="200"/>
        <w:rPr>
          <w:rFonts w:hint="eastAsia" w:ascii="宋体" w:hAnsi="宋体" w:eastAsia="宋体" w:cs="宋体"/>
          <w:color w:val="auto"/>
          <w:sz w:val="21"/>
          <w:szCs w:val="21"/>
          <w:highlight w:val="none"/>
        </w:rPr>
      </w:pPr>
    </w:p>
    <w:p w14:paraId="7FEC77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14:paraId="468E895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地  址：</w:t>
      </w:r>
    </w:p>
    <w:p w14:paraId="7A34C1E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14:paraId="38CDCC2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委托代理人（签字）：                     委托代理人（签字）：</w:t>
      </w:r>
    </w:p>
    <w:p w14:paraId="08C236B9">
      <w:pPr>
        <w:spacing w:line="400" w:lineRule="exact"/>
        <w:rPr>
          <w:rFonts w:hint="eastAsia" w:ascii="宋体" w:hAnsi="宋体" w:eastAsia="宋体" w:cs="宋体"/>
          <w:color w:val="auto"/>
          <w:sz w:val="21"/>
          <w:szCs w:val="21"/>
          <w:highlight w:val="none"/>
        </w:rPr>
      </w:pPr>
    </w:p>
    <w:p w14:paraId="54F0BA06">
      <w:pPr>
        <w:spacing w:line="400" w:lineRule="exact"/>
        <w:rPr>
          <w:rFonts w:hint="eastAsia" w:ascii="宋体" w:hAnsi="宋体" w:eastAsia="宋体" w:cs="宋体"/>
          <w:color w:val="auto"/>
          <w:sz w:val="21"/>
          <w:szCs w:val="21"/>
          <w:highlight w:val="none"/>
        </w:rPr>
      </w:pPr>
    </w:p>
    <w:p w14:paraId="04CAD4D4">
      <w:pPr>
        <w:spacing w:line="400" w:lineRule="exact"/>
        <w:rPr>
          <w:rFonts w:hint="eastAsia" w:ascii="宋体" w:hAnsi="宋体" w:eastAsia="宋体" w:cs="宋体"/>
          <w:color w:val="auto"/>
          <w:sz w:val="21"/>
          <w:szCs w:val="21"/>
          <w:highlight w:val="none"/>
        </w:rPr>
      </w:pPr>
    </w:p>
    <w:p w14:paraId="29F1FF73">
      <w:pPr>
        <w:spacing w:line="400" w:lineRule="exact"/>
        <w:rPr>
          <w:rFonts w:hint="eastAsia" w:ascii="宋体" w:hAnsi="宋体" w:eastAsia="宋体" w:cs="宋体"/>
          <w:color w:val="auto"/>
          <w:sz w:val="21"/>
          <w:szCs w:val="21"/>
          <w:highlight w:val="none"/>
        </w:rPr>
      </w:pPr>
    </w:p>
    <w:p w14:paraId="7FA854AD">
      <w:pPr>
        <w:spacing w:line="400" w:lineRule="exact"/>
        <w:rPr>
          <w:rFonts w:hint="eastAsia" w:ascii="宋体" w:hAnsi="宋体" w:eastAsia="宋体" w:cs="宋体"/>
          <w:color w:val="auto"/>
          <w:sz w:val="21"/>
          <w:szCs w:val="21"/>
          <w:highlight w:val="none"/>
        </w:rPr>
      </w:pPr>
    </w:p>
    <w:p w14:paraId="191E46AF">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p>
    <w:p w14:paraId="3CD1D124">
      <w:pPr>
        <w:spacing w:line="400" w:lineRule="exact"/>
        <w:rPr>
          <w:rFonts w:ascii="宋体" w:hAnsi="宋体" w:eastAsia="宋体" w:cs="宋体"/>
          <w:color w:val="auto"/>
          <w:sz w:val="21"/>
          <w:szCs w:val="21"/>
          <w:highlight w:val="none"/>
        </w:rPr>
      </w:pPr>
    </w:p>
    <w:p w14:paraId="6BE12B4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协议书附件：</w:t>
      </w:r>
    </w:p>
    <w:p w14:paraId="468559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附件1：承包人承揽工程项目一览表（略）</w:t>
      </w:r>
    </w:p>
    <w:p w14:paraId="72721E6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专用合同条款附件：</w:t>
      </w:r>
    </w:p>
    <w:p w14:paraId="30D614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附件2：发包人供应材料设备一览表（略）</w:t>
      </w:r>
    </w:p>
    <w:p w14:paraId="2BA949A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附件3：工程质量保修书</w:t>
      </w:r>
    </w:p>
    <w:p w14:paraId="344693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附件4：主要设备材料备选品牌一览表</w:t>
      </w:r>
    </w:p>
    <w:p w14:paraId="4C21DDD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附件5：承包人用于本工程施工的机械设备表（略）</w:t>
      </w:r>
    </w:p>
    <w:p w14:paraId="2CE248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附件6：承包人主要施工管理人员表（略）</w:t>
      </w:r>
    </w:p>
    <w:p w14:paraId="6834AD2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附件7：分包人主要施工管理人员表（略）</w:t>
      </w:r>
    </w:p>
    <w:p w14:paraId="002AA1A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附件8：履约担保格式（略）</w:t>
      </w:r>
    </w:p>
    <w:p w14:paraId="79C449C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附件9：预付款担保格式（略）</w:t>
      </w:r>
    </w:p>
    <w:p w14:paraId="53A18D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附件10：支付担保格式（略）</w:t>
      </w:r>
    </w:p>
    <w:p w14:paraId="08F3D1D5">
      <w:pPr>
        <w:spacing w:line="400" w:lineRule="exact"/>
        <w:ind w:firstLine="412"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附件11：暂估价一览表（略）</w:t>
      </w:r>
    </w:p>
    <w:p w14:paraId="4499F594">
      <w:pPr>
        <w:pStyle w:val="29"/>
        <w:rPr>
          <w:rFonts w:hint="eastAsia" w:eastAsia="宋体"/>
          <w:color w:val="auto"/>
          <w:highlight w:val="none"/>
          <w:lang w:eastAsia="zh-CN"/>
        </w:rPr>
        <w:sectPr>
          <w:footerReference r:id="rId16" w:type="default"/>
          <w:headerReference r:id="rId15" w:type="even"/>
          <w:footerReference r:id="rId17" w:type="even"/>
          <w:pgSz w:w="11907" w:h="16840"/>
          <w:pgMar w:top="1247" w:right="1531" w:bottom="1247" w:left="1531" w:header="851" w:footer="1559" w:gutter="0"/>
          <w:cols w:space="720" w:num="1"/>
          <w:docGrid w:type="linesAndChars" w:linePitch="586" w:charSpace="-842"/>
        </w:sectPr>
      </w:pPr>
      <w:r>
        <w:rPr>
          <w:rFonts w:hint="eastAsia" w:ascii="宋体" w:hAnsi="宋体" w:cs="宋体"/>
          <w:color w:val="auto"/>
          <w:sz w:val="21"/>
          <w:szCs w:val="21"/>
          <w:highlight w:val="none"/>
        </w:rPr>
        <w:t xml:space="preserve">    附件12：主要设备材料备选品牌一览表</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略</w:t>
      </w:r>
      <w:r>
        <w:rPr>
          <w:rFonts w:hint="eastAsia" w:ascii="宋体" w:hAnsi="宋体" w:cs="宋体"/>
          <w:color w:val="auto"/>
          <w:sz w:val="21"/>
          <w:szCs w:val="21"/>
          <w:highlight w:val="none"/>
          <w:lang w:eastAsia="zh-CN"/>
        </w:rPr>
        <w:t>）</w:t>
      </w:r>
    </w:p>
    <w:p w14:paraId="09067D8A">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附件3</w:t>
      </w:r>
    </w:p>
    <w:p w14:paraId="64490533">
      <w:pPr>
        <w:spacing w:line="400" w:lineRule="exact"/>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工程质量保修书</w:t>
      </w:r>
    </w:p>
    <w:p w14:paraId="481707A2">
      <w:pPr>
        <w:spacing w:line="400" w:lineRule="exact"/>
        <w:rPr>
          <w:rFonts w:ascii="宋体" w:hAnsi="宋体" w:eastAsia="宋体" w:cs="宋体"/>
          <w:color w:val="auto"/>
          <w:sz w:val="21"/>
          <w:szCs w:val="21"/>
          <w:highlight w:val="none"/>
        </w:rPr>
      </w:pPr>
    </w:p>
    <w:p w14:paraId="552FB28D">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发包人（全称）：</w:t>
      </w:r>
      <w:r>
        <w:rPr>
          <w:rFonts w:hint="eastAsia" w:ascii="宋体" w:hAnsi="宋体" w:eastAsia="宋体" w:cs="宋体"/>
          <w:color w:val="auto"/>
          <w:sz w:val="21"/>
          <w:szCs w:val="21"/>
          <w:highlight w:val="none"/>
          <w:u w:val="single"/>
          <w:lang w:val="en-US" w:eastAsia="zh-CN"/>
        </w:rPr>
        <w:t>临海市古城街道许墅村集体经济组织</w:t>
      </w:r>
      <w:r>
        <w:rPr>
          <w:rFonts w:hint="eastAsia" w:ascii="宋体" w:hAnsi="宋体" w:eastAsia="宋体" w:cs="宋体"/>
          <w:color w:val="auto"/>
          <w:sz w:val="21"/>
          <w:szCs w:val="21"/>
          <w:highlight w:val="none"/>
        </w:rPr>
        <w:t xml:space="preserve"> </w:t>
      </w:r>
    </w:p>
    <w:p w14:paraId="686568BF">
      <w:pPr>
        <w:spacing w:line="400" w:lineRule="exac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p>
    <w:p w14:paraId="70D06A47">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发包人和承包人根据《中华人民共和国建筑法》和《建设工程质量管理条例》，经协商一致就</w:t>
      </w:r>
      <w:r>
        <w:rPr>
          <w:rFonts w:hint="eastAsia" w:ascii="宋体" w:hAnsi="宋体" w:eastAsia="宋体" w:cs="宋体"/>
          <w:color w:val="auto"/>
          <w:sz w:val="21"/>
          <w:szCs w:val="21"/>
          <w:highlight w:val="none"/>
          <w:u w:val="single"/>
          <w:lang w:eastAsia="zh-CN"/>
        </w:rPr>
        <w:t>许墅村道路及附属项目</w:t>
      </w:r>
      <w:r>
        <w:rPr>
          <w:rFonts w:hint="eastAsia" w:ascii="宋体" w:hAnsi="宋体" w:eastAsia="宋体" w:cs="宋体"/>
          <w:color w:val="auto"/>
          <w:sz w:val="21"/>
          <w:szCs w:val="21"/>
          <w:highlight w:val="none"/>
        </w:rPr>
        <w:t>（工程全称）签订工程质量保修书。</w:t>
      </w:r>
    </w:p>
    <w:p w14:paraId="43B56076">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一、工程质量保修范围和内容</w:t>
      </w:r>
    </w:p>
    <w:p w14:paraId="5D171CF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承包人在质量保修期内，按照有关法律规定和合同约定，承担工程质量保修责任。</w:t>
      </w:r>
    </w:p>
    <w:p w14:paraId="6CF1C0D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highlight w:val="none"/>
          <w:u w:val="single"/>
        </w:rPr>
        <w:t>承包人承包范围的所有工程</w:t>
      </w:r>
      <w:r>
        <w:rPr>
          <w:rFonts w:hint="eastAsia" w:ascii="宋体" w:hAnsi="宋体" w:eastAsia="宋体" w:cs="宋体"/>
          <w:color w:val="auto"/>
          <w:sz w:val="21"/>
          <w:szCs w:val="21"/>
          <w:highlight w:val="none"/>
        </w:rPr>
        <w:t>。</w:t>
      </w:r>
    </w:p>
    <w:p w14:paraId="2F2B58C2">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二、质量保修期</w:t>
      </w:r>
    </w:p>
    <w:p w14:paraId="658E3CA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根据《建设工程质量管理条例》及有关规定，工程的质量保修期如下：</w:t>
      </w:r>
    </w:p>
    <w:p w14:paraId="7A9DBD88">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1．地基基础工程和主体结构工程为设计文件规定的工程合理使用年限；</w:t>
      </w:r>
    </w:p>
    <w:p w14:paraId="176EC1A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2．屋面防水工程、有防水要求的卫生间、房间和外墙面的防渗为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年；</w:t>
      </w:r>
    </w:p>
    <w:p w14:paraId="0E393DE1">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3．装修工程为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6C6F3E5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4．电气管线、给排水管道、设备安装工程为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0059E28A">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5．供热与供冷系统为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个采暖期、供冷期；</w:t>
      </w:r>
    </w:p>
    <w:p w14:paraId="1BAEE85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6．住宅小区内的给排水设施、道路等配套工程为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4FB3BDD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7．其他项目保修期限约定如下：</w:t>
      </w:r>
      <w:r>
        <w:rPr>
          <w:rFonts w:hint="eastAsia" w:ascii="宋体" w:hAnsi="宋体" w:eastAsia="宋体" w:cs="宋体"/>
          <w:color w:val="auto"/>
          <w:sz w:val="21"/>
          <w:szCs w:val="21"/>
          <w:highlight w:val="none"/>
          <w:u w:val="single"/>
        </w:rPr>
        <w:t>除1-6内容外约定质量保修期为</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年。 </w:t>
      </w:r>
    </w:p>
    <w:p w14:paraId="25844AC0">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质量保修期自工程竣工验收合格之日起计算。</w:t>
      </w:r>
    </w:p>
    <w:p w14:paraId="26B28B48">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三、缺陷责任期</w:t>
      </w:r>
    </w:p>
    <w:p w14:paraId="7EC09379">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工程缺陷责任期为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24</w:t>
      </w:r>
      <w:r>
        <w:rPr>
          <w:rFonts w:hint="eastAsia" w:ascii="宋体" w:hAnsi="宋体" w:eastAsia="宋体" w:cs="宋体"/>
          <w:color w:val="auto"/>
          <w:sz w:val="21"/>
          <w:szCs w:val="21"/>
          <w:highlight w:val="none"/>
        </w:rPr>
        <w:t>个月，缺陷责任期自工程竣工验收合格之日起计算。单位工程先于全部工程进行验收，单位工程缺陷责任期自单位工程验收合格之日起算。</w:t>
      </w:r>
    </w:p>
    <w:p w14:paraId="14D4CF4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四、质量保修责任</w:t>
      </w:r>
    </w:p>
    <w:p w14:paraId="750D7B6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1．属于保修范围、内容的项目，承包人应当在接到保修通知后4小时内响应，7天内派人保修。承包人不在约定期限内派人保修的，发包人可以委托他人修理。</w:t>
      </w:r>
    </w:p>
    <w:p w14:paraId="680A197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2．发生紧急事故需抢修的，承包人在接到事故通知后，应当立即到达事故现场抢修。</w:t>
      </w:r>
    </w:p>
    <w:p w14:paraId="357DA4C9">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4762DD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4．质量保修完成后，由发包人组织验收。</w:t>
      </w:r>
    </w:p>
    <w:p w14:paraId="23DF4FF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五、保修费用</w:t>
      </w:r>
    </w:p>
    <w:p w14:paraId="72D23003">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保修费用由造成质量缺陷的责任方承担。</w:t>
      </w:r>
    </w:p>
    <w:p w14:paraId="578B9A40">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六、双方约定的其他工程质量保修事项：</w:t>
      </w:r>
      <w:r>
        <w:rPr>
          <w:rFonts w:hint="eastAsia" w:ascii="宋体" w:hAnsi="宋体" w:eastAsia="宋体" w:cs="宋体"/>
          <w:color w:val="auto"/>
          <w:sz w:val="21"/>
          <w:szCs w:val="21"/>
          <w:highlight w:val="none"/>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color w:val="auto"/>
          <w:sz w:val="21"/>
          <w:szCs w:val="21"/>
          <w:highlight w:val="none"/>
        </w:rPr>
        <w:t>。</w:t>
      </w:r>
    </w:p>
    <w:p w14:paraId="0FBB973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工程质量保修书由发包人、承包人在工程竣工验收前共同签署，作为施工合同附件，其有效期限至保修期满。</w:t>
      </w:r>
    </w:p>
    <w:p w14:paraId="25F753F8">
      <w:pPr>
        <w:spacing w:line="400" w:lineRule="exact"/>
        <w:rPr>
          <w:rFonts w:ascii="宋体" w:hAnsi="宋体" w:eastAsia="宋体" w:cs="宋体"/>
          <w:color w:val="auto"/>
          <w:sz w:val="21"/>
          <w:szCs w:val="21"/>
          <w:highlight w:val="none"/>
        </w:rPr>
      </w:pPr>
    </w:p>
    <w:p w14:paraId="1D4910FB">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14:paraId="3C451C74">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地  址：</w:t>
      </w:r>
    </w:p>
    <w:p w14:paraId="27811678">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14:paraId="3B5CE3D4">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或委托代理人（签字）：                      或委托代理人（签字）：</w:t>
      </w:r>
    </w:p>
    <w:p w14:paraId="0629E1DC">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  话：                                    电  话：</w:t>
      </w:r>
    </w:p>
    <w:p w14:paraId="30300BF5">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传  真：                                    传  真：</w:t>
      </w:r>
    </w:p>
    <w:p w14:paraId="21AC5D19">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                                  开户银行：</w:t>
      </w:r>
    </w:p>
    <w:p w14:paraId="3D12C54A">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账  号：                                    账  号：</w:t>
      </w:r>
    </w:p>
    <w:p w14:paraId="6244A464">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                                  邮政编码： </w:t>
      </w:r>
    </w:p>
    <w:p w14:paraId="69A361EC">
      <w:pPr>
        <w:spacing w:line="400" w:lineRule="exact"/>
        <w:rPr>
          <w:rFonts w:hint="eastAsia" w:ascii="宋体" w:hAnsi="宋体" w:eastAsia="宋体" w:cs="宋体"/>
          <w:color w:val="auto"/>
          <w:sz w:val="21"/>
          <w:szCs w:val="21"/>
          <w:highlight w:val="none"/>
        </w:rPr>
      </w:pPr>
    </w:p>
    <w:p w14:paraId="42212079">
      <w:pPr>
        <w:spacing w:line="268" w:lineRule="auto"/>
        <w:rPr>
          <w:rFonts w:ascii="Arial"/>
          <w:color w:val="auto"/>
          <w:sz w:val="21"/>
          <w:highlight w:val="none"/>
        </w:rPr>
      </w:pPr>
    </w:p>
    <w:p w14:paraId="2B07CC9C">
      <w:pPr>
        <w:spacing w:line="269" w:lineRule="auto"/>
        <w:rPr>
          <w:rFonts w:ascii="Arial"/>
          <w:color w:val="auto"/>
          <w:sz w:val="21"/>
          <w:highlight w:val="none"/>
        </w:rPr>
      </w:pPr>
    </w:p>
    <w:p w14:paraId="6AC02AF2">
      <w:pPr>
        <w:spacing w:line="269" w:lineRule="auto"/>
        <w:rPr>
          <w:rFonts w:ascii="Arial"/>
          <w:color w:val="auto"/>
          <w:sz w:val="21"/>
          <w:highlight w:val="none"/>
        </w:rPr>
      </w:pPr>
    </w:p>
    <w:p w14:paraId="7F329732">
      <w:pPr>
        <w:spacing w:line="269" w:lineRule="auto"/>
        <w:rPr>
          <w:rFonts w:ascii="Arial"/>
          <w:color w:val="auto"/>
          <w:sz w:val="21"/>
          <w:highlight w:val="none"/>
        </w:rPr>
      </w:pPr>
    </w:p>
    <w:p w14:paraId="4818F5D6">
      <w:pPr>
        <w:spacing w:line="269" w:lineRule="auto"/>
        <w:rPr>
          <w:rFonts w:ascii="Arial"/>
          <w:color w:val="auto"/>
          <w:sz w:val="21"/>
          <w:highlight w:val="none"/>
        </w:rPr>
      </w:pPr>
    </w:p>
    <w:p w14:paraId="4FEB4719">
      <w:pPr>
        <w:spacing w:line="269" w:lineRule="auto"/>
        <w:rPr>
          <w:rFonts w:ascii="Arial"/>
          <w:color w:val="auto"/>
          <w:sz w:val="21"/>
          <w:highlight w:val="none"/>
        </w:rPr>
      </w:pPr>
    </w:p>
    <w:p w14:paraId="5523D6BE">
      <w:pPr>
        <w:spacing w:line="269" w:lineRule="auto"/>
        <w:rPr>
          <w:rFonts w:ascii="Arial"/>
          <w:color w:val="auto"/>
          <w:sz w:val="21"/>
          <w:highlight w:val="none"/>
        </w:rPr>
      </w:pPr>
    </w:p>
    <w:p w14:paraId="700B3A72">
      <w:pPr>
        <w:spacing w:line="269" w:lineRule="auto"/>
        <w:rPr>
          <w:rFonts w:ascii="Arial"/>
          <w:color w:val="auto"/>
          <w:sz w:val="21"/>
          <w:highlight w:val="none"/>
        </w:rPr>
      </w:pPr>
    </w:p>
    <w:p w14:paraId="572363D2">
      <w:pPr>
        <w:spacing w:line="269" w:lineRule="auto"/>
        <w:rPr>
          <w:rFonts w:ascii="Arial"/>
          <w:color w:val="auto"/>
          <w:sz w:val="21"/>
          <w:highlight w:val="none"/>
        </w:rPr>
      </w:pPr>
    </w:p>
    <w:p w14:paraId="1F9E3A87">
      <w:pPr>
        <w:spacing w:line="269" w:lineRule="auto"/>
        <w:rPr>
          <w:rFonts w:ascii="Arial"/>
          <w:color w:val="auto"/>
          <w:sz w:val="21"/>
          <w:highlight w:val="none"/>
        </w:rPr>
      </w:pPr>
    </w:p>
    <w:p w14:paraId="0BD832BB">
      <w:pPr>
        <w:spacing w:line="269" w:lineRule="auto"/>
        <w:rPr>
          <w:rFonts w:ascii="Arial"/>
          <w:color w:val="auto"/>
          <w:sz w:val="21"/>
          <w:highlight w:val="none"/>
        </w:rPr>
      </w:pPr>
    </w:p>
    <w:p w14:paraId="78EA17E0">
      <w:pPr>
        <w:spacing w:line="269" w:lineRule="auto"/>
        <w:rPr>
          <w:rFonts w:ascii="Arial"/>
          <w:color w:val="auto"/>
          <w:sz w:val="21"/>
          <w:highlight w:val="none"/>
        </w:rPr>
      </w:pPr>
    </w:p>
    <w:p w14:paraId="5A7ACA22">
      <w:pPr>
        <w:spacing w:line="269" w:lineRule="auto"/>
        <w:rPr>
          <w:rFonts w:ascii="Arial"/>
          <w:color w:val="auto"/>
          <w:sz w:val="21"/>
          <w:highlight w:val="none"/>
        </w:rPr>
      </w:pPr>
    </w:p>
    <w:p w14:paraId="258ED27B">
      <w:pPr>
        <w:spacing w:line="269" w:lineRule="auto"/>
        <w:rPr>
          <w:rFonts w:ascii="Arial"/>
          <w:color w:val="auto"/>
          <w:sz w:val="21"/>
          <w:highlight w:val="none"/>
        </w:rPr>
      </w:pPr>
    </w:p>
    <w:p w14:paraId="591C84BC">
      <w:pPr>
        <w:spacing w:line="269" w:lineRule="auto"/>
        <w:rPr>
          <w:rFonts w:ascii="Arial"/>
          <w:color w:val="auto"/>
          <w:sz w:val="21"/>
          <w:highlight w:val="none"/>
        </w:rPr>
      </w:pPr>
    </w:p>
    <w:p w14:paraId="072FF5C2">
      <w:pPr>
        <w:pStyle w:val="9"/>
        <w:spacing w:before="78" w:line="222" w:lineRule="auto"/>
        <w:ind w:left="376"/>
        <w:outlineLvl w:val="0"/>
        <w:rPr>
          <w:color w:val="auto"/>
          <w:sz w:val="24"/>
          <w:szCs w:val="24"/>
          <w:highlight w:val="none"/>
        </w:rPr>
      </w:pPr>
      <w:r>
        <w:rPr>
          <w:b/>
          <w:bCs/>
          <w:color w:val="auto"/>
          <w:spacing w:val="-4"/>
          <w:sz w:val="24"/>
          <w:szCs w:val="24"/>
          <w:highlight w:val="none"/>
        </w:rPr>
        <w:t>附件</w:t>
      </w:r>
      <w:r>
        <w:rPr>
          <w:rFonts w:hint="eastAsia"/>
          <w:b/>
          <w:bCs/>
          <w:color w:val="auto"/>
          <w:spacing w:val="-4"/>
          <w:sz w:val="24"/>
          <w:szCs w:val="24"/>
          <w:highlight w:val="none"/>
          <w:lang w:val="en-US" w:eastAsia="zh-CN"/>
        </w:rPr>
        <w:t>4</w:t>
      </w:r>
      <w:r>
        <w:rPr>
          <w:rFonts w:ascii="黑体" w:hAnsi="黑体" w:eastAsia="黑体" w:cs="黑体"/>
          <w:b/>
          <w:bCs/>
          <w:color w:val="auto"/>
          <w:spacing w:val="-4"/>
          <w:sz w:val="24"/>
          <w:szCs w:val="24"/>
          <w:highlight w:val="none"/>
        </w:rPr>
        <w:t>：</w:t>
      </w:r>
      <w:r>
        <w:rPr>
          <w:b/>
          <w:bCs/>
          <w:color w:val="auto"/>
          <w:spacing w:val="-4"/>
          <w:sz w:val="24"/>
          <w:szCs w:val="24"/>
          <w:highlight w:val="none"/>
        </w:rPr>
        <w:t>主要设备材料备选品牌一览表</w:t>
      </w:r>
    </w:p>
    <w:p w14:paraId="459EB1E4">
      <w:pPr>
        <w:spacing w:line="220" w:lineRule="exact"/>
        <w:rPr>
          <w:color w:val="auto"/>
          <w:highlight w:val="none"/>
        </w:rPr>
      </w:pPr>
    </w:p>
    <w:tbl>
      <w:tblPr>
        <w:tblStyle w:val="40"/>
        <w:tblW w:w="928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2498"/>
        <w:gridCol w:w="4665"/>
        <w:gridCol w:w="1390"/>
      </w:tblGrid>
      <w:tr w14:paraId="4C9E33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2" w:hRule="atLeast"/>
        </w:trPr>
        <w:tc>
          <w:tcPr>
            <w:tcW w:w="732" w:type="dxa"/>
            <w:vAlign w:val="top"/>
          </w:tcPr>
          <w:p w14:paraId="201C1E08">
            <w:pPr>
              <w:pStyle w:val="39"/>
              <w:spacing w:before="236" w:line="221" w:lineRule="auto"/>
              <w:ind w:left="131"/>
              <w:rPr>
                <w:color w:val="auto"/>
                <w:highlight w:val="none"/>
              </w:rPr>
            </w:pPr>
            <w:r>
              <w:rPr>
                <w:color w:val="auto"/>
                <w:spacing w:val="-5"/>
                <w:highlight w:val="none"/>
              </w:rPr>
              <w:t>序号</w:t>
            </w:r>
          </w:p>
        </w:tc>
        <w:tc>
          <w:tcPr>
            <w:tcW w:w="2498" w:type="dxa"/>
            <w:vAlign w:val="top"/>
          </w:tcPr>
          <w:p w14:paraId="70CB68C6">
            <w:pPr>
              <w:pStyle w:val="39"/>
              <w:spacing w:before="236" w:line="219" w:lineRule="auto"/>
              <w:ind w:left="509"/>
              <w:jc w:val="center"/>
              <w:rPr>
                <w:color w:val="auto"/>
                <w:highlight w:val="none"/>
              </w:rPr>
            </w:pPr>
            <w:r>
              <w:rPr>
                <w:color w:val="auto"/>
                <w:spacing w:val="-3"/>
                <w:highlight w:val="none"/>
              </w:rPr>
              <w:t>材料名称</w:t>
            </w:r>
          </w:p>
        </w:tc>
        <w:tc>
          <w:tcPr>
            <w:tcW w:w="4665" w:type="dxa"/>
            <w:vAlign w:val="top"/>
          </w:tcPr>
          <w:p w14:paraId="55B05608">
            <w:pPr>
              <w:pStyle w:val="39"/>
              <w:spacing w:before="237" w:line="219" w:lineRule="auto"/>
              <w:ind w:left="302"/>
              <w:jc w:val="center"/>
              <w:rPr>
                <w:color w:val="auto"/>
                <w:highlight w:val="none"/>
              </w:rPr>
            </w:pPr>
            <w:r>
              <w:rPr>
                <w:color w:val="auto"/>
                <w:spacing w:val="-1"/>
                <w:highlight w:val="none"/>
              </w:rPr>
              <w:t>备选品牌或厂家（参照或相当于）</w:t>
            </w:r>
          </w:p>
        </w:tc>
        <w:tc>
          <w:tcPr>
            <w:tcW w:w="1390" w:type="dxa"/>
            <w:vAlign w:val="top"/>
          </w:tcPr>
          <w:p w14:paraId="31C85A28">
            <w:pPr>
              <w:pStyle w:val="39"/>
              <w:spacing w:before="236" w:line="221" w:lineRule="auto"/>
              <w:jc w:val="center"/>
              <w:rPr>
                <w:color w:val="auto"/>
                <w:highlight w:val="none"/>
              </w:rPr>
            </w:pPr>
            <w:r>
              <w:rPr>
                <w:color w:val="auto"/>
                <w:spacing w:val="-7"/>
                <w:highlight w:val="none"/>
              </w:rPr>
              <w:t>备注</w:t>
            </w:r>
          </w:p>
        </w:tc>
      </w:tr>
      <w:tr w14:paraId="3C01E7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8" w:hRule="atLeast"/>
        </w:trPr>
        <w:tc>
          <w:tcPr>
            <w:tcW w:w="732" w:type="dxa"/>
            <w:vAlign w:val="top"/>
          </w:tcPr>
          <w:p w14:paraId="014DDBF6">
            <w:pPr>
              <w:pStyle w:val="39"/>
              <w:spacing w:before="309" w:line="241" w:lineRule="auto"/>
              <w:ind w:left="330"/>
              <w:rPr>
                <w:color w:val="auto"/>
                <w:highlight w:val="none"/>
              </w:rPr>
            </w:pPr>
            <w:r>
              <w:rPr>
                <w:color w:val="auto"/>
                <w:highlight w:val="none"/>
              </w:rPr>
              <w:t>1</w:t>
            </w:r>
          </w:p>
        </w:tc>
        <w:tc>
          <w:tcPr>
            <w:tcW w:w="2498" w:type="dxa"/>
            <w:vAlign w:val="top"/>
          </w:tcPr>
          <w:p w14:paraId="43F6C5B3">
            <w:pPr>
              <w:pStyle w:val="39"/>
              <w:spacing w:before="309" w:line="219" w:lineRule="auto"/>
              <w:jc w:val="center"/>
              <w:rPr>
                <w:color w:val="auto"/>
                <w:highlight w:val="none"/>
              </w:rPr>
            </w:pPr>
            <w:r>
              <w:rPr>
                <w:color w:val="auto"/>
                <w:spacing w:val="-2"/>
                <w:highlight w:val="none"/>
              </w:rPr>
              <w:t>钢筋、钢材</w:t>
            </w:r>
          </w:p>
        </w:tc>
        <w:tc>
          <w:tcPr>
            <w:tcW w:w="4665" w:type="dxa"/>
            <w:vAlign w:val="top"/>
          </w:tcPr>
          <w:p w14:paraId="5610BD58">
            <w:pPr>
              <w:pStyle w:val="39"/>
              <w:spacing w:before="310" w:line="219" w:lineRule="auto"/>
              <w:jc w:val="center"/>
              <w:rPr>
                <w:color w:val="auto"/>
                <w:highlight w:val="none"/>
              </w:rPr>
            </w:pPr>
            <w:r>
              <w:rPr>
                <w:rFonts w:hint="eastAsia"/>
                <w:color w:val="auto"/>
                <w:highlight w:val="none"/>
              </w:rPr>
              <w:t>沙钢、中天、杭钢古剑、新兴铸管、江阴西城、永钢</w:t>
            </w:r>
          </w:p>
        </w:tc>
        <w:tc>
          <w:tcPr>
            <w:tcW w:w="1390" w:type="dxa"/>
            <w:vAlign w:val="top"/>
          </w:tcPr>
          <w:p w14:paraId="1AAACFB8">
            <w:pPr>
              <w:jc w:val="center"/>
              <w:rPr>
                <w:rFonts w:ascii="Arial"/>
                <w:color w:val="auto"/>
                <w:sz w:val="21"/>
                <w:highlight w:val="none"/>
              </w:rPr>
            </w:pPr>
          </w:p>
        </w:tc>
      </w:tr>
      <w:tr w14:paraId="593BFD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1" w:hRule="atLeast"/>
        </w:trPr>
        <w:tc>
          <w:tcPr>
            <w:tcW w:w="732" w:type="dxa"/>
            <w:vAlign w:val="top"/>
          </w:tcPr>
          <w:p w14:paraId="5FB76A53">
            <w:pPr>
              <w:pStyle w:val="39"/>
              <w:spacing w:before="280"/>
              <w:ind w:left="317"/>
              <w:rPr>
                <w:rFonts w:hint="eastAsia" w:eastAsia="宋体"/>
                <w:color w:val="auto"/>
                <w:highlight w:val="none"/>
                <w:lang w:eastAsia="zh-CN"/>
              </w:rPr>
            </w:pPr>
            <w:r>
              <w:rPr>
                <w:rFonts w:hint="eastAsia"/>
                <w:color w:val="auto"/>
                <w:highlight w:val="none"/>
                <w:lang w:val="en-US" w:eastAsia="zh-CN"/>
              </w:rPr>
              <w:t>2</w:t>
            </w:r>
          </w:p>
        </w:tc>
        <w:tc>
          <w:tcPr>
            <w:tcW w:w="2498" w:type="dxa"/>
            <w:vAlign w:val="top"/>
          </w:tcPr>
          <w:p w14:paraId="4E39DA2D">
            <w:pPr>
              <w:pStyle w:val="39"/>
              <w:spacing w:before="281" w:line="219" w:lineRule="auto"/>
              <w:jc w:val="center"/>
              <w:rPr>
                <w:color w:val="auto"/>
                <w:highlight w:val="none"/>
              </w:rPr>
            </w:pPr>
            <w:r>
              <w:rPr>
                <w:color w:val="auto"/>
                <w:spacing w:val="-7"/>
                <w:highlight w:val="none"/>
              </w:rPr>
              <w:t>水泥</w:t>
            </w:r>
          </w:p>
        </w:tc>
        <w:tc>
          <w:tcPr>
            <w:tcW w:w="4665" w:type="dxa"/>
            <w:vAlign w:val="top"/>
          </w:tcPr>
          <w:p w14:paraId="7064F3FD">
            <w:pPr>
              <w:pStyle w:val="39"/>
              <w:spacing w:before="280" w:line="219" w:lineRule="auto"/>
              <w:ind w:left="418"/>
              <w:jc w:val="center"/>
              <w:rPr>
                <w:color w:val="auto"/>
                <w:highlight w:val="none"/>
              </w:rPr>
            </w:pPr>
            <w:r>
              <w:rPr>
                <w:rFonts w:hint="eastAsia"/>
                <w:color w:val="auto"/>
                <w:highlight w:val="none"/>
              </w:rPr>
              <w:t>海螺、三狮、佳力、红狮、世坚</w:t>
            </w:r>
          </w:p>
        </w:tc>
        <w:tc>
          <w:tcPr>
            <w:tcW w:w="1390" w:type="dxa"/>
            <w:vAlign w:val="top"/>
          </w:tcPr>
          <w:p w14:paraId="58235AC9">
            <w:pPr>
              <w:jc w:val="center"/>
              <w:rPr>
                <w:rFonts w:ascii="Arial"/>
                <w:color w:val="auto"/>
                <w:sz w:val="21"/>
                <w:highlight w:val="none"/>
              </w:rPr>
            </w:pPr>
          </w:p>
        </w:tc>
      </w:tr>
      <w:tr w14:paraId="52F725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6" w:hRule="atLeast"/>
        </w:trPr>
        <w:tc>
          <w:tcPr>
            <w:tcW w:w="732" w:type="dxa"/>
            <w:vAlign w:val="top"/>
          </w:tcPr>
          <w:p w14:paraId="7AC2A604">
            <w:pPr>
              <w:pStyle w:val="39"/>
              <w:spacing w:before="281" w:line="241" w:lineRule="auto"/>
              <w:ind w:left="311"/>
              <w:rPr>
                <w:rFonts w:hint="eastAsia" w:eastAsia="宋体"/>
                <w:color w:val="auto"/>
                <w:highlight w:val="none"/>
                <w:lang w:val="en-US" w:eastAsia="zh-CN"/>
              </w:rPr>
            </w:pPr>
            <w:r>
              <w:rPr>
                <w:rFonts w:hint="eastAsia"/>
                <w:color w:val="auto"/>
                <w:highlight w:val="none"/>
                <w:lang w:val="en-US" w:eastAsia="zh-CN"/>
              </w:rPr>
              <w:t>3</w:t>
            </w:r>
          </w:p>
        </w:tc>
        <w:tc>
          <w:tcPr>
            <w:tcW w:w="2498" w:type="dxa"/>
            <w:vAlign w:val="top"/>
          </w:tcPr>
          <w:p w14:paraId="52769110">
            <w:pPr>
              <w:pStyle w:val="39"/>
              <w:spacing w:before="126" w:line="242" w:lineRule="auto"/>
              <w:ind w:left="751" w:leftChars="0" w:right="144" w:rightChars="0" w:hanging="608" w:firstLineChars="0"/>
              <w:jc w:val="center"/>
              <w:rPr>
                <w:color w:val="auto"/>
                <w:highlight w:val="none"/>
              </w:rPr>
            </w:pPr>
            <w:r>
              <w:rPr>
                <w:color w:val="auto"/>
                <w:spacing w:val="-1"/>
                <w:highlight w:val="none"/>
              </w:rPr>
              <w:t>HDPE双壁波纹排</w:t>
            </w:r>
            <w:r>
              <w:rPr>
                <w:color w:val="auto"/>
                <w:spacing w:val="-7"/>
                <w:highlight w:val="none"/>
              </w:rPr>
              <w:t>水管</w:t>
            </w:r>
          </w:p>
        </w:tc>
        <w:tc>
          <w:tcPr>
            <w:tcW w:w="4665" w:type="dxa"/>
            <w:vAlign w:val="top"/>
          </w:tcPr>
          <w:p w14:paraId="1C4CD9CB">
            <w:pPr>
              <w:pStyle w:val="39"/>
              <w:spacing w:before="126" w:line="219" w:lineRule="auto"/>
              <w:ind w:left="127" w:leftChars="0"/>
              <w:jc w:val="center"/>
              <w:rPr>
                <w:rFonts w:hint="default" w:eastAsia="宋体"/>
                <w:color w:val="auto"/>
                <w:highlight w:val="none"/>
                <w:lang w:val="en-US" w:eastAsia="zh-CN"/>
              </w:rPr>
            </w:pPr>
            <w:r>
              <w:rPr>
                <w:color w:val="auto"/>
                <w:spacing w:val="-8"/>
                <w:highlight w:val="none"/>
              </w:rPr>
              <w:t>临海伟星、上海白蝶、上海公元、浙江</w:t>
            </w:r>
            <w:r>
              <w:rPr>
                <w:color w:val="auto"/>
                <w:spacing w:val="-16"/>
                <w:highlight w:val="none"/>
              </w:rPr>
              <w:t>中财</w:t>
            </w:r>
          </w:p>
        </w:tc>
        <w:tc>
          <w:tcPr>
            <w:tcW w:w="1390" w:type="dxa"/>
            <w:vAlign w:val="top"/>
          </w:tcPr>
          <w:p w14:paraId="5C448A7D">
            <w:pPr>
              <w:jc w:val="center"/>
              <w:rPr>
                <w:rFonts w:ascii="Arial"/>
                <w:color w:val="auto"/>
                <w:sz w:val="21"/>
                <w:highlight w:val="none"/>
              </w:rPr>
            </w:pPr>
          </w:p>
        </w:tc>
      </w:tr>
      <w:tr w14:paraId="0A9242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6" w:hRule="atLeast"/>
        </w:trPr>
        <w:tc>
          <w:tcPr>
            <w:tcW w:w="732" w:type="dxa"/>
            <w:shd w:val="clear" w:color="auto" w:fill="auto"/>
            <w:vAlign w:val="top"/>
          </w:tcPr>
          <w:p w14:paraId="442981BF">
            <w:pPr>
              <w:pStyle w:val="39"/>
              <w:spacing w:before="281"/>
              <w:ind w:left="317" w:leftChars="0"/>
              <w:rPr>
                <w:rFonts w:hint="eastAsia" w:ascii="宋体" w:hAnsi="宋体" w:eastAsia="宋体" w:cs="宋体"/>
                <w:color w:val="auto"/>
                <w:kern w:val="2"/>
                <w:sz w:val="24"/>
                <w:szCs w:val="24"/>
                <w:highlight w:val="none"/>
                <w:lang w:val="en-US" w:eastAsia="zh-CN" w:bidi="ar-SA"/>
              </w:rPr>
            </w:pPr>
            <w:r>
              <w:rPr>
                <w:rFonts w:hint="eastAsia"/>
                <w:color w:val="auto"/>
                <w:highlight w:val="none"/>
                <w:lang w:val="en-US" w:eastAsia="zh-CN"/>
              </w:rPr>
              <w:t>4</w:t>
            </w:r>
          </w:p>
        </w:tc>
        <w:tc>
          <w:tcPr>
            <w:tcW w:w="2498" w:type="dxa"/>
            <w:vAlign w:val="top"/>
          </w:tcPr>
          <w:p w14:paraId="01C77C5B">
            <w:pPr>
              <w:pStyle w:val="39"/>
              <w:spacing w:before="126" w:line="242" w:lineRule="auto"/>
              <w:ind w:left="751" w:leftChars="0" w:right="144" w:rightChars="0" w:hanging="608" w:firstLineChars="0"/>
              <w:jc w:val="center"/>
              <w:rPr>
                <w:color w:val="auto"/>
                <w:spacing w:val="-1"/>
                <w:highlight w:val="none"/>
              </w:rPr>
            </w:pPr>
            <w:r>
              <w:rPr>
                <w:rFonts w:hint="eastAsia"/>
                <w:color w:val="auto"/>
                <w:spacing w:val="-1"/>
                <w:highlight w:val="none"/>
              </w:rPr>
              <w:t>太阳能路灯</w:t>
            </w:r>
          </w:p>
        </w:tc>
        <w:tc>
          <w:tcPr>
            <w:tcW w:w="4665" w:type="dxa"/>
            <w:vAlign w:val="top"/>
          </w:tcPr>
          <w:p w14:paraId="1D964FB4">
            <w:pPr>
              <w:pStyle w:val="39"/>
              <w:spacing w:before="126" w:line="219" w:lineRule="auto"/>
              <w:ind w:left="127" w:leftChars="0"/>
              <w:jc w:val="center"/>
              <w:rPr>
                <w:rFonts w:hint="default" w:eastAsia="宋体"/>
                <w:color w:val="auto"/>
                <w:spacing w:val="-8"/>
                <w:highlight w:val="none"/>
                <w:lang w:val="en-US" w:eastAsia="zh-CN"/>
              </w:rPr>
            </w:pPr>
            <w:r>
              <w:rPr>
                <w:rFonts w:hint="eastAsia"/>
                <w:color w:val="auto"/>
                <w:spacing w:val="-8"/>
                <w:highlight w:val="none"/>
                <w:lang w:val="en-US" w:eastAsia="zh-CN"/>
              </w:rPr>
              <w:t>欧普、三雄极光、松下</w:t>
            </w:r>
          </w:p>
        </w:tc>
        <w:tc>
          <w:tcPr>
            <w:tcW w:w="1390" w:type="dxa"/>
            <w:vAlign w:val="top"/>
          </w:tcPr>
          <w:p w14:paraId="05A64CE6">
            <w:pPr>
              <w:jc w:val="center"/>
              <w:rPr>
                <w:rFonts w:ascii="Arial"/>
                <w:color w:val="auto"/>
                <w:sz w:val="21"/>
                <w:highlight w:val="none"/>
              </w:rPr>
            </w:pPr>
          </w:p>
        </w:tc>
      </w:tr>
      <w:tr w14:paraId="3B71B8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7" w:hRule="atLeast"/>
        </w:trPr>
        <w:tc>
          <w:tcPr>
            <w:tcW w:w="732" w:type="dxa"/>
            <w:shd w:val="clear" w:color="auto" w:fill="auto"/>
            <w:vAlign w:val="top"/>
          </w:tcPr>
          <w:p w14:paraId="0C63D510">
            <w:pPr>
              <w:pStyle w:val="39"/>
              <w:spacing w:before="280"/>
              <w:ind w:left="314" w:leftChars="0"/>
              <w:rPr>
                <w:rFonts w:hint="eastAsia" w:ascii="宋体" w:hAnsi="宋体" w:eastAsia="宋体" w:cs="宋体"/>
                <w:color w:val="auto"/>
                <w:kern w:val="2"/>
                <w:sz w:val="24"/>
                <w:szCs w:val="24"/>
                <w:highlight w:val="none"/>
                <w:lang w:val="en-US" w:eastAsia="zh-CN" w:bidi="ar-SA"/>
              </w:rPr>
            </w:pPr>
          </w:p>
        </w:tc>
        <w:tc>
          <w:tcPr>
            <w:tcW w:w="2498" w:type="dxa"/>
            <w:vAlign w:val="top"/>
          </w:tcPr>
          <w:p w14:paraId="77CB4C8F">
            <w:pPr>
              <w:pStyle w:val="39"/>
              <w:spacing w:before="126" w:line="242" w:lineRule="auto"/>
              <w:ind w:left="751" w:right="144" w:hanging="608"/>
              <w:jc w:val="center"/>
              <w:rPr>
                <w:rFonts w:hint="eastAsia" w:eastAsia="宋体"/>
                <w:color w:val="auto"/>
                <w:highlight w:val="none"/>
                <w:lang w:val="en-US" w:eastAsia="zh-CN"/>
              </w:rPr>
            </w:pPr>
          </w:p>
        </w:tc>
        <w:tc>
          <w:tcPr>
            <w:tcW w:w="4665" w:type="dxa"/>
            <w:vAlign w:val="top"/>
          </w:tcPr>
          <w:p w14:paraId="4EE1CB32">
            <w:pPr>
              <w:pStyle w:val="39"/>
              <w:spacing w:before="126" w:line="219" w:lineRule="auto"/>
              <w:ind w:left="127"/>
              <w:jc w:val="center"/>
              <w:rPr>
                <w:color w:val="auto"/>
                <w:highlight w:val="none"/>
              </w:rPr>
            </w:pPr>
          </w:p>
        </w:tc>
        <w:tc>
          <w:tcPr>
            <w:tcW w:w="1390" w:type="dxa"/>
            <w:vAlign w:val="top"/>
          </w:tcPr>
          <w:p w14:paraId="1BA4774A">
            <w:pPr>
              <w:jc w:val="center"/>
              <w:rPr>
                <w:rFonts w:ascii="Arial"/>
                <w:color w:val="auto"/>
                <w:sz w:val="21"/>
                <w:highlight w:val="none"/>
              </w:rPr>
            </w:pPr>
          </w:p>
        </w:tc>
      </w:tr>
      <w:tr w14:paraId="0DC2FE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7" w:hRule="atLeast"/>
        </w:trPr>
        <w:tc>
          <w:tcPr>
            <w:tcW w:w="732" w:type="dxa"/>
            <w:shd w:val="clear" w:color="auto" w:fill="auto"/>
            <w:vAlign w:val="top"/>
          </w:tcPr>
          <w:p w14:paraId="7DE4DEA2">
            <w:pPr>
              <w:pStyle w:val="39"/>
              <w:spacing w:before="280"/>
              <w:ind w:left="318" w:leftChars="0"/>
              <w:rPr>
                <w:rFonts w:hint="eastAsia" w:ascii="宋体" w:hAnsi="宋体" w:eastAsia="宋体" w:cs="宋体"/>
                <w:color w:val="auto"/>
                <w:kern w:val="2"/>
                <w:sz w:val="24"/>
                <w:szCs w:val="24"/>
                <w:highlight w:val="none"/>
                <w:lang w:val="en-US" w:eastAsia="zh-CN" w:bidi="ar-SA"/>
              </w:rPr>
            </w:pPr>
          </w:p>
        </w:tc>
        <w:tc>
          <w:tcPr>
            <w:tcW w:w="2498" w:type="dxa"/>
            <w:vAlign w:val="top"/>
          </w:tcPr>
          <w:p w14:paraId="7FCBF872">
            <w:pPr>
              <w:pStyle w:val="39"/>
              <w:spacing w:before="163" w:line="183" w:lineRule="auto"/>
              <w:ind w:left="143"/>
              <w:jc w:val="center"/>
              <w:rPr>
                <w:color w:val="auto"/>
                <w:highlight w:val="none"/>
              </w:rPr>
            </w:pPr>
          </w:p>
        </w:tc>
        <w:tc>
          <w:tcPr>
            <w:tcW w:w="4665" w:type="dxa"/>
            <w:vAlign w:val="top"/>
          </w:tcPr>
          <w:p w14:paraId="331F66F8">
            <w:pPr>
              <w:pStyle w:val="39"/>
              <w:spacing w:before="125" w:line="219" w:lineRule="auto"/>
              <w:ind w:left="127"/>
              <w:jc w:val="center"/>
              <w:rPr>
                <w:color w:val="auto"/>
                <w:highlight w:val="none"/>
              </w:rPr>
            </w:pPr>
          </w:p>
        </w:tc>
        <w:tc>
          <w:tcPr>
            <w:tcW w:w="1390" w:type="dxa"/>
            <w:vAlign w:val="top"/>
          </w:tcPr>
          <w:p w14:paraId="06B15160">
            <w:pPr>
              <w:jc w:val="center"/>
              <w:rPr>
                <w:rFonts w:ascii="Arial"/>
                <w:color w:val="auto"/>
                <w:sz w:val="21"/>
                <w:highlight w:val="none"/>
              </w:rPr>
            </w:pPr>
          </w:p>
        </w:tc>
      </w:tr>
      <w:tr w14:paraId="785D37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7" w:hRule="atLeast"/>
        </w:trPr>
        <w:tc>
          <w:tcPr>
            <w:tcW w:w="732" w:type="dxa"/>
            <w:shd w:val="clear" w:color="auto" w:fill="auto"/>
            <w:vAlign w:val="top"/>
          </w:tcPr>
          <w:p w14:paraId="30320A29">
            <w:pPr>
              <w:pStyle w:val="39"/>
              <w:spacing w:before="280"/>
              <w:ind w:left="318" w:leftChars="0"/>
              <w:rPr>
                <w:rFonts w:hint="eastAsia" w:ascii="宋体" w:hAnsi="宋体" w:eastAsia="宋体" w:cs="宋体"/>
                <w:color w:val="auto"/>
                <w:kern w:val="2"/>
                <w:sz w:val="24"/>
                <w:szCs w:val="24"/>
                <w:highlight w:val="none"/>
                <w:lang w:val="en-US" w:eastAsia="zh-CN" w:bidi="ar-SA"/>
              </w:rPr>
            </w:pPr>
          </w:p>
        </w:tc>
        <w:tc>
          <w:tcPr>
            <w:tcW w:w="2498" w:type="dxa"/>
            <w:vAlign w:val="top"/>
          </w:tcPr>
          <w:p w14:paraId="0303B2FE">
            <w:pPr>
              <w:pStyle w:val="39"/>
              <w:spacing w:before="280" w:line="219" w:lineRule="auto"/>
              <w:ind w:left="508"/>
              <w:jc w:val="center"/>
              <w:rPr>
                <w:color w:val="auto"/>
                <w:highlight w:val="none"/>
              </w:rPr>
            </w:pPr>
          </w:p>
        </w:tc>
        <w:tc>
          <w:tcPr>
            <w:tcW w:w="4665" w:type="dxa"/>
            <w:vAlign w:val="top"/>
          </w:tcPr>
          <w:p w14:paraId="713B7E87">
            <w:pPr>
              <w:pStyle w:val="39"/>
              <w:spacing w:before="281" w:line="219" w:lineRule="auto"/>
              <w:ind w:left="420"/>
              <w:jc w:val="center"/>
              <w:rPr>
                <w:color w:val="auto"/>
                <w:highlight w:val="none"/>
              </w:rPr>
            </w:pPr>
          </w:p>
        </w:tc>
        <w:tc>
          <w:tcPr>
            <w:tcW w:w="1390" w:type="dxa"/>
            <w:vAlign w:val="top"/>
          </w:tcPr>
          <w:p w14:paraId="05BA9856">
            <w:pPr>
              <w:jc w:val="center"/>
              <w:rPr>
                <w:rFonts w:ascii="Arial"/>
                <w:color w:val="auto"/>
                <w:sz w:val="21"/>
                <w:highlight w:val="none"/>
              </w:rPr>
            </w:pPr>
          </w:p>
        </w:tc>
      </w:tr>
    </w:tbl>
    <w:p w14:paraId="24BE1527">
      <w:pPr>
        <w:pStyle w:val="9"/>
        <w:spacing w:before="65" w:line="232" w:lineRule="auto"/>
        <w:ind w:left="536"/>
        <w:rPr>
          <w:color w:val="auto"/>
          <w:highlight w:val="none"/>
        </w:rPr>
      </w:pPr>
      <w:r>
        <w:rPr>
          <w:color w:val="auto"/>
          <w:highlight w:val="none"/>
        </w:rPr>
        <w:t>注：</w:t>
      </w:r>
    </w:p>
    <w:p w14:paraId="4BFD64A0">
      <w:pPr>
        <w:pStyle w:val="9"/>
        <w:spacing w:before="110" w:line="311" w:lineRule="auto"/>
        <w:ind w:left="116" w:right="112" w:firstLine="436"/>
        <w:rPr>
          <w:color w:val="auto"/>
          <w:highlight w:val="none"/>
        </w:rPr>
      </w:pPr>
      <w:r>
        <w:rPr>
          <w:color w:val="auto"/>
          <w:spacing w:val="8"/>
          <w:highlight w:val="none"/>
        </w:rPr>
        <w:t>1、承包人应优先采用以上推荐品牌的产品，若承包人选择其他品牌时</w:t>
      </w:r>
      <w:r>
        <w:rPr>
          <w:color w:val="auto"/>
          <w:spacing w:val="7"/>
          <w:highlight w:val="none"/>
        </w:rPr>
        <w:t>，替代产品品质不低于原</w:t>
      </w:r>
      <w:r>
        <w:rPr>
          <w:color w:val="auto"/>
          <w:spacing w:val="10"/>
          <w:highlight w:val="none"/>
        </w:rPr>
        <w:t>有产品并经业主签证认可。预算书采用的材料品牌与本招标文件采用的材料</w:t>
      </w:r>
      <w:r>
        <w:rPr>
          <w:color w:val="auto"/>
          <w:spacing w:val="9"/>
          <w:highlight w:val="none"/>
        </w:rPr>
        <w:t>品牌不一致的以招标文</w:t>
      </w:r>
      <w:r>
        <w:rPr>
          <w:color w:val="auto"/>
          <w:spacing w:val="10"/>
          <w:highlight w:val="none"/>
        </w:rPr>
        <w:t>件为准。规格和使用要求未注明的，均按设计规格和使用要求。主要材料采</w:t>
      </w:r>
      <w:r>
        <w:rPr>
          <w:color w:val="auto"/>
          <w:spacing w:val="9"/>
          <w:highlight w:val="none"/>
        </w:rPr>
        <w:t>用品牌、生产厂家如果</w:t>
      </w:r>
      <w:r>
        <w:rPr>
          <w:color w:val="auto"/>
          <w:spacing w:val="10"/>
          <w:highlight w:val="none"/>
        </w:rPr>
        <w:t>有主营厂与次营厂之分，应采用主营厂产品。以上某项品牌材料如出现同一</w:t>
      </w:r>
      <w:r>
        <w:rPr>
          <w:color w:val="auto"/>
          <w:spacing w:val="9"/>
          <w:highlight w:val="none"/>
        </w:rPr>
        <w:t>经销商销售的，发包人</w:t>
      </w:r>
      <w:r>
        <w:rPr>
          <w:color w:val="auto"/>
          <w:spacing w:val="8"/>
          <w:highlight w:val="none"/>
        </w:rPr>
        <w:t>有权不予认可，使用替代产品。</w:t>
      </w:r>
    </w:p>
    <w:p w14:paraId="38D3A089">
      <w:pPr>
        <w:pStyle w:val="9"/>
        <w:spacing w:before="113" w:line="227" w:lineRule="auto"/>
        <w:ind w:left="539"/>
        <w:rPr>
          <w:color w:val="auto"/>
          <w:highlight w:val="none"/>
        </w:rPr>
      </w:pPr>
      <w:r>
        <w:rPr>
          <w:color w:val="auto"/>
          <w:spacing w:val="9"/>
          <w:highlight w:val="none"/>
        </w:rPr>
        <w:t>2、若某设备材料的品牌与厂家存在同名时，以品牌</w:t>
      </w:r>
      <w:r>
        <w:rPr>
          <w:color w:val="auto"/>
          <w:spacing w:val="8"/>
          <w:highlight w:val="none"/>
        </w:rPr>
        <w:t>为先。</w:t>
      </w:r>
    </w:p>
    <w:p w14:paraId="674D4E60">
      <w:pPr>
        <w:pStyle w:val="9"/>
        <w:spacing w:before="116" w:line="297" w:lineRule="auto"/>
        <w:ind w:left="116" w:right="109" w:firstLine="425"/>
        <w:rPr>
          <w:color w:val="auto"/>
          <w:highlight w:val="none"/>
        </w:rPr>
      </w:pPr>
      <w:r>
        <w:rPr>
          <w:color w:val="auto"/>
          <w:spacing w:val="8"/>
          <w:highlight w:val="none"/>
        </w:rPr>
        <w:t>3、因工程需要或上述品牌存在极不合理现象的（如全部品牌被垄断经营等情况</w:t>
      </w:r>
      <w:r>
        <w:rPr>
          <w:color w:val="auto"/>
          <w:spacing w:val="9"/>
          <w:highlight w:val="none"/>
        </w:rPr>
        <w:t>），</w:t>
      </w:r>
      <w:r>
        <w:rPr>
          <w:color w:val="auto"/>
          <w:spacing w:val="8"/>
          <w:highlight w:val="none"/>
        </w:rPr>
        <w:t>发包人有权</w:t>
      </w:r>
      <w:r>
        <w:rPr>
          <w:color w:val="auto"/>
          <w:spacing w:val="10"/>
          <w:highlight w:val="none"/>
        </w:rPr>
        <w:t>对材料及设备品牌进行更换，承包人必须无条件接受并服从发包人的安排，</w:t>
      </w:r>
      <w:r>
        <w:rPr>
          <w:color w:val="auto"/>
          <w:spacing w:val="9"/>
          <w:highlight w:val="none"/>
        </w:rPr>
        <w:t>未经发包人确认，承包</w:t>
      </w:r>
      <w:r>
        <w:rPr>
          <w:color w:val="auto"/>
          <w:spacing w:val="8"/>
          <w:highlight w:val="none"/>
        </w:rPr>
        <w:t>人不得擅自更换品牌及要求。</w:t>
      </w:r>
    </w:p>
    <w:p w14:paraId="696479D4">
      <w:pPr>
        <w:spacing w:line="400" w:lineRule="exact"/>
        <w:rPr>
          <w:rFonts w:hint="eastAsia" w:ascii="宋体" w:hAnsi="宋体" w:eastAsia="宋体" w:cs="宋体"/>
          <w:color w:val="auto"/>
          <w:sz w:val="21"/>
          <w:szCs w:val="21"/>
          <w:highlight w:val="none"/>
        </w:rPr>
        <w:sectPr>
          <w:footerReference r:id="rId18"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bookmarkEnd w:id="129"/>
    <w:bookmarkEnd w:id="130"/>
    <w:bookmarkEnd w:id="131"/>
    <w:p w14:paraId="381E5AC1">
      <w:pPr>
        <w:pStyle w:val="2"/>
        <w:spacing w:line="400" w:lineRule="exact"/>
        <w:rPr>
          <w:rFonts w:ascii="宋体" w:eastAsia="宋体" w:cs="宋体"/>
          <w:bCs/>
          <w:color w:val="auto"/>
          <w:sz w:val="28"/>
          <w:szCs w:val="28"/>
          <w:highlight w:val="none"/>
        </w:rPr>
      </w:pPr>
      <w:bookmarkStart w:id="132" w:name="_Toc6352"/>
      <w:bookmarkStart w:id="133" w:name="_Toc18169"/>
      <w:r>
        <w:rPr>
          <w:rFonts w:hint="eastAsia" w:ascii="宋体" w:eastAsia="宋体" w:cs="宋体"/>
          <w:color w:val="auto"/>
          <w:sz w:val="28"/>
          <w:szCs w:val="28"/>
          <w:highlight w:val="none"/>
        </w:rPr>
        <w:t>第五部分  工程建设项目廉政责任书</w:t>
      </w:r>
      <w:bookmarkEnd w:id="132"/>
      <w:bookmarkEnd w:id="133"/>
    </w:p>
    <w:p w14:paraId="7DB29561">
      <w:pPr>
        <w:pStyle w:val="8"/>
        <w:spacing w:line="400" w:lineRule="exact"/>
        <w:jc w:val="left"/>
        <w:rPr>
          <w:rFonts w:cs="宋体"/>
          <w:color w:val="auto"/>
          <w:szCs w:val="21"/>
          <w:highlight w:val="none"/>
        </w:rPr>
      </w:pPr>
    </w:p>
    <w:p w14:paraId="41327290">
      <w:pPr>
        <w:pStyle w:val="8"/>
        <w:spacing w:line="400" w:lineRule="exact"/>
        <w:ind w:firstLine="420" w:firstLineChars="200"/>
        <w:jc w:val="left"/>
        <w:rPr>
          <w:rFonts w:hint="eastAsia" w:eastAsia="宋体" w:cs="宋体"/>
          <w:color w:val="auto"/>
          <w:szCs w:val="21"/>
          <w:highlight w:val="none"/>
          <w:u w:val="single"/>
          <w:lang w:eastAsia="zh-CN"/>
        </w:rPr>
      </w:pPr>
      <w:r>
        <w:rPr>
          <w:rFonts w:hint="eastAsia" w:cs="宋体"/>
          <w:color w:val="auto"/>
          <w:szCs w:val="21"/>
          <w:highlight w:val="none"/>
        </w:rPr>
        <w:t>工程项目名称：</w:t>
      </w:r>
      <w:r>
        <w:rPr>
          <w:rFonts w:hint="eastAsia" w:cs="宋体"/>
          <w:color w:val="auto"/>
          <w:szCs w:val="21"/>
          <w:highlight w:val="none"/>
          <w:u w:val="single"/>
          <w:lang w:eastAsia="zh-CN"/>
        </w:rPr>
        <w:t>许墅村道路及附属项目</w:t>
      </w:r>
    </w:p>
    <w:p w14:paraId="0973C438">
      <w:pPr>
        <w:pStyle w:val="8"/>
        <w:spacing w:line="400" w:lineRule="exact"/>
        <w:ind w:firstLine="420" w:firstLineChars="200"/>
        <w:jc w:val="left"/>
        <w:rPr>
          <w:rFonts w:hint="eastAsia" w:eastAsia="宋体" w:cs="宋体"/>
          <w:color w:val="auto"/>
          <w:szCs w:val="21"/>
          <w:highlight w:val="none"/>
          <w:u w:val="single"/>
          <w:lang w:eastAsia="zh-CN"/>
        </w:rPr>
      </w:pPr>
      <w:r>
        <w:rPr>
          <w:rFonts w:hint="eastAsia" w:cs="宋体"/>
          <w:color w:val="auto"/>
          <w:szCs w:val="21"/>
          <w:highlight w:val="none"/>
        </w:rPr>
        <w:t>工程项目地址：</w:t>
      </w:r>
      <w:r>
        <w:rPr>
          <w:rFonts w:hint="eastAsia" w:cs="宋体"/>
          <w:color w:val="auto"/>
          <w:szCs w:val="21"/>
          <w:highlight w:val="none"/>
          <w:u w:val="single"/>
          <w:lang w:eastAsia="zh-CN"/>
        </w:rPr>
        <w:t>临海市古城街道许墅村</w:t>
      </w:r>
    </w:p>
    <w:p w14:paraId="3F150CEC">
      <w:pPr>
        <w:pStyle w:val="8"/>
        <w:spacing w:line="400" w:lineRule="exact"/>
        <w:ind w:firstLine="420" w:firstLineChars="200"/>
        <w:jc w:val="left"/>
        <w:rPr>
          <w:rFonts w:cs="宋体"/>
          <w:color w:val="auto"/>
          <w:szCs w:val="21"/>
          <w:highlight w:val="none"/>
        </w:rPr>
      </w:pPr>
      <w:r>
        <w:rPr>
          <w:rFonts w:hint="eastAsia" w:cs="宋体"/>
          <w:color w:val="auto"/>
          <w:szCs w:val="21"/>
          <w:highlight w:val="none"/>
        </w:rPr>
        <w:t>建设单位（甲方）：</w:t>
      </w:r>
      <w:r>
        <w:rPr>
          <w:rFonts w:hint="eastAsia" w:cs="宋体"/>
          <w:color w:val="auto"/>
          <w:szCs w:val="21"/>
          <w:highlight w:val="none"/>
          <w:u w:val="single"/>
          <w:lang w:val="en-US" w:eastAsia="zh-CN"/>
        </w:rPr>
        <w:t>临海市古城街道许墅村集体经济组织</w:t>
      </w:r>
    </w:p>
    <w:p w14:paraId="641CA82A">
      <w:pPr>
        <w:pStyle w:val="8"/>
        <w:spacing w:line="400" w:lineRule="exact"/>
        <w:ind w:firstLine="420" w:firstLineChars="200"/>
        <w:jc w:val="left"/>
        <w:rPr>
          <w:rFonts w:cs="宋体"/>
          <w:color w:val="auto"/>
          <w:szCs w:val="21"/>
          <w:highlight w:val="none"/>
          <w:u w:val="single"/>
        </w:rPr>
      </w:pPr>
      <w:r>
        <w:rPr>
          <w:rFonts w:hint="eastAsia" w:cs="宋体"/>
          <w:color w:val="auto"/>
          <w:szCs w:val="21"/>
          <w:highlight w:val="none"/>
        </w:rPr>
        <w:t>施工单位（乙方）：</w:t>
      </w:r>
      <w:r>
        <w:rPr>
          <w:rFonts w:hint="eastAsia" w:cs="宋体"/>
          <w:color w:val="auto"/>
          <w:szCs w:val="21"/>
          <w:highlight w:val="none"/>
          <w:u w:val="single"/>
        </w:rPr>
        <w:t xml:space="preserve">                  </w:t>
      </w:r>
    </w:p>
    <w:p w14:paraId="5700423A">
      <w:pPr>
        <w:pStyle w:val="8"/>
        <w:spacing w:line="400" w:lineRule="exact"/>
        <w:ind w:firstLine="420" w:firstLineChars="200"/>
        <w:jc w:val="left"/>
        <w:rPr>
          <w:rFonts w:cs="宋体"/>
          <w:color w:val="auto"/>
          <w:szCs w:val="21"/>
          <w:highlight w:val="none"/>
        </w:rPr>
      </w:pPr>
      <w:r>
        <w:rPr>
          <w:rFonts w:hint="eastAsia" w:cs="宋体"/>
          <w:color w:val="auto"/>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758D99C3">
      <w:pPr>
        <w:pStyle w:val="8"/>
        <w:spacing w:line="400" w:lineRule="exact"/>
        <w:jc w:val="left"/>
        <w:rPr>
          <w:rFonts w:cs="宋体"/>
          <w:color w:val="auto"/>
          <w:szCs w:val="21"/>
          <w:highlight w:val="none"/>
        </w:rPr>
      </w:pPr>
      <w:r>
        <w:rPr>
          <w:rFonts w:hint="eastAsia" w:cs="宋体"/>
          <w:color w:val="auto"/>
          <w:szCs w:val="21"/>
          <w:highlight w:val="none"/>
        </w:rPr>
        <w:t>　　第一条 甲乙双方的责任</w:t>
      </w:r>
    </w:p>
    <w:p w14:paraId="2AFA9266">
      <w:pPr>
        <w:pStyle w:val="8"/>
        <w:spacing w:line="400" w:lineRule="exact"/>
        <w:jc w:val="left"/>
        <w:rPr>
          <w:rFonts w:cs="宋体"/>
          <w:color w:val="auto"/>
          <w:szCs w:val="21"/>
          <w:highlight w:val="none"/>
        </w:rPr>
      </w:pPr>
      <w:r>
        <w:rPr>
          <w:rFonts w:hint="eastAsia" w:cs="宋体"/>
          <w:color w:val="auto"/>
          <w:szCs w:val="21"/>
          <w:highlight w:val="none"/>
        </w:rPr>
        <w:t>　　（一）应严格遵守国家关于市场准入、项目招标投标、工程建设、施工安装和市场活动等有关法律、法规，相关政策，以及廉政建设的各项规定。</w:t>
      </w:r>
    </w:p>
    <w:p w14:paraId="3E147739">
      <w:pPr>
        <w:pStyle w:val="8"/>
        <w:spacing w:line="400" w:lineRule="exact"/>
        <w:jc w:val="left"/>
        <w:rPr>
          <w:rFonts w:cs="宋体"/>
          <w:color w:val="auto"/>
          <w:szCs w:val="21"/>
          <w:highlight w:val="none"/>
        </w:rPr>
      </w:pPr>
      <w:r>
        <w:rPr>
          <w:rFonts w:hint="eastAsia" w:cs="宋体"/>
          <w:color w:val="auto"/>
          <w:szCs w:val="21"/>
          <w:highlight w:val="none"/>
        </w:rPr>
        <w:t>　　（二）严格执行建设工程项目承发包合同文件，自觉按合同办事。</w:t>
      </w:r>
    </w:p>
    <w:p w14:paraId="5F43E92B">
      <w:pPr>
        <w:pStyle w:val="8"/>
        <w:spacing w:line="400" w:lineRule="exact"/>
        <w:jc w:val="left"/>
        <w:rPr>
          <w:rFonts w:cs="宋体"/>
          <w:color w:val="auto"/>
          <w:szCs w:val="21"/>
          <w:highlight w:val="none"/>
        </w:rPr>
      </w:pPr>
      <w:r>
        <w:rPr>
          <w:rFonts w:hint="eastAsia" w:cs="宋体"/>
          <w:color w:val="auto"/>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213FFE4A">
      <w:pPr>
        <w:pStyle w:val="8"/>
        <w:spacing w:line="400" w:lineRule="exact"/>
        <w:jc w:val="left"/>
        <w:rPr>
          <w:rFonts w:cs="宋体"/>
          <w:color w:val="auto"/>
          <w:szCs w:val="21"/>
          <w:highlight w:val="none"/>
        </w:rPr>
      </w:pPr>
      <w:r>
        <w:rPr>
          <w:rFonts w:hint="eastAsia" w:cs="宋体"/>
          <w:color w:val="auto"/>
          <w:szCs w:val="21"/>
          <w:highlight w:val="none"/>
        </w:rPr>
        <w:t>　　（四）发现对方在业务活动中有违规、违纪、违法行为的，应及时提醒对方，情节严重的，应向其上级主管部门或纪检监察、司法等有关机关举报。</w:t>
      </w:r>
    </w:p>
    <w:p w14:paraId="5699F7C6">
      <w:pPr>
        <w:pStyle w:val="8"/>
        <w:spacing w:line="400" w:lineRule="exact"/>
        <w:jc w:val="left"/>
        <w:rPr>
          <w:rFonts w:cs="宋体"/>
          <w:color w:val="auto"/>
          <w:szCs w:val="21"/>
          <w:highlight w:val="none"/>
        </w:rPr>
      </w:pPr>
      <w:r>
        <w:rPr>
          <w:rFonts w:hint="eastAsia" w:cs="宋体"/>
          <w:color w:val="auto"/>
          <w:szCs w:val="21"/>
          <w:highlight w:val="none"/>
        </w:rPr>
        <w:t>　　第二条 甲方的责任</w:t>
      </w:r>
    </w:p>
    <w:p w14:paraId="194D76BD">
      <w:pPr>
        <w:pStyle w:val="8"/>
        <w:spacing w:line="400" w:lineRule="exact"/>
        <w:jc w:val="left"/>
        <w:rPr>
          <w:rFonts w:cs="宋体"/>
          <w:color w:val="auto"/>
          <w:szCs w:val="21"/>
          <w:highlight w:val="none"/>
        </w:rPr>
      </w:pPr>
      <w:r>
        <w:rPr>
          <w:rFonts w:hint="eastAsia" w:cs="宋体"/>
          <w:color w:val="auto"/>
          <w:szCs w:val="21"/>
          <w:highlight w:val="none"/>
        </w:rPr>
        <w:t>　　甲方的领导和从事该建设工程项目的工作人员，在工程建设的事前、事中、事后应遵守以下规定：</w:t>
      </w:r>
    </w:p>
    <w:p w14:paraId="7BAA12C0">
      <w:pPr>
        <w:pStyle w:val="8"/>
        <w:spacing w:line="400" w:lineRule="exact"/>
        <w:jc w:val="left"/>
        <w:rPr>
          <w:rFonts w:cs="宋体"/>
          <w:color w:val="auto"/>
          <w:szCs w:val="21"/>
          <w:highlight w:val="none"/>
        </w:rPr>
      </w:pPr>
      <w:r>
        <w:rPr>
          <w:rFonts w:hint="eastAsia" w:cs="宋体"/>
          <w:color w:val="auto"/>
          <w:szCs w:val="21"/>
          <w:highlight w:val="none"/>
        </w:rPr>
        <w:t>　　（一）不准向乙方和相关单位索要或接受回扣、礼金、有价证券、贵重物品和好处费、感谢费等。</w:t>
      </w:r>
    </w:p>
    <w:p w14:paraId="75FFB5C5">
      <w:pPr>
        <w:pStyle w:val="8"/>
        <w:spacing w:line="400" w:lineRule="exact"/>
        <w:jc w:val="left"/>
        <w:rPr>
          <w:rFonts w:cs="宋体"/>
          <w:color w:val="auto"/>
          <w:szCs w:val="21"/>
          <w:highlight w:val="none"/>
        </w:rPr>
      </w:pPr>
      <w:r>
        <w:rPr>
          <w:rFonts w:hint="eastAsia" w:cs="宋体"/>
          <w:color w:val="auto"/>
          <w:szCs w:val="21"/>
          <w:highlight w:val="none"/>
        </w:rPr>
        <w:t>　　（二）不准在乙方和相关单位报销任何应由甲方或个人支付的费用。</w:t>
      </w:r>
    </w:p>
    <w:p w14:paraId="620476E6">
      <w:pPr>
        <w:pStyle w:val="8"/>
        <w:spacing w:line="400" w:lineRule="exact"/>
        <w:jc w:val="left"/>
        <w:rPr>
          <w:rFonts w:cs="宋体"/>
          <w:color w:val="auto"/>
          <w:szCs w:val="21"/>
          <w:highlight w:val="none"/>
        </w:rPr>
      </w:pPr>
      <w:r>
        <w:rPr>
          <w:rFonts w:hint="eastAsia" w:cs="宋体"/>
          <w:color w:val="auto"/>
          <w:szCs w:val="21"/>
          <w:highlight w:val="none"/>
        </w:rPr>
        <w:t>　　（三）不准要求、暗示和接受乙方和相关单位为个人装修住房、婚丧嫁娶、配偶子女的工作安排以及出国（境）、旅游等提供方便。</w:t>
      </w:r>
    </w:p>
    <w:p w14:paraId="65F18DB7">
      <w:pPr>
        <w:pStyle w:val="8"/>
        <w:spacing w:line="400" w:lineRule="exact"/>
        <w:jc w:val="left"/>
        <w:rPr>
          <w:rFonts w:cs="宋体"/>
          <w:color w:val="auto"/>
          <w:szCs w:val="21"/>
          <w:highlight w:val="none"/>
        </w:rPr>
      </w:pPr>
      <w:r>
        <w:rPr>
          <w:rFonts w:hint="eastAsia" w:cs="宋体"/>
          <w:color w:val="auto"/>
          <w:szCs w:val="21"/>
          <w:highlight w:val="none"/>
        </w:rPr>
        <w:t>　　（四）不准参加有可能影响公正执行公务的乙方和相关单位的宴请和健身、娱乐等活动。</w:t>
      </w:r>
    </w:p>
    <w:p w14:paraId="14F4C766">
      <w:pPr>
        <w:pStyle w:val="8"/>
        <w:spacing w:line="400" w:lineRule="exact"/>
        <w:jc w:val="left"/>
        <w:rPr>
          <w:rFonts w:cs="宋体"/>
          <w:color w:val="auto"/>
          <w:szCs w:val="21"/>
          <w:highlight w:val="none"/>
        </w:rPr>
      </w:pPr>
      <w:r>
        <w:rPr>
          <w:rFonts w:hint="eastAsia" w:cs="宋体"/>
          <w:color w:val="auto"/>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6F662C92">
      <w:pPr>
        <w:pStyle w:val="8"/>
        <w:spacing w:line="400" w:lineRule="exact"/>
        <w:jc w:val="left"/>
        <w:rPr>
          <w:rFonts w:cs="宋体"/>
          <w:color w:val="auto"/>
          <w:szCs w:val="21"/>
          <w:highlight w:val="none"/>
        </w:rPr>
      </w:pPr>
      <w:r>
        <w:rPr>
          <w:rFonts w:hint="eastAsia" w:cs="宋体"/>
          <w:color w:val="auto"/>
          <w:szCs w:val="21"/>
          <w:highlight w:val="none"/>
        </w:rPr>
        <w:t>　　第三条 乙方的责任</w:t>
      </w:r>
    </w:p>
    <w:p w14:paraId="61D28E63">
      <w:pPr>
        <w:pStyle w:val="8"/>
        <w:spacing w:line="400" w:lineRule="exact"/>
        <w:jc w:val="left"/>
        <w:rPr>
          <w:rFonts w:cs="宋体"/>
          <w:color w:val="auto"/>
          <w:szCs w:val="21"/>
          <w:highlight w:val="none"/>
        </w:rPr>
      </w:pPr>
      <w:r>
        <w:rPr>
          <w:rFonts w:hint="eastAsia" w:cs="宋体"/>
          <w:color w:val="auto"/>
          <w:szCs w:val="21"/>
          <w:highlight w:val="none"/>
        </w:rPr>
        <w:t>　　应与甲方保持正常的业务交往，按照有关法律法规和程序开展业务工作，严格执行工程建设的有关方针、政策，尤其是有关建筑施工安装的强制性标准和规范，并遵守以下规定：</w:t>
      </w:r>
    </w:p>
    <w:p w14:paraId="29DA0692">
      <w:pPr>
        <w:pStyle w:val="8"/>
        <w:spacing w:line="400" w:lineRule="exact"/>
        <w:jc w:val="left"/>
        <w:rPr>
          <w:rFonts w:cs="宋体"/>
          <w:color w:val="auto"/>
          <w:szCs w:val="21"/>
          <w:highlight w:val="none"/>
        </w:rPr>
      </w:pPr>
      <w:r>
        <w:rPr>
          <w:rFonts w:hint="eastAsia" w:cs="宋体"/>
          <w:color w:val="auto"/>
          <w:szCs w:val="21"/>
          <w:highlight w:val="none"/>
        </w:rPr>
        <w:t>　　（一）不准以任何理由向甲方、相关单位及其工作人员索要、接受或赠送礼金、有价证券、贵重物品和回扣、好处费、感谢费等。</w:t>
      </w:r>
    </w:p>
    <w:p w14:paraId="7185B95E">
      <w:pPr>
        <w:pStyle w:val="8"/>
        <w:spacing w:line="400" w:lineRule="exact"/>
        <w:jc w:val="left"/>
        <w:rPr>
          <w:rFonts w:cs="宋体"/>
          <w:color w:val="auto"/>
          <w:szCs w:val="21"/>
          <w:highlight w:val="none"/>
        </w:rPr>
      </w:pPr>
      <w:r>
        <w:rPr>
          <w:rFonts w:hint="eastAsia" w:cs="宋体"/>
          <w:color w:val="auto"/>
          <w:szCs w:val="21"/>
          <w:highlight w:val="none"/>
        </w:rPr>
        <w:t>　　（二）不准以任何理由为甲方和相关单位报销应由对方或个人支付的费用。</w:t>
      </w:r>
    </w:p>
    <w:p w14:paraId="2AEA03B2">
      <w:pPr>
        <w:pStyle w:val="8"/>
        <w:spacing w:line="400" w:lineRule="exact"/>
        <w:jc w:val="left"/>
        <w:rPr>
          <w:rFonts w:cs="宋体"/>
          <w:color w:val="auto"/>
          <w:szCs w:val="21"/>
          <w:highlight w:val="none"/>
        </w:rPr>
      </w:pPr>
      <w:r>
        <w:rPr>
          <w:rFonts w:hint="eastAsia" w:cs="宋体"/>
          <w:color w:val="auto"/>
          <w:szCs w:val="21"/>
          <w:highlight w:val="none"/>
        </w:rPr>
        <w:t>　　（三）不准接受或暗示为甲方、相关单位或个人装修住房、婚丧嫁娶、配偶子女的工作安排以及出国（境）、旅游等提供方便。</w:t>
      </w:r>
    </w:p>
    <w:p w14:paraId="0949A296">
      <w:pPr>
        <w:pStyle w:val="8"/>
        <w:spacing w:line="400" w:lineRule="exact"/>
        <w:jc w:val="left"/>
        <w:rPr>
          <w:rFonts w:cs="宋体"/>
          <w:color w:val="auto"/>
          <w:szCs w:val="21"/>
          <w:highlight w:val="none"/>
        </w:rPr>
      </w:pPr>
      <w:r>
        <w:rPr>
          <w:rFonts w:hint="eastAsia" w:cs="宋体"/>
          <w:color w:val="auto"/>
          <w:szCs w:val="21"/>
          <w:highlight w:val="none"/>
        </w:rPr>
        <w:t>　　（四）不准以任何理由为甲方、相关单位或个人组织有可能影响公正执行公务的宴请、健身、娱乐等活动。</w:t>
      </w:r>
    </w:p>
    <w:p w14:paraId="720153D9">
      <w:pPr>
        <w:pStyle w:val="8"/>
        <w:spacing w:line="400" w:lineRule="exact"/>
        <w:jc w:val="left"/>
        <w:rPr>
          <w:rFonts w:cs="宋体"/>
          <w:color w:val="auto"/>
          <w:szCs w:val="21"/>
          <w:highlight w:val="none"/>
        </w:rPr>
      </w:pPr>
      <w:r>
        <w:rPr>
          <w:rFonts w:hint="eastAsia" w:cs="宋体"/>
          <w:color w:val="auto"/>
          <w:szCs w:val="21"/>
          <w:highlight w:val="none"/>
        </w:rPr>
        <w:t>　　第四条 违约责任</w:t>
      </w:r>
    </w:p>
    <w:p w14:paraId="18F3918C">
      <w:pPr>
        <w:pStyle w:val="8"/>
        <w:spacing w:line="400" w:lineRule="exact"/>
        <w:jc w:val="left"/>
        <w:rPr>
          <w:rFonts w:cs="宋体"/>
          <w:color w:val="auto"/>
          <w:szCs w:val="21"/>
          <w:highlight w:val="none"/>
        </w:rPr>
      </w:pPr>
      <w:r>
        <w:rPr>
          <w:rFonts w:hint="eastAsia" w:cs="宋体"/>
          <w:color w:val="auto"/>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C971A2F">
      <w:pPr>
        <w:pStyle w:val="8"/>
        <w:spacing w:line="400" w:lineRule="exact"/>
        <w:jc w:val="left"/>
        <w:rPr>
          <w:rFonts w:cs="宋体"/>
          <w:color w:val="auto"/>
          <w:szCs w:val="21"/>
          <w:highlight w:val="none"/>
        </w:rPr>
      </w:pPr>
      <w:r>
        <w:rPr>
          <w:rFonts w:hint="eastAsia" w:cs="宋体"/>
          <w:color w:val="auto"/>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6255FCB4">
      <w:pPr>
        <w:pStyle w:val="8"/>
        <w:spacing w:line="400" w:lineRule="exact"/>
        <w:jc w:val="left"/>
        <w:rPr>
          <w:rFonts w:cs="宋体"/>
          <w:color w:val="auto"/>
          <w:szCs w:val="21"/>
          <w:highlight w:val="none"/>
        </w:rPr>
      </w:pPr>
      <w:r>
        <w:rPr>
          <w:rFonts w:hint="eastAsia" w:cs="宋体"/>
          <w:color w:val="auto"/>
          <w:szCs w:val="21"/>
          <w:highlight w:val="none"/>
        </w:rPr>
        <w:t>　　第五条 本责任书作为工程合同的附件，与工程合同具有同等法律效力。经双方签署后立即生效。</w:t>
      </w:r>
    </w:p>
    <w:p w14:paraId="7059CDBF">
      <w:pPr>
        <w:pStyle w:val="8"/>
        <w:spacing w:line="400" w:lineRule="exact"/>
        <w:jc w:val="left"/>
        <w:rPr>
          <w:rFonts w:cs="宋体"/>
          <w:color w:val="auto"/>
          <w:szCs w:val="21"/>
          <w:highlight w:val="none"/>
        </w:rPr>
      </w:pPr>
      <w:r>
        <w:rPr>
          <w:rFonts w:hint="eastAsia" w:cs="宋体"/>
          <w:color w:val="auto"/>
          <w:szCs w:val="21"/>
          <w:highlight w:val="none"/>
        </w:rPr>
        <w:t>　　第六条 本责任书的有效期为双方签署之日起至该工程项目竣工验收合格时止。</w:t>
      </w:r>
    </w:p>
    <w:p w14:paraId="6FFF3E7B">
      <w:pPr>
        <w:pStyle w:val="8"/>
        <w:spacing w:line="400" w:lineRule="exact"/>
        <w:jc w:val="left"/>
        <w:rPr>
          <w:rFonts w:cs="宋体"/>
          <w:color w:val="auto"/>
          <w:szCs w:val="21"/>
          <w:highlight w:val="none"/>
        </w:rPr>
      </w:pPr>
      <w:r>
        <w:rPr>
          <w:rFonts w:hint="eastAsia" w:cs="宋体"/>
          <w:color w:val="auto"/>
          <w:szCs w:val="21"/>
          <w:highlight w:val="none"/>
        </w:rPr>
        <w:t>　　第七条 本责任书一式八份。</w:t>
      </w:r>
    </w:p>
    <w:p w14:paraId="6BA207D1">
      <w:pPr>
        <w:pStyle w:val="8"/>
        <w:spacing w:line="400" w:lineRule="exact"/>
        <w:jc w:val="left"/>
        <w:rPr>
          <w:rFonts w:cs="宋体"/>
          <w:color w:val="auto"/>
          <w:szCs w:val="21"/>
          <w:highlight w:val="none"/>
        </w:rPr>
      </w:pPr>
    </w:p>
    <w:p w14:paraId="366D5A52">
      <w:pPr>
        <w:pStyle w:val="8"/>
        <w:spacing w:line="400" w:lineRule="exact"/>
        <w:jc w:val="left"/>
        <w:rPr>
          <w:rFonts w:cs="宋体"/>
          <w:color w:val="auto"/>
          <w:szCs w:val="21"/>
          <w:highlight w:val="none"/>
        </w:rPr>
      </w:pPr>
    </w:p>
    <w:p w14:paraId="291C2EED">
      <w:pPr>
        <w:pStyle w:val="8"/>
        <w:spacing w:line="400" w:lineRule="exact"/>
        <w:jc w:val="left"/>
        <w:rPr>
          <w:rFonts w:cs="宋体"/>
          <w:color w:val="auto"/>
          <w:szCs w:val="21"/>
          <w:highlight w:val="none"/>
        </w:rPr>
      </w:pPr>
    </w:p>
    <w:p w14:paraId="21C26BDD">
      <w:pPr>
        <w:pStyle w:val="8"/>
        <w:spacing w:line="400" w:lineRule="exact"/>
        <w:jc w:val="left"/>
        <w:rPr>
          <w:rFonts w:cs="宋体"/>
          <w:color w:val="auto"/>
          <w:szCs w:val="21"/>
          <w:highlight w:val="none"/>
        </w:rPr>
      </w:pPr>
      <w:r>
        <w:rPr>
          <w:rFonts w:hint="eastAsia" w:cs="宋体"/>
          <w:color w:val="auto"/>
          <w:szCs w:val="21"/>
          <w:highlight w:val="none"/>
        </w:rPr>
        <w:t xml:space="preserve">甲方单位（公章）：　　　　　　                          　乙方单位（公章）： </w:t>
      </w:r>
    </w:p>
    <w:p w14:paraId="4433716A">
      <w:pPr>
        <w:pStyle w:val="8"/>
        <w:spacing w:line="400" w:lineRule="exact"/>
        <w:jc w:val="left"/>
        <w:rPr>
          <w:rFonts w:cs="宋体"/>
          <w:color w:val="auto"/>
          <w:szCs w:val="21"/>
          <w:highlight w:val="none"/>
        </w:rPr>
      </w:pPr>
      <w:r>
        <w:rPr>
          <w:rFonts w:hint="eastAsia" w:cs="宋体"/>
          <w:color w:val="auto"/>
          <w:szCs w:val="21"/>
          <w:highlight w:val="none"/>
        </w:rPr>
        <w:t>法定代表人（签字）：　　　　                              法定代表人（签字）：</w:t>
      </w:r>
    </w:p>
    <w:p w14:paraId="0424CF13">
      <w:pPr>
        <w:pStyle w:val="8"/>
        <w:spacing w:line="400" w:lineRule="exact"/>
        <w:jc w:val="left"/>
        <w:rPr>
          <w:rFonts w:cs="宋体"/>
          <w:color w:val="auto"/>
          <w:szCs w:val="21"/>
          <w:highlight w:val="none"/>
        </w:rPr>
      </w:pPr>
      <w:r>
        <w:rPr>
          <w:rFonts w:hint="eastAsia" w:cs="宋体"/>
          <w:color w:val="auto"/>
          <w:szCs w:val="21"/>
          <w:highlight w:val="none"/>
        </w:rPr>
        <w:t>或委托代理人（签字）：                                    或委托代理人（签字）：</w:t>
      </w:r>
    </w:p>
    <w:p w14:paraId="1B770394">
      <w:pPr>
        <w:pStyle w:val="8"/>
        <w:spacing w:line="400" w:lineRule="exact"/>
        <w:jc w:val="left"/>
        <w:rPr>
          <w:rFonts w:cs="宋体"/>
          <w:color w:val="auto"/>
          <w:szCs w:val="21"/>
          <w:highlight w:val="none"/>
        </w:rPr>
      </w:pPr>
      <w:r>
        <w:rPr>
          <w:rFonts w:hint="eastAsia" w:cs="宋体"/>
          <w:color w:val="auto"/>
          <w:szCs w:val="21"/>
          <w:highlight w:val="none"/>
        </w:rPr>
        <w:t>地址：　　　　　　　　　　　　　                          地址：</w:t>
      </w:r>
    </w:p>
    <w:p w14:paraId="5E39C75C">
      <w:pPr>
        <w:pStyle w:val="8"/>
        <w:spacing w:line="400" w:lineRule="exact"/>
        <w:jc w:val="left"/>
        <w:rPr>
          <w:rFonts w:cs="宋体"/>
          <w:color w:val="auto"/>
          <w:szCs w:val="21"/>
          <w:highlight w:val="none"/>
        </w:rPr>
      </w:pPr>
      <w:r>
        <w:rPr>
          <w:rFonts w:hint="eastAsia" w:cs="宋体"/>
          <w:color w:val="auto"/>
          <w:szCs w:val="21"/>
          <w:highlight w:val="none"/>
        </w:rPr>
        <w:t>电话：　　　　　　　　　　　　　                          电话：</w:t>
      </w:r>
    </w:p>
    <w:p w14:paraId="01CDB3E9">
      <w:pPr>
        <w:pStyle w:val="8"/>
        <w:spacing w:line="400" w:lineRule="exact"/>
        <w:jc w:val="left"/>
        <w:rPr>
          <w:rFonts w:cs="宋体"/>
          <w:color w:val="auto"/>
          <w:szCs w:val="21"/>
          <w:highlight w:val="none"/>
        </w:rPr>
      </w:pPr>
      <w:r>
        <w:rPr>
          <w:rFonts w:hint="eastAsia" w:cs="宋体"/>
          <w:color w:val="auto"/>
          <w:szCs w:val="21"/>
          <w:highlight w:val="none"/>
          <w:u w:val="single"/>
        </w:rPr>
        <w:t xml:space="preserve">      </w:t>
      </w:r>
      <w:r>
        <w:rPr>
          <w:rFonts w:hint="eastAsia" w:cs="宋体"/>
          <w:color w:val="auto"/>
          <w:szCs w:val="21"/>
          <w:highlight w:val="none"/>
        </w:rPr>
        <w:t>年</w:t>
      </w:r>
      <w:r>
        <w:rPr>
          <w:rFonts w:hint="eastAsia" w:cs="宋体"/>
          <w:color w:val="auto"/>
          <w:szCs w:val="21"/>
          <w:highlight w:val="none"/>
          <w:u w:val="single"/>
        </w:rPr>
        <w:t xml:space="preserve">　 </w:t>
      </w:r>
      <w:r>
        <w:rPr>
          <w:rFonts w:hint="eastAsia" w:cs="宋体"/>
          <w:color w:val="auto"/>
          <w:szCs w:val="21"/>
          <w:highlight w:val="none"/>
        </w:rPr>
        <w:t>月</w:t>
      </w:r>
      <w:r>
        <w:rPr>
          <w:rFonts w:hint="eastAsia" w:cs="宋体"/>
          <w:color w:val="auto"/>
          <w:szCs w:val="21"/>
          <w:highlight w:val="none"/>
          <w:u w:val="single"/>
        </w:rPr>
        <w:t xml:space="preserve"> 　</w:t>
      </w:r>
      <w:r>
        <w:rPr>
          <w:rFonts w:hint="eastAsia" w:cs="宋体"/>
          <w:color w:val="auto"/>
          <w:szCs w:val="21"/>
          <w:highlight w:val="none"/>
        </w:rPr>
        <w:t xml:space="preserve">日　　　                                  </w:t>
      </w:r>
      <w:r>
        <w:rPr>
          <w:rFonts w:hint="eastAsia" w:cs="宋体"/>
          <w:color w:val="auto"/>
          <w:szCs w:val="21"/>
          <w:highlight w:val="none"/>
          <w:u w:val="single"/>
        </w:rPr>
        <w:t xml:space="preserve">      </w:t>
      </w:r>
      <w:r>
        <w:rPr>
          <w:rFonts w:hint="eastAsia" w:cs="宋体"/>
          <w:color w:val="auto"/>
          <w:szCs w:val="21"/>
          <w:highlight w:val="none"/>
        </w:rPr>
        <w:t>年</w:t>
      </w:r>
      <w:r>
        <w:rPr>
          <w:rFonts w:hint="eastAsia" w:cs="宋体"/>
          <w:color w:val="auto"/>
          <w:szCs w:val="21"/>
          <w:highlight w:val="none"/>
          <w:u w:val="single"/>
        </w:rPr>
        <w:t xml:space="preserve">　 </w:t>
      </w:r>
      <w:r>
        <w:rPr>
          <w:rFonts w:hint="eastAsia" w:cs="宋体"/>
          <w:color w:val="auto"/>
          <w:szCs w:val="21"/>
          <w:highlight w:val="none"/>
        </w:rPr>
        <w:t>月</w:t>
      </w:r>
      <w:r>
        <w:rPr>
          <w:rFonts w:hint="eastAsia" w:cs="宋体"/>
          <w:color w:val="auto"/>
          <w:szCs w:val="21"/>
          <w:highlight w:val="none"/>
          <w:u w:val="single"/>
        </w:rPr>
        <w:t xml:space="preserve"> 　</w:t>
      </w:r>
      <w:r>
        <w:rPr>
          <w:rFonts w:hint="eastAsia" w:cs="宋体"/>
          <w:color w:val="auto"/>
          <w:szCs w:val="21"/>
          <w:highlight w:val="none"/>
        </w:rPr>
        <w:t>日</w:t>
      </w:r>
    </w:p>
    <w:p w14:paraId="38193A93">
      <w:pPr>
        <w:pStyle w:val="2"/>
        <w:spacing w:beforeLines="50" w:afterLines="50" w:line="400" w:lineRule="exact"/>
        <w:rPr>
          <w:color w:val="auto"/>
          <w:sz w:val="21"/>
          <w:szCs w:val="21"/>
          <w:highlight w:val="none"/>
        </w:rPr>
      </w:pPr>
    </w:p>
    <w:p w14:paraId="186610D3">
      <w:pPr>
        <w:pStyle w:val="2"/>
        <w:spacing w:beforeLines="50" w:afterLines="50"/>
        <w:rPr>
          <w:color w:val="auto"/>
          <w:highlight w:val="none"/>
        </w:rPr>
      </w:pPr>
    </w:p>
    <w:p w14:paraId="5B4A0A0F">
      <w:pPr>
        <w:rPr>
          <w:color w:val="auto"/>
          <w:highlight w:val="none"/>
        </w:rPr>
      </w:pPr>
    </w:p>
    <w:p w14:paraId="774A1DBB">
      <w:pPr>
        <w:rPr>
          <w:color w:val="auto"/>
          <w:highlight w:val="none"/>
        </w:rPr>
      </w:pPr>
    </w:p>
    <w:p w14:paraId="1A2EA5FC">
      <w:pPr>
        <w:rPr>
          <w:color w:val="auto"/>
          <w:highlight w:val="none"/>
        </w:rPr>
      </w:pPr>
    </w:p>
    <w:p w14:paraId="70A0A664">
      <w:pPr>
        <w:rPr>
          <w:color w:val="auto"/>
          <w:highlight w:val="none"/>
        </w:rPr>
      </w:pPr>
    </w:p>
    <w:p w14:paraId="1CCF3BB8">
      <w:pPr>
        <w:rPr>
          <w:color w:val="auto"/>
          <w:highlight w:val="none"/>
        </w:rPr>
      </w:pPr>
    </w:p>
    <w:p w14:paraId="7EDC6430">
      <w:pPr>
        <w:rPr>
          <w:color w:val="auto"/>
          <w:highlight w:val="none"/>
        </w:rPr>
      </w:pPr>
    </w:p>
    <w:p w14:paraId="610A5303">
      <w:pPr>
        <w:rPr>
          <w:color w:val="auto"/>
          <w:highlight w:val="none"/>
        </w:rPr>
      </w:pPr>
    </w:p>
    <w:p w14:paraId="4CDC201F">
      <w:pPr>
        <w:rPr>
          <w:color w:val="auto"/>
          <w:highlight w:val="none"/>
        </w:rPr>
      </w:pPr>
    </w:p>
    <w:p w14:paraId="557D1F55">
      <w:pPr>
        <w:rPr>
          <w:color w:val="auto"/>
          <w:highlight w:val="none"/>
        </w:rPr>
      </w:pPr>
    </w:p>
    <w:bookmarkEnd w:id="122"/>
    <w:bookmarkEnd w:id="123"/>
    <w:bookmarkEnd w:id="124"/>
    <w:bookmarkEnd w:id="125"/>
    <w:bookmarkEnd w:id="128"/>
    <w:p w14:paraId="0158FE4F">
      <w:pPr>
        <w:pStyle w:val="2"/>
        <w:spacing w:beforeLines="50" w:afterLines="50"/>
        <w:rPr>
          <w:color w:val="auto"/>
          <w:highlight w:val="none"/>
        </w:rPr>
      </w:pPr>
      <w:bookmarkStart w:id="134" w:name="_Toc21472"/>
      <w:bookmarkStart w:id="135" w:name="_Toc386121569"/>
      <w:bookmarkStart w:id="136" w:name="_Toc386121758"/>
      <w:bookmarkStart w:id="137" w:name="_Toc9900"/>
      <w:bookmarkStart w:id="138" w:name="_Toc106012814"/>
      <w:bookmarkStart w:id="139" w:name="_Toc155342575"/>
      <w:r>
        <w:rPr>
          <w:rFonts w:hint="eastAsia"/>
          <w:color w:val="auto"/>
          <w:highlight w:val="none"/>
        </w:rPr>
        <w:t>第四章 投标文件格式</w:t>
      </w:r>
      <w:bookmarkEnd w:id="134"/>
      <w:bookmarkEnd w:id="135"/>
      <w:bookmarkEnd w:id="136"/>
      <w:bookmarkEnd w:id="137"/>
    </w:p>
    <w:bookmarkEnd w:id="138"/>
    <w:bookmarkEnd w:id="139"/>
    <w:p w14:paraId="3D42C8E4">
      <w:pPr>
        <w:rPr>
          <w:color w:val="auto"/>
          <w:highlight w:val="none"/>
        </w:rPr>
      </w:pPr>
      <w:bookmarkStart w:id="140" w:name="_Toc169487825"/>
    </w:p>
    <w:p w14:paraId="27937883">
      <w:pPr>
        <w:rPr>
          <w:color w:val="auto"/>
          <w:highlight w:val="none"/>
        </w:rPr>
      </w:pPr>
    </w:p>
    <w:p w14:paraId="1C531E97">
      <w:pPr>
        <w:rPr>
          <w:color w:val="auto"/>
          <w:highlight w:val="none"/>
        </w:rPr>
      </w:pPr>
    </w:p>
    <w:p w14:paraId="1B003421">
      <w:pPr>
        <w:rPr>
          <w:color w:val="auto"/>
          <w:highlight w:val="none"/>
        </w:rPr>
      </w:pPr>
    </w:p>
    <w:p w14:paraId="6A9A2E23">
      <w:pPr>
        <w:rPr>
          <w:color w:val="auto"/>
          <w:highlight w:val="none"/>
        </w:rPr>
      </w:pPr>
    </w:p>
    <w:p w14:paraId="0A3B92A7">
      <w:pPr>
        <w:rPr>
          <w:color w:val="auto"/>
          <w:highlight w:val="none"/>
        </w:rPr>
      </w:pPr>
    </w:p>
    <w:p w14:paraId="3ED19B40">
      <w:pPr>
        <w:rPr>
          <w:color w:val="auto"/>
          <w:highlight w:val="none"/>
        </w:rPr>
      </w:pPr>
    </w:p>
    <w:p w14:paraId="1E7A98EA">
      <w:pPr>
        <w:rPr>
          <w:color w:val="auto"/>
          <w:highlight w:val="none"/>
        </w:rPr>
      </w:pPr>
    </w:p>
    <w:p w14:paraId="7E1A141E">
      <w:pPr>
        <w:rPr>
          <w:color w:val="auto"/>
          <w:highlight w:val="none"/>
        </w:rPr>
      </w:pPr>
    </w:p>
    <w:p w14:paraId="485BA82C">
      <w:pPr>
        <w:rPr>
          <w:color w:val="auto"/>
          <w:highlight w:val="none"/>
        </w:rPr>
      </w:pPr>
    </w:p>
    <w:p w14:paraId="32FAF03E">
      <w:pPr>
        <w:rPr>
          <w:color w:val="auto"/>
          <w:highlight w:val="none"/>
        </w:rPr>
      </w:pPr>
    </w:p>
    <w:p w14:paraId="344863C7">
      <w:pPr>
        <w:rPr>
          <w:color w:val="auto"/>
          <w:highlight w:val="none"/>
        </w:rPr>
      </w:pPr>
    </w:p>
    <w:p w14:paraId="5C8E9FEE">
      <w:pPr>
        <w:rPr>
          <w:color w:val="auto"/>
          <w:highlight w:val="none"/>
        </w:rPr>
      </w:pPr>
    </w:p>
    <w:p w14:paraId="6AA2EC4B">
      <w:pPr>
        <w:rPr>
          <w:color w:val="auto"/>
          <w:highlight w:val="none"/>
        </w:rPr>
      </w:pPr>
    </w:p>
    <w:p w14:paraId="6CC522B0">
      <w:pPr>
        <w:rPr>
          <w:color w:val="auto"/>
          <w:highlight w:val="none"/>
        </w:rPr>
      </w:pPr>
    </w:p>
    <w:p w14:paraId="2E269D2F">
      <w:pPr>
        <w:rPr>
          <w:color w:val="auto"/>
          <w:highlight w:val="none"/>
        </w:rPr>
      </w:pPr>
    </w:p>
    <w:p w14:paraId="7D9CA9F9">
      <w:pPr>
        <w:pStyle w:val="3"/>
        <w:numPr>
          <w:ilvl w:val="0"/>
          <w:numId w:val="0"/>
        </w:numPr>
        <w:spacing w:before="0" w:afterLines="0" w:line="360" w:lineRule="exact"/>
        <w:jc w:val="both"/>
        <w:rPr>
          <w:b w:val="0"/>
          <w:color w:val="auto"/>
          <w:sz w:val="28"/>
          <w:szCs w:val="28"/>
          <w:highlight w:val="none"/>
        </w:rPr>
      </w:pPr>
      <w:bookmarkStart w:id="141" w:name="_Toc386122456"/>
      <w:bookmarkStart w:id="142" w:name="_Toc386121759"/>
      <w:bookmarkStart w:id="143" w:name="_Toc30668"/>
      <w:bookmarkStart w:id="144" w:name="_Toc30925"/>
    </w:p>
    <w:p w14:paraId="5C72C058">
      <w:pPr>
        <w:pStyle w:val="3"/>
        <w:numPr>
          <w:ilvl w:val="0"/>
          <w:numId w:val="0"/>
        </w:numPr>
        <w:spacing w:before="0" w:afterLines="0" w:line="360" w:lineRule="exact"/>
        <w:jc w:val="both"/>
        <w:rPr>
          <w:b w:val="0"/>
          <w:color w:val="auto"/>
          <w:sz w:val="28"/>
          <w:szCs w:val="28"/>
          <w:highlight w:val="none"/>
        </w:rPr>
      </w:pPr>
    </w:p>
    <w:p w14:paraId="1C1661E1">
      <w:pPr>
        <w:pStyle w:val="3"/>
        <w:numPr>
          <w:ilvl w:val="0"/>
          <w:numId w:val="0"/>
        </w:numPr>
        <w:spacing w:before="0" w:afterLines="0" w:line="360" w:lineRule="exact"/>
        <w:jc w:val="both"/>
        <w:rPr>
          <w:b w:val="0"/>
          <w:color w:val="auto"/>
          <w:sz w:val="28"/>
          <w:szCs w:val="28"/>
          <w:highlight w:val="none"/>
        </w:rPr>
      </w:pPr>
    </w:p>
    <w:p w14:paraId="384EDC27">
      <w:pPr>
        <w:pStyle w:val="3"/>
        <w:numPr>
          <w:ilvl w:val="0"/>
          <w:numId w:val="0"/>
        </w:numPr>
        <w:spacing w:before="0" w:afterLines="0" w:line="360" w:lineRule="exact"/>
        <w:jc w:val="both"/>
        <w:rPr>
          <w:b w:val="0"/>
          <w:color w:val="auto"/>
          <w:sz w:val="28"/>
          <w:szCs w:val="28"/>
          <w:highlight w:val="none"/>
        </w:rPr>
      </w:pPr>
    </w:p>
    <w:p w14:paraId="456AC326">
      <w:pPr>
        <w:pStyle w:val="3"/>
        <w:numPr>
          <w:ilvl w:val="0"/>
          <w:numId w:val="0"/>
        </w:numPr>
        <w:spacing w:before="0" w:afterLines="0" w:line="360" w:lineRule="exact"/>
        <w:jc w:val="both"/>
        <w:rPr>
          <w:b w:val="0"/>
          <w:color w:val="auto"/>
          <w:sz w:val="28"/>
          <w:szCs w:val="28"/>
          <w:highlight w:val="none"/>
        </w:rPr>
      </w:pPr>
    </w:p>
    <w:p w14:paraId="3B84EC3E">
      <w:pPr>
        <w:pStyle w:val="3"/>
        <w:numPr>
          <w:ilvl w:val="0"/>
          <w:numId w:val="0"/>
        </w:numPr>
        <w:spacing w:before="0" w:afterLines="0" w:line="360" w:lineRule="exact"/>
        <w:jc w:val="both"/>
        <w:rPr>
          <w:b w:val="0"/>
          <w:color w:val="auto"/>
          <w:sz w:val="28"/>
          <w:szCs w:val="28"/>
          <w:highlight w:val="none"/>
        </w:rPr>
      </w:pPr>
    </w:p>
    <w:p w14:paraId="39C3544F">
      <w:pPr>
        <w:pStyle w:val="3"/>
        <w:numPr>
          <w:ilvl w:val="0"/>
          <w:numId w:val="0"/>
        </w:numPr>
        <w:spacing w:before="0" w:afterLines="0" w:line="360" w:lineRule="exact"/>
        <w:jc w:val="both"/>
        <w:rPr>
          <w:b w:val="0"/>
          <w:color w:val="auto"/>
          <w:sz w:val="28"/>
          <w:szCs w:val="28"/>
          <w:highlight w:val="none"/>
        </w:rPr>
      </w:pPr>
    </w:p>
    <w:p w14:paraId="6D6DB644">
      <w:pPr>
        <w:pStyle w:val="3"/>
        <w:numPr>
          <w:ilvl w:val="0"/>
          <w:numId w:val="0"/>
        </w:numPr>
        <w:spacing w:before="0" w:afterLines="0" w:line="360" w:lineRule="exact"/>
        <w:jc w:val="both"/>
        <w:rPr>
          <w:b w:val="0"/>
          <w:color w:val="auto"/>
          <w:sz w:val="28"/>
          <w:szCs w:val="28"/>
          <w:highlight w:val="none"/>
        </w:rPr>
      </w:pPr>
    </w:p>
    <w:p w14:paraId="1D424A9F">
      <w:pPr>
        <w:pStyle w:val="3"/>
        <w:numPr>
          <w:ilvl w:val="0"/>
          <w:numId w:val="0"/>
        </w:numPr>
        <w:spacing w:before="0" w:afterLines="0" w:line="360" w:lineRule="exact"/>
        <w:jc w:val="both"/>
        <w:rPr>
          <w:b w:val="0"/>
          <w:color w:val="auto"/>
          <w:sz w:val="28"/>
          <w:szCs w:val="28"/>
          <w:highlight w:val="none"/>
        </w:rPr>
      </w:pPr>
    </w:p>
    <w:p w14:paraId="19F7E7A6">
      <w:pPr>
        <w:pStyle w:val="3"/>
        <w:numPr>
          <w:ilvl w:val="0"/>
          <w:numId w:val="0"/>
        </w:numPr>
        <w:spacing w:before="0" w:afterLines="0" w:line="360" w:lineRule="exact"/>
        <w:jc w:val="both"/>
        <w:rPr>
          <w:b w:val="0"/>
          <w:color w:val="auto"/>
          <w:sz w:val="28"/>
          <w:szCs w:val="28"/>
          <w:highlight w:val="none"/>
        </w:rPr>
      </w:pPr>
    </w:p>
    <w:p w14:paraId="467FDBD2">
      <w:pPr>
        <w:rPr>
          <w:color w:val="auto"/>
          <w:sz w:val="28"/>
          <w:szCs w:val="28"/>
          <w:highlight w:val="none"/>
        </w:rPr>
      </w:pPr>
    </w:p>
    <w:p w14:paraId="3CD1DE39">
      <w:pPr>
        <w:pStyle w:val="20"/>
        <w:rPr>
          <w:b w:val="0"/>
          <w:color w:val="auto"/>
          <w:sz w:val="28"/>
          <w:szCs w:val="28"/>
          <w:highlight w:val="none"/>
        </w:rPr>
      </w:pPr>
    </w:p>
    <w:p w14:paraId="39EC3C50">
      <w:pPr>
        <w:rPr>
          <w:color w:val="auto"/>
          <w:highlight w:val="none"/>
        </w:rPr>
      </w:pPr>
    </w:p>
    <w:p w14:paraId="09AC0601">
      <w:pPr>
        <w:pStyle w:val="3"/>
        <w:numPr>
          <w:ilvl w:val="0"/>
          <w:numId w:val="0"/>
        </w:numPr>
        <w:spacing w:before="0" w:afterLines="0" w:line="360" w:lineRule="exact"/>
        <w:jc w:val="both"/>
        <w:rPr>
          <w:b w:val="0"/>
          <w:color w:val="auto"/>
          <w:sz w:val="28"/>
          <w:szCs w:val="28"/>
          <w:highlight w:val="none"/>
        </w:rPr>
      </w:pPr>
    </w:p>
    <w:p w14:paraId="61A4E5FF">
      <w:pPr>
        <w:pStyle w:val="3"/>
        <w:numPr>
          <w:ilvl w:val="0"/>
          <w:numId w:val="0"/>
        </w:numPr>
        <w:spacing w:before="0" w:afterLines="0" w:line="360" w:lineRule="exact"/>
        <w:jc w:val="both"/>
        <w:rPr>
          <w:b w:val="0"/>
          <w:color w:val="auto"/>
          <w:sz w:val="28"/>
          <w:szCs w:val="28"/>
          <w:highlight w:val="none"/>
        </w:rPr>
      </w:pPr>
    </w:p>
    <w:p w14:paraId="16AE2006">
      <w:pPr>
        <w:pStyle w:val="3"/>
        <w:numPr>
          <w:ilvl w:val="0"/>
          <w:numId w:val="0"/>
        </w:numPr>
        <w:spacing w:before="0" w:afterLines="0" w:line="360" w:lineRule="exact"/>
        <w:jc w:val="both"/>
        <w:rPr>
          <w:b w:val="0"/>
          <w:color w:val="auto"/>
          <w:sz w:val="28"/>
          <w:szCs w:val="28"/>
          <w:highlight w:val="none"/>
        </w:rPr>
      </w:pPr>
    </w:p>
    <w:p w14:paraId="55EA43A1">
      <w:pPr>
        <w:pStyle w:val="3"/>
        <w:numPr>
          <w:ilvl w:val="0"/>
          <w:numId w:val="0"/>
        </w:numPr>
        <w:spacing w:before="0" w:afterLines="0" w:line="360" w:lineRule="exact"/>
        <w:jc w:val="both"/>
        <w:rPr>
          <w:b w:val="0"/>
          <w:color w:val="auto"/>
          <w:sz w:val="28"/>
          <w:szCs w:val="28"/>
          <w:highlight w:val="none"/>
        </w:rPr>
      </w:pPr>
    </w:p>
    <w:p w14:paraId="05834C1C">
      <w:pPr>
        <w:pStyle w:val="3"/>
        <w:numPr>
          <w:ilvl w:val="0"/>
          <w:numId w:val="0"/>
        </w:numPr>
        <w:spacing w:before="0" w:afterLines="0" w:line="360" w:lineRule="exact"/>
        <w:jc w:val="both"/>
        <w:rPr>
          <w:b w:val="0"/>
          <w:color w:val="auto"/>
          <w:sz w:val="28"/>
          <w:szCs w:val="28"/>
          <w:highlight w:val="none"/>
        </w:rPr>
      </w:pPr>
    </w:p>
    <w:p w14:paraId="4A73AB12">
      <w:pPr>
        <w:pStyle w:val="3"/>
        <w:numPr>
          <w:ilvl w:val="0"/>
          <w:numId w:val="0"/>
        </w:numPr>
        <w:spacing w:before="0" w:afterLines="0" w:line="360" w:lineRule="exact"/>
        <w:jc w:val="both"/>
        <w:rPr>
          <w:b w:val="0"/>
          <w:color w:val="auto"/>
          <w:sz w:val="28"/>
          <w:szCs w:val="28"/>
          <w:highlight w:val="none"/>
        </w:rPr>
      </w:pPr>
      <w:r>
        <w:rPr>
          <w:rFonts w:hint="eastAsia"/>
          <w:b w:val="0"/>
          <w:color w:val="auto"/>
          <w:sz w:val="28"/>
          <w:szCs w:val="28"/>
          <w:highlight w:val="none"/>
        </w:rPr>
        <w:t>附件一：</w:t>
      </w:r>
      <w:bookmarkEnd w:id="140"/>
      <w:bookmarkEnd w:id="141"/>
      <w:bookmarkEnd w:id="142"/>
      <w:r>
        <w:rPr>
          <w:rFonts w:hint="eastAsia"/>
          <w:b w:val="0"/>
          <w:color w:val="auto"/>
          <w:sz w:val="28"/>
          <w:szCs w:val="28"/>
          <w:highlight w:val="none"/>
        </w:rPr>
        <w:t>投标函</w:t>
      </w:r>
      <w:bookmarkEnd w:id="143"/>
      <w:bookmarkEnd w:id="144"/>
    </w:p>
    <w:p w14:paraId="11E66209">
      <w:pPr>
        <w:rPr>
          <w:rFonts w:ascii="黑体" w:eastAsia="黑体"/>
          <w:color w:val="auto"/>
          <w:sz w:val="28"/>
          <w:szCs w:val="28"/>
          <w:highlight w:val="none"/>
        </w:rPr>
      </w:pPr>
    </w:p>
    <w:p w14:paraId="2E4C6B69">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许墅村道路及附属项目</w:t>
      </w:r>
    </w:p>
    <w:p w14:paraId="6F8A2447">
      <w:pPr>
        <w:jc w:val="center"/>
        <w:rPr>
          <w:rFonts w:ascii="宋体" w:hAnsi="宋体" w:eastAsia="宋体"/>
          <w:bCs/>
          <w:color w:val="auto"/>
          <w:szCs w:val="28"/>
          <w:highlight w:val="none"/>
          <w:u w:val="single"/>
        </w:rPr>
      </w:pPr>
      <w:r>
        <w:rPr>
          <w:rFonts w:hint="eastAsia" w:ascii="黑体" w:hAnsi="宋体" w:eastAsia="黑体"/>
          <w:b/>
          <w:color w:val="auto"/>
          <w:sz w:val="44"/>
          <w:highlight w:val="none"/>
        </w:rPr>
        <w:t>投 标 函</w:t>
      </w:r>
    </w:p>
    <w:p w14:paraId="5505EBDC">
      <w:pPr>
        <w:pStyle w:val="17"/>
        <w:ind w:firstLine="0"/>
        <w:rPr>
          <w:rFonts w:ascii="宋体" w:hAnsi="宋体" w:eastAsia="宋体"/>
          <w:b/>
          <w:color w:val="auto"/>
          <w:sz w:val="24"/>
          <w:szCs w:val="24"/>
          <w:highlight w:val="none"/>
        </w:rPr>
      </w:pPr>
      <w:r>
        <w:rPr>
          <w:rFonts w:hint="eastAsia" w:ascii="宋体" w:hAnsi="宋体" w:eastAsia="宋体"/>
          <w:color w:val="auto"/>
          <w:sz w:val="24"/>
          <w:szCs w:val="24"/>
          <w:highlight w:val="none"/>
          <w:u w:val="single"/>
          <w:lang w:val="en-US" w:eastAsia="zh-CN"/>
        </w:rPr>
        <w:t>临海市古城街道许墅村集体经济组织</w:t>
      </w:r>
      <w:r>
        <w:rPr>
          <w:rFonts w:hint="eastAsia" w:ascii="宋体" w:hAnsi="宋体" w:eastAsia="宋体"/>
          <w:color w:val="auto"/>
          <w:sz w:val="24"/>
          <w:szCs w:val="24"/>
          <w:highlight w:val="none"/>
          <w:u w:val="single"/>
        </w:rPr>
        <w:t>（招标人）</w:t>
      </w:r>
      <w:r>
        <w:rPr>
          <w:rFonts w:hint="eastAsia" w:ascii="宋体" w:hAnsi="宋体" w:eastAsia="宋体"/>
          <w:bCs/>
          <w:color w:val="auto"/>
          <w:sz w:val="24"/>
          <w:szCs w:val="24"/>
          <w:highlight w:val="none"/>
        </w:rPr>
        <w:t>：</w:t>
      </w:r>
    </w:p>
    <w:p w14:paraId="7FD3DF94">
      <w:pPr>
        <w:tabs>
          <w:tab w:val="left" w:pos="0"/>
        </w:tabs>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一、根据你方的</w:t>
      </w:r>
      <w:r>
        <w:rPr>
          <w:rFonts w:hint="eastAsia" w:ascii="宋体" w:hAnsi="宋体" w:eastAsia="宋体"/>
          <w:color w:val="auto"/>
          <w:sz w:val="24"/>
          <w:szCs w:val="24"/>
          <w:highlight w:val="none"/>
          <w:u w:val="single"/>
          <w:lang w:eastAsia="zh-CN"/>
        </w:rPr>
        <w:t>许墅村道路及附属项目</w:t>
      </w:r>
      <w:r>
        <w:rPr>
          <w:rFonts w:hint="eastAsia" w:ascii="宋体" w:hAnsi="宋体" w:eastAsia="宋体"/>
          <w:color w:val="auto"/>
          <w:sz w:val="24"/>
          <w:szCs w:val="24"/>
          <w:highlight w:val="none"/>
        </w:rPr>
        <w:t xml:space="preserve">（工程项目名称）招标文件，经考察现场和研究上述招标文件后，在全部同意招标文件内容前提下，我方保证： </w:t>
      </w:r>
    </w:p>
    <w:p w14:paraId="2777DABB">
      <w:pPr>
        <w:ind w:left="936" w:leftChars="180" w:hanging="360" w:hangingChars="1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1、愿以总报价¥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元（保留整数），大写金额人民币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元，承包上述工程的施工、竣工和保修。</w:t>
      </w:r>
    </w:p>
    <w:p w14:paraId="724BAE34">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2、工期：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none"/>
          <w:lang w:val="en-US" w:eastAsia="zh-CN"/>
        </w:rPr>
        <w:t>日历</w:t>
      </w:r>
      <w:r>
        <w:rPr>
          <w:rFonts w:hint="eastAsia" w:ascii="宋体" w:hAnsi="宋体" w:eastAsia="宋体"/>
          <w:color w:val="auto"/>
          <w:sz w:val="24"/>
          <w:szCs w:val="24"/>
          <w:highlight w:val="none"/>
        </w:rPr>
        <w:t>天内竣工并移交整个工程；</w:t>
      </w:r>
    </w:p>
    <w:p w14:paraId="74C84835">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3、工程质量等级：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14:paraId="7FFD0654">
      <w:pPr>
        <w:ind w:left="600"/>
        <w:rPr>
          <w:rFonts w:ascii="宋体" w:hAnsi="宋体" w:eastAsia="宋体"/>
          <w:color w:val="auto"/>
          <w:sz w:val="24"/>
          <w:szCs w:val="24"/>
          <w:highlight w:val="none"/>
        </w:rPr>
      </w:pPr>
      <w:r>
        <w:rPr>
          <w:rFonts w:hint="eastAsia" w:ascii="宋体" w:hAnsi="宋体" w:eastAsia="宋体"/>
          <w:color w:val="auto"/>
          <w:sz w:val="24"/>
          <w:szCs w:val="24"/>
          <w:highlight w:val="none"/>
        </w:rPr>
        <w:t>4、人员设备按本投标文件的部署及时到位。</w:t>
      </w:r>
    </w:p>
    <w:p w14:paraId="7AF06223">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二、如果我方中标，我方将按照招标文件规定提交履约担保，共同地和分别地承担责任。</w:t>
      </w:r>
    </w:p>
    <w:p w14:paraId="1FE0CB06">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三、除非另外达成协议并生效，你方的中标通知书和本投标文件将构成约束我们双方的合同。</w:t>
      </w:r>
    </w:p>
    <w:p w14:paraId="4FB52403">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四、我方的投标担保已按招标文件的要求递交。</w:t>
      </w:r>
    </w:p>
    <w:p w14:paraId="2448BFD5">
      <w:pPr>
        <w:ind w:right="48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五、你方可通过下列人员对我方的商务标进行质询：</w:t>
      </w:r>
    </w:p>
    <w:p w14:paraId="31320424">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编制人（1）姓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5026C4AA">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77DE94E1">
      <w:pPr>
        <w:tabs>
          <w:tab w:val="left" w:pos="8610"/>
          <w:tab w:val="left" w:pos="8897"/>
        </w:tabs>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编制人（2）姓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2ACFEA02">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7AFBE09F">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编制人（3）姓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0E965DF5">
      <w:pPr>
        <w:ind w:firstLine="1728" w:firstLineChars="72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身份证号：</w:t>
      </w:r>
      <w:r>
        <w:rPr>
          <w:rFonts w:hint="eastAsia" w:ascii="宋体" w:hAnsi="宋体" w:eastAsia="宋体"/>
          <w:color w:val="auto"/>
          <w:sz w:val="24"/>
          <w:szCs w:val="24"/>
          <w:highlight w:val="none"/>
          <w:u w:val="single"/>
        </w:rPr>
        <w:t xml:space="preserve">                                              </w:t>
      </w:r>
    </w:p>
    <w:p w14:paraId="651BEC87">
      <w:pPr>
        <w:ind w:right="480"/>
        <w:rPr>
          <w:rFonts w:ascii="宋体" w:hAnsi="宋体" w:eastAsia="宋体"/>
          <w:color w:val="auto"/>
          <w:sz w:val="24"/>
          <w:szCs w:val="24"/>
          <w:highlight w:val="none"/>
        </w:rPr>
      </w:pPr>
      <w:r>
        <w:rPr>
          <w:rFonts w:hint="eastAsia" w:ascii="宋体" w:hAnsi="宋体" w:eastAsia="宋体"/>
          <w:color w:val="auto"/>
          <w:sz w:val="24"/>
          <w:szCs w:val="24"/>
          <w:highlight w:val="none"/>
        </w:rPr>
        <w:t>注：投标报价未按投标函格式要求报价的作无效标处理。</w:t>
      </w:r>
    </w:p>
    <w:p w14:paraId="57A44206">
      <w:pPr>
        <w:ind w:right="480"/>
        <w:rPr>
          <w:rFonts w:ascii="宋体" w:hAnsi="宋体" w:eastAsia="宋体"/>
          <w:color w:val="auto"/>
          <w:sz w:val="24"/>
          <w:szCs w:val="24"/>
          <w:highlight w:val="none"/>
        </w:rPr>
      </w:pPr>
    </w:p>
    <w:p w14:paraId="7EFC8E97">
      <w:pPr>
        <w:rPr>
          <w:rFonts w:ascii="宋体" w:hAnsi="宋体" w:eastAsia="宋体"/>
          <w:color w:val="auto"/>
          <w:sz w:val="24"/>
          <w:szCs w:val="24"/>
          <w:highlight w:val="none"/>
        </w:rPr>
      </w:pPr>
    </w:p>
    <w:p w14:paraId="582CD028">
      <w:pPr>
        <w:ind w:firstLine="120" w:firstLineChars="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                      </w:t>
      </w:r>
      <w:bookmarkStart w:id="145" w:name="_Hlk465759066"/>
      <w:bookmarkEnd w:id="145"/>
      <w:bookmarkStart w:id="146" w:name="_Hlt465761988"/>
      <w:bookmarkEnd w:id="146"/>
      <w:r>
        <w:rPr>
          <w:rFonts w:hint="eastAsia" w:ascii="宋体" w:hAnsi="宋体" w:eastAsia="宋体"/>
          <w:color w:val="auto"/>
          <w:sz w:val="24"/>
          <w:szCs w:val="24"/>
          <w:highlight w:val="none"/>
        </w:rPr>
        <w:t>投标人（盖章）：</w:t>
      </w:r>
    </w:p>
    <w:p w14:paraId="5F5C7842">
      <w:pPr>
        <w:jc w:val="right"/>
        <w:rPr>
          <w:rFonts w:ascii="宋体" w:hAnsi="宋体" w:eastAsia="宋体"/>
          <w:color w:val="auto"/>
          <w:sz w:val="24"/>
          <w:szCs w:val="24"/>
          <w:highlight w:val="none"/>
        </w:rPr>
      </w:pPr>
    </w:p>
    <w:p w14:paraId="137A0929">
      <w:pPr>
        <w:rPr>
          <w:color w:val="auto"/>
          <w:sz w:val="24"/>
          <w:szCs w:val="24"/>
          <w:highlight w:val="none"/>
        </w:rPr>
      </w:pPr>
    </w:p>
    <w:p w14:paraId="10A7F667">
      <w:pPr>
        <w:ind w:firstLine="4560" w:firstLineChars="19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bookmarkStart w:id="147" w:name="_Toc106553077"/>
      <w:bookmarkStart w:id="148" w:name="_Toc169487830"/>
      <w:bookmarkStart w:id="149" w:name="_Toc106012815"/>
      <w:bookmarkStart w:id="150" w:name="_Toc155342580"/>
      <w:bookmarkStart w:id="151" w:name="_Toc144975208"/>
    </w:p>
    <w:p w14:paraId="00B3B357">
      <w:pPr>
        <w:pStyle w:val="3"/>
        <w:numPr>
          <w:ilvl w:val="0"/>
          <w:numId w:val="0"/>
        </w:numPr>
        <w:spacing w:afterLines="0" w:line="360" w:lineRule="exact"/>
        <w:jc w:val="both"/>
        <w:rPr>
          <w:b w:val="0"/>
          <w:color w:val="auto"/>
          <w:sz w:val="28"/>
          <w:szCs w:val="28"/>
          <w:highlight w:val="none"/>
        </w:rPr>
      </w:pPr>
      <w:bookmarkStart w:id="152" w:name="_Toc386121760"/>
      <w:bookmarkStart w:id="153" w:name="_Toc24432"/>
      <w:bookmarkStart w:id="154" w:name="_Toc386122457"/>
      <w:bookmarkStart w:id="155" w:name="_Toc23377"/>
    </w:p>
    <w:p w14:paraId="76F0E387">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附件二：</w:t>
      </w:r>
      <w:bookmarkEnd w:id="147"/>
      <w:bookmarkEnd w:id="148"/>
      <w:bookmarkEnd w:id="149"/>
      <w:bookmarkEnd w:id="150"/>
      <w:bookmarkEnd w:id="151"/>
      <w:bookmarkEnd w:id="152"/>
      <w:bookmarkEnd w:id="153"/>
      <w:bookmarkEnd w:id="154"/>
      <w:bookmarkEnd w:id="155"/>
      <w:r>
        <w:rPr>
          <w:rFonts w:hint="eastAsia"/>
          <w:b w:val="0"/>
          <w:color w:val="auto"/>
          <w:sz w:val="28"/>
          <w:szCs w:val="28"/>
          <w:highlight w:val="none"/>
        </w:rPr>
        <w:t>临海市建设工程安全生产任职资格承诺书</w:t>
      </w:r>
    </w:p>
    <w:p w14:paraId="6E7B93B2">
      <w:pPr>
        <w:rPr>
          <w:b/>
          <w:bCs/>
          <w:color w:val="auto"/>
          <w:sz w:val="21"/>
          <w:szCs w:val="21"/>
          <w:highlight w:val="none"/>
        </w:rPr>
      </w:pPr>
    </w:p>
    <w:p w14:paraId="0A2C2515">
      <w:pPr>
        <w:jc w:val="center"/>
        <w:rPr>
          <w:rFonts w:ascii="宋体" w:hAnsi="宋体" w:eastAsia="宋体"/>
          <w:color w:val="auto"/>
          <w:szCs w:val="18"/>
          <w:highlight w:val="none"/>
        </w:rPr>
      </w:pPr>
    </w:p>
    <w:p w14:paraId="6EBEE1A8">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许墅村道路及附属项目</w:t>
      </w:r>
    </w:p>
    <w:p w14:paraId="60584E3B">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临海市建设工程安全生产任职资格承诺书</w:t>
      </w:r>
    </w:p>
    <w:p w14:paraId="38F5C8F9">
      <w:pPr>
        <w:rPr>
          <w:rFonts w:ascii="宋体" w:hAnsi="宋体" w:eastAsia="宋体"/>
          <w:color w:val="auto"/>
          <w:sz w:val="28"/>
          <w:highlight w:val="none"/>
        </w:rPr>
      </w:pPr>
    </w:p>
    <w:p w14:paraId="5A528AA5">
      <w:pPr>
        <w:rPr>
          <w:rFonts w:ascii="宋体" w:hAnsi="宋体" w:eastAsia="宋体" w:cs="宋体"/>
          <w:color w:val="auto"/>
          <w:sz w:val="24"/>
          <w:szCs w:val="24"/>
          <w:highlight w:val="none"/>
        </w:rPr>
      </w:pPr>
      <w:bookmarkStart w:id="156" w:name="_Toc155342584"/>
      <w:bookmarkStart w:id="157" w:name="_Toc106012816"/>
      <w:bookmarkStart w:id="158" w:name="_Toc106553078"/>
      <w:r>
        <w:rPr>
          <w:rFonts w:hint="eastAsia" w:ascii="宋体" w:hAnsi="宋体" w:eastAsia="宋体" w:cs="宋体"/>
          <w:color w:val="auto"/>
          <w:sz w:val="24"/>
          <w:szCs w:val="24"/>
          <w:highlight w:val="none"/>
        </w:rPr>
        <w:t>本人以企业法定代表人的身份郑重承诺：</w:t>
      </w:r>
    </w:p>
    <w:p w14:paraId="5754392F">
      <w:pPr>
        <w:adjustRightInd w:val="0"/>
        <w:snapToGrid w:val="0"/>
        <w:spacing w:beforeLines="50"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本公司安全生产条件及相关管理人员（包括A类人员、拟派的项目负责人和施工现场专职安全生产管理人员）安全生产任职资格符合相关规定。</w:t>
      </w:r>
    </w:p>
    <w:p w14:paraId="77E4E83B">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30863432">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1D8F1558">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3E5CAED5">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5B778BF2">
      <w:pPr>
        <w:adjustRightInd w:val="0"/>
        <w:snapToGrid w:val="0"/>
        <w:spacing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p>
    <w:p w14:paraId="335144A6">
      <w:pPr>
        <w:adjustRightInd w:val="0"/>
        <w:snapToGrid w:val="0"/>
        <w:spacing w:beforeLines="50"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  标  人（盖章）：      </w:t>
      </w:r>
    </w:p>
    <w:p w14:paraId="63C7834C">
      <w:pPr>
        <w:ind w:firstLine="7080" w:firstLineChars="2950"/>
        <w:rPr>
          <w:rFonts w:ascii="宋体" w:hAnsi="宋体" w:eastAsia="宋体" w:cs="宋体"/>
          <w:color w:val="auto"/>
          <w:sz w:val="24"/>
          <w:szCs w:val="24"/>
          <w:highlight w:val="none"/>
        </w:rPr>
      </w:pPr>
    </w:p>
    <w:p w14:paraId="55B66DB6">
      <w:pPr>
        <w:ind w:firstLine="7080" w:firstLineChars="2950"/>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   年    月   日</w:t>
      </w:r>
    </w:p>
    <w:p w14:paraId="41B9D181">
      <w:pPr>
        <w:rPr>
          <w:color w:val="auto"/>
          <w:highlight w:val="none"/>
        </w:rPr>
      </w:pPr>
    </w:p>
    <w:p w14:paraId="3FBF33E0">
      <w:pPr>
        <w:rPr>
          <w:color w:val="auto"/>
          <w:highlight w:val="none"/>
        </w:rPr>
      </w:pPr>
    </w:p>
    <w:p w14:paraId="149C96F6">
      <w:pPr>
        <w:widowControl/>
        <w:jc w:val="left"/>
        <w:rPr>
          <w:rFonts w:ascii="Arial" w:hAnsi="Arial" w:eastAsia="黑体" w:cs="Arial"/>
          <w:color w:val="auto"/>
          <w:sz w:val="28"/>
          <w:szCs w:val="28"/>
          <w:highlight w:val="none"/>
        </w:rPr>
      </w:pPr>
      <w:bookmarkStart w:id="159" w:name="_Toc386121761"/>
      <w:bookmarkStart w:id="160" w:name="_Toc386122458"/>
      <w:bookmarkStart w:id="161" w:name="_Toc30036"/>
      <w:bookmarkStart w:id="162" w:name="_Toc14753"/>
      <w:r>
        <w:rPr>
          <w:b/>
          <w:color w:val="auto"/>
          <w:sz w:val="28"/>
          <w:szCs w:val="28"/>
          <w:highlight w:val="none"/>
        </w:rPr>
        <w:br w:type="page"/>
      </w:r>
    </w:p>
    <w:p w14:paraId="195A36D6">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附件三：</w:t>
      </w:r>
      <w:bookmarkEnd w:id="156"/>
      <w:bookmarkEnd w:id="157"/>
      <w:bookmarkEnd w:id="158"/>
      <w:bookmarkEnd w:id="159"/>
      <w:bookmarkEnd w:id="160"/>
      <w:r>
        <w:rPr>
          <w:rFonts w:hint="eastAsia"/>
          <w:b w:val="0"/>
          <w:color w:val="auto"/>
          <w:sz w:val="28"/>
          <w:szCs w:val="28"/>
          <w:highlight w:val="none"/>
        </w:rPr>
        <w:t>项目负责人简历表</w:t>
      </w:r>
      <w:bookmarkEnd w:id="161"/>
      <w:bookmarkEnd w:id="162"/>
    </w:p>
    <w:p w14:paraId="5952D947">
      <w:pPr>
        <w:rPr>
          <w:rFonts w:ascii="黑体" w:eastAsia="黑体"/>
          <w:color w:val="auto"/>
          <w:sz w:val="28"/>
          <w:szCs w:val="28"/>
          <w:highlight w:val="none"/>
        </w:rPr>
      </w:pPr>
    </w:p>
    <w:p w14:paraId="6AB7E5C2">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许墅村道路及附属项目</w:t>
      </w:r>
    </w:p>
    <w:p w14:paraId="7B4BFE55">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453F5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0" w:hRule="exact"/>
          <w:jc w:val="center"/>
        </w:trPr>
        <w:tc>
          <w:tcPr>
            <w:tcW w:w="969" w:type="dxa"/>
            <w:vAlign w:val="center"/>
          </w:tcPr>
          <w:p w14:paraId="3F183880">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gridSpan w:val="2"/>
            <w:vAlign w:val="center"/>
          </w:tcPr>
          <w:p w14:paraId="1A6022BB">
            <w:pPr>
              <w:jc w:val="center"/>
              <w:rPr>
                <w:rFonts w:ascii="宋体" w:hAnsi="宋体" w:eastAsia="宋体"/>
                <w:color w:val="auto"/>
                <w:highlight w:val="none"/>
              </w:rPr>
            </w:pPr>
          </w:p>
        </w:tc>
        <w:tc>
          <w:tcPr>
            <w:tcW w:w="861" w:type="dxa"/>
            <w:vAlign w:val="center"/>
          </w:tcPr>
          <w:p w14:paraId="550ADC42">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26F994AA">
            <w:pPr>
              <w:jc w:val="center"/>
              <w:rPr>
                <w:rFonts w:ascii="宋体" w:hAnsi="宋体" w:eastAsia="宋体"/>
                <w:color w:val="auto"/>
                <w:highlight w:val="none"/>
              </w:rPr>
            </w:pPr>
          </w:p>
        </w:tc>
        <w:tc>
          <w:tcPr>
            <w:tcW w:w="913" w:type="dxa"/>
            <w:vAlign w:val="center"/>
          </w:tcPr>
          <w:p w14:paraId="6BE7809E">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27C039A9">
            <w:pPr>
              <w:jc w:val="center"/>
              <w:rPr>
                <w:rFonts w:ascii="宋体" w:hAnsi="宋体" w:eastAsia="宋体"/>
                <w:color w:val="auto"/>
                <w:highlight w:val="none"/>
              </w:rPr>
            </w:pPr>
          </w:p>
        </w:tc>
        <w:tc>
          <w:tcPr>
            <w:tcW w:w="861" w:type="dxa"/>
            <w:vAlign w:val="center"/>
          </w:tcPr>
          <w:p w14:paraId="542DBB48">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58870CDD">
            <w:pPr>
              <w:jc w:val="center"/>
              <w:rPr>
                <w:rFonts w:ascii="宋体" w:hAnsi="宋体" w:eastAsia="宋体"/>
                <w:color w:val="auto"/>
                <w:highlight w:val="none"/>
              </w:rPr>
            </w:pPr>
          </w:p>
        </w:tc>
      </w:tr>
      <w:tr w14:paraId="3E5CC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44442635">
            <w:pPr>
              <w:jc w:val="center"/>
              <w:rPr>
                <w:rFonts w:ascii="宋体" w:hAnsi="宋体" w:eastAsia="宋体"/>
                <w:color w:val="auto"/>
                <w:highlight w:val="none"/>
              </w:rPr>
            </w:pPr>
            <w:r>
              <w:rPr>
                <w:rFonts w:hint="eastAsia" w:ascii="宋体" w:hAnsi="宋体" w:eastAsia="宋体"/>
                <w:color w:val="auto"/>
                <w:highlight w:val="none"/>
              </w:rPr>
              <w:t>资质等级</w:t>
            </w:r>
          </w:p>
        </w:tc>
        <w:tc>
          <w:tcPr>
            <w:tcW w:w="1722" w:type="dxa"/>
            <w:gridSpan w:val="2"/>
            <w:vAlign w:val="center"/>
          </w:tcPr>
          <w:p w14:paraId="53C53A37">
            <w:pPr>
              <w:jc w:val="center"/>
              <w:rPr>
                <w:rFonts w:ascii="宋体" w:hAnsi="宋体" w:eastAsia="宋体"/>
                <w:color w:val="auto"/>
                <w:highlight w:val="none"/>
              </w:rPr>
            </w:pPr>
          </w:p>
        </w:tc>
        <w:tc>
          <w:tcPr>
            <w:tcW w:w="1096" w:type="dxa"/>
            <w:vAlign w:val="center"/>
          </w:tcPr>
          <w:p w14:paraId="01FF5D3C">
            <w:pPr>
              <w:jc w:val="center"/>
              <w:rPr>
                <w:rFonts w:ascii="宋体" w:hAnsi="宋体" w:eastAsia="宋体"/>
                <w:color w:val="auto"/>
                <w:highlight w:val="none"/>
              </w:rPr>
            </w:pPr>
            <w:r>
              <w:rPr>
                <w:rFonts w:hint="eastAsia" w:ascii="宋体" w:hAnsi="宋体" w:eastAsia="宋体"/>
                <w:color w:val="auto"/>
                <w:highlight w:val="none"/>
              </w:rPr>
              <w:t>职称</w:t>
            </w:r>
          </w:p>
        </w:tc>
        <w:tc>
          <w:tcPr>
            <w:tcW w:w="2348" w:type="dxa"/>
            <w:gridSpan w:val="2"/>
            <w:vAlign w:val="center"/>
          </w:tcPr>
          <w:p w14:paraId="4738FB58">
            <w:pPr>
              <w:jc w:val="center"/>
              <w:rPr>
                <w:rFonts w:ascii="宋体" w:hAnsi="宋体" w:eastAsia="宋体"/>
                <w:color w:val="auto"/>
                <w:highlight w:val="none"/>
              </w:rPr>
            </w:pPr>
          </w:p>
        </w:tc>
        <w:tc>
          <w:tcPr>
            <w:tcW w:w="861" w:type="dxa"/>
            <w:vAlign w:val="center"/>
          </w:tcPr>
          <w:p w14:paraId="28DA4D69">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18A2C2CC">
            <w:pPr>
              <w:jc w:val="center"/>
              <w:rPr>
                <w:rFonts w:ascii="宋体" w:hAnsi="宋体" w:eastAsia="宋体"/>
                <w:color w:val="auto"/>
                <w:highlight w:val="none"/>
              </w:rPr>
            </w:pPr>
          </w:p>
        </w:tc>
      </w:tr>
      <w:tr w14:paraId="5B790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3AF4F76B">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1DC7DB0F">
            <w:pPr>
              <w:jc w:val="center"/>
              <w:rPr>
                <w:rFonts w:ascii="宋体" w:hAnsi="宋体" w:eastAsia="宋体"/>
                <w:color w:val="auto"/>
                <w:highlight w:val="none"/>
              </w:rPr>
            </w:pPr>
          </w:p>
        </w:tc>
        <w:tc>
          <w:tcPr>
            <w:tcW w:w="3209" w:type="dxa"/>
            <w:gridSpan w:val="3"/>
            <w:vAlign w:val="center"/>
          </w:tcPr>
          <w:p w14:paraId="1CD51C77">
            <w:pPr>
              <w:jc w:val="center"/>
              <w:rPr>
                <w:rFonts w:ascii="宋体" w:hAnsi="宋体" w:eastAsia="宋体"/>
                <w:color w:val="auto"/>
                <w:highlight w:val="none"/>
              </w:rPr>
            </w:pPr>
            <w:r>
              <w:rPr>
                <w:rFonts w:hint="eastAsia" w:ascii="宋体" w:hAnsi="宋体" w:eastAsia="宋体"/>
                <w:color w:val="auto"/>
                <w:highlight w:val="none"/>
              </w:rPr>
              <w:t>从事项目负责人年限</w:t>
            </w:r>
          </w:p>
        </w:tc>
        <w:tc>
          <w:tcPr>
            <w:tcW w:w="2009" w:type="dxa"/>
            <w:vAlign w:val="center"/>
          </w:tcPr>
          <w:p w14:paraId="205EA72C">
            <w:pPr>
              <w:jc w:val="center"/>
              <w:rPr>
                <w:rFonts w:ascii="宋体" w:hAnsi="宋体" w:eastAsia="宋体"/>
                <w:color w:val="auto"/>
                <w:highlight w:val="none"/>
              </w:rPr>
            </w:pPr>
          </w:p>
        </w:tc>
      </w:tr>
      <w:tr w14:paraId="1FCAD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40A261A1">
            <w:pPr>
              <w:jc w:val="center"/>
              <w:rPr>
                <w:rFonts w:ascii="宋体" w:hAnsi="宋体" w:eastAsia="宋体"/>
                <w:color w:val="auto"/>
                <w:highlight w:val="none"/>
              </w:rPr>
            </w:pPr>
          </w:p>
          <w:p w14:paraId="79B767E9">
            <w:pPr>
              <w:jc w:val="center"/>
              <w:rPr>
                <w:rFonts w:ascii="宋体" w:hAnsi="宋体" w:eastAsia="宋体"/>
                <w:color w:val="auto"/>
                <w:highlight w:val="none"/>
              </w:rPr>
            </w:pPr>
          </w:p>
          <w:p w14:paraId="221489A8">
            <w:pPr>
              <w:jc w:val="center"/>
              <w:rPr>
                <w:rFonts w:ascii="宋体" w:hAnsi="宋体" w:eastAsia="宋体"/>
                <w:color w:val="auto"/>
                <w:highlight w:val="none"/>
              </w:rPr>
            </w:pPr>
          </w:p>
          <w:p w14:paraId="46F84476">
            <w:pPr>
              <w:jc w:val="center"/>
              <w:rPr>
                <w:rFonts w:ascii="宋体" w:hAnsi="宋体" w:eastAsia="宋体"/>
                <w:color w:val="auto"/>
                <w:highlight w:val="none"/>
              </w:rPr>
            </w:pPr>
            <w:r>
              <w:rPr>
                <w:rFonts w:hint="eastAsia" w:ascii="宋体" w:hAnsi="宋体" w:eastAsia="宋体"/>
                <w:color w:val="auto"/>
                <w:highlight w:val="none"/>
              </w:rPr>
              <w:t>简</w:t>
            </w:r>
          </w:p>
          <w:p w14:paraId="07D38C78">
            <w:pPr>
              <w:jc w:val="center"/>
              <w:rPr>
                <w:rFonts w:ascii="宋体" w:hAnsi="宋体" w:eastAsia="宋体"/>
                <w:color w:val="auto"/>
                <w:highlight w:val="none"/>
              </w:rPr>
            </w:pPr>
          </w:p>
          <w:p w14:paraId="47B7F191">
            <w:pPr>
              <w:jc w:val="center"/>
              <w:rPr>
                <w:rFonts w:ascii="宋体" w:hAnsi="宋体" w:eastAsia="宋体"/>
                <w:color w:val="auto"/>
                <w:highlight w:val="none"/>
              </w:rPr>
            </w:pPr>
          </w:p>
          <w:p w14:paraId="3C51C397">
            <w:pPr>
              <w:rPr>
                <w:rFonts w:ascii="宋体" w:hAnsi="宋体" w:eastAsia="宋体"/>
                <w:color w:val="auto"/>
                <w:highlight w:val="none"/>
              </w:rPr>
            </w:pPr>
          </w:p>
          <w:p w14:paraId="397754C5">
            <w:pPr>
              <w:rPr>
                <w:rFonts w:ascii="宋体" w:hAnsi="宋体" w:eastAsia="宋体"/>
                <w:color w:val="auto"/>
                <w:highlight w:val="none"/>
              </w:rPr>
            </w:pPr>
          </w:p>
          <w:p w14:paraId="56F3831B">
            <w:pPr>
              <w:jc w:val="center"/>
              <w:rPr>
                <w:rFonts w:ascii="宋体" w:hAnsi="宋体" w:eastAsia="宋体"/>
                <w:color w:val="auto"/>
                <w:highlight w:val="none"/>
              </w:rPr>
            </w:pPr>
          </w:p>
          <w:p w14:paraId="63D017F4">
            <w:pPr>
              <w:jc w:val="center"/>
              <w:rPr>
                <w:rFonts w:ascii="宋体" w:hAnsi="宋体" w:eastAsia="宋体"/>
                <w:color w:val="auto"/>
                <w:highlight w:val="none"/>
              </w:rPr>
            </w:pPr>
          </w:p>
          <w:p w14:paraId="1F1D32E2">
            <w:pPr>
              <w:jc w:val="center"/>
              <w:rPr>
                <w:rFonts w:ascii="宋体" w:hAnsi="宋体" w:eastAsia="宋体"/>
                <w:color w:val="auto"/>
                <w:highlight w:val="none"/>
              </w:rPr>
            </w:pPr>
            <w:r>
              <w:rPr>
                <w:rFonts w:hint="eastAsia" w:ascii="宋体" w:hAnsi="宋体" w:eastAsia="宋体"/>
                <w:color w:val="auto"/>
                <w:highlight w:val="none"/>
              </w:rPr>
              <w:t>历</w:t>
            </w:r>
          </w:p>
          <w:p w14:paraId="47FEC7D8">
            <w:pPr>
              <w:jc w:val="center"/>
              <w:rPr>
                <w:rFonts w:ascii="宋体" w:hAnsi="宋体" w:eastAsia="宋体"/>
                <w:color w:val="auto"/>
                <w:highlight w:val="none"/>
              </w:rPr>
            </w:pPr>
          </w:p>
          <w:p w14:paraId="51ED950C">
            <w:pPr>
              <w:jc w:val="center"/>
              <w:rPr>
                <w:rFonts w:ascii="宋体" w:hAnsi="宋体" w:eastAsia="宋体"/>
                <w:color w:val="auto"/>
                <w:highlight w:val="none"/>
              </w:rPr>
            </w:pPr>
          </w:p>
          <w:p w14:paraId="56B7E5FD">
            <w:pPr>
              <w:rPr>
                <w:rFonts w:ascii="宋体" w:hAnsi="宋体" w:eastAsia="宋体"/>
                <w:color w:val="auto"/>
                <w:highlight w:val="none"/>
              </w:rPr>
            </w:pPr>
          </w:p>
        </w:tc>
        <w:tc>
          <w:tcPr>
            <w:tcW w:w="8610" w:type="dxa"/>
            <w:gridSpan w:val="8"/>
          </w:tcPr>
          <w:p w14:paraId="6F6EC122">
            <w:pPr>
              <w:rPr>
                <w:rFonts w:ascii="宋体" w:hAnsi="宋体" w:eastAsia="宋体"/>
                <w:color w:val="auto"/>
                <w:highlight w:val="none"/>
              </w:rPr>
            </w:pPr>
          </w:p>
        </w:tc>
      </w:tr>
    </w:tbl>
    <w:p w14:paraId="33ECE808">
      <w:pPr>
        <w:rPr>
          <w:rFonts w:ascii="宋体" w:hAnsi="宋体" w:eastAsia="宋体"/>
          <w:color w:val="auto"/>
          <w:highlight w:val="none"/>
        </w:rPr>
      </w:pPr>
    </w:p>
    <w:p w14:paraId="1920A972">
      <w:pPr>
        <w:rPr>
          <w:rFonts w:ascii="宋体" w:hAnsi="宋体" w:eastAsia="宋体"/>
          <w:color w:val="auto"/>
          <w:sz w:val="24"/>
          <w:szCs w:val="24"/>
          <w:highlight w:val="none"/>
        </w:rPr>
      </w:pPr>
      <w:bookmarkStart w:id="163" w:name="_Toc106553079"/>
      <w:bookmarkStart w:id="164" w:name="_Toc155342585"/>
      <w:bookmarkStart w:id="165" w:name="_Toc106012817"/>
      <w:r>
        <w:rPr>
          <w:rFonts w:hint="eastAsia" w:ascii="宋体" w:hAnsi="宋体" w:eastAsia="宋体"/>
          <w:color w:val="auto"/>
          <w:sz w:val="24"/>
          <w:szCs w:val="24"/>
          <w:highlight w:val="none"/>
        </w:rPr>
        <w:t>法定代表人（签字或盖章）：                            投标人（盖章）：</w:t>
      </w:r>
    </w:p>
    <w:p w14:paraId="23373DBD">
      <w:pPr>
        <w:jc w:val="right"/>
        <w:rPr>
          <w:rFonts w:ascii="宋体" w:hAnsi="宋体" w:eastAsia="宋体"/>
          <w:color w:val="auto"/>
          <w:sz w:val="24"/>
          <w:szCs w:val="24"/>
          <w:highlight w:val="none"/>
        </w:rPr>
      </w:pPr>
    </w:p>
    <w:p w14:paraId="2D880980">
      <w:pPr>
        <w:ind w:firstLine="6360" w:firstLineChars="2650"/>
        <w:rPr>
          <w:rFonts w:ascii="宋体" w:hAnsi="宋体" w:eastAsia="宋体"/>
          <w:color w:val="auto"/>
          <w:sz w:val="24"/>
          <w:szCs w:val="24"/>
          <w:highlight w:val="none"/>
        </w:rPr>
      </w:pPr>
    </w:p>
    <w:p w14:paraId="24C61F22">
      <w:pPr>
        <w:ind w:firstLine="6360" w:firstLineChars="2650"/>
        <w:rPr>
          <w:color w:val="auto"/>
          <w:highlight w:val="none"/>
        </w:rPr>
      </w:pPr>
      <w:r>
        <w:rPr>
          <w:rFonts w:hint="eastAsia" w:ascii="宋体" w:hAnsi="宋体" w:eastAsia="宋体"/>
          <w:color w:val="auto"/>
          <w:sz w:val="24"/>
          <w:szCs w:val="24"/>
          <w:highlight w:val="none"/>
        </w:rPr>
        <w:t>日期：   年   月   日</w:t>
      </w:r>
    </w:p>
    <w:p w14:paraId="4DA0B245">
      <w:pPr>
        <w:pStyle w:val="3"/>
        <w:numPr>
          <w:ilvl w:val="0"/>
          <w:numId w:val="0"/>
        </w:numPr>
        <w:spacing w:before="0" w:afterLines="0" w:line="240" w:lineRule="auto"/>
        <w:jc w:val="both"/>
        <w:rPr>
          <w:b w:val="0"/>
          <w:color w:val="auto"/>
          <w:sz w:val="28"/>
          <w:szCs w:val="28"/>
          <w:highlight w:val="none"/>
        </w:rPr>
      </w:pPr>
      <w:bookmarkStart w:id="166" w:name="_Toc386122459"/>
      <w:bookmarkStart w:id="167" w:name="_Toc386121762"/>
      <w:bookmarkStart w:id="168" w:name="_Toc581"/>
      <w:bookmarkStart w:id="169" w:name="_Toc20785"/>
    </w:p>
    <w:p w14:paraId="3B3B0A20">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附件四：</w:t>
      </w:r>
      <w:bookmarkEnd w:id="163"/>
      <w:bookmarkEnd w:id="164"/>
      <w:bookmarkEnd w:id="165"/>
      <w:bookmarkEnd w:id="166"/>
      <w:bookmarkEnd w:id="167"/>
      <w:r>
        <w:rPr>
          <w:rFonts w:hint="eastAsia"/>
          <w:b w:val="0"/>
          <w:color w:val="auto"/>
          <w:sz w:val="28"/>
          <w:szCs w:val="28"/>
          <w:highlight w:val="none"/>
        </w:rPr>
        <w:t>技术负责人简历表</w:t>
      </w:r>
      <w:bookmarkEnd w:id="168"/>
      <w:bookmarkEnd w:id="169"/>
    </w:p>
    <w:p w14:paraId="50B78975">
      <w:pPr>
        <w:rPr>
          <w:rFonts w:ascii="黑体" w:eastAsia="黑体"/>
          <w:color w:val="auto"/>
          <w:sz w:val="28"/>
          <w:szCs w:val="28"/>
          <w:highlight w:val="none"/>
        </w:rPr>
      </w:pPr>
    </w:p>
    <w:p w14:paraId="0169540E">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许墅村道路及附属项目</w:t>
      </w:r>
    </w:p>
    <w:p w14:paraId="4308A2ED">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40181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57651B2B">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vAlign w:val="center"/>
          </w:tcPr>
          <w:p w14:paraId="0342FC1C">
            <w:pPr>
              <w:jc w:val="center"/>
              <w:rPr>
                <w:rFonts w:ascii="宋体" w:hAnsi="宋体" w:eastAsia="宋体"/>
                <w:color w:val="auto"/>
                <w:highlight w:val="none"/>
              </w:rPr>
            </w:pPr>
          </w:p>
        </w:tc>
        <w:tc>
          <w:tcPr>
            <w:tcW w:w="861" w:type="dxa"/>
            <w:vAlign w:val="center"/>
          </w:tcPr>
          <w:p w14:paraId="47E27107">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36C26A3D">
            <w:pPr>
              <w:jc w:val="center"/>
              <w:rPr>
                <w:rFonts w:ascii="宋体" w:hAnsi="宋体" w:eastAsia="宋体"/>
                <w:color w:val="auto"/>
                <w:highlight w:val="none"/>
              </w:rPr>
            </w:pPr>
          </w:p>
        </w:tc>
        <w:tc>
          <w:tcPr>
            <w:tcW w:w="913" w:type="dxa"/>
            <w:vAlign w:val="center"/>
          </w:tcPr>
          <w:p w14:paraId="4E65D3FB">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0B1168B9">
            <w:pPr>
              <w:jc w:val="center"/>
              <w:rPr>
                <w:rFonts w:ascii="宋体" w:hAnsi="宋体" w:eastAsia="宋体"/>
                <w:color w:val="auto"/>
                <w:highlight w:val="none"/>
              </w:rPr>
            </w:pPr>
          </w:p>
        </w:tc>
        <w:tc>
          <w:tcPr>
            <w:tcW w:w="861" w:type="dxa"/>
            <w:vAlign w:val="center"/>
          </w:tcPr>
          <w:p w14:paraId="3F171346">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685E0A47">
            <w:pPr>
              <w:jc w:val="center"/>
              <w:rPr>
                <w:rFonts w:ascii="宋体" w:hAnsi="宋体" w:eastAsia="宋体"/>
                <w:color w:val="auto"/>
                <w:highlight w:val="none"/>
              </w:rPr>
            </w:pPr>
          </w:p>
        </w:tc>
      </w:tr>
      <w:tr w14:paraId="08370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EEBA7B3">
            <w:pPr>
              <w:jc w:val="center"/>
              <w:rPr>
                <w:rFonts w:ascii="宋体" w:hAnsi="宋体" w:eastAsia="宋体"/>
                <w:color w:val="auto"/>
                <w:highlight w:val="none"/>
              </w:rPr>
            </w:pPr>
            <w:r>
              <w:rPr>
                <w:rFonts w:hint="eastAsia" w:ascii="宋体" w:hAnsi="宋体" w:eastAsia="宋体"/>
                <w:color w:val="auto"/>
                <w:highlight w:val="none"/>
              </w:rPr>
              <w:t>职称</w:t>
            </w:r>
          </w:p>
        </w:tc>
        <w:tc>
          <w:tcPr>
            <w:tcW w:w="1435" w:type="dxa"/>
            <w:vAlign w:val="center"/>
          </w:tcPr>
          <w:p w14:paraId="2C24FE5D">
            <w:pPr>
              <w:jc w:val="center"/>
              <w:rPr>
                <w:rFonts w:ascii="宋体" w:hAnsi="宋体" w:eastAsia="宋体"/>
                <w:color w:val="auto"/>
                <w:highlight w:val="none"/>
              </w:rPr>
            </w:pPr>
          </w:p>
        </w:tc>
        <w:tc>
          <w:tcPr>
            <w:tcW w:w="1957" w:type="dxa"/>
            <w:gridSpan w:val="2"/>
            <w:vAlign w:val="center"/>
          </w:tcPr>
          <w:p w14:paraId="3872823C">
            <w:pPr>
              <w:jc w:val="center"/>
              <w:rPr>
                <w:rFonts w:ascii="宋体" w:hAnsi="宋体" w:eastAsia="宋体"/>
                <w:color w:val="auto"/>
                <w:highlight w:val="none"/>
              </w:rPr>
            </w:pPr>
            <w:r>
              <w:rPr>
                <w:rFonts w:hint="eastAsia" w:ascii="宋体" w:hAnsi="宋体" w:eastAsia="宋体"/>
                <w:color w:val="auto"/>
                <w:highlight w:val="none"/>
              </w:rPr>
              <w:t>毕业院校</w:t>
            </w:r>
          </w:p>
        </w:tc>
        <w:tc>
          <w:tcPr>
            <w:tcW w:w="2348" w:type="dxa"/>
            <w:gridSpan w:val="2"/>
            <w:vAlign w:val="center"/>
          </w:tcPr>
          <w:p w14:paraId="5530274F">
            <w:pPr>
              <w:jc w:val="center"/>
              <w:rPr>
                <w:rFonts w:ascii="宋体" w:hAnsi="宋体" w:eastAsia="宋体"/>
                <w:color w:val="auto"/>
                <w:highlight w:val="none"/>
              </w:rPr>
            </w:pPr>
          </w:p>
        </w:tc>
        <w:tc>
          <w:tcPr>
            <w:tcW w:w="861" w:type="dxa"/>
            <w:vAlign w:val="center"/>
          </w:tcPr>
          <w:p w14:paraId="53DE8E71">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6A106927">
            <w:pPr>
              <w:jc w:val="center"/>
              <w:rPr>
                <w:rFonts w:ascii="宋体" w:hAnsi="宋体" w:eastAsia="宋体"/>
                <w:color w:val="auto"/>
                <w:highlight w:val="none"/>
              </w:rPr>
            </w:pPr>
          </w:p>
        </w:tc>
      </w:tr>
      <w:tr w14:paraId="09DB6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2971976C">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57D3BD60">
            <w:pPr>
              <w:jc w:val="center"/>
              <w:rPr>
                <w:rFonts w:ascii="宋体" w:hAnsi="宋体" w:eastAsia="宋体"/>
                <w:color w:val="auto"/>
                <w:highlight w:val="none"/>
              </w:rPr>
            </w:pPr>
          </w:p>
        </w:tc>
        <w:tc>
          <w:tcPr>
            <w:tcW w:w="3209" w:type="dxa"/>
            <w:gridSpan w:val="3"/>
            <w:vAlign w:val="center"/>
          </w:tcPr>
          <w:p w14:paraId="1B9D9963">
            <w:pPr>
              <w:jc w:val="center"/>
              <w:rPr>
                <w:rFonts w:ascii="宋体" w:hAnsi="宋体" w:eastAsia="宋体"/>
                <w:color w:val="auto"/>
                <w:highlight w:val="none"/>
              </w:rPr>
            </w:pPr>
            <w:r>
              <w:rPr>
                <w:rFonts w:hint="eastAsia" w:ascii="宋体" w:hAnsi="宋体" w:eastAsia="宋体"/>
                <w:color w:val="auto"/>
                <w:highlight w:val="none"/>
              </w:rPr>
              <w:t>从事技术负责人年限</w:t>
            </w:r>
          </w:p>
        </w:tc>
        <w:tc>
          <w:tcPr>
            <w:tcW w:w="2009" w:type="dxa"/>
            <w:vAlign w:val="center"/>
          </w:tcPr>
          <w:p w14:paraId="6EE1A361">
            <w:pPr>
              <w:jc w:val="center"/>
              <w:rPr>
                <w:rFonts w:ascii="宋体" w:hAnsi="宋体" w:eastAsia="宋体"/>
                <w:color w:val="auto"/>
                <w:highlight w:val="none"/>
              </w:rPr>
            </w:pPr>
          </w:p>
        </w:tc>
      </w:tr>
      <w:tr w14:paraId="1F8B3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020F7595">
            <w:pPr>
              <w:jc w:val="center"/>
              <w:rPr>
                <w:rFonts w:ascii="宋体" w:hAnsi="宋体" w:eastAsia="宋体"/>
                <w:color w:val="auto"/>
                <w:highlight w:val="none"/>
              </w:rPr>
            </w:pPr>
          </w:p>
          <w:p w14:paraId="7436D8A6">
            <w:pPr>
              <w:jc w:val="center"/>
              <w:rPr>
                <w:rFonts w:ascii="宋体" w:hAnsi="宋体" w:eastAsia="宋体"/>
                <w:color w:val="auto"/>
                <w:highlight w:val="none"/>
              </w:rPr>
            </w:pPr>
          </w:p>
          <w:p w14:paraId="01B27FB5">
            <w:pPr>
              <w:jc w:val="center"/>
              <w:rPr>
                <w:rFonts w:ascii="宋体" w:hAnsi="宋体" w:eastAsia="宋体"/>
                <w:color w:val="auto"/>
                <w:highlight w:val="none"/>
              </w:rPr>
            </w:pPr>
          </w:p>
          <w:p w14:paraId="60B407D2">
            <w:pPr>
              <w:jc w:val="center"/>
              <w:rPr>
                <w:rFonts w:ascii="宋体" w:hAnsi="宋体" w:eastAsia="宋体"/>
                <w:color w:val="auto"/>
                <w:highlight w:val="none"/>
              </w:rPr>
            </w:pPr>
            <w:r>
              <w:rPr>
                <w:rFonts w:hint="eastAsia" w:ascii="宋体" w:hAnsi="宋体" w:eastAsia="宋体"/>
                <w:color w:val="auto"/>
                <w:highlight w:val="none"/>
              </w:rPr>
              <w:t>简</w:t>
            </w:r>
          </w:p>
          <w:p w14:paraId="60185AF3">
            <w:pPr>
              <w:jc w:val="center"/>
              <w:rPr>
                <w:rFonts w:ascii="宋体" w:hAnsi="宋体" w:eastAsia="宋体"/>
                <w:color w:val="auto"/>
                <w:highlight w:val="none"/>
              </w:rPr>
            </w:pPr>
          </w:p>
          <w:p w14:paraId="0AB93FEC">
            <w:pPr>
              <w:jc w:val="center"/>
              <w:rPr>
                <w:rFonts w:ascii="宋体" w:hAnsi="宋体" w:eastAsia="宋体"/>
                <w:color w:val="auto"/>
                <w:highlight w:val="none"/>
              </w:rPr>
            </w:pPr>
          </w:p>
          <w:p w14:paraId="78BD944D">
            <w:pPr>
              <w:rPr>
                <w:rFonts w:ascii="宋体" w:hAnsi="宋体" w:eastAsia="宋体"/>
                <w:color w:val="auto"/>
                <w:highlight w:val="none"/>
              </w:rPr>
            </w:pPr>
          </w:p>
          <w:p w14:paraId="66AC971E">
            <w:pPr>
              <w:rPr>
                <w:rFonts w:ascii="宋体" w:hAnsi="宋体" w:eastAsia="宋体"/>
                <w:color w:val="auto"/>
                <w:highlight w:val="none"/>
              </w:rPr>
            </w:pPr>
          </w:p>
          <w:p w14:paraId="5961EAC0">
            <w:pPr>
              <w:jc w:val="center"/>
              <w:rPr>
                <w:rFonts w:ascii="宋体" w:hAnsi="宋体" w:eastAsia="宋体"/>
                <w:color w:val="auto"/>
                <w:highlight w:val="none"/>
              </w:rPr>
            </w:pPr>
          </w:p>
          <w:p w14:paraId="06DDD4FB">
            <w:pPr>
              <w:jc w:val="center"/>
              <w:rPr>
                <w:rFonts w:ascii="宋体" w:hAnsi="宋体" w:eastAsia="宋体"/>
                <w:color w:val="auto"/>
                <w:highlight w:val="none"/>
              </w:rPr>
            </w:pPr>
          </w:p>
          <w:p w14:paraId="48CFCAA8">
            <w:pPr>
              <w:jc w:val="center"/>
              <w:rPr>
                <w:rFonts w:ascii="宋体" w:hAnsi="宋体" w:eastAsia="宋体"/>
                <w:color w:val="auto"/>
                <w:highlight w:val="none"/>
              </w:rPr>
            </w:pPr>
            <w:r>
              <w:rPr>
                <w:rFonts w:hint="eastAsia" w:ascii="宋体" w:hAnsi="宋体" w:eastAsia="宋体"/>
                <w:color w:val="auto"/>
                <w:highlight w:val="none"/>
              </w:rPr>
              <w:t>历</w:t>
            </w:r>
          </w:p>
          <w:p w14:paraId="1E992417">
            <w:pPr>
              <w:jc w:val="center"/>
              <w:rPr>
                <w:rFonts w:ascii="宋体" w:hAnsi="宋体" w:eastAsia="宋体"/>
                <w:color w:val="auto"/>
                <w:highlight w:val="none"/>
              </w:rPr>
            </w:pPr>
          </w:p>
          <w:p w14:paraId="53542406">
            <w:pPr>
              <w:jc w:val="center"/>
              <w:rPr>
                <w:rFonts w:ascii="宋体" w:hAnsi="宋体" w:eastAsia="宋体"/>
                <w:color w:val="auto"/>
                <w:highlight w:val="none"/>
              </w:rPr>
            </w:pPr>
          </w:p>
          <w:p w14:paraId="215B11B4">
            <w:pPr>
              <w:rPr>
                <w:rFonts w:ascii="宋体" w:hAnsi="宋体" w:eastAsia="宋体"/>
                <w:color w:val="auto"/>
                <w:highlight w:val="none"/>
              </w:rPr>
            </w:pPr>
          </w:p>
        </w:tc>
        <w:tc>
          <w:tcPr>
            <w:tcW w:w="8610" w:type="dxa"/>
            <w:gridSpan w:val="7"/>
          </w:tcPr>
          <w:p w14:paraId="070BE5C6">
            <w:pPr>
              <w:rPr>
                <w:rFonts w:ascii="宋体" w:hAnsi="宋体" w:eastAsia="宋体"/>
                <w:color w:val="auto"/>
                <w:highlight w:val="none"/>
              </w:rPr>
            </w:pPr>
          </w:p>
        </w:tc>
      </w:tr>
    </w:tbl>
    <w:p w14:paraId="038A319F">
      <w:pPr>
        <w:rPr>
          <w:rFonts w:ascii="宋体" w:hAnsi="宋体" w:eastAsia="宋体"/>
          <w:color w:val="auto"/>
          <w:highlight w:val="none"/>
        </w:rPr>
      </w:pPr>
    </w:p>
    <w:p w14:paraId="57128D09">
      <w:pPr>
        <w:rPr>
          <w:rFonts w:ascii="宋体" w:hAnsi="宋体" w:eastAsia="宋体"/>
          <w:color w:val="auto"/>
          <w:sz w:val="24"/>
          <w:szCs w:val="24"/>
          <w:highlight w:val="none"/>
        </w:rPr>
      </w:pPr>
      <w:bookmarkStart w:id="170" w:name="_Toc106553080"/>
      <w:bookmarkStart w:id="171" w:name="_Toc106012818"/>
      <w:bookmarkStart w:id="172" w:name="_Toc155342586"/>
      <w:r>
        <w:rPr>
          <w:rFonts w:hint="eastAsia" w:ascii="宋体" w:hAnsi="宋体" w:eastAsia="宋体"/>
          <w:color w:val="auto"/>
          <w:sz w:val="24"/>
          <w:szCs w:val="24"/>
          <w:highlight w:val="none"/>
        </w:rPr>
        <w:t>法定代表人（签字或盖章）：                             投标人（盖章）：</w:t>
      </w:r>
    </w:p>
    <w:p w14:paraId="7C9E0480">
      <w:pPr>
        <w:jc w:val="right"/>
        <w:rPr>
          <w:rFonts w:ascii="宋体" w:hAnsi="宋体" w:eastAsia="宋体"/>
          <w:color w:val="auto"/>
          <w:sz w:val="24"/>
          <w:szCs w:val="24"/>
          <w:highlight w:val="none"/>
        </w:rPr>
      </w:pPr>
    </w:p>
    <w:p w14:paraId="6540D5C5">
      <w:pPr>
        <w:ind w:firstLine="6480" w:firstLineChars="2700"/>
        <w:rPr>
          <w:rFonts w:ascii="宋体" w:hAnsi="宋体" w:eastAsia="宋体"/>
          <w:color w:val="auto"/>
          <w:sz w:val="24"/>
          <w:szCs w:val="24"/>
          <w:highlight w:val="none"/>
        </w:rPr>
      </w:pPr>
    </w:p>
    <w:p w14:paraId="41330540">
      <w:pPr>
        <w:ind w:firstLine="6480" w:firstLineChars="27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p>
    <w:p w14:paraId="67E510F4">
      <w:pPr>
        <w:rPr>
          <w:color w:val="auto"/>
          <w:sz w:val="28"/>
          <w:szCs w:val="28"/>
          <w:highlight w:val="none"/>
        </w:rPr>
      </w:pPr>
      <w:bookmarkStart w:id="173" w:name="_Toc386207867"/>
      <w:bookmarkStart w:id="174" w:name="_Toc386209083"/>
      <w:bookmarkStart w:id="175" w:name="_Toc386208332"/>
      <w:bookmarkStart w:id="176" w:name="_Toc386207588"/>
      <w:bookmarkStart w:id="177" w:name="_Toc26311"/>
      <w:bookmarkStart w:id="178" w:name="_Toc24065"/>
      <w:bookmarkStart w:id="179" w:name="_Toc386207774"/>
      <w:bookmarkStart w:id="180" w:name="_Toc4216"/>
      <w:r>
        <w:rPr>
          <w:rFonts w:hint="eastAsia"/>
          <w:color w:val="auto"/>
          <w:sz w:val="28"/>
          <w:szCs w:val="28"/>
          <w:highlight w:val="none"/>
        </w:rPr>
        <w:br w:type="page"/>
      </w:r>
    </w:p>
    <w:p w14:paraId="1B74A673">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附件五：项目负责人在建项目承诺书</w:t>
      </w:r>
      <w:bookmarkEnd w:id="173"/>
      <w:bookmarkEnd w:id="174"/>
      <w:bookmarkEnd w:id="175"/>
      <w:bookmarkEnd w:id="176"/>
      <w:bookmarkEnd w:id="177"/>
      <w:bookmarkEnd w:id="178"/>
      <w:bookmarkEnd w:id="179"/>
      <w:bookmarkEnd w:id="180"/>
    </w:p>
    <w:p w14:paraId="6D7A7C09">
      <w:pPr>
        <w:spacing w:line="440" w:lineRule="exact"/>
        <w:rPr>
          <w:rFonts w:eastAsia="黑体"/>
          <w:color w:val="auto"/>
          <w:sz w:val="20"/>
          <w:highlight w:val="none"/>
        </w:rPr>
      </w:pPr>
    </w:p>
    <w:p w14:paraId="15E955C4">
      <w:pPr>
        <w:spacing w:line="440" w:lineRule="exact"/>
        <w:jc w:val="center"/>
        <w:rPr>
          <w:rFonts w:ascii="黑体" w:eastAsia="黑体"/>
          <w:b/>
          <w:color w:val="auto"/>
          <w:sz w:val="44"/>
          <w:highlight w:val="none"/>
        </w:rPr>
      </w:pPr>
      <w:r>
        <w:rPr>
          <w:rFonts w:hint="eastAsia" w:ascii="黑体" w:eastAsia="黑体"/>
          <w:b/>
          <w:color w:val="auto"/>
          <w:sz w:val="44"/>
          <w:szCs w:val="24"/>
          <w:highlight w:val="none"/>
        </w:rPr>
        <w:t>项目负责人在建项目承诺书</w:t>
      </w:r>
    </w:p>
    <w:p w14:paraId="1613865E">
      <w:pPr>
        <w:spacing w:line="440" w:lineRule="exact"/>
        <w:rPr>
          <w:rFonts w:ascii="宋体" w:hAnsi="宋体" w:eastAsia="宋体"/>
          <w:color w:val="auto"/>
          <w:sz w:val="24"/>
          <w:szCs w:val="24"/>
          <w:highlight w:val="none"/>
        </w:rPr>
      </w:pPr>
    </w:p>
    <w:p w14:paraId="307B5081">
      <w:pPr>
        <w:spacing w:line="440" w:lineRule="exact"/>
        <w:rPr>
          <w:rFonts w:ascii="宋体" w:hAnsi="宋体" w:eastAsia="宋体"/>
          <w:color w:val="auto"/>
          <w:sz w:val="24"/>
          <w:szCs w:val="24"/>
          <w:highlight w:val="none"/>
        </w:rPr>
      </w:pPr>
    </w:p>
    <w:p w14:paraId="25395182">
      <w:pPr>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我方在此郑重承诺：</w:t>
      </w:r>
    </w:p>
    <w:p w14:paraId="1F66C404">
      <w:pPr>
        <w:spacing w:line="360" w:lineRule="auto"/>
        <w:ind w:firstLine="560" w:firstLineChars="200"/>
        <w:jc w:val="left"/>
        <w:rPr>
          <w:rFonts w:ascii="宋体" w:hAnsi="宋体" w:eastAsia="宋体"/>
          <w:color w:val="auto"/>
          <w:sz w:val="28"/>
          <w:szCs w:val="28"/>
          <w:highlight w:val="none"/>
          <w:u w:val="single"/>
        </w:rPr>
      </w:pPr>
      <w:r>
        <w:rPr>
          <w:rFonts w:hint="eastAsia" w:ascii="宋体" w:hAnsi="宋体" w:eastAsia="宋体"/>
          <w:color w:val="auto"/>
          <w:sz w:val="28"/>
          <w:szCs w:val="28"/>
          <w:highlight w:val="none"/>
        </w:rPr>
        <w:t>我方参加</w:t>
      </w:r>
      <w:r>
        <w:rPr>
          <w:rFonts w:hint="eastAsia" w:ascii="宋体" w:hAnsi="宋体" w:eastAsia="宋体"/>
          <w:color w:val="auto"/>
          <w:sz w:val="28"/>
          <w:szCs w:val="28"/>
          <w:highlight w:val="none"/>
          <w:u w:val="single"/>
          <w:lang w:eastAsia="zh-CN"/>
        </w:rPr>
        <w:t>许墅村道路及附属项目</w:t>
      </w:r>
      <w:r>
        <w:rPr>
          <w:rFonts w:hint="eastAsia" w:ascii="宋体" w:hAnsi="宋体" w:eastAsia="宋体"/>
          <w:color w:val="auto"/>
          <w:sz w:val="28"/>
          <w:szCs w:val="28"/>
          <w:highlight w:val="none"/>
        </w:rPr>
        <w:t>（招标工程名称）的项目负责人在建项目情况符合招标文件第一章“投标须知”第一节“总则”第 4.3款规定。</w:t>
      </w:r>
    </w:p>
    <w:p w14:paraId="2129D21D">
      <w:pPr>
        <w:spacing w:line="360" w:lineRule="auto"/>
        <w:ind w:firstLine="560" w:firstLineChars="200"/>
        <w:rPr>
          <w:rFonts w:ascii="宋体" w:hAnsi="宋体" w:eastAsia="宋体"/>
          <w:color w:val="auto"/>
          <w:sz w:val="28"/>
          <w:szCs w:val="28"/>
          <w:highlight w:val="none"/>
        </w:rPr>
      </w:pPr>
      <w:r>
        <w:rPr>
          <w:rFonts w:hint="eastAsia" w:ascii="宋体" w:hAnsi="宋体" w:eastAsia="宋体"/>
          <w:color w:val="auto"/>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381863DC">
      <w:pPr>
        <w:spacing w:line="360" w:lineRule="auto"/>
        <w:ind w:firstLine="560" w:firstLineChars="200"/>
        <w:rPr>
          <w:rFonts w:ascii="宋体" w:hAnsi="宋体" w:eastAsia="宋体"/>
          <w:color w:val="auto"/>
          <w:sz w:val="28"/>
          <w:szCs w:val="28"/>
          <w:highlight w:val="none"/>
          <w:u w:val="single"/>
        </w:rPr>
      </w:pPr>
    </w:p>
    <w:p w14:paraId="6B4687F8">
      <w:pPr>
        <w:spacing w:line="440" w:lineRule="exact"/>
        <w:jc w:val="center"/>
        <w:rPr>
          <w:rFonts w:eastAsia="黑体"/>
          <w:color w:val="auto"/>
          <w:sz w:val="20"/>
          <w:highlight w:val="none"/>
        </w:rPr>
      </w:pPr>
    </w:p>
    <w:p w14:paraId="011BC31F">
      <w:pPr>
        <w:spacing w:line="440" w:lineRule="exact"/>
        <w:jc w:val="center"/>
        <w:rPr>
          <w:rFonts w:eastAsia="黑体"/>
          <w:color w:val="auto"/>
          <w:sz w:val="20"/>
          <w:highlight w:val="none"/>
        </w:rPr>
      </w:pPr>
    </w:p>
    <w:p w14:paraId="06281690">
      <w:pPr>
        <w:spacing w:line="440" w:lineRule="exact"/>
        <w:jc w:val="center"/>
        <w:rPr>
          <w:rFonts w:eastAsia="黑体"/>
          <w:color w:val="auto"/>
          <w:sz w:val="20"/>
          <w:highlight w:val="none"/>
        </w:rPr>
      </w:pPr>
    </w:p>
    <w:p w14:paraId="53989D71">
      <w:pPr>
        <w:spacing w:line="440" w:lineRule="exact"/>
        <w:jc w:val="center"/>
        <w:rPr>
          <w:rFonts w:eastAsia="黑体"/>
          <w:color w:val="auto"/>
          <w:sz w:val="20"/>
          <w:highlight w:val="none"/>
        </w:rPr>
      </w:pPr>
    </w:p>
    <w:p w14:paraId="0E4F4C1A">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法定代表人（签字或盖章）：  </w:t>
      </w:r>
    </w:p>
    <w:p w14:paraId="13651D3F">
      <w:pPr>
        <w:spacing w:line="440" w:lineRule="exact"/>
        <w:jc w:val="right"/>
        <w:rPr>
          <w:rFonts w:ascii="宋体" w:hAnsi="宋体" w:eastAsia="宋体"/>
          <w:color w:val="auto"/>
          <w:sz w:val="28"/>
          <w:szCs w:val="28"/>
          <w:highlight w:val="none"/>
        </w:rPr>
      </w:pPr>
    </w:p>
    <w:p w14:paraId="3DCB2A6F">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投 标 人（盖章）：</w:t>
      </w:r>
    </w:p>
    <w:p w14:paraId="56463810">
      <w:pPr>
        <w:spacing w:line="440" w:lineRule="exact"/>
        <w:ind w:right="560" w:firstLine="3920" w:firstLineChars="1400"/>
        <w:rPr>
          <w:rFonts w:ascii="宋体" w:hAnsi="宋体" w:eastAsia="宋体"/>
          <w:color w:val="auto"/>
          <w:sz w:val="28"/>
          <w:szCs w:val="28"/>
          <w:highlight w:val="none"/>
        </w:rPr>
      </w:pPr>
    </w:p>
    <w:p w14:paraId="039533D6">
      <w:pPr>
        <w:rPr>
          <w:rFonts w:eastAsia="宋体"/>
          <w:color w:val="auto"/>
          <w:sz w:val="21"/>
          <w:szCs w:val="24"/>
          <w:highlight w:val="none"/>
        </w:rPr>
      </w:pPr>
    </w:p>
    <w:p w14:paraId="3F32CF3D">
      <w:pPr>
        <w:jc w:val="right"/>
        <w:rPr>
          <w:color w:val="auto"/>
          <w:highlight w:val="none"/>
        </w:rPr>
      </w:pPr>
      <w:r>
        <w:rPr>
          <w:rFonts w:hint="eastAsia" w:ascii="宋体" w:hAnsi="宋体" w:eastAsia="宋体"/>
          <w:color w:val="auto"/>
          <w:sz w:val="28"/>
          <w:szCs w:val="28"/>
          <w:highlight w:val="none"/>
        </w:rPr>
        <w:t>日期：    年   月   日</w:t>
      </w:r>
    </w:p>
    <w:p w14:paraId="301746BD">
      <w:pPr>
        <w:pStyle w:val="3"/>
        <w:numPr>
          <w:ilvl w:val="0"/>
          <w:numId w:val="0"/>
        </w:numPr>
        <w:spacing w:before="0" w:afterLines="0" w:line="240" w:lineRule="auto"/>
        <w:jc w:val="both"/>
        <w:rPr>
          <w:b w:val="0"/>
          <w:color w:val="auto"/>
          <w:sz w:val="28"/>
          <w:szCs w:val="28"/>
          <w:highlight w:val="none"/>
        </w:rPr>
      </w:pPr>
      <w:bookmarkStart w:id="181" w:name="_Toc386122460"/>
      <w:bookmarkStart w:id="182" w:name="_Toc386121763"/>
      <w:bookmarkStart w:id="183" w:name="_Toc13566"/>
      <w:bookmarkStart w:id="184" w:name="_Toc25896"/>
    </w:p>
    <w:p w14:paraId="2756F018">
      <w:pPr>
        <w:rPr>
          <w:color w:val="auto"/>
          <w:sz w:val="28"/>
          <w:szCs w:val="28"/>
          <w:highlight w:val="none"/>
        </w:rPr>
      </w:pPr>
    </w:p>
    <w:p w14:paraId="4A0345E1">
      <w:pPr>
        <w:rPr>
          <w:color w:val="auto"/>
          <w:sz w:val="28"/>
          <w:szCs w:val="28"/>
          <w:highlight w:val="none"/>
        </w:rPr>
      </w:pPr>
    </w:p>
    <w:p w14:paraId="5CD2EA09">
      <w:pPr>
        <w:rPr>
          <w:color w:val="auto"/>
          <w:sz w:val="28"/>
          <w:szCs w:val="28"/>
          <w:highlight w:val="none"/>
        </w:rPr>
      </w:pPr>
      <w:r>
        <w:rPr>
          <w:rFonts w:hint="eastAsia"/>
          <w:color w:val="auto"/>
          <w:sz w:val="28"/>
          <w:szCs w:val="28"/>
          <w:highlight w:val="none"/>
        </w:rPr>
        <w:br w:type="page"/>
      </w:r>
    </w:p>
    <w:p w14:paraId="05615D2A">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附件六：</w:t>
      </w:r>
      <w:bookmarkEnd w:id="170"/>
      <w:bookmarkEnd w:id="171"/>
      <w:bookmarkEnd w:id="172"/>
      <w:bookmarkEnd w:id="181"/>
      <w:bookmarkEnd w:id="182"/>
      <w:r>
        <w:rPr>
          <w:rFonts w:hint="eastAsia"/>
          <w:b w:val="0"/>
          <w:color w:val="auto"/>
          <w:sz w:val="28"/>
          <w:szCs w:val="28"/>
          <w:highlight w:val="none"/>
        </w:rPr>
        <w:t>主要施工机械设备表</w:t>
      </w:r>
      <w:bookmarkEnd w:id="183"/>
      <w:bookmarkEnd w:id="184"/>
    </w:p>
    <w:p w14:paraId="3BEEB22A">
      <w:pPr>
        <w:rPr>
          <w:rFonts w:ascii="黑体" w:eastAsia="黑体"/>
          <w:color w:val="auto"/>
          <w:sz w:val="28"/>
          <w:szCs w:val="28"/>
          <w:highlight w:val="none"/>
        </w:rPr>
      </w:pPr>
    </w:p>
    <w:p w14:paraId="2267D627">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许墅村道路及附属项目</w:t>
      </w:r>
    </w:p>
    <w:p w14:paraId="1B511FCC">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8385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7BE72DCD">
            <w:pPr>
              <w:jc w:val="center"/>
              <w:rPr>
                <w:rFonts w:ascii="宋体" w:hAnsi="宋体" w:eastAsia="宋体"/>
                <w:color w:val="auto"/>
                <w:highlight w:val="none"/>
              </w:rPr>
            </w:pPr>
            <w:r>
              <w:rPr>
                <w:rFonts w:hint="eastAsia" w:ascii="宋体" w:hAnsi="宋体" w:eastAsia="宋体"/>
                <w:color w:val="auto"/>
                <w:highlight w:val="none"/>
              </w:rPr>
              <w:t>序号</w:t>
            </w:r>
          </w:p>
        </w:tc>
        <w:tc>
          <w:tcPr>
            <w:tcW w:w="1525" w:type="dxa"/>
            <w:vAlign w:val="center"/>
          </w:tcPr>
          <w:p w14:paraId="3D7E9DCD">
            <w:pPr>
              <w:jc w:val="center"/>
              <w:rPr>
                <w:rFonts w:ascii="宋体" w:hAnsi="宋体" w:eastAsia="宋体"/>
                <w:color w:val="auto"/>
                <w:highlight w:val="none"/>
              </w:rPr>
            </w:pPr>
            <w:r>
              <w:rPr>
                <w:rFonts w:hint="eastAsia" w:ascii="宋体" w:hAnsi="宋体" w:eastAsia="宋体"/>
                <w:color w:val="auto"/>
                <w:highlight w:val="none"/>
              </w:rPr>
              <w:t>设备名称</w:t>
            </w:r>
          </w:p>
        </w:tc>
        <w:tc>
          <w:tcPr>
            <w:tcW w:w="1635" w:type="dxa"/>
            <w:vAlign w:val="center"/>
          </w:tcPr>
          <w:p w14:paraId="1F4CCBD4">
            <w:pPr>
              <w:jc w:val="center"/>
              <w:rPr>
                <w:rFonts w:ascii="宋体" w:hAnsi="宋体" w:eastAsia="宋体"/>
                <w:color w:val="auto"/>
                <w:highlight w:val="none"/>
              </w:rPr>
            </w:pPr>
            <w:r>
              <w:rPr>
                <w:rFonts w:hint="eastAsia" w:ascii="宋体" w:hAnsi="宋体" w:eastAsia="宋体"/>
                <w:color w:val="auto"/>
                <w:highlight w:val="none"/>
              </w:rPr>
              <w:t>规格型号</w:t>
            </w:r>
          </w:p>
        </w:tc>
        <w:tc>
          <w:tcPr>
            <w:tcW w:w="859" w:type="dxa"/>
            <w:vAlign w:val="center"/>
          </w:tcPr>
          <w:p w14:paraId="1AE6A407">
            <w:pPr>
              <w:jc w:val="center"/>
              <w:rPr>
                <w:rFonts w:ascii="宋体" w:hAnsi="宋体" w:eastAsia="宋体"/>
                <w:color w:val="auto"/>
                <w:highlight w:val="none"/>
              </w:rPr>
            </w:pPr>
            <w:r>
              <w:rPr>
                <w:rFonts w:hint="eastAsia" w:ascii="宋体" w:hAnsi="宋体" w:eastAsia="宋体"/>
                <w:color w:val="auto"/>
                <w:highlight w:val="none"/>
              </w:rPr>
              <w:t>数量</w:t>
            </w:r>
          </w:p>
        </w:tc>
        <w:tc>
          <w:tcPr>
            <w:tcW w:w="1582" w:type="dxa"/>
            <w:vAlign w:val="center"/>
          </w:tcPr>
          <w:p w14:paraId="4FA67B17">
            <w:pPr>
              <w:jc w:val="center"/>
              <w:rPr>
                <w:rFonts w:ascii="宋体" w:hAnsi="宋体" w:eastAsia="宋体"/>
                <w:color w:val="auto"/>
                <w:highlight w:val="none"/>
              </w:rPr>
            </w:pPr>
            <w:r>
              <w:rPr>
                <w:rFonts w:hint="eastAsia" w:ascii="宋体" w:hAnsi="宋体" w:eastAsia="宋体"/>
                <w:color w:val="auto"/>
                <w:highlight w:val="none"/>
              </w:rPr>
              <w:t>设备能力</w:t>
            </w:r>
          </w:p>
        </w:tc>
        <w:tc>
          <w:tcPr>
            <w:tcW w:w="1582" w:type="dxa"/>
            <w:vAlign w:val="center"/>
          </w:tcPr>
          <w:p w14:paraId="410C08C0">
            <w:pPr>
              <w:jc w:val="center"/>
              <w:rPr>
                <w:rFonts w:ascii="宋体" w:hAnsi="宋体" w:eastAsia="宋体"/>
                <w:color w:val="auto"/>
                <w:highlight w:val="none"/>
              </w:rPr>
            </w:pPr>
            <w:r>
              <w:rPr>
                <w:rFonts w:hint="eastAsia" w:ascii="宋体" w:hAnsi="宋体" w:eastAsia="宋体"/>
                <w:color w:val="auto"/>
                <w:highlight w:val="none"/>
              </w:rPr>
              <w:t>进场时间</w:t>
            </w:r>
          </w:p>
        </w:tc>
        <w:tc>
          <w:tcPr>
            <w:tcW w:w="1437" w:type="dxa"/>
            <w:vAlign w:val="center"/>
          </w:tcPr>
          <w:p w14:paraId="70D4AAB6">
            <w:pPr>
              <w:jc w:val="center"/>
              <w:rPr>
                <w:rFonts w:ascii="宋体" w:hAnsi="宋体" w:eastAsia="宋体"/>
                <w:color w:val="auto"/>
                <w:highlight w:val="none"/>
              </w:rPr>
            </w:pPr>
            <w:r>
              <w:rPr>
                <w:rFonts w:hint="eastAsia" w:ascii="宋体" w:hAnsi="宋体" w:eastAsia="宋体"/>
                <w:color w:val="auto"/>
                <w:highlight w:val="none"/>
              </w:rPr>
              <w:t>备注</w:t>
            </w:r>
          </w:p>
        </w:tc>
      </w:tr>
      <w:tr w14:paraId="2DEA2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9593B12">
            <w:pPr>
              <w:rPr>
                <w:rFonts w:ascii="宋体" w:hAnsi="宋体" w:eastAsia="宋体"/>
                <w:color w:val="auto"/>
                <w:highlight w:val="none"/>
              </w:rPr>
            </w:pPr>
          </w:p>
        </w:tc>
        <w:tc>
          <w:tcPr>
            <w:tcW w:w="1525" w:type="dxa"/>
          </w:tcPr>
          <w:p w14:paraId="77607307">
            <w:pPr>
              <w:rPr>
                <w:rFonts w:ascii="宋体" w:hAnsi="宋体" w:eastAsia="宋体"/>
                <w:color w:val="auto"/>
                <w:highlight w:val="none"/>
              </w:rPr>
            </w:pPr>
          </w:p>
        </w:tc>
        <w:tc>
          <w:tcPr>
            <w:tcW w:w="1635" w:type="dxa"/>
          </w:tcPr>
          <w:p w14:paraId="37CD6BFA">
            <w:pPr>
              <w:rPr>
                <w:rFonts w:ascii="宋体" w:hAnsi="宋体" w:eastAsia="宋体"/>
                <w:color w:val="auto"/>
                <w:highlight w:val="none"/>
              </w:rPr>
            </w:pPr>
          </w:p>
        </w:tc>
        <w:tc>
          <w:tcPr>
            <w:tcW w:w="859" w:type="dxa"/>
          </w:tcPr>
          <w:p w14:paraId="4378DE1E">
            <w:pPr>
              <w:rPr>
                <w:rFonts w:ascii="宋体" w:hAnsi="宋体" w:eastAsia="宋体"/>
                <w:color w:val="auto"/>
                <w:highlight w:val="none"/>
              </w:rPr>
            </w:pPr>
          </w:p>
        </w:tc>
        <w:tc>
          <w:tcPr>
            <w:tcW w:w="1582" w:type="dxa"/>
          </w:tcPr>
          <w:p w14:paraId="43D4B6A9">
            <w:pPr>
              <w:rPr>
                <w:rFonts w:ascii="宋体" w:hAnsi="宋体" w:eastAsia="宋体"/>
                <w:color w:val="auto"/>
                <w:highlight w:val="none"/>
              </w:rPr>
            </w:pPr>
          </w:p>
        </w:tc>
        <w:tc>
          <w:tcPr>
            <w:tcW w:w="1582" w:type="dxa"/>
          </w:tcPr>
          <w:p w14:paraId="124A3DF9">
            <w:pPr>
              <w:rPr>
                <w:rFonts w:ascii="宋体" w:hAnsi="宋体" w:eastAsia="宋体"/>
                <w:color w:val="auto"/>
                <w:highlight w:val="none"/>
              </w:rPr>
            </w:pPr>
          </w:p>
        </w:tc>
        <w:tc>
          <w:tcPr>
            <w:tcW w:w="1437" w:type="dxa"/>
          </w:tcPr>
          <w:p w14:paraId="1D4AC8FB">
            <w:pPr>
              <w:rPr>
                <w:rFonts w:ascii="宋体" w:hAnsi="宋体" w:eastAsia="宋体"/>
                <w:color w:val="auto"/>
                <w:highlight w:val="none"/>
              </w:rPr>
            </w:pPr>
          </w:p>
        </w:tc>
      </w:tr>
      <w:tr w14:paraId="55C55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E8A97E3">
            <w:pPr>
              <w:rPr>
                <w:rFonts w:ascii="宋体" w:hAnsi="宋体" w:eastAsia="宋体"/>
                <w:color w:val="auto"/>
                <w:highlight w:val="none"/>
              </w:rPr>
            </w:pPr>
          </w:p>
        </w:tc>
        <w:tc>
          <w:tcPr>
            <w:tcW w:w="1525" w:type="dxa"/>
          </w:tcPr>
          <w:p w14:paraId="1661DB2F">
            <w:pPr>
              <w:rPr>
                <w:rFonts w:ascii="宋体" w:hAnsi="宋体" w:eastAsia="宋体"/>
                <w:color w:val="auto"/>
                <w:highlight w:val="none"/>
              </w:rPr>
            </w:pPr>
          </w:p>
        </w:tc>
        <w:tc>
          <w:tcPr>
            <w:tcW w:w="1635" w:type="dxa"/>
          </w:tcPr>
          <w:p w14:paraId="0BE74B93">
            <w:pPr>
              <w:rPr>
                <w:rFonts w:ascii="宋体" w:hAnsi="宋体" w:eastAsia="宋体"/>
                <w:color w:val="auto"/>
                <w:highlight w:val="none"/>
              </w:rPr>
            </w:pPr>
          </w:p>
        </w:tc>
        <w:tc>
          <w:tcPr>
            <w:tcW w:w="859" w:type="dxa"/>
          </w:tcPr>
          <w:p w14:paraId="40A03286">
            <w:pPr>
              <w:rPr>
                <w:rFonts w:ascii="宋体" w:hAnsi="宋体" w:eastAsia="宋体"/>
                <w:color w:val="auto"/>
                <w:highlight w:val="none"/>
              </w:rPr>
            </w:pPr>
          </w:p>
        </w:tc>
        <w:tc>
          <w:tcPr>
            <w:tcW w:w="1582" w:type="dxa"/>
          </w:tcPr>
          <w:p w14:paraId="74940F9E">
            <w:pPr>
              <w:rPr>
                <w:rFonts w:ascii="宋体" w:hAnsi="宋体" w:eastAsia="宋体"/>
                <w:color w:val="auto"/>
                <w:highlight w:val="none"/>
              </w:rPr>
            </w:pPr>
          </w:p>
        </w:tc>
        <w:tc>
          <w:tcPr>
            <w:tcW w:w="1582" w:type="dxa"/>
          </w:tcPr>
          <w:p w14:paraId="4AF35D8F">
            <w:pPr>
              <w:rPr>
                <w:rFonts w:ascii="宋体" w:hAnsi="宋体" w:eastAsia="宋体"/>
                <w:color w:val="auto"/>
                <w:highlight w:val="none"/>
              </w:rPr>
            </w:pPr>
          </w:p>
        </w:tc>
        <w:tc>
          <w:tcPr>
            <w:tcW w:w="1437" w:type="dxa"/>
          </w:tcPr>
          <w:p w14:paraId="3C2299B5">
            <w:pPr>
              <w:rPr>
                <w:rFonts w:ascii="宋体" w:hAnsi="宋体" w:eastAsia="宋体"/>
                <w:color w:val="auto"/>
                <w:highlight w:val="none"/>
              </w:rPr>
            </w:pPr>
          </w:p>
        </w:tc>
      </w:tr>
      <w:tr w14:paraId="034A5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1EC4687">
            <w:pPr>
              <w:rPr>
                <w:rFonts w:ascii="宋体" w:hAnsi="宋体" w:eastAsia="宋体"/>
                <w:color w:val="auto"/>
                <w:highlight w:val="none"/>
              </w:rPr>
            </w:pPr>
          </w:p>
        </w:tc>
        <w:tc>
          <w:tcPr>
            <w:tcW w:w="1525" w:type="dxa"/>
          </w:tcPr>
          <w:p w14:paraId="02C6B870">
            <w:pPr>
              <w:rPr>
                <w:rFonts w:ascii="宋体" w:hAnsi="宋体" w:eastAsia="宋体"/>
                <w:color w:val="auto"/>
                <w:highlight w:val="none"/>
              </w:rPr>
            </w:pPr>
          </w:p>
        </w:tc>
        <w:tc>
          <w:tcPr>
            <w:tcW w:w="1635" w:type="dxa"/>
          </w:tcPr>
          <w:p w14:paraId="1DAF49D6">
            <w:pPr>
              <w:rPr>
                <w:rFonts w:ascii="宋体" w:hAnsi="宋体" w:eastAsia="宋体"/>
                <w:color w:val="auto"/>
                <w:highlight w:val="none"/>
              </w:rPr>
            </w:pPr>
          </w:p>
        </w:tc>
        <w:tc>
          <w:tcPr>
            <w:tcW w:w="859" w:type="dxa"/>
          </w:tcPr>
          <w:p w14:paraId="016FE004">
            <w:pPr>
              <w:rPr>
                <w:rFonts w:ascii="宋体" w:hAnsi="宋体" w:eastAsia="宋体"/>
                <w:color w:val="auto"/>
                <w:highlight w:val="none"/>
              </w:rPr>
            </w:pPr>
          </w:p>
        </w:tc>
        <w:tc>
          <w:tcPr>
            <w:tcW w:w="1582" w:type="dxa"/>
          </w:tcPr>
          <w:p w14:paraId="0B906CC6">
            <w:pPr>
              <w:rPr>
                <w:rFonts w:ascii="宋体" w:hAnsi="宋体" w:eastAsia="宋体"/>
                <w:color w:val="auto"/>
                <w:highlight w:val="none"/>
              </w:rPr>
            </w:pPr>
          </w:p>
        </w:tc>
        <w:tc>
          <w:tcPr>
            <w:tcW w:w="1582" w:type="dxa"/>
          </w:tcPr>
          <w:p w14:paraId="090389E1">
            <w:pPr>
              <w:rPr>
                <w:rFonts w:ascii="宋体" w:hAnsi="宋体" w:eastAsia="宋体"/>
                <w:color w:val="auto"/>
                <w:highlight w:val="none"/>
              </w:rPr>
            </w:pPr>
          </w:p>
        </w:tc>
        <w:tc>
          <w:tcPr>
            <w:tcW w:w="1437" w:type="dxa"/>
          </w:tcPr>
          <w:p w14:paraId="35E54AAB">
            <w:pPr>
              <w:rPr>
                <w:rFonts w:ascii="宋体" w:hAnsi="宋体" w:eastAsia="宋体"/>
                <w:color w:val="auto"/>
                <w:highlight w:val="none"/>
              </w:rPr>
            </w:pPr>
          </w:p>
        </w:tc>
      </w:tr>
      <w:tr w14:paraId="62F6E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A996352">
            <w:pPr>
              <w:rPr>
                <w:rFonts w:ascii="宋体" w:hAnsi="宋体" w:eastAsia="宋体"/>
                <w:color w:val="auto"/>
                <w:highlight w:val="none"/>
              </w:rPr>
            </w:pPr>
          </w:p>
        </w:tc>
        <w:tc>
          <w:tcPr>
            <w:tcW w:w="1525" w:type="dxa"/>
          </w:tcPr>
          <w:p w14:paraId="06CFEAC3">
            <w:pPr>
              <w:rPr>
                <w:rFonts w:ascii="宋体" w:hAnsi="宋体" w:eastAsia="宋体"/>
                <w:color w:val="auto"/>
                <w:highlight w:val="none"/>
              </w:rPr>
            </w:pPr>
          </w:p>
        </w:tc>
        <w:tc>
          <w:tcPr>
            <w:tcW w:w="1635" w:type="dxa"/>
          </w:tcPr>
          <w:p w14:paraId="7C7AE193">
            <w:pPr>
              <w:rPr>
                <w:rFonts w:ascii="宋体" w:hAnsi="宋体" w:eastAsia="宋体"/>
                <w:color w:val="auto"/>
                <w:highlight w:val="none"/>
              </w:rPr>
            </w:pPr>
          </w:p>
        </w:tc>
        <w:tc>
          <w:tcPr>
            <w:tcW w:w="859" w:type="dxa"/>
          </w:tcPr>
          <w:p w14:paraId="6F9B3231">
            <w:pPr>
              <w:rPr>
                <w:rFonts w:ascii="宋体" w:hAnsi="宋体" w:eastAsia="宋体"/>
                <w:color w:val="auto"/>
                <w:highlight w:val="none"/>
              </w:rPr>
            </w:pPr>
          </w:p>
        </w:tc>
        <w:tc>
          <w:tcPr>
            <w:tcW w:w="1582" w:type="dxa"/>
          </w:tcPr>
          <w:p w14:paraId="10FC3A8E">
            <w:pPr>
              <w:rPr>
                <w:rFonts w:ascii="宋体" w:hAnsi="宋体" w:eastAsia="宋体"/>
                <w:color w:val="auto"/>
                <w:highlight w:val="none"/>
              </w:rPr>
            </w:pPr>
          </w:p>
        </w:tc>
        <w:tc>
          <w:tcPr>
            <w:tcW w:w="1582" w:type="dxa"/>
          </w:tcPr>
          <w:p w14:paraId="0B3BDFEE">
            <w:pPr>
              <w:rPr>
                <w:rFonts w:ascii="宋体" w:hAnsi="宋体" w:eastAsia="宋体"/>
                <w:color w:val="auto"/>
                <w:highlight w:val="none"/>
              </w:rPr>
            </w:pPr>
          </w:p>
        </w:tc>
        <w:tc>
          <w:tcPr>
            <w:tcW w:w="1437" w:type="dxa"/>
          </w:tcPr>
          <w:p w14:paraId="5946990A">
            <w:pPr>
              <w:rPr>
                <w:rFonts w:ascii="宋体" w:hAnsi="宋体" w:eastAsia="宋体"/>
                <w:color w:val="auto"/>
                <w:highlight w:val="none"/>
              </w:rPr>
            </w:pPr>
          </w:p>
        </w:tc>
      </w:tr>
      <w:tr w14:paraId="74783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23A23FE">
            <w:pPr>
              <w:rPr>
                <w:rFonts w:ascii="宋体" w:hAnsi="宋体" w:eastAsia="宋体"/>
                <w:color w:val="auto"/>
                <w:highlight w:val="none"/>
              </w:rPr>
            </w:pPr>
          </w:p>
        </w:tc>
        <w:tc>
          <w:tcPr>
            <w:tcW w:w="1525" w:type="dxa"/>
          </w:tcPr>
          <w:p w14:paraId="129371C7">
            <w:pPr>
              <w:rPr>
                <w:rFonts w:ascii="宋体" w:hAnsi="宋体" w:eastAsia="宋体"/>
                <w:color w:val="auto"/>
                <w:highlight w:val="none"/>
              </w:rPr>
            </w:pPr>
          </w:p>
        </w:tc>
        <w:tc>
          <w:tcPr>
            <w:tcW w:w="1635" w:type="dxa"/>
          </w:tcPr>
          <w:p w14:paraId="206E8730">
            <w:pPr>
              <w:rPr>
                <w:rFonts w:ascii="宋体" w:hAnsi="宋体" w:eastAsia="宋体"/>
                <w:color w:val="auto"/>
                <w:highlight w:val="none"/>
              </w:rPr>
            </w:pPr>
          </w:p>
        </w:tc>
        <w:tc>
          <w:tcPr>
            <w:tcW w:w="859" w:type="dxa"/>
          </w:tcPr>
          <w:p w14:paraId="477E9327">
            <w:pPr>
              <w:rPr>
                <w:rFonts w:ascii="宋体" w:hAnsi="宋体" w:eastAsia="宋体"/>
                <w:color w:val="auto"/>
                <w:highlight w:val="none"/>
              </w:rPr>
            </w:pPr>
          </w:p>
        </w:tc>
        <w:tc>
          <w:tcPr>
            <w:tcW w:w="1582" w:type="dxa"/>
          </w:tcPr>
          <w:p w14:paraId="47214C9A">
            <w:pPr>
              <w:rPr>
                <w:rFonts w:ascii="宋体" w:hAnsi="宋体" w:eastAsia="宋体"/>
                <w:color w:val="auto"/>
                <w:highlight w:val="none"/>
              </w:rPr>
            </w:pPr>
          </w:p>
        </w:tc>
        <w:tc>
          <w:tcPr>
            <w:tcW w:w="1582" w:type="dxa"/>
          </w:tcPr>
          <w:p w14:paraId="1081B137">
            <w:pPr>
              <w:rPr>
                <w:rFonts w:ascii="宋体" w:hAnsi="宋体" w:eastAsia="宋体"/>
                <w:color w:val="auto"/>
                <w:highlight w:val="none"/>
              </w:rPr>
            </w:pPr>
          </w:p>
        </w:tc>
        <w:tc>
          <w:tcPr>
            <w:tcW w:w="1437" w:type="dxa"/>
          </w:tcPr>
          <w:p w14:paraId="1D3A8B1D">
            <w:pPr>
              <w:rPr>
                <w:rFonts w:ascii="宋体" w:hAnsi="宋体" w:eastAsia="宋体"/>
                <w:color w:val="auto"/>
                <w:highlight w:val="none"/>
              </w:rPr>
            </w:pPr>
          </w:p>
        </w:tc>
      </w:tr>
      <w:tr w14:paraId="43C7E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AC9C89A">
            <w:pPr>
              <w:rPr>
                <w:rFonts w:ascii="宋体" w:hAnsi="宋体" w:eastAsia="宋体"/>
                <w:color w:val="auto"/>
                <w:highlight w:val="none"/>
              </w:rPr>
            </w:pPr>
          </w:p>
        </w:tc>
        <w:tc>
          <w:tcPr>
            <w:tcW w:w="1525" w:type="dxa"/>
          </w:tcPr>
          <w:p w14:paraId="3288D69B">
            <w:pPr>
              <w:rPr>
                <w:rFonts w:ascii="宋体" w:hAnsi="宋体" w:eastAsia="宋体"/>
                <w:color w:val="auto"/>
                <w:highlight w:val="none"/>
              </w:rPr>
            </w:pPr>
          </w:p>
        </w:tc>
        <w:tc>
          <w:tcPr>
            <w:tcW w:w="1635" w:type="dxa"/>
          </w:tcPr>
          <w:p w14:paraId="3CCBE43F">
            <w:pPr>
              <w:rPr>
                <w:rFonts w:ascii="宋体" w:hAnsi="宋体" w:eastAsia="宋体"/>
                <w:color w:val="auto"/>
                <w:highlight w:val="none"/>
              </w:rPr>
            </w:pPr>
          </w:p>
        </w:tc>
        <w:tc>
          <w:tcPr>
            <w:tcW w:w="859" w:type="dxa"/>
          </w:tcPr>
          <w:p w14:paraId="7EDB52B8">
            <w:pPr>
              <w:rPr>
                <w:rFonts w:ascii="宋体" w:hAnsi="宋体" w:eastAsia="宋体"/>
                <w:color w:val="auto"/>
                <w:highlight w:val="none"/>
              </w:rPr>
            </w:pPr>
          </w:p>
        </w:tc>
        <w:tc>
          <w:tcPr>
            <w:tcW w:w="1582" w:type="dxa"/>
          </w:tcPr>
          <w:p w14:paraId="3981B56D">
            <w:pPr>
              <w:rPr>
                <w:rFonts w:ascii="宋体" w:hAnsi="宋体" w:eastAsia="宋体"/>
                <w:color w:val="auto"/>
                <w:highlight w:val="none"/>
              </w:rPr>
            </w:pPr>
          </w:p>
        </w:tc>
        <w:tc>
          <w:tcPr>
            <w:tcW w:w="1582" w:type="dxa"/>
          </w:tcPr>
          <w:p w14:paraId="44AE9FF6">
            <w:pPr>
              <w:rPr>
                <w:rFonts w:ascii="宋体" w:hAnsi="宋体" w:eastAsia="宋体"/>
                <w:color w:val="auto"/>
                <w:highlight w:val="none"/>
              </w:rPr>
            </w:pPr>
          </w:p>
        </w:tc>
        <w:tc>
          <w:tcPr>
            <w:tcW w:w="1437" w:type="dxa"/>
          </w:tcPr>
          <w:p w14:paraId="11DDCEF7">
            <w:pPr>
              <w:rPr>
                <w:rFonts w:ascii="宋体" w:hAnsi="宋体" w:eastAsia="宋体"/>
                <w:color w:val="auto"/>
                <w:highlight w:val="none"/>
              </w:rPr>
            </w:pPr>
          </w:p>
        </w:tc>
      </w:tr>
      <w:tr w14:paraId="538FB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B327D7">
            <w:pPr>
              <w:rPr>
                <w:rFonts w:ascii="宋体" w:hAnsi="宋体" w:eastAsia="宋体"/>
                <w:color w:val="auto"/>
                <w:highlight w:val="none"/>
              </w:rPr>
            </w:pPr>
          </w:p>
        </w:tc>
        <w:tc>
          <w:tcPr>
            <w:tcW w:w="1525" w:type="dxa"/>
          </w:tcPr>
          <w:p w14:paraId="67139B5B">
            <w:pPr>
              <w:rPr>
                <w:rFonts w:ascii="宋体" w:hAnsi="宋体" w:eastAsia="宋体"/>
                <w:color w:val="auto"/>
                <w:highlight w:val="none"/>
              </w:rPr>
            </w:pPr>
          </w:p>
        </w:tc>
        <w:tc>
          <w:tcPr>
            <w:tcW w:w="1635" w:type="dxa"/>
          </w:tcPr>
          <w:p w14:paraId="6727CFC9">
            <w:pPr>
              <w:rPr>
                <w:rFonts w:ascii="宋体" w:hAnsi="宋体" w:eastAsia="宋体"/>
                <w:color w:val="auto"/>
                <w:highlight w:val="none"/>
              </w:rPr>
            </w:pPr>
          </w:p>
        </w:tc>
        <w:tc>
          <w:tcPr>
            <w:tcW w:w="859" w:type="dxa"/>
          </w:tcPr>
          <w:p w14:paraId="2A683C2C">
            <w:pPr>
              <w:rPr>
                <w:rFonts w:ascii="宋体" w:hAnsi="宋体" w:eastAsia="宋体"/>
                <w:color w:val="auto"/>
                <w:highlight w:val="none"/>
              </w:rPr>
            </w:pPr>
          </w:p>
        </w:tc>
        <w:tc>
          <w:tcPr>
            <w:tcW w:w="1582" w:type="dxa"/>
          </w:tcPr>
          <w:p w14:paraId="39DCB71A">
            <w:pPr>
              <w:rPr>
                <w:rFonts w:ascii="宋体" w:hAnsi="宋体" w:eastAsia="宋体"/>
                <w:color w:val="auto"/>
                <w:highlight w:val="none"/>
              </w:rPr>
            </w:pPr>
          </w:p>
        </w:tc>
        <w:tc>
          <w:tcPr>
            <w:tcW w:w="1582" w:type="dxa"/>
          </w:tcPr>
          <w:p w14:paraId="5A75D683">
            <w:pPr>
              <w:rPr>
                <w:rFonts w:ascii="宋体" w:hAnsi="宋体" w:eastAsia="宋体"/>
                <w:color w:val="auto"/>
                <w:highlight w:val="none"/>
              </w:rPr>
            </w:pPr>
          </w:p>
        </w:tc>
        <w:tc>
          <w:tcPr>
            <w:tcW w:w="1437" w:type="dxa"/>
          </w:tcPr>
          <w:p w14:paraId="0093789F">
            <w:pPr>
              <w:rPr>
                <w:rFonts w:ascii="宋体" w:hAnsi="宋体" w:eastAsia="宋体"/>
                <w:color w:val="auto"/>
                <w:highlight w:val="none"/>
              </w:rPr>
            </w:pPr>
          </w:p>
        </w:tc>
      </w:tr>
      <w:tr w14:paraId="06C7E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D976A16">
            <w:pPr>
              <w:rPr>
                <w:rFonts w:ascii="宋体" w:hAnsi="宋体" w:eastAsia="宋体"/>
                <w:color w:val="auto"/>
                <w:highlight w:val="none"/>
              </w:rPr>
            </w:pPr>
          </w:p>
        </w:tc>
        <w:tc>
          <w:tcPr>
            <w:tcW w:w="1525" w:type="dxa"/>
          </w:tcPr>
          <w:p w14:paraId="62E6201A">
            <w:pPr>
              <w:rPr>
                <w:rFonts w:ascii="宋体" w:hAnsi="宋体" w:eastAsia="宋体"/>
                <w:color w:val="auto"/>
                <w:highlight w:val="none"/>
              </w:rPr>
            </w:pPr>
          </w:p>
        </w:tc>
        <w:tc>
          <w:tcPr>
            <w:tcW w:w="1635" w:type="dxa"/>
          </w:tcPr>
          <w:p w14:paraId="09F3D3C8">
            <w:pPr>
              <w:rPr>
                <w:rFonts w:ascii="宋体" w:hAnsi="宋体" w:eastAsia="宋体"/>
                <w:color w:val="auto"/>
                <w:highlight w:val="none"/>
              </w:rPr>
            </w:pPr>
          </w:p>
        </w:tc>
        <w:tc>
          <w:tcPr>
            <w:tcW w:w="859" w:type="dxa"/>
          </w:tcPr>
          <w:p w14:paraId="13F05C91">
            <w:pPr>
              <w:rPr>
                <w:rFonts w:ascii="宋体" w:hAnsi="宋体" w:eastAsia="宋体"/>
                <w:color w:val="auto"/>
                <w:highlight w:val="none"/>
              </w:rPr>
            </w:pPr>
          </w:p>
        </w:tc>
        <w:tc>
          <w:tcPr>
            <w:tcW w:w="1582" w:type="dxa"/>
          </w:tcPr>
          <w:p w14:paraId="7F8E2F06">
            <w:pPr>
              <w:rPr>
                <w:rFonts w:ascii="宋体" w:hAnsi="宋体" w:eastAsia="宋体"/>
                <w:color w:val="auto"/>
                <w:highlight w:val="none"/>
              </w:rPr>
            </w:pPr>
          </w:p>
        </w:tc>
        <w:tc>
          <w:tcPr>
            <w:tcW w:w="1582" w:type="dxa"/>
          </w:tcPr>
          <w:p w14:paraId="0CB798F8">
            <w:pPr>
              <w:rPr>
                <w:rFonts w:ascii="宋体" w:hAnsi="宋体" w:eastAsia="宋体"/>
                <w:color w:val="auto"/>
                <w:highlight w:val="none"/>
              </w:rPr>
            </w:pPr>
          </w:p>
        </w:tc>
        <w:tc>
          <w:tcPr>
            <w:tcW w:w="1437" w:type="dxa"/>
          </w:tcPr>
          <w:p w14:paraId="01C46F88">
            <w:pPr>
              <w:rPr>
                <w:rFonts w:ascii="宋体" w:hAnsi="宋体" w:eastAsia="宋体"/>
                <w:color w:val="auto"/>
                <w:highlight w:val="none"/>
              </w:rPr>
            </w:pPr>
          </w:p>
        </w:tc>
      </w:tr>
      <w:tr w14:paraId="55464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CA08B4">
            <w:pPr>
              <w:rPr>
                <w:rFonts w:ascii="宋体" w:hAnsi="宋体" w:eastAsia="宋体"/>
                <w:color w:val="auto"/>
                <w:highlight w:val="none"/>
              </w:rPr>
            </w:pPr>
          </w:p>
        </w:tc>
        <w:tc>
          <w:tcPr>
            <w:tcW w:w="1525" w:type="dxa"/>
          </w:tcPr>
          <w:p w14:paraId="2D025AC6">
            <w:pPr>
              <w:rPr>
                <w:rFonts w:ascii="宋体" w:hAnsi="宋体" w:eastAsia="宋体"/>
                <w:color w:val="auto"/>
                <w:highlight w:val="none"/>
              </w:rPr>
            </w:pPr>
          </w:p>
        </w:tc>
        <w:tc>
          <w:tcPr>
            <w:tcW w:w="1635" w:type="dxa"/>
          </w:tcPr>
          <w:p w14:paraId="7EC1C0C8">
            <w:pPr>
              <w:rPr>
                <w:rFonts w:ascii="宋体" w:hAnsi="宋体" w:eastAsia="宋体"/>
                <w:color w:val="auto"/>
                <w:highlight w:val="none"/>
              </w:rPr>
            </w:pPr>
          </w:p>
        </w:tc>
        <w:tc>
          <w:tcPr>
            <w:tcW w:w="859" w:type="dxa"/>
          </w:tcPr>
          <w:p w14:paraId="36578639">
            <w:pPr>
              <w:rPr>
                <w:rFonts w:ascii="宋体" w:hAnsi="宋体" w:eastAsia="宋体"/>
                <w:color w:val="auto"/>
                <w:highlight w:val="none"/>
              </w:rPr>
            </w:pPr>
          </w:p>
        </w:tc>
        <w:tc>
          <w:tcPr>
            <w:tcW w:w="1582" w:type="dxa"/>
          </w:tcPr>
          <w:p w14:paraId="13C83EDA">
            <w:pPr>
              <w:rPr>
                <w:rFonts w:ascii="宋体" w:hAnsi="宋体" w:eastAsia="宋体"/>
                <w:color w:val="auto"/>
                <w:highlight w:val="none"/>
              </w:rPr>
            </w:pPr>
          </w:p>
        </w:tc>
        <w:tc>
          <w:tcPr>
            <w:tcW w:w="1582" w:type="dxa"/>
          </w:tcPr>
          <w:p w14:paraId="058D0114">
            <w:pPr>
              <w:rPr>
                <w:rFonts w:ascii="宋体" w:hAnsi="宋体" w:eastAsia="宋体"/>
                <w:color w:val="auto"/>
                <w:highlight w:val="none"/>
              </w:rPr>
            </w:pPr>
          </w:p>
        </w:tc>
        <w:tc>
          <w:tcPr>
            <w:tcW w:w="1437" w:type="dxa"/>
          </w:tcPr>
          <w:p w14:paraId="62A3D682">
            <w:pPr>
              <w:rPr>
                <w:rFonts w:ascii="宋体" w:hAnsi="宋体" w:eastAsia="宋体"/>
                <w:color w:val="auto"/>
                <w:highlight w:val="none"/>
              </w:rPr>
            </w:pPr>
          </w:p>
        </w:tc>
      </w:tr>
      <w:tr w14:paraId="7FB64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1AE7FC4">
            <w:pPr>
              <w:rPr>
                <w:rFonts w:ascii="宋体" w:hAnsi="宋体" w:eastAsia="宋体"/>
                <w:color w:val="auto"/>
                <w:highlight w:val="none"/>
              </w:rPr>
            </w:pPr>
          </w:p>
        </w:tc>
        <w:tc>
          <w:tcPr>
            <w:tcW w:w="1525" w:type="dxa"/>
          </w:tcPr>
          <w:p w14:paraId="4AA13D30">
            <w:pPr>
              <w:rPr>
                <w:rFonts w:ascii="宋体" w:hAnsi="宋体" w:eastAsia="宋体"/>
                <w:color w:val="auto"/>
                <w:highlight w:val="none"/>
              </w:rPr>
            </w:pPr>
          </w:p>
        </w:tc>
        <w:tc>
          <w:tcPr>
            <w:tcW w:w="1635" w:type="dxa"/>
          </w:tcPr>
          <w:p w14:paraId="49A49F14">
            <w:pPr>
              <w:rPr>
                <w:rFonts w:ascii="宋体" w:hAnsi="宋体" w:eastAsia="宋体"/>
                <w:color w:val="auto"/>
                <w:highlight w:val="none"/>
              </w:rPr>
            </w:pPr>
          </w:p>
        </w:tc>
        <w:tc>
          <w:tcPr>
            <w:tcW w:w="859" w:type="dxa"/>
          </w:tcPr>
          <w:p w14:paraId="36818E53">
            <w:pPr>
              <w:rPr>
                <w:rFonts w:ascii="宋体" w:hAnsi="宋体" w:eastAsia="宋体"/>
                <w:color w:val="auto"/>
                <w:highlight w:val="none"/>
              </w:rPr>
            </w:pPr>
          </w:p>
        </w:tc>
        <w:tc>
          <w:tcPr>
            <w:tcW w:w="1582" w:type="dxa"/>
          </w:tcPr>
          <w:p w14:paraId="6B5EE123">
            <w:pPr>
              <w:rPr>
                <w:rFonts w:ascii="宋体" w:hAnsi="宋体" w:eastAsia="宋体"/>
                <w:color w:val="auto"/>
                <w:highlight w:val="none"/>
              </w:rPr>
            </w:pPr>
          </w:p>
        </w:tc>
        <w:tc>
          <w:tcPr>
            <w:tcW w:w="1582" w:type="dxa"/>
          </w:tcPr>
          <w:p w14:paraId="02C725A3">
            <w:pPr>
              <w:rPr>
                <w:rFonts w:ascii="宋体" w:hAnsi="宋体" w:eastAsia="宋体"/>
                <w:color w:val="auto"/>
                <w:highlight w:val="none"/>
              </w:rPr>
            </w:pPr>
          </w:p>
        </w:tc>
        <w:tc>
          <w:tcPr>
            <w:tcW w:w="1437" w:type="dxa"/>
          </w:tcPr>
          <w:p w14:paraId="27D2E902">
            <w:pPr>
              <w:rPr>
                <w:rFonts w:ascii="宋体" w:hAnsi="宋体" w:eastAsia="宋体"/>
                <w:color w:val="auto"/>
                <w:highlight w:val="none"/>
              </w:rPr>
            </w:pPr>
          </w:p>
        </w:tc>
      </w:tr>
      <w:tr w14:paraId="73FFC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5" w:hRule="exact"/>
          <w:jc w:val="center"/>
        </w:trPr>
        <w:tc>
          <w:tcPr>
            <w:tcW w:w="970" w:type="dxa"/>
          </w:tcPr>
          <w:p w14:paraId="58D08089">
            <w:pPr>
              <w:rPr>
                <w:rFonts w:ascii="宋体" w:hAnsi="宋体" w:eastAsia="宋体"/>
                <w:color w:val="auto"/>
                <w:highlight w:val="none"/>
              </w:rPr>
            </w:pPr>
          </w:p>
        </w:tc>
        <w:tc>
          <w:tcPr>
            <w:tcW w:w="1525" w:type="dxa"/>
          </w:tcPr>
          <w:p w14:paraId="6440BD7E">
            <w:pPr>
              <w:rPr>
                <w:rFonts w:ascii="宋体" w:hAnsi="宋体" w:eastAsia="宋体"/>
                <w:color w:val="auto"/>
                <w:highlight w:val="none"/>
              </w:rPr>
            </w:pPr>
          </w:p>
        </w:tc>
        <w:tc>
          <w:tcPr>
            <w:tcW w:w="1635" w:type="dxa"/>
          </w:tcPr>
          <w:p w14:paraId="14B45D4D">
            <w:pPr>
              <w:rPr>
                <w:rFonts w:ascii="宋体" w:hAnsi="宋体" w:eastAsia="宋体"/>
                <w:color w:val="auto"/>
                <w:highlight w:val="none"/>
              </w:rPr>
            </w:pPr>
          </w:p>
        </w:tc>
        <w:tc>
          <w:tcPr>
            <w:tcW w:w="859" w:type="dxa"/>
          </w:tcPr>
          <w:p w14:paraId="33ACC8F7">
            <w:pPr>
              <w:rPr>
                <w:rFonts w:ascii="宋体" w:hAnsi="宋体" w:eastAsia="宋体"/>
                <w:color w:val="auto"/>
                <w:highlight w:val="none"/>
              </w:rPr>
            </w:pPr>
          </w:p>
        </w:tc>
        <w:tc>
          <w:tcPr>
            <w:tcW w:w="1582" w:type="dxa"/>
          </w:tcPr>
          <w:p w14:paraId="3ED6BCBA">
            <w:pPr>
              <w:rPr>
                <w:rFonts w:ascii="宋体" w:hAnsi="宋体" w:eastAsia="宋体"/>
                <w:color w:val="auto"/>
                <w:highlight w:val="none"/>
              </w:rPr>
            </w:pPr>
          </w:p>
        </w:tc>
        <w:tc>
          <w:tcPr>
            <w:tcW w:w="1582" w:type="dxa"/>
          </w:tcPr>
          <w:p w14:paraId="4F2584BE">
            <w:pPr>
              <w:rPr>
                <w:rFonts w:ascii="宋体" w:hAnsi="宋体" w:eastAsia="宋体"/>
                <w:color w:val="auto"/>
                <w:highlight w:val="none"/>
              </w:rPr>
            </w:pPr>
          </w:p>
        </w:tc>
        <w:tc>
          <w:tcPr>
            <w:tcW w:w="1437" w:type="dxa"/>
          </w:tcPr>
          <w:p w14:paraId="62DB8729">
            <w:pPr>
              <w:rPr>
                <w:rFonts w:ascii="宋体" w:hAnsi="宋体" w:eastAsia="宋体"/>
                <w:color w:val="auto"/>
                <w:highlight w:val="none"/>
              </w:rPr>
            </w:pPr>
          </w:p>
        </w:tc>
      </w:tr>
      <w:tr w14:paraId="332CF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C47871">
            <w:pPr>
              <w:rPr>
                <w:rFonts w:ascii="宋体" w:hAnsi="宋体" w:eastAsia="宋体"/>
                <w:color w:val="auto"/>
                <w:highlight w:val="none"/>
              </w:rPr>
            </w:pPr>
          </w:p>
        </w:tc>
        <w:tc>
          <w:tcPr>
            <w:tcW w:w="1525" w:type="dxa"/>
          </w:tcPr>
          <w:p w14:paraId="39336774">
            <w:pPr>
              <w:rPr>
                <w:rFonts w:ascii="宋体" w:hAnsi="宋体" w:eastAsia="宋体"/>
                <w:color w:val="auto"/>
                <w:highlight w:val="none"/>
              </w:rPr>
            </w:pPr>
          </w:p>
        </w:tc>
        <w:tc>
          <w:tcPr>
            <w:tcW w:w="1635" w:type="dxa"/>
          </w:tcPr>
          <w:p w14:paraId="7B55710B">
            <w:pPr>
              <w:rPr>
                <w:rFonts w:ascii="宋体" w:hAnsi="宋体" w:eastAsia="宋体"/>
                <w:color w:val="auto"/>
                <w:highlight w:val="none"/>
              </w:rPr>
            </w:pPr>
          </w:p>
        </w:tc>
        <w:tc>
          <w:tcPr>
            <w:tcW w:w="859" w:type="dxa"/>
          </w:tcPr>
          <w:p w14:paraId="36D3E9EE">
            <w:pPr>
              <w:rPr>
                <w:rFonts w:ascii="宋体" w:hAnsi="宋体" w:eastAsia="宋体"/>
                <w:color w:val="auto"/>
                <w:highlight w:val="none"/>
              </w:rPr>
            </w:pPr>
          </w:p>
        </w:tc>
        <w:tc>
          <w:tcPr>
            <w:tcW w:w="1582" w:type="dxa"/>
          </w:tcPr>
          <w:p w14:paraId="05DBDD11">
            <w:pPr>
              <w:rPr>
                <w:rFonts w:ascii="宋体" w:hAnsi="宋体" w:eastAsia="宋体"/>
                <w:color w:val="auto"/>
                <w:highlight w:val="none"/>
              </w:rPr>
            </w:pPr>
          </w:p>
        </w:tc>
        <w:tc>
          <w:tcPr>
            <w:tcW w:w="1582" w:type="dxa"/>
          </w:tcPr>
          <w:p w14:paraId="7914E786">
            <w:pPr>
              <w:rPr>
                <w:rFonts w:ascii="宋体" w:hAnsi="宋体" w:eastAsia="宋体"/>
                <w:color w:val="auto"/>
                <w:highlight w:val="none"/>
              </w:rPr>
            </w:pPr>
          </w:p>
        </w:tc>
        <w:tc>
          <w:tcPr>
            <w:tcW w:w="1437" w:type="dxa"/>
          </w:tcPr>
          <w:p w14:paraId="30C4ED13">
            <w:pPr>
              <w:rPr>
                <w:rFonts w:ascii="宋体" w:hAnsi="宋体" w:eastAsia="宋体"/>
                <w:color w:val="auto"/>
                <w:highlight w:val="none"/>
              </w:rPr>
            </w:pPr>
          </w:p>
        </w:tc>
      </w:tr>
      <w:tr w14:paraId="46B4D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C547981">
            <w:pPr>
              <w:rPr>
                <w:rFonts w:ascii="宋体" w:hAnsi="宋体" w:eastAsia="宋体"/>
                <w:color w:val="auto"/>
                <w:highlight w:val="none"/>
              </w:rPr>
            </w:pPr>
          </w:p>
        </w:tc>
        <w:tc>
          <w:tcPr>
            <w:tcW w:w="1525" w:type="dxa"/>
          </w:tcPr>
          <w:p w14:paraId="455F864E">
            <w:pPr>
              <w:rPr>
                <w:rFonts w:ascii="宋体" w:hAnsi="宋体" w:eastAsia="宋体"/>
                <w:color w:val="auto"/>
                <w:highlight w:val="none"/>
              </w:rPr>
            </w:pPr>
          </w:p>
        </w:tc>
        <w:tc>
          <w:tcPr>
            <w:tcW w:w="1635" w:type="dxa"/>
          </w:tcPr>
          <w:p w14:paraId="732941B2">
            <w:pPr>
              <w:rPr>
                <w:rFonts w:ascii="宋体" w:hAnsi="宋体" w:eastAsia="宋体"/>
                <w:color w:val="auto"/>
                <w:highlight w:val="none"/>
              </w:rPr>
            </w:pPr>
          </w:p>
        </w:tc>
        <w:tc>
          <w:tcPr>
            <w:tcW w:w="859" w:type="dxa"/>
          </w:tcPr>
          <w:p w14:paraId="5761784D">
            <w:pPr>
              <w:rPr>
                <w:rFonts w:ascii="宋体" w:hAnsi="宋体" w:eastAsia="宋体"/>
                <w:color w:val="auto"/>
                <w:highlight w:val="none"/>
              </w:rPr>
            </w:pPr>
          </w:p>
        </w:tc>
        <w:tc>
          <w:tcPr>
            <w:tcW w:w="1582" w:type="dxa"/>
          </w:tcPr>
          <w:p w14:paraId="2EEF3F5B">
            <w:pPr>
              <w:rPr>
                <w:rFonts w:ascii="宋体" w:hAnsi="宋体" w:eastAsia="宋体"/>
                <w:color w:val="auto"/>
                <w:highlight w:val="none"/>
              </w:rPr>
            </w:pPr>
          </w:p>
        </w:tc>
        <w:tc>
          <w:tcPr>
            <w:tcW w:w="1582" w:type="dxa"/>
          </w:tcPr>
          <w:p w14:paraId="6C9D6FD8">
            <w:pPr>
              <w:rPr>
                <w:rFonts w:ascii="宋体" w:hAnsi="宋体" w:eastAsia="宋体"/>
                <w:color w:val="auto"/>
                <w:highlight w:val="none"/>
              </w:rPr>
            </w:pPr>
          </w:p>
        </w:tc>
        <w:tc>
          <w:tcPr>
            <w:tcW w:w="1437" w:type="dxa"/>
          </w:tcPr>
          <w:p w14:paraId="01292E28">
            <w:pPr>
              <w:rPr>
                <w:rFonts w:ascii="宋体" w:hAnsi="宋体" w:eastAsia="宋体"/>
                <w:color w:val="auto"/>
                <w:highlight w:val="none"/>
              </w:rPr>
            </w:pPr>
          </w:p>
        </w:tc>
      </w:tr>
      <w:tr w14:paraId="3C583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EBCA05E">
            <w:pPr>
              <w:rPr>
                <w:rFonts w:ascii="宋体" w:hAnsi="宋体" w:eastAsia="宋体"/>
                <w:color w:val="auto"/>
                <w:highlight w:val="none"/>
              </w:rPr>
            </w:pPr>
          </w:p>
        </w:tc>
        <w:tc>
          <w:tcPr>
            <w:tcW w:w="1525" w:type="dxa"/>
          </w:tcPr>
          <w:p w14:paraId="29C06251">
            <w:pPr>
              <w:rPr>
                <w:rFonts w:ascii="宋体" w:hAnsi="宋体" w:eastAsia="宋体"/>
                <w:color w:val="auto"/>
                <w:highlight w:val="none"/>
              </w:rPr>
            </w:pPr>
          </w:p>
        </w:tc>
        <w:tc>
          <w:tcPr>
            <w:tcW w:w="1635" w:type="dxa"/>
          </w:tcPr>
          <w:p w14:paraId="23CEFC38">
            <w:pPr>
              <w:rPr>
                <w:rFonts w:ascii="宋体" w:hAnsi="宋体" w:eastAsia="宋体"/>
                <w:color w:val="auto"/>
                <w:highlight w:val="none"/>
              </w:rPr>
            </w:pPr>
          </w:p>
        </w:tc>
        <w:tc>
          <w:tcPr>
            <w:tcW w:w="859" w:type="dxa"/>
          </w:tcPr>
          <w:p w14:paraId="6E62B8F1">
            <w:pPr>
              <w:rPr>
                <w:rFonts w:ascii="宋体" w:hAnsi="宋体" w:eastAsia="宋体"/>
                <w:color w:val="auto"/>
                <w:highlight w:val="none"/>
              </w:rPr>
            </w:pPr>
          </w:p>
        </w:tc>
        <w:tc>
          <w:tcPr>
            <w:tcW w:w="1582" w:type="dxa"/>
          </w:tcPr>
          <w:p w14:paraId="7CB45DF1">
            <w:pPr>
              <w:rPr>
                <w:rFonts w:ascii="宋体" w:hAnsi="宋体" w:eastAsia="宋体"/>
                <w:color w:val="auto"/>
                <w:highlight w:val="none"/>
              </w:rPr>
            </w:pPr>
          </w:p>
        </w:tc>
        <w:tc>
          <w:tcPr>
            <w:tcW w:w="1582" w:type="dxa"/>
          </w:tcPr>
          <w:p w14:paraId="751B3FD3">
            <w:pPr>
              <w:rPr>
                <w:rFonts w:ascii="宋体" w:hAnsi="宋体" w:eastAsia="宋体"/>
                <w:color w:val="auto"/>
                <w:highlight w:val="none"/>
              </w:rPr>
            </w:pPr>
          </w:p>
        </w:tc>
        <w:tc>
          <w:tcPr>
            <w:tcW w:w="1437" w:type="dxa"/>
          </w:tcPr>
          <w:p w14:paraId="3C8DFE7C">
            <w:pPr>
              <w:rPr>
                <w:rFonts w:ascii="宋体" w:hAnsi="宋体" w:eastAsia="宋体"/>
                <w:color w:val="auto"/>
                <w:highlight w:val="none"/>
              </w:rPr>
            </w:pPr>
          </w:p>
        </w:tc>
      </w:tr>
      <w:tr w14:paraId="5CD04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EC7A592">
            <w:pPr>
              <w:rPr>
                <w:rFonts w:ascii="宋体" w:hAnsi="宋体" w:eastAsia="宋体"/>
                <w:color w:val="auto"/>
                <w:highlight w:val="none"/>
              </w:rPr>
            </w:pPr>
          </w:p>
        </w:tc>
        <w:tc>
          <w:tcPr>
            <w:tcW w:w="1525" w:type="dxa"/>
          </w:tcPr>
          <w:p w14:paraId="276A6D0C">
            <w:pPr>
              <w:rPr>
                <w:rFonts w:ascii="宋体" w:hAnsi="宋体" w:eastAsia="宋体"/>
                <w:color w:val="auto"/>
                <w:highlight w:val="none"/>
              </w:rPr>
            </w:pPr>
          </w:p>
        </w:tc>
        <w:tc>
          <w:tcPr>
            <w:tcW w:w="1635" w:type="dxa"/>
          </w:tcPr>
          <w:p w14:paraId="05910198">
            <w:pPr>
              <w:rPr>
                <w:rFonts w:ascii="宋体" w:hAnsi="宋体" w:eastAsia="宋体"/>
                <w:color w:val="auto"/>
                <w:highlight w:val="none"/>
              </w:rPr>
            </w:pPr>
          </w:p>
        </w:tc>
        <w:tc>
          <w:tcPr>
            <w:tcW w:w="859" w:type="dxa"/>
          </w:tcPr>
          <w:p w14:paraId="473D1EE9">
            <w:pPr>
              <w:rPr>
                <w:rFonts w:ascii="宋体" w:hAnsi="宋体" w:eastAsia="宋体"/>
                <w:color w:val="auto"/>
                <w:highlight w:val="none"/>
              </w:rPr>
            </w:pPr>
          </w:p>
        </w:tc>
        <w:tc>
          <w:tcPr>
            <w:tcW w:w="1582" w:type="dxa"/>
          </w:tcPr>
          <w:p w14:paraId="49CB480B">
            <w:pPr>
              <w:rPr>
                <w:rFonts w:ascii="宋体" w:hAnsi="宋体" w:eastAsia="宋体"/>
                <w:color w:val="auto"/>
                <w:highlight w:val="none"/>
              </w:rPr>
            </w:pPr>
          </w:p>
        </w:tc>
        <w:tc>
          <w:tcPr>
            <w:tcW w:w="1582" w:type="dxa"/>
          </w:tcPr>
          <w:p w14:paraId="2D64329D">
            <w:pPr>
              <w:rPr>
                <w:rFonts w:ascii="宋体" w:hAnsi="宋体" w:eastAsia="宋体"/>
                <w:color w:val="auto"/>
                <w:highlight w:val="none"/>
              </w:rPr>
            </w:pPr>
          </w:p>
        </w:tc>
        <w:tc>
          <w:tcPr>
            <w:tcW w:w="1437" w:type="dxa"/>
          </w:tcPr>
          <w:p w14:paraId="709EE74D">
            <w:pPr>
              <w:rPr>
                <w:rFonts w:ascii="宋体" w:hAnsi="宋体" w:eastAsia="宋体"/>
                <w:color w:val="auto"/>
                <w:highlight w:val="none"/>
              </w:rPr>
            </w:pPr>
          </w:p>
        </w:tc>
      </w:tr>
      <w:tr w14:paraId="70A63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8023485">
            <w:pPr>
              <w:rPr>
                <w:rFonts w:ascii="宋体" w:hAnsi="宋体" w:eastAsia="宋体"/>
                <w:color w:val="auto"/>
                <w:highlight w:val="none"/>
              </w:rPr>
            </w:pPr>
          </w:p>
        </w:tc>
        <w:tc>
          <w:tcPr>
            <w:tcW w:w="1525" w:type="dxa"/>
          </w:tcPr>
          <w:p w14:paraId="64F9A43F">
            <w:pPr>
              <w:rPr>
                <w:rFonts w:ascii="宋体" w:hAnsi="宋体" w:eastAsia="宋体"/>
                <w:color w:val="auto"/>
                <w:highlight w:val="none"/>
              </w:rPr>
            </w:pPr>
          </w:p>
        </w:tc>
        <w:tc>
          <w:tcPr>
            <w:tcW w:w="1635" w:type="dxa"/>
          </w:tcPr>
          <w:p w14:paraId="3AC4F6BD">
            <w:pPr>
              <w:rPr>
                <w:rFonts w:ascii="宋体" w:hAnsi="宋体" w:eastAsia="宋体"/>
                <w:color w:val="auto"/>
                <w:highlight w:val="none"/>
              </w:rPr>
            </w:pPr>
          </w:p>
        </w:tc>
        <w:tc>
          <w:tcPr>
            <w:tcW w:w="859" w:type="dxa"/>
          </w:tcPr>
          <w:p w14:paraId="7651C7F3">
            <w:pPr>
              <w:rPr>
                <w:rFonts w:ascii="宋体" w:hAnsi="宋体" w:eastAsia="宋体"/>
                <w:color w:val="auto"/>
                <w:highlight w:val="none"/>
              </w:rPr>
            </w:pPr>
          </w:p>
        </w:tc>
        <w:tc>
          <w:tcPr>
            <w:tcW w:w="1582" w:type="dxa"/>
          </w:tcPr>
          <w:p w14:paraId="44113A81">
            <w:pPr>
              <w:rPr>
                <w:rFonts w:ascii="宋体" w:hAnsi="宋体" w:eastAsia="宋体"/>
                <w:color w:val="auto"/>
                <w:highlight w:val="none"/>
              </w:rPr>
            </w:pPr>
          </w:p>
        </w:tc>
        <w:tc>
          <w:tcPr>
            <w:tcW w:w="1582" w:type="dxa"/>
          </w:tcPr>
          <w:p w14:paraId="2EBCE9BC">
            <w:pPr>
              <w:rPr>
                <w:rFonts w:ascii="宋体" w:hAnsi="宋体" w:eastAsia="宋体"/>
                <w:color w:val="auto"/>
                <w:highlight w:val="none"/>
              </w:rPr>
            </w:pPr>
          </w:p>
        </w:tc>
        <w:tc>
          <w:tcPr>
            <w:tcW w:w="1437" w:type="dxa"/>
          </w:tcPr>
          <w:p w14:paraId="2F63A51C">
            <w:pPr>
              <w:rPr>
                <w:rFonts w:ascii="宋体" w:hAnsi="宋体" w:eastAsia="宋体"/>
                <w:color w:val="auto"/>
                <w:highlight w:val="none"/>
              </w:rPr>
            </w:pPr>
          </w:p>
        </w:tc>
      </w:tr>
    </w:tbl>
    <w:p w14:paraId="07BC8856">
      <w:pPr>
        <w:rPr>
          <w:rFonts w:ascii="宋体" w:hAnsi="宋体" w:eastAsia="宋体"/>
          <w:color w:val="auto"/>
          <w:sz w:val="28"/>
          <w:highlight w:val="none"/>
        </w:rPr>
      </w:pPr>
    </w:p>
    <w:p w14:paraId="12E12992">
      <w:pPr>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                             投标人（盖章）：</w:t>
      </w:r>
    </w:p>
    <w:p w14:paraId="5535F762">
      <w:pPr>
        <w:jc w:val="right"/>
        <w:rPr>
          <w:rFonts w:ascii="宋体" w:hAnsi="宋体" w:eastAsia="宋体"/>
          <w:color w:val="auto"/>
          <w:sz w:val="24"/>
          <w:szCs w:val="24"/>
          <w:highlight w:val="none"/>
        </w:rPr>
      </w:pPr>
    </w:p>
    <w:p w14:paraId="0AD960EB">
      <w:pPr>
        <w:ind w:firstLine="6480" w:firstLineChars="2700"/>
        <w:rPr>
          <w:rFonts w:ascii="宋体" w:hAnsi="宋体" w:eastAsia="宋体"/>
          <w:color w:val="auto"/>
          <w:sz w:val="24"/>
          <w:szCs w:val="24"/>
          <w:highlight w:val="none"/>
        </w:rPr>
      </w:pPr>
    </w:p>
    <w:p w14:paraId="37FB6D36">
      <w:pPr>
        <w:ind w:firstLine="6480" w:firstLineChars="2700"/>
        <w:rPr>
          <w:b/>
          <w:color w:val="auto"/>
          <w:sz w:val="28"/>
          <w:szCs w:val="28"/>
          <w:highlight w:val="none"/>
        </w:rPr>
      </w:pPr>
      <w:r>
        <w:rPr>
          <w:rFonts w:hint="eastAsia" w:ascii="宋体" w:hAnsi="宋体" w:eastAsia="宋体"/>
          <w:color w:val="auto"/>
          <w:sz w:val="24"/>
          <w:szCs w:val="24"/>
          <w:highlight w:val="none"/>
        </w:rPr>
        <w:t>日期：   年   月   日</w:t>
      </w:r>
      <w:bookmarkStart w:id="185" w:name="_Toc169487834"/>
      <w:bookmarkStart w:id="186" w:name="_Toc386122461"/>
      <w:bookmarkStart w:id="187" w:name="_Toc386121764"/>
      <w:bookmarkStart w:id="188" w:name="_Toc155342588"/>
      <w:bookmarkStart w:id="189" w:name="_Toc28874"/>
      <w:bookmarkStart w:id="190" w:name="_Toc20350"/>
      <w:bookmarkStart w:id="191" w:name="_Toc76292000"/>
      <w:bookmarkStart w:id="192" w:name="_Toc155342587"/>
      <w:bookmarkStart w:id="193" w:name="_Toc136335625"/>
      <w:bookmarkStart w:id="194" w:name="_Toc118710617"/>
      <w:bookmarkStart w:id="195" w:name="_Toc106553081"/>
      <w:bookmarkStart w:id="196" w:name="_Toc147380660"/>
      <w:bookmarkStart w:id="197" w:name="_Toc118275606"/>
    </w:p>
    <w:p w14:paraId="194E2ACB">
      <w:pPr>
        <w:pStyle w:val="3"/>
        <w:numPr>
          <w:ilvl w:val="0"/>
          <w:numId w:val="0"/>
        </w:numPr>
        <w:spacing w:before="0" w:afterLines="0" w:line="240" w:lineRule="auto"/>
        <w:jc w:val="both"/>
        <w:rPr>
          <w:b w:val="0"/>
          <w:color w:val="auto"/>
          <w:sz w:val="28"/>
          <w:szCs w:val="28"/>
          <w:highlight w:val="none"/>
        </w:rPr>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0D788DFB">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附件七：</w:t>
      </w:r>
      <w:bookmarkEnd w:id="185"/>
      <w:bookmarkEnd w:id="186"/>
      <w:bookmarkEnd w:id="187"/>
      <w:bookmarkEnd w:id="188"/>
      <w:r>
        <w:rPr>
          <w:rFonts w:hint="eastAsia"/>
          <w:b w:val="0"/>
          <w:color w:val="auto"/>
          <w:sz w:val="28"/>
          <w:szCs w:val="28"/>
          <w:highlight w:val="none"/>
        </w:rPr>
        <w:t>临海市建设工程诚信投标承诺书</w:t>
      </w:r>
      <w:bookmarkEnd w:id="189"/>
      <w:bookmarkEnd w:id="190"/>
    </w:p>
    <w:p w14:paraId="25B0CC22">
      <w:pPr>
        <w:rPr>
          <w:rFonts w:ascii="黑体" w:eastAsia="黑体"/>
          <w:color w:val="auto"/>
          <w:sz w:val="28"/>
          <w:szCs w:val="28"/>
          <w:highlight w:val="none"/>
        </w:rPr>
      </w:pPr>
    </w:p>
    <w:p w14:paraId="6AF7591F">
      <w:pPr>
        <w:spacing w:line="360" w:lineRule="auto"/>
        <w:jc w:val="center"/>
        <w:rPr>
          <w:rFonts w:ascii="小标宋" w:eastAsia="宋体"/>
          <w:bCs/>
          <w:color w:val="auto"/>
          <w:sz w:val="44"/>
          <w:highlight w:val="none"/>
        </w:rPr>
      </w:pPr>
      <w:r>
        <w:rPr>
          <w:rFonts w:hint="eastAsia" w:ascii="黑体" w:hAnsi="宋体" w:eastAsia="黑体"/>
          <w:b/>
          <w:color w:val="auto"/>
          <w:sz w:val="44"/>
          <w:highlight w:val="none"/>
        </w:rPr>
        <w:t>临海市建设工程诚信投标承诺书</w:t>
      </w:r>
    </w:p>
    <w:p w14:paraId="4458E89D">
      <w:pPr>
        <w:adjustRightInd w:val="0"/>
        <w:snapToGrid w:val="0"/>
        <w:spacing w:line="360" w:lineRule="auto"/>
        <w:rPr>
          <w:rFonts w:eastAsia="宋体"/>
          <w:color w:val="auto"/>
          <w:sz w:val="24"/>
          <w:highlight w:val="none"/>
        </w:rPr>
      </w:pPr>
    </w:p>
    <w:p w14:paraId="64EA4277">
      <w:pPr>
        <w:adjustRightInd w:val="0"/>
        <w:snapToGrid w:val="0"/>
        <w:spacing w:line="360" w:lineRule="auto"/>
        <w:rPr>
          <w:rFonts w:eastAsia="宋体"/>
          <w:color w:val="auto"/>
          <w:sz w:val="28"/>
          <w:szCs w:val="28"/>
          <w:highlight w:val="none"/>
        </w:rPr>
      </w:pPr>
      <w:r>
        <w:rPr>
          <w:rFonts w:hint="eastAsia" w:eastAsia="宋体"/>
          <w:color w:val="auto"/>
          <w:sz w:val="28"/>
          <w:szCs w:val="28"/>
          <w:highlight w:val="none"/>
        </w:rPr>
        <w:t>本人以企业法定代表人的身份郑重承诺：</w:t>
      </w:r>
    </w:p>
    <w:p w14:paraId="2DC15706">
      <w:pPr>
        <w:spacing w:line="360" w:lineRule="auto"/>
        <w:ind w:firstLine="560" w:firstLineChars="200"/>
        <w:rPr>
          <w:rFonts w:eastAsia="宋体"/>
          <w:color w:val="auto"/>
          <w:sz w:val="28"/>
          <w:szCs w:val="28"/>
          <w:highlight w:val="none"/>
        </w:rPr>
      </w:pPr>
      <w:r>
        <w:rPr>
          <w:rFonts w:hint="eastAsia" w:eastAsia="宋体"/>
          <w:color w:val="auto"/>
          <w:sz w:val="28"/>
          <w:szCs w:val="28"/>
          <w:highlight w:val="none"/>
        </w:rPr>
        <w:t>一、将遵循公开、公平、公正和诚实信用的原则参加</w:t>
      </w:r>
      <w:r>
        <w:rPr>
          <w:rFonts w:hint="eastAsia" w:eastAsia="宋体"/>
          <w:bCs/>
          <w:color w:val="auto"/>
          <w:sz w:val="28"/>
          <w:szCs w:val="28"/>
          <w:highlight w:val="none"/>
          <w:u w:val="single"/>
          <w:lang w:eastAsia="zh-CN"/>
        </w:rPr>
        <w:t>许墅村道路及附属项目</w:t>
      </w:r>
      <w:r>
        <w:rPr>
          <w:rFonts w:hint="eastAsia" w:eastAsia="宋体"/>
          <w:color w:val="auto"/>
          <w:sz w:val="28"/>
          <w:szCs w:val="28"/>
          <w:highlight w:val="none"/>
        </w:rPr>
        <w:t>的投标；</w:t>
      </w:r>
    </w:p>
    <w:p w14:paraId="54A8E304">
      <w:pPr>
        <w:adjustRightInd w:val="0"/>
        <w:snapToGrid w:val="0"/>
        <w:spacing w:line="360" w:lineRule="auto"/>
        <w:ind w:firstLine="610" w:firstLineChars="218"/>
        <w:rPr>
          <w:rFonts w:eastAsia="宋体"/>
          <w:color w:val="auto"/>
          <w:sz w:val="28"/>
          <w:szCs w:val="28"/>
          <w:highlight w:val="none"/>
        </w:rPr>
      </w:pPr>
      <w:r>
        <w:rPr>
          <w:rFonts w:hint="eastAsia" w:eastAsia="宋体"/>
          <w:color w:val="auto"/>
          <w:sz w:val="28"/>
          <w:szCs w:val="28"/>
          <w:highlight w:val="none"/>
        </w:rPr>
        <w:t>二、所提供的一切材料都是真实、有效、合法的；</w:t>
      </w:r>
    </w:p>
    <w:p w14:paraId="6400AA04">
      <w:pPr>
        <w:adjustRightInd w:val="0"/>
        <w:snapToGrid w:val="0"/>
        <w:spacing w:line="360" w:lineRule="auto"/>
        <w:ind w:firstLine="624" w:firstLineChars="223"/>
        <w:rPr>
          <w:rFonts w:eastAsia="宋体"/>
          <w:color w:val="auto"/>
          <w:sz w:val="28"/>
          <w:szCs w:val="28"/>
          <w:highlight w:val="none"/>
        </w:rPr>
      </w:pPr>
      <w:r>
        <w:rPr>
          <w:rFonts w:hint="eastAsia" w:eastAsia="宋体"/>
          <w:color w:val="auto"/>
          <w:sz w:val="28"/>
          <w:szCs w:val="28"/>
          <w:highlight w:val="none"/>
        </w:rPr>
        <w:t>三、不与其他投标人相互串通投标报价，不排挤其他投标人的公平竞争，不损害招标人或其他投标人的合法权益；</w:t>
      </w:r>
    </w:p>
    <w:p w14:paraId="465871AF">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四、不与招标人或招标代理机构串通投标，损害国家利益、社会公共利益或者他人的合法权益；</w:t>
      </w:r>
    </w:p>
    <w:p w14:paraId="37C06998">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五、不向招标人或者评标委员会成员行贿以牟取中标；</w:t>
      </w:r>
    </w:p>
    <w:p w14:paraId="42A55C6E">
      <w:pPr>
        <w:adjustRightInd w:val="0"/>
        <w:snapToGrid w:val="0"/>
        <w:spacing w:line="360" w:lineRule="auto"/>
        <w:ind w:firstLine="672" w:firstLineChars="240"/>
        <w:rPr>
          <w:rFonts w:eastAsia="宋体"/>
          <w:color w:val="auto"/>
          <w:sz w:val="28"/>
          <w:szCs w:val="28"/>
          <w:highlight w:val="none"/>
        </w:rPr>
      </w:pPr>
      <w:r>
        <w:rPr>
          <w:rFonts w:hint="eastAsia" w:eastAsia="宋体"/>
          <w:color w:val="auto"/>
          <w:sz w:val="28"/>
          <w:szCs w:val="28"/>
          <w:highlight w:val="none"/>
        </w:rPr>
        <w:t>六、不以他人名义投标或者以其他方式弄虚作假，骗取中标。</w:t>
      </w:r>
    </w:p>
    <w:p w14:paraId="4670EEA7">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本公司若有违反本承诺内容的行为，愿意承担法律责任。如已中标的，自动放弃中标资格；给招标人造成损失的，依法承担赔偿责任。</w:t>
      </w:r>
    </w:p>
    <w:p w14:paraId="423FCA2E">
      <w:pPr>
        <w:adjustRightInd w:val="0"/>
        <w:snapToGrid w:val="0"/>
        <w:spacing w:line="360" w:lineRule="auto"/>
        <w:ind w:firstLine="722" w:firstLineChars="258"/>
        <w:rPr>
          <w:rFonts w:hint="eastAsia" w:eastAsia="宋体"/>
          <w:color w:val="auto"/>
          <w:sz w:val="28"/>
          <w:szCs w:val="28"/>
          <w:highlight w:val="none"/>
        </w:rPr>
      </w:pPr>
      <w:r>
        <w:rPr>
          <w:rFonts w:hint="eastAsia" w:eastAsia="宋体"/>
          <w:color w:val="auto"/>
          <w:sz w:val="28"/>
          <w:szCs w:val="28"/>
          <w:highlight w:val="none"/>
        </w:rPr>
        <w:t>如招标人需要调查了解的，本公司负责本次投标的主管人员（分管经营的副总）将积极配合。</w:t>
      </w:r>
    </w:p>
    <w:p w14:paraId="0F3CADB7">
      <w:pPr>
        <w:adjustRightInd w:val="0"/>
        <w:snapToGrid w:val="0"/>
        <w:spacing w:line="360" w:lineRule="auto"/>
        <w:ind w:firstLine="722" w:firstLineChars="258"/>
        <w:rPr>
          <w:rFonts w:eastAsia="宋体"/>
          <w:color w:val="auto"/>
          <w:sz w:val="28"/>
          <w:szCs w:val="28"/>
          <w:highlight w:val="none"/>
          <w:u w:val="single"/>
        </w:rPr>
      </w:pPr>
      <w:r>
        <w:rPr>
          <w:rFonts w:hint="eastAsia" w:eastAsia="宋体"/>
          <w:color w:val="auto"/>
          <w:sz w:val="28"/>
          <w:szCs w:val="28"/>
          <w:highlight w:val="none"/>
        </w:rPr>
        <w:t>主管人员：</w:t>
      </w:r>
      <w:r>
        <w:rPr>
          <w:rFonts w:hint="eastAsia" w:eastAsia="宋体"/>
          <w:color w:val="auto"/>
          <w:sz w:val="28"/>
          <w:szCs w:val="28"/>
          <w:highlight w:val="none"/>
          <w:u w:val="single"/>
        </w:rPr>
        <w:t xml:space="preserve">              </w:t>
      </w:r>
      <w:r>
        <w:rPr>
          <w:rFonts w:hint="eastAsia" w:eastAsia="宋体"/>
          <w:color w:val="auto"/>
          <w:sz w:val="28"/>
          <w:szCs w:val="28"/>
          <w:highlight w:val="none"/>
        </w:rPr>
        <w:t>手机：</w:t>
      </w:r>
      <w:r>
        <w:rPr>
          <w:rFonts w:hint="eastAsia" w:eastAsia="宋体"/>
          <w:color w:val="auto"/>
          <w:sz w:val="28"/>
          <w:szCs w:val="28"/>
          <w:highlight w:val="none"/>
          <w:u w:val="single"/>
        </w:rPr>
        <w:t xml:space="preserve">             </w:t>
      </w:r>
      <w:r>
        <w:rPr>
          <w:rFonts w:hint="eastAsia"/>
          <w:color w:val="auto"/>
          <w:szCs w:val="32"/>
          <w:highlight w:val="none"/>
        </w:rPr>
        <w:t>邮</w:t>
      </w:r>
      <w:r>
        <w:rPr>
          <w:rFonts w:hint="eastAsia" w:ascii="宋体" w:hAnsi="宋体" w:eastAsia="宋体"/>
          <w:color w:val="auto"/>
          <w:sz w:val="28"/>
          <w:szCs w:val="28"/>
          <w:highlight w:val="none"/>
        </w:rPr>
        <w:t>箱：</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u w:val="single"/>
          <w:lang w:val="en-US" w:eastAsia="zh-CN"/>
        </w:rPr>
        <w:t xml:space="preserve">   </w:t>
      </w:r>
      <w:r>
        <w:rPr>
          <w:rFonts w:hint="eastAsia" w:ascii="宋体" w:hAnsi="宋体" w:eastAsia="宋体"/>
          <w:color w:val="auto"/>
          <w:sz w:val="28"/>
          <w:szCs w:val="28"/>
          <w:highlight w:val="none"/>
          <w:u w:val="single"/>
        </w:rPr>
        <w:t xml:space="preserve">   </w:t>
      </w:r>
    </w:p>
    <w:p w14:paraId="2CE7A23D">
      <w:pPr>
        <w:pStyle w:val="29"/>
        <w:rPr>
          <w:color w:val="auto"/>
          <w:sz w:val="28"/>
          <w:szCs w:val="28"/>
          <w:highlight w:val="none"/>
        </w:rPr>
      </w:pPr>
    </w:p>
    <w:p w14:paraId="34B8E3D9">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法定代表人（签字或盖章）：</w:t>
      </w:r>
    </w:p>
    <w:p w14:paraId="2C3CF87F">
      <w:pPr>
        <w:adjustRightInd w:val="0"/>
        <w:snapToGrid w:val="0"/>
        <w:spacing w:line="586" w:lineRule="exact"/>
        <w:rPr>
          <w:rFonts w:eastAsia="宋体"/>
          <w:color w:val="auto"/>
          <w:sz w:val="28"/>
          <w:szCs w:val="28"/>
          <w:highlight w:val="none"/>
        </w:rPr>
      </w:pPr>
    </w:p>
    <w:p w14:paraId="305D1EB9">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投  标  人（盖章）：</w:t>
      </w:r>
    </w:p>
    <w:p w14:paraId="00F35C1A">
      <w:pPr>
        <w:adjustRightInd w:val="0"/>
        <w:snapToGrid w:val="0"/>
        <w:spacing w:line="586" w:lineRule="exact"/>
        <w:ind w:right="640" w:firstLine="3920" w:firstLineChars="1400"/>
        <w:jc w:val="center"/>
        <w:rPr>
          <w:color w:val="auto"/>
          <w:sz w:val="28"/>
          <w:szCs w:val="28"/>
          <w:highlight w:val="none"/>
        </w:rPr>
      </w:pPr>
      <w:bookmarkStart w:id="198" w:name="_Toc155322974"/>
      <w:bookmarkStart w:id="199" w:name="_Toc141242988"/>
      <w:bookmarkStart w:id="200" w:name="_Toc143318918"/>
      <w:bookmarkStart w:id="201" w:name="_Toc143319553"/>
      <w:bookmarkStart w:id="202" w:name="_Toc146440177"/>
      <w:bookmarkStart w:id="203" w:name="_Toc148157964"/>
      <w:r>
        <w:rPr>
          <w:rFonts w:hint="eastAsia" w:eastAsia="宋体"/>
          <w:color w:val="auto"/>
          <w:sz w:val="28"/>
          <w:szCs w:val="28"/>
          <w:highlight w:val="none"/>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55342591"/>
      <w:bookmarkStart w:id="205" w:name="_Toc169487835"/>
    </w:p>
    <w:p w14:paraId="0F112E2B">
      <w:pPr>
        <w:rPr>
          <w:color w:val="auto"/>
          <w:sz w:val="28"/>
          <w:szCs w:val="28"/>
          <w:highlight w:val="none"/>
        </w:rPr>
      </w:pPr>
      <w:bookmarkStart w:id="206" w:name="_Toc386121765"/>
      <w:bookmarkStart w:id="207" w:name="_Toc386122462"/>
      <w:bookmarkStart w:id="208" w:name="_Toc11522"/>
      <w:bookmarkStart w:id="209" w:name="_Toc18290"/>
    </w:p>
    <w:p w14:paraId="581091E7">
      <w:pPr>
        <w:pStyle w:val="3"/>
        <w:numPr>
          <w:ilvl w:val="0"/>
          <w:numId w:val="0"/>
        </w:numPr>
        <w:spacing w:before="0" w:afterLines="0" w:line="240" w:lineRule="auto"/>
        <w:jc w:val="both"/>
        <w:rPr>
          <w:rFonts w:ascii="黑体"/>
          <w:color w:val="auto"/>
          <w:sz w:val="28"/>
          <w:szCs w:val="28"/>
          <w:highlight w:val="none"/>
        </w:rPr>
      </w:pPr>
      <w:r>
        <w:rPr>
          <w:rFonts w:hint="eastAsia"/>
          <w:b w:val="0"/>
          <w:color w:val="auto"/>
          <w:sz w:val="28"/>
          <w:szCs w:val="28"/>
          <w:highlight w:val="none"/>
        </w:rPr>
        <w:t>附件八：</w:t>
      </w:r>
      <w:bookmarkEnd w:id="204"/>
      <w:bookmarkEnd w:id="205"/>
      <w:bookmarkEnd w:id="206"/>
      <w:bookmarkEnd w:id="207"/>
      <w:r>
        <w:rPr>
          <w:rFonts w:hint="eastAsia"/>
          <w:b w:val="0"/>
          <w:color w:val="auto"/>
          <w:sz w:val="28"/>
          <w:szCs w:val="28"/>
          <w:highlight w:val="none"/>
        </w:rPr>
        <w:t>法定代表人授权委托书</w:t>
      </w:r>
      <w:bookmarkEnd w:id="208"/>
      <w:bookmarkEnd w:id="209"/>
    </w:p>
    <w:p w14:paraId="08E932B9">
      <w:pPr>
        <w:adjustRightInd w:val="0"/>
        <w:snapToGrid w:val="0"/>
        <w:spacing w:beforeLines="50" w:line="360" w:lineRule="auto"/>
        <w:jc w:val="center"/>
        <w:outlineLvl w:val="0"/>
        <w:rPr>
          <w:rFonts w:ascii="宋体" w:eastAsia="宋体"/>
          <w:color w:val="auto"/>
          <w:sz w:val="28"/>
          <w:highlight w:val="none"/>
        </w:rPr>
      </w:pPr>
      <w:bookmarkStart w:id="210" w:name="_Toc10796"/>
      <w:r>
        <w:rPr>
          <w:rFonts w:hint="eastAsia" w:ascii="黑体" w:eastAsia="黑体"/>
          <w:color w:val="auto"/>
          <w:sz w:val="44"/>
          <w:highlight w:val="none"/>
        </w:rPr>
        <w:t>法定代表人授权委托书</w:t>
      </w:r>
      <w:bookmarkEnd w:id="210"/>
      <w:bookmarkStart w:id="211" w:name="_Toc32620"/>
      <w:r>
        <w:rPr>
          <w:rFonts w:hint="eastAsia" w:ascii="宋体" w:eastAsia="宋体"/>
          <w:color w:val="auto"/>
          <w:sz w:val="28"/>
          <w:highlight w:val="none"/>
        </w:rPr>
        <w:t>（参考样张）</w:t>
      </w:r>
      <w:bookmarkEnd w:id="211"/>
    </w:p>
    <w:p w14:paraId="721F2099">
      <w:pPr>
        <w:adjustRightInd w:val="0"/>
        <w:snapToGrid w:val="0"/>
        <w:spacing w:beforeLines="50" w:line="360" w:lineRule="auto"/>
        <w:ind w:firstLine="600"/>
        <w:rPr>
          <w:rFonts w:ascii="宋体" w:eastAsia="宋体"/>
          <w:color w:val="auto"/>
          <w:sz w:val="28"/>
          <w:highlight w:val="none"/>
          <w:u w:val="single"/>
        </w:rPr>
      </w:pPr>
      <w:r>
        <w:rPr>
          <w:rFonts w:hint="eastAsia" w:ascii="宋体" w:eastAsia="宋体"/>
          <w:color w:val="auto"/>
          <w:sz w:val="28"/>
          <w:highlight w:val="none"/>
        </w:rPr>
        <w:t>本授权委托书声明：我</w:t>
      </w:r>
      <w:r>
        <w:rPr>
          <w:rFonts w:hint="eastAsia" w:ascii="宋体" w:eastAsia="宋体"/>
          <w:color w:val="auto"/>
          <w:sz w:val="28"/>
          <w:highlight w:val="none"/>
          <w:u w:val="single"/>
        </w:rPr>
        <w:t xml:space="preserve">               </w:t>
      </w:r>
      <w:r>
        <w:rPr>
          <w:rFonts w:hint="eastAsia" w:ascii="宋体" w:eastAsia="宋体"/>
          <w:color w:val="auto"/>
          <w:sz w:val="28"/>
          <w:highlight w:val="none"/>
        </w:rPr>
        <w:t>（姓名）系</w:t>
      </w:r>
      <w:r>
        <w:rPr>
          <w:rFonts w:hint="eastAsia" w:ascii="宋体" w:eastAsia="宋体"/>
          <w:color w:val="auto"/>
          <w:sz w:val="28"/>
          <w:highlight w:val="none"/>
          <w:u w:val="single"/>
        </w:rPr>
        <w:t xml:space="preserve">                 </w:t>
      </w:r>
    </w:p>
    <w:p w14:paraId="09E99D7E">
      <w:pPr>
        <w:adjustRightInd w:val="0"/>
        <w:snapToGrid w:val="0"/>
        <w:spacing w:beforeLines="50" w:line="360" w:lineRule="auto"/>
        <w:rPr>
          <w:rFonts w:ascii="宋体" w:eastAsia="宋体"/>
          <w:color w:val="auto"/>
          <w:sz w:val="28"/>
          <w:highlight w:val="none"/>
        </w:rPr>
      </w:pPr>
      <w:r>
        <w:rPr>
          <w:rFonts w:hint="eastAsia" w:ascii="宋体" w:eastAsia="宋体"/>
          <w:color w:val="auto"/>
          <w:sz w:val="28"/>
          <w:highlight w:val="none"/>
        </w:rPr>
        <w:t>（投标人）的法定代表人，现授权委托我单位</w:t>
      </w:r>
      <w:r>
        <w:rPr>
          <w:rFonts w:hint="eastAsia" w:ascii="宋体" w:eastAsia="宋体"/>
          <w:color w:val="auto"/>
          <w:sz w:val="28"/>
          <w:highlight w:val="none"/>
          <w:u w:val="single"/>
        </w:rPr>
        <w:t xml:space="preserve">         </w:t>
      </w:r>
      <w:r>
        <w:rPr>
          <w:rFonts w:hint="eastAsia" w:ascii="宋体" w:eastAsia="宋体"/>
          <w:color w:val="auto"/>
          <w:sz w:val="28"/>
          <w:highlight w:val="none"/>
        </w:rPr>
        <w:t>（姓名）为我的代理人，以本单位的名义参加</w:t>
      </w:r>
      <w:r>
        <w:rPr>
          <w:rFonts w:hint="eastAsia" w:ascii="宋体" w:eastAsia="宋体"/>
          <w:color w:val="auto"/>
          <w:sz w:val="28"/>
          <w:highlight w:val="none"/>
          <w:u w:val="single"/>
        </w:rPr>
        <w:t xml:space="preserve">              </w:t>
      </w:r>
      <w:r>
        <w:rPr>
          <w:rFonts w:hint="eastAsia" w:ascii="宋体" w:eastAsia="宋体"/>
          <w:color w:val="auto"/>
          <w:sz w:val="28"/>
          <w:highlight w:val="none"/>
        </w:rPr>
        <w:t xml:space="preserve">（招标人）的 </w:t>
      </w:r>
      <w:r>
        <w:rPr>
          <w:rFonts w:hint="eastAsia" w:ascii="宋体" w:eastAsia="宋体"/>
          <w:color w:val="auto"/>
          <w:sz w:val="28"/>
          <w:highlight w:val="none"/>
          <w:u w:val="single"/>
        </w:rPr>
        <w:t xml:space="preserve">          </w:t>
      </w:r>
      <w:r>
        <w:rPr>
          <w:rFonts w:hint="eastAsia" w:ascii="宋体" w:eastAsia="宋体"/>
          <w:color w:val="auto"/>
          <w:sz w:val="28"/>
          <w:highlight w:val="none"/>
        </w:rPr>
        <w:t>（工程名称）的投标。代理人在该工程招投标活动中的一切事务，我均予以承认。</w:t>
      </w:r>
    </w:p>
    <w:p w14:paraId="167D5581">
      <w:pPr>
        <w:adjustRightInd w:val="0"/>
        <w:snapToGrid w:val="0"/>
        <w:spacing w:beforeLines="50" w:line="360" w:lineRule="auto"/>
        <w:ind w:firstLine="560" w:firstLineChars="200"/>
        <w:rPr>
          <w:rFonts w:ascii="宋体" w:eastAsia="宋体"/>
          <w:color w:val="auto"/>
          <w:sz w:val="28"/>
          <w:highlight w:val="none"/>
        </w:rPr>
      </w:pPr>
      <w:r>
        <w:rPr>
          <w:rFonts w:hint="eastAsia" w:ascii="宋体" w:eastAsia="宋体"/>
          <w:color w:val="auto"/>
          <w:sz w:val="28"/>
          <w:highlight w:val="none"/>
        </w:rPr>
        <w:t>代理人无转委权，特此委托。</w:t>
      </w:r>
    </w:p>
    <w:p w14:paraId="63A40D1F">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投标人（盖章）：</w:t>
      </w:r>
      <w:r>
        <w:rPr>
          <w:rFonts w:hint="eastAsia" w:ascii="宋体" w:eastAsia="宋体"/>
          <w:color w:val="auto"/>
          <w:sz w:val="28"/>
          <w:highlight w:val="none"/>
          <w:u w:val="single"/>
        </w:rPr>
        <w:t xml:space="preserve">                                                   </w:t>
      </w:r>
    </w:p>
    <w:p w14:paraId="6BD1C80A">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法定代表人（盖章）：</w:t>
      </w:r>
      <w:r>
        <w:rPr>
          <w:rFonts w:hint="eastAsia" w:ascii="宋体" w:eastAsia="宋体"/>
          <w:color w:val="auto"/>
          <w:sz w:val="28"/>
          <w:highlight w:val="none"/>
          <w:u w:val="single"/>
        </w:rPr>
        <w:t xml:space="preserve">                                               </w:t>
      </w:r>
    </w:p>
    <w:p w14:paraId="17CBA90D">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代理人：</w:t>
      </w:r>
      <w:r>
        <w:rPr>
          <w:rFonts w:hint="eastAsia" w:ascii="宋体" w:eastAsia="宋体"/>
          <w:color w:val="auto"/>
          <w:sz w:val="28"/>
          <w:highlight w:val="none"/>
          <w:u w:val="single"/>
        </w:rPr>
        <w:t xml:space="preserve">             </w:t>
      </w:r>
      <w:r>
        <w:rPr>
          <w:rFonts w:hint="eastAsia" w:ascii="宋体" w:eastAsia="宋体"/>
          <w:color w:val="auto"/>
          <w:sz w:val="28"/>
          <w:highlight w:val="none"/>
        </w:rPr>
        <w:t>性别：</w:t>
      </w:r>
      <w:r>
        <w:rPr>
          <w:rFonts w:hint="eastAsia" w:ascii="宋体" w:eastAsia="宋体"/>
          <w:color w:val="auto"/>
          <w:sz w:val="28"/>
          <w:highlight w:val="none"/>
          <w:u w:val="single"/>
        </w:rPr>
        <w:t xml:space="preserve">                   </w:t>
      </w:r>
      <w:r>
        <w:rPr>
          <w:rFonts w:hint="eastAsia" w:ascii="宋体" w:eastAsia="宋体"/>
          <w:color w:val="auto"/>
          <w:sz w:val="28"/>
          <w:highlight w:val="none"/>
        </w:rPr>
        <w:t>年龄：</w:t>
      </w:r>
      <w:r>
        <w:rPr>
          <w:rFonts w:hint="eastAsia" w:ascii="宋体" w:eastAsia="宋体"/>
          <w:color w:val="auto"/>
          <w:sz w:val="28"/>
          <w:highlight w:val="none"/>
          <w:u w:val="single"/>
        </w:rPr>
        <w:t xml:space="preserve">              </w:t>
      </w:r>
    </w:p>
    <w:p w14:paraId="6BE87921">
      <w:pPr>
        <w:adjustRightInd w:val="0"/>
        <w:snapToGrid w:val="0"/>
        <w:spacing w:beforeLines="50" w:line="360" w:lineRule="auto"/>
        <w:rPr>
          <w:rFonts w:ascii="宋体" w:eastAsia="宋体"/>
          <w:b/>
          <w:bCs/>
          <w:color w:val="auto"/>
          <w:sz w:val="28"/>
          <w:highlight w:val="none"/>
          <w:u w:val="single"/>
        </w:rPr>
      </w:pPr>
      <w:r>
        <w:rPr>
          <w:rFonts w:hint="eastAsia" w:ascii="宋体" w:eastAsia="宋体"/>
          <w:color w:val="auto"/>
          <w:sz w:val="28"/>
          <w:highlight w:val="none"/>
        </w:rPr>
        <w:t>身份证号码：</w:t>
      </w:r>
      <w:r>
        <w:rPr>
          <w:rFonts w:hint="eastAsia" w:ascii="宋体" w:eastAsia="宋体"/>
          <w:color w:val="auto"/>
          <w:sz w:val="28"/>
          <w:highlight w:val="none"/>
          <w:u w:val="single"/>
        </w:rPr>
        <w:t xml:space="preserve">                 </w:t>
      </w:r>
      <w:r>
        <w:rPr>
          <w:rFonts w:hint="eastAsia" w:ascii="宋体" w:eastAsia="宋体"/>
          <w:color w:val="auto"/>
          <w:sz w:val="28"/>
          <w:highlight w:val="none"/>
        </w:rPr>
        <w:t>职务：</w:t>
      </w:r>
      <w:r>
        <w:rPr>
          <w:rFonts w:hint="eastAsia" w:ascii="宋体" w:eastAsia="宋体"/>
          <w:color w:val="auto"/>
          <w:sz w:val="28"/>
          <w:highlight w:val="none"/>
          <w:u w:val="single"/>
        </w:rPr>
        <w:t xml:space="preserve">       </w:t>
      </w:r>
      <w:r>
        <w:rPr>
          <w:rFonts w:hint="eastAsia" w:ascii="宋体" w:eastAsia="宋体"/>
          <w:color w:val="auto"/>
          <w:sz w:val="28"/>
          <w:highlight w:val="none"/>
        </w:rPr>
        <w:t>联系电话：</w:t>
      </w:r>
      <w:r>
        <w:rPr>
          <w:rFonts w:hint="eastAsia" w:ascii="宋体" w:eastAsia="宋体"/>
          <w:color w:val="auto"/>
          <w:sz w:val="28"/>
          <w:highlight w:val="none"/>
          <w:u w:val="single"/>
        </w:rPr>
        <w:t xml:space="preserve">              </w:t>
      </w:r>
    </w:p>
    <w:p w14:paraId="213D4A1C">
      <w:pPr>
        <w:adjustRightInd w:val="0"/>
        <w:snapToGrid w:val="0"/>
        <w:spacing w:beforeLines="50" w:line="360" w:lineRule="auto"/>
        <w:rPr>
          <w:rFonts w:ascii="宋体" w:eastAsia="宋体"/>
          <w:color w:val="auto"/>
          <w:sz w:val="28"/>
          <w:highlight w:val="none"/>
        </w:rPr>
      </w:pPr>
      <w:r>
        <w:rPr>
          <w:rFonts w:hint="eastAsia" w:ascii="宋体" w:eastAsia="宋体"/>
          <w:color w:val="auto"/>
          <w:sz w:val="28"/>
          <w:highlight w:val="none"/>
        </w:rPr>
        <w:t>授权委托日期：</w:t>
      </w:r>
      <w:r>
        <w:rPr>
          <w:rFonts w:hint="eastAsia" w:ascii="宋体" w:eastAsia="宋体"/>
          <w:color w:val="auto"/>
          <w:sz w:val="28"/>
          <w:highlight w:val="none"/>
          <w:u w:val="single"/>
        </w:rPr>
        <w:t xml:space="preserve">              </w:t>
      </w:r>
      <w:r>
        <w:rPr>
          <w:rFonts w:hint="eastAsia" w:ascii="宋体" w:eastAsia="宋体"/>
          <w:color w:val="auto"/>
          <w:sz w:val="28"/>
          <w:highlight w:val="none"/>
        </w:rPr>
        <w:t>年</w:t>
      </w:r>
      <w:r>
        <w:rPr>
          <w:rFonts w:hint="eastAsia" w:ascii="宋体" w:eastAsia="宋体"/>
          <w:color w:val="auto"/>
          <w:sz w:val="28"/>
          <w:highlight w:val="none"/>
          <w:u w:val="single"/>
        </w:rPr>
        <w:t xml:space="preserve">                </w:t>
      </w:r>
      <w:r>
        <w:rPr>
          <w:rFonts w:hint="eastAsia" w:ascii="宋体" w:eastAsia="宋体"/>
          <w:color w:val="auto"/>
          <w:sz w:val="28"/>
          <w:highlight w:val="none"/>
        </w:rPr>
        <w:t>月</w:t>
      </w:r>
      <w:r>
        <w:rPr>
          <w:rFonts w:hint="eastAsia" w:ascii="宋体" w:eastAsia="宋体"/>
          <w:color w:val="auto"/>
          <w:sz w:val="28"/>
          <w:highlight w:val="none"/>
          <w:u w:val="single"/>
        </w:rPr>
        <w:t xml:space="preserve">                </w:t>
      </w:r>
      <w:r>
        <w:rPr>
          <w:rFonts w:hint="eastAsia" w:ascii="宋体" w:eastAsia="宋体"/>
          <w:color w:val="auto"/>
          <w:sz w:val="28"/>
          <w:highlight w:val="none"/>
        </w:rPr>
        <w:t>日</w:t>
      </w:r>
    </w:p>
    <w:p w14:paraId="74525DDF">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法定代表人身份证复印件            被授权人身份证复印件</w:t>
      </w:r>
    </w:p>
    <w:tbl>
      <w:tblPr>
        <w:tblStyle w:val="22"/>
        <w:tblW w:w="9699"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850"/>
        <w:gridCol w:w="4849"/>
      </w:tblGrid>
      <w:tr w14:paraId="2FD3ABD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170" w:hRule="atLeast"/>
          <w:jc w:val="center"/>
        </w:trPr>
        <w:tc>
          <w:tcPr>
            <w:tcW w:w="4850" w:type="dxa"/>
          </w:tcPr>
          <w:p w14:paraId="3439F7DD">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身份证复印件粘贴处，正反两面均复印，复印件清晰可认。</w:t>
            </w:r>
          </w:p>
        </w:tc>
        <w:tc>
          <w:tcPr>
            <w:tcW w:w="4849" w:type="dxa"/>
          </w:tcPr>
          <w:p w14:paraId="6BEBC467">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身份证复印件粘贴处，正反两面均复印，复印件清晰可认。</w:t>
            </w:r>
          </w:p>
        </w:tc>
      </w:tr>
      <w:tr w14:paraId="5E888FC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118" w:hRule="atLeast"/>
          <w:jc w:val="center"/>
        </w:trPr>
        <w:tc>
          <w:tcPr>
            <w:tcW w:w="4850" w:type="dxa"/>
          </w:tcPr>
          <w:p w14:paraId="7197DAE0">
            <w:pPr>
              <w:spacing w:line="360" w:lineRule="auto"/>
              <w:rPr>
                <w:color w:val="auto"/>
                <w:sz w:val="30"/>
                <w:szCs w:val="30"/>
                <w:highlight w:val="none"/>
              </w:rPr>
            </w:pPr>
          </w:p>
        </w:tc>
        <w:tc>
          <w:tcPr>
            <w:tcW w:w="4849" w:type="dxa"/>
          </w:tcPr>
          <w:p w14:paraId="730B9118">
            <w:pPr>
              <w:spacing w:line="360" w:lineRule="auto"/>
              <w:rPr>
                <w:color w:val="auto"/>
                <w:sz w:val="30"/>
                <w:szCs w:val="30"/>
                <w:highlight w:val="none"/>
              </w:rPr>
            </w:pPr>
          </w:p>
        </w:tc>
      </w:tr>
    </w:tbl>
    <w:p w14:paraId="7202A3F4">
      <w:pPr>
        <w:rPr>
          <w:color w:val="auto"/>
          <w:highlight w:val="none"/>
        </w:rPr>
      </w:pPr>
    </w:p>
    <w:p w14:paraId="0D516568">
      <w:pPr>
        <w:rPr>
          <w:rFonts w:ascii="黑体" w:eastAsia="黑体"/>
          <w:color w:val="auto"/>
          <w:sz w:val="28"/>
          <w:szCs w:val="28"/>
          <w:highlight w:val="none"/>
        </w:rPr>
      </w:pPr>
      <w:bookmarkStart w:id="212" w:name="_Toc42587767"/>
      <w:bookmarkStart w:id="213" w:name="_Toc234382962"/>
      <w:r>
        <w:rPr>
          <w:rFonts w:hint="eastAsia"/>
          <w:color w:val="auto"/>
          <w:sz w:val="28"/>
          <w:szCs w:val="28"/>
          <w:highlight w:val="none"/>
        </w:rPr>
        <w:t>附件九：法定代表人身份证明</w:t>
      </w:r>
    </w:p>
    <w:p w14:paraId="4AB446EC">
      <w:pPr>
        <w:wordWrap w:val="0"/>
        <w:jc w:val="center"/>
        <w:outlineLvl w:val="3"/>
        <w:rPr>
          <w:rFonts w:ascii="宋体" w:hAnsi="宋体" w:cs="宋体"/>
          <w:color w:val="auto"/>
          <w:sz w:val="24"/>
          <w:highlight w:val="none"/>
        </w:rPr>
      </w:pPr>
      <w:r>
        <w:rPr>
          <w:rFonts w:hint="eastAsia" w:ascii="黑体" w:eastAsia="黑体"/>
          <w:color w:val="auto"/>
          <w:sz w:val="44"/>
          <w:highlight w:val="none"/>
        </w:rPr>
        <w:t>法定代表人身份证明</w:t>
      </w:r>
      <w:bookmarkEnd w:id="212"/>
      <w:bookmarkEnd w:id="213"/>
      <w:r>
        <w:rPr>
          <w:rFonts w:hint="eastAsia" w:ascii="宋体" w:eastAsia="宋体"/>
          <w:color w:val="auto"/>
          <w:sz w:val="28"/>
          <w:highlight w:val="none"/>
        </w:rPr>
        <w:t>（参考样张）</w:t>
      </w:r>
    </w:p>
    <w:p w14:paraId="79BD4C47">
      <w:pPr>
        <w:wordWrap w:val="0"/>
        <w:rPr>
          <w:rFonts w:ascii="宋体" w:hAnsi="宋体" w:cs="宋体"/>
          <w:color w:val="auto"/>
          <w:sz w:val="24"/>
          <w:highlight w:val="none"/>
        </w:rPr>
      </w:pPr>
    </w:p>
    <w:p w14:paraId="279D217C">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投标人名称：</w:t>
      </w:r>
      <w:r>
        <w:rPr>
          <w:rFonts w:hint="eastAsia" w:ascii="宋体" w:hAnsi="宋体" w:eastAsia="宋体" w:cs="宋体"/>
          <w:color w:val="auto"/>
          <w:sz w:val="28"/>
          <w:szCs w:val="28"/>
          <w:highlight w:val="none"/>
          <w:u w:val="single"/>
        </w:rPr>
        <w:t xml:space="preserve">                                 </w:t>
      </w:r>
    </w:p>
    <w:p w14:paraId="51A1BB29">
      <w:pPr>
        <w:wordWrap w:val="0"/>
        <w:spacing w:line="640" w:lineRule="exact"/>
        <w:ind w:firstLine="560" w:firstLineChars="200"/>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单位性质：</w:t>
      </w:r>
      <w:r>
        <w:rPr>
          <w:rFonts w:hint="eastAsia" w:ascii="宋体" w:hAnsi="宋体" w:eastAsia="宋体" w:cs="宋体"/>
          <w:color w:val="auto"/>
          <w:sz w:val="28"/>
          <w:szCs w:val="28"/>
          <w:highlight w:val="none"/>
          <w:u w:val="single"/>
        </w:rPr>
        <w:t xml:space="preserve">                                   </w:t>
      </w:r>
    </w:p>
    <w:p w14:paraId="2EDFAE63">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u w:val="single"/>
        </w:rPr>
        <w:t xml:space="preserve">                                    </w:t>
      </w:r>
    </w:p>
    <w:p w14:paraId="3966B208">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姓名：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性别：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年龄：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6FCECBDA">
      <w:pPr>
        <w:wordWrap w:val="0"/>
        <w:spacing w:line="640" w:lineRule="exact"/>
        <w:ind w:firstLine="560" w:firstLineChars="200"/>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身份证号码：</w:t>
      </w:r>
      <w:r>
        <w:rPr>
          <w:rFonts w:hint="eastAsia" w:ascii="宋体" w:hAnsi="宋体" w:eastAsia="宋体" w:cs="宋体"/>
          <w:color w:val="auto"/>
          <w:sz w:val="28"/>
          <w:szCs w:val="28"/>
          <w:highlight w:val="none"/>
          <w:u w:val="single"/>
        </w:rPr>
        <w:t xml:space="preserve">                                 </w:t>
      </w:r>
    </w:p>
    <w:p w14:paraId="66BB5BB8">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r>
        <w:rPr>
          <w:rFonts w:hint="eastAsia" w:ascii="宋体" w:hAnsi="宋体" w:eastAsia="宋体" w:cs="宋体"/>
          <w:color w:val="auto"/>
          <w:sz w:val="28"/>
          <w:szCs w:val="28"/>
          <w:highlight w:val="none"/>
          <w:u w:val="single"/>
        </w:rPr>
        <w:t xml:space="preserve">                                   </w:t>
      </w:r>
    </w:p>
    <w:p w14:paraId="37F51207">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rPr>
        <w:t xml:space="preserve">               （投标人名称）</w:t>
      </w:r>
      <w:r>
        <w:rPr>
          <w:rFonts w:hint="eastAsia" w:ascii="宋体" w:hAnsi="宋体" w:eastAsia="宋体" w:cs="宋体"/>
          <w:color w:val="auto"/>
          <w:sz w:val="28"/>
          <w:szCs w:val="28"/>
          <w:highlight w:val="none"/>
        </w:rPr>
        <w:t>的法定代表人。</w:t>
      </w:r>
    </w:p>
    <w:p w14:paraId="6E22695D">
      <w:pPr>
        <w:snapToGrid w:val="0"/>
        <w:spacing w:beforeLines="50" w:after="50" w:line="460" w:lineRule="exact"/>
        <w:ind w:firstLine="843" w:firstLineChars="300"/>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p>
    <w:tbl>
      <w:tblPr>
        <w:tblStyle w:val="22"/>
        <w:tblpPr w:leftFromText="180" w:rightFromText="180" w:vertAnchor="text" w:horzAnchor="page" w:tblpXSpec="center" w:tblpY="506"/>
        <w:tblOverlap w:val="never"/>
        <w:tblW w:w="6780"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6780"/>
      </w:tblGrid>
      <w:tr w14:paraId="50DBC74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40" w:hRule="atLeast"/>
          <w:jc w:val="center"/>
        </w:trPr>
        <w:tc>
          <w:tcPr>
            <w:tcW w:w="6780" w:type="dxa"/>
          </w:tcPr>
          <w:p w14:paraId="47581B94">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r>
      <w:tr w14:paraId="4C6B62B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54" w:hRule="atLeast"/>
          <w:jc w:val="center"/>
        </w:trPr>
        <w:tc>
          <w:tcPr>
            <w:tcW w:w="6780" w:type="dxa"/>
          </w:tcPr>
          <w:p w14:paraId="62359B14">
            <w:pPr>
              <w:spacing w:line="360" w:lineRule="auto"/>
              <w:rPr>
                <w:color w:val="auto"/>
                <w:sz w:val="30"/>
                <w:szCs w:val="30"/>
                <w:highlight w:val="none"/>
              </w:rPr>
            </w:pPr>
          </w:p>
        </w:tc>
      </w:tr>
    </w:tbl>
    <w:p w14:paraId="2C2F4FBD">
      <w:pPr>
        <w:snapToGrid w:val="0"/>
        <w:spacing w:beforeLines="50" w:after="50" w:line="460" w:lineRule="exact"/>
        <w:ind w:firstLine="843" w:firstLineChars="300"/>
        <w:rPr>
          <w:rFonts w:ascii="宋体" w:hAnsi="宋体"/>
          <w:b/>
          <w:bCs/>
          <w:color w:val="auto"/>
          <w:sz w:val="28"/>
          <w:szCs w:val="28"/>
          <w:highlight w:val="none"/>
        </w:rPr>
      </w:pPr>
      <w:r>
        <w:rPr>
          <w:rFonts w:ascii="宋体" w:hAnsi="宋体"/>
          <w:b/>
          <w:bCs/>
          <w:color w:val="auto"/>
          <w:sz w:val="28"/>
          <w:szCs w:val="28"/>
          <w:highlight w:val="none"/>
        </w:rPr>
        <w:t xml:space="preserve">        </w:t>
      </w:r>
    </w:p>
    <w:p w14:paraId="136207B4">
      <w:pPr>
        <w:wordWrap w:val="0"/>
        <w:spacing w:line="640" w:lineRule="exact"/>
        <w:ind w:firstLine="1120" w:firstLineChars="400"/>
        <w:rPr>
          <w:rFonts w:ascii="宋体" w:hAnsi="宋体" w:eastAsia="宋体" w:cs="宋体"/>
          <w:color w:val="auto"/>
          <w:sz w:val="28"/>
          <w:szCs w:val="28"/>
          <w:highlight w:val="none"/>
        </w:rPr>
      </w:pPr>
    </w:p>
    <w:p w14:paraId="14CF00AD">
      <w:pPr>
        <w:spacing w:line="640" w:lineRule="exact"/>
        <w:jc w:val="right"/>
        <w:rPr>
          <w:rFonts w:ascii="宋体" w:hAnsi="宋体" w:eastAsia="宋体" w:cs="宋体"/>
          <w:color w:val="auto"/>
          <w:sz w:val="28"/>
          <w:szCs w:val="28"/>
          <w:highlight w:val="none"/>
        </w:rPr>
      </w:pPr>
    </w:p>
    <w:p w14:paraId="41BE9D3A">
      <w:pPr>
        <w:spacing w:line="640" w:lineRule="exact"/>
        <w:jc w:val="right"/>
        <w:rPr>
          <w:rFonts w:ascii="宋体" w:hAnsi="宋体" w:eastAsia="宋体" w:cs="宋体"/>
          <w:color w:val="auto"/>
          <w:sz w:val="28"/>
          <w:szCs w:val="28"/>
          <w:highlight w:val="none"/>
        </w:rPr>
      </w:pPr>
    </w:p>
    <w:p w14:paraId="5FEC0999">
      <w:pPr>
        <w:spacing w:line="640" w:lineRule="exact"/>
        <w:jc w:val="right"/>
        <w:rPr>
          <w:rFonts w:ascii="宋体" w:hAnsi="宋体" w:eastAsia="宋体" w:cs="宋体"/>
          <w:color w:val="auto"/>
          <w:sz w:val="28"/>
          <w:szCs w:val="28"/>
          <w:highlight w:val="none"/>
        </w:rPr>
      </w:pPr>
    </w:p>
    <w:p w14:paraId="7D16D520">
      <w:pPr>
        <w:spacing w:line="640" w:lineRule="exact"/>
        <w:jc w:val="right"/>
        <w:rPr>
          <w:rFonts w:ascii="宋体" w:hAnsi="宋体" w:eastAsia="宋体" w:cs="宋体"/>
          <w:color w:val="auto"/>
          <w:sz w:val="28"/>
          <w:szCs w:val="28"/>
          <w:highlight w:val="none"/>
        </w:rPr>
      </w:pPr>
    </w:p>
    <w:p w14:paraId="211D1BC9">
      <w:pPr>
        <w:spacing w:line="640" w:lineRule="exact"/>
        <w:jc w:val="right"/>
        <w:rPr>
          <w:rFonts w:ascii="宋体" w:hAnsi="宋体" w:eastAsia="宋体" w:cs="宋体"/>
          <w:color w:val="auto"/>
          <w:sz w:val="28"/>
          <w:szCs w:val="28"/>
          <w:highlight w:val="none"/>
        </w:rPr>
      </w:pPr>
    </w:p>
    <w:p w14:paraId="5553D8AA">
      <w:pPr>
        <w:spacing w:line="640" w:lineRule="exact"/>
        <w:jc w:val="right"/>
        <w:rPr>
          <w:rFonts w:ascii="宋体" w:hAnsi="宋体" w:eastAsia="宋体" w:cs="宋体"/>
          <w:color w:val="auto"/>
          <w:sz w:val="28"/>
          <w:szCs w:val="28"/>
          <w:highlight w:val="none"/>
        </w:rPr>
      </w:pPr>
    </w:p>
    <w:p w14:paraId="7B097202">
      <w:pPr>
        <w:spacing w:line="640" w:lineRule="exact"/>
        <w:jc w:val="righ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（盖单位公章）</w:t>
      </w:r>
    </w:p>
    <w:p w14:paraId="22A2C735">
      <w:pPr>
        <w:spacing w:line="640" w:lineRule="exact"/>
        <w:jc w:val="center"/>
        <w:rPr>
          <w:rFonts w:hint="eastAsia" w:eastAsia="宋体"/>
          <w:color w:val="auto"/>
          <w:sz w:val="28"/>
          <w:szCs w:val="28"/>
          <w:highlight w:val="none"/>
        </w:rPr>
      </w:pPr>
      <w:r>
        <w:rPr>
          <w:rFonts w:hint="eastAsia" w:eastAsia="宋体"/>
          <w:color w:val="auto"/>
          <w:sz w:val="28"/>
          <w:szCs w:val="28"/>
          <w:highlight w:val="none"/>
        </w:rPr>
        <w:t xml:space="preserve">                         年    月    日</w:t>
      </w:r>
    </w:p>
    <w:p w14:paraId="08AC4C0C">
      <w:pPr>
        <w:rPr>
          <w:rFonts w:hint="eastAsia" w:eastAsia="黑体"/>
          <w:color w:val="auto"/>
          <w:highlight w:val="none"/>
        </w:rPr>
      </w:pP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十．停工证明（如有）</w:t>
      </w:r>
    </w:p>
    <w:p w14:paraId="064218FF">
      <w:pPr>
        <w:pageBreakBefore w:val="0"/>
        <w:kinsoku/>
        <w:overflowPunct/>
        <w:topLinePunct w:val="0"/>
        <w:bidi w:val="0"/>
        <w:outlineLvl w:val="9"/>
        <w:rPr>
          <w:rFonts w:hint="eastAsia"/>
          <w:color w:val="auto"/>
          <w:highlight w:val="none"/>
        </w:rPr>
      </w:pPr>
    </w:p>
    <w:p w14:paraId="2C314794">
      <w:pPr>
        <w:pageBreakBefore w:val="0"/>
        <w:kinsoku/>
        <w:overflowPunct/>
        <w:topLinePunct w:val="0"/>
        <w:bidi w:val="0"/>
        <w:snapToGrid w:val="0"/>
        <w:spacing w:line="360" w:lineRule="auto"/>
        <w:ind w:firstLine="3659" w:firstLineChars="1139"/>
        <w:outlineLvl w:val="9"/>
        <w:rPr>
          <w:rFonts w:hint="eastAsia" w:ascii="宋体" w:hAnsi="宋体"/>
          <w:b/>
          <w:color w:val="auto"/>
          <w:sz w:val="32"/>
          <w:szCs w:val="32"/>
          <w:highlight w:val="none"/>
        </w:rPr>
      </w:pPr>
      <w:r>
        <w:rPr>
          <w:rFonts w:hint="eastAsia" w:ascii="宋体" w:hAnsi="宋体"/>
          <w:b/>
          <w:color w:val="auto"/>
          <w:sz w:val="32"/>
          <w:szCs w:val="32"/>
          <w:highlight w:val="none"/>
        </w:rPr>
        <w:t>停工证明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2"/>
      </w:tblGrid>
      <w:tr w14:paraId="06CC8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5" w:hRule="atLeast"/>
        </w:trPr>
        <w:tc>
          <w:tcPr>
            <w:tcW w:w="8802" w:type="dxa"/>
            <w:noWrap w:val="0"/>
            <w:vAlign w:val="top"/>
          </w:tcPr>
          <w:p w14:paraId="65E6833A">
            <w:pPr>
              <w:pageBreakBefore w:val="0"/>
              <w:kinsoku/>
              <w:overflowPunct/>
              <w:topLinePunct w:val="0"/>
              <w:bidi w:val="0"/>
              <w:spacing w:line="360" w:lineRule="auto"/>
              <w:ind w:firstLine="560" w:firstLineChars="200"/>
              <w:outlineLvl w:val="9"/>
              <w:rPr>
                <w:rFonts w:hint="eastAsia"/>
                <w:color w:val="auto"/>
                <w:sz w:val="28"/>
                <w:szCs w:val="28"/>
                <w:highlight w:val="none"/>
              </w:rPr>
            </w:pPr>
            <w:r>
              <w:rPr>
                <w:rFonts w:hint="eastAsia"/>
                <w:color w:val="auto"/>
                <w:sz w:val="28"/>
                <w:szCs w:val="28"/>
                <w:highlight w:val="none"/>
              </w:rPr>
              <w:t>____________(原建设单位）：</w:t>
            </w:r>
          </w:p>
          <w:p w14:paraId="0D71A3A4">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贵单位____________(原工程项目名称），于___年___月___日取得施工许可证，并于___年___月___日开工。但因非我承包人原因自___年___月___日至今，已连续停工超过120天。特申请同意我公司项目负责人__________（项目负责人名字）承接其他项目。</w:t>
            </w:r>
          </w:p>
          <w:p w14:paraId="55BF98D6">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3210C554">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7E5C1A6A">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1CD79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0" w:hRule="atLeast"/>
        </w:trPr>
        <w:tc>
          <w:tcPr>
            <w:tcW w:w="8802" w:type="dxa"/>
            <w:noWrap w:val="0"/>
            <w:vAlign w:val="top"/>
          </w:tcPr>
          <w:p w14:paraId="3999BF19">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5FDAC190">
            <w:pPr>
              <w:pageBreakBefore w:val="0"/>
              <w:kinsoku/>
              <w:overflowPunct/>
              <w:topLinePunct w:val="0"/>
              <w:bidi w:val="0"/>
              <w:spacing w:line="360" w:lineRule="auto"/>
              <w:outlineLvl w:val="9"/>
              <w:rPr>
                <w:rFonts w:hint="eastAsia"/>
                <w:color w:val="auto"/>
                <w:sz w:val="28"/>
                <w:szCs w:val="28"/>
                <w:highlight w:val="none"/>
              </w:rPr>
            </w:pPr>
          </w:p>
          <w:p w14:paraId="1ECBE037">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1B2599E1">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___年___月___日</w:t>
            </w:r>
          </w:p>
          <w:p w14:paraId="551ABBE0">
            <w:pPr>
              <w:pageBreakBefore w:val="0"/>
              <w:kinsoku/>
              <w:overflowPunct/>
              <w:topLinePunct w:val="0"/>
              <w:bidi w:val="0"/>
              <w:spacing w:line="360" w:lineRule="auto"/>
              <w:outlineLvl w:val="9"/>
              <w:rPr>
                <w:rFonts w:hint="eastAsia"/>
                <w:color w:val="auto"/>
                <w:highlight w:val="none"/>
              </w:rPr>
            </w:pPr>
          </w:p>
        </w:tc>
      </w:tr>
      <w:tr w14:paraId="32898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02" w:type="dxa"/>
            <w:noWrap w:val="0"/>
            <w:vAlign w:val="top"/>
          </w:tcPr>
          <w:p w14:paraId="5EE79157">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40A6798A">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自___年___月___日开始停工，至今已超过120天。情况属实。</w:t>
            </w:r>
          </w:p>
          <w:p w14:paraId="25817AD8">
            <w:pPr>
              <w:pageBreakBefore w:val="0"/>
              <w:kinsoku/>
              <w:overflowPunct/>
              <w:topLinePunct w:val="0"/>
              <w:bidi w:val="0"/>
              <w:spacing w:line="360" w:lineRule="auto"/>
              <w:jc w:val="right"/>
              <w:outlineLvl w:val="9"/>
              <w:rPr>
                <w:rFonts w:hint="eastAsia"/>
                <w:color w:val="auto"/>
                <w:sz w:val="28"/>
                <w:szCs w:val="28"/>
                <w:highlight w:val="none"/>
              </w:rPr>
            </w:pPr>
          </w:p>
          <w:p w14:paraId="1E81BCF1">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2662AA2C">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22E14A9F">
      <w:pPr>
        <w:pageBreakBefore w:val="0"/>
        <w:kinsoku/>
        <w:overflowPunct/>
        <w:topLinePunct w:val="0"/>
        <w:bidi w:val="0"/>
        <w:spacing w:line="360" w:lineRule="auto"/>
        <w:outlineLvl w:val="9"/>
        <w:rPr>
          <w:rFonts w:hint="eastAsia" w:ascii="黑体" w:hAnsi="黑体" w:eastAsia="黑体" w:cs="黑体"/>
          <w:color w:val="auto"/>
          <w:highlight w:val="none"/>
        </w:rPr>
      </w:pPr>
      <w:r>
        <w:rPr>
          <w:rFonts w:hint="eastAsia" w:ascii="Times New Roman" w:hAnsi="Times New Roman" w:eastAsia="宋体" w:cs="Times New Roman"/>
          <w:color w:val="auto"/>
          <w:sz w:val="21"/>
          <w:highlight w:val="none"/>
        </w:rPr>
        <w:t>注：在承接新项目时原承接的项目仍处于连续停工状态。若原承接项目已复工的本《证明》不得使用。</w:t>
      </w:r>
      <w:r>
        <w:rPr>
          <w:rFonts w:hint="eastAsia" w:ascii="Times New Roman" w:hAnsi="Times New Roman" w:eastAsia="宋体" w:cs="Times New Roman"/>
          <w:color w:val="auto"/>
          <w:sz w:val="21"/>
          <w:highlight w:val="none"/>
        </w:rPr>
        <w:br w:type="page"/>
      </w: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w:t>
      </w:r>
      <w:r>
        <w:rPr>
          <w:rFonts w:hint="eastAsia" w:ascii="黑体" w:hAnsi="黑体" w:eastAsia="黑体" w:cs="黑体"/>
          <w:b/>
          <w:color w:val="auto"/>
          <w:sz w:val="28"/>
          <w:szCs w:val="28"/>
          <w:highlight w:val="none"/>
          <w:lang w:val="en-US" w:eastAsia="zh-CN"/>
        </w:rPr>
        <w:t>一</w:t>
      </w:r>
      <w:r>
        <w:rPr>
          <w:rFonts w:hint="eastAsia" w:ascii="黑体" w:hAnsi="黑体" w:eastAsia="黑体" w:cs="黑体"/>
          <w:b/>
          <w:color w:val="auto"/>
          <w:sz w:val="28"/>
          <w:szCs w:val="28"/>
          <w:highlight w:val="none"/>
        </w:rPr>
        <w:t>．未验收证明（如有）</w:t>
      </w:r>
    </w:p>
    <w:p w14:paraId="46DA9732">
      <w:pPr>
        <w:keepNext/>
        <w:keepLines/>
        <w:pageBreakBefore w:val="0"/>
        <w:kinsoku/>
        <w:overflowPunct/>
        <w:topLinePunct w:val="0"/>
        <w:bidi w:val="0"/>
        <w:spacing w:line="360" w:lineRule="auto"/>
        <w:ind w:firstLine="3534" w:firstLineChars="1100"/>
        <w:outlineLvl w:val="9"/>
        <w:rPr>
          <w:rFonts w:hint="eastAsia"/>
          <w:b/>
          <w:bCs/>
          <w:color w:val="auto"/>
          <w:sz w:val="32"/>
          <w:szCs w:val="32"/>
          <w:highlight w:val="none"/>
        </w:rPr>
      </w:pPr>
      <w:r>
        <w:rPr>
          <w:rFonts w:hint="eastAsia"/>
          <w:b/>
          <w:bCs/>
          <w:color w:val="auto"/>
          <w:sz w:val="32"/>
          <w:szCs w:val="32"/>
          <w:highlight w:val="none"/>
        </w:rPr>
        <w:t>未验收证明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57F71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1" w:hRule="atLeast"/>
        </w:trPr>
        <w:tc>
          <w:tcPr>
            <w:tcW w:w="8522" w:type="dxa"/>
            <w:noWrap w:val="0"/>
            <w:vAlign w:val="top"/>
          </w:tcPr>
          <w:p w14:paraId="7997D787">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____________(原建设单位）：</w:t>
            </w:r>
          </w:p>
          <w:p w14:paraId="3ADBAA2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____________(原工程项目名称）于___年___月___日竣工，并于___年___月___日向贵单位提交竣工报告。但非我承包人原因至今已超过120天未进行该项目的竣工验收。特申请同意我公司项目负责人__________（项目负责人名字）承接其他项目。</w:t>
            </w:r>
          </w:p>
          <w:p w14:paraId="23929A0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249DE1C6">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2C1F2BCD">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6FF45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5" w:hRule="atLeast"/>
        </w:trPr>
        <w:tc>
          <w:tcPr>
            <w:tcW w:w="8522" w:type="dxa"/>
            <w:noWrap w:val="0"/>
            <w:vAlign w:val="top"/>
          </w:tcPr>
          <w:p w14:paraId="0D30A393">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1F7AB861">
            <w:pPr>
              <w:pageBreakBefore w:val="0"/>
              <w:kinsoku/>
              <w:overflowPunct/>
              <w:topLinePunct w:val="0"/>
              <w:bidi w:val="0"/>
              <w:spacing w:line="360" w:lineRule="auto"/>
              <w:outlineLvl w:val="9"/>
              <w:rPr>
                <w:rFonts w:hint="eastAsia"/>
                <w:color w:val="auto"/>
                <w:sz w:val="28"/>
                <w:szCs w:val="28"/>
                <w:highlight w:val="none"/>
              </w:rPr>
            </w:pPr>
          </w:p>
          <w:p w14:paraId="717D0E53">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77BD2ED5">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r w14:paraId="1D86F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14:paraId="4E76BE5C">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3498732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承包人向原建设单位提交了竣工报告至今已超过120天。情况属实。</w:t>
            </w:r>
          </w:p>
          <w:p w14:paraId="4E22AD49">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1FE16610">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01BCFA3C">
      <w:pPr>
        <w:pageBreakBefore w:val="0"/>
        <w:kinsoku/>
        <w:overflowPunct/>
        <w:topLinePunct w:val="0"/>
        <w:bidi w:val="0"/>
        <w:spacing w:line="360" w:lineRule="auto"/>
        <w:outlineLvl w:val="9"/>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rPr>
        <w:t>注：在承接新项目时原承接的项目已经竣工验收的，本《证明》不得使用</w:t>
      </w:r>
      <w:r>
        <w:rPr>
          <w:rFonts w:hint="eastAsia" w:ascii="Times New Roman" w:hAnsi="Times New Roman" w:eastAsia="宋体" w:cs="Times New Roman"/>
          <w:color w:val="auto"/>
          <w:sz w:val="21"/>
          <w:highlight w:val="none"/>
          <w:lang w:eastAsia="zh-CN"/>
        </w:rPr>
        <w:t>。</w:t>
      </w:r>
    </w:p>
    <w:p w14:paraId="4A9069EB">
      <w:pPr>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lang w:eastAsia="zh-CN"/>
        </w:rPr>
        <w:br w:type="page"/>
      </w:r>
    </w:p>
    <w:p w14:paraId="7BC6A609">
      <w:pPr>
        <w:numPr>
          <w:ilvl w:val="0"/>
          <w:numId w:val="0"/>
        </w:numPr>
        <w:snapToGrid w:val="0"/>
        <w:spacing w:line="360" w:lineRule="auto"/>
        <w:jc w:val="left"/>
        <w:rPr>
          <w:rFonts w:hint="eastAsia" w:ascii="黑体" w:hAnsi="黑体" w:eastAsia="黑体" w:cs="黑体"/>
          <w:b/>
          <w:color w:val="auto"/>
          <w:sz w:val="28"/>
          <w:szCs w:val="28"/>
          <w:highlight w:val="none"/>
        </w:rPr>
      </w:pPr>
      <w:r>
        <w:rPr>
          <w:rFonts w:hint="eastAsia" w:ascii="黑体" w:hAnsi="黑体" w:eastAsia="黑体" w:cs="黑体"/>
          <w:b/>
          <w:color w:val="auto"/>
          <w:kern w:val="2"/>
          <w:sz w:val="28"/>
          <w:szCs w:val="28"/>
          <w:highlight w:val="none"/>
          <w:lang w:val="en-US" w:eastAsia="zh-CN" w:bidi="ar-SA"/>
        </w:rPr>
        <w:t>附件十二.</w:t>
      </w:r>
      <w:r>
        <w:rPr>
          <w:rFonts w:ascii="黑体" w:hAnsi="黑体" w:eastAsia="黑体" w:cs="黑体"/>
          <w:b/>
          <w:color w:val="auto"/>
          <w:sz w:val="28"/>
          <w:szCs w:val="28"/>
          <w:highlight w:val="none"/>
        </w:rPr>
        <w:t>工程竣工</w:t>
      </w:r>
      <w:r>
        <w:rPr>
          <w:rFonts w:hint="eastAsia" w:ascii="黑体" w:hAnsi="黑体" w:eastAsia="黑体" w:cs="黑体"/>
          <w:b/>
          <w:color w:val="auto"/>
          <w:sz w:val="28"/>
          <w:szCs w:val="28"/>
          <w:highlight w:val="none"/>
        </w:rPr>
        <w:t>验收证明</w:t>
      </w:r>
    </w:p>
    <w:p w14:paraId="5BB28F61">
      <w:pPr>
        <w:numPr>
          <w:ilvl w:val="0"/>
          <w:numId w:val="0"/>
        </w:numPr>
        <w:snapToGrid w:val="0"/>
        <w:spacing w:line="360" w:lineRule="auto"/>
        <w:ind w:firstLine="2891" w:firstLineChars="900"/>
        <w:jc w:val="left"/>
        <w:rPr>
          <w:rFonts w:hint="eastAsia"/>
          <w:b/>
          <w:bCs/>
          <w:color w:val="auto"/>
          <w:sz w:val="32"/>
          <w:szCs w:val="32"/>
          <w:highlight w:val="none"/>
        </w:rPr>
      </w:pPr>
      <w:r>
        <w:rPr>
          <w:b/>
          <w:bCs/>
          <w:color w:val="auto"/>
          <w:sz w:val="32"/>
          <w:szCs w:val="32"/>
          <w:highlight w:val="none"/>
        </w:rPr>
        <w:t>工程</w:t>
      </w:r>
      <w:r>
        <w:rPr>
          <w:rFonts w:hint="eastAsia"/>
          <w:b/>
          <w:bCs/>
          <w:color w:val="auto"/>
          <w:sz w:val="32"/>
          <w:szCs w:val="32"/>
          <w:highlight w:val="none"/>
        </w:rPr>
        <w:t>竣工验收证明</w:t>
      </w:r>
    </w:p>
    <w:tbl>
      <w:tblPr>
        <w:tblStyle w:val="22"/>
        <w:tblW w:w="8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2"/>
      </w:tblGrid>
      <w:tr w14:paraId="0D32C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2" w:hRule="atLeast"/>
        </w:trPr>
        <w:tc>
          <w:tcPr>
            <w:tcW w:w="8852" w:type="dxa"/>
            <w:noWrap w:val="0"/>
            <w:vAlign w:val="top"/>
          </w:tcPr>
          <w:p w14:paraId="3C5FB956">
            <w:pPr>
              <w:spacing w:line="360" w:lineRule="auto"/>
              <w:rPr>
                <w:rFonts w:hint="eastAsia"/>
                <w:color w:val="auto"/>
                <w:sz w:val="28"/>
                <w:szCs w:val="28"/>
                <w:highlight w:val="none"/>
              </w:rPr>
            </w:pPr>
            <w:r>
              <w:rPr>
                <w:rFonts w:hint="eastAsia"/>
                <w:color w:val="auto"/>
                <w:sz w:val="28"/>
                <w:szCs w:val="28"/>
                <w:highlight w:val="none"/>
              </w:rPr>
              <w:t>____________(原建设单位）：</w:t>
            </w:r>
          </w:p>
          <w:p w14:paraId="0B8F37A7">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我公司承接的____________(原工程项目名称）于___年___月___日</w:t>
            </w:r>
            <w:r>
              <w:rPr>
                <w:color w:val="auto"/>
                <w:sz w:val="28"/>
                <w:szCs w:val="28"/>
                <w:highlight w:val="none"/>
              </w:rPr>
              <w:t>已通过工程</w:t>
            </w:r>
            <w:r>
              <w:rPr>
                <w:rFonts w:hint="eastAsia"/>
                <w:color w:val="auto"/>
                <w:sz w:val="28"/>
                <w:szCs w:val="28"/>
                <w:highlight w:val="none"/>
              </w:rPr>
              <w:t>竣工</w:t>
            </w:r>
            <w:r>
              <w:rPr>
                <w:color w:val="auto"/>
                <w:sz w:val="28"/>
                <w:szCs w:val="28"/>
                <w:highlight w:val="none"/>
              </w:rPr>
              <w:t>验收</w:t>
            </w:r>
            <w:r>
              <w:rPr>
                <w:rFonts w:hint="eastAsia"/>
                <w:color w:val="auto"/>
                <w:sz w:val="28"/>
                <w:szCs w:val="28"/>
                <w:highlight w:val="none"/>
              </w:rPr>
              <w:t>，</w:t>
            </w:r>
            <w:r>
              <w:rPr>
                <w:color w:val="auto"/>
                <w:sz w:val="28"/>
                <w:szCs w:val="28"/>
                <w:highlight w:val="none"/>
              </w:rPr>
              <w:t>全国和浙江省建筑市场监管公共服务系统上该工程和人员信息为在建状态</w:t>
            </w:r>
            <w:r>
              <w:rPr>
                <w:rFonts w:hint="eastAsia"/>
                <w:color w:val="auto"/>
                <w:sz w:val="28"/>
                <w:szCs w:val="28"/>
                <w:highlight w:val="none"/>
              </w:rPr>
              <w:t>。</w:t>
            </w:r>
          </w:p>
          <w:p w14:paraId="70509066">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特此证明。</w:t>
            </w:r>
          </w:p>
          <w:p w14:paraId="25123344">
            <w:pPr>
              <w:spacing w:line="360" w:lineRule="auto"/>
              <w:ind w:firstLine="6160" w:firstLineChars="2200"/>
              <w:jc w:val="both"/>
              <w:rPr>
                <w:rFonts w:hint="eastAsia"/>
                <w:color w:val="auto"/>
                <w:sz w:val="28"/>
                <w:szCs w:val="28"/>
                <w:highlight w:val="none"/>
              </w:rPr>
            </w:pPr>
            <w:r>
              <w:rPr>
                <w:rFonts w:hint="eastAsia"/>
                <w:color w:val="auto"/>
                <w:sz w:val="28"/>
                <w:szCs w:val="28"/>
                <w:highlight w:val="none"/>
              </w:rPr>
              <w:t>承包人（盖章）</w:t>
            </w:r>
          </w:p>
          <w:p w14:paraId="379C41FE">
            <w:pPr>
              <w:spacing w:line="360" w:lineRule="auto"/>
              <w:ind w:firstLine="560" w:firstLineChars="200"/>
              <w:jc w:val="right"/>
              <w:rPr>
                <w:rFonts w:hint="eastAsia"/>
                <w:color w:val="auto"/>
                <w:highlight w:val="none"/>
              </w:rPr>
            </w:pPr>
            <w:r>
              <w:rPr>
                <w:rFonts w:hint="eastAsia"/>
                <w:color w:val="auto"/>
                <w:sz w:val="28"/>
                <w:szCs w:val="28"/>
                <w:highlight w:val="none"/>
              </w:rPr>
              <w:t>___年___月___日</w:t>
            </w:r>
          </w:p>
        </w:tc>
      </w:tr>
      <w:tr w14:paraId="0C5A4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6" w:hRule="atLeast"/>
        </w:trPr>
        <w:tc>
          <w:tcPr>
            <w:tcW w:w="8852" w:type="dxa"/>
            <w:noWrap w:val="0"/>
            <w:vAlign w:val="top"/>
          </w:tcPr>
          <w:p w14:paraId="02E20D29">
            <w:pPr>
              <w:spacing w:line="360" w:lineRule="auto"/>
              <w:rPr>
                <w:rFonts w:hint="eastAsia"/>
                <w:color w:val="auto"/>
                <w:sz w:val="28"/>
                <w:szCs w:val="28"/>
                <w:highlight w:val="none"/>
              </w:rPr>
            </w:pPr>
            <w:r>
              <w:rPr>
                <w:rFonts w:hint="eastAsia"/>
                <w:color w:val="auto"/>
                <w:sz w:val="28"/>
                <w:szCs w:val="28"/>
                <w:highlight w:val="none"/>
              </w:rPr>
              <w:t>原建设单位意见：</w:t>
            </w:r>
          </w:p>
          <w:p w14:paraId="6F058246">
            <w:pPr>
              <w:spacing w:line="360" w:lineRule="auto"/>
              <w:rPr>
                <w:rFonts w:hint="eastAsia"/>
                <w:color w:val="auto"/>
                <w:sz w:val="28"/>
                <w:szCs w:val="28"/>
                <w:highlight w:val="none"/>
              </w:rPr>
            </w:pPr>
          </w:p>
          <w:p w14:paraId="72B7018B">
            <w:pPr>
              <w:spacing w:line="360" w:lineRule="auto"/>
              <w:jc w:val="right"/>
              <w:rPr>
                <w:rFonts w:hint="eastAsia"/>
                <w:color w:val="auto"/>
                <w:sz w:val="28"/>
                <w:szCs w:val="28"/>
                <w:highlight w:val="none"/>
              </w:rPr>
            </w:pPr>
            <w:r>
              <w:rPr>
                <w:rFonts w:hint="eastAsia"/>
                <w:color w:val="auto"/>
                <w:sz w:val="28"/>
                <w:szCs w:val="28"/>
                <w:highlight w:val="none"/>
              </w:rPr>
              <w:t>原建设单位（盖章）</w:t>
            </w:r>
          </w:p>
          <w:p w14:paraId="0F47AFD4">
            <w:pPr>
              <w:spacing w:line="360" w:lineRule="auto"/>
              <w:jc w:val="right"/>
              <w:rPr>
                <w:rFonts w:hint="eastAsia"/>
                <w:color w:val="auto"/>
                <w:highlight w:val="none"/>
              </w:rPr>
            </w:pPr>
            <w:r>
              <w:rPr>
                <w:rFonts w:hint="eastAsia"/>
                <w:color w:val="auto"/>
                <w:sz w:val="28"/>
                <w:szCs w:val="28"/>
                <w:highlight w:val="none"/>
              </w:rPr>
              <w:t>___年___月___日</w:t>
            </w:r>
          </w:p>
        </w:tc>
      </w:tr>
      <w:tr w14:paraId="4F95F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6" w:hRule="atLeast"/>
        </w:trPr>
        <w:tc>
          <w:tcPr>
            <w:tcW w:w="8852" w:type="dxa"/>
            <w:noWrap w:val="0"/>
            <w:vAlign w:val="top"/>
          </w:tcPr>
          <w:p w14:paraId="1C237200">
            <w:pPr>
              <w:spacing w:line="360" w:lineRule="auto"/>
              <w:rPr>
                <w:rFonts w:hint="eastAsia"/>
                <w:color w:val="auto"/>
                <w:sz w:val="28"/>
                <w:szCs w:val="28"/>
                <w:highlight w:val="none"/>
              </w:rPr>
            </w:pPr>
            <w:r>
              <w:rPr>
                <w:rFonts w:hint="eastAsia"/>
                <w:color w:val="auto"/>
                <w:sz w:val="28"/>
                <w:szCs w:val="28"/>
                <w:highlight w:val="none"/>
              </w:rPr>
              <w:t>原工程项目所在地建设行政主管部门证明：</w:t>
            </w:r>
          </w:p>
          <w:p w14:paraId="289DF155">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情况属实。</w:t>
            </w:r>
          </w:p>
          <w:p w14:paraId="1B0313FE">
            <w:pPr>
              <w:spacing w:line="360" w:lineRule="auto"/>
              <w:ind w:firstLine="5040" w:firstLineChars="1800"/>
              <w:jc w:val="both"/>
              <w:rPr>
                <w:rFonts w:hint="eastAsia"/>
                <w:color w:val="auto"/>
                <w:sz w:val="28"/>
                <w:szCs w:val="28"/>
                <w:highlight w:val="none"/>
              </w:rPr>
            </w:pPr>
            <w:r>
              <w:rPr>
                <w:rFonts w:hint="eastAsia"/>
                <w:color w:val="auto"/>
                <w:sz w:val="28"/>
                <w:szCs w:val="28"/>
                <w:highlight w:val="none"/>
              </w:rPr>
              <w:t>行政主管部门（盖章）</w:t>
            </w:r>
          </w:p>
          <w:p w14:paraId="3D3503ED">
            <w:pPr>
              <w:spacing w:line="360" w:lineRule="auto"/>
              <w:jc w:val="right"/>
              <w:rPr>
                <w:rFonts w:hint="eastAsia"/>
                <w:color w:val="auto"/>
                <w:highlight w:val="none"/>
              </w:rPr>
            </w:pPr>
            <w:r>
              <w:rPr>
                <w:rFonts w:hint="eastAsia"/>
                <w:color w:val="auto"/>
                <w:sz w:val="28"/>
                <w:szCs w:val="28"/>
                <w:highlight w:val="none"/>
              </w:rPr>
              <w:t>___年___月___日</w:t>
            </w:r>
          </w:p>
        </w:tc>
      </w:tr>
    </w:tbl>
    <w:p w14:paraId="7C141AED">
      <w:pPr>
        <w:widowControl w:val="0"/>
        <w:jc w:val="left"/>
        <w:outlineLvl w:val="0"/>
        <w:rPr>
          <w:rFonts w:hint="eastAsia" w:eastAsia="宋体"/>
          <w:color w:val="auto"/>
          <w:sz w:val="28"/>
          <w:szCs w:val="28"/>
          <w:highlight w:val="none"/>
        </w:rPr>
      </w:pPr>
      <w:r>
        <w:rPr>
          <w:rFonts w:hint="eastAsia" w:ascii="Times New Roman" w:hAnsi="Times New Roman" w:eastAsia="宋体" w:cs="Times New Roman"/>
          <w:color w:val="auto"/>
          <w:sz w:val="21"/>
          <w:highlight w:val="none"/>
        </w:rPr>
        <w:t>注：1.本《证明》仅用于在承接新项目时原承接的项目在全国和浙江省建筑市场监管公共服务系统为在建状态且已经竣工验收的，其他情形不得使用本《证明》。</w:t>
      </w:r>
      <w:r>
        <w:rPr>
          <w:rFonts w:hint="eastAsia" w:ascii="Times New Roman" w:hAnsi="Times New Roman" w:eastAsia="宋体" w:cs="Times New Roman"/>
          <w:color w:val="auto"/>
          <w:sz w:val="21"/>
          <w:highlight w:val="none"/>
        </w:rPr>
        <w:br w:type="textWrapping"/>
      </w:r>
      <w:r>
        <w:rPr>
          <w:rFonts w:hint="eastAsia" w:ascii="Times New Roman" w:hAnsi="Times New Roman" w:eastAsia="宋体" w:cs="Times New Roman"/>
          <w:color w:val="auto"/>
          <w:sz w:val="21"/>
          <w:highlight w:val="none"/>
        </w:rPr>
        <w:t>2.需附上原工程项目包含所有单位工程的《单位工程质量竣工验收记录》，未全部附上的，此《证明》无效。</w:t>
      </w:r>
    </w:p>
    <w:p w14:paraId="3962EDE9">
      <w:pPr>
        <w:rPr>
          <w:color w:val="auto"/>
          <w:highlight w:val="none"/>
        </w:rPr>
      </w:pPr>
    </w:p>
    <w:sectPr>
      <w:pgSz w:w="11906" w:h="16838"/>
      <w:pgMar w:top="1440" w:right="926"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12" w:usb3="00000000" w:csb0="00040001" w:csb1="00000000"/>
  </w:font>
  <w:font w:name="小标宋">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5A84F">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8008D">
    <w:pPr>
      <w:pStyle w:val="13"/>
      <w:framePr w:wrap="around" w:vAnchor="text" w:hAnchor="margin" w:xAlign="center" w:y="1"/>
      <w:rPr>
        <w:rStyle w:val="25"/>
        <w:sz w:val="28"/>
      </w:rPr>
    </w:pPr>
    <w:r>
      <w:rPr>
        <w:sz w:val="28"/>
      </w:rPr>
      <w:fldChar w:fldCharType="begin"/>
    </w:r>
    <w:r>
      <w:rPr>
        <w:rStyle w:val="25"/>
        <w:sz w:val="28"/>
      </w:rPr>
      <w:instrText xml:space="preserve">PAGE  </w:instrText>
    </w:r>
    <w:r>
      <w:rPr>
        <w:sz w:val="28"/>
      </w:rPr>
      <w:fldChar w:fldCharType="separate"/>
    </w:r>
    <w:r>
      <w:rPr>
        <w:rStyle w:val="25"/>
        <w:sz w:val="28"/>
      </w:rPr>
      <w:t>2</w:t>
    </w:r>
    <w:r>
      <w:rPr>
        <w:sz w:val="28"/>
      </w:rPr>
      <w:fldChar w:fldCharType="end"/>
    </w:r>
  </w:p>
  <w:p w14:paraId="3134B523">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264EC">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DCB2F">
    <w:pPr>
      <w:pStyle w:val="1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6CFFF">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0D5CC7C">
                          <w:pPr>
                            <w:pStyle w:val="13"/>
                          </w:pPr>
                          <w:r>
                            <w:fldChar w:fldCharType="begin"/>
                          </w:r>
                          <w:r>
                            <w:instrText xml:space="preserve"> PAGE  \* MERGEFORMAT </w:instrText>
                          </w:r>
                          <w:r>
                            <w:fldChar w:fldCharType="separate"/>
                          </w:r>
                          <w:r>
                            <w:t>4</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60D5CC7C">
                    <w:pPr>
                      <w:pStyle w:val="13"/>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34A8B">
    <w:pPr>
      <w:pBdr>
        <w:top w:val="double" w:color="auto" w:sz="4" w:space="1"/>
      </w:pBdr>
      <w:snapToGrid w:val="0"/>
      <w:jc w:val="center"/>
      <w:rPr>
        <w:rFonts w:eastAsia="宋体"/>
        <w:sz w:val="21"/>
        <w:szCs w:val="21"/>
      </w:rPr>
    </w:pPr>
    <w:r>
      <w:rPr>
        <w:rFonts w:hint="eastAsia" w:eastAsia="宋体"/>
        <w:sz w:val="21"/>
        <w:szCs w:val="21"/>
      </w:rPr>
      <w:t>1</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5AFDB">
    <w:pPr>
      <w:pStyle w:val="1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6ECDF93">
                          <w:pPr>
                            <w:pStyle w:val="13"/>
                          </w:pPr>
                          <w:r>
                            <w:fldChar w:fldCharType="begin"/>
                          </w:r>
                          <w:r>
                            <w:instrText xml:space="preserve"> PAGE  \* MERGEFORMAT </w:instrText>
                          </w:r>
                          <w:r>
                            <w:fldChar w:fldCharType="separate"/>
                          </w:r>
                          <w:r>
                            <w:t>5</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06ECDF93">
                    <w:pPr>
                      <w:pStyle w:val="13"/>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D56F9">
    <w:pPr>
      <w:snapToGrid w:val="0"/>
      <w:jc w:val="left"/>
      <w:rPr>
        <w:rFonts w:ascii="宋体" w:hAnsi="宋体" w:eastAsia="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CD18F82">
                          <w:pPr>
                            <w:pStyle w:val="13"/>
                          </w:pPr>
                          <w:r>
                            <w:fldChar w:fldCharType="begin"/>
                          </w:r>
                          <w:r>
                            <w:instrText xml:space="preserve"> PAGE  \* MERGEFORMAT </w:instrText>
                          </w:r>
                          <w:r>
                            <w:fldChar w:fldCharType="separate"/>
                          </w:r>
                          <w:r>
                            <w:t>18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14:paraId="2CD18F82">
                    <w:pPr>
                      <w:pStyle w:val="13"/>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05400">
    <w:pPr>
      <w:pStyle w:val="13"/>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5"/>
        <w:rFonts w:ascii="宋体" w:hAnsi="宋体" w:eastAsia="宋体"/>
        <w:sz w:val="28"/>
        <w:szCs w:val="28"/>
      </w:rPr>
      <w:instrText xml:space="preserve"> PAGE </w:instrText>
    </w:r>
    <w:r>
      <w:rPr>
        <w:rFonts w:ascii="宋体" w:hAnsi="宋体" w:eastAsia="宋体"/>
        <w:sz w:val="28"/>
        <w:szCs w:val="28"/>
      </w:rPr>
      <w:fldChar w:fldCharType="separate"/>
    </w:r>
    <w:r>
      <w:rPr>
        <w:rStyle w:val="25"/>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5CA04">
    <w:pPr>
      <w:pStyle w:val="1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8D72941">
                          <w:pPr>
                            <w:pStyle w:val="13"/>
                          </w:pPr>
                          <w:r>
                            <w:fldChar w:fldCharType="begin"/>
                          </w:r>
                          <w:r>
                            <w:instrText xml:space="preserve"> PAGE  \* MERGEFORMAT </w:instrText>
                          </w:r>
                          <w:r>
                            <w:fldChar w:fldCharType="separate"/>
                          </w:r>
                          <w:r>
                            <w:t>46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58D72941">
                    <w:pPr>
                      <w:pStyle w:val="13"/>
                    </w:pPr>
                    <w:r>
                      <w:fldChar w:fldCharType="begin"/>
                    </w:r>
                    <w:r>
                      <w:instrText xml:space="preserve"> PAGE  \* MERGEFORMAT </w:instrText>
                    </w:r>
                    <w:r>
                      <w:fldChar w:fldCharType="separate"/>
                    </w:r>
                    <w:r>
                      <w:t>46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2F67F">
    <w:pPr>
      <w:pStyle w:val="14"/>
      <w:wordWrap w:val="0"/>
      <w:jc w:val="right"/>
      <w:rPr>
        <w:rFonts w:hint="eastAsia" w:ascii="宋体" w:hAnsi="宋体" w:eastAsia="宋体"/>
        <w:szCs w:val="18"/>
      </w:rPr>
    </w:pPr>
    <w:r>
      <w:rPr>
        <w:rFonts w:hint="eastAsia" w:ascii="宋体" w:hAnsi="宋体" w:eastAsia="宋体"/>
        <w:color w:val="auto"/>
        <w:szCs w:val="18"/>
        <w:lang w:eastAsia="zh-CN"/>
      </w:rPr>
      <w:t>许墅村道路及附属项目</w:t>
    </w:r>
    <w:r>
      <w:rPr>
        <w:rFonts w:hint="eastAsia" w:ascii="宋体" w:hAnsi="宋体" w:eastAsia="宋体"/>
        <w:color w:val="auto"/>
        <w:szCs w:val="18"/>
      </w:rPr>
      <w:t>招</w:t>
    </w:r>
    <w:r>
      <w:rPr>
        <w:rFonts w:hint="eastAsia" w:ascii="宋体" w:hAnsi="宋体" w:eastAsia="宋体"/>
        <w:szCs w:val="18"/>
      </w:rPr>
      <w:t>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E1B9E">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014D7">
    <w:pPr>
      <w:pStyle w:val="14"/>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A0DD2">
    <w:pPr>
      <w:pStyle w:val="14"/>
      <w:wordWrap w:val="0"/>
      <w:jc w:val="right"/>
      <w:rPr>
        <w:rFonts w:ascii="宋体" w:hAnsi="宋体" w:eastAsia="宋体"/>
        <w:szCs w:val="18"/>
      </w:rPr>
    </w:pPr>
    <w:r>
      <w:rPr>
        <w:rFonts w:hint="eastAsia" w:ascii="宋体" w:hAnsi="宋体" w:eastAsia="宋体"/>
        <w:color w:val="auto"/>
        <w:szCs w:val="18"/>
        <w:lang w:eastAsia="zh-CN"/>
      </w:rPr>
      <w:t>许墅村道路及附属项目</w:t>
    </w:r>
    <w:r>
      <w:rPr>
        <w:rFonts w:hint="eastAsia" w:ascii="宋体" w:hAnsi="宋体" w:eastAsia="宋体"/>
        <w:color w:val="auto"/>
        <w:szCs w:val="18"/>
      </w:rPr>
      <w:t>招标</w:t>
    </w:r>
    <w:r>
      <w:rPr>
        <w:rFonts w:hint="eastAsia" w:ascii="宋体" w:hAnsi="宋体" w:eastAsia="宋体"/>
        <w:szCs w:val="18"/>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74823">
    <w:pPr>
      <w:pBdr>
        <w:bottom w:val="single" w:color="auto" w:sz="6" w:space="1"/>
      </w:pBdr>
      <w:snapToGrid w:val="0"/>
      <w:ind w:right="180"/>
      <w:jc w:val="right"/>
      <w:rPr>
        <w:rFonts w:eastAsia="宋体"/>
        <w:sz w:val="18"/>
      </w:rPr>
    </w:pPr>
    <w:r>
      <w:rPr>
        <w:rFonts w:hint="eastAsia" w:ascii="宋体" w:hAnsi="宋体" w:eastAsia="宋体"/>
        <w:bCs/>
        <w:sz w:val="18"/>
        <w:szCs w:val="18"/>
      </w:rPr>
      <w:t>沿江镇中心幼儿园长甸分园工程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D70C1">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35D30890"/>
    <w:multiLevelType w:val="singleLevel"/>
    <w:tmpl w:val="35D30890"/>
    <w:lvl w:ilvl="0" w:tentative="0">
      <w:start w:val="10"/>
      <w:numFmt w:val="decimal"/>
      <w:suff w:val="nothing"/>
      <w:lvlText w:val="%1．"/>
      <w:lvlJc w:val="left"/>
    </w:lvl>
  </w:abstractNum>
  <w:abstractNum w:abstractNumId="4">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4B4E5583"/>
    <w:multiLevelType w:val="singleLevel"/>
    <w:tmpl w:val="4B4E5583"/>
    <w:lvl w:ilvl="0" w:tentative="0">
      <w:start w:val="11"/>
      <w:numFmt w:val="decimal"/>
      <w:suff w:val="nothing"/>
      <w:lvlText w:val="（%1）"/>
      <w:lvlJc w:val="left"/>
    </w:lvl>
  </w:abstractNum>
  <w:abstractNum w:abstractNumId="6">
    <w:nsid w:val="6A7AA17D"/>
    <w:multiLevelType w:val="singleLevel"/>
    <w:tmpl w:val="6A7AA17D"/>
    <w:lvl w:ilvl="0" w:tentative="0">
      <w:start w:val="7"/>
      <w:numFmt w:val="decimal"/>
      <w:suff w:val="nothing"/>
      <w:lvlText w:val="（%1）"/>
      <w:lvlJc w:val="left"/>
    </w:lvl>
  </w:abstractNum>
  <w:num w:numId="1">
    <w:abstractNumId w:val="2"/>
  </w:num>
  <w:num w:numId="2">
    <w:abstractNumId w:val="1"/>
  </w:num>
  <w:num w:numId="3">
    <w:abstractNumId w:val="4"/>
  </w:num>
  <w:num w:numId="4">
    <w:abstractNumId w:val="0"/>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c5MGNiZjIwNTA1Yzc3YTQzMWUzZTgyYWNjMjM5NTcifQ=="/>
  </w:docVars>
  <w:rsids>
    <w:rsidRoot w:val="1FF80AF3"/>
    <w:rsid w:val="0000285E"/>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D2AB3"/>
    <w:rsid w:val="002F2D42"/>
    <w:rsid w:val="00300BC3"/>
    <w:rsid w:val="00304FD8"/>
    <w:rsid w:val="003112CE"/>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B06A4"/>
    <w:rsid w:val="005B3201"/>
    <w:rsid w:val="005B4477"/>
    <w:rsid w:val="005B6F58"/>
    <w:rsid w:val="005B779D"/>
    <w:rsid w:val="005D17F0"/>
    <w:rsid w:val="005D6B05"/>
    <w:rsid w:val="005E6E1C"/>
    <w:rsid w:val="006032EA"/>
    <w:rsid w:val="00603637"/>
    <w:rsid w:val="00654868"/>
    <w:rsid w:val="0066548C"/>
    <w:rsid w:val="006B5B26"/>
    <w:rsid w:val="006C0C39"/>
    <w:rsid w:val="006C13FB"/>
    <w:rsid w:val="006C4D1F"/>
    <w:rsid w:val="0073014E"/>
    <w:rsid w:val="00733C41"/>
    <w:rsid w:val="00734B08"/>
    <w:rsid w:val="00735F2E"/>
    <w:rsid w:val="007471EB"/>
    <w:rsid w:val="00763EDA"/>
    <w:rsid w:val="00764F4F"/>
    <w:rsid w:val="0076517C"/>
    <w:rsid w:val="00791654"/>
    <w:rsid w:val="007977FB"/>
    <w:rsid w:val="007A12F4"/>
    <w:rsid w:val="007A275E"/>
    <w:rsid w:val="007A2A5A"/>
    <w:rsid w:val="007A32E6"/>
    <w:rsid w:val="007B1985"/>
    <w:rsid w:val="007B60B0"/>
    <w:rsid w:val="007C06B4"/>
    <w:rsid w:val="007D40EF"/>
    <w:rsid w:val="00803802"/>
    <w:rsid w:val="00803CBD"/>
    <w:rsid w:val="00815CB9"/>
    <w:rsid w:val="00833A9E"/>
    <w:rsid w:val="00841193"/>
    <w:rsid w:val="008449DB"/>
    <w:rsid w:val="00846822"/>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3913"/>
    <w:rsid w:val="009307CE"/>
    <w:rsid w:val="009644BF"/>
    <w:rsid w:val="00964618"/>
    <w:rsid w:val="00980EBC"/>
    <w:rsid w:val="00991927"/>
    <w:rsid w:val="009A2DDE"/>
    <w:rsid w:val="009B3A12"/>
    <w:rsid w:val="009E12FA"/>
    <w:rsid w:val="009F636E"/>
    <w:rsid w:val="00A178E5"/>
    <w:rsid w:val="00A305D4"/>
    <w:rsid w:val="00A32A20"/>
    <w:rsid w:val="00A335C6"/>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27B9"/>
    <w:rsid w:val="00BB434B"/>
    <w:rsid w:val="00BC667C"/>
    <w:rsid w:val="00BC6899"/>
    <w:rsid w:val="00BD0A16"/>
    <w:rsid w:val="00BE3256"/>
    <w:rsid w:val="00BF0396"/>
    <w:rsid w:val="00BF7637"/>
    <w:rsid w:val="00C034CB"/>
    <w:rsid w:val="00C273B5"/>
    <w:rsid w:val="00C35C05"/>
    <w:rsid w:val="00C66E71"/>
    <w:rsid w:val="00C756A0"/>
    <w:rsid w:val="00C82A2B"/>
    <w:rsid w:val="00C8795C"/>
    <w:rsid w:val="00C905A4"/>
    <w:rsid w:val="00C95EDD"/>
    <w:rsid w:val="00CA042C"/>
    <w:rsid w:val="00CA2C85"/>
    <w:rsid w:val="00CB19A1"/>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13C2"/>
    <w:rsid w:val="00F25C07"/>
    <w:rsid w:val="00F32926"/>
    <w:rsid w:val="00F75A23"/>
    <w:rsid w:val="00F75FD5"/>
    <w:rsid w:val="00F82325"/>
    <w:rsid w:val="00F87CB6"/>
    <w:rsid w:val="00FB6D47"/>
    <w:rsid w:val="00FC0D6B"/>
    <w:rsid w:val="00FC37EC"/>
    <w:rsid w:val="00FD460B"/>
    <w:rsid w:val="00FE2F28"/>
    <w:rsid w:val="01E00CE2"/>
    <w:rsid w:val="021F1A33"/>
    <w:rsid w:val="02377887"/>
    <w:rsid w:val="02B35CF1"/>
    <w:rsid w:val="0322443D"/>
    <w:rsid w:val="032B3E24"/>
    <w:rsid w:val="03634626"/>
    <w:rsid w:val="039E1C60"/>
    <w:rsid w:val="03B51FD0"/>
    <w:rsid w:val="04BC5D9C"/>
    <w:rsid w:val="0552619E"/>
    <w:rsid w:val="05646570"/>
    <w:rsid w:val="05966E33"/>
    <w:rsid w:val="05DA7B43"/>
    <w:rsid w:val="05FF5E80"/>
    <w:rsid w:val="06296CF3"/>
    <w:rsid w:val="06815E70"/>
    <w:rsid w:val="072E4E50"/>
    <w:rsid w:val="07426CE9"/>
    <w:rsid w:val="079270B3"/>
    <w:rsid w:val="08296FA7"/>
    <w:rsid w:val="088A7F5F"/>
    <w:rsid w:val="089B216C"/>
    <w:rsid w:val="090B419B"/>
    <w:rsid w:val="097D0D2A"/>
    <w:rsid w:val="098B3F8E"/>
    <w:rsid w:val="09AF75D6"/>
    <w:rsid w:val="09C51CFC"/>
    <w:rsid w:val="09C72078"/>
    <w:rsid w:val="09F22179"/>
    <w:rsid w:val="0A1F2E23"/>
    <w:rsid w:val="0A445341"/>
    <w:rsid w:val="0A553026"/>
    <w:rsid w:val="0A717628"/>
    <w:rsid w:val="0B207336"/>
    <w:rsid w:val="0B3D6A50"/>
    <w:rsid w:val="0B950884"/>
    <w:rsid w:val="0C1C748A"/>
    <w:rsid w:val="0C3C5A11"/>
    <w:rsid w:val="0D2F17FD"/>
    <w:rsid w:val="0D375B4A"/>
    <w:rsid w:val="0D51729D"/>
    <w:rsid w:val="0E036230"/>
    <w:rsid w:val="0E126FB3"/>
    <w:rsid w:val="0E4151E6"/>
    <w:rsid w:val="0E69134A"/>
    <w:rsid w:val="0E8826CF"/>
    <w:rsid w:val="0ECD37BE"/>
    <w:rsid w:val="0F422A78"/>
    <w:rsid w:val="0F477F77"/>
    <w:rsid w:val="0FCD5301"/>
    <w:rsid w:val="0FD028A8"/>
    <w:rsid w:val="0FED5C47"/>
    <w:rsid w:val="108B3885"/>
    <w:rsid w:val="10AF1F81"/>
    <w:rsid w:val="10D82D2F"/>
    <w:rsid w:val="10E75D7D"/>
    <w:rsid w:val="11E1204A"/>
    <w:rsid w:val="120025CD"/>
    <w:rsid w:val="126D4B79"/>
    <w:rsid w:val="12E91DF8"/>
    <w:rsid w:val="1319260B"/>
    <w:rsid w:val="131B7F09"/>
    <w:rsid w:val="13386F35"/>
    <w:rsid w:val="137F578F"/>
    <w:rsid w:val="141F36D1"/>
    <w:rsid w:val="141F76ED"/>
    <w:rsid w:val="150C0477"/>
    <w:rsid w:val="158A29E3"/>
    <w:rsid w:val="16361726"/>
    <w:rsid w:val="16905AFB"/>
    <w:rsid w:val="16DE44B1"/>
    <w:rsid w:val="174C1201"/>
    <w:rsid w:val="177F1207"/>
    <w:rsid w:val="18A1598A"/>
    <w:rsid w:val="18AB7C3A"/>
    <w:rsid w:val="18E12580"/>
    <w:rsid w:val="18F26EAB"/>
    <w:rsid w:val="18FC3FD7"/>
    <w:rsid w:val="192243F8"/>
    <w:rsid w:val="193A4DCD"/>
    <w:rsid w:val="193B5FBC"/>
    <w:rsid w:val="195A06AD"/>
    <w:rsid w:val="19BA2262"/>
    <w:rsid w:val="19FE75B4"/>
    <w:rsid w:val="1AD75285"/>
    <w:rsid w:val="1B0D2AFA"/>
    <w:rsid w:val="1B167A44"/>
    <w:rsid w:val="1B6F0B5F"/>
    <w:rsid w:val="1BAD0D5C"/>
    <w:rsid w:val="1BC177F6"/>
    <w:rsid w:val="1BF97D30"/>
    <w:rsid w:val="1C915908"/>
    <w:rsid w:val="1C98187E"/>
    <w:rsid w:val="1DB81794"/>
    <w:rsid w:val="1E363CE9"/>
    <w:rsid w:val="1F160D12"/>
    <w:rsid w:val="1F8606E6"/>
    <w:rsid w:val="1FC96B63"/>
    <w:rsid w:val="1FF80AF3"/>
    <w:rsid w:val="201B4916"/>
    <w:rsid w:val="20670BCA"/>
    <w:rsid w:val="208351DE"/>
    <w:rsid w:val="210950AC"/>
    <w:rsid w:val="21B300CF"/>
    <w:rsid w:val="21F30C65"/>
    <w:rsid w:val="22CA3922"/>
    <w:rsid w:val="22CD3ACD"/>
    <w:rsid w:val="22FC2AF9"/>
    <w:rsid w:val="23636EA1"/>
    <w:rsid w:val="23853A79"/>
    <w:rsid w:val="239361D0"/>
    <w:rsid w:val="23A0402B"/>
    <w:rsid w:val="24EE5273"/>
    <w:rsid w:val="24F44C86"/>
    <w:rsid w:val="24F951F7"/>
    <w:rsid w:val="251A36F0"/>
    <w:rsid w:val="25554E0E"/>
    <w:rsid w:val="25563DFB"/>
    <w:rsid w:val="25983B4F"/>
    <w:rsid w:val="25A050FE"/>
    <w:rsid w:val="25A75047"/>
    <w:rsid w:val="25D37EDE"/>
    <w:rsid w:val="265721F1"/>
    <w:rsid w:val="26892F9B"/>
    <w:rsid w:val="26967876"/>
    <w:rsid w:val="26E47778"/>
    <w:rsid w:val="27112362"/>
    <w:rsid w:val="27230FF2"/>
    <w:rsid w:val="275831DE"/>
    <w:rsid w:val="2776A57E"/>
    <w:rsid w:val="277B2C7C"/>
    <w:rsid w:val="278E6684"/>
    <w:rsid w:val="285C40CB"/>
    <w:rsid w:val="28AA0E85"/>
    <w:rsid w:val="291618C2"/>
    <w:rsid w:val="291B76E3"/>
    <w:rsid w:val="29712FD9"/>
    <w:rsid w:val="29F438D2"/>
    <w:rsid w:val="29F92152"/>
    <w:rsid w:val="2A0475B6"/>
    <w:rsid w:val="2A755A69"/>
    <w:rsid w:val="2A8417B0"/>
    <w:rsid w:val="2AB4272E"/>
    <w:rsid w:val="2AD402FC"/>
    <w:rsid w:val="2B5173DF"/>
    <w:rsid w:val="2B547697"/>
    <w:rsid w:val="2B9D7E25"/>
    <w:rsid w:val="2B9F5B1B"/>
    <w:rsid w:val="2C4C1CFB"/>
    <w:rsid w:val="2C652E7D"/>
    <w:rsid w:val="2C837E42"/>
    <w:rsid w:val="2CAA03F7"/>
    <w:rsid w:val="2CCB09C2"/>
    <w:rsid w:val="2D5371F7"/>
    <w:rsid w:val="2D602A71"/>
    <w:rsid w:val="2DDC09C5"/>
    <w:rsid w:val="2DFE26D1"/>
    <w:rsid w:val="2EA13EF9"/>
    <w:rsid w:val="2F132647"/>
    <w:rsid w:val="2F266FDE"/>
    <w:rsid w:val="2F594E71"/>
    <w:rsid w:val="2F7353A9"/>
    <w:rsid w:val="2FDA531F"/>
    <w:rsid w:val="30330D58"/>
    <w:rsid w:val="3048098A"/>
    <w:rsid w:val="315F7516"/>
    <w:rsid w:val="31737A6D"/>
    <w:rsid w:val="31861B3A"/>
    <w:rsid w:val="32BE3742"/>
    <w:rsid w:val="32DB0BA8"/>
    <w:rsid w:val="32EC61E3"/>
    <w:rsid w:val="331B7BCF"/>
    <w:rsid w:val="33C40AB3"/>
    <w:rsid w:val="33D51112"/>
    <w:rsid w:val="33FA6465"/>
    <w:rsid w:val="34605501"/>
    <w:rsid w:val="358C5B68"/>
    <w:rsid w:val="36254176"/>
    <w:rsid w:val="36DD1F8B"/>
    <w:rsid w:val="36E20676"/>
    <w:rsid w:val="371158BC"/>
    <w:rsid w:val="37292D89"/>
    <w:rsid w:val="379D6D57"/>
    <w:rsid w:val="37BB1D08"/>
    <w:rsid w:val="37BE1059"/>
    <w:rsid w:val="37EB5940"/>
    <w:rsid w:val="38202807"/>
    <w:rsid w:val="3820356C"/>
    <w:rsid w:val="3886386B"/>
    <w:rsid w:val="38926838"/>
    <w:rsid w:val="38A02C1C"/>
    <w:rsid w:val="39024127"/>
    <w:rsid w:val="394079E5"/>
    <w:rsid w:val="395B2504"/>
    <w:rsid w:val="398E28C4"/>
    <w:rsid w:val="39BD0C48"/>
    <w:rsid w:val="39E8727C"/>
    <w:rsid w:val="3A3A27EC"/>
    <w:rsid w:val="3A660B39"/>
    <w:rsid w:val="3AB23C68"/>
    <w:rsid w:val="3ACA2AA9"/>
    <w:rsid w:val="3B5E2A01"/>
    <w:rsid w:val="3B8D4294"/>
    <w:rsid w:val="3B8E3C86"/>
    <w:rsid w:val="3BAC51D5"/>
    <w:rsid w:val="3BE610FE"/>
    <w:rsid w:val="3BE73EE8"/>
    <w:rsid w:val="3CAF413E"/>
    <w:rsid w:val="3D2D00ED"/>
    <w:rsid w:val="3D714E4C"/>
    <w:rsid w:val="3EA7436E"/>
    <w:rsid w:val="3EB017C6"/>
    <w:rsid w:val="3ECD7C23"/>
    <w:rsid w:val="3EE96D1B"/>
    <w:rsid w:val="3EEF43D0"/>
    <w:rsid w:val="3EF30B52"/>
    <w:rsid w:val="3EF8102E"/>
    <w:rsid w:val="3F0459F8"/>
    <w:rsid w:val="3F165ACD"/>
    <w:rsid w:val="3F265D57"/>
    <w:rsid w:val="3F357653"/>
    <w:rsid w:val="3F7E3AD6"/>
    <w:rsid w:val="3F84790D"/>
    <w:rsid w:val="3FF028CE"/>
    <w:rsid w:val="40F77934"/>
    <w:rsid w:val="40FE0657"/>
    <w:rsid w:val="413B553F"/>
    <w:rsid w:val="415C326C"/>
    <w:rsid w:val="4180248A"/>
    <w:rsid w:val="41E77BF5"/>
    <w:rsid w:val="42075BA1"/>
    <w:rsid w:val="42242413"/>
    <w:rsid w:val="42C502DF"/>
    <w:rsid w:val="43041BEF"/>
    <w:rsid w:val="4345654F"/>
    <w:rsid w:val="4374370A"/>
    <w:rsid w:val="439247CC"/>
    <w:rsid w:val="43F959BD"/>
    <w:rsid w:val="43FA4F55"/>
    <w:rsid w:val="4426535A"/>
    <w:rsid w:val="44A46D82"/>
    <w:rsid w:val="45437449"/>
    <w:rsid w:val="45585CB2"/>
    <w:rsid w:val="45612BD3"/>
    <w:rsid w:val="45905552"/>
    <w:rsid w:val="464C0026"/>
    <w:rsid w:val="46713F31"/>
    <w:rsid w:val="4703462D"/>
    <w:rsid w:val="47633879"/>
    <w:rsid w:val="478B0E64"/>
    <w:rsid w:val="47971775"/>
    <w:rsid w:val="47C016D8"/>
    <w:rsid w:val="47D26A75"/>
    <w:rsid w:val="48C9729F"/>
    <w:rsid w:val="491D3EFC"/>
    <w:rsid w:val="493C6D00"/>
    <w:rsid w:val="49E0612F"/>
    <w:rsid w:val="4A6F08EE"/>
    <w:rsid w:val="4B651398"/>
    <w:rsid w:val="4BE40D01"/>
    <w:rsid w:val="4C411A42"/>
    <w:rsid w:val="4C4A5432"/>
    <w:rsid w:val="4C854292"/>
    <w:rsid w:val="4CB848D9"/>
    <w:rsid w:val="4CF431C6"/>
    <w:rsid w:val="4D43040D"/>
    <w:rsid w:val="4DCE7990"/>
    <w:rsid w:val="4DF0589D"/>
    <w:rsid w:val="4E734184"/>
    <w:rsid w:val="4EB01C4F"/>
    <w:rsid w:val="4ECE03CB"/>
    <w:rsid w:val="4F7F2CDB"/>
    <w:rsid w:val="4F964D9C"/>
    <w:rsid w:val="5012695A"/>
    <w:rsid w:val="50A42CBD"/>
    <w:rsid w:val="50D833BE"/>
    <w:rsid w:val="517B51EF"/>
    <w:rsid w:val="51A67B22"/>
    <w:rsid w:val="51E07D46"/>
    <w:rsid w:val="52DF7FD7"/>
    <w:rsid w:val="53135A5B"/>
    <w:rsid w:val="538A6ABB"/>
    <w:rsid w:val="541E33F9"/>
    <w:rsid w:val="54C635B3"/>
    <w:rsid w:val="54EF357C"/>
    <w:rsid w:val="5597283F"/>
    <w:rsid w:val="55BF2A09"/>
    <w:rsid w:val="563E3F56"/>
    <w:rsid w:val="565C6BA3"/>
    <w:rsid w:val="568C5381"/>
    <w:rsid w:val="56BF79F3"/>
    <w:rsid w:val="56CA0C2E"/>
    <w:rsid w:val="576B2C38"/>
    <w:rsid w:val="57C355C8"/>
    <w:rsid w:val="586A79B6"/>
    <w:rsid w:val="58724AAF"/>
    <w:rsid w:val="58E4186C"/>
    <w:rsid w:val="595A593F"/>
    <w:rsid w:val="59692350"/>
    <w:rsid w:val="59742AB8"/>
    <w:rsid w:val="5AD86B4E"/>
    <w:rsid w:val="5B2A26DE"/>
    <w:rsid w:val="5B376AD1"/>
    <w:rsid w:val="5B9F0DEB"/>
    <w:rsid w:val="5BA32664"/>
    <w:rsid w:val="5BB16FB8"/>
    <w:rsid w:val="5BB63711"/>
    <w:rsid w:val="5BEE5961"/>
    <w:rsid w:val="5C1E5E58"/>
    <w:rsid w:val="5D4B6CD4"/>
    <w:rsid w:val="5D7C523D"/>
    <w:rsid w:val="5DA057D6"/>
    <w:rsid w:val="5DC056AF"/>
    <w:rsid w:val="5E0A6506"/>
    <w:rsid w:val="5E115F82"/>
    <w:rsid w:val="5EF33BB4"/>
    <w:rsid w:val="5F6B70B6"/>
    <w:rsid w:val="5FD40FA7"/>
    <w:rsid w:val="601C4F4D"/>
    <w:rsid w:val="6037230A"/>
    <w:rsid w:val="606744CB"/>
    <w:rsid w:val="60B47A39"/>
    <w:rsid w:val="611361AA"/>
    <w:rsid w:val="612607A7"/>
    <w:rsid w:val="6130435D"/>
    <w:rsid w:val="614257A1"/>
    <w:rsid w:val="61567145"/>
    <w:rsid w:val="616F6362"/>
    <w:rsid w:val="619D4BBE"/>
    <w:rsid w:val="61DE2BC3"/>
    <w:rsid w:val="62173103"/>
    <w:rsid w:val="62224451"/>
    <w:rsid w:val="62BF4CA1"/>
    <w:rsid w:val="62DD4735"/>
    <w:rsid w:val="631E10C3"/>
    <w:rsid w:val="635C4F62"/>
    <w:rsid w:val="635F4BDE"/>
    <w:rsid w:val="63A23524"/>
    <w:rsid w:val="63F32E9F"/>
    <w:rsid w:val="63FB36F1"/>
    <w:rsid w:val="64240C7E"/>
    <w:rsid w:val="648957D5"/>
    <w:rsid w:val="648C1DD2"/>
    <w:rsid w:val="64B417CF"/>
    <w:rsid w:val="65033CDE"/>
    <w:rsid w:val="65ED7D25"/>
    <w:rsid w:val="66552ACF"/>
    <w:rsid w:val="66A03BE2"/>
    <w:rsid w:val="66B0141D"/>
    <w:rsid w:val="66BD2ECA"/>
    <w:rsid w:val="66C25E54"/>
    <w:rsid w:val="66F92416"/>
    <w:rsid w:val="66FE3079"/>
    <w:rsid w:val="68C81038"/>
    <w:rsid w:val="6911480D"/>
    <w:rsid w:val="69995F28"/>
    <w:rsid w:val="699D75EA"/>
    <w:rsid w:val="69E93C5A"/>
    <w:rsid w:val="6A1F1B62"/>
    <w:rsid w:val="6B194AB8"/>
    <w:rsid w:val="6B2505AD"/>
    <w:rsid w:val="6B251B80"/>
    <w:rsid w:val="6B78543B"/>
    <w:rsid w:val="6BA70E95"/>
    <w:rsid w:val="6BAC2C7D"/>
    <w:rsid w:val="6BB81B36"/>
    <w:rsid w:val="6BBC654C"/>
    <w:rsid w:val="6BFD1234"/>
    <w:rsid w:val="6C4B33B4"/>
    <w:rsid w:val="6CCC2731"/>
    <w:rsid w:val="6CF12020"/>
    <w:rsid w:val="6D0408D4"/>
    <w:rsid w:val="6D46205C"/>
    <w:rsid w:val="6DE87313"/>
    <w:rsid w:val="6E116A93"/>
    <w:rsid w:val="6E865B4B"/>
    <w:rsid w:val="6F067EF3"/>
    <w:rsid w:val="6F7777FC"/>
    <w:rsid w:val="70534653"/>
    <w:rsid w:val="70B52AE8"/>
    <w:rsid w:val="710B6E6E"/>
    <w:rsid w:val="712C15E1"/>
    <w:rsid w:val="71395DE7"/>
    <w:rsid w:val="71476608"/>
    <w:rsid w:val="71AA5770"/>
    <w:rsid w:val="72720E38"/>
    <w:rsid w:val="727F4B2E"/>
    <w:rsid w:val="728A6139"/>
    <w:rsid w:val="728A61BC"/>
    <w:rsid w:val="72D405E0"/>
    <w:rsid w:val="72F35B4A"/>
    <w:rsid w:val="733E6F30"/>
    <w:rsid w:val="7348070F"/>
    <w:rsid w:val="737A6252"/>
    <w:rsid w:val="74135A7F"/>
    <w:rsid w:val="742A7349"/>
    <w:rsid w:val="74312F91"/>
    <w:rsid w:val="745B379C"/>
    <w:rsid w:val="74696CE7"/>
    <w:rsid w:val="749100EE"/>
    <w:rsid w:val="74EF6293"/>
    <w:rsid w:val="74EF6A2D"/>
    <w:rsid w:val="75087C7C"/>
    <w:rsid w:val="75297601"/>
    <w:rsid w:val="75CC648C"/>
    <w:rsid w:val="75FF5B03"/>
    <w:rsid w:val="762348A3"/>
    <w:rsid w:val="765A6067"/>
    <w:rsid w:val="766034F6"/>
    <w:rsid w:val="767429A8"/>
    <w:rsid w:val="76883BBA"/>
    <w:rsid w:val="76EC11F8"/>
    <w:rsid w:val="772462D2"/>
    <w:rsid w:val="77DC6480"/>
    <w:rsid w:val="782F3180"/>
    <w:rsid w:val="78E01A48"/>
    <w:rsid w:val="78F63361"/>
    <w:rsid w:val="79272682"/>
    <w:rsid w:val="795E76E0"/>
    <w:rsid w:val="796E4E17"/>
    <w:rsid w:val="79A166DA"/>
    <w:rsid w:val="79DB4509"/>
    <w:rsid w:val="7A9802B2"/>
    <w:rsid w:val="7AD11372"/>
    <w:rsid w:val="7AD361E3"/>
    <w:rsid w:val="7C8F385C"/>
    <w:rsid w:val="7CEC5A5F"/>
    <w:rsid w:val="7D6E61DF"/>
    <w:rsid w:val="7D73322C"/>
    <w:rsid w:val="7DDB1BD7"/>
    <w:rsid w:val="7DF92F90"/>
    <w:rsid w:val="7E324F08"/>
    <w:rsid w:val="7E4F2BA1"/>
    <w:rsid w:val="7E5402F7"/>
    <w:rsid w:val="7EAF6DC9"/>
    <w:rsid w:val="7EFF3F53"/>
    <w:rsid w:val="7F503B7C"/>
    <w:rsid w:val="7FAE0E2E"/>
    <w:rsid w:val="7FCF657D"/>
    <w:rsid w:val="7FDC990D"/>
    <w:rsid w:val="9CCDF4AC"/>
    <w:rsid w:val="B76DF614"/>
    <w:rsid w:val="EACDB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qFormat/>
    <w:uiPriority w:val="0"/>
    <w:pPr>
      <w:tabs>
        <w:tab w:val="left" w:pos="574"/>
      </w:tabs>
      <w:spacing w:line="288" w:lineRule="auto"/>
    </w:pPr>
    <w:rPr>
      <w:rFonts w:ascii="宋体" w:hAnsi="宋体" w:eastAsia="宋体"/>
      <w:sz w:val="21"/>
    </w:rPr>
  </w:style>
  <w:style w:type="paragraph" w:styleId="10">
    <w:name w:val="index 4"/>
    <w:basedOn w:val="1"/>
    <w:next w:val="1"/>
    <w:semiHidden/>
    <w:qFormat/>
    <w:uiPriority w:val="0"/>
    <w:pPr>
      <w:ind w:left="600" w:leftChars="600"/>
    </w:pPr>
  </w:style>
  <w:style w:type="paragraph" w:styleId="11">
    <w:name w:val="Plain Text"/>
    <w:basedOn w:val="1"/>
    <w:qFormat/>
    <w:uiPriority w:val="0"/>
    <w:rPr>
      <w:rFonts w:ascii="宋体" w:hAnsi="Courier New"/>
    </w:rPr>
  </w:style>
  <w:style w:type="paragraph" w:styleId="12">
    <w:name w:val="Balloon Text"/>
    <w:basedOn w:val="1"/>
    <w:link w:val="33"/>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style>
  <w:style w:type="paragraph" w:styleId="16">
    <w:name w:val="toc 6"/>
    <w:basedOn w:val="1"/>
    <w:next w:val="1"/>
    <w:unhideWhenUsed/>
    <w:qFormat/>
    <w:uiPriority w:val="0"/>
    <w:pPr>
      <w:ind w:left="2100" w:leftChars="1000"/>
    </w:pPr>
  </w:style>
  <w:style w:type="paragraph" w:styleId="17">
    <w:name w:val="Body Text Indent 3"/>
    <w:basedOn w:val="1"/>
    <w:qFormat/>
    <w:uiPriority w:val="0"/>
    <w:pPr>
      <w:ind w:firstLine="600"/>
    </w:pPr>
    <w:rPr>
      <w:sz w:val="28"/>
    </w:rPr>
  </w:style>
  <w:style w:type="paragraph" w:styleId="18">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19">
    <w:name w:val="Normal (Web)"/>
    <w:basedOn w:val="1"/>
    <w:qFormat/>
    <w:uiPriority w:val="99"/>
    <w:pPr>
      <w:widowControl/>
      <w:spacing w:before="100" w:beforeAutospacing="1" w:after="100" w:afterAutospacing="1"/>
    </w:pPr>
    <w:rPr>
      <w:rFonts w:ascii="宋体" w:hAnsi="宋体"/>
      <w:kern w:val="0"/>
    </w:rPr>
  </w:style>
  <w:style w:type="paragraph" w:styleId="20">
    <w:name w:val="Title"/>
    <w:basedOn w:val="1"/>
    <w:next w:val="1"/>
    <w:qFormat/>
    <w:uiPriority w:val="0"/>
    <w:pPr>
      <w:jc w:val="center"/>
      <w:outlineLvl w:val="0"/>
    </w:pPr>
    <w:rPr>
      <w:rFonts w:ascii="Arial" w:hAnsi="Arial" w:eastAsia="宋体" w:cs="Arial"/>
      <w:b/>
      <w:bCs/>
      <w:szCs w:val="32"/>
    </w:rPr>
  </w:style>
  <w:style w:type="paragraph" w:styleId="21">
    <w:name w:val="Body Text First Indent"/>
    <w:basedOn w:val="9"/>
    <w:next w:val="16"/>
    <w:qFormat/>
    <w:uiPriority w:val="0"/>
    <w:pPr>
      <w:spacing w:after="120" w:line="240" w:lineRule="auto"/>
      <w:ind w:firstLine="420" w:firstLineChars="100"/>
    </w:pPr>
    <w:rPr>
      <w:rFonts w:ascii="Times New Roman" w:hAnsi="Times New Roman"/>
    </w:rPr>
  </w:style>
  <w:style w:type="table" w:styleId="23">
    <w:name w:val="Table Grid"/>
    <w:basedOn w:val="22"/>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5">
    <w:name w:val="page number"/>
    <w:basedOn w:val="24"/>
    <w:qFormat/>
    <w:uiPriority w:val="0"/>
  </w:style>
  <w:style w:type="character" w:styleId="26">
    <w:name w:val="line number"/>
    <w:basedOn w:val="24"/>
    <w:qFormat/>
    <w:uiPriority w:val="0"/>
  </w:style>
  <w:style w:type="character" w:styleId="27">
    <w:name w:val="Hyperlink"/>
    <w:qFormat/>
    <w:uiPriority w:val="99"/>
    <w:rPr>
      <w:color w:val="0000FF"/>
      <w:u w:val="single"/>
    </w:rPr>
  </w:style>
  <w:style w:type="character" w:styleId="28">
    <w:name w:val="annotation reference"/>
    <w:basedOn w:val="24"/>
    <w:semiHidden/>
    <w:unhideWhenUsed/>
    <w:qFormat/>
    <w:uiPriority w:val="0"/>
    <w:rPr>
      <w:sz w:val="21"/>
      <w:szCs w:val="21"/>
    </w:rPr>
  </w:style>
  <w:style w:type="paragraph" w:customStyle="1" w:styleId="29">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0">
    <w:name w:val="WPSOffice手动目录 1"/>
    <w:qFormat/>
    <w:uiPriority w:val="0"/>
    <w:rPr>
      <w:rFonts w:ascii="Calibri" w:hAnsi="Calibri" w:eastAsia="宋体" w:cs="Times New Roman"/>
      <w:lang w:val="en-US" w:eastAsia="zh-CN" w:bidi="ar-SA"/>
    </w:rPr>
  </w:style>
  <w:style w:type="paragraph" w:customStyle="1" w:styleId="31">
    <w:name w:val="p0"/>
    <w:basedOn w:val="1"/>
    <w:qFormat/>
    <w:uiPriority w:val="0"/>
    <w:pPr>
      <w:widowControl/>
    </w:pPr>
    <w:rPr>
      <w:kern w:val="0"/>
      <w:szCs w:val="32"/>
    </w:rPr>
  </w:style>
  <w:style w:type="paragraph" w:customStyle="1" w:styleId="32">
    <w:name w:val="标题4"/>
    <w:basedOn w:val="1"/>
    <w:qFormat/>
    <w:uiPriority w:val="0"/>
  </w:style>
  <w:style w:type="character" w:customStyle="1" w:styleId="33">
    <w:name w:val="批注框文本 Char"/>
    <w:basedOn w:val="24"/>
    <w:link w:val="12"/>
    <w:qFormat/>
    <w:uiPriority w:val="0"/>
    <w:rPr>
      <w:rFonts w:ascii="Calibri" w:hAnsi="Calibri" w:eastAsia="仿宋_GB2312"/>
      <w:kern w:val="2"/>
      <w:sz w:val="18"/>
      <w:szCs w:val="18"/>
    </w:rPr>
  </w:style>
  <w:style w:type="paragraph" w:customStyle="1" w:styleId="34">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5">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6">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7">
    <w:name w:val="List Paragraph"/>
    <w:basedOn w:val="1"/>
    <w:qFormat/>
    <w:uiPriority w:val="0"/>
    <w:pPr>
      <w:autoSpaceDE w:val="0"/>
      <w:autoSpaceDN w:val="0"/>
      <w:adjustRightInd w:val="0"/>
      <w:jc w:val="left"/>
    </w:pPr>
    <w:rPr>
      <w:rFonts w:eastAsia="宋体"/>
      <w:kern w:val="0"/>
      <w:sz w:val="24"/>
      <w:szCs w:val="24"/>
    </w:rPr>
  </w:style>
  <w:style w:type="character" w:customStyle="1" w:styleId="38">
    <w:name w:val="NormalCharacter"/>
    <w:semiHidden/>
    <w:qFormat/>
    <w:uiPriority w:val="0"/>
    <w:rPr>
      <w:kern w:val="2"/>
      <w:sz w:val="21"/>
      <w:szCs w:val="24"/>
      <w:lang w:val="en-US" w:eastAsia="zh-CN" w:bidi="ar-SA"/>
    </w:rPr>
  </w:style>
  <w:style w:type="paragraph" w:customStyle="1" w:styleId="39">
    <w:name w:val="Table Text"/>
    <w:basedOn w:val="1"/>
    <w:semiHidden/>
    <w:qFormat/>
    <w:uiPriority w:val="0"/>
    <w:rPr>
      <w:rFonts w:ascii="宋体" w:hAnsi="宋体" w:eastAsia="宋体" w:cs="宋体"/>
      <w:sz w:val="24"/>
      <w:szCs w:val="24"/>
      <w:lang w:val="en-US" w:eastAsia="en-US" w:bidi="ar-SA"/>
    </w:rPr>
  </w:style>
  <w:style w:type="table" w:customStyle="1" w:styleId="4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65</Pages>
  <Words>30964</Words>
  <Characters>32429</Characters>
  <Lines>318</Lines>
  <Paragraphs>89</Paragraphs>
  <TotalTime>0</TotalTime>
  <ScaleCrop>false</ScaleCrop>
  <LinksUpToDate>false</LinksUpToDate>
  <CharactersWithSpaces>35654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2021-02-09T18:43:00Z</dcterms:created>
  <dc:creator>HaHaHa~</dc:creator>
  <cp:lastModifiedBy>O</cp:lastModifiedBy>
  <cp:lastPrinted>2026-03-03T16:44:00Z</cp:lastPrinted>
  <dcterms:modified xsi:type="dcterms:W3CDTF">2026-05-29T01:18:25Z</dcterms:modified>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927A9C4D4F9D415E8C0F44DE37A3AA81_13</vt:lpwstr>
  </property>
  <property fmtid="{D5CDD505-2E9C-101B-9397-08002B2CF9AE}" pid="4" name="KSOTemplateDocerSaveRecord">
    <vt:lpwstr>eyJoZGlkIjoiNmY3YWQwNmM5OWYyYmNiZmY3NTJkYTdlZmQyOTc4ODYiLCJ1c2VySWQiOiI0MjcyNDk0NzEifQ==</vt:lpwstr>
  </property>
</Properties>
</file>