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075DDA">
      <w:pPr>
        <w:pStyle w:val="31"/>
        <w:spacing w:beforeLines="0" w:afterLines="0" w:line="360" w:lineRule="auto"/>
        <w:jc w:val="center"/>
        <w:rPr>
          <w:rFonts w:ascii="创艺简标宋" w:hAnsi="宋体" w:eastAsia="创艺简标宋"/>
          <w:sz w:val="44"/>
          <w:szCs w:val="44"/>
          <w:highlight w:val="none"/>
        </w:rPr>
      </w:pPr>
      <w:r>
        <w:drawing>
          <wp:inline distT="0" distB="0" distL="114300" distR="114300">
            <wp:extent cx="6277610" cy="8843645"/>
            <wp:effectExtent l="0" t="0" r="8890" b="146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6277610" cy="8843645"/>
                    </a:xfrm>
                    <a:prstGeom prst="rect">
                      <a:avLst/>
                    </a:prstGeom>
                    <a:noFill/>
                    <a:ln>
                      <a:noFill/>
                    </a:ln>
                  </pic:spPr>
                </pic:pic>
              </a:graphicData>
            </a:graphic>
          </wp:inline>
        </w:drawing>
      </w:r>
      <w:r>
        <w:rPr>
          <w:rFonts w:hint="eastAsia" w:ascii="创艺简标宋" w:hAnsi="宋体" w:eastAsia="创艺简标宋"/>
          <w:sz w:val="44"/>
          <w:szCs w:val="44"/>
          <w:highlight w:val="none"/>
        </w:rPr>
        <w:t>目    录</w:t>
      </w:r>
    </w:p>
    <w:p w14:paraId="17A03A2C">
      <w:pPr>
        <w:pStyle w:val="38"/>
        <w:tabs>
          <w:tab w:val="left" w:pos="6120"/>
        </w:tabs>
        <w:spacing w:line="480" w:lineRule="auto"/>
        <w:rPr>
          <w:rFonts w:ascii="宋体" w:hAnsi="宋体"/>
          <w:b/>
          <w:sz w:val="28"/>
          <w:szCs w:val="28"/>
          <w:highlight w:val="none"/>
        </w:rPr>
      </w:pPr>
    </w:p>
    <w:p w14:paraId="066E5674">
      <w:pPr>
        <w:pStyle w:val="38"/>
        <w:tabs>
          <w:tab w:val="left" w:pos="6120"/>
        </w:tabs>
        <w:spacing w:line="480" w:lineRule="auto"/>
        <w:rPr>
          <w:rFonts w:ascii="宋体" w:hAnsi="宋体"/>
          <w:b/>
          <w:sz w:val="28"/>
          <w:szCs w:val="28"/>
          <w:highlight w:val="none"/>
        </w:rPr>
      </w:pPr>
      <w:r>
        <w:rPr>
          <w:rFonts w:ascii="宋体" w:hAnsi="宋体"/>
          <w:b/>
          <w:sz w:val="28"/>
          <w:szCs w:val="28"/>
          <w:highlight w:val="none"/>
        </w:rPr>
        <w:tab/>
      </w:r>
    </w:p>
    <w:p w14:paraId="483A1F92">
      <w:pPr>
        <w:pStyle w:val="38"/>
        <w:tabs>
          <w:tab w:val="right" w:leader="dot" w:pos="9412"/>
        </w:tabs>
        <w:spacing w:line="480" w:lineRule="auto"/>
        <w:rPr>
          <w:sz w:val="24"/>
          <w:highlight w:val="none"/>
        </w:rPr>
      </w:pPr>
      <w:r>
        <w:rPr>
          <w:rFonts w:ascii="宋体" w:hAnsi="宋体"/>
          <w:sz w:val="24"/>
          <w:highlight w:val="none"/>
        </w:rPr>
        <w:fldChar w:fldCharType="begin"/>
      </w:r>
      <w:r>
        <w:rPr>
          <w:rFonts w:ascii="宋体" w:hAnsi="宋体"/>
          <w:sz w:val="24"/>
          <w:highlight w:val="none"/>
        </w:rPr>
        <w:instrText xml:space="preserve"> </w:instrText>
      </w:r>
      <w:r>
        <w:rPr>
          <w:rFonts w:hint="eastAsia" w:ascii="宋体" w:hAnsi="宋体"/>
          <w:sz w:val="24"/>
          <w:highlight w:val="none"/>
        </w:rPr>
        <w:instrText xml:space="preserve">TOC \o "1-3" \h \z \u</w:instrText>
      </w:r>
      <w:r>
        <w:rPr>
          <w:rFonts w:ascii="宋体" w:hAnsi="宋体"/>
          <w:sz w:val="24"/>
          <w:highlight w:val="none"/>
        </w:rPr>
        <w:instrText xml:space="preserve"> </w:instrText>
      </w:r>
      <w:r>
        <w:rPr>
          <w:rFonts w:ascii="宋体" w:hAnsi="宋体"/>
          <w:sz w:val="24"/>
          <w:highlight w:val="none"/>
        </w:rPr>
        <w:fldChar w:fldCharType="separate"/>
      </w:r>
      <w:r>
        <w:rPr>
          <w:highlight w:val="none"/>
        </w:rPr>
        <w:fldChar w:fldCharType="begin"/>
      </w:r>
      <w:r>
        <w:rPr>
          <w:highlight w:val="none"/>
        </w:rPr>
        <w:instrText xml:space="preserve"> HYPERLINK \l "_Toc26512" </w:instrText>
      </w:r>
      <w:r>
        <w:rPr>
          <w:highlight w:val="none"/>
        </w:rPr>
        <w:fldChar w:fldCharType="separate"/>
      </w:r>
      <w:r>
        <w:rPr>
          <w:rFonts w:hint="eastAsia"/>
          <w:sz w:val="24"/>
          <w:highlight w:val="none"/>
        </w:rPr>
        <w:t xml:space="preserve">第一章 </w:t>
      </w:r>
      <w:r>
        <w:rPr>
          <w:sz w:val="24"/>
          <w:highlight w:val="none"/>
        </w:rPr>
        <w:t xml:space="preserve"> </w:t>
      </w:r>
      <w:r>
        <w:rPr>
          <w:rFonts w:hint="eastAsia" w:ascii="黑体" w:hAnsi="宋体"/>
          <w:sz w:val="24"/>
          <w:highlight w:val="none"/>
        </w:rPr>
        <w:t>竞争性磋商公告</w:t>
      </w:r>
      <w:r>
        <w:rPr>
          <w:sz w:val="24"/>
          <w:highlight w:val="none"/>
        </w:rPr>
        <w:tab/>
      </w:r>
      <w:r>
        <w:rPr>
          <w:sz w:val="24"/>
          <w:highlight w:val="none"/>
        </w:rPr>
        <w:fldChar w:fldCharType="begin"/>
      </w:r>
      <w:r>
        <w:rPr>
          <w:sz w:val="24"/>
          <w:highlight w:val="none"/>
        </w:rPr>
        <w:instrText xml:space="preserve"> PAGEREF _Toc26512 \h </w:instrText>
      </w:r>
      <w:r>
        <w:rPr>
          <w:sz w:val="24"/>
          <w:highlight w:val="none"/>
        </w:rPr>
        <w:fldChar w:fldCharType="separate"/>
      </w:r>
      <w:r>
        <w:rPr>
          <w:sz w:val="24"/>
          <w:highlight w:val="none"/>
        </w:rPr>
        <w:t>3</w:t>
      </w:r>
      <w:r>
        <w:rPr>
          <w:sz w:val="24"/>
          <w:highlight w:val="none"/>
        </w:rPr>
        <w:fldChar w:fldCharType="end"/>
      </w:r>
      <w:r>
        <w:rPr>
          <w:sz w:val="24"/>
          <w:highlight w:val="none"/>
        </w:rPr>
        <w:fldChar w:fldCharType="end"/>
      </w:r>
    </w:p>
    <w:p w14:paraId="678C0B3C">
      <w:pPr>
        <w:pStyle w:val="38"/>
        <w:tabs>
          <w:tab w:val="right" w:leader="dot" w:pos="9412"/>
        </w:tabs>
        <w:spacing w:line="480" w:lineRule="auto"/>
        <w:rPr>
          <w:sz w:val="24"/>
          <w:highlight w:val="none"/>
        </w:rPr>
      </w:pPr>
      <w:r>
        <w:rPr>
          <w:highlight w:val="none"/>
        </w:rPr>
        <w:fldChar w:fldCharType="begin"/>
      </w:r>
      <w:r>
        <w:rPr>
          <w:highlight w:val="none"/>
        </w:rPr>
        <w:instrText xml:space="preserve"> HYPERLINK \l "_Toc5841" </w:instrText>
      </w:r>
      <w:r>
        <w:rPr>
          <w:highlight w:val="none"/>
        </w:rPr>
        <w:fldChar w:fldCharType="separate"/>
      </w:r>
      <w:r>
        <w:rPr>
          <w:rFonts w:hint="eastAsia"/>
          <w:sz w:val="24"/>
          <w:highlight w:val="none"/>
        </w:rPr>
        <w:t>第二章  采购内容、需求及要求</w:t>
      </w:r>
      <w:r>
        <w:rPr>
          <w:sz w:val="24"/>
          <w:highlight w:val="none"/>
        </w:rPr>
        <w:tab/>
      </w:r>
      <w:r>
        <w:rPr>
          <w:sz w:val="24"/>
          <w:highlight w:val="none"/>
        </w:rPr>
        <w:fldChar w:fldCharType="begin"/>
      </w:r>
      <w:r>
        <w:rPr>
          <w:sz w:val="24"/>
          <w:highlight w:val="none"/>
        </w:rPr>
        <w:instrText xml:space="preserve"> PAGEREF _Toc5841 \h </w:instrText>
      </w:r>
      <w:r>
        <w:rPr>
          <w:sz w:val="24"/>
          <w:highlight w:val="none"/>
        </w:rPr>
        <w:fldChar w:fldCharType="separate"/>
      </w:r>
      <w:r>
        <w:rPr>
          <w:sz w:val="24"/>
          <w:highlight w:val="none"/>
        </w:rPr>
        <w:t>6</w:t>
      </w:r>
      <w:r>
        <w:rPr>
          <w:sz w:val="24"/>
          <w:highlight w:val="none"/>
        </w:rPr>
        <w:fldChar w:fldCharType="end"/>
      </w:r>
      <w:r>
        <w:rPr>
          <w:sz w:val="24"/>
          <w:highlight w:val="none"/>
        </w:rPr>
        <w:fldChar w:fldCharType="end"/>
      </w:r>
    </w:p>
    <w:p w14:paraId="727FABD6">
      <w:pPr>
        <w:pStyle w:val="38"/>
        <w:tabs>
          <w:tab w:val="right" w:leader="dot" w:pos="9412"/>
        </w:tabs>
        <w:spacing w:line="480" w:lineRule="auto"/>
        <w:rPr>
          <w:sz w:val="24"/>
          <w:highlight w:val="none"/>
        </w:rPr>
      </w:pPr>
      <w:r>
        <w:rPr>
          <w:highlight w:val="none"/>
        </w:rPr>
        <w:fldChar w:fldCharType="begin"/>
      </w:r>
      <w:r>
        <w:rPr>
          <w:highlight w:val="none"/>
        </w:rPr>
        <w:instrText xml:space="preserve"> HYPERLINK \l "_Toc6386" </w:instrText>
      </w:r>
      <w:r>
        <w:rPr>
          <w:highlight w:val="none"/>
        </w:rPr>
        <w:fldChar w:fldCharType="separate"/>
      </w:r>
      <w:r>
        <w:rPr>
          <w:rFonts w:hint="eastAsia" w:ascii="宋体" w:hAnsi="宋体"/>
          <w:sz w:val="24"/>
          <w:highlight w:val="none"/>
        </w:rPr>
        <w:t>第三章  供应商磋商须知</w:t>
      </w:r>
      <w:r>
        <w:rPr>
          <w:sz w:val="24"/>
          <w:highlight w:val="none"/>
        </w:rPr>
        <w:tab/>
      </w:r>
      <w:r>
        <w:rPr>
          <w:sz w:val="24"/>
          <w:highlight w:val="none"/>
        </w:rPr>
        <w:fldChar w:fldCharType="begin"/>
      </w:r>
      <w:r>
        <w:rPr>
          <w:sz w:val="24"/>
          <w:highlight w:val="none"/>
        </w:rPr>
        <w:instrText xml:space="preserve"> PAGEREF _Toc6386 \h </w:instrText>
      </w:r>
      <w:r>
        <w:rPr>
          <w:sz w:val="24"/>
          <w:highlight w:val="none"/>
        </w:rPr>
        <w:fldChar w:fldCharType="separate"/>
      </w:r>
      <w:r>
        <w:rPr>
          <w:sz w:val="24"/>
          <w:highlight w:val="none"/>
        </w:rPr>
        <w:t>6</w:t>
      </w:r>
      <w:r>
        <w:rPr>
          <w:sz w:val="24"/>
          <w:highlight w:val="none"/>
        </w:rPr>
        <w:fldChar w:fldCharType="end"/>
      </w:r>
      <w:r>
        <w:rPr>
          <w:sz w:val="24"/>
          <w:highlight w:val="none"/>
        </w:rPr>
        <w:fldChar w:fldCharType="end"/>
      </w:r>
    </w:p>
    <w:p w14:paraId="595DAEF4">
      <w:pPr>
        <w:pStyle w:val="38"/>
        <w:tabs>
          <w:tab w:val="right" w:leader="dot" w:pos="9412"/>
        </w:tabs>
        <w:spacing w:line="480" w:lineRule="auto"/>
        <w:rPr>
          <w:sz w:val="24"/>
          <w:highlight w:val="none"/>
        </w:rPr>
      </w:pPr>
      <w:r>
        <w:rPr>
          <w:highlight w:val="none"/>
        </w:rPr>
        <w:fldChar w:fldCharType="begin"/>
      </w:r>
      <w:r>
        <w:rPr>
          <w:highlight w:val="none"/>
        </w:rPr>
        <w:instrText xml:space="preserve"> HYPERLINK \l "_Toc12691" </w:instrText>
      </w:r>
      <w:r>
        <w:rPr>
          <w:highlight w:val="none"/>
        </w:rPr>
        <w:fldChar w:fldCharType="separate"/>
      </w:r>
      <w:r>
        <w:rPr>
          <w:rFonts w:hint="eastAsia" w:ascii="宋体" w:hAnsi="宋体"/>
          <w:sz w:val="24"/>
          <w:highlight w:val="none"/>
        </w:rPr>
        <w:t>第四章  评标办法及评分标准</w:t>
      </w:r>
      <w:r>
        <w:rPr>
          <w:sz w:val="24"/>
          <w:highlight w:val="none"/>
        </w:rPr>
        <w:tab/>
      </w:r>
      <w:r>
        <w:rPr>
          <w:sz w:val="24"/>
          <w:highlight w:val="none"/>
        </w:rPr>
        <w:fldChar w:fldCharType="begin"/>
      </w:r>
      <w:r>
        <w:rPr>
          <w:sz w:val="24"/>
          <w:highlight w:val="none"/>
        </w:rPr>
        <w:instrText xml:space="preserve"> PAGEREF _Toc12691 \h </w:instrText>
      </w:r>
      <w:r>
        <w:rPr>
          <w:sz w:val="24"/>
          <w:highlight w:val="none"/>
        </w:rPr>
        <w:fldChar w:fldCharType="separate"/>
      </w:r>
      <w:r>
        <w:rPr>
          <w:sz w:val="24"/>
          <w:highlight w:val="none"/>
        </w:rPr>
        <w:t>30</w:t>
      </w:r>
      <w:r>
        <w:rPr>
          <w:sz w:val="24"/>
          <w:highlight w:val="none"/>
        </w:rPr>
        <w:fldChar w:fldCharType="end"/>
      </w:r>
      <w:r>
        <w:rPr>
          <w:sz w:val="24"/>
          <w:highlight w:val="none"/>
        </w:rPr>
        <w:fldChar w:fldCharType="end"/>
      </w:r>
    </w:p>
    <w:p w14:paraId="0425B5D3">
      <w:pPr>
        <w:pStyle w:val="38"/>
        <w:tabs>
          <w:tab w:val="right" w:leader="dot" w:pos="9412"/>
        </w:tabs>
        <w:spacing w:line="480" w:lineRule="auto"/>
        <w:rPr>
          <w:sz w:val="24"/>
          <w:highlight w:val="none"/>
        </w:rPr>
      </w:pPr>
      <w:r>
        <w:rPr>
          <w:highlight w:val="none"/>
        </w:rPr>
        <w:fldChar w:fldCharType="begin"/>
      </w:r>
      <w:r>
        <w:rPr>
          <w:highlight w:val="none"/>
        </w:rPr>
        <w:instrText xml:space="preserve"> HYPERLINK \l "_Toc24212" </w:instrText>
      </w:r>
      <w:r>
        <w:rPr>
          <w:highlight w:val="none"/>
        </w:rPr>
        <w:fldChar w:fldCharType="separate"/>
      </w:r>
      <w:r>
        <w:rPr>
          <w:rFonts w:hint="eastAsia"/>
          <w:sz w:val="24"/>
          <w:highlight w:val="none"/>
        </w:rPr>
        <w:t>第五章  合同主要条款</w:t>
      </w:r>
      <w:r>
        <w:rPr>
          <w:sz w:val="24"/>
          <w:highlight w:val="none"/>
        </w:rPr>
        <w:tab/>
      </w:r>
      <w:r>
        <w:rPr>
          <w:sz w:val="24"/>
          <w:highlight w:val="none"/>
        </w:rPr>
        <w:fldChar w:fldCharType="begin"/>
      </w:r>
      <w:r>
        <w:rPr>
          <w:sz w:val="24"/>
          <w:highlight w:val="none"/>
        </w:rPr>
        <w:instrText xml:space="preserve"> PAGEREF _Toc24212 \h </w:instrText>
      </w:r>
      <w:r>
        <w:rPr>
          <w:sz w:val="24"/>
          <w:highlight w:val="none"/>
        </w:rPr>
        <w:fldChar w:fldCharType="separate"/>
      </w:r>
      <w:r>
        <w:rPr>
          <w:sz w:val="24"/>
          <w:highlight w:val="none"/>
        </w:rPr>
        <w:t>36</w:t>
      </w:r>
      <w:r>
        <w:rPr>
          <w:sz w:val="24"/>
          <w:highlight w:val="none"/>
        </w:rPr>
        <w:fldChar w:fldCharType="end"/>
      </w:r>
      <w:r>
        <w:rPr>
          <w:sz w:val="24"/>
          <w:highlight w:val="none"/>
        </w:rPr>
        <w:fldChar w:fldCharType="end"/>
      </w:r>
    </w:p>
    <w:p w14:paraId="69042D08">
      <w:pPr>
        <w:pStyle w:val="38"/>
        <w:tabs>
          <w:tab w:val="right" w:leader="dot" w:pos="9412"/>
        </w:tabs>
        <w:spacing w:line="480" w:lineRule="auto"/>
        <w:rPr>
          <w:sz w:val="24"/>
          <w:highlight w:val="none"/>
        </w:rPr>
      </w:pPr>
      <w:r>
        <w:rPr>
          <w:highlight w:val="none"/>
        </w:rPr>
        <w:fldChar w:fldCharType="begin"/>
      </w:r>
      <w:r>
        <w:rPr>
          <w:highlight w:val="none"/>
        </w:rPr>
        <w:instrText xml:space="preserve"> HYPERLINK \l "_Toc14104" </w:instrText>
      </w:r>
      <w:r>
        <w:rPr>
          <w:highlight w:val="none"/>
        </w:rPr>
        <w:fldChar w:fldCharType="separate"/>
      </w:r>
      <w:r>
        <w:rPr>
          <w:rFonts w:hint="eastAsia" w:hAnsi="宋体"/>
          <w:sz w:val="24"/>
          <w:highlight w:val="none"/>
        </w:rPr>
        <w:t>第六章　响应文件格式</w:t>
      </w:r>
      <w:r>
        <w:rPr>
          <w:sz w:val="24"/>
          <w:highlight w:val="none"/>
        </w:rPr>
        <w:tab/>
      </w:r>
      <w:r>
        <w:rPr>
          <w:sz w:val="24"/>
          <w:highlight w:val="none"/>
        </w:rPr>
        <w:fldChar w:fldCharType="begin"/>
      </w:r>
      <w:r>
        <w:rPr>
          <w:sz w:val="24"/>
          <w:highlight w:val="none"/>
        </w:rPr>
        <w:instrText xml:space="preserve"> PAGEREF _Toc14104 \h </w:instrText>
      </w:r>
      <w:r>
        <w:rPr>
          <w:sz w:val="24"/>
          <w:highlight w:val="none"/>
        </w:rPr>
        <w:fldChar w:fldCharType="separate"/>
      </w:r>
      <w:r>
        <w:rPr>
          <w:sz w:val="24"/>
          <w:highlight w:val="none"/>
        </w:rPr>
        <w:t>39</w:t>
      </w:r>
      <w:r>
        <w:rPr>
          <w:sz w:val="24"/>
          <w:highlight w:val="none"/>
        </w:rPr>
        <w:fldChar w:fldCharType="end"/>
      </w:r>
      <w:r>
        <w:rPr>
          <w:sz w:val="24"/>
          <w:highlight w:val="none"/>
        </w:rPr>
        <w:fldChar w:fldCharType="end"/>
      </w:r>
    </w:p>
    <w:p w14:paraId="71865040">
      <w:pPr>
        <w:pStyle w:val="45"/>
        <w:tabs>
          <w:tab w:val="right" w:leader="dot" w:pos="9412"/>
        </w:tabs>
        <w:spacing w:line="480" w:lineRule="auto"/>
        <w:rPr>
          <w:sz w:val="24"/>
          <w:highlight w:val="none"/>
        </w:rPr>
      </w:pPr>
      <w:r>
        <w:rPr>
          <w:highlight w:val="none"/>
        </w:rPr>
        <w:fldChar w:fldCharType="begin"/>
      </w:r>
      <w:r>
        <w:rPr>
          <w:highlight w:val="none"/>
        </w:rPr>
        <w:instrText xml:space="preserve"> HYPERLINK \l "_Toc616" </w:instrText>
      </w:r>
      <w:r>
        <w:rPr>
          <w:highlight w:val="none"/>
        </w:rPr>
        <w:fldChar w:fldCharType="separate"/>
      </w:r>
      <w:r>
        <w:rPr>
          <w:rFonts w:hint="eastAsia" w:ascii="宋体" w:hAnsi="宋体"/>
          <w:bCs/>
          <w:sz w:val="24"/>
          <w:highlight w:val="none"/>
        </w:rPr>
        <w:t>一、资格响应文件格式</w:t>
      </w:r>
      <w:r>
        <w:rPr>
          <w:sz w:val="24"/>
          <w:highlight w:val="none"/>
        </w:rPr>
        <w:tab/>
      </w:r>
      <w:r>
        <w:rPr>
          <w:sz w:val="24"/>
          <w:highlight w:val="none"/>
        </w:rPr>
        <w:fldChar w:fldCharType="begin"/>
      </w:r>
      <w:r>
        <w:rPr>
          <w:sz w:val="24"/>
          <w:highlight w:val="none"/>
        </w:rPr>
        <w:instrText xml:space="preserve"> PAGEREF _Toc616 \h </w:instrText>
      </w:r>
      <w:r>
        <w:rPr>
          <w:sz w:val="24"/>
          <w:highlight w:val="none"/>
        </w:rPr>
        <w:fldChar w:fldCharType="separate"/>
      </w:r>
      <w:r>
        <w:rPr>
          <w:sz w:val="24"/>
          <w:highlight w:val="none"/>
        </w:rPr>
        <w:t>39</w:t>
      </w:r>
      <w:r>
        <w:rPr>
          <w:sz w:val="24"/>
          <w:highlight w:val="none"/>
        </w:rPr>
        <w:fldChar w:fldCharType="end"/>
      </w:r>
      <w:r>
        <w:rPr>
          <w:sz w:val="24"/>
          <w:highlight w:val="none"/>
        </w:rPr>
        <w:fldChar w:fldCharType="end"/>
      </w:r>
    </w:p>
    <w:p w14:paraId="31C653D8">
      <w:pPr>
        <w:pStyle w:val="45"/>
        <w:tabs>
          <w:tab w:val="right" w:leader="dot" w:pos="9412"/>
        </w:tabs>
        <w:spacing w:line="480" w:lineRule="auto"/>
        <w:rPr>
          <w:sz w:val="24"/>
          <w:highlight w:val="none"/>
        </w:rPr>
      </w:pPr>
      <w:r>
        <w:rPr>
          <w:highlight w:val="none"/>
        </w:rPr>
        <w:fldChar w:fldCharType="begin"/>
      </w:r>
      <w:r>
        <w:rPr>
          <w:highlight w:val="none"/>
        </w:rPr>
        <w:instrText xml:space="preserve"> HYPERLINK \l "_Toc1934" </w:instrText>
      </w:r>
      <w:r>
        <w:rPr>
          <w:highlight w:val="none"/>
        </w:rPr>
        <w:fldChar w:fldCharType="separate"/>
      </w:r>
      <w:r>
        <w:rPr>
          <w:rFonts w:hint="eastAsia" w:ascii="宋体" w:hAnsi="宋体"/>
          <w:bCs/>
          <w:sz w:val="24"/>
          <w:highlight w:val="none"/>
        </w:rPr>
        <w:t>二、商务技术文件格式</w:t>
      </w:r>
      <w:r>
        <w:rPr>
          <w:sz w:val="24"/>
          <w:highlight w:val="none"/>
        </w:rPr>
        <w:tab/>
      </w:r>
      <w:r>
        <w:rPr>
          <w:sz w:val="24"/>
          <w:highlight w:val="none"/>
        </w:rPr>
        <w:fldChar w:fldCharType="begin"/>
      </w:r>
      <w:r>
        <w:rPr>
          <w:sz w:val="24"/>
          <w:highlight w:val="none"/>
        </w:rPr>
        <w:instrText xml:space="preserve"> PAGEREF _Toc1934 \h </w:instrText>
      </w:r>
      <w:r>
        <w:rPr>
          <w:sz w:val="24"/>
          <w:highlight w:val="none"/>
        </w:rPr>
        <w:fldChar w:fldCharType="separate"/>
      </w:r>
      <w:r>
        <w:rPr>
          <w:sz w:val="24"/>
          <w:highlight w:val="none"/>
        </w:rPr>
        <w:t>42</w:t>
      </w:r>
      <w:r>
        <w:rPr>
          <w:sz w:val="24"/>
          <w:highlight w:val="none"/>
        </w:rPr>
        <w:fldChar w:fldCharType="end"/>
      </w:r>
      <w:r>
        <w:rPr>
          <w:sz w:val="24"/>
          <w:highlight w:val="none"/>
        </w:rPr>
        <w:fldChar w:fldCharType="end"/>
      </w:r>
    </w:p>
    <w:p w14:paraId="0EEA76BF">
      <w:pPr>
        <w:pStyle w:val="45"/>
        <w:tabs>
          <w:tab w:val="right" w:leader="dot" w:pos="9412"/>
        </w:tabs>
        <w:spacing w:line="480" w:lineRule="auto"/>
        <w:rPr>
          <w:sz w:val="24"/>
          <w:highlight w:val="none"/>
        </w:rPr>
      </w:pPr>
      <w:r>
        <w:rPr>
          <w:highlight w:val="none"/>
        </w:rPr>
        <w:fldChar w:fldCharType="begin"/>
      </w:r>
      <w:r>
        <w:rPr>
          <w:highlight w:val="none"/>
        </w:rPr>
        <w:instrText xml:space="preserve"> HYPERLINK \l "_Toc20937" </w:instrText>
      </w:r>
      <w:r>
        <w:rPr>
          <w:highlight w:val="none"/>
        </w:rPr>
        <w:fldChar w:fldCharType="separate"/>
      </w:r>
      <w:r>
        <w:rPr>
          <w:rFonts w:hint="eastAsia" w:ascii="宋体" w:hAnsi="宋体"/>
          <w:sz w:val="24"/>
          <w:highlight w:val="none"/>
        </w:rPr>
        <w:t>三、报价文件格式</w:t>
      </w:r>
      <w:r>
        <w:rPr>
          <w:sz w:val="24"/>
          <w:highlight w:val="none"/>
        </w:rPr>
        <w:tab/>
      </w:r>
      <w:r>
        <w:rPr>
          <w:sz w:val="24"/>
          <w:highlight w:val="none"/>
        </w:rPr>
        <w:fldChar w:fldCharType="begin"/>
      </w:r>
      <w:r>
        <w:rPr>
          <w:sz w:val="24"/>
          <w:highlight w:val="none"/>
        </w:rPr>
        <w:instrText xml:space="preserve"> PAGEREF _Toc20937 \h </w:instrText>
      </w:r>
      <w:r>
        <w:rPr>
          <w:sz w:val="24"/>
          <w:highlight w:val="none"/>
        </w:rPr>
        <w:fldChar w:fldCharType="separate"/>
      </w:r>
      <w:r>
        <w:rPr>
          <w:sz w:val="24"/>
          <w:highlight w:val="none"/>
        </w:rPr>
        <w:t>52</w:t>
      </w:r>
      <w:r>
        <w:rPr>
          <w:sz w:val="24"/>
          <w:highlight w:val="none"/>
        </w:rPr>
        <w:fldChar w:fldCharType="end"/>
      </w:r>
      <w:r>
        <w:rPr>
          <w:sz w:val="24"/>
          <w:highlight w:val="none"/>
        </w:rPr>
        <w:fldChar w:fldCharType="end"/>
      </w:r>
    </w:p>
    <w:p w14:paraId="0F19CCCE">
      <w:pPr>
        <w:spacing w:before="120" w:beforeLines="50" w:line="480" w:lineRule="auto"/>
        <w:rPr>
          <w:rFonts w:ascii="宋体" w:hAnsi="宋体"/>
          <w:b/>
          <w:sz w:val="24"/>
          <w:highlight w:val="none"/>
        </w:rPr>
      </w:pPr>
      <w:r>
        <w:rPr>
          <w:rFonts w:ascii="宋体" w:hAnsi="宋体"/>
          <w:sz w:val="24"/>
          <w:highlight w:val="none"/>
        </w:rPr>
        <w:fldChar w:fldCharType="end"/>
      </w:r>
    </w:p>
    <w:p w14:paraId="49F8D583">
      <w:pPr>
        <w:rPr>
          <w:highlight w:val="none"/>
        </w:rPr>
      </w:pPr>
    </w:p>
    <w:p w14:paraId="4CF00BDD">
      <w:pPr>
        <w:rPr>
          <w:highlight w:val="none"/>
        </w:rPr>
      </w:pPr>
    </w:p>
    <w:p w14:paraId="11B02D12">
      <w:pPr>
        <w:rPr>
          <w:highlight w:val="none"/>
        </w:rPr>
      </w:pPr>
    </w:p>
    <w:p w14:paraId="68EF7C23">
      <w:pPr>
        <w:rPr>
          <w:highlight w:val="none"/>
        </w:rPr>
      </w:pPr>
    </w:p>
    <w:p w14:paraId="11BE795D">
      <w:pPr>
        <w:rPr>
          <w:highlight w:val="none"/>
        </w:rPr>
      </w:pPr>
    </w:p>
    <w:p w14:paraId="74640FA7">
      <w:pPr>
        <w:pStyle w:val="31"/>
        <w:snapToGrid w:val="0"/>
        <w:spacing w:beforeLines="0" w:afterLines="0" w:line="360" w:lineRule="auto"/>
        <w:jc w:val="center"/>
        <w:outlineLvl w:val="0"/>
        <w:rPr>
          <w:rFonts w:ascii="黑体" w:hAnsi="宋体"/>
          <w:b/>
          <w:sz w:val="30"/>
          <w:szCs w:val="30"/>
          <w:highlight w:val="none"/>
        </w:rPr>
      </w:pPr>
      <w:r>
        <w:rPr>
          <w:rFonts w:hint="eastAsia"/>
          <w:highlight w:val="none"/>
        </w:rPr>
        <w:br w:type="page"/>
      </w:r>
      <w:bookmarkStart w:id="0" w:name="_Toc466534747"/>
      <w:bookmarkStart w:id="1" w:name="_Toc21396"/>
      <w:bookmarkStart w:id="2" w:name="_Toc26512"/>
      <w:r>
        <w:rPr>
          <w:rFonts w:hint="eastAsia"/>
          <w:b/>
          <w:sz w:val="30"/>
          <w:szCs w:val="30"/>
          <w:highlight w:val="none"/>
        </w:rPr>
        <w:t xml:space="preserve">第一章 </w:t>
      </w:r>
      <w:bookmarkEnd w:id="0"/>
      <w:r>
        <w:rPr>
          <w:b/>
          <w:sz w:val="30"/>
          <w:szCs w:val="30"/>
          <w:highlight w:val="none"/>
        </w:rPr>
        <w:t xml:space="preserve"> </w:t>
      </w:r>
      <w:r>
        <w:rPr>
          <w:rFonts w:hint="eastAsia" w:ascii="黑体" w:hAnsi="宋体"/>
          <w:b/>
          <w:sz w:val="30"/>
          <w:szCs w:val="30"/>
          <w:highlight w:val="none"/>
        </w:rPr>
        <w:t>竞争性磋商公告</w:t>
      </w:r>
      <w:bookmarkEnd w:id="1"/>
      <w:bookmarkEnd w:id="2"/>
    </w:p>
    <w:p w14:paraId="7175CC2A">
      <w:pPr>
        <w:spacing w:line="400" w:lineRule="exact"/>
        <w:ind w:firstLine="496" w:firstLineChars="200"/>
        <w:rPr>
          <w:rFonts w:ascii="宋体" w:hAnsi="宋体" w:cs="Arial"/>
          <w:sz w:val="24"/>
          <w:highlight w:val="none"/>
        </w:rPr>
      </w:pPr>
      <w:r>
        <w:rPr>
          <w:rFonts w:hint="eastAsia" w:ascii="Arial" w:hAnsi="Arial" w:cs="Arial"/>
          <w:spacing w:val="4"/>
          <w:sz w:val="24"/>
          <w:highlight w:val="none"/>
        </w:rPr>
        <w:t>本项目为</w:t>
      </w:r>
      <w:r>
        <w:rPr>
          <w:rFonts w:hint="eastAsia" w:ascii="Arial" w:hAnsi="Arial" w:cs="Arial"/>
          <w:bCs/>
          <w:spacing w:val="4"/>
          <w:sz w:val="24"/>
          <w:highlight w:val="none"/>
        </w:rPr>
        <w:t>非政府采购</w:t>
      </w:r>
      <w:r>
        <w:rPr>
          <w:rFonts w:hint="eastAsia" w:ascii="Arial" w:hAnsi="Arial" w:cs="Arial"/>
          <w:spacing w:val="4"/>
          <w:sz w:val="24"/>
          <w:highlight w:val="none"/>
        </w:rPr>
        <w:t>项目，根据招标投标有关法律法规及招标人单位内控制度等规定</w:t>
      </w:r>
      <w:r>
        <w:rPr>
          <w:rFonts w:ascii="宋体" w:hAnsi="宋体" w:cs="Arial"/>
          <w:sz w:val="24"/>
          <w:highlight w:val="none"/>
        </w:rPr>
        <w:t>，受</w:t>
      </w:r>
      <w:r>
        <w:rPr>
          <w:rFonts w:hint="eastAsia" w:ascii="宋体" w:hAnsi="宋体" w:cs="Arial"/>
          <w:b/>
          <w:sz w:val="24"/>
          <w:highlight w:val="none"/>
          <w:u w:val="single"/>
          <w:lang w:eastAsia="zh-CN"/>
        </w:rPr>
        <w:t>临海市医疗保障局</w:t>
      </w:r>
      <w:r>
        <w:rPr>
          <w:rFonts w:hint="eastAsia" w:ascii="宋体" w:hAnsi="宋体" w:cs="Arial"/>
          <w:sz w:val="24"/>
          <w:highlight w:val="none"/>
        </w:rPr>
        <w:t>委</w:t>
      </w:r>
      <w:r>
        <w:rPr>
          <w:rFonts w:ascii="宋体" w:hAnsi="宋体" w:cs="Arial"/>
          <w:sz w:val="24"/>
          <w:highlight w:val="none"/>
        </w:rPr>
        <w:t>托，</w:t>
      </w:r>
      <w:r>
        <w:rPr>
          <w:rFonts w:hint="eastAsia" w:ascii="宋体" w:hAnsi="宋体" w:cs="Arial"/>
          <w:sz w:val="24"/>
          <w:highlight w:val="none"/>
        </w:rPr>
        <w:t>参照政府采购有关流程，现</w:t>
      </w:r>
      <w:r>
        <w:rPr>
          <w:rFonts w:ascii="宋体" w:hAnsi="宋体" w:cs="Arial"/>
          <w:sz w:val="24"/>
          <w:highlight w:val="none"/>
        </w:rPr>
        <w:t>就</w:t>
      </w:r>
      <w:r>
        <w:rPr>
          <w:rFonts w:hint="eastAsia" w:ascii="宋体" w:hAnsi="宋体" w:cs="Arial"/>
          <w:b/>
          <w:sz w:val="24"/>
          <w:highlight w:val="none"/>
          <w:u w:val="single"/>
          <w:lang w:eastAsia="zh-CN"/>
        </w:rPr>
        <w:t>临海市医保数据分析服务</w:t>
      </w:r>
      <w:r>
        <w:rPr>
          <w:rFonts w:hint="eastAsia" w:ascii="宋体" w:hAnsi="宋体" w:cs="Arial"/>
          <w:sz w:val="24"/>
          <w:highlight w:val="none"/>
        </w:rPr>
        <w:t>进行竞争性磋商</w:t>
      </w:r>
      <w:r>
        <w:rPr>
          <w:rFonts w:ascii="宋体" w:hAnsi="宋体" w:cs="Arial"/>
          <w:sz w:val="24"/>
          <w:highlight w:val="none"/>
        </w:rPr>
        <w:t>，</w:t>
      </w:r>
      <w:r>
        <w:rPr>
          <w:rFonts w:ascii="宋体" w:hAnsi="宋体" w:cs="Arial"/>
          <w:kern w:val="0"/>
          <w:sz w:val="24"/>
          <w:highlight w:val="none"/>
        </w:rPr>
        <w:t>欢迎</w:t>
      </w:r>
      <w:r>
        <w:rPr>
          <w:rFonts w:hint="eastAsia" w:ascii="宋体" w:hAnsi="宋体" w:cs="Arial"/>
          <w:kern w:val="0"/>
          <w:sz w:val="24"/>
          <w:highlight w:val="none"/>
        </w:rPr>
        <w:t>具备本项目供应商的资格要求且能够及时</w:t>
      </w:r>
      <w:r>
        <w:rPr>
          <w:rFonts w:ascii="宋体" w:hAnsi="宋体" w:cs="Arial"/>
          <w:kern w:val="0"/>
          <w:sz w:val="24"/>
          <w:highlight w:val="none"/>
        </w:rPr>
        <w:t>提供</w:t>
      </w:r>
      <w:r>
        <w:rPr>
          <w:rFonts w:hint="eastAsia" w:ascii="宋体" w:hAnsi="宋体" w:cs="Arial"/>
          <w:kern w:val="0"/>
          <w:sz w:val="24"/>
          <w:highlight w:val="none"/>
        </w:rPr>
        <w:t>相关服务的供应商前来参加竞争性磋商活动</w:t>
      </w:r>
      <w:r>
        <w:rPr>
          <w:rFonts w:ascii="宋体" w:hAnsi="宋体" w:cs="Arial"/>
          <w:kern w:val="0"/>
          <w:sz w:val="24"/>
          <w:highlight w:val="none"/>
        </w:rPr>
        <w:t>。</w:t>
      </w:r>
    </w:p>
    <w:p w14:paraId="2B0E63FF">
      <w:pPr>
        <w:pStyle w:val="48"/>
        <w:spacing w:before="120" w:beforeAutospacing="0" w:after="120" w:afterAutospacing="0" w:line="400" w:lineRule="exact"/>
        <w:rPr>
          <w:rFonts w:cs="Arial"/>
          <w:highlight w:val="none"/>
        </w:rPr>
      </w:pPr>
      <w:r>
        <w:rPr>
          <w:rFonts w:cs="Arial"/>
          <w:b/>
          <w:bCs/>
          <w:highlight w:val="none"/>
        </w:rPr>
        <w:t>1</w:t>
      </w:r>
      <w:r>
        <w:rPr>
          <w:rFonts w:cs="Arial"/>
          <w:highlight w:val="none"/>
        </w:rPr>
        <w:t>.</w:t>
      </w:r>
      <w:r>
        <w:rPr>
          <w:rFonts w:cs="Arial"/>
          <w:b/>
          <w:bCs/>
          <w:highlight w:val="none"/>
        </w:rPr>
        <w:t>项目概况</w:t>
      </w:r>
    </w:p>
    <w:p w14:paraId="4E8C7321">
      <w:pPr>
        <w:pStyle w:val="48"/>
        <w:spacing w:before="120" w:beforeAutospacing="0" w:after="120" w:afterAutospacing="0" w:line="400" w:lineRule="exact"/>
        <w:rPr>
          <w:rFonts w:hint="eastAsia" w:eastAsia="宋体"/>
          <w:highlight w:val="none"/>
          <w:lang w:eastAsia="zh-CN"/>
        </w:rPr>
      </w:pPr>
      <w:r>
        <w:rPr>
          <w:highlight w:val="none"/>
        </w:rPr>
        <w:t>项目名称：</w:t>
      </w:r>
      <w:r>
        <w:rPr>
          <w:rFonts w:hint="eastAsia"/>
          <w:highlight w:val="none"/>
          <w:lang w:eastAsia="zh-CN"/>
        </w:rPr>
        <w:t>临海市医保数据分析服务</w:t>
      </w:r>
    </w:p>
    <w:p w14:paraId="67E3DFA8">
      <w:pPr>
        <w:pStyle w:val="48"/>
        <w:spacing w:before="120" w:beforeAutospacing="0" w:after="120" w:afterAutospacing="0" w:line="400" w:lineRule="exact"/>
        <w:rPr>
          <w:rFonts w:hint="eastAsia" w:eastAsia="宋体"/>
          <w:highlight w:val="none"/>
          <w:lang w:eastAsia="zh-CN"/>
        </w:rPr>
      </w:pPr>
      <w:r>
        <w:rPr>
          <w:highlight w:val="none"/>
        </w:rPr>
        <w:t>招</w:t>
      </w:r>
      <w:r>
        <w:rPr>
          <w:rFonts w:hint="eastAsia"/>
          <w:highlight w:val="none"/>
        </w:rPr>
        <w:t xml:space="preserve"> </w:t>
      </w:r>
      <w:r>
        <w:rPr>
          <w:highlight w:val="none"/>
        </w:rPr>
        <w:t>标</w:t>
      </w:r>
      <w:r>
        <w:rPr>
          <w:rFonts w:hint="eastAsia"/>
          <w:highlight w:val="none"/>
        </w:rPr>
        <w:t xml:space="preserve"> </w:t>
      </w:r>
      <w:r>
        <w:rPr>
          <w:highlight w:val="none"/>
        </w:rPr>
        <w:t>人：</w:t>
      </w:r>
      <w:r>
        <w:rPr>
          <w:rFonts w:hint="eastAsia"/>
          <w:highlight w:val="none"/>
          <w:lang w:eastAsia="zh-CN"/>
        </w:rPr>
        <w:t>临海市医疗保障局</w:t>
      </w:r>
    </w:p>
    <w:p w14:paraId="7E14F157">
      <w:pPr>
        <w:pStyle w:val="48"/>
        <w:spacing w:before="120" w:beforeAutospacing="0" w:after="120" w:afterAutospacing="0" w:line="400" w:lineRule="exact"/>
        <w:rPr>
          <w:highlight w:val="none"/>
        </w:rPr>
      </w:pPr>
      <w:r>
        <w:rPr>
          <w:highlight w:val="none"/>
        </w:rPr>
        <w:t>采购规模及内容概述：</w:t>
      </w:r>
      <w:r>
        <w:rPr>
          <w:rFonts w:hint="eastAsia"/>
          <w:highlight w:val="none"/>
          <w:lang w:eastAsia="zh-CN"/>
        </w:rPr>
        <w:t>临海市医保数据分析服务</w:t>
      </w:r>
      <w:r>
        <w:rPr>
          <w:rFonts w:hint="eastAsia" w:ascii="Arial" w:hAnsi="Arial" w:cs="Arial"/>
          <w:highlight w:val="none"/>
        </w:rPr>
        <w:t>，详见第二章</w:t>
      </w:r>
      <w:r>
        <w:rPr>
          <w:rFonts w:hint="eastAsia"/>
          <w:highlight w:val="none"/>
        </w:rPr>
        <w:t>采购内容、需求及要求</w:t>
      </w:r>
      <w:r>
        <w:rPr>
          <w:rFonts w:hint="eastAsia" w:ascii="Arial" w:hAnsi="Arial" w:cs="Arial"/>
          <w:highlight w:val="none"/>
        </w:rPr>
        <w:t>。</w:t>
      </w:r>
    </w:p>
    <w:p w14:paraId="59EBEF79">
      <w:pPr>
        <w:pStyle w:val="48"/>
        <w:spacing w:before="120" w:beforeAutospacing="0" w:after="120" w:afterAutospacing="0" w:line="400" w:lineRule="exact"/>
        <w:rPr>
          <w:highlight w:val="none"/>
        </w:rPr>
      </w:pPr>
      <w:r>
        <w:rPr>
          <w:rFonts w:hint="eastAsia"/>
          <w:highlight w:val="none"/>
        </w:rPr>
        <w:t>采购预算：</w:t>
      </w:r>
      <w:r>
        <w:rPr>
          <w:rFonts w:hint="eastAsia"/>
          <w:highlight w:val="none"/>
          <w:lang w:val="en-US" w:eastAsia="zh-CN"/>
        </w:rPr>
        <w:t>27</w:t>
      </w:r>
      <w:r>
        <w:rPr>
          <w:rFonts w:hint="eastAsia"/>
          <w:highlight w:val="none"/>
        </w:rPr>
        <w:t>万元</w:t>
      </w:r>
    </w:p>
    <w:p w14:paraId="48AD4DA0">
      <w:pPr>
        <w:pStyle w:val="48"/>
        <w:spacing w:before="120" w:beforeAutospacing="0" w:after="120" w:afterAutospacing="0" w:line="400" w:lineRule="exact"/>
        <w:rPr>
          <w:rFonts w:cs="Arial"/>
          <w:highlight w:val="none"/>
        </w:rPr>
      </w:pPr>
      <w:r>
        <w:rPr>
          <w:rFonts w:cs="Arial"/>
          <w:highlight w:val="none"/>
        </w:rPr>
        <w:t>采购组织类型：</w:t>
      </w:r>
      <w:r>
        <w:rPr>
          <w:rFonts w:hint="eastAsia" w:cs="Arial"/>
          <w:highlight w:val="none"/>
        </w:rPr>
        <w:t>分散采购</w:t>
      </w:r>
    </w:p>
    <w:p w14:paraId="0071536E">
      <w:pPr>
        <w:pStyle w:val="48"/>
        <w:spacing w:before="120" w:beforeAutospacing="0" w:after="120" w:afterAutospacing="0" w:line="400" w:lineRule="exact"/>
        <w:rPr>
          <w:rFonts w:cs="Arial"/>
          <w:highlight w:val="none"/>
        </w:rPr>
      </w:pPr>
      <w:r>
        <w:rPr>
          <w:rFonts w:cs="Arial"/>
          <w:highlight w:val="none"/>
        </w:rPr>
        <w:t>采购标段数：</w:t>
      </w:r>
      <w:r>
        <w:rPr>
          <w:rFonts w:hint="eastAsia" w:cs="Arial"/>
          <w:highlight w:val="none"/>
        </w:rPr>
        <w:t>1</w:t>
      </w:r>
    </w:p>
    <w:p w14:paraId="2FB91F50">
      <w:pPr>
        <w:pStyle w:val="48"/>
        <w:spacing w:before="120" w:beforeAutospacing="0" w:after="120" w:afterAutospacing="0" w:line="400" w:lineRule="exact"/>
        <w:rPr>
          <w:rFonts w:cs="Arial"/>
          <w:highlight w:val="none"/>
        </w:rPr>
      </w:pPr>
      <w:r>
        <w:rPr>
          <w:rFonts w:cs="Arial"/>
          <w:highlight w:val="none"/>
        </w:rPr>
        <w:t>采购方式：</w:t>
      </w:r>
      <w:r>
        <w:rPr>
          <w:rFonts w:hint="eastAsia" w:cs="Arial"/>
          <w:highlight w:val="none"/>
        </w:rPr>
        <w:t>竞争性磋商</w:t>
      </w:r>
    </w:p>
    <w:p w14:paraId="1F1376DB">
      <w:pPr>
        <w:pStyle w:val="48"/>
        <w:spacing w:before="0" w:beforeAutospacing="0" w:after="0" w:afterAutospacing="0" w:line="400" w:lineRule="exact"/>
        <w:rPr>
          <w:rFonts w:hint="default" w:cs="Arial"/>
          <w:b/>
          <w:highlight w:val="none"/>
          <w:lang w:val="en-US"/>
        </w:rPr>
      </w:pPr>
      <w:r>
        <w:rPr>
          <w:rFonts w:hint="eastAsia"/>
          <w:highlight w:val="none"/>
        </w:rPr>
        <w:t>▲</w:t>
      </w:r>
      <w:r>
        <w:rPr>
          <w:rFonts w:hint="eastAsia" w:cs="Arial"/>
          <w:b/>
          <w:highlight w:val="none"/>
        </w:rPr>
        <w:t>服务期</w:t>
      </w:r>
      <w:r>
        <w:rPr>
          <w:rFonts w:cs="Arial"/>
          <w:b/>
          <w:highlight w:val="none"/>
        </w:rPr>
        <w:t>：</w:t>
      </w:r>
      <w:r>
        <w:rPr>
          <w:rFonts w:hint="eastAsia" w:cs="Arial"/>
          <w:b w:val="0"/>
          <w:bCs/>
          <w:highlight w:val="none"/>
        </w:rPr>
        <w:t>自合同签订之日起</w:t>
      </w:r>
      <w:r>
        <w:rPr>
          <w:rFonts w:hint="eastAsia" w:cs="Arial"/>
          <w:b w:val="0"/>
          <w:bCs/>
          <w:highlight w:val="none"/>
          <w:lang w:val="en-US" w:eastAsia="zh-CN"/>
        </w:rPr>
        <w:t>1年。</w:t>
      </w:r>
    </w:p>
    <w:p w14:paraId="24B78B36">
      <w:pPr>
        <w:pStyle w:val="48"/>
        <w:spacing w:before="120" w:beforeAutospacing="0" w:after="120" w:afterAutospacing="0" w:line="400" w:lineRule="exact"/>
        <w:rPr>
          <w:rFonts w:cs="宋体"/>
          <w:b/>
          <w:highlight w:val="none"/>
        </w:rPr>
      </w:pPr>
      <w:r>
        <w:rPr>
          <w:rFonts w:hint="eastAsia" w:ascii="Arial" w:hAnsi="Arial" w:cs="Arial"/>
          <w:b/>
          <w:bCs/>
          <w:highlight w:val="none"/>
        </w:rPr>
        <w:t>磋商</w:t>
      </w:r>
      <w:r>
        <w:rPr>
          <w:rFonts w:hint="eastAsia" w:cs="宋体"/>
          <w:b/>
          <w:highlight w:val="none"/>
        </w:rPr>
        <w:t>文件公告期限：5个工作日</w:t>
      </w:r>
      <w:r>
        <w:rPr>
          <w:rFonts w:hint="eastAsia" w:cs="Arial"/>
          <w:b/>
          <w:highlight w:val="none"/>
        </w:rPr>
        <w:t>。</w:t>
      </w:r>
    </w:p>
    <w:p w14:paraId="52A32CD4">
      <w:pPr>
        <w:pStyle w:val="48"/>
        <w:spacing w:before="120" w:beforeAutospacing="0" w:after="120" w:afterAutospacing="0" w:line="400" w:lineRule="exact"/>
        <w:rPr>
          <w:rFonts w:cs="Arial"/>
          <w:highlight w:val="none"/>
        </w:rPr>
      </w:pPr>
      <w:r>
        <w:rPr>
          <w:rFonts w:cs="Arial"/>
          <w:highlight w:val="none"/>
        </w:rPr>
        <w:t>该项目已具备条件，现对该项目进行</w:t>
      </w:r>
      <w:r>
        <w:rPr>
          <w:rFonts w:hint="eastAsia" w:cs="Arial"/>
          <w:highlight w:val="none"/>
        </w:rPr>
        <w:t>竞争性磋商</w:t>
      </w:r>
      <w:r>
        <w:rPr>
          <w:rFonts w:cs="Arial"/>
          <w:highlight w:val="none"/>
        </w:rPr>
        <w:t>。</w:t>
      </w:r>
    </w:p>
    <w:p w14:paraId="6AD2E3E3">
      <w:pPr>
        <w:spacing w:line="400" w:lineRule="exact"/>
        <w:rPr>
          <w:rFonts w:ascii="宋体" w:hAnsi="宋体" w:cs="Arial"/>
          <w:b/>
          <w:bCs/>
          <w:kern w:val="0"/>
          <w:sz w:val="24"/>
          <w:highlight w:val="none"/>
        </w:rPr>
      </w:pPr>
      <w:r>
        <w:rPr>
          <w:rFonts w:ascii="宋体" w:hAnsi="宋体" w:cs="Arial"/>
          <w:b/>
          <w:bCs/>
          <w:kern w:val="0"/>
          <w:sz w:val="24"/>
          <w:highlight w:val="none"/>
        </w:rPr>
        <w:t>2.投标人资格要求</w:t>
      </w:r>
    </w:p>
    <w:p w14:paraId="74F31739">
      <w:pPr>
        <w:spacing w:line="400" w:lineRule="exact"/>
        <w:rPr>
          <w:rFonts w:ascii="宋体" w:hAnsi="宋体" w:cs="Arial"/>
          <w:kern w:val="0"/>
          <w:sz w:val="24"/>
          <w:highlight w:val="none"/>
        </w:rPr>
      </w:pPr>
      <w:r>
        <w:rPr>
          <w:rFonts w:hint="eastAsia" w:ascii="宋体" w:hAnsi="宋体" w:cs="Arial"/>
          <w:kern w:val="0"/>
          <w:sz w:val="24"/>
          <w:highlight w:val="none"/>
        </w:rPr>
        <w:t>（1）符合《中华人民共和国政府采购法》第二十二条规定；</w:t>
      </w:r>
    </w:p>
    <w:p w14:paraId="3D613F00">
      <w:pPr>
        <w:spacing w:line="400" w:lineRule="exact"/>
        <w:rPr>
          <w:rFonts w:ascii="宋体" w:hAnsi="宋体" w:cs="Arial"/>
          <w:kern w:val="0"/>
          <w:sz w:val="24"/>
          <w:highlight w:val="none"/>
        </w:rPr>
      </w:pPr>
      <w:r>
        <w:rPr>
          <w:rFonts w:hint="eastAsia" w:ascii="宋体" w:hAnsi="宋体" w:cs="Arial"/>
          <w:kern w:val="0"/>
          <w:sz w:val="24"/>
          <w:highlight w:val="none"/>
        </w:rPr>
        <w:t>（2）</w:t>
      </w:r>
      <w:r>
        <w:rPr>
          <w:rFonts w:ascii="宋体" w:hAnsi="宋体" w:cs="Arial"/>
          <w:kern w:val="0"/>
          <w:sz w:val="24"/>
          <w:highlight w:val="none"/>
        </w:rPr>
        <w:t>本项目不接受联合体投标。</w:t>
      </w:r>
    </w:p>
    <w:p w14:paraId="2127803C">
      <w:pPr>
        <w:spacing w:line="400" w:lineRule="exact"/>
        <w:rPr>
          <w:rFonts w:ascii="宋体" w:hAnsi="宋体" w:cs="Arial"/>
          <w:b/>
          <w:bCs/>
          <w:kern w:val="0"/>
          <w:sz w:val="24"/>
          <w:highlight w:val="none"/>
        </w:rPr>
      </w:pPr>
      <w:r>
        <w:rPr>
          <w:rFonts w:ascii="宋体" w:hAnsi="宋体" w:cs="Arial"/>
          <w:b/>
          <w:bCs/>
          <w:kern w:val="0"/>
          <w:sz w:val="24"/>
          <w:highlight w:val="none"/>
        </w:rPr>
        <w:t>报名</w:t>
      </w:r>
    </w:p>
    <w:p w14:paraId="5ACBD4FF">
      <w:pPr>
        <w:spacing w:line="400" w:lineRule="exact"/>
        <w:rPr>
          <w:rFonts w:ascii="宋体" w:hAnsi="宋体" w:cs="Arial"/>
          <w:b/>
          <w:bCs/>
          <w:kern w:val="0"/>
          <w:sz w:val="24"/>
          <w:highlight w:val="none"/>
          <w:u w:val="single"/>
          <w:shd w:val="pct10" w:color="auto" w:fill="FFFFFF"/>
        </w:rPr>
      </w:pPr>
      <w:r>
        <w:rPr>
          <w:rFonts w:hint="eastAsia" w:ascii="宋体" w:hAnsi="宋体" w:cs="Arial"/>
          <w:b/>
          <w:bCs/>
          <w:kern w:val="0"/>
          <w:sz w:val="24"/>
          <w:highlight w:val="none"/>
          <w:u w:val="single"/>
          <w:shd w:val="pct10" w:color="auto" w:fill="FFFFFF"/>
        </w:rPr>
        <w:t>本项目无需报名，</w:t>
      </w:r>
      <w:bookmarkStart w:id="3" w:name="_Hlk59307647"/>
      <w:r>
        <w:rPr>
          <w:rFonts w:hint="eastAsia" w:ascii="宋体" w:hAnsi="宋体" w:cs="Arial"/>
          <w:b/>
          <w:bCs/>
          <w:kern w:val="0"/>
          <w:sz w:val="24"/>
          <w:highlight w:val="none"/>
          <w:u w:val="single"/>
          <w:shd w:val="pct10" w:color="auto" w:fill="FFFFFF"/>
        </w:rPr>
        <w:t>投标人须到临海市限额以下公共资源交易区域平台</w:t>
      </w:r>
    </w:p>
    <w:p w14:paraId="2D119F5B">
      <w:pPr>
        <w:spacing w:line="400" w:lineRule="exact"/>
        <w:rPr>
          <w:rFonts w:ascii="宋体" w:hAnsi="宋体" w:cs="Arial"/>
          <w:b/>
          <w:bCs/>
          <w:kern w:val="0"/>
          <w:sz w:val="24"/>
          <w:highlight w:val="none"/>
          <w:u w:val="single"/>
          <w:shd w:val="pct10" w:color="auto" w:fill="FFFFFF"/>
        </w:rPr>
      </w:pPr>
      <w:r>
        <w:rPr>
          <w:rFonts w:hint="eastAsia" w:ascii="宋体" w:hAnsi="宋体" w:cs="Arial"/>
          <w:b/>
          <w:bCs/>
          <w:kern w:val="0"/>
          <w:sz w:val="24"/>
          <w:highlight w:val="none"/>
          <w:u w:val="single"/>
          <w:shd w:val="pct10" w:color="auto" w:fill="FFFFFF"/>
        </w:rPr>
        <w:t>（https://www.lhcqjy.com.cn/home）注册</w:t>
      </w:r>
      <w:bookmarkEnd w:id="3"/>
      <w:r>
        <w:rPr>
          <w:rFonts w:hint="eastAsia" w:ascii="宋体" w:hAnsi="宋体" w:cs="Arial"/>
          <w:b/>
          <w:bCs/>
          <w:kern w:val="0"/>
          <w:sz w:val="24"/>
          <w:highlight w:val="none"/>
          <w:u w:val="single"/>
          <w:shd w:val="pct10" w:color="auto" w:fill="FFFFFF"/>
        </w:rPr>
        <w:t>、提交审核通过后可参加投标，注册咨询联系人：梁工，联系电话：0576-85407095；</w:t>
      </w:r>
    </w:p>
    <w:p w14:paraId="2E95AD76">
      <w:pPr>
        <w:spacing w:line="400" w:lineRule="exact"/>
        <w:rPr>
          <w:rFonts w:ascii="宋体" w:hAnsi="宋体" w:cs="Arial"/>
          <w:b/>
          <w:bCs/>
          <w:kern w:val="0"/>
          <w:sz w:val="24"/>
          <w:highlight w:val="none"/>
        </w:rPr>
      </w:pPr>
      <w:r>
        <w:rPr>
          <w:rFonts w:ascii="宋体" w:hAnsi="宋体" w:cs="Arial"/>
          <w:b/>
          <w:bCs/>
          <w:kern w:val="0"/>
          <w:sz w:val="24"/>
          <w:highlight w:val="none"/>
        </w:rPr>
        <w:t>4.</w:t>
      </w:r>
      <w:r>
        <w:rPr>
          <w:rFonts w:hint="eastAsia" w:ascii="宋体" w:hAnsi="宋体" w:cs="Arial"/>
          <w:b/>
          <w:bCs/>
          <w:kern w:val="0"/>
          <w:sz w:val="24"/>
          <w:highlight w:val="none"/>
        </w:rPr>
        <w:t>磋商文件</w:t>
      </w:r>
      <w:r>
        <w:rPr>
          <w:rFonts w:ascii="宋体" w:hAnsi="宋体" w:cs="Arial"/>
          <w:b/>
          <w:bCs/>
          <w:kern w:val="0"/>
          <w:sz w:val="24"/>
          <w:highlight w:val="none"/>
        </w:rPr>
        <w:t>的获取</w:t>
      </w:r>
    </w:p>
    <w:p w14:paraId="7C527DAB">
      <w:pPr>
        <w:spacing w:line="400" w:lineRule="exact"/>
        <w:rPr>
          <w:rFonts w:ascii="宋体" w:hAnsi="宋体" w:cs="Arial"/>
          <w:kern w:val="0"/>
          <w:sz w:val="24"/>
          <w:highlight w:val="none"/>
        </w:rPr>
      </w:pPr>
      <w:r>
        <w:rPr>
          <w:rFonts w:ascii="宋体" w:hAnsi="宋体" w:cs="Arial"/>
          <w:kern w:val="0"/>
          <w:sz w:val="24"/>
          <w:highlight w:val="none"/>
        </w:rPr>
        <w:t>采购文件售价：免费</w:t>
      </w:r>
    </w:p>
    <w:p w14:paraId="6ACFB590">
      <w:pPr>
        <w:spacing w:line="400" w:lineRule="exact"/>
        <w:rPr>
          <w:rFonts w:ascii="宋体" w:hAnsi="宋体" w:cs="Arial"/>
          <w:bCs/>
          <w:sz w:val="24"/>
          <w:highlight w:val="none"/>
        </w:rPr>
      </w:pPr>
      <w:r>
        <w:rPr>
          <w:rFonts w:hint="eastAsia" w:ascii="宋体" w:hAnsi="宋体" w:cs="Arial"/>
          <w:bCs/>
          <w:sz w:val="24"/>
          <w:highlight w:val="none"/>
        </w:rPr>
        <w:t>获取方式：凡有意参加投标者，在202</w:t>
      </w:r>
      <w:r>
        <w:rPr>
          <w:rFonts w:hint="eastAsia" w:ascii="宋体" w:hAnsi="宋体" w:cs="Arial"/>
          <w:bCs/>
          <w:sz w:val="24"/>
          <w:highlight w:val="none"/>
          <w:lang w:val="en-US" w:eastAsia="zh-CN"/>
        </w:rPr>
        <w:t>6</w:t>
      </w:r>
      <w:r>
        <w:rPr>
          <w:rFonts w:hint="eastAsia" w:ascii="宋体" w:hAnsi="宋体" w:cs="Arial"/>
          <w:bCs/>
          <w:sz w:val="24"/>
          <w:highlight w:val="none"/>
        </w:rPr>
        <w:t>年</w:t>
      </w:r>
      <w:r>
        <w:rPr>
          <w:rFonts w:hint="eastAsia" w:ascii="宋体" w:hAnsi="宋体" w:cs="Arial"/>
          <w:bCs/>
          <w:sz w:val="24"/>
          <w:highlight w:val="none"/>
          <w:lang w:val="en-US" w:eastAsia="zh-CN"/>
        </w:rPr>
        <w:t>06</w:t>
      </w:r>
      <w:r>
        <w:rPr>
          <w:rFonts w:hint="eastAsia" w:ascii="宋体" w:hAnsi="宋体" w:cs="Arial"/>
          <w:bCs/>
          <w:sz w:val="24"/>
          <w:highlight w:val="none"/>
        </w:rPr>
        <w:t>月</w:t>
      </w:r>
      <w:r>
        <w:rPr>
          <w:rFonts w:hint="eastAsia" w:ascii="宋体" w:hAnsi="宋体" w:cs="Arial"/>
          <w:bCs/>
          <w:sz w:val="24"/>
          <w:highlight w:val="none"/>
          <w:lang w:val="en-US" w:eastAsia="zh-CN"/>
        </w:rPr>
        <w:t>09</w:t>
      </w:r>
      <w:r>
        <w:rPr>
          <w:rFonts w:hint="eastAsia" w:ascii="宋体" w:hAnsi="宋体" w:cs="Arial"/>
          <w:bCs/>
          <w:sz w:val="24"/>
          <w:highlight w:val="none"/>
        </w:rPr>
        <w:t>日</w:t>
      </w:r>
      <w:r>
        <w:rPr>
          <w:rFonts w:hint="eastAsia" w:ascii="宋体" w:hAnsi="宋体" w:cs="Arial"/>
          <w:bCs/>
          <w:sz w:val="24"/>
          <w:highlight w:val="none"/>
          <w:lang w:val="en-US" w:eastAsia="zh-CN"/>
        </w:rPr>
        <w:t>08</w:t>
      </w:r>
      <w:r>
        <w:rPr>
          <w:rFonts w:hint="eastAsia" w:ascii="宋体" w:hAnsi="宋体" w:cs="Arial"/>
          <w:bCs/>
          <w:sz w:val="24"/>
          <w:highlight w:val="none"/>
        </w:rPr>
        <w:t>：</w:t>
      </w:r>
      <w:r>
        <w:rPr>
          <w:rFonts w:hint="eastAsia" w:ascii="宋体" w:hAnsi="宋体" w:cs="Arial"/>
          <w:bCs/>
          <w:sz w:val="24"/>
          <w:highlight w:val="none"/>
          <w:lang w:val="en-US" w:eastAsia="zh-CN"/>
        </w:rPr>
        <w:t>3</w:t>
      </w:r>
      <w:r>
        <w:rPr>
          <w:rFonts w:hint="eastAsia" w:ascii="宋体" w:hAnsi="宋体" w:cs="Arial"/>
          <w:bCs/>
          <w:sz w:val="24"/>
          <w:highlight w:val="none"/>
        </w:rPr>
        <w:t>0前，到临海市限额以下公共资源交易区域平台可自行下载采购文件。</w:t>
      </w:r>
    </w:p>
    <w:p w14:paraId="2F632CB9">
      <w:pPr>
        <w:pStyle w:val="48"/>
        <w:spacing w:before="120" w:beforeAutospacing="0" w:after="120" w:afterAutospacing="0" w:line="400" w:lineRule="exact"/>
        <w:rPr>
          <w:rFonts w:ascii="Arial" w:hAnsi="Arial" w:cs="Arial"/>
          <w:b/>
          <w:bCs/>
          <w:highlight w:val="none"/>
        </w:rPr>
      </w:pPr>
      <w:r>
        <w:rPr>
          <w:rFonts w:hint="eastAsia" w:ascii="Arial" w:hAnsi="Arial" w:cs="Arial"/>
          <w:b/>
          <w:bCs/>
          <w:highlight w:val="none"/>
        </w:rPr>
        <w:t>磋商</w:t>
      </w:r>
      <w:r>
        <w:rPr>
          <w:rFonts w:ascii="Arial" w:hAnsi="Arial" w:cs="Arial"/>
          <w:b/>
          <w:bCs/>
          <w:highlight w:val="none"/>
        </w:rPr>
        <w:t>文件答疑：</w:t>
      </w:r>
      <w:r>
        <w:rPr>
          <w:rFonts w:hint="eastAsia" w:ascii="Arial" w:hAnsi="Arial" w:cs="Arial"/>
          <w:b/>
          <w:bCs/>
          <w:highlight w:val="none"/>
        </w:rPr>
        <w:t>供应商对磋商文件提出质疑的，应当在</w:t>
      </w:r>
      <w:r>
        <w:rPr>
          <w:rFonts w:hint="eastAsia" w:cs="Arial"/>
          <w:b/>
          <w:bCs/>
          <w:highlight w:val="none"/>
        </w:rPr>
        <w:t>202</w:t>
      </w:r>
      <w:r>
        <w:rPr>
          <w:rFonts w:hint="eastAsia" w:cs="Arial"/>
          <w:b/>
          <w:bCs/>
          <w:highlight w:val="none"/>
          <w:lang w:val="en-US" w:eastAsia="zh-CN"/>
        </w:rPr>
        <w:t>6</w:t>
      </w:r>
      <w:r>
        <w:rPr>
          <w:rFonts w:hint="eastAsia" w:cs="Arial"/>
          <w:b/>
          <w:bCs/>
          <w:highlight w:val="none"/>
        </w:rPr>
        <w:t>年</w:t>
      </w:r>
      <w:r>
        <w:rPr>
          <w:rFonts w:hint="eastAsia" w:cs="Arial"/>
          <w:b/>
          <w:bCs/>
          <w:highlight w:val="none"/>
          <w:lang w:val="en-US" w:eastAsia="zh-CN"/>
        </w:rPr>
        <w:t>06</w:t>
      </w:r>
      <w:r>
        <w:rPr>
          <w:rFonts w:hint="eastAsia"/>
          <w:b/>
          <w:bCs/>
          <w:highlight w:val="none"/>
        </w:rPr>
        <w:t>月</w:t>
      </w:r>
      <w:r>
        <w:rPr>
          <w:rFonts w:hint="eastAsia"/>
          <w:b/>
          <w:bCs/>
          <w:highlight w:val="none"/>
          <w:lang w:val="en-US" w:eastAsia="zh-CN"/>
        </w:rPr>
        <w:t>08</w:t>
      </w:r>
      <w:r>
        <w:rPr>
          <w:rFonts w:hint="eastAsia"/>
          <w:b/>
          <w:bCs/>
          <w:highlight w:val="none"/>
        </w:rPr>
        <w:t>日1</w:t>
      </w:r>
      <w:r>
        <w:rPr>
          <w:rFonts w:hint="eastAsia"/>
          <w:b/>
          <w:bCs/>
          <w:highlight w:val="none"/>
          <w:lang w:val="en-US" w:eastAsia="zh-CN"/>
        </w:rPr>
        <w:t>5</w:t>
      </w:r>
      <w:r>
        <w:rPr>
          <w:rFonts w:hint="eastAsia" w:cs="Arial"/>
          <w:b/>
          <w:bCs/>
          <w:highlight w:val="none"/>
        </w:rPr>
        <w:t>：00</w:t>
      </w:r>
      <w:r>
        <w:rPr>
          <w:rFonts w:hint="eastAsia" w:ascii="Arial" w:hAnsi="Arial" w:cs="Arial"/>
          <w:b/>
          <w:bCs/>
          <w:highlight w:val="none"/>
        </w:rPr>
        <w:t>前</w:t>
      </w:r>
      <w:r>
        <w:rPr>
          <w:rFonts w:hint="eastAsia" w:ascii="Arial" w:hAnsi="Arial" w:cs="Arial"/>
          <w:b/>
          <w:bCs/>
          <w:highlight w:val="none"/>
          <w:lang w:val="en-US" w:eastAsia="zh-CN"/>
        </w:rPr>
        <w:t>以书面形式</w:t>
      </w:r>
      <w:r>
        <w:rPr>
          <w:rFonts w:hint="eastAsia" w:ascii="Arial" w:hAnsi="Arial" w:cs="Arial"/>
          <w:b/>
          <w:bCs/>
          <w:highlight w:val="none"/>
        </w:rPr>
        <w:t>提出，否则被质疑人可不予接受。</w:t>
      </w:r>
    </w:p>
    <w:p w14:paraId="7D761935">
      <w:pPr>
        <w:pStyle w:val="48"/>
        <w:spacing w:before="120" w:beforeAutospacing="0" w:after="120" w:afterAutospacing="0" w:line="400" w:lineRule="exact"/>
        <w:rPr>
          <w:rFonts w:cs="Arial"/>
          <w:highlight w:val="none"/>
        </w:rPr>
      </w:pPr>
      <w:r>
        <w:rPr>
          <w:rFonts w:cs="Arial"/>
          <w:b/>
          <w:bCs/>
          <w:highlight w:val="none"/>
        </w:rPr>
        <w:t>5.投标保证金</w:t>
      </w:r>
    </w:p>
    <w:p w14:paraId="037FFBF1">
      <w:pPr>
        <w:spacing w:line="400" w:lineRule="exact"/>
        <w:rPr>
          <w:rFonts w:ascii="宋体" w:hAnsi="宋体"/>
          <w:b/>
          <w:sz w:val="24"/>
          <w:highlight w:val="none"/>
        </w:rPr>
      </w:pPr>
      <w:r>
        <w:rPr>
          <w:rFonts w:hint="eastAsia" w:ascii="宋体" w:hAnsi="宋体"/>
          <w:b/>
          <w:sz w:val="24"/>
          <w:highlight w:val="none"/>
        </w:rPr>
        <w:t>本项目不收取投标保证金。</w:t>
      </w:r>
    </w:p>
    <w:p w14:paraId="161EF477">
      <w:pPr>
        <w:spacing w:line="400" w:lineRule="exact"/>
        <w:rPr>
          <w:rFonts w:ascii="宋体" w:hAnsi="宋体" w:cs="Arial"/>
          <w:b/>
          <w:bCs/>
          <w:kern w:val="0"/>
          <w:sz w:val="24"/>
          <w:highlight w:val="none"/>
        </w:rPr>
      </w:pPr>
      <w:r>
        <w:rPr>
          <w:rFonts w:hint="eastAsia" w:ascii="宋体" w:hAnsi="宋体"/>
          <w:b/>
          <w:sz w:val="24"/>
          <w:highlight w:val="none"/>
        </w:rPr>
        <w:t>6</w:t>
      </w:r>
      <w:r>
        <w:rPr>
          <w:rFonts w:ascii="宋体" w:hAnsi="宋体" w:cs="Arial"/>
          <w:b/>
          <w:bCs/>
          <w:kern w:val="0"/>
          <w:sz w:val="24"/>
          <w:highlight w:val="none"/>
        </w:rPr>
        <w:t>.</w:t>
      </w:r>
      <w:r>
        <w:rPr>
          <w:rFonts w:hint="eastAsia" w:ascii="宋体" w:hAnsi="宋体" w:cs="Arial"/>
          <w:b/>
          <w:bCs/>
          <w:kern w:val="0"/>
          <w:sz w:val="24"/>
          <w:highlight w:val="none"/>
        </w:rPr>
        <w:t>投标说明</w:t>
      </w:r>
    </w:p>
    <w:p w14:paraId="34941896">
      <w:pPr>
        <w:spacing w:line="400" w:lineRule="exact"/>
        <w:rPr>
          <w:rFonts w:ascii="宋体" w:hAnsi="宋体" w:cs="Arial"/>
          <w:kern w:val="0"/>
          <w:sz w:val="24"/>
          <w:highlight w:val="none"/>
        </w:rPr>
      </w:pPr>
      <w:r>
        <w:rPr>
          <w:rFonts w:hint="eastAsia" w:ascii="宋体" w:hAnsi="宋体" w:cs="Arial"/>
          <w:kern w:val="0"/>
          <w:sz w:val="24"/>
          <w:highlight w:val="none"/>
        </w:rPr>
        <w:t>（1）本项目实行电子投标，投标人应按照本项目磋商文件求编制、加密并递交响应文件。投标人在使用系统进行投标的过程中遇到涉及平台使用的任何问题，可致电平台技术支持联系方式：15267291759。</w:t>
      </w:r>
    </w:p>
    <w:p w14:paraId="3E69431A">
      <w:pPr>
        <w:spacing w:line="400" w:lineRule="exact"/>
        <w:rPr>
          <w:rFonts w:ascii="宋体" w:hAnsi="宋体" w:cs="Arial"/>
          <w:kern w:val="0"/>
          <w:sz w:val="24"/>
          <w:highlight w:val="none"/>
        </w:rPr>
      </w:pPr>
      <w:r>
        <w:rPr>
          <w:rFonts w:hint="eastAsia" w:ascii="宋体" w:hAnsi="宋体" w:cs="Arial"/>
          <w:kern w:val="0"/>
          <w:sz w:val="24"/>
          <w:highlight w:val="none"/>
        </w:rPr>
        <w:t>（2）投标人通过临海市限额以下公共资源交易区域平台投标编制工具制作电子响应文件，投标编制工具请投标人自行前往临海市限额以下公共资源交易区域平台交易系统下载（https://tyrzzx.lhcqjy.com.cn/login），电子投标具体流程详见临海市限额以下公共资源交易区域平台-办事指南的操作说明。</w:t>
      </w:r>
    </w:p>
    <w:p w14:paraId="25C658FD">
      <w:pPr>
        <w:spacing w:line="400" w:lineRule="exact"/>
        <w:rPr>
          <w:rFonts w:ascii="宋体" w:hAnsi="宋体" w:cs="Arial"/>
          <w:kern w:val="0"/>
          <w:sz w:val="24"/>
          <w:highlight w:val="none"/>
        </w:rPr>
      </w:pPr>
      <w:r>
        <w:rPr>
          <w:rFonts w:hint="eastAsia" w:ascii="宋体" w:hAnsi="宋体" w:cs="Arial"/>
          <w:kern w:val="0"/>
          <w:sz w:val="24"/>
          <w:highlight w:val="none"/>
        </w:rPr>
        <w:t>（3）投标人应在开标前完成CA数字证书办理。（办理流程详见临海市限额以下公共资源交易区域平台-办事指南的操作说明）。</w:t>
      </w:r>
    </w:p>
    <w:p w14:paraId="03D05603">
      <w:pPr>
        <w:spacing w:line="400" w:lineRule="exact"/>
        <w:rPr>
          <w:rFonts w:ascii="宋体" w:hAnsi="宋体" w:cs="Arial"/>
          <w:b/>
          <w:bCs/>
          <w:kern w:val="0"/>
          <w:sz w:val="24"/>
          <w:highlight w:val="none"/>
          <w:shd w:val="pct10" w:color="auto" w:fill="FFFFFF"/>
        </w:rPr>
      </w:pPr>
      <w:r>
        <w:rPr>
          <w:rFonts w:hint="eastAsia" w:ascii="宋体" w:hAnsi="宋体" w:cs="Arial"/>
          <w:kern w:val="0"/>
          <w:sz w:val="24"/>
          <w:highlight w:val="none"/>
        </w:rPr>
        <w:t>（4）投标人应当在投标截止时间前完成电子响应文件的传输递交，并可以补充、修改或者撤回电子响应文件。补充或者修改电子响应文件的，应当先行撤回原文件，补充、修改后重新传输递交。</w:t>
      </w:r>
      <w:r>
        <w:rPr>
          <w:rFonts w:hint="eastAsia" w:ascii="宋体" w:hAnsi="宋体" w:cs="Arial"/>
          <w:b/>
          <w:bCs/>
          <w:kern w:val="0"/>
          <w:sz w:val="24"/>
          <w:highlight w:val="none"/>
        </w:rPr>
        <w:t>投标截止时间后传输、递交的响应文件，将被拒收。</w:t>
      </w:r>
    </w:p>
    <w:p w14:paraId="74684E0F">
      <w:pPr>
        <w:spacing w:line="400" w:lineRule="exact"/>
        <w:rPr>
          <w:rFonts w:ascii="宋体" w:hAnsi="宋体" w:cs="Arial"/>
          <w:b/>
          <w:bCs/>
          <w:kern w:val="0"/>
          <w:sz w:val="24"/>
          <w:highlight w:val="none"/>
          <w:shd w:val="pct10" w:color="auto" w:fill="FFFFFF"/>
        </w:rPr>
      </w:pPr>
      <w:r>
        <w:rPr>
          <w:rFonts w:hint="eastAsia" w:ascii="宋体" w:hAnsi="宋体" w:cs="Arial"/>
          <w:b/>
          <w:bCs/>
          <w:kern w:val="0"/>
          <w:sz w:val="24"/>
          <w:highlight w:val="none"/>
          <w:shd w:val="pct10" w:color="auto" w:fill="FFFFFF"/>
        </w:rPr>
        <w:t>（5）本磋商文件中关于电子招投标内容、流程如与</w:t>
      </w:r>
      <w:r>
        <w:rPr>
          <w:rFonts w:hint="eastAsia"/>
          <w:sz w:val="24"/>
          <w:highlight w:val="none"/>
        </w:rPr>
        <w:t>临海市限额以下公共资源交易区域平台</w:t>
      </w:r>
      <w:r>
        <w:rPr>
          <w:rFonts w:hint="eastAsia" w:ascii="宋体" w:hAnsi="宋体" w:cs="Arial"/>
          <w:b/>
          <w:bCs/>
          <w:kern w:val="0"/>
          <w:sz w:val="24"/>
          <w:highlight w:val="none"/>
          <w:shd w:val="pct10" w:color="auto" w:fill="FFFFFF"/>
        </w:rPr>
        <w:t>中最新的内容、操作不一致的，以平台中的要求为准。</w:t>
      </w:r>
    </w:p>
    <w:p w14:paraId="616AAB5A">
      <w:pPr>
        <w:spacing w:line="400" w:lineRule="exact"/>
        <w:rPr>
          <w:b/>
          <w:sz w:val="24"/>
          <w:highlight w:val="none"/>
        </w:rPr>
      </w:pPr>
      <w:r>
        <w:rPr>
          <w:rFonts w:ascii="宋体" w:hAnsi="宋体"/>
          <w:b/>
          <w:sz w:val="24"/>
          <w:highlight w:val="none"/>
        </w:rPr>
        <w:t>7</w:t>
      </w:r>
      <w:r>
        <w:rPr>
          <w:rFonts w:ascii="宋体" w:hAnsi="宋体" w:cs="Arial"/>
          <w:b/>
          <w:kern w:val="0"/>
          <w:sz w:val="24"/>
          <w:highlight w:val="none"/>
        </w:rPr>
        <w:t>.</w:t>
      </w:r>
      <w:r>
        <w:rPr>
          <w:rFonts w:hint="eastAsia"/>
          <w:b/>
          <w:sz w:val="24"/>
          <w:highlight w:val="none"/>
        </w:rPr>
        <w:t>响应文件的组成、效力</w:t>
      </w:r>
    </w:p>
    <w:p w14:paraId="2E58957F">
      <w:pPr>
        <w:spacing w:line="400" w:lineRule="exact"/>
        <w:rPr>
          <w:sz w:val="24"/>
          <w:highlight w:val="none"/>
        </w:rPr>
      </w:pPr>
      <w:r>
        <w:rPr>
          <w:rFonts w:hint="eastAsia"/>
          <w:sz w:val="24"/>
          <w:highlight w:val="none"/>
        </w:rPr>
        <w:t>（1）本项目实行电子投标，投标人应准备电子响应文件，本项目线下无需提供任何备份响应文件。电子响应文件应按本磋商文件要求编制。</w:t>
      </w:r>
    </w:p>
    <w:p w14:paraId="43998C81">
      <w:pPr>
        <w:spacing w:line="400" w:lineRule="exact"/>
        <w:rPr>
          <w:sz w:val="24"/>
          <w:highlight w:val="none"/>
        </w:rPr>
      </w:pPr>
      <w:r>
        <w:rPr>
          <w:rFonts w:hint="eastAsia"/>
          <w:sz w:val="24"/>
          <w:highlight w:val="none"/>
        </w:rPr>
        <w:t>（2）未在“临海市限额以下公共资源交易区域平台”传输递交电子响应文件的，投标无效。</w:t>
      </w:r>
    </w:p>
    <w:p w14:paraId="456FE7C3">
      <w:pPr>
        <w:spacing w:line="400" w:lineRule="exact"/>
        <w:rPr>
          <w:rFonts w:ascii="宋体" w:hAnsi="宋体"/>
          <w:sz w:val="24"/>
          <w:highlight w:val="none"/>
        </w:rPr>
      </w:pPr>
      <w:r>
        <w:rPr>
          <w:rFonts w:ascii="宋体" w:hAnsi="宋体"/>
          <w:b/>
          <w:sz w:val="24"/>
          <w:highlight w:val="none"/>
        </w:rPr>
        <w:t>8.投标截止时间及</w:t>
      </w:r>
      <w:r>
        <w:rPr>
          <w:rFonts w:hint="eastAsia" w:ascii="宋体" w:hAnsi="宋体"/>
          <w:b/>
          <w:sz w:val="24"/>
          <w:highlight w:val="none"/>
        </w:rPr>
        <w:t>电子响应文件</w:t>
      </w:r>
      <w:r>
        <w:rPr>
          <w:rFonts w:ascii="宋体" w:hAnsi="宋体"/>
          <w:b/>
          <w:sz w:val="24"/>
          <w:highlight w:val="none"/>
        </w:rPr>
        <w:t>的递交</w:t>
      </w:r>
    </w:p>
    <w:p w14:paraId="6C23BA65">
      <w:pPr>
        <w:spacing w:line="400" w:lineRule="exact"/>
        <w:rPr>
          <w:sz w:val="24"/>
          <w:highlight w:val="none"/>
        </w:rPr>
      </w:pPr>
      <w:r>
        <w:rPr>
          <w:rFonts w:hint="eastAsia" w:ascii="宋体" w:hAnsi="宋体" w:cs="Arial"/>
          <w:b/>
          <w:bCs/>
          <w:kern w:val="0"/>
          <w:sz w:val="24"/>
          <w:highlight w:val="none"/>
        </w:rPr>
        <w:t>电子响应文件</w:t>
      </w:r>
      <w:r>
        <w:rPr>
          <w:rFonts w:ascii="宋体" w:hAnsi="宋体"/>
          <w:b/>
          <w:sz w:val="24"/>
          <w:highlight w:val="none"/>
        </w:rPr>
        <w:t>投标截止时间</w:t>
      </w:r>
      <w:r>
        <w:rPr>
          <w:rFonts w:hint="eastAsia" w:ascii="宋体" w:hAnsi="宋体"/>
          <w:b/>
          <w:sz w:val="24"/>
          <w:highlight w:val="none"/>
        </w:rPr>
        <w:t>：</w:t>
      </w:r>
      <w:r>
        <w:rPr>
          <w:rFonts w:hint="eastAsia" w:ascii="宋体" w:hAnsi="宋体" w:cs="Arial"/>
          <w:b/>
          <w:bCs/>
          <w:sz w:val="24"/>
          <w:highlight w:val="none"/>
        </w:rPr>
        <w:t>202</w:t>
      </w:r>
      <w:r>
        <w:rPr>
          <w:rFonts w:hint="eastAsia" w:ascii="宋体" w:hAnsi="宋体" w:cs="Arial"/>
          <w:b/>
          <w:bCs/>
          <w:sz w:val="24"/>
          <w:highlight w:val="none"/>
          <w:lang w:val="en-US" w:eastAsia="zh-CN"/>
        </w:rPr>
        <w:t>6</w:t>
      </w:r>
      <w:r>
        <w:rPr>
          <w:rFonts w:hint="eastAsia" w:ascii="宋体" w:hAnsi="宋体" w:cs="Arial"/>
          <w:b/>
          <w:bCs/>
          <w:sz w:val="24"/>
          <w:highlight w:val="none"/>
        </w:rPr>
        <w:t>年</w:t>
      </w:r>
      <w:r>
        <w:rPr>
          <w:rFonts w:hint="eastAsia" w:ascii="宋体" w:hAnsi="宋体" w:cs="Arial"/>
          <w:b/>
          <w:bCs/>
          <w:sz w:val="24"/>
          <w:highlight w:val="none"/>
          <w:lang w:val="en-US" w:eastAsia="zh-CN"/>
        </w:rPr>
        <w:t>06</w:t>
      </w:r>
      <w:r>
        <w:rPr>
          <w:rFonts w:hint="eastAsia" w:ascii="宋体" w:hAnsi="宋体" w:cs="Arial"/>
          <w:b/>
          <w:bCs/>
          <w:sz w:val="24"/>
          <w:highlight w:val="none"/>
        </w:rPr>
        <w:t>月</w:t>
      </w:r>
      <w:r>
        <w:rPr>
          <w:rFonts w:hint="eastAsia" w:ascii="宋体" w:hAnsi="宋体" w:cs="Arial"/>
          <w:b/>
          <w:bCs/>
          <w:sz w:val="24"/>
          <w:highlight w:val="none"/>
          <w:lang w:val="en-US" w:eastAsia="zh-CN"/>
        </w:rPr>
        <w:t>09日08</w:t>
      </w:r>
      <w:r>
        <w:rPr>
          <w:rFonts w:hint="eastAsia" w:ascii="宋体" w:hAnsi="宋体" w:cs="Arial"/>
          <w:b/>
          <w:bCs/>
          <w:sz w:val="24"/>
          <w:highlight w:val="none"/>
        </w:rPr>
        <w:t>时</w:t>
      </w:r>
      <w:r>
        <w:rPr>
          <w:rFonts w:hint="eastAsia" w:ascii="宋体" w:hAnsi="宋体" w:cs="Arial"/>
          <w:b/>
          <w:bCs/>
          <w:sz w:val="24"/>
          <w:highlight w:val="none"/>
          <w:lang w:val="en-US" w:eastAsia="zh-CN"/>
        </w:rPr>
        <w:t>30</w:t>
      </w:r>
      <w:r>
        <w:rPr>
          <w:rFonts w:hint="eastAsia" w:ascii="宋体" w:hAnsi="宋体"/>
          <w:b/>
          <w:sz w:val="24"/>
          <w:highlight w:val="none"/>
        </w:rPr>
        <w:t>分00秒</w:t>
      </w:r>
      <w:r>
        <w:rPr>
          <w:rFonts w:hint="eastAsia" w:ascii="宋体" w:hAnsi="宋体"/>
          <w:sz w:val="24"/>
          <w:highlight w:val="none"/>
        </w:rPr>
        <w:t>，</w:t>
      </w:r>
      <w:r>
        <w:rPr>
          <w:rFonts w:hint="eastAsia" w:ascii="宋体" w:hAnsi="宋体" w:cs="Arial"/>
          <w:kern w:val="0"/>
          <w:sz w:val="24"/>
          <w:highlight w:val="none"/>
        </w:rPr>
        <w:t>投标人应于投标截止时间之前将电子响应文件上传到“</w:t>
      </w:r>
      <w:r>
        <w:rPr>
          <w:rFonts w:hint="eastAsia"/>
          <w:sz w:val="24"/>
          <w:highlight w:val="none"/>
        </w:rPr>
        <w:t>临海市限额以下公共资源交易区域平台”。投标截止时间前未完成传输电子响应文件的，投标无效。</w:t>
      </w:r>
    </w:p>
    <w:p w14:paraId="7C845CAC">
      <w:pPr>
        <w:spacing w:line="400" w:lineRule="exact"/>
        <w:rPr>
          <w:rFonts w:ascii="宋体" w:hAnsi="宋体"/>
          <w:b/>
          <w:sz w:val="24"/>
          <w:highlight w:val="none"/>
        </w:rPr>
      </w:pPr>
      <w:r>
        <w:rPr>
          <w:rFonts w:hint="eastAsia" w:ascii="宋体" w:hAnsi="宋体"/>
          <w:b/>
          <w:sz w:val="24"/>
          <w:highlight w:val="none"/>
        </w:rPr>
        <w:t>9</w:t>
      </w:r>
      <w:r>
        <w:rPr>
          <w:rFonts w:ascii="宋体" w:hAnsi="宋体"/>
          <w:b/>
          <w:sz w:val="24"/>
          <w:highlight w:val="none"/>
        </w:rPr>
        <w:t>.</w:t>
      </w:r>
      <w:r>
        <w:rPr>
          <w:rFonts w:hint="eastAsia" w:ascii="宋体" w:hAnsi="宋体"/>
          <w:b/>
          <w:sz w:val="24"/>
          <w:highlight w:val="none"/>
        </w:rPr>
        <w:t xml:space="preserve">临海市限额以下公共资源交易区域平台及开评标期间出现网络故障或停电时的应急处理措施： </w:t>
      </w:r>
      <w:r>
        <w:rPr>
          <w:rFonts w:ascii="宋体" w:hAnsi="宋体"/>
          <w:b/>
          <w:sz w:val="24"/>
          <w:highlight w:val="none"/>
        </w:rPr>
        <w:t xml:space="preserve">     </w:t>
      </w:r>
    </w:p>
    <w:p w14:paraId="638D1612">
      <w:pPr>
        <w:spacing w:line="400" w:lineRule="exact"/>
        <w:rPr>
          <w:rFonts w:ascii="宋体" w:hAnsi="宋体"/>
          <w:bCs/>
          <w:sz w:val="24"/>
          <w:highlight w:val="none"/>
        </w:rPr>
      </w:pPr>
      <w:r>
        <w:rPr>
          <w:rFonts w:hint="eastAsia" w:ascii="宋体" w:hAnsi="宋体"/>
          <w:bCs/>
          <w:sz w:val="24"/>
          <w:highlight w:val="none"/>
        </w:rPr>
        <w:t>（1）开评标期间出现网络故障或停电如短时间内（半天内）可以排除并能恢复正常使用的，为不耽误项目进度，招标人（代理机构）可宣布待故障排除后再进行正常开标活动；</w:t>
      </w:r>
    </w:p>
    <w:p w14:paraId="2DDCF20D">
      <w:pPr>
        <w:spacing w:line="400" w:lineRule="exact"/>
        <w:rPr>
          <w:rFonts w:ascii="宋体" w:hAnsi="宋体"/>
          <w:bCs/>
          <w:sz w:val="24"/>
          <w:highlight w:val="none"/>
        </w:rPr>
      </w:pPr>
      <w:r>
        <w:rPr>
          <w:rFonts w:hint="eastAsia" w:ascii="宋体" w:hAnsi="宋体"/>
          <w:bCs/>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39FF07EB">
      <w:pPr>
        <w:spacing w:line="400" w:lineRule="exact"/>
        <w:rPr>
          <w:rFonts w:ascii="宋体" w:hAnsi="宋体"/>
          <w:sz w:val="24"/>
          <w:highlight w:val="none"/>
        </w:rPr>
      </w:pPr>
      <w:r>
        <w:rPr>
          <w:rFonts w:ascii="宋体" w:hAnsi="宋体"/>
          <w:b/>
          <w:sz w:val="24"/>
          <w:highlight w:val="none"/>
        </w:rPr>
        <w:t>10.开标</w:t>
      </w:r>
    </w:p>
    <w:p w14:paraId="72664EDE">
      <w:pPr>
        <w:spacing w:line="400" w:lineRule="exact"/>
        <w:rPr>
          <w:rFonts w:ascii="宋体" w:hAnsi="宋体"/>
          <w:sz w:val="24"/>
          <w:highlight w:val="none"/>
        </w:rPr>
      </w:pPr>
      <w:r>
        <w:rPr>
          <w:rFonts w:ascii="宋体" w:hAnsi="宋体"/>
          <w:sz w:val="24"/>
          <w:highlight w:val="none"/>
        </w:rPr>
        <w:t>开标时间：</w:t>
      </w:r>
      <w:r>
        <w:rPr>
          <w:rFonts w:hint="eastAsia" w:ascii="宋体" w:hAnsi="宋体" w:cs="Arial"/>
          <w:b/>
          <w:bCs/>
          <w:sz w:val="24"/>
          <w:highlight w:val="none"/>
        </w:rPr>
        <w:t>202</w:t>
      </w:r>
      <w:r>
        <w:rPr>
          <w:rFonts w:hint="eastAsia" w:ascii="宋体" w:hAnsi="宋体" w:cs="Arial"/>
          <w:b/>
          <w:bCs/>
          <w:sz w:val="24"/>
          <w:highlight w:val="none"/>
          <w:lang w:val="en-US" w:eastAsia="zh-CN"/>
        </w:rPr>
        <w:t>6</w:t>
      </w:r>
      <w:r>
        <w:rPr>
          <w:rFonts w:hint="eastAsia" w:ascii="宋体" w:hAnsi="宋体" w:cs="Arial"/>
          <w:b/>
          <w:bCs/>
          <w:sz w:val="24"/>
          <w:highlight w:val="none"/>
        </w:rPr>
        <w:t>年</w:t>
      </w:r>
      <w:r>
        <w:rPr>
          <w:rFonts w:hint="eastAsia" w:ascii="宋体" w:hAnsi="宋体" w:cs="Arial"/>
          <w:b/>
          <w:bCs/>
          <w:sz w:val="24"/>
          <w:highlight w:val="none"/>
          <w:lang w:val="en-US" w:eastAsia="zh-CN"/>
        </w:rPr>
        <w:t>06</w:t>
      </w:r>
      <w:r>
        <w:rPr>
          <w:rFonts w:hint="eastAsia" w:ascii="宋体" w:hAnsi="宋体" w:cs="Arial"/>
          <w:b/>
          <w:bCs/>
          <w:sz w:val="24"/>
          <w:highlight w:val="none"/>
        </w:rPr>
        <w:t>月</w:t>
      </w:r>
      <w:r>
        <w:rPr>
          <w:rFonts w:hint="eastAsia" w:ascii="宋体" w:hAnsi="宋体" w:cs="Arial"/>
          <w:b/>
          <w:bCs/>
          <w:sz w:val="24"/>
          <w:highlight w:val="none"/>
          <w:lang w:val="en-US" w:eastAsia="zh-CN"/>
        </w:rPr>
        <w:t>09</w:t>
      </w:r>
      <w:r>
        <w:rPr>
          <w:rFonts w:hint="eastAsia" w:ascii="宋体" w:hAnsi="宋体" w:cs="Arial"/>
          <w:b/>
          <w:bCs/>
          <w:sz w:val="24"/>
          <w:highlight w:val="none"/>
        </w:rPr>
        <w:t>日</w:t>
      </w:r>
      <w:r>
        <w:rPr>
          <w:rFonts w:hint="eastAsia" w:ascii="宋体" w:hAnsi="宋体" w:cs="Arial"/>
          <w:b/>
          <w:bCs/>
          <w:sz w:val="24"/>
          <w:highlight w:val="none"/>
          <w:lang w:val="en-US" w:eastAsia="zh-CN"/>
        </w:rPr>
        <w:t>08</w:t>
      </w:r>
      <w:r>
        <w:rPr>
          <w:rFonts w:hint="eastAsia" w:ascii="宋体" w:hAnsi="宋体" w:cs="Arial"/>
          <w:b/>
          <w:bCs/>
          <w:sz w:val="24"/>
          <w:highlight w:val="none"/>
        </w:rPr>
        <w:t>时</w:t>
      </w:r>
      <w:r>
        <w:rPr>
          <w:rFonts w:hint="eastAsia" w:ascii="宋体" w:hAnsi="宋体" w:cs="Arial"/>
          <w:b/>
          <w:bCs/>
          <w:sz w:val="24"/>
          <w:highlight w:val="none"/>
          <w:lang w:val="en-US" w:eastAsia="zh-CN"/>
        </w:rPr>
        <w:t>3</w:t>
      </w:r>
      <w:r>
        <w:rPr>
          <w:rFonts w:hint="eastAsia" w:ascii="宋体" w:hAnsi="宋体" w:cs="Arial"/>
          <w:b/>
          <w:bCs/>
          <w:sz w:val="24"/>
          <w:highlight w:val="none"/>
        </w:rPr>
        <w:t>0</w:t>
      </w:r>
      <w:r>
        <w:rPr>
          <w:rFonts w:hint="eastAsia" w:ascii="宋体" w:hAnsi="宋体"/>
          <w:b/>
          <w:sz w:val="24"/>
          <w:highlight w:val="none"/>
        </w:rPr>
        <w:t xml:space="preserve">分 </w:t>
      </w:r>
      <w:r>
        <w:rPr>
          <w:rFonts w:ascii="宋体" w:hAnsi="宋体"/>
          <w:sz w:val="24"/>
          <w:highlight w:val="none"/>
        </w:rPr>
        <w:t>。</w:t>
      </w:r>
    </w:p>
    <w:p w14:paraId="79C417F8">
      <w:pPr>
        <w:spacing w:line="400" w:lineRule="exact"/>
        <w:rPr>
          <w:rFonts w:hint="eastAsia" w:ascii="宋体" w:hAnsi="宋体" w:eastAsia="宋体" w:cs="宋体"/>
          <w:color w:val="auto"/>
          <w:sz w:val="24"/>
          <w:highlight w:val="none"/>
          <w:lang w:val="en-US" w:eastAsia="zh-CN"/>
        </w:rPr>
      </w:pPr>
      <w:r>
        <w:rPr>
          <w:rFonts w:ascii="宋体" w:hAnsi="宋体"/>
          <w:sz w:val="24"/>
          <w:highlight w:val="none"/>
        </w:rPr>
        <w:t>开标地点：</w:t>
      </w:r>
      <w:r>
        <w:rPr>
          <w:rFonts w:hint="eastAsia" w:ascii="宋体" w:hAnsi="宋体"/>
          <w:sz w:val="24"/>
        </w:rPr>
        <w:t>临海市限额以下公共资源交易区域平台（</w:t>
      </w:r>
      <w:r>
        <w:rPr>
          <w:rFonts w:hint="eastAsia" w:ascii="宋体" w:hAnsi="宋体"/>
          <w:sz w:val="24"/>
          <w:lang w:val="en-US" w:eastAsia="zh-CN"/>
        </w:rPr>
        <w:t>西</w:t>
      </w:r>
      <w:r>
        <w:rPr>
          <w:rFonts w:hint="eastAsia" w:ascii="宋体" w:hAnsi="宋体"/>
          <w:sz w:val="24"/>
        </w:rPr>
        <w:t>部）、</w:t>
      </w:r>
      <w:r>
        <w:rPr>
          <w:rFonts w:hint="eastAsia" w:ascii="宋体" w:hAnsi="宋体" w:eastAsia="宋体" w:cs="宋体"/>
          <w:color w:val="auto"/>
          <w:sz w:val="24"/>
          <w:highlight w:val="none"/>
        </w:rPr>
        <w:t>临海市永丰镇人民政府对面开标室</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（不见面开标大厅）</w:t>
      </w:r>
      <w:r>
        <w:rPr>
          <w:rFonts w:hint="eastAsia" w:ascii="宋体" w:hAnsi="宋体" w:eastAsia="宋体" w:cs="宋体"/>
          <w:color w:val="auto"/>
          <w:sz w:val="24"/>
          <w:highlight w:val="none"/>
          <w:lang w:eastAsia="zh-CN"/>
        </w:rPr>
        <w:t>。</w:t>
      </w:r>
    </w:p>
    <w:p w14:paraId="0874C3CC">
      <w:pPr>
        <w:spacing w:line="400" w:lineRule="exact"/>
        <w:rPr>
          <w:rFonts w:ascii="宋体" w:hAnsi="宋体"/>
          <w:sz w:val="24"/>
          <w:highlight w:val="none"/>
        </w:rPr>
      </w:pPr>
    </w:p>
    <w:p w14:paraId="75F81A7D">
      <w:pPr>
        <w:spacing w:line="400" w:lineRule="exact"/>
        <w:rPr>
          <w:rFonts w:ascii="宋体" w:hAnsi="宋体"/>
          <w:b/>
          <w:sz w:val="24"/>
          <w:highlight w:val="none"/>
        </w:rPr>
      </w:pPr>
      <w:r>
        <w:rPr>
          <w:rFonts w:ascii="宋体" w:hAnsi="宋体"/>
          <w:b/>
          <w:sz w:val="24"/>
          <w:highlight w:val="none"/>
        </w:rPr>
        <w:t>11.发布公告的媒介</w:t>
      </w:r>
    </w:p>
    <w:p w14:paraId="07CBA21D">
      <w:pPr>
        <w:spacing w:line="400" w:lineRule="exact"/>
        <w:rPr>
          <w:rFonts w:ascii="宋体" w:hAnsi="宋体"/>
          <w:sz w:val="24"/>
          <w:highlight w:val="none"/>
        </w:rPr>
      </w:pPr>
      <w:r>
        <w:rPr>
          <w:rFonts w:ascii="宋体" w:hAnsi="宋体"/>
          <w:sz w:val="24"/>
          <w:highlight w:val="none"/>
        </w:rPr>
        <w:t>本次招标公告在</w:t>
      </w:r>
      <w:r>
        <w:rPr>
          <w:rFonts w:hint="eastAsia" w:ascii="宋体" w:hAnsi="宋体"/>
          <w:sz w:val="24"/>
          <w:highlight w:val="none"/>
        </w:rPr>
        <w:t>临海市限额以下公共资源交易区域平台</w:t>
      </w:r>
      <w:r>
        <w:rPr>
          <w:rFonts w:ascii="宋体" w:hAnsi="宋体"/>
          <w:sz w:val="24"/>
          <w:highlight w:val="none"/>
        </w:rPr>
        <w:t>发布。</w:t>
      </w:r>
    </w:p>
    <w:p w14:paraId="353BE31A">
      <w:pPr>
        <w:spacing w:line="400" w:lineRule="exact"/>
        <w:rPr>
          <w:rFonts w:ascii="宋体" w:hAnsi="宋体"/>
          <w:b/>
          <w:sz w:val="24"/>
          <w:highlight w:val="none"/>
        </w:rPr>
      </w:pPr>
      <w:r>
        <w:rPr>
          <w:rFonts w:ascii="宋体" w:hAnsi="宋体"/>
          <w:b/>
          <w:sz w:val="24"/>
          <w:highlight w:val="none"/>
        </w:rPr>
        <w:t>12</w:t>
      </w:r>
      <w:r>
        <w:rPr>
          <w:rFonts w:hint="eastAsia" w:ascii="宋体" w:hAnsi="宋体"/>
          <w:b/>
          <w:sz w:val="24"/>
          <w:highlight w:val="none"/>
        </w:rPr>
        <w:t>.其他事项</w:t>
      </w:r>
    </w:p>
    <w:p w14:paraId="4FC8EA3A">
      <w:pPr>
        <w:spacing w:line="400" w:lineRule="exact"/>
        <w:rPr>
          <w:rFonts w:ascii="宋体" w:hAnsi="宋体"/>
          <w:sz w:val="24"/>
          <w:highlight w:val="none"/>
        </w:rPr>
      </w:pPr>
      <w:r>
        <w:rPr>
          <w:rFonts w:hint="eastAsia" w:ascii="宋体" w:hAnsi="宋体"/>
          <w:sz w:val="24"/>
          <w:highlight w:val="none"/>
        </w:rPr>
        <w:t>接标截止时间以平台服务器时间为准，请准时提交响应文件。</w:t>
      </w:r>
    </w:p>
    <w:p w14:paraId="4FF744BF">
      <w:pPr>
        <w:spacing w:line="400" w:lineRule="exact"/>
        <w:rPr>
          <w:rFonts w:ascii="宋体" w:hAnsi="宋体"/>
          <w:sz w:val="24"/>
          <w:highlight w:val="none"/>
        </w:rPr>
      </w:pPr>
      <w:r>
        <w:rPr>
          <w:rFonts w:hint="eastAsia" w:ascii="宋体" w:hAnsi="宋体"/>
          <w:b/>
          <w:sz w:val="24"/>
          <w:highlight w:val="none"/>
        </w:rPr>
        <w:t>13.联系方式</w:t>
      </w:r>
    </w:p>
    <w:p w14:paraId="36A1CA73">
      <w:pPr>
        <w:spacing w:line="400" w:lineRule="exact"/>
        <w:rPr>
          <w:rFonts w:ascii="宋体" w:hAnsi="宋体"/>
          <w:b/>
          <w:bCs/>
          <w:sz w:val="24"/>
          <w:highlight w:val="none"/>
        </w:rPr>
      </w:pPr>
      <w:r>
        <w:rPr>
          <w:rFonts w:hint="eastAsia" w:ascii="宋体" w:hAnsi="宋体"/>
          <w:b/>
          <w:bCs/>
          <w:sz w:val="24"/>
          <w:highlight w:val="none"/>
        </w:rPr>
        <w:t>（1）招标人信息</w:t>
      </w:r>
    </w:p>
    <w:p w14:paraId="0FDB3E9E">
      <w:pPr>
        <w:spacing w:line="400" w:lineRule="exact"/>
        <w:rPr>
          <w:rFonts w:hint="eastAsia" w:ascii="宋体" w:hAnsi="宋体" w:eastAsia="宋体"/>
          <w:bCs/>
          <w:sz w:val="24"/>
          <w:highlight w:val="none"/>
          <w:lang w:eastAsia="zh-CN"/>
        </w:rPr>
      </w:pPr>
      <w:r>
        <w:rPr>
          <w:rFonts w:hint="eastAsia" w:ascii="宋体" w:hAnsi="宋体"/>
          <w:bCs/>
          <w:sz w:val="24"/>
          <w:highlight w:val="none"/>
        </w:rPr>
        <w:t>名称：</w:t>
      </w:r>
      <w:r>
        <w:rPr>
          <w:rFonts w:hint="eastAsia" w:ascii="宋体" w:hAnsi="宋体"/>
          <w:bCs/>
          <w:sz w:val="24"/>
          <w:highlight w:val="none"/>
          <w:lang w:eastAsia="zh-CN"/>
        </w:rPr>
        <w:t>临海市医疗保障局</w:t>
      </w:r>
    </w:p>
    <w:p w14:paraId="79984784">
      <w:pPr>
        <w:spacing w:line="400" w:lineRule="exact"/>
        <w:rPr>
          <w:rFonts w:ascii="宋体" w:hAnsi="宋体"/>
          <w:bCs/>
          <w:sz w:val="24"/>
          <w:highlight w:val="none"/>
        </w:rPr>
      </w:pPr>
      <w:r>
        <w:rPr>
          <w:rFonts w:hint="eastAsia" w:ascii="宋体" w:hAnsi="宋体"/>
          <w:bCs/>
          <w:sz w:val="24"/>
          <w:highlight w:val="none"/>
        </w:rPr>
        <w:t>地址：</w:t>
      </w:r>
      <w:r>
        <w:rPr>
          <w:rFonts w:hint="eastAsia" w:ascii="宋体" w:hAnsi="宋体"/>
          <w:bCs/>
          <w:sz w:val="24"/>
        </w:rPr>
        <w:t>临海市河阳路319号</w:t>
      </w:r>
    </w:p>
    <w:p w14:paraId="61BADBC0">
      <w:pPr>
        <w:spacing w:line="400" w:lineRule="exact"/>
        <w:rPr>
          <w:rFonts w:hint="eastAsia" w:ascii="宋体" w:hAnsi="宋体" w:eastAsia="宋体"/>
          <w:bCs/>
          <w:sz w:val="24"/>
          <w:highlight w:val="none"/>
          <w:lang w:val="en-US" w:eastAsia="zh-CN"/>
        </w:rPr>
      </w:pPr>
      <w:r>
        <w:rPr>
          <w:rFonts w:hint="eastAsia" w:ascii="宋体" w:hAnsi="宋体"/>
          <w:bCs/>
          <w:sz w:val="24"/>
          <w:highlight w:val="none"/>
        </w:rPr>
        <w:t>项目联系人（询问）：李先生</w:t>
      </w:r>
    </w:p>
    <w:p w14:paraId="393108D2">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项目联系方式：0576-</w:t>
      </w:r>
      <w:r>
        <w:rPr>
          <w:rFonts w:hint="eastAsia" w:ascii="宋体" w:hAnsi="宋体"/>
          <w:bCs/>
          <w:sz w:val="24"/>
          <w:highlight w:val="none"/>
          <w:lang w:val="en-US" w:eastAsia="zh-CN"/>
        </w:rPr>
        <w:t>89395280</w:t>
      </w:r>
    </w:p>
    <w:p w14:paraId="61D02401">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质疑联系人：</w:t>
      </w:r>
      <w:r>
        <w:rPr>
          <w:rFonts w:hint="eastAsia" w:ascii="宋体" w:hAnsi="宋体"/>
          <w:bCs/>
          <w:sz w:val="24"/>
          <w:highlight w:val="none"/>
          <w:lang w:val="en-US" w:eastAsia="zh-CN"/>
        </w:rPr>
        <w:t>周先生</w:t>
      </w:r>
    </w:p>
    <w:p w14:paraId="1A4DCEC6">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质疑联系方式：0576-</w:t>
      </w:r>
      <w:r>
        <w:rPr>
          <w:rFonts w:hint="eastAsia" w:ascii="宋体" w:hAnsi="宋体"/>
          <w:bCs/>
          <w:sz w:val="24"/>
          <w:highlight w:val="none"/>
          <w:lang w:val="en-US" w:eastAsia="zh-CN"/>
        </w:rPr>
        <w:t>89391056</w:t>
      </w:r>
    </w:p>
    <w:p w14:paraId="6F62082F">
      <w:pPr>
        <w:spacing w:line="400" w:lineRule="exact"/>
        <w:rPr>
          <w:rFonts w:ascii="宋体" w:hAnsi="宋体"/>
          <w:b/>
          <w:bCs/>
          <w:sz w:val="24"/>
          <w:highlight w:val="none"/>
        </w:rPr>
      </w:pPr>
      <w:r>
        <w:rPr>
          <w:rFonts w:hint="eastAsia" w:ascii="宋体" w:hAnsi="宋体"/>
          <w:b/>
          <w:bCs/>
          <w:sz w:val="24"/>
          <w:highlight w:val="none"/>
        </w:rPr>
        <w:t>（2）代理机构信息</w:t>
      </w:r>
    </w:p>
    <w:p w14:paraId="4050BDB3">
      <w:pPr>
        <w:spacing w:line="400" w:lineRule="exact"/>
        <w:rPr>
          <w:rFonts w:hint="eastAsia" w:ascii="宋体" w:hAnsi="宋体"/>
          <w:bCs/>
          <w:sz w:val="24"/>
          <w:highlight w:val="none"/>
        </w:rPr>
      </w:pPr>
      <w:r>
        <w:rPr>
          <w:rFonts w:hint="eastAsia" w:ascii="宋体" w:hAnsi="宋体"/>
          <w:bCs/>
          <w:sz w:val="24"/>
          <w:highlight w:val="none"/>
        </w:rPr>
        <w:t xml:space="preserve">名 称：台州明辰招标代理有限公司 </w:t>
      </w:r>
    </w:p>
    <w:p w14:paraId="3A4F2BEC">
      <w:pPr>
        <w:spacing w:line="400" w:lineRule="exact"/>
        <w:rPr>
          <w:rFonts w:hint="eastAsia" w:ascii="宋体" w:hAnsi="宋体"/>
          <w:bCs/>
          <w:sz w:val="24"/>
          <w:highlight w:val="none"/>
        </w:rPr>
      </w:pPr>
      <w:r>
        <w:rPr>
          <w:rFonts w:hint="eastAsia" w:ascii="宋体" w:hAnsi="宋体"/>
          <w:bCs/>
          <w:sz w:val="24"/>
          <w:highlight w:val="none"/>
        </w:rPr>
        <w:t>地址: 临海市靖江中路193号星鑫商务大厦1102</w:t>
      </w:r>
    </w:p>
    <w:p w14:paraId="25936208">
      <w:pPr>
        <w:spacing w:line="400" w:lineRule="exact"/>
        <w:rPr>
          <w:rFonts w:hint="eastAsia" w:ascii="宋体" w:hAnsi="宋体"/>
          <w:bCs/>
          <w:sz w:val="24"/>
          <w:highlight w:val="none"/>
        </w:rPr>
      </w:pPr>
      <w:r>
        <w:rPr>
          <w:rFonts w:hint="eastAsia" w:ascii="宋体" w:hAnsi="宋体"/>
          <w:bCs/>
          <w:sz w:val="24"/>
          <w:highlight w:val="none"/>
        </w:rPr>
        <w:t>项目联系人（询问）：</w:t>
      </w:r>
      <w:r>
        <w:rPr>
          <w:rFonts w:hint="eastAsia" w:ascii="宋体" w:hAnsi="宋体"/>
          <w:bCs/>
          <w:sz w:val="24"/>
          <w:highlight w:val="none"/>
          <w:lang w:val="en-US" w:eastAsia="zh-CN"/>
        </w:rPr>
        <w:t>姚女士</w:t>
      </w:r>
      <w:r>
        <w:rPr>
          <w:rFonts w:hint="eastAsia" w:ascii="宋体" w:hAnsi="宋体"/>
          <w:bCs/>
          <w:sz w:val="24"/>
          <w:highlight w:val="none"/>
        </w:rPr>
        <w:t xml:space="preserve"> </w:t>
      </w:r>
    </w:p>
    <w:p w14:paraId="1F1F60C9">
      <w:pPr>
        <w:spacing w:line="400" w:lineRule="exact"/>
        <w:rPr>
          <w:rFonts w:hint="default" w:ascii="宋体" w:hAnsi="宋体"/>
          <w:bCs/>
          <w:sz w:val="24"/>
          <w:highlight w:val="none"/>
          <w:lang w:val="en-US" w:eastAsia="zh-CN"/>
        </w:rPr>
      </w:pPr>
      <w:r>
        <w:rPr>
          <w:rFonts w:hint="eastAsia" w:ascii="宋体" w:hAnsi="宋体"/>
          <w:bCs/>
          <w:sz w:val="24"/>
          <w:highlight w:val="none"/>
        </w:rPr>
        <w:t>项目联系方式：0576-891889</w:t>
      </w:r>
      <w:r>
        <w:rPr>
          <w:rFonts w:hint="eastAsia" w:ascii="宋体" w:hAnsi="宋体"/>
          <w:bCs/>
          <w:sz w:val="24"/>
          <w:highlight w:val="none"/>
          <w:lang w:val="en-US" w:eastAsia="zh-CN"/>
        </w:rPr>
        <w:t>85</w:t>
      </w:r>
    </w:p>
    <w:p w14:paraId="28412B34">
      <w:pPr>
        <w:spacing w:line="400" w:lineRule="exact"/>
        <w:rPr>
          <w:rFonts w:ascii="宋体" w:hAnsi="宋体"/>
          <w:bCs/>
          <w:sz w:val="24"/>
          <w:highlight w:val="none"/>
        </w:rPr>
      </w:pPr>
      <w:r>
        <w:rPr>
          <w:rFonts w:hint="eastAsia" w:ascii="宋体" w:hAnsi="宋体"/>
          <w:bCs/>
          <w:sz w:val="24"/>
          <w:highlight w:val="none"/>
        </w:rPr>
        <w:t>质疑联系人：叶先生</w:t>
      </w:r>
    </w:p>
    <w:p w14:paraId="75C9D567">
      <w:pPr>
        <w:spacing w:line="400" w:lineRule="exact"/>
        <w:rPr>
          <w:rFonts w:ascii="宋体" w:hAnsi="宋体"/>
          <w:bCs/>
          <w:sz w:val="24"/>
          <w:highlight w:val="none"/>
        </w:rPr>
      </w:pPr>
      <w:r>
        <w:rPr>
          <w:rFonts w:hint="eastAsia" w:ascii="宋体" w:hAnsi="宋体"/>
          <w:bCs/>
          <w:sz w:val="24"/>
          <w:highlight w:val="none"/>
        </w:rPr>
        <w:t>质疑联系方式：0576-89188960</w:t>
      </w:r>
    </w:p>
    <w:p w14:paraId="6739BFDE">
      <w:pPr>
        <w:spacing w:line="400" w:lineRule="exact"/>
        <w:rPr>
          <w:rFonts w:ascii="宋体" w:hAnsi="宋体"/>
          <w:spacing w:val="-4"/>
          <w:sz w:val="24"/>
          <w:highlight w:val="none"/>
        </w:rPr>
      </w:pPr>
      <w:r>
        <w:rPr>
          <w:rFonts w:hint="eastAsia" w:ascii="宋体" w:hAnsi="宋体"/>
          <w:spacing w:val="-4"/>
          <w:sz w:val="24"/>
          <w:highlight w:val="none"/>
        </w:rPr>
        <w:t xml:space="preserve">电子邮箱:2794725066@qq.com </w:t>
      </w:r>
    </w:p>
    <w:p w14:paraId="2AA44AF3">
      <w:pPr>
        <w:spacing w:line="400" w:lineRule="exact"/>
        <w:rPr>
          <w:rFonts w:ascii="宋体" w:hAnsi="宋体"/>
          <w:b/>
          <w:spacing w:val="-4"/>
          <w:sz w:val="24"/>
          <w:highlight w:val="none"/>
        </w:rPr>
      </w:pPr>
      <w:r>
        <w:rPr>
          <w:rFonts w:hint="eastAsia" w:ascii="宋体" w:hAnsi="宋体"/>
          <w:b/>
          <w:spacing w:val="-4"/>
          <w:sz w:val="24"/>
          <w:highlight w:val="none"/>
        </w:rPr>
        <w:t>（3）本次非政府采购项目监管机构信息</w:t>
      </w:r>
    </w:p>
    <w:p w14:paraId="7C2BB4D0">
      <w:pPr>
        <w:spacing w:line="400" w:lineRule="exact"/>
        <w:rPr>
          <w:rFonts w:hint="eastAsia" w:ascii="宋体" w:hAnsi="宋体" w:eastAsia="宋体"/>
          <w:spacing w:val="-4"/>
          <w:sz w:val="24"/>
          <w:highlight w:val="none"/>
          <w:lang w:eastAsia="zh-CN"/>
        </w:rPr>
      </w:pPr>
      <w:r>
        <w:rPr>
          <w:rFonts w:hint="eastAsia" w:ascii="宋体" w:hAnsi="宋体"/>
          <w:spacing w:val="-4"/>
          <w:sz w:val="24"/>
          <w:highlight w:val="none"/>
        </w:rPr>
        <w:t>名 称：</w:t>
      </w:r>
      <w:r>
        <w:rPr>
          <w:rFonts w:hint="eastAsia" w:ascii="宋体" w:hAnsi="宋体"/>
          <w:bCs/>
          <w:sz w:val="24"/>
          <w:highlight w:val="none"/>
          <w:lang w:eastAsia="zh-CN"/>
        </w:rPr>
        <w:t>临海市医疗保障局</w:t>
      </w:r>
    </w:p>
    <w:p w14:paraId="6AFD1E5C">
      <w:pPr>
        <w:spacing w:line="400" w:lineRule="exact"/>
        <w:rPr>
          <w:rFonts w:ascii="宋体" w:hAnsi="宋体"/>
          <w:spacing w:val="-4"/>
          <w:sz w:val="24"/>
        </w:rPr>
      </w:pPr>
      <w:r>
        <w:rPr>
          <w:rFonts w:hint="eastAsia" w:ascii="宋体" w:hAnsi="宋体"/>
          <w:spacing w:val="-4"/>
          <w:sz w:val="24"/>
        </w:rPr>
        <w:t>地 址：</w:t>
      </w:r>
      <w:r>
        <w:rPr>
          <w:rFonts w:hint="eastAsia" w:ascii="宋体" w:hAnsi="宋体"/>
          <w:bCs/>
          <w:sz w:val="24"/>
        </w:rPr>
        <w:t>临海市河阳路3</w:t>
      </w:r>
      <w:r>
        <w:rPr>
          <w:rFonts w:ascii="宋体" w:hAnsi="宋体"/>
          <w:bCs/>
          <w:sz w:val="24"/>
        </w:rPr>
        <w:t>19</w:t>
      </w:r>
      <w:r>
        <w:rPr>
          <w:rFonts w:hint="eastAsia" w:ascii="宋体" w:hAnsi="宋体"/>
          <w:bCs/>
          <w:sz w:val="24"/>
        </w:rPr>
        <w:t>号</w:t>
      </w:r>
    </w:p>
    <w:p w14:paraId="32BE75AA">
      <w:pPr>
        <w:spacing w:line="400" w:lineRule="exact"/>
        <w:rPr>
          <w:rFonts w:ascii="宋体" w:hAnsi="宋体"/>
          <w:spacing w:val="-4"/>
          <w:sz w:val="24"/>
        </w:rPr>
      </w:pPr>
      <w:r>
        <w:rPr>
          <w:rFonts w:hint="eastAsia" w:ascii="宋体" w:hAnsi="宋体"/>
          <w:spacing w:val="-4"/>
          <w:sz w:val="24"/>
        </w:rPr>
        <w:t>联系人：</w:t>
      </w:r>
      <w:r>
        <w:rPr>
          <w:rFonts w:hint="eastAsia" w:ascii="宋体" w:hAnsi="宋体"/>
          <w:spacing w:val="-4"/>
          <w:sz w:val="24"/>
          <w:lang w:val="en-US" w:eastAsia="zh-CN"/>
        </w:rPr>
        <w:t>周</w:t>
      </w:r>
      <w:r>
        <w:rPr>
          <w:rFonts w:hint="eastAsia" w:ascii="宋体" w:hAnsi="宋体"/>
          <w:spacing w:val="-4"/>
          <w:sz w:val="24"/>
        </w:rPr>
        <w:t>先生</w:t>
      </w:r>
    </w:p>
    <w:p w14:paraId="2E985D3B">
      <w:pPr>
        <w:spacing w:line="400" w:lineRule="exact"/>
        <w:rPr>
          <w:rFonts w:ascii="宋体" w:hAnsi="宋体"/>
          <w:spacing w:val="-4"/>
          <w:sz w:val="24"/>
        </w:rPr>
      </w:pPr>
      <w:r>
        <w:rPr>
          <w:rFonts w:hint="eastAsia" w:ascii="宋体" w:hAnsi="宋体"/>
          <w:spacing w:val="-4"/>
          <w:sz w:val="24"/>
        </w:rPr>
        <w:t>联系电话：</w:t>
      </w:r>
      <w:r>
        <w:rPr>
          <w:rFonts w:ascii="宋体" w:hAnsi="宋体"/>
          <w:bCs/>
          <w:sz w:val="24"/>
        </w:rPr>
        <w:t>0576-89391056</w:t>
      </w:r>
    </w:p>
    <w:p w14:paraId="644BD772">
      <w:pPr>
        <w:pStyle w:val="31"/>
        <w:snapToGrid w:val="0"/>
        <w:spacing w:beforeLines="0" w:afterLines="0" w:line="480" w:lineRule="auto"/>
        <w:jc w:val="center"/>
        <w:outlineLvl w:val="0"/>
        <w:rPr>
          <w:b/>
          <w:sz w:val="30"/>
          <w:szCs w:val="30"/>
          <w:highlight w:val="none"/>
        </w:rPr>
      </w:pPr>
      <w:r>
        <w:rPr>
          <w:rFonts w:hAnsi="宋体"/>
          <w:b/>
          <w:highlight w:val="none"/>
        </w:rPr>
        <w:br w:type="page"/>
      </w:r>
      <w:bookmarkStart w:id="4" w:name="_Toc21778"/>
      <w:bookmarkStart w:id="5" w:name="_Toc5841"/>
      <w:bookmarkStart w:id="6" w:name="_Toc466534748"/>
      <w:bookmarkStart w:id="7" w:name="_Toc467749357"/>
      <w:r>
        <w:rPr>
          <w:rFonts w:hint="eastAsia"/>
          <w:b/>
          <w:sz w:val="30"/>
          <w:szCs w:val="30"/>
          <w:highlight w:val="none"/>
        </w:rPr>
        <w:t>第二章  采购内容、需求及要求</w:t>
      </w:r>
      <w:bookmarkEnd w:id="4"/>
      <w:bookmarkEnd w:id="5"/>
    </w:p>
    <w:bookmarkEnd w:id="6"/>
    <w:bookmarkEnd w:id="7"/>
    <w:p w14:paraId="104E4322">
      <w:pPr>
        <w:pStyle w:val="3"/>
        <w:pageBreakBefore w:val="0"/>
        <w:numPr>
          <w:ilvl w:val="0"/>
          <w:numId w:val="4"/>
        </w:numPr>
        <w:shd w:val="clear" w:color="auto" w:fill="auto"/>
        <w:kinsoku/>
        <w:wordWrap/>
        <w:overflowPunct/>
        <w:topLinePunct w:val="0"/>
        <w:autoSpaceDN/>
        <w:bidi w:val="0"/>
        <w:spacing w:before="0" w:beforeLines="0" w:after="0" w:afterLines="0" w:line="400" w:lineRule="exact"/>
        <w:jc w:val="left"/>
        <w:textAlignment w:val="auto"/>
        <w:rPr>
          <w:rFonts w:hint="eastAsia" w:ascii="宋体" w:hAnsi="宋体" w:eastAsia="宋体" w:cs="宋体"/>
          <w:color w:val="000000"/>
          <w:sz w:val="24"/>
          <w:szCs w:val="24"/>
          <w:highlight w:val="none"/>
        </w:rPr>
      </w:pPr>
      <w:bookmarkStart w:id="8" w:name="_Toc466534749"/>
      <w:bookmarkStart w:id="9" w:name="_Toc6386"/>
      <w:bookmarkStart w:id="10" w:name="_Toc15199"/>
      <w:r>
        <w:rPr>
          <w:rFonts w:hint="eastAsia" w:ascii="宋体" w:hAnsi="宋体" w:eastAsia="宋体" w:cs="宋体"/>
          <w:color w:val="000000"/>
          <w:sz w:val="24"/>
          <w:szCs w:val="24"/>
          <w:highlight w:val="none"/>
        </w:rPr>
        <w:t>项目背景</w:t>
      </w:r>
    </w:p>
    <w:p w14:paraId="6202AA4E">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为进一步推动医保领域数字化转型，构建高效医保运行体系，保障医保基金安全，促进动态化掌握全</w:t>
      </w:r>
      <w:r>
        <w:rPr>
          <w:rFonts w:hint="eastAsia" w:ascii="宋体" w:hAnsi="宋体" w:eastAsia="宋体" w:cs="宋体"/>
          <w:color w:val="000000"/>
          <w:sz w:val="24"/>
          <w:szCs w:val="24"/>
          <w:highlight w:val="none"/>
          <w:lang w:eastAsia="zh-CN" w:bidi="ar"/>
        </w:rPr>
        <w:t>市</w:t>
      </w:r>
      <w:r>
        <w:rPr>
          <w:rFonts w:hint="eastAsia" w:ascii="宋体" w:hAnsi="宋体" w:eastAsia="宋体" w:cs="宋体"/>
          <w:color w:val="000000"/>
          <w:sz w:val="24"/>
          <w:szCs w:val="24"/>
          <w:highlight w:val="none"/>
          <w:lang w:bidi="ar"/>
        </w:rPr>
        <w:t>医疗保障基金运行情况，强化日常数据的使用，推动医疗保障工作高效可持续开展。需要形成支撑全</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医疗保障宏观决策大数据分析能力体系。医保决策支持专区作为浙江创新的数据共享方案，遵循国家医保局相关要求，以数据明细不出专区为原则，提供灵活的个性化查询数据底座，</w:t>
      </w:r>
      <w:r>
        <w:rPr>
          <w:rFonts w:hint="eastAsia" w:ascii="宋体" w:hAnsi="宋体" w:eastAsia="宋体" w:cs="宋体"/>
          <w:color w:val="000000"/>
          <w:sz w:val="24"/>
          <w:szCs w:val="24"/>
          <w:highlight w:val="none"/>
          <w:lang w:eastAsia="zh-CN" w:bidi="ar"/>
        </w:rPr>
        <w:t>可</w:t>
      </w:r>
      <w:r>
        <w:rPr>
          <w:rFonts w:hint="eastAsia" w:ascii="宋体" w:hAnsi="宋体" w:eastAsia="宋体" w:cs="宋体"/>
          <w:color w:val="000000"/>
          <w:sz w:val="24"/>
          <w:szCs w:val="24"/>
          <w:highlight w:val="none"/>
          <w:lang w:bidi="ar"/>
        </w:rPr>
        <w:t>以基于决策支持专区进行灵活个性化的医保多维度数据统计分析。</w:t>
      </w:r>
    </w:p>
    <w:p w14:paraId="228FE641">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我市在贯彻落实省医保决策专区要求的基础上，进一步利用和发掘医保数据价值，开展</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数据分析服务。通过应用大数据领域相关技术，对我市医保数据进行查询、统计分析、数据治理、定期监测，推动我市医保领域数字化转型，构建高效、可靠的医保运行体系，保障医保基金安全，提升医保服务质量。</w:t>
      </w:r>
    </w:p>
    <w:p w14:paraId="070988DF">
      <w:pPr>
        <w:pStyle w:val="3"/>
        <w:pageBreakBefore w:val="0"/>
        <w:numPr>
          <w:ilvl w:val="0"/>
          <w:numId w:val="4"/>
        </w:numPr>
        <w:shd w:val="clear" w:color="auto" w:fill="auto"/>
        <w:kinsoku/>
        <w:wordWrap/>
        <w:overflowPunct/>
        <w:topLinePunct w:val="0"/>
        <w:autoSpaceDN/>
        <w:bidi w:val="0"/>
        <w:spacing w:before="0" w:beforeLines="0" w:after="0" w:afterLines="0" w:line="40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项目目标</w:t>
      </w:r>
    </w:p>
    <w:p w14:paraId="3C75D219">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本项目以数字化技术、数字化思维、数字化认知为出发点，构建高效、可靠的医保运行体系。1）在医疗保障信息平台上提供全省共性报表及个性化报表配置与呈现服务；2）对全业务、全口径数据查询服务，实现跨子系统的业务统计；3）针对智慧医保系统业务，提供业务落地、子系统问题协调、跟踪服务；4）提供查询、分析、反馈的一体化循环服务。此体系的运行可进一步挖掘医保数据价值，强化医保数据分析决策能力，提高医保基金管理水平，提高医保经办服务水平。</w:t>
      </w:r>
    </w:p>
    <w:p w14:paraId="666D1DB9">
      <w:pPr>
        <w:pStyle w:val="3"/>
        <w:pageBreakBefore w:val="0"/>
        <w:numPr>
          <w:ilvl w:val="0"/>
          <w:numId w:val="4"/>
        </w:numPr>
        <w:shd w:val="clear" w:color="auto" w:fill="auto"/>
        <w:kinsoku/>
        <w:wordWrap/>
        <w:overflowPunct/>
        <w:topLinePunct w:val="0"/>
        <w:autoSpaceDN/>
        <w:bidi w:val="0"/>
        <w:spacing w:before="0" w:beforeLines="0" w:after="0" w:afterLines="0" w:line="40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服务内容</w:t>
      </w:r>
    </w:p>
    <w:p w14:paraId="49A4C83C">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本项目为服务类项目，依托省局决策专区，为</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市医保局提供报表配置与呈现、数据查询与统计分析、系统历史迁移数据问题处理技术支持、系统培训及咨询、需求问题评估协调、故障问题汇总提交及跟踪处理</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其它配套</w:t>
      </w:r>
      <w:r>
        <w:rPr>
          <w:rFonts w:hint="eastAsia" w:ascii="宋体" w:hAnsi="宋体" w:eastAsia="宋体" w:cs="宋体"/>
          <w:color w:val="000000"/>
          <w:sz w:val="24"/>
          <w:szCs w:val="24"/>
          <w:highlight w:val="none"/>
          <w:lang w:bidi="ar"/>
        </w:rPr>
        <w:t>等服务</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服务场地设在临海市医保局指定区域，相关网络环境由临海市医保局自行准备。</w:t>
      </w:r>
    </w:p>
    <w:tbl>
      <w:tblPr>
        <w:tblStyle w:val="414"/>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865"/>
        <w:gridCol w:w="7553"/>
      </w:tblGrid>
      <w:tr w14:paraId="35703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3" w:hRule="atLeast"/>
        </w:trPr>
        <w:tc>
          <w:tcPr>
            <w:tcW w:w="990" w:type="pct"/>
            <w:tcBorders>
              <w:top w:val="single" w:color="000000" w:sz="2" w:space="0"/>
              <w:left w:val="single" w:color="000000" w:sz="2" w:space="0"/>
              <w:bottom w:val="single" w:color="000000" w:sz="2" w:space="0"/>
              <w:right w:val="single" w:color="000000" w:sz="2" w:space="0"/>
            </w:tcBorders>
            <w:noWrap w:val="0"/>
            <w:vAlign w:val="center"/>
          </w:tcPr>
          <w:p w14:paraId="311C4C76">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b/>
                <w:bCs/>
                <w:color w:val="000000"/>
                <w:kern w:val="2"/>
                <w:sz w:val="24"/>
                <w:szCs w:val="24"/>
                <w:highlight w:val="none"/>
                <w:lang w:eastAsia="en-US"/>
              </w:rPr>
            </w:pPr>
            <w:r>
              <w:rPr>
                <w:rFonts w:hint="eastAsia" w:ascii="宋体" w:hAnsi="宋体" w:eastAsia="宋体" w:cs="宋体"/>
                <w:b/>
                <w:bCs/>
                <w:color w:val="000000"/>
                <w:spacing w:val="-3"/>
                <w:kern w:val="2"/>
                <w:sz w:val="24"/>
                <w:szCs w:val="24"/>
                <w:highlight w:val="none"/>
                <w:lang w:eastAsia="en-US" w:bidi="ar"/>
              </w:rPr>
              <w:t>序号</w:t>
            </w:r>
          </w:p>
        </w:tc>
        <w:tc>
          <w:tcPr>
            <w:tcW w:w="4010" w:type="pct"/>
            <w:tcBorders>
              <w:top w:val="single" w:color="000000" w:sz="2" w:space="0"/>
              <w:left w:val="single" w:color="000000" w:sz="2" w:space="0"/>
              <w:bottom w:val="single" w:color="000000" w:sz="2" w:space="0"/>
              <w:right w:val="single" w:color="000000" w:sz="2" w:space="0"/>
            </w:tcBorders>
            <w:noWrap w:val="0"/>
            <w:vAlign w:val="center"/>
          </w:tcPr>
          <w:p w14:paraId="4235260B">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b/>
                <w:bCs/>
                <w:color w:val="000000"/>
                <w:kern w:val="2"/>
                <w:sz w:val="24"/>
                <w:szCs w:val="24"/>
                <w:highlight w:val="none"/>
                <w:lang w:eastAsia="en-US"/>
              </w:rPr>
            </w:pPr>
            <w:r>
              <w:rPr>
                <w:rFonts w:hint="eastAsia" w:ascii="宋体" w:hAnsi="宋体" w:eastAsia="宋体" w:cs="宋体"/>
                <w:b/>
                <w:bCs/>
                <w:color w:val="000000"/>
                <w:spacing w:val="-2"/>
                <w:kern w:val="2"/>
                <w:sz w:val="24"/>
                <w:szCs w:val="24"/>
                <w:highlight w:val="none"/>
                <w:lang w:eastAsia="en-US" w:bidi="ar"/>
              </w:rPr>
              <w:t>服务名称</w:t>
            </w:r>
          </w:p>
        </w:tc>
      </w:tr>
      <w:tr w14:paraId="7A6C3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0" w:type="pct"/>
            <w:tcBorders>
              <w:top w:val="single" w:color="000000" w:sz="2" w:space="0"/>
              <w:left w:val="single" w:color="000000" w:sz="2" w:space="0"/>
              <w:bottom w:val="single" w:color="000000" w:sz="2" w:space="0"/>
              <w:right w:val="single" w:color="000000" w:sz="2" w:space="0"/>
            </w:tcBorders>
            <w:noWrap w:val="0"/>
            <w:vAlign w:val="center"/>
          </w:tcPr>
          <w:p w14:paraId="62DB93F9">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kern w:val="2"/>
                <w:sz w:val="24"/>
                <w:szCs w:val="24"/>
                <w:highlight w:val="none"/>
                <w:lang w:eastAsia="en-US" w:bidi="ar"/>
              </w:rPr>
              <w:t>1</w:t>
            </w:r>
          </w:p>
        </w:tc>
        <w:tc>
          <w:tcPr>
            <w:tcW w:w="4010" w:type="pct"/>
            <w:tcBorders>
              <w:top w:val="single" w:color="000000" w:sz="2" w:space="0"/>
              <w:left w:val="single" w:color="000000" w:sz="2" w:space="0"/>
              <w:bottom w:val="single" w:color="000000" w:sz="2" w:space="0"/>
              <w:right w:val="single" w:color="000000" w:sz="2" w:space="0"/>
            </w:tcBorders>
            <w:noWrap w:val="0"/>
            <w:vAlign w:val="center"/>
          </w:tcPr>
          <w:p w14:paraId="773FAA2F">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ind w:left="0" w:leftChars="0" w:firstLine="151" w:firstLineChars="63"/>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sz w:val="24"/>
                <w:szCs w:val="24"/>
                <w:highlight w:val="none"/>
                <w:lang w:eastAsia="en-US" w:bidi="ar"/>
              </w:rPr>
              <w:t>报表配置与呈现</w:t>
            </w:r>
          </w:p>
        </w:tc>
      </w:tr>
      <w:tr w14:paraId="5BB1AC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0" w:type="pct"/>
            <w:tcBorders>
              <w:top w:val="single" w:color="000000" w:sz="2" w:space="0"/>
              <w:left w:val="single" w:color="000000" w:sz="2" w:space="0"/>
              <w:bottom w:val="single" w:color="000000" w:sz="2" w:space="0"/>
              <w:right w:val="single" w:color="000000" w:sz="2" w:space="0"/>
            </w:tcBorders>
            <w:noWrap w:val="0"/>
            <w:vAlign w:val="center"/>
          </w:tcPr>
          <w:p w14:paraId="5E12C5F3">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kern w:val="2"/>
                <w:sz w:val="24"/>
                <w:szCs w:val="24"/>
                <w:highlight w:val="none"/>
                <w:lang w:eastAsia="en-US" w:bidi="ar"/>
              </w:rPr>
              <w:t>2</w:t>
            </w:r>
          </w:p>
        </w:tc>
        <w:tc>
          <w:tcPr>
            <w:tcW w:w="4010" w:type="pct"/>
            <w:tcBorders>
              <w:top w:val="single" w:color="000000" w:sz="2" w:space="0"/>
              <w:left w:val="single" w:color="000000" w:sz="2" w:space="0"/>
              <w:bottom w:val="single" w:color="000000" w:sz="2" w:space="0"/>
              <w:right w:val="single" w:color="000000" w:sz="2" w:space="0"/>
            </w:tcBorders>
            <w:noWrap w:val="0"/>
            <w:vAlign w:val="center"/>
          </w:tcPr>
          <w:p w14:paraId="58732430">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ind w:left="0" w:leftChars="0" w:firstLine="151" w:firstLineChars="63"/>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sz w:val="24"/>
                <w:szCs w:val="24"/>
                <w:highlight w:val="none"/>
                <w:lang w:eastAsia="en-US" w:bidi="ar"/>
              </w:rPr>
              <w:t>数据查询与分析</w:t>
            </w:r>
          </w:p>
        </w:tc>
      </w:tr>
      <w:tr w14:paraId="50E531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90" w:type="pct"/>
            <w:tcBorders>
              <w:top w:val="single" w:color="000000" w:sz="2" w:space="0"/>
              <w:left w:val="single" w:color="000000" w:sz="2" w:space="0"/>
              <w:bottom w:val="single" w:color="000000" w:sz="2" w:space="0"/>
              <w:right w:val="single" w:color="000000" w:sz="2" w:space="0"/>
            </w:tcBorders>
            <w:noWrap w:val="0"/>
            <w:vAlign w:val="center"/>
          </w:tcPr>
          <w:p w14:paraId="436B6251">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kern w:val="2"/>
                <w:sz w:val="24"/>
                <w:szCs w:val="24"/>
                <w:highlight w:val="none"/>
                <w:lang w:eastAsia="en-US" w:bidi="ar"/>
              </w:rPr>
              <w:t>3</w:t>
            </w:r>
          </w:p>
        </w:tc>
        <w:tc>
          <w:tcPr>
            <w:tcW w:w="4010" w:type="pct"/>
            <w:tcBorders>
              <w:top w:val="single" w:color="000000" w:sz="2" w:space="0"/>
              <w:left w:val="single" w:color="000000" w:sz="2" w:space="0"/>
              <w:bottom w:val="single" w:color="000000" w:sz="2" w:space="0"/>
              <w:right w:val="single" w:color="000000" w:sz="2" w:space="0"/>
            </w:tcBorders>
            <w:noWrap w:val="0"/>
            <w:vAlign w:val="center"/>
          </w:tcPr>
          <w:p w14:paraId="0B35C2D9">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ind w:left="0" w:leftChars="0" w:firstLine="151" w:firstLineChars="63"/>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kern w:val="2"/>
                <w:sz w:val="24"/>
                <w:szCs w:val="24"/>
                <w:highlight w:val="none"/>
                <w:lang w:eastAsia="en-US" w:bidi="ar"/>
              </w:rPr>
              <w:t>系统历史迁移数据问题处理技术支持</w:t>
            </w:r>
          </w:p>
        </w:tc>
      </w:tr>
      <w:tr w14:paraId="12FF6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90" w:type="pct"/>
            <w:tcBorders>
              <w:top w:val="single" w:color="000000" w:sz="2" w:space="0"/>
              <w:left w:val="single" w:color="000000" w:sz="2" w:space="0"/>
              <w:bottom w:val="single" w:color="000000" w:sz="2" w:space="0"/>
              <w:right w:val="single" w:color="000000" w:sz="2" w:space="0"/>
            </w:tcBorders>
            <w:noWrap w:val="0"/>
            <w:vAlign w:val="center"/>
          </w:tcPr>
          <w:p w14:paraId="27305F71">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kern w:val="2"/>
                <w:sz w:val="24"/>
                <w:szCs w:val="24"/>
                <w:highlight w:val="none"/>
                <w:lang w:eastAsia="en-US" w:bidi="ar"/>
              </w:rPr>
              <w:t>4</w:t>
            </w:r>
          </w:p>
        </w:tc>
        <w:tc>
          <w:tcPr>
            <w:tcW w:w="4010" w:type="pct"/>
            <w:tcBorders>
              <w:top w:val="single" w:color="000000" w:sz="2" w:space="0"/>
              <w:left w:val="single" w:color="000000" w:sz="2" w:space="0"/>
              <w:bottom w:val="single" w:color="000000" w:sz="2" w:space="0"/>
              <w:right w:val="single" w:color="000000" w:sz="2" w:space="0"/>
            </w:tcBorders>
            <w:noWrap w:val="0"/>
            <w:vAlign w:val="center"/>
          </w:tcPr>
          <w:p w14:paraId="4E1EBAB2">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ind w:left="0" w:leftChars="0" w:firstLine="148" w:firstLineChars="63"/>
              <w:textAlignment w:val="auto"/>
              <w:rPr>
                <w:rFonts w:hint="eastAsia" w:ascii="宋体" w:hAnsi="宋体" w:eastAsia="宋体" w:cs="宋体"/>
                <w:color w:val="000000"/>
                <w:spacing w:val="-2"/>
                <w:kern w:val="2"/>
                <w:sz w:val="24"/>
                <w:szCs w:val="24"/>
                <w:highlight w:val="none"/>
                <w:lang w:eastAsia="en-US"/>
              </w:rPr>
            </w:pPr>
            <w:r>
              <w:rPr>
                <w:rFonts w:hint="eastAsia" w:ascii="宋体" w:hAnsi="宋体" w:eastAsia="宋体" w:cs="宋体"/>
                <w:color w:val="000000"/>
                <w:spacing w:val="-2"/>
                <w:kern w:val="2"/>
                <w:sz w:val="24"/>
                <w:szCs w:val="24"/>
                <w:highlight w:val="none"/>
                <w:lang w:eastAsia="en-US" w:bidi="ar"/>
              </w:rPr>
              <w:t>系统培训及咨询</w:t>
            </w:r>
          </w:p>
        </w:tc>
      </w:tr>
      <w:tr w14:paraId="15A3F3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990" w:type="pct"/>
            <w:tcBorders>
              <w:top w:val="single" w:color="000000" w:sz="2" w:space="0"/>
              <w:left w:val="single" w:color="000000" w:sz="2" w:space="0"/>
              <w:bottom w:val="single" w:color="000000" w:sz="2" w:space="0"/>
              <w:right w:val="single" w:color="000000" w:sz="2" w:space="0"/>
            </w:tcBorders>
            <w:noWrap w:val="0"/>
            <w:vAlign w:val="center"/>
          </w:tcPr>
          <w:p w14:paraId="41444F33">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kern w:val="2"/>
                <w:sz w:val="24"/>
                <w:szCs w:val="24"/>
                <w:highlight w:val="none"/>
                <w:lang w:eastAsia="en-US" w:bidi="ar"/>
              </w:rPr>
              <w:t>5</w:t>
            </w:r>
          </w:p>
        </w:tc>
        <w:tc>
          <w:tcPr>
            <w:tcW w:w="4010" w:type="pct"/>
            <w:tcBorders>
              <w:top w:val="single" w:color="000000" w:sz="2" w:space="0"/>
              <w:left w:val="single" w:color="000000" w:sz="2" w:space="0"/>
              <w:bottom w:val="single" w:color="000000" w:sz="2" w:space="0"/>
              <w:right w:val="single" w:color="000000" w:sz="2" w:space="0"/>
            </w:tcBorders>
            <w:noWrap w:val="0"/>
            <w:vAlign w:val="center"/>
          </w:tcPr>
          <w:p w14:paraId="6B8EE665">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ind w:left="0" w:leftChars="0" w:firstLine="147" w:firstLineChars="63"/>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spacing w:val="-3"/>
                <w:kern w:val="2"/>
                <w:sz w:val="24"/>
                <w:szCs w:val="24"/>
                <w:highlight w:val="none"/>
                <w:lang w:eastAsia="en-US" w:bidi="ar"/>
              </w:rPr>
              <w:t>需求问题协调</w:t>
            </w:r>
          </w:p>
        </w:tc>
      </w:tr>
      <w:tr w14:paraId="70BFF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90" w:type="pct"/>
            <w:tcBorders>
              <w:top w:val="single" w:color="000000" w:sz="2" w:space="0"/>
              <w:left w:val="single" w:color="000000" w:sz="2" w:space="0"/>
              <w:bottom w:val="single" w:color="000000" w:sz="2" w:space="0"/>
              <w:right w:val="single" w:color="000000" w:sz="2" w:space="0"/>
            </w:tcBorders>
            <w:noWrap w:val="0"/>
            <w:vAlign w:val="center"/>
          </w:tcPr>
          <w:p w14:paraId="4B2D99F6">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kern w:val="2"/>
                <w:sz w:val="24"/>
                <w:szCs w:val="24"/>
                <w:highlight w:val="none"/>
                <w:lang w:eastAsia="en-US" w:bidi="ar"/>
              </w:rPr>
              <w:t>6</w:t>
            </w:r>
          </w:p>
        </w:tc>
        <w:tc>
          <w:tcPr>
            <w:tcW w:w="4010" w:type="pct"/>
            <w:tcBorders>
              <w:top w:val="single" w:color="000000" w:sz="2" w:space="0"/>
              <w:left w:val="single" w:color="000000" w:sz="2" w:space="0"/>
              <w:bottom w:val="single" w:color="000000" w:sz="2" w:space="0"/>
              <w:right w:val="single" w:color="000000" w:sz="2" w:space="0"/>
            </w:tcBorders>
            <w:noWrap w:val="0"/>
            <w:vAlign w:val="center"/>
          </w:tcPr>
          <w:p w14:paraId="155F9286">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ind w:left="0" w:leftChars="0" w:firstLine="151" w:firstLineChars="63"/>
              <w:textAlignment w:val="auto"/>
              <w:rPr>
                <w:rFonts w:hint="eastAsia" w:ascii="宋体" w:hAnsi="宋体" w:eastAsia="宋体" w:cs="宋体"/>
                <w:color w:val="000000"/>
                <w:kern w:val="2"/>
                <w:sz w:val="24"/>
                <w:szCs w:val="24"/>
                <w:highlight w:val="none"/>
                <w:lang w:eastAsia="en-US"/>
              </w:rPr>
            </w:pPr>
            <w:r>
              <w:rPr>
                <w:rFonts w:hint="eastAsia" w:ascii="宋体" w:hAnsi="宋体" w:eastAsia="宋体" w:cs="宋体"/>
                <w:color w:val="000000"/>
                <w:kern w:val="2"/>
                <w:sz w:val="24"/>
                <w:szCs w:val="24"/>
                <w:highlight w:val="none"/>
                <w:lang w:eastAsia="en-US" w:bidi="ar"/>
              </w:rPr>
              <w:t>故障问题汇总提交及跟踪处理</w:t>
            </w:r>
          </w:p>
        </w:tc>
      </w:tr>
      <w:tr w14:paraId="3BF44F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90" w:type="pct"/>
            <w:tcBorders>
              <w:top w:val="single" w:color="000000" w:sz="2" w:space="0"/>
              <w:left w:val="single" w:color="000000" w:sz="2" w:space="0"/>
              <w:bottom w:val="single" w:color="000000" w:sz="2" w:space="0"/>
              <w:right w:val="single" w:color="000000" w:sz="2" w:space="0"/>
            </w:tcBorders>
            <w:noWrap w:val="0"/>
            <w:vAlign w:val="center"/>
          </w:tcPr>
          <w:p w14:paraId="537B5B1E">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jc w:val="center"/>
              <w:textAlignment w:val="auto"/>
              <w:rPr>
                <w:rFonts w:hint="eastAsia" w:ascii="宋体" w:hAnsi="宋体" w:eastAsia="宋体" w:cs="宋体"/>
                <w:color w:val="000000"/>
                <w:kern w:val="2"/>
                <w:sz w:val="24"/>
                <w:szCs w:val="24"/>
                <w:highlight w:val="none"/>
                <w:lang w:val="en-US" w:eastAsia="zh-CN" w:bidi="ar"/>
              </w:rPr>
            </w:pPr>
            <w:r>
              <w:rPr>
                <w:rFonts w:hint="eastAsia" w:ascii="宋体" w:hAnsi="宋体" w:eastAsia="宋体" w:cs="宋体"/>
                <w:color w:val="000000"/>
                <w:kern w:val="2"/>
                <w:sz w:val="24"/>
                <w:szCs w:val="24"/>
                <w:highlight w:val="none"/>
                <w:lang w:val="en-US" w:eastAsia="zh-CN" w:bidi="ar"/>
              </w:rPr>
              <w:t>7</w:t>
            </w:r>
          </w:p>
        </w:tc>
        <w:tc>
          <w:tcPr>
            <w:tcW w:w="4010" w:type="pct"/>
            <w:tcBorders>
              <w:top w:val="single" w:color="000000" w:sz="2" w:space="0"/>
              <w:left w:val="single" w:color="000000" w:sz="2" w:space="0"/>
              <w:bottom w:val="single" w:color="000000" w:sz="2" w:space="0"/>
              <w:right w:val="single" w:color="000000" w:sz="2" w:space="0"/>
            </w:tcBorders>
            <w:noWrap w:val="0"/>
            <w:vAlign w:val="center"/>
          </w:tcPr>
          <w:p w14:paraId="4461C941">
            <w:pPr>
              <w:pStyle w:val="48"/>
              <w:pageBreakBefore w:val="0"/>
              <w:widowControl w:val="0"/>
              <w:shd w:val="clear" w:color="auto" w:fill="auto"/>
              <w:kinsoku/>
              <w:wordWrap/>
              <w:overflowPunct/>
              <w:topLinePunct w:val="0"/>
              <w:autoSpaceDE w:val="0"/>
              <w:autoSpaceDN/>
              <w:bidi w:val="0"/>
              <w:spacing w:before="0" w:beforeAutospacing="0" w:after="0" w:afterAutospacing="0" w:line="400" w:lineRule="exact"/>
              <w:ind w:left="0" w:leftChars="0" w:firstLine="151" w:firstLineChars="63"/>
              <w:textAlignment w:val="auto"/>
              <w:rPr>
                <w:rFonts w:hint="eastAsia" w:ascii="宋体" w:hAnsi="宋体" w:eastAsia="宋体" w:cs="宋体"/>
                <w:color w:val="000000"/>
                <w:kern w:val="2"/>
                <w:sz w:val="24"/>
                <w:szCs w:val="24"/>
                <w:highlight w:val="none"/>
                <w:lang w:eastAsia="en-US" w:bidi="ar"/>
              </w:rPr>
            </w:pPr>
            <w:r>
              <w:rPr>
                <w:rFonts w:hint="eastAsia" w:ascii="宋体" w:hAnsi="宋体" w:eastAsia="宋体" w:cs="宋体"/>
                <w:color w:val="000000"/>
                <w:sz w:val="24"/>
                <w:szCs w:val="24"/>
                <w:highlight w:val="none"/>
                <w:lang w:val="en-US" w:eastAsia="zh-CN" w:bidi="ar"/>
              </w:rPr>
              <w:t>其它配套</w:t>
            </w:r>
          </w:p>
        </w:tc>
      </w:tr>
    </w:tbl>
    <w:p w14:paraId="5ACA78EB">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各项服务内容简要说明如下：</w:t>
      </w:r>
    </w:p>
    <w:p w14:paraId="603C357B">
      <w:pPr>
        <w:pageBreakBefore w:val="0"/>
        <w:widowControl/>
        <w:numPr>
          <w:ilvl w:val="0"/>
          <w:numId w:val="5"/>
        </w:numPr>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报表配置与呈现服务：为</w:t>
      </w:r>
      <w:r>
        <w:rPr>
          <w:rFonts w:hint="eastAsia" w:ascii="宋体" w:hAnsi="宋体" w:eastAsia="宋体" w:cs="宋体"/>
          <w:color w:val="000000"/>
          <w:kern w:val="0"/>
          <w:sz w:val="24"/>
          <w:szCs w:val="24"/>
          <w:highlight w:val="none"/>
          <w:lang w:val="en-US" w:eastAsia="zh-CN" w:bidi="ar"/>
        </w:rPr>
        <w:t>临海</w:t>
      </w:r>
      <w:r>
        <w:rPr>
          <w:rFonts w:hint="eastAsia" w:ascii="宋体" w:hAnsi="宋体" w:eastAsia="宋体" w:cs="宋体"/>
          <w:color w:val="000000"/>
          <w:kern w:val="0"/>
          <w:sz w:val="24"/>
          <w:szCs w:val="24"/>
          <w:highlight w:val="none"/>
          <w:lang w:bidi="ar"/>
        </w:rPr>
        <w:t>市医保局建设本地化报表配置，以及相关数据呈现和固化。</w:t>
      </w:r>
    </w:p>
    <w:p w14:paraId="4DE8DA6B">
      <w:pPr>
        <w:pageBreakBefore w:val="0"/>
        <w:widowControl/>
        <w:numPr>
          <w:ilvl w:val="0"/>
          <w:numId w:val="5"/>
        </w:numPr>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数据查询与分析服务：</w:t>
      </w:r>
      <w:r>
        <w:rPr>
          <w:rFonts w:hint="eastAsia" w:ascii="宋体" w:hAnsi="宋体" w:eastAsia="宋体" w:cs="宋体"/>
          <w:color w:val="000000"/>
          <w:sz w:val="24"/>
          <w:szCs w:val="24"/>
          <w:highlight w:val="none"/>
          <w:lang w:bidi="ar"/>
        </w:rPr>
        <w:t>需按照</w:t>
      </w:r>
      <w:r>
        <w:rPr>
          <w:rFonts w:hint="eastAsia" w:ascii="宋体" w:hAnsi="宋体" w:eastAsia="宋体" w:cs="宋体"/>
          <w:color w:val="000000"/>
          <w:kern w:val="0"/>
          <w:sz w:val="24"/>
          <w:szCs w:val="24"/>
          <w:highlight w:val="none"/>
          <w:lang w:val="en-US" w:eastAsia="zh-CN" w:bidi="ar"/>
        </w:rPr>
        <w:t>临海</w:t>
      </w:r>
      <w:r>
        <w:rPr>
          <w:rFonts w:hint="eastAsia" w:ascii="宋体" w:hAnsi="宋体" w:eastAsia="宋体" w:cs="宋体"/>
          <w:color w:val="000000"/>
          <w:sz w:val="24"/>
          <w:szCs w:val="24"/>
          <w:highlight w:val="none"/>
          <w:lang w:bidi="ar"/>
        </w:rPr>
        <w:t>市医保局业务需求，通过驻场服务工程师在</w:t>
      </w:r>
      <w:r>
        <w:rPr>
          <w:rFonts w:hint="eastAsia" w:ascii="宋体" w:hAnsi="宋体" w:eastAsia="宋体" w:cs="宋体"/>
          <w:color w:val="000000"/>
          <w:kern w:val="0"/>
          <w:sz w:val="24"/>
          <w:szCs w:val="24"/>
          <w:highlight w:val="none"/>
          <w:lang w:val="en-US" w:eastAsia="zh-CN" w:bidi="ar"/>
        </w:rPr>
        <w:t>临海</w:t>
      </w:r>
      <w:r>
        <w:rPr>
          <w:rFonts w:hint="eastAsia" w:ascii="宋体" w:hAnsi="宋体" w:eastAsia="宋体" w:cs="宋体"/>
          <w:color w:val="000000"/>
          <w:sz w:val="24"/>
          <w:szCs w:val="24"/>
          <w:highlight w:val="none"/>
          <w:lang w:bidi="ar"/>
        </w:rPr>
        <w:t>市医保局进行服务，为</w:t>
      </w:r>
      <w:r>
        <w:rPr>
          <w:rFonts w:hint="eastAsia" w:ascii="宋体" w:hAnsi="宋体" w:eastAsia="宋体" w:cs="宋体"/>
          <w:color w:val="000000"/>
          <w:kern w:val="0"/>
          <w:sz w:val="24"/>
          <w:szCs w:val="24"/>
          <w:highlight w:val="none"/>
          <w:lang w:val="en-US" w:eastAsia="zh-CN" w:bidi="ar"/>
        </w:rPr>
        <w:t>临海</w:t>
      </w:r>
      <w:r>
        <w:rPr>
          <w:rFonts w:hint="eastAsia" w:ascii="宋体" w:hAnsi="宋体" w:eastAsia="宋体" w:cs="宋体"/>
          <w:color w:val="000000"/>
          <w:sz w:val="24"/>
          <w:szCs w:val="24"/>
          <w:highlight w:val="none"/>
          <w:lang w:bidi="ar"/>
        </w:rPr>
        <w:t>市医保局提供对全业务全口径数据查询、统计分析服务，实现跨子系统的全业务统计。</w:t>
      </w:r>
    </w:p>
    <w:p w14:paraId="2CFC7F0F">
      <w:pPr>
        <w:pageBreakBefore w:val="0"/>
        <w:widowControl/>
        <w:numPr>
          <w:ilvl w:val="0"/>
          <w:numId w:val="5"/>
        </w:numPr>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lang w:bidi="ar"/>
        </w:rPr>
        <w:t>系统历史迁移数据问题处理技术支持</w:t>
      </w:r>
      <w:r>
        <w:rPr>
          <w:rFonts w:hint="eastAsia" w:ascii="宋体" w:hAnsi="宋体" w:eastAsia="宋体" w:cs="宋体"/>
          <w:color w:val="000000"/>
          <w:kern w:val="0"/>
          <w:sz w:val="24"/>
          <w:szCs w:val="24"/>
          <w:highlight w:val="none"/>
          <w:lang w:bidi="ar"/>
        </w:rPr>
        <w:t>：</w:t>
      </w:r>
      <w:r>
        <w:rPr>
          <w:rFonts w:hint="eastAsia" w:ascii="宋体" w:hAnsi="宋体" w:eastAsia="宋体" w:cs="宋体"/>
          <w:color w:val="000000"/>
          <w:sz w:val="24"/>
          <w:szCs w:val="24"/>
          <w:highlight w:val="none"/>
          <w:lang w:bidi="ar"/>
        </w:rPr>
        <w:t>对业务开展过程中发现的历史数据问题，针对问题数据，对原数据同步、转换代码进行检查分析，确认数据问题原因，并针对问题提供相应数据修改语句</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bidi="ar"/>
        </w:rPr>
        <w:t>同时需在数据问题处理后协助业务进行结果校验。</w:t>
      </w:r>
    </w:p>
    <w:p w14:paraId="41DAA17F">
      <w:pPr>
        <w:pageBreakBefore w:val="0"/>
        <w:widowControl/>
        <w:numPr>
          <w:ilvl w:val="0"/>
          <w:numId w:val="5"/>
        </w:numPr>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系统培训及咨询服务：为解决</w:t>
      </w:r>
      <w:r>
        <w:rPr>
          <w:rFonts w:hint="eastAsia" w:ascii="宋体" w:hAnsi="宋体" w:eastAsia="宋体" w:cs="宋体"/>
          <w:color w:val="000000"/>
          <w:kern w:val="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市医保局工作人员使用全省“智慧医保”系统的过程中碰到操作不熟练问题，由驻场服务工程师负责提供培训服务和咨询服务，提升工作人员业务操作能力。</w:t>
      </w:r>
    </w:p>
    <w:p w14:paraId="750A98DB">
      <w:pPr>
        <w:pageBreakBefore w:val="0"/>
        <w:widowControl/>
        <w:numPr>
          <w:ilvl w:val="0"/>
          <w:numId w:val="5"/>
        </w:numPr>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bidi="ar"/>
        </w:rPr>
        <w:t>需求问题协调服务：</w:t>
      </w:r>
      <w:r>
        <w:rPr>
          <w:rFonts w:hint="eastAsia" w:ascii="宋体" w:hAnsi="宋体" w:eastAsia="宋体" w:cs="宋体"/>
          <w:color w:val="000000"/>
          <w:kern w:val="0"/>
          <w:sz w:val="24"/>
          <w:szCs w:val="24"/>
          <w:highlight w:val="none"/>
          <w:lang w:eastAsia="zh-CN" w:bidi="ar"/>
        </w:rPr>
        <w:t>通过</w:t>
      </w:r>
      <w:r>
        <w:rPr>
          <w:rFonts w:hint="eastAsia" w:ascii="宋体" w:hAnsi="宋体" w:eastAsia="宋体" w:cs="宋体"/>
          <w:color w:val="000000"/>
          <w:kern w:val="0"/>
          <w:sz w:val="24"/>
          <w:szCs w:val="24"/>
          <w:highlight w:val="none"/>
          <w:lang w:bidi="ar"/>
        </w:rPr>
        <w:t>智慧医保业务系统培训，解答应用系统遇到的各类常规问题，协助沟通省系统开发商，保障问题及时得到处理，协助开展需求合理性分析。</w:t>
      </w:r>
      <w:r>
        <w:rPr>
          <w:rFonts w:hint="eastAsia" w:ascii="宋体" w:hAnsi="宋体" w:eastAsia="宋体" w:cs="宋体"/>
          <w:color w:val="000000"/>
          <w:kern w:val="0"/>
          <w:sz w:val="24"/>
          <w:szCs w:val="24"/>
          <w:highlight w:val="none"/>
          <w:lang w:val="en-US" w:eastAsia="zh-CN" w:bidi="ar"/>
        </w:rPr>
        <w:t>临海市</w:t>
      </w:r>
      <w:r>
        <w:rPr>
          <w:rFonts w:hint="eastAsia" w:ascii="宋体" w:hAnsi="宋体" w:eastAsia="宋体" w:cs="宋体"/>
          <w:color w:val="000000"/>
          <w:kern w:val="0"/>
          <w:sz w:val="24"/>
          <w:szCs w:val="24"/>
          <w:highlight w:val="none"/>
          <w:lang w:bidi="ar"/>
        </w:rPr>
        <w:t>医保局对浙江省“智慧医保”系统存在新增功能需求时，中标人</w:t>
      </w:r>
      <w:r>
        <w:rPr>
          <w:rFonts w:hint="eastAsia" w:ascii="宋体" w:hAnsi="宋体" w:eastAsia="宋体" w:cs="宋体"/>
          <w:color w:val="000000"/>
          <w:kern w:val="0"/>
          <w:sz w:val="24"/>
          <w:szCs w:val="24"/>
          <w:highlight w:val="none"/>
          <w:lang w:eastAsia="zh-CN" w:bidi="ar"/>
        </w:rPr>
        <w:t>须</w:t>
      </w:r>
      <w:r>
        <w:rPr>
          <w:rFonts w:hint="eastAsia" w:ascii="宋体" w:hAnsi="宋体" w:eastAsia="宋体" w:cs="宋体"/>
          <w:color w:val="000000"/>
          <w:kern w:val="0"/>
          <w:sz w:val="24"/>
          <w:szCs w:val="24"/>
          <w:highlight w:val="none"/>
          <w:lang w:bidi="ar"/>
        </w:rPr>
        <w:t>对需求内容进行整理、归纳和总结，对需求合理性进行分析，对需求修改结果进行验证。</w:t>
      </w:r>
    </w:p>
    <w:p w14:paraId="327813A3">
      <w:pPr>
        <w:pageBreakBefore w:val="0"/>
        <w:numPr>
          <w:ilvl w:val="0"/>
          <w:numId w:val="5"/>
        </w:numPr>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故障问题汇总提交及跟踪处理：在使用全省“智慧医保”系统的过程中或是业务办理过程出现了难以解决的问题，中标人</w:t>
      </w:r>
      <w:r>
        <w:rPr>
          <w:rFonts w:hint="eastAsia" w:ascii="宋体" w:hAnsi="宋体" w:eastAsia="宋体" w:cs="宋体"/>
          <w:color w:val="000000"/>
          <w:sz w:val="24"/>
          <w:szCs w:val="24"/>
          <w:highlight w:val="none"/>
          <w:lang w:eastAsia="zh-CN" w:bidi="ar"/>
        </w:rPr>
        <w:t>须</w:t>
      </w:r>
      <w:r>
        <w:rPr>
          <w:rFonts w:hint="eastAsia" w:ascii="宋体" w:hAnsi="宋体" w:eastAsia="宋体" w:cs="宋体"/>
          <w:color w:val="000000"/>
          <w:sz w:val="24"/>
          <w:szCs w:val="24"/>
          <w:highlight w:val="none"/>
          <w:lang w:bidi="ar"/>
        </w:rPr>
        <w:t>在第一时间对遇到的问题进行分析，提供解决办法，如果在问题解决、处理过程中涉及到省局或其他第三方系统开发商，需承担统筹协调省局或其他第三方系统开发商，推进问题在第一时间得到解决。</w:t>
      </w:r>
    </w:p>
    <w:p w14:paraId="44B0F030">
      <w:pPr>
        <w:pageBreakBefore w:val="0"/>
        <w:numPr>
          <w:ilvl w:val="0"/>
          <w:numId w:val="5"/>
        </w:numPr>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其它配套：</w:t>
      </w:r>
      <w:r>
        <w:rPr>
          <w:rFonts w:hint="eastAsia" w:ascii="宋体" w:hAnsi="宋体" w:eastAsia="宋体" w:cs="宋体"/>
          <w:color w:val="000000"/>
          <w:kern w:val="0"/>
          <w:sz w:val="24"/>
          <w:szCs w:val="24"/>
          <w:highlight w:val="none"/>
          <w:lang w:val="en-US" w:eastAsia="zh-CN" w:bidi="ar"/>
        </w:rPr>
        <w:t>所需的其它跟本项目有关的配套服务</w:t>
      </w:r>
      <w:r>
        <w:rPr>
          <w:rFonts w:hint="eastAsia" w:ascii="宋体" w:hAnsi="宋体" w:eastAsia="宋体" w:cs="宋体"/>
          <w:color w:val="000000"/>
          <w:sz w:val="24"/>
          <w:szCs w:val="24"/>
          <w:highlight w:val="none"/>
          <w:lang w:val="en-US" w:eastAsia="zh-CN" w:bidi="ar"/>
        </w:rPr>
        <w:t>。</w:t>
      </w:r>
    </w:p>
    <w:p w14:paraId="30933C93">
      <w:pPr>
        <w:pStyle w:val="4"/>
        <w:pageBreakBefore w:val="0"/>
        <w:numPr>
          <w:ilvl w:val="0"/>
          <w:numId w:val="0"/>
        </w:numPr>
        <w:shd w:val="clear" w:color="auto" w:fill="auto"/>
        <w:tabs>
          <w:tab w:val="left" w:pos="432"/>
        </w:tabs>
        <w:kinsoku/>
        <w:wordWrap/>
        <w:overflowPunct/>
        <w:topLinePunct w:val="0"/>
        <w:autoSpaceDN/>
        <w:bidi w:val="0"/>
        <w:spacing w:before="0" w:beforeLines="0" w:after="0" w:afterLines="0" w:line="400" w:lineRule="exact"/>
        <w:ind w:left="576" w:leftChars="0" w:hanging="576" w:firstLineChars="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（一）、报表配置与呈现服务</w:t>
      </w:r>
    </w:p>
    <w:p w14:paraId="3BB23332">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为</w:t>
      </w:r>
      <w:r>
        <w:rPr>
          <w:rFonts w:hint="eastAsia" w:ascii="宋体" w:hAnsi="宋体" w:eastAsia="宋体" w:cs="宋体"/>
          <w:color w:val="000000"/>
          <w:kern w:val="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市医保局建设本地化报表配置，以及相关数据固化和呈现。包括但不限于以下内容：</w:t>
      </w:r>
    </w:p>
    <w:p w14:paraId="3A629B55">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1.1）基础共性报表数据核对校验</w:t>
      </w:r>
    </w:p>
    <w:p w14:paraId="2A299085">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主要对省内共性报表进行数据核对校验工作和报表指标口径进行解释答疑。</w:t>
      </w:r>
    </w:p>
    <w:p w14:paraId="163DB3D1">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1.2）定制化报表配置</w:t>
      </w:r>
    </w:p>
    <w:p w14:paraId="01FA7FC9">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根据</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市医保局提出个性化业务需求，提供报表开发配置服务，最终将业务需求以报表的形式通过相关的数据模板呈现出来，更好地辅助</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市医保局开展业务。</w:t>
      </w:r>
    </w:p>
    <w:p w14:paraId="56E57427">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1.3）更新优化已配置报表</w:t>
      </w:r>
    </w:p>
    <w:p w14:paraId="411923EF">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根据实际业务需求的不断变化，提供已上线报表的实时优化服务，使其适应当下环境，优化报表运行速度，提升查询效率</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bidi="ar"/>
        </w:rPr>
        <w:t>针对省端报表的优化</w:t>
      </w:r>
      <w:r>
        <w:rPr>
          <w:rFonts w:hint="eastAsia" w:ascii="宋体" w:hAnsi="宋体" w:eastAsia="宋体" w:cs="宋体"/>
          <w:color w:val="000000"/>
          <w:sz w:val="24"/>
          <w:szCs w:val="24"/>
          <w:highlight w:val="none"/>
          <w:lang w:val="en-US" w:eastAsia="zh-CN" w:bidi="ar"/>
        </w:rPr>
        <w:t>需求</w:t>
      </w:r>
      <w:r>
        <w:rPr>
          <w:rFonts w:hint="eastAsia" w:ascii="宋体" w:hAnsi="宋体" w:eastAsia="宋体" w:cs="宋体"/>
          <w:color w:val="000000"/>
          <w:sz w:val="24"/>
          <w:szCs w:val="24"/>
          <w:highlight w:val="none"/>
          <w:lang w:bidi="ar"/>
        </w:rPr>
        <w:t>协调省报表组进行跟进调整。</w:t>
      </w:r>
    </w:p>
    <w:p w14:paraId="3AFAE0EA">
      <w:pPr>
        <w:pStyle w:val="4"/>
        <w:pageBreakBefore w:val="0"/>
        <w:numPr>
          <w:ilvl w:val="0"/>
          <w:numId w:val="0"/>
        </w:numPr>
        <w:shd w:val="clear" w:color="auto" w:fill="auto"/>
        <w:tabs>
          <w:tab w:val="left" w:pos="432"/>
        </w:tabs>
        <w:kinsoku/>
        <w:wordWrap/>
        <w:overflowPunct/>
        <w:topLinePunct w:val="0"/>
        <w:autoSpaceDN/>
        <w:bidi w:val="0"/>
        <w:spacing w:before="0" w:beforeLines="0" w:after="0" w:afterLines="0" w:line="400" w:lineRule="exact"/>
        <w:ind w:left="576" w:leftChars="0" w:hanging="576" w:firstLineChars="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（二）、数据查询与分析服务</w:t>
      </w:r>
    </w:p>
    <w:p w14:paraId="0FF34452">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以</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市医保数据决策专区数据为基础，提供数据查询、统计分析服务，为</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市医保局政策制定和业务决策提供数据辅助。包括但不限于以下内容：</w:t>
      </w:r>
    </w:p>
    <w:p w14:paraId="386F63E2">
      <w:pPr>
        <w:pageBreakBefore w:val="0"/>
        <w:shd w:val="clear" w:color="auto" w:fill="auto"/>
        <w:kinsoku/>
        <w:wordWrap/>
        <w:overflowPunct/>
        <w:topLinePunct w:val="0"/>
        <w:autoSpaceDN/>
        <w:bidi w:val="0"/>
        <w:spacing w:line="400" w:lineRule="exac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2.1 参保数据分析服务</w:t>
      </w:r>
    </w:p>
    <w:p w14:paraId="47A2CE6E">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通过对参保人员的年龄、性别、职业等结构进行分析，了解医保制度的覆盖范围和参保人群的分布特征；对比不同时间段的参保率数据，分析参保率的变化趋势，及时发现并反馈参保率变化的问题。</w:t>
      </w:r>
    </w:p>
    <w:p w14:paraId="776560D4">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w:t>
      </w:r>
      <w:r>
        <w:rPr>
          <w:rFonts w:hint="eastAsia" w:ascii="宋体" w:hAnsi="宋体" w:eastAsia="宋体" w:cs="宋体"/>
          <w:color w:val="000000"/>
          <w:spacing w:val="-3"/>
          <w:sz w:val="24"/>
          <w:szCs w:val="24"/>
          <w:highlight w:val="none"/>
          <w:lang w:bidi="ar"/>
        </w:rPr>
        <w:t>职工参保数据、居民参保数据、参保年龄段数据、</w:t>
      </w:r>
      <w:r>
        <w:rPr>
          <w:rFonts w:hint="eastAsia" w:ascii="宋体" w:hAnsi="宋体" w:eastAsia="宋体" w:cs="宋体"/>
          <w:color w:val="000000"/>
          <w:spacing w:val="-2"/>
          <w:sz w:val="24"/>
          <w:szCs w:val="24"/>
          <w:highlight w:val="none"/>
          <w:lang w:bidi="ar"/>
        </w:rPr>
        <w:t>离休参保数据</w:t>
      </w:r>
      <w:r>
        <w:rPr>
          <w:rFonts w:hint="eastAsia" w:ascii="宋体" w:hAnsi="宋体" w:eastAsia="宋体" w:cs="宋体"/>
          <w:color w:val="000000"/>
          <w:spacing w:val="-3"/>
          <w:sz w:val="24"/>
          <w:szCs w:val="24"/>
          <w:highlight w:val="none"/>
          <w:lang w:bidi="ar"/>
        </w:rPr>
        <w:t>、</w:t>
      </w:r>
      <w:r>
        <w:rPr>
          <w:rFonts w:hint="eastAsia" w:ascii="宋体" w:hAnsi="宋体" w:eastAsia="宋体" w:cs="宋体"/>
          <w:color w:val="000000"/>
          <w:spacing w:val="-2"/>
          <w:sz w:val="24"/>
          <w:szCs w:val="24"/>
          <w:highlight w:val="none"/>
          <w:lang w:bidi="ar"/>
        </w:rPr>
        <w:t>商保参保数据</w:t>
      </w:r>
      <w:r>
        <w:rPr>
          <w:rFonts w:hint="eastAsia" w:ascii="宋体" w:hAnsi="宋体" w:eastAsia="宋体" w:cs="宋体"/>
          <w:color w:val="000000"/>
          <w:spacing w:val="-3"/>
          <w:sz w:val="24"/>
          <w:szCs w:val="24"/>
          <w:highlight w:val="none"/>
          <w:lang w:bidi="ar"/>
        </w:rPr>
        <w:t>和</w:t>
      </w:r>
      <w:r>
        <w:rPr>
          <w:rFonts w:hint="eastAsia" w:ascii="宋体" w:hAnsi="宋体" w:eastAsia="宋体" w:cs="宋体"/>
          <w:color w:val="000000"/>
          <w:spacing w:val="-2"/>
          <w:sz w:val="24"/>
          <w:szCs w:val="24"/>
          <w:highlight w:val="none"/>
          <w:lang w:bidi="ar"/>
        </w:rPr>
        <w:t>参保变动数据</w:t>
      </w:r>
      <w:r>
        <w:rPr>
          <w:rFonts w:hint="eastAsia" w:ascii="宋体" w:hAnsi="宋体" w:eastAsia="宋体" w:cs="宋体"/>
          <w:color w:val="000000"/>
          <w:spacing w:val="-3"/>
          <w:sz w:val="24"/>
          <w:szCs w:val="24"/>
          <w:highlight w:val="none"/>
          <w:lang w:bidi="ar"/>
        </w:rPr>
        <w:t>等。</w:t>
      </w:r>
    </w:p>
    <w:p w14:paraId="7FB3C812">
      <w:pPr>
        <w:pStyle w:val="48"/>
        <w:pageBreakBefore w:val="0"/>
        <w:widowControl w:val="0"/>
        <w:shd w:val="clear" w:color="auto" w:fill="auto"/>
        <w:kinsoku/>
        <w:wordWrap/>
        <w:overflowPunct/>
        <w:topLinePunct w:val="0"/>
        <w:autoSpaceDN/>
        <w:bidi w:val="0"/>
        <w:spacing w:before="0" w:beforeAutospacing="0" w:after="0" w:afterAutospacing="0" w:line="400" w:lineRule="exact"/>
        <w:textAlignment w:val="auto"/>
        <w:outlineLvl w:val="1"/>
        <w:rPr>
          <w:rFonts w:hint="eastAsia" w:ascii="宋体" w:hAnsi="宋体" w:eastAsia="宋体" w:cs="宋体"/>
          <w:b/>
          <w:bCs/>
          <w:color w:val="000000"/>
          <w:spacing w:val="-2"/>
          <w:kern w:val="2"/>
          <w:sz w:val="24"/>
          <w:szCs w:val="24"/>
          <w:highlight w:val="none"/>
        </w:rPr>
      </w:pPr>
      <w:r>
        <w:rPr>
          <w:rFonts w:hint="eastAsia" w:ascii="宋体" w:hAnsi="宋体" w:eastAsia="宋体" w:cs="宋体"/>
          <w:b/>
          <w:bCs/>
          <w:color w:val="000000"/>
          <w:spacing w:val="-2"/>
          <w:kern w:val="2"/>
          <w:sz w:val="24"/>
          <w:szCs w:val="24"/>
          <w:highlight w:val="none"/>
          <w:lang w:bidi="ar"/>
        </w:rPr>
        <w:t>2.2 异地备案数据分析服务</w:t>
      </w:r>
    </w:p>
    <w:p w14:paraId="675E1085">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随着医疗资源分布不均和跨省人口流动的加强，异地就医的人口规模不断扩大。异地就医备案方式多样化，备案手续可通过国家医保服务平台APP、国家异地就医备案小程序或参保区经办机构窗口等线上线下多种途径办理。线上备案已成为主流方式。通过对医保异地备案数据的分析，可以清晰地了解到哪些地区、哪些人群存在较大的异地就医需求。这有助于医保部门更准确地把握医疗资源的分布和流动情况，为制定和调整相关政策提供依据。</w:t>
      </w:r>
    </w:p>
    <w:p w14:paraId="3F9BD1BD">
      <w:pPr>
        <w:pStyle w:val="48"/>
        <w:pageBreakBefore w:val="0"/>
        <w:widowControl w:val="0"/>
        <w:shd w:val="clear" w:color="auto" w:fill="auto"/>
        <w:kinsoku/>
        <w:wordWrap/>
        <w:overflowPunct/>
        <w:topLinePunct w:val="0"/>
        <w:autoSpaceDN/>
        <w:bidi w:val="0"/>
        <w:spacing w:before="0" w:beforeAutospacing="0" w:after="0" w:afterAutospacing="0" w:line="400" w:lineRule="exact"/>
        <w:ind w:firstLine="474" w:firstLineChars="200"/>
        <w:textAlignment w:val="auto"/>
        <w:outlineLvl w:val="2"/>
        <w:rPr>
          <w:rFonts w:hint="eastAsia" w:ascii="宋体" w:hAnsi="宋体" w:eastAsia="宋体" w:cs="宋体"/>
          <w:b/>
          <w:bCs/>
          <w:color w:val="000000"/>
          <w:spacing w:val="-2"/>
          <w:kern w:val="2"/>
          <w:sz w:val="24"/>
          <w:szCs w:val="24"/>
          <w:highlight w:val="none"/>
          <w:lang w:bidi="ar"/>
        </w:rPr>
      </w:pPr>
      <w:r>
        <w:rPr>
          <w:rFonts w:hint="eastAsia" w:ascii="宋体" w:hAnsi="宋体" w:eastAsia="宋体" w:cs="宋体"/>
          <w:b/>
          <w:bCs/>
          <w:color w:val="000000"/>
          <w:spacing w:val="-2"/>
          <w:kern w:val="2"/>
          <w:sz w:val="24"/>
          <w:szCs w:val="24"/>
          <w:highlight w:val="none"/>
          <w:lang w:bidi="ar"/>
        </w:rPr>
        <w:t>2.2.1 异地备案登记数据分析服务</w:t>
      </w:r>
    </w:p>
    <w:p w14:paraId="039C9603">
      <w:pPr>
        <w:pStyle w:val="48"/>
        <w:pageBreakBefore w:val="0"/>
        <w:widowControl w:val="0"/>
        <w:shd w:val="clear" w:color="auto" w:fill="auto"/>
        <w:kinsoku/>
        <w:wordWrap/>
        <w:overflowPunct/>
        <w:topLinePunct w:val="0"/>
        <w:autoSpaceDN/>
        <w:bidi w:val="0"/>
        <w:spacing w:before="0" w:beforeAutospacing="0" w:after="0" w:afterAutospacing="0" w:line="400" w:lineRule="exact"/>
        <w:ind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bidi="ar"/>
        </w:rPr>
        <w:t>深入开展异地备案登记数据的分析工作，助力政策的精准制定与及时调整，促进医疗资源的优化配置与高效利用。通过数据分析，精准识别医疗需求分布，优化资源配置，为监管部门提供有力的数据支持，加强风险防范。</w:t>
      </w:r>
    </w:p>
    <w:p w14:paraId="307727D6">
      <w:pPr>
        <w:pStyle w:val="48"/>
        <w:pageBreakBefore w:val="0"/>
        <w:widowControl w:val="0"/>
        <w:shd w:val="clear" w:color="auto" w:fill="auto"/>
        <w:kinsoku/>
        <w:wordWrap/>
        <w:overflowPunct/>
        <w:topLinePunct w:val="0"/>
        <w:autoSpaceDN/>
        <w:bidi w:val="0"/>
        <w:spacing w:before="0" w:beforeAutospacing="0" w:after="0" w:afterAutospacing="0" w:line="400" w:lineRule="exact"/>
        <w:ind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bidi="ar"/>
        </w:rPr>
        <w:t>主要内容包含：参保统筹区、就医所属统筹区、就诊医疗机构、异地备案疾病、异地备案登记次数和异地备案登记来源等。</w:t>
      </w:r>
    </w:p>
    <w:p w14:paraId="1ADE4AF3">
      <w:pPr>
        <w:pStyle w:val="48"/>
        <w:pageBreakBefore w:val="0"/>
        <w:widowControl w:val="0"/>
        <w:shd w:val="clear" w:color="auto" w:fill="auto"/>
        <w:kinsoku/>
        <w:wordWrap/>
        <w:overflowPunct/>
        <w:topLinePunct w:val="0"/>
        <w:autoSpaceDN/>
        <w:bidi w:val="0"/>
        <w:spacing w:before="0" w:beforeAutospacing="0" w:after="0" w:afterAutospacing="0" w:line="400" w:lineRule="exact"/>
        <w:ind w:firstLine="474" w:firstLineChars="200"/>
        <w:textAlignment w:val="auto"/>
        <w:outlineLvl w:val="2"/>
        <w:rPr>
          <w:rFonts w:hint="eastAsia" w:ascii="宋体" w:hAnsi="宋体" w:eastAsia="宋体" w:cs="宋体"/>
          <w:b/>
          <w:bCs/>
          <w:color w:val="000000"/>
          <w:spacing w:val="-2"/>
          <w:kern w:val="2"/>
          <w:sz w:val="24"/>
          <w:szCs w:val="24"/>
          <w:highlight w:val="none"/>
          <w:lang w:bidi="ar"/>
        </w:rPr>
      </w:pPr>
      <w:r>
        <w:rPr>
          <w:rFonts w:hint="eastAsia" w:ascii="宋体" w:hAnsi="宋体" w:eastAsia="宋体" w:cs="宋体"/>
          <w:b/>
          <w:bCs/>
          <w:color w:val="000000"/>
          <w:spacing w:val="-2"/>
          <w:kern w:val="2"/>
          <w:sz w:val="24"/>
          <w:szCs w:val="24"/>
          <w:highlight w:val="none"/>
          <w:lang w:bidi="ar"/>
        </w:rPr>
        <w:t>2.2.2 异地备案结算数据分析服务</w:t>
      </w:r>
    </w:p>
    <w:p w14:paraId="085945C8">
      <w:pPr>
        <w:pStyle w:val="48"/>
        <w:pageBreakBefore w:val="0"/>
        <w:widowControl w:val="0"/>
        <w:shd w:val="clear" w:color="auto" w:fill="auto"/>
        <w:kinsoku/>
        <w:wordWrap/>
        <w:overflowPunct/>
        <w:topLinePunct w:val="0"/>
        <w:autoSpaceDN/>
        <w:bidi w:val="0"/>
        <w:spacing w:before="0" w:beforeAutospacing="0" w:after="0" w:afterAutospacing="0" w:line="400" w:lineRule="exact"/>
        <w:ind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bidi="ar"/>
        </w:rPr>
        <w:t>揭示医疗资源在不同地区之间的流动情况，有助于优化医保政策制定、促进医疗资源合理配置、加强医保基金监管以及提升患者就医体验等方面的工作。</w:t>
      </w:r>
    </w:p>
    <w:p w14:paraId="4DDDBD8C">
      <w:pPr>
        <w:pStyle w:val="48"/>
        <w:pageBreakBefore w:val="0"/>
        <w:widowControl w:val="0"/>
        <w:shd w:val="clear" w:color="auto" w:fill="auto"/>
        <w:kinsoku/>
        <w:wordWrap/>
        <w:overflowPunct/>
        <w:topLinePunct w:val="0"/>
        <w:autoSpaceDN/>
        <w:bidi w:val="0"/>
        <w:spacing w:before="0" w:beforeAutospacing="0" w:after="0" w:afterAutospacing="0" w:line="400" w:lineRule="exact"/>
        <w:ind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lang w:bidi="ar"/>
        </w:rPr>
        <w:t>主要内容包含：参保统筹区、就医所属统筹区、就诊医疗机构、异地备案疾病、异地就诊率和异地基金使用情况等。</w:t>
      </w:r>
    </w:p>
    <w:p w14:paraId="5211FEC9">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2.3 慢特病数据分析服务</w:t>
      </w:r>
    </w:p>
    <w:p w14:paraId="76B16EFE">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慢特病数据分析在提升医疗服务质量、优化资源配置、支持临床决策和科研、提升患者管理效果以及推动医疗模式创新等方面发挥着重要作用。随着大数据技术的不断发展和应用，其在慢特病管理中的作用将会越来越突出。</w:t>
      </w:r>
    </w:p>
    <w:p w14:paraId="192BE2E5">
      <w:pPr>
        <w:pStyle w:val="48"/>
        <w:pageBreakBefore w:val="0"/>
        <w:widowControl w:val="0"/>
        <w:shd w:val="clear" w:color="auto" w:fill="auto"/>
        <w:kinsoku/>
        <w:wordWrap/>
        <w:overflowPunct/>
        <w:topLinePunct w:val="0"/>
        <w:autoSpaceDN/>
        <w:bidi w:val="0"/>
        <w:spacing w:before="0" w:beforeAutospacing="0" w:after="0" w:afterAutospacing="0" w:line="400" w:lineRule="exact"/>
        <w:ind w:firstLine="474" w:firstLineChars="200"/>
        <w:textAlignment w:val="auto"/>
        <w:outlineLvl w:val="2"/>
        <w:rPr>
          <w:rFonts w:hint="eastAsia" w:ascii="宋体" w:hAnsi="宋体" w:eastAsia="宋体" w:cs="宋体"/>
          <w:b/>
          <w:bCs/>
          <w:color w:val="000000"/>
          <w:spacing w:val="-2"/>
          <w:kern w:val="2"/>
          <w:sz w:val="24"/>
          <w:szCs w:val="24"/>
          <w:highlight w:val="none"/>
        </w:rPr>
      </w:pPr>
      <w:r>
        <w:rPr>
          <w:rFonts w:hint="eastAsia" w:ascii="宋体" w:hAnsi="宋体" w:eastAsia="宋体" w:cs="宋体"/>
          <w:b/>
          <w:bCs/>
          <w:color w:val="000000"/>
          <w:spacing w:val="-2"/>
          <w:kern w:val="2"/>
          <w:sz w:val="24"/>
          <w:szCs w:val="24"/>
          <w:highlight w:val="none"/>
          <w:lang w:bidi="ar"/>
        </w:rPr>
        <w:t>2.3.1慢特病登记数据分析服务</w:t>
      </w:r>
    </w:p>
    <w:p w14:paraId="236D4110">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了解不同慢特病的分布情况，有助于医疗机构合理配置资源，重点关注高发疾病。</w:t>
      </w:r>
    </w:p>
    <w:p w14:paraId="6FDD8C4F">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主要内容包含：患者的年龄、性别、地域分布、疾病情况和就诊情况等。</w:t>
      </w:r>
    </w:p>
    <w:p w14:paraId="78BAEBCF">
      <w:pPr>
        <w:pStyle w:val="48"/>
        <w:pageBreakBefore w:val="0"/>
        <w:widowControl w:val="0"/>
        <w:shd w:val="clear" w:color="auto" w:fill="auto"/>
        <w:kinsoku/>
        <w:wordWrap/>
        <w:overflowPunct/>
        <w:topLinePunct w:val="0"/>
        <w:autoSpaceDN/>
        <w:bidi w:val="0"/>
        <w:spacing w:before="0" w:beforeAutospacing="0" w:after="0" w:afterAutospacing="0" w:line="400" w:lineRule="exact"/>
        <w:ind w:firstLine="474" w:firstLineChars="200"/>
        <w:jc w:val="both"/>
        <w:textAlignment w:val="auto"/>
        <w:outlineLvl w:val="2"/>
        <w:rPr>
          <w:rFonts w:hint="eastAsia" w:ascii="宋体" w:hAnsi="宋体" w:eastAsia="宋体" w:cs="宋体"/>
          <w:b/>
          <w:bCs/>
          <w:color w:val="000000"/>
          <w:spacing w:val="-2"/>
          <w:kern w:val="2"/>
          <w:sz w:val="24"/>
          <w:szCs w:val="24"/>
          <w:highlight w:val="none"/>
        </w:rPr>
      </w:pPr>
      <w:r>
        <w:rPr>
          <w:rFonts w:hint="eastAsia" w:ascii="宋体" w:hAnsi="宋体" w:eastAsia="宋体" w:cs="宋体"/>
          <w:b/>
          <w:bCs/>
          <w:color w:val="000000"/>
          <w:spacing w:val="-2"/>
          <w:kern w:val="2"/>
          <w:sz w:val="24"/>
          <w:szCs w:val="24"/>
          <w:highlight w:val="none"/>
          <w:lang w:bidi="ar"/>
        </w:rPr>
        <w:t>2.3.2慢特病结算数据分析服务</w:t>
      </w:r>
    </w:p>
    <w:p w14:paraId="4A83B1F0">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了解慢特病患者的健康状况、医疗需求、资源利用情况以及医疗服务质量。</w:t>
      </w:r>
    </w:p>
    <w:p w14:paraId="4E4ECAD6">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主要内容包含：慢特病患者的总数、患者的年龄分布、男女患者的比例、不慢特病的分布情况、慢特病的诊断率及就诊次数等。</w:t>
      </w:r>
    </w:p>
    <w:p w14:paraId="0B47E995">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2.4 家庭签约数据分析服务</w:t>
      </w:r>
    </w:p>
    <w:p w14:paraId="6E785EA6">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了解家庭医生签约服务的签约率和覆盖率,有助于评估服务在目标人群中的普及程度，从而确定是否需要进一步扩大签约范围或调整服务策略。揭示签约居民的地域分布情况，为区域性的医疗资源配置和政策制定提供依据。</w:t>
      </w:r>
    </w:p>
    <w:p w14:paraId="282B5F33">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pacing w:val="-1"/>
          <w:sz w:val="24"/>
          <w:szCs w:val="24"/>
          <w:highlight w:val="none"/>
        </w:rPr>
      </w:pPr>
      <w:r>
        <w:rPr>
          <w:rFonts w:hint="eastAsia" w:ascii="宋体" w:hAnsi="宋体" w:eastAsia="宋体" w:cs="宋体"/>
          <w:color w:val="000000"/>
          <w:sz w:val="24"/>
          <w:szCs w:val="24"/>
          <w:highlight w:val="none"/>
          <w:lang w:bidi="ar"/>
        </w:rPr>
        <w:t>主要内容包含：</w:t>
      </w:r>
      <w:r>
        <w:rPr>
          <w:rFonts w:hint="eastAsia" w:ascii="宋体" w:hAnsi="宋体" w:eastAsia="宋体" w:cs="宋体"/>
          <w:color w:val="000000"/>
          <w:spacing w:val="-2"/>
          <w:sz w:val="24"/>
          <w:szCs w:val="24"/>
          <w:highlight w:val="none"/>
          <w:lang w:bidi="ar"/>
        </w:rPr>
        <w:t>家庭签约人数及</w:t>
      </w:r>
      <w:r>
        <w:rPr>
          <w:rFonts w:hint="eastAsia" w:ascii="宋体" w:hAnsi="宋体" w:eastAsia="宋体" w:cs="宋体"/>
          <w:color w:val="000000"/>
          <w:spacing w:val="-1"/>
          <w:sz w:val="24"/>
          <w:szCs w:val="24"/>
          <w:highlight w:val="none"/>
          <w:lang w:bidi="ar"/>
        </w:rPr>
        <w:t>家庭医生签约结算情况等。</w:t>
      </w:r>
    </w:p>
    <w:p w14:paraId="7FF14BAF">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2.5 家庭共济数据分析服务</w:t>
      </w:r>
    </w:p>
    <w:p w14:paraId="14ACD505">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了解家庭成员间医保资金的使用情况，促进医疗资源的合理分配，避免资金的闲置和浪费。</w:t>
      </w:r>
    </w:p>
    <w:p w14:paraId="63ACB6D0">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w:t>
      </w:r>
      <w:r>
        <w:rPr>
          <w:rFonts w:hint="eastAsia" w:ascii="宋体" w:hAnsi="宋体" w:eastAsia="宋体" w:cs="宋体"/>
          <w:color w:val="000000"/>
          <w:spacing w:val="-1"/>
          <w:sz w:val="24"/>
          <w:szCs w:val="24"/>
          <w:highlight w:val="none"/>
          <w:lang w:bidi="ar"/>
        </w:rPr>
        <w:t>家庭共济绑定数据及家庭共济基金使用情况等。</w:t>
      </w:r>
    </w:p>
    <w:p w14:paraId="0563B0EC">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2.6 结算数据分析服务</w:t>
      </w:r>
    </w:p>
    <w:p w14:paraId="70CCB55E">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了解医疗服务流向、不同区域的医疗服务需求及医疗资源分布情况，深入分析医保结算数据，揭示疾病谱的变化趋势，为医保政策的制定和调整提供了坚实依据。通过医保结算数据的精准分析，能够更有效地评估医疗服务效率，优化资源配置，促进医保基金的可持续使用，从而进一步提升医疗服务质量与患者满意度。 </w:t>
      </w:r>
    </w:p>
    <w:p w14:paraId="4E1D6196">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w:t>
      </w:r>
      <w:r>
        <w:rPr>
          <w:rFonts w:hint="eastAsia" w:ascii="宋体" w:hAnsi="宋体" w:eastAsia="宋体" w:cs="宋体"/>
          <w:color w:val="000000"/>
          <w:spacing w:val="-2"/>
          <w:sz w:val="24"/>
          <w:szCs w:val="24"/>
          <w:highlight w:val="none"/>
          <w:lang w:bidi="ar"/>
        </w:rPr>
        <w:t>职工结算数据、城乡居民结算数据、离休结算数据、</w:t>
      </w:r>
      <w:r>
        <w:rPr>
          <w:rFonts w:hint="eastAsia" w:ascii="宋体" w:hAnsi="宋体" w:eastAsia="宋体" w:cs="宋体"/>
          <w:color w:val="000000"/>
          <w:spacing w:val="-5"/>
          <w:sz w:val="24"/>
          <w:szCs w:val="24"/>
          <w:highlight w:val="none"/>
          <w:lang w:bidi="ar"/>
        </w:rPr>
        <w:t>按医院统计（单个医院/医疗机构所在地</w:t>
      </w:r>
      <w:r>
        <w:rPr>
          <w:rFonts w:hint="eastAsia" w:ascii="宋体" w:hAnsi="宋体" w:eastAsia="宋体" w:cs="宋体"/>
          <w:color w:val="000000"/>
          <w:spacing w:val="-12"/>
          <w:sz w:val="24"/>
          <w:szCs w:val="24"/>
          <w:highlight w:val="none"/>
          <w:lang w:bidi="ar"/>
        </w:rPr>
        <w:t>（本地异地）/医疗机构等级（级别归类）、</w:t>
      </w:r>
      <w:r>
        <w:rPr>
          <w:rFonts w:hint="eastAsia" w:ascii="宋体" w:hAnsi="宋体" w:eastAsia="宋体" w:cs="宋体"/>
          <w:color w:val="000000"/>
          <w:spacing w:val="-2"/>
          <w:sz w:val="24"/>
          <w:szCs w:val="24"/>
          <w:highlight w:val="none"/>
          <w:lang w:bidi="ar"/>
        </w:rPr>
        <w:t>生育数据和</w:t>
      </w:r>
      <w:r>
        <w:rPr>
          <w:rFonts w:hint="eastAsia" w:ascii="宋体" w:hAnsi="宋体" w:eastAsia="宋体" w:cs="宋体"/>
          <w:color w:val="000000"/>
          <w:spacing w:val="-3"/>
          <w:sz w:val="24"/>
          <w:szCs w:val="24"/>
          <w:highlight w:val="none"/>
          <w:lang w:bidi="ar"/>
        </w:rPr>
        <w:t>医疗救助数据等。</w:t>
      </w:r>
    </w:p>
    <w:p w14:paraId="6093AA46">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2.7 业务量统计服务</w:t>
      </w:r>
    </w:p>
    <w:p w14:paraId="57270090">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记录并反映医保工作的各项数据，通过数据公示，强化社会监督，提高医保工作的透明度，促进定点医疗机构之间的良性竞争，同时引导参保人合理就医，维护其医疗权益。</w:t>
      </w:r>
    </w:p>
    <w:p w14:paraId="07615688">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w:t>
      </w:r>
      <w:r>
        <w:rPr>
          <w:rFonts w:hint="eastAsia" w:ascii="宋体" w:hAnsi="宋体" w:eastAsia="宋体" w:cs="宋体"/>
          <w:color w:val="000000"/>
          <w:spacing w:val="-2"/>
          <w:sz w:val="24"/>
          <w:szCs w:val="24"/>
          <w:highlight w:val="none"/>
          <w:lang w:bidi="ar"/>
        </w:rPr>
        <w:t>按医保业务分类统计业务量。</w:t>
      </w:r>
    </w:p>
    <w:p w14:paraId="72C827A9">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2.8 人头基金因素法支付服务</w:t>
      </w:r>
    </w:p>
    <w:p w14:paraId="79136575">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通过对医保结算数据进行清洗，去除错误或无效的数据，确保数据的准确性和完整性，运用数据挖掘技术深入分析数据，发现数据之间的关联、趋势和模式，为医保部门提供精准分析支持。通过统计学方法，针对特定问题开展专题分析，助力定点医药机构提升服务质量，引导参保人员有序就医。同时积极参与门诊人头基金因素法的优化测算，控制不合理医疗费用增长，确保医保基金可持续利用，推动医保支付方式改革向前发展。</w:t>
      </w:r>
    </w:p>
    <w:p w14:paraId="4AF5ED2F">
      <w:pPr>
        <w:pageBreakBefore w:val="0"/>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单体机构数据、医共体数据、卫生院数据、人头基金中位数、机构清算、均上平均数据、每月人头基金数据、均次费用同比增长数据、同期数据比对、双通道药品占比数据、拉人头行为数据、机构交集人头基金数据、参保人依从度数据和门诊核心检测数据等。</w:t>
      </w:r>
    </w:p>
    <w:p w14:paraId="14415E16">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2.9 配合住院DRG数据分析服务</w:t>
      </w:r>
    </w:p>
    <w:p w14:paraId="73F81776">
      <w:pPr>
        <w:pageBreakBefore w:val="0"/>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配合住院DRG数据的分析测算，有助于提高医疗服务质量、降低医疗成本、优化资源配置。</w:t>
      </w:r>
    </w:p>
    <w:p w14:paraId="48A5DE9F">
      <w:pPr>
        <w:pageBreakBefore w:val="0"/>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主要内容包含：配合住院DRG取数。</w:t>
      </w:r>
    </w:p>
    <w:p w14:paraId="277F98C7">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2.10 专项数据分析服务</w:t>
      </w:r>
    </w:p>
    <w:p w14:paraId="274EFB3B">
      <w:pPr>
        <w:pageBreakBefore w:val="0"/>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了解医保基金的收支情况、结余状况和变化趋势，及时发现潜在的风险点，为基金的可持续管理提供决策支持。分析医疗费用的构成和增长趋势，识别过度医疗、药品滥用等不合理现象，为制定费用控制政策提供依据。</w:t>
      </w:r>
    </w:p>
    <w:p w14:paraId="5B3ADDD2">
      <w:pPr>
        <w:pageBreakBefore w:val="0"/>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主要内容包含：大病基金分析测算、利民保基金分析测算、困难群众保障率数据、中药饮片使用情况数据、</w:t>
      </w:r>
      <w:r>
        <w:rPr>
          <w:rFonts w:hint="eastAsia" w:ascii="宋体" w:hAnsi="宋体" w:eastAsia="宋体" w:cs="宋体"/>
          <w:color w:val="000000"/>
          <w:spacing w:val="-4"/>
          <w:sz w:val="24"/>
          <w:szCs w:val="24"/>
          <w:highlight w:val="none"/>
          <w:lang w:bidi="ar"/>
        </w:rPr>
        <w:t>年度自负取数、意外伤害取数和新年度政策测算等。</w:t>
      </w:r>
    </w:p>
    <w:p w14:paraId="298A6A51">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2.11 两定机构实时结算服务</w:t>
      </w:r>
    </w:p>
    <w:p w14:paraId="5602AFA8">
      <w:pPr>
        <w:pageBreakBefore w:val="0"/>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能够迅速响应两定机构在实时刷卡过程中遇到的问题，确保医保服务的连续性和稳定性。通过专业的技术知识和丰富的实践经验，快速定位并解决技术问题，减少因系统故障导致的刷卡失败或延迟。在排查问题的过程中不断收集和分析两定机构实时结算时产生的问题和需求，为医保系统的升级和优化提供重要依据。</w:t>
      </w:r>
    </w:p>
    <w:p w14:paraId="7A0C8DD4">
      <w:pPr>
        <w:pageBreakBefore w:val="0"/>
        <w:shd w:val="clear" w:color="auto" w:fill="auto"/>
        <w:kinsoku/>
        <w:wordWrap/>
        <w:overflowPunct/>
        <w:topLinePunct w:val="0"/>
        <w:autoSpaceDN/>
        <w:bidi w:val="0"/>
        <w:spacing w:line="400" w:lineRule="exact"/>
        <w:jc w:val="left"/>
        <w:textAlignment w:val="auto"/>
        <w:outlineLvl w:val="1"/>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lang w:bidi="ar"/>
        </w:rPr>
        <w:t>2.12工作绩效考核数据分析服务</w:t>
      </w:r>
    </w:p>
    <w:p w14:paraId="27731D21">
      <w:pPr>
        <w:pageBreakBefore w:val="0"/>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配合医保中心以及医保信息的相关工作安排，从数据分析角度帮助医保信息化工作有序高效推进。通过省、市级医保信息化标准化工作绩效评估指标分析，帮助</w:t>
      </w:r>
      <w:r>
        <w:rPr>
          <w:rFonts w:hint="eastAsia" w:ascii="宋体" w:hAnsi="宋体" w:eastAsia="宋体" w:cs="宋体"/>
          <w:color w:val="000000"/>
          <w:sz w:val="24"/>
          <w:szCs w:val="24"/>
          <w:highlight w:val="none"/>
          <w:lang w:val="en-US" w:eastAsia="zh-CN" w:bidi="ar"/>
        </w:rPr>
        <w:t>本</w:t>
      </w:r>
      <w:r>
        <w:rPr>
          <w:rFonts w:hint="eastAsia" w:ascii="宋体" w:hAnsi="宋体" w:eastAsia="宋体" w:cs="宋体"/>
          <w:color w:val="000000"/>
          <w:sz w:val="24"/>
          <w:szCs w:val="24"/>
          <w:highlight w:val="none"/>
          <w:lang w:bidi="ar"/>
        </w:rPr>
        <w:t>级经办用户完成省</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市</w:t>
      </w:r>
      <w:r>
        <w:rPr>
          <w:rFonts w:hint="eastAsia" w:ascii="宋体" w:hAnsi="宋体" w:eastAsia="宋体" w:cs="宋体"/>
          <w:color w:val="000000"/>
          <w:sz w:val="24"/>
          <w:szCs w:val="24"/>
          <w:highlight w:val="none"/>
          <w:lang w:bidi="ar"/>
        </w:rPr>
        <w:t>里下发的工作绩效考核指标，以及给下级经办机构以及医疗机构下发市级的工作绩效考核指标，让各级用户可以用数据为考量标准，及时有效地完成医保建设工作。</w:t>
      </w:r>
    </w:p>
    <w:p w14:paraId="7410FE19">
      <w:pPr>
        <w:pageBreakBefore w:val="0"/>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主要内容包含：定点机构接入医保追溯码工作、移动支付/互联网+医院接入、电子票据上传、电子处方接入和电子病历接入等。 </w:t>
      </w:r>
    </w:p>
    <w:p w14:paraId="7461D3B6">
      <w:pPr>
        <w:pStyle w:val="4"/>
        <w:pageBreakBefore w:val="0"/>
        <w:numPr>
          <w:ilvl w:val="0"/>
          <w:numId w:val="0"/>
        </w:numPr>
        <w:shd w:val="clear" w:color="auto" w:fill="auto"/>
        <w:tabs>
          <w:tab w:val="left" w:pos="432"/>
        </w:tabs>
        <w:kinsoku/>
        <w:wordWrap/>
        <w:overflowPunct/>
        <w:topLinePunct w:val="0"/>
        <w:autoSpaceDN/>
        <w:bidi w:val="0"/>
        <w:spacing w:before="0" w:beforeLines="0" w:after="0" w:afterLines="0" w:line="400" w:lineRule="exact"/>
        <w:ind w:left="576" w:leftChars="0" w:hanging="576" w:firstLineChars="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（三）、系统历史迁移数据问题处理及技术支持</w:t>
      </w:r>
    </w:p>
    <w:p w14:paraId="7A313ADD">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中标人在省统一系统切换上线后，如业务开展过程中发现历史数据问题，需针对问题数据，对原数据同步、转换代码进行检查分析，确认数据问题原因，并针对问题提供相应数据修改语句</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bidi="ar"/>
        </w:rPr>
        <w:t>数据问题处理后协助业务进行结果校验。</w:t>
      </w:r>
    </w:p>
    <w:p w14:paraId="6870835D">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包括但不限于以下内容：</w:t>
      </w:r>
    </w:p>
    <w:p w14:paraId="48E1D6C6">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1、数据问题分析</w:t>
      </w:r>
      <w:r>
        <w:rPr>
          <w:rFonts w:hint="eastAsia" w:ascii="宋体" w:hAnsi="宋体" w:eastAsia="宋体" w:cs="宋体"/>
          <w:color w:val="000000"/>
          <w:sz w:val="24"/>
          <w:szCs w:val="24"/>
          <w:highlight w:val="none"/>
          <w:lang w:val="en-US" w:eastAsia="zh-CN" w:bidi="ar"/>
        </w:rPr>
        <w:t xml:space="preserve">               </w:t>
      </w:r>
    </w:p>
    <w:p w14:paraId="3B63D73B">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针对问题数据梳理省系统、原医保系统间数据表管理关系，分析并确认数据问题缘由。</w:t>
      </w:r>
    </w:p>
    <w:p w14:paraId="3FDC728D">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2、数据修改语句编写</w:t>
      </w:r>
    </w:p>
    <w:p w14:paraId="62A2A888">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基于数据问题分析结果，对原数据同步、转换代码进行修改，并开展多轮数据同步、转换测试，通过数据查询，确认测试同步、转换前后数据准确、完整性。</w:t>
      </w:r>
    </w:p>
    <w:p w14:paraId="5B6B280E">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3、结果校验</w:t>
      </w:r>
    </w:p>
    <w:p w14:paraId="213158C2">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利用数据修改语句完成历史数据问题处理后，协同业务人员进行数据质量校验，利用系统各业务模块进行功能测试，确认更新数据同步、转换代码后，业务数据准确性和完整性。</w:t>
      </w:r>
    </w:p>
    <w:p w14:paraId="58601A83">
      <w:pPr>
        <w:pStyle w:val="4"/>
        <w:pageBreakBefore w:val="0"/>
        <w:numPr>
          <w:ilvl w:val="0"/>
          <w:numId w:val="0"/>
        </w:numPr>
        <w:shd w:val="clear" w:color="auto" w:fill="auto"/>
        <w:tabs>
          <w:tab w:val="left" w:pos="432"/>
        </w:tabs>
        <w:kinsoku/>
        <w:wordWrap/>
        <w:overflowPunct/>
        <w:topLinePunct w:val="0"/>
        <w:autoSpaceDN/>
        <w:bidi w:val="0"/>
        <w:spacing w:before="0" w:beforeLines="0" w:after="0" w:afterLines="0" w:line="400" w:lineRule="exact"/>
        <w:ind w:left="576" w:leftChars="0" w:hanging="576" w:firstLineChars="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（四）、系统培训及咨询服务</w:t>
      </w:r>
    </w:p>
    <w:p w14:paraId="194BD2A1">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为解决</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市医保局工作人员使用全省“智慧医保”系统的过程中碰到操作不熟练问题，由驻场服务工程师负责提供培训服务和咨询服务，提升工作人员业务操作能力。</w:t>
      </w:r>
    </w:p>
    <w:p w14:paraId="66759882">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1、培训服务</w:t>
      </w:r>
    </w:p>
    <w:p w14:paraId="58A5F38A">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驻场服务工程师，可结合</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市医保局工作业务需求，制定操作规范、系统操作说明等培训文件。每季度安排不少于一次的培训课程，为</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市医保局用户提供浙江省“智慧医保”业务基础系统全部功能点培训服务，保障工作人员能够熟练应用业务基础系统进行医保业务办理。</w:t>
      </w:r>
    </w:p>
    <w:p w14:paraId="06509A78">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2、业务咨询服务</w:t>
      </w:r>
    </w:p>
    <w:p w14:paraId="61A0DE03">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针对业务人员在实际日常工作中遇到的问题，驻场服务工程师通过现场、电话、微信、QQ、钉钉及浙政钉等多种沟通渠道，提供业务操作、数据分析、数据解读及重点事项协调等多方面的咨询服务，辅助业务工作提质增效。</w:t>
      </w:r>
    </w:p>
    <w:p w14:paraId="06590E69">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3、定期维护交流活动</w:t>
      </w:r>
    </w:p>
    <w:p w14:paraId="0E55757C">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主要指针对软件最终用户进行的定期业务和技术交流服务活动。建立与完善软件的相关文档资料，逐步建立技术资料库、业务问题库等，以便满足用户多层级的需求。</w:t>
      </w:r>
    </w:p>
    <w:p w14:paraId="0BBD96A3">
      <w:pPr>
        <w:pStyle w:val="4"/>
        <w:pageBreakBefore w:val="0"/>
        <w:numPr>
          <w:ilvl w:val="0"/>
          <w:numId w:val="0"/>
        </w:numPr>
        <w:shd w:val="clear" w:color="auto" w:fill="auto"/>
        <w:tabs>
          <w:tab w:val="left" w:pos="432"/>
        </w:tabs>
        <w:kinsoku/>
        <w:wordWrap/>
        <w:overflowPunct/>
        <w:topLinePunct w:val="0"/>
        <w:autoSpaceDN/>
        <w:bidi w:val="0"/>
        <w:spacing w:before="0" w:beforeLines="0" w:after="0" w:afterLines="0" w:line="400" w:lineRule="exact"/>
        <w:ind w:left="576" w:leftChars="0" w:hanging="576" w:firstLineChars="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（五）、需求问题协调服务</w:t>
      </w:r>
    </w:p>
    <w:p w14:paraId="1AEB9C69">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1、问题处理及协调服务</w:t>
      </w:r>
    </w:p>
    <w:p w14:paraId="211D103E">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中标人需为</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相关工作人员提供问题处理及协调服务，医保局相关工作人员在使用全省“智慧医保”系统的过程中或是业务办理过程出现了难以解决的问题时，中标人需安排工程师在第一时间对遇到的问题点进行分析，同医保局工作人员方一起寻找解决办法，如果在问题解决、处理过程中涉及到省</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市</w:t>
      </w:r>
      <w:r>
        <w:rPr>
          <w:rFonts w:hint="eastAsia" w:ascii="宋体" w:hAnsi="宋体" w:eastAsia="宋体" w:cs="宋体"/>
          <w:color w:val="000000"/>
          <w:sz w:val="24"/>
          <w:szCs w:val="24"/>
          <w:highlight w:val="none"/>
          <w:lang w:bidi="ar"/>
        </w:rPr>
        <w:t>局以及相关系统开发商，中标人需积极地同</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市医保局工作人员共同协调省</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市</w:t>
      </w:r>
      <w:r>
        <w:rPr>
          <w:rFonts w:hint="eastAsia" w:ascii="宋体" w:hAnsi="宋体" w:eastAsia="宋体" w:cs="宋体"/>
          <w:color w:val="000000"/>
          <w:sz w:val="24"/>
          <w:szCs w:val="24"/>
          <w:highlight w:val="none"/>
          <w:lang w:bidi="ar"/>
        </w:rPr>
        <w:t>局及相关系统开发，争取尽快使问题得到妥善解决。</w:t>
      </w:r>
    </w:p>
    <w:p w14:paraId="5EC43B53">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2、需求评估服务</w:t>
      </w:r>
    </w:p>
    <w:p w14:paraId="1B3912C1">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市医保局在使用“智慧医保”系统进行业务办理过程中，发现系统功能不满足当前业务办理需求时，要进行相关需求上报，中标人需协助</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市医保局工作人员对需求内容进行整理、归纳和总结，对需求合理性进行分析，对需求修改结果在系统中进行验证。</w:t>
      </w:r>
    </w:p>
    <w:p w14:paraId="4633563C">
      <w:pPr>
        <w:pStyle w:val="4"/>
        <w:pageBreakBefore w:val="0"/>
        <w:numPr>
          <w:ilvl w:val="0"/>
          <w:numId w:val="0"/>
        </w:numPr>
        <w:shd w:val="clear" w:color="auto" w:fill="auto"/>
        <w:tabs>
          <w:tab w:val="left" w:pos="432"/>
        </w:tabs>
        <w:kinsoku/>
        <w:wordWrap/>
        <w:overflowPunct/>
        <w:topLinePunct w:val="0"/>
        <w:autoSpaceDN/>
        <w:bidi w:val="0"/>
        <w:spacing w:before="0" w:beforeLines="0" w:after="0" w:afterLines="0" w:line="400" w:lineRule="exact"/>
        <w:ind w:left="576" w:leftChars="0" w:hanging="576" w:firstLineChars="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（六）、故障问题汇总提交及跟踪处理</w:t>
      </w:r>
    </w:p>
    <w:p w14:paraId="18D92034">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故障问题汇总提交及跟踪处理流程是确保“智慧医保”系统稳定运行、提升用户体验以及优化业务办理流程的关键环节。</w:t>
      </w:r>
    </w:p>
    <w:p w14:paraId="3484BA1F">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1、问题发现与初步诊断</w:t>
      </w:r>
    </w:p>
    <w:p w14:paraId="0AB7E1FF">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在“智慧医保”系统的日常运行、业务办理或两定机构实时结算交易过程中，一旦遇到难以自行解决的问题，中标人需迅速介入，并对遇到的问题进行详细地记录和初步诊断，包括问题发生的时间、地点、具体操作步骤以及可能的原因等，对问题进行准确地定位，为后续问题的分析和解决奠定基础。</w:t>
      </w:r>
    </w:p>
    <w:p w14:paraId="711FB847">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2、问题分析与解决策略制定</w:t>
      </w:r>
    </w:p>
    <w:p w14:paraId="0A3BEE49">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在初步诊断的基础上，中标人需对问题进行深入分析，查找问题产生的根本原因。同时，工程师还需与医保局工作人员紧密合作，共同讨论和制定解决问题的策略，需要涉及对系统架构、业务流程、数据逻辑等多方面的考虑。</w:t>
      </w:r>
    </w:p>
    <w:p w14:paraId="6414182B">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3、协调与沟通</w:t>
      </w:r>
    </w:p>
    <w:p w14:paraId="447EAB54">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如果问题的解决需要省</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市</w:t>
      </w:r>
      <w:r>
        <w:rPr>
          <w:rFonts w:hint="eastAsia" w:ascii="宋体" w:hAnsi="宋体" w:eastAsia="宋体" w:cs="宋体"/>
          <w:color w:val="000000"/>
          <w:sz w:val="24"/>
          <w:szCs w:val="24"/>
          <w:highlight w:val="none"/>
          <w:lang w:bidi="ar"/>
        </w:rPr>
        <w:t>局或相关系统开发商的协助，中标人需及时与</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市医保局工作人员共同协调，确保各方能够迅速响应并参与到问题解决的过程中来。在协调与沟通的过程中，需明确各方的职责和任务，确保信息能够准确无误地传递。</w:t>
      </w:r>
    </w:p>
    <w:p w14:paraId="5C912F23">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4、问题解决与验证</w:t>
      </w:r>
    </w:p>
    <w:p w14:paraId="6567259B">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在确定了解决方案后，中标人需按照方案进行实施，并对解决后的系统进行严格地测试和验证，确保问题已经被完全解决，业务能够正常进行，保障系统的稳定性和安全性。</w:t>
      </w:r>
    </w:p>
    <w:p w14:paraId="7D5691C8">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5、问题跟踪与反馈</w:t>
      </w:r>
    </w:p>
    <w:p w14:paraId="28823088">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在问题解决后，中标人需对问题进行跟踪和反馈。收集工作人员对问题解决效果的反馈意见，对问题进行总结和分析，以便在未来的工作中避免类似问题的再次发生。同时，需将问题的解决方案和处理过程进行记录和归档，为后续的维护和优化提供参考。</w:t>
      </w:r>
    </w:p>
    <w:p w14:paraId="3E0AE7F7">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6、持续优化与改进</w:t>
      </w:r>
    </w:p>
    <w:p w14:paraId="59137CFC">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在问题得到解决并经过验证后，中标人还需对整个处理过程进行反思和总结，查找在处理过程中可能存在的问题和不足，并提出改进和优化的建议，包括优化系统架构、完善业务流程、提升数据安全性等方面的内容。</w:t>
      </w:r>
    </w:p>
    <w:p w14:paraId="3838E6B0">
      <w:pPr>
        <w:pStyle w:val="3"/>
        <w:pageBreakBefore w:val="0"/>
        <w:numPr>
          <w:ilvl w:val="0"/>
          <w:numId w:val="4"/>
        </w:numPr>
        <w:shd w:val="clear" w:color="auto" w:fill="auto"/>
        <w:kinsoku/>
        <w:wordWrap/>
        <w:overflowPunct/>
        <w:topLinePunct w:val="0"/>
        <w:autoSpaceDN/>
        <w:bidi w:val="0"/>
        <w:spacing w:before="0" w:beforeLines="0" w:after="0" w:afterLines="0" w:line="40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服务方式及响应要求</w:t>
      </w:r>
    </w:p>
    <w:p w14:paraId="6EE75C82">
      <w:pPr>
        <w:pageBreakBefore w:val="0"/>
        <w:widowControl/>
        <w:numPr>
          <w:ilvl w:val="0"/>
          <w:numId w:val="6"/>
        </w:numPr>
        <w:shd w:val="clear" w:color="auto" w:fill="auto"/>
        <w:kinsoku/>
        <w:wordWrap/>
        <w:overflowPunct/>
        <w:topLinePunct w:val="0"/>
        <w:autoSpaceDN/>
        <w:bidi w:val="0"/>
        <w:spacing w:line="400" w:lineRule="exact"/>
        <w:ind w:left="480"/>
        <w:jc w:val="left"/>
        <w:textAlignment w:val="auto"/>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bidi="ar"/>
        </w:rPr>
        <w:t>提供不少于</w:t>
      </w:r>
      <w:r>
        <w:rPr>
          <w:rFonts w:hint="eastAsia" w:ascii="宋体" w:hAnsi="宋体" w:eastAsia="宋体" w:cs="宋体"/>
          <w:color w:val="000000"/>
          <w:sz w:val="24"/>
          <w:szCs w:val="24"/>
          <w:highlight w:val="none"/>
          <w:lang w:val="en-US" w:eastAsia="zh-CN" w:bidi="ar"/>
        </w:rPr>
        <w:t>1</w:t>
      </w:r>
      <w:r>
        <w:rPr>
          <w:rFonts w:hint="eastAsia" w:ascii="宋体" w:hAnsi="宋体" w:eastAsia="宋体" w:cs="宋体"/>
          <w:color w:val="000000"/>
          <w:sz w:val="24"/>
          <w:szCs w:val="24"/>
          <w:highlight w:val="none"/>
          <w:lang w:bidi="ar"/>
        </w:rPr>
        <w:t>名驻场服务工程师，提供</w:t>
      </w:r>
      <w:r>
        <w:rPr>
          <w:rFonts w:hint="eastAsia" w:ascii="宋体" w:hAnsi="宋体" w:eastAsia="宋体" w:cs="宋体"/>
          <w:color w:val="000000"/>
          <w:sz w:val="24"/>
          <w:szCs w:val="24"/>
          <w:highlight w:val="none"/>
          <w:lang w:eastAsia="zh-CN" w:bidi="ar"/>
        </w:rPr>
        <w:t>按政府上班时间</w:t>
      </w:r>
      <w:r>
        <w:rPr>
          <w:rFonts w:hint="eastAsia" w:ascii="宋体" w:hAnsi="宋体" w:eastAsia="宋体" w:cs="宋体"/>
          <w:color w:val="000000"/>
          <w:sz w:val="24"/>
          <w:szCs w:val="24"/>
          <w:highlight w:val="none"/>
          <w:lang w:bidi="ar"/>
        </w:rPr>
        <w:t>8小时现场服务。</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val="en-US" w:eastAsia="zh-CN" w:bidi="ar"/>
        </w:rPr>
        <w:t>工作所需电脑需自行配备</w:t>
      </w:r>
      <w:r>
        <w:rPr>
          <w:rFonts w:hint="eastAsia" w:ascii="宋体" w:hAnsi="宋体" w:eastAsia="宋体" w:cs="宋体"/>
          <w:color w:val="000000"/>
          <w:sz w:val="24"/>
          <w:szCs w:val="24"/>
          <w:highlight w:val="none"/>
          <w:lang w:eastAsia="zh-CN" w:bidi="ar"/>
        </w:rPr>
        <w:t>）</w:t>
      </w:r>
    </w:p>
    <w:p w14:paraId="2D1C9E6B">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bidi="ar"/>
        </w:rPr>
        <w:t>.驻场服务工程师具体</w:t>
      </w:r>
      <w:r>
        <w:rPr>
          <w:rFonts w:hint="eastAsia" w:ascii="宋体" w:hAnsi="宋体" w:eastAsia="宋体" w:cs="宋体"/>
          <w:color w:val="000000"/>
          <w:sz w:val="24"/>
          <w:szCs w:val="24"/>
          <w:highlight w:val="none"/>
          <w:lang w:val="en-US" w:eastAsia="zh-CN" w:bidi="ar"/>
        </w:rPr>
        <w:t>要求</w:t>
      </w:r>
      <w:r>
        <w:rPr>
          <w:rFonts w:hint="eastAsia" w:ascii="宋体" w:hAnsi="宋体" w:eastAsia="宋体" w:cs="宋体"/>
          <w:color w:val="000000"/>
          <w:sz w:val="24"/>
          <w:szCs w:val="24"/>
          <w:highlight w:val="none"/>
          <w:lang w:bidi="ar"/>
        </w:rPr>
        <w:t>如下：</w:t>
      </w:r>
    </w:p>
    <w:tbl>
      <w:tblPr>
        <w:tblStyle w:val="54"/>
        <w:tblW w:w="484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393"/>
        <w:gridCol w:w="3748"/>
        <w:gridCol w:w="3308"/>
      </w:tblGrid>
      <w:tr w14:paraId="37739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472" w:type="pct"/>
            <w:tcBorders>
              <w:top w:val="single" w:color="auto" w:sz="4" w:space="0"/>
              <w:left w:val="single" w:color="auto" w:sz="4" w:space="0"/>
              <w:bottom w:val="single" w:color="auto" w:sz="4" w:space="0"/>
              <w:right w:val="single" w:color="auto" w:sz="4" w:space="0"/>
            </w:tcBorders>
            <w:shd w:val="clear" w:color="auto" w:fill="E7E6E6"/>
            <w:noWrap w:val="0"/>
            <w:vAlign w:val="center"/>
          </w:tcPr>
          <w:p w14:paraId="7E93FB46">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序号</w:t>
            </w:r>
          </w:p>
        </w:tc>
        <w:tc>
          <w:tcPr>
            <w:tcW w:w="746" w:type="pct"/>
            <w:tcBorders>
              <w:top w:val="single" w:color="auto" w:sz="4" w:space="0"/>
              <w:left w:val="single" w:color="auto" w:sz="4" w:space="0"/>
              <w:bottom w:val="single" w:color="auto" w:sz="4" w:space="0"/>
              <w:right w:val="single" w:color="auto" w:sz="4" w:space="0"/>
            </w:tcBorders>
            <w:shd w:val="clear" w:color="auto" w:fill="E7E6E6"/>
            <w:noWrap w:val="0"/>
            <w:vAlign w:val="center"/>
          </w:tcPr>
          <w:p w14:paraId="6EBDB1FF">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人员类型</w:t>
            </w:r>
          </w:p>
        </w:tc>
        <w:tc>
          <w:tcPr>
            <w:tcW w:w="2008" w:type="pct"/>
            <w:tcBorders>
              <w:top w:val="single" w:color="auto" w:sz="4" w:space="0"/>
              <w:left w:val="single" w:color="auto" w:sz="4" w:space="0"/>
              <w:bottom w:val="single" w:color="auto" w:sz="4" w:space="0"/>
              <w:right w:val="single" w:color="auto" w:sz="4" w:space="0"/>
            </w:tcBorders>
            <w:shd w:val="clear" w:color="auto" w:fill="E7E6E6"/>
            <w:noWrap w:val="0"/>
            <w:vAlign w:val="center"/>
          </w:tcPr>
          <w:p w14:paraId="6780A2E6">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ind w:firstLine="0" w:firstLineChars="0"/>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主要职责</w:t>
            </w:r>
          </w:p>
        </w:tc>
        <w:tc>
          <w:tcPr>
            <w:tcW w:w="1772" w:type="pct"/>
            <w:tcBorders>
              <w:top w:val="single" w:color="auto" w:sz="4" w:space="0"/>
              <w:left w:val="single" w:color="auto" w:sz="4" w:space="0"/>
              <w:bottom w:val="single" w:color="auto" w:sz="4" w:space="0"/>
              <w:right w:val="single" w:color="auto" w:sz="4" w:space="0"/>
            </w:tcBorders>
            <w:shd w:val="clear" w:color="auto" w:fill="E7E6E6"/>
            <w:noWrap w:val="0"/>
            <w:vAlign w:val="center"/>
          </w:tcPr>
          <w:p w14:paraId="14B7AFD8">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ind w:firstLine="0" w:firstLineChars="0"/>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具备能力</w:t>
            </w:r>
          </w:p>
        </w:tc>
      </w:tr>
      <w:tr w14:paraId="76E91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472" w:type="pct"/>
            <w:tcBorders>
              <w:top w:val="single" w:color="auto" w:sz="4" w:space="0"/>
              <w:left w:val="single" w:color="auto" w:sz="4" w:space="0"/>
              <w:bottom w:val="single" w:color="auto" w:sz="4" w:space="0"/>
              <w:right w:val="single" w:color="auto" w:sz="4" w:space="0"/>
            </w:tcBorders>
            <w:noWrap w:val="0"/>
            <w:vAlign w:val="center"/>
          </w:tcPr>
          <w:p w14:paraId="2B9D9CAF">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w:t>
            </w:r>
          </w:p>
        </w:tc>
        <w:tc>
          <w:tcPr>
            <w:tcW w:w="746" w:type="pct"/>
            <w:tcBorders>
              <w:top w:val="single" w:color="auto" w:sz="4" w:space="0"/>
              <w:left w:val="single" w:color="auto" w:sz="4" w:space="0"/>
              <w:bottom w:val="single" w:color="auto" w:sz="4" w:space="0"/>
              <w:right w:val="single" w:color="auto" w:sz="4" w:space="0"/>
            </w:tcBorders>
            <w:noWrap w:val="0"/>
            <w:vAlign w:val="center"/>
          </w:tcPr>
          <w:p w14:paraId="6B06E12B">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ind w:firstLine="0" w:firstLineChars="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驻场服务工程师</w:t>
            </w:r>
          </w:p>
        </w:tc>
        <w:tc>
          <w:tcPr>
            <w:tcW w:w="2008" w:type="pct"/>
            <w:tcBorders>
              <w:top w:val="single" w:color="auto" w:sz="4" w:space="0"/>
              <w:left w:val="single" w:color="auto" w:sz="4" w:space="0"/>
              <w:bottom w:val="single" w:color="auto" w:sz="4" w:space="0"/>
              <w:right w:val="single" w:color="auto" w:sz="4" w:space="0"/>
            </w:tcBorders>
            <w:noWrap w:val="0"/>
            <w:vAlign w:val="center"/>
          </w:tcPr>
          <w:p w14:paraId="5A7E5CF8">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做为与用户沟通的桥梁；监督跟踪项目进展和结果，确保项目按时按质量完成；识别和管理项目风险，制定风险应对措施；确保项目交付的质量符合要求，满足客户需求；解决项目中出现的问题和冲突，保持项目正常运行。</w:t>
            </w:r>
          </w:p>
          <w:p w14:paraId="11BD185A">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2、为</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市医保局工作人员提供浙江省“智慧医保”业务基础系统全部功能点培训。</w:t>
            </w:r>
          </w:p>
          <w:p w14:paraId="65ECA65A">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3、协助用户处理在系统使用中遇到的系统问题和业务办理问题，以及相关协调工作。</w:t>
            </w:r>
          </w:p>
          <w:p w14:paraId="4CFCEFA7">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4、协助</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医保局工作人员对需求内容进行整理、归纳、总结、评估和后期验证。</w:t>
            </w:r>
          </w:p>
          <w:p w14:paraId="1C92B287">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5</w:t>
            </w:r>
            <w:r>
              <w:rPr>
                <w:rFonts w:hint="eastAsia" w:ascii="宋体" w:hAnsi="宋体" w:eastAsia="宋体" w:cs="宋体"/>
                <w:color w:val="000000"/>
                <w:sz w:val="24"/>
                <w:szCs w:val="24"/>
                <w:highlight w:val="none"/>
                <w:lang w:bidi="ar"/>
              </w:rPr>
              <w:t>、基础共性报表数据核对校验。</w:t>
            </w:r>
          </w:p>
          <w:p w14:paraId="593AF448">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6</w:t>
            </w:r>
            <w:r>
              <w:rPr>
                <w:rFonts w:hint="eastAsia" w:ascii="宋体" w:hAnsi="宋体" w:eastAsia="宋体" w:cs="宋体"/>
                <w:color w:val="000000"/>
                <w:sz w:val="24"/>
                <w:szCs w:val="24"/>
                <w:highlight w:val="none"/>
                <w:lang w:bidi="ar"/>
              </w:rPr>
              <w:t>、定制报表需求分析：与</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市医保局业务科室沟通需求，确认定制报表需求的范围、格式、内容等。</w:t>
            </w:r>
          </w:p>
          <w:p w14:paraId="6E071503">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bidi="ar"/>
              </w:rPr>
              <w:t>、定制报表设计报表模板：根据需求分析结果，设计定制报表模板，包括报表的表头、表格、图表、样式等。</w:t>
            </w:r>
          </w:p>
          <w:p w14:paraId="097B9197">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8</w:t>
            </w:r>
            <w:r>
              <w:rPr>
                <w:rFonts w:hint="eastAsia" w:ascii="宋体" w:hAnsi="宋体" w:eastAsia="宋体" w:cs="宋体"/>
                <w:color w:val="000000"/>
                <w:sz w:val="24"/>
                <w:szCs w:val="24"/>
                <w:highlight w:val="none"/>
                <w:lang w:bidi="ar"/>
              </w:rPr>
              <w:t>、定制化报表配置：使用全省统一报表开发工具（BI报表平台），根据医保局业务部门的需求，进行不同类型的报表配置工作。</w:t>
            </w:r>
          </w:p>
          <w:p w14:paraId="03D442DF">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9</w:t>
            </w:r>
            <w:r>
              <w:rPr>
                <w:rFonts w:hint="eastAsia" w:ascii="宋体" w:hAnsi="宋体" w:eastAsia="宋体" w:cs="宋体"/>
                <w:color w:val="000000"/>
                <w:sz w:val="24"/>
                <w:szCs w:val="24"/>
                <w:highlight w:val="none"/>
                <w:lang w:bidi="ar"/>
              </w:rPr>
              <w:t>、定制报表调试和测试：对定制的报表进行调试和测试，确保报表的准确性和稳定性。</w:t>
            </w:r>
          </w:p>
          <w:p w14:paraId="39E4DC71">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10</w:t>
            </w:r>
            <w:r>
              <w:rPr>
                <w:rFonts w:hint="eastAsia" w:ascii="宋体" w:hAnsi="宋体" w:eastAsia="宋体" w:cs="宋体"/>
                <w:color w:val="000000"/>
                <w:sz w:val="24"/>
                <w:szCs w:val="24"/>
                <w:highlight w:val="none"/>
                <w:lang w:bidi="ar"/>
              </w:rPr>
              <w:t>、数据收集和整理：负责从不同的数据源中收集数据，进行数据清洗、整理，使数据变得更易于分析和理解。</w:t>
            </w:r>
          </w:p>
          <w:p w14:paraId="1CD6A4B8">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11</w:t>
            </w:r>
            <w:r>
              <w:rPr>
                <w:rFonts w:hint="eastAsia" w:ascii="宋体" w:hAnsi="宋体" w:eastAsia="宋体" w:cs="宋体"/>
                <w:color w:val="000000"/>
                <w:sz w:val="24"/>
                <w:szCs w:val="24"/>
                <w:highlight w:val="none"/>
                <w:lang w:bidi="ar"/>
              </w:rPr>
              <w:t>、业务需求分析和数据查询统计方案设计：与</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医保业务部门沟通，了解医保业务部门对数据查询、统计的需求，根据业务需求提供数据查询、统计方面的解决方案设计和服务。</w:t>
            </w:r>
          </w:p>
          <w:p w14:paraId="3807A69D">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12</w:t>
            </w:r>
            <w:r>
              <w:rPr>
                <w:rFonts w:hint="eastAsia" w:ascii="宋体" w:hAnsi="宋体" w:eastAsia="宋体" w:cs="宋体"/>
                <w:color w:val="000000"/>
                <w:sz w:val="24"/>
                <w:szCs w:val="24"/>
                <w:highlight w:val="none"/>
                <w:lang w:bidi="ar"/>
              </w:rPr>
              <w:t>、对现有医保业务系统数据，从参保缴费、待遇支付、基金运行、经办服务等多个维度进行监测分析。</w:t>
            </w:r>
          </w:p>
          <w:p w14:paraId="468B719B">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lang w:val="en-US" w:eastAsia="zh-CN" w:bidi="ar"/>
              </w:rPr>
              <w:t>13</w:t>
            </w:r>
            <w:r>
              <w:rPr>
                <w:rFonts w:hint="eastAsia" w:ascii="宋体" w:hAnsi="宋体" w:eastAsia="宋体" w:cs="宋体"/>
                <w:color w:val="000000"/>
                <w:sz w:val="24"/>
                <w:szCs w:val="24"/>
                <w:highlight w:val="none"/>
                <w:lang w:bidi="ar"/>
              </w:rPr>
              <w:t>、</w:t>
            </w:r>
            <w:r>
              <w:rPr>
                <w:rFonts w:hint="eastAsia" w:ascii="宋体" w:hAnsi="宋体" w:eastAsia="宋体" w:cs="宋体"/>
                <w:color w:val="000000"/>
                <w:kern w:val="0"/>
                <w:sz w:val="24"/>
                <w:szCs w:val="24"/>
                <w:highlight w:val="none"/>
                <w:lang w:bidi="ar"/>
              </w:rPr>
              <w:t>可结合医保局工作业务需求，制定操作规范、系统操作说明等培训文件，为医保局用户提供浙江省“智慧医保”业务基础系统全部功能点培训服务</w:t>
            </w:r>
          </w:p>
          <w:p w14:paraId="7BF2D601">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w:t>
            </w:r>
            <w:r>
              <w:rPr>
                <w:rFonts w:hint="eastAsia" w:ascii="宋体" w:hAnsi="宋体" w:eastAsia="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bidi="ar"/>
              </w:rPr>
              <w:t>、可提供业务咨询，针对业务人员的在不熟悉业务的过程中，通过现场、远程技术支持等方式，提供业务操作方面的支持。</w:t>
            </w:r>
          </w:p>
          <w:p w14:paraId="2230F5DF">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1</w:t>
            </w:r>
            <w:r>
              <w:rPr>
                <w:rFonts w:hint="eastAsia" w:ascii="宋体" w:hAnsi="宋体" w:eastAsia="宋体" w:cs="宋体"/>
                <w:color w:val="000000"/>
                <w:sz w:val="24"/>
                <w:szCs w:val="24"/>
                <w:highlight w:val="none"/>
                <w:lang w:val="en-US" w:eastAsia="zh-CN" w:bidi="ar"/>
              </w:rPr>
              <w:t>5</w:t>
            </w:r>
            <w:r>
              <w:rPr>
                <w:rFonts w:hint="eastAsia" w:ascii="宋体" w:hAnsi="宋体" w:eastAsia="宋体" w:cs="宋体"/>
                <w:color w:val="000000"/>
                <w:sz w:val="24"/>
                <w:szCs w:val="24"/>
                <w:highlight w:val="none"/>
                <w:lang w:bidi="ar"/>
              </w:rPr>
              <w:t>、对两定机构实时结算交易过程中，一旦遇到机构难以自行解决的问题，需对遇到的问题进行初步诊断及跟踪处理。</w:t>
            </w:r>
          </w:p>
        </w:tc>
        <w:tc>
          <w:tcPr>
            <w:tcW w:w="1772" w:type="pct"/>
            <w:tcBorders>
              <w:top w:val="single" w:color="auto" w:sz="4" w:space="0"/>
              <w:left w:val="single" w:color="auto" w:sz="4" w:space="0"/>
              <w:bottom w:val="single" w:color="auto" w:sz="4" w:space="0"/>
              <w:right w:val="single" w:color="auto" w:sz="4" w:space="0"/>
            </w:tcBorders>
            <w:noWrap w:val="0"/>
            <w:vAlign w:val="center"/>
          </w:tcPr>
          <w:p w14:paraId="10A8A760">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w:t>
            </w:r>
            <w:r>
              <w:rPr>
                <w:rFonts w:hint="eastAsia" w:ascii="宋体" w:hAnsi="宋体" w:eastAsia="宋体" w:cs="宋体"/>
                <w:color w:val="000000"/>
                <w:sz w:val="24"/>
                <w:szCs w:val="24"/>
                <w:highlight w:val="none"/>
                <w:lang w:val="en-US" w:eastAsia="zh-CN" w:bidi="ar"/>
              </w:rPr>
              <w:t>至少</w:t>
            </w:r>
            <w:r>
              <w:rPr>
                <w:rFonts w:hint="eastAsia" w:ascii="宋体" w:hAnsi="宋体" w:eastAsia="宋体" w:cs="宋体"/>
                <w:color w:val="000000"/>
                <w:sz w:val="24"/>
                <w:szCs w:val="24"/>
                <w:highlight w:val="none"/>
                <w:lang w:bidi="ar"/>
              </w:rPr>
              <w:t>具备3年以上医保行业</w:t>
            </w:r>
            <w:r>
              <w:rPr>
                <w:rFonts w:hint="eastAsia" w:ascii="宋体" w:hAnsi="宋体" w:eastAsia="宋体" w:cs="宋体"/>
                <w:color w:val="000000"/>
                <w:sz w:val="24"/>
                <w:szCs w:val="24"/>
                <w:highlight w:val="none"/>
                <w:lang w:val="en-US" w:eastAsia="zh-CN" w:bidi="ar"/>
              </w:rPr>
              <w:t>相关</w:t>
            </w:r>
            <w:r>
              <w:rPr>
                <w:rFonts w:hint="eastAsia" w:ascii="宋体" w:hAnsi="宋体" w:eastAsia="宋体" w:cs="宋体"/>
                <w:color w:val="000000"/>
                <w:sz w:val="24"/>
                <w:szCs w:val="24"/>
                <w:highlight w:val="none"/>
                <w:lang w:bidi="ar"/>
              </w:rPr>
              <w:t>信息化项目经验。</w:t>
            </w:r>
          </w:p>
          <w:p w14:paraId="035030DF">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2、对医保业务经办有着充分的了解，如单位个人变更、征缴、划账、待遇报销结算、基金监管、定点医疗机构管理等。</w:t>
            </w:r>
          </w:p>
          <w:p w14:paraId="7300B37A">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3、对国家医疗保障信息平台建设要求、建设内容、建设原则、建设思路、技术架构、标准规范等内容有着充分了解。</w:t>
            </w:r>
          </w:p>
          <w:p w14:paraId="51217BD2">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4、对浙江省“智慧医保”平台建设要求、建设内容、建设原则、建设思路、技术架构、标准规范等内容有着充分了解。</w:t>
            </w:r>
          </w:p>
          <w:p w14:paraId="030D0D19">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5、对浙江省医保局组织机构及各业务处室工作职责有着充分了解。</w:t>
            </w:r>
          </w:p>
          <w:p w14:paraId="3D2C1122">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6</w:t>
            </w:r>
            <w:r>
              <w:rPr>
                <w:rFonts w:hint="eastAsia" w:ascii="宋体" w:hAnsi="宋体" w:eastAsia="宋体" w:cs="宋体"/>
                <w:color w:val="000000"/>
                <w:sz w:val="24"/>
                <w:szCs w:val="24"/>
                <w:highlight w:val="none"/>
                <w:lang w:bidi="ar"/>
              </w:rPr>
              <w:t>、具备良好的沟通能力，能够与市医保业务部门沟通，了解他们的需求。</w:t>
            </w:r>
          </w:p>
          <w:p w14:paraId="480DF3BE">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bidi="ar"/>
              </w:rPr>
              <w:t>、具有操作主流数据库操作管理能力，熟悉SQL语言和数据库管理工具。</w:t>
            </w:r>
          </w:p>
          <w:p w14:paraId="3EBFAD8D">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8</w:t>
            </w:r>
            <w:r>
              <w:rPr>
                <w:rFonts w:hint="eastAsia" w:ascii="宋体" w:hAnsi="宋体" w:eastAsia="宋体" w:cs="宋体"/>
                <w:color w:val="000000"/>
                <w:sz w:val="24"/>
                <w:szCs w:val="24"/>
                <w:highlight w:val="none"/>
                <w:lang w:bidi="ar"/>
              </w:rPr>
              <w:t>、能够使用省医保云dataworks大数据开发治理平台进行数据采集、抽取、传输、转换，校验和清洗。</w:t>
            </w:r>
          </w:p>
          <w:p w14:paraId="268F4F13">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9</w:t>
            </w:r>
            <w:r>
              <w:rPr>
                <w:rFonts w:hint="eastAsia" w:ascii="宋体" w:hAnsi="宋体" w:eastAsia="宋体" w:cs="宋体"/>
                <w:color w:val="000000"/>
                <w:sz w:val="24"/>
                <w:szCs w:val="24"/>
                <w:highlight w:val="none"/>
                <w:lang w:bidi="ar"/>
              </w:rPr>
              <w:t>、能够根据业务科室需求进行定制报表模板的设计。</w:t>
            </w:r>
          </w:p>
          <w:p w14:paraId="3F1A94F7">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10</w:t>
            </w:r>
            <w:r>
              <w:rPr>
                <w:rFonts w:hint="eastAsia" w:ascii="宋体" w:hAnsi="宋体" w:eastAsia="宋体" w:cs="宋体"/>
                <w:color w:val="000000"/>
                <w:sz w:val="24"/>
                <w:szCs w:val="24"/>
                <w:highlight w:val="none"/>
                <w:lang w:bidi="ar"/>
              </w:rPr>
              <w:t>、能够通过全省统一报表平台配置决策专区数据参数，链接完成固化数据，展示多层级逻辑数据，实现报表的定制化配置。</w:t>
            </w:r>
          </w:p>
          <w:p w14:paraId="46FF15EE">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11</w:t>
            </w:r>
            <w:r>
              <w:rPr>
                <w:rFonts w:hint="eastAsia" w:ascii="宋体" w:hAnsi="宋体" w:eastAsia="宋体" w:cs="宋体"/>
                <w:color w:val="000000"/>
                <w:sz w:val="24"/>
                <w:szCs w:val="24"/>
                <w:highlight w:val="none"/>
                <w:lang w:bidi="ar"/>
              </w:rPr>
              <w:t>、具有数据统计分析能力，运用统计学方法对数据进行分析。</w:t>
            </w:r>
          </w:p>
          <w:p w14:paraId="2ABE2DB3">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12</w:t>
            </w:r>
            <w:r>
              <w:rPr>
                <w:rFonts w:hint="eastAsia" w:ascii="宋体" w:hAnsi="宋体" w:eastAsia="宋体" w:cs="宋体"/>
                <w:color w:val="000000"/>
                <w:sz w:val="24"/>
                <w:szCs w:val="24"/>
                <w:highlight w:val="none"/>
                <w:lang w:bidi="ar"/>
              </w:rPr>
              <w:t>、具有操作主流数据库操作管理能力，熟悉SQL语言和数据库管理工具。</w:t>
            </w:r>
          </w:p>
          <w:p w14:paraId="44CCF8CD">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w:t>
            </w:r>
            <w:r>
              <w:rPr>
                <w:rFonts w:hint="eastAsia" w:ascii="宋体" w:hAnsi="宋体" w:eastAsia="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bidi="ar"/>
              </w:rPr>
              <w:t>、具有数据建模能力，能够利用大数据分析技术对数据进行建模，包括数据模型设计、数据转换、数据集成等，为后续的数据分析做准备。</w:t>
            </w:r>
          </w:p>
          <w:p w14:paraId="2895CB7E">
            <w:pPr>
              <w:pStyle w:val="48"/>
              <w:pageBreakBefore w:val="0"/>
              <w:widowControl w:val="0"/>
              <w:shd w:val="clear" w:color="auto" w:fill="auto"/>
              <w:kinsoku/>
              <w:wordWrap/>
              <w:overflowPunct/>
              <w:topLinePunct w:val="0"/>
              <w:autoSpaceDN/>
              <w:bidi w:val="0"/>
              <w:adjustRightInd w:val="0"/>
              <w:snapToGrid w:val="0"/>
              <w:spacing w:before="0" w:beforeAutospacing="0" w:after="0" w:afterAutospacing="0" w:line="400" w:lineRule="exact"/>
              <w:jc w:val="both"/>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1</w:t>
            </w:r>
            <w:r>
              <w:rPr>
                <w:rFonts w:hint="eastAsia" w:ascii="宋体" w:hAnsi="宋体" w:eastAsia="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bidi="ar"/>
              </w:rPr>
              <w:t>、具备数据挖掘技术，通过数据挖掘技术，发掘数据中的潜在关联和规律，从而发现违规骗保行为。</w:t>
            </w:r>
          </w:p>
        </w:tc>
      </w:tr>
    </w:tbl>
    <w:p w14:paraId="64598F12">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 </w:t>
      </w:r>
    </w:p>
    <w:p w14:paraId="6A882D40">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4.提供全天候7×24小时的线上支持服务，包括故障维护服务和技术业务咨询服务，并有专业的技术人员负责及时解决系统出现的任何故障。</w:t>
      </w:r>
    </w:p>
    <w:p w14:paraId="585DF716">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5.驻场服务工程师纪律和</w:t>
      </w:r>
      <w:r>
        <w:rPr>
          <w:rFonts w:hint="eastAsia" w:ascii="宋体" w:hAnsi="宋体" w:eastAsia="宋体" w:cs="宋体"/>
          <w:color w:val="000000"/>
          <w:sz w:val="24"/>
          <w:szCs w:val="24"/>
          <w:highlight w:val="none"/>
          <w:lang w:val="en-US" w:eastAsia="zh-CN" w:bidi="ar"/>
        </w:rPr>
        <w:t>考核</w:t>
      </w:r>
      <w:r>
        <w:rPr>
          <w:rFonts w:hint="eastAsia" w:ascii="宋体" w:hAnsi="宋体" w:eastAsia="宋体" w:cs="宋体"/>
          <w:color w:val="000000"/>
          <w:sz w:val="24"/>
          <w:szCs w:val="24"/>
          <w:highlight w:val="none"/>
          <w:lang w:bidi="ar"/>
        </w:rPr>
        <w:t>评价：</w:t>
      </w:r>
    </w:p>
    <w:p w14:paraId="3BBCB124">
      <w:pPr>
        <w:pageBreakBefore w:val="0"/>
        <w:widowControl/>
        <w:shd w:val="clear" w:color="auto" w:fill="auto"/>
        <w:kinsoku/>
        <w:wordWrap/>
        <w:overflowPunct/>
        <w:topLinePunct w:val="0"/>
        <w:autoSpaceDN/>
        <w:bidi w:val="0"/>
        <w:spacing w:line="4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驻场服务工程师管理参照</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市医疗保障局第三方技术服务人员管理办法。</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2"/>
        <w:gridCol w:w="1324"/>
        <w:gridCol w:w="1347"/>
        <w:gridCol w:w="2617"/>
        <w:gridCol w:w="2508"/>
        <w:gridCol w:w="860"/>
      </w:tblGrid>
      <w:tr w14:paraId="2892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tcBorders>
              <w:tl2br w:val="nil"/>
              <w:tr2bl w:val="nil"/>
            </w:tcBorders>
            <w:noWrap w:val="0"/>
            <w:vAlign w:val="center"/>
          </w:tcPr>
          <w:p w14:paraId="6E3FACEC">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序号</w:t>
            </w:r>
          </w:p>
        </w:tc>
        <w:tc>
          <w:tcPr>
            <w:tcW w:w="1324" w:type="dxa"/>
            <w:tcBorders>
              <w:tl2br w:val="nil"/>
              <w:tr2bl w:val="nil"/>
            </w:tcBorders>
            <w:noWrap w:val="0"/>
            <w:vAlign w:val="center"/>
          </w:tcPr>
          <w:p w14:paraId="3AD4A854">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考核项</w:t>
            </w:r>
          </w:p>
        </w:tc>
        <w:tc>
          <w:tcPr>
            <w:tcW w:w="1347" w:type="dxa"/>
            <w:tcBorders>
              <w:tl2br w:val="nil"/>
              <w:tr2bl w:val="nil"/>
            </w:tcBorders>
            <w:noWrap w:val="0"/>
            <w:vAlign w:val="center"/>
          </w:tcPr>
          <w:p w14:paraId="1173EAC4">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考核指标</w:t>
            </w:r>
          </w:p>
        </w:tc>
        <w:tc>
          <w:tcPr>
            <w:tcW w:w="2617" w:type="dxa"/>
            <w:tcBorders>
              <w:tl2br w:val="nil"/>
              <w:tr2bl w:val="nil"/>
            </w:tcBorders>
            <w:noWrap w:val="0"/>
            <w:vAlign w:val="center"/>
          </w:tcPr>
          <w:p w14:paraId="3A152F21">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指标定义</w:t>
            </w:r>
          </w:p>
        </w:tc>
        <w:tc>
          <w:tcPr>
            <w:tcW w:w="2508" w:type="dxa"/>
            <w:tcBorders>
              <w:tl2br w:val="nil"/>
              <w:tr2bl w:val="nil"/>
            </w:tcBorders>
            <w:noWrap w:val="0"/>
            <w:vAlign w:val="center"/>
          </w:tcPr>
          <w:p w14:paraId="6EDD189F">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赋分办法</w:t>
            </w:r>
          </w:p>
        </w:tc>
        <w:tc>
          <w:tcPr>
            <w:tcW w:w="860" w:type="dxa"/>
            <w:tcBorders>
              <w:tl2br w:val="nil"/>
              <w:tr2bl w:val="nil"/>
            </w:tcBorders>
            <w:noWrap w:val="0"/>
            <w:vAlign w:val="center"/>
          </w:tcPr>
          <w:p w14:paraId="6D56A0D3">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服务考核</w:t>
            </w:r>
          </w:p>
        </w:tc>
      </w:tr>
      <w:tr w14:paraId="7739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restart"/>
            <w:tcBorders>
              <w:tl2br w:val="nil"/>
              <w:tr2bl w:val="nil"/>
            </w:tcBorders>
            <w:noWrap w:val="0"/>
            <w:vAlign w:val="center"/>
          </w:tcPr>
          <w:p w14:paraId="430C485B">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w:t>
            </w:r>
          </w:p>
        </w:tc>
        <w:tc>
          <w:tcPr>
            <w:tcW w:w="1324" w:type="dxa"/>
            <w:vMerge w:val="restart"/>
            <w:tcBorders>
              <w:tl2br w:val="nil"/>
              <w:tr2bl w:val="nil"/>
            </w:tcBorders>
            <w:noWrap w:val="0"/>
            <w:vAlign w:val="center"/>
          </w:tcPr>
          <w:p w14:paraId="2334D66D">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日常工作（40分）</w:t>
            </w:r>
          </w:p>
        </w:tc>
        <w:tc>
          <w:tcPr>
            <w:tcW w:w="1347" w:type="dxa"/>
            <w:tcBorders>
              <w:tl2br w:val="nil"/>
              <w:tr2bl w:val="nil"/>
            </w:tcBorders>
            <w:noWrap w:val="0"/>
            <w:vAlign w:val="center"/>
          </w:tcPr>
          <w:p w14:paraId="7D1D2E41">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考勤管理（12分）</w:t>
            </w:r>
          </w:p>
        </w:tc>
        <w:tc>
          <w:tcPr>
            <w:tcW w:w="2617" w:type="dxa"/>
            <w:tcBorders>
              <w:tl2br w:val="nil"/>
              <w:tr2bl w:val="nil"/>
            </w:tcBorders>
            <w:noWrap w:val="0"/>
            <w:vAlign w:val="center"/>
          </w:tcPr>
          <w:p w14:paraId="23945AB5">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驻场人员日常考勤</w:t>
            </w:r>
          </w:p>
        </w:tc>
        <w:tc>
          <w:tcPr>
            <w:tcW w:w="2508" w:type="dxa"/>
            <w:tcBorders>
              <w:tl2br w:val="nil"/>
              <w:tr2bl w:val="nil"/>
            </w:tcBorders>
            <w:noWrap w:val="0"/>
            <w:vAlign w:val="center"/>
          </w:tcPr>
          <w:p w14:paraId="36D7B40F">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驻场人员无故缺勤，每人/次扣1分；</w:t>
            </w:r>
          </w:p>
        </w:tc>
        <w:tc>
          <w:tcPr>
            <w:tcW w:w="860" w:type="dxa"/>
            <w:tcBorders>
              <w:tl2br w:val="nil"/>
              <w:tr2bl w:val="nil"/>
            </w:tcBorders>
            <w:noWrap/>
            <w:vAlign w:val="center"/>
          </w:tcPr>
          <w:p w14:paraId="1719E0C6">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1C69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continue"/>
            <w:tcBorders>
              <w:tl2br w:val="nil"/>
              <w:tr2bl w:val="nil"/>
            </w:tcBorders>
            <w:noWrap w:val="0"/>
            <w:vAlign w:val="center"/>
          </w:tcPr>
          <w:p w14:paraId="053CDFD9">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24" w:type="dxa"/>
            <w:vMerge w:val="continue"/>
            <w:tcBorders>
              <w:tl2br w:val="nil"/>
              <w:tr2bl w:val="nil"/>
            </w:tcBorders>
            <w:noWrap w:val="0"/>
            <w:vAlign w:val="center"/>
          </w:tcPr>
          <w:p w14:paraId="4363F055">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47" w:type="dxa"/>
            <w:tcBorders>
              <w:tl2br w:val="nil"/>
              <w:tr2bl w:val="nil"/>
            </w:tcBorders>
            <w:noWrap w:val="0"/>
            <w:vAlign w:val="center"/>
          </w:tcPr>
          <w:p w14:paraId="69964E33">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满意度调查（12分）</w:t>
            </w:r>
          </w:p>
        </w:tc>
        <w:tc>
          <w:tcPr>
            <w:tcW w:w="2617" w:type="dxa"/>
            <w:tcBorders>
              <w:tl2br w:val="nil"/>
              <w:tr2bl w:val="nil"/>
            </w:tcBorders>
            <w:noWrap w:val="0"/>
            <w:vAlign w:val="center"/>
          </w:tcPr>
          <w:p w14:paraId="375CC38F">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业主单位对</w:t>
            </w:r>
            <w:r>
              <w:rPr>
                <w:rFonts w:hint="eastAsia" w:ascii="宋体" w:hAnsi="宋体" w:eastAsia="宋体" w:cs="宋体"/>
                <w:color w:val="000000"/>
                <w:sz w:val="24"/>
                <w:szCs w:val="24"/>
                <w:highlight w:val="none"/>
                <w:lang w:bidi="ar"/>
              </w:rPr>
              <w:t>驻场服务工程师</w:t>
            </w:r>
            <w:r>
              <w:rPr>
                <w:rFonts w:hint="eastAsia" w:ascii="宋体" w:hAnsi="宋体" w:eastAsia="宋体" w:cs="宋体"/>
                <w:color w:val="000000"/>
                <w:kern w:val="0"/>
                <w:sz w:val="24"/>
                <w:szCs w:val="24"/>
                <w:highlight w:val="none"/>
              </w:rPr>
              <w:t>工作满意度进行调查，根据</w:t>
            </w:r>
            <w:r>
              <w:rPr>
                <w:rFonts w:hint="eastAsia" w:ascii="宋体" w:hAnsi="宋体" w:eastAsia="宋体" w:cs="宋体"/>
                <w:color w:val="000000"/>
                <w:kern w:val="0"/>
                <w:sz w:val="24"/>
                <w:szCs w:val="24"/>
                <w:highlight w:val="none"/>
                <w:lang w:val="en-US" w:eastAsia="zh-CN"/>
              </w:rPr>
              <w:t>临海</w:t>
            </w:r>
            <w:r>
              <w:rPr>
                <w:rFonts w:hint="eastAsia" w:ascii="宋体" w:hAnsi="宋体" w:eastAsia="宋体" w:cs="宋体"/>
                <w:color w:val="000000"/>
                <w:kern w:val="0"/>
                <w:sz w:val="24"/>
                <w:szCs w:val="24"/>
                <w:highlight w:val="none"/>
              </w:rPr>
              <w:t>市医保局各处室(中心)出具的服务满意度调查报告进行考核，每季度1次</w:t>
            </w:r>
          </w:p>
        </w:tc>
        <w:tc>
          <w:tcPr>
            <w:tcW w:w="2508" w:type="dxa"/>
            <w:tcBorders>
              <w:tl2br w:val="nil"/>
              <w:tr2bl w:val="nil"/>
            </w:tcBorders>
            <w:noWrap w:val="0"/>
            <w:vAlign w:val="center"/>
          </w:tcPr>
          <w:p w14:paraId="7368546E">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满意度为不满意的，每次扣3分；</w:t>
            </w:r>
          </w:p>
        </w:tc>
        <w:tc>
          <w:tcPr>
            <w:tcW w:w="860" w:type="dxa"/>
            <w:tcBorders>
              <w:tl2br w:val="nil"/>
              <w:tr2bl w:val="nil"/>
            </w:tcBorders>
            <w:noWrap/>
            <w:vAlign w:val="center"/>
          </w:tcPr>
          <w:p w14:paraId="7A70662F">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4B92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continue"/>
            <w:tcBorders>
              <w:tl2br w:val="nil"/>
              <w:tr2bl w:val="nil"/>
            </w:tcBorders>
            <w:noWrap w:val="0"/>
            <w:vAlign w:val="center"/>
          </w:tcPr>
          <w:p w14:paraId="3B832E1C">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24" w:type="dxa"/>
            <w:vMerge w:val="continue"/>
            <w:tcBorders>
              <w:tl2br w:val="nil"/>
              <w:tr2bl w:val="nil"/>
            </w:tcBorders>
            <w:noWrap w:val="0"/>
            <w:vAlign w:val="center"/>
          </w:tcPr>
          <w:p w14:paraId="443FAEB7">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47" w:type="dxa"/>
            <w:tcBorders>
              <w:tl2br w:val="nil"/>
              <w:tr2bl w:val="nil"/>
            </w:tcBorders>
            <w:noWrap w:val="0"/>
            <w:vAlign w:val="center"/>
          </w:tcPr>
          <w:p w14:paraId="74FC2C83">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工作例会（6分）</w:t>
            </w:r>
          </w:p>
        </w:tc>
        <w:tc>
          <w:tcPr>
            <w:tcW w:w="2617" w:type="dxa"/>
            <w:tcBorders>
              <w:tl2br w:val="nil"/>
              <w:tr2bl w:val="nil"/>
            </w:tcBorders>
            <w:noWrap w:val="0"/>
            <w:vAlign w:val="center"/>
          </w:tcPr>
          <w:p w14:paraId="0A287C2F">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每月开展至少一次的工作例会，并提供会议纪要</w:t>
            </w:r>
          </w:p>
        </w:tc>
        <w:tc>
          <w:tcPr>
            <w:tcW w:w="2508" w:type="dxa"/>
            <w:tcBorders>
              <w:tl2br w:val="nil"/>
              <w:tr2bl w:val="nil"/>
            </w:tcBorders>
            <w:noWrap w:val="0"/>
            <w:vAlign w:val="center"/>
          </w:tcPr>
          <w:p w14:paraId="4586DECB">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未完成，每次扣0.5分</w:t>
            </w:r>
          </w:p>
        </w:tc>
        <w:tc>
          <w:tcPr>
            <w:tcW w:w="860" w:type="dxa"/>
            <w:tcBorders>
              <w:tl2br w:val="nil"/>
              <w:tr2bl w:val="nil"/>
            </w:tcBorders>
            <w:noWrap/>
            <w:vAlign w:val="center"/>
          </w:tcPr>
          <w:p w14:paraId="53B9A708">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6419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continue"/>
            <w:tcBorders>
              <w:tl2br w:val="nil"/>
              <w:tr2bl w:val="nil"/>
            </w:tcBorders>
            <w:noWrap w:val="0"/>
            <w:vAlign w:val="center"/>
          </w:tcPr>
          <w:p w14:paraId="4C4A3191">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24" w:type="dxa"/>
            <w:vMerge w:val="continue"/>
            <w:tcBorders>
              <w:tl2br w:val="nil"/>
              <w:tr2bl w:val="nil"/>
            </w:tcBorders>
            <w:noWrap w:val="0"/>
            <w:vAlign w:val="center"/>
          </w:tcPr>
          <w:p w14:paraId="1DA7725F">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47" w:type="dxa"/>
            <w:tcBorders>
              <w:tl2br w:val="nil"/>
              <w:tr2bl w:val="nil"/>
            </w:tcBorders>
            <w:noWrap w:val="0"/>
            <w:vAlign w:val="center"/>
          </w:tcPr>
          <w:p w14:paraId="0FAC48A8">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用户投诉（10分）</w:t>
            </w:r>
          </w:p>
        </w:tc>
        <w:tc>
          <w:tcPr>
            <w:tcW w:w="2617" w:type="dxa"/>
            <w:tcBorders>
              <w:tl2br w:val="nil"/>
              <w:tr2bl w:val="nil"/>
            </w:tcBorders>
            <w:noWrap w:val="0"/>
            <w:vAlign w:val="center"/>
          </w:tcPr>
          <w:p w14:paraId="7BEF47D2">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用户对数据质量、服务不满意</w:t>
            </w:r>
          </w:p>
        </w:tc>
        <w:tc>
          <w:tcPr>
            <w:tcW w:w="2508" w:type="dxa"/>
            <w:tcBorders>
              <w:tl2br w:val="nil"/>
              <w:tr2bl w:val="nil"/>
            </w:tcBorders>
            <w:noWrap w:val="0"/>
            <w:vAlign w:val="center"/>
          </w:tcPr>
          <w:p w14:paraId="18B3AA5E">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收到投诉件，每次扣1分</w:t>
            </w:r>
          </w:p>
        </w:tc>
        <w:tc>
          <w:tcPr>
            <w:tcW w:w="860" w:type="dxa"/>
            <w:tcBorders>
              <w:tl2br w:val="nil"/>
              <w:tr2bl w:val="nil"/>
            </w:tcBorders>
            <w:noWrap/>
            <w:vAlign w:val="center"/>
          </w:tcPr>
          <w:p w14:paraId="5B8F498B">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1666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restart"/>
            <w:tcBorders>
              <w:tl2br w:val="nil"/>
              <w:tr2bl w:val="nil"/>
            </w:tcBorders>
            <w:shd w:val="clear" w:color="auto" w:fill="auto"/>
            <w:noWrap w:val="0"/>
            <w:vAlign w:val="center"/>
          </w:tcPr>
          <w:p w14:paraId="02C12230">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w:t>
            </w:r>
          </w:p>
        </w:tc>
        <w:tc>
          <w:tcPr>
            <w:tcW w:w="1324" w:type="dxa"/>
            <w:vMerge w:val="restart"/>
            <w:tcBorders>
              <w:tl2br w:val="nil"/>
              <w:tr2bl w:val="nil"/>
            </w:tcBorders>
            <w:shd w:val="clear" w:color="auto" w:fill="auto"/>
            <w:noWrap w:val="0"/>
            <w:vAlign w:val="center"/>
          </w:tcPr>
          <w:p w14:paraId="7E98F412">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服务内容（60分）</w:t>
            </w:r>
          </w:p>
        </w:tc>
        <w:tc>
          <w:tcPr>
            <w:tcW w:w="1347" w:type="dxa"/>
            <w:tcBorders>
              <w:tl2br w:val="nil"/>
              <w:tr2bl w:val="nil"/>
            </w:tcBorders>
            <w:shd w:val="clear" w:color="auto" w:fill="auto"/>
            <w:noWrap w:val="0"/>
            <w:vAlign w:val="center"/>
          </w:tcPr>
          <w:p w14:paraId="198BBB82">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报表配置与呈现服务（5分）</w:t>
            </w:r>
          </w:p>
        </w:tc>
        <w:tc>
          <w:tcPr>
            <w:tcW w:w="2617" w:type="dxa"/>
            <w:tcBorders>
              <w:tl2br w:val="nil"/>
              <w:tr2bl w:val="nil"/>
            </w:tcBorders>
            <w:shd w:val="clear" w:color="auto" w:fill="auto"/>
            <w:noWrap w:val="0"/>
            <w:vAlign w:val="center"/>
          </w:tcPr>
          <w:p w14:paraId="784FA84B">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为</w:t>
            </w:r>
            <w:r>
              <w:rPr>
                <w:rFonts w:hint="eastAsia" w:ascii="宋体" w:hAnsi="宋体" w:eastAsia="宋体" w:cs="宋体"/>
                <w:color w:val="000000"/>
                <w:kern w:val="0"/>
                <w:sz w:val="24"/>
                <w:szCs w:val="24"/>
                <w:highlight w:val="none"/>
                <w:lang w:val="en-US" w:eastAsia="zh-CN"/>
              </w:rPr>
              <w:t>临海</w:t>
            </w:r>
            <w:r>
              <w:rPr>
                <w:rFonts w:hint="eastAsia" w:ascii="宋体" w:hAnsi="宋体" w:eastAsia="宋体" w:cs="宋体"/>
                <w:color w:val="000000"/>
                <w:kern w:val="0"/>
                <w:sz w:val="24"/>
                <w:szCs w:val="24"/>
                <w:highlight w:val="none"/>
              </w:rPr>
              <w:t>市医保局建设本地化报表配置，以及相关数据呈现和固化。</w:t>
            </w:r>
          </w:p>
        </w:tc>
        <w:tc>
          <w:tcPr>
            <w:tcW w:w="2508" w:type="dxa"/>
            <w:tcBorders>
              <w:tl2br w:val="nil"/>
              <w:tr2bl w:val="nil"/>
            </w:tcBorders>
            <w:shd w:val="clear" w:color="000000" w:fill="FFFFFF"/>
            <w:noWrap w:val="0"/>
            <w:vAlign w:val="center"/>
          </w:tcPr>
          <w:p w14:paraId="6EAAC3BA">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年度服务报告：未完成报表确认，每张扣除1分</w:t>
            </w:r>
          </w:p>
        </w:tc>
        <w:tc>
          <w:tcPr>
            <w:tcW w:w="860" w:type="dxa"/>
            <w:tcBorders>
              <w:tl2br w:val="nil"/>
              <w:tr2bl w:val="nil"/>
            </w:tcBorders>
            <w:noWrap/>
            <w:vAlign w:val="center"/>
          </w:tcPr>
          <w:p w14:paraId="55EEFF69">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0E71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72" w:type="dxa"/>
            <w:vMerge w:val="continue"/>
            <w:tcBorders>
              <w:tl2br w:val="nil"/>
              <w:tr2bl w:val="nil"/>
            </w:tcBorders>
            <w:noWrap w:val="0"/>
            <w:vAlign w:val="center"/>
          </w:tcPr>
          <w:p w14:paraId="0BCD5272">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24" w:type="dxa"/>
            <w:vMerge w:val="continue"/>
            <w:tcBorders>
              <w:tl2br w:val="nil"/>
              <w:tr2bl w:val="nil"/>
            </w:tcBorders>
            <w:noWrap w:val="0"/>
            <w:vAlign w:val="center"/>
          </w:tcPr>
          <w:p w14:paraId="7B236FD5">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47" w:type="dxa"/>
            <w:tcBorders>
              <w:tl2br w:val="nil"/>
              <w:tr2bl w:val="nil"/>
            </w:tcBorders>
            <w:noWrap w:val="0"/>
            <w:vAlign w:val="center"/>
          </w:tcPr>
          <w:p w14:paraId="7C2AE9D8">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数据查询与分析服务（22分）</w:t>
            </w:r>
          </w:p>
        </w:tc>
        <w:tc>
          <w:tcPr>
            <w:tcW w:w="2617" w:type="dxa"/>
            <w:tcBorders>
              <w:tl2br w:val="nil"/>
              <w:tr2bl w:val="nil"/>
            </w:tcBorders>
            <w:noWrap w:val="0"/>
            <w:vAlign w:val="center"/>
          </w:tcPr>
          <w:p w14:paraId="63769E48">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需按照医保局业务需求，通过</w:t>
            </w:r>
            <w:r>
              <w:rPr>
                <w:rFonts w:hint="eastAsia" w:ascii="宋体" w:hAnsi="宋体" w:eastAsia="宋体" w:cs="宋体"/>
                <w:color w:val="000000"/>
                <w:sz w:val="24"/>
                <w:szCs w:val="24"/>
                <w:highlight w:val="none"/>
                <w:lang w:bidi="ar"/>
              </w:rPr>
              <w:t>驻场服务工程师</w:t>
            </w:r>
            <w:r>
              <w:rPr>
                <w:rFonts w:hint="eastAsia" w:ascii="宋体" w:hAnsi="宋体" w:eastAsia="宋体" w:cs="宋体"/>
                <w:color w:val="000000"/>
                <w:kern w:val="0"/>
                <w:sz w:val="24"/>
                <w:szCs w:val="24"/>
                <w:highlight w:val="none"/>
              </w:rPr>
              <w:t>在医保局进行服务，为</w:t>
            </w:r>
            <w:r>
              <w:rPr>
                <w:rFonts w:hint="eastAsia" w:ascii="宋体" w:hAnsi="宋体" w:eastAsia="宋体" w:cs="宋体"/>
                <w:color w:val="000000"/>
                <w:kern w:val="0"/>
                <w:sz w:val="24"/>
                <w:szCs w:val="24"/>
                <w:highlight w:val="none"/>
                <w:lang w:val="en-US" w:eastAsia="zh-CN"/>
              </w:rPr>
              <w:t>临海</w:t>
            </w:r>
            <w:r>
              <w:rPr>
                <w:rFonts w:hint="eastAsia" w:ascii="宋体" w:hAnsi="宋体" w:eastAsia="宋体" w:cs="宋体"/>
                <w:color w:val="000000"/>
                <w:kern w:val="0"/>
                <w:sz w:val="24"/>
                <w:szCs w:val="24"/>
                <w:highlight w:val="none"/>
              </w:rPr>
              <w:t>市医保局提供对全业务全口径数据查询、统计分析服务，实现跨子系统的全业务统计</w:t>
            </w:r>
          </w:p>
        </w:tc>
        <w:tc>
          <w:tcPr>
            <w:tcW w:w="2508" w:type="dxa"/>
            <w:tcBorders>
              <w:tl2br w:val="nil"/>
              <w:tr2bl w:val="nil"/>
            </w:tcBorders>
            <w:noWrap w:val="0"/>
            <w:vAlign w:val="center"/>
          </w:tcPr>
          <w:p w14:paraId="2DB0EF50">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1）参保数据分析服务。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2）异地备案数据分析服务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3）慢特病数据分析服务。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4）家庭签约数据分析服务。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5）家庭共济数据分析服务。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6）结算数据分析服务。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7）业务量统计服务。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8）人头基金因素法支付服务。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9）配合住院DRG数据分析服务。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10）专项数据分析服务。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11）两定机构实时结算服务。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12）工作绩效考核数据分析服务。</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季度服务报告：未提交，每次扣1分；</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年度服务报告：以上服务内容，每缺少1项扣1.5分。</w:t>
            </w:r>
          </w:p>
        </w:tc>
        <w:tc>
          <w:tcPr>
            <w:tcW w:w="860" w:type="dxa"/>
            <w:tcBorders>
              <w:tl2br w:val="nil"/>
              <w:tr2bl w:val="nil"/>
            </w:tcBorders>
            <w:noWrap w:val="0"/>
            <w:vAlign w:val="center"/>
          </w:tcPr>
          <w:p w14:paraId="4C6BBCE0">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1D6B4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continue"/>
            <w:tcBorders>
              <w:tl2br w:val="nil"/>
              <w:tr2bl w:val="nil"/>
            </w:tcBorders>
            <w:noWrap w:val="0"/>
            <w:vAlign w:val="center"/>
          </w:tcPr>
          <w:p w14:paraId="1940D33C">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24" w:type="dxa"/>
            <w:vMerge w:val="continue"/>
            <w:tcBorders>
              <w:tl2br w:val="nil"/>
              <w:tr2bl w:val="nil"/>
            </w:tcBorders>
            <w:noWrap w:val="0"/>
            <w:vAlign w:val="center"/>
          </w:tcPr>
          <w:p w14:paraId="72EAEE34">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47" w:type="dxa"/>
            <w:tcBorders>
              <w:tl2br w:val="nil"/>
              <w:tr2bl w:val="nil"/>
            </w:tcBorders>
            <w:noWrap w:val="0"/>
            <w:vAlign w:val="center"/>
          </w:tcPr>
          <w:p w14:paraId="1E99EB61">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系统历史迁移数据问题处理技术支持（5分）</w:t>
            </w:r>
          </w:p>
        </w:tc>
        <w:tc>
          <w:tcPr>
            <w:tcW w:w="2617" w:type="dxa"/>
            <w:tcBorders>
              <w:tl2br w:val="nil"/>
              <w:tr2bl w:val="nil"/>
            </w:tcBorders>
            <w:noWrap w:val="0"/>
            <w:vAlign w:val="center"/>
          </w:tcPr>
          <w:p w14:paraId="06EC91CF">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对业务开展过程中发现的历史数据问题，针对问题数据，对原数据同步、转换代码进行检查分析，确认数据问题原因，并针对问题提供相应数据修改语句。同时需在数据问题处理后协助业务进行结果校验。</w:t>
            </w:r>
          </w:p>
        </w:tc>
        <w:tc>
          <w:tcPr>
            <w:tcW w:w="2508" w:type="dxa"/>
            <w:tcBorders>
              <w:tl2br w:val="nil"/>
              <w:tr2bl w:val="nil"/>
            </w:tcBorders>
            <w:noWrap w:val="0"/>
            <w:vAlign w:val="center"/>
          </w:tcPr>
          <w:p w14:paraId="65FE3B50">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年度服务报告：未提交扣1分；未完成服务内容扣4分。</w:t>
            </w:r>
          </w:p>
        </w:tc>
        <w:tc>
          <w:tcPr>
            <w:tcW w:w="860" w:type="dxa"/>
            <w:tcBorders>
              <w:tl2br w:val="nil"/>
              <w:tr2bl w:val="nil"/>
            </w:tcBorders>
            <w:noWrap/>
            <w:vAlign w:val="center"/>
          </w:tcPr>
          <w:p w14:paraId="554EF030">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7443A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continue"/>
            <w:tcBorders>
              <w:tl2br w:val="nil"/>
              <w:tr2bl w:val="nil"/>
            </w:tcBorders>
            <w:noWrap w:val="0"/>
            <w:vAlign w:val="center"/>
          </w:tcPr>
          <w:p w14:paraId="0ED3F650">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24" w:type="dxa"/>
            <w:vMerge w:val="continue"/>
            <w:tcBorders>
              <w:tl2br w:val="nil"/>
              <w:tr2bl w:val="nil"/>
            </w:tcBorders>
            <w:noWrap w:val="0"/>
            <w:vAlign w:val="center"/>
          </w:tcPr>
          <w:p w14:paraId="72E0849B">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47" w:type="dxa"/>
            <w:tcBorders>
              <w:tl2br w:val="nil"/>
              <w:tr2bl w:val="nil"/>
            </w:tcBorders>
            <w:noWrap w:val="0"/>
            <w:vAlign w:val="center"/>
          </w:tcPr>
          <w:p w14:paraId="514E9A5D">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系统培训及咨询服务（8分）</w:t>
            </w:r>
          </w:p>
        </w:tc>
        <w:tc>
          <w:tcPr>
            <w:tcW w:w="2617" w:type="dxa"/>
            <w:tcBorders>
              <w:tl2br w:val="nil"/>
              <w:tr2bl w:val="nil"/>
            </w:tcBorders>
            <w:noWrap w:val="0"/>
            <w:vAlign w:val="center"/>
          </w:tcPr>
          <w:p w14:paraId="53075663">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为解决</w:t>
            </w:r>
            <w:r>
              <w:rPr>
                <w:rFonts w:hint="eastAsia" w:ascii="宋体" w:hAnsi="宋体" w:eastAsia="宋体" w:cs="宋体"/>
                <w:color w:val="000000"/>
                <w:kern w:val="0"/>
                <w:sz w:val="24"/>
                <w:szCs w:val="24"/>
                <w:highlight w:val="none"/>
                <w:lang w:val="en-US" w:eastAsia="zh-CN"/>
              </w:rPr>
              <w:t>临海</w:t>
            </w:r>
            <w:r>
              <w:rPr>
                <w:rFonts w:hint="eastAsia" w:ascii="宋体" w:hAnsi="宋体" w:eastAsia="宋体" w:cs="宋体"/>
                <w:color w:val="000000"/>
                <w:kern w:val="0"/>
                <w:sz w:val="24"/>
                <w:szCs w:val="24"/>
                <w:highlight w:val="none"/>
              </w:rPr>
              <w:t>市各地医保局工作人员使用全省“智慧医保”系统的过程中碰到操作不熟练问题，由驻场服务工程师负责提供培训服务和咨询服务，提升工作人员业务操作能力。</w:t>
            </w:r>
          </w:p>
        </w:tc>
        <w:tc>
          <w:tcPr>
            <w:tcW w:w="2508" w:type="dxa"/>
            <w:tcBorders>
              <w:tl2br w:val="nil"/>
              <w:tr2bl w:val="nil"/>
            </w:tcBorders>
            <w:noWrap w:val="0"/>
            <w:vAlign w:val="center"/>
          </w:tcPr>
          <w:p w14:paraId="42F223B2">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每季度完成1次培训，并于7个工作日内提交培训材料（包括培训签到表、记录表、现场照片）。当期未组织培训扣2分，已培训未按时提交培训材料每次扣1分。</w:t>
            </w:r>
          </w:p>
        </w:tc>
        <w:tc>
          <w:tcPr>
            <w:tcW w:w="860" w:type="dxa"/>
            <w:tcBorders>
              <w:tl2br w:val="nil"/>
              <w:tr2bl w:val="nil"/>
            </w:tcBorders>
            <w:noWrap/>
            <w:vAlign w:val="center"/>
          </w:tcPr>
          <w:p w14:paraId="3DD49181">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1D9A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continue"/>
            <w:tcBorders>
              <w:tl2br w:val="nil"/>
              <w:tr2bl w:val="nil"/>
            </w:tcBorders>
            <w:noWrap w:val="0"/>
            <w:vAlign w:val="center"/>
          </w:tcPr>
          <w:p w14:paraId="2D438DF9">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24" w:type="dxa"/>
            <w:vMerge w:val="continue"/>
            <w:tcBorders>
              <w:tl2br w:val="nil"/>
              <w:tr2bl w:val="nil"/>
            </w:tcBorders>
            <w:noWrap w:val="0"/>
            <w:vAlign w:val="center"/>
          </w:tcPr>
          <w:p w14:paraId="5AEBAB89">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47" w:type="dxa"/>
            <w:tcBorders>
              <w:tl2br w:val="nil"/>
              <w:tr2bl w:val="nil"/>
            </w:tcBorders>
            <w:noWrap w:val="0"/>
            <w:vAlign w:val="center"/>
          </w:tcPr>
          <w:p w14:paraId="156F03E9">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需求问题协调服务（10分）</w:t>
            </w:r>
          </w:p>
        </w:tc>
        <w:tc>
          <w:tcPr>
            <w:tcW w:w="2617" w:type="dxa"/>
            <w:tcBorders>
              <w:tl2br w:val="nil"/>
              <w:tr2bl w:val="nil"/>
            </w:tcBorders>
            <w:noWrap w:val="0"/>
            <w:vAlign w:val="center"/>
          </w:tcPr>
          <w:p w14:paraId="1935AA51">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eastAsia="zh-CN"/>
              </w:rPr>
              <w:t>通过</w:t>
            </w:r>
            <w:r>
              <w:rPr>
                <w:rFonts w:hint="eastAsia" w:ascii="宋体" w:hAnsi="宋体" w:eastAsia="宋体" w:cs="宋体"/>
                <w:color w:val="000000"/>
                <w:kern w:val="0"/>
                <w:sz w:val="24"/>
                <w:szCs w:val="24"/>
                <w:highlight w:val="none"/>
              </w:rPr>
              <w:t>智慧医保业务系统培训，解答应用系统遇到的各类常规问题，协助沟通省系统开发商，保障问题及时得到处理，协助开展需求合理性分析。</w:t>
            </w:r>
            <w:r>
              <w:rPr>
                <w:rFonts w:hint="eastAsia" w:ascii="宋体" w:hAnsi="宋体" w:eastAsia="宋体" w:cs="宋体"/>
                <w:color w:val="000000"/>
                <w:kern w:val="0"/>
                <w:sz w:val="24"/>
                <w:szCs w:val="24"/>
                <w:highlight w:val="none"/>
                <w:lang w:val="en-US" w:eastAsia="zh-CN"/>
              </w:rPr>
              <w:t>临海市</w:t>
            </w:r>
            <w:r>
              <w:rPr>
                <w:rFonts w:hint="eastAsia" w:ascii="宋体" w:hAnsi="宋体" w:eastAsia="宋体" w:cs="宋体"/>
                <w:color w:val="000000"/>
                <w:kern w:val="0"/>
                <w:sz w:val="24"/>
                <w:szCs w:val="24"/>
                <w:highlight w:val="none"/>
              </w:rPr>
              <w:t>医保局对浙江省“智慧医保”系统存在新增功能需求时，中标人</w:t>
            </w:r>
            <w:r>
              <w:rPr>
                <w:rFonts w:hint="eastAsia" w:ascii="宋体" w:hAnsi="宋体" w:eastAsia="宋体" w:cs="宋体"/>
                <w:color w:val="000000"/>
                <w:kern w:val="0"/>
                <w:sz w:val="24"/>
                <w:szCs w:val="24"/>
                <w:highlight w:val="none"/>
                <w:lang w:eastAsia="zh-CN"/>
              </w:rPr>
              <w:t>须</w:t>
            </w:r>
            <w:r>
              <w:rPr>
                <w:rFonts w:hint="eastAsia" w:ascii="宋体" w:hAnsi="宋体" w:eastAsia="宋体" w:cs="宋体"/>
                <w:color w:val="000000"/>
                <w:kern w:val="0"/>
                <w:sz w:val="24"/>
                <w:szCs w:val="24"/>
                <w:highlight w:val="none"/>
              </w:rPr>
              <w:t>对需求内容进行整理、归纳和总结，对需求合理性进行分析，对需求修改结果进行验证。</w:t>
            </w:r>
          </w:p>
        </w:tc>
        <w:tc>
          <w:tcPr>
            <w:tcW w:w="2508" w:type="dxa"/>
            <w:tcBorders>
              <w:tl2br w:val="nil"/>
              <w:tr2bl w:val="nil"/>
            </w:tcBorders>
            <w:noWrap w:val="0"/>
            <w:vAlign w:val="center"/>
          </w:tcPr>
          <w:p w14:paraId="52ABD2B8">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季度服务报告：未提交，每次扣1分；未完成服务内容扣1.5分。</w:t>
            </w:r>
          </w:p>
        </w:tc>
        <w:tc>
          <w:tcPr>
            <w:tcW w:w="860" w:type="dxa"/>
            <w:tcBorders>
              <w:tl2br w:val="nil"/>
              <w:tr2bl w:val="nil"/>
            </w:tcBorders>
            <w:noWrap/>
            <w:vAlign w:val="center"/>
          </w:tcPr>
          <w:p w14:paraId="008E476C">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4A1D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72" w:type="dxa"/>
            <w:vMerge w:val="continue"/>
            <w:tcBorders>
              <w:tl2br w:val="nil"/>
              <w:tr2bl w:val="nil"/>
            </w:tcBorders>
            <w:noWrap w:val="0"/>
            <w:vAlign w:val="center"/>
          </w:tcPr>
          <w:p w14:paraId="7065EF7A">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24" w:type="dxa"/>
            <w:vMerge w:val="continue"/>
            <w:tcBorders>
              <w:tl2br w:val="nil"/>
              <w:tr2bl w:val="nil"/>
            </w:tcBorders>
            <w:noWrap w:val="0"/>
            <w:vAlign w:val="center"/>
          </w:tcPr>
          <w:p w14:paraId="45DDC04F">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p>
        </w:tc>
        <w:tc>
          <w:tcPr>
            <w:tcW w:w="1347" w:type="dxa"/>
            <w:tcBorders>
              <w:tl2br w:val="nil"/>
              <w:tr2bl w:val="nil"/>
            </w:tcBorders>
            <w:noWrap w:val="0"/>
            <w:vAlign w:val="center"/>
          </w:tcPr>
          <w:p w14:paraId="1133E244">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故障问题汇总提交及跟踪处理（10分）</w:t>
            </w:r>
          </w:p>
        </w:tc>
        <w:tc>
          <w:tcPr>
            <w:tcW w:w="2617" w:type="dxa"/>
            <w:tcBorders>
              <w:tl2br w:val="nil"/>
              <w:tr2bl w:val="nil"/>
            </w:tcBorders>
            <w:noWrap w:val="0"/>
            <w:vAlign w:val="center"/>
          </w:tcPr>
          <w:p w14:paraId="0384D153">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在使用全省“智慧医保”系统的过程中或是业务办理过程出现了难以解决的问题，中标人</w:t>
            </w:r>
            <w:r>
              <w:rPr>
                <w:rFonts w:hint="eastAsia" w:ascii="宋体" w:hAnsi="宋体" w:eastAsia="宋体" w:cs="宋体"/>
                <w:color w:val="000000"/>
                <w:kern w:val="0"/>
                <w:sz w:val="24"/>
                <w:szCs w:val="24"/>
                <w:highlight w:val="none"/>
                <w:lang w:eastAsia="zh-CN"/>
              </w:rPr>
              <w:t>须</w:t>
            </w:r>
            <w:r>
              <w:rPr>
                <w:rFonts w:hint="eastAsia" w:ascii="宋体" w:hAnsi="宋体" w:eastAsia="宋体" w:cs="宋体"/>
                <w:color w:val="000000"/>
                <w:kern w:val="0"/>
                <w:sz w:val="24"/>
                <w:szCs w:val="24"/>
                <w:highlight w:val="none"/>
              </w:rPr>
              <w:t>将在第一时间对遇到的问题进行分析，提供解决办法，如果在问题解决、处理过程中涉及到省</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市</w:t>
            </w:r>
            <w:r>
              <w:rPr>
                <w:rFonts w:hint="eastAsia" w:ascii="宋体" w:hAnsi="宋体" w:eastAsia="宋体" w:cs="宋体"/>
                <w:color w:val="000000"/>
                <w:kern w:val="0"/>
                <w:sz w:val="24"/>
                <w:szCs w:val="24"/>
                <w:highlight w:val="none"/>
              </w:rPr>
              <w:t>局或其他第三方系统开发商，需承担统筹协调省</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lang w:val="en-US" w:eastAsia="zh-CN"/>
              </w:rPr>
              <w:t>市</w:t>
            </w:r>
            <w:r>
              <w:rPr>
                <w:rFonts w:hint="eastAsia" w:ascii="宋体" w:hAnsi="宋体" w:eastAsia="宋体" w:cs="宋体"/>
                <w:color w:val="000000"/>
                <w:kern w:val="0"/>
                <w:sz w:val="24"/>
                <w:szCs w:val="24"/>
                <w:highlight w:val="none"/>
              </w:rPr>
              <w:t>局或其他第三方系统开发商，推进问题在第一时间得到解决。</w:t>
            </w:r>
          </w:p>
        </w:tc>
        <w:tc>
          <w:tcPr>
            <w:tcW w:w="2508" w:type="dxa"/>
            <w:tcBorders>
              <w:tl2br w:val="nil"/>
              <w:tr2bl w:val="nil"/>
            </w:tcBorders>
            <w:noWrap w:val="0"/>
            <w:vAlign w:val="center"/>
          </w:tcPr>
          <w:p w14:paraId="09594D5E">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季度服务报告：未提交，每次扣1分；未完成服务内容扣1.5分。</w:t>
            </w:r>
          </w:p>
        </w:tc>
        <w:tc>
          <w:tcPr>
            <w:tcW w:w="860" w:type="dxa"/>
            <w:tcBorders>
              <w:tl2br w:val="nil"/>
              <w:tr2bl w:val="nil"/>
            </w:tcBorders>
            <w:noWrap/>
            <w:vAlign w:val="center"/>
          </w:tcPr>
          <w:p w14:paraId="2DCA9398">
            <w:pPr>
              <w:pageBreakBefore w:val="0"/>
              <w:widowControl/>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w:t>
            </w:r>
          </w:p>
        </w:tc>
      </w:tr>
      <w:tr w14:paraId="7D3F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628" w:type="dxa"/>
            <w:gridSpan w:val="6"/>
            <w:tcBorders>
              <w:tl2br w:val="nil"/>
              <w:tr2bl w:val="nil"/>
            </w:tcBorders>
            <w:noWrap w:val="0"/>
            <w:vAlign w:val="bottom"/>
          </w:tcPr>
          <w:p w14:paraId="0E29181D">
            <w:pPr>
              <w:pageBreakBefore w:val="0"/>
              <w:widowControl/>
              <w:shd w:val="clear" w:color="auto" w:fill="auto"/>
              <w:kinsoku/>
              <w:wordWrap/>
              <w:overflowPunct/>
              <w:topLinePunct w:val="0"/>
              <w:autoSpaceDN/>
              <w:bidi w:val="0"/>
              <w:spacing w:line="400" w:lineRule="exact"/>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*注：1、出现数据外泄等安全事故，本年度考核为0，并追究个人及公司的法律责任；</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2、全年考核平均分在90(含)分以上为优秀；全年考核表平均分在80(含)分至89分为良好，扣除当期金额的5%；全年考核平均分在70(含)分至79分为一般，扣除当期金额的10%；全年考核平均分在70分以下的，扣除当期金额的 20%；全年考核平均分在60分以下的，扣除当期金额的50%。</w:t>
            </w:r>
          </w:p>
        </w:tc>
      </w:tr>
    </w:tbl>
    <w:p w14:paraId="1E0B5652">
      <w:pPr>
        <w:pageBreakBefore w:val="0"/>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市医保数据分析项目</w:t>
      </w:r>
    </w:p>
    <w:p w14:paraId="02D499EB">
      <w:pPr>
        <w:pageBreakBefore w:val="0"/>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季度满意度调查报告</w:t>
      </w:r>
    </w:p>
    <w:p w14:paraId="7E4EF70D">
      <w:pPr>
        <w:pageBreakBefore w:val="0"/>
        <w:shd w:val="clear" w:color="auto" w:fill="auto"/>
        <w:kinsoku/>
        <w:wordWrap/>
        <w:overflowPunct/>
        <w:topLinePunct w:val="0"/>
        <w:autoSpaceDN/>
        <w:bidi w:val="0"/>
        <w:spacing w:line="400" w:lineRule="exact"/>
        <w:jc w:val="center"/>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（****年**月-****年**月）</w:t>
      </w:r>
    </w:p>
    <w:p w14:paraId="43671A79">
      <w:pPr>
        <w:pStyle w:val="21"/>
        <w:pageBreakBefore w:val="0"/>
        <w:shd w:val="clear" w:color="auto" w:fill="auto"/>
        <w:kinsoku/>
        <w:wordWrap/>
        <w:overflowPunct/>
        <w:topLinePunct w:val="0"/>
        <w:autoSpaceDN/>
        <w:bidi w:val="0"/>
        <w:spacing w:after="0" w:line="400" w:lineRule="exact"/>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1、工单系统月需求解决率：</w:t>
      </w:r>
    </w:p>
    <w:p w14:paraId="7CF6E925">
      <w:pPr>
        <w:pStyle w:val="21"/>
        <w:pageBreakBefore w:val="0"/>
        <w:shd w:val="clear" w:color="auto" w:fill="auto"/>
        <w:kinsoku/>
        <w:wordWrap/>
        <w:overflowPunct/>
        <w:topLinePunct w:val="0"/>
        <w:autoSpaceDN/>
        <w:bidi w:val="0"/>
        <w:spacing w:after="0" w:line="400" w:lineRule="exact"/>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（1）****年**月系统新增需要处理的需求工单**条，已解决处理**条，解决率**%;</w:t>
      </w:r>
    </w:p>
    <w:p w14:paraId="0DD11AE8">
      <w:pPr>
        <w:pStyle w:val="21"/>
        <w:pageBreakBefore w:val="0"/>
        <w:shd w:val="clear" w:color="auto" w:fill="auto"/>
        <w:kinsoku/>
        <w:wordWrap/>
        <w:overflowPunct/>
        <w:topLinePunct w:val="0"/>
        <w:autoSpaceDN/>
        <w:bidi w:val="0"/>
        <w:spacing w:after="0" w:line="400" w:lineRule="exact"/>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（2）****年**月系统新增需要处理的需求工单**条，已解决处理**条，解决率**%;</w:t>
      </w:r>
    </w:p>
    <w:p w14:paraId="2AD2D73C">
      <w:pPr>
        <w:pStyle w:val="21"/>
        <w:pageBreakBefore w:val="0"/>
        <w:shd w:val="clear" w:color="auto" w:fill="auto"/>
        <w:kinsoku/>
        <w:wordWrap/>
        <w:overflowPunct/>
        <w:topLinePunct w:val="0"/>
        <w:autoSpaceDN/>
        <w:bidi w:val="0"/>
        <w:spacing w:after="0" w:line="400" w:lineRule="exact"/>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（3）****年**月系统新增需要处理的需求工单**条，已解决处理**条，解决率**%;</w:t>
      </w:r>
    </w:p>
    <w:p w14:paraId="49D28581">
      <w:pPr>
        <w:pageBreakBefore w:val="0"/>
        <w:shd w:val="clear" w:color="auto" w:fill="auto"/>
        <w:kinsoku/>
        <w:wordWrap/>
        <w:overflowPunct/>
        <w:topLinePunct w:val="0"/>
        <w:autoSpaceDN/>
        <w:bidi w:val="0"/>
        <w:spacing w:line="400" w:lineRule="exact"/>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2、</w:t>
      </w:r>
      <w:r>
        <w:rPr>
          <w:rFonts w:hint="eastAsia" w:ascii="宋体" w:hAnsi="宋体" w:eastAsia="宋体" w:cs="宋体"/>
          <w:color w:val="000000"/>
          <w:sz w:val="24"/>
          <w:szCs w:val="24"/>
          <w:highlight w:val="none"/>
          <w:lang w:val="en-US" w:eastAsia="zh-CN" w:bidi="ar"/>
        </w:rPr>
        <w:t>临海</w:t>
      </w:r>
      <w:r>
        <w:rPr>
          <w:rFonts w:hint="eastAsia" w:ascii="宋体" w:hAnsi="宋体" w:eastAsia="宋体" w:cs="宋体"/>
          <w:color w:val="000000"/>
          <w:sz w:val="24"/>
          <w:szCs w:val="24"/>
          <w:highlight w:val="none"/>
          <w:lang w:bidi="ar"/>
        </w:rPr>
        <w:t>市医保局季度满意度调查：</w:t>
      </w:r>
    </w:p>
    <w:p w14:paraId="60CAA948">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调查周期：****年**月**日---****年**月**日</w:t>
      </w:r>
    </w:p>
    <w:p w14:paraId="33D0EBF8">
      <w:pPr>
        <w:pageBreakBefore w:val="0"/>
        <w:shd w:val="clear" w:color="auto" w:fill="auto"/>
        <w:kinsoku/>
        <w:wordWrap/>
        <w:overflowPunct/>
        <w:topLinePunct w:val="0"/>
        <w:autoSpaceDN/>
        <w:bidi w:val="0"/>
        <w:spacing w:line="400" w:lineRule="exact"/>
        <w:ind w:firstLine="480" w:firstLineChars="200"/>
        <w:textAlignment w:val="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参与</w:t>
      </w:r>
      <w:r>
        <w:rPr>
          <w:rFonts w:hint="eastAsia" w:ascii="宋体" w:hAnsi="宋体" w:eastAsia="宋体" w:cs="宋体"/>
          <w:color w:val="000000"/>
          <w:sz w:val="24"/>
          <w:szCs w:val="24"/>
          <w:highlight w:val="none"/>
          <w:lang w:eastAsia="zh-CN" w:bidi="ar"/>
        </w:rPr>
        <w:t>科</w:t>
      </w:r>
      <w:r>
        <w:rPr>
          <w:rFonts w:hint="eastAsia" w:ascii="宋体" w:hAnsi="宋体" w:eastAsia="宋体" w:cs="宋体"/>
          <w:color w:val="000000"/>
          <w:sz w:val="24"/>
          <w:szCs w:val="24"/>
          <w:highlight w:val="none"/>
          <w:lang w:bidi="ar"/>
        </w:rPr>
        <w:t>室（医疗保险服务中心/基金监管/</w:t>
      </w:r>
      <w:r>
        <w:rPr>
          <w:rFonts w:hint="eastAsia" w:ascii="宋体" w:hAnsi="宋体" w:eastAsia="宋体" w:cs="宋体"/>
          <w:color w:val="000000"/>
          <w:sz w:val="24"/>
          <w:szCs w:val="24"/>
          <w:highlight w:val="none"/>
          <w:lang w:eastAsia="zh-CN" w:bidi="ar"/>
        </w:rPr>
        <w:t>综合科</w:t>
      </w:r>
      <w:r>
        <w:rPr>
          <w:rFonts w:hint="eastAsia" w:ascii="宋体" w:hAnsi="宋体" w:eastAsia="宋体" w:cs="宋体"/>
          <w:color w:val="000000"/>
          <w:sz w:val="24"/>
          <w:szCs w:val="24"/>
          <w:highlight w:val="none"/>
          <w:lang w:bidi="ar"/>
        </w:rPr>
        <w:t>）：</w:t>
      </w:r>
    </w:p>
    <w:tbl>
      <w:tblPr>
        <w:tblStyle w:val="5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13"/>
        <w:gridCol w:w="1604"/>
        <w:gridCol w:w="949"/>
        <w:gridCol w:w="949"/>
        <w:gridCol w:w="1277"/>
        <w:gridCol w:w="1932"/>
      </w:tblGrid>
      <w:tr w14:paraId="37AD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513" w:type="pct"/>
            <w:tcBorders>
              <w:tl2br w:val="single" w:color="auto" w:sz="4" w:space="0"/>
            </w:tcBorders>
            <w:noWrap w:val="0"/>
            <w:vAlign w:val="center"/>
          </w:tcPr>
          <w:p w14:paraId="3ACAB216">
            <w:pPr>
              <w:pageBreakBefore w:val="0"/>
              <w:widowControl/>
              <w:shd w:val="clear" w:color="auto" w:fill="auto"/>
              <w:kinsoku/>
              <w:wordWrap/>
              <w:overflowPunct/>
              <w:topLinePunct w:val="0"/>
              <w:bidi w:val="0"/>
              <w:spacing w:line="400" w:lineRule="exact"/>
              <w:jc w:val="center"/>
              <w:textAlignment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          </w:t>
            </w:r>
            <w:bookmarkStart w:id="11" w:name="_Hlk151384781"/>
            <w:r>
              <w:rPr>
                <w:rFonts w:hint="eastAsia" w:ascii="宋体" w:hAnsi="宋体" w:eastAsia="宋体" w:cs="宋体"/>
                <w:color w:val="000000"/>
                <w:sz w:val="24"/>
                <w:szCs w:val="24"/>
                <w:highlight w:val="none"/>
                <w:lang w:bidi="ar"/>
              </w:rPr>
              <w:t>满意度</w:t>
            </w:r>
          </w:p>
          <w:p w14:paraId="59FE5935">
            <w:pPr>
              <w:pageBreakBefore w:val="0"/>
              <w:widowControl/>
              <w:shd w:val="clear" w:color="auto" w:fill="auto"/>
              <w:kinsoku/>
              <w:wordWrap/>
              <w:overflowPunct/>
              <w:topLinePunct w:val="0"/>
              <w:bidi w:val="0"/>
              <w:spacing w:line="400" w:lineRule="exact"/>
              <w:jc w:val="center"/>
              <w:textAlignment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评定标准</w:t>
            </w:r>
          </w:p>
        </w:tc>
        <w:tc>
          <w:tcPr>
            <w:tcW w:w="833" w:type="pct"/>
            <w:noWrap w:val="0"/>
            <w:vAlign w:val="center"/>
          </w:tcPr>
          <w:p w14:paraId="09A86A48">
            <w:pPr>
              <w:pageBreakBefore w:val="0"/>
              <w:widowControl/>
              <w:shd w:val="clear" w:color="auto" w:fill="auto"/>
              <w:kinsoku/>
              <w:wordWrap/>
              <w:overflowPunct/>
              <w:topLinePunct w:val="0"/>
              <w:bidi w:val="0"/>
              <w:spacing w:line="400" w:lineRule="exact"/>
              <w:jc w:val="center"/>
              <w:textAlignment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非常满意</w:t>
            </w:r>
          </w:p>
        </w:tc>
        <w:tc>
          <w:tcPr>
            <w:tcW w:w="493" w:type="pct"/>
            <w:noWrap w:val="0"/>
            <w:vAlign w:val="center"/>
          </w:tcPr>
          <w:p w14:paraId="6DDE8D6E">
            <w:pPr>
              <w:pageBreakBefore w:val="0"/>
              <w:widowControl/>
              <w:shd w:val="clear" w:color="auto" w:fill="auto"/>
              <w:kinsoku/>
              <w:wordWrap/>
              <w:overflowPunct/>
              <w:topLinePunct w:val="0"/>
              <w:bidi w:val="0"/>
              <w:spacing w:line="400" w:lineRule="exact"/>
              <w:jc w:val="center"/>
              <w:textAlignment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满意</w:t>
            </w:r>
          </w:p>
        </w:tc>
        <w:tc>
          <w:tcPr>
            <w:tcW w:w="493" w:type="pct"/>
            <w:noWrap w:val="0"/>
            <w:vAlign w:val="center"/>
          </w:tcPr>
          <w:p w14:paraId="07FAF414">
            <w:pPr>
              <w:pageBreakBefore w:val="0"/>
              <w:widowControl/>
              <w:shd w:val="clear" w:color="auto" w:fill="auto"/>
              <w:kinsoku/>
              <w:wordWrap/>
              <w:overflowPunct/>
              <w:topLinePunct w:val="0"/>
              <w:bidi w:val="0"/>
              <w:spacing w:line="400" w:lineRule="exact"/>
              <w:jc w:val="center"/>
              <w:textAlignment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一般</w:t>
            </w:r>
          </w:p>
        </w:tc>
        <w:tc>
          <w:tcPr>
            <w:tcW w:w="663" w:type="pct"/>
            <w:noWrap w:val="0"/>
            <w:vAlign w:val="center"/>
          </w:tcPr>
          <w:p w14:paraId="0E21D4AA">
            <w:pPr>
              <w:pageBreakBefore w:val="0"/>
              <w:widowControl/>
              <w:shd w:val="clear" w:color="auto" w:fill="auto"/>
              <w:kinsoku/>
              <w:wordWrap/>
              <w:overflowPunct/>
              <w:topLinePunct w:val="0"/>
              <w:bidi w:val="0"/>
              <w:spacing w:line="400" w:lineRule="exact"/>
              <w:jc w:val="center"/>
              <w:textAlignment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不满意</w:t>
            </w:r>
          </w:p>
        </w:tc>
        <w:tc>
          <w:tcPr>
            <w:tcW w:w="1003" w:type="pct"/>
            <w:noWrap w:val="0"/>
            <w:vAlign w:val="center"/>
          </w:tcPr>
          <w:p w14:paraId="0ECC3C69">
            <w:pPr>
              <w:pageBreakBefore w:val="0"/>
              <w:widowControl/>
              <w:shd w:val="clear" w:color="auto" w:fill="auto"/>
              <w:kinsoku/>
              <w:wordWrap/>
              <w:overflowPunct/>
              <w:topLinePunct w:val="0"/>
              <w:bidi w:val="0"/>
              <w:spacing w:line="400" w:lineRule="exact"/>
              <w:jc w:val="center"/>
              <w:textAlignment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非常不满意</w:t>
            </w:r>
          </w:p>
        </w:tc>
      </w:tr>
      <w:tr w14:paraId="29EFE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513" w:type="pct"/>
            <w:noWrap w:val="0"/>
            <w:vAlign w:val="center"/>
          </w:tcPr>
          <w:p w14:paraId="600E1097">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服务态度</w:t>
            </w:r>
          </w:p>
        </w:tc>
        <w:tc>
          <w:tcPr>
            <w:tcW w:w="833" w:type="pct"/>
            <w:noWrap w:val="0"/>
            <w:vAlign w:val="center"/>
          </w:tcPr>
          <w:p w14:paraId="55722DF0">
            <w:pPr>
              <w:pageBreakBefore w:val="0"/>
              <w:widowControl/>
              <w:shd w:val="clear" w:color="auto" w:fill="auto"/>
              <w:kinsoku/>
              <w:wordWrap/>
              <w:overflowPunct/>
              <w:topLinePunct w:val="0"/>
              <w:bidi w:val="0"/>
              <w:spacing w:line="400" w:lineRule="exact"/>
              <w:jc w:val="center"/>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273C1BA2">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1C40A172">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663" w:type="pct"/>
            <w:noWrap/>
            <w:vAlign w:val="center"/>
          </w:tcPr>
          <w:p w14:paraId="3695D004">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c>
          <w:tcPr>
            <w:tcW w:w="1003" w:type="pct"/>
            <w:noWrap w:val="0"/>
            <w:vAlign w:val="top"/>
          </w:tcPr>
          <w:p w14:paraId="20632BE9">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r>
      <w:tr w14:paraId="6E65B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513" w:type="pct"/>
            <w:noWrap w:val="0"/>
            <w:vAlign w:val="center"/>
          </w:tcPr>
          <w:p w14:paraId="05108A92">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业务能力</w:t>
            </w:r>
          </w:p>
        </w:tc>
        <w:tc>
          <w:tcPr>
            <w:tcW w:w="833" w:type="pct"/>
            <w:noWrap w:val="0"/>
            <w:vAlign w:val="center"/>
          </w:tcPr>
          <w:p w14:paraId="7E1F158B">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50A36C90">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1A485FCD">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663" w:type="pct"/>
            <w:noWrap/>
            <w:vAlign w:val="center"/>
          </w:tcPr>
          <w:p w14:paraId="4D22C6BE">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c>
          <w:tcPr>
            <w:tcW w:w="1003" w:type="pct"/>
            <w:noWrap w:val="0"/>
            <w:vAlign w:val="top"/>
          </w:tcPr>
          <w:p w14:paraId="51812DAE">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r>
      <w:tr w14:paraId="44E5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513" w:type="pct"/>
            <w:noWrap w:val="0"/>
            <w:vAlign w:val="center"/>
          </w:tcPr>
          <w:p w14:paraId="3DB58F37">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沟通能力</w:t>
            </w:r>
          </w:p>
        </w:tc>
        <w:tc>
          <w:tcPr>
            <w:tcW w:w="833" w:type="pct"/>
            <w:noWrap w:val="0"/>
            <w:vAlign w:val="center"/>
          </w:tcPr>
          <w:p w14:paraId="6DA2E88C">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761377F8">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7BF17861">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663" w:type="pct"/>
            <w:noWrap/>
            <w:vAlign w:val="center"/>
          </w:tcPr>
          <w:p w14:paraId="3D5403F5">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c>
          <w:tcPr>
            <w:tcW w:w="1003" w:type="pct"/>
            <w:noWrap w:val="0"/>
            <w:vAlign w:val="top"/>
          </w:tcPr>
          <w:p w14:paraId="07192240">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r>
      <w:tr w14:paraId="03536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513" w:type="pct"/>
            <w:noWrap w:val="0"/>
            <w:vAlign w:val="center"/>
          </w:tcPr>
          <w:p w14:paraId="1C787461">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响应速度</w:t>
            </w:r>
          </w:p>
        </w:tc>
        <w:tc>
          <w:tcPr>
            <w:tcW w:w="833" w:type="pct"/>
            <w:noWrap w:val="0"/>
            <w:vAlign w:val="center"/>
          </w:tcPr>
          <w:p w14:paraId="6067F4A7">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1C374316">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05B28F3F">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663" w:type="pct"/>
            <w:noWrap/>
            <w:vAlign w:val="center"/>
          </w:tcPr>
          <w:p w14:paraId="0BF261C0">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c>
          <w:tcPr>
            <w:tcW w:w="1003" w:type="pct"/>
            <w:noWrap w:val="0"/>
            <w:vAlign w:val="top"/>
          </w:tcPr>
          <w:p w14:paraId="025D6BE3">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r>
      <w:tr w14:paraId="15757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513" w:type="pct"/>
            <w:noWrap w:val="0"/>
            <w:vAlign w:val="center"/>
          </w:tcPr>
          <w:p w14:paraId="7A2DE6CB">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处理问题效果</w:t>
            </w:r>
          </w:p>
        </w:tc>
        <w:tc>
          <w:tcPr>
            <w:tcW w:w="833" w:type="pct"/>
            <w:noWrap w:val="0"/>
            <w:vAlign w:val="center"/>
          </w:tcPr>
          <w:p w14:paraId="4C541023">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23A9D4E4">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7797906A">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663" w:type="pct"/>
            <w:noWrap/>
            <w:vAlign w:val="center"/>
          </w:tcPr>
          <w:p w14:paraId="3D669EDF">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c>
          <w:tcPr>
            <w:tcW w:w="1003" w:type="pct"/>
            <w:noWrap w:val="0"/>
            <w:vAlign w:val="top"/>
          </w:tcPr>
          <w:p w14:paraId="756D859D">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r>
      <w:tr w14:paraId="2382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513" w:type="pct"/>
            <w:noWrap w:val="0"/>
            <w:vAlign w:val="center"/>
          </w:tcPr>
          <w:p w14:paraId="4951F76B">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工作执行力</w:t>
            </w:r>
          </w:p>
        </w:tc>
        <w:tc>
          <w:tcPr>
            <w:tcW w:w="833" w:type="pct"/>
            <w:noWrap w:val="0"/>
            <w:vAlign w:val="center"/>
          </w:tcPr>
          <w:p w14:paraId="5E7DB78B">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581D0F81">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493" w:type="pct"/>
            <w:noWrap w:val="0"/>
            <w:vAlign w:val="center"/>
          </w:tcPr>
          <w:p w14:paraId="70CB6728">
            <w:pPr>
              <w:pageBreakBefore w:val="0"/>
              <w:widowControl/>
              <w:shd w:val="clear" w:color="auto" w:fill="auto"/>
              <w:kinsoku/>
              <w:wordWrap/>
              <w:overflowPunct/>
              <w:topLinePunct w:val="0"/>
              <w:bidi w:val="0"/>
              <w:spacing w:line="400" w:lineRule="exact"/>
              <w:jc w:val="left"/>
              <w:textAlignment w:val="center"/>
              <w:rPr>
                <w:rFonts w:hint="eastAsia" w:ascii="宋体" w:hAnsi="宋体" w:eastAsia="宋体" w:cs="宋体"/>
                <w:color w:val="000000"/>
                <w:sz w:val="24"/>
                <w:szCs w:val="24"/>
                <w:highlight w:val="none"/>
                <w:lang w:bidi="ar"/>
              </w:rPr>
            </w:pPr>
          </w:p>
        </w:tc>
        <w:tc>
          <w:tcPr>
            <w:tcW w:w="663" w:type="pct"/>
            <w:noWrap/>
            <w:vAlign w:val="center"/>
          </w:tcPr>
          <w:p w14:paraId="0314BE99">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c>
          <w:tcPr>
            <w:tcW w:w="1003" w:type="pct"/>
            <w:noWrap w:val="0"/>
            <w:vAlign w:val="top"/>
          </w:tcPr>
          <w:p w14:paraId="6336B024">
            <w:pPr>
              <w:pageBreakBefore w:val="0"/>
              <w:shd w:val="clear" w:color="auto" w:fill="auto"/>
              <w:kinsoku/>
              <w:wordWrap/>
              <w:overflowPunct/>
              <w:topLinePunct w:val="0"/>
              <w:bidi w:val="0"/>
              <w:spacing w:line="400" w:lineRule="exact"/>
              <w:jc w:val="center"/>
              <w:rPr>
                <w:rFonts w:hint="eastAsia" w:ascii="宋体" w:hAnsi="宋体" w:eastAsia="宋体" w:cs="宋体"/>
                <w:color w:val="000000"/>
                <w:sz w:val="24"/>
                <w:szCs w:val="24"/>
                <w:highlight w:val="none"/>
                <w:lang w:bidi="ar"/>
              </w:rPr>
            </w:pPr>
          </w:p>
        </w:tc>
      </w:tr>
      <w:bookmarkEnd w:id="11"/>
    </w:tbl>
    <w:p w14:paraId="4AF6C529">
      <w:pPr>
        <w:keepNext w:val="0"/>
        <w:keepLines w:val="0"/>
        <w:pageBreakBefore/>
        <w:widowControl w:val="0"/>
        <w:kinsoku/>
        <w:wordWrap/>
        <w:overflowPunct/>
        <w:topLinePunct w:val="0"/>
        <w:autoSpaceDE/>
        <w:autoSpaceDN/>
        <w:bidi w:val="0"/>
        <w:adjustRightInd/>
        <w:snapToGrid/>
        <w:spacing w:before="120" w:beforeLines="50" w:after="120" w:afterLines="50" w:line="420" w:lineRule="exact"/>
        <w:jc w:val="center"/>
        <w:textAlignment w:val="auto"/>
        <w:outlineLvl w:val="0"/>
        <w:rPr>
          <w:rFonts w:ascii="宋体" w:hAnsi="Courier New"/>
          <w:b/>
          <w:bCs/>
          <w:kern w:val="0"/>
          <w:sz w:val="30"/>
          <w:szCs w:val="30"/>
          <w:highlight w:val="none"/>
        </w:rPr>
      </w:pPr>
      <w:r>
        <w:rPr>
          <w:rFonts w:hint="eastAsia" w:ascii="宋体" w:hAnsi="宋体"/>
          <w:b/>
          <w:sz w:val="30"/>
          <w:szCs w:val="30"/>
          <w:highlight w:val="none"/>
        </w:rPr>
        <w:t>第三章  供应商磋商须知</w:t>
      </w:r>
      <w:bookmarkEnd w:id="8"/>
      <w:bookmarkEnd w:id="9"/>
      <w:bookmarkEnd w:id="10"/>
    </w:p>
    <w:p w14:paraId="00987287">
      <w:pPr>
        <w:snapToGrid w:val="0"/>
        <w:spacing w:before="120" w:beforeLines="50" w:after="120" w:afterLines="50" w:line="280" w:lineRule="exact"/>
        <w:ind w:left="476"/>
        <w:jc w:val="center"/>
        <w:rPr>
          <w:rFonts w:ascii="宋体" w:hAnsi="宋体"/>
          <w:b/>
          <w:szCs w:val="21"/>
          <w:highlight w:val="none"/>
        </w:rPr>
      </w:pPr>
      <w:r>
        <w:rPr>
          <w:rFonts w:hint="eastAsia" w:ascii="宋体" w:hAnsi="宋体"/>
          <w:b/>
          <w:szCs w:val="21"/>
          <w:highlight w:val="none"/>
        </w:rPr>
        <w:t>前附表</w:t>
      </w:r>
    </w:p>
    <w:tbl>
      <w:tblPr>
        <w:tblStyle w:val="53"/>
        <w:tblW w:w="10447" w:type="dxa"/>
        <w:tblInd w:w="-55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4"/>
        <w:gridCol w:w="9743"/>
      </w:tblGrid>
      <w:tr w14:paraId="2C7DD6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4" w:type="dxa"/>
            <w:tcBorders>
              <w:top w:val="single" w:color="auto" w:sz="4" w:space="0"/>
              <w:left w:val="single" w:color="auto" w:sz="4" w:space="0"/>
              <w:bottom w:val="single" w:color="auto" w:sz="4" w:space="0"/>
              <w:right w:val="single" w:color="auto" w:sz="4" w:space="0"/>
            </w:tcBorders>
            <w:vAlign w:val="center"/>
          </w:tcPr>
          <w:p w14:paraId="683C1A1E">
            <w:pPr>
              <w:snapToGrid w:val="0"/>
              <w:spacing w:line="400" w:lineRule="exact"/>
              <w:jc w:val="center"/>
              <w:rPr>
                <w:rFonts w:ascii="宋体" w:hAnsi="宋体"/>
                <w:b/>
                <w:sz w:val="24"/>
                <w:highlight w:val="none"/>
              </w:rPr>
            </w:pPr>
            <w:r>
              <w:rPr>
                <w:rFonts w:hint="eastAsia" w:ascii="宋体" w:hAnsi="宋体"/>
                <w:b/>
                <w:sz w:val="24"/>
                <w:highlight w:val="none"/>
              </w:rPr>
              <w:t>序号</w:t>
            </w:r>
          </w:p>
        </w:tc>
        <w:tc>
          <w:tcPr>
            <w:tcW w:w="9743" w:type="dxa"/>
            <w:tcBorders>
              <w:top w:val="single" w:color="auto" w:sz="4" w:space="0"/>
              <w:left w:val="single" w:color="auto" w:sz="4" w:space="0"/>
              <w:bottom w:val="single" w:color="auto" w:sz="4" w:space="0"/>
              <w:right w:val="single" w:color="auto" w:sz="4" w:space="0"/>
            </w:tcBorders>
            <w:vAlign w:val="center"/>
          </w:tcPr>
          <w:p w14:paraId="7637A2E1">
            <w:pPr>
              <w:snapToGrid w:val="0"/>
              <w:spacing w:line="400" w:lineRule="exact"/>
              <w:jc w:val="center"/>
              <w:rPr>
                <w:rFonts w:ascii="宋体" w:hAnsi="宋体"/>
                <w:b/>
                <w:sz w:val="24"/>
                <w:highlight w:val="none"/>
              </w:rPr>
            </w:pPr>
            <w:r>
              <w:rPr>
                <w:rFonts w:hint="eastAsia" w:ascii="宋体" w:hAnsi="宋体"/>
                <w:b/>
                <w:sz w:val="24"/>
                <w:highlight w:val="none"/>
              </w:rPr>
              <w:t>内容、要求</w:t>
            </w:r>
          </w:p>
        </w:tc>
      </w:tr>
      <w:tr w14:paraId="37CBD6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vAlign w:val="center"/>
          </w:tcPr>
          <w:p w14:paraId="69E75AFC">
            <w:pPr>
              <w:snapToGrid w:val="0"/>
              <w:spacing w:line="400" w:lineRule="exact"/>
              <w:jc w:val="center"/>
              <w:rPr>
                <w:rFonts w:ascii="宋体" w:hAnsi="宋体"/>
                <w:sz w:val="24"/>
                <w:highlight w:val="none"/>
              </w:rPr>
            </w:pPr>
            <w:r>
              <w:rPr>
                <w:rFonts w:hint="eastAsia" w:ascii="宋体" w:hAnsi="宋体"/>
                <w:sz w:val="24"/>
                <w:highlight w:val="none"/>
              </w:rPr>
              <w:t>1</w:t>
            </w:r>
          </w:p>
        </w:tc>
        <w:tc>
          <w:tcPr>
            <w:tcW w:w="9743" w:type="dxa"/>
            <w:tcBorders>
              <w:top w:val="single" w:color="auto" w:sz="4" w:space="0"/>
              <w:left w:val="single" w:color="auto" w:sz="4" w:space="0"/>
              <w:bottom w:val="single" w:color="auto" w:sz="4" w:space="0"/>
              <w:right w:val="single" w:color="auto" w:sz="4" w:space="0"/>
            </w:tcBorders>
            <w:vAlign w:val="center"/>
          </w:tcPr>
          <w:p w14:paraId="21C2FCA1">
            <w:pPr>
              <w:pStyle w:val="48"/>
              <w:spacing w:before="120" w:beforeAutospacing="0" w:after="120" w:afterAutospacing="0" w:line="400" w:lineRule="exact"/>
              <w:rPr>
                <w:rFonts w:hint="eastAsia" w:eastAsia="宋体"/>
                <w:kern w:val="2"/>
                <w:highlight w:val="none"/>
                <w:lang w:eastAsia="zh-CN"/>
              </w:rPr>
            </w:pPr>
            <w:r>
              <w:rPr>
                <w:rFonts w:hint="eastAsia"/>
                <w:kern w:val="2"/>
                <w:highlight w:val="none"/>
              </w:rPr>
              <w:t>项目名称：</w:t>
            </w:r>
            <w:r>
              <w:rPr>
                <w:rFonts w:hint="eastAsia"/>
                <w:highlight w:val="none"/>
                <w:lang w:eastAsia="zh-CN"/>
              </w:rPr>
              <w:t>临海市医保数据分析服务</w:t>
            </w:r>
          </w:p>
        </w:tc>
      </w:tr>
      <w:tr w14:paraId="28B484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4" w:type="dxa"/>
            <w:tcBorders>
              <w:top w:val="single" w:color="auto" w:sz="4" w:space="0"/>
              <w:left w:val="single" w:color="auto" w:sz="4" w:space="0"/>
              <w:bottom w:val="single" w:color="auto" w:sz="4" w:space="0"/>
              <w:right w:val="single" w:color="auto" w:sz="4" w:space="0"/>
            </w:tcBorders>
            <w:vAlign w:val="center"/>
          </w:tcPr>
          <w:p w14:paraId="4CBEFB74">
            <w:pPr>
              <w:snapToGrid w:val="0"/>
              <w:spacing w:line="400" w:lineRule="exact"/>
              <w:jc w:val="center"/>
              <w:rPr>
                <w:rFonts w:ascii="宋体" w:hAnsi="宋体"/>
                <w:sz w:val="24"/>
                <w:highlight w:val="none"/>
              </w:rPr>
            </w:pPr>
            <w:r>
              <w:rPr>
                <w:rFonts w:hint="eastAsia" w:ascii="宋体" w:hAnsi="宋体"/>
                <w:sz w:val="24"/>
                <w:highlight w:val="none"/>
              </w:rPr>
              <w:t>2</w:t>
            </w:r>
          </w:p>
        </w:tc>
        <w:tc>
          <w:tcPr>
            <w:tcW w:w="9743" w:type="dxa"/>
            <w:tcBorders>
              <w:top w:val="single" w:color="auto" w:sz="4" w:space="0"/>
              <w:left w:val="single" w:color="auto" w:sz="4" w:space="0"/>
              <w:bottom w:val="single" w:color="auto" w:sz="4" w:space="0"/>
              <w:right w:val="single" w:color="auto" w:sz="4" w:space="0"/>
            </w:tcBorders>
            <w:vAlign w:val="center"/>
          </w:tcPr>
          <w:p w14:paraId="6C459C49">
            <w:pPr>
              <w:snapToGrid w:val="0"/>
              <w:spacing w:line="400" w:lineRule="exact"/>
              <w:rPr>
                <w:rFonts w:ascii="宋体" w:hAnsi="宋体"/>
                <w:sz w:val="24"/>
                <w:highlight w:val="none"/>
              </w:rPr>
            </w:pPr>
            <w:r>
              <w:rPr>
                <w:rFonts w:hint="eastAsia" w:ascii="宋体" w:hAnsi="宋体"/>
                <w:sz w:val="24"/>
                <w:highlight w:val="none"/>
              </w:rPr>
              <w:t>采购内容及数量：详见“第二章 招标需求”</w:t>
            </w:r>
          </w:p>
        </w:tc>
      </w:tr>
      <w:tr w14:paraId="6255E7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44" w:hRule="atLeast"/>
        </w:trPr>
        <w:tc>
          <w:tcPr>
            <w:tcW w:w="704" w:type="dxa"/>
            <w:tcBorders>
              <w:top w:val="single" w:color="auto" w:sz="4" w:space="0"/>
              <w:left w:val="single" w:color="auto" w:sz="4" w:space="0"/>
              <w:bottom w:val="single" w:color="auto" w:sz="4" w:space="0"/>
              <w:right w:val="single" w:color="auto" w:sz="4" w:space="0"/>
            </w:tcBorders>
            <w:vAlign w:val="center"/>
          </w:tcPr>
          <w:p w14:paraId="08102F3C">
            <w:pPr>
              <w:snapToGrid w:val="0"/>
              <w:spacing w:line="400" w:lineRule="exact"/>
              <w:jc w:val="center"/>
              <w:rPr>
                <w:rFonts w:ascii="宋体" w:hAnsi="宋体"/>
                <w:sz w:val="24"/>
                <w:highlight w:val="none"/>
              </w:rPr>
            </w:pPr>
            <w:r>
              <w:rPr>
                <w:rFonts w:hint="eastAsia" w:ascii="宋体" w:hAnsi="宋体"/>
                <w:sz w:val="24"/>
                <w:highlight w:val="none"/>
              </w:rPr>
              <w:t>3</w:t>
            </w:r>
          </w:p>
        </w:tc>
        <w:tc>
          <w:tcPr>
            <w:tcW w:w="9743" w:type="dxa"/>
            <w:tcBorders>
              <w:top w:val="single" w:color="auto" w:sz="4" w:space="0"/>
              <w:left w:val="single" w:color="auto" w:sz="4" w:space="0"/>
              <w:bottom w:val="single" w:color="auto" w:sz="4" w:space="0"/>
              <w:right w:val="single" w:color="auto" w:sz="4" w:space="0"/>
            </w:tcBorders>
            <w:vAlign w:val="center"/>
          </w:tcPr>
          <w:p w14:paraId="0D7D9B78">
            <w:pPr>
              <w:snapToGrid w:val="0"/>
              <w:spacing w:line="400" w:lineRule="exact"/>
              <w:rPr>
                <w:rFonts w:ascii="宋体" w:hAnsi="宋体"/>
                <w:b/>
                <w:bCs/>
                <w:sz w:val="24"/>
                <w:highlight w:val="none"/>
              </w:rPr>
            </w:pPr>
            <w:r>
              <w:rPr>
                <w:rFonts w:hint="eastAsia" w:ascii="宋体" w:hAnsi="宋体"/>
                <w:sz w:val="24"/>
                <w:highlight w:val="none"/>
              </w:rPr>
              <w:t>投标报价及费用：1、本项目投标应以人民币报价；2、不论投标结果如何，投标人均应自行承担所有与投标有关的全部费用；</w:t>
            </w:r>
            <w:r>
              <w:rPr>
                <w:rFonts w:hint="eastAsia" w:ascii="宋体" w:hAnsi="宋体"/>
                <w:b/>
                <w:bCs/>
                <w:sz w:val="24"/>
                <w:highlight w:val="none"/>
              </w:rPr>
              <w:t>3、本项目招标代理服务费按</w:t>
            </w:r>
            <w:r>
              <w:rPr>
                <w:rFonts w:hint="eastAsia" w:ascii="宋体" w:hAnsi="宋体"/>
                <w:b/>
                <w:bCs/>
                <w:sz w:val="24"/>
                <w:highlight w:val="none"/>
                <w:lang w:val="en-US" w:eastAsia="zh-CN"/>
              </w:rPr>
              <w:t>6000</w:t>
            </w:r>
            <w:r>
              <w:rPr>
                <w:rFonts w:hint="eastAsia" w:ascii="宋体" w:hAnsi="宋体"/>
                <w:b/>
                <w:bCs/>
                <w:sz w:val="24"/>
                <w:highlight w:val="none"/>
              </w:rPr>
              <w:t>元收取，由成交人支付给代理机构，在代理机构发出成交通知书前一次性付清招标代理服务费用。</w:t>
            </w:r>
          </w:p>
        </w:tc>
      </w:tr>
      <w:tr w14:paraId="5CF3EC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4" w:type="dxa"/>
            <w:tcBorders>
              <w:top w:val="single" w:color="auto" w:sz="4" w:space="0"/>
              <w:left w:val="single" w:color="auto" w:sz="4" w:space="0"/>
              <w:bottom w:val="single" w:color="auto" w:sz="4" w:space="0"/>
              <w:right w:val="single" w:color="auto" w:sz="4" w:space="0"/>
            </w:tcBorders>
            <w:vAlign w:val="center"/>
          </w:tcPr>
          <w:p w14:paraId="148E8F0B">
            <w:pPr>
              <w:snapToGrid w:val="0"/>
              <w:spacing w:line="400" w:lineRule="exact"/>
              <w:jc w:val="center"/>
              <w:rPr>
                <w:rFonts w:ascii="宋体" w:hAnsi="宋体"/>
                <w:sz w:val="24"/>
                <w:highlight w:val="none"/>
              </w:rPr>
            </w:pPr>
            <w:r>
              <w:rPr>
                <w:rFonts w:hint="eastAsia" w:ascii="宋体" w:hAnsi="宋体"/>
                <w:sz w:val="24"/>
                <w:highlight w:val="none"/>
              </w:rPr>
              <w:t>4</w:t>
            </w:r>
          </w:p>
        </w:tc>
        <w:tc>
          <w:tcPr>
            <w:tcW w:w="9743" w:type="dxa"/>
            <w:tcBorders>
              <w:top w:val="single" w:color="auto" w:sz="4" w:space="0"/>
              <w:left w:val="single" w:color="auto" w:sz="4" w:space="0"/>
              <w:bottom w:val="single" w:color="auto" w:sz="4" w:space="0"/>
              <w:right w:val="single" w:color="auto" w:sz="4" w:space="0"/>
            </w:tcBorders>
            <w:vAlign w:val="center"/>
          </w:tcPr>
          <w:p w14:paraId="05E9E11E">
            <w:pPr>
              <w:snapToGrid w:val="0"/>
              <w:spacing w:line="400" w:lineRule="exact"/>
              <w:rPr>
                <w:rFonts w:ascii="宋体" w:hAnsi="宋体"/>
                <w:sz w:val="24"/>
                <w:highlight w:val="none"/>
              </w:rPr>
            </w:pPr>
            <w:r>
              <w:rPr>
                <w:rFonts w:hint="eastAsia" w:ascii="宋体" w:hAnsi="宋体"/>
                <w:b/>
                <w:bCs/>
                <w:sz w:val="24"/>
                <w:highlight w:val="none"/>
              </w:rPr>
              <w:t>现场踏勘</w:t>
            </w:r>
            <w:r>
              <w:rPr>
                <w:rFonts w:hint="eastAsia" w:ascii="宋体" w:hAnsi="宋体"/>
                <w:sz w:val="24"/>
                <w:highlight w:val="none"/>
              </w:rPr>
              <w:t>：投标人可对</w:t>
            </w:r>
            <w:r>
              <w:rPr>
                <w:rFonts w:ascii="宋体" w:hAnsi="宋体"/>
                <w:sz w:val="24"/>
                <w:highlight w:val="none"/>
              </w:rPr>
              <w:t>项目</w:t>
            </w:r>
            <w:r>
              <w:rPr>
                <w:rFonts w:hint="eastAsia" w:ascii="宋体" w:hAnsi="宋体"/>
                <w:sz w:val="24"/>
                <w:highlight w:val="none"/>
              </w:rPr>
              <w:t>现场和周围环境进行踏勘，现场踏勘时投标人按照图纸（如有）、磋商文件等技术性资料比对现场实际参数，如有问题，由投标人发起书面质疑，如无质疑，即认为满足采购条件，由投标人承担相应风险。踏勘现场所发生的费用由投标人自己承担。</w:t>
            </w:r>
          </w:p>
        </w:tc>
      </w:tr>
      <w:tr w14:paraId="2195AD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4" w:type="dxa"/>
            <w:tcBorders>
              <w:top w:val="single" w:color="auto" w:sz="4" w:space="0"/>
              <w:left w:val="single" w:color="auto" w:sz="4" w:space="0"/>
              <w:bottom w:val="single" w:color="auto" w:sz="4" w:space="0"/>
              <w:right w:val="single" w:color="auto" w:sz="4" w:space="0"/>
            </w:tcBorders>
            <w:vAlign w:val="center"/>
          </w:tcPr>
          <w:p w14:paraId="3E9FAA1B">
            <w:pPr>
              <w:snapToGrid w:val="0"/>
              <w:spacing w:line="400" w:lineRule="exact"/>
              <w:jc w:val="center"/>
              <w:rPr>
                <w:rFonts w:ascii="宋体" w:hAnsi="宋体"/>
                <w:sz w:val="24"/>
                <w:highlight w:val="none"/>
              </w:rPr>
            </w:pPr>
            <w:r>
              <w:rPr>
                <w:rFonts w:hint="eastAsia" w:ascii="宋体" w:hAnsi="宋体"/>
                <w:sz w:val="24"/>
                <w:highlight w:val="none"/>
              </w:rPr>
              <w:t>5</w:t>
            </w:r>
          </w:p>
        </w:tc>
        <w:tc>
          <w:tcPr>
            <w:tcW w:w="9743" w:type="dxa"/>
            <w:tcBorders>
              <w:top w:val="single" w:color="auto" w:sz="4" w:space="0"/>
              <w:left w:val="single" w:color="auto" w:sz="4" w:space="0"/>
              <w:bottom w:val="single" w:color="auto" w:sz="4" w:space="0"/>
              <w:right w:val="single" w:color="auto" w:sz="4" w:space="0"/>
            </w:tcBorders>
            <w:vAlign w:val="center"/>
          </w:tcPr>
          <w:p w14:paraId="1828E681">
            <w:pPr>
              <w:snapToGrid w:val="0"/>
              <w:spacing w:line="400" w:lineRule="exact"/>
              <w:rPr>
                <w:rFonts w:ascii="宋体" w:hAnsi="宋体"/>
                <w:b/>
                <w:sz w:val="24"/>
                <w:highlight w:val="none"/>
              </w:rPr>
            </w:pPr>
            <w:r>
              <w:rPr>
                <w:rFonts w:hint="eastAsia" w:ascii="宋体" w:hAnsi="宋体"/>
                <w:b/>
                <w:sz w:val="24"/>
                <w:highlight w:val="none"/>
              </w:rPr>
              <w:t>质疑与澄清</w:t>
            </w:r>
            <w:r>
              <w:rPr>
                <w:rFonts w:hint="eastAsia" w:ascii="宋体" w:hAnsi="宋体"/>
                <w:sz w:val="24"/>
                <w:highlight w:val="none"/>
              </w:rPr>
              <w:t>：</w:t>
            </w:r>
            <w:r>
              <w:rPr>
                <w:rFonts w:hint="eastAsia" w:ascii="宋体" w:hAnsi="宋体"/>
                <w:b/>
                <w:sz w:val="24"/>
                <w:highlight w:val="none"/>
              </w:rPr>
              <w:t>潜在供应商已依法获取其可质疑的磋商文件的，可以（参照采购质疑函范本）向招标人就该文件提出质疑。供应商对磋商文件提出质疑的，应当在202</w:t>
            </w:r>
            <w:r>
              <w:rPr>
                <w:rFonts w:hint="eastAsia" w:ascii="宋体" w:hAnsi="宋体"/>
                <w:b/>
                <w:sz w:val="24"/>
                <w:highlight w:val="none"/>
                <w:lang w:val="en-US" w:eastAsia="zh-CN"/>
              </w:rPr>
              <w:t>6</w:t>
            </w:r>
            <w:r>
              <w:rPr>
                <w:rFonts w:hint="eastAsia" w:ascii="宋体" w:hAnsi="宋体"/>
                <w:b/>
                <w:sz w:val="24"/>
                <w:highlight w:val="none"/>
              </w:rPr>
              <w:t>年</w:t>
            </w:r>
            <w:r>
              <w:rPr>
                <w:rFonts w:hint="eastAsia" w:ascii="宋体" w:hAnsi="宋体"/>
                <w:b/>
                <w:sz w:val="24"/>
                <w:highlight w:val="none"/>
                <w:lang w:val="en-US" w:eastAsia="zh-CN"/>
              </w:rPr>
              <w:t>06</w:t>
            </w:r>
            <w:r>
              <w:rPr>
                <w:rFonts w:hint="eastAsia" w:ascii="宋体" w:hAnsi="宋体"/>
                <w:b/>
                <w:sz w:val="24"/>
                <w:highlight w:val="none"/>
              </w:rPr>
              <w:t>月</w:t>
            </w:r>
            <w:r>
              <w:rPr>
                <w:rFonts w:hint="eastAsia" w:ascii="宋体" w:hAnsi="宋体"/>
                <w:b/>
                <w:sz w:val="24"/>
                <w:highlight w:val="none"/>
                <w:lang w:val="en-US" w:eastAsia="zh-CN"/>
              </w:rPr>
              <w:t>08</w:t>
            </w:r>
            <w:r>
              <w:rPr>
                <w:rFonts w:hint="eastAsia" w:ascii="宋体" w:hAnsi="宋体"/>
                <w:b/>
                <w:sz w:val="24"/>
                <w:highlight w:val="none"/>
              </w:rPr>
              <w:t>日1</w:t>
            </w:r>
            <w:r>
              <w:rPr>
                <w:rFonts w:hint="eastAsia" w:ascii="宋体" w:hAnsi="宋体"/>
                <w:b/>
                <w:sz w:val="24"/>
                <w:highlight w:val="none"/>
                <w:lang w:val="en-US" w:eastAsia="zh-CN"/>
              </w:rPr>
              <w:t>5</w:t>
            </w:r>
            <w:r>
              <w:rPr>
                <w:rFonts w:hint="eastAsia" w:ascii="宋体" w:hAnsi="宋体"/>
                <w:b/>
                <w:sz w:val="24"/>
                <w:highlight w:val="none"/>
              </w:rPr>
              <w:t>：00前提出，否则被质疑人可不予接受。供应商在</w:t>
            </w:r>
            <w:r>
              <w:rPr>
                <w:rFonts w:hint="eastAsia" w:ascii="宋体" w:hAnsi="宋体"/>
                <w:b/>
                <w:sz w:val="24"/>
                <w:highlight w:val="none"/>
                <w:shd w:val="pct10" w:color="auto" w:fill="FFFFFF"/>
              </w:rPr>
              <w:t>法定质疑期内应一次性提出针对同一采购程序环节的质疑。</w:t>
            </w:r>
            <w:r>
              <w:rPr>
                <w:rFonts w:hint="eastAsia" w:ascii="宋体" w:hAnsi="宋体"/>
                <w:sz w:val="24"/>
                <w:highlight w:val="none"/>
                <w:shd w:val="pct10" w:color="auto" w:fill="FFFFFF"/>
              </w:rPr>
              <w:t>招</w:t>
            </w:r>
            <w:r>
              <w:rPr>
                <w:rFonts w:hint="eastAsia" w:ascii="宋体" w:hAnsi="宋体"/>
                <w:sz w:val="24"/>
                <w:highlight w:val="none"/>
              </w:rPr>
              <w:t>标人对已发出的竞争性磋商文件进行必要的澄清、答复、修改和补充将以更正公告的形式，通过采购公告发布的网站予以发布。</w:t>
            </w:r>
            <w:r>
              <w:rPr>
                <w:rFonts w:hint="eastAsia" w:ascii="宋体" w:hAnsi="宋体"/>
                <w:b/>
                <w:sz w:val="24"/>
                <w:highlight w:val="none"/>
              </w:rPr>
              <w:t xml:space="preserve"> </w:t>
            </w:r>
          </w:p>
        </w:tc>
      </w:tr>
      <w:tr w14:paraId="5BA30A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4" w:type="dxa"/>
            <w:tcBorders>
              <w:top w:val="single" w:color="auto" w:sz="4" w:space="0"/>
              <w:left w:val="single" w:color="auto" w:sz="4" w:space="0"/>
              <w:bottom w:val="single" w:color="auto" w:sz="4" w:space="0"/>
              <w:right w:val="single" w:color="auto" w:sz="4" w:space="0"/>
            </w:tcBorders>
            <w:vAlign w:val="center"/>
          </w:tcPr>
          <w:p w14:paraId="56298088">
            <w:pPr>
              <w:snapToGrid w:val="0"/>
              <w:spacing w:line="400" w:lineRule="exact"/>
              <w:jc w:val="center"/>
              <w:rPr>
                <w:rFonts w:ascii="宋体" w:hAnsi="宋体"/>
                <w:sz w:val="24"/>
                <w:highlight w:val="none"/>
              </w:rPr>
            </w:pPr>
            <w:r>
              <w:rPr>
                <w:rFonts w:hint="eastAsia" w:ascii="宋体" w:hAnsi="宋体"/>
                <w:sz w:val="24"/>
                <w:highlight w:val="none"/>
              </w:rPr>
              <w:t>6</w:t>
            </w:r>
          </w:p>
        </w:tc>
        <w:tc>
          <w:tcPr>
            <w:tcW w:w="9743" w:type="dxa"/>
            <w:tcBorders>
              <w:top w:val="single" w:color="auto" w:sz="4" w:space="0"/>
              <w:left w:val="single" w:color="auto" w:sz="4" w:space="0"/>
              <w:bottom w:val="single" w:color="auto" w:sz="4" w:space="0"/>
              <w:right w:val="single" w:color="auto" w:sz="4" w:space="0"/>
            </w:tcBorders>
            <w:vAlign w:val="center"/>
          </w:tcPr>
          <w:p w14:paraId="3A3E326F">
            <w:pPr>
              <w:snapToGrid w:val="0"/>
              <w:spacing w:line="400" w:lineRule="exact"/>
              <w:rPr>
                <w:rFonts w:ascii="宋体" w:hAnsi="宋体"/>
                <w:sz w:val="24"/>
                <w:highlight w:val="none"/>
              </w:rPr>
            </w:pPr>
            <w:r>
              <w:rPr>
                <w:rFonts w:hint="eastAsia" w:ascii="宋体" w:hAnsi="宋体"/>
                <w:sz w:val="24"/>
                <w:highlight w:val="none"/>
              </w:rPr>
              <w:t>投标截止时间、开标时间及地点：详见“第一章  竞争性磋商公告”</w:t>
            </w:r>
          </w:p>
        </w:tc>
      </w:tr>
      <w:tr w14:paraId="1EED0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4" w:type="dxa"/>
            <w:tcBorders>
              <w:top w:val="single" w:color="auto" w:sz="4" w:space="0"/>
              <w:left w:val="single" w:color="auto" w:sz="4" w:space="0"/>
              <w:bottom w:val="single" w:color="auto" w:sz="4" w:space="0"/>
              <w:right w:val="single" w:color="auto" w:sz="4" w:space="0"/>
            </w:tcBorders>
            <w:vAlign w:val="center"/>
          </w:tcPr>
          <w:p w14:paraId="3CAB7DE6">
            <w:pPr>
              <w:snapToGrid w:val="0"/>
              <w:spacing w:line="400" w:lineRule="exact"/>
              <w:jc w:val="center"/>
              <w:rPr>
                <w:rFonts w:ascii="宋体" w:hAnsi="宋体"/>
                <w:sz w:val="24"/>
                <w:highlight w:val="none"/>
              </w:rPr>
            </w:pPr>
            <w:r>
              <w:rPr>
                <w:rFonts w:hint="eastAsia" w:ascii="宋体" w:hAnsi="宋体"/>
                <w:sz w:val="24"/>
                <w:highlight w:val="none"/>
              </w:rPr>
              <w:t>7</w:t>
            </w:r>
          </w:p>
        </w:tc>
        <w:tc>
          <w:tcPr>
            <w:tcW w:w="9743" w:type="dxa"/>
            <w:tcBorders>
              <w:top w:val="single" w:color="auto" w:sz="4" w:space="0"/>
              <w:left w:val="single" w:color="auto" w:sz="4" w:space="0"/>
              <w:bottom w:val="single" w:color="auto" w:sz="4" w:space="0"/>
              <w:right w:val="single" w:color="auto" w:sz="4" w:space="0"/>
            </w:tcBorders>
            <w:vAlign w:val="center"/>
          </w:tcPr>
          <w:p w14:paraId="34601E99">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评标办法：综合评分法</w:t>
            </w:r>
          </w:p>
        </w:tc>
      </w:tr>
      <w:tr w14:paraId="165AD0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4" w:type="dxa"/>
            <w:tcBorders>
              <w:top w:val="single" w:color="auto" w:sz="4" w:space="0"/>
              <w:left w:val="single" w:color="auto" w:sz="4" w:space="0"/>
              <w:bottom w:val="single" w:color="auto" w:sz="4" w:space="0"/>
              <w:right w:val="single" w:color="auto" w:sz="4" w:space="0"/>
            </w:tcBorders>
            <w:vAlign w:val="center"/>
          </w:tcPr>
          <w:p w14:paraId="4EF9F79F">
            <w:pPr>
              <w:snapToGrid w:val="0"/>
              <w:spacing w:line="400" w:lineRule="exact"/>
              <w:jc w:val="center"/>
              <w:rPr>
                <w:rFonts w:ascii="宋体" w:hAnsi="宋体"/>
                <w:sz w:val="24"/>
                <w:highlight w:val="none"/>
              </w:rPr>
            </w:pPr>
            <w:r>
              <w:rPr>
                <w:rFonts w:hint="eastAsia" w:ascii="宋体" w:hAnsi="宋体"/>
                <w:sz w:val="24"/>
                <w:highlight w:val="none"/>
              </w:rPr>
              <w:t>8</w:t>
            </w:r>
          </w:p>
        </w:tc>
        <w:tc>
          <w:tcPr>
            <w:tcW w:w="9743" w:type="dxa"/>
            <w:tcBorders>
              <w:top w:val="single" w:color="auto" w:sz="4" w:space="0"/>
              <w:left w:val="single" w:color="auto" w:sz="4" w:space="0"/>
              <w:bottom w:val="single" w:color="auto" w:sz="4" w:space="0"/>
              <w:right w:val="single" w:color="auto" w:sz="4" w:space="0"/>
            </w:tcBorders>
            <w:vAlign w:val="center"/>
          </w:tcPr>
          <w:p w14:paraId="3335DD99">
            <w:pPr>
              <w:autoSpaceDE w:val="0"/>
              <w:autoSpaceDN w:val="0"/>
              <w:snapToGrid w:val="0"/>
              <w:spacing w:line="400" w:lineRule="exact"/>
              <w:textAlignment w:val="bottom"/>
              <w:rPr>
                <w:rFonts w:ascii="宋体" w:hAnsi="宋体"/>
                <w:sz w:val="24"/>
                <w:highlight w:val="none"/>
              </w:rPr>
            </w:pPr>
            <w:r>
              <w:rPr>
                <w:rFonts w:hint="eastAsia" w:ascii="宋体" w:hAnsi="宋体"/>
                <w:b/>
                <w:sz w:val="24"/>
                <w:highlight w:val="none"/>
                <w:shd w:val="pct10" w:color="auto" w:fill="FFFFFF"/>
              </w:rPr>
              <w:t>▲</w:t>
            </w:r>
            <w:r>
              <w:rPr>
                <w:rFonts w:hint="eastAsia" w:ascii="宋体" w:hAnsi="宋体"/>
                <w:sz w:val="24"/>
                <w:highlight w:val="none"/>
              </w:rPr>
              <w:t>投标有效期：自投标截止日起</w:t>
            </w:r>
            <w:r>
              <w:rPr>
                <w:rFonts w:hint="eastAsia" w:ascii="宋体" w:hAnsi="宋体"/>
                <w:sz w:val="24"/>
                <w:highlight w:val="none"/>
                <w:u w:val="single"/>
              </w:rPr>
              <w:t xml:space="preserve"> 90 </w:t>
            </w:r>
            <w:r>
              <w:rPr>
                <w:rFonts w:hint="eastAsia" w:ascii="宋体" w:hAnsi="宋体"/>
                <w:sz w:val="24"/>
                <w:highlight w:val="none"/>
              </w:rPr>
              <w:t>天响应文件应保持有效</w:t>
            </w:r>
          </w:p>
        </w:tc>
      </w:tr>
      <w:tr w14:paraId="509FC5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4" w:type="dxa"/>
            <w:tcBorders>
              <w:top w:val="single" w:color="auto" w:sz="4" w:space="0"/>
              <w:left w:val="single" w:color="auto" w:sz="4" w:space="0"/>
              <w:bottom w:val="single" w:color="auto" w:sz="4" w:space="0"/>
              <w:right w:val="single" w:color="auto" w:sz="4" w:space="0"/>
            </w:tcBorders>
            <w:vAlign w:val="center"/>
          </w:tcPr>
          <w:p w14:paraId="2F27F883">
            <w:pPr>
              <w:snapToGrid w:val="0"/>
              <w:spacing w:line="400" w:lineRule="exact"/>
              <w:jc w:val="center"/>
              <w:rPr>
                <w:rFonts w:ascii="宋体" w:hAnsi="宋体"/>
                <w:sz w:val="24"/>
                <w:highlight w:val="none"/>
              </w:rPr>
            </w:pPr>
            <w:r>
              <w:rPr>
                <w:rFonts w:hint="eastAsia" w:ascii="宋体" w:hAnsi="宋体"/>
                <w:sz w:val="24"/>
                <w:highlight w:val="none"/>
              </w:rPr>
              <w:t>9</w:t>
            </w:r>
          </w:p>
        </w:tc>
        <w:tc>
          <w:tcPr>
            <w:tcW w:w="9743" w:type="dxa"/>
            <w:tcBorders>
              <w:top w:val="single" w:color="auto" w:sz="4" w:space="0"/>
              <w:left w:val="single" w:color="auto" w:sz="4" w:space="0"/>
              <w:bottom w:val="single" w:color="auto" w:sz="4" w:space="0"/>
              <w:right w:val="single" w:color="auto" w:sz="4" w:space="0"/>
            </w:tcBorders>
            <w:vAlign w:val="center"/>
          </w:tcPr>
          <w:p w14:paraId="4D4E0469">
            <w:pPr>
              <w:autoSpaceDE w:val="0"/>
              <w:autoSpaceDN w:val="0"/>
              <w:snapToGrid w:val="0"/>
              <w:spacing w:line="400" w:lineRule="exact"/>
              <w:textAlignment w:val="bottom"/>
              <w:rPr>
                <w:rFonts w:ascii="宋体" w:hAnsi="宋体"/>
                <w:b/>
                <w:sz w:val="24"/>
                <w:highlight w:val="none"/>
                <w:u w:val="single"/>
              </w:rPr>
            </w:pPr>
            <w:r>
              <w:rPr>
                <w:rFonts w:hint="eastAsia" w:ascii="宋体" w:hAnsi="宋体"/>
                <w:b/>
                <w:sz w:val="24"/>
                <w:highlight w:val="none"/>
                <w:u w:val="single"/>
                <w:shd w:val="pct10" w:color="auto" w:fill="FFFFFF"/>
              </w:rPr>
              <w:t>实质性条款：带▲是实质性条款，投标人不得负偏离或内容缺失，否则为无效标。</w:t>
            </w:r>
          </w:p>
        </w:tc>
      </w:tr>
      <w:tr w14:paraId="189346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4" w:type="dxa"/>
            <w:tcBorders>
              <w:top w:val="single" w:color="auto" w:sz="4" w:space="0"/>
              <w:left w:val="single" w:color="auto" w:sz="4" w:space="0"/>
              <w:bottom w:val="single" w:color="auto" w:sz="4" w:space="0"/>
              <w:right w:val="single" w:color="auto" w:sz="4" w:space="0"/>
            </w:tcBorders>
            <w:vAlign w:val="center"/>
          </w:tcPr>
          <w:p w14:paraId="559D93B7">
            <w:pPr>
              <w:snapToGrid w:val="0"/>
              <w:spacing w:line="400" w:lineRule="exact"/>
              <w:jc w:val="center"/>
              <w:rPr>
                <w:rFonts w:ascii="宋体" w:hAnsi="宋体"/>
                <w:sz w:val="24"/>
                <w:highlight w:val="none"/>
              </w:rPr>
            </w:pPr>
            <w:r>
              <w:rPr>
                <w:rFonts w:hint="eastAsia" w:ascii="宋体" w:hAnsi="宋体"/>
                <w:sz w:val="24"/>
                <w:highlight w:val="none"/>
              </w:rPr>
              <w:t>10</w:t>
            </w:r>
          </w:p>
        </w:tc>
        <w:tc>
          <w:tcPr>
            <w:tcW w:w="9743" w:type="dxa"/>
            <w:tcBorders>
              <w:top w:val="single" w:color="auto" w:sz="4" w:space="0"/>
              <w:left w:val="single" w:color="auto" w:sz="4" w:space="0"/>
              <w:bottom w:val="single" w:color="auto" w:sz="4" w:space="0"/>
              <w:right w:val="single" w:color="auto" w:sz="4" w:space="0"/>
            </w:tcBorders>
            <w:vAlign w:val="center"/>
          </w:tcPr>
          <w:p w14:paraId="14255399">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中标公告：开标结束后2个工作日内,中标公告发布于</w:t>
            </w:r>
            <w:r>
              <w:rPr>
                <w:rFonts w:hint="eastAsia" w:ascii="宋体" w:hAnsi="宋体" w:cs="Arial"/>
                <w:sz w:val="24"/>
                <w:highlight w:val="none"/>
              </w:rPr>
              <w:t>采购公告发布的网站（</w:t>
            </w:r>
            <w:r>
              <w:rPr>
                <w:rFonts w:hint="eastAsia" w:ascii="宋体" w:hAnsi="宋体" w:cs="Arial"/>
                <w:kern w:val="0"/>
                <w:sz w:val="24"/>
                <w:highlight w:val="none"/>
              </w:rPr>
              <w:t>临海市限额以下公共资源交易区域平台</w:t>
            </w:r>
            <w:r>
              <w:rPr>
                <w:rFonts w:hint="eastAsia" w:ascii="宋体" w:hAnsi="宋体" w:cs="Arial"/>
                <w:sz w:val="24"/>
                <w:highlight w:val="none"/>
              </w:rPr>
              <w:t>）。</w:t>
            </w:r>
          </w:p>
        </w:tc>
      </w:tr>
      <w:tr w14:paraId="53C78F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4" w:type="dxa"/>
            <w:tcBorders>
              <w:top w:val="single" w:color="auto" w:sz="4" w:space="0"/>
              <w:left w:val="single" w:color="auto" w:sz="4" w:space="0"/>
              <w:bottom w:val="single" w:color="auto" w:sz="4" w:space="0"/>
              <w:right w:val="single" w:color="auto" w:sz="4" w:space="0"/>
            </w:tcBorders>
            <w:vAlign w:val="center"/>
          </w:tcPr>
          <w:p w14:paraId="55A3D736">
            <w:pPr>
              <w:snapToGrid w:val="0"/>
              <w:spacing w:line="400" w:lineRule="exact"/>
              <w:jc w:val="center"/>
              <w:rPr>
                <w:rFonts w:ascii="宋体" w:hAnsi="宋体"/>
                <w:sz w:val="24"/>
                <w:highlight w:val="none"/>
              </w:rPr>
            </w:pPr>
            <w:r>
              <w:rPr>
                <w:rFonts w:hint="eastAsia" w:ascii="宋体" w:hAnsi="宋体"/>
                <w:sz w:val="24"/>
                <w:highlight w:val="none"/>
              </w:rPr>
              <w:t>11</w:t>
            </w:r>
          </w:p>
        </w:tc>
        <w:tc>
          <w:tcPr>
            <w:tcW w:w="9743" w:type="dxa"/>
            <w:tcBorders>
              <w:top w:val="single" w:color="auto" w:sz="4" w:space="0"/>
              <w:left w:val="single" w:color="auto" w:sz="4" w:space="0"/>
              <w:bottom w:val="single" w:color="auto" w:sz="4" w:space="0"/>
              <w:right w:val="single" w:color="auto" w:sz="4" w:space="0"/>
            </w:tcBorders>
            <w:vAlign w:val="center"/>
          </w:tcPr>
          <w:p w14:paraId="1B39689C">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签订合同时间：中标通知书发出后30日内。</w:t>
            </w:r>
          </w:p>
        </w:tc>
      </w:tr>
      <w:tr w14:paraId="6C49E6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4" w:type="dxa"/>
            <w:tcBorders>
              <w:top w:val="single" w:color="auto" w:sz="4" w:space="0"/>
              <w:left w:val="single" w:color="auto" w:sz="4" w:space="0"/>
              <w:bottom w:val="single" w:color="auto" w:sz="4" w:space="0"/>
              <w:right w:val="single" w:color="auto" w:sz="4" w:space="0"/>
            </w:tcBorders>
            <w:vAlign w:val="center"/>
          </w:tcPr>
          <w:p w14:paraId="15DE2B3E">
            <w:pPr>
              <w:snapToGrid w:val="0"/>
              <w:spacing w:line="400" w:lineRule="exact"/>
              <w:jc w:val="center"/>
              <w:rPr>
                <w:rFonts w:ascii="宋体" w:hAnsi="宋体"/>
                <w:sz w:val="24"/>
                <w:highlight w:val="none"/>
              </w:rPr>
            </w:pPr>
            <w:r>
              <w:rPr>
                <w:rFonts w:hint="eastAsia" w:ascii="宋体" w:hAnsi="宋体"/>
                <w:sz w:val="24"/>
                <w:highlight w:val="none"/>
              </w:rPr>
              <w:t>12</w:t>
            </w:r>
          </w:p>
        </w:tc>
        <w:tc>
          <w:tcPr>
            <w:tcW w:w="9743" w:type="dxa"/>
            <w:tcBorders>
              <w:top w:val="single" w:color="auto" w:sz="4" w:space="0"/>
              <w:left w:val="single" w:color="auto" w:sz="4" w:space="0"/>
              <w:bottom w:val="single" w:color="auto" w:sz="4" w:space="0"/>
              <w:right w:val="single" w:color="auto" w:sz="4" w:space="0"/>
            </w:tcBorders>
            <w:vAlign w:val="center"/>
          </w:tcPr>
          <w:p w14:paraId="09E75676">
            <w:pPr>
              <w:pStyle w:val="21"/>
              <w:spacing w:line="400" w:lineRule="exact"/>
              <w:jc w:val="left"/>
              <w:rPr>
                <w:rFonts w:hint="default" w:ascii="宋体" w:hAnsi="宋体" w:eastAsia="宋体"/>
                <w:sz w:val="24"/>
                <w:highlight w:val="none"/>
                <w:lang w:val="en-US" w:eastAsia="zh-CN"/>
              </w:rPr>
            </w:pPr>
            <w:r>
              <w:rPr>
                <w:rFonts w:hint="eastAsia" w:ascii="宋体" w:hAnsi="宋体"/>
                <w:sz w:val="24"/>
                <w:highlight w:val="none"/>
              </w:rPr>
              <w:t>▲付款方式：</w:t>
            </w:r>
            <w:r>
              <w:rPr>
                <w:rFonts w:hint="eastAsia" w:ascii="宋体" w:hAnsi="宋体"/>
                <w:sz w:val="24"/>
                <w:highlight w:val="none"/>
                <w:lang w:val="en-US" w:eastAsia="zh-CN"/>
              </w:rPr>
              <w:t>合同签订生效并具备实施条件后，支付合同金额的50%，项目服务期到期无质量问题，支付余下的合同金额50%。</w:t>
            </w:r>
            <w:r>
              <w:rPr>
                <w:rFonts w:hint="eastAsia" w:ascii="宋体" w:hAnsi="宋体" w:eastAsia="宋体" w:cs="宋体"/>
                <w:bCs/>
                <w:color w:val="000000"/>
                <w:sz w:val="24"/>
                <w:szCs w:val="24"/>
                <w:highlight w:val="none"/>
              </w:rPr>
              <w:t>采购人付款前，</w:t>
            </w:r>
            <w:r>
              <w:rPr>
                <w:rFonts w:hint="eastAsia" w:ascii="宋体" w:hAnsi="宋体" w:eastAsia="宋体" w:cs="宋体"/>
                <w:bCs/>
                <w:color w:val="000000"/>
                <w:sz w:val="24"/>
                <w:szCs w:val="24"/>
                <w:highlight w:val="none"/>
                <w:lang w:eastAsia="zh-CN"/>
              </w:rPr>
              <w:t>成交供应商</w:t>
            </w:r>
            <w:r>
              <w:rPr>
                <w:rFonts w:hint="eastAsia" w:ascii="宋体" w:hAnsi="宋体" w:eastAsia="宋体" w:cs="宋体"/>
                <w:bCs/>
                <w:color w:val="000000"/>
                <w:sz w:val="24"/>
                <w:szCs w:val="24"/>
                <w:highlight w:val="none"/>
              </w:rPr>
              <w:t>须提供正规合法的等额发票，否则采购人有权拒绝付款，且不因此承担任何违约责任。</w:t>
            </w:r>
          </w:p>
        </w:tc>
      </w:tr>
      <w:tr w14:paraId="3EF78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4" w:type="dxa"/>
            <w:tcBorders>
              <w:top w:val="single" w:color="auto" w:sz="4" w:space="0"/>
              <w:left w:val="single" w:color="auto" w:sz="4" w:space="0"/>
              <w:bottom w:val="single" w:color="auto" w:sz="4" w:space="0"/>
              <w:right w:val="single" w:color="auto" w:sz="4" w:space="0"/>
            </w:tcBorders>
            <w:vAlign w:val="center"/>
          </w:tcPr>
          <w:p w14:paraId="3AB4CE4D">
            <w:pPr>
              <w:snapToGrid w:val="0"/>
              <w:spacing w:line="400" w:lineRule="exact"/>
              <w:jc w:val="center"/>
              <w:rPr>
                <w:rFonts w:ascii="宋体" w:hAnsi="宋体"/>
                <w:sz w:val="24"/>
                <w:highlight w:val="none"/>
              </w:rPr>
            </w:pPr>
            <w:r>
              <w:rPr>
                <w:rFonts w:hint="eastAsia" w:ascii="宋体" w:hAnsi="宋体"/>
                <w:sz w:val="24"/>
                <w:highlight w:val="none"/>
              </w:rPr>
              <w:t>13</w:t>
            </w:r>
          </w:p>
        </w:tc>
        <w:tc>
          <w:tcPr>
            <w:tcW w:w="9743" w:type="dxa"/>
            <w:tcBorders>
              <w:top w:val="single" w:color="auto" w:sz="4" w:space="0"/>
              <w:left w:val="single" w:color="auto" w:sz="4" w:space="0"/>
              <w:bottom w:val="single" w:color="auto" w:sz="4" w:space="0"/>
              <w:right w:val="single" w:color="auto" w:sz="4" w:space="0"/>
            </w:tcBorders>
            <w:vAlign w:val="center"/>
          </w:tcPr>
          <w:p w14:paraId="7EE19867">
            <w:pPr>
              <w:pStyle w:val="21"/>
              <w:spacing w:line="400" w:lineRule="exact"/>
              <w:jc w:val="left"/>
              <w:rPr>
                <w:rFonts w:hint="default" w:ascii="宋体" w:hAnsi="宋体" w:eastAsia="宋体"/>
                <w:sz w:val="24"/>
                <w:highlight w:val="none"/>
                <w:lang w:val="en-US" w:eastAsia="zh-CN"/>
              </w:rPr>
            </w:pPr>
            <w:r>
              <w:rPr>
                <w:rFonts w:hint="eastAsia" w:ascii="宋体" w:hAnsi="宋体"/>
                <w:sz w:val="24"/>
                <w:highlight w:val="none"/>
              </w:rPr>
              <w:t>履约保证金的收取及退还:</w:t>
            </w:r>
            <w:r>
              <w:rPr>
                <w:rFonts w:ascii="宋体" w:hAnsi="宋体"/>
                <w:sz w:val="24"/>
                <w:highlight w:val="none"/>
              </w:rPr>
              <w:t xml:space="preserve"> </w:t>
            </w:r>
            <w:r>
              <w:rPr>
                <w:rFonts w:hint="eastAsia" w:ascii="宋体" w:hAnsi="宋体"/>
                <w:sz w:val="24"/>
                <w:highlight w:val="none"/>
                <w:lang w:val="en-US" w:eastAsia="zh-CN"/>
              </w:rPr>
              <w:t>本项目不设履约保证金</w:t>
            </w:r>
          </w:p>
        </w:tc>
      </w:tr>
      <w:tr w14:paraId="5F9A38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trPr>
        <w:tc>
          <w:tcPr>
            <w:tcW w:w="704" w:type="dxa"/>
            <w:tcBorders>
              <w:top w:val="single" w:color="auto" w:sz="4" w:space="0"/>
              <w:left w:val="single" w:color="auto" w:sz="4" w:space="0"/>
              <w:bottom w:val="single" w:color="auto" w:sz="4" w:space="0"/>
              <w:right w:val="single" w:color="auto" w:sz="4" w:space="0"/>
            </w:tcBorders>
            <w:vAlign w:val="center"/>
          </w:tcPr>
          <w:p w14:paraId="546B3DC0">
            <w:pPr>
              <w:snapToGrid w:val="0"/>
              <w:spacing w:line="400" w:lineRule="exact"/>
              <w:jc w:val="center"/>
              <w:rPr>
                <w:rFonts w:ascii="宋体" w:hAnsi="宋体"/>
                <w:sz w:val="24"/>
                <w:highlight w:val="none"/>
              </w:rPr>
            </w:pPr>
            <w:r>
              <w:rPr>
                <w:rFonts w:hint="eastAsia" w:ascii="宋体" w:hAnsi="宋体"/>
                <w:sz w:val="24"/>
                <w:highlight w:val="none"/>
              </w:rPr>
              <w:t>14</w:t>
            </w:r>
          </w:p>
        </w:tc>
        <w:tc>
          <w:tcPr>
            <w:tcW w:w="9743" w:type="dxa"/>
            <w:tcBorders>
              <w:top w:val="single" w:color="auto" w:sz="4" w:space="0"/>
              <w:left w:val="single" w:color="auto" w:sz="4" w:space="0"/>
              <w:bottom w:val="single" w:color="auto" w:sz="4" w:space="0"/>
              <w:right w:val="single" w:color="auto" w:sz="4" w:space="0"/>
            </w:tcBorders>
            <w:vAlign w:val="center"/>
          </w:tcPr>
          <w:p w14:paraId="6D4ADEA9">
            <w:pPr>
              <w:pStyle w:val="21"/>
              <w:spacing w:line="400" w:lineRule="exact"/>
              <w:jc w:val="left"/>
              <w:rPr>
                <w:rFonts w:ascii="宋体" w:hAnsi="宋体"/>
                <w:sz w:val="24"/>
                <w:highlight w:val="none"/>
              </w:rPr>
            </w:pPr>
            <w:r>
              <w:rPr>
                <w:rFonts w:hint="eastAsia" w:ascii="宋体" w:hAnsi="宋体"/>
                <w:sz w:val="24"/>
                <w:highlight w:val="none"/>
              </w:rPr>
              <w:t>电子响应文件的上传：</w:t>
            </w:r>
          </w:p>
          <w:p w14:paraId="60E5B3BF">
            <w:pPr>
              <w:pStyle w:val="21"/>
              <w:spacing w:line="400" w:lineRule="exact"/>
              <w:jc w:val="left"/>
              <w:rPr>
                <w:rFonts w:ascii="宋体" w:hAnsi="宋体"/>
                <w:sz w:val="24"/>
                <w:highlight w:val="none"/>
              </w:rPr>
            </w:pPr>
            <w:r>
              <w:rPr>
                <w:rFonts w:hint="eastAsia" w:ascii="宋体" w:hAnsi="宋体"/>
                <w:sz w:val="24"/>
                <w:highlight w:val="none"/>
              </w:rPr>
              <w:t>（1）电子响应文件可在投标截止时间前上传，未在投标截止时间前上传的响应文件视为无效标。</w:t>
            </w:r>
          </w:p>
          <w:p w14:paraId="712C1B85">
            <w:pPr>
              <w:pStyle w:val="21"/>
              <w:spacing w:line="400" w:lineRule="exact"/>
              <w:jc w:val="left"/>
              <w:rPr>
                <w:rFonts w:ascii="宋体" w:hAnsi="宋体"/>
                <w:sz w:val="24"/>
                <w:highlight w:val="none"/>
              </w:rPr>
            </w:pPr>
            <w:r>
              <w:rPr>
                <w:rFonts w:hint="eastAsia" w:ascii="宋体" w:hAnsi="宋体"/>
                <w:sz w:val="24"/>
                <w:highlight w:val="none"/>
              </w:rPr>
              <w:t>（2）上传加密的电子响应文件，后缀名为（.响应文件）（本项目无需提供纸质响应文件，只要求上传电子响应文件正本一份）</w:t>
            </w:r>
          </w:p>
          <w:p w14:paraId="20D7E944">
            <w:pPr>
              <w:pStyle w:val="21"/>
              <w:spacing w:line="400" w:lineRule="exact"/>
              <w:jc w:val="left"/>
              <w:rPr>
                <w:rFonts w:ascii="宋体" w:hAnsi="宋体"/>
                <w:sz w:val="24"/>
                <w:highlight w:val="none"/>
              </w:rPr>
            </w:pPr>
            <w:r>
              <w:rPr>
                <w:rFonts w:hint="eastAsia" w:ascii="宋体" w:hAnsi="宋体"/>
                <w:sz w:val="24"/>
                <w:highlight w:val="none"/>
              </w:rPr>
              <w:t>CA咨询电话：400-0571-337，投标工具咨询电话：15267291759</w:t>
            </w:r>
          </w:p>
          <w:p w14:paraId="79922654">
            <w:pPr>
              <w:spacing w:line="400" w:lineRule="exact"/>
              <w:rPr>
                <w:rFonts w:ascii="宋体" w:hAnsi="宋体" w:cs="宋体"/>
                <w:sz w:val="22"/>
                <w:szCs w:val="22"/>
                <w:highlight w:val="none"/>
              </w:rPr>
            </w:pPr>
            <w:r>
              <w:rPr>
                <w:rFonts w:hint="eastAsia" w:ascii="宋体" w:hAnsi="宋体"/>
                <w:sz w:val="24"/>
                <w:highlight w:val="none"/>
              </w:rPr>
              <w:t>说明：</w:t>
            </w:r>
            <w:r>
              <w:rPr>
                <w:rFonts w:hint="eastAsia" w:ascii="宋体" w:hAnsi="宋体"/>
                <w:kern w:val="0"/>
                <w:sz w:val="24"/>
                <w:highlight w:val="none"/>
              </w:rPr>
              <w:t>开标时间到达后，在开启解密时间60分钟内（具体时间以不见面开标大厅</w:t>
            </w:r>
            <w:bookmarkStart w:id="12" w:name="_Hlk59625364"/>
            <w:r>
              <w:rPr>
                <w:rFonts w:hint="eastAsia" w:ascii="宋体" w:hAnsi="宋体"/>
                <w:kern w:val="0"/>
                <w:sz w:val="24"/>
                <w:highlight w:val="none"/>
              </w:rPr>
              <w:t>中显示的</w:t>
            </w:r>
            <w:bookmarkEnd w:id="12"/>
            <w:r>
              <w:rPr>
                <w:rFonts w:hint="eastAsia" w:ascii="宋体" w:hAnsi="宋体"/>
                <w:kern w:val="0"/>
                <w:sz w:val="24"/>
                <w:highlight w:val="none"/>
              </w:rPr>
              <w:t>解密截止时间为准），投标人须登录临海市限额以下公共资源交易区域平台-不见面开标大厅，找到所参与的项目进行解密响应文件，</w:t>
            </w:r>
            <w:bookmarkStart w:id="13" w:name="_Hlk59625972"/>
            <w:r>
              <w:rPr>
                <w:rFonts w:hint="eastAsia" w:ascii="宋体" w:hAnsi="宋体"/>
                <w:kern w:val="0"/>
                <w:sz w:val="24"/>
                <w:highlight w:val="none"/>
              </w:rPr>
              <w:t xml:space="preserve">投标人未按时解密或解密失败的，其响应文件为无效标。 </w:t>
            </w:r>
            <w:bookmarkEnd w:id="13"/>
          </w:p>
        </w:tc>
      </w:tr>
      <w:tr w14:paraId="548AA6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4" w:type="dxa"/>
            <w:tcBorders>
              <w:top w:val="single" w:color="auto" w:sz="4" w:space="0"/>
              <w:left w:val="single" w:color="auto" w:sz="4" w:space="0"/>
              <w:bottom w:val="single" w:color="auto" w:sz="4" w:space="0"/>
              <w:right w:val="single" w:color="auto" w:sz="4" w:space="0"/>
            </w:tcBorders>
            <w:vAlign w:val="center"/>
          </w:tcPr>
          <w:p w14:paraId="27CE7071">
            <w:pPr>
              <w:snapToGrid w:val="0"/>
              <w:spacing w:line="400" w:lineRule="exact"/>
              <w:jc w:val="center"/>
              <w:rPr>
                <w:rFonts w:ascii="宋体" w:hAnsi="宋体"/>
                <w:sz w:val="24"/>
                <w:highlight w:val="none"/>
              </w:rPr>
            </w:pPr>
            <w:r>
              <w:rPr>
                <w:rFonts w:hint="eastAsia" w:ascii="宋体" w:hAnsi="宋体"/>
                <w:sz w:val="24"/>
                <w:highlight w:val="none"/>
              </w:rPr>
              <w:t>15</w:t>
            </w:r>
          </w:p>
        </w:tc>
        <w:tc>
          <w:tcPr>
            <w:tcW w:w="9743" w:type="dxa"/>
            <w:tcBorders>
              <w:top w:val="single" w:color="auto" w:sz="4" w:space="0"/>
              <w:left w:val="single" w:color="auto" w:sz="4" w:space="0"/>
              <w:bottom w:val="single" w:color="auto" w:sz="4" w:space="0"/>
              <w:right w:val="single" w:color="auto" w:sz="4" w:space="0"/>
            </w:tcBorders>
            <w:vAlign w:val="center"/>
          </w:tcPr>
          <w:p w14:paraId="703B9746">
            <w:pPr>
              <w:pStyle w:val="21"/>
              <w:spacing w:line="400" w:lineRule="exact"/>
              <w:jc w:val="left"/>
              <w:rPr>
                <w:rFonts w:ascii="宋体" w:hAnsi="宋体"/>
                <w:sz w:val="24"/>
                <w:highlight w:val="none"/>
              </w:rPr>
            </w:pPr>
            <w:r>
              <w:rPr>
                <w:rFonts w:hint="eastAsia" w:ascii="宋体" w:hAnsi="宋体"/>
                <w:sz w:val="24"/>
                <w:highlight w:val="none"/>
              </w:rPr>
              <w:t>投标人平台使用费：</w:t>
            </w:r>
          </w:p>
          <w:p w14:paraId="12C1AAC5">
            <w:pPr>
              <w:pStyle w:val="21"/>
              <w:spacing w:line="400" w:lineRule="exact"/>
              <w:jc w:val="left"/>
              <w:rPr>
                <w:rFonts w:ascii="宋体" w:hAnsi="宋体"/>
                <w:sz w:val="24"/>
                <w:highlight w:val="none"/>
              </w:rPr>
            </w:pPr>
            <w:r>
              <w:rPr>
                <w:rFonts w:hint="eastAsia" w:ascii="宋体" w:hAnsi="宋体"/>
                <w:sz w:val="24"/>
                <w:highlight w:val="none"/>
              </w:rPr>
              <w:t>项目金额50万元以下收费100元，50万元以上收费150元。</w:t>
            </w:r>
          </w:p>
          <w:p w14:paraId="276738B4">
            <w:pPr>
              <w:pStyle w:val="21"/>
              <w:spacing w:line="400" w:lineRule="exact"/>
              <w:jc w:val="left"/>
              <w:rPr>
                <w:rFonts w:ascii="宋体" w:hAnsi="宋体"/>
                <w:sz w:val="24"/>
                <w:highlight w:val="none"/>
              </w:rPr>
            </w:pPr>
            <w:r>
              <w:rPr>
                <w:rFonts w:hint="eastAsia" w:ascii="宋体" w:hAnsi="宋体"/>
                <w:sz w:val="24"/>
                <w:highlight w:val="none"/>
              </w:rPr>
              <w:t>开户名：临海市产权交易所有限公司</w:t>
            </w:r>
          </w:p>
          <w:p w14:paraId="3937A2D8">
            <w:pPr>
              <w:pStyle w:val="21"/>
              <w:spacing w:line="400" w:lineRule="exact"/>
              <w:jc w:val="left"/>
              <w:rPr>
                <w:rFonts w:ascii="宋体" w:hAnsi="宋体"/>
                <w:sz w:val="24"/>
                <w:highlight w:val="none"/>
              </w:rPr>
            </w:pPr>
            <w:r>
              <w:rPr>
                <w:rFonts w:hint="eastAsia" w:ascii="宋体" w:hAnsi="宋体"/>
                <w:sz w:val="24"/>
                <w:highlight w:val="none"/>
              </w:rPr>
              <w:t>开户行：浙江临海农村商业银行股份有限公司科技支行；</w:t>
            </w:r>
          </w:p>
          <w:p w14:paraId="13E7E9B8">
            <w:pPr>
              <w:pStyle w:val="21"/>
              <w:spacing w:line="400" w:lineRule="exact"/>
              <w:jc w:val="left"/>
              <w:rPr>
                <w:rFonts w:ascii="宋体" w:hAnsi="宋体"/>
                <w:sz w:val="24"/>
                <w:highlight w:val="none"/>
              </w:rPr>
            </w:pPr>
            <w:r>
              <w:rPr>
                <w:rFonts w:hint="eastAsia" w:ascii="宋体" w:hAnsi="宋体"/>
                <w:sz w:val="24"/>
                <w:highlight w:val="none"/>
              </w:rPr>
              <w:t>平台使用费账号：201000105503123000003</w:t>
            </w:r>
          </w:p>
          <w:p w14:paraId="205C97B7">
            <w:pPr>
              <w:pStyle w:val="21"/>
              <w:spacing w:line="400" w:lineRule="exact"/>
              <w:jc w:val="left"/>
              <w:rPr>
                <w:rFonts w:ascii="宋体" w:hAnsi="宋体"/>
                <w:sz w:val="24"/>
                <w:highlight w:val="none"/>
              </w:rPr>
            </w:pPr>
            <w:r>
              <w:rPr>
                <w:rFonts w:hint="eastAsia" w:ascii="宋体" w:hAnsi="宋体"/>
                <w:sz w:val="24"/>
                <w:highlight w:val="none"/>
              </w:rPr>
              <w:t>临海市产权交易所有限公司财务咨询电话：0576-85407100。</w:t>
            </w:r>
          </w:p>
          <w:p w14:paraId="6AF19E3A">
            <w:pPr>
              <w:pStyle w:val="21"/>
              <w:spacing w:line="400" w:lineRule="exact"/>
              <w:jc w:val="left"/>
              <w:rPr>
                <w:rFonts w:ascii="宋体" w:hAnsi="宋体"/>
                <w:sz w:val="24"/>
                <w:highlight w:val="none"/>
              </w:rPr>
            </w:pPr>
            <w:r>
              <w:rPr>
                <w:rFonts w:hint="eastAsia" w:ascii="宋体" w:hAnsi="宋体"/>
                <w:sz w:val="24"/>
                <w:highlight w:val="none"/>
              </w:rPr>
              <w:t>注意：请提前缴纳相关费用，以防影响正常投标。</w:t>
            </w:r>
          </w:p>
        </w:tc>
      </w:tr>
      <w:tr w14:paraId="0C990A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04" w:type="dxa"/>
            <w:tcBorders>
              <w:top w:val="single" w:color="auto" w:sz="4" w:space="0"/>
              <w:left w:val="single" w:color="auto" w:sz="4" w:space="0"/>
              <w:bottom w:val="single" w:color="auto" w:sz="4" w:space="0"/>
              <w:right w:val="single" w:color="auto" w:sz="4" w:space="0"/>
            </w:tcBorders>
            <w:vAlign w:val="center"/>
          </w:tcPr>
          <w:p w14:paraId="72185487">
            <w:pPr>
              <w:snapToGrid w:val="0"/>
              <w:spacing w:line="400" w:lineRule="exact"/>
              <w:jc w:val="center"/>
              <w:rPr>
                <w:rFonts w:ascii="宋体" w:hAnsi="宋体"/>
                <w:sz w:val="24"/>
                <w:highlight w:val="none"/>
              </w:rPr>
            </w:pPr>
            <w:r>
              <w:rPr>
                <w:rFonts w:hint="eastAsia" w:ascii="宋体" w:hAnsi="宋体"/>
                <w:sz w:val="24"/>
                <w:highlight w:val="none"/>
              </w:rPr>
              <w:t>1</w:t>
            </w:r>
            <w:r>
              <w:rPr>
                <w:rFonts w:ascii="宋体" w:hAnsi="宋体"/>
                <w:sz w:val="24"/>
                <w:highlight w:val="none"/>
              </w:rPr>
              <w:t>6</w:t>
            </w:r>
          </w:p>
        </w:tc>
        <w:tc>
          <w:tcPr>
            <w:tcW w:w="9743" w:type="dxa"/>
            <w:tcBorders>
              <w:top w:val="single" w:color="auto" w:sz="4" w:space="0"/>
              <w:left w:val="single" w:color="auto" w:sz="4" w:space="0"/>
              <w:bottom w:val="single" w:color="auto" w:sz="4" w:space="0"/>
              <w:right w:val="single" w:color="auto" w:sz="4" w:space="0"/>
            </w:tcBorders>
            <w:vAlign w:val="center"/>
          </w:tcPr>
          <w:p w14:paraId="3EBB23D3">
            <w:pPr>
              <w:pStyle w:val="21"/>
              <w:spacing w:line="400" w:lineRule="exact"/>
              <w:jc w:val="left"/>
              <w:rPr>
                <w:rFonts w:ascii="宋体" w:hAnsi="宋体"/>
                <w:sz w:val="24"/>
                <w:highlight w:val="none"/>
              </w:rPr>
            </w:pPr>
            <w:r>
              <w:rPr>
                <w:rFonts w:hint="eastAsia" w:ascii="宋体" w:hAnsi="宋体"/>
                <w:sz w:val="24"/>
                <w:highlight w:val="none"/>
              </w:rPr>
              <w:t>电子发票申请方式：</w:t>
            </w:r>
          </w:p>
          <w:p w14:paraId="309C2B2D">
            <w:pPr>
              <w:pStyle w:val="21"/>
              <w:spacing w:line="400" w:lineRule="exact"/>
              <w:jc w:val="left"/>
              <w:rPr>
                <w:rFonts w:ascii="宋体" w:hAnsi="宋体"/>
                <w:sz w:val="24"/>
                <w:highlight w:val="none"/>
              </w:rPr>
            </w:pPr>
            <w:r>
              <w:rPr>
                <w:rFonts w:hint="eastAsia" w:ascii="宋体" w:hAnsi="宋体"/>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3769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704" w:type="dxa"/>
            <w:tcBorders>
              <w:top w:val="single" w:color="auto" w:sz="4" w:space="0"/>
              <w:left w:val="single" w:color="auto" w:sz="4" w:space="0"/>
              <w:bottom w:val="single" w:color="auto" w:sz="4" w:space="0"/>
              <w:right w:val="single" w:color="auto" w:sz="4" w:space="0"/>
            </w:tcBorders>
            <w:vAlign w:val="center"/>
          </w:tcPr>
          <w:p w14:paraId="5AF53C2E">
            <w:pPr>
              <w:snapToGrid w:val="0"/>
              <w:spacing w:line="400" w:lineRule="exact"/>
              <w:jc w:val="center"/>
              <w:rPr>
                <w:rFonts w:ascii="宋体" w:hAnsi="宋体"/>
                <w:sz w:val="24"/>
                <w:highlight w:val="none"/>
              </w:rPr>
            </w:pPr>
            <w:r>
              <w:rPr>
                <w:rFonts w:hint="eastAsia" w:ascii="宋体" w:hAnsi="宋体"/>
                <w:sz w:val="24"/>
                <w:highlight w:val="none"/>
              </w:rPr>
              <w:t>17</w:t>
            </w:r>
          </w:p>
        </w:tc>
        <w:tc>
          <w:tcPr>
            <w:tcW w:w="9743" w:type="dxa"/>
            <w:tcBorders>
              <w:top w:val="single" w:color="auto" w:sz="4" w:space="0"/>
              <w:left w:val="single" w:color="auto" w:sz="4" w:space="0"/>
              <w:bottom w:val="single" w:color="auto" w:sz="4" w:space="0"/>
              <w:right w:val="single" w:color="auto" w:sz="4" w:space="0"/>
            </w:tcBorders>
            <w:vAlign w:val="center"/>
          </w:tcPr>
          <w:p w14:paraId="4082555C">
            <w:pPr>
              <w:pStyle w:val="21"/>
              <w:spacing w:line="400" w:lineRule="exact"/>
              <w:jc w:val="left"/>
              <w:rPr>
                <w:rFonts w:ascii="宋体" w:hAnsi="宋体"/>
                <w:sz w:val="24"/>
                <w:highlight w:val="none"/>
              </w:rPr>
            </w:pPr>
            <w:r>
              <w:rPr>
                <w:rFonts w:hint="eastAsia" w:ascii="宋体" w:hAnsi="宋体"/>
                <w:sz w:val="24"/>
                <w:highlight w:val="none"/>
              </w:rPr>
              <w:t>特别事项：</w:t>
            </w:r>
          </w:p>
          <w:p w14:paraId="3D9CF876">
            <w:pPr>
              <w:pStyle w:val="21"/>
              <w:spacing w:line="400" w:lineRule="exact"/>
              <w:jc w:val="left"/>
              <w:rPr>
                <w:rFonts w:ascii="宋体" w:hAnsi="宋体"/>
                <w:sz w:val="24"/>
                <w:highlight w:val="none"/>
              </w:rPr>
            </w:pPr>
            <w:r>
              <w:rPr>
                <w:rFonts w:hint="eastAsia" w:ascii="宋体" w:hAnsi="宋体"/>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11F20360">
            <w:pPr>
              <w:pStyle w:val="21"/>
              <w:spacing w:line="400" w:lineRule="exact"/>
              <w:jc w:val="left"/>
              <w:rPr>
                <w:rFonts w:ascii="宋体" w:hAnsi="宋体"/>
                <w:sz w:val="24"/>
                <w:highlight w:val="none"/>
              </w:rPr>
            </w:pPr>
            <w:r>
              <w:rPr>
                <w:rFonts w:hint="eastAsia" w:ascii="宋体" w:hAnsi="宋体"/>
                <w:sz w:val="24"/>
                <w:highlight w:val="none"/>
              </w:rPr>
              <w:t>本项目为全过程电子招投标，潜在投标人须办理CA数字证书，且CA数字证书在临海市限额以下公共资源交易区域平台交易系统进行绑定，否则无法上传、解密电子响应文件。若未办理CA数字证书，办理详见平台网站办事指南“临海市限额以下公共资源交易区域平台--企业注册及CA业务操作手册v1”，或者联系客服电话：400-0571-337</w:t>
            </w:r>
          </w:p>
          <w:p w14:paraId="26E62B80">
            <w:pPr>
              <w:pStyle w:val="21"/>
              <w:spacing w:line="400" w:lineRule="exact"/>
              <w:jc w:val="left"/>
              <w:rPr>
                <w:rFonts w:ascii="宋体" w:hAnsi="宋体"/>
                <w:sz w:val="24"/>
                <w:highlight w:val="none"/>
              </w:rPr>
            </w:pPr>
            <w:r>
              <w:rPr>
                <w:rFonts w:hint="eastAsia" w:ascii="宋体" w:hAnsi="宋体"/>
                <w:sz w:val="24"/>
                <w:highlight w:val="none"/>
              </w:rPr>
              <w:t>本项目电子响应文件须通过临海市限额以下公共资源交易区域平台—电子响应文件编制工具制作，响应文件的编制应根据电子磋商文件进行编制，上传相应的pdf文件并加盖电子签章。如未按磋商文件要求编制、上传电子响应文件，作废标处理，其后果由投标人自负。（电子响应文件编制工具可在临海市限额以下公共资源交易区域平台交易系统（https://jypt.lhcqjy.com.cn/）中下载）。</w:t>
            </w:r>
          </w:p>
          <w:p w14:paraId="637462E3">
            <w:pPr>
              <w:pStyle w:val="21"/>
              <w:spacing w:line="400" w:lineRule="exact"/>
              <w:jc w:val="left"/>
              <w:rPr>
                <w:rFonts w:ascii="宋体" w:hAnsi="宋体"/>
                <w:sz w:val="24"/>
                <w:highlight w:val="none"/>
              </w:rPr>
            </w:pPr>
            <w:r>
              <w:rPr>
                <w:rFonts w:hint="eastAsia" w:ascii="宋体" w:hAnsi="宋体"/>
                <w:sz w:val="24"/>
                <w:highlight w:val="none"/>
              </w:rPr>
              <w:t>软件技术支持电话：15267291759（同微信）。</w:t>
            </w:r>
          </w:p>
        </w:tc>
      </w:tr>
      <w:tr w14:paraId="2A57E7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704" w:type="dxa"/>
            <w:tcBorders>
              <w:top w:val="single" w:color="auto" w:sz="4" w:space="0"/>
              <w:left w:val="single" w:color="auto" w:sz="4" w:space="0"/>
              <w:bottom w:val="single" w:color="auto" w:sz="4" w:space="0"/>
              <w:right w:val="single" w:color="auto" w:sz="4" w:space="0"/>
            </w:tcBorders>
            <w:vAlign w:val="center"/>
          </w:tcPr>
          <w:p w14:paraId="7E5E6D70">
            <w:pPr>
              <w:snapToGrid w:val="0"/>
              <w:spacing w:line="400" w:lineRule="exact"/>
              <w:jc w:val="center"/>
              <w:rPr>
                <w:rFonts w:ascii="宋体" w:hAnsi="宋体"/>
                <w:sz w:val="24"/>
                <w:highlight w:val="none"/>
              </w:rPr>
            </w:pPr>
            <w:r>
              <w:rPr>
                <w:rFonts w:hint="eastAsia" w:ascii="宋体" w:hAnsi="宋体"/>
                <w:sz w:val="24"/>
                <w:highlight w:val="none"/>
              </w:rPr>
              <w:t>18</w:t>
            </w:r>
          </w:p>
        </w:tc>
        <w:tc>
          <w:tcPr>
            <w:tcW w:w="9743" w:type="dxa"/>
            <w:tcBorders>
              <w:top w:val="single" w:color="auto" w:sz="4" w:space="0"/>
              <w:left w:val="single" w:color="auto" w:sz="4" w:space="0"/>
              <w:bottom w:val="single" w:color="auto" w:sz="4" w:space="0"/>
              <w:right w:val="single" w:color="auto" w:sz="4" w:space="0"/>
            </w:tcBorders>
            <w:vAlign w:val="center"/>
          </w:tcPr>
          <w:p w14:paraId="627851D7">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解释：本磋商文件的解释权属于招标人。</w:t>
            </w:r>
          </w:p>
        </w:tc>
      </w:tr>
    </w:tbl>
    <w:p w14:paraId="2E263300">
      <w:pPr>
        <w:pStyle w:val="31"/>
        <w:snapToGrid w:val="0"/>
        <w:spacing w:beforeLines="0" w:afterLines="0"/>
        <w:rPr>
          <w:rFonts w:hAnsi="宋体"/>
          <w:b/>
          <w:highlight w:val="none"/>
        </w:rPr>
      </w:pPr>
    </w:p>
    <w:p w14:paraId="79E2A4DE">
      <w:pPr>
        <w:pStyle w:val="31"/>
        <w:snapToGrid w:val="0"/>
        <w:spacing w:beforeLines="0" w:afterLines="0" w:line="420" w:lineRule="exact"/>
        <w:ind w:firstLine="482" w:firstLineChars="200"/>
        <w:rPr>
          <w:rFonts w:hAnsi="宋体"/>
          <w:b/>
          <w:highlight w:val="none"/>
        </w:rPr>
      </w:pPr>
      <w:r>
        <w:rPr>
          <w:rFonts w:hint="eastAsia" w:hAnsi="宋体"/>
          <w:b/>
          <w:highlight w:val="none"/>
        </w:rPr>
        <w:t>一 、总  则</w:t>
      </w:r>
    </w:p>
    <w:p w14:paraId="7050C2DA">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（一）适用范围</w:t>
      </w:r>
    </w:p>
    <w:p w14:paraId="21883C96">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本磋商文件适用于本项目的招标、投标、评标、定标、验收、合同履约、付款等行为。</w:t>
      </w:r>
    </w:p>
    <w:p w14:paraId="10C658F0">
      <w:pPr>
        <w:snapToGrid w:val="0"/>
        <w:spacing w:before="120" w:beforeLines="50" w:line="420" w:lineRule="exact"/>
        <w:ind w:firstLine="354" w:firstLineChars="147"/>
        <w:jc w:val="left"/>
        <w:rPr>
          <w:rFonts w:ascii="宋体" w:hAnsi="宋体"/>
          <w:b/>
          <w:sz w:val="24"/>
          <w:highlight w:val="none"/>
        </w:rPr>
      </w:pPr>
      <w:r>
        <w:rPr>
          <w:rFonts w:hint="eastAsia" w:ascii="宋体" w:hAnsi="宋体"/>
          <w:b/>
          <w:sz w:val="24"/>
          <w:highlight w:val="none"/>
        </w:rPr>
        <w:t>（二）定义</w:t>
      </w:r>
    </w:p>
    <w:p w14:paraId="6F64001F">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1.“招标人”系指组织本次招标的采购代理机构和采购单位。</w:t>
      </w:r>
    </w:p>
    <w:p w14:paraId="7A783FA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w:t>
      </w:r>
      <w:r>
        <w:rPr>
          <w:rFonts w:hint="eastAsia" w:ascii="宋体" w:hAnsi="宋体"/>
          <w:b/>
          <w:bCs/>
          <w:sz w:val="24"/>
          <w:highlight w:val="none"/>
          <w:u w:val="single"/>
          <w:shd w:val="pct10" w:color="auto" w:fill="FFFFFF"/>
        </w:rPr>
        <w:t>“供应商”系指向招标人提交磋商响应文件的单位和组织。</w:t>
      </w:r>
    </w:p>
    <w:p w14:paraId="71BE5821">
      <w:pPr>
        <w:snapToGrid w:val="0"/>
        <w:spacing w:line="420" w:lineRule="exact"/>
        <w:ind w:firstLine="482" w:firstLineChars="200"/>
        <w:jc w:val="left"/>
        <w:rPr>
          <w:rFonts w:ascii="宋体" w:hAnsi="宋体"/>
          <w:sz w:val="24"/>
          <w:highlight w:val="none"/>
        </w:rPr>
      </w:pPr>
      <w:r>
        <w:rPr>
          <w:rFonts w:hint="eastAsia" w:ascii="宋体" w:hAnsi="宋体"/>
          <w:b/>
          <w:bCs/>
          <w:sz w:val="24"/>
          <w:highlight w:val="none"/>
          <w:u w:val="single"/>
          <w:shd w:val="pct10" w:color="auto" w:fill="FFFFFF"/>
        </w:rPr>
        <w:t>“磋商响应文件”系指参与政府采购活动的供应商按照竞争性磋商文件要求编制的响应文件。</w:t>
      </w:r>
    </w:p>
    <w:p w14:paraId="07B70357">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4.“服务”系指磋商文件规定投标人须承担的安装、调试、技术协助、校准、培训、技术指导以及其他类似的义务。</w:t>
      </w:r>
    </w:p>
    <w:p w14:paraId="74C8DB44">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5.“项目”系指投标人按磋商文件规定向招标人提供的产品和服务。</w:t>
      </w:r>
    </w:p>
    <w:p w14:paraId="5219E8DE">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6.“书面形式”包括信函、传真、电报等。</w:t>
      </w:r>
    </w:p>
    <w:p w14:paraId="7230BB60">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7.“▲”系指实质性要求条款。</w:t>
      </w:r>
    </w:p>
    <w:p w14:paraId="47C41167">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（三）招标方式</w:t>
      </w:r>
    </w:p>
    <w:p w14:paraId="4B5BE51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本次招标采用竞争性磋商方式进行。</w:t>
      </w:r>
    </w:p>
    <w:p w14:paraId="645A68EE">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（四）投标委托</w:t>
      </w:r>
    </w:p>
    <w:p w14:paraId="2CF39065">
      <w:pPr>
        <w:pStyle w:val="23"/>
        <w:snapToGrid w:val="0"/>
        <w:spacing w:line="420" w:lineRule="exact"/>
        <w:ind w:firstLine="464" w:firstLineChars="200"/>
        <w:jc w:val="left"/>
        <w:rPr>
          <w:rFonts w:hAnsi="宋体"/>
          <w:sz w:val="24"/>
          <w:szCs w:val="24"/>
          <w:highlight w:val="none"/>
        </w:rPr>
      </w:pPr>
      <w:r>
        <w:rPr>
          <w:rFonts w:hint="eastAsia" w:hAnsi="宋体"/>
          <w:sz w:val="24"/>
          <w:szCs w:val="24"/>
          <w:highlight w:val="none"/>
        </w:rPr>
        <w:t>投标人代表须携带有效身份证件。如投标人代表不是法定代表人，须有法定代表人出具的授权委托书，格式见第六章。</w:t>
      </w:r>
    </w:p>
    <w:p w14:paraId="668775AA">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（五）投标费用及结算</w:t>
      </w:r>
    </w:p>
    <w:p w14:paraId="17F9E072">
      <w:pPr>
        <w:snapToGrid w:val="0"/>
        <w:spacing w:line="420" w:lineRule="exact"/>
        <w:ind w:firstLine="480" w:firstLineChars="200"/>
        <w:jc w:val="left"/>
        <w:rPr>
          <w:rFonts w:ascii="宋体" w:hAnsi="宋体" w:cs="宋体"/>
          <w:sz w:val="24"/>
          <w:highlight w:val="none"/>
        </w:rPr>
      </w:pPr>
      <w:r>
        <w:rPr>
          <w:rFonts w:hint="eastAsia" w:ascii="宋体" w:hAnsi="宋体" w:cs="宋体"/>
          <w:sz w:val="24"/>
          <w:highlight w:val="none"/>
        </w:rPr>
        <w:t>不论投标结果如何，投标人均应自行承担所有与投标有关的全部费用。</w:t>
      </w:r>
    </w:p>
    <w:p w14:paraId="05422B50">
      <w:pPr>
        <w:snapToGrid w:val="0"/>
        <w:spacing w:before="120" w:beforeLines="50" w:line="420" w:lineRule="exact"/>
        <w:ind w:firstLine="472" w:firstLineChars="196"/>
        <w:rPr>
          <w:rFonts w:ascii="宋体" w:hAnsi="宋体" w:cs="宋体"/>
          <w:b/>
          <w:kern w:val="0"/>
          <w:sz w:val="24"/>
          <w:highlight w:val="none"/>
        </w:rPr>
      </w:pPr>
      <w:r>
        <w:rPr>
          <w:rFonts w:hint="eastAsia" w:ascii="宋体" w:hAnsi="宋体"/>
          <w:b/>
          <w:sz w:val="24"/>
          <w:highlight w:val="none"/>
        </w:rPr>
        <w:t>（六）</w:t>
      </w:r>
      <w:r>
        <w:rPr>
          <w:rFonts w:hint="eastAsia" w:ascii="宋体" w:hAnsi="宋体" w:cs="宋体"/>
          <w:b/>
          <w:kern w:val="0"/>
          <w:sz w:val="24"/>
          <w:highlight w:val="none"/>
        </w:rPr>
        <w:t>转包与分包</w:t>
      </w:r>
    </w:p>
    <w:p w14:paraId="673D12ED">
      <w:pPr>
        <w:snapToGrid w:val="0"/>
        <w:spacing w:before="120" w:beforeLines="50" w:after="120" w:afterLines="50" w:line="460" w:lineRule="exact"/>
        <w:ind w:firstLine="480" w:firstLineChars="200"/>
        <w:rPr>
          <w:rFonts w:ascii="宋体" w:hAnsi="宋体"/>
          <w:sz w:val="24"/>
          <w:highlight w:val="none"/>
        </w:rPr>
      </w:pPr>
      <w:r>
        <w:rPr>
          <w:rFonts w:hint="eastAsia" w:ascii="宋体" w:hAnsi="宋体"/>
          <w:sz w:val="24"/>
          <w:highlight w:val="none"/>
        </w:rPr>
        <w:t>1.本合同范围的服务，应由</w:t>
      </w:r>
      <w:r>
        <w:rPr>
          <w:rFonts w:hint="eastAsia" w:hAnsi="宋体"/>
          <w:sz w:val="24"/>
          <w:highlight w:val="none"/>
        </w:rPr>
        <w:t>乙</w:t>
      </w:r>
      <w:r>
        <w:rPr>
          <w:rFonts w:hint="eastAsia" w:ascii="宋体" w:hAnsi="宋体"/>
          <w:sz w:val="24"/>
          <w:highlight w:val="none"/>
        </w:rPr>
        <w:t>方直接供应，不得转让他人供应；</w:t>
      </w:r>
    </w:p>
    <w:p w14:paraId="19AB1BF7">
      <w:pPr>
        <w:snapToGrid w:val="0"/>
        <w:spacing w:before="120" w:beforeLines="50" w:after="120" w:afterLines="50" w:line="460" w:lineRule="exact"/>
        <w:ind w:firstLine="480" w:firstLineChars="200"/>
        <w:rPr>
          <w:rFonts w:ascii="宋体" w:hAnsi="宋体"/>
          <w:sz w:val="24"/>
          <w:highlight w:val="none"/>
        </w:rPr>
      </w:pPr>
      <w:r>
        <w:rPr>
          <w:rFonts w:hint="eastAsia" w:ascii="宋体" w:hAnsi="宋体"/>
          <w:sz w:val="24"/>
          <w:highlight w:val="none"/>
        </w:rPr>
        <w:t>2.除非得到甲方的书面同意，</w:t>
      </w:r>
      <w:r>
        <w:rPr>
          <w:rFonts w:hint="eastAsia" w:hAnsi="宋体"/>
          <w:sz w:val="24"/>
          <w:highlight w:val="none"/>
        </w:rPr>
        <w:t>乙</w:t>
      </w:r>
      <w:r>
        <w:rPr>
          <w:rFonts w:hint="eastAsia" w:ascii="宋体" w:hAnsi="宋体"/>
          <w:sz w:val="24"/>
          <w:highlight w:val="none"/>
        </w:rPr>
        <w:t>方不得将本合同范围的服务全部或部分分包给他人供应；</w:t>
      </w:r>
    </w:p>
    <w:p w14:paraId="4409D922">
      <w:pPr>
        <w:snapToGrid w:val="0"/>
        <w:spacing w:before="120" w:beforeLines="50" w:after="120" w:afterLines="50" w:line="460" w:lineRule="exact"/>
        <w:ind w:firstLine="480" w:firstLineChars="200"/>
        <w:rPr>
          <w:rFonts w:ascii="宋体" w:hAnsi="宋体" w:cs="宋体"/>
          <w:kern w:val="0"/>
          <w:sz w:val="24"/>
          <w:highlight w:val="none"/>
        </w:rPr>
      </w:pPr>
      <w:r>
        <w:rPr>
          <w:rFonts w:hint="eastAsia" w:ascii="宋体" w:hAnsi="宋体"/>
          <w:sz w:val="24"/>
          <w:highlight w:val="none"/>
        </w:rPr>
        <w:t>如有转让和未经甲方同意的分包行为，甲方有权解除合同并追究乙方的违约责任。</w:t>
      </w:r>
    </w:p>
    <w:p w14:paraId="049047FE">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（七）特别说明</w:t>
      </w:r>
    </w:p>
    <w:p w14:paraId="16083102">
      <w:pPr>
        <w:widowControl/>
        <w:spacing w:line="420" w:lineRule="exact"/>
        <w:ind w:firstLine="482" w:firstLineChars="200"/>
        <w:jc w:val="left"/>
        <w:rPr>
          <w:rFonts w:ascii="宋体" w:hAnsi="宋体" w:cs="宋体"/>
          <w:kern w:val="0"/>
          <w:sz w:val="24"/>
          <w:highlight w:val="none"/>
        </w:rPr>
      </w:pPr>
      <w:r>
        <w:rPr>
          <w:rFonts w:hint="eastAsia" w:ascii="宋体" w:hAnsi="宋体"/>
          <w:b/>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kern w:val="0"/>
          <w:sz w:val="24"/>
          <w:highlight w:val="none"/>
        </w:rPr>
        <w:t xml:space="preserve">  </w:t>
      </w:r>
    </w:p>
    <w:p w14:paraId="0374CB3F">
      <w:pPr>
        <w:pStyle w:val="31"/>
        <w:snapToGrid w:val="0"/>
        <w:spacing w:beforeLines="0" w:afterLines="0" w:line="420" w:lineRule="exact"/>
        <w:ind w:left="2" w:leftChars="1" w:firstLine="360" w:firstLineChars="150"/>
        <w:rPr>
          <w:rFonts w:hAnsi="宋体"/>
          <w:highlight w:val="none"/>
        </w:rPr>
      </w:pPr>
      <w:r>
        <w:rPr>
          <w:rFonts w:hint="eastAsia" w:hAnsi="宋体"/>
          <w:highlight w:val="none"/>
        </w:rPr>
        <w:t>2.供应商投标所使用的资格、信誉、荣誉、业绩必须为本法人所拥有。供应商投标所使用的采购项目实施人员须为本法人员工。</w:t>
      </w:r>
    </w:p>
    <w:p w14:paraId="3BFDBAB0">
      <w:pPr>
        <w:pStyle w:val="31"/>
        <w:snapToGrid w:val="0"/>
        <w:spacing w:beforeLines="0" w:afterLines="0" w:line="420" w:lineRule="exact"/>
        <w:ind w:left="2" w:leftChars="1" w:firstLine="480" w:firstLineChars="200"/>
        <w:rPr>
          <w:rFonts w:hAnsi="宋体"/>
          <w:highlight w:val="none"/>
        </w:rPr>
      </w:pPr>
      <w:r>
        <w:rPr>
          <w:rFonts w:hint="eastAsia" w:hAnsi="宋体"/>
          <w:highlight w:val="none"/>
        </w:rPr>
        <w:t>供应商应仔细阅读磋商文件的所有内容，按照磋商文件的要求提交响应文件，并对所提供的全部资料的真实性承担法律责任。</w:t>
      </w:r>
    </w:p>
    <w:p w14:paraId="2756B62A">
      <w:pPr>
        <w:pStyle w:val="31"/>
        <w:snapToGrid w:val="0"/>
        <w:spacing w:beforeLines="0" w:afterLines="0" w:line="420" w:lineRule="exact"/>
        <w:ind w:left="2" w:leftChars="1" w:firstLine="480" w:firstLineChars="200"/>
        <w:rPr>
          <w:rFonts w:hAnsi="宋体"/>
          <w:b/>
          <w:highlight w:val="none"/>
        </w:rPr>
      </w:pPr>
      <w:r>
        <w:rPr>
          <w:rFonts w:hint="eastAsia" w:hAnsi="宋体"/>
          <w:highlight w:val="none"/>
        </w:rPr>
        <w:t>4.供应商在投标活动中提供任何虚假材料,其投标无效，并报</w:t>
      </w:r>
      <w:r>
        <w:rPr>
          <w:rFonts w:hint="eastAsia" w:hAnsi="宋体"/>
          <w:b/>
          <w:highlight w:val="none"/>
        </w:rPr>
        <w:t>有权受理非政府采购项目的</w:t>
      </w:r>
      <w:r>
        <w:rPr>
          <w:rFonts w:hint="eastAsia" w:hAnsi="宋体"/>
          <w:highlight w:val="none"/>
        </w:rPr>
        <w:t>监管部门查处（</w:t>
      </w:r>
      <w:r>
        <w:rPr>
          <w:rFonts w:hint="eastAsia" w:hAnsi="宋体"/>
          <w:b/>
          <w:highlight w:val="none"/>
        </w:rPr>
        <w:t>特别说明：临海市财政局非有权受理非政府采购项目的监管部门</w:t>
      </w:r>
      <w:r>
        <w:rPr>
          <w:rFonts w:hint="eastAsia" w:hAnsi="宋体"/>
          <w:highlight w:val="none"/>
        </w:rPr>
        <w:t>）。中标后发现的,中标人须依照《中华人民共和国消费者权益保护法》第49条之规定双倍赔偿招标人，且民事赔偿并不免除违法投标人的行政与刑事责任。</w:t>
      </w:r>
    </w:p>
    <w:p w14:paraId="7D4CE15B">
      <w:pPr>
        <w:pStyle w:val="31"/>
        <w:snapToGrid w:val="0"/>
        <w:spacing w:before="120" w:after="120" w:line="420" w:lineRule="exact"/>
        <w:ind w:firstLine="472" w:firstLineChars="196"/>
        <w:rPr>
          <w:rFonts w:hAnsi="宋体"/>
          <w:b/>
          <w:bCs/>
          <w:highlight w:val="none"/>
        </w:rPr>
      </w:pPr>
      <w:r>
        <w:rPr>
          <w:rFonts w:hint="eastAsia" w:hAnsi="宋体"/>
          <w:b/>
          <w:bCs/>
          <w:highlight w:val="none"/>
        </w:rPr>
        <w:t>（八）质疑</w:t>
      </w:r>
    </w:p>
    <w:p w14:paraId="77BF75E5">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1.</w:t>
      </w:r>
      <w:r>
        <w:rPr>
          <w:rFonts w:hint="eastAsia" w:hAnsi="宋体"/>
          <w:highlight w:val="none"/>
        </w:rPr>
        <w:t>供应商</w:t>
      </w:r>
      <w:r>
        <w:rPr>
          <w:rFonts w:hint="eastAsia" w:ascii="宋体" w:hAnsi="宋体" w:cs="宋体"/>
          <w:kern w:val="0"/>
          <w:sz w:val="24"/>
          <w:highlight w:val="none"/>
        </w:rPr>
        <w:t>认为磋商文件、采购过程和中标结果使自己的权益受到损害的，以在线形式一次性向招标人或代理机构提出质疑：</w:t>
      </w:r>
    </w:p>
    <w:p w14:paraId="6842F8D5">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（1）</w:t>
      </w:r>
      <w:r>
        <w:rPr>
          <w:rFonts w:hint="eastAsia" w:hAnsi="宋体"/>
          <w:sz w:val="24"/>
          <w:highlight w:val="none"/>
        </w:rPr>
        <w:t>供应商</w:t>
      </w:r>
      <w:r>
        <w:rPr>
          <w:rFonts w:hint="eastAsia" w:ascii="宋体" w:hAnsi="宋体" w:cs="宋体"/>
          <w:kern w:val="0"/>
          <w:sz w:val="24"/>
          <w:highlight w:val="none"/>
        </w:rPr>
        <w:t>认为磋商文件的内容损害其权益的，供应商对磋商文件提出质疑的，应当</w:t>
      </w:r>
      <w:r>
        <w:rPr>
          <w:rFonts w:hint="eastAsia" w:ascii="宋体" w:hAnsi="宋体" w:cs="宋体"/>
          <w:b/>
          <w:bCs/>
          <w:kern w:val="0"/>
          <w:sz w:val="24"/>
          <w:highlight w:val="none"/>
        </w:rPr>
        <w:t>在202</w:t>
      </w:r>
      <w:r>
        <w:rPr>
          <w:rFonts w:hint="eastAsia" w:ascii="宋体" w:hAnsi="宋体" w:cs="宋体"/>
          <w:b/>
          <w:bCs/>
          <w:kern w:val="0"/>
          <w:sz w:val="24"/>
          <w:highlight w:val="none"/>
          <w:lang w:val="en-US" w:eastAsia="zh-CN"/>
        </w:rPr>
        <w:t>6</w:t>
      </w:r>
      <w:r>
        <w:rPr>
          <w:rFonts w:hint="eastAsia" w:ascii="宋体" w:hAnsi="宋体" w:cs="宋体"/>
          <w:b/>
          <w:bCs/>
          <w:kern w:val="0"/>
          <w:sz w:val="24"/>
          <w:highlight w:val="none"/>
        </w:rPr>
        <w:t>年</w:t>
      </w:r>
      <w:r>
        <w:rPr>
          <w:rFonts w:hint="eastAsia" w:ascii="宋体" w:hAnsi="宋体" w:cs="宋体"/>
          <w:b/>
          <w:bCs/>
          <w:kern w:val="0"/>
          <w:sz w:val="24"/>
          <w:highlight w:val="none"/>
          <w:lang w:val="en-US" w:eastAsia="zh-CN"/>
        </w:rPr>
        <w:t>06</w:t>
      </w:r>
      <w:r>
        <w:rPr>
          <w:rFonts w:hint="eastAsia" w:ascii="宋体" w:hAnsi="宋体" w:cs="宋体"/>
          <w:b/>
          <w:bCs/>
          <w:kern w:val="0"/>
          <w:sz w:val="24"/>
          <w:highlight w:val="none"/>
        </w:rPr>
        <w:t>月</w:t>
      </w:r>
      <w:r>
        <w:rPr>
          <w:rFonts w:hint="eastAsia" w:ascii="宋体" w:hAnsi="宋体" w:cs="宋体"/>
          <w:b/>
          <w:bCs/>
          <w:kern w:val="0"/>
          <w:sz w:val="24"/>
          <w:highlight w:val="none"/>
          <w:lang w:val="en-US" w:eastAsia="zh-CN"/>
        </w:rPr>
        <w:t>08</w:t>
      </w:r>
      <w:r>
        <w:rPr>
          <w:rFonts w:hint="eastAsia" w:ascii="宋体" w:hAnsi="宋体" w:cs="宋体"/>
          <w:b/>
          <w:bCs/>
          <w:kern w:val="0"/>
          <w:sz w:val="24"/>
          <w:highlight w:val="none"/>
        </w:rPr>
        <w:t>日</w:t>
      </w:r>
      <w:r>
        <w:rPr>
          <w:rFonts w:hint="eastAsia" w:ascii="宋体" w:hAnsi="宋体" w:cs="宋体"/>
          <w:b/>
          <w:bCs/>
          <w:kern w:val="0"/>
          <w:sz w:val="24"/>
          <w:highlight w:val="none"/>
          <w:lang w:val="en-US" w:eastAsia="zh-CN"/>
        </w:rPr>
        <w:t>15</w:t>
      </w:r>
      <w:r>
        <w:rPr>
          <w:rFonts w:hint="eastAsia" w:ascii="宋体" w:hAnsi="宋体" w:cs="宋体"/>
          <w:b/>
          <w:bCs/>
          <w:kern w:val="0"/>
          <w:sz w:val="24"/>
          <w:highlight w:val="none"/>
        </w:rPr>
        <w:t>：00前</w:t>
      </w:r>
      <w:r>
        <w:rPr>
          <w:rFonts w:hint="eastAsia" w:ascii="宋体" w:hAnsi="宋体" w:cs="宋体"/>
          <w:kern w:val="0"/>
          <w:sz w:val="24"/>
          <w:highlight w:val="none"/>
        </w:rPr>
        <w:t>提出，否则被质疑人可不予接受；</w:t>
      </w:r>
    </w:p>
    <w:p w14:paraId="14916DB4">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（2）</w:t>
      </w:r>
      <w:r>
        <w:rPr>
          <w:rFonts w:hint="eastAsia" w:hAnsi="宋体"/>
          <w:sz w:val="24"/>
          <w:highlight w:val="none"/>
        </w:rPr>
        <w:t>供应商</w:t>
      </w:r>
      <w:r>
        <w:rPr>
          <w:rFonts w:hint="eastAsia" w:ascii="宋体" w:hAnsi="宋体" w:cs="宋体"/>
          <w:kern w:val="0"/>
          <w:sz w:val="24"/>
          <w:highlight w:val="none"/>
        </w:rPr>
        <w:t>对磋商过程提出质疑的，应当在各磋商程序环节结束之日起</w:t>
      </w:r>
      <w:r>
        <w:rPr>
          <w:rFonts w:hint="eastAsia" w:ascii="宋体" w:hAnsi="宋体" w:cs="宋体"/>
          <w:b/>
          <w:bCs/>
          <w:kern w:val="0"/>
          <w:sz w:val="24"/>
          <w:highlight w:val="none"/>
        </w:rPr>
        <w:t>3</w:t>
      </w:r>
      <w:r>
        <w:rPr>
          <w:rFonts w:hint="eastAsia" w:ascii="宋体" w:hAnsi="宋体" w:cs="宋体"/>
          <w:kern w:val="0"/>
          <w:sz w:val="24"/>
          <w:highlight w:val="none"/>
        </w:rPr>
        <w:t>个工作日内提出质疑；</w:t>
      </w:r>
    </w:p>
    <w:p w14:paraId="609BEA46">
      <w:pPr>
        <w:widowControl/>
        <w:spacing w:line="420" w:lineRule="exact"/>
        <w:ind w:firstLine="240" w:firstLineChars="100"/>
        <w:jc w:val="left"/>
        <w:rPr>
          <w:rFonts w:ascii="宋体" w:hAnsi="宋体" w:cs="宋体"/>
          <w:kern w:val="0"/>
          <w:sz w:val="24"/>
          <w:highlight w:val="none"/>
        </w:rPr>
      </w:pPr>
      <w:r>
        <w:rPr>
          <w:rFonts w:hint="eastAsia" w:ascii="宋体" w:hAnsi="宋体" w:cs="宋体"/>
          <w:kern w:val="0"/>
          <w:sz w:val="24"/>
          <w:highlight w:val="none"/>
        </w:rPr>
        <w:t>（3）</w:t>
      </w:r>
      <w:r>
        <w:rPr>
          <w:rFonts w:hint="eastAsia" w:hAnsi="宋体"/>
          <w:sz w:val="24"/>
          <w:highlight w:val="none"/>
        </w:rPr>
        <w:t>供应商</w:t>
      </w:r>
      <w:r>
        <w:rPr>
          <w:rFonts w:hint="eastAsia" w:ascii="宋体" w:hAnsi="宋体" w:cs="宋体"/>
          <w:kern w:val="0"/>
          <w:sz w:val="24"/>
          <w:highlight w:val="none"/>
        </w:rPr>
        <w:t>对成交结果提出质疑的，</w:t>
      </w:r>
      <w:r>
        <w:rPr>
          <w:rFonts w:hint="eastAsia" w:ascii="宋体" w:hAnsi="宋体" w:cs="宋体"/>
          <w:b/>
          <w:kern w:val="0"/>
          <w:sz w:val="24"/>
          <w:highlight w:val="none"/>
        </w:rPr>
        <w:t>应当在成交结果公告之日起</w:t>
      </w:r>
      <w:r>
        <w:rPr>
          <w:rFonts w:hint="eastAsia" w:ascii="宋体" w:hAnsi="宋体" w:cs="宋体"/>
          <w:b/>
          <w:bCs/>
          <w:kern w:val="0"/>
          <w:sz w:val="24"/>
          <w:highlight w:val="none"/>
        </w:rPr>
        <w:t>3</w:t>
      </w:r>
      <w:r>
        <w:rPr>
          <w:rFonts w:hint="eastAsia" w:ascii="宋体" w:hAnsi="宋体" w:cs="宋体"/>
          <w:kern w:val="0"/>
          <w:sz w:val="24"/>
          <w:highlight w:val="none"/>
        </w:rPr>
        <w:t>个工作日内提出质疑；</w:t>
      </w:r>
    </w:p>
    <w:p w14:paraId="53C4AC4B">
      <w:pPr>
        <w:widowControl/>
        <w:spacing w:line="42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2.招标人或代理机构在收到投标人的在线质疑后</w:t>
      </w:r>
      <w:r>
        <w:rPr>
          <w:rFonts w:hint="eastAsia" w:ascii="宋体" w:hAnsi="宋体" w:cs="宋体"/>
          <w:b/>
          <w:kern w:val="0"/>
          <w:sz w:val="24"/>
          <w:highlight w:val="none"/>
          <w:u w:val="single"/>
        </w:rPr>
        <w:t>7</w:t>
      </w:r>
      <w:r>
        <w:rPr>
          <w:rFonts w:hint="eastAsia" w:ascii="宋体" w:hAnsi="宋体" w:cs="宋体"/>
          <w:kern w:val="0"/>
          <w:sz w:val="24"/>
          <w:highlight w:val="none"/>
        </w:rPr>
        <w:t>个工作日内作出答复，并以在线形式回复质疑投标人和其他有关投标人，但答复内容不涉及商业秘密。</w:t>
      </w:r>
    </w:p>
    <w:p w14:paraId="1081F555">
      <w:pPr>
        <w:widowControl/>
        <w:spacing w:line="42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290A617">
      <w:pPr>
        <w:widowControl/>
        <w:spacing w:line="420" w:lineRule="exact"/>
        <w:ind w:firstLine="482" w:firstLineChars="200"/>
        <w:jc w:val="left"/>
        <w:rPr>
          <w:rFonts w:ascii="宋体" w:hAnsi="宋体" w:cs="宋体"/>
          <w:b/>
          <w:bCs/>
          <w:kern w:val="0"/>
          <w:sz w:val="24"/>
          <w:highlight w:val="none"/>
        </w:rPr>
      </w:pPr>
      <w:r>
        <w:rPr>
          <w:rFonts w:hint="eastAsia" w:ascii="宋体" w:hAnsi="宋体" w:cs="宋体"/>
          <w:b/>
          <w:bCs/>
          <w:kern w:val="0"/>
          <w:sz w:val="24"/>
          <w:highlight w:val="none"/>
        </w:rPr>
        <w:t>（九）投诉</w:t>
      </w:r>
    </w:p>
    <w:p w14:paraId="0793DA41">
      <w:pPr>
        <w:pStyle w:val="31"/>
        <w:snapToGrid w:val="0"/>
        <w:spacing w:beforeLines="0" w:afterLines="0" w:line="420" w:lineRule="exact"/>
        <w:ind w:firstLine="472" w:firstLineChars="196"/>
        <w:rPr>
          <w:rFonts w:hAnsi="宋体" w:cs="宋体"/>
          <w:b/>
          <w:highlight w:val="none"/>
        </w:rPr>
      </w:pPr>
      <w:r>
        <w:rPr>
          <w:rFonts w:hint="eastAsia" w:hAnsi="宋体" w:cs="宋体"/>
          <w:b/>
          <w:highlight w:val="none"/>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6238D042">
      <w:pPr>
        <w:pStyle w:val="31"/>
        <w:snapToGrid w:val="0"/>
        <w:spacing w:beforeLines="0" w:afterLines="0" w:line="420" w:lineRule="exact"/>
        <w:ind w:firstLine="472" w:firstLineChars="196"/>
        <w:rPr>
          <w:rFonts w:hAnsi="宋体"/>
          <w:b/>
          <w:highlight w:val="none"/>
        </w:rPr>
      </w:pPr>
      <w:r>
        <w:rPr>
          <w:rFonts w:hint="eastAsia" w:hAnsi="宋体"/>
          <w:b/>
          <w:highlight w:val="none"/>
        </w:rPr>
        <w:t>二、竞争性磋商文件</w:t>
      </w:r>
    </w:p>
    <w:p w14:paraId="33C7005E">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（一）磋商文件的构成</w:t>
      </w:r>
    </w:p>
    <w:p w14:paraId="4F60416E">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1.竞争性磋商公告</w:t>
      </w:r>
    </w:p>
    <w:p w14:paraId="63E98AE6">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2.采购需求</w:t>
      </w:r>
    </w:p>
    <w:p w14:paraId="173F4F39">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供应商磋商须知</w:t>
      </w:r>
    </w:p>
    <w:p w14:paraId="47BF8887">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4.磋商原则及评标办法</w:t>
      </w:r>
    </w:p>
    <w:p w14:paraId="27DA10BD">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5.合同主要条款</w:t>
      </w:r>
    </w:p>
    <w:p w14:paraId="5AA74EC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6.响应文件格式</w:t>
      </w:r>
    </w:p>
    <w:p w14:paraId="42A5AE1B">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7.本项目磋商文件的澄清、答复、修改、补充的内容（如有）</w:t>
      </w:r>
    </w:p>
    <w:p w14:paraId="7A599FF6">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（二）供应商的风险</w:t>
      </w:r>
    </w:p>
    <w:p w14:paraId="48EE8952">
      <w:pPr>
        <w:pStyle w:val="43"/>
        <w:spacing w:line="420" w:lineRule="exact"/>
        <w:rPr>
          <w:rFonts w:ascii="宋体" w:eastAsia="宋体"/>
          <w:color w:val="auto"/>
          <w:highlight w:val="none"/>
        </w:rPr>
      </w:pPr>
      <w:r>
        <w:rPr>
          <w:rFonts w:hint="eastAsia" w:ascii="宋体" w:eastAsia="宋体"/>
          <w:color w:val="auto"/>
          <w:highlight w:val="none"/>
        </w:rPr>
        <w:t>供应商没有按照磋商文件要求提供全部资料，或者供应商没有对磋商文件在各方面作出实质性响应是供应商的风险，并可能导致其投标被拒绝。</w:t>
      </w:r>
    </w:p>
    <w:p w14:paraId="59AA0E75">
      <w:pPr>
        <w:pStyle w:val="13"/>
        <w:widowControl w:val="0"/>
        <w:tabs>
          <w:tab w:val="left" w:pos="420"/>
        </w:tabs>
        <w:snapToGrid w:val="0"/>
        <w:spacing w:before="120" w:beforeLines="50" w:afterLines="0" w:line="420" w:lineRule="exact"/>
        <w:ind w:left="0" w:firstLine="472" w:firstLineChars="196"/>
        <w:rPr>
          <w:rFonts w:ascii="宋体" w:hAnsi="宋体"/>
          <w:b/>
          <w:szCs w:val="24"/>
          <w:highlight w:val="none"/>
        </w:rPr>
      </w:pPr>
      <w:r>
        <w:rPr>
          <w:rFonts w:hint="eastAsia" w:ascii="宋体" w:hAnsi="宋体"/>
          <w:b/>
          <w:szCs w:val="24"/>
          <w:highlight w:val="none"/>
        </w:rPr>
        <w:t xml:space="preserve">（三）磋商文件的澄清与修改 </w:t>
      </w:r>
    </w:p>
    <w:p w14:paraId="6679009A">
      <w:pPr>
        <w:pStyle w:val="31"/>
        <w:snapToGrid w:val="0"/>
        <w:spacing w:beforeLines="0" w:afterLines="0" w:line="420" w:lineRule="exact"/>
        <w:ind w:firstLine="480" w:firstLineChars="200"/>
        <w:rPr>
          <w:rFonts w:hAnsi="宋体"/>
          <w:highlight w:val="none"/>
        </w:rPr>
      </w:pPr>
      <w:r>
        <w:rPr>
          <w:rFonts w:hint="eastAsia" w:hAnsi="宋体"/>
          <w:highlight w:val="none"/>
        </w:rPr>
        <w:t>1.</w:t>
      </w:r>
      <w:r>
        <w:rPr>
          <w:rFonts w:hint="eastAsia" w:hAnsi="宋体"/>
          <w:bCs/>
          <w:highlight w:val="none"/>
        </w:rPr>
        <w:t>供应商应认真阅读本磋商文件，发现其中有误或有不合理要求的，供应商必须在前附表规定的时间前以书面形式要求招标人澄清</w:t>
      </w:r>
      <w:r>
        <w:rPr>
          <w:rFonts w:hint="eastAsia" w:hAnsi="宋体"/>
          <w:highlight w:val="none"/>
        </w:rPr>
        <w:t>。招标人对已发出的磋商文件进行必要澄清、答复、修改或补充的，应当在磋商文件要求提交响应文件截止时间前，在采购公告发布的网站予以发布。</w:t>
      </w:r>
    </w:p>
    <w:p w14:paraId="5E017057">
      <w:pPr>
        <w:pStyle w:val="31"/>
        <w:snapToGrid w:val="0"/>
        <w:spacing w:beforeLines="0" w:afterLines="0" w:line="420" w:lineRule="exact"/>
        <w:ind w:firstLine="480" w:firstLineChars="200"/>
        <w:rPr>
          <w:rFonts w:hAnsi="宋体"/>
          <w:highlight w:val="none"/>
        </w:rPr>
      </w:pPr>
      <w:r>
        <w:rPr>
          <w:rFonts w:hint="eastAsia" w:hAnsi="宋体"/>
          <w:highlight w:val="none"/>
        </w:rPr>
        <w:t>2.磋商文件澄清、答复、修改、补充的内容为磋商标文件的组成部分。当磋商文件与磋商文件的答复、澄清、修改、补充通知就同一内容的表述不一致时，以最后发出的公告为准。</w:t>
      </w:r>
    </w:p>
    <w:p w14:paraId="10275BD7">
      <w:pPr>
        <w:pStyle w:val="31"/>
        <w:snapToGrid w:val="0"/>
        <w:spacing w:beforeLines="0" w:afterLines="0" w:line="420" w:lineRule="exact"/>
        <w:ind w:firstLine="480" w:firstLineChars="200"/>
        <w:rPr>
          <w:rFonts w:hAnsi="宋体"/>
          <w:highlight w:val="none"/>
        </w:rPr>
      </w:pPr>
      <w:r>
        <w:rPr>
          <w:rFonts w:hint="eastAsia" w:hAnsi="宋体"/>
          <w:highlight w:val="none"/>
        </w:rPr>
        <w:t>磋商文件的澄清、答复、修改或补充都应该通过招标人以法定形式发布，采购人没有通过招标人，不得擅自澄清、答复、修改或补充磋商文件。</w:t>
      </w:r>
    </w:p>
    <w:p w14:paraId="51AD467C">
      <w:pPr>
        <w:pStyle w:val="31"/>
        <w:snapToGrid w:val="0"/>
        <w:spacing w:beforeLines="0" w:afterLines="0" w:line="420" w:lineRule="exact"/>
        <w:ind w:firstLine="472" w:firstLineChars="196"/>
        <w:rPr>
          <w:rFonts w:hAnsi="宋体"/>
          <w:b/>
          <w:highlight w:val="none"/>
        </w:rPr>
      </w:pPr>
      <w:r>
        <w:rPr>
          <w:rFonts w:hint="eastAsia" w:hAnsi="宋体"/>
          <w:b/>
          <w:highlight w:val="none"/>
        </w:rPr>
        <w:t>三、响应文件的编制</w:t>
      </w:r>
    </w:p>
    <w:p w14:paraId="4C2B6FE5">
      <w:pPr>
        <w:snapToGrid w:val="0"/>
        <w:spacing w:line="420" w:lineRule="exact"/>
        <w:ind w:firstLine="470" w:firstLineChars="196"/>
        <w:jc w:val="left"/>
        <w:rPr>
          <w:rFonts w:ascii="宋体" w:hAnsi="宋体"/>
          <w:bCs/>
          <w:sz w:val="24"/>
          <w:highlight w:val="none"/>
        </w:rPr>
      </w:pPr>
      <w:r>
        <w:rPr>
          <w:rFonts w:hint="eastAsia" w:ascii="宋体" w:hAnsi="宋体"/>
          <w:bCs/>
          <w:sz w:val="24"/>
          <w:highlight w:val="none"/>
        </w:rPr>
        <w:t>本项目实行电子投标，投标人应准备电子响应文件，本项目线下无需提供任何备份响应文件。电子响应文件，按本磋商文件要求编制。</w:t>
      </w:r>
    </w:p>
    <w:p w14:paraId="73EAC97D">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（一）响应文件的组成</w:t>
      </w:r>
    </w:p>
    <w:p w14:paraId="23EA245C">
      <w:pPr>
        <w:snapToGrid w:val="0"/>
        <w:spacing w:line="420" w:lineRule="exact"/>
        <w:ind w:firstLine="482" w:firstLineChars="200"/>
        <w:jc w:val="left"/>
        <w:rPr>
          <w:rFonts w:ascii="宋体" w:hAnsi="宋体"/>
          <w:sz w:val="24"/>
          <w:highlight w:val="none"/>
        </w:rPr>
      </w:pPr>
      <w:r>
        <w:rPr>
          <w:rFonts w:hint="eastAsia" w:ascii="宋体" w:hAnsi="宋体"/>
          <w:b/>
          <w:sz w:val="24"/>
          <w:highlight w:val="none"/>
        </w:rPr>
        <w:t>响应文件由资格响应文件、商务技术文件、报价文件三部分组成。</w:t>
      </w:r>
      <w:r>
        <w:rPr>
          <w:rFonts w:hint="eastAsia" w:ascii="宋体" w:hAnsi="宋体"/>
          <w:sz w:val="24"/>
          <w:highlight w:val="none"/>
        </w:rPr>
        <w:t>相关格式见附件，其余格式自拟。</w:t>
      </w:r>
    </w:p>
    <w:p w14:paraId="7F643C79">
      <w:pPr>
        <w:snapToGrid w:val="0"/>
        <w:spacing w:line="420" w:lineRule="exact"/>
        <w:ind w:firstLine="482" w:firstLineChars="200"/>
        <w:jc w:val="left"/>
        <w:rPr>
          <w:rFonts w:ascii="宋体" w:hAnsi="宋体"/>
          <w:b/>
          <w:sz w:val="24"/>
          <w:highlight w:val="none"/>
        </w:rPr>
      </w:pPr>
      <w:bookmarkStart w:id="14" w:name="_Hlk72672250"/>
      <w:r>
        <w:rPr>
          <w:rFonts w:ascii="宋体" w:hAnsi="宋体"/>
          <w:b/>
          <w:sz w:val="24"/>
          <w:highlight w:val="none"/>
        </w:rPr>
        <w:t>1</w:t>
      </w:r>
      <w:r>
        <w:rPr>
          <w:rFonts w:hint="eastAsia" w:ascii="宋体" w:hAnsi="宋体"/>
          <w:b/>
          <w:sz w:val="24"/>
          <w:highlight w:val="none"/>
        </w:rPr>
        <w:t>.资格响应文件</w:t>
      </w:r>
    </w:p>
    <w:bookmarkEnd w:id="14"/>
    <w:p w14:paraId="56E703E7">
      <w:pPr>
        <w:snapToGrid w:val="0"/>
        <w:spacing w:line="420" w:lineRule="exact"/>
        <w:ind w:firstLine="480" w:firstLineChars="200"/>
        <w:jc w:val="left"/>
        <w:rPr>
          <w:rFonts w:ascii="宋体" w:hAnsi="宋体"/>
          <w:bCs/>
          <w:sz w:val="24"/>
          <w:highlight w:val="none"/>
        </w:rPr>
      </w:pPr>
      <w:r>
        <w:rPr>
          <w:rFonts w:hint="eastAsia" w:ascii="宋体" w:hAnsi="宋体"/>
          <w:bCs/>
          <w:sz w:val="24"/>
          <w:highlight w:val="none"/>
        </w:rPr>
        <w:t>（1）营业执照</w:t>
      </w:r>
      <w:r>
        <w:rPr>
          <w:rFonts w:hint="eastAsia" w:ascii="宋体" w:hAnsi="宋体"/>
          <w:b/>
          <w:sz w:val="24"/>
          <w:highlight w:val="none"/>
        </w:rPr>
        <w:t>（推荐使用电子营业执照）</w:t>
      </w:r>
      <w:r>
        <w:rPr>
          <w:rFonts w:hint="eastAsia" w:ascii="宋体" w:hAnsi="宋体"/>
          <w:bCs/>
          <w:sz w:val="24"/>
          <w:highlight w:val="none"/>
        </w:rPr>
        <w:t>或事业法人登记证或其他工商等登记证明材料原件扫描件或复印件；</w:t>
      </w:r>
    </w:p>
    <w:p w14:paraId="4CEFD703">
      <w:pPr>
        <w:snapToGrid w:val="0"/>
        <w:spacing w:line="420" w:lineRule="exact"/>
        <w:ind w:firstLine="480" w:firstLineChars="200"/>
        <w:jc w:val="left"/>
        <w:rPr>
          <w:rFonts w:ascii="宋体" w:hAnsi="宋体"/>
          <w:bCs/>
          <w:sz w:val="24"/>
          <w:highlight w:val="none"/>
        </w:rPr>
      </w:pPr>
      <w:r>
        <w:rPr>
          <w:rFonts w:hint="eastAsia" w:ascii="宋体" w:hAnsi="宋体"/>
          <w:bCs/>
          <w:sz w:val="24"/>
          <w:highlight w:val="none"/>
        </w:rPr>
        <w:t>（2）其他</w:t>
      </w:r>
      <w:r>
        <w:rPr>
          <w:rFonts w:hint="eastAsia" w:ascii="宋体" w:hAnsi="宋体"/>
          <w:sz w:val="24"/>
          <w:highlight w:val="none"/>
        </w:rPr>
        <w:t>资质文件复印件（如有）；</w:t>
      </w:r>
    </w:p>
    <w:p w14:paraId="47E4334A">
      <w:pPr>
        <w:snapToGrid w:val="0"/>
        <w:spacing w:line="420" w:lineRule="exact"/>
        <w:ind w:firstLine="480" w:firstLineChars="200"/>
        <w:jc w:val="left"/>
        <w:rPr>
          <w:rFonts w:ascii="宋体" w:hAnsi="宋体"/>
          <w:bCs/>
          <w:sz w:val="24"/>
          <w:highlight w:val="none"/>
        </w:rPr>
      </w:pPr>
      <w:bookmarkStart w:id="15" w:name="_Hlk68075338"/>
      <w:r>
        <w:rPr>
          <w:rFonts w:hint="eastAsia" w:ascii="宋体" w:hAnsi="宋体"/>
          <w:bCs/>
          <w:sz w:val="24"/>
          <w:highlight w:val="none"/>
        </w:rPr>
        <w:t>（</w:t>
      </w:r>
      <w:bookmarkEnd w:id="15"/>
      <w:r>
        <w:rPr>
          <w:rFonts w:hint="eastAsia" w:ascii="宋体" w:hAnsi="宋体"/>
          <w:bCs/>
          <w:sz w:val="24"/>
          <w:highlight w:val="none"/>
        </w:rPr>
        <w:t>3）没有重大违法记录的承诺函</w:t>
      </w:r>
      <w:bookmarkStart w:id="16" w:name="_Hlk69365455"/>
      <w:r>
        <w:rPr>
          <w:rFonts w:hint="eastAsia" w:ascii="宋体" w:hAnsi="宋体"/>
          <w:b/>
          <w:sz w:val="24"/>
          <w:highlight w:val="none"/>
          <w:u w:val="single"/>
          <w:shd w:val="pct10" w:color="auto" w:fill="FFFFFF"/>
        </w:rPr>
        <w:t>（请投标人在资格响应文件中勿遗漏该表格）</w:t>
      </w:r>
      <w:r>
        <w:rPr>
          <w:rFonts w:hint="eastAsia" w:ascii="宋体" w:hAnsi="宋体"/>
          <w:bCs/>
          <w:sz w:val="24"/>
          <w:highlight w:val="none"/>
        </w:rPr>
        <w:t>；</w:t>
      </w:r>
    </w:p>
    <w:bookmarkEnd w:id="16"/>
    <w:p w14:paraId="3A419ECE">
      <w:pPr>
        <w:snapToGrid w:val="0"/>
        <w:spacing w:line="420" w:lineRule="exact"/>
        <w:ind w:firstLine="482" w:firstLineChars="200"/>
        <w:jc w:val="left"/>
        <w:rPr>
          <w:rFonts w:ascii="宋体" w:hAnsi="宋体"/>
          <w:sz w:val="24"/>
          <w:highlight w:val="none"/>
        </w:rPr>
      </w:pPr>
      <w:bookmarkStart w:id="17" w:name="_Hlk72672204"/>
      <w:r>
        <w:rPr>
          <w:rFonts w:ascii="宋体" w:hAnsi="宋体"/>
          <w:b/>
          <w:sz w:val="24"/>
          <w:highlight w:val="none"/>
        </w:rPr>
        <w:t>2</w:t>
      </w:r>
      <w:r>
        <w:rPr>
          <w:rFonts w:hint="eastAsia" w:ascii="宋体" w:hAnsi="宋体"/>
          <w:b/>
          <w:sz w:val="24"/>
          <w:highlight w:val="none"/>
        </w:rPr>
        <w:t>.</w:t>
      </w:r>
      <w:bookmarkEnd w:id="17"/>
      <w:bookmarkStart w:id="18" w:name="_Hlk534200662"/>
      <w:r>
        <w:rPr>
          <w:rFonts w:hint="eastAsia" w:ascii="宋体" w:hAnsi="宋体"/>
          <w:b/>
          <w:sz w:val="24"/>
          <w:highlight w:val="none"/>
        </w:rPr>
        <w:t>商务</w:t>
      </w:r>
      <w:r>
        <w:rPr>
          <w:rFonts w:hint="eastAsia" w:ascii="宋体" w:hAnsi="宋体"/>
          <w:b/>
          <w:bCs/>
          <w:sz w:val="24"/>
          <w:highlight w:val="none"/>
        </w:rPr>
        <w:t>技术</w:t>
      </w:r>
      <w:r>
        <w:rPr>
          <w:rFonts w:hint="eastAsia" w:ascii="宋体" w:hAnsi="宋体"/>
          <w:b/>
          <w:sz w:val="24"/>
          <w:highlight w:val="none"/>
        </w:rPr>
        <w:t>文件</w:t>
      </w:r>
      <w:bookmarkEnd w:id="18"/>
    </w:p>
    <w:p w14:paraId="30711296">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（1）投标函；</w:t>
      </w:r>
    </w:p>
    <w:p w14:paraId="0447E0EB">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（2）</w:t>
      </w:r>
      <w:bookmarkStart w:id="19" w:name="_Hlk534200539"/>
      <w:r>
        <w:rPr>
          <w:rFonts w:hint="eastAsia" w:ascii="宋体" w:hAnsi="宋体"/>
          <w:sz w:val="24"/>
          <w:highlight w:val="none"/>
        </w:rPr>
        <w:t>法定代表人授权委托书</w:t>
      </w:r>
      <w:bookmarkEnd w:id="19"/>
      <w:r>
        <w:rPr>
          <w:rFonts w:hint="eastAsia" w:ascii="宋体" w:hAnsi="宋体"/>
          <w:sz w:val="24"/>
          <w:highlight w:val="none"/>
        </w:rPr>
        <w:t>（或</w:t>
      </w:r>
      <w:r>
        <w:rPr>
          <w:rFonts w:hint="eastAsia" w:ascii="宋体" w:hAnsi="宋体"/>
          <w:bCs/>
          <w:sz w:val="24"/>
          <w:highlight w:val="none"/>
        </w:rPr>
        <w:t>法定</w:t>
      </w:r>
      <w:r>
        <w:rPr>
          <w:rFonts w:hint="eastAsia" w:ascii="宋体" w:hAnsi="宋体"/>
          <w:sz w:val="24"/>
          <w:highlight w:val="none"/>
        </w:rPr>
        <w:t>代表人身份证明）；</w:t>
      </w:r>
    </w:p>
    <w:p w14:paraId="581A0A7F">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w:t>
      </w:r>
      <w:r>
        <w:rPr>
          <w:rFonts w:ascii="宋体" w:hAnsi="宋体"/>
          <w:sz w:val="24"/>
          <w:highlight w:val="none"/>
        </w:rPr>
        <w:t>3</w:t>
      </w:r>
      <w:r>
        <w:rPr>
          <w:rFonts w:hint="eastAsia" w:ascii="宋体" w:hAnsi="宋体"/>
          <w:sz w:val="24"/>
          <w:highlight w:val="none"/>
        </w:rPr>
        <w:t>）投标人按照评分标准要求提供的相应资料；</w:t>
      </w:r>
    </w:p>
    <w:p w14:paraId="2D7249E2">
      <w:pPr>
        <w:snapToGrid w:val="0"/>
        <w:spacing w:line="420" w:lineRule="exact"/>
        <w:ind w:firstLine="480" w:firstLineChars="200"/>
        <w:jc w:val="left"/>
        <w:rPr>
          <w:highlight w:val="none"/>
        </w:rPr>
      </w:pPr>
      <w:bookmarkStart w:id="20" w:name="_Hlk65237132"/>
      <w:r>
        <w:rPr>
          <w:rFonts w:hint="eastAsia" w:ascii="宋体" w:hAnsi="宋体"/>
          <w:sz w:val="24"/>
          <w:highlight w:val="none"/>
        </w:rPr>
        <w:t>（4）</w:t>
      </w:r>
      <w:bookmarkEnd w:id="20"/>
      <w:r>
        <w:rPr>
          <w:rFonts w:hint="eastAsia" w:ascii="宋体" w:hAnsi="宋体"/>
          <w:sz w:val="24"/>
          <w:highlight w:val="none"/>
        </w:rPr>
        <w:t>项目负责人简历表；</w:t>
      </w:r>
    </w:p>
    <w:p w14:paraId="1B0A2E02">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 xml:space="preserve">（5）项目实施人员一览表； </w:t>
      </w:r>
    </w:p>
    <w:p w14:paraId="4D37A3F4">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（6）投标人类似成功案例一览表；</w:t>
      </w:r>
    </w:p>
    <w:p w14:paraId="1511871A">
      <w:pPr>
        <w:snapToGrid w:val="0"/>
        <w:spacing w:line="420" w:lineRule="exact"/>
        <w:ind w:firstLine="470" w:firstLineChars="196"/>
        <w:jc w:val="left"/>
        <w:rPr>
          <w:highlight w:val="none"/>
        </w:rPr>
      </w:pPr>
      <w:r>
        <w:rPr>
          <w:rFonts w:hint="eastAsia" w:ascii="宋体" w:hAnsi="宋体"/>
          <w:sz w:val="24"/>
          <w:highlight w:val="none"/>
        </w:rPr>
        <w:t>（7）售后服务网点情况表；</w:t>
      </w:r>
    </w:p>
    <w:p w14:paraId="44752B66">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（8）商务技术响应表；</w:t>
      </w:r>
    </w:p>
    <w:p w14:paraId="4CE74505">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（9）投标人认为需要提供的其他资料。</w:t>
      </w:r>
    </w:p>
    <w:p w14:paraId="7D7CCD61">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报价文件</w:t>
      </w:r>
    </w:p>
    <w:p w14:paraId="0C99CABD">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（1）开标一览表；</w:t>
      </w:r>
    </w:p>
    <w:p w14:paraId="285B4062">
      <w:pPr>
        <w:snapToGrid w:val="0"/>
        <w:spacing w:line="420" w:lineRule="exact"/>
        <w:ind w:firstLine="480" w:firstLineChars="200"/>
        <w:jc w:val="left"/>
        <w:rPr>
          <w:highlight w:val="none"/>
        </w:rPr>
      </w:pPr>
      <w:r>
        <w:rPr>
          <w:rFonts w:hint="eastAsia" w:hAnsi="宋体"/>
          <w:sz w:val="24"/>
          <w:highlight w:val="none"/>
        </w:rPr>
        <w:t>（2）报价明细表。</w:t>
      </w:r>
    </w:p>
    <w:p w14:paraId="601830F3">
      <w:pPr>
        <w:snapToGrid w:val="0"/>
        <w:spacing w:before="120" w:beforeAutospacing="1" w:after="120" w:afterAutospacing="1" w:line="420" w:lineRule="exact"/>
        <w:ind w:firstLine="236" w:firstLineChars="98"/>
        <w:jc w:val="left"/>
        <w:rPr>
          <w:rFonts w:ascii="宋体" w:hAnsi="宋体"/>
          <w:b/>
          <w:spacing w:val="-4"/>
          <w:sz w:val="24"/>
          <w:highlight w:val="none"/>
        </w:rPr>
      </w:pPr>
      <w:r>
        <w:rPr>
          <w:rFonts w:hint="eastAsia" w:ascii="宋体" w:hAnsi="宋体"/>
          <w:b/>
          <w:sz w:val="24"/>
          <w:highlight w:val="none"/>
        </w:rPr>
        <w:t>（二）</w:t>
      </w:r>
      <w:r>
        <w:rPr>
          <w:rFonts w:hint="eastAsia" w:ascii="宋体" w:hAnsi="宋体"/>
          <w:b/>
          <w:spacing w:val="-4"/>
          <w:sz w:val="24"/>
          <w:highlight w:val="none"/>
        </w:rPr>
        <w:t>采购项目评分索引表(该表格仅为方便评标之用，不涉及无效标条款，表格放置在商务技术文件目录的前页，以方便评委进行评审</w:t>
      </w:r>
      <w:r>
        <w:rPr>
          <w:rFonts w:ascii="宋体" w:hAnsi="宋体"/>
          <w:b/>
          <w:spacing w:val="-4"/>
          <w:sz w:val="24"/>
          <w:highlight w:val="none"/>
        </w:rPr>
        <w:t>，</w:t>
      </w:r>
      <w:r>
        <w:rPr>
          <w:rFonts w:hint="eastAsia" w:ascii="宋体" w:hAnsi="宋体"/>
          <w:b/>
          <w:spacing w:val="-4"/>
          <w:sz w:val="24"/>
          <w:highlight w:val="none"/>
        </w:rPr>
        <w:t>格式见第四章)</w:t>
      </w:r>
    </w:p>
    <w:p w14:paraId="7AE40110">
      <w:pPr>
        <w:snapToGrid w:val="0"/>
        <w:spacing w:line="420" w:lineRule="exact"/>
        <w:ind w:firstLine="361" w:firstLineChars="150"/>
        <w:jc w:val="left"/>
        <w:rPr>
          <w:rFonts w:ascii="宋体" w:hAnsi="宋体"/>
          <w:b/>
          <w:sz w:val="24"/>
          <w:highlight w:val="none"/>
        </w:rPr>
      </w:pPr>
      <w:r>
        <w:rPr>
          <w:rFonts w:hint="eastAsia" w:ascii="宋体" w:hAnsi="宋体"/>
          <w:b/>
          <w:sz w:val="24"/>
          <w:highlight w:val="none"/>
        </w:rPr>
        <w:t>（三）响应文件的语言及计量</w:t>
      </w:r>
    </w:p>
    <w:p w14:paraId="677E6832">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1.响应文件以及投标人与招标人就有关投标事宜的所有来往函电，均应以中文汉语书写。除签名、盖章、专用名称等特殊情形外，以中文汉语以外的文字表述的响应文件视同未提供。</w:t>
      </w:r>
    </w:p>
    <w:p w14:paraId="77EA06F1">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2.投标计量单位，磋商文件已有明确规定的，使用磋商文件规定的计量单位；磋商文件没有规定的，应采用中华人民共和国法定计量单位（货币单位：人民币元），否则视同未响应。</w:t>
      </w:r>
    </w:p>
    <w:p w14:paraId="50BE58FC">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（四）投标报价</w:t>
      </w:r>
    </w:p>
    <w:p w14:paraId="620D70F0">
      <w:pPr>
        <w:pStyle w:val="31"/>
        <w:snapToGrid w:val="0"/>
        <w:spacing w:beforeLines="0" w:afterLines="0" w:line="420" w:lineRule="exact"/>
        <w:ind w:firstLine="480" w:firstLineChars="200"/>
        <w:jc w:val="left"/>
        <w:rPr>
          <w:rFonts w:hAnsi="宋体"/>
          <w:highlight w:val="none"/>
        </w:rPr>
      </w:pPr>
      <w:r>
        <w:rPr>
          <w:rFonts w:hint="eastAsia" w:hAnsi="宋体"/>
          <w:highlight w:val="none"/>
        </w:rPr>
        <w:t>1.投标报价应按磋商文件中相关附表格式填写。</w:t>
      </w:r>
    </w:p>
    <w:p w14:paraId="0AB93BB1">
      <w:pPr>
        <w:pStyle w:val="31"/>
        <w:snapToGrid w:val="0"/>
        <w:spacing w:beforeLines="0" w:afterLines="0" w:line="420" w:lineRule="exact"/>
        <w:ind w:firstLine="480" w:firstLineChars="200"/>
        <w:jc w:val="left"/>
        <w:rPr>
          <w:rFonts w:hAnsi="宋体"/>
          <w:highlight w:val="none"/>
        </w:rPr>
      </w:pPr>
      <w:r>
        <w:rPr>
          <w:rFonts w:hint="eastAsia" w:hAnsi="宋体"/>
          <w:highlight w:val="none"/>
        </w:rPr>
        <w:t>2.投标报价是履行合同的最终价格，应各项服务内容的各种费用，应包括员工工资、福利、奖金、补贴、社会保险费、及易耗品费、管理费、税金、政策性文件规定及合同包含的所有风险、责任等各项应有费用等一切费用。因成交供应商自身原因造成漏报、少报皆由其自行承担责任，采购人不再补偿。</w:t>
      </w:r>
    </w:p>
    <w:p w14:paraId="0904F44C">
      <w:pPr>
        <w:pStyle w:val="31"/>
        <w:snapToGrid w:val="0"/>
        <w:spacing w:beforeLines="0" w:afterLines="0" w:line="420" w:lineRule="exact"/>
        <w:ind w:firstLine="480" w:firstLineChars="200"/>
        <w:jc w:val="left"/>
        <w:rPr>
          <w:highlight w:val="none"/>
        </w:rPr>
      </w:pPr>
      <w:r>
        <w:rPr>
          <w:rFonts w:hint="eastAsia" w:hAnsi="宋体"/>
          <w:highlight w:val="none"/>
        </w:rPr>
        <w:t>响应文件中价格全部采用人民币报价。磋商文件未列明，而投标人认为必需的费用也需列入报价。</w:t>
      </w:r>
    </w:p>
    <w:p w14:paraId="253C09AC">
      <w:pPr>
        <w:tabs>
          <w:tab w:val="left" w:pos="525"/>
        </w:tabs>
        <w:snapToGrid w:val="0"/>
        <w:spacing w:line="420" w:lineRule="exact"/>
        <w:ind w:firstLine="480" w:firstLineChars="200"/>
        <w:jc w:val="left"/>
        <w:rPr>
          <w:rFonts w:hint="eastAsia" w:ascii="宋体" w:hAnsi="宋体" w:eastAsia="宋体"/>
          <w:sz w:val="24"/>
          <w:highlight w:val="none"/>
          <w:lang w:eastAsia="zh-CN"/>
        </w:rPr>
      </w:pPr>
      <w:r>
        <w:rPr>
          <w:rFonts w:hint="eastAsia" w:ascii="宋体" w:hAnsi="宋体"/>
          <w:sz w:val="24"/>
          <w:highlight w:val="none"/>
        </w:rPr>
        <w:t>▲响应文件只允许有一个报价，有选择的或有条件的报价将不予接受。（此项符合性在报价文件中进行评审）</w:t>
      </w:r>
    </w:p>
    <w:p w14:paraId="67D2B2C8">
      <w:pPr>
        <w:pStyle w:val="13"/>
        <w:widowControl w:val="0"/>
        <w:tabs>
          <w:tab w:val="left" w:pos="420"/>
        </w:tabs>
        <w:snapToGrid w:val="0"/>
        <w:spacing w:before="120" w:beforeLines="50" w:afterLines="0" w:line="420" w:lineRule="exact"/>
        <w:ind w:left="0" w:firstLine="472" w:firstLineChars="196"/>
        <w:rPr>
          <w:rFonts w:ascii="宋体" w:hAnsi="宋体"/>
          <w:b/>
          <w:szCs w:val="24"/>
          <w:highlight w:val="none"/>
        </w:rPr>
      </w:pPr>
      <w:r>
        <w:rPr>
          <w:rFonts w:hint="eastAsia" w:ascii="宋体" w:hAnsi="宋体"/>
          <w:b/>
          <w:szCs w:val="24"/>
          <w:highlight w:val="none"/>
        </w:rPr>
        <w:t>（五）投标有效期</w:t>
      </w:r>
    </w:p>
    <w:p w14:paraId="5B0B4A80">
      <w:pPr>
        <w:pStyle w:val="13"/>
        <w:widowControl w:val="0"/>
        <w:tabs>
          <w:tab w:val="left" w:pos="420"/>
        </w:tabs>
        <w:snapToGrid w:val="0"/>
        <w:spacing w:afterLines="0" w:line="420" w:lineRule="exact"/>
        <w:ind w:left="-25" w:leftChars="-12" w:firstLine="360" w:firstLineChars="150"/>
        <w:rPr>
          <w:rFonts w:ascii="宋体" w:hAnsi="宋体"/>
          <w:szCs w:val="24"/>
          <w:highlight w:val="none"/>
        </w:rPr>
      </w:pPr>
      <w:r>
        <w:rPr>
          <w:rFonts w:hint="eastAsia" w:ascii="宋体" w:hAnsi="宋体"/>
          <w:szCs w:val="24"/>
          <w:highlight w:val="none"/>
        </w:rPr>
        <w:t>▲1.自投标截止日起</w:t>
      </w:r>
      <w:r>
        <w:rPr>
          <w:rFonts w:hint="eastAsia" w:ascii="宋体" w:hAnsi="宋体"/>
          <w:szCs w:val="24"/>
          <w:highlight w:val="none"/>
          <w:u w:val="single"/>
        </w:rPr>
        <w:t xml:space="preserve">  90  </w:t>
      </w:r>
      <w:r>
        <w:rPr>
          <w:rFonts w:hint="eastAsia" w:ascii="宋体" w:hAnsi="宋体"/>
          <w:szCs w:val="24"/>
          <w:highlight w:val="none"/>
        </w:rPr>
        <w:t>天响应文件应保持有效。</w:t>
      </w:r>
    </w:p>
    <w:p w14:paraId="6B39EC88">
      <w:pPr>
        <w:pStyle w:val="13"/>
        <w:widowControl w:val="0"/>
        <w:tabs>
          <w:tab w:val="left" w:pos="420"/>
        </w:tabs>
        <w:snapToGrid w:val="0"/>
        <w:spacing w:afterLines="0" w:line="420" w:lineRule="exact"/>
        <w:ind w:left="0" w:firstLine="480" w:firstLineChars="200"/>
        <w:rPr>
          <w:rFonts w:ascii="宋体" w:hAnsi="宋体"/>
          <w:szCs w:val="24"/>
          <w:highlight w:val="none"/>
        </w:rPr>
      </w:pPr>
      <w:r>
        <w:rPr>
          <w:rFonts w:hint="eastAsia" w:ascii="宋体" w:hAnsi="宋体"/>
          <w:szCs w:val="24"/>
          <w:highlight w:val="none"/>
        </w:rPr>
        <w:t>2.在特殊情况下，招标人可与投标人协商延长响应文件的有效期，这种要求和答复均以书面形式进行。</w:t>
      </w:r>
    </w:p>
    <w:p w14:paraId="2C28DF3B">
      <w:pPr>
        <w:snapToGrid w:val="0"/>
        <w:spacing w:line="420" w:lineRule="exact"/>
        <w:ind w:firstLine="420" w:firstLineChars="200"/>
        <w:jc w:val="left"/>
        <w:rPr>
          <w:rFonts w:ascii="宋体" w:hAnsi="宋体"/>
          <w:sz w:val="24"/>
          <w:highlight w:val="none"/>
        </w:rPr>
      </w:pPr>
      <w:r>
        <w:rPr>
          <w:rFonts w:hint="eastAsia" w:hAnsi="宋体"/>
          <w:highlight w:val="none"/>
        </w:rPr>
        <w:t>供应商</w:t>
      </w:r>
      <w:r>
        <w:rPr>
          <w:rFonts w:hint="eastAsia" w:ascii="宋体" w:hAnsi="宋体"/>
          <w:sz w:val="24"/>
          <w:highlight w:val="none"/>
        </w:rPr>
        <w:t xml:space="preserve">可拒绝接受延期要求，同意延长有效期的投标人不能修改响应文件内容。 </w:t>
      </w:r>
    </w:p>
    <w:p w14:paraId="618C78E0">
      <w:pPr>
        <w:snapToGrid w:val="0"/>
        <w:spacing w:line="420" w:lineRule="exact"/>
        <w:ind w:firstLine="480" w:firstLineChars="200"/>
        <w:jc w:val="left"/>
        <w:rPr>
          <w:rFonts w:ascii="宋体" w:hAnsi="宋体"/>
          <w:b/>
          <w:sz w:val="24"/>
          <w:highlight w:val="none"/>
        </w:rPr>
      </w:pPr>
      <w:r>
        <w:rPr>
          <w:rFonts w:hint="eastAsia" w:ascii="宋体" w:hAnsi="宋体"/>
          <w:sz w:val="24"/>
          <w:highlight w:val="none"/>
        </w:rPr>
        <w:t>4.成交人的响应文件自开标之日起至合同履行完毕止均应保持有效。</w:t>
      </w:r>
    </w:p>
    <w:p w14:paraId="255AAD97">
      <w:pPr>
        <w:snapToGrid w:val="0"/>
        <w:spacing w:line="420" w:lineRule="exact"/>
        <w:ind w:firstLine="472" w:firstLineChars="196"/>
        <w:jc w:val="left"/>
        <w:rPr>
          <w:rFonts w:ascii="宋体" w:hAnsi="宋体"/>
          <w:b/>
          <w:bCs/>
          <w:sz w:val="24"/>
          <w:highlight w:val="none"/>
        </w:rPr>
      </w:pPr>
      <w:r>
        <w:rPr>
          <w:rFonts w:hint="eastAsia" w:ascii="宋体" w:hAnsi="宋体"/>
          <w:b/>
          <w:bCs/>
          <w:sz w:val="24"/>
          <w:highlight w:val="none"/>
        </w:rPr>
        <w:t>5.投标人有下列情形之一的，按有关规定进行处罚：</w:t>
      </w:r>
    </w:p>
    <w:p w14:paraId="6E39BEDB">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（1）</w:t>
      </w:r>
      <w:r>
        <w:rPr>
          <w:rFonts w:hint="eastAsia" w:hAnsi="宋体"/>
          <w:highlight w:val="none"/>
        </w:rPr>
        <w:t>供应商</w:t>
      </w:r>
      <w:r>
        <w:rPr>
          <w:rFonts w:hint="eastAsia" w:ascii="宋体" w:hAnsi="宋体"/>
          <w:sz w:val="24"/>
          <w:highlight w:val="none"/>
        </w:rPr>
        <w:t>在投标有效期内撤回响应文件的；</w:t>
      </w:r>
    </w:p>
    <w:p w14:paraId="79919837">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（2）未按规定提交履约保证金的；</w:t>
      </w:r>
    </w:p>
    <w:p w14:paraId="03FE7BE2">
      <w:pPr>
        <w:snapToGrid w:val="0"/>
        <w:spacing w:line="420" w:lineRule="exact"/>
        <w:ind w:firstLine="470" w:firstLineChars="196"/>
        <w:jc w:val="left"/>
        <w:rPr>
          <w:rFonts w:ascii="宋体" w:hAnsi="宋体"/>
          <w:sz w:val="24"/>
          <w:highlight w:val="none"/>
        </w:rPr>
      </w:pPr>
      <w:r>
        <w:rPr>
          <w:rFonts w:hint="eastAsia" w:ascii="宋体" w:hAnsi="宋体"/>
          <w:sz w:val="24"/>
          <w:highlight w:val="none"/>
        </w:rPr>
        <w:t>（3）投标人在投标过程中弄虚作假，提供虚假材料的；</w:t>
      </w:r>
    </w:p>
    <w:p w14:paraId="6A24565B">
      <w:pPr>
        <w:snapToGrid w:val="0"/>
        <w:spacing w:line="420" w:lineRule="exact"/>
        <w:ind w:firstLine="470" w:firstLineChars="196"/>
        <w:rPr>
          <w:rFonts w:ascii="宋体" w:hAnsi="宋体"/>
          <w:sz w:val="24"/>
          <w:highlight w:val="none"/>
        </w:rPr>
      </w:pPr>
      <w:r>
        <w:rPr>
          <w:rFonts w:hint="eastAsia" w:ascii="宋体" w:hAnsi="宋体"/>
          <w:sz w:val="24"/>
          <w:highlight w:val="none"/>
        </w:rPr>
        <w:t>（4）成交人无正当理由不与招标人签订合同的；</w:t>
      </w:r>
    </w:p>
    <w:p w14:paraId="410F159F">
      <w:pPr>
        <w:snapToGrid w:val="0"/>
        <w:spacing w:line="420" w:lineRule="exact"/>
        <w:ind w:firstLine="470" w:firstLineChars="196"/>
        <w:rPr>
          <w:rFonts w:ascii="宋体" w:hAnsi="宋体"/>
          <w:sz w:val="24"/>
          <w:highlight w:val="none"/>
        </w:rPr>
      </w:pPr>
      <w:r>
        <w:rPr>
          <w:rFonts w:hint="eastAsia" w:ascii="宋体" w:hAnsi="宋体"/>
          <w:sz w:val="24"/>
          <w:highlight w:val="none"/>
        </w:rPr>
        <w:t>（5）</w:t>
      </w:r>
      <w:r>
        <w:rPr>
          <w:rFonts w:hint="eastAsia" w:ascii="宋体" w:hAnsi="宋体"/>
          <w:bCs/>
          <w:sz w:val="24"/>
          <w:highlight w:val="none"/>
        </w:rPr>
        <w:t>将中标项目转让给他人或者在响应文件中未说明且未经招标人同意，将中标项目分包给他人的；</w:t>
      </w:r>
    </w:p>
    <w:p w14:paraId="78267DB9">
      <w:pPr>
        <w:snapToGrid w:val="0"/>
        <w:spacing w:line="420" w:lineRule="exact"/>
        <w:ind w:firstLine="480" w:firstLineChars="200"/>
        <w:rPr>
          <w:rFonts w:ascii="宋体" w:hAnsi="宋体"/>
          <w:sz w:val="24"/>
          <w:highlight w:val="none"/>
        </w:rPr>
      </w:pPr>
      <w:r>
        <w:rPr>
          <w:rFonts w:hint="eastAsia" w:ascii="宋体" w:hAnsi="宋体"/>
          <w:sz w:val="24"/>
          <w:highlight w:val="none"/>
        </w:rPr>
        <w:t>（6）拒绝履行合同义务的；</w:t>
      </w:r>
    </w:p>
    <w:p w14:paraId="60EABC49">
      <w:pPr>
        <w:snapToGrid w:val="0"/>
        <w:spacing w:line="420" w:lineRule="exact"/>
        <w:ind w:firstLine="480" w:firstLineChars="200"/>
        <w:rPr>
          <w:rFonts w:ascii="宋体" w:hAnsi="宋体"/>
          <w:sz w:val="24"/>
          <w:highlight w:val="none"/>
        </w:rPr>
      </w:pPr>
      <w:r>
        <w:rPr>
          <w:rFonts w:hint="eastAsia" w:ascii="宋体" w:hAnsi="宋体"/>
          <w:sz w:val="24"/>
          <w:highlight w:val="none"/>
        </w:rPr>
        <w:t>（7）其他严重扰乱招投标程序的。</w:t>
      </w:r>
    </w:p>
    <w:p w14:paraId="34C61BAB">
      <w:pPr>
        <w:snapToGrid w:val="0"/>
        <w:spacing w:before="120" w:beforeLines="50" w:line="420" w:lineRule="exact"/>
        <w:ind w:firstLine="472" w:firstLineChars="196"/>
        <w:jc w:val="left"/>
        <w:rPr>
          <w:rFonts w:ascii="宋体" w:hAnsi="宋体"/>
          <w:b/>
          <w:sz w:val="24"/>
          <w:highlight w:val="none"/>
        </w:rPr>
      </w:pPr>
      <w:r>
        <w:rPr>
          <w:rFonts w:hint="eastAsia" w:ascii="宋体" w:hAnsi="宋体"/>
          <w:b/>
          <w:sz w:val="24"/>
          <w:highlight w:val="none"/>
        </w:rPr>
        <w:t>（六）响应文件的签署</w:t>
      </w:r>
    </w:p>
    <w:p w14:paraId="64150683">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1.供应商应按本磋商文件规定的格式和顺序编制响应文件并标注页码，响应文件内容不完整、编排混乱而导致响应文件被误读、漏读或者查找不到相关内容的，供应商责任自负。</w:t>
      </w:r>
    </w:p>
    <w:p w14:paraId="7D36115F">
      <w:pPr>
        <w:snapToGrid w:val="0"/>
        <w:spacing w:line="420" w:lineRule="exact"/>
        <w:ind w:firstLine="470" w:firstLineChars="196"/>
        <w:jc w:val="left"/>
        <w:rPr>
          <w:rFonts w:ascii="宋体" w:hAnsi="宋体"/>
          <w:sz w:val="24"/>
          <w:highlight w:val="none"/>
        </w:rPr>
      </w:pPr>
      <w:r>
        <w:rPr>
          <w:rFonts w:ascii="宋体" w:hAnsi="宋体"/>
          <w:sz w:val="24"/>
          <w:highlight w:val="none"/>
        </w:rPr>
        <w:t>2</w:t>
      </w:r>
      <w:r>
        <w:rPr>
          <w:rFonts w:hint="eastAsia" w:ascii="宋体" w:hAnsi="宋体"/>
          <w:sz w:val="24"/>
          <w:highlight w:val="none"/>
        </w:rPr>
        <w:t>.</w:t>
      </w:r>
      <w:r>
        <w:rPr>
          <w:rFonts w:hint="eastAsia" w:ascii="宋体" w:hAnsi="宋体" w:cs="仿宋_GB2312"/>
          <w:b/>
          <w:sz w:val="24"/>
          <w:highlight w:val="none"/>
        </w:rPr>
        <w:t>电子响应文件中公章采用CA签章</w:t>
      </w:r>
      <w:r>
        <w:rPr>
          <w:rFonts w:hint="eastAsia" w:ascii="宋体" w:hAnsi="宋体" w:cs="仿宋_GB2312"/>
          <w:bCs/>
          <w:sz w:val="24"/>
          <w:highlight w:val="none"/>
        </w:rPr>
        <w:t>，</w:t>
      </w:r>
      <w:r>
        <w:rPr>
          <w:rFonts w:hint="eastAsia" w:ascii="宋体" w:hAnsi="宋体" w:cs="仿宋_GB2312"/>
          <w:b/>
          <w:sz w:val="24"/>
          <w:highlight w:val="none"/>
        </w:rPr>
        <w:t>并根据本磋商文件规定的格式和顺序编制电子响应文件，</w:t>
      </w:r>
      <w:r>
        <w:rPr>
          <w:rFonts w:hint="eastAsia" w:ascii="宋体" w:hAnsi="宋体" w:cs="仿宋_GB2312"/>
          <w:bCs/>
          <w:sz w:val="24"/>
          <w:highlight w:val="none"/>
        </w:rPr>
        <w:t>电子响应文件如内容不完整、编排混乱导致响应文件被误读、漏读，或者在按磋商文件规定的部位查找不到相关内容的，由投标人自行承担。</w:t>
      </w:r>
    </w:p>
    <w:p w14:paraId="1A7BD81D">
      <w:pPr>
        <w:snapToGrid w:val="0"/>
        <w:spacing w:line="420" w:lineRule="exact"/>
        <w:ind w:firstLine="480" w:firstLineChars="200"/>
        <w:jc w:val="left"/>
        <w:rPr>
          <w:rFonts w:ascii="宋体" w:hAnsi="宋体"/>
          <w:sz w:val="24"/>
          <w:highlight w:val="none"/>
        </w:rPr>
      </w:pPr>
      <w:r>
        <w:rPr>
          <w:rFonts w:hint="eastAsia" w:ascii="宋体" w:hAnsi="宋体"/>
          <w:sz w:val="24"/>
          <w:highlight w:val="none"/>
        </w:rPr>
        <w:t>响应文件不得涂改，若有修改错漏处，须加盖单位公章或者法定代表人或授权委托人签字或盖章。响应文件因字迹潦草或表达不清所引起的后果由投标人负责。</w:t>
      </w:r>
    </w:p>
    <w:p w14:paraId="29ED7A24">
      <w:pPr>
        <w:snapToGrid w:val="0"/>
        <w:spacing w:before="120" w:beforeLines="50" w:line="420" w:lineRule="exact"/>
        <w:ind w:firstLine="472" w:firstLineChars="196"/>
        <w:rPr>
          <w:rFonts w:ascii="宋体" w:hAnsi="宋体"/>
          <w:b/>
          <w:sz w:val="24"/>
          <w:highlight w:val="none"/>
        </w:rPr>
      </w:pPr>
      <w:r>
        <w:rPr>
          <w:rFonts w:hint="eastAsia" w:ascii="宋体" w:hAnsi="宋体"/>
          <w:b/>
          <w:sz w:val="24"/>
          <w:highlight w:val="none"/>
        </w:rPr>
        <w:t>（七）投标无效的情形</w:t>
      </w:r>
    </w:p>
    <w:p w14:paraId="6D614896">
      <w:pPr>
        <w:snapToGrid w:val="0"/>
        <w:spacing w:line="420" w:lineRule="exact"/>
        <w:ind w:firstLine="480" w:firstLineChars="200"/>
        <w:rPr>
          <w:rFonts w:ascii="宋体" w:hAnsi="宋体"/>
          <w:bCs/>
          <w:sz w:val="24"/>
          <w:highlight w:val="none"/>
        </w:rPr>
      </w:pPr>
      <w:r>
        <w:rPr>
          <w:rFonts w:hint="eastAsia" w:ascii="宋体" w:hAnsi="宋体"/>
          <w:bCs/>
          <w:sz w:val="24"/>
          <w:highlight w:val="none"/>
        </w:rPr>
        <w:t>实质上没有响应磋商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响应文件必须以书面形式进行，如有需要应在中标结果公告之前查核原件。限期内不补正或经补正后仍不符合磋商文件要求的，应认定其投标无效。投标人修改、补正响应文件后，不影响评标委员会对其响应文件所作的评价和评分结果。</w:t>
      </w:r>
    </w:p>
    <w:p w14:paraId="671BB053">
      <w:pPr>
        <w:snapToGrid w:val="0"/>
        <w:spacing w:line="420" w:lineRule="exact"/>
        <w:ind w:firstLine="457" w:firstLineChars="196"/>
        <w:rPr>
          <w:rFonts w:ascii="宋体" w:hAnsi="宋体"/>
          <w:b/>
          <w:bCs/>
          <w:spacing w:val="-4"/>
          <w:sz w:val="24"/>
          <w:highlight w:val="none"/>
        </w:rPr>
      </w:pPr>
      <w:bookmarkStart w:id="21" w:name="_Hlk59462445"/>
      <w:r>
        <w:rPr>
          <w:rFonts w:hint="eastAsia" w:ascii="宋体" w:hAnsi="宋体"/>
          <w:b/>
          <w:bCs/>
          <w:spacing w:val="-4"/>
          <w:sz w:val="24"/>
          <w:highlight w:val="none"/>
        </w:rPr>
        <w:t>1.</w:t>
      </w:r>
      <w:bookmarkStart w:id="22" w:name="_Hlk534294335"/>
      <w:r>
        <w:rPr>
          <w:rFonts w:hint="eastAsia" w:ascii="宋体" w:hAnsi="宋体"/>
          <w:b/>
          <w:bCs/>
          <w:spacing w:val="-4"/>
          <w:sz w:val="24"/>
          <w:highlight w:val="none"/>
        </w:rPr>
        <w:t>在符合性审查和商务技术评审时，如发现下列情形之一的，响应文件将被视为无效：</w:t>
      </w:r>
    </w:p>
    <w:bookmarkEnd w:id="22"/>
    <w:p w14:paraId="1EAFE8F4">
      <w:pPr>
        <w:snapToGrid w:val="0"/>
        <w:spacing w:line="420" w:lineRule="exact"/>
        <w:ind w:firstLine="470" w:firstLineChars="196"/>
        <w:rPr>
          <w:rFonts w:ascii="宋体" w:hAnsi="宋体"/>
          <w:sz w:val="24"/>
          <w:highlight w:val="none"/>
        </w:rPr>
      </w:pPr>
      <w:r>
        <w:rPr>
          <w:rFonts w:hint="eastAsia" w:ascii="宋体" w:hAnsi="宋体"/>
          <w:sz w:val="24"/>
          <w:highlight w:val="none"/>
        </w:rPr>
        <w:t>（1）资格响应文件未提供齐全的或者资格响应文件存在过期的或者不符合磋商文件标明的资格要求的；</w:t>
      </w:r>
    </w:p>
    <w:p w14:paraId="79E33BC7">
      <w:pPr>
        <w:snapToGrid w:val="0"/>
        <w:spacing w:line="420" w:lineRule="exact"/>
        <w:ind w:firstLine="470" w:firstLineChars="196"/>
        <w:rPr>
          <w:rFonts w:ascii="宋体" w:hAnsi="宋体"/>
          <w:bCs/>
          <w:kern w:val="0"/>
          <w:sz w:val="24"/>
          <w:highlight w:val="none"/>
        </w:rPr>
      </w:pPr>
      <w:r>
        <w:rPr>
          <w:rFonts w:hint="eastAsia" w:ascii="宋体" w:hAnsi="宋体"/>
          <w:sz w:val="24"/>
          <w:highlight w:val="none"/>
        </w:rPr>
        <w:t>（2）</w:t>
      </w:r>
      <w:r>
        <w:rPr>
          <w:rFonts w:hint="eastAsia" w:ascii="宋体" w:hAnsi="宋体"/>
          <w:bCs/>
          <w:sz w:val="24"/>
          <w:highlight w:val="none"/>
        </w:rPr>
        <w:t>电子响应文件</w:t>
      </w:r>
      <w:r>
        <w:rPr>
          <w:rFonts w:hint="eastAsia" w:ascii="宋体" w:hAnsi="宋体"/>
          <w:b/>
          <w:bCs/>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kern w:val="0"/>
          <w:sz w:val="24"/>
          <w:highlight w:val="none"/>
          <w:u w:val="single"/>
        </w:rPr>
        <w:t>、</w:t>
      </w:r>
      <w:r>
        <w:rPr>
          <w:rFonts w:hint="eastAsia" w:ascii="宋体" w:hAnsi="宋体"/>
          <w:b/>
          <w:bCs/>
          <w:kern w:val="0"/>
          <w:sz w:val="24"/>
          <w:highlight w:val="none"/>
        </w:rPr>
        <w:t>未提供法定代表人授权委托书、未提供投标函、未提供《没有重大违法记录的承诺函》或者投标函、《没有重大违法记录的承诺函》格式不符合磋商文件要求或填写项目不齐全的；</w:t>
      </w:r>
    </w:p>
    <w:bookmarkEnd w:id="21"/>
    <w:p w14:paraId="730A0BFE">
      <w:pPr>
        <w:pStyle w:val="23"/>
        <w:snapToGrid w:val="0"/>
        <w:spacing w:line="420" w:lineRule="exact"/>
        <w:ind w:firstLine="454" w:firstLineChars="196"/>
        <w:rPr>
          <w:rFonts w:hAnsi="宋体"/>
          <w:b/>
          <w:bCs/>
          <w:sz w:val="24"/>
          <w:szCs w:val="24"/>
          <w:highlight w:val="none"/>
        </w:rPr>
      </w:pPr>
      <w:r>
        <w:rPr>
          <w:rFonts w:hint="eastAsia" w:hAnsi="宋体"/>
          <w:sz w:val="24"/>
          <w:szCs w:val="24"/>
          <w:highlight w:val="none"/>
        </w:rPr>
        <w:t>（</w:t>
      </w:r>
      <w:r>
        <w:rPr>
          <w:rFonts w:hAnsi="宋体"/>
          <w:sz w:val="24"/>
          <w:szCs w:val="24"/>
          <w:highlight w:val="none"/>
        </w:rPr>
        <w:t>3</w:t>
      </w:r>
      <w:r>
        <w:rPr>
          <w:rFonts w:hint="eastAsia" w:hAnsi="宋体"/>
          <w:sz w:val="24"/>
          <w:szCs w:val="24"/>
          <w:highlight w:val="none"/>
        </w:rPr>
        <w:t>）多项主要服务响应或者主要设备功能响应不满足磋商文件要求或</w:t>
      </w:r>
      <w:r>
        <w:rPr>
          <w:rFonts w:hint="eastAsia" w:hAnsi="宋体"/>
          <w:sz w:val="24"/>
          <w:highlight w:val="none"/>
        </w:rPr>
        <w:t>缺项的，</w:t>
      </w:r>
      <w:r>
        <w:rPr>
          <w:rFonts w:hint="eastAsia" w:hAnsi="宋体"/>
          <w:b/>
          <w:bCs/>
          <w:sz w:val="24"/>
          <w:szCs w:val="24"/>
          <w:highlight w:val="none"/>
        </w:rPr>
        <w:t>主要设备尺寸严重不满足磋商文件要求的。</w:t>
      </w:r>
    </w:p>
    <w:p w14:paraId="642AB0BE">
      <w:pPr>
        <w:pStyle w:val="23"/>
        <w:snapToGrid w:val="0"/>
        <w:spacing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4</w:t>
      </w:r>
      <w:r>
        <w:rPr>
          <w:rFonts w:hint="eastAsia" w:hAnsi="宋体"/>
          <w:sz w:val="24"/>
          <w:szCs w:val="24"/>
          <w:highlight w:val="none"/>
        </w:rPr>
        <w:t>）</w:t>
      </w:r>
      <w:r>
        <w:rPr>
          <w:rFonts w:hint="eastAsia" w:hAnsi="宋体"/>
          <w:snapToGrid w:val="0"/>
          <w:sz w:val="24"/>
          <w:szCs w:val="24"/>
          <w:highlight w:val="none"/>
        </w:rPr>
        <w:t>与</w:t>
      </w:r>
      <w:r>
        <w:rPr>
          <w:rFonts w:hint="eastAsia" w:hAnsi="宋体"/>
          <w:sz w:val="24"/>
          <w:szCs w:val="24"/>
          <w:highlight w:val="none"/>
        </w:rPr>
        <w:t>磋商文件中标“▲”的技术指标、主要功能参数、服务响应发生实质性负偏离</w:t>
      </w:r>
      <w:r>
        <w:rPr>
          <w:rFonts w:hint="eastAsia" w:hAnsi="宋体"/>
          <w:snapToGrid w:val="0"/>
          <w:sz w:val="24"/>
          <w:szCs w:val="24"/>
          <w:highlight w:val="none"/>
        </w:rPr>
        <w:t>或内容缺失</w:t>
      </w:r>
      <w:r>
        <w:rPr>
          <w:rFonts w:hint="eastAsia" w:hAnsi="宋体"/>
          <w:sz w:val="24"/>
          <w:szCs w:val="24"/>
          <w:highlight w:val="none"/>
        </w:rPr>
        <w:t>的；</w:t>
      </w:r>
    </w:p>
    <w:p w14:paraId="7B77AE10">
      <w:pPr>
        <w:pStyle w:val="23"/>
        <w:snapToGrid w:val="0"/>
        <w:spacing w:line="420" w:lineRule="exact"/>
        <w:ind w:firstLine="454" w:firstLineChars="196"/>
        <w:rPr>
          <w:rFonts w:hAnsi="宋体"/>
          <w:sz w:val="24"/>
          <w:szCs w:val="24"/>
          <w:highlight w:val="none"/>
        </w:rPr>
      </w:pPr>
      <w:r>
        <w:rPr>
          <w:rFonts w:hint="eastAsia" w:hAnsi="宋体"/>
          <w:sz w:val="24"/>
          <w:szCs w:val="24"/>
          <w:highlight w:val="none"/>
        </w:rPr>
        <w:t>（</w:t>
      </w:r>
      <w:r>
        <w:rPr>
          <w:rFonts w:hAnsi="宋体"/>
          <w:sz w:val="24"/>
          <w:szCs w:val="24"/>
          <w:highlight w:val="none"/>
        </w:rPr>
        <w:t>5</w:t>
      </w:r>
      <w:r>
        <w:rPr>
          <w:rFonts w:hint="eastAsia" w:hAnsi="宋体"/>
          <w:sz w:val="24"/>
          <w:szCs w:val="24"/>
          <w:highlight w:val="none"/>
        </w:rPr>
        <w:t>）未如实提供投标货物（或服务）的技术参数，或者响应文件标明的响应或偏离存在虚假的；</w:t>
      </w:r>
    </w:p>
    <w:p w14:paraId="4E443D28">
      <w:pPr>
        <w:pStyle w:val="23"/>
        <w:snapToGrid w:val="0"/>
        <w:spacing w:line="420" w:lineRule="exact"/>
        <w:ind w:firstLine="454" w:firstLineChars="196"/>
        <w:rPr>
          <w:rFonts w:hAnsi="宋体"/>
          <w:snapToGrid w:val="0"/>
          <w:sz w:val="24"/>
          <w:szCs w:val="24"/>
          <w:highlight w:val="none"/>
        </w:rPr>
      </w:pPr>
      <w:r>
        <w:rPr>
          <w:rFonts w:hint="eastAsia" w:hAnsi="宋体"/>
          <w:sz w:val="24"/>
          <w:szCs w:val="24"/>
          <w:highlight w:val="none"/>
        </w:rPr>
        <w:t>（</w:t>
      </w:r>
      <w:r>
        <w:rPr>
          <w:rFonts w:hAnsi="宋体"/>
          <w:sz w:val="24"/>
          <w:szCs w:val="24"/>
          <w:highlight w:val="none"/>
        </w:rPr>
        <w:t>6</w:t>
      </w:r>
      <w:r>
        <w:rPr>
          <w:rFonts w:hint="eastAsia" w:hAnsi="宋体"/>
          <w:sz w:val="24"/>
          <w:szCs w:val="24"/>
          <w:highlight w:val="none"/>
        </w:rPr>
        <w:t>）投标有效期、工期（供货期、交货时间、服务期）、保修期（质保期）、付款方式等商务条款不能满足磋商文件要求或缺失的</w:t>
      </w:r>
      <w:r>
        <w:rPr>
          <w:rFonts w:hint="eastAsia" w:hAnsi="宋体"/>
          <w:snapToGrid w:val="0"/>
          <w:sz w:val="24"/>
          <w:szCs w:val="24"/>
          <w:highlight w:val="none"/>
        </w:rPr>
        <w:t>；</w:t>
      </w:r>
    </w:p>
    <w:p w14:paraId="05F48E2E">
      <w:pPr>
        <w:spacing w:line="360" w:lineRule="auto"/>
        <w:rPr>
          <w:rFonts w:ascii="宋体" w:hAnsi="宋体"/>
          <w:spacing w:val="-4"/>
          <w:kern w:val="0"/>
          <w:sz w:val="24"/>
          <w:highlight w:val="none"/>
        </w:rPr>
      </w:pPr>
      <w:r>
        <w:rPr>
          <w:rFonts w:hint="eastAsia" w:hAnsi="宋体"/>
          <w:snapToGrid w:val="0"/>
          <w:sz w:val="24"/>
          <w:highlight w:val="none"/>
        </w:rPr>
        <w:t xml:space="preserve">    </w:t>
      </w:r>
      <w:r>
        <w:rPr>
          <w:rFonts w:hint="eastAsia" w:ascii="宋体" w:hAnsi="宋体"/>
          <w:spacing w:val="-4"/>
          <w:kern w:val="0"/>
          <w:sz w:val="24"/>
          <w:highlight w:val="none"/>
        </w:rPr>
        <w:t>（</w:t>
      </w:r>
      <w:r>
        <w:rPr>
          <w:rFonts w:ascii="宋体" w:hAnsi="宋体"/>
          <w:spacing w:val="-4"/>
          <w:kern w:val="0"/>
          <w:sz w:val="24"/>
          <w:highlight w:val="none"/>
        </w:rPr>
        <w:t>7</w:t>
      </w:r>
      <w:r>
        <w:rPr>
          <w:rFonts w:hint="eastAsia" w:ascii="宋体" w:hAnsi="宋体"/>
          <w:spacing w:val="-4"/>
          <w:kern w:val="0"/>
          <w:sz w:val="24"/>
          <w:highlight w:val="none"/>
        </w:rPr>
        <w:t>）在商务及技术响应表中缺失部分磋商文件中打▲的商务和技术要求的应标内容，同时在评标委员会对其进行询标时，供应商未能在规定时间内提供出其响应文件中有该项响应内容的；</w:t>
      </w:r>
    </w:p>
    <w:p w14:paraId="15B27CF5">
      <w:pPr>
        <w:pStyle w:val="23"/>
        <w:snapToGrid w:val="0"/>
        <w:spacing w:line="420" w:lineRule="exact"/>
        <w:ind w:firstLine="454" w:firstLineChars="196"/>
        <w:rPr>
          <w:rFonts w:hAnsi="宋体"/>
          <w:sz w:val="24"/>
          <w:szCs w:val="24"/>
          <w:highlight w:val="none"/>
        </w:rPr>
      </w:pPr>
      <w:r>
        <w:rPr>
          <w:rFonts w:hint="eastAsia" w:hAnsi="宋体"/>
          <w:sz w:val="24"/>
          <w:szCs w:val="24"/>
          <w:highlight w:val="none"/>
        </w:rPr>
        <w:t>（8）响应文件有招标方不能接受的附加条件的；</w:t>
      </w:r>
    </w:p>
    <w:p w14:paraId="1364AA88">
      <w:pPr>
        <w:pStyle w:val="23"/>
        <w:snapToGrid w:val="0"/>
        <w:spacing w:line="420" w:lineRule="exact"/>
        <w:ind w:firstLine="464" w:firstLineChars="200"/>
        <w:rPr>
          <w:rFonts w:hAnsi="宋体"/>
          <w:sz w:val="24"/>
          <w:szCs w:val="24"/>
          <w:highlight w:val="none"/>
        </w:rPr>
      </w:pPr>
      <w:r>
        <w:rPr>
          <w:rFonts w:hint="eastAsia" w:hAnsi="宋体"/>
          <w:sz w:val="24"/>
          <w:szCs w:val="24"/>
          <w:highlight w:val="none"/>
        </w:rPr>
        <w:t>（9）商务技术文件中出现投标总报价的；</w:t>
      </w:r>
    </w:p>
    <w:p w14:paraId="024696AB">
      <w:pPr>
        <w:pStyle w:val="23"/>
        <w:snapToGrid w:val="0"/>
        <w:spacing w:line="420" w:lineRule="exact"/>
        <w:ind w:firstLine="454" w:firstLineChars="196"/>
        <w:rPr>
          <w:rFonts w:hint="eastAsia" w:hAnsi="宋体"/>
          <w:sz w:val="24"/>
          <w:szCs w:val="24"/>
          <w:highlight w:val="none"/>
        </w:rPr>
      </w:pPr>
      <w:r>
        <w:rPr>
          <w:rFonts w:hint="eastAsia" w:hAnsi="宋体"/>
          <w:sz w:val="24"/>
          <w:szCs w:val="24"/>
          <w:highlight w:val="none"/>
        </w:rPr>
        <w:t>（10）不同投标人的投标文件，存在IP地址重复或硬件设备信息异常的。</w:t>
      </w:r>
    </w:p>
    <w:p w14:paraId="41540D50">
      <w:pPr>
        <w:pStyle w:val="23"/>
        <w:snapToGrid w:val="0"/>
        <w:spacing w:line="420" w:lineRule="exact"/>
        <w:ind w:firstLine="457" w:firstLineChars="196"/>
        <w:rPr>
          <w:rFonts w:hAnsi="宋体"/>
          <w:b/>
          <w:bCs/>
          <w:sz w:val="24"/>
          <w:szCs w:val="24"/>
          <w:highlight w:val="none"/>
        </w:rPr>
      </w:pPr>
      <w:r>
        <w:rPr>
          <w:rFonts w:hint="eastAsia" w:hAnsi="宋体"/>
          <w:b/>
          <w:bCs/>
          <w:sz w:val="24"/>
          <w:szCs w:val="24"/>
          <w:highlight w:val="none"/>
        </w:rPr>
        <w:t>2.在报价评审时，如发现下列情形之一的，响应文件将被视为无效：</w:t>
      </w:r>
    </w:p>
    <w:p w14:paraId="06DF3011">
      <w:pPr>
        <w:pStyle w:val="23"/>
        <w:snapToGrid w:val="0"/>
        <w:spacing w:line="420" w:lineRule="exact"/>
        <w:ind w:firstLine="454" w:firstLineChars="196"/>
        <w:rPr>
          <w:rFonts w:hAnsi="宋体"/>
          <w:sz w:val="24"/>
          <w:szCs w:val="24"/>
          <w:highlight w:val="none"/>
        </w:rPr>
      </w:pPr>
      <w:r>
        <w:rPr>
          <w:rFonts w:hint="eastAsia" w:hAnsi="宋体"/>
          <w:sz w:val="24"/>
          <w:szCs w:val="24"/>
          <w:highlight w:val="none"/>
        </w:rPr>
        <w:t>（1）未采用人民币报价或者未按照磋商文件标明的币种报价的；</w:t>
      </w:r>
    </w:p>
    <w:p w14:paraId="4272E176">
      <w:pPr>
        <w:pStyle w:val="23"/>
        <w:snapToGrid w:val="0"/>
        <w:spacing w:line="420" w:lineRule="exact"/>
        <w:ind w:firstLine="454" w:firstLineChars="196"/>
        <w:rPr>
          <w:rFonts w:hAnsi="宋体"/>
          <w:sz w:val="24"/>
          <w:szCs w:val="24"/>
          <w:highlight w:val="none"/>
        </w:rPr>
      </w:pPr>
      <w:r>
        <w:rPr>
          <w:rFonts w:hint="eastAsia" w:hAnsi="宋体"/>
          <w:sz w:val="24"/>
          <w:szCs w:val="24"/>
          <w:highlight w:val="none"/>
        </w:rPr>
        <w:t>（2）投标报价具有选择性，或者开标价格与响应文件承诺的优惠（折扣）价格不一致的；</w:t>
      </w:r>
    </w:p>
    <w:p w14:paraId="78FC06EF">
      <w:pPr>
        <w:pStyle w:val="23"/>
        <w:snapToGrid w:val="0"/>
        <w:spacing w:line="420" w:lineRule="exact"/>
        <w:ind w:firstLine="457" w:firstLineChars="196"/>
        <w:rPr>
          <w:rFonts w:hAnsi="宋体"/>
          <w:b/>
          <w:bCs/>
          <w:sz w:val="24"/>
          <w:szCs w:val="24"/>
          <w:highlight w:val="none"/>
        </w:rPr>
      </w:pPr>
      <w:r>
        <w:rPr>
          <w:rFonts w:hint="eastAsia" w:hAnsi="宋体"/>
          <w:b/>
          <w:bCs/>
          <w:sz w:val="24"/>
          <w:szCs w:val="24"/>
          <w:highlight w:val="none"/>
        </w:rPr>
        <w:t>（3）报价超过磋商文件中规定的预算金额或者最高限价的；</w:t>
      </w:r>
    </w:p>
    <w:p w14:paraId="127F939F">
      <w:pPr>
        <w:pStyle w:val="23"/>
        <w:snapToGrid w:val="0"/>
        <w:spacing w:line="420" w:lineRule="exact"/>
        <w:ind w:firstLine="457" w:firstLineChars="196"/>
        <w:rPr>
          <w:rFonts w:hAnsi="宋体"/>
          <w:b/>
          <w:bCs/>
          <w:sz w:val="24"/>
          <w:szCs w:val="24"/>
          <w:highlight w:val="none"/>
        </w:rPr>
      </w:pPr>
      <w:r>
        <w:rPr>
          <w:rFonts w:hint="eastAsia" w:hAnsi="宋体"/>
          <w:b/>
          <w:bCs/>
          <w:sz w:val="24"/>
          <w:szCs w:val="24"/>
          <w:highlight w:val="none"/>
        </w:rPr>
        <w:t>（</w:t>
      </w:r>
      <w:r>
        <w:rPr>
          <w:rFonts w:hAnsi="宋体"/>
          <w:b/>
          <w:bCs/>
          <w:sz w:val="24"/>
          <w:szCs w:val="24"/>
          <w:highlight w:val="none"/>
        </w:rPr>
        <w:t>4</w:t>
      </w:r>
      <w:r>
        <w:rPr>
          <w:rFonts w:hint="eastAsia" w:hAnsi="宋体"/>
          <w:b/>
          <w:bCs/>
          <w:sz w:val="24"/>
          <w:szCs w:val="24"/>
          <w:highlight w:val="none"/>
        </w:rPr>
        <w:t>）未填写投标报价的。</w:t>
      </w:r>
    </w:p>
    <w:p w14:paraId="4958DBD1">
      <w:pPr>
        <w:pStyle w:val="23"/>
        <w:snapToGrid w:val="0"/>
        <w:spacing w:line="420" w:lineRule="exact"/>
        <w:ind w:firstLine="457" w:firstLineChars="196"/>
        <w:rPr>
          <w:rFonts w:hAnsi="宋体"/>
          <w:b/>
          <w:sz w:val="24"/>
          <w:szCs w:val="24"/>
          <w:highlight w:val="none"/>
        </w:rPr>
      </w:pPr>
      <w:r>
        <w:rPr>
          <w:rFonts w:hint="eastAsia" w:hAnsi="宋体"/>
          <w:b/>
          <w:sz w:val="24"/>
          <w:szCs w:val="24"/>
          <w:highlight w:val="none"/>
        </w:rPr>
        <w:t>被拒绝的响应文件为无效。</w:t>
      </w:r>
    </w:p>
    <w:p w14:paraId="41390859">
      <w:pPr>
        <w:spacing w:line="420" w:lineRule="exact"/>
        <w:ind w:firstLine="354" w:firstLineChars="147"/>
        <w:rPr>
          <w:rFonts w:ascii="宋体" w:hAnsi="宋体"/>
          <w:b/>
          <w:sz w:val="24"/>
          <w:highlight w:val="none"/>
          <w:u w:val="single"/>
        </w:rPr>
      </w:pPr>
      <w:r>
        <w:rPr>
          <w:rFonts w:hint="eastAsia" w:ascii="宋体" w:hAnsi="宋体"/>
          <w:b/>
          <w:sz w:val="24"/>
          <w:highlight w:val="none"/>
        </w:rPr>
        <w:t>（八）在招标采购中，出现下列情形之一的，应予废标</w:t>
      </w:r>
    </w:p>
    <w:p w14:paraId="240AD48B">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1、</w:t>
      </w:r>
      <w:r>
        <w:rPr>
          <w:rFonts w:ascii="宋体" w:hAnsi="宋体"/>
          <w:sz w:val="24"/>
          <w:highlight w:val="none"/>
        </w:rPr>
        <w:t>出现影响采购公正的违法、违规</w:t>
      </w:r>
      <w:r>
        <w:rPr>
          <w:rFonts w:hint="eastAsia" w:ascii="宋体" w:hAnsi="宋体"/>
          <w:sz w:val="24"/>
          <w:highlight w:val="none"/>
        </w:rPr>
        <w:t>行为</w:t>
      </w:r>
      <w:r>
        <w:rPr>
          <w:rFonts w:ascii="宋体" w:hAnsi="宋体"/>
          <w:sz w:val="24"/>
          <w:highlight w:val="none"/>
        </w:rPr>
        <w:t>的；</w:t>
      </w:r>
    </w:p>
    <w:p w14:paraId="40D3551D">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2、</w:t>
      </w:r>
      <w:r>
        <w:rPr>
          <w:rFonts w:ascii="宋体" w:hAnsi="宋体"/>
          <w:sz w:val="24"/>
          <w:highlight w:val="none"/>
        </w:rPr>
        <w:t>因重大变故，采购任务取消的；</w:t>
      </w:r>
    </w:p>
    <w:p w14:paraId="36B91A9F">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3、供应商的报价均超过了采购预算价，招标人不能支付的。</w:t>
      </w:r>
    </w:p>
    <w:p w14:paraId="5E6D4BE0">
      <w:pPr>
        <w:autoSpaceDE w:val="0"/>
        <w:autoSpaceDN w:val="0"/>
        <w:spacing w:line="420" w:lineRule="exact"/>
        <w:ind w:firstLine="480" w:firstLineChars="200"/>
        <w:textAlignment w:val="bottom"/>
        <w:rPr>
          <w:rFonts w:ascii="宋体" w:hAnsi="宋体"/>
          <w:sz w:val="24"/>
          <w:highlight w:val="none"/>
        </w:rPr>
      </w:pPr>
      <w:r>
        <w:rPr>
          <w:rFonts w:ascii="宋体" w:hAnsi="宋体"/>
          <w:sz w:val="24"/>
          <w:highlight w:val="none"/>
        </w:rPr>
        <w:t>4</w:t>
      </w:r>
      <w:r>
        <w:rPr>
          <w:rFonts w:hint="eastAsia" w:ascii="宋体" w:hAnsi="宋体"/>
          <w:sz w:val="24"/>
          <w:highlight w:val="none"/>
        </w:rPr>
        <w:t>.其他法律法规规定应予以废标的情形。</w:t>
      </w:r>
    </w:p>
    <w:p w14:paraId="24BD433E">
      <w:pPr>
        <w:pStyle w:val="23"/>
        <w:snapToGrid w:val="0"/>
        <w:spacing w:line="420" w:lineRule="exact"/>
        <w:ind w:firstLine="256" w:firstLineChars="110"/>
        <w:rPr>
          <w:rFonts w:hAnsi="宋体"/>
          <w:b/>
          <w:snapToGrid w:val="0"/>
          <w:sz w:val="24"/>
          <w:szCs w:val="24"/>
          <w:highlight w:val="none"/>
        </w:rPr>
      </w:pPr>
      <w:r>
        <w:rPr>
          <w:rFonts w:hint="eastAsia" w:hAnsi="宋体"/>
          <w:b/>
          <w:sz w:val="24"/>
          <w:szCs w:val="24"/>
          <w:highlight w:val="none"/>
        </w:rPr>
        <w:t>四、磋商</w:t>
      </w:r>
    </w:p>
    <w:p w14:paraId="0511F860">
      <w:pPr>
        <w:pStyle w:val="31"/>
        <w:snapToGrid w:val="0"/>
        <w:spacing w:beforeLines="0" w:afterLines="0" w:line="420" w:lineRule="exact"/>
        <w:ind w:firstLine="241" w:firstLineChars="100"/>
        <w:rPr>
          <w:rFonts w:hAnsi="宋体"/>
          <w:b/>
          <w:highlight w:val="none"/>
        </w:rPr>
      </w:pPr>
      <w:r>
        <w:rPr>
          <w:rFonts w:hint="eastAsia" w:hAnsi="宋体"/>
          <w:b/>
          <w:highlight w:val="none"/>
        </w:rPr>
        <w:t>（一）磋商准备</w:t>
      </w:r>
    </w:p>
    <w:p w14:paraId="01503310">
      <w:pPr>
        <w:pStyle w:val="31"/>
        <w:snapToGrid w:val="0"/>
        <w:spacing w:beforeLines="0" w:afterLines="0" w:line="420" w:lineRule="exact"/>
        <w:ind w:firstLine="470" w:firstLineChars="196"/>
        <w:rPr>
          <w:rFonts w:hAnsi="宋体"/>
          <w:bCs/>
          <w:highlight w:val="none"/>
        </w:rPr>
      </w:pPr>
      <w:r>
        <w:rPr>
          <w:rFonts w:hint="eastAsia" w:hAnsi="宋体"/>
          <w:bCs/>
          <w:highlight w:val="none"/>
        </w:rPr>
        <w:t>代理机构将按照磋商文件规定的时间通过“临海市限额以下公共资源交易区域平台”组织开标、开启响应文件，所有投标人请准时在线参加。投标人如不参加开标大会的，视同认可开标结果，事后不得对采购相关人员、开标过程和开标结果提出异议，同时投标人因未在线参加开标而导致响应文件无法按时解密等一切后果由投标人自己承担。</w:t>
      </w:r>
    </w:p>
    <w:p w14:paraId="555C6FB0">
      <w:pPr>
        <w:pStyle w:val="31"/>
        <w:snapToGrid w:val="0"/>
        <w:spacing w:beforeLines="0" w:afterLines="0" w:line="420" w:lineRule="exact"/>
        <w:ind w:firstLine="470" w:firstLineChars="196"/>
        <w:rPr>
          <w:rFonts w:hAnsi="宋体"/>
          <w:bCs/>
          <w:highlight w:val="none"/>
        </w:rPr>
      </w:pPr>
      <w:r>
        <w:rPr>
          <w:rFonts w:hint="eastAsia" w:hAnsi="宋体"/>
          <w:bCs/>
          <w:highlight w:val="none"/>
        </w:rPr>
        <w:t>采购过程中出现以下情形，导致电子交易平台无法正常运行，或者无法保证电子交易的公平、公正和安全时，代理机构可中止电子交易活动：</w:t>
      </w:r>
    </w:p>
    <w:p w14:paraId="796EDFFD">
      <w:pPr>
        <w:pStyle w:val="31"/>
        <w:snapToGrid w:val="0"/>
        <w:spacing w:beforeLines="0" w:afterLines="0" w:line="420" w:lineRule="exact"/>
        <w:ind w:firstLine="470" w:firstLineChars="196"/>
        <w:rPr>
          <w:rFonts w:hAnsi="宋体"/>
          <w:bCs/>
          <w:highlight w:val="none"/>
        </w:rPr>
      </w:pPr>
      <w:r>
        <w:rPr>
          <w:rFonts w:hint="eastAsia" w:hAnsi="宋体"/>
          <w:bCs/>
          <w:highlight w:val="none"/>
        </w:rPr>
        <w:t xml:space="preserve">（1）电子交易平台发生故障、停电而无法登录访问的； </w:t>
      </w:r>
    </w:p>
    <w:p w14:paraId="7ACE979D">
      <w:pPr>
        <w:pStyle w:val="31"/>
        <w:snapToGrid w:val="0"/>
        <w:spacing w:beforeLines="0" w:afterLines="0" w:line="420" w:lineRule="exact"/>
        <w:ind w:firstLine="470" w:firstLineChars="196"/>
        <w:rPr>
          <w:rFonts w:hAnsi="宋体"/>
          <w:bCs/>
          <w:highlight w:val="none"/>
        </w:rPr>
      </w:pPr>
      <w:r>
        <w:rPr>
          <w:rFonts w:hint="eastAsia" w:hAnsi="宋体"/>
          <w:bCs/>
          <w:highlight w:val="none"/>
        </w:rPr>
        <w:t>（2）电子交易平台应用或数据库出现错误，不能进行正常操作的；</w:t>
      </w:r>
    </w:p>
    <w:p w14:paraId="74C73B49">
      <w:pPr>
        <w:pStyle w:val="31"/>
        <w:snapToGrid w:val="0"/>
        <w:spacing w:beforeLines="0" w:afterLines="0" w:line="420" w:lineRule="exact"/>
        <w:ind w:firstLine="470" w:firstLineChars="196"/>
        <w:rPr>
          <w:rFonts w:hAnsi="宋体"/>
          <w:bCs/>
          <w:highlight w:val="none"/>
        </w:rPr>
      </w:pPr>
      <w:r>
        <w:rPr>
          <w:rFonts w:hint="eastAsia" w:hAnsi="宋体"/>
          <w:bCs/>
          <w:highlight w:val="none"/>
        </w:rPr>
        <w:t>（3）电子交易平台发现严重安全漏洞，有潜在泄密危险的；</w:t>
      </w:r>
    </w:p>
    <w:p w14:paraId="69B2803E">
      <w:pPr>
        <w:pStyle w:val="31"/>
        <w:snapToGrid w:val="0"/>
        <w:spacing w:beforeLines="0" w:afterLines="0" w:line="420" w:lineRule="exact"/>
        <w:ind w:firstLine="470" w:firstLineChars="196"/>
        <w:rPr>
          <w:rFonts w:hAnsi="宋体"/>
          <w:bCs/>
          <w:highlight w:val="none"/>
        </w:rPr>
      </w:pPr>
      <w:r>
        <w:rPr>
          <w:rFonts w:hint="eastAsia" w:hAnsi="宋体"/>
          <w:bCs/>
          <w:highlight w:val="none"/>
        </w:rPr>
        <w:t xml:space="preserve">（4）病毒发作导致不能进行正常操作的； </w:t>
      </w:r>
    </w:p>
    <w:p w14:paraId="3E3F4008">
      <w:pPr>
        <w:pStyle w:val="31"/>
        <w:snapToGrid w:val="0"/>
        <w:spacing w:beforeLines="0" w:afterLines="0" w:line="420" w:lineRule="exact"/>
        <w:ind w:firstLine="470" w:firstLineChars="196"/>
        <w:rPr>
          <w:rFonts w:hAnsi="宋体"/>
          <w:bCs/>
          <w:highlight w:val="none"/>
        </w:rPr>
      </w:pPr>
      <w:r>
        <w:rPr>
          <w:rFonts w:hint="eastAsia" w:hAnsi="宋体"/>
          <w:bCs/>
          <w:highlight w:val="none"/>
        </w:rPr>
        <w:t>（5）其他无法保证电子交易的公平、公正和安全的情况。</w:t>
      </w:r>
    </w:p>
    <w:p w14:paraId="7F15AC56">
      <w:pPr>
        <w:pStyle w:val="31"/>
        <w:snapToGrid w:val="0"/>
        <w:spacing w:beforeLines="0" w:afterLines="0" w:line="420" w:lineRule="exact"/>
        <w:ind w:firstLine="470" w:firstLineChars="196"/>
        <w:rPr>
          <w:rFonts w:hAnsi="宋体"/>
          <w:bCs/>
          <w:highlight w:val="none"/>
        </w:rPr>
      </w:pPr>
      <w:r>
        <w:rPr>
          <w:rFonts w:hint="eastAsia" w:hAnsi="宋体"/>
          <w:bCs/>
          <w:highlight w:val="none"/>
        </w:rPr>
        <w:t>出现前款规定情形，不影响采购公平、公正性的，代理机构可以待上述情形消除后继续组织电子交易活动，影响或可能影响采购公平、公正性的，应当重新采购。</w:t>
      </w:r>
    </w:p>
    <w:p w14:paraId="781B970F">
      <w:pPr>
        <w:pStyle w:val="31"/>
        <w:snapToGrid w:val="0"/>
        <w:spacing w:beforeLines="0" w:afterLines="0" w:line="420" w:lineRule="exact"/>
        <w:ind w:firstLine="472" w:firstLineChars="196"/>
        <w:rPr>
          <w:rFonts w:hAnsi="宋体"/>
          <w:bCs/>
          <w:highlight w:val="none"/>
        </w:rPr>
      </w:pPr>
      <w:r>
        <w:rPr>
          <w:rFonts w:hint="eastAsia" w:hAnsi="宋体"/>
          <w:b/>
          <w:highlight w:val="none"/>
        </w:rPr>
        <w:t xml:space="preserve">（二）磋商程序    </w:t>
      </w:r>
    </w:p>
    <w:p w14:paraId="18A96887">
      <w:pPr>
        <w:pStyle w:val="31"/>
        <w:snapToGrid w:val="0"/>
        <w:spacing w:beforeLines="0" w:afterLines="0" w:line="420" w:lineRule="exact"/>
        <w:ind w:firstLine="480" w:firstLineChars="200"/>
        <w:rPr>
          <w:rFonts w:hAnsi="宋体"/>
          <w:highlight w:val="none"/>
        </w:rPr>
      </w:pPr>
      <w:r>
        <w:rPr>
          <w:rFonts w:hint="eastAsia" w:hAnsi="宋体"/>
          <w:highlight w:val="none"/>
        </w:rPr>
        <w:t>1.开标会由招标人主持，</w:t>
      </w:r>
      <w:bookmarkStart w:id="23" w:name="_Hlk59694585"/>
      <w:r>
        <w:rPr>
          <w:rFonts w:hint="eastAsia" w:hAnsi="宋体"/>
          <w:b/>
          <w:bCs/>
          <w:highlight w:val="none"/>
          <w:u w:val="single"/>
          <w:shd w:val="pct10" w:color="auto" w:fill="FFFFFF"/>
        </w:rPr>
        <w:t>并通过临海市限额以下公共资源交易区域平台--每日直播平台进行现场直播，各投标人请准时在线参加。</w:t>
      </w:r>
      <w:bookmarkStart w:id="24" w:name="_Hlk59690176"/>
      <w:r>
        <w:rPr>
          <w:rFonts w:hint="eastAsia" w:hAnsi="宋体"/>
          <w:b/>
          <w:bCs/>
          <w:highlight w:val="none"/>
          <w:u w:val="single"/>
          <w:shd w:val="pct10" w:color="auto" w:fill="FFFFFF"/>
        </w:rPr>
        <w:t>各投标人如对开、磋商过程有异议的，应该登陆临海市限额以下公共资源交易区域平台</w:t>
      </w:r>
      <w:r>
        <w:rPr>
          <w:rFonts w:hAnsi="宋体"/>
          <w:b/>
          <w:bCs/>
          <w:highlight w:val="none"/>
          <w:u w:val="single"/>
          <w:shd w:val="pct10" w:color="auto" w:fill="FFFFFF"/>
        </w:rPr>
        <w:t>—</w:t>
      </w:r>
      <w:r>
        <w:rPr>
          <w:rFonts w:hint="eastAsia" w:hAnsi="宋体"/>
          <w:b/>
          <w:bCs/>
          <w:highlight w:val="none"/>
          <w:u w:val="single"/>
          <w:shd w:val="pct10" w:color="auto" w:fill="FFFFFF"/>
        </w:rPr>
        <w:t>-每日直播平台---点击该项目</w:t>
      </w:r>
      <w:r>
        <w:rPr>
          <w:rFonts w:hAnsi="宋体"/>
          <w:b/>
          <w:bCs/>
          <w:highlight w:val="none"/>
          <w:u w:val="single"/>
          <w:shd w:val="pct10" w:color="auto" w:fill="FFFFFF"/>
        </w:rPr>
        <w:t>—</w:t>
      </w:r>
      <w:r>
        <w:rPr>
          <w:rFonts w:hint="eastAsia" w:hAnsi="宋体"/>
          <w:b/>
          <w:bCs/>
          <w:highlight w:val="none"/>
          <w:u w:val="single"/>
          <w:shd w:val="pct10" w:color="auto" w:fill="FFFFFF"/>
        </w:rPr>
        <w:t>登陆，进入答疑进行提问，招标人（代理机构）应当及时作出答复，并制作记录</w:t>
      </w:r>
      <w:bookmarkEnd w:id="23"/>
      <w:r>
        <w:rPr>
          <w:rFonts w:hint="eastAsia" w:hAnsi="宋体"/>
          <w:b/>
          <w:bCs/>
          <w:highlight w:val="none"/>
          <w:u w:val="single"/>
          <w:shd w:val="pct10" w:color="auto" w:fill="FFFFFF"/>
        </w:rPr>
        <w:t>；</w:t>
      </w:r>
    </w:p>
    <w:bookmarkEnd w:id="24"/>
    <w:p w14:paraId="00D9C0B1">
      <w:pPr>
        <w:pStyle w:val="31"/>
        <w:snapToGrid w:val="0"/>
        <w:spacing w:beforeLines="0" w:afterLines="0" w:line="420" w:lineRule="exact"/>
        <w:ind w:firstLine="480" w:firstLineChars="200"/>
        <w:rPr>
          <w:rFonts w:hAnsi="宋体"/>
          <w:highlight w:val="none"/>
        </w:rPr>
      </w:pPr>
      <w:r>
        <w:rPr>
          <w:rFonts w:hint="eastAsia" w:hAnsi="宋体"/>
          <w:highlight w:val="none"/>
        </w:rPr>
        <w:t>2. 招标人点击临海市限额以下公共资源交易区域平台-不见面开标大厅--【开始解密】按钮，</w:t>
      </w:r>
      <w:bookmarkStart w:id="25" w:name="_Hlk59625783"/>
      <w:r>
        <w:rPr>
          <w:rFonts w:hint="eastAsia" w:hAnsi="宋体"/>
          <w:highlight w:val="none"/>
        </w:rPr>
        <w:t>由投标人按磋商文件规定的时间及</w:t>
      </w:r>
      <w:bookmarkStart w:id="26" w:name="_Hlk59626264"/>
      <w:r>
        <w:rPr>
          <w:rFonts w:hint="eastAsia" w:hAnsi="宋体"/>
          <w:highlight w:val="none"/>
        </w:rPr>
        <w:t>平台</w:t>
      </w:r>
      <w:bookmarkEnd w:id="26"/>
      <w:r>
        <w:rPr>
          <w:rFonts w:hint="eastAsia" w:hAnsi="宋体"/>
          <w:highlight w:val="none"/>
        </w:rPr>
        <w:t>显示的时间内自行进行响应文件解密。</w:t>
      </w:r>
      <w:bookmarkEnd w:id="25"/>
      <w:r>
        <w:rPr>
          <w:rFonts w:hint="eastAsia" w:hAnsi="宋体"/>
          <w:highlight w:val="none"/>
        </w:rPr>
        <w:t>响应文件的制作和解密应使用同一个数字证书，否则将可能解密失败。解密过程中如因CA数字证书等问题而无法解密的，请马上致电服务热线400-0571-337寻求解决。</w:t>
      </w:r>
      <w:bookmarkStart w:id="27" w:name="_Hlk59805375"/>
      <w:r>
        <w:rPr>
          <w:rFonts w:hint="eastAsia" w:hAnsi="宋体"/>
          <w:highlight w:val="none"/>
        </w:rPr>
        <w:t>投标人未按时解密或解密失败的，其响应文件为无效标。</w:t>
      </w:r>
      <w:bookmarkEnd w:id="27"/>
    </w:p>
    <w:p w14:paraId="765FA80A">
      <w:pPr>
        <w:pStyle w:val="31"/>
        <w:snapToGrid w:val="0"/>
        <w:spacing w:beforeLines="0" w:afterLines="0" w:line="420" w:lineRule="exact"/>
        <w:rPr>
          <w:rFonts w:hAnsi="宋体"/>
          <w:b/>
          <w:bCs/>
          <w:highlight w:val="none"/>
          <w:u w:val="single"/>
          <w:shd w:val="pct10" w:color="auto" w:fill="FFFFFF"/>
        </w:rPr>
      </w:pPr>
      <w:r>
        <w:rPr>
          <w:rFonts w:hint="eastAsia" w:hAnsi="宋体"/>
          <w:b/>
          <w:bCs/>
          <w:highlight w:val="none"/>
          <w:u w:val="single"/>
          <w:shd w:val="pct10" w:color="auto" w:fill="FFFFFF"/>
        </w:rPr>
        <w:t>该项目投标人数量及各投标人响应文件是否完成解密以平台显示内容为准。</w:t>
      </w:r>
    </w:p>
    <w:p w14:paraId="6D23F10D">
      <w:pPr>
        <w:pStyle w:val="31"/>
        <w:snapToGrid w:val="0"/>
        <w:spacing w:beforeLines="0" w:afterLines="0" w:line="420" w:lineRule="exact"/>
        <w:ind w:firstLine="480" w:firstLineChars="200"/>
        <w:rPr>
          <w:rFonts w:hAnsi="宋体"/>
          <w:b/>
          <w:bCs/>
          <w:highlight w:val="none"/>
          <w:u w:val="single"/>
          <w:shd w:val="pct10" w:color="auto" w:fill="FFFFFF"/>
        </w:rPr>
      </w:pPr>
      <w:r>
        <w:rPr>
          <w:rFonts w:hint="eastAsia" w:hAnsi="宋体"/>
          <w:highlight w:val="none"/>
        </w:rPr>
        <w:t>解密结束后，主持人介绍参加开标会的人员名单，告知应当回避的情形,提请有关人员回避；</w:t>
      </w:r>
    </w:p>
    <w:p w14:paraId="3862F3FD">
      <w:pPr>
        <w:pStyle w:val="31"/>
        <w:snapToGrid w:val="0"/>
        <w:spacing w:beforeLines="0" w:afterLines="0" w:line="420" w:lineRule="exact"/>
        <w:ind w:firstLine="480" w:firstLineChars="200"/>
        <w:rPr>
          <w:rFonts w:hAnsi="宋体"/>
          <w:highlight w:val="none"/>
        </w:rPr>
      </w:pPr>
      <w:r>
        <w:rPr>
          <w:rFonts w:hAnsi="宋体"/>
          <w:highlight w:val="none"/>
        </w:rPr>
        <w:t>4</w:t>
      </w:r>
      <w:r>
        <w:rPr>
          <w:rFonts w:hint="eastAsia" w:hAnsi="宋体"/>
          <w:highlight w:val="none"/>
        </w:rPr>
        <w:t>.响应文件结束解密后，投标人应当通过邮件形式，将经授权代表签署的《投标活动现场确认声明书》</w:t>
      </w:r>
      <w:r>
        <w:rPr>
          <w:rFonts w:hint="eastAsia" w:hAnsi="宋体"/>
          <w:b/>
          <w:bCs/>
          <w:highlight w:val="none"/>
          <w:u w:val="single"/>
        </w:rPr>
        <w:t>（格式见磋商文件最后一页</w:t>
      </w:r>
      <w:r>
        <w:rPr>
          <w:rFonts w:hint="eastAsia" w:hAnsi="宋体"/>
          <w:b/>
          <w:bCs/>
          <w:highlight w:val="none"/>
          <w:u w:val="single"/>
          <w:lang w:val="en-US" w:eastAsia="zh-CN"/>
        </w:rPr>
        <w:t xml:space="preserve"> </w:t>
      </w:r>
      <w:r>
        <w:rPr>
          <w:rFonts w:hint="eastAsia" w:hAnsi="宋体"/>
          <w:b/>
          <w:bCs/>
          <w:highlight w:val="none"/>
          <w:u w:val="single"/>
        </w:rPr>
        <w:t>采购活动现场确认声明书）</w:t>
      </w:r>
      <w:r>
        <w:rPr>
          <w:rFonts w:hint="eastAsia" w:hAnsi="宋体"/>
          <w:highlight w:val="none"/>
        </w:rPr>
        <w:t>扫描件发至代理机构电子邮箱</w:t>
      </w:r>
      <w:r>
        <w:rPr>
          <w:rFonts w:hint="eastAsia" w:hAnsi="宋体"/>
          <w:highlight w:val="none"/>
          <w:u w:val="single"/>
        </w:rPr>
        <w:t>（</w:t>
      </w:r>
      <w:r>
        <w:rPr>
          <w:highlight w:val="none"/>
        </w:rPr>
        <w:fldChar w:fldCharType="begin"/>
      </w:r>
      <w:r>
        <w:rPr>
          <w:highlight w:val="none"/>
        </w:rPr>
        <w:instrText xml:space="preserve"> HYPERLINK "mailto:lhzb.gov.cn@163.com）,联系人" </w:instrText>
      </w:r>
      <w:r>
        <w:rPr>
          <w:highlight w:val="none"/>
        </w:rPr>
        <w:fldChar w:fldCharType="separate"/>
      </w:r>
      <w:r>
        <w:rPr>
          <w:rFonts w:hint="eastAsia"/>
          <w:highlight w:val="none"/>
          <w:u w:val="single"/>
        </w:rPr>
        <w:t>2794725066@qq.com</w:t>
      </w:r>
      <w:r>
        <w:rPr>
          <w:rStyle w:val="60"/>
          <w:rFonts w:hint="eastAsia" w:hAnsi="宋体"/>
          <w:color w:val="auto"/>
          <w:highlight w:val="none"/>
        </w:rPr>
        <w:t>）,联系人</w:t>
      </w:r>
      <w:r>
        <w:rPr>
          <w:rStyle w:val="60"/>
          <w:rFonts w:hint="eastAsia" w:hAnsi="宋体"/>
          <w:color w:val="auto"/>
          <w:highlight w:val="none"/>
        </w:rPr>
        <w:fldChar w:fldCharType="end"/>
      </w:r>
      <w:r>
        <w:rPr>
          <w:rFonts w:hint="eastAsia" w:hAnsi="宋体"/>
          <w:highlight w:val="none"/>
          <w:u w:val="single"/>
        </w:rPr>
        <w:t>：</w:t>
      </w:r>
      <w:r>
        <w:rPr>
          <w:rFonts w:hint="eastAsia" w:hAnsi="宋体"/>
          <w:highlight w:val="none"/>
          <w:u w:val="single"/>
          <w:lang w:val="en-US" w:eastAsia="zh-CN"/>
        </w:rPr>
        <w:t>姚女士</w:t>
      </w:r>
      <w:r>
        <w:rPr>
          <w:rFonts w:hint="eastAsia" w:hAnsi="宋体"/>
          <w:highlight w:val="none"/>
          <w:u w:val="single"/>
        </w:rPr>
        <w:t>，电话：0576-891889</w:t>
      </w:r>
      <w:r>
        <w:rPr>
          <w:rFonts w:hint="eastAsia" w:hAnsi="宋体"/>
          <w:highlight w:val="none"/>
          <w:u w:val="single"/>
          <w:lang w:val="en-US" w:eastAsia="zh-CN"/>
        </w:rPr>
        <w:t>85</w:t>
      </w:r>
      <w:r>
        <w:rPr>
          <w:rFonts w:hint="eastAsia" w:hAnsi="宋体"/>
          <w:highlight w:val="none"/>
        </w:rPr>
        <w:t>；</w:t>
      </w:r>
    </w:p>
    <w:p w14:paraId="250E812C">
      <w:pPr>
        <w:pStyle w:val="31"/>
        <w:snapToGrid w:val="0"/>
        <w:spacing w:beforeLines="0" w:afterLines="0" w:line="420" w:lineRule="exact"/>
        <w:ind w:firstLine="480" w:firstLineChars="200"/>
        <w:rPr>
          <w:rFonts w:hAnsi="宋体"/>
          <w:highlight w:val="none"/>
        </w:rPr>
      </w:pPr>
      <w:r>
        <w:rPr>
          <w:rFonts w:hAnsi="宋体"/>
          <w:highlight w:val="none"/>
        </w:rPr>
        <w:t>5</w:t>
      </w:r>
      <w:r>
        <w:rPr>
          <w:rFonts w:hint="eastAsia" w:hAnsi="宋体"/>
          <w:highlight w:val="none"/>
        </w:rPr>
        <w:t>.代理机构点击【</w:t>
      </w:r>
      <w:bookmarkStart w:id="28" w:name="_Hlk59371589"/>
      <w:r>
        <w:rPr>
          <w:rFonts w:hint="eastAsia" w:hAnsi="宋体"/>
          <w:highlight w:val="none"/>
        </w:rPr>
        <w:t>开启标书信息</w:t>
      </w:r>
      <w:bookmarkEnd w:id="28"/>
      <w:r>
        <w:rPr>
          <w:rFonts w:hint="eastAsia" w:hAnsi="宋体"/>
          <w:highlight w:val="none"/>
        </w:rPr>
        <w:t>】，开启标书成功后进入评标流程；</w:t>
      </w:r>
    </w:p>
    <w:p w14:paraId="667437E8">
      <w:pPr>
        <w:pStyle w:val="31"/>
        <w:snapToGrid w:val="0"/>
        <w:spacing w:beforeLines="0" w:afterLines="0" w:line="420" w:lineRule="exact"/>
        <w:ind w:firstLine="480" w:firstLineChars="200"/>
        <w:rPr>
          <w:rFonts w:hAnsi="宋体"/>
          <w:highlight w:val="none"/>
        </w:rPr>
      </w:pPr>
      <w:r>
        <w:rPr>
          <w:rFonts w:hAnsi="宋体"/>
          <w:highlight w:val="none"/>
        </w:rPr>
        <w:t>6</w:t>
      </w:r>
      <w:r>
        <w:rPr>
          <w:rFonts w:hint="eastAsia" w:hAnsi="宋体"/>
          <w:highlight w:val="none"/>
        </w:rPr>
        <w:t>.磋商小组全体成员分别与单一供应商进行磋商，</w:t>
      </w:r>
      <w:r>
        <w:rPr>
          <w:rFonts w:hint="eastAsia" w:hAnsi="宋体"/>
          <w:highlight w:val="none"/>
          <w:u w:val="single"/>
        </w:rPr>
        <w:t>磋商顺序可按照磋商响应文件解密顺序进行</w:t>
      </w:r>
      <w:r>
        <w:rPr>
          <w:rFonts w:hint="eastAsia" w:hAnsi="宋体"/>
          <w:highlight w:val="none"/>
        </w:rPr>
        <w:t>。</w:t>
      </w:r>
    </w:p>
    <w:p w14:paraId="2095142B">
      <w:pPr>
        <w:spacing w:line="420" w:lineRule="exact"/>
        <w:ind w:firstLine="480" w:firstLineChars="200"/>
        <w:rPr>
          <w:sz w:val="24"/>
          <w:highlight w:val="none"/>
        </w:rPr>
      </w:pPr>
      <w:r>
        <w:rPr>
          <w:sz w:val="24"/>
          <w:highlight w:val="none"/>
        </w:rPr>
        <w:t>7、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w:t>
      </w:r>
      <w:r>
        <w:rPr>
          <w:rFonts w:hint="eastAsia"/>
          <w:sz w:val="24"/>
          <w:highlight w:val="none"/>
        </w:rPr>
        <w:t>在限额平台系统上</w:t>
      </w:r>
      <w:r>
        <w:rPr>
          <w:sz w:val="24"/>
          <w:highlight w:val="none"/>
        </w:rPr>
        <w:t>重新提交响应文件，并由其法定代表人或授权代表签字或者加盖公章</w:t>
      </w:r>
      <w:r>
        <w:rPr>
          <w:rFonts w:hint="eastAsia"/>
          <w:sz w:val="24"/>
          <w:highlight w:val="none"/>
        </w:rPr>
        <w:t>；</w:t>
      </w:r>
    </w:p>
    <w:p w14:paraId="5348408A">
      <w:pPr>
        <w:spacing w:line="420" w:lineRule="exact"/>
        <w:ind w:firstLine="480" w:firstLineChars="200"/>
        <w:rPr>
          <w:rFonts w:ascii="宋体" w:hAnsi="宋体" w:cs="宋体"/>
          <w:b/>
          <w:bCs/>
          <w:sz w:val="24"/>
          <w:highlight w:val="none"/>
          <w:u w:val="single"/>
          <w:shd w:val="pct10" w:color="auto" w:fill="FFFFFF"/>
        </w:rPr>
      </w:pPr>
      <w:r>
        <w:rPr>
          <w:rFonts w:hint="eastAsia"/>
          <w:sz w:val="24"/>
          <w:highlight w:val="none"/>
        </w:rPr>
        <w:t>8</w:t>
      </w:r>
      <w:r>
        <w:rPr>
          <w:sz w:val="24"/>
          <w:highlight w:val="none"/>
        </w:rPr>
        <w:t>、磋商文件能够详细列明采购标的的技术、服务要求的，磋商结束后，磋商小组将要求所有实质性响应的供应商在规定时间内</w:t>
      </w:r>
      <w:r>
        <w:rPr>
          <w:rFonts w:hint="eastAsia"/>
          <w:b/>
          <w:bCs/>
          <w:sz w:val="24"/>
          <w:highlight w:val="none"/>
          <w:u w:val="single"/>
          <w:shd w:val="pct10" w:color="auto" w:fill="FFFFFF"/>
        </w:rPr>
        <w:t>（时间为30分钟，具体时间以限额平台系统上显示的时间为准）</w:t>
      </w:r>
      <w:r>
        <w:rPr>
          <w:rFonts w:hint="eastAsia"/>
          <w:sz w:val="24"/>
          <w:highlight w:val="none"/>
        </w:rPr>
        <w:t>在限额平台系统上</w:t>
      </w:r>
      <w:r>
        <w:rPr>
          <w:sz w:val="24"/>
          <w:highlight w:val="none"/>
        </w:rPr>
        <w:t>提交</w:t>
      </w:r>
      <w:bookmarkStart w:id="29" w:name="_Hlk4055646"/>
      <w:r>
        <w:rPr>
          <w:sz w:val="24"/>
          <w:highlight w:val="none"/>
        </w:rPr>
        <w:t>最后报价，</w:t>
      </w:r>
      <w:bookmarkEnd w:id="29"/>
      <w:bookmarkStart w:id="30" w:name="_Hlk4055866"/>
      <w:r>
        <w:rPr>
          <w:sz w:val="24"/>
          <w:highlight w:val="none"/>
        </w:rPr>
        <w:t>最后报价</w:t>
      </w:r>
      <w:bookmarkEnd w:id="30"/>
      <w:r>
        <w:rPr>
          <w:sz w:val="24"/>
          <w:highlight w:val="none"/>
        </w:rPr>
        <w:t>是供应商响应文件的有效组成部分。</w:t>
      </w:r>
      <w:r>
        <w:rPr>
          <w:rFonts w:hint="eastAsia" w:ascii="宋体" w:hAnsi="宋体" w:cs="宋体"/>
          <w:b/>
          <w:bCs/>
          <w:sz w:val="24"/>
          <w:highlight w:val="none"/>
          <w:u w:val="single"/>
          <w:shd w:val="pct10" w:color="auto" w:fill="FFFFFF"/>
        </w:rPr>
        <w:t>未在规定时间内提交最后报价的为无效标；</w:t>
      </w:r>
    </w:p>
    <w:p w14:paraId="0DA05CA4">
      <w:pPr>
        <w:spacing w:line="420" w:lineRule="exact"/>
        <w:rPr>
          <w:sz w:val="24"/>
          <w:highlight w:val="none"/>
        </w:rPr>
      </w:pPr>
      <w:r>
        <w:rPr>
          <w:rFonts w:hint="eastAsia" w:ascii="宋体" w:hAnsi="宋体" w:cs="宋体"/>
          <w:b/>
          <w:bCs/>
          <w:sz w:val="24"/>
          <w:highlight w:val="none"/>
          <w:u w:val="single"/>
          <w:shd w:val="pct10" w:color="auto" w:fill="FFFFFF"/>
        </w:rPr>
        <w:t>报价明细表中的最终单价根据初次总报价和最后总报价之间的下浮率作相应的下浮。</w:t>
      </w:r>
    </w:p>
    <w:p w14:paraId="5E978153">
      <w:pPr>
        <w:pStyle w:val="31"/>
        <w:snapToGrid w:val="0"/>
        <w:spacing w:beforeLines="0" w:afterLines="0" w:line="420" w:lineRule="exact"/>
        <w:ind w:firstLine="480" w:firstLineChars="200"/>
        <w:rPr>
          <w:rFonts w:hAnsi="宋体"/>
          <w:highlight w:val="none"/>
        </w:rPr>
      </w:pPr>
      <w:r>
        <w:rPr>
          <w:rFonts w:hint="eastAsia" w:hAnsi="宋体"/>
          <w:highlight w:val="none"/>
        </w:rPr>
        <w:t>9</w:t>
      </w:r>
      <w:r>
        <w:rPr>
          <w:rFonts w:hAnsi="宋体"/>
          <w:highlight w:val="none"/>
        </w:rPr>
        <w:t>、磋商小组</w:t>
      </w:r>
      <w:bookmarkStart w:id="31" w:name="_Hlk4052304"/>
      <w:r>
        <w:rPr>
          <w:rFonts w:hAnsi="宋体"/>
          <w:highlight w:val="none"/>
        </w:rPr>
        <w:t>对提交最后报价</w:t>
      </w:r>
      <w:bookmarkStart w:id="32" w:name="_Hlk4052265"/>
      <w:r>
        <w:rPr>
          <w:rFonts w:hAnsi="宋体"/>
          <w:highlight w:val="none"/>
        </w:rPr>
        <w:t>供应商的</w:t>
      </w:r>
      <w:bookmarkStart w:id="33" w:name="_Hlk61427018"/>
      <w:r>
        <w:rPr>
          <w:rFonts w:hint="eastAsia" w:hAnsi="宋体"/>
          <w:highlight w:val="none"/>
        </w:rPr>
        <w:t>商务技术文件</w:t>
      </w:r>
      <w:bookmarkEnd w:id="33"/>
      <w:r>
        <w:rPr>
          <w:rFonts w:hint="eastAsia" w:hAnsi="宋体"/>
          <w:highlight w:val="none"/>
        </w:rPr>
        <w:t>进行</w:t>
      </w:r>
      <w:bookmarkEnd w:id="32"/>
      <w:r>
        <w:rPr>
          <w:rFonts w:hint="eastAsia" w:hAnsi="宋体"/>
          <w:highlight w:val="none"/>
        </w:rPr>
        <w:t>综合评分</w:t>
      </w:r>
      <w:bookmarkEnd w:id="31"/>
      <w:r>
        <w:rPr>
          <w:rFonts w:hint="eastAsia" w:hAnsi="宋体"/>
          <w:highlight w:val="none"/>
        </w:rPr>
        <w:t>；</w:t>
      </w:r>
    </w:p>
    <w:p w14:paraId="1308CFCB">
      <w:pPr>
        <w:pStyle w:val="31"/>
        <w:snapToGrid w:val="0"/>
        <w:spacing w:beforeLines="0" w:afterLines="0" w:line="420" w:lineRule="exact"/>
        <w:ind w:firstLine="480" w:firstLineChars="200"/>
        <w:rPr>
          <w:rFonts w:hAnsi="宋体"/>
          <w:b/>
          <w:bCs/>
          <w:highlight w:val="none"/>
          <w:u w:val="single"/>
        </w:rPr>
      </w:pPr>
      <w:r>
        <w:rPr>
          <w:rFonts w:hAnsi="宋体"/>
          <w:highlight w:val="none"/>
        </w:rPr>
        <w:t>10</w:t>
      </w:r>
      <w:r>
        <w:rPr>
          <w:rFonts w:hint="eastAsia" w:hAnsi="宋体"/>
          <w:highlight w:val="none"/>
        </w:rPr>
        <w:t>.由主持人公布商务技术文件无效的供应商名单、投标无效的原因及其他有效投标的商务技术文件评分汇总分；</w:t>
      </w:r>
      <w:r>
        <w:rPr>
          <w:rFonts w:hint="eastAsia" w:hAnsi="宋体"/>
          <w:b/>
          <w:bCs/>
          <w:highlight w:val="none"/>
          <w:u w:val="single"/>
          <w:shd w:val="pct10" w:color="auto" w:fill="FFFFFF"/>
        </w:rPr>
        <w:t>供应商可通过限额平台查看评审结果，请各供应商注意收看；</w:t>
      </w:r>
    </w:p>
    <w:p w14:paraId="05655882">
      <w:pPr>
        <w:pStyle w:val="31"/>
        <w:snapToGrid w:val="0"/>
        <w:spacing w:beforeLines="0" w:afterLines="0" w:line="420" w:lineRule="exact"/>
        <w:ind w:firstLine="480" w:firstLineChars="200"/>
        <w:rPr>
          <w:rFonts w:hAnsi="宋体"/>
          <w:highlight w:val="none"/>
        </w:rPr>
      </w:pPr>
      <w:r>
        <w:rPr>
          <w:rFonts w:hAnsi="宋体"/>
          <w:highlight w:val="none"/>
        </w:rPr>
        <w:t>11</w:t>
      </w:r>
      <w:r>
        <w:rPr>
          <w:rFonts w:hint="eastAsia" w:hAnsi="宋体"/>
          <w:highlight w:val="none"/>
        </w:rPr>
        <w:t>.开启报价响应文件，</w:t>
      </w:r>
      <w:r>
        <w:rPr>
          <w:rFonts w:hint="eastAsia" w:hAnsi="宋体"/>
          <w:b/>
          <w:bCs/>
          <w:highlight w:val="none"/>
          <w:u w:val="single"/>
        </w:rPr>
        <w:t>代理机构在线公布开标一览表有关内容，供应商应在</w:t>
      </w:r>
      <w:r>
        <w:rPr>
          <w:rFonts w:hint="eastAsia" w:hAnsi="宋体"/>
          <w:b/>
          <w:bCs/>
          <w:highlight w:val="none"/>
          <w:u w:val="single"/>
          <w:lang w:val="en-US" w:eastAsia="zh-CN"/>
        </w:rPr>
        <w:t>5</w:t>
      </w:r>
      <w:r>
        <w:rPr>
          <w:rFonts w:hint="eastAsia" w:hAnsi="宋体"/>
          <w:b/>
          <w:bCs/>
          <w:highlight w:val="none"/>
          <w:u w:val="single"/>
        </w:rPr>
        <w:t>分钟内在线签字确认（不予确认或超时确认的应说明原因，否则视为无异议）；</w:t>
      </w:r>
    </w:p>
    <w:p w14:paraId="5AE1E60F">
      <w:pPr>
        <w:pStyle w:val="31"/>
        <w:snapToGrid w:val="0"/>
        <w:spacing w:beforeLines="0" w:afterLines="0" w:line="420" w:lineRule="exact"/>
        <w:ind w:left="719" w:leftChars="228" w:hanging="240" w:hangingChars="100"/>
        <w:rPr>
          <w:rFonts w:hAnsi="宋体"/>
          <w:highlight w:val="none"/>
        </w:rPr>
      </w:pPr>
      <w:r>
        <w:rPr>
          <w:rFonts w:hAnsi="宋体"/>
          <w:highlight w:val="none"/>
        </w:rPr>
        <w:t>12</w:t>
      </w:r>
      <w:r>
        <w:rPr>
          <w:rFonts w:hint="eastAsia" w:hAnsi="宋体"/>
          <w:highlight w:val="none"/>
        </w:rPr>
        <w:t>.报价文件评审</w:t>
      </w:r>
      <w:r>
        <w:rPr>
          <w:rFonts w:hint="eastAsia" w:hAnsi="宋体"/>
          <w:b/>
          <w:bCs/>
          <w:highlight w:val="none"/>
        </w:rPr>
        <w:t>；</w:t>
      </w:r>
    </w:p>
    <w:p w14:paraId="3696300E">
      <w:pPr>
        <w:pStyle w:val="31"/>
        <w:snapToGrid w:val="0"/>
        <w:spacing w:beforeLines="0" w:afterLines="0" w:line="420" w:lineRule="exact"/>
        <w:ind w:firstLine="480" w:firstLineChars="200"/>
        <w:rPr>
          <w:rFonts w:hAnsi="宋体"/>
          <w:highlight w:val="none"/>
        </w:rPr>
      </w:pPr>
      <w:r>
        <w:rPr>
          <w:rFonts w:hAnsi="宋体"/>
          <w:highlight w:val="none"/>
        </w:rPr>
        <w:t>13</w:t>
      </w:r>
      <w:r>
        <w:rPr>
          <w:rFonts w:hint="eastAsia" w:hAnsi="宋体"/>
          <w:highlight w:val="none"/>
        </w:rPr>
        <w:t>．由主持人公布报价文件无效的供应商名单、投标无效的原因及其他有效投标的报价文件得分；</w:t>
      </w:r>
    </w:p>
    <w:p w14:paraId="6339BC91">
      <w:pPr>
        <w:pStyle w:val="31"/>
        <w:snapToGrid w:val="0"/>
        <w:spacing w:beforeLines="0" w:afterLines="0" w:line="420" w:lineRule="exact"/>
        <w:ind w:firstLine="480" w:firstLineChars="200"/>
        <w:rPr>
          <w:rFonts w:hAnsi="宋体"/>
          <w:b/>
          <w:bCs/>
          <w:highlight w:val="none"/>
          <w:u w:val="single"/>
        </w:rPr>
      </w:pPr>
      <w:r>
        <w:rPr>
          <w:rFonts w:hint="eastAsia" w:hAnsi="宋体"/>
          <w:highlight w:val="none"/>
        </w:rPr>
        <w:t>1</w:t>
      </w:r>
      <w:r>
        <w:rPr>
          <w:rFonts w:hAnsi="宋体"/>
          <w:highlight w:val="none"/>
        </w:rPr>
        <w:t>4</w:t>
      </w:r>
      <w:r>
        <w:rPr>
          <w:rFonts w:hint="eastAsia" w:hAnsi="宋体"/>
          <w:highlight w:val="none"/>
        </w:rPr>
        <w:t>．宣布综合</w:t>
      </w:r>
      <w:bookmarkStart w:id="34" w:name="_Hlk59371720"/>
      <w:r>
        <w:rPr>
          <w:rFonts w:hint="eastAsia" w:hAnsi="宋体"/>
          <w:highlight w:val="none"/>
        </w:rPr>
        <w:t>得分结果</w:t>
      </w:r>
      <w:bookmarkEnd w:id="34"/>
      <w:r>
        <w:rPr>
          <w:rFonts w:hint="eastAsia" w:hAnsi="宋体"/>
          <w:highlight w:val="none"/>
        </w:rPr>
        <w:t>及成交候选人名单。</w:t>
      </w:r>
      <w:r>
        <w:rPr>
          <w:rFonts w:hint="eastAsia" w:hAnsi="宋体"/>
          <w:b/>
          <w:bCs/>
          <w:highlight w:val="none"/>
          <w:u w:val="single"/>
          <w:shd w:val="pct10" w:color="auto" w:fill="FFFFFF"/>
        </w:rPr>
        <w:t>供应商可通过</w:t>
      </w:r>
      <w:bookmarkStart w:id="35" w:name="_Hlk59626287"/>
      <w:r>
        <w:rPr>
          <w:rFonts w:hint="eastAsia" w:hAnsi="宋体"/>
          <w:b/>
          <w:bCs/>
          <w:highlight w:val="none"/>
          <w:u w:val="single"/>
          <w:shd w:val="pct10" w:color="auto" w:fill="FFFFFF"/>
        </w:rPr>
        <w:t>限额平台</w:t>
      </w:r>
      <w:bookmarkEnd w:id="35"/>
      <w:r>
        <w:rPr>
          <w:rFonts w:hint="eastAsia" w:hAnsi="宋体"/>
          <w:b/>
          <w:bCs/>
          <w:highlight w:val="none"/>
          <w:u w:val="single"/>
          <w:shd w:val="pct10" w:color="auto" w:fill="FFFFFF"/>
        </w:rPr>
        <w:t>查看评审结果，请各供应商注意收看；</w:t>
      </w:r>
    </w:p>
    <w:p w14:paraId="56093425">
      <w:pPr>
        <w:pStyle w:val="31"/>
        <w:snapToGrid w:val="0"/>
        <w:spacing w:beforeLines="0" w:afterLines="0" w:line="420" w:lineRule="exact"/>
        <w:ind w:left="719" w:leftChars="228" w:hanging="240" w:hangingChars="100"/>
        <w:rPr>
          <w:rFonts w:hAnsi="宋体"/>
          <w:highlight w:val="none"/>
        </w:rPr>
      </w:pPr>
      <w:r>
        <w:rPr>
          <w:rFonts w:hint="eastAsia" w:hAnsi="宋体"/>
          <w:highlight w:val="none"/>
        </w:rPr>
        <w:t>1</w:t>
      </w:r>
      <w:r>
        <w:rPr>
          <w:rFonts w:hAnsi="宋体"/>
          <w:highlight w:val="none"/>
        </w:rPr>
        <w:t>5</w:t>
      </w:r>
      <w:r>
        <w:rPr>
          <w:rFonts w:hint="eastAsia" w:hAnsi="宋体"/>
          <w:highlight w:val="none"/>
        </w:rPr>
        <w:t>．磋商会议结束。</w:t>
      </w:r>
    </w:p>
    <w:p w14:paraId="2EB56552">
      <w:pPr>
        <w:autoSpaceDE w:val="0"/>
        <w:autoSpaceDN w:val="0"/>
        <w:spacing w:line="420" w:lineRule="exact"/>
        <w:ind w:firstLine="482" w:firstLineChars="200"/>
        <w:textAlignment w:val="bottom"/>
        <w:rPr>
          <w:rFonts w:ascii="宋体" w:hAnsi="宋体"/>
          <w:b/>
          <w:bCs/>
          <w:sz w:val="24"/>
          <w:highlight w:val="none"/>
        </w:rPr>
      </w:pPr>
      <w:bookmarkStart w:id="36" w:name="_Hlk81829719"/>
      <w:r>
        <w:rPr>
          <w:rFonts w:hint="eastAsia" w:ascii="宋体" w:hAnsi="宋体"/>
          <w:b/>
          <w:bCs/>
          <w:sz w:val="24"/>
          <w:highlight w:val="none"/>
        </w:rPr>
        <w:t>（三）组建磋商小组</w:t>
      </w:r>
    </w:p>
    <w:p w14:paraId="67CB4101">
      <w:pPr>
        <w:autoSpaceDE w:val="0"/>
        <w:autoSpaceDN w:val="0"/>
        <w:spacing w:line="420" w:lineRule="exact"/>
        <w:ind w:firstLine="482" w:firstLineChars="200"/>
        <w:textAlignment w:val="bottom"/>
        <w:rPr>
          <w:rFonts w:ascii="宋体" w:hAnsi="宋体"/>
          <w:b/>
          <w:bCs/>
          <w:sz w:val="24"/>
          <w:highlight w:val="none"/>
        </w:rPr>
      </w:pPr>
      <w:r>
        <w:rPr>
          <w:rFonts w:hint="eastAsia" w:ascii="宋体" w:hAnsi="宋体"/>
          <w:b/>
          <w:bCs/>
          <w:sz w:val="24"/>
          <w:highlight w:val="none"/>
        </w:rPr>
        <w:t>（1）本项目磋商小组由招标人依法组建。</w:t>
      </w:r>
    </w:p>
    <w:p w14:paraId="04F27BD4">
      <w:pPr>
        <w:autoSpaceDE w:val="0"/>
        <w:autoSpaceDN w:val="0"/>
        <w:spacing w:line="420" w:lineRule="exact"/>
        <w:ind w:firstLine="482" w:firstLineChars="200"/>
        <w:textAlignment w:val="bottom"/>
        <w:rPr>
          <w:rFonts w:ascii="宋体" w:hAnsi="宋体"/>
          <w:b/>
          <w:bCs/>
          <w:sz w:val="24"/>
          <w:highlight w:val="none"/>
        </w:rPr>
      </w:pPr>
      <w:r>
        <w:rPr>
          <w:rFonts w:hint="eastAsia" w:ascii="宋体" w:hAnsi="宋体"/>
          <w:b/>
          <w:bCs/>
          <w:sz w:val="24"/>
          <w:highlight w:val="none"/>
        </w:rPr>
        <w:t>（2）磋商小组成员与参与投标的供应商有下列情形之一的，应当回避：</w:t>
      </w:r>
    </w:p>
    <w:p w14:paraId="431AB123">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①参加采购活动前3年内与供应商存在劳动关系；</w:t>
      </w:r>
    </w:p>
    <w:p w14:paraId="0FE09B59">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②参加采购活动前3年内担任供应商的董事、监事；</w:t>
      </w:r>
    </w:p>
    <w:p w14:paraId="29E0FC25">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③参加采购活动前3年内是供应商的控股股东或者实际控制人；</w:t>
      </w:r>
    </w:p>
    <w:p w14:paraId="651A6399">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④与供应商的法定代表人或者负责人有夫妻、直系血亲、三代以内旁系血亲或者近姻亲关系；</w:t>
      </w:r>
    </w:p>
    <w:p w14:paraId="2D9AE9A2">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⑤与供应商有其他可能影响政府采购活动公平、公正进行的关系。</w:t>
      </w:r>
    </w:p>
    <w:p w14:paraId="4A99DF8A">
      <w:pPr>
        <w:autoSpaceDE w:val="0"/>
        <w:autoSpaceDN w:val="0"/>
        <w:spacing w:line="420" w:lineRule="exact"/>
        <w:ind w:firstLine="482" w:firstLineChars="200"/>
        <w:textAlignment w:val="bottom"/>
        <w:rPr>
          <w:rFonts w:ascii="宋体" w:hAnsi="宋体"/>
          <w:b/>
          <w:bCs/>
          <w:sz w:val="24"/>
          <w:highlight w:val="none"/>
        </w:rPr>
      </w:pPr>
      <w:r>
        <w:rPr>
          <w:rFonts w:hint="eastAsia" w:ascii="宋体" w:hAnsi="宋体"/>
          <w:b/>
          <w:bCs/>
          <w:sz w:val="24"/>
          <w:highlight w:val="none"/>
        </w:rPr>
        <w:t>（3）磋商小组负责具体评标事务，并独立履行下列职责：</w:t>
      </w:r>
    </w:p>
    <w:p w14:paraId="35187D7A">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1.审查、评价响应文件是否符合磋商文件的商务、技术等实质性要求；</w:t>
      </w:r>
    </w:p>
    <w:p w14:paraId="1CDB6B10">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2.要求供应商对响应文件有关事项作出澄清或者说明；</w:t>
      </w:r>
    </w:p>
    <w:p w14:paraId="7678570F">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对响应文件进行比较和评价；</w:t>
      </w:r>
    </w:p>
    <w:p w14:paraId="3A414B14">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4.确定成交候选人名单，以及根据采购人委托直接确定成交人；</w:t>
      </w:r>
    </w:p>
    <w:p w14:paraId="717D459D">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5.向采购人、采购组织机构或者有关部门报告评标中发现的违法行为；</w:t>
      </w:r>
    </w:p>
    <w:p w14:paraId="675322FF">
      <w:pPr>
        <w:autoSpaceDE w:val="0"/>
        <w:autoSpaceDN w:val="0"/>
        <w:spacing w:line="420" w:lineRule="exact"/>
        <w:ind w:firstLine="480" w:firstLineChars="200"/>
        <w:textAlignment w:val="bottom"/>
        <w:rPr>
          <w:rFonts w:ascii="宋体" w:hAnsi="宋体"/>
          <w:sz w:val="24"/>
          <w:highlight w:val="none"/>
        </w:rPr>
      </w:pPr>
      <w:r>
        <w:rPr>
          <w:rFonts w:hint="eastAsia" w:ascii="宋体" w:hAnsi="宋体"/>
          <w:sz w:val="24"/>
          <w:highlight w:val="none"/>
        </w:rPr>
        <w:t>6.法律法规规定的其他职责。</w:t>
      </w:r>
    </w:p>
    <w:bookmarkEnd w:id="36"/>
    <w:p w14:paraId="59A6E8BD">
      <w:pPr>
        <w:pStyle w:val="31"/>
        <w:snapToGrid w:val="0"/>
        <w:spacing w:beforeLines="0" w:afterLines="0" w:line="420" w:lineRule="exact"/>
        <w:ind w:firstLine="482" w:firstLineChars="200"/>
        <w:rPr>
          <w:rFonts w:hAnsi="宋体"/>
          <w:highlight w:val="none"/>
        </w:rPr>
      </w:pPr>
      <w:r>
        <w:rPr>
          <w:rFonts w:hint="eastAsia" w:hAnsi="宋体"/>
          <w:b/>
          <w:highlight w:val="none"/>
        </w:rPr>
        <w:t>（四）评标的方式</w:t>
      </w:r>
    </w:p>
    <w:p w14:paraId="69E0C276">
      <w:pPr>
        <w:pStyle w:val="31"/>
        <w:snapToGrid w:val="0"/>
        <w:spacing w:beforeLines="0" w:afterLines="0" w:line="420" w:lineRule="exact"/>
        <w:ind w:firstLine="480" w:firstLineChars="200"/>
        <w:rPr>
          <w:rFonts w:hAnsi="宋体"/>
          <w:highlight w:val="none"/>
        </w:rPr>
      </w:pPr>
      <w:r>
        <w:rPr>
          <w:rFonts w:hint="eastAsia" w:hAnsi="宋体"/>
          <w:highlight w:val="none"/>
        </w:rPr>
        <w:t>本项目采用不公开方式评标，评标的依据为磋商文件和响应文件，本项目采用电子评审方法。</w:t>
      </w:r>
    </w:p>
    <w:p w14:paraId="1AB96952">
      <w:pPr>
        <w:pStyle w:val="31"/>
        <w:snapToGrid w:val="0"/>
        <w:spacing w:beforeLines="0" w:afterLines="0" w:line="420" w:lineRule="exact"/>
        <w:ind w:firstLine="482" w:firstLineChars="200"/>
        <w:rPr>
          <w:rFonts w:hAnsi="宋体"/>
          <w:b/>
          <w:highlight w:val="none"/>
        </w:rPr>
      </w:pPr>
      <w:r>
        <w:rPr>
          <w:rFonts w:hint="eastAsia" w:hAnsi="宋体"/>
          <w:b/>
          <w:highlight w:val="none"/>
        </w:rPr>
        <w:t>（五）</w:t>
      </w:r>
      <w:r>
        <w:rPr>
          <w:rFonts w:hint="eastAsia" w:hAnsi="宋体"/>
          <w:b/>
          <w:bCs/>
          <w:highlight w:val="none"/>
        </w:rPr>
        <w:t>评标程序</w:t>
      </w:r>
    </w:p>
    <w:p w14:paraId="0DFC55F7">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1.资格审查</w:t>
      </w:r>
    </w:p>
    <w:p w14:paraId="28771EF6">
      <w:pPr>
        <w:snapToGrid w:val="0"/>
        <w:spacing w:line="420" w:lineRule="exact"/>
        <w:ind w:firstLine="470" w:firstLineChars="196"/>
        <w:rPr>
          <w:rFonts w:ascii="宋体" w:hAnsi="宋体"/>
          <w:b/>
          <w:bCs/>
          <w:sz w:val="24"/>
          <w:highlight w:val="none"/>
        </w:rPr>
      </w:pPr>
      <w:r>
        <w:rPr>
          <w:rFonts w:hint="eastAsia" w:ascii="宋体" w:hAnsi="宋体"/>
          <w:sz w:val="24"/>
          <w:highlight w:val="none"/>
        </w:rPr>
        <w:t>采购项目开标结束后，招标人或者代理机构应当依法对投标人的资格进行审查，对审查发现无效的进行必要的询标，结束后公布无效投标的投标人名单、投标无效的原因。</w:t>
      </w:r>
    </w:p>
    <w:p w14:paraId="4D75A835">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2.符合性审查</w:t>
      </w:r>
    </w:p>
    <w:p w14:paraId="4B507D47">
      <w:pPr>
        <w:snapToGrid w:val="0"/>
        <w:spacing w:line="420" w:lineRule="exact"/>
        <w:ind w:firstLine="470" w:firstLineChars="196"/>
        <w:rPr>
          <w:rFonts w:ascii="宋体" w:hAnsi="宋体"/>
          <w:sz w:val="24"/>
          <w:highlight w:val="none"/>
        </w:rPr>
      </w:pPr>
      <w:r>
        <w:rPr>
          <w:rFonts w:hint="eastAsia" w:ascii="宋体" w:hAnsi="宋体"/>
          <w:sz w:val="24"/>
          <w:highlight w:val="none"/>
        </w:rPr>
        <w:t xml:space="preserve">评标委员会应当对符合资格的投标人的响应文件进行符合性审查，以确定其是否满足磋商文件的实质性要求，对审查发现无效的进行必要的询标，结束后公布无效投标的投标人名单、投标无效的原因。 </w:t>
      </w:r>
    </w:p>
    <w:p w14:paraId="76C5F169">
      <w:pPr>
        <w:snapToGrid w:val="0"/>
        <w:spacing w:line="420" w:lineRule="exact"/>
        <w:ind w:firstLine="241" w:firstLineChars="100"/>
        <w:rPr>
          <w:rFonts w:ascii="宋体" w:hAnsi="宋体"/>
          <w:b/>
          <w:sz w:val="24"/>
          <w:highlight w:val="none"/>
        </w:rPr>
      </w:pPr>
      <w:r>
        <w:rPr>
          <w:rFonts w:hint="eastAsia" w:ascii="宋体" w:hAnsi="宋体"/>
          <w:b/>
          <w:sz w:val="24"/>
          <w:highlight w:val="none"/>
        </w:rPr>
        <w:t>（六）澄清问题的形式</w:t>
      </w:r>
    </w:p>
    <w:p w14:paraId="7D0A7F88">
      <w:pPr>
        <w:pStyle w:val="31"/>
        <w:snapToGrid w:val="0"/>
        <w:spacing w:beforeLines="0" w:afterLines="0" w:line="420" w:lineRule="exact"/>
        <w:ind w:firstLine="480" w:firstLineChars="200"/>
        <w:rPr>
          <w:rFonts w:hAnsi="宋体"/>
          <w:highlight w:val="none"/>
        </w:rPr>
      </w:pPr>
      <w:r>
        <w:rPr>
          <w:rFonts w:hint="eastAsia" w:hAnsi="宋体"/>
          <w:highlight w:val="none"/>
        </w:rPr>
        <w:t>对响应文件中含义不明确、同类问题表述不一致或者有明显文字和计算错误的内容，评标委员会可要求投标人作出必要的</w:t>
      </w:r>
      <w:bookmarkStart w:id="37" w:name="_Hlk59372079"/>
      <w:r>
        <w:rPr>
          <w:rFonts w:hint="eastAsia" w:hAnsi="宋体"/>
          <w:highlight w:val="none"/>
        </w:rPr>
        <w:t>澄清、说明</w:t>
      </w:r>
      <w:bookmarkEnd w:id="37"/>
      <w:r>
        <w:rPr>
          <w:rFonts w:hint="eastAsia" w:hAnsi="宋体"/>
          <w:highlight w:val="none"/>
        </w:rPr>
        <w:t>或者补正。评标委员会的澄清内容及投标人的澄清、说明或者补正均通过</w:t>
      </w:r>
      <w:bookmarkStart w:id="38" w:name="_Hlk59371846"/>
      <w:r>
        <w:rPr>
          <w:rFonts w:hint="eastAsia" w:hAnsi="宋体"/>
          <w:highlight w:val="none"/>
        </w:rPr>
        <w:t>电子交易平台交换数据电文。</w:t>
      </w:r>
      <w:bookmarkEnd w:id="38"/>
      <w:bookmarkStart w:id="39" w:name="_Hlk59700505"/>
      <w:r>
        <w:rPr>
          <w:rFonts w:hint="eastAsia" w:hAnsi="宋体"/>
          <w:highlight w:val="none"/>
        </w:rPr>
        <w:t>同时代理机构也将通过临海市限额以下公共资源交易区域平台--每日直播平台</w:t>
      </w:r>
      <w:bookmarkStart w:id="40" w:name="_Hlk59371920"/>
      <w:r>
        <w:rPr>
          <w:rFonts w:hint="eastAsia" w:hAnsi="宋体"/>
          <w:highlight w:val="none"/>
        </w:rPr>
        <w:t>进行问题澄清。</w:t>
      </w:r>
      <w:bookmarkEnd w:id="39"/>
    </w:p>
    <w:bookmarkEnd w:id="40"/>
    <w:p w14:paraId="1B7C5BE2">
      <w:pPr>
        <w:snapToGrid w:val="0"/>
        <w:spacing w:line="420" w:lineRule="exact"/>
        <w:ind w:firstLine="480" w:firstLineChars="200"/>
        <w:rPr>
          <w:rFonts w:ascii="宋体" w:hAnsi="宋体"/>
          <w:sz w:val="24"/>
          <w:highlight w:val="none"/>
        </w:rPr>
      </w:pPr>
      <w:r>
        <w:rPr>
          <w:rFonts w:hint="eastAsia" w:ascii="宋体" w:hAnsi="宋体"/>
          <w:sz w:val="24"/>
          <w:highlight w:val="none"/>
        </w:rPr>
        <w:t>评标委员会发出澄清内容后，投标人应当在代理机构及平台上</w:t>
      </w:r>
      <w:r>
        <w:rPr>
          <w:rFonts w:hint="eastAsia" w:ascii="宋体" w:hAnsi="宋体"/>
          <w:b/>
          <w:bCs/>
          <w:sz w:val="24"/>
          <w:highlight w:val="none"/>
          <w:u w:val="single"/>
        </w:rPr>
        <w:t>规定的时间内（30分钟，具体时间以临海市限额以下公共资源交易区域平台系统上显示的时间为准）</w:t>
      </w:r>
      <w:r>
        <w:rPr>
          <w:rFonts w:hint="eastAsia" w:ascii="宋体" w:hAnsi="宋体"/>
          <w:b/>
          <w:bCs/>
          <w:sz w:val="24"/>
          <w:highlight w:val="none"/>
        </w:rPr>
        <w:t>，</w:t>
      </w:r>
      <w:r>
        <w:rPr>
          <w:rFonts w:hint="eastAsia" w:ascii="宋体" w:hAnsi="宋体"/>
          <w:sz w:val="24"/>
          <w:highlight w:val="none"/>
        </w:rPr>
        <w:t>提交澄清说明或补正，否则视为投标人放弃答复，并自行承担因此而产生的不利后果。澄清、说明或者补正不得超出响应文件的范围或者改变响应文件的实质性内容。</w:t>
      </w:r>
    </w:p>
    <w:p w14:paraId="5BE2EA72">
      <w:pPr>
        <w:snapToGrid w:val="0"/>
        <w:spacing w:line="420" w:lineRule="exact"/>
        <w:ind w:firstLine="241" w:firstLineChars="100"/>
        <w:rPr>
          <w:rFonts w:ascii="宋体" w:hAnsi="宋体"/>
          <w:b/>
          <w:sz w:val="24"/>
          <w:highlight w:val="none"/>
        </w:rPr>
      </w:pPr>
      <w:r>
        <w:rPr>
          <w:rFonts w:hint="eastAsia" w:ascii="宋体" w:hAnsi="宋体"/>
          <w:b/>
          <w:sz w:val="24"/>
          <w:highlight w:val="none"/>
        </w:rPr>
        <w:t>（七）错误修正</w:t>
      </w:r>
    </w:p>
    <w:p w14:paraId="22F75D75">
      <w:pPr>
        <w:snapToGrid w:val="0"/>
        <w:spacing w:line="420" w:lineRule="exact"/>
        <w:ind w:firstLine="480" w:firstLineChars="200"/>
        <w:rPr>
          <w:rFonts w:ascii="宋体" w:hAnsi="宋体" w:cs="宋体"/>
          <w:sz w:val="24"/>
          <w:highlight w:val="none"/>
        </w:rPr>
      </w:pPr>
      <w:r>
        <w:rPr>
          <w:rFonts w:hint="eastAsia" w:ascii="宋体" w:hAnsi="宋体" w:cs="宋体"/>
          <w:sz w:val="24"/>
          <w:highlight w:val="none"/>
        </w:rPr>
        <w:t>磋商响应文件报价出现前后不一致的，按照下列规定修正：</w:t>
      </w:r>
    </w:p>
    <w:p w14:paraId="7F27CA77">
      <w:pPr>
        <w:numPr>
          <w:ilvl w:val="0"/>
          <w:numId w:val="7"/>
        </w:numPr>
        <w:snapToGrid w:val="0"/>
        <w:spacing w:line="420" w:lineRule="exact"/>
        <w:ind w:firstLine="480" w:firstLineChars="200"/>
        <w:rPr>
          <w:sz w:val="24"/>
          <w:highlight w:val="none"/>
        </w:rPr>
      </w:pPr>
      <w:r>
        <w:rPr>
          <w:sz w:val="24"/>
          <w:highlight w:val="none"/>
        </w:rPr>
        <w:t>磋商响应文件中</w:t>
      </w:r>
      <w:bookmarkStart w:id="41" w:name="_Hlk61427222"/>
      <w:r>
        <w:rPr>
          <w:rFonts w:hint="eastAsia"/>
          <w:sz w:val="24"/>
          <w:highlight w:val="none"/>
        </w:rPr>
        <w:t>开标</w:t>
      </w:r>
      <w:r>
        <w:rPr>
          <w:sz w:val="24"/>
          <w:highlight w:val="none"/>
        </w:rPr>
        <w:t>一览表</w:t>
      </w:r>
      <w:bookmarkEnd w:id="41"/>
      <w:r>
        <w:rPr>
          <w:sz w:val="24"/>
          <w:highlight w:val="none"/>
        </w:rPr>
        <w:t>内容与磋商响应文件中相应内容不一致的，以</w:t>
      </w:r>
      <w:r>
        <w:rPr>
          <w:rFonts w:hint="eastAsia"/>
          <w:sz w:val="24"/>
          <w:highlight w:val="none"/>
        </w:rPr>
        <w:t>开标</w:t>
      </w:r>
      <w:r>
        <w:rPr>
          <w:sz w:val="24"/>
          <w:highlight w:val="none"/>
        </w:rPr>
        <w:t>一览表为准；</w:t>
      </w:r>
      <w:bookmarkStart w:id="42" w:name="_Hlk81829635"/>
    </w:p>
    <w:bookmarkEnd w:id="42"/>
    <w:p w14:paraId="2884AB38">
      <w:pPr>
        <w:numPr>
          <w:ilvl w:val="0"/>
          <w:numId w:val="7"/>
        </w:numPr>
        <w:snapToGrid w:val="0"/>
        <w:spacing w:line="420" w:lineRule="exact"/>
        <w:ind w:firstLine="480" w:firstLineChars="200"/>
        <w:rPr>
          <w:rFonts w:ascii="宋体" w:hAnsi="宋体" w:cs="宋体"/>
          <w:sz w:val="24"/>
          <w:highlight w:val="none"/>
        </w:rPr>
      </w:pPr>
      <w:r>
        <w:rPr>
          <w:rFonts w:hint="eastAsia" w:ascii="宋体" w:hAnsi="宋体" w:cs="宋体"/>
          <w:sz w:val="24"/>
          <w:highlight w:val="none"/>
        </w:rPr>
        <w:t>大写金额和小写金额不一致的，以大写金额为准；</w:t>
      </w:r>
    </w:p>
    <w:p w14:paraId="7B287659">
      <w:pPr>
        <w:snapToGrid w:val="0"/>
        <w:spacing w:line="420" w:lineRule="exact"/>
        <w:ind w:firstLine="480" w:firstLineChars="200"/>
        <w:rPr>
          <w:rFonts w:ascii="宋体" w:hAnsi="宋体" w:cs="宋体"/>
          <w:sz w:val="24"/>
          <w:highlight w:val="none"/>
        </w:rPr>
      </w:pPr>
      <w:r>
        <w:rPr>
          <w:rFonts w:hint="eastAsia" w:ascii="宋体" w:hAnsi="宋体" w:cs="宋体"/>
          <w:sz w:val="24"/>
          <w:highlight w:val="none"/>
        </w:rPr>
        <w:t>（三）</w:t>
      </w:r>
      <w:r>
        <w:rPr>
          <w:sz w:val="24"/>
          <w:highlight w:val="none"/>
        </w:rPr>
        <w:t>单价金额小数点或者百分比有明显错位的，以</w:t>
      </w:r>
      <w:r>
        <w:rPr>
          <w:rFonts w:hint="eastAsia"/>
          <w:sz w:val="24"/>
          <w:highlight w:val="none"/>
        </w:rPr>
        <w:t>开标</w:t>
      </w:r>
      <w:r>
        <w:rPr>
          <w:sz w:val="24"/>
          <w:highlight w:val="none"/>
        </w:rPr>
        <w:t>一览表的总价为准，并修改单价；</w:t>
      </w:r>
    </w:p>
    <w:p w14:paraId="0156605C">
      <w:pPr>
        <w:snapToGrid w:val="0"/>
        <w:spacing w:line="420" w:lineRule="exact"/>
        <w:ind w:firstLine="480" w:firstLineChars="200"/>
        <w:rPr>
          <w:rFonts w:ascii="宋体" w:hAnsi="宋体" w:cs="宋体"/>
          <w:sz w:val="24"/>
          <w:highlight w:val="none"/>
        </w:rPr>
      </w:pPr>
      <w:r>
        <w:rPr>
          <w:rFonts w:hint="eastAsia" w:ascii="宋体" w:hAnsi="宋体" w:cs="宋体"/>
          <w:sz w:val="24"/>
          <w:highlight w:val="none"/>
        </w:rPr>
        <w:t>（四）总价金额与按单价汇总金额不一致的，以单价金额计算结果为准。</w:t>
      </w:r>
    </w:p>
    <w:p w14:paraId="0E3B1BB3">
      <w:pPr>
        <w:pStyle w:val="48"/>
        <w:spacing w:before="120" w:beforeAutospacing="0" w:after="120" w:afterAutospacing="0" w:line="420" w:lineRule="exact"/>
        <w:ind w:firstLine="480"/>
        <w:jc w:val="both"/>
        <w:rPr>
          <w:rFonts w:cs="宋体"/>
          <w:highlight w:val="none"/>
        </w:rPr>
      </w:pPr>
      <w:r>
        <w:rPr>
          <w:highlight w:val="none"/>
        </w:rPr>
        <w:t>同时出现两种以上不一致的，按照前款规定的顺序修正。修正应当采用书面形式，并加盖公章，或者由法定代表人或其授权的代表签字。修正后的报价经磋商供应商确认后产生约束力，磋商供应商不确认的，</w:t>
      </w:r>
      <w:r>
        <w:rPr>
          <w:rFonts w:hint="eastAsia"/>
          <w:highlight w:val="none"/>
        </w:rPr>
        <w:t>则其投标将作为无效投标处理</w:t>
      </w:r>
      <w:r>
        <w:rPr>
          <w:highlight w:val="none"/>
        </w:rPr>
        <w:t>。</w:t>
      </w:r>
    </w:p>
    <w:p w14:paraId="64BB8EC8">
      <w:pPr>
        <w:pStyle w:val="31"/>
        <w:tabs>
          <w:tab w:val="left" w:pos="630"/>
        </w:tabs>
        <w:snapToGrid w:val="0"/>
        <w:spacing w:beforeLines="0" w:afterLines="0" w:line="420" w:lineRule="exact"/>
        <w:ind w:firstLine="241" w:firstLineChars="100"/>
        <w:rPr>
          <w:rFonts w:hAnsi="宋体"/>
          <w:b/>
          <w:highlight w:val="none"/>
        </w:rPr>
      </w:pPr>
      <w:r>
        <w:rPr>
          <w:rFonts w:hint="eastAsia" w:hAnsi="宋体"/>
          <w:b/>
          <w:highlight w:val="none"/>
        </w:rPr>
        <w:t>（八）评标原则和评标办法</w:t>
      </w:r>
    </w:p>
    <w:p w14:paraId="63F6D56A">
      <w:pPr>
        <w:pStyle w:val="31"/>
        <w:snapToGrid w:val="0"/>
        <w:spacing w:beforeLines="0" w:afterLines="0" w:line="420" w:lineRule="exact"/>
        <w:ind w:firstLine="480" w:firstLineChars="200"/>
        <w:rPr>
          <w:rFonts w:hAnsi="宋体"/>
          <w:highlight w:val="none"/>
        </w:rPr>
      </w:pPr>
      <w:r>
        <w:rPr>
          <w:rFonts w:hint="eastAsia" w:hAnsi="宋体"/>
          <w:highlight w:val="none"/>
        </w:rPr>
        <w:t>1.评标原则。</w:t>
      </w:r>
      <w:r>
        <w:rPr>
          <w:rFonts w:hint="eastAsia" w:hAnsi="宋体" w:cs="宋体"/>
          <w:highlight w:val="none"/>
        </w:rPr>
        <w:t>磋商小组</w:t>
      </w:r>
      <w:r>
        <w:rPr>
          <w:rFonts w:hint="eastAsia" w:hAnsi="宋体"/>
          <w:highlight w:val="none"/>
        </w:rPr>
        <w:t>必须公平、公正、客观，不带任何倾向性和启发性；不得向外界透露任何与评标有关的内容；任何单位和个人不得干扰、影响评标的正常进行；</w:t>
      </w:r>
      <w:r>
        <w:rPr>
          <w:rFonts w:hint="eastAsia" w:hAnsi="宋体" w:cs="宋体"/>
          <w:highlight w:val="none"/>
        </w:rPr>
        <w:t>磋商小组及有关工作人员不得私下与磋商供应商接触。</w:t>
      </w:r>
    </w:p>
    <w:p w14:paraId="53FDF77E">
      <w:pPr>
        <w:pStyle w:val="31"/>
        <w:snapToGrid w:val="0"/>
        <w:spacing w:beforeLines="0" w:afterLines="0" w:line="420" w:lineRule="exact"/>
        <w:ind w:firstLine="480" w:firstLineChars="200"/>
        <w:rPr>
          <w:rFonts w:hAnsi="宋体"/>
          <w:highlight w:val="none"/>
        </w:rPr>
      </w:pPr>
      <w:r>
        <w:rPr>
          <w:rFonts w:hint="eastAsia" w:hAnsi="宋体"/>
          <w:highlight w:val="none"/>
        </w:rPr>
        <w:t>2.评标办法。本项目评标办法是</w:t>
      </w:r>
      <w:r>
        <w:rPr>
          <w:rFonts w:hint="eastAsia" w:hAnsi="宋体" w:cs="宋体"/>
          <w:b/>
          <w:highlight w:val="none"/>
        </w:rPr>
        <w:t>综合评分法。</w:t>
      </w:r>
    </w:p>
    <w:p w14:paraId="400C57BE">
      <w:pPr>
        <w:spacing w:line="420" w:lineRule="exact"/>
        <w:ind w:firstLine="482" w:firstLineChars="200"/>
        <w:rPr>
          <w:rFonts w:ascii="宋体" w:hAnsi="宋体"/>
          <w:b/>
          <w:sz w:val="24"/>
          <w:highlight w:val="none"/>
        </w:rPr>
      </w:pPr>
      <w:r>
        <w:rPr>
          <w:rFonts w:hint="eastAsia" w:ascii="宋体" w:hAnsi="宋体"/>
          <w:b/>
          <w:sz w:val="24"/>
          <w:highlight w:val="none"/>
        </w:rPr>
        <w:t>六、定标</w:t>
      </w:r>
    </w:p>
    <w:p w14:paraId="2B6F6FFE">
      <w:pPr>
        <w:spacing w:line="420" w:lineRule="exact"/>
        <w:ind w:firstLine="482" w:firstLineChars="200"/>
        <w:rPr>
          <w:rFonts w:ascii="宋体" w:hAnsi="宋体"/>
          <w:b/>
          <w:sz w:val="24"/>
          <w:highlight w:val="none"/>
        </w:rPr>
      </w:pPr>
      <w:r>
        <w:rPr>
          <w:rFonts w:hint="eastAsia" w:ascii="宋体" w:hAnsi="宋体"/>
          <w:b/>
          <w:sz w:val="24"/>
          <w:highlight w:val="none"/>
        </w:rPr>
        <w:t>（一）确定中标人</w:t>
      </w:r>
    </w:p>
    <w:p w14:paraId="4371C134">
      <w:pPr>
        <w:spacing w:line="420" w:lineRule="exact"/>
        <w:ind w:firstLine="480" w:firstLineChars="200"/>
        <w:rPr>
          <w:rFonts w:ascii="宋体" w:hAnsi="宋体"/>
          <w:b/>
          <w:bCs/>
          <w:sz w:val="24"/>
          <w:highlight w:val="none"/>
        </w:rPr>
      </w:pPr>
      <w:r>
        <w:rPr>
          <w:rFonts w:hint="eastAsia" w:ascii="宋体" w:hAnsi="宋体"/>
          <w:bCs/>
          <w:sz w:val="24"/>
          <w:highlight w:val="none"/>
        </w:rPr>
        <w:t>1.招标人在评标结束后2</w:t>
      </w:r>
      <w:r>
        <w:rPr>
          <w:rFonts w:hint="eastAsia" w:ascii="宋体" w:hAnsi="宋体"/>
          <w:sz w:val="24"/>
          <w:highlight w:val="none"/>
        </w:rPr>
        <w:t>个工作日内将评标报告交招标人确认</w:t>
      </w:r>
      <w:r>
        <w:rPr>
          <w:rFonts w:hint="eastAsia" w:ascii="宋体" w:hAnsi="宋体"/>
          <w:b/>
          <w:bCs/>
          <w:sz w:val="24"/>
          <w:highlight w:val="none"/>
        </w:rPr>
        <w:t>，</w:t>
      </w:r>
      <w:r>
        <w:rPr>
          <w:rFonts w:hint="eastAsia" w:ascii="宋体" w:hAnsi="宋体"/>
          <w:sz w:val="24"/>
          <w:highlight w:val="none"/>
        </w:rPr>
        <w:t>招标人应在收到评标报告后5个工作日内对评标结果进行确认。如有投标人对评标结果提出质疑的，招标人可在质疑处理完毕后确定中标人。</w:t>
      </w:r>
    </w:p>
    <w:p w14:paraId="335D1C35">
      <w:pPr>
        <w:snapToGrid w:val="0"/>
        <w:spacing w:line="420" w:lineRule="exact"/>
        <w:ind w:firstLine="480" w:firstLineChars="200"/>
        <w:rPr>
          <w:rFonts w:ascii="宋体" w:hAnsi="宋体"/>
          <w:b/>
          <w:bCs/>
          <w:sz w:val="24"/>
          <w:highlight w:val="none"/>
          <w:u w:val="single"/>
          <w:shd w:val="pct10" w:color="auto" w:fill="FFFFFF"/>
        </w:rPr>
      </w:pPr>
      <w:r>
        <w:rPr>
          <w:rFonts w:ascii="宋体" w:hAnsi="宋体"/>
          <w:sz w:val="24"/>
          <w:highlight w:val="none"/>
        </w:rPr>
        <w:t>2</w:t>
      </w:r>
      <w:r>
        <w:rPr>
          <w:rFonts w:hint="eastAsia" w:ascii="宋体" w:hAnsi="宋体"/>
          <w:sz w:val="24"/>
          <w:highlight w:val="none"/>
        </w:rPr>
        <w:t>.招标人依法确定中标人后2个工作日内，招标人以书面形式发出《中标通知书》,并同时在采购公告发布的网站上发布成交结果公告。</w:t>
      </w:r>
      <w:r>
        <w:rPr>
          <w:rFonts w:hint="eastAsia" w:ascii="宋体" w:hAnsi="宋体"/>
          <w:b/>
          <w:bCs/>
          <w:sz w:val="24"/>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ED9E814">
      <w:pPr>
        <w:snapToGrid w:val="0"/>
        <w:spacing w:line="420" w:lineRule="exact"/>
        <w:ind w:firstLine="480" w:firstLineChars="200"/>
        <w:rPr>
          <w:rFonts w:ascii="宋体" w:hAnsi="宋体"/>
          <w:sz w:val="24"/>
          <w:highlight w:val="none"/>
        </w:rPr>
      </w:pPr>
      <w:r>
        <w:rPr>
          <w:rFonts w:hint="eastAsia" w:ascii="宋体" w:hAnsi="宋体"/>
          <w:sz w:val="24"/>
          <w:highlight w:val="none"/>
        </w:rPr>
        <w:t>定标中，应坚持第一中标候选人为首选中标人，但出现其它原因的，招标人可以确定排名第二的候选人为中标人，</w:t>
      </w:r>
      <w:r>
        <w:rPr>
          <w:rFonts w:hint="eastAsia" w:ascii="宋体" w:hAnsi="宋体"/>
          <w:b/>
          <w:sz w:val="24"/>
          <w:highlight w:val="none"/>
        </w:rPr>
        <w:t>或重新组织招标。</w:t>
      </w:r>
      <w:bookmarkStart w:id="43" w:name="_Hlk59369379"/>
      <w:r>
        <w:rPr>
          <w:rFonts w:hint="eastAsia" w:ascii="宋体" w:hAnsi="宋体"/>
          <w:sz w:val="24"/>
          <w:highlight w:val="none"/>
        </w:rPr>
        <w:t xml:space="preserve"> </w:t>
      </w:r>
    </w:p>
    <w:p w14:paraId="7ACB32FB">
      <w:pPr>
        <w:snapToGrid w:val="0"/>
        <w:spacing w:line="420" w:lineRule="exact"/>
        <w:ind w:firstLine="482" w:firstLineChars="200"/>
        <w:rPr>
          <w:rFonts w:ascii="宋体" w:hAnsi="宋体"/>
          <w:b/>
          <w:sz w:val="24"/>
          <w:highlight w:val="none"/>
        </w:rPr>
      </w:pPr>
      <w:r>
        <w:rPr>
          <w:rFonts w:hint="eastAsia" w:ascii="宋体" w:hAnsi="宋体"/>
          <w:b/>
          <w:sz w:val="24"/>
          <w:highlight w:val="none"/>
        </w:rPr>
        <w:t>4.</w:t>
      </w:r>
      <w:r>
        <w:rPr>
          <w:rFonts w:hint="eastAsia"/>
          <w:highlight w:val="none"/>
        </w:rPr>
        <w:t xml:space="preserve"> </w:t>
      </w:r>
      <w:r>
        <w:rPr>
          <w:rFonts w:hint="eastAsia" w:ascii="宋体" w:hAnsi="宋体"/>
          <w:b/>
          <w:sz w:val="24"/>
          <w:highlight w:val="none"/>
        </w:rPr>
        <w:t>本项目为非政府采购项目，如中标通知书发出后，中标人放弃中标项目的，参照《政府采购法》第四十六条之规定，应当依法承担法律责任。</w:t>
      </w:r>
    </w:p>
    <w:p w14:paraId="4C218A2A">
      <w:pPr>
        <w:snapToGrid w:val="0"/>
        <w:spacing w:line="420" w:lineRule="exact"/>
        <w:rPr>
          <w:rFonts w:ascii="宋体" w:hAnsi="宋体"/>
          <w:b/>
          <w:sz w:val="24"/>
          <w:highlight w:val="none"/>
        </w:rPr>
      </w:pPr>
      <w:r>
        <w:rPr>
          <w:rFonts w:hint="eastAsia" w:ascii="宋体" w:hAnsi="宋体"/>
          <w:b/>
          <w:sz w:val="24"/>
          <w:highlight w:val="none"/>
        </w:rPr>
        <w:t>本磋商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1D6AE36B">
      <w:pPr>
        <w:snapToGrid w:val="0"/>
        <w:spacing w:line="420" w:lineRule="exact"/>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w:t>
      </w:r>
      <w:r>
        <w:rPr>
          <w:rFonts w:hint="eastAsia" w:ascii="宋体" w:hAnsi="宋体"/>
          <w:b/>
          <w:bCs/>
          <w:sz w:val="24"/>
          <w:highlight w:val="none"/>
          <w:u w:val="single"/>
          <w:shd w:val="pct10" w:color="auto" w:fill="FFFFFF"/>
        </w:rPr>
        <w:t>为营造更优质的营商环境，</w:t>
      </w:r>
      <w:bookmarkStart w:id="44" w:name="_Hlk59708763"/>
      <w:r>
        <w:rPr>
          <w:rFonts w:hint="eastAsia" w:ascii="宋体" w:hAnsi="宋体"/>
          <w:b/>
          <w:bCs/>
          <w:sz w:val="24"/>
          <w:highlight w:val="none"/>
          <w:u w:val="single"/>
          <w:shd w:val="pct10" w:color="auto" w:fill="FFFFFF"/>
        </w:rPr>
        <w:t>中标人可选择代理机构以邮寄方式向其寄达《中标通知书》（邮寄地址、收件人等信息请在“投标函”中详细写明，邮费可到付）。</w:t>
      </w:r>
      <w:bookmarkEnd w:id="44"/>
      <w:bookmarkStart w:id="45" w:name="_Hlk59708451"/>
      <w:r>
        <w:rPr>
          <w:rFonts w:hint="eastAsia" w:ascii="宋体" w:hAnsi="宋体"/>
          <w:b/>
          <w:bCs/>
          <w:sz w:val="24"/>
          <w:highlight w:val="none"/>
          <w:u w:val="single"/>
          <w:shd w:val="pct10" w:color="auto" w:fill="FFFFFF"/>
        </w:rPr>
        <w:t>同时中标人应在中标后</w:t>
      </w:r>
      <w:bookmarkStart w:id="46" w:name="_Hlk59521069"/>
      <w:r>
        <w:rPr>
          <w:rFonts w:hint="eastAsia" w:ascii="宋体" w:hAnsi="宋体"/>
          <w:b/>
          <w:bCs/>
          <w:sz w:val="24"/>
          <w:highlight w:val="none"/>
          <w:u w:val="single"/>
          <w:shd w:val="pct10" w:color="auto" w:fill="FFFFFF"/>
        </w:rPr>
        <w:t>以邮寄</w:t>
      </w:r>
      <w:bookmarkEnd w:id="46"/>
      <w:r>
        <w:rPr>
          <w:rFonts w:hint="eastAsia" w:ascii="宋体" w:hAnsi="宋体"/>
          <w:b/>
          <w:bCs/>
          <w:sz w:val="24"/>
          <w:highlight w:val="none"/>
          <w:u w:val="single"/>
          <w:shd w:val="pct10" w:color="auto" w:fill="FFFFFF"/>
        </w:rPr>
        <w:t>或其他方式向代理机构提供</w:t>
      </w:r>
      <w:r>
        <w:rPr>
          <w:rFonts w:ascii="宋体" w:hAnsi="宋体"/>
          <w:b/>
          <w:bCs/>
          <w:sz w:val="24"/>
          <w:highlight w:val="none"/>
          <w:u w:val="single"/>
          <w:shd w:val="pct10" w:color="auto" w:fill="FFFFFF"/>
        </w:rPr>
        <w:t>3</w:t>
      </w:r>
      <w:r>
        <w:rPr>
          <w:rFonts w:hint="eastAsia" w:ascii="宋体" w:hAnsi="宋体"/>
          <w:b/>
          <w:bCs/>
          <w:sz w:val="24"/>
          <w:highlight w:val="none"/>
          <w:u w:val="single"/>
          <w:shd w:val="pct10" w:color="auto" w:fill="FFFFFF"/>
        </w:rPr>
        <w:t>套与电子版响应文件相同的胶装版本响应文件。</w:t>
      </w:r>
      <w:bookmarkEnd w:id="43"/>
      <w:bookmarkEnd w:id="45"/>
    </w:p>
    <w:p w14:paraId="5201EC91">
      <w:pPr>
        <w:spacing w:line="420" w:lineRule="exact"/>
        <w:ind w:firstLine="482" w:firstLineChars="200"/>
        <w:rPr>
          <w:rFonts w:ascii="宋体" w:hAnsi="宋体"/>
          <w:b/>
          <w:sz w:val="24"/>
          <w:highlight w:val="none"/>
        </w:rPr>
      </w:pPr>
      <w:r>
        <w:rPr>
          <w:rFonts w:hint="eastAsia" w:ascii="宋体" w:hAnsi="宋体"/>
          <w:b/>
          <w:sz w:val="24"/>
          <w:highlight w:val="none"/>
        </w:rPr>
        <w:t>七、合同授予</w:t>
      </w:r>
    </w:p>
    <w:p w14:paraId="213E1D6C">
      <w:pPr>
        <w:snapToGrid w:val="0"/>
        <w:spacing w:line="420" w:lineRule="exact"/>
        <w:ind w:firstLine="472" w:firstLineChars="196"/>
        <w:rPr>
          <w:rFonts w:ascii="宋体" w:hAnsi="宋体"/>
          <w:b/>
          <w:bCs/>
          <w:sz w:val="24"/>
          <w:highlight w:val="none"/>
        </w:rPr>
      </w:pPr>
      <w:r>
        <w:rPr>
          <w:rFonts w:hint="eastAsia" w:ascii="宋体" w:hAnsi="宋体"/>
          <w:b/>
          <w:bCs/>
          <w:sz w:val="24"/>
          <w:highlight w:val="none"/>
        </w:rPr>
        <w:t>（一）签订合同</w:t>
      </w:r>
    </w:p>
    <w:p w14:paraId="56A6F8C2">
      <w:pPr>
        <w:snapToGrid w:val="0"/>
        <w:spacing w:line="420" w:lineRule="exact"/>
        <w:ind w:firstLine="480" w:firstLineChars="200"/>
        <w:rPr>
          <w:rFonts w:ascii="宋体" w:hAnsi="宋体"/>
          <w:sz w:val="24"/>
          <w:highlight w:val="none"/>
        </w:rPr>
      </w:pPr>
      <w:r>
        <w:rPr>
          <w:rFonts w:hint="eastAsia" w:ascii="宋体" w:hAnsi="宋体"/>
          <w:sz w:val="24"/>
          <w:highlight w:val="none"/>
        </w:rPr>
        <w:t>1.招标人与中标</w:t>
      </w:r>
      <w:r>
        <w:rPr>
          <w:rFonts w:hint="eastAsia" w:ascii="宋体" w:hAnsi="宋体"/>
          <w:b/>
          <w:sz w:val="24"/>
          <w:highlight w:val="none"/>
        </w:rPr>
        <w:t>人应当在《中标通知书》发出之日起30日内签订采购合同，</w:t>
      </w:r>
      <w:r>
        <w:rPr>
          <w:rFonts w:hint="eastAsia" w:ascii="宋体" w:hAnsi="宋体"/>
          <w:sz w:val="24"/>
          <w:highlight w:val="none"/>
        </w:rPr>
        <w:t>并且在同一时间送至代理机构见证盖章（合同一式六份，招标人与中标人各执二份，</w:t>
      </w:r>
      <w:bookmarkStart w:id="47" w:name="_Hlk59626706"/>
      <w:r>
        <w:rPr>
          <w:rFonts w:hint="eastAsia" w:ascii="宋体" w:hAnsi="宋体"/>
          <w:sz w:val="24"/>
          <w:highlight w:val="none"/>
        </w:rPr>
        <w:t>代理机构</w:t>
      </w:r>
      <w:bookmarkEnd w:id="47"/>
      <w:r>
        <w:rPr>
          <w:rFonts w:hint="eastAsia" w:ascii="宋体" w:hAnsi="宋体"/>
          <w:sz w:val="24"/>
          <w:highlight w:val="none"/>
        </w:rPr>
        <w:t>留存二份），招标人对合同内容进行审查，如发现与采购结果和投标承诺内容不一致的，予以纠正。</w:t>
      </w:r>
      <w:r>
        <w:rPr>
          <w:rFonts w:hint="eastAsia" w:ascii="宋体" w:hAnsi="宋体"/>
          <w:b/>
          <w:bCs/>
          <w:sz w:val="24"/>
          <w:highlight w:val="none"/>
          <w:u w:val="single"/>
          <w:shd w:val="pct10" w:color="auto" w:fill="FFFFFF"/>
        </w:rPr>
        <w:t>为营造更优质的营商环境，</w:t>
      </w:r>
      <w:bookmarkStart w:id="48" w:name="_Hlk59627623"/>
      <w:r>
        <w:rPr>
          <w:rFonts w:hint="eastAsia" w:ascii="宋体" w:hAnsi="宋体"/>
          <w:b/>
          <w:bCs/>
          <w:sz w:val="24"/>
          <w:highlight w:val="none"/>
          <w:u w:val="single"/>
          <w:shd w:val="pct10" w:color="auto" w:fill="FFFFFF"/>
        </w:rPr>
        <w:t>中标人可选择代理机构以邮寄方式向其寄达</w:t>
      </w:r>
      <w:bookmarkStart w:id="49" w:name="_Hlk59708805"/>
      <w:r>
        <w:rPr>
          <w:rFonts w:hint="eastAsia" w:ascii="宋体" w:hAnsi="宋体"/>
          <w:b/>
          <w:bCs/>
          <w:sz w:val="24"/>
          <w:highlight w:val="none"/>
          <w:u w:val="single"/>
          <w:shd w:val="pct10" w:color="auto" w:fill="FFFFFF"/>
        </w:rPr>
        <w:t>《采购合同》</w:t>
      </w:r>
      <w:bookmarkEnd w:id="49"/>
      <w:r>
        <w:rPr>
          <w:rFonts w:hint="eastAsia" w:ascii="宋体" w:hAnsi="宋体"/>
          <w:b/>
          <w:bCs/>
          <w:sz w:val="24"/>
          <w:highlight w:val="none"/>
          <w:u w:val="single"/>
          <w:shd w:val="pct10" w:color="auto" w:fill="FFFFFF"/>
        </w:rPr>
        <w:t>。</w:t>
      </w:r>
    </w:p>
    <w:bookmarkEnd w:id="48"/>
    <w:p w14:paraId="44E86588">
      <w:pPr>
        <w:spacing w:line="420" w:lineRule="exact"/>
        <w:ind w:firstLine="480" w:firstLineChars="200"/>
        <w:rPr>
          <w:rFonts w:ascii="宋体" w:hAnsi="宋体"/>
          <w:bCs/>
          <w:sz w:val="24"/>
          <w:highlight w:val="none"/>
        </w:rPr>
      </w:pPr>
      <w:r>
        <w:rPr>
          <w:rFonts w:hint="eastAsia" w:ascii="宋体" w:hAnsi="宋体"/>
          <w:sz w:val="24"/>
          <w:highlight w:val="none"/>
        </w:rPr>
        <w:t>2.中标或者成交人拒绝与招标人签订合同的，招标人可以按照评审报告推荐的中标或者成交候选人名单排序，确定下一候选人为中标或者成交人，也可</w:t>
      </w:r>
      <w:r>
        <w:rPr>
          <w:rFonts w:hint="eastAsia" w:ascii="宋体" w:hAnsi="宋体"/>
          <w:bCs/>
          <w:sz w:val="24"/>
          <w:highlight w:val="none"/>
        </w:rPr>
        <w:t>以重新开展采购活动。拒绝签订采购合同的成交人不得参加对该项目重新开展的采购活动。</w:t>
      </w:r>
    </w:p>
    <w:p w14:paraId="56DBFE52">
      <w:pPr>
        <w:snapToGrid w:val="0"/>
        <w:spacing w:line="400" w:lineRule="exact"/>
        <w:ind w:firstLine="482" w:firstLineChars="200"/>
        <w:jc w:val="center"/>
        <w:outlineLvl w:val="0"/>
        <w:rPr>
          <w:rFonts w:ascii="宋体" w:hAnsi="宋体"/>
          <w:b/>
          <w:sz w:val="30"/>
          <w:szCs w:val="30"/>
          <w:highlight w:val="none"/>
        </w:rPr>
      </w:pPr>
      <w:bookmarkStart w:id="50" w:name="_Toc466534750"/>
      <w:r>
        <w:rPr>
          <w:rFonts w:ascii="宋体" w:hAnsi="宋体"/>
          <w:b/>
          <w:sz w:val="24"/>
          <w:highlight w:val="none"/>
        </w:rPr>
        <w:br w:type="page"/>
      </w:r>
      <w:bookmarkStart w:id="51" w:name="_Toc29369"/>
      <w:bookmarkStart w:id="52" w:name="_Toc12691"/>
      <w:r>
        <w:rPr>
          <w:rFonts w:hint="eastAsia" w:ascii="宋体" w:hAnsi="宋体"/>
          <w:b/>
          <w:sz w:val="30"/>
          <w:szCs w:val="30"/>
          <w:highlight w:val="none"/>
        </w:rPr>
        <w:t>第四章  评标办法及评分标准</w:t>
      </w:r>
      <w:bookmarkEnd w:id="50"/>
      <w:bookmarkEnd w:id="51"/>
      <w:bookmarkEnd w:id="52"/>
    </w:p>
    <w:p w14:paraId="5EF453A0">
      <w:pPr>
        <w:snapToGrid w:val="0"/>
        <w:spacing w:line="420" w:lineRule="exact"/>
        <w:ind w:firstLine="480" w:firstLineChars="200"/>
        <w:rPr>
          <w:rFonts w:ascii="宋体" w:hAnsi="宋体"/>
          <w:sz w:val="24"/>
          <w:highlight w:val="none"/>
        </w:rPr>
      </w:pPr>
      <w:r>
        <w:rPr>
          <w:rFonts w:hint="eastAsia" w:ascii="宋体" w:hAnsi="宋体"/>
          <w:sz w:val="24"/>
          <w:highlight w:val="none"/>
        </w:rPr>
        <w:t>为公正、公平、科学地选择中标人，根据《中华人民共和国政府采购法》等有关法律法规的规定，并结合本项目的实际，制定本办法。</w:t>
      </w:r>
    </w:p>
    <w:p w14:paraId="0D6A77A7">
      <w:pPr>
        <w:spacing w:before="120" w:beforeLines="50" w:after="120" w:afterLines="50" w:line="360" w:lineRule="exact"/>
        <w:ind w:firstLine="472" w:firstLineChars="196"/>
        <w:rPr>
          <w:rFonts w:ascii="宋体" w:hAnsi="宋体"/>
          <w:b/>
          <w:sz w:val="24"/>
          <w:highlight w:val="none"/>
        </w:rPr>
      </w:pPr>
      <w:r>
        <w:rPr>
          <w:rFonts w:hint="eastAsia" w:ascii="宋体" w:hAnsi="宋体"/>
          <w:b/>
          <w:sz w:val="24"/>
          <w:highlight w:val="none"/>
        </w:rPr>
        <w:t>一、总则</w:t>
      </w:r>
    </w:p>
    <w:p w14:paraId="5B9DDCD1">
      <w:pPr>
        <w:spacing w:before="120" w:beforeLines="50" w:after="120" w:afterLines="50" w:line="400" w:lineRule="exact"/>
        <w:ind w:firstLine="480" w:firstLineChars="200"/>
        <w:rPr>
          <w:rFonts w:ascii="宋体" w:hAnsi="宋体"/>
          <w:bCs/>
          <w:sz w:val="24"/>
          <w:highlight w:val="none"/>
        </w:rPr>
      </w:pPr>
      <w:r>
        <w:rPr>
          <w:rFonts w:hint="eastAsia" w:ascii="宋体" w:hAnsi="宋体"/>
          <w:sz w:val="24"/>
          <w:highlight w:val="none"/>
        </w:rPr>
        <w:t>本次评标采用综合评分法，总分为100分，其中价格分</w:t>
      </w:r>
      <w:r>
        <w:rPr>
          <w:rFonts w:hint="eastAsia" w:ascii="宋体" w:hAnsi="宋体"/>
          <w:sz w:val="24"/>
          <w:highlight w:val="none"/>
          <w:lang w:val="en-US" w:eastAsia="zh-CN"/>
        </w:rPr>
        <w:t>20</w:t>
      </w:r>
      <w:r>
        <w:rPr>
          <w:rFonts w:hint="eastAsia" w:ascii="宋体" w:hAnsi="宋体"/>
          <w:sz w:val="24"/>
          <w:highlight w:val="none"/>
        </w:rPr>
        <w:t>分、</w:t>
      </w:r>
      <w:r>
        <w:rPr>
          <w:rFonts w:hint="eastAsia" w:ascii="宋体" w:hAnsi="宋体"/>
          <w:bCs/>
          <w:sz w:val="24"/>
          <w:highlight w:val="none"/>
        </w:rPr>
        <w:t>商务</w:t>
      </w:r>
      <w:r>
        <w:rPr>
          <w:rFonts w:hint="eastAsia" w:ascii="宋体" w:hAnsi="宋体"/>
          <w:sz w:val="24"/>
          <w:highlight w:val="none"/>
        </w:rPr>
        <w:t>技术分</w:t>
      </w:r>
      <w:r>
        <w:rPr>
          <w:rFonts w:hint="eastAsia" w:ascii="宋体" w:hAnsi="宋体"/>
          <w:sz w:val="24"/>
          <w:highlight w:val="none"/>
          <w:lang w:val="en-US" w:eastAsia="zh-CN"/>
        </w:rPr>
        <w:t>80</w:t>
      </w:r>
      <w:r>
        <w:rPr>
          <w:rFonts w:hint="eastAsia" w:ascii="宋体" w:hAnsi="宋体"/>
          <w:sz w:val="24"/>
          <w:highlight w:val="none"/>
        </w:rPr>
        <w:t>分两部分。合格供应商的评标得分为各项目汇总得分，成交候选资格按评标得分由高到低顺序排列，得分相同的，按投标报价由低到高顺序排列；得分且投标报价相同的，按技术得分由高到低顺序排列。</w:t>
      </w:r>
      <w:r>
        <w:rPr>
          <w:rFonts w:hint="eastAsia" w:ascii="宋体" w:hAnsi="宋体"/>
          <w:b/>
          <w:bCs/>
          <w:sz w:val="24"/>
          <w:highlight w:val="none"/>
        </w:rPr>
        <w:t>排名第一的供应商为成交候选人,排名第二的供应商为候补成交候选人。</w:t>
      </w:r>
      <w:r>
        <w:rPr>
          <w:rFonts w:hint="eastAsia" w:ascii="宋体" w:hAnsi="宋体"/>
          <w:bCs/>
          <w:sz w:val="24"/>
          <w:highlight w:val="none"/>
        </w:rPr>
        <w:t>评分过程中采用四舍五入法，并保留小数2位。</w:t>
      </w:r>
    </w:p>
    <w:p w14:paraId="2542D637">
      <w:pPr>
        <w:spacing w:before="120" w:beforeLines="50" w:after="120" w:afterLines="50" w:line="400" w:lineRule="exact"/>
        <w:ind w:firstLine="480" w:firstLineChars="200"/>
        <w:rPr>
          <w:rFonts w:ascii="宋体" w:hAnsi="宋体"/>
          <w:sz w:val="24"/>
          <w:highlight w:val="none"/>
        </w:rPr>
      </w:pPr>
      <w:r>
        <w:rPr>
          <w:rFonts w:hint="eastAsia" w:ascii="宋体" w:hAnsi="宋体"/>
          <w:sz w:val="24"/>
          <w:highlight w:val="none"/>
        </w:rPr>
        <w:t>供应商评标</w:t>
      </w:r>
      <w:r>
        <w:rPr>
          <w:rFonts w:hint="eastAsia" w:ascii="宋体" w:hAnsi="宋体"/>
          <w:bCs/>
          <w:sz w:val="24"/>
          <w:highlight w:val="none"/>
        </w:rPr>
        <w:t>综合得分=价格分+商务技术分</w:t>
      </w:r>
    </w:p>
    <w:p w14:paraId="59057BFA">
      <w:pPr>
        <w:spacing w:before="120" w:beforeLines="50" w:after="120" w:afterLines="50" w:line="400" w:lineRule="exact"/>
        <w:ind w:firstLine="482" w:firstLineChars="200"/>
        <w:rPr>
          <w:rFonts w:ascii="宋体" w:hAnsi="宋体"/>
          <w:b/>
          <w:sz w:val="24"/>
          <w:highlight w:val="none"/>
        </w:rPr>
      </w:pPr>
      <w:bookmarkStart w:id="53" w:name="_Toc5159"/>
      <w:r>
        <w:rPr>
          <w:rFonts w:hint="eastAsia" w:ascii="宋体" w:hAnsi="宋体"/>
          <w:b/>
          <w:sz w:val="24"/>
          <w:highlight w:val="none"/>
        </w:rPr>
        <w:t>二、评标内容及标准</w:t>
      </w:r>
      <w:bookmarkEnd w:id="53"/>
    </w:p>
    <w:p w14:paraId="02193108">
      <w:pPr>
        <w:pStyle w:val="23"/>
        <w:spacing w:before="120" w:beforeLines="50" w:after="120" w:afterLines="50" w:line="400" w:lineRule="exact"/>
        <w:ind w:firstLine="466" w:firstLineChars="200"/>
        <w:rPr>
          <w:rFonts w:hAnsi="宋体"/>
          <w:b/>
          <w:bCs/>
          <w:sz w:val="24"/>
          <w:szCs w:val="24"/>
          <w:highlight w:val="none"/>
        </w:rPr>
      </w:pPr>
      <w:r>
        <w:rPr>
          <w:rFonts w:hint="eastAsia" w:hAnsi="宋体"/>
          <w:b/>
          <w:sz w:val="24"/>
          <w:szCs w:val="24"/>
          <w:highlight w:val="none"/>
        </w:rPr>
        <w:t>（一）</w:t>
      </w:r>
      <w:r>
        <w:rPr>
          <w:rFonts w:hint="eastAsia" w:hAnsi="宋体"/>
          <w:b/>
          <w:bCs/>
          <w:sz w:val="24"/>
          <w:szCs w:val="24"/>
          <w:highlight w:val="none"/>
        </w:rPr>
        <w:t>价格分（</w:t>
      </w:r>
      <w:r>
        <w:rPr>
          <w:rFonts w:hint="eastAsia" w:hAnsi="宋体"/>
          <w:b/>
          <w:bCs/>
          <w:sz w:val="24"/>
          <w:szCs w:val="24"/>
          <w:highlight w:val="none"/>
          <w:lang w:val="en-US" w:eastAsia="zh-CN"/>
        </w:rPr>
        <w:t>20</w:t>
      </w:r>
      <w:r>
        <w:rPr>
          <w:rFonts w:hint="eastAsia" w:hAnsi="宋体"/>
          <w:b/>
          <w:bCs/>
          <w:sz w:val="24"/>
          <w:szCs w:val="24"/>
          <w:highlight w:val="none"/>
        </w:rPr>
        <w:t>分）</w:t>
      </w:r>
    </w:p>
    <w:p w14:paraId="31AF7035">
      <w:pPr>
        <w:pStyle w:val="23"/>
        <w:spacing w:before="120" w:beforeLines="50" w:after="120" w:afterLines="50" w:line="400" w:lineRule="exact"/>
        <w:ind w:firstLine="464" w:firstLineChars="200"/>
        <w:rPr>
          <w:rFonts w:hAnsi="宋体"/>
          <w:bCs/>
          <w:sz w:val="24"/>
          <w:szCs w:val="24"/>
          <w:highlight w:val="none"/>
        </w:rPr>
      </w:pPr>
      <w:r>
        <w:rPr>
          <w:rFonts w:hint="eastAsia" w:hAnsi="宋体"/>
          <w:bCs/>
          <w:sz w:val="24"/>
          <w:szCs w:val="24"/>
          <w:highlight w:val="none"/>
        </w:rPr>
        <w:t>1.价格分采用低价优先法计算，即满足磋商文件要求且投标价格最低的投标报价为评标基准价，其他供应商的价格分按照下列公式计算：</w:t>
      </w:r>
    </w:p>
    <w:p w14:paraId="6EB40B91">
      <w:pPr>
        <w:spacing w:before="120" w:beforeLines="50" w:after="120" w:afterLines="50" w:line="400" w:lineRule="exact"/>
        <w:ind w:firstLine="480" w:firstLineChars="200"/>
        <w:rPr>
          <w:rFonts w:ascii="宋体" w:hAnsi="宋体"/>
          <w:sz w:val="24"/>
          <w:highlight w:val="none"/>
        </w:rPr>
      </w:pPr>
      <w:r>
        <w:rPr>
          <w:rFonts w:hint="eastAsia" w:ascii="宋体" w:hAnsi="宋体"/>
          <w:sz w:val="24"/>
          <w:highlight w:val="none"/>
        </w:rPr>
        <w:t>价格分=（评标基准价/投标报价）×</w:t>
      </w:r>
      <w:r>
        <w:rPr>
          <w:rFonts w:hint="eastAsia" w:ascii="宋体" w:hAnsi="宋体"/>
          <w:sz w:val="24"/>
          <w:highlight w:val="none"/>
          <w:lang w:val="en-US" w:eastAsia="zh-CN"/>
        </w:rPr>
        <w:t>20</w:t>
      </w:r>
      <w:r>
        <w:rPr>
          <w:rFonts w:hint="eastAsia" w:ascii="宋体" w:hAnsi="宋体"/>
          <w:sz w:val="24"/>
          <w:highlight w:val="none"/>
        </w:rPr>
        <w:t>%×100</w:t>
      </w:r>
    </w:p>
    <w:p w14:paraId="5E1CD4F2">
      <w:pPr>
        <w:spacing w:before="120" w:beforeLines="50" w:after="120" w:afterLines="50" w:line="400" w:lineRule="exact"/>
        <w:ind w:firstLine="482" w:firstLineChars="200"/>
        <w:rPr>
          <w:rFonts w:ascii="宋体" w:hAnsi="宋体"/>
          <w:b/>
          <w:sz w:val="24"/>
          <w:highlight w:val="none"/>
        </w:rPr>
      </w:pPr>
      <w:r>
        <w:rPr>
          <w:rFonts w:hint="eastAsia" w:ascii="宋体" w:hAnsi="宋体"/>
          <w:b/>
          <w:bCs/>
          <w:sz w:val="24"/>
          <w:highlight w:val="none"/>
        </w:rPr>
        <w:t>（二）商务</w:t>
      </w:r>
      <w:r>
        <w:rPr>
          <w:rFonts w:hint="eastAsia" w:ascii="宋体" w:hAnsi="宋体"/>
          <w:b/>
          <w:sz w:val="24"/>
          <w:highlight w:val="none"/>
        </w:rPr>
        <w:t>技术分（</w:t>
      </w:r>
      <w:r>
        <w:rPr>
          <w:rFonts w:hint="eastAsia" w:ascii="宋体" w:hAnsi="宋体"/>
          <w:b/>
          <w:sz w:val="24"/>
          <w:highlight w:val="none"/>
          <w:lang w:val="en-US" w:eastAsia="zh-CN"/>
        </w:rPr>
        <w:t>80</w:t>
      </w:r>
      <w:r>
        <w:rPr>
          <w:rFonts w:hint="eastAsia" w:ascii="宋体" w:hAnsi="宋体"/>
          <w:b/>
          <w:sz w:val="24"/>
          <w:highlight w:val="none"/>
        </w:rPr>
        <w:t>分）</w:t>
      </w:r>
    </w:p>
    <w:p w14:paraId="3E214EA0">
      <w:pPr>
        <w:spacing w:line="400" w:lineRule="exact"/>
        <w:ind w:firstLine="480" w:firstLineChars="200"/>
        <w:rPr>
          <w:rFonts w:hAnsi="宋体"/>
          <w:sz w:val="24"/>
          <w:highlight w:val="none"/>
          <w:lang w:val="zh-CN"/>
        </w:rPr>
      </w:pPr>
      <w:r>
        <w:rPr>
          <w:rFonts w:hint="eastAsia" w:hAnsi="宋体"/>
          <w:sz w:val="24"/>
          <w:highlight w:val="none"/>
          <w:lang w:val="zh-CN"/>
        </w:rPr>
        <w:t>磋商小组对通过符合性审查的供应商的投标技术参数或方案充分审核后，进行综合评定独立打分。</w:t>
      </w:r>
    </w:p>
    <w:tbl>
      <w:tblPr>
        <w:tblStyle w:val="53"/>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1"/>
        <w:gridCol w:w="1949"/>
        <w:gridCol w:w="685"/>
        <w:gridCol w:w="6370"/>
      </w:tblGrid>
      <w:tr w14:paraId="5142D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85DF8">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AC813">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评分内容</w:t>
            </w: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49A44C">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分值</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A6237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评分方法</w:t>
            </w:r>
          </w:p>
        </w:tc>
      </w:tr>
      <w:tr w14:paraId="366D4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C3A883">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43197B">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资质证书</w:t>
            </w: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D74B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D81D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投标人具备ISO27001信息安全管理体系认证证书、ISO29151个人数据隐私保护管理体系证书、ISO22301业务连续管理体系认证证书每提供一项的得</w:t>
            </w: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分，本</w:t>
            </w:r>
            <w:r>
              <w:rPr>
                <w:rFonts w:hint="eastAsia" w:ascii="宋体" w:hAnsi="宋体" w:cs="宋体"/>
                <w:i w:val="0"/>
                <w:iCs w:val="0"/>
                <w:color w:val="000000"/>
                <w:kern w:val="0"/>
                <w:sz w:val="24"/>
                <w:szCs w:val="24"/>
                <w:u w:val="none"/>
                <w:lang w:val="en-US" w:eastAsia="zh-CN" w:bidi="ar"/>
              </w:rPr>
              <w:t>项</w:t>
            </w:r>
            <w:r>
              <w:rPr>
                <w:rFonts w:hint="eastAsia" w:ascii="宋体" w:hAnsi="宋体" w:eastAsia="宋体" w:cs="宋体"/>
                <w:i w:val="0"/>
                <w:iCs w:val="0"/>
                <w:color w:val="000000"/>
                <w:kern w:val="0"/>
                <w:sz w:val="24"/>
                <w:szCs w:val="24"/>
                <w:u w:val="none"/>
                <w:lang w:val="en-US" w:eastAsia="zh-CN" w:bidi="ar"/>
              </w:rPr>
              <w:t>最高</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说明：根据投标文件中提供的加盖投标人公章的有效证书进行评分，未提供或不符合以上条件不得分。</w:t>
            </w:r>
          </w:p>
        </w:tc>
      </w:tr>
      <w:tr w14:paraId="23474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D255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2</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56DB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业绩</w:t>
            </w: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B784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2</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1642B">
            <w:pPr>
              <w:jc w:val="left"/>
              <w:rPr>
                <w:rFonts w:ascii="宋体" w:hAnsi="宋体"/>
                <w:b/>
                <w:bCs/>
                <w:sz w:val="24"/>
                <w:u w:val="single"/>
                <w:shd w:val="pct10" w:color="auto" w:fill="FFFFFF"/>
              </w:rPr>
            </w:pPr>
            <w:r>
              <w:rPr>
                <w:rFonts w:hint="eastAsia" w:ascii="宋体" w:hAnsi="宋体" w:eastAsia="宋体" w:cs="宋体"/>
                <w:i w:val="0"/>
                <w:iCs w:val="0"/>
                <w:color w:val="000000"/>
                <w:kern w:val="0"/>
                <w:sz w:val="24"/>
                <w:szCs w:val="24"/>
                <w:u w:val="none"/>
                <w:lang w:val="en-US" w:eastAsia="zh-CN" w:bidi="ar"/>
              </w:rPr>
              <w:t>提供2023年1月1日（以合同签订时间为准）以来实施的类似服务项目业绩的，每提供1个得</w:t>
            </w: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分，最高得</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b/>
                <w:bCs/>
                <w:sz w:val="24"/>
                <w:u w:val="single"/>
                <w:shd w:val="pct10" w:color="auto" w:fill="FFFFFF"/>
              </w:rPr>
              <w:t>备注：</w:t>
            </w:r>
          </w:p>
          <w:p w14:paraId="2B7D4206">
            <w:pPr>
              <w:jc w:val="left"/>
              <w:rPr>
                <w:rFonts w:ascii="宋体" w:hAnsi="宋体"/>
                <w:b/>
                <w:bCs/>
                <w:sz w:val="24"/>
                <w:u w:val="single"/>
                <w:shd w:val="pct10" w:color="auto" w:fill="FFFFFF"/>
              </w:rPr>
            </w:pPr>
            <w:r>
              <w:rPr>
                <w:rFonts w:ascii="宋体" w:hAnsi="宋体"/>
                <w:b/>
                <w:bCs/>
                <w:sz w:val="24"/>
                <w:u w:val="single"/>
                <w:shd w:val="pct10" w:color="auto" w:fill="FFFFFF"/>
              </w:rPr>
              <w:t>1</w:t>
            </w:r>
            <w:r>
              <w:rPr>
                <w:rFonts w:hint="eastAsia" w:ascii="宋体" w:hAnsi="宋体"/>
                <w:b/>
                <w:bCs/>
                <w:sz w:val="24"/>
                <w:u w:val="single"/>
                <w:shd w:val="pct10" w:color="auto" w:fill="FFFFFF"/>
              </w:rPr>
              <w:t>、合同业绩须为本次投标人的业绩，投标人的独立法人子公司、参股公司的业绩均不予认可。</w:t>
            </w:r>
          </w:p>
          <w:p w14:paraId="002939E3">
            <w:pPr>
              <w:jc w:val="left"/>
              <w:rPr>
                <w:rFonts w:hint="eastAsia" w:ascii="宋体" w:hAnsi="宋体"/>
                <w:b/>
                <w:bCs/>
                <w:sz w:val="24"/>
                <w:u w:val="single"/>
                <w:shd w:val="pct10" w:color="auto" w:fill="FFFFFF"/>
              </w:rPr>
            </w:pPr>
            <w:r>
              <w:rPr>
                <w:rFonts w:ascii="宋体" w:hAnsi="宋体"/>
                <w:b/>
                <w:bCs/>
                <w:sz w:val="24"/>
                <w:u w:val="single"/>
                <w:shd w:val="pct10" w:color="auto" w:fill="FFFFFF"/>
              </w:rPr>
              <w:t>2</w:t>
            </w:r>
            <w:r>
              <w:rPr>
                <w:rFonts w:hint="eastAsia" w:ascii="宋体" w:hAnsi="宋体"/>
                <w:b/>
                <w:bCs/>
                <w:sz w:val="24"/>
                <w:u w:val="single"/>
                <w:shd w:val="pct10" w:color="auto" w:fill="FFFFFF"/>
              </w:rPr>
              <w:t>、投标文件中须提供清晰可辨的合同扫描件</w:t>
            </w:r>
          </w:p>
          <w:p w14:paraId="3E81D1E8">
            <w:pPr>
              <w:jc w:val="left"/>
              <w:rPr>
                <w:rFonts w:hint="eastAsia" w:ascii="宋体" w:hAnsi="宋体" w:eastAsia="宋体" w:cs="宋体"/>
                <w:i w:val="0"/>
                <w:iCs w:val="0"/>
                <w:color w:val="000000"/>
                <w:sz w:val="24"/>
                <w:szCs w:val="24"/>
                <w:u w:val="none"/>
              </w:rPr>
            </w:pPr>
            <w:r>
              <w:rPr>
                <w:rFonts w:ascii="宋体" w:hAnsi="宋体"/>
                <w:b/>
                <w:bCs/>
                <w:sz w:val="24"/>
                <w:u w:val="single"/>
                <w:shd w:val="pct10" w:color="auto" w:fill="FFFFFF"/>
              </w:rPr>
              <w:t>3</w:t>
            </w:r>
            <w:r>
              <w:rPr>
                <w:rFonts w:hint="eastAsia" w:ascii="宋体" w:hAnsi="宋体"/>
                <w:b/>
                <w:bCs/>
                <w:sz w:val="24"/>
                <w:u w:val="single"/>
                <w:shd w:val="pct10" w:color="auto" w:fill="FFFFFF"/>
              </w:rPr>
              <w:t>、如投标人提供的合同扫描件因模糊不清</w:t>
            </w:r>
            <w:r>
              <w:rPr>
                <w:rFonts w:hint="eastAsia" w:hAnsi="宋体"/>
                <w:b/>
                <w:sz w:val="24"/>
                <w:u w:val="single"/>
                <w:shd w:val="pct10" w:color="auto" w:fill="FFFFFF"/>
              </w:rPr>
              <w:t>或一些影响评分的重要内容缺失或不够明确</w:t>
            </w:r>
            <w:r>
              <w:rPr>
                <w:rFonts w:hint="eastAsia" w:ascii="宋体" w:hAnsi="宋体"/>
                <w:b/>
                <w:bCs/>
                <w:sz w:val="24"/>
                <w:u w:val="single"/>
                <w:shd w:val="pct10" w:color="auto" w:fill="FFFFFF"/>
              </w:rPr>
              <w:t>而造成评标委员会在评审时做出对投标人不利的评审由投标人自行承担。</w:t>
            </w:r>
          </w:p>
        </w:tc>
      </w:tr>
      <w:tr w14:paraId="38D9C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18" w:type="pct"/>
            <w:tcBorders>
              <w:top w:val="single" w:color="000000" w:sz="4" w:space="0"/>
              <w:left w:val="single" w:color="000000" w:sz="4" w:space="0"/>
              <w:bottom w:val="single" w:color="auto" w:sz="4" w:space="0"/>
              <w:right w:val="single" w:color="000000" w:sz="4" w:space="0"/>
            </w:tcBorders>
            <w:shd w:val="clear" w:color="auto" w:fill="auto"/>
            <w:vAlign w:val="center"/>
          </w:tcPr>
          <w:p w14:paraId="7A9C21A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3</w:t>
            </w:r>
          </w:p>
        </w:tc>
        <w:tc>
          <w:tcPr>
            <w:tcW w:w="1013" w:type="pct"/>
            <w:tcBorders>
              <w:top w:val="single" w:color="000000" w:sz="4" w:space="0"/>
              <w:left w:val="single" w:color="000000" w:sz="4" w:space="0"/>
              <w:bottom w:val="single" w:color="auto" w:sz="4" w:space="0"/>
              <w:right w:val="single" w:color="000000" w:sz="4" w:space="0"/>
            </w:tcBorders>
            <w:shd w:val="clear" w:color="auto" w:fill="auto"/>
            <w:vAlign w:val="center"/>
          </w:tcPr>
          <w:p w14:paraId="7D7B278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技术方案</w:t>
            </w:r>
          </w:p>
        </w:tc>
        <w:tc>
          <w:tcPr>
            <w:tcW w:w="356" w:type="pct"/>
            <w:tcBorders>
              <w:top w:val="single" w:color="000000" w:sz="4" w:space="0"/>
              <w:left w:val="single" w:color="000000" w:sz="4" w:space="0"/>
              <w:bottom w:val="single" w:color="auto" w:sz="4" w:space="0"/>
              <w:right w:val="single" w:color="000000" w:sz="4" w:space="0"/>
            </w:tcBorders>
            <w:shd w:val="clear" w:color="auto" w:fill="auto"/>
            <w:vAlign w:val="center"/>
          </w:tcPr>
          <w:p w14:paraId="49AE595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2E163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项目理解及需求分析：</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1）投标人应对国家局医疗保障信息平台建设理解方案打分，不限于总体设计思路、总体技术架构、标准规范、中台服务设计、应用系统建设内容。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①有明确的国家局医疗保障信息平台建设情况的理解方案，有详细的总体设计思路、总体技术架构、标准规范、中台服务设计、应用系统建设的说明理解，所述内容齐全，方案切实可行得6-8分；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②有较明确的国家局医疗保障信息平台建设情况的理解方案，但所述内容缺少个别内容的理解得4-5.9分；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③有提供理解方案，方案内容缺漏相对较多得2-3.9分；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④方案内容简略得0-1.9分；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2）投标人应对浙江省“智慧医保”平台建设有着深入的理解，不限于信息系统装备和应用现状、业务需求分析、平台总体架构设计、总体业务架构设计、总体数据架构设计内容。</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①有明确的“智慧医保”现状、需求、平台架构、总体业务设计、总体数据架构设计方案内容，所述内容符合实际情况得6-8分；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②有较明确的方案内容，方案基本符合“智慧医保”实际内容但有个别缺漏的得4-5.9分；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③有方案，但方案内容缺漏较多得2-3.9分；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④方案内容不够明确且内容简略得0-1.9分。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3）对本项目的建设服务需求有着深入理解和分析，对决策服务专区有着深入理解和分析进行综合评分。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①服务需求深入理解、内容完全符合实际需求并能提供相关证明材料得6-8分；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②有较明确的应需求内容分析，方案基本满足需求，无法提供相关证明，3-5.9分；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③方案内容简略，无法提供相关证明，0-2.9分；</w:t>
            </w:r>
          </w:p>
        </w:tc>
      </w:tr>
      <w:tr w14:paraId="0C87A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18" w:type="pct"/>
            <w:tcBorders>
              <w:top w:val="single" w:color="000000" w:sz="4" w:space="0"/>
              <w:left w:val="single" w:color="000000" w:sz="4" w:space="0"/>
              <w:bottom w:val="single" w:color="auto" w:sz="4" w:space="0"/>
              <w:right w:val="single" w:color="000000" w:sz="4" w:space="0"/>
            </w:tcBorders>
            <w:shd w:val="clear" w:color="auto" w:fill="auto"/>
            <w:vAlign w:val="center"/>
          </w:tcPr>
          <w:p w14:paraId="1412F429">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013" w:type="pct"/>
            <w:tcBorders>
              <w:top w:val="single" w:color="000000" w:sz="4" w:space="0"/>
              <w:left w:val="single" w:color="000000" w:sz="4" w:space="0"/>
              <w:bottom w:val="single" w:color="auto" w:sz="4" w:space="0"/>
              <w:right w:val="single" w:color="000000" w:sz="4" w:space="0"/>
            </w:tcBorders>
            <w:shd w:val="clear" w:color="auto" w:fill="auto"/>
            <w:vAlign w:val="center"/>
          </w:tcPr>
          <w:p w14:paraId="6FB9EDA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运维服务团队</w:t>
            </w:r>
          </w:p>
        </w:tc>
        <w:tc>
          <w:tcPr>
            <w:tcW w:w="356" w:type="pct"/>
            <w:tcBorders>
              <w:top w:val="single" w:color="000000" w:sz="4" w:space="0"/>
              <w:left w:val="single" w:color="000000" w:sz="4" w:space="0"/>
              <w:bottom w:val="single" w:color="auto" w:sz="4" w:space="0"/>
              <w:right w:val="single" w:color="000000" w:sz="4" w:space="0"/>
            </w:tcBorders>
            <w:shd w:val="clear" w:color="auto" w:fill="auto"/>
            <w:vAlign w:val="center"/>
          </w:tcPr>
          <w:p w14:paraId="4390580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962E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both"/>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投标方提供服务团队其中服务经理需具备丰富的项目服务管理和信息化标准解读能力，满足以下条件：信息系统项目管理师证书（高级）、大数据分析师（高级）、数据库系统工程师（中级）、国家信息安全水平证书（一级）、软件设计师（中级），每</w:t>
            </w:r>
            <w:r>
              <w:rPr>
                <w:rFonts w:hint="eastAsia" w:ascii="宋体" w:hAnsi="宋体" w:cs="宋体"/>
                <w:i w:val="0"/>
                <w:iCs w:val="0"/>
                <w:color w:val="000000"/>
                <w:kern w:val="0"/>
                <w:sz w:val="24"/>
                <w:szCs w:val="24"/>
                <w:u w:val="none"/>
                <w:lang w:val="en-US" w:eastAsia="zh-CN" w:bidi="ar"/>
              </w:rPr>
              <w:t>提供一本证书得0.5</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cs="宋体"/>
                <w:i w:val="0"/>
                <w:iCs w:val="0"/>
                <w:color w:val="000000"/>
                <w:kern w:val="0"/>
                <w:sz w:val="24"/>
                <w:szCs w:val="24"/>
                <w:u w:val="none"/>
                <w:lang w:val="en-US" w:eastAsia="zh-CN" w:bidi="ar"/>
              </w:rPr>
              <w:t>，最高得2.5分</w:t>
            </w:r>
            <w:r>
              <w:rPr>
                <w:rFonts w:hint="eastAsia" w:ascii="宋体" w:hAnsi="宋体" w:eastAsia="宋体" w:cs="宋体"/>
                <w:i w:val="0"/>
                <w:iCs w:val="0"/>
                <w:color w:val="000000"/>
                <w:kern w:val="0"/>
                <w:sz w:val="24"/>
                <w:szCs w:val="24"/>
                <w:u w:val="none"/>
                <w:lang w:val="en-US" w:eastAsia="zh-CN" w:bidi="ar"/>
              </w:rPr>
              <w:t>。</w:t>
            </w:r>
          </w:p>
          <w:p w14:paraId="58B0E5D8">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both"/>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2、投标方提供服务团队中技术负责人具备信息系统项目管理师（高级）、大数据分析师（高级）、数据库工程师（高级）、网络信息安全工程师（高级）、注册信息安全工程师（CISE），每</w:t>
            </w:r>
            <w:r>
              <w:rPr>
                <w:rFonts w:hint="eastAsia" w:ascii="宋体" w:hAnsi="宋体" w:cs="宋体"/>
                <w:i w:val="0"/>
                <w:iCs w:val="0"/>
                <w:color w:val="000000"/>
                <w:kern w:val="0"/>
                <w:sz w:val="24"/>
                <w:szCs w:val="24"/>
                <w:u w:val="none"/>
                <w:lang w:val="en-US" w:eastAsia="zh-CN" w:bidi="ar"/>
              </w:rPr>
              <w:t>提供一本证书得0.5</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cs="宋体"/>
                <w:i w:val="0"/>
                <w:iCs w:val="0"/>
                <w:color w:val="000000"/>
                <w:kern w:val="0"/>
                <w:sz w:val="24"/>
                <w:szCs w:val="24"/>
                <w:u w:val="none"/>
                <w:lang w:val="en-US" w:eastAsia="zh-CN" w:bidi="ar"/>
              </w:rPr>
              <w:t>，最高得2.5分</w:t>
            </w:r>
            <w:r>
              <w:rPr>
                <w:rFonts w:hint="eastAsia" w:ascii="宋体" w:hAnsi="宋体" w:eastAsia="宋体" w:cs="宋体"/>
                <w:i w:val="0"/>
                <w:iCs w:val="0"/>
                <w:color w:val="000000"/>
                <w:kern w:val="0"/>
                <w:sz w:val="24"/>
                <w:szCs w:val="24"/>
                <w:u w:val="none"/>
                <w:lang w:val="en-US" w:eastAsia="zh-CN" w:bidi="ar"/>
              </w:rPr>
              <w:t>。</w:t>
            </w:r>
          </w:p>
          <w:p w14:paraId="7B03965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3、服务团队（除服务经理、技术负责人）具备信息安全工程师（中级）、大数据分析师（高级）、软件工程师（高级）、信息系统项目管理师（高级）、国家信息安全水平证书（一级）证书，每</w:t>
            </w:r>
            <w:r>
              <w:rPr>
                <w:rFonts w:hint="eastAsia" w:ascii="宋体" w:hAnsi="宋体" w:cs="宋体"/>
                <w:i w:val="0"/>
                <w:iCs w:val="0"/>
                <w:color w:val="000000"/>
                <w:kern w:val="0"/>
                <w:sz w:val="24"/>
                <w:szCs w:val="24"/>
                <w:u w:val="none"/>
                <w:lang w:val="en-US" w:eastAsia="zh-CN" w:bidi="ar"/>
              </w:rPr>
              <w:t>提供一本证书得1分，最高得5分</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备注：</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1、所有证书必须真实、合规，在有效期内，投标文件中须提供清晰可辨的证书扫描件。</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2、上述证书必须由人社部或工信部及其下属机构或中国信息安全测评中心颁发。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3、提供由投标人为上述人员缴纳的近3个月的社保缴纳证明材料（如为社会保险机构盖章的网上打印件亦可），未按上述规定提供资料的不得分。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4、如投标人提供的资料扫描件因模糊不清或一些影响评分的重要内容缺失或不够明确而造成评标委员会在评审时做出对投标人不利的评审由投标人自行承担。</w:t>
            </w:r>
          </w:p>
        </w:tc>
      </w:tr>
      <w:tr w14:paraId="10D8F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1" w:hRule="atLeast"/>
        </w:trPr>
        <w:tc>
          <w:tcPr>
            <w:tcW w:w="318" w:type="pct"/>
            <w:tcBorders>
              <w:top w:val="single" w:color="auto" w:sz="4" w:space="0"/>
              <w:left w:val="single" w:color="000000" w:sz="4" w:space="0"/>
              <w:bottom w:val="single" w:color="auto" w:sz="4" w:space="0"/>
              <w:right w:val="single" w:color="000000" w:sz="4" w:space="0"/>
            </w:tcBorders>
            <w:shd w:val="clear" w:color="auto" w:fill="auto"/>
            <w:vAlign w:val="center"/>
          </w:tcPr>
          <w:p w14:paraId="0FF6ABF5">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5</w:t>
            </w:r>
          </w:p>
        </w:tc>
        <w:tc>
          <w:tcPr>
            <w:tcW w:w="1013" w:type="pct"/>
            <w:tcBorders>
              <w:top w:val="single" w:color="auto" w:sz="4" w:space="0"/>
              <w:left w:val="single" w:color="000000" w:sz="4" w:space="0"/>
              <w:bottom w:val="single" w:color="auto" w:sz="4" w:space="0"/>
              <w:right w:val="single" w:color="000000" w:sz="4" w:space="0"/>
            </w:tcBorders>
            <w:shd w:val="clear" w:color="auto" w:fill="auto"/>
            <w:vAlign w:val="center"/>
          </w:tcPr>
          <w:p w14:paraId="7A0FA98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措施方案</w:t>
            </w:r>
          </w:p>
        </w:tc>
        <w:tc>
          <w:tcPr>
            <w:tcW w:w="356" w:type="pct"/>
            <w:tcBorders>
              <w:top w:val="single" w:color="auto" w:sz="4" w:space="0"/>
              <w:left w:val="single" w:color="000000" w:sz="4" w:space="0"/>
              <w:bottom w:val="single" w:color="000000" w:sz="4" w:space="0"/>
              <w:right w:val="single" w:color="000000" w:sz="4" w:space="0"/>
            </w:tcBorders>
            <w:shd w:val="clear" w:color="auto" w:fill="auto"/>
            <w:vAlign w:val="center"/>
          </w:tcPr>
          <w:p w14:paraId="55486BF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311" w:type="pct"/>
            <w:tcBorders>
              <w:top w:val="single" w:color="000000" w:sz="4" w:space="0"/>
              <w:left w:val="single" w:color="000000" w:sz="4" w:space="0"/>
              <w:right w:val="single" w:color="000000" w:sz="4" w:space="0"/>
            </w:tcBorders>
            <w:shd w:val="clear" w:color="auto" w:fill="auto"/>
            <w:vAlign w:val="center"/>
          </w:tcPr>
          <w:p w14:paraId="7185031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供应商按采购人要求有明确的质量目标，质量保证措施，并提供详细可行的措施方案。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①方案内容明确，结合项目展开描述并有具体的措施得4.1-6分；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②有较明确的质量保证方案内容，方案基本满足需求2.1-4分；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③方案内容简略得0-2分；</w:t>
            </w:r>
          </w:p>
        </w:tc>
      </w:tr>
      <w:tr w14:paraId="4BA0C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18" w:type="pct"/>
            <w:tcBorders>
              <w:top w:val="single" w:color="auto" w:sz="4" w:space="0"/>
              <w:left w:val="single" w:color="000000" w:sz="4" w:space="0"/>
              <w:bottom w:val="single" w:color="000000" w:sz="4" w:space="0"/>
              <w:right w:val="single" w:color="000000" w:sz="4" w:space="0"/>
            </w:tcBorders>
            <w:shd w:val="clear" w:color="auto" w:fill="auto"/>
            <w:vAlign w:val="center"/>
          </w:tcPr>
          <w:p w14:paraId="18FEACED">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6</w:t>
            </w:r>
          </w:p>
        </w:tc>
        <w:tc>
          <w:tcPr>
            <w:tcW w:w="1013" w:type="pct"/>
            <w:tcBorders>
              <w:top w:val="single" w:color="auto" w:sz="4" w:space="0"/>
              <w:left w:val="single" w:color="000000" w:sz="4" w:space="0"/>
              <w:bottom w:val="single" w:color="000000" w:sz="4" w:space="0"/>
              <w:right w:val="single" w:color="000000" w:sz="4" w:space="0"/>
            </w:tcBorders>
            <w:shd w:val="clear" w:color="auto" w:fill="auto"/>
            <w:vAlign w:val="center"/>
          </w:tcPr>
          <w:p w14:paraId="14DA3CD3">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rPr>
                <w:rFonts w:hint="default"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应急预案</w:t>
            </w:r>
          </w:p>
        </w:tc>
        <w:tc>
          <w:tcPr>
            <w:tcW w:w="356" w:type="pct"/>
            <w:tcBorders>
              <w:top w:val="single" w:color="auto" w:sz="4" w:space="0"/>
              <w:left w:val="single" w:color="000000" w:sz="4" w:space="0"/>
              <w:bottom w:val="single" w:color="000000" w:sz="4" w:space="0"/>
              <w:right w:val="single" w:color="000000" w:sz="4" w:space="0"/>
            </w:tcBorders>
            <w:shd w:val="clear" w:color="auto" w:fill="auto"/>
            <w:vAlign w:val="center"/>
          </w:tcPr>
          <w:p w14:paraId="0C2AFFC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660AA3">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根据投标人是否建立运行服务保障应急预案，方案针对</w:t>
            </w:r>
            <w:r>
              <w:rPr>
                <w:rFonts w:hint="eastAsia" w:ascii="宋体" w:hAnsi="宋体" w:cs="宋体"/>
                <w:i w:val="0"/>
                <w:iCs w:val="0"/>
                <w:color w:val="000000"/>
                <w:kern w:val="0"/>
                <w:sz w:val="24"/>
                <w:szCs w:val="24"/>
                <w:u w:val="none"/>
                <w:lang w:val="en-US" w:eastAsia="zh-CN" w:bidi="ar"/>
              </w:rPr>
              <w:t>临海</w:t>
            </w:r>
            <w:r>
              <w:rPr>
                <w:rFonts w:hint="eastAsia" w:ascii="宋体" w:hAnsi="宋体" w:eastAsia="宋体" w:cs="宋体"/>
                <w:i w:val="0"/>
                <w:iCs w:val="0"/>
                <w:color w:val="000000"/>
                <w:kern w:val="0"/>
                <w:sz w:val="24"/>
                <w:szCs w:val="24"/>
                <w:u w:val="none"/>
                <w:lang w:val="en-US" w:eastAsia="zh-CN" w:bidi="ar"/>
              </w:rPr>
              <w:t>医保数据分析项目实际情况可能遇到的问题及其应对措施的考虑情况打分。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①方案内容明确，结合项目展开描述并有具体的措施得4.1-6分；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②有较明确的应急预案内容，方案基本满足需求2.1-4分；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③方案内容简略得0-2分；</w:t>
            </w:r>
          </w:p>
        </w:tc>
      </w:tr>
      <w:tr w14:paraId="59F32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794958">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7</w:t>
            </w:r>
          </w:p>
        </w:tc>
        <w:tc>
          <w:tcPr>
            <w:tcW w:w="10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E9B8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安全管理方案</w:t>
            </w: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80BC0">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8</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F347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根据投标人提供的信息系统安全管理方案，包括数据安全管理制度、数据安全备份、数据网络安全、安全规划建设等内容进行综合评议。</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①方案描述详细完善、科学可行的得</w:t>
            </w:r>
            <w:r>
              <w:rPr>
                <w:rFonts w:hint="eastAsia" w:ascii="宋体" w:hAnsi="宋体" w:cs="宋体"/>
                <w:i w:val="0"/>
                <w:iCs w:val="0"/>
                <w:color w:val="000000"/>
                <w:kern w:val="0"/>
                <w:sz w:val="24"/>
                <w:szCs w:val="24"/>
                <w:u w:val="none"/>
                <w:lang w:val="en-US" w:eastAsia="zh-CN" w:bidi="ar"/>
              </w:rPr>
              <w:t>6</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8</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②方案基本合理可行但有所欠缺的得</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5.9</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③方案内容不全、有明显不合理之处的得0-</w:t>
            </w:r>
            <w:r>
              <w:rPr>
                <w:rFonts w:hint="eastAsia" w:ascii="宋体" w:hAnsi="宋体" w:cs="宋体"/>
                <w:i w:val="0"/>
                <w:iCs w:val="0"/>
                <w:color w:val="000000"/>
                <w:kern w:val="0"/>
                <w:sz w:val="24"/>
                <w:szCs w:val="24"/>
                <w:u w:val="none"/>
                <w:lang w:val="en-US" w:eastAsia="zh-CN" w:bidi="ar"/>
              </w:rPr>
              <w:t>2.9</w:t>
            </w:r>
            <w:r>
              <w:rPr>
                <w:rFonts w:hint="eastAsia" w:ascii="宋体" w:hAnsi="宋体" w:eastAsia="宋体" w:cs="宋体"/>
                <w:i w:val="0"/>
                <w:iCs w:val="0"/>
                <w:color w:val="000000"/>
                <w:kern w:val="0"/>
                <w:sz w:val="24"/>
                <w:szCs w:val="24"/>
                <w:u w:val="none"/>
                <w:lang w:val="en-US" w:eastAsia="zh-CN" w:bidi="ar"/>
              </w:rPr>
              <w:t>分；</w:t>
            </w:r>
          </w:p>
        </w:tc>
      </w:tr>
      <w:tr w14:paraId="438604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31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412442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01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B257F8">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服务能力</w:t>
            </w: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E2512">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9447F">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根据投标人售后服务承诺（包括本地化服务方案、响应时间、故障处理）打分。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1）本地化服务方案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服务方案措施明确，人员配备充足的得3.1-6分；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服务方案措施未明确，人员配置一般的得0-3分。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2）服务响应时间承诺及可行性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服务响应时间短且条件允许、可行的得2.1-4分；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服务响应时间一般或条件不符合承诺响应时间的得0-2分。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3）故障处理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故障处理方案明确，处理时间短的得2.1-4分；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故障处理方案未明确，处理时间较长的得0-2分。</w:t>
            </w:r>
          </w:p>
        </w:tc>
      </w:tr>
      <w:tr w14:paraId="150210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31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68F48C">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rPr>
                <w:rFonts w:hint="eastAsia" w:ascii="宋体" w:hAnsi="宋体" w:eastAsia="宋体" w:cs="宋体"/>
                <w:i w:val="0"/>
                <w:iCs w:val="0"/>
                <w:color w:val="000000"/>
                <w:sz w:val="24"/>
                <w:szCs w:val="24"/>
                <w:u w:val="none"/>
              </w:rPr>
            </w:pPr>
          </w:p>
        </w:tc>
        <w:tc>
          <w:tcPr>
            <w:tcW w:w="101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241F4">
            <w:pPr>
              <w:keepNext w:val="0"/>
              <w:keepLines w:val="0"/>
              <w:pageBreakBefore w:val="0"/>
              <w:widowControl/>
              <w:kinsoku/>
              <w:wordWrap/>
              <w:overflowPunct/>
              <w:topLinePunct w:val="0"/>
              <w:autoSpaceDE/>
              <w:autoSpaceDN/>
              <w:bidi w:val="0"/>
              <w:adjustRightInd w:val="0"/>
              <w:snapToGrid w:val="0"/>
              <w:spacing w:line="360" w:lineRule="auto"/>
              <w:ind w:firstLine="0" w:firstLineChars="0"/>
              <w:jc w:val="center"/>
              <w:rPr>
                <w:rFonts w:hint="eastAsia" w:ascii="宋体" w:hAnsi="宋体" w:eastAsia="宋体" w:cs="宋体"/>
                <w:i w:val="0"/>
                <w:iCs w:val="0"/>
                <w:color w:val="000000"/>
                <w:sz w:val="24"/>
                <w:szCs w:val="24"/>
                <w:u w:val="none"/>
              </w:rPr>
            </w:pP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D4863">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7</w:t>
            </w:r>
          </w:p>
        </w:tc>
        <w:tc>
          <w:tcPr>
            <w:tcW w:w="33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1C9A5">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0" w:firstLineChars="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提出完整的项目培训方案，包括培训计划、培训内容。对培训内容是否详细、培训计划是否合理进行综合评分。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①培训方案内容明确，结合项目展开描述并有具体的人员、时间安排得</w:t>
            </w:r>
            <w:r>
              <w:rPr>
                <w:rFonts w:hint="eastAsia" w:ascii="宋体" w:hAnsi="宋体" w:cs="宋体"/>
                <w:i w:val="0"/>
                <w:iCs w:val="0"/>
                <w:color w:val="000000"/>
                <w:kern w:val="0"/>
                <w:sz w:val="24"/>
                <w:szCs w:val="24"/>
                <w:u w:val="none"/>
                <w:lang w:val="en-US" w:eastAsia="zh-CN" w:bidi="ar"/>
              </w:rPr>
              <w:t>6</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cs="宋体"/>
                <w:i w:val="0"/>
                <w:iCs w:val="0"/>
                <w:color w:val="000000"/>
                <w:kern w:val="0"/>
                <w:sz w:val="24"/>
                <w:szCs w:val="24"/>
                <w:u w:val="none"/>
                <w:lang w:val="en-US" w:eastAsia="zh-CN" w:bidi="ar"/>
              </w:rPr>
              <w:t>7</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②有较明确的培训方案，但所述内容缺少个别内容得4.1-</w:t>
            </w:r>
            <w:r>
              <w:rPr>
                <w:rFonts w:hint="eastAsia" w:ascii="宋体" w:hAnsi="宋体" w:cs="宋体"/>
                <w:i w:val="0"/>
                <w:iCs w:val="0"/>
                <w:color w:val="000000"/>
                <w:kern w:val="0"/>
                <w:sz w:val="24"/>
                <w:szCs w:val="24"/>
                <w:u w:val="none"/>
                <w:lang w:val="en-US" w:eastAsia="zh-CN" w:bidi="ar"/>
              </w:rPr>
              <w:t>5.9</w:t>
            </w:r>
            <w:r>
              <w:rPr>
                <w:rFonts w:hint="eastAsia" w:ascii="宋体" w:hAnsi="宋体" w:eastAsia="宋体" w:cs="宋体"/>
                <w:i w:val="0"/>
                <w:iCs w:val="0"/>
                <w:color w:val="000000"/>
                <w:kern w:val="0"/>
                <w:sz w:val="24"/>
                <w:szCs w:val="24"/>
                <w:u w:val="none"/>
                <w:lang w:val="en-US" w:eastAsia="zh-CN" w:bidi="ar"/>
              </w:rPr>
              <w:t>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③有提供培训方案，方案内容缺漏相对较多得2.1-4分；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④方案内容简略得0-2分；</w:t>
            </w:r>
          </w:p>
        </w:tc>
      </w:tr>
    </w:tbl>
    <w:p w14:paraId="3CE38C76">
      <w:pPr>
        <w:spacing w:before="120" w:beforeLines="50" w:after="120" w:afterLines="50" w:line="400" w:lineRule="exact"/>
        <w:ind w:firstLine="472" w:firstLineChars="196"/>
        <w:rPr>
          <w:rFonts w:ascii="宋体" w:hAnsi="宋体"/>
          <w:b/>
          <w:bCs/>
          <w:sz w:val="24"/>
          <w:highlight w:val="none"/>
        </w:rPr>
      </w:pPr>
      <w:r>
        <w:rPr>
          <w:rFonts w:hint="eastAsia" w:ascii="宋体" w:hAnsi="宋体"/>
          <w:b/>
          <w:bCs/>
          <w:sz w:val="24"/>
          <w:highlight w:val="none"/>
        </w:rPr>
        <w:t>（三）商务技术分的计算方式</w:t>
      </w:r>
    </w:p>
    <w:p w14:paraId="51446348">
      <w:pPr>
        <w:spacing w:before="120" w:beforeLines="50" w:after="120" w:afterLines="50" w:line="400" w:lineRule="exact"/>
        <w:ind w:firstLine="480" w:firstLineChars="200"/>
        <w:rPr>
          <w:rFonts w:ascii="宋体" w:hAnsi="宋体"/>
          <w:sz w:val="24"/>
          <w:highlight w:val="none"/>
        </w:rPr>
      </w:pPr>
      <w:r>
        <w:rPr>
          <w:rFonts w:hint="eastAsia" w:ascii="宋体" w:hAnsi="宋体"/>
          <w:sz w:val="24"/>
          <w:highlight w:val="none"/>
        </w:rPr>
        <w:t>商务技术分按照磋商小组成员的独立评分结果汇总数的算术平均分计算，计算公式为：</w:t>
      </w:r>
    </w:p>
    <w:p w14:paraId="6B815DFF">
      <w:pPr>
        <w:spacing w:line="360" w:lineRule="exact"/>
        <w:ind w:firstLine="495"/>
        <w:rPr>
          <w:rFonts w:ascii="宋体" w:hAnsi="宋体"/>
          <w:sz w:val="24"/>
          <w:highlight w:val="none"/>
        </w:rPr>
      </w:pPr>
      <w:r>
        <w:rPr>
          <w:rFonts w:hint="eastAsia" w:ascii="宋体" w:hAnsi="宋体"/>
          <w:sz w:val="24"/>
          <w:highlight w:val="none"/>
        </w:rPr>
        <w:t>商务技术分=（磋商小组所有成员评分合计数）/（磋商小组组成人员数）</w:t>
      </w:r>
    </w:p>
    <w:p w14:paraId="7E83C65B">
      <w:pPr>
        <w:spacing w:before="120" w:beforeLines="50" w:after="120" w:afterLines="50" w:line="400" w:lineRule="exact"/>
        <w:ind w:firstLine="495"/>
        <w:rPr>
          <w:rFonts w:ascii="宋体" w:hAnsi="宋体"/>
          <w:sz w:val="24"/>
          <w:highlight w:val="none"/>
        </w:rPr>
      </w:pPr>
    </w:p>
    <w:p w14:paraId="502F6F6B">
      <w:pPr>
        <w:spacing w:before="120" w:beforeLines="50" w:after="120" w:afterLines="50" w:line="400" w:lineRule="exact"/>
        <w:ind w:firstLine="482" w:firstLineChars="200"/>
        <w:rPr>
          <w:rFonts w:ascii="宋体" w:hAnsi="宋体"/>
          <w:b/>
          <w:sz w:val="24"/>
          <w:highlight w:val="none"/>
        </w:rPr>
      </w:pPr>
      <w:r>
        <w:rPr>
          <w:rFonts w:hint="eastAsia" w:ascii="宋体" w:hAnsi="宋体"/>
          <w:b/>
          <w:sz w:val="24"/>
          <w:highlight w:val="none"/>
        </w:rPr>
        <w:t>三、投标人义务</w:t>
      </w:r>
    </w:p>
    <w:p w14:paraId="00F24B63">
      <w:pPr>
        <w:pStyle w:val="23"/>
        <w:spacing w:before="120" w:beforeLines="50" w:after="120" w:afterLines="50" w:line="360" w:lineRule="auto"/>
        <w:ind w:firstLine="464" w:firstLineChars="200"/>
        <w:rPr>
          <w:rFonts w:hAnsi="宋体"/>
          <w:bCs/>
          <w:sz w:val="24"/>
          <w:szCs w:val="24"/>
          <w:highlight w:val="none"/>
        </w:rPr>
      </w:pPr>
      <w:r>
        <w:rPr>
          <w:rFonts w:hint="eastAsia" w:hAnsi="宋体"/>
          <w:bCs/>
          <w:sz w:val="24"/>
          <w:szCs w:val="24"/>
          <w:highlight w:val="none"/>
        </w:rPr>
        <w:t>评标期间，供应商应随时随地答复磋商小组的询标，解答包括有关的商务、技术问题等。</w:t>
      </w:r>
    </w:p>
    <w:p w14:paraId="72BF8A3F">
      <w:pPr>
        <w:pageBreakBefore/>
        <w:jc w:val="center"/>
        <w:rPr>
          <w:rFonts w:ascii="宋体" w:hAnsi="宋体"/>
          <w:b/>
          <w:sz w:val="30"/>
          <w:szCs w:val="30"/>
          <w:highlight w:val="none"/>
        </w:rPr>
      </w:pPr>
      <w:r>
        <w:rPr>
          <w:rFonts w:hint="eastAsia" w:ascii="宋体" w:hAnsi="宋体"/>
          <w:b/>
          <w:sz w:val="30"/>
          <w:szCs w:val="30"/>
          <w:highlight w:val="none"/>
        </w:rPr>
        <w:t>采购项目评分索引表（范例）</w:t>
      </w:r>
    </w:p>
    <w:p w14:paraId="7DB3DDD4">
      <w:pPr>
        <w:rPr>
          <w:rFonts w:ascii="宋体" w:hAnsi="宋体"/>
          <w:b/>
          <w:highlight w:val="none"/>
        </w:rPr>
      </w:pPr>
    </w:p>
    <w:p w14:paraId="72914093">
      <w:pPr>
        <w:snapToGrid w:val="0"/>
        <w:spacing w:after="100" w:afterAutospacing="1" w:line="400" w:lineRule="exact"/>
        <w:rPr>
          <w:rFonts w:ascii="宋体" w:hAnsi="宋体"/>
          <w:b/>
          <w:spacing w:val="-4"/>
          <w:sz w:val="24"/>
          <w:highlight w:val="none"/>
          <w:shd w:val="pct10" w:color="auto" w:fill="FFFFFF"/>
        </w:rPr>
      </w:pPr>
      <w:r>
        <w:rPr>
          <w:rFonts w:hint="eastAsia" w:ascii="宋体" w:hAnsi="宋体"/>
          <w:b/>
          <w:spacing w:val="-4"/>
          <w:sz w:val="24"/>
          <w:highlight w:val="none"/>
          <w:shd w:val="pct10" w:color="auto" w:fill="FFFFFF"/>
        </w:rPr>
        <w:t>（重要提示：本采购项目评分索引表</w:t>
      </w:r>
      <w:r>
        <w:rPr>
          <w:rFonts w:ascii="宋体" w:hAnsi="宋体"/>
          <w:b/>
          <w:spacing w:val="-4"/>
          <w:sz w:val="24"/>
          <w:highlight w:val="none"/>
          <w:shd w:val="pct10" w:color="auto" w:fill="FFFFFF"/>
        </w:rPr>
        <w:t>放在商务技术文件目录的前</w:t>
      </w:r>
      <w:r>
        <w:rPr>
          <w:rFonts w:hint="eastAsia" w:ascii="宋体" w:hAnsi="宋体"/>
          <w:b/>
          <w:spacing w:val="-4"/>
          <w:sz w:val="24"/>
          <w:highlight w:val="none"/>
          <w:shd w:val="pct10" w:color="auto" w:fill="FFFFFF"/>
        </w:rPr>
        <w:t>页</w:t>
      </w:r>
      <w:r>
        <w:rPr>
          <w:rFonts w:ascii="宋体" w:hAnsi="宋体"/>
          <w:b/>
          <w:spacing w:val="-4"/>
          <w:sz w:val="24"/>
          <w:highlight w:val="none"/>
          <w:shd w:val="pct10" w:color="auto" w:fill="FFFFFF"/>
        </w:rPr>
        <w:t>，</w:t>
      </w:r>
      <w:r>
        <w:rPr>
          <w:rFonts w:hint="eastAsia" w:ascii="宋体" w:hAnsi="宋体"/>
          <w:b/>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A5E0022">
      <w:pPr>
        <w:rPr>
          <w:rFonts w:ascii="宋体" w:hAnsi="宋体"/>
          <w:b/>
          <w:sz w:val="24"/>
          <w:highlight w:val="none"/>
        </w:rPr>
      </w:pPr>
      <w:r>
        <w:rPr>
          <w:rFonts w:hint="eastAsia" w:ascii="宋体" w:hAnsi="宋体"/>
          <w:b/>
          <w:sz w:val="24"/>
          <w:highlight w:val="none"/>
        </w:rPr>
        <w:t xml:space="preserve">项目名称： </w:t>
      </w:r>
    </w:p>
    <w:p w14:paraId="052C3DBF">
      <w:pPr>
        <w:rPr>
          <w:rFonts w:ascii="宋体" w:hAnsi="宋体"/>
          <w:b/>
          <w:sz w:val="24"/>
          <w:highlight w:val="none"/>
        </w:rPr>
      </w:pPr>
      <w:r>
        <w:rPr>
          <w:rFonts w:hint="eastAsia" w:ascii="宋体" w:hAnsi="宋体"/>
          <w:b/>
          <w:sz w:val="24"/>
          <w:highlight w:val="none"/>
        </w:rPr>
        <w:t>投标人名称：</w:t>
      </w:r>
    </w:p>
    <w:tbl>
      <w:tblPr>
        <w:tblStyle w:val="53"/>
        <w:tblW w:w="943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2229"/>
        <w:gridCol w:w="854"/>
        <w:gridCol w:w="998"/>
        <w:gridCol w:w="3563"/>
        <w:gridCol w:w="1283"/>
      </w:tblGrid>
      <w:tr w14:paraId="0A41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trPr>
        <w:tc>
          <w:tcPr>
            <w:tcW w:w="2738" w:type="dxa"/>
            <w:gridSpan w:val="2"/>
            <w:vAlign w:val="center"/>
          </w:tcPr>
          <w:p w14:paraId="3A1C4332">
            <w:pPr>
              <w:widowControl/>
              <w:jc w:val="center"/>
              <w:rPr>
                <w:rFonts w:ascii="宋体" w:hAnsi="宋体"/>
                <w:b/>
                <w:bCs/>
                <w:szCs w:val="21"/>
                <w:highlight w:val="none"/>
              </w:rPr>
            </w:pPr>
            <w:r>
              <w:rPr>
                <w:rFonts w:hint="eastAsia" w:ascii="宋体" w:hAnsi="宋体"/>
                <w:b/>
                <w:bCs/>
                <w:szCs w:val="21"/>
                <w:highlight w:val="none"/>
              </w:rPr>
              <w:t>评标内容</w:t>
            </w:r>
          </w:p>
        </w:tc>
        <w:tc>
          <w:tcPr>
            <w:tcW w:w="854" w:type="dxa"/>
            <w:vAlign w:val="center"/>
          </w:tcPr>
          <w:p w14:paraId="2F1F7953">
            <w:pPr>
              <w:widowControl/>
              <w:jc w:val="center"/>
              <w:rPr>
                <w:rFonts w:ascii="宋体"/>
                <w:b/>
                <w:bCs/>
                <w:szCs w:val="21"/>
                <w:highlight w:val="none"/>
              </w:rPr>
            </w:pPr>
            <w:r>
              <w:rPr>
                <w:rFonts w:hint="eastAsia" w:ascii="宋体"/>
                <w:b/>
                <w:bCs/>
                <w:szCs w:val="21"/>
                <w:highlight w:val="none"/>
              </w:rPr>
              <w:t>分值</w:t>
            </w:r>
          </w:p>
        </w:tc>
        <w:tc>
          <w:tcPr>
            <w:tcW w:w="998" w:type="dxa"/>
            <w:vAlign w:val="center"/>
          </w:tcPr>
          <w:p w14:paraId="16535CAF">
            <w:pPr>
              <w:widowControl/>
              <w:jc w:val="center"/>
              <w:rPr>
                <w:rFonts w:ascii="宋体"/>
                <w:b/>
                <w:bCs/>
                <w:szCs w:val="21"/>
                <w:highlight w:val="none"/>
              </w:rPr>
            </w:pPr>
            <w:r>
              <w:rPr>
                <w:rFonts w:hint="eastAsia" w:ascii="宋体" w:hAnsi="宋体"/>
                <w:b/>
                <w:bCs/>
                <w:szCs w:val="21"/>
                <w:highlight w:val="none"/>
              </w:rPr>
              <w:t>响应文件响应页码</w:t>
            </w:r>
          </w:p>
        </w:tc>
        <w:tc>
          <w:tcPr>
            <w:tcW w:w="3563" w:type="dxa"/>
            <w:tcBorders>
              <w:top w:val="single" w:color="auto" w:sz="4" w:space="0"/>
              <w:left w:val="nil"/>
              <w:bottom w:val="single" w:color="auto" w:sz="4" w:space="0"/>
              <w:right w:val="single" w:color="auto" w:sz="4" w:space="0"/>
            </w:tcBorders>
            <w:vAlign w:val="center"/>
          </w:tcPr>
          <w:p w14:paraId="3BD6CBE8">
            <w:pPr>
              <w:widowControl/>
              <w:jc w:val="center"/>
              <w:rPr>
                <w:rFonts w:ascii="宋体" w:hAnsi="宋体" w:cs="宋体"/>
                <w:b/>
                <w:bCs/>
                <w:kern w:val="0"/>
                <w:sz w:val="24"/>
                <w:highlight w:val="none"/>
              </w:rPr>
            </w:pPr>
            <w:r>
              <w:rPr>
                <w:rFonts w:hint="eastAsia" w:ascii="宋体" w:hAnsi="宋体" w:cs="宋体"/>
                <w:b/>
                <w:bCs/>
                <w:kern w:val="0"/>
                <w:sz w:val="24"/>
                <w:highlight w:val="none"/>
              </w:rPr>
              <w:t>供应商</w:t>
            </w:r>
          </w:p>
          <w:p w14:paraId="26132969">
            <w:pPr>
              <w:widowControl/>
              <w:jc w:val="center"/>
              <w:rPr>
                <w:rFonts w:ascii="宋体" w:hAnsi="宋体"/>
                <w:b/>
                <w:bCs/>
                <w:szCs w:val="21"/>
                <w:highlight w:val="none"/>
              </w:rPr>
            </w:pPr>
            <w:r>
              <w:rPr>
                <w:rFonts w:hint="eastAsia" w:ascii="宋体" w:hAnsi="宋体" w:cs="宋体"/>
                <w:b/>
                <w:bCs/>
                <w:kern w:val="0"/>
                <w:sz w:val="24"/>
                <w:highlight w:val="none"/>
              </w:rPr>
              <w:t>应标情况</w:t>
            </w:r>
          </w:p>
        </w:tc>
        <w:tc>
          <w:tcPr>
            <w:tcW w:w="1283" w:type="dxa"/>
            <w:tcBorders>
              <w:top w:val="single" w:color="auto" w:sz="4" w:space="0"/>
              <w:left w:val="nil"/>
              <w:bottom w:val="single" w:color="auto" w:sz="4" w:space="0"/>
              <w:right w:val="single" w:color="auto" w:sz="4" w:space="0"/>
            </w:tcBorders>
            <w:vAlign w:val="center"/>
          </w:tcPr>
          <w:p w14:paraId="0EBBF1B5">
            <w:pPr>
              <w:widowControl/>
              <w:jc w:val="center"/>
              <w:rPr>
                <w:rFonts w:ascii="宋体" w:hAnsi="宋体"/>
                <w:b/>
                <w:bCs/>
                <w:szCs w:val="21"/>
                <w:highlight w:val="none"/>
              </w:rPr>
            </w:pPr>
            <w:r>
              <w:rPr>
                <w:rFonts w:hint="eastAsia" w:ascii="宋体" w:hAnsi="宋体" w:cs="宋体"/>
                <w:b/>
                <w:bCs/>
                <w:kern w:val="0"/>
                <w:sz w:val="24"/>
                <w:highlight w:val="none"/>
              </w:rPr>
              <w:t>供应商自评分值</w:t>
            </w:r>
          </w:p>
        </w:tc>
      </w:tr>
      <w:tr w14:paraId="6296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509" w:type="dxa"/>
            <w:vAlign w:val="center"/>
          </w:tcPr>
          <w:p w14:paraId="34B08B09">
            <w:pPr>
              <w:jc w:val="center"/>
              <w:rPr>
                <w:rFonts w:ascii="宋体" w:hAnsi="宋体"/>
                <w:bCs/>
                <w:sz w:val="24"/>
                <w:highlight w:val="none"/>
              </w:rPr>
            </w:pPr>
            <w:r>
              <w:rPr>
                <w:rFonts w:hint="eastAsia" w:ascii="宋体" w:hAnsi="宋体" w:cs="宋体"/>
                <w:sz w:val="24"/>
                <w:highlight w:val="none"/>
              </w:rPr>
              <w:t>1</w:t>
            </w:r>
          </w:p>
        </w:tc>
        <w:tc>
          <w:tcPr>
            <w:tcW w:w="2229" w:type="dxa"/>
            <w:vAlign w:val="center"/>
          </w:tcPr>
          <w:p w14:paraId="362BF46A">
            <w:pPr>
              <w:rPr>
                <w:sz w:val="24"/>
                <w:highlight w:val="none"/>
              </w:rPr>
            </w:pPr>
            <w:r>
              <w:rPr>
                <w:rFonts w:hint="eastAsia" w:ascii="宋体" w:hAnsi="宋体" w:eastAsia="宋体" w:cs="宋体"/>
                <w:i w:val="0"/>
                <w:iCs w:val="0"/>
                <w:color w:val="000000"/>
                <w:kern w:val="0"/>
                <w:sz w:val="24"/>
                <w:szCs w:val="24"/>
                <w:u w:val="none"/>
                <w:lang w:val="en-US" w:eastAsia="zh-CN" w:bidi="ar"/>
              </w:rPr>
              <w:t>资质证书</w:t>
            </w:r>
          </w:p>
        </w:tc>
        <w:tc>
          <w:tcPr>
            <w:tcW w:w="854" w:type="dxa"/>
            <w:vAlign w:val="center"/>
          </w:tcPr>
          <w:p w14:paraId="76AB2F4D">
            <w:pPr>
              <w:jc w:val="center"/>
              <w:rPr>
                <w:rFonts w:hint="eastAsia" w:ascii="宋体" w:hAnsi="宋体" w:eastAsia="宋体"/>
                <w:sz w:val="24"/>
                <w:highlight w:val="none"/>
                <w:lang w:val="en-US" w:eastAsia="zh-CN"/>
              </w:rPr>
            </w:pPr>
            <w:r>
              <w:rPr>
                <w:rFonts w:hint="eastAsia" w:ascii="宋体" w:hAnsi="宋体"/>
                <w:sz w:val="24"/>
                <w:highlight w:val="none"/>
                <w:lang w:val="en-US" w:eastAsia="zh-CN"/>
              </w:rPr>
              <w:t>3</w:t>
            </w:r>
          </w:p>
        </w:tc>
        <w:tc>
          <w:tcPr>
            <w:tcW w:w="998" w:type="dxa"/>
            <w:vAlign w:val="center"/>
          </w:tcPr>
          <w:p w14:paraId="121117E9">
            <w:pPr>
              <w:jc w:val="left"/>
              <w:rPr>
                <w:rFonts w:ascii="宋体"/>
                <w:bCs/>
                <w:szCs w:val="21"/>
                <w:highlight w:val="none"/>
              </w:rPr>
            </w:pPr>
          </w:p>
        </w:tc>
        <w:tc>
          <w:tcPr>
            <w:tcW w:w="3563" w:type="dxa"/>
            <w:tcBorders>
              <w:top w:val="nil"/>
              <w:left w:val="nil"/>
              <w:bottom w:val="single" w:color="auto" w:sz="4" w:space="0"/>
              <w:right w:val="single" w:color="auto" w:sz="4" w:space="0"/>
            </w:tcBorders>
            <w:vAlign w:val="center"/>
          </w:tcPr>
          <w:p w14:paraId="26F3A31A">
            <w:pPr>
              <w:jc w:val="left"/>
              <w:rPr>
                <w:rFonts w:ascii="宋体"/>
                <w:bCs/>
                <w:szCs w:val="21"/>
                <w:highlight w:val="none"/>
              </w:rPr>
            </w:pPr>
            <w:r>
              <w:rPr>
                <w:rFonts w:hint="eastAsia" w:ascii="宋体" w:hAnsi="宋体" w:cs="宋体"/>
                <w:b/>
                <w:bCs/>
                <w:kern w:val="0"/>
                <w:sz w:val="24"/>
                <w:highlight w:val="none"/>
                <w:shd w:val="pct10" w:color="auto" w:fill="FFFFFF"/>
              </w:rPr>
              <w:t>供应商务必将应标证书内容逐项详细填写齐全，以方便评委进行更加优质、高效的评审</w:t>
            </w:r>
          </w:p>
        </w:tc>
        <w:tc>
          <w:tcPr>
            <w:tcW w:w="1283" w:type="dxa"/>
            <w:tcBorders>
              <w:top w:val="nil"/>
              <w:left w:val="nil"/>
              <w:bottom w:val="single" w:color="auto" w:sz="4" w:space="0"/>
              <w:right w:val="single" w:color="auto" w:sz="4" w:space="0"/>
            </w:tcBorders>
            <w:vAlign w:val="center"/>
          </w:tcPr>
          <w:p w14:paraId="358CB0AB">
            <w:pPr>
              <w:jc w:val="left"/>
              <w:rPr>
                <w:rFonts w:ascii="宋体"/>
                <w:bCs/>
                <w:szCs w:val="21"/>
                <w:highlight w:val="none"/>
              </w:rPr>
            </w:pPr>
            <w:r>
              <w:rPr>
                <w:rFonts w:hint="eastAsia" w:ascii="宋体" w:hAnsi="宋体" w:cs="宋体"/>
                <w:b/>
                <w:bCs/>
                <w:kern w:val="0"/>
                <w:sz w:val="24"/>
                <w:highlight w:val="none"/>
                <w:shd w:val="pct10" w:color="auto" w:fill="FFFFFF"/>
              </w:rPr>
              <w:t>供应商将应得分值填写准确</w:t>
            </w:r>
          </w:p>
        </w:tc>
      </w:tr>
      <w:tr w14:paraId="65C5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509" w:type="dxa"/>
            <w:vAlign w:val="center"/>
          </w:tcPr>
          <w:p w14:paraId="102144E8">
            <w:pPr>
              <w:jc w:val="center"/>
              <w:rPr>
                <w:rFonts w:hint="eastAsia" w:ascii="宋体" w:hAnsi="宋体" w:eastAsia="宋体"/>
                <w:bCs/>
                <w:sz w:val="24"/>
                <w:highlight w:val="none"/>
                <w:lang w:eastAsia="zh-CN"/>
              </w:rPr>
            </w:pPr>
            <w:r>
              <w:rPr>
                <w:rFonts w:hint="eastAsia" w:hAnsi="宋体" w:cs="宋体"/>
                <w:spacing w:val="-6"/>
                <w:sz w:val="24"/>
                <w:highlight w:val="none"/>
                <w:lang w:val="en-US" w:eastAsia="zh-CN"/>
              </w:rPr>
              <w:t>2</w:t>
            </w:r>
          </w:p>
        </w:tc>
        <w:tc>
          <w:tcPr>
            <w:tcW w:w="2229" w:type="dxa"/>
            <w:vAlign w:val="center"/>
          </w:tcPr>
          <w:p w14:paraId="1ED3FE56">
            <w:pP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业绩</w:t>
            </w:r>
          </w:p>
        </w:tc>
        <w:tc>
          <w:tcPr>
            <w:tcW w:w="854" w:type="dxa"/>
            <w:vAlign w:val="center"/>
          </w:tcPr>
          <w:p w14:paraId="42309D4E">
            <w:pPr>
              <w:jc w:val="center"/>
              <w:rPr>
                <w:rFonts w:hint="eastAsia" w:ascii="宋体" w:hAnsi="宋体" w:eastAsia="宋体"/>
                <w:sz w:val="24"/>
                <w:highlight w:val="none"/>
                <w:lang w:val="en-US" w:eastAsia="zh-CN"/>
              </w:rPr>
            </w:pPr>
            <w:r>
              <w:rPr>
                <w:rFonts w:hint="eastAsia" w:ascii="宋体" w:hAnsi="宋体"/>
                <w:sz w:val="24"/>
                <w:highlight w:val="none"/>
                <w:lang w:val="en-US" w:eastAsia="zh-CN"/>
              </w:rPr>
              <w:t>2</w:t>
            </w:r>
          </w:p>
        </w:tc>
        <w:tc>
          <w:tcPr>
            <w:tcW w:w="998" w:type="dxa"/>
            <w:vAlign w:val="center"/>
          </w:tcPr>
          <w:p w14:paraId="16FB2899">
            <w:pPr>
              <w:jc w:val="left"/>
              <w:rPr>
                <w:rFonts w:ascii="宋体"/>
                <w:bCs/>
                <w:szCs w:val="21"/>
                <w:highlight w:val="none"/>
              </w:rPr>
            </w:pPr>
          </w:p>
        </w:tc>
        <w:tc>
          <w:tcPr>
            <w:tcW w:w="3563" w:type="dxa"/>
            <w:vAlign w:val="center"/>
          </w:tcPr>
          <w:p w14:paraId="705B4C85">
            <w:pPr>
              <w:jc w:val="left"/>
              <w:rPr>
                <w:rFonts w:ascii="宋体"/>
                <w:b/>
                <w:szCs w:val="21"/>
                <w:highlight w:val="none"/>
              </w:rPr>
            </w:pPr>
            <w:r>
              <w:rPr>
                <w:rFonts w:hint="eastAsia" w:ascii="宋体" w:hAnsi="宋体" w:cs="宋体"/>
                <w:b/>
                <w:bCs/>
                <w:kern w:val="0"/>
                <w:sz w:val="24"/>
                <w:highlight w:val="none"/>
                <w:shd w:val="pct10" w:color="auto" w:fill="FFFFFF"/>
              </w:rPr>
              <w:t>供应商务必将应标证书内容逐项详细填写齐全，以方便评委进行更加优质、高效的评审</w:t>
            </w:r>
          </w:p>
        </w:tc>
        <w:tc>
          <w:tcPr>
            <w:tcW w:w="1283" w:type="dxa"/>
            <w:vAlign w:val="center"/>
          </w:tcPr>
          <w:p w14:paraId="244531AE">
            <w:pPr>
              <w:jc w:val="left"/>
              <w:rPr>
                <w:rFonts w:ascii="宋体"/>
                <w:b/>
                <w:szCs w:val="21"/>
                <w:highlight w:val="none"/>
              </w:rPr>
            </w:pPr>
            <w:r>
              <w:rPr>
                <w:rFonts w:hint="eastAsia" w:ascii="宋体" w:hAnsi="宋体" w:cs="宋体"/>
                <w:b/>
                <w:bCs/>
                <w:kern w:val="0"/>
                <w:sz w:val="24"/>
                <w:highlight w:val="none"/>
                <w:shd w:val="pct10" w:color="auto" w:fill="FFFFFF"/>
              </w:rPr>
              <w:t>供应商将应得分值填写准确</w:t>
            </w:r>
          </w:p>
        </w:tc>
      </w:tr>
      <w:tr w14:paraId="1C670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509" w:type="dxa"/>
            <w:vAlign w:val="center"/>
          </w:tcPr>
          <w:p w14:paraId="1284DD4B">
            <w:pPr>
              <w:jc w:val="center"/>
              <w:rPr>
                <w:rFonts w:hint="eastAsia" w:ascii="宋体" w:hAnsi="宋体" w:eastAsia="宋体"/>
                <w:bCs/>
                <w:sz w:val="24"/>
                <w:highlight w:val="none"/>
                <w:lang w:eastAsia="zh-CN"/>
              </w:rPr>
            </w:pPr>
            <w:r>
              <w:rPr>
                <w:rFonts w:hint="eastAsia" w:ascii="宋体" w:hAnsi="宋体"/>
                <w:bCs/>
                <w:sz w:val="24"/>
                <w:highlight w:val="none"/>
                <w:lang w:val="en-US" w:eastAsia="zh-CN"/>
              </w:rPr>
              <w:t>3</w:t>
            </w:r>
          </w:p>
        </w:tc>
        <w:tc>
          <w:tcPr>
            <w:tcW w:w="2229" w:type="dxa"/>
            <w:vAlign w:val="center"/>
          </w:tcPr>
          <w:p w14:paraId="1E501763">
            <w:pPr>
              <w:rPr>
                <w:sz w:val="24"/>
                <w:highlight w:val="none"/>
              </w:rPr>
            </w:pPr>
            <w:r>
              <w:rPr>
                <w:rFonts w:hint="eastAsia" w:ascii="宋体" w:hAnsi="宋体" w:eastAsia="宋体" w:cs="宋体"/>
                <w:i w:val="0"/>
                <w:iCs w:val="0"/>
                <w:color w:val="000000"/>
                <w:kern w:val="0"/>
                <w:sz w:val="24"/>
                <w:szCs w:val="24"/>
                <w:u w:val="none"/>
                <w:lang w:val="en-US" w:eastAsia="zh-CN" w:bidi="ar"/>
              </w:rPr>
              <w:t>技术方案</w:t>
            </w:r>
          </w:p>
        </w:tc>
        <w:tc>
          <w:tcPr>
            <w:tcW w:w="854" w:type="dxa"/>
            <w:vAlign w:val="center"/>
          </w:tcPr>
          <w:p w14:paraId="79F458EA">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24</w:t>
            </w:r>
          </w:p>
        </w:tc>
        <w:tc>
          <w:tcPr>
            <w:tcW w:w="998" w:type="dxa"/>
            <w:vAlign w:val="center"/>
          </w:tcPr>
          <w:p w14:paraId="38A946F8">
            <w:pPr>
              <w:jc w:val="left"/>
              <w:rPr>
                <w:rFonts w:ascii="宋体"/>
                <w:bCs/>
                <w:szCs w:val="21"/>
                <w:highlight w:val="none"/>
              </w:rPr>
            </w:pPr>
          </w:p>
        </w:tc>
        <w:tc>
          <w:tcPr>
            <w:tcW w:w="3563" w:type="dxa"/>
            <w:vAlign w:val="center"/>
          </w:tcPr>
          <w:p w14:paraId="487574B5">
            <w:pPr>
              <w:jc w:val="left"/>
              <w:rPr>
                <w:rFonts w:ascii="宋体"/>
                <w:bCs/>
                <w:szCs w:val="21"/>
                <w:highlight w:val="none"/>
              </w:rPr>
            </w:pPr>
          </w:p>
        </w:tc>
        <w:tc>
          <w:tcPr>
            <w:tcW w:w="1283" w:type="dxa"/>
            <w:vAlign w:val="center"/>
          </w:tcPr>
          <w:p w14:paraId="17103133">
            <w:pPr>
              <w:jc w:val="left"/>
              <w:rPr>
                <w:rFonts w:ascii="宋体"/>
                <w:bCs/>
                <w:szCs w:val="21"/>
                <w:highlight w:val="none"/>
              </w:rPr>
            </w:pPr>
          </w:p>
        </w:tc>
      </w:tr>
      <w:tr w14:paraId="3D5B5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509" w:type="dxa"/>
            <w:vAlign w:val="center"/>
          </w:tcPr>
          <w:p w14:paraId="7A2E740D">
            <w:pPr>
              <w:jc w:val="center"/>
              <w:rPr>
                <w:rFonts w:hint="eastAsia" w:hAnsi="宋体" w:eastAsia="宋体" w:cs="宋体"/>
                <w:spacing w:val="-6"/>
                <w:sz w:val="24"/>
                <w:highlight w:val="none"/>
                <w:lang w:val="en-US" w:eastAsia="zh-CN"/>
              </w:rPr>
            </w:pPr>
            <w:r>
              <w:rPr>
                <w:rFonts w:hint="eastAsia" w:hAnsi="宋体" w:cs="宋体"/>
                <w:spacing w:val="-6"/>
                <w:sz w:val="24"/>
                <w:highlight w:val="none"/>
                <w:lang w:val="en-US" w:eastAsia="zh-CN"/>
              </w:rPr>
              <w:t>4</w:t>
            </w:r>
          </w:p>
        </w:tc>
        <w:tc>
          <w:tcPr>
            <w:tcW w:w="2229" w:type="dxa"/>
            <w:vAlign w:val="center"/>
          </w:tcPr>
          <w:p w14:paraId="15FD09A0">
            <w:pPr>
              <w:rPr>
                <w:rFonts w:hint="eastAsia"/>
                <w:sz w:val="24"/>
                <w:highlight w:val="none"/>
                <w:lang w:val="en-US" w:eastAsia="zh-CN"/>
              </w:rPr>
            </w:pPr>
            <w:r>
              <w:rPr>
                <w:rFonts w:hint="eastAsia" w:ascii="宋体" w:hAnsi="宋体" w:cs="宋体"/>
                <w:kern w:val="0"/>
                <w:sz w:val="24"/>
                <w:highlight w:val="none"/>
              </w:rPr>
              <w:t>运维服务团队</w:t>
            </w:r>
          </w:p>
        </w:tc>
        <w:tc>
          <w:tcPr>
            <w:tcW w:w="854" w:type="dxa"/>
            <w:vAlign w:val="center"/>
          </w:tcPr>
          <w:p w14:paraId="68C685DF">
            <w:pPr>
              <w:jc w:val="center"/>
              <w:rPr>
                <w:rFonts w:hint="default" w:ascii="宋体" w:hAnsi="宋体"/>
                <w:sz w:val="24"/>
                <w:highlight w:val="none"/>
                <w:lang w:val="en-US" w:eastAsia="zh-CN"/>
              </w:rPr>
            </w:pPr>
            <w:r>
              <w:rPr>
                <w:rFonts w:hint="eastAsia" w:ascii="宋体" w:hAnsi="宋体"/>
                <w:sz w:val="24"/>
                <w:highlight w:val="none"/>
                <w:lang w:val="en-US" w:eastAsia="zh-CN"/>
              </w:rPr>
              <w:t>10</w:t>
            </w:r>
          </w:p>
        </w:tc>
        <w:tc>
          <w:tcPr>
            <w:tcW w:w="998" w:type="dxa"/>
            <w:vAlign w:val="center"/>
          </w:tcPr>
          <w:p w14:paraId="365EC019">
            <w:pPr>
              <w:jc w:val="left"/>
              <w:rPr>
                <w:rFonts w:ascii="宋体"/>
                <w:bCs/>
                <w:szCs w:val="21"/>
                <w:highlight w:val="none"/>
              </w:rPr>
            </w:pPr>
          </w:p>
        </w:tc>
        <w:tc>
          <w:tcPr>
            <w:tcW w:w="3563" w:type="dxa"/>
            <w:tcBorders>
              <w:top w:val="nil"/>
              <w:left w:val="nil"/>
              <w:bottom w:val="single" w:color="auto" w:sz="4" w:space="0"/>
              <w:right w:val="single" w:color="auto" w:sz="4" w:space="0"/>
            </w:tcBorders>
            <w:vAlign w:val="center"/>
          </w:tcPr>
          <w:p w14:paraId="0B62D271">
            <w:pPr>
              <w:jc w:val="left"/>
              <w:rPr>
                <w:rFonts w:ascii="宋体"/>
                <w:bCs/>
                <w:szCs w:val="21"/>
                <w:highlight w:val="none"/>
              </w:rPr>
            </w:pPr>
            <w:r>
              <w:rPr>
                <w:rFonts w:hint="eastAsia" w:ascii="宋体" w:hAnsi="宋体" w:cs="宋体"/>
                <w:b/>
                <w:bCs/>
                <w:kern w:val="0"/>
                <w:sz w:val="24"/>
                <w:highlight w:val="none"/>
                <w:shd w:val="pct10" w:color="auto" w:fill="FFFFFF"/>
              </w:rPr>
              <w:t>供应商务必将应标证书内容逐项详细填写齐全，以方便评委进行更加优质、高效的评审</w:t>
            </w:r>
          </w:p>
        </w:tc>
        <w:tc>
          <w:tcPr>
            <w:tcW w:w="1283" w:type="dxa"/>
            <w:tcBorders>
              <w:top w:val="nil"/>
              <w:left w:val="nil"/>
              <w:bottom w:val="single" w:color="auto" w:sz="4" w:space="0"/>
              <w:right w:val="single" w:color="auto" w:sz="4" w:space="0"/>
            </w:tcBorders>
            <w:vAlign w:val="center"/>
          </w:tcPr>
          <w:p w14:paraId="06A9DFE8">
            <w:pPr>
              <w:jc w:val="left"/>
              <w:rPr>
                <w:rFonts w:ascii="宋体"/>
                <w:bCs/>
                <w:szCs w:val="21"/>
                <w:highlight w:val="none"/>
              </w:rPr>
            </w:pPr>
            <w:r>
              <w:rPr>
                <w:rFonts w:hint="eastAsia" w:ascii="宋体" w:hAnsi="宋体" w:cs="宋体"/>
                <w:b/>
                <w:bCs/>
                <w:kern w:val="0"/>
                <w:sz w:val="24"/>
                <w:highlight w:val="none"/>
                <w:shd w:val="pct10" w:color="auto" w:fill="FFFFFF"/>
              </w:rPr>
              <w:t>供应商将应得分值填写准确</w:t>
            </w:r>
          </w:p>
        </w:tc>
      </w:tr>
      <w:tr w14:paraId="22ACE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509" w:type="dxa"/>
            <w:vAlign w:val="center"/>
          </w:tcPr>
          <w:p w14:paraId="04354364">
            <w:pPr>
              <w:jc w:val="center"/>
              <w:rPr>
                <w:rFonts w:ascii="宋体" w:hAnsi="宋体"/>
                <w:bCs/>
                <w:sz w:val="24"/>
                <w:highlight w:val="none"/>
              </w:rPr>
            </w:pPr>
            <w:r>
              <w:rPr>
                <w:rFonts w:hint="eastAsia" w:hAnsi="宋体" w:cs="宋体"/>
                <w:spacing w:val="-6"/>
                <w:sz w:val="24"/>
                <w:highlight w:val="none"/>
              </w:rPr>
              <w:t>5</w:t>
            </w:r>
          </w:p>
        </w:tc>
        <w:tc>
          <w:tcPr>
            <w:tcW w:w="2229" w:type="dxa"/>
            <w:vAlign w:val="center"/>
          </w:tcPr>
          <w:p w14:paraId="6D90FFEE">
            <w:pPr>
              <w:rPr>
                <w:rFonts w:hint="default" w:eastAsia="宋体"/>
                <w:sz w:val="24"/>
                <w:highlight w:val="none"/>
                <w:lang w:val="en-US" w:eastAsia="zh-CN"/>
              </w:rPr>
            </w:pPr>
            <w:r>
              <w:rPr>
                <w:rFonts w:hint="eastAsia"/>
                <w:sz w:val="24"/>
                <w:highlight w:val="none"/>
                <w:lang w:val="en-US" w:eastAsia="zh-CN"/>
              </w:rPr>
              <w:t>措施方案</w:t>
            </w:r>
          </w:p>
        </w:tc>
        <w:tc>
          <w:tcPr>
            <w:tcW w:w="854" w:type="dxa"/>
            <w:vAlign w:val="center"/>
          </w:tcPr>
          <w:p w14:paraId="76972B24">
            <w:pPr>
              <w:jc w:val="center"/>
              <w:rPr>
                <w:rFonts w:hint="eastAsia" w:ascii="宋体" w:hAnsi="宋体" w:eastAsia="宋体"/>
                <w:sz w:val="24"/>
                <w:highlight w:val="none"/>
                <w:lang w:val="en-US" w:eastAsia="zh-CN"/>
              </w:rPr>
            </w:pPr>
            <w:r>
              <w:rPr>
                <w:rFonts w:hint="eastAsia" w:ascii="宋体" w:hAnsi="宋体"/>
                <w:sz w:val="24"/>
                <w:highlight w:val="none"/>
                <w:lang w:val="en-US" w:eastAsia="zh-CN"/>
              </w:rPr>
              <w:t>6</w:t>
            </w:r>
          </w:p>
        </w:tc>
        <w:tc>
          <w:tcPr>
            <w:tcW w:w="998" w:type="dxa"/>
            <w:vAlign w:val="center"/>
          </w:tcPr>
          <w:p w14:paraId="59A2DF8C">
            <w:pPr>
              <w:jc w:val="left"/>
              <w:rPr>
                <w:rFonts w:ascii="宋体"/>
                <w:bCs/>
                <w:szCs w:val="21"/>
                <w:highlight w:val="none"/>
              </w:rPr>
            </w:pPr>
          </w:p>
        </w:tc>
        <w:tc>
          <w:tcPr>
            <w:tcW w:w="3563" w:type="dxa"/>
            <w:tcBorders>
              <w:top w:val="nil"/>
              <w:left w:val="nil"/>
              <w:bottom w:val="single" w:color="auto" w:sz="4" w:space="0"/>
              <w:right w:val="single" w:color="auto" w:sz="4" w:space="0"/>
            </w:tcBorders>
            <w:vAlign w:val="center"/>
          </w:tcPr>
          <w:p w14:paraId="0F555CF3">
            <w:pPr>
              <w:jc w:val="center"/>
              <w:rPr>
                <w:rFonts w:ascii="宋体"/>
                <w:bCs/>
                <w:szCs w:val="21"/>
                <w:highlight w:val="none"/>
              </w:rPr>
            </w:pPr>
          </w:p>
        </w:tc>
        <w:tc>
          <w:tcPr>
            <w:tcW w:w="1283" w:type="dxa"/>
            <w:tcBorders>
              <w:top w:val="nil"/>
              <w:left w:val="nil"/>
              <w:bottom w:val="single" w:color="auto" w:sz="4" w:space="0"/>
              <w:right w:val="single" w:color="auto" w:sz="4" w:space="0"/>
            </w:tcBorders>
            <w:vAlign w:val="center"/>
          </w:tcPr>
          <w:p w14:paraId="060C8224">
            <w:pPr>
              <w:jc w:val="center"/>
              <w:rPr>
                <w:rFonts w:ascii="宋体"/>
                <w:bCs/>
                <w:szCs w:val="21"/>
                <w:highlight w:val="none"/>
              </w:rPr>
            </w:pPr>
          </w:p>
        </w:tc>
      </w:tr>
      <w:tr w14:paraId="4AA57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509" w:type="dxa"/>
            <w:vAlign w:val="center"/>
          </w:tcPr>
          <w:p w14:paraId="189222E8">
            <w:pPr>
              <w:jc w:val="center"/>
              <w:rPr>
                <w:rFonts w:ascii="宋体"/>
                <w:bCs/>
                <w:sz w:val="24"/>
                <w:highlight w:val="none"/>
              </w:rPr>
            </w:pPr>
            <w:r>
              <w:rPr>
                <w:rFonts w:hint="eastAsia" w:hAnsi="宋体" w:cs="宋体"/>
                <w:spacing w:val="-6"/>
                <w:sz w:val="24"/>
                <w:highlight w:val="none"/>
              </w:rPr>
              <w:t>6</w:t>
            </w:r>
          </w:p>
        </w:tc>
        <w:tc>
          <w:tcPr>
            <w:tcW w:w="2229" w:type="dxa"/>
            <w:vAlign w:val="center"/>
          </w:tcPr>
          <w:p w14:paraId="3A302C8A">
            <w:pPr>
              <w:rPr>
                <w:sz w:val="24"/>
                <w:highlight w:val="none"/>
              </w:rPr>
            </w:pPr>
            <w:r>
              <w:rPr>
                <w:rFonts w:hint="eastAsia" w:ascii="宋体" w:hAnsi="宋体" w:eastAsia="宋体" w:cs="宋体"/>
                <w:i w:val="0"/>
                <w:iCs w:val="0"/>
                <w:color w:val="000000"/>
                <w:kern w:val="0"/>
                <w:sz w:val="24"/>
                <w:szCs w:val="24"/>
                <w:u w:val="none"/>
                <w:lang w:val="en-US" w:eastAsia="zh-CN" w:bidi="ar"/>
              </w:rPr>
              <w:t>应急预案</w:t>
            </w:r>
          </w:p>
        </w:tc>
        <w:tc>
          <w:tcPr>
            <w:tcW w:w="854" w:type="dxa"/>
            <w:vAlign w:val="center"/>
          </w:tcPr>
          <w:p w14:paraId="14306020">
            <w:pPr>
              <w:jc w:val="center"/>
              <w:rPr>
                <w:rFonts w:hint="eastAsia" w:ascii="宋体" w:hAnsi="宋体" w:eastAsia="宋体"/>
                <w:sz w:val="24"/>
                <w:highlight w:val="none"/>
                <w:lang w:val="en-US" w:eastAsia="zh-CN"/>
              </w:rPr>
            </w:pPr>
            <w:r>
              <w:rPr>
                <w:rFonts w:hint="eastAsia" w:ascii="宋体" w:hAnsi="宋体"/>
                <w:sz w:val="24"/>
                <w:highlight w:val="none"/>
                <w:lang w:val="en-US" w:eastAsia="zh-CN"/>
              </w:rPr>
              <w:t>6</w:t>
            </w:r>
          </w:p>
        </w:tc>
        <w:tc>
          <w:tcPr>
            <w:tcW w:w="998" w:type="dxa"/>
            <w:vAlign w:val="center"/>
          </w:tcPr>
          <w:p w14:paraId="7205049B">
            <w:pPr>
              <w:jc w:val="left"/>
              <w:rPr>
                <w:rFonts w:ascii="宋体"/>
                <w:bCs/>
                <w:szCs w:val="21"/>
                <w:highlight w:val="none"/>
              </w:rPr>
            </w:pPr>
          </w:p>
        </w:tc>
        <w:tc>
          <w:tcPr>
            <w:tcW w:w="3563" w:type="dxa"/>
            <w:tcBorders>
              <w:top w:val="nil"/>
              <w:left w:val="nil"/>
              <w:bottom w:val="single" w:color="auto" w:sz="4" w:space="0"/>
              <w:right w:val="single" w:color="auto" w:sz="4" w:space="0"/>
            </w:tcBorders>
            <w:vAlign w:val="center"/>
          </w:tcPr>
          <w:p w14:paraId="635F595D">
            <w:pPr>
              <w:jc w:val="center"/>
              <w:rPr>
                <w:rFonts w:ascii="宋体"/>
                <w:bCs/>
                <w:szCs w:val="21"/>
                <w:highlight w:val="none"/>
              </w:rPr>
            </w:pPr>
          </w:p>
        </w:tc>
        <w:tc>
          <w:tcPr>
            <w:tcW w:w="1283" w:type="dxa"/>
            <w:tcBorders>
              <w:top w:val="nil"/>
              <w:left w:val="nil"/>
              <w:bottom w:val="single" w:color="auto" w:sz="4" w:space="0"/>
              <w:right w:val="single" w:color="auto" w:sz="4" w:space="0"/>
            </w:tcBorders>
            <w:vAlign w:val="center"/>
          </w:tcPr>
          <w:p w14:paraId="088E5C30">
            <w:pPr>
              <w:jc w:val="center"/>
              <w:rPr>
                <w:rFonts w:ascii="宋体"/>
                <w:bCs/>
                <w:szCs w:val="21"/>
                <w:highlight w:val="none"/>
              </w:rPr>
            </w:pPr>
          </w:p>
        </w:tc>
      </w:tr>
      <w:tr w14:paraId="3ACF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509" w:type="dxa"/>
            <w:vAlign w:val="center"/>
          </w:tcPr>
          <w:p w14:paraId="79D25E40">
            <w:pPr>
              <w:jc w:val="center"/>
              <w:rPr>
                <w:rFonts w:ascii="宋体" w:hAnsi="宋体"/>
                <w:bCs/>
                <w:sz w:val="24"/>
                <w:highlight w:val="none"/>
              </w:rPr>
            </w:pPr>
            <w:r>
              <w:rPr>
                <w:rFonts w:hint="eastAsia" w:hAnsi="宋体" w:cs="宋体"/>
                <w:spacing w:val="-6"/>
                <w:sz w:val="24"/>
                <w:highlight w:val="none"/>
              </w:rPr>
              <w:t>7</w:t>
            </w:r>
          </w:p>
        </w:tc>
        <w:tc>
          <w:tcPr>
            <w:tcW w:w="2229" w:type="dxa"/>
            <w:vAlign w:val="center"/>
          </w:tcPr>
          <w:p w14:paraId="6AF595FC">
            <w:pPr>
              <w:rPr>
                <w:rFonts w:hint="default" w:ascii="宋体" w:hAnsi="宋体" w:eastAsia="宋体"/>
                <w:sz w:val="24"/>
                <w:highlight w:val="none"/>
                <w:lang w:val="en-US" w:eastAsia="zh-CN"/>
              </w:rPr>
            </w:pPr>
            <w:r>
              <w:rPr>
                <w:rFonts w:hint="eastAsia" w:ascii="宋体" w:hAnsi="宋体"/>
                <w:sz w:val="24"/>
                <w:highlight w:val="none"/>
                <w:lang w:val="en-US" w:eastAsia="zh-CN"/>
              </w:rPr>
              <w:t>安全管理方案</w:t>
            </w:r>
          </w:p>
        </w:tc>
        <w:tc>
          <w:tcPr>
            <w:tcW w:w="854" w:type="dxa"/>
            <w:vAlign w:val="center"/>
          </w:tcPr>
          <w:p w14:paraId="656DCDA6">
            <w:pPr>
              <w:jc w:val="center"/>
              <w:rPr>
                <w:rFonts w:hint="eastAsia" w:ascii="宋体" w:hAnsi="宋体" w:eastAsia="宋体"/>
                <w:sz w:val="24"/>
                <w:highlight w:val="none"/>
                <w:lang w:val="en-US" w:eastAsia="zh-CN"/>
              </w:rPr>
            </w:pPr>
            <w:r>
              <w:rPr>
                <w:rFonts w:hint="eastAsia" w:ascii="宋体" w:hAnsi="宋体"/>
                <w:sz w:val="24"/>
                <w:highlight w:val="none"/>
                <w:lang w:val="en-US" w:eastAsia="zh-CN"/>
              </w:rPr>
              <w:t>8</w:t>
            </w:r>
          </w:p>
        </w:tc>
        <w:tc>
          <w:tcPr>
            <w:tcW w:w="998" w:type="dxa"/>
            <w:vAlign w:val="center"/>
          </w:tcPr>
          <w:p w14:paraId="54BC1327">
            <w:pPr>
              <w:jc w:val="left"/>
              <w:rPr>
                <w:rFonts w:ascii="宋体"/>
                <w:bCs/>
                <w:szCs w:val="21"/>
                <w:highlight w:val="none"/>
              </w:rPr>
            </w:pPr>
          </w:p>
        </w:tc>
        <w:tc>
          <w:tcPr>
            <w:tcW w:w="3563" w:type="dxa"/>
            <w:vAlign w:val="center"/>
          </w:tcPr>
          <w:p w14:paraId="6EAAD1FB">
            <w:pPr>
              <w:jc w:val="center"/>
              <w:rPr>
                <w:rFonts w:ascii="宋体"/>
                <w:bCs/>
                <w:szCs w:val="21"/>
                <w:highlight w:val="none"/>
              </w:rPr>
            </w:pPr>
            <w:r>
              <w:rPr>
                <w:rFonts w:hint="eastAsia" w:ascii="宋体"/>
                <w:b/>
                <w:szCs w:val="21"/>
                <w:highlight w:val="none"/>
              </w:rPr>
              <w:t>/</w:t>
            </w:r>
          </w:p>
        </w:tc>
        <w:tc>
          <w:tcPr>
            <w:tcW w:w="1283" w:type="dxa"/>
            <w:vAlign w:val="center"/>
          </w:tcPr>
          <w:p w14:paraId="0A07DA80">
            <w:pPr>
              <w:jc w:val="center"/>
              <w:rPr>
                <w:rFonts w:ascii="宋体"/>
                <w:bCs/>
                <w:szCs w:val="21"/>
                <w:highlight w:val="none"/>
              </w:rPr>
            </w:pPr>
            <w:r>
              <w:rPr>
                <w:rFonts w:hint="eastAsia" w:ascii="宋体"/>
                <w:b/>
                <w:szCs w:val="21"/>
                <w:highlight w:val="none"/>
              </w:rPr>
              <w:t>/</w:t>
            </w:r>
          </w:p>
        </w:tc>
      </w:tr>
      <w:tr w14:paraId="796C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509" w:type="dxa"/>
            <w:vAlign w:val="center"/>
          </w:tcPr>
          <w:p w14:paraId="4847FA07">
            <w:pPr>
              <w:widowControl/>
              <w:jc w:val="center"/>
              <w:rPr>
                <w:rFonts w:ascii="宋体" w:cs="宋体"/>
                <w:kern w:val="0"/>
                <w:sz w:val="24"/>
                <w:highlight w:val="none"/>
              </w:rPr>
            </w:pPr>
            <w:r>
              <w:rPr>
                <w:rFonts w:hint="eastAsia" w:hAnsi="宋体" w:cs="宋体"/>
                <w:spacing w:val="-6"/>
                <w:sz w:val="24"/>
                <w:highlight w:val="none"/>
              </w:rPr>
              <w:t>8</w:t>
            </w:r>
          </w:p>
        </w:tc>
        <w:tc>
          <w:tcPr>
            <w:tcW w:w="2229" w:type="dxa"/>
            <w:vAlign w:val="center"/>
          </w:tcPr>
          <w:p w14:paraId="13212633">
            <w:pPr>
              <w:rPr>
                <w:rFonts w:hint="default" w:eastAsia="宋体"/>
                <w:sz w:val="24"/>
                <w:highlight w:val="none"/>
                <w:lang w:val="en-US" w:eastAsia="zh-CN"/>
              </w:rPr>
            </w:pPr>
            <w:r>
              <w:rPr>
                <w:rFonts w:hint="eastAsia"/>
                <w:sz w:val="24"/>
                <w:highlight w:val="none"/>
                <w:lang w:val="en-US" w:eastAsia="zh-CN"/>
              </w:rPr>
              <w:t>服务能力</w:t>
            </w:r>
          </w:p>
        </w:tc>
        <w:tc>
          <w:tcPr>
            <w:tcW w:w="854" w:type="dxa"/>
            <w:vAlign w:val="center"/>
          </w:tcPr>
          <w:p w14:paraId="330D822B">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21</w:t>
            </w:r>
          </w:p>
        </w:tc>
        <w:tc>
          <w:tcPr>
            <w:tcW w:w="998" w:type="dxa"/>
            <w:vAlign w:val="center"/>
          </w:tcPr>
          <w:p w14:paraId="49819553">
            <w:pPr>
              <w:pStyle w:val="14"/>
              <w:spacing w:after="120"/>
              <w:ind w:firstLine="400"/>
              <w:rPr>
                <w:rFonts w:ascii="宋体"/>
                <w:bCs/>
                <w:szCs w:val="21"/>
                <w:highlight w:val="none"/>
              </w:rPr>
            </w:pPr>
          </w:p>
        </w:tc>
        <w:tc>
          <w:tcPr>
            <w:tcW w:w="3563" w:type="dxa"/>
            <w:tcBorders>
              <w:top w:val="nil"/>
              <w:left w:val="nil"/>
              <w:bottom w:val="single" w:color="auto" w:sz="4" w:space="0"/>
              <w:right w:val="single" w:color="auto" w:sz="4" w:space="0"/>
            </w:tcBorders>
            <w:vAlign w:val="center"/>
          </w:tcPr>
          <w:p w14:paraId="3AD4A5FB">
            <w:pPr>
              <w:pStyle w:val="14"/>
              <w:spacing w:after="120"/>
              <w:ind w:firstLine="400"/>
              <w:jc w:val="center"/>
              <w:rPr>
                <w:rFonts w:ascii="宋体"/>
                <w:bCs/>
                <w:szCs w:val="21"/>
                <w:highlight w:val="none"/>
              </w:rPr>
            </w:pPr>
            <w:r>
              <w:rPr>
                <w:rFonts w:hint="eastAsia" w:ascii="宋体"/>
                <w:b/>
                <w:szCs w:val="21"/>
                <w:highlight w:val="none"/>
              </w:rPr>
              <w:t>/</w:t>
            </w:r>
          </w:p>
        </w:tc>
        <w:tc>
          <w:tcPr>
            <w:tcW w:w="1283" w:type="dxa"/>
            <w:tcBorders>
              <w:top w:val="nil"/>
              <w:left w:val="nil"/>
              <w:bottom w:val="single" w:color="auto" w:sz="4" w:space="0"/>
              <w:right w:val="single" w:color="auto" w:sz="4" w:space="0"/>
            </w:tcBorders>
            <w:vAlign w:val="center"/>
          </w:tcPr>
          <w:p w14:paraId="328E7AB5">
            <w:pPr>
              <w:pStyle w:val="14"/>
              <w:spacing w:after="120"/>
              <w:ind w:firstLine="400"/>
              <w:jc w:val="center"/>
              <w:rPr>
                <w:rFonts w:ascii="宋体"/>
                <w:bCs/>
                <w:szCs w:val="21"/>
                <w:highlight w:val="none"/>
              </w:rPr>
            </w:pPr>
            <w:r>
              <w:rPr>
                <w:rFonts w:hint="eastAsia" w:ascii="宋体"/>
                <w:b/>
                <w:szCs w:val="21"/>
                <w:highlight w:val="none"/>
              </w:rPr>
              <w:t>/</w:t>
            </w:r>
          </w:p>
        </w:tc>
      </w:tr>
      <w:tr w14:paraId="2CB70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2738" w:type="dxa"/>
            <w:gridSpan w:val="2"/>
            <w:vAlign w:val="center"/>
          </w:tcPr>
          <w:p w14:paraId="5B7AADE9">
            <w:pPr>
              <w:jc w:val="center"/>
              <w:rPr>
                <w:rFonts w:ascii="宋体"/>
                <w:sz w:val="24"/>
                <w:highlight w:val="none"/>
              </w:rPr>
            </w:pPr>
            <w:r>
              <w:rPr>
                <w:rFonts w:hint="eastAsia" w:ascii="宋体" w:hAnsi="宋体"/>
                <w:sz w:val="24"/>
                <w:highlight w:val="none"/>
              </w:rPr>
              <w:t>合计</w:t>
            </w:r>
          </w:p>
        </w:tc>
        <w:tc>
          <w:tcPr>
            <w:tcW w:w="854" w:type="dxa"/>
            <w:vAlign w:val="center"/>
          </w:tcPr>
          <w:p w14:paraId="23DC773B">
            <w:pPr>
              <w:jc w:val="center"/>
              <w:rPr>
                <w:rFonts w:ascii="宋体"/>
                <w:sz w:val="24"/>
                <w:highlight w:val="none"/>
              </w:rPr>
            </w:pPr>
            <w:r>
              <w:rPr>
                <w:rFonts w:hint="eastAsia" w:ascii="宋体"/>
                <w:sz w:val="24"/>
                <w:highlight w:val="none"/>
                <w:lang w:val="en-US" w:eastAsia="zh-CN"/>
              </w:rPr>
              <w:t>8</w:t>
            </w:r>
            <w:r>
              <w:rPr>
                <w:rFonts w:ascii="宋体"/>
                <w:sz w:val="24"/>
                <w:highlight w:val="none"/>
              </w:rPr>
              <w:t>0</w:t>
            </w:r>
            <w:r>
              <w:rPr>
                <w:rFonts w:hint="eastAsia" w:ascii="宋体"/>
                <w:sz w:val="24"/>
                <w:highlight w:val="none"/>
              </w:rPr>
              <w:t>分</w:t>
            </w:r>
          </w:p>
        </w:tc>
        <w:tc>
          <w:tcPr>
            <w:tcW w:w="998" w:type="dxa"/>
            <w:vAlign w:val="center"/>
          </w:tcPr>
          <w:p w14:paraId="7D3238D2">
            <w:pPr>
              <w:snapToGrid w:val="0"/>
              <w:jc w:val="left"/>
              <w:rPr>
                <w:rFonts w:ascii="宋体"/>
                <w:bCs/>
                <w:szCs w:val="21"/>
                <w:highlight w:val="none"/>
                <w:lang w:val="zh-CN"/>
              </w:rPr>
            </w:pPr>
          </w:p>
        </w:tc>
        <w:tc>
          <w:tcPr>
            <w:tcW w:w="3563" w:type="dxa"/>
            <w:tcBorders>
              <w:top w:val="nil"/>
              <w:left w:val="nil"/>
              <w:bottom w:val="single" w:color="auto" w:sz="4" w:space="0"/>
              <w:right w:val="single" w:color="auto" w:sz="4" w:space="0"/>
            </w:tcBorders>
            <w:vAlign w:val="center"/>
          </w:tcPr>
          <w:p w14:paraId="3869232A">
            <w:pPr>
              <w:snapToGrid w:val="0"/>
              <w:jc w:val="center"/>
              <w:rPr>
                <w:rFonts w:ascii="宋体"/>
                <w:bCs/>
                <w:szCs w:val="21"/>
                <w:highlight w:val="none"/>
                <w:lang w:val="zh-CN"/>
              </w:rPr>
            </w:pPr>
            <w:r>
              <w:rPr>
                <w:rFonts w:hint="eastAsia" w:ascii="宋体"/>
                <w:b/>
                <w:szCs w:val="21"/>
                <w:highlight w:val="none"/>
              </w:rPr>
              <w:t>/</w:t>
            </w:r>
          </w:p>
        </w:tc>
        <w:tc>
          <w:tcPr>
            <w:tcW w:w="1283" w:type="dxa"/>
            <w:tcBorders>
              <w:top w:val="nil"/>
              <w:left w:val="nil"/>
              <w:bottom w:val="single" w:color="auto" w:sz="4" w:space="0"/>
              <w:right w:val="single" w:color="auto" w:sz="4" w:space="0"/>
            </w:tcBorders>
            <w:vAlign w:val="center"/>
          </w:tcPr>
          <w:p w14:paraId="753BCEC5">
            <w:pPr>
              <w:snapToGrid w:val="0"/>
              <w:jc w:val="center"/>
              <w:rPr>
                <w:rFonts w:ascii="宋体"/>
                <w:bCs/>
                <w:szCs w:val="21"/>
                <w:highlight w:val="none"/>
                <w:lang w:val="zh-CN"/>
              </w:rPr>
            </w:pPr>
            <w:r>
              <w:rPr>
                <w:rFonts w:hint="eastAsia" w:ascii="宋体"/>
                <w:b/>
                <w:szCs w:val="21"/>
                <w:highlight w:val="none"/>
              </w:rPr>
              <w:t>/</w:t>
            </w:r>
          </w:p>
        </w:tc>
      </w:tr>
    </w:tbl>
    <w:p w14:paraId="3AC81148">
      <w:pPr>
        <w:pStyle w:val="3"/>
        <w:spacing w:before="120" w:after="120" w:line="360" w:lineRule="auto"/>
        <w:jc w:val="center"/>
        <w:rPr>
          <w:rFonts w:ascii="宋体" w:hAnsi="宋体" w:cs="宋体"/>
          <w:kern w:val="0"/>
          <w:sz w:val="48"/>
          <w:szCs w:val="48"/>
          <w:highlight w:val="none"/>
        </w:rPr>
      </w:pPr>
      <w:r>
        <w:rPr>
          <w:sz w:val="30"/>
          <w:szCs w:val="30"/>
          <w:highlight w:val="none"/>
        </w:rPr>
        <w:br w:type="page"/>
      </w:r>
      <w:bookmarkStart w:id="54" w:name="_Toc30319"/>
      <w:bookmarkStart w:id="55" w:name="_Toc24212"/>
      <w:r>
        <w:rPr>
          <w:rFonts w:hint="eastAsia"/>
          <w:sz w:val="30"/>
          <w:szCs w:val="30"/>
          <w:highlight w:val="none"/>
        </w:rPr>
        <w:t>第五章  合同主要条款</w:t>
      </w:r>
      <w:bookmarkEnd w:id="54"/>
      <w:bookmarkEnd w:id="55"/>
      <w:bookmarkStart w:id="56" w:name="_Toc251160747"/>
    </w:p>
    <w:bookmarkEnd w:id="56"/>
    <w:p w14:paraId="030E03DD">
      <w:pPr>
        <w:adjustRightInd w:val="0"/>
        <w:spacing w:line="240" w:lineRule="atLeast"/>
        <w:jc w:val="center"/>
        <w:rPr>
          <w:rFonts w:hAnsi="宋体"/>
          <w:sz w:val="28"/>
          <w:szCs w:val="28"/>
          <w:highlight w:val="none"/>
          <w:shd w:val="pct10" w:color="auto" w:fill="FFFFFF"/>
        </w:rPr>
      </w:pPr>
      <w:bookmarkStart w:id="57" w:name="_Toc466534751"/>
      <w:r>
        <w:rPr>
          <w:rFonts w:hint="eastAsia" w:hAnsi="宋体"/>
          <w:sz w:val="28"/>
          <w:szCs w:val="28"/>
          <w:highlight w:val="none"/>
          <w:shd w:val="pct10" w:color="auto" w:fill="FFFFFF"/>
        </w:rPr>
        <w:t>（此稿为合同样本，最终定稿待双方协商后商定）</w:t>
      </w:r>
    </w:p>
    <w:p w14:paraId="0648D212">
      <w:pPr>
        <w:spacing w:line="480" w:lineRule="exact"/>
        <w:jc w:val="center"/>
        <w:rPr>
          <w:rFonts w:hAnsi="宋体"/>
          <w:b/>
          <w:sz w:val="30"/>
          <w:szCs w:val="30"/>
          <w:highlight w:val="none"/>
        </w:rPr>
      </w:pPr>
    </w:p>
    <w:p w14:paraId="0AC24AE1">
      <w:pPr>
        <w:snapToGrid w:val="0"/>
        <w:spacing w:line="480" w:lineRule="exact"/>
        <w:rPr>
          <w:rFonts w:ascii="宋体" w:hAnsi="宋体"/>
          <w:kern w:val="0"/>
          <w:sz w:val="24"/>
          <w:highlight w:val="none"/>
          <w:lang w:val="zh-CN"/>
        </w:rPr>
      </w:pPr>
      <w:r>
        <w:rPr>
          <w:rFonts w:hint="eastAsia" w:ascii="宋体" w:hAnsi="宋体"/>
          <w:kern w:val="0"/>
          <w:sz w:val="24"/>
          <w:highlight w:val="none"/>
          <w:lang w:val="zh-CN"/>
        </w:rPr>
        <w:t>项目名称：                                 项目编号：</w:t>
      </w:r>
    </w:p>
    <w:p w14:paraId="75EE2778">
      <w:pPr>
        <w:snapToGrid w:val="0"/>
        <w:spacing w:line="480" w:lineRule="exact"/>
        <w:rPr>
          <w:rFonts w:ascii="宋体" w:hAnsi="宋体"/>
          <w:kern w:val="0"/>
          <w:sz w:val="24"/>
          <w:highlight w:val="none"/>
          <w:lang w:val="zh-CN"/>
        </w:rPr>
      </w:pPr>
      <w:r>
        <w:rPr>
          <w:rFonts w:hint="eastAsia" w:ascii="宋体" w:hAnsi="宋体"/>
          <w:kern w:val="0"/>
          <w:sz w:val="24"/>
          <w:highlight w:val="none"/>
          <w:lang w:val="zh-CN"/>
        </w:rPr>
        <w:t>甲方：（采购方）                           乙方：（</w:t>
      </w:r>
      <w:r>
        <w:rPr>
          <w:rFonts w:hint="eastAsia" w:ascii="宋体" w:hAnsi="宋体"/>
          <w:kern w:val="0"/>
          <w:sz w:val="24"/>
          <w:highlight w:val="none"/>
        </w:rPr>
        <w:t>成交供应商</w:t>
      </w:r>
      <w:r>
        <w:rPr>
          <w:rFonts w:hint="eastAsia" w:ascii="宋体" w:hAnsi="宋体"/>
          <w:kern w:val="0"/>
          <w:sz w:val="24"/>
          <w:highlight w:val="none"/>
          <w:lang w:val="zh-CN"/>
        </w:rPr>
        <w:t>）</w:t>
      </w:r>
    </w:p>
    <w:p w14:paraId="0F8BFF25">
      <w:pPr>
        <w:snapToGrid w:val="0"/>
        <w:spacing w:line="480" w:lineRule="exact"/>
        <w:rPr>
          <w:rFonts w:ascii="宋体" w:hAnsi="宋体"/>
          <w:kern w:val="0"/>
          <w:sz w:val="24"/>
          <w:highlight w:val="none"/>
          <w:lang w:val="zh-CN"/>
        </w:rPr>
      </w:pPr>
      <w:r>
        <w:rPr>
          <w:rFonts w:hint="eastAsia" w:ascii="宋体" w:hAnsi="宋体"/>
          <w:kern w:val="0"/>
          <w:sz w:val="24"/>
          <w:highlight w:val="none"/>
          <w:lang w:val="zh-CN"/>
        </w:rPr>
        <w:t>见证方：采购代理机构</w:t>
      </w:r>
    </w:p>
    <w:p w14:paraId="5FEC55B6">
      <w:pPr>
        <w:snapToGrid w:val="0"/>
        <w:spacing w:before="120" w:after="120" w:line="460" w:lineRule="exact"/>
        <w:ind w:firstLine="480" w:firstLineChars="200"/>
        <w:rPr>
          <w:rFonts w:ascii="宋体" w:hAnsi="宋体"/>
          <w:sz w:val="24"/>
          <w:highlight w:val="none"/>
        </w:rPr>
      </w:pPr>
      <w:r>
        <w:rPr>
          <w:rFonts w:hint="eastAsia" w:ascii="宋体" w:hAnsi="宋体"/>
          <w:sz w:val="24"/>
          <w:highlight w:val="none"/>
        </w:rPr>
        <w:t>甲、乙双方根据《中华人民共和国民法典》和_______________________项目磋商文件的相关规定，双方达成一致签署本合同。</w:t>
      </w:r>
    </w:p>
    <w:p w14:paraId="3F9D2453">
      <w:pPr>
        <w:snapToGrid w:val="0"/>
        <w:spacing w:before="120" w:after="120" w:line="460" w:lineRule="exact"/>
        <w:rPr>
          <w:rFonts w:ascii="宋体" w:hAnsi="宋体"/>
          <w:b/>
          <w:sz w:val="24"/>
          <w:highlight w:val="none"/>
        </w:rPr>
      </w:pPr>
      <w:r>
        <w:rPr>
          <w:rFonts w:hint="eastAsia" w:ascii="宋体" w:hAnsi="宋体"/>
          <w:b/>
          <w:sz w:val="24"/>
          <w:highlight w:val="none"/>
        </w:rPr>
        <w:t>一、项目内容</w:t>
      </w:r>
    </w:p>
    <w:p w14:paraId="7E322004">
      <w:pPr>
        <w:pStyle w:val="401"/>
        <w:rPr>
          <w:highlight w:val="none"/>
        </w:rPr>
      </w:pPr>
    </w:p>
    <w:p w14:paraId="027D20A6">
      <w:pPr>
        <w:snapToGrid w:val="0"/>
        <w:spacing w:before="120" w:after="120" w:line="460" w:lineRule="exact"/>
        <w:rPr>
          <w:rFonts w:ascii="宋体" w:hAnsi="宋体"/>
          <w:b/>
          <w:sz w:val="24"/>
          <w:highlight w:val="none"/>
        </w:rPr>
      </w:pPr>
      <w:r>
        <w:rPr>
          <w:rFonts w:hint="eastAsia" w:ascii="宋体" w:hAnsi="宋体"/>
          <w:b/>
          <w:sz w:val="24"/>
          <w:highlight w:val="none"/>
        </w:rPr>
        <w:t>二、合同金额</w:t>
      </w:r>
    </w:p>
    <w:p w14:paraId="226D9E62">
      <w:pPr>
        <w:snapToGrid w:val="0"/>
        <w:spacing w:before="120" w:after="120" w:line="460" w:lineRule="exact"/>
        <w:ind w:left="479" w:leftChars="228" w:firstLine="69" w:firstLineChars="29"/>
        <w:rPr>
          <w:rFonts w:ascii="宋体" w:hAnsi="宋体"/>
          <w:sz w:val="24"/>
          <w:highlight w:val="none"/>
        </w:rPr>
      </w:pPr>
      <w:r>
        <w:rPr>
          <w:rFonts w:hint="eastAsia" w:ascii="宋体" w:hAnsi="宋体"/>
          <w:sz w:val="24"/>
          <w:highlight w:val="none"/>
        </w:rPr>
        <w:t>本合同金额为（大写）：_____________________元（￥_______________元）人民币。</w:t>
      </w:r>
    </w:p>
    <w:p w14:paraId="43B84295">
      <w:pPr>
        <w:snapToGrid w:val="0"/>
        <w:spacing w:before="120" w:after="120" w:line="460" w:lineRule="exact"/>
        <w:rPr>
          <w:rFonts w:ascii="宋体" w:hAnsi="宋体"/>
          <w:b/>
          <w:sz w:val="24"/>
          <w:highlight w:val="none"/>
        </w:rPr>
      </w:pPr>
      <w:r>
        <w:rPr>
          <w:rFonts w:hint="eastAsia" w:ascii="宋体" w:hAnsi="宋体"/>
          <w:b/>
          <w:sz w:val="24"/>
          <w:highlight w:val="none"/>
        </w:rPr>
        <w:t>三、技术资料</w:t>
      </w:r>
    </w:p>
    <w:p w14:paraId="20C5BE55">
      <w:pPr>
        <w:snapToGrid w:val="0"/>
        <w:spacing w:before="120" w:after="120" w:line="460" w:lineRule="exact"/>
        <w:ind w:firstLine="480" w:firstLineChars="200"/>
        <w:rPr>
          <w:rFonts w:ascii="宋体" w:hAnsi="宋体"/>
          <w:sz w:val="24"/>
          <w:highlight w:val="none"/>
        </w:rPr>
      </w:pPr>
      <w:r>
        <w:rPr>
          <w:rFonts w:hint="eastAsia" w:ascii="宋体" w:hAnsi="宋体"/>
          <w:sz w:val="24"/>
          <w:highlight w:val="none"/>
        </w:rPr>
        <w:t>1. 乙方应按磋商文件规定的时间向甲方提供有关技术资料。</w:t>
      </w:r>
    </w:p>
    <w:p w14:paraId="7F09CC4F">
      <w:pPr>
        <w:snapToGrid w:val="0"/>
        <w:spacing w:before="120" w:after="120" w:line="460" w:lineRule="exact"/>
        <w:ind w:firstLine="480" w:firstLineChars="200"/>
        <w:rPr>
          <w:rFonts w:ascii="宋体" w:hAnsi="宋体"/>
          <w:sz w:val="24"/>
          <w:highlight w:val="none"/>
        </w:rPr>
      </w:pPr>
      <w:r>
        <w:rPr>
          <w:rFonts w:hint="eastAsia" w:ascii="宋体" w:hAnsi="宋体"/>
          <w:sz w:val="24"/>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33A5FD7">
      <w:pPr>
        <w:snapToGrid w:val="0"/>
        <w:spacing w:before="120" w:after="120" w:line="460" w:lineRule="exact"/>
        <w:ind w:left="412" w:hanging="412" w:hangingChars="171"/>
        <w:rPr>
          <w:rFonts w:ascii="宋体" w:hAnsi="宋体"/>
          <w:b/>
          <w:sz w:val="24"/>
          <w:highlight w:val="none"/>
        </w:rPr>
      </w:pPr>
      <w:r>
        <w:rPr>
          <w:rFonts w:hint="eastAsia" w:ascii="宋体" w:hAnsi="宋体"/>
          <w:b/>
          <w:sz w:val="24"/>
          <w:highlight w:val="none"/>
        </w:rPr>
        <w:t>四、知识产权</w:t>
      </w:r>
    </w:p>
    <w:p w14:paraId="7E91453D">
      <w:pPr>
        <w:snapToGrid w:val="0"/>
        <w:spacing w:before="120" w:after="120" w:line="460" w:lineRule="exact"/>
        <w:ind w:left="479" w:leftChars="228" w:firstLine="69" w:firstLineChars="29"/>
        <w:rPr>
          <w:rFonts w:ascii="宋体" w:hAnsi="宋体"/>
          <w:b/>
          <w:bCs/>
          <w:sz w:val="24"/>
          <w:highlight w:val="none"/>
        </w:rPr>
      </w:pPr>
      <w:r>
        <w:rPr>
          <w:rFonts w:hint="eastAsia" w:ascii="宋体" w:hAnsi="宋体"/>
          <w:sz w:val="24"/>
          <w:highlight w:val="none"/>
        </w:rPr>
        <w:t>乙方应保证提供服务过程中不会侵犯任何第三方的</w:t>
      </w:r>
      <w:r>
        <w:rPr>
          <w:rFonts w:hint="eastAsia" w:ascii="宋体" w:hAnsi="宋体"/>
          <w:b/>
          <w:sz w:val="24"/>
          <w:highlight w:val="none"/>
        </w:rPr>
        <w:t>知识产权</w:t>
      </w:r>
      <w:r>
        <w:rPr>
          <w:rFonts w:hint="eastAsia" w:ascii="宋体" w:hAnsi="宋体"/>
          <w:b/>
          <w:bCs/>
          <w:sz w:val="24"/>
          <w:highlight w:val="none"/>
        </w:rPr>
        <w:t>。</w:t>
      </w:r>
    </w:p>
    <w:p w14:paraId="5CF6488B">
      <w:pPr>
        <w:snapToGrid w:val="0"/>
        <w:spacing w:before="120" w:after="120" w:line="460" w:lineRule="exact"/>
        <w:ind w:left="410" w:hanging="410" w:hangingChars="170"/>
        <w:rPr>
          <w:rFonts w:ascii="宋体" w:hAnsi="宋体"/>
          <w:b/>
          <w:sz w:val="24"/>
          <w:highlight w:val="none"/>
        </w:rPr>
      </w:pPr>
      <w:r>
        <w:rPr>
          <w:rFonts w:hint="eastAsia" w:ascii="宋体" w:hAnsi="宋体"/>
          <w:b/>
          <w:sz w:val="24"/>
          <w:highlight w:val="none"/>
        </w:rPr>
        <w:t>五、履约保证金</w:t>
      </w:r>
    </w:p>
    <w:p w14:paraId="1111410A">
      <w:pPr>
        <w:snapToGrid w:val="0"/>
        <w:spacing w:before="120" w:beforeLines="50" w:after="120" w:afterLines="50" w:line="460" w:lineRule="exact"/>
        <w:rPr>
          <w:rFonts w:ascii="宋体" w:hAnsi="宋体"/>
          <w:b/>
          <w:sz w:val="24"/>
          <w:highlight w:val="none"/>
        </w:rPr>
      </w:pPr>
      <w:r>
        <w:rPr>
          <w:rFonts w:hint="eastAsia" w:ascii="宋体" w:hAnsi="宋体"/>
          <w:b/>
          <w:sz w:val="24"/>
          <w:highlight w:val="none"/>
        </w:rPr>
        <w:t>六、转包或分包</w:t>
      </w:r>
    </w:p>
    <w:p w14:paraId="5E0E4ECC">
      <w:pPr>
        <w:snapToGrid w:val="0"/>
        <w:spacing w:before="120" w:beforeLines="50" w:after="120" w:afterLines="50" w:line="460" w:lineRule="exact"/>
        <w:ind w:firstLine="480" w:firstLineChars="200"/>
        <w:rPr>
          <w:rFonts w:ascii="宋体" w:hAnsi="宋体"/>
          <w:sz w:val="24"/>
          <w:highlight w:val="none"/>
        </w:rPr>
      </w:pPr>
      <w:r>
        <w:rPr>
          <w:rFonts w:hint="eastAsia" w:ascii="宋体" w:hAnsi="宋体"/>
          <w:sz w:val="24"/>
          <w:highlight w:val="none"/>
        </w:rPr>
        <w:t>1.本合同范围的服务，应由</w:t>
      </w:r>
      <w:r>
        <w:rPr>
          <w:rFonts w:hint="eastAsia" w:hAnsi="宋体"/>
          <w:sz w:val="24"/>
          <w:highlight w:val="none"/>
        </w:rPr>
        <w:t>乙</w:t>
      </w:r>
      <w:r>
        <w:rPr>
          <w:rFonts w:hint="eastAsia" w:ascii="宋体" w:hAnsi="宋体"/>
          <w:sz w:val="24"/>
          <w:highlight w:val="none"/>
        </w:rPr>
        <w:t>方直接供应，不得转让他人供应；</w:t>
      </w:r>
    </w:p>
    <w:p w14:paraId="2AAC7E7B">
      <w:pPr>
        <w:snapToGrid w:val="0"/>
        <w:spacing w:before="120" w:beforeLines="50" w:after="120" w:afterLines="50" w:line="460" w:lineRule="exact"/>
        <w:ind w:firstLine="480" w:firstLineChars="200"/>
        <w:rPr>
          <w:rFonts w:ascii="宋体" w:hAnsi="宋体"/>
          <w:sz w:val="24"/>
          <w:highlight w:val="none"/>
        </w:rPr>
      </w:pPr>
      <w:r>
        <w:rPr>
          <w:rFonts w:hint="eastAsia" w:ascii="宋体" w:hAnsi="宋体"/>
          <w:sz w:val="24"/>
          <w:highlight w:val="none"/>
        </w:rPr>
        <w:t>2.除非得到甲方的书面同意，</w:t>
      </w:r>
      <w:r>
        <w:rPr>
          <w:rFonts w:hint="eastAsia" w:hAnsi="宋体"/>
          <w:sz w:val="24"/>
          <w:highlight w:val="none"/>
        </w:rPr>
        <w:t>乙</w:t>
      </w:r>
      <w:r>
        <w:rPr>
          <w:rFonts w:hint="eastAsia" w:ascii="宋体" w:hAnsi="宋体"/>
          <w:sz w:val="24"/>
          <w:highlight w:val="none"/>
        </w:rPr>
        <w:t>方不得将本合同范围的服务全部或部分分包给他人供应；</w:t>
      </w:r>
    </w:p>
    <w:p w14:paraId="3159ADFC">
      <w:pPr>
        <w:snapToGrid w:val="0"/>
        <w:spacing w:before="120" w:beforeLines="50" w:after="120" w:afterLines="50" w:line="460" w:lineRule="exact"/>
        <w:ind w:firstLine="480" w:firstLineChars="200"/>
        <w:rPr>
          <w:rFonts w:ascii="宋体" w:hAnsi="宋体"/>
          <w:sz w:val="24"/>
          <w:highlight w:val="none"/>
        </w:rPr>
      </w:pPr>
      <w:r>
        <w:rPr>
          <w:rFonts w:hint="eastAsia" w:ascii="宋体" w:hAnsi="宋体"/>
          <w:sz w:val="24"/>
          <w:highlight w:val="none"/>
        </w:rPr>
        <w:t>如有转让和未经甲方同意的分包行为，甲方有权解除合同并追究乙方的违约责任。</w:t>
      </w:r>
    </w:p>
    <w:p w14:paraId="775D5FDB">
      <w:pPr>
        <w:snapToGrid w:val="0"/>
        <w:spacing w:before="120" w:after="120" w:line="460" w:lineRule="exact"/>
        <w:rPr>
          <w:rFonts w:ascii="宋体" w:hAnsi="宋体"/>
          <w:sz w:val="24"/>
          <w:highlight w:val="none"/>
        </w:rPr>
      </w:pPr>
      <w:r>
        <w:rPr>
          <w:rFonts w:hint="eastAsia" w:ascii="宋体" w:hAnsi="宋体"/>
          <w:b/>
          <w:sz w:val="24"/>
          <w:highlight w:val="none"/>
        </w:rPr>
        <w:t>七、服务质量保证期</w:t>
      </w:r>
    </w:p>
    <w:p w14:paraId="1AE7D78B">
      <w:pPr>
        <w:snapToGrid w:val="0"/>
        <w:spacing w:before="120" w:after="120" w:line="460" w:lineRule="exact"/>
        <w:ind w:left="479" w:leftChars="228" w:firstLine="69" w:firstLineChars="29"/>
        <w:rPr>
          <w:rFonts w:ascii="宋体" w:hAnsi="宋体"/>
          <w:sz w:val="24"/>
          <w:highlight w:val="none"/>
        </w:rPr>
      </w:pPr>
      <w:r>
        <w:rPr>
          <w:rFonts w:hint="eastAsia" w:ascii="宋体" w:hAnsi="宋体"/>
          <w:sz w:val="24"/>
          <w:highlight w:val="none"/>
        </w:rPr>
        <w:t xml:space="preserve">1.服务质量保证期 </w:t>
      </w:r>
      <w:r>
        <w:rPr>
          <w:rFonts w:hint="eastAsia" w:ascii="宋体" w:hAnsi="宋体"/>
          <w:sz w:val="24"/>
          <w:highlight w:val="none"/>
          <w:u w:val="single"/>
        </w:rPr>
        <w:t xml:space="preserve">  /   </w:t>
      </w:r>
      <w:r>
        <w:rPr>
          <w:rFonts w:hint="eastAsia" w:ascii="宋体" w:hAnsi="宋体"/>
          <w:sz w:val="24"/>
          <w:highlight w:val="none"/>
        </w:rPr>
        <w:t>年。（自验收合格之日起计）</w:t>
      </w:r>
    </w:p>
    <w:p w14:paraId="73920F7B">
      <w:pPr>
        <w:snapToGrid w:val="0"/>
        <w:spacing w:before="120" w:after="120" w:line="460" w:lineRule="exact"/>
        <w:rPr>
          <w:rFonts w:ascii="宋体" w:hAnsi="宋体"/>
          <w:b/>
          <w:sz w:val="24"/>
          <w:highlight w:val="none"/>
        </w:rPr>
      </w:pPr>
      <w:r>
        <w:rPr>
          <w:rFonts w:hint="eastAsia" w:ascii="宋体" w:hAnsi="宋体"/>
          <w:b/>
          <w:sz w:val="24"/>
          <w:highlight w:val="none"/>
        </w:rPr>
        <w:t>八、合同履行时间、履行方式及履行地点</w:t>
      </w:r>
    </w:p>
    <w:p w14:paraId="738BC456">
      <w:pPr>
        <w:snapToGrid w:val="0"/>
        <w:spacing w:before="120" w:after="120" w:line="460" w:lineRule="exact"/>
        <w:ind w:firstLine="480" w:firstLineChars="200"/>
        <w:rPr>
          <w:rFonts w:ascii="宋体" w:hAnsi="宋体"/>
          <w:bCs/>
          <w:sz w:val="24"/>
          <w:highlight w:val="none"/>
        </w:rPr>
      </w:pPr>
      <w:r>
        <w:rPr>
          <w:rFonts w:hint="eastAsia" w:ascii="宋体" w:hAnsi="宋体"/>
          <w:bCs/>
          <w:sz w:val="24"/>
          <w:highlight w:val="none"/>
        </w:rPr>
        <w:t xml:space="preserve">1. </w:t>
      </w:r>
      <w:r>
        <w:rPr>
          <w:rFonts w:hint="eastAsia" w:ascii="宋体" w:hAnsi="宋体"/>
          <w:sz w:val="24"/>
          <w:highlight w:val="none"/>
        </w:rPr>
        <w:t>履行时间</w:t>
      </w:r>
      <w:r>
        <w:rPr>
          <w:rFonts w:hint="eastAsia" w:ascii="宋体" w:hAnsi="宋体"/>
          <w:bCs/>
          <w:sz w:val="24"/>
          <w:highlight w:val="none"/>
        </w:rPr>
        <w:t>：</w:t>
      </w:r>
    </w:p>
    <w:p w14:paraId="3F0ED45C">
      <w:pPr>
        <w:snapToGrid w:val="0"/>
        <w:spacing w:before="120" w:after="120" w:line="460" w:lineRule="exact"/>
        <w:ind w:firstLine="480" w:firstLineChars="200"/>
        <w:rPr>
          <w:rFonts w:ascii="宋体" w:hAnsi="宋体"/>
          <w:bCs/>
          <w:sz w:val="24"/>
          <w:highlight w:val="none"/>
        </w:rPr>
      </w:pPr>
      <w:r>
        <w:rPr>
          <w:rFonts w:hint="eastAsia" w:ascii="宋体" w:hAnsi="宋体"/>
          <w:bCs/>
          <w:sz w:val="24"/>
          <w:highlight w:val="none"/>
        </w:rPr>
        <w:t xml:space="preserve">2. </w:t>
      </w:r>
      <w:r>
        <w:rPr>
          <w:rFonts w:hint="eastAsia" w:ascii="宋体" w:hAnsi="宋体"/>
          <w:sz w:val="24"/>
          <w:highlight w:val="none"/>
        </w:rPr>
        <w:t>履行方式</w:t>
      </w:r>
      <w:r>
        <w:rPr>
          <w:rFonts w:hint="eastAsia" w:ascii="宋体" w:hAnsi="宋体"/>
          <w:bCs/>
          <w:sz w:val="24"/>
          <w:highlight w:val="none"/>
        </w:rPr>
        <w:t>：</w:t>
      </w:r>
    </w:p>
    <w:p w14:paraId="1C011EEB">
      <w:pPr>
        <w:snapToGrid w:val="0"/>
        <w:spacing w:before="120" w:after="120" w:line="460" w:lineRule="exact"/>
        <w:ind w:firstLine="480" w:firstLineChars="200"/>
        <w:rPr>
          <w:rFonts w:ascii="宋体" w:hAnsi="宋体"/>
          <w:sz w:val="24"/>
          <w:highlight w:val="none"/>
        </w:rPr>
      </w:pPr>
      <w:r>
        <w:rPr>
          <w:rFonts w:hint="eastAsia" w:ascii="宋体" w:hAnsi="宋体"/>
          <w:bCs/>
          <w:sz w:val="24"/>
          <w:highlight w:val="none"/>
        </w:rPr>
        <w:t xml:space="preserve">3. </w:t>
      </w:r>
      <w:r>
        <w:rPr>
          <w:rFonts w:hint="eastAsia" w:ascii="宋体" w:hAnsi="宋体"/>
          <w:sz w:val="24"/>
          <w:highlight w:val="none"/>
        </w:rPr>
        <w:t>履行地点</w:t>
      </w:r>
      <w:r>
        <w:rPr>
          <w:rFonts w:hint="eastAsia" w:ascii="宋体" w:hAnsi="宋体"/>
          <w:bCs/>
          <w:sz w:val="24"/>
          <w:highlight w:val="none"/>
        </w:rPr>
        <w:t>：</w:t>
      </w:r>
    </w:p>
    <w:p w14:paraId="34AB8CAB">
      <w:pPr>
        <w:snapToGrid w:val="0"/>
        <w:spacing w:before="120" w:after="120" w:line="460" w:lineRule="exact"/>
        <w:rPr>
          <w:rFonts w:ascii="宋体" w:hAnsi="宋体"/>
          <w:b/>
          <w:sz w:val="24"/>
          <w:highlight w:val="none"/>
        </w:rPr>
      </w:pPr>
      <w:r>
        <w:rPr>
          <w:rFonts w:hint="eastAsia" w:ascii="宋体" w:hAnsi="宋体"/>
          <w:b/>
          <w:sz w:val="24"/>
          <w:highlight w:val="none"/>
        </w:rPr>
        <w:t>九、款项支付</w:t>
      </w:r>
    </w:p>
    <w:p w14:paraId="26FEB981">
      <w:pPr>
        <w:snapToGrid w:val="0"/>
        <w:spacing w:before="120" w:after="120" w:line="460" w:lineRule="exact"/>
        <w:ind w:firstLine="480" w:firstLineChars="200"/>
        <w:rPr>
          <w:rFonts w:ascii="宋体" w:hAnsi="宋体"/>
          <w:bCs/>
          <w:sz w:val="24"/>
          <w:highlight w:val="none"/>
        </w:rPr>
      </w:pPr>
      <w:r>
        <w:rPr>
          <w:rFonts w:hint="eastAsia" w:ascii="宋体" w:hAnsi="宋体"/>
          <w:bCs/>
          <w:sz w:val="24"/>
          <w:highlight w:val="none"/>
        </w:rPr>
        <w:t>付款方式：</w:t>
      </w:r>
    </w:p>
    <w:p w14:paraId="0D7BB2C8">
      <w:pPr>
        <w:snapToGrid w:val="0"/>
        <w:spacing w:before="120" w:beforeLines="50" w:after="120" w:afterLines="50" w:line="460" w:lineRule="exact"/>
        <w:rPr>
          <w:rFonts w:ascii="宋体" w:hAnsi="宋体"/>
          <w:b/>
          <w:sz w:val="24"/>
          <w:highlight w:val="none"/>
        </w:rPr>
      </w:pPr>
      <w:r>
        <w:rPr>
          <w:rFonts w:hint="eastAsia" w:ascii="宋体" w:hAnsi="宋体"/>
          <w:b/>
          <w:sz w:val="24"/>
          <w:highlight w:val="none"/>
        </w:rPr>
        <w:t>十、税费</w:t>
      </w:r>
    </w:p>
    <w:p w14:paraId="0B427597">
      <w:pPr>
        <w:snapToGrid w:val="0"/>
        <w:spacing w:before="120" w:beforeLines="50" w:after="120" w:afterLines="50" w:line="460" w:lineRule="exact"/>
        <w:ind w:firstLine="480" w:firstLineChars="200"/>
        <w:rPr>
          <w:rFonts w:ascii="宋体" w:hAnsi="宋体"/>
          <w:sz w:val="24"/>
          <w:highlight w:val="none"/>
        </w:rPr>
      </w:pPr>
      <w:r>
        <w:rPr>
          <w:rFonts w:hint="eastAsia" w:ascii="宋体" w:hAnsi="宋体"/>
          <w:sz w:val="24"/>
          <w:highlight w:val="none"/>
        </w:rPr>
        <w:t>本合同执行中相关的一切税费均由</w:t>
      </w:r>
      <w:r>
        <w:rPr>
          <w:rFonts w:hint="eastAsia" w:hAnsi="宋体"/>
          <w:sz w:val="24"/>
          <w:highlight w:val="none"/>
        </w:rPr>
        <w:t>乙</w:t>
      </w:r>
      <w:r>
        <w:rPr>
          <w:rFonts w:hint="eastAsia" w:ascii="宋体" w:hAnsi="宋体"/>
          <w:sz w:val="24"/>
          <w:highlight w:val="none"/>
        </w:rPr>
        <w:t>方负担。</w:t>
      </w:r>
    </w:p>
    <w:p w14:paraId="4F71E8C0">
      <w:pPr>
        <w:snapToGrid w:val="0"/>
        <w:spacing w:before="120" w:after="120" w:line="460" w:lineRule="exact"/>
        <w:ind w:left="412" w:hanging="412" w:hangingChars="171"/>
        <w:rPr>
          <w:rFonts w:ascii="宋体" w:hAnsi="宋体"/>
          <w:sz w:val="24"/>
          <w:highlight w:val="none"/>
        </w:rPr>
      </w:pPr>
      <w:r>
        <w:rPr>
          <w:rFonts w:hint="eastAsia" w:ascii="宋体" w:hAnsi="宋体"/>
          <w:b/>
          <w:sz w:val="24"/>
          <w:highlight w:val="none"/>
        </w:rPr>
        <w:t>十一、质量保证及后续服务</w:t>
      </w:r>
    </w:p>
    <w:p w14:paraId="6F41CC11">
      <w:pPr>
        <w:snapToGrid w:val="0"/>
        <w:spacing w:before="120" w:after="120" w:line="460" w:lineRule="exact"/>
        <w:ind w:left="479" w:leftChars="228" w:firstLine="69" w:firstLineChars="29"/>
        <w:rPr>
          <w:rFonts w:ascii="宋体" w:hAnsi="宋体"/>
          <w:sz w:val="24"/>
          <w:highlight w:val="none"/>
        </w:rPr>
      </w:pPr>
      <w:r>
        <w:rPr>
          <w:rFonts w:hint="eastAsia" w:ascii="宋体" w:hAnsi="宋体"/>
          <w:sz w:val="24"/>
          <w:highlight w:val="none"/>
        </w:rPr>
        <w:t>1．乙方应按磋商文件规定向甲方提供服务。</w:t>
      </w:r>
    </w:p>
    <w:p w14:paraId="1E94B5B9">
      <w:pPr>
        <w:snapToGrid w:val="0"/>
        <w:spacing w:before="120" w:after="120" w:line="460" w:lineRule="exact"/>
        <w:rPr>
          <w:rFonts w:ascii="宋体" w:hAnsi="宋体"/>
          <w:b/>
          <w:sz w:val="24"/>
          <w:highlight w:val="none"/>
        </w:rPr>
      </w:pPr>
      <w:r>
        <w:rPr>
          <w:rFonts w:hint="eastAsia" w:ascii="宋体" w:hAnsi="宋体"/>
          <w:b/>
          <w:sz w:val="24"/>
          <w:highlight w:val="none"/>
        </w:rPr>
        <w:t>十二、违约责任</w:t>
      </w:r>
    </w:p>
    <w:p w14:paraId="0F715800">
      <w:pPr>
        <w:snapToGrid w:val="0"/>
        <w:spacing w:before="120" w:after="120" w:line="460" w:lineRule="exact"/>
        <w:ind w:firstLine="480" w:firstLineChars="200"/>
        <w:rPr>
          <w:rFonts w:ascii="宋体" w:hAnsi="宋体"/>
          <w:sz w:val="24"/>
          <w:highlight w:val="none"/>
        </w:rPr>
      </w:pPr>
      <w:r>
        <w:rPr>
          <w:rFonts w:hint="eastAsia" w:ascii="宋体" w:hAnsi="宋体"/>
          <w:sz w:val="24"/>
          <w:highlight w:val="none"/>
        </w:rPr>
        <w:t>1．甲方无正当理由拒绝接受服务的，甲方向乙方偿付合同款项百分之五作为违约金。</w:t>
      </w:r>
    </w:p>
    <w:p w14:paraId="39E2BE38">
      <w:pPr>
        <w:snapToGrid w:val="0"/>
        <w:spacing w:before="120" w:after="120" w:line="460" w:lineRule="exact"/>
        <w:ind w:firstLine="480" w:firstLineChars="200"/>
        <w:rPr>
          <w:rFonts w:ascii="宋体" w:hAnsi="宋体"/>
          <w:sz w:val="24"/>
          <w:highlight w:val="none"/>
        </w:rPr>
      </w:pPr>
      <w:r>
        <w:rPr>
          <w:rFonts w:hint="eastAsia" w:ascii="宋体" w:hAnsi="宋体"/>
          <w:sz w:val="24"/>
          <w:highlight w:val="none"/>
        </w:rPr>
        <w:t>2．甲方无故逾期验收和办理款项支付手续的,甲方应按逾期付款总额每日万分之五向乙方支付违约金。</w:t>
      </w:r>
    </w:p>
    <w:p w14:paraId="3835D5EB">
      <w:pPr>
        <w:snapToGrid w:val="0"/>
        <w:spacing w:before="120" w:after="120" w:line="460" w:lineRule="exact"/>
        <w:ind w:firstLine="480" w:firstLineChars="200"/>
        <w:rPr>
          <w:rFonts w:ascii="宋体" w:hAnsi="宋体"/>
          <w:sz w:val="24"/>
          <w:highlight w:val="none"/>
        </w:rPr>
      </w:pPr>
      <w:r>
        <w:rPr>
          <w:rFonts w:hint="eastAsia" w:ascii="宋体" w:hAnsi="宋体"/>
          <w:sz w:val="24"/>
          <w:highlight w:val="none"/>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543143C8">
      <w:pPr>
        <w:snapToGrid w:val="0"/>
        <w:spacing w:before="120" w:after="120" w:line="460" w:lineRule="exact"/>
        <w:rPr>
          <w:rFonts w:ascii="宋体" w:hAnsi="宋体"/>
          <w:b/>
          <w:sz w:val="24"/>
          <w:highlight w:val="none"/>
        </w:rPr>
      </w:pPr>
      <w:r>
        <w:rPr>
          <w:rFonts w:hint="eastAsia" w:ascii="宋体" w:hAnsi="宋体"/>
          <w:b/>
          <w:sz w:val="24"/>
          <w:highlight w:val="none"/>
        </w:rPr>
        <w:t>十三、不可抗力事件处理</w:t>
      </w:r>
    </w:p>
    <w:p w14:paraId="4D9834E2">
      <w:pPr>
        <w:snapToGrid w:val="0"/>
        <w:spacing w:before="120" w:after="120" w:line="360" w:lineRule="auto"/>
        <w:ind w:firstLine="480" w:firstLineChars="200"/>
        <w:rPr>
          <w:rFonts w:ascii="宋体" w:hAnsi="宋体"/>
          <w:sz w:val="24"/>
          <w:highlight w:val="none"/>
        </w:rPr>
      </w:pPr>
      <w:r>
        <w:rPr>
          <w:rFonts w:hint="eastAsia" w:ascii="宋体" w:hAnsi="宋体"/>
          <w:sz w:val="24"/>
          <w:highlight w:val="none"/>
        </w:rPr>
        <w:t>1．在合同有效期内，任何一方因不可抗力事件导致不能履行合同，则合同履行期可延长，其延长期与不可抗力影响期相同。</w:t>
      </w:r>
    </w:p>
    <w:p w14:paraId="6AB778FC">
      <w:pPr>
        <w:snapToGrid w:val="0"/>
        <w:spacing w:before="120" w:after="120" w:line="360" w:lineRule="auto"/>
        <w:ind w:firstLine="480" w:firstLineChars="200"/>
        <w:rPr>
          <w:rFonts w:ascii="宋体" w:hAnsi="宋体"/>
          <w:sz w:val="24"/>
          <w:highlight w:val="none"/>
        </w:rPr>
      </w:pPr>
      <w:r>
        <w:rPr>
          <w:rFonts w:hint="eastAsia" w:ascii="宋体" w:hAnsi="宋体"/>
          <w:sz w:val="24"/>
          <w:highlight w:val="none"/>
        </w:rPr>
        <w:t>2．不可抗力事件发生后，应立即通知对方，并寄送有关权威机构出具的证明。</w:t>
      </w:r>
    </w:p>
    <w:p w14:paraId="78612672">
      <w:pPr>
        <w:snapToGrid w:val="0"/>
        <w:spacing w:before="120" w:after="120" w:line="360" w:lineRule="auto"/>
        <w:ind w:firstLine="480" w:firstLineChars="200"/>
        <w:rPr>
          <w:rFonts w:ascii="宋体" w:hAnsi="宋体"/>
          <w:sz w:val="24"/>
          <w:highlight w:val="none"/>
        </w:rPr>
      </w:pPr>
      <w:r>
        <w:rPr>
          <w:rFonts w:hint="eastAsia" w:ascii="宋体" w:hAnsi="宋体"/>
          <w:sz w:val="24"/>
          <w:highlight w:val="none"/>
        </w:rPr>
        <w:t>3．不可抗力事件延续120天以上，双方应通过友好协商，确定是否继续履行合同。</w:t>
      </w:r>
    </w:p>
    <w:p w14:paraId="3F4C449E">
      <w:pPr>
        <w:snapToGrid w:val="0"/>
        <w:spacing w:before="120" w:after="120" w:line="360" w:lineRule="auto"/>
        <w:rPr>
          <w:rFonts w:ascii="宋体" w:hAnsi="宋体"/>
          <w:b/>
          <w:sz w:val="24"/>
          <w:highlight w:val="none"/>
        </w:rPr>
      </w:pPr>
      <w:r>
        <w:rPr>
          <w:rFonts w:hint="eastAsia" w:ascii="宋体" w:hAnsi="宋体"/>
          <w:b/>
          <w:sz w:val="24"/>
          <w:highlight w:val="none"/>
        </w:rPr>
        <w:t>十四、诉讼</w:t>
      </w:r>
    </w:p>
    <w:p w14:paraId="66169615">
      <w:pPr>
        <w:snapToGrid w:val="0"/>
        <w:spacing w:before="120" w:after="120" w:line="360" w:lineRule="auto"/>
        <w:ind w:firstLine="480" w:firstLineChars="200"/>
        <w:rPr>
          <w:rFonts w:ascii="宋体" w:hAnsi="宋体"/>
          <w:sz w:val="24"/>
          <w:highlight w:val="none"/>
        </w:rPr>
      </w:pPr>
      <w:r>
        <w:rPr>
          <w:rFonts w:hint="eastAsia" w:ascii="宋体" w:hAnsi="宋体"/>
          <w:sz w:val="24"/>
          <w:highlight w:val="none"/>
        </w:rPr>
        <w:t>双方在执行合同中所发生的一切争议，应通过协商解决。如协商不成，可向甲方所在地法院起诉。</w:t>
      </w:r>
    </w:p>
    <w:p w14:paraId="0BD8D73F">
      <w:pPr>
        <w:snapToGrid w:val="0"/>
        <w:spacing w:before="120" w:after="120" w:line="360" w:lineRule="auto"/>
        <w:rPr>
          <w:rFonts w:ascii="宋体" w:hAnsi="宋体"/>
          <w:b/>
          <w:sz w:val="24"/>
          <w:highlight w:val="none"/>
        </w:rPr>
      </w:pPr>
      <w:r>
        <w:rPr>
          <w:rFonts w:hint="eastAsia" w:ascii="宋体" w:hAnsi="宋体"/>
          <w:b/>
          <w:sz w:val="24"/>
          <w:highlight w:val="none"/>
        </w:rPr>
        <w:t>十五、合同生效及其它</w:t>
      </w:r>
    </w:p>
    <w:p w14:paraId="2A420D26">
      <w:pPr>
        <w:snapToGrid w:val="0"/>
        <w:spacing w:before="120" w:after="120" w:line="360" w:lineRule="auto"/>
        <w:ind w:firstLine="480" w:firstLineChars="200"/>
        <w:rPr>
          <w:rFonts w:ascii="宋体" w:hAnsi="宋体"/>
          <w:sz w:val="24"/>
          <w:highlight w:val="none"/>
        </w:rPr>
      </w:pPr>
      <w:r>
        <w:rPr>
          <w:rFonts w:hint="eastAsia" w:ascii="宋体" w:hAnsi="宋体"/>
          <w:sz w:val="24"/>
          <w:highlight w:val="none"/>
        </w:rPr>
        <w:t>1．合同经双方法定代表人或授权代表签字并加盖单位公章后生效。</w:t>
      </w:r>
    </w:p>
    <w:p w14:paraId="5CF2CDF6">
      <w:pPr>
        <w:snapToGrid w:val="0"/>
        <w:spacing w:before="120" w:after="120" w:line="360" w:lineRule="auto"/>
        <w:ind w:firstLine="480" w:firstLineChars="200"/>
        <w:rPr>
          <w:rFonts w:ascii="宋体" w:hAnsi="宋体"/>
          <w:sz w:val="24"/>
          <w:highlight w:val="none"/>
        </w:rPr>
      </w:pPr>
      <w:r>
        <w:rPr>
          <w:rFonts w:hint="eastAsia" w:ascii="宋体" w:hAnsi="宋体"/>
          <w:sz w:val="24"/>
          <w:highlight w:val="none"/>
        </w:rPr>
        <w:t>2．合同执行中涉及采购资金和采购内容修改或补充的，须签书面补充协议方可作为主合同不可分割的一部分。</w:t>
      </w:r>
    </w:p>
    <w:p w14:paraId="77305F9C">
      <w:pPr>
        <w:snapToGrid w:val="0"/>
        <w:spacing w:before="120" w:after="120" w:line="360" w:lineRule="auto"/>
        <w:ind w:left="479" w:leftChars="228"/>
        <w:rPr>
          <w:rFonts w:ascii="宋体" w:hAnsi="宋体"/>
          <w:sz w:val="24"/>
          <w:highlight w:val="none"/>
        </w:rPr>
      </w:pPr>
      <w:r>
        <w:rPr>
          <w:rFonts w:hint="eastAsia" w:ascii="宋体" w:hAnsi="宋体"/>
          <w:sz w:val="24"/>
          <w:highlight w:val="none"/>
        </w:rPr>
        <w:t>3．本合同未尽事宜，遵照《中华人民共和国民法典》有关条文执行。</w:t>
      </w:r>
    </w:p>
    <w:p w14:paraId="78C95DAE">
      <w:pPr>
        <w:snapToGrid w:val="0"/>
        <w:spacing w:line="360" w:lineRule="auto"/>
        <w:ind w:firstLine="480" w:firstLineChars="200"/>
        <w:rPr>
          <w:rFonts w:ascii="宋体" w:hAnsi="宋体"/>
          <w:b/>
          <w:bCs/>
          <w:kern w:val="0"/>
          <w:sz w:val="24"/>
          <w:highlight w:val="none"/>
          <w:lang w:val="zh-CN"/>
        </w:rPr>
      </w:pPr>
      <w:r>
        <w:rPr>
          <w:rFonts w:hint="eastAsia" w:ascii="宋体" w:hAnsi="宋体"/>
          <w:kern w:val="0"/>
          <w:sz w:val="24"/>
          <w:highlight w:val="none"/>
          <w:lang w:val="zh-CN"/>
        </w:rPr>
        <w:t>4. 本合同正本一式六份,甲乙双方签订后采购代理机构见证盖章</w:t>
      </w:r>
      <w:r>
        <w:rPr>
          <w:rFonts w:hint="eastAsia" w:ascii="宋体" w:hAnsi="宋体"/>
          <w:b/>
          <w:bCs/>
          <w:kern w:val="0"/>
          <w:sz w:val="24"/>
          <w:highlight w:val="none"/>
          <w:lang w:val="zh-CN"/>
        </w:rPr>
        <w:t>。</w:t>
      </w:r>
    </w:p>
    <w:p w14:paraId="2A094E94">
      <w:pPr>
        <w:snapToGrid w:val="0"/>
        <w:spacing w:line="480" w:lineRule="exact"/>
        <w:ind w:firstLine="240" w:firstLineChars="100"/>
        <w:rPr>
          <w:rFonts w:ascii="宋体" w:hAnsi="宋体"/>
          <w:kern w:val="0"/>
          <w:sz w:val="24"/>
          <w:highlight w:val="none"/>
          <w:lang w:val="zh-CN"/>
        </w:rPr>
      </w:pPr>
    </w:p>
    <w:p w14:paraId="07523182">
      <w:pPr>
        <w:snapToGrid w:val="0"/>
        <w:spacing w:line="480" w:lineRule="exact"/>
        <w:ind w:firstLine="240" w:firstLineChars="100"/>
        <w:rPr>
          <w:rFonts w:ascii="宋体" w:hAnsi="宋体"/>
          <w:kern w:val="0"/>
          <w:sz w:val="24"/>
          <w:highlight w:val="none"/>
          <w:lang w:val="zh-CN"/>
        </w:rPr>
      </w:pPr>
      <w:r>
        <w:rPr>
          <w:rFonts w:hint="eastAsia" w:ascii="宋体" w:hAnsi="宋体"/>
          <w:kern w:val="0"/>
          <w:sz w:val="24"/>
          <w:highlight w:val="none"/>
          <w:lang w:val="zh-CN"/>
        </w:rPr>
        <w:t xml:space="preserve">甲方：                                   乙方： </w:t>
      </w:r>
    </w:p>
    <w:p w14:paraId="163E6614">
      <w:pPr>
        <w:snapToGrid w:val="0"/>
        <w:spacing w:line="480" w:lineRule="exact"/>
        <w:rPr>
          <w:rFonts w:ascii="宋体" w:hAnsi="宋体"/>
          <w:kern w:val="0"/>
          <w:sz w:val="24"/>
          <w:highlight w:val="none"/>
          <w:lang w:val="zh-CN"/>
        </w:rPr>
      </w:pPr>
      <w:r>
        <w:rPr>
          <w:rFonts w:hint="eastAsia" w:ascii="宋体" w:hAnsi="宋体"/>
          <w:kern w:val="0"/>
          <w:sz w:val="24"/>
          <w:highlight w:val="none"/>
          <w:lang w:val="zh-CN"/>
        </w:rPr>
        <w:t xml:space="preserve">  地址：                                   地址： </w:t>
      </w:r>
    </w:p>
    <w:p w14:paraId="30F972EA">
      <w:pPr>
        <w:snapToGrid w:val="0"/>
        <w:spacing w:line="480" w:lineRule="exact"/>
        <w:rPr>
          <w:rFonts w:ascii="宋体" w:hAnsi="宋体"/>
          <w:kern w:val="0"/>
          <w:sz w:val="24"/>
          <w:highlight w:val="none"/>
          <w:lang w:val="zh-CN"/>
        </w:rPr>
      </w:pPr>
      <w:r>
        <w:rPr>
          <w:rFonts w:hint="eastAsia" w:ascii="宋体" w:hAnsi="宋体"/>
          <w:kern w:val="0"/>
          <w:sz w:val="24"/>
          <w:highlight w:val="none"/>
          <w:lang w:val="zh-CN"/>
        </w:rPr>
        <w:t xml:space="preserve">  法定（授权）代表人：                     法定（授权）代表人：</w:t>
      </w:r>
    </w:p>
    <w:p w14:paraId="21F35CA7">
      <w:pPr>
        <w:snapToGrid w:val="0"/>
        <w:spacing w:line="480" w:lineRule="exact"/>
        <w:ind w:firstLine="240" w:firstLineChars="100"/>
        <w:rPr>
          <w:rFonts w:ascii="宋体" w:hAnsi="宋体"/>
          <w:kern w:val="0"/>
          <w:sz w:val="24"/>
          <w:highlight w:val="none"/>
          <w:lang w:val="zh-CN"/>
        </w:rPr>
      </w:pPr>
      <w:r>
        <w:rPr>
          <w:rFonts w:hint="eastAsia" w:ascii="宋体" w:hAnsi="宋体"/>
          <w:kern w:val="0"/>
          <w:sz w:val="24"/>
          <w:highlight w:val="none"/>
          <w:lang w:val="zh-CN"/>
        </w:rPr>
        <w:t>签订日期：     年　  月　 日             签订日期：     年　  月　 日</w:t>
      </w:r>
    </w:p>
    <w:p w14:paraId="254A6585">
      <w:pPr>
        <w:pStyle w:val="31"/>
        <w:snapToGrid w:val="0"/>
        <w:spacing w:before="120" w:after="120" w:line="420" w:lineRule="exact"/>
        <w:ind w:firstLine="201"/>
        <w:rPr>
          <w:rFonts w:ascii="Times New Roman" w:hAnsi="宋体"/>
          <w:b/>
          <w:bCs/>
          <w:highlight w:val="none"/>
        </w:rPr>
      </w:pPr>
    </w:p>
    <w:p w14:paraId="3C28309A">
      <w:pPr>
        <w:pStyle w:val="31"/>
        <w:snapToGrid w:val="0"/>
        <w:spacing w:before="120" w:after="120" w:line="420" w:lineRule="exact"/>
        <w:ind w:firstLine="201"/>
        <w:rPr>
          <w:rFonts w:ascii="Times New Roman" w:hAnsi="宋体"/>
          <w:b/>
          <w:bCs/>
          <w:highlight w:val="none"/>
        </w:rPr>
      </w:pPr>
      <w:r>
        <w:rPr>
          <w:rFonts w:hint="eastAsia" w:ascii="Times New Roman" w:hAnsi="宋体"/>
          <w:b/>
          <w:bCs/>
          <w:highlight w:val="none"/>
        </w:rPr>
        <w:t>见证方：（盖章）</w:t>
      </w:r>
    </w:p>
    <w:p w14:paraId="2C55635A">
      <w:pPr>
        <w:pStyle w:val="31"/>
        <w:snapToGrid w:val="0"/>
        <w:spacing w:before="120" w:after="120" w:line="420" w:lineRule="exact"/>
        <w:ind w:firstLine="201"/>
        <w:rPr>
          <w:rFonts w:ascii="Times New Roman" w:hAnsi="宋体"/>
          <w:b/>
          <w:bCs/>
          <w:highlight w:val="none"/>
        </w:rPr>
      </w:pPr>
    </w:p>
    <w:p w14:paraId="31688C76">
      <w:pPr>
        <w:pStyle w:val="31"/>
        <w:snapToGrid w:val="0"/>
        <w:spacing w:before="120" w:after="120" w:line="420" w:lineRule="exact"/>
        <w:ind w:firstLine="201"/>
        <w:rPr>
          <w:rFonts w:ascii="Times New Roman" w:hAnsi="宋体"/>
          <w:b/>
          <w:bCs/>
          <w:highlight w:val="none"/>
        </w:rPr>
      </w:pPr>
      <w:r>
        <w:rPr>
          <w:rFonts w:hint="eastAsia" w:hAnsi="宋体"/>
          <w:b/>
          <w:bCs/>
          <w:highlight w:val="none"/>
          <w:u w:val="single"/>
          <w:shd w:val="pct10" w:color="auto" w:fill="FFFFFF"/>
        </w:rPr>
        <w:t>附件：附上报价表</w:t>
      </w:r>
    </w:p>
    <w:p w14:paraId="0901B5E0">
      <w:pPr>
        <w:adjustRightInd w:val="0"/>
        <w:spacing w:line="240" w:lineRule="atLeast"/>
        <w:ind w:left="2310" w:hanging="2310" w:hangingChars="1100"/>
        <w:rPr>
          <w:rFonts w:hAnsi="宋体"/>
          <w:highlight w:val="none"/>
        </w:rPr>
      </w:pPr>
    </w:p>
    <w:p w14:paraId="3ABEB91C">
      <w:pPr>
        <w:pStyle w:val="31"/>
        <w:snapToGrid w:val="0"/>
        <w:spacing w:beforeLines="0" w:afterLines="0" w:line="420" w:lineRule="exact"/>
        <w:jc w:val="center"/>
        <w:outlineLvl w:val="0"/>
        <w:rPr>
          <w:rFonts w:hAnsi="宋体"/>
          <w:b/>
          <w:sz w:val="30"/>
          <w:szCs w:val="30"/>
          <w:highlight w:val="none"/>
        </w:rPr>
      </w:pPr>
      <w:r>
        <w:rPr>
          <w:rFonts w:hAnsi="宋体"/>
          <w:b/>
          <w:sz w:val="30"/>
          <w:szCs w:val="30"/>
          <w:highlight w:val="none"/>
        </w:rPr>
        <w:br w:type="page"/>
      </w:r>
      <w:bookmarkStart w:id="58" w:name="_Toc8177"/>
      <w:bookmarkStart w:id="59" w:name="_Toc14104"/>
      <w:r>
        <w:rPr>
          <w:rFonts w:hint="eastAsia" w:hAnsi="宋体"/>
          <w:b/>
          <w:sz w:val="30"/>
          <w:szCs w:val="30"/>
          <w:highlight w:val="none"/>
        </w:rPr>
        <w:t>第六章　响应文件格式</w:t>
      </w:r>
      <w:bookmarkEnd w:id="57"/>
      <w:bookmarkEnd w:id="58"/>
      <w:bookmarkEnd w:id="59"/>
    </w:p>
    <w:p w14:paraId="0C962472">
      <w:pPr>
        <w:pStyle w:val="31"/>
        <w:snapToGrid w:val="0"/>
        <w:spacing w:beforeLines="0" w:afterLines="0" w:line="420" w:lineRule="exact"/>
        <w:jc w:val="center"/>
        <w:rPr>
          <w:rFonts w:hAnsi="宋体"/>
          <w:sz w:val="30"/>
          <w:szCs w:val="30"/>
          <w:highlight w:val="none"/>
        </w:rPr>
      </w:pPr>
    </w:p>
    <w:p w14:paraId="3AB1FC31">
      <w:pPr>
        <w:snapToGrid w:val="0"/>
        <w:spacing w:before="120" w:beforeLines="50" w:after="120"/>
        <w:jc w:val="center"/>
        <w:outlineLvl w:val="1"/>
        <w:rPr>
          <w:rFonts w:ascii="宋体" w:hAnsi="宋体"/>
          <w:b/>
          <w:bCs/>
          <w:sz w:val="28"/>
          <w:szCs w:val="28"/>
          <w:highlight w:val="none"/>
        </w:rPr>
      </w:pPr>
      <w:bookmarkStart w:id="60" w:name="_Toc12205"/>
      <w:bookmarkStart w:id="61" w:name="_Toc616"/>
      <w:bookmarkStart w:id="62" w:name="_Toc265669850"/>
      <w:r>
        <w:rPr>
          <w:rFonts w:hint="eastAsia" w:ascii="宋体" w:hAnsi="宋体"/>
          <w:b/>
          <w:bCs/>
          <w:sz w:val="28"/>
          <w:szCs w:val="28"/>
          <w:highlight w:val="none"/>
        </w:rPr>
        <w:t>一、资格响应文件格式</w:t>
      </w:r>
      <w:bookmarkEnd w:id="60"/>
      <w:bookmarkEnd w:id="61"/>
    </w:p>
    <w:p w14:paraId="0797681C">
      <w:pPr>
        <w:snapToGrid w:val="0"/>
        <w:spacing w:before="120" w:beforeLines="50" w:after="120"/>
        <w:jc w:val="center"/>
        <w:rPr>
          <w:rFonts w:ascii="宋体" w:hAnsi="宋体"/>
          <w:sz w:val="28"/>
          <w:szCs w:val="28"/>
          <w:highlight w:val="none"/>
        </w:rPr>
      </w:pPr>
    </w:p>
    <w:p w14:paraId="7064FCCA">
      <w:pPr>
        <w:snapToGrid w:val="0"/>
        <w:spacing w:before="120" w:beforeLines="50" w:after="120"/>
        <w:jc w:val="center"/>
        <w:rPr>
          <w:rFonts w:ascii="宋体" w:hAnsi="宋体"/>
          <w:sz w:val="28"/>
          <w:szCs w:val="28"/>
          <w:highlight w:val="none"/>
        </w:rPr>
      </w:pPr>
    </w:p>
    <w:p w14:paraId="7D4F28EB">
      <w:pPr>
        <w:snapToGrid w:val="0"/>
        <w:spacing w:before="120" w:beforeLines="50" w:after="120"/>
        <w:ind w:firstLine="560" w:firstLineChars="200"/>
        <w:rPr>
          <w:rFonts w:ascii="宋体" w:hAnsi="宋体"/>
          <w:sz w:val="28"/>
          <w:szCs w:val="28"/>
          <w:highlight w:val="none"/>
        </w:rPr>
      </w:pPr>
      <w:r>
        <w:rPr>
          <w:rFonts w:ascii="宋体" w:hAnsi="宋体"/>
          <w:sz w:val="28"/>
          <w:szCs w:val="28"/>
          <w:highlight w:val="none"/>
        </w:rPr>
        <w:t>1</w:t>
      </w:r>
      <w:r>
        <w:rPr>
          <w:rFonts w:hint="eastAsia" w:ascii="宋体" w:hAnsi="宋体"/>
          <w:sz w:val="28"/>
          <w:szCs w:val="28"/>
          <w:highlight w:val="none"/>
        </w:rPr>
        <w:t xml:space="preserve">.资格响应文件封面格式： </w:t>
      </w:r>
    </w:p>
    <w:p w14:paraId="5419BC0F">
      <w:pPr>
        <w:snapToGrid w:val="0"/>
        <w:spacing w:before="120" w:beforeLines="50" w:after="120"/>
        <w:rPr>
          <w:rFonts w:ascii="宋体" w:hAnsi="宋体"/>
          <w:b/>
          <w:bCs/>
          <w:sz w:val="28"/>
          <w:szCs w:val="28"/>
          <w:highlight w:val="none"/>
        </w:rPr>
      </w:pPr>
      <w:r>
        <w:rPr>
          <w:rFonts w:hint="eastAsia" w:ascii="宋体" w:hAnsi="宋体"/>
          <w:b/>
          <w:bCs/>
          <w:sz w:val="28"/>
          <w:szCs w:val="28"/>
          <w:highlight w:val="none"/>
        </w:rPr>
        <w:t xml:space="preserve"> </w:t>
      </w:r>
    </w:p>
    <w:p w14:paraId="21FD5BC7">
      <w:pPr>
        <w:snapToGrid w:val="0"/>
        <w:spacing w:before="120" w:beforeLines="50" w:after="120"/>
        <w:rPr>
          <w:rFonts w:ascii="宋体" w:hAnsi="宋体"/>
          <w:sz w:val="28"/>
          <w:szCs w:val="28"/>
          <w:highlight w:val="none"/>
        </w:rPr>
      </w:pPr>
    </w:p>
    <w:p w14:paraId="61637F3C">
      <w:pPr>
        <w:snapToGrid w:val="0"/>
        <w:spacing w:before="120" w:beforeLines="50" w:after="120"/>
        <w:jc w:val="center"/>
        <w:rPr>
          <w:rFonts w:ascii="宋体" w:hAnsi="宋体"/>
          <w:bCs/>
          <w:sz w:val="28"/>
          <w:szCs w:val="28"/>
          <w:highlight w:val="none"/>
        </w:rPr>
      </w:pPr>
    </w:p>
    <w:p w14:paraId="1B0487BF">
      <w:pPr>
        <w:snapToGrid w:val="0"/>
        <w:spacing w:before="120" w:beforeLines="50" w:after="120"/>
        <w:jc w:val="center"/>
        <w:rPr>
          <w:rFonts w:ascii="宋体" w:hAnsi="宋体"/>
          <w:bCs/>
          <w:sz w:val="28"/>
          <w:szCs w:val="28"/>
          <w:highlight w:val="none"/>
        </w:rPr>
      </w:pPr>
      <w:r>
        <w:rPr>
          <w:rFonts w:hint="eastAsia" w:ascii="宋体" w:hAnsi="宋体"/>
          <w:bCs/>
          <w:sz w:val="28"/>
          <w:szCs w:val="28"/>
          <w:highlight w:val="none"/>
        </w:rPr>
        <w:t>资格响应文件</w:t>
      </w:r>
    </w:p>
    <w:p w14:paraId="5FC6B7E7">
      <w:pPr>
        <w:snapToGrid w:val="0"/>
        <w:spacing w:before="120" w:beforeLines="50" w:after="120" w:line="360" w:lineRule="auto"/>
        <w:jc w:val="center"/>
        <w:rPr>
          <w:rFonts w:ascii="宋体" w:hAnsi="宋体"/>
          <w:bCs/>
          <w:sz w:val="28"/>
          <w:szCs w:val="28"/>
          <w:highlight w:val="none"/>
        </w:rPr>
      </w:pPr>
    </w:p>
    <w:p w14:paraId="4720F768">
      <w:pPr>
        <w:snapToGrid w:val="0"/>
        <w:spacing w:before="120" w:beforeLines="50" w:after="120" w:line="360" w:lineRule="auto"/>
        <w:jc w:val="center"/>
        <w:rPr>
          <w:rFonts w:ascii="宋体" w:hAnsi="宋体"/>
          <w:bCs/>
          <w:sz w:val="28"/>
          <w:szCs w:val="28"/>
          <w:highlight w:val="none"/>
        </w:rPr>
      </w:pPr>
    </w:p>
    <w:p w14:paraId="5E25DD41">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项目名称：</w:t>
      </w:r>
    </w:p>
    <w:p w14:paraId="286D837B">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 xml:space="preserve">项目编号：    </w:t>
      </w:r>
    </w:p>
    <w:p w14:paraId="1DE0E737">
      <w:pPr>
        <w:snapToGrid w:val="0"/>
        <w:spacing w:before="120" w:beforeLines="50" w:after="120" w:line="360" w:lineRule="auto"/>
        <w:ind w:firstLine="1246" w:firstLineChars="445"/>
        <w:rPr>
          <w:rFonts w:ascii="宋体" w:hAnsi="宋体"/>
          <w:bCs/>
          <w:sz w:val="28"/>
          <w:szCs w:val="28"/>
          <w:highlight w:val="none"/>
        </w:rPr>
      </w:pPr>
    </w:p>
    <w:p w14:paraId="3AD01E76">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投标人名称：</w:t>
      </w:r>
    </w:p>
    <w:p w14:paraId="6A04AC22">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投标人地址：</w:t>
      </w:r>
    </w:p>
    <w:p w14:paraId="7F4297DF">
      <w:pPr>
        <w:pStyle w:val="14"/>
        <w:snapToGrid w:val="0"/>
        <w:spacing w:before="120" w:after="120"/>
        <w:ind w:firstLine="1120" w:firstLineChars="400"/>
        <w:rPr>
          <w:rFonts w:ascii="宋体" w:hAnsi="宋体"/>
          <w:bCs/>
          <w:sz w:val="28"/>
          <w:szCs w:val="28"/>
          <w:highlight w:val="none"/>
        </w:rPr>
      </w:pPr>
    </w:p>
    <w:p w14:paraId="66F9EB10">
      <w:pPr>
        <w:snapToGrid w:val="0"/>
        <w:spacing w:line="360" w:lineRule="auto"/>
        <w:ind w:firstLine="3360" w:firstLineChars="1200"/>
        <w:jc w:val="left"/>
        <w:rPr>
          <w:rFonts w:ascii="宋体" w:hAnsi="宋体"/>
          <w:sz w:val="28"/>
          <w:szCs w:val="28"/>
          <w:highlight w:val="none"/>
        </w:rPr>
      </w:pPr>
    </w:p>
    <w:p w14:paraId="7F897465">
      <w:pPr>
        <w:snapToGrid w:val="0"/>
        <w:spacing w:line="360" w:lineRule="auto"/>
        <w:ind w:firstLine="3640" w:firstLineChars="1300"/>
        <w:jc w:val="left"/>
        <w:rPr>
          <w:rFonts w:ascii="宋体" w:hAnsi="宋体"/>
          <w:sz w:val="24"/>
          <w:highlight w:val="none"/>
        </w:rPr>
      </w:pPr>
      <w:r>
        <w:rPr>
          <w:rFonts w:hint="eastAsia" w:ascii="宋体" w:hAnsi="宋体"/>
          <w:sz w:val="28"/>
          <w:szCs w:val="28"/>
          <w:highlight w:val="none"/>
        </w:rPr>
        <w:t>年  月  日</w:t>
      </w:r>
      <w:r>
        <w:rPr>
          <w:rFonts w:ascii="宋体" w:hAnsi="宋体"/>
          <w:sz w:val="28"/>
          <w:szCs w:val="28"/>
          <w:highlight w:val="none"/>
        </w:rPr>
        <w:br w:type="page"/>
      </w:r>
      <w:bookmarkStart w:id="63" w:name="_Hlk60757343"/>
      <w:r>
        <w:rPr>
          <w:rFonts w:ascii="宋体" w:hAnsi="宋体"/>
          <w:sz w:val="24"/>
          <w:highlight w:val="none"/>
        </w:rPr>
        <w:t>2</w:t>
      </w:r>
      <w:r>
        <w:rPr>
          <w:rFonts w:hint="eastAsia" w:ascii="宋体" w:hAnsi="宋体"/>
          <w:sz w:val="24"/>
          <w:highlight w:val="none"/>
        </w:rPr>
        <w:t>.营业执照等：</w:t>
      </w:r>
      <w:bookmarkEnd w:id="63"/>
    </w:p>
    <w:p w14:paraId="06617ABE">
      <w:pPr>
        <w:snapToGrid w:val="0"/>
        <w:spacing w:line="360" w:lineRule="auto"/>
        <w:jc w:val="center"/>
        <w:rPr>
          <w:rFonts w:ascii="仿宋_GB2312" w:hAnsi="仿宋" w:eastAsia="仿宋_GB2312" w:cs="仿宋_GB2312"/>
          <w:b/>
          <w:kern w:val="0"/>
          <w:sz w:val="32"/>
          <w:szCs w:val="32"/>
          <w:highlight w:val="none"/>
          <w:lang w:val="zh-CN"/>
        </w:rPr>
      </w:pPr>
    </w:p>
    <w:p w14:paraId="38C4E0B1">
      <w:pPr>
        <w:snapToGrid w:val="0"/>
        <w:spacing w:line="360" w:lineRule="auto"/>
        <w:jc w:val="center"/>
        <w:rPr>
          <w:rFonts w:ascii="宋体" w:hAnsi="宋体" w:cs="仿宋_GB2312"/>
          <w:b/>
          <w:kern w:val="0"/>
          <w:sz w:val="32"/>
          <w:szCs w:val="32"/>
          <w:highlight w:val="none"/>
          <w:lang w:val="zh-CN"/>
        </w:rPr>
      </w:pPr>
    </w:p>
    <w:p w14:paraId="5AA36E8C">
      <w:pPr>
        <w:snapToGrid w:val="0"/>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营业执照（推荐使用电子营业执照）</w:t>
      </w:r>
    </w:p>
    <w:p w14:paraId="28913CB7">
      <w:pPr>
        <w:snapToGrid w:val="0"/>
        <w:spacing w:line="360" w:lineRule="auto"/>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或事业法人登记证或其他工商等登记证明材料原件扫描件或复印件</w:t>
      </w:r>
    </w:p>
    <w:p w14:paraId="05FB6F2D">
      <w:pPr>
        <w:snapToGrid w:val="0"/>
        <w:spacing w:line="360" w:lineRule="auto"/>
        <w:rPr>
          <w:rFonts w:ascii="宋体" w:hAnsi="宋体" w:cs="仿宋_GB2312"/>
          <w:bCs/>
          <w:kern w:val="0"/>
          <w:sz w:val="28"/>
          <w:szCs w:val="28"/>
          <w:highlight w:val="none"/>
          <w:lang w:val="zh-CN"/>
        </w:rPr>
      </w:pPr>
      <w:r>
        <w:rPr>
          <w:rFonts w:hint="eastAsia" w:ascii="宋体" w:hAnsi="宋体" w:cs="仿宋_GB2312"/>
          <w:bCs/>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89B02C8">
      <w:pPr>
        <w:snapToGrid w:val="0"/>
        <w:spacing w:line="360" w:lineRule="auto"/>
        <w:jc w:val="center"/>
        <w:rPr>
          <w:rFonts w:ascii="宋体" w:hAnsi="宋体" w:cs="仿宋_GB2312"/>
          <w:b/>
          <w:sz w:val="30"/>
          <w:szCs w:val="30"/>
          <w:highlight w:val="none"/>
        </w:rPr>
      </w:pPr>
    </w:p>
    <w:p w14:paraId="0E81E88D">
      <w:pPr>
        <w:spacing w:line="360" w:lineRule="auto"/>
        <w:jc w:val="center"/>
        <w:rPr>
          <w:rFonts w:ascii="宋体" w:hAnsi="宋体" w:cs="仿宋_GB2312"/>
          <w:b/>
          <w:sz w:val="32"/>
          <w:szCs w:val="32"/>
          <w:highlight w:val="none"/>
        </w:rPr>
      </w:pPr>
    </w:p>
    <w:p w14:paraId="45D7B0C7">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特定资格条件要求的资质文件复印件（如有）</w:t>
      </w:r>
    </w:p>
    <w:p w14:paraId="536C50BF">
      <w:pPr>
        <w:widowControl/>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（由投标人根据招标公告合格的投标人应具备的特定资格要求编制，如果本项目没有设置特定资格条件，则不需要提供）</w:t>
      </w:r>
    </w:p>
    <w:p w14:paraId="1C85B4BB">
      <w:pPr>
        <w:spacing w:line="360" w:lineRule="auto"/>
        <w:jc w:val="center"/>
        <w:rPr>
          <w:rFonts w:ascii="宋体" w:hAnsi="宋体"/>
          <w:b/>
          <w:bCs/>
          <w:sz w:val="32"/>
          <w:szCs w:val="32"/>
          <w:highlight w:val="none"/>
        </w:rPr>
      </w:pPr>
    </w:p>
    <w:p w14:paraId="3963CC4D">
      <w:pPr>
        <w:spacing w:line="360" w:lineRule="auto"/>
        <w:jc w:val="center"/>
        <w:rPr>
          <w:rFonts w:ascii="宋体" w:hAnsi="宋体"/>
          <w:b/>
          <w:bCs/>
          <w:sz w:val="32"/>
          <w:szCs w:val="32"/>
          <w:highlight w:val="none"/>
        </w:rPr>
      </w:pPr>
    </w:p>
    <w:p w14:paraId="13F38217">
      <w:pPr>
        <w:spacing w:line="360" w:lineRule="auto"/>
        <w:jc w:val="left"/>
        <w:rPr>
          <w:rFonts w:ascii="宋体" w:hAnsi="宋体"/>
          <w:sz w:val="24"/>
          <w:highlight w:val="none"/>
        </w:rPr>
      </w:pPr>
      <w:r>
        <w:rPr>
          <w:rFonts w:ascii="宋体" w:hAnsi="宋体"/>
          <w:b/>
          <w:bCs/>
          <w:sz w:val="28"/>
          <w:szCs w:val="28"/>
          <w:highlight w:val="none"/>
        </w:rPr>
        <w:br w:type="page"/>
      </w:r>
      <w:r>
        <w:rPr>
          <w:rFonts w:hint="eastAsia"/>
          <w:highlight w:val="none"/>
        </w:rPr>
        <w:t xml:space="preserve"> </w:t>
      </w:r>
      <w:r>
        <w:rPr>
          <w:rFonts w:hint="eastAsia" w:ascii="宋体" w:hAnsi="宋体"/>
          <w:sz w:val="24"/>
          <w:highlight w:val="none"/>
        </w:rPr>
        <w:t>3.没有重大违法记录的承诺函格式：</w:t>
      </w:r>
    </w:p>
    <w:p w14:paraId="46DD1D8B">
      <w:pPr>
        <w:spacing w:line="360" w:lineRule="auto"/>
        <w:jc w:val="center"/>
        <w:rPr>
          <w:rFonts w:ascii="宋体" w:hAnsi="宋体" w:cs="仿宋_GB2312"/>
          <w:b/>
          <w:kern w:val="0"/>
          <w:sz w:val="32"/>
          <w:szCs w:val="32"/>
          <w:highlight w:val="none"/>
        </w:rPr>
      </w:pPr>
    </w:p>
    <w:p w14:paraId="23043633">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参加本次采购项目前三年内在经营活动中</w:t>
      </w:r>
    </w:p>
    <w:p w14:paraId="49CD3186">
      <w:pPr>
        <w:spacing w:line="520" w:lineRule="exact"/>
        <w:jc w:val="center"/>
        <w:rPr>
          <w:rFonts w:ascii="宋体" w:hAnsi="宋体" w:cs="宋体"/>
          <w:b/>
          <w:sz w:val="32"/>
          <w:szCs w:val="32"/>
          <w:highlight w:val="none"/>
        </w:rPr>
      </w:pPr>
      <w:r>
        <w:rPr>
          <w:rFonts w:hint="eastAsia" w:ascii="宋体" w:hAnsi="宋体" w:cs="宋体"/>
          <w:b/>
          <w:sz w:val="32"/>
          <w:szCs w:val="32"/>
          <w:highlight w:val="none"/>
        </w:rPr>
        <w:t>没有重大违法记录的承诺函</w:t>
      </w:r>
    </w:p>
    <w:p w14:paraId="3E9A3FF5">
      <w:pPr>
        <w:spacing w:line="520" w:lineRule="exact"/>
        <w:jc w:val="center"/>
        <w:rPr>
          <w:rFonts w:ascii="宋体" w:hAnsi="宋体" w:cs="宋体"/>
          <w:bCs/>
          <w:sz w:val="24"/>
          <w:highlight w:val="none"/>
        </w:rPr>
      </w:pPr>
    </w:p>
    <w:p w14:paraId="46ED40D2">
      <w:pPr>
        <w:ind w:firstLine="420"/>
        <w:rPr>
          <w:rFonts w:ascii="宋体" w:hAnsi="宋体" w:cs="宋体"/>
          <w:sz w:val="24"/>
          <w:highlight w:val="none"/>
        </w:rPr>
      </w:pPr>
    </w:p>
    <w:p w14:paraId="57C825FE">
      <w:pPr>
        <w:spacing w:line="360" w:lineRule="auto"/>
        <w:rPr>
          <w:rFonts w:ascii="宋体" w:hAnsi="宋体" w:cs="宋体"/>
          <w:kern w:val="0"/>
          <w:sz w:val="24"/>
          <w:highlight w:val="none"/>
        </w:rPr>
      </w:pPr>
      <w:r>
        <w:rPr>
          <w:rFonts w:hint="eastAsia" w:ascii="宋体" w:hAnsi="宋体" w:cs="宋体"/>
          <w:bCs/>
          <w:sz w:val="24"/>
          <w:highlight w:val="none"/>
        </w:rPr>
        <w:t>致：</w:t>
      </w:r>
      <w:r>
        <w:rPr>
          <w:rFonts w:hint="eastAsia" w:ascii="宋体" w:hAnsi="宋体" w:cs="宋体"/>
          <w:sz w:val="24"/>
          <w:highlight w:val="none"/>
          <w:u w:val="single"/>
        </w:rPr>
        <w:t xml:space="preserve">             </w:t>
      </w:r>
      <w:r>
        <w:rPr>
          <w:rFonts w:hint="eastAsia" w:ascii="宋体" w:hAnsi="宋体" w:cs="宋体"/>
          <w:sz w:val="24"/>
          <w:highlight w:val="none"/>
        </w:rPr>
        <w:t>（招标人名称）</w:t>
      </w:r>
      <w:r>
        <w:rPr>
          <w:rFonts w:hint="eastAsia" w:ascii="宋体" w:hAnsi="宋体" w:cs="宋体"/>
          <w:b/>
          <w:bCs/>
          <w:sz w:val="24"/>
          <w:highlight w:val="none"/>
        </w:rPr>
        <w:t xml:space="preserve"> </w:t>
      </w:r>
      <w:r>
        <w:rPr>
          <w:rFonts w:hint="eastAsia" w:ascii="宋体" w:hAnsi="宋体" w:cs="宋体"/>
          <w:sz w:val="24"/>
          <w:highlight w:val="none"/>
        </w:rPr>
        <w:t>：</w:t>
      </w:r>
    </w:p>
    <w:p w14:paraId="62287FD2">
      <w:pPr>
        <w:snapToGrid w:val="0"/>
        <w:spacing w:before="120" w:beforeLines="50" w:after="120" w:line="360" w:lineRule="auto"/>
        <w:ind w:firstLine="480" w:firstLineChars="200"/>
        <w:rPr>
          <w:rFonts w:ascii="宋体" w:hAnsi="宋体" w:cs="宋体"/>
          <w:sz w:val="24"/>
          <w:highlight w:val="none"/>
        </w:rPr>
      </w:pPr>
      <w:r>
        <w:rPr>
          <w:rFonts w:hint="eastAsia" w:ascii="宋体" w:hAnsi="宋体" w:cs="宋体"/>
          <w:sz w:val="24"/>
          <w:highlight w:val="none"/>
        </w:rPr>
        <w:t>我方郑重承诺，我方在参加</w:t>
      </w:r>
      <w:r>
        <w:rPr>
          <w:rFonts w:hint="eastAsia" w:ascii="宋体" w:hAnsi="宋体" w:cs="宋体"/>
          <w:sz w:val="24"/>
          <w:highlight w:val="none"/>
          <w:u w:val="single"/>
        </w:rPr>
        <w:t xml:space="preserve">               </w:t>
      </w:r>
      <w:r>
        <w:rPr>
          <w:rFonts w:hint="eastAsia" w:ascii="宋体" w:hAnsi="宋体" w:cs="宋体"/>
          <w:sz w:val="24"/>
          <w:highlight w:val="none"/>
        </w:rPr>
        <w:t>项目（项目编号：</w:t>
      </w:r>
      <w:r>
        <w:rPr>
          <w:rFonts w:hint="eastAsia" w:ascii="宋体" w:hAnsi="宋体" w:cs="宋体"/>
          <w:sz w:val="24"/>
          <w:highlight w:val="none"/>
          <w:u w:val="single"/>
        </w:rPr>
        <w:t xml:space="preserve">        </w:t>
      </w:r>
      <w:r>
        <w:rPr>
          <w:rFonts w:hint="eastAsia" w:ascii="宋体" w:hAnsi="宋体" w:cs="宋体"/>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0B41C1FC">
      <w:pPr>
        <w:ind w:firstLine="420"/>
        <w:rPr>
          <w:rFonts w:ascii="宋体" w:hAnsi="宋体" w:cs="宋体"/>
          <w:sz w:val="24"/>
          <w:highlight w:val="none"/>
        </w:rPr>
      </w:pPr>
    </w:p>
    <w:p w14:paraId="450A1264">
      <w:pPr>
        <w:snapToGrid w:val="0"/>
        <w:spacing w:before="120" w:beforeLines="50" w:after="120" w:line="360" w:lineRule="auto"/>
        <w:ind w:firstLine="480" w:firstLineChars="200"/>
        <w:rPr>
          <w:rFonts w:ascii="宋体" w:hAnsi="宋体" w:cs="宋体"/>
          <w:sz w:val="24"/>
          <w:highlight w:val="none"/>
        </w:rPr>
      </w:pPr>
      <w:r>
        <w:rPr>
          <w:rFonts w:hint="eastAsia" w:ascii="宋体" w:hAnsi="宋体" w:cs="宋体"/>
          <w:sz w:val="24"/>
          <w:highlight w:val="none"/>
        </w:rPr>
        <w:t>特此</w:t>
      </w:r>
      <w:r>
        <w:rPr>
          <w:rFonts w:hint="eastAsia" w:ascii="宋体" w:hAnsi="宋体" w:cs="宋体"/>
          <w:kern w:val="0"/>
          <w:sz w:val="24"/>
          <w:highlight w:val="none"/>
        </w:rPr>
        <w:t>承诺</w:t>
      </w:r>
      <w:r>
        <w:rPr>
          <w:rFonts w:hint="eastAsia" w:ascii="宋体" w:hAnsi="宋体" w:cs="宋体"/>
          <w:sz w:val="24"/>
          <w:highlight w:val="none"/>
        </w:rPr>
        <w:t>！</w:t>
      </w:r>
    </w:p>
    <w:p w14:paraId="44A0EBA2">
      <w:pPr>
        <w:snapToGrid w:val="0"/>
        <w:spacing w:before="120" w:after="120" w:afterLines="50"/>
        <w:jc w:val="left"/>
        <w:rPr>
          <w:rFonts w:ascii="宋体" w:hAnsi="宋体" w:cs="宋体"/>
          <w:kern w:val="0"/>
          <w:sz w:val="24"/>
          <w:highlight w:val="none"/>
          <w:lang w:val="zh-CN"/>
        </w:rPr>
      </w:pPr>
    </w:p>
    <w:p w14:paraId="630CFA29">
      <w:pPr>
        <w:snapToGrid w:val="0"/>
        <w:spacing w:before="120" w:after="120" w:afterLines="50"/>
        <w:jc w:val="left"/>
        <w:rPr>
          <w:rFonts w:ascii="宋体" w:hAnsi="宋体" w:cs="宋体"/>
          <w:kern w:val="0"/>
          <w:sz w:val="24"/>
          <w:highlight w:val="none"/>
          <w:lang w:val="zh-CN"/>
        </w:rPr>
      </w:pPr>
    </w:p>
    <w:p w14:paraId="2963CEC1">
      <w:pPr>
        <w:snapToGrid w:val="0"/>
        <w:spacing w:before="120" w:after="120" w:afterLines="50"/>
        <w:jc w:val="left"/>
        <w:rPr>
          <w:rFonts w:ascii="宋体" w:hAnsi="宋体" w:cs="宋体"/>
          <w:kern w:val="0"/>
          <w:sz w:val="24"/>
          <w:highlight w:val="none"/>
          <w:lang w:val="zh-CN"/>
        </w:rPr>
      </w:pPr>
    </w:p>
    <w:p w14:paraId="7E09D8F8">
      <w:pPr>
        <w:snapToGrid w:val="0"/>
        <w:spacing w:before="120" w:after="120" w:afterLines="50"/>
        <w:jc w:val="left"/>
        <w:rPr>
          <w:rFonts w:ascii="宋体" w:hAnsi="宋体"/>
          <w:b/>
          <w:spacing w:val="20"/>
          <w:sz w:val="24"/>
          <w:highlight w:val="none"/>
        </w:rPr>
      </w:pPr>
      <w:r>
        <w:rPr>
          <w:rFonts w:hint="eastAsia" w:ascii="宋体" w:hAnsi="宋体"/>
          <w:b/>
          <w:spacing w:val="20"/>
          <w:sz w:val="24"/>
          <w:highlight w:val="none"/>
        </w:rPr>
        <w:t>法定代表人签字（或盖章）：         投标人（盖章）：</w:t>
      </w:r>
    </w:p>
    <w:p w14:paraId="0281ACFD">
      <w:pPr>
        <w:snapToGrid w:val="0"/>
        <w:spacing w:before="120" w:after="120" w:afterLines="50"/>
        <w:jc w:val="left"/>
        <w:rPr>
          <w:rFonts w:ascii="宋体" w:hAnsi="宋体"/>
          <w:b/>
          <w:sz w:val="24"/>
          <w:highlight w:val="none"/>
        </w:rPr>
      </w:pPr>
    </w:p>
    <w:p w14:paraId="7742C00C">
      <w:pPr>
        <w:snapToGrid w:val="0"/>
        <w:spacing w:before="120" w:after="120" w:afterLines="50"/>
        <w:jc w:val="left"/>
        <w:rPr>
          <w:rFonts w:ascii="宋体" w:hAnsi="宋体"/>
          <w:b/>
          <w:sz w:val="24"/>
          <w:highlight w:val="none"/>
        </w:rPr>
      </w:pPr>
    </w:p>
    <w:p w14:paraId="4D911C64">
      <w:pPr>
        <w:snapToGrid w:val="0"/>
        <w:spacing w:before="120" w:after="120" w:afterLines="50"/>
        <w:jc w:val="left"/>
        <w:rPr>
          <w:rFonts w:ascii="宋体" w:hAnsi="宋体"/>
          <w:b/>
          <w:sz w:val="24"/>
          <w:highlight w:val="none"/>
        </w:rPr>
      </w:pPr>
      <w:r>
        <w:rPr>
          <w:rFonts w:hint="eastAsia" w:ascii="宋体" w:hAnsi="宋体"/>
          <w:b/>
          <w:sz w:val="24"/>
          <w:highlight w:val="none"/>
        </w:rPr>
        <w:t>日期：</w:t>
      </w:r>
      <w:r>
        <w:rPr>
          <w:rFonts w:ascii="宋体" w:hAnsi="宋体"/>
          <w:b/>
          <w:sz w:val="24"/>
          <w:highlight w:val="none"/>
        </w:rPr>
        <w:t xml:space="preserve">  </w:t>
      </w:r>
      <w:r>
        <w:rPr>
          <w:rFonts w:hint="eastAsia" w:ascii="宋体" w:hAnsi="宋体"/>
          <w:b/>
          <w:sz w:val="24"/>
          <w:highlight w:val="none"/>
        </w:rPr>
        <w:t>_____年___月___日</w:t>
      </w:r>
    </w:p>
    <w:p w14:paraId="038D15F6">
      <w:pPr>
        <w:snapToGrid w:val="0"/>
        <w:spacing w:before="120" w:after="120" w:afterLines="50"/>
        <w:jc w:val="left"/>
        <w:rPr>
          <w:rFonts w:ascii="宋体" w:hAnsi="宋体"/>
          <w:sz w:val="28"/>
          <w:szCs w:val="28"/>
          <w:highlight w:val="none"/>
        </w:rPr>
      </w:pPr>
    </w:p>
    <w:p w14:paraId="7BA0CAB7">
      <w:pPr>
        <w:snapToGrid w:val="0"/>
        <w:spacing w:line="360" w:lineRule="auto"/>
        <w:rPr>
          <w:rFonts w:ascii="宋体" w:hAnsi="宋体" w:cs="仿宋_GB2312"/>
          <w:kern w:val="0"/>
          <w:sz w:val="24"/>
          <w:highlight w:val="none"/>
        </w:rPr>
      </w:pPr>
      <w:r>
        <w:rPr>
          <w:rFonts w:ascii="宋体" w:hAnsi="宋体" w:cs="仿宋_GB2312"/>
          <w:kern w:val="0"/>
          <w:sz w:val="24"/>
          <w:highlight w:val="none"/>
          <w:lang w:val="zh-CN"/>
        </w:rPr>
        <w:br w:type="page"/>
      </w:r>
    </w:p>
    <w:p w14:paraId="3C87769E">
      <w:pPr>
        <w:snapToGrid w:val="0"/>
        <w:spacing w:before="120" w:beforeLines="50" w:after="120"/>
        <w:jc w:val="center"/>
        <w:outlineLvl w:val="1"/>
        <w:rPr>
          <w:rFonts w:ascii="宋体" w:hAnsi="宋体"/>
          <w:b/>
          <w:bCs/>
          <w:sz w:val="28"/>
          <w:szCs w:val="28"/>
          <w:highlight w:val="none"/>
        </w:rPr>
      </w:pPr>
      <w:bookmarkStart w:id="64" w:name="_Toc7458"/>
      <w:bookmarkStart w:id="65" w:name="_Toc466534753"/>
      <w:bookmarkStart w:id="66" w:name="_Toc1934"/>
      <w:r>
        <w:rPr>
          <w:rFonts w:hint="eastAsia" w:ascii="宋体" w:hAnsi="宋体"/>
          <w:b/>
          <w:bCs/>
          <w:sz w:val="28"/>
          <w:szCs w:val="28"/>
          <w:highlight w:val="none"/>
        </w:rPr>
        <w:t>二、商务技术文件格式</w:t>
      </w:r>
      <w:bookmarkEnd w:id="62"/>
      <w:bookmarkEnd w:id="64"/>
      <w:bookmarkEnd w:id="65"/>
      <w:bookmarkEnd w:id="66"/>
    </w:p>
    <w:p w14:paraId="2B337A5C">
      <w:pPr>
        <w:snapToGrid w:val="0"/>
        <w:spacing w:before="120" w:beforeLines="50" w:after="120"/>
        <w:jc w:val="center"/>
        <w:rPr>
          <w:rFonts w:ascii="宋体" w:hAnsi="宋体"/>
          <w:sz w:val="28"/>
          <w:szCs w:val="28"/>
          <w:highlight w:val="none"/>
        </w:rPr>
      </w:pPr>
    </w:p>
    <w:p w14:paraId="1A9D31EC">
      <w:pPr>
        <w:snapToGrid w:val="0"/>
        <w:spacing w:before="120" w:beforeLines="50" w:after="120"/>
        <w:jc w:val="center"/>
        <w:rPr>
          <w:rFonts w:ascii="宋体" w:hAnsi="宋体"/>
          <w:sz w:val="28"/>
          <w:szCs w:val="28"/>
          <w:highlight w:val="none"/>
        </w:rPr>
      </w:pPr>
    </w:p>
    <w:p w14:paraId="40518531">
      <w:pPr>
        <w:snapToGrid w:val="0"/>
        <w:spacing w:before="120" w:beforeLines="50" w:after="120"/>
        <w:ind w:firstLine="560" w:firstLineChars="200"/>
        <w:rPr>
          <w:rFonts w:ascii="宋体" w:hAnsi="宋体"/>
          <w:sz w:val="28"/>
          <w:szCs w:val="28"/>
          <w:highlight w:val="none"/>
        </w:rPr>
      </w:pPr>
      <w:r>
        <w:rPr>
          <w:rFonts w:ascii="宋体" w:hAnsi="宋体"/>
          <w:sz w:val="28"/>
          <w:szCs w:val="28"/>
          <w:highlight w:val="none"/>
        </w:rPr>
        <w:t>4</w:t>
      </w:r>
      <w:r>
        <w:rPr>
          <w:rFonts w:hint="eastAsia" w:ascii="宋体" w:hAnsi="宋体"/>
          <w:sz w:val="28"/>
          <w:szCs w:val="28"/>
          <w:highlight w:val="none"/>
        </w:rPr>
        <w:t xml:space="preserve">.商务技术文件封面格式： </w:t>
      </w:r>
    </w:p>
    <w:p w14:paraId="0484B9A3">
      <w:pPr>
        <w:snapToGrid w:val="0"/>
        <w:spacing w:before="120" w:beforeLines="50" w:after="120"/>
        <w:rPr>
          <w:rFonts w:ascii="宋体" w:hAnsi="宋体"/>
          <w:b/>
          <w:bCs/>
          <w:sz w:val="28"/>
          <w:szCs w:val="28"/>
          <w:highlight w:val="none"/>
        </w:rPr>
      </w:pPr>
      <w:r>
        <w:rPr>
          <w:rFonts w:hint="eastAsia" w:ascii="宋体" w:hAnsi="宋体"/>
          <w:b/>
          <w:bCs/>
          <w:sz w:val="28"/>
          <w:szCs w:val="28"/>
          <w:highlight w:val="none"/>
        </w:rPr>
        <w:t xml:space="preserve"> </w:t>
      </w:r>
    </w:p>
    <w:p w14:paraId="0247357D">
      <w:pPr>
        <w:snapToGrid w:val="0"/>
        <w:spacing w:before="120" w:beforeLines="50" w:after="120"/>
        <w:rPr>
          <w:rFonts w:ascii="宋体" w:hAnsi="宋体"/>
          <w:sz w:val="28"/>
          <w:szCs w:val="28"/>
          <w:highlight w:val="none"/>
        </w:rPr>
      </w:pPr>
    </w:p>
    <w:p w14:paraId="0D292E0F">
      <w:pPr>
        <w:snapToGrid w:val="0"/>
        <w:spacing w:before="120" w:beforeLines="50" w:after="120"/>
        <w:jc w:val="center"/>
        <w:rPr>
          <w:rFonts w:ascii="宋体" w:hAnsi="宋体"/>
          <w:bCs/>
          <w:sz w:val="28"/>
          <w:szCs w:val="28"/>
          <w:highlight w:val="none"/>
        </w:rPr>
      </w:pPr>
    </w:p>
    <w:p w14:paraId="4CA2ABEA">
      <w:pPr>
        <w:snapToGrid w:val="0"/>
        <w:spacing w:before="120" w:beforeLines="50" w:after="120"/>
        <w:jc w:val="center"/>
        <w:rPr>
          <w:rFonts w:ascii="宋体" w:hAnsi="宋体"/>
          <w:bCs/>
          <w:sz w:val="28"/>
          <w:szCs w:val="28"/>
          <w:highlight w:val="none"/>
        </w:rPr>
      </w:pPr>
      <w:r>
        <w:rPr>
          <w:rFonts w:hint="eastAsia" w:ascii="宋体" w:hAnsi="宋体"/>
          <w:bCs/>
          <w:sz w:val="28"/>
          <w:szCs w:val="28"/>
          <w:highlight w:val="none"/>
        </w:rPr>
        <w:t>商务技术文件</w:t>
      </w:r>
    </w:p>
    <w:p w14:paraId="511C84BF">
      <w:pPr>
        <w:snapToGrid w:val="0"/>
        <w:spacing w:before="120" w:beforeLines="50" w:after="120" w:line="360" w:lineRule="auto"/>
        <w:jc w:val="center"/>
        <w:rPr>
          <w:rFonts w:ascii="宋体" w:hAnsi="宋体"/>
          <w:bCs/>
          <w:sz w:val="28"/>
          <w:szCs w:val="28"/>
          <w:highlight w:val="none"/>
        </w:rPr>
      </w:pPr>
    </w:p>
    <w:p w14:paraId="3EF3E891">
      <w:pPr>
        <w:snapToGrid w:val="0"/>
        <w:spacing w:before="120" w:beforeLines="50" w:after="120" w:line="360" w:lineRule="auto"/>
        <w:jc w:val="center"/>
        <w:rPr>
          <w:rFonts w:ascii="宋体" w:hAnsi="宋体"/>
          <w:bCs/>
          <w:sz w:val="28"/>
          <w:szCs w:val="28"/>
          <w:highlight w:val="none"/>
        </w:rPr>
      </w:pPr>
    </w:p>
    <w:p w14:paraId="4E208734">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项目名称：</w:t>
      </w:r>
    </w:p>
    <w:p w14:paraId="08C5F628">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 xml:space="preserve">项目编号：    </w:t>
      </w:r>
    </w:p>
    <w:p w14:paraId="6A3429D7">
      <w:pPr>
        <w:snapToGrid w:val="0"/>
        <w:spacing w:before="120" w:beforeLines="50" w:after="120" w:line="360" w:lineRule="auto"/>
        <w:ind w:firstLine="1246" w:firstLineChars="445"/>
        <w:rPr>
          <w:rFonts w:ascii="宋体" w:hAnsi="宋体"/>
          <w:bCs/>
          <w:sz w:val="28"/>
          <w:szCs w:val="28"/>
          <w:highlight w:val="none"/>
        </w:rPr>
      </w:pPr>
    </w:p>
    <w:p w14:paraId="058F418D">
      <w:pPr>
        <w:snapToGrid w:val="0"/>
        <w:spacing w:before="120" w:beforeLines="50" w:after="120" w:line="360" w:lineRule="auto"/>
        <w:ind w:firstLine="1246" w:firstLineChars="445"/>
        <w:rPr>
          <w:rFonts w:ascii="宋体" w:hAnsi="宋体"/>
          <w:bCs/>
          <w:sz w:val="28"/>
          <w:szCs w:val="28"/>
          <w:highlight w:val="none"/>
        </w:rPr>
      </w:pPr>
    </w:p>
    <w:p w14:paraId="7F6AE532">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投标人名称：</w:t>
      </w:r>
    </w:p>
    <w:p w14:paraId="0F4D9FCB">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投标人地址：</w:t>
      </w:r>
    </w:p>
    <w:p w14:paraId="3E0357FD">
      <w:pPr>
        <w:pStyle w:val="14"/>
        <w:snapToGrid w:val="0"/>
        <w:spacing w:before="120" w:after="120"/>
        <w:ind w:firstLine="1120" w:firstLineChars="400"/>
        <w:rPr>
          <w:rFonts w:ascii="宋体" w:hAnsi="宋体"/>
          <w:bCs/>
          <w:sz w:val="28"/>
          <w:szCs w:val="28"/>
          <w:highlight w:val="none"/>
        </w:rPr>
      </w:pPr>
    </w:p>
    <w:p w14:paraId="1EBA8E52">
      <w:pPr>
        <w:snapToGrid w:val="0"/>
        <w:spacing w:before="120" w:beforeLines="50" w:after="120"/>
        <w:ind w:firstLine="645"/>
        <w:jc w:val="left"/>
        <w:rPr>
          <w:rFonts w:ascii="宋体" w:hAnsi="宋体"/>
          <w:sz w:val="24"/>
          <w:highlight w:val="none"/>
        </w:rPr>
      </w:pPr>
      <w:r>
        <w:rPr>
          <w:rFonts w:hint="eastAsia" w:ascii="宋体" w:hAnsi="宋体"/>
          <w:sz w:val="28"/>
          <w:szCs w:val="28"/>
          <w:highlight w:val="none"/>
        </w:rPr>
        <w:t xml:space="preserve">                        年  月  日</w:t>
      </w:r>
      <w:r>
        <w:rPr>
          <w:rFonts w:ascii="宋体" w:hAnsi="宋体"/>
          <w:sz w:val="24"/>
          <w:highlight w:val="none"/>
        </w:rPr>
        <w:br w:type="page"/>
      </w:r>
      <w:bookmarkStart w:id="67" w:name="_Hlk60757098"/>
      <w:r>
        <w:rPr>
          <w:rFonts w:ascii="宋体" w:hAnsi="宋体"/>
          <w:sz w:val="24"/>
          <w:highlight w:val="none"/>
        </w:rPr>
        <w:t>5</w:t>
      </w:r>
      <w:r>
        <w:rPr>
          <w:rFonts w:hint="eastAsia" w:ascii="宋体" w:hAnsi="宋体"/>
          <w:sz w:val="24"/>
          <w:highlight w:val="none"/>
        </w:rPr>
        <w:t>.投标函格式：</w:t>
      </w:r>
      <w:bookmarkEnd w:id="67"/>
    </w:p>
    <w:p w14:paraId="0AEE060C">
      <w:pPr>
        <w:snapToGrid w:val="0"/>
        <w:spacing w:before="120" w:beforeLines="50" w:after="120"/>
        <w:jc w:val="center"/>
        <w:rPr>
          <w:rFonts w:ascii="宋体" w:hAnsi="宋体"/>
          <w:b/>
          <w:sz w:val="36"/>
          <w:szCs w:val="36"/>
          <w:highlight w:val="none"/>
        </w:rPr>
      </w:pPr>
      <w:r>
        <w:rPr>
          <w:rFonts w:hint="eastAsia" w:ascii="宋体" w:hAnsi="宋体"/>
          <w:b/>
          <w:sz w:val="36"/>
          <w:szCs w:val="36"/>
          <w:highlight w:val="none"/>
        </w:rPr>
        <w:t>投 标 函</w:t>
      </w:r>
    </w:p>
    <w:p w14:paraId="1B38DF2D">
      <w:pPr>
        <w:snapToGrid w:val="0"/>
        <w:spacing w:before="120" w:beforeLines="50" w:after="120" w:line="380" w:lineRule="exact"/>
        <w:rPr>
          <w:rFonts w:ascii="宋体" w:hAnsi="宋体"/>
          <w:sz w:val="24"/>
          <w:szCs w:val="20"/>
          <w:highlight w:val="none"/>
        </w:rPr>
      </w:pPr>
      <w:r>
        <w:rPr>
          <w:rFonts w:hint="eastAsia" w:ascii="宋体" w:hAnsi="宋体"/>
          <w:sz w:val="24"/>
          <w:highlight w:val="none"/>
        </w:rPr>
        <w:t>致：</w:t>
      </w:r>
      <w:r>
        <w:rPr>
          <w:rFonts w:hint="eastAsia" w:ascii="宋体" w:hAnsi="宋体"/>
          <w:sz w:val="24"/>
          <w:highlight w:val="none"/>
          <w:u w:val="single"/>
        </w:rPr>
        <w:t xml:space="preserve">                 </w:t>
      </w:r>
      <w:r>
        <w:rPr>
          <w:rFonts w:hint="eastAsia" w:ascii="宋体" w:hAnsi="宋体"/>
          <w:sz w:val="24"/>
          <w:highlight w:val="none"/>
        </w:rPr>
        <w:t>（招标人名称）：</w:t>
      </w:r>
    </w:p>
    <w:p w14:paraId="23649B7B">
      <w:pPr>
        <w:snapToGrid w:val="0"/>
        <w:spacing w:line="360" w:lineRule="auto"/>
        <w:ind w:firstLine="480" w:firstLineChars="200"/>
        <w:rPr>
          <w:rFonts w:ascii="宋体" w:hAnsi="宋体"/>
          <w:sz w:val="24"/>
          <w:highlight w:val="none"/>
        </w:rPr>
      </w:pPr>
      <w:r>
        <w:rPr>
          <w:rFonts w:hint="eastAsia" w:ascii="宋体" w:hAnsi="宋体"/>
          <w:sz w:val="24"/>
          <w:highlight w:val="none"/>
        </w:rPr>
        <w:t>1、我方自愿参加贵方组织的</w:t>
      </w:r>
      <w:r>
        <w:rPr>
          <w:rFonts w:hint="eastAsia" w:ascii="宋体" w:hAnsi="宋体"/>
          <w:sz w:val="24"/>
          <w:highlight w:val="none"/>
          <w:u w:val="single"/>
        </w:rPr>
        <w:t xml:space="preserve">                 </w:t>
      </w:r>
      <w:r>
        <w:rPr>
          <w:rFonts w:hint="eastAsia" w:ascii="宋体" w:hAnsi="宋体"/>
          <w:sz w:val="24"/>
          <w:highlight w:val="none"/>
        </w:rPr>
        <w:t>项目（项目编号：</w:t>
      </w:r>
      <w:r>
        <w:rPr>
          <w:rFonts w:hint="eastAsia" w:ascii="宋体" w:hAnsi="宋体"/>
          <w:sz w:val="24"/>
          <w:highlight w:val="none"/>
          <w:u w:val="single"/>
        </w:rPr>
        <w:t xml:space="preserve">                 </w:t>
      </w:r>
      <w:r>
        <w:rPr>
          <w:rFonts w:hint="eastAsia" w:ascii="宋体" w:hAnsi="宋体"/>
          <w:sz w:val="24"/>
          <w:highlight w:val="none"/>
        </w:rPr>
        <w:t>）的投标，并</w:t>
      </w:r>
      <w:r>
        <w:rPr>
          <w:rFonts w:ascii="宋体" w:hAnsi="宋体"/>
          <w:sz w:val="24"/>
          <w:highlight w:val="none"/>
        </w:rPr>
        <w:t>按采购文件的要求</w:t>
      </w:r>
      <w:r>
        <w:rPr>
          <w:rFonts w:hint="eastAsia" w:ascii="宋体" w:hAnsi="宋体"/>
          <w:sz w:val="24"/>
          <w:highlight w:val="none"/>
        </w:rPr>
        <w:t>提交资格响应文件、商务技术文件、报价文件。</w:t>
      </w:r>
    </w:p>
    <w:p w14:paraId="189ECB08">
      <w:pPr>
        <w:snapToGrid w:val="0"/>
        <w:spacing w:line="360" w:lineRule="auto"/>
        <w:ind w:firstLine="480" w:firstLineChars="200"/>
        <w:rPr>
          <w:rFonts w:ascii="宋体" w:hAnsi="宋体"/>
          <w:sz w:val="24"/>
          <w:highlight w:val="none"/>
        </w:rPr>
      </w:pPr>
      <w:r>
        <w:rPr>
          <w:rFonts w:ascii="宋体" w:hAnsi="宋体"/>
          <w:sz w:val="24"/>
          <w:highlight w:val="none"/>
        </w:rPr>
        <w:t>2</w:t>
      </w:r>
      <w:r>
        <w:rPr>
          <w:rFonts w:hint="eastAsia" w:ascii="宋体" w:hAnsi="宋体"/>
          <w:sz w:val="24"/>
          <w:highlight w:val="none"/>
        </w:rPr>
        <w:t>、我方完全理解并接受磋商文件（包括修改补</w:t>
      </w:r>
      <w:r>
        <w:rPr>
          <w:rFonts w:ascii="宋体" w:hAnsi="宋体"/>
          <w:sz w:val="24"/>
          <w:highlight w:val="none"/>
        </w:rPr>
        <w:t>充</w:t>
      </w:r>
      <w:r>
        <w:rPr>
          <w:rFonts w:hint="eastAsia" w:ascii="宋体" w:hAnsi="宋体"/>
          <w:sz w:val="24"/>
          <w:highlight w:val="none"/>
        </w:rPr>
        <w:t>文件）的各项规定和要求</w:t>
      </w:r>
      <w:r>
        <w:rPr>
          <w:rFonts w:ascii="宋体" w:hAnsi="宋体"/>
          <w:sz w:val="24"/>
          <w:highlight w:val="none"/>
        </w:rPr>
        <w:t>，</w:t>
      </w:r>
      <w:r>
        <w:rPr>
          <w:rFonts w:hint="eastAsia" w:ascii="宋体" w:hAnsi="宋体"/>
          <w:sz w:val="24"/>
          <w:highlight w:val="none"/>
        </w:rPr>
        <w:t>不</w:t>
      </w:r>
      <w:r>
        <w:rPr>
          <w:rFonts w:ascii="宋体" w:hAnsi="宋体"/>
          <w:sz w:val="24"/>
          <w:highlight w:val="none"/>
        </w:rPr>
        <w:t>再对</w:t>
      </w:r>
      <w:r>
        <w:rPr>
          <w:rFonts w:hint="eastAsia" w:ascii="宋体" w:hAnsi="宋体"/>
          <w:sz w:val="24"/>
          <w:highlight w:val="none"/>
        </w:rPr>
        <w:t>磋商文件的合理性、合法性等</w:t>
      </w:r>
      <w:r>
        <w:rPr>
          <w:rFonts w:ascii="宋体" w:hAnsi="宋体"/>
          <w:sz w:val="24"/>
          <w:highlight w:val="none"/>
        </w:rPr>
        <w:t>相关内容提出质疑或投诉。</w:t>
      </w:r>
    </w:p>
    <w:p w14:paraId="10629C41">
      <w:pPr>
        <w:snapToGrid w:val="0"/>
        <w:spacing w:line="360" w:lineRule="auto"/>
        <w:ind w:firstLine="480" w:firstLineChars="200"/>
        <w:rPr>
          <w:rFonts w:ascii="宋体" w:hAnsi="宋体"/>
          <w:sz w:val="24"/>
          <w:highlight w:val="none"/>
        </w:rPr>
      </w:pPr>
      <w:r>
        <w:rPr>
          <w:rFonts w:ascii="宋体" w:hAnsi="宋体"/>
          <w:sz w:val="24"/>
          <w:highlight w:val="none"/>
        </w:rPr>
        <w:t>3</w:t>
      </w:r>
      <w:r>
        <w:rPr>
          <w:rFonts w:hint="eastAsia" w:ascii="宋体" w:hAnsi="宋体"/>
          <w:sz w:val="24"/>
          <w:highlight w:val="none"/>
        </w:rPr>
        <w:t>、我方不是招标人的附属机构以及</w:t>
      </w:r>
      <w:r>
        <w:rPr>
          <w:rFonts w:ascii="宋体" w:hAnsi="宋体"/>
          <w:sz w:val="24"/>
          <w:highlight w:val="none"/>
        </w:rPr>
        <w:t>其它法律法规</w:t>
      </w:r>
      <w:r>
        <w:rPr>
          <w:rFonts w:hint="eastAsia" w:ascii="宋体" w:hAnsi="宋体"/>
          <w:sz w:val="24"/>
          <w:highlight w:val="none"/>
        </w:rPr>
        <w:t>所</w:t>
      </w:r>
      <w:r>
        <w:rPr>
          <w:rFonts w:ascii="宋体" w:hAnsi="宋体"/>
          <w:sz w:val="24"/>
          <w:highlight w:val="none"/>
        </w:rPr>
        <w:t>规定的限制投标单位</w:t>
      </w:r>
      <w:r>
        <w:rPr>
          <w:rFonts w:hint="eastAsia" w:ascii="宋体" w:hAnsi="宋体"/>
          <w:sz w:val="24"/>
          <w:highlight w:val="none"/>
        </w:rPr>
        <w:t>。</w:t>
      </w:r>
    </w:p>
    <w:p w14:paraId="453543A2">
      <w:pPr>
        <w:snapToGrid w:val="0"/>
        <w:spacing w:line="360" w:lineRule="auto"/>
        <w:ind w:firstLine="482" w:firstLineChars="200"/>
        <w:rPr>
          <w:rFonts w:ascii="宋体" w:hAnsi="宋体"/>
          <w:b/>
          <w:bCs/>
          <w:sz w:val="24"/>
          <w:highlight w:val="none"/>
          <w:shd w:val="pct10" w:color="auto" w:fill="FFFFFF"/>
        </w:rPr>
      </w:pPr>
      <w:r>
        <w:rPr>
          <w:rFonts w:ascii="宋体" w:hAnsi="宋体"/>
          <w:b/>
          <w:bCs/>
          <w:sz w:val="24"/>
          <w:highlight w:val="none"/>
          <w:shd w:val="pct10" w:color="auto" w:fill="FFFFFF"/>
        </w:rPr>
        <w:t>4</w:t>
      </w:r>
      <w:r>
        <w:rPr>
          <w:rFonts w:hint="eastAsia" w:ascii="宋体" w:hAnsi="宋体"/>
          <w:b/>
          <w:bCs/>
          <w:sz w:val="24"/>
          <w:highlight w:val="none"/>
          <w:shd w:val="pct10" w:color="auto" w:fill="FFFFFF"/>
        </w:rPr>
        <w:t>.、我方向贵方提交的所有响应文件、资料（包括所有</w:t>
      </w:r>
      <w:bookmarkStart w:id="68" w:name="_Hlk59707887"/>
      <w:r>
        <w:rPr>
          <w:rFonts w:hint="eastAsia" w:ascii="宋体" w:hAnsi="宋体"/>
          <w:b/>
          <w:bCs/>
          <w:sz w:val="24"/>
          <w:highlight w:val="none"/>
          <w:shd w:val="pct10" w:color="auto" w:fill="FFFFFF"/>
        </w:rPr>
        <w:t>证书、合同、报告等</w:t>
      </w:r>
      <w:bookmarkEnd w:id="68"/>
      <w:r>
        <w:rPr>
          <w:rFonts w:hint="eastAsia" w:ascii="宋体" w:hAnsi="宋体"/>
          <w:b/>
          <w:bCs/>
          <w:sz w:val="24"/>
          <w:highlight w:val="none"/>
          <w:shd w:val="pct10" w:color="auto" w:fill="FFFFFF"/>
        </w:rPr>
        <w:t>）都是准确、真实、合规的，如有虚假或隐瞒，我方愿意承担一切后果。</w:t>
      </w:r>
    </w:p>
    <w:p w14:paraId="78E88818">
      <w:pPr>
        <w:snapToGrid w:val="0"/>
        <w:spacing w:line="360" w:lineRule="auto"/>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、自投标截止日起 90天</w:t>
      </w:r>
      <w:r>
        <w:rPr>
          <w:rFonts w:ascii="宋体" w:hAnsi="宋体"/>
          <w:sz w:val="24"/>
          <w:highlight w:val="none"/>
        </w:rPr>
        <w:t>内</w:t>
      </w:r>
      <w:r>
        <w:rPr>
          <w:rFonts w:hint="eastAsia" w:ascii="宋体" w:hAnsi="宋体"/>
          <w:sz w:val="24"/>
          <w:highlight w:val="none"/>
        </w:rPr>
        <w:t>有效。</w:t>
      </w:r>
    </w:p>
    <w:p w14:paraId="2DAC362E">
      <w:pPr>
        <w:snapToGrid w:val="0"/>
        <w:spacing w:line="360" w:lineRule="auto"/>
        <w:ind w:firstLine="480" w:firstLineChars="200"/>
        <w:rPr>
          <w:rFonts w:ascii="宋体" w:hAnsi="宋体"/>
          <w:sz w:val="24"/>
          <w:highlight w:val="none"/>
        </w:rPr>
      </w:pPr>
      <w:r>
        <w:rPr>
          <w:rFonts w:ascii="宋体" w:hAnsi="宋体"/>
          <w:sz w:val="24"/>
          <w:highlight w:val="none"/>
        </w:rPr>
        <w:t>6</w:t>
      </w:r>
      <w:r>
        <w:rPr>
          <w:rFonts w:hint="eastAsia" w:ascii="宋体" w:hAnsi="宋体"/>
          <w:sz w:val="24"/>
          <w:highlight w:val="none"/>
        </w:rPr>
        <w:t>、如中标，本响应文件至本项目合同履行完毕均保持有效，同意按照贵方要求提供与投标有关的一切数据或资料，并按“磋商文件”及相关法律、法规的规定履行合同责任和义务。</w:t>
      </w:r>
    </w:p>
    <w:p w14:paraId="70339ECF">
      <w:pPr>
        <w:snapToGrid w:val="0"/>
        <w:spacing w:line="360" w:lineRule="auto"/>
        <w:ind w:firstLine="480" w:firstLineChars="200"/>
        <w:rPr>
          <w:rFonts w:ascii="宋体" w:hAnsi="宋体"/>
          <w:sz w:val="24"/>
          <w:highlight w:val="none"/>
        </w:rPr>
      </w:pPr>
      <w:r>
        <w:rPr>
          <w:rFonts w:ascii="宋体" w:hAnsi="宋体"/>
          <w:sz w:val="24"/>
          <w:highlight w:val="none"/>
        </w:rPr>
        <w:t>7</w:t>
      </w:r>
      <w:r>
        <w:rPr>
          <w:rFonts w:hint="eastAsia" w:ascii="宋体" w:hAnsi="宋体"/>
          <w:sz w:val="24"/>
          <w:highlight w:val="none"/>
        </w:rPr>
        <w:t>、以上事项如有虚假或隐瞒，我方愿意承担一切后果，并不再寻求任何旨在减轻或免除法律责任的辩解，</w:t>
      </w:r>
      <w:r>
        <w:rPr>
          <w:rFonts w:ascii="宋体" w:hAnsi="宋体"/>
          <w:sz w:val="24"/>
          <w:highlight w:val="none"/>
        </w:rPr>
        <w:t>同意对招标人</w:t>
      </w:r>
      <w:r>
        <w:rPr>
          <w:rFonts w:hint="eastAsia" w:ascii="宋体" w:hAnsi="宋体"/>
          <w:sz w:val="24"/>
          <w:highlight w:val="none"/>
        </w:rPr>
        <w:t>因</w:t>
      </w:r>
      <w:r>
        <w:rPr>
          <w:rFonts w:ascii="宋体" w:hAnsi="宋体"/>
          <w:sz w:val="24"/>
          <w:highlight w:val="none"/>
        </w:rPr>
        <w:t>此引起的损失予以赔偿</w:t>
      </w:r>
      <w:r>
        <w:rPr>
          <w:rFonts w:hint="eastAsia" w:ascii="宋体" w:hAnsi="宋体"/>
          <w:sz w:val="24"/>
          <w:highlight w:val="none"/>
        </w:rPr>
        <w:t>。</w:t>
      </w:r>
    </w:p>
    <w:p w14:paraId="68E28BB4">
      <w:pPr>
        <w:snapToGrid w:val="0"/>
        <w:spacing w:line="360" w:lineRule="auto"/>
        <w:ind w:firstLine="480" w:firstLineChars="200"/>
        <w:rPr>
          <w:rFonts w:ascii="宋体" w:hAnsi="宋体"/>
          <w:sz w:val="24"/>
          <w:highlight w:val="none"/>
        </w:rPr>
      </w:pPr>
      <w:r>
        <w:rPr>
          <w:rFonts w:ascii="宋体" w:hAnsi="宋体"/>
          <w:sz w:val="24"/>
          <w:highlight w:val="none"/>
        </w:rPr>
        <w:t>8</w:t>
      </w:r>
      <w:r>
        <w:rPr>
          <w:rFonts w:hint="eastAsia" w:ascii="宋体" w:hAnsi="宋体"/>
          <w:sz w:val="24"/>
          <w:highlight w:val="none"/>
        </w:rPr>
        <w:t>、我方全权授</w:t>
      </w:r>
      <w:r>
        <w:rPr>
          <w:rFonts w:ascii="宋体" w:hAnsi="宋体"/>
          <w:sz w:val="24"/>
          <w:highlight w:val="none"/>
        </w:rPr>
        <w:t>权被授权人</w:t>
      </w:r>
      <w:r>
        <w:rPr>
          <w:rFonts w:hint="eastAsia" w:ascii="宋体" w:hAnsi="宋体"/>
          <w:sz w:val="24"/>
          <w:highlight w:val="none"/>
        </w:rPr>
        <w:t>办理针对上述项目的投标、开标、评标、签约等具体事务和签署相关文件，</w:t>
      </w:r>
      <w:r>
        <w:rPr>
          <w:rFonts w:ascii="宋体" w:hAnsi="宋体"/>
          <w:sz w:val="24"/>
          <w:highlight w:val="none"/>
        </w:rPr>
        <w:t>对被授权的</w:t>
      </w:r>
      <w:r>
        <w:rPr>
          <w:rFonts w:hint="eastAsia" w:ascii="宋体" w:hAnsi="宋体"/>
          <w:sz w:val="24"/>
          <w:highlight w:val="none"/>
        </w:rPr>
        <w:t>各</w:t>
      </w:r>
      <w:r>
        <w:rPr>
          <w:rFonts w:ascii="宋体" w:hAnsi="宋体"/>
          <w:sz w:val="24"/>
          <w:highlight w:val="none"/>
        </w:rPr>
        <w:t>项行为负全部责任</w:t>
      </w:r>
      <w:r>
        <w:rPr>
          <w:rFonts w:hint="eastAsia" w:ascii="宋体" w:hAnsi="宋体"/>
          <w:sz w:val="24"/>
          <w:highlight w:val="none"/>
        </w:rPr>
        <w:t>，在撤销授权的书面通知以前，本授权书一直有效，被授权人无转委托权。</w:t>
      </w:r>
    </w:p>
    <w:p w14:paraId="2383271E">
      <w:pPr>
        <w:snapToGrid w:val="0"/>
        <w:spacing w:line="360" w:lineRule="auto"/>
        <w:ind w:firstLine="361" w:firstLineChars="150"/>
        <w:rPr>
          <w:rFonts w:ascii="宋体" w:hAnsi="宋体"/>
          <w:b/>
          <w:bCs/>
          <w:sz w:val="24"/>
          <w:highlight w:val="none"/>
          <w:u w:val="single"/>
          <w:shd w:val="pct10" w:color="auto" w:fill="FFFFFF"/>
        </w:rPr>
      </w:pPr>
      <w:r>
        <w:rPr>
          <w:rFonts w:hint="eastAsia" w:ascii="宋体" w:hAnsi="宋体"/>
          <w:b/>
          <w:bCs/>
          <w:sz w:val="24"/>
          <w:highlight w:val="none"/>
        </w:rPr>
        <w:t>与本投标有关的一切正式往来信函、传真或邮件</w:t>
      </w:r>
      <w:r>
        <w:rPr>
          <w:rFonts w:hint="eastAsia" w:ascii="宋体" w:hAnsi="宋体"/>
          <w:b/>
          <w:bCs/>
          <w:sz w:val="24"/>
          <w:highlight w:val="none"/>
          <w:u w:val="single"/>
          <w:shd w:val="pct10" w:color="auto" w:fill="FFFFFF"/>
        </w:rPr>
        <w:t>（例如质疑回复函、中标通知书、采购合同等）请采用如下联系方式送达，我方确保能够及时、准确收悉。</w:t>
      </w:r>
    </w:p>
    <w:p w14:paraId="76B62B7F">
      <w:pPr>
        <w:snapToGrid w:val="0"/>
        <w:spacing w:line="360" w:lineRule="auto"/>
        <w:ind w:firstLine="360" w:firstLineChars="150"/>
        <w:rPr>
          <w:rFonts w:ascii="宋体" w:hAnsi="宋体"/>
          <w:sz w:val="24"/>
          <w:highlight w:val="none"/>
        </w:rPr>
      </w:pPr>
      <w:r>
        <w:rPr>
          <w:rFonts w:hint="eastAsia" w:ascii="宋体" w:hAnsi="宋体"/>
          <w:sz w:val="24"/>
          <w:highlight w:val="none"/>
        </w:rPr>
        <w:t>邮寄详细地址：</w:t>
      </w:r>
      <w:r>
        <w:rPr>
          <w:rFonts w:hint="eastAsia"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邮编：__________</w:t>
      </w:r>
    </w:p>
    <w:p w14:paraId="3C04C3FC">
      <w:pPr>
        <w:snapToGrid w:val="0"/>
        <w:spacing w:line="360" w:lineRule="auto"/>
        <w:ind w:firstLine="360" w:firstLineChars="150"/>
        <w:rPr>
          <w:rFonts w:ascii="宋体" w:hAnsi="宋体"/>
          <w:sz w:val="24"/>
          <w:highlight w:val="none"/>
        </w:rPr>
      </w:pPr>
      <w:r>
        <w:rPr>
          <w:rFonts w:hint="eastAsia" w:ascii="宋体" w:hAnsi="宋体"/>
          <w:sz w:val="24"/>
          <w:highlight w:val="none"/>
        </w:rPr>
        <w:t>收件人姓名：</w:t>
      </w:r>
      <w:r>
        <w:rPr>
          <w:rFonts w:hint="eastAsia" w:ascii="宋体" w:hAnsi="宋体"/>
          <w:sz w:val="24"/>
          <w:highlight w:val="none"/>
          <w:u w:val="single"/>
        </w:rPr>
        <w:t xml:space="preserve">         </w:t>
      </w:r>
      <w:r>
        <w:rPr>
          <w:rFonts w:hint="eastAsia" w:ascii="宋体" w:hAnsi="宋体"/>
          <w:sz w:val="24"/>
          <w:highlight w:val="none"/>
        </w:rPr>
        <w:t>联系手机：</w:t>
      </w:r>
      <w:bookmarkStart w:id="69" w:name="_Hlk59370410"/>
      <w:r>
        <w:rPr>
          <w:rFonts w:hint="eastAsia" w:ascii="宋体" w:hAnsi="宋体"/>
          <w:sz w:val="24"/>
          <w:highlight w:val="none"/>
          <w:u w:val="single"/>
        </w:rPr>
        <w:t xml:space="preserve">            </w:t>
      </w:r>
      <w:bookmarkEnd w:id="69"/>
      <w:r>
        <w:rPr>
          <w:rFonts w:hint="eastAsia" w:ascii="宋体" w:hAnsi="宋体"/>
          <w:sz w:val="24"/>
          <w:highlight w:val="none"/>
        </w:rPr>
        <w:t>公司电子邮箱</w:t>
      </w:r>
      <w:r>
        <w:rPr>
          <w:rFonts w:hint="eastAsia" w:ascii="宋体" w:hAnsi="宋体"/>
          <w:b/>
          <w:bCs/>
          <w:sz w:val="24"/>
          <w:highlight w:val="none"/>
        </w:rPr>
        <w:t>：</w:t>
      </w:r>
      <w:r>
        <w:rPr>
          <w:rFonts w:hint="eastAsia" w:ascii="宋体" w:hAnsi="宋体"/>
          <w:sz w:val="24"/>
          <w:highlight w:val="none"/>
        </w:rPr>
        <w:t>__________</w:t>
      </w:r>
      <w:r>
        <w:rPr>
          <w:rFonts w:hint="eastAsia" w:ascii="宋体" w:hAnsi="宋体"/>
          <w:sz w:val="24"/>
          <w:highlight w:val="none"/>
          <w:u w:val="single"/>
        </w:rPr>
        <w:t xml:space="preserve">          </w:t>
      </w:r>
      <w:r>
        <w:rPr>
          <w:rFonts w:hint="eastAsia" w:ascii="宋体" w:hAnsi="宋体"/>
          <w:sz w:val="24"/>
          <w:highlight w:val="none"/>
          <w:u w:val="doub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p>
    <w:p w14:paraId="7CB8F55B">
      <w:pPr>
        <w:snapToGrid w:val="0"/>
        <w:spacing w:line="360" w:lineRule="auto"/>
        <w:ind w:firstLine="361" w:firstLineChars="150"/>
        <w:jc w:val="left"/>
        <w:rPr>
          <w:rFonts w:ascii="宋体" w:hAnsi="宋体"/>
          <w:b/>
          <w:bCs/>
          <w:sz w:val="24"/>
          <w:highlight w:val="none"/>
          <w:shd w:val="pct10" w:color="auto" w:fill="FFFFFF"/>
        </w:rPr>
      </w:pPr>
      <w:bookmarkStart w:id="70" w:name="_Hlk59370586"/>
      <w:r>
        <w:rPr>
          <w:rFonts w:hint="eastAsia" w:ascii="宋体" w:hAnsi="宋体"/>
          <w:b/>
          <w:bCs/>
          <w:sz w:val="24"/>
          <w:highlight w:val="none"/>
          <w:shd w:val="pct10" w:color="auto" w:fill="FFFFFF"/>
        </w:rPr>
        <w:t>为了方便评标委员会在必要时对投标人进行询标，请投标人填写以下响应文件编制人信息，以便及时、准确进行询标，响应文件编制人信息可不限于1人。</w:t>
      </w:r>
    </w:p>
    <w:p w14:paraId="583D06E7">
      <w:pPr>
        <w:snapToGrid w:val="0"/>
        <w:spacing w:line="360" w:lineRule="auto"/>
        <w:ind w:firstLine="361" w:firstLineChars="150"/>
        <w:jc w:val="left"/>
        <w:rPr>
          <w:rFonts w:ascii="宋体" w:hAnsi="宋体"/>
          <w:b/>
          <w:bCs/>
          <w:sz w:val="24"/>
          <w:highlight w:val="none"/>
          <w:u w:val="single"/>
        </w:rPr>
      </w:pPr>
      <w:r>
        <w:rPr>
          <w:rFonts w:hint="eastAsia" w:ascii="宋体" w:hAnsi="宋体"/>
          <w:b/>
          <w:bCs/>
          <w:sz w:val="24"/>
          <w:highlight w:val="none"/>
        </w:rPr>
        <w:t>响应文件编制人</w:t>
      </w:r>
      <w:bookmarkEnd w:id="70"/>
      <w:r>
        <w:rPr>
          <w:rFonts w:hint="eastAsia" w:ascii="宋体" w:hAnsi="宋体"/>
          <w:b/>
          <w:bCs/>
          <w:sz w:val="24"/>
          <w:highlight w:val="none"/>
        </w:rPr>
        <w:t>姓名：</w:t>
      </w:r>
      <w:r>
        <w:rPr>
          <w:rFonts w:hint="eastAsia" w:ascii="宋体" w:hAnsi="宋体"/>
          <w:sz w:val="24"/>
          <w:highlight w:val="none"/>
        </w:rPr>
        <w:t>__________</w:t>
      </w:r>
      <w:r>
        <w:rPr>
          <w:rFonts w:hint="eastAsia" w:ascii="宋体" w:hAnsi="宋体"/>
          <w:b/>
          <w:bCs/>
          <w:sz w:val="24"/>
          <w:highlight w:val="none"/>
        </w:rPr>
        <w:t xml:space="preserve">  </w:t>
      </w:r>
      <w:r>
        <w:rPr>
          <w:rFonts w:ascii="宋体" w:hAnsi="宋体"/>
          <w:b/>
          <w:bCs/>
          <w:sz w:val="24"/>
          <w:highlight w:val="none"/>
        </w:rPr>
        <w:t xml:space="preserve">  </w:t>
      </w:r>
      <w:r>
        <w:rPr>
          <w:rFonts w:hint="eastAsia" w:ascii="宋体" w:hAnsi="宋体"/>
          <w:b/>
          <w:bCs/>
          <w:sz w:val="24"/>
          <w:highlight w:val="none"/>
        </w:rPr>
        <w:t>手机号码：</w:t>
      </w:r>
      <w:r>
        <w:rPr>
          <w:rFonts w:hint="eastAsia" w:ascii="宋体" w:hAnsi="宋体"/>
          <w:sz w:val="24"/>
          <w:highlight w:val="none"/>
        </w:rPr>
        <w:t>__________</w:t>
      </w:r>
    </w:p>
    <w:p w14:paraId="3EF49663">
      <w:pPr>
        <w:snapToGrid w:val="0"/>
        <w:spacing w:line="360" w:lineRule="auto"/>
        <w:ind w:firstLine="361" w:firstLineChars="150"/>
        <w:jc w:val="left"/>
        <w:rPr>
          <w:rFonts w:ascii="宋体" w:hAnsi="宋体"/>
          <w:b/>
          <w:sz w:val="24"/>
          <w:highlight w:val="none"/>
          <w:u w:val="single"/>
          <w:shd w:val="pct10" w:color="auto" w:fill="FFFFFF"/>
        </w:rPr>
      </w:pPr>
      <w:r>
        <w:rPr>
          <w:rFonts w:hint="eastAsia" w:ascii="宋体" w:hAnsi="宋体"/>
          <w:b/>
          <w:sz w:val="24"/>
          <w:highlight w:val="none"/>
          <w:shd w:val="pct10" w:color="auto" w:fill="FFFFFF"/>
        </w:rPr>
        <w:t>法定代表人（签字或盖章）：</w:t>
      </w:r>
    </w:p>
    <w:p w14:paraId="4A375966">
      <w:pPr>
        <w:snapToGrid w:val="0"/>
        <w:spacing w:line="360" w:lineRule="auto"/>
        <w:ind w:firstLine="361" w:firstLineChars="150"/>
        <w:jc w:val="left"/>
        <w:rPr>
          <w:rFonts w:ascii="宋体" w:hAnsi="宋体"/>
          <w:b/>
          <w:bCs/>
          <w:sz w:val="24"/>
          <w:highlight w:val="none"/>
        </w:rPr>
      </w:pPr>
      <w:r>
        <w:rPr>
          <w:rFonts w:hint="eastAsia" w:ascii="宋体" w:hAnsi="宋体"/>
          <w:b/>
          <w:sz w:val="24"/>
          <w:highlight w:val="none"/>
          <w:shd w:val="pct10" w:color="auto" w:fill="FFFFFF"/>
        </w:rPr>
        <w:t>被授权人（签字）:</w:t>
      </w:r>
      <w:r>
        <w:rPr>
          <w:rFonts w:hint="eastAsia" w:ascii="宋体" w:hAnsi="宋体"/>
          <w:sz w:val="24"/>
          <w:highlight w:val="none"/>
        </w:rPr>
        <w:t xml:space="preserve">__________  </w:t>
      </w:r>
      <w:r>
        <w:rPr>
          <w:rFonts w:hint="eastAsia" w:ascii="宋体" w:hAnsi="宋体"/>
          <w:b/>
          <w:bCs/>
          <w:sz w:val="24"/>
          <w:highlight w:val="none"/>
        </w:rPr>
        <w:t>被授权人手机号码：</w:t>
      </w:r>
      <w:r>
        <w:rPr>
          <w:rFonts w:hint="eastAsia" w:ascii="宋体" w:hAnsi="宋体"/>
          <w:sz w:val="24"/>
          <w:highlight w:val="none"/>
        </w:rPr>
        <w:t>__________</w:t>
      </w:r>
      <w:r>
        <w:rPr>
          <w:rFonts w:ascii="宋体" w:hAnsi="宋体"/>
          <w:sz w:val="24"/>
          <w:highlight w:val="none"/>
          <w:u w:val="single"/>
        </w:rPr>
        <w:t xml:space="preserve">   </w:t>
      </w:r>
    </w:p>
    <w:p w14:paraId="57ECCCAD">
      <w:pPr>
        <w:snapToGrid w:val="0"/>
        <w:spacing w:line="360" w:lineRule="auto"/>
        <w:jc w:val="left"/>
        <w:rPr>
          <w:rFonts w:ascii="宋体" w:hAnsi="宋体"/>
          <w:sz w:val="24"/>
          <w:highlight w:val="none"/>
        </w:rPr>
      </w:pPr>
    </w:p>
    <w:p w14:paraId="20A62086">
      <w:pPr>
        <w:snapToGrid w:val="0"/>
        <w:spacing w:line="360" w:lineRule="auto"/>
        <w:ind w:firstLine="482" w:firstLineChars="200"/>
        <w:jc w:val="left"/>
        <w:rPr>
          <w:rFonts w:ascii="宋体" w:hAnsi="宋体"/>
          <w:sz w:val="24"/>
          <w:szCs w:val="20"/>
          <w:highlight w:val="none"/>
        </w:rPr>
      </w:pPr>
      <w:r>
        <w:rPr>
          <w:rFonts w:hint="eastAsia" w:ascii="宋体" w:hAnsi="宋体"/>
          <w:b/>
          <w:bCs/>
          <w:sz w:val="24"/>
          <w:highlight w:val="none"/>
        </w:rPr>
        <w:t xml:space="preserve">投标人:(公章) </w:t>
      </w:r>
      <w:r>
        <w:rPr>
          <w:rFonts w:ascii="宋体" w:hAnsi="宋体"/>
          <w:sz w:val="24"/>
          <w:highlight w:val="none"/>
        </w:rPr>
        <w:t xml:space="preserve">                           </w:t>
      </w:r>
      <w:r>
        <w:rPr>
          <w:rFonts w:hint="eastAsia" w:ascii="宋体" w:hAnsi="宋体"/>
          <w:b/>
          <w:sz w:val="24"/>
          <w:highlight w:val="none"/>
        </w:rPr>
        <w:t>日期:_____年___月___日</w:t>
      </w:r>
      <w:r>
        <w:rPr>
          <w:rFonts w:hint="eastAsia" w:ascii="宋体" w:hAnsi="宋体"/>
          <w:highlight w:val="none"/>
        </w:rPr>
        <w:br w:type="page"/>
      </w:r>
      <w:r>
        <w:rPr>
          <w:rFonts w:ascii="宋体" w:hAnsi="宋体"/>
          <w:sz w:val="24"/>
          <w:highlight w:val="none"/>
        </w:rPr>
        <w:t>6</w:t>
      </w:r>
      <w:r>
        <w:rPr>
          <w:rFonts w:hint="eastAsia" w:ascii="宋体" w:hAnsi="宋体"/>
          <w:sz w:val="24"/>
          <w:highlight w:val="none"/>
        </w:rPr>
        <w:t>.法定代表人授权委托书格式：</w:t>
      </w:r>
    </w:p>
    <w:p w14:paraId="784F2AB1">
      <w:pPr>
        <w:snapToGrid w:val="0"/>
        <w:spacing w:before="120" w:beforeLines="50" w:after="120"/>
        <w:jc w:val="center"/>
        <w:rPr>
          <w:rFonts w:ascii="宋体" w:hAnsi="宋体"/>
          <w:b/>
          <w:sz w:val="24"/>
          <w:highlight w:val="none"/>
        </w:rPr>
      </w:pPr>
      <w:r>
        <w:rPr>
          <w:rFonts w:hint="eastAsia" w:ascii="宋体" w:hAnsi="宋体"/>
          <w:b/>
          <w:sz w:val="24"/>
          <w:highlight w:val="none"/>
        </w:rPr>
        <w:t>法定代表人授权委托书</w:t>
      </w:r>
    </w:p>
    <w:p w14:paraId="65B8E6CD">
      <w:pPr>
        <w:snapToGrid w:val="0"/>
        <w:spacing w:before="120" w:beforeLines="50" w:after="120" w:line="460" w:lineRule="exact"/>
        <w:rPr>
          <w:rFonts w:ascii="宋体" w:hAnsi="宋体"/>
          <w:b/>
          <w:bCs/>
          <w:sz w:val="24"/>
          <w:szCs w:val="20"/>
          <w:highlight w:val="none"/>
        </w:rPr>
      </w:pPr>
      <w:r>
        <w:rPr>
          <w:rFonts w:hint="eastAsia" w:ascii="宋体" w:hAnsi="宋体"/>
          <w:bCs/>
          <w:sz w:val="24"/>
          <w:highlight w:val="none"/>
        </w:rPr>
        <w:t>致：</w:t>
      </w:r>
      <w:r>
        <w:rPr>
          <w:rFonts w:hint="eastAsia" w:ascii="宋体" w:hAnsi="宋体"/>
          <w:sz w:val="24"/>
          <w:highlight w:val="none"/>
        </w:rPr>
        <w:t>__________（招标人名称）：</w:t>
      </w:r>
    </w:p>
    <w:p w14:paraId="79C66880">
      <w:pPr>
        <w:snapToGrid w:val="0"/>
        <w:spacing w:before="120" w:beforeLines="50" w:after="120" w:line="460" w:lineRule="exact"/>
        <w:ind w:firstLine="480" w:firstLineChars="200"/>
        <w:rPr>
          <w:rFonts w:ascii="宋体" w:hAnsi="宋体"/>
          <w:sz w:val="24"/>
          <w:szCs w:val="20"/>
          <w:highlight w:val="none"/>
        </w:rPr>
      </w:pPr>
      <w:r>
        <w:rPr>
          <w:rFonts w:hint="eastAsia" w:ascii="宋体" w:hAnsi="宋体"/>
          <w:sz w:val="24"/>
          <w:highlight w:val="none"/>
        </w:rPr>
        <w:t>我__________（姓名）系__________（投标单位名称）的法定代表人，现授权委托本单位职工 __________（姓名）以我方的名义参加__________项目的投标活动，并代表我方全权办理针对上述项目的投标、开标、评标、签约等具体事务和签署相关文件。</w:t>
      </w:r>
    </w:p>
    <w:p w14:paraId="7844EF12">
      <w:pPr>
        <w:snapToGrid w:val="0"/>
        <w:spacing w:before="120" w:beforeLines="50" w:after="120" w:line="460" w:lineRule="exact"/>
        <w:rPr>
          <w:rFonts w:ascii="宋体" w:hAnsi="宋体"/>
          <w:sz w:val="24"/>
          <w:szCs w:val="20"/>
          <w:highlight w:val="none"/>
        </w:rPr>
      </w:pPr>
      <w:r>
        <w:rPr>
          <w:rFonts w:hint="eastAsia" w:ascii="宋体" w:hAnsi="宋体"/>
          <w:sz w:val="24"/>
          <w:highlight w:val="none"/>
        </w:rPr>
        <w:t xml:space="preserve">    我方对被授权人的签名事项负全部责任。</w:t>
      </w:r>
    </w:p>
    <w:p w14:paraId="59FAA74E">
      <w:pPr>
        <w:snapToGrid w:val="0"/>
        <w:spacing w:before="120" w:beforeLines="50" w:after="120" w:line="460" w:lineRule="exact"/>
        <w:ind w:firstLine="480"/>
        <w:rPr>
          <w:rFonts w:ascii="宋体" w:hAnsi="宋体"/>
          <w:sz w:val="24"/>
          <w:szCs w:val="20"/>
          <w:highlight w:val="none"/>
        </w:rPr>
      </w:pPr>
      <w:r>
        <w:rPr>
          <w:rFonts w:hint="eastAsia" w:ascii="宋体" w:hAnsi="宋体"/>
          <w:sz w:val="24"/>
          <w:highlight w:val="none"/>
          <w:u w:val="single"/>
        </w:rPr>
        <w:t>在撤销授权的书面通知以前，本授权书一直有效。</w:t>
      </w:r>
      <w:r>
        <w:rPr>
          <w:rFonts w:hint="eastAsia" w:ascii="宋体" w:hAnsi="宋体"/>
          <w:sz w:val="24"/>
          <w:highlight w:val="none"/>
        </w:rPr>
        <w:t>被授权人在授权书有效期内签署的所有文件不因授权的撤销而失效。</w:t>
      </w:r>
    </w:p>
    <w:p w14:paraId="1E8A88AE">
      <w:pPr>
        <w:snapToGrid w:val="0"/>
        <w:spacing w:before="120" w:beforeLines="50" w:after="120" w:line="460" w:lineRule="exact"/>
        <w:ind w:firstLine="480"/>
        <w:rPr>
          <w:rFonts w:ascii="宋体" w:hAnsi="宋体"/>
          <w:sz w:val="24"/>
          <w:szCs w:val="20"/>
          <w:highlight w:val="none"/>
        </w:rPr>
      </w:pPr>
      <w:r>
        <w:rPr>
          <w:rFonts w:hint="eastAsia" w:ascii="宋体" w:hAnsi="宋体"/>
          <w:sz w:val="24"/>
          <w:highlight w:val="none"/>
        </w:rPr>
        <w:t>被授权人无转委托权，特此委托。</w:t>
      </w:r>
    </w:p>
    <w:p w14:paraId="53BC7AF9">
      <w:pPr>
        <w:snapToGrid w:val="0"/>
        <w:spacing w:before="120" w:beforeLines="50" w:after="120" w:line="460" w:lineRule="exact"/>
        <w:rPr>
          <w:rFonts w:ascii="宋体" w:hAnsi="宋体"/>
          <w:sz w:val="28"/>
          <w:szCs w:val="28"/>
          <w:highlight w:val="none"/>
        </w:rPr>
      </w:pPr>
      <w:r>
        <w:rPr>
          <w:rFonts w:hint="eastAsia" w:ascii="宋体" w:hAnsi="宋体"/>
          <w:b/>
          <w:bCs/>
          <w:sz w:val="28"/>
          <w:szCs w:val="28"/>
          <w:highlight w:val="none"/>
          <w:u w:val="single"/>
        </w:rPr>
        <w:t>法定代表人签名或盖章：</w:t>
      </w:r>
      <w:r>
        <w:rPr>
          <w:rFonts w:hint="eastAsia" w:ascii="宋体" w:hAnsi="宋体"/>
          <w:b/>
          <w:bCs/>
          <w:sz w:val="28"/>
          <w:szCs w:val="28"/>
          <w:highlight w:val="none"/>
        </w:rPr>
        <w:t xml:space="preserve"> </w:t>
      </w:r>
      <w:r>
        <w:rPr>
          <w:rFonts w:ascii="宋体" w:hAnsi="宋体"/>
          <w:b/>
          <w:bCs/>
          <w:sz w:val="28"/>
          <w:szCs w:val="28"/>
          <w:highlight w:val="none"/>
        </w:rPr>
        <w:t xml:space="preserve">            </w:t>
      </w:r>
      <w:r>
        <w:rPr>
          <w:rFonts w:hint="eastAsia" w:ascii="宋体" w:hAnsi="宋体"/>
          <w:b/>
          <w:bCs/>
          <w:sz w:val="28"/>
          <w:szCs w:val="28"/>
          <w:highlight w:val="none"/>
          <w:u w:val="single"/>
        </w:rPr>
        <w:t xml:space="preserve">被授权人签字： </w:t>
      </w:r>
      <w:r>
        <w:rPr>
          <w:rFonts w:hint="eastAsia" w:ascii="宋体" w:hAnsi="宋体"/>
          <w:sz w:val="28"/>
          <w:szCs w:val="28"/>
          <w:highlight w:val="none"/>
        </w:rPr>
        <w:t xml:space="preserve">               </w:t>
      </w:r>
    </w:p>
    <w:p w14:paraId="376727B7">
      <w:pPr>
        <w:snapToGrid w:val="0"/>
        <w:spacing w:before="120" w:beforeLines="50" w:after="120" w:line="460" w:lineRule="exact"/>
        <w:rPr>
          <w:rFonts w:ascii="宋体" w:hAnsi="宋体"/>
          <w:b/>
          <w:bCs/>
          <w:sz w:val="28"/>
          <w:szCs w:val="28"/>
          <w:highlight w:val="none"/>
        </w:rPr>
      </w:pPr>
      <w:r>
        <w:rPr>
          <w:rFonts w:hint="eastAsia" w:ascii="宋体" w:hAnsi="宋体"/>
          <w:b/>
          <w:bCs/>
          <w:sz w:val="28"/>
          <w:szCs w:val="28"/>
          <w:highlight w:val="none"/>
        </w:rPr>
        <w:t xml:space="preserve">法定代表人身份证复印件 </w:t>
      </w:r>
      <w:r>
        <w:rPr>
          <w:rFonts w:ascii="宋体" w:hAnsi="宋体"/>
          <w:b/>
          <w:bCs/>
          <w:sz w:val="28"/>
          <w:szCs w:val="28"/>
          <w:highlight w:val="none"/>
        </w:rPr>
        <w:t xml:space="preserve">           </w:t>
      </w:r>
      <w:r>
        <w:rPr>
          <w:rFonts w:hint="eastAsia" w:ascii="宋体" w:hAnsi="宋体"/>
          <w:b/>
          <w:bCs/>
          <w:sz w:val="28"/>
          <w:szCs w:val="28"/>
          <w:highlight w:val="none"/>
        </w:rPr>
        <w:t>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57EB55A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FE955BF">
            <w:pPr>
              <w:spacing w:line="360" w:lineRule="auto"/>
              <w:rPr>
                <w:sz w:val="30"/>
                <w:szCs w:val="30"/>
                <w:highlight w:val="none"/>
              </w:rPr>
            </w:pPr>
            <w:r>
              <w:rPr>
                <w:rFonts w:hint="eastAsia"/>
                <w:sz w:val="30"/>
                <w:szCs w:val="30"/>
                <w:highlight w:val="none"/>
              </w:rPr>
              <w:t>身份证复印件粘贴处，正反两面均复印，复印件清晰可认。</w:t>
            </w:r>
          </w:p>
        </w:tc>
        <w:tc>
          <w:tcPr>
            <w:tcW w:w="4961" w:type="dxa"/>
          </w:tcPr>
          <w:p w14:paraId="20FDFDF7">
            <w:pPr>
              <w:spacing w:line="360" w:lineRule="auto"/>
              <w:rPr>
                <w:sz w:val="30"/>
                <w:szCs w:val="30"/>
                <w:highlight w:val="none"/>
              </w:rPr>
            </w:pPr>
            <w:r>
              <w:rPr>
                <w:rFonts w:hint="eastAsia"/>
                <w:sz w:val="30"/>
                <w:szCs w:val="30"/>
                <w:highlight w:val="none"/>
              </w:rPr>
              <w:t>身份证复印件粘贴处，正反两面均复印，复印件清晰可认。</w:t>
            </w:r>
          </w:p>
        </w:tc>
      </w:tr>
      <w:tr w14:paraId="2023FDE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9E515A6">
            <w:pPr>
              <w:spacing w:line="360" w:lineRule="auto"/>
              <w:rPr>
                <w:sz w:val="30"/>
                <w:szCs w:val="30"/>
                <w:highlight w:val="none"/>
              </w:rPr>
            </w:pPr>
          </w:p>
        </w:tc>
        <w:tc>
          <w:tcPr>
            <w:tcW w:w="4961" w:type="dxa"/>
          </w:tcPr>
          <w:p w14:paraId="76A2FEDB">
            <w:pPr>
              <w:spacing w:line="360" w:lineRule="auto"/>
              <w:rPr>
                <w:sz w:val="30"/>
                <w:szCs w:val="30"/>
                <w:highlight w:val="none"/>
              </w:rPr>
            </w:pPr>
          </w:p>
        </w:tc>
      </w:tr>
    </w:tbl>
    <w:p w14:paraId="4EEDBAF7">
      <w:pPr>
        <w:snapToGrid w:val="0"/>
        <w:spacing w:before="120" w:beforeLines="50" w:after="120" w:line="460" w:lineRule="exact"/>
        <w:rPr>
          <w:rFonts w:ascii="宋体" w:hAnsi="宋体"/>
          <w:b/>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b/>
          <w:bCs/>
          <w:sz w:val="24"/>
          <w:highlight w:val="none"/>
        </w:rPr>
        <w:t>投标人:(公章)</w:t>
      </w:r>
    </w:p>
    <w:p w14:paraId="53C51D16">
      <w:pPr>
        <w:snapToGrid w:val="0"/>
        <w:spacing w:before="120" w:beforeLines="50" w:after="120"/>
        <w:jc w:val="center"/>
        <w:rPr>
          <w:rFonts w:ascii="宋体" w:hAnsi="宋体"/>
          <w:b/>
          <w:sz w:val="24"/>
          <w:highlight w:val="none"/>
        </w:rPr>
      </w:pPr>
      <w:r>
        <w:rPr>
          <w:rFonts w:hint="eastAsia" w:ascii="宋体" w:hAnsi="宋体"/>
          <w:b/>
          <w:sz w:val="24"/>
          <w:highlight w:val="none"/>
        </w:rPr>
        <w:t xml:space="preserve">                                        日期：  _____年___月___日</w:t>
      </w:r>
    </w:p>
    <w:p w14:paraId="290E1FAB">
      <w:pPr>
        <w:rPr>
          <w:rFonts w:ascii="宋体" w:hAnsi="宋体"/>
          <w:b/>
          <w:sz w:val="24"/>
          <w:highlight w:val="none"/>
        </w:rPr>
      </w:pPr>
      <w:r>
        <w:rPr>
          <w:rFonts w:hint="eastAsia" w:ascii="宋体" w:hAnsi="宋体"/>
          <w:b/>
          <w:sz w:val="24"/>
          <w:highlight w:val="none"/>
        </w:rPr>
        <w:br w:type="page"/>
      </w:r>
    </w:p>
    <w:p w14:paraId="32ECB8C4">
      <w:pPr>
        <w:snapToGrid w:val="0"/>
        <w:spacing w:line="360" w:lineRule="auto"/>
        <w:jc w:val="left"/>
        <w:rPr>
          <w:rFonts w:ascii="宋体" w:hAnsi="宋体"/>
          <w:sz w:val="24"/>
          <w:highlight w:val="none"/>
        </w:rPr>
      </w:pPr>
      <w:r>
        <w:rPr>
          <w:rFonts w:hint="eastAsia" w:ascii="宋体" w:hAnsi="宋体"/>
          <w:sz w:val="24"/>
          <w:highlight w:val="none"/>
        </w:rPr>
        <w:t>法定代表人身份证明格式：</w:t>
      </w:r>
    </w:p>
    <w:p w14:paraId="72B9C842">
      <w:pPr>
        <w:spacing w:line="360" w:lineRule="auto"/>
        <w:jc w:val="center"/>
        <w:rPr>
          <w:rFonts w:ascii="宋体" w:hAnsi="宋体"/>
          <w:b/>
          <w:bCs/>
          <w:sz w:val="24"/>
          <w:highlight w:val="none"/>
        </w:rPr>
      </w:pPr>
      <w:r>
        <w:rPr>
          <w:rFonts w:hint="eastAsia" w:ascii="宋体" w:hAnsi="宋体"/>
          <w:b/>
          <w:bCs/>
          <w:sz w:val="24"/>
          <w:highlight w:val="none"/>
        </w:rPr>
        <w:t>法定代表人身份证明</w:t>
      </w:r>
    </w:p>
    <w:p w14:paraId="6F6E8C4B">
      <w:pPr>
        <w:spacing w:line="360" w:lineRule="auto"/>
        <w:jc w:val="center"/>
        <w:rPr>
          <w:rFonts w:ascii="宋体" w:hAnsi="宋体"/>
          <w:sz w:val="24"/>
          <w:highlight w:val="none"/>
        </w:rPr>
      </w:pPr>
      <w:r>
        <w:rPr>
          <w:rFonts w:hint="eastAsia" w:ascii="宋体" w:hAnsi="宋体"/>
          <w:b/>
          <w:sz w:val="24"/>
          <w:highlight w:val="none"/>
        </w:rPr>
        <w:t>（适用于法定代表人、单位负责人本人代表投标人参加投标）</w:t>
      </w:r>
    </w:p>
    <w:p w14:paraId="7D08AA67">
      <w:pPr>
        <w:snapToGrid w:val="0"/>
        <w:spacing w:line="360" w:lineRule="auto"/>
        <w:rPr>
          <w:rFonts w:ascii="宋体" w:hAnsi="宋体"/>
          <w:sz w:val="24"/>
          <w:highlight w:val="none"/>
        </w:rPr>
      </w:pPr>
    </w:p>
    <w:p w14:paraId="6DDCF69D">
      <w:pPr>
        <w:snapToGrid w:val="0"/>
        <w:spacing w:line="360" w:lineRule="auto"/>
        <w:rPr>
          <w:rFonts w:ascii="宋体" w:hAnsi="宋体"/>
          <w:sz w:val="24"/>
          <w:highlight w:val="none"/>
        </w:rPr>
      </w:pPr>
      <w:r>
        <w:rPr>
          <w:rFonts w:hint="eastAsia" w:ascii="宋体" w:hAnsi="宋体"/>
          <w:sz w:val="24"/>
          <w:highlight w:val="none"/>
        </w:rPr>
        <w:t>单位名称：</w:t>
      </w:r>
      <w:r>
        <w:rPr>
          <w:rFonts w:ascii="宋体" w:hAnsi="宋体"/>
          <w:sz w:val="24"/>
          <w:highlight w:val="none"/>
        </w:rPr>
        <w:softHyphen/>
      </w:r>
      <w:r>
        <w:rPr>
          <w:rFonts w:hint="eastAsia" w:ascii="宋体" w:hAnsi="宋体"/>
          <w:sz w:val="24"/>
          <w:highlight w:val="none"/>
        </w:rPr>
        <w:t>_</w:t>
      </w:r>
      <w:r>
        <w:rPr>
          <w:rFonts w:ascii="宋体" w:hAnsi="宋体"/>
          <w:sz w:val="24"/>
          <w:highlight w:val="none"/>
        </w:rPr>
        <w:t>____________________________</w:t>
      </w:r>
      <w:r>
        <w:rPr>
          <w:rFonts w:hint="eastAsia" w:ascii="宋体" w:hAnsi="宋体"/>
          <w:sz w:val="24"/>
          <w:highlight w:val="none"/>
          <w:u w:val="single"/>
        </w:rPr>
        <w:t xml:space="preserve">                              </w:t>
      </w:r>
    </w:p>
    <w:p w14:paraId="2ADC5100">
      <w:pPr>
        <w:snapToGrid w:val="0"/>
        <w:spacing w:line="360" w:lineRule="auto"/>
        <w:rPr>
          <w:rFonts w:ascii="宋体" w:hAnsi="宋体"/>
          <w:sz w:val="24"/>
          <w:highlight w:val="none"/>
        </w:rPr>
      </w:pPr>
      <w:r>
        <w:rPr>
          <w:rFonts w:hint="eastAsia" w:ascii="宋体" w:hAnsi="宋体"/>
          <w:sz w:val="24"/>
          <w:highlight w:val="none"/>
        </w:rPr>
        <w:t xml:space="preserve">地址： </w:t>
      </w:r>
      <w:r>
        <w:rPr>
          <w:rFonts w:ascii="宋体" w:hAnsi="宋体"/>
          <w:sz w:val="24"/>
          <w:highlight w:val="none"/>
        </w:rPr>
        <w:softHyphen/>
      </w:r>
      <w:r>
        <w:rPr>
          <w:rFonts w:hint="eastAsia" w:ascii="宋体" w:hAnsi="宋体"/>
          <w:sz w:val="24"/>
          <w:highlight w:val="none"/>
        </w:rPr>
        <w:t>_</w:t>
      </w:r>
      <w:r>
        <w:rPr>
          <w:rFonts w:ascii="宋体" w:hAnsi="宋体"/>
          <w:sz w:val="24"/>
          <w:highlight w:val="none"/>
        </w:rPr>
        <w:t>____________________________</w:t>
      </w:r>
      <w:r>
        <w:rPr>
          <w:rFonts w:hint="eastAsia" w:ascii="宋体" w:hAnsi="宋体"/>
          <w:sz w:val="24"/>
          <w:highlight w:val="none"/>
        </w:rPr>
        <w:t xml:space="preserve"> </w:t>
      </w:r>
      <w:r>
        <w:rPr>
          <w:rFonts w:hint="eastAsia" w:ascii="宋体" w:hAnsi="宋体"/>
          <w:sz w:val="24"/>
          <w:highlight w:val="none"/>
          <w:u w:val="single"/>
        </w:rPr>
        <w:t xml:space="preserve">                                </w:t>
      </w:r>
    </w:p>
    <w:p w14:paraId="51A54B97">
      <w:pPr>
        <w:pStyle w:val="403"/>
        <w:spacing w:line="360" w:lineRule="auto"/>
        <w:rPr>
          <w:rFonts w:ascii="宋体" w:hAnsi="宋体"/>
          <w:sz w:val="24"/>
          <w:szCs w:val="24"/>
          <w:highlight w:val="none"/>
        </w:rPr>
      </w:pPr>
      <w:r>
        <w:rPr>
          <w:rFonts w:hint="eastAsia" w:ascii="宋体" w:hAnsi="宋体"/>
          <w:sz w:val="24"/>
          <w:szCs w:val="24"/>
          <w:highlight w:val="none"/>
        </w:rPr>
        <w:t>姓名：</w:t>
      </w:r>
      <w:r>
        <w:rPr>
          <w:rFonts w:hint="eastAsia" w:ascii="宋体" w:hAnsi="宋体"/>
          <w:sz w:val="24"/>
          <w:szCs w:val="24"/>
          <w:highlight w:val="none"/>
          <w:u w:val="single"/>
        </w:rPr>
        <w:t xml:space="preserve">       </w:t>
      </w:r>
      <w:r>
        <w:rPr>
          <w:rFonts w:hint="eastAsia" w:ascii="宋体" w:hAnsi="宋体"/>
          <w:sz w:val="24"/>
          <w:szCs w:val="24"/>
          <w:highlight w:val="none"/>
        </w:rPr>
        <w:t>性别：</w:t>
      </w:r>
      <w:r>
        <w:rPr>
          <w:rFonts w:hint="eastAsia" w:ascii="宋体" w:hAnsi="宋体"/>
          <w:sz w:val="24"/>
          <w:szCs w:val="24"/>
          <w:highlight w:val="none"/>
          <w:u w:val="single"/>
        </w:rPr>
        <w:t xml:space="preserve">     </w:t>
      </w:r>
      <w:r>
        <w:rPr>
          <w:rFonts w:hint="eastAsia" w:ascii="宋体" w:hAnsi="宋体"/>
          <w:sz w:val="24"/>
          <w:szCs w:val="24"/>
          <w:highlight w:val="none"/>
        </w:rPr>
        <w:t>年龄：</w:t>
      </w:r>
      <w:r>
        <w:rPr>
          <w:rFonts w:hint="eastAsia" w:ascii="宋体" w:hAnsi="宋体"/>
          <w:sz w:val="24"/>
          <w:szCs w:val="24"/>
          <w:highlight w:val="none"/>
          <w:u w:val="single"/>
        </w:rPr>
        <w:t xml:space="preserve">    </w:t>
      </w:r>
      <w:r>
        <w:rPr>
          <w:rFonts w:hint="eastAsia" w:ascii="宋体" w:hAnsi="宋体"/>
          <w:sz w:val="24"/>
          <w:szCs w:val="24"/>
          <w:highlight w:val="none"/>
        </w:rPr>
        <w:t>身份证号码：</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p>
    <w:p w14:paraId="548FD307">
      <w:pPr>
        <w:snapToGrid w:val="0"/>
        <w:spacing w:line="360" w:lineRule="auto"/>
        <w:rPr>
          <w:rFonts w:ascii="宋体" w:hAnsi="宋体"/>
          <w:sz w:val="24"/>
          <w:highlight w:val="none"/>
        </w:rPr>
      </w:pPr>
      <w:r>
        <w:rPr>
          <w:rFonts w:hint="eastAsia" w:ascii="宋体" w:hAnsi="宋体"/>
          <w:sz w:val="24"/>
          <w:highlight w:val="none"/>
        </w:rPr>
        <w:t>职务：</w:t>
      </w:r>
      <w:r>
        <w:rPr>
          <w:rFonts w:hint="eastAsia" w:ascii="宋体" w:hAnsi="宋体"/>
          <w:sz w:val="24"/>
          <w:highlight w:val="none"/>
          <w:u w:val="single"/>
        </w:rPr>
        <w:t xml:space="preserve">           </w:t>
      </w:r>
      <w:r>
        <w:rPr>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sz w:val="24"/>
          <w:highlight w:val="none"/>
        </w:rPr>
        <w:t xml:space="preserve">  手机号码：</w:t>
      </w:r>
      <w:r>
        <w:rPr>
          <w:rFonts w:hint="eastAsia" w:ascii="宋体" w:hAnsi="宋体"/>
          <w:sz w:val="24"/>
          <w:highlight w:val="none"/>
          <w:u w:val="single"/>
        </w:rPr>
        <w:t xml:space="preserve">                 </w:t>
      </w:r>
    </w:p>
    <w:p w14:paraId="36D1993C">
      <w:pPr>
        <w:snapToGrid w:val="0"/>
        <w:spacing w:line="360" w:lineRule="auto"/>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 xml:space="preserve">                         </w:t>
      </w:r>
      <w:r>
        <w:rPr>
          <w:rFonts w:hint="eastAsia" w:ascii="宋体" w:hAnsi="宋体"/>
          <w:sz w:val="24"/>
          <w:highlight w:val="none"/>
        </w:rPr>
        <w:t xml:space="preserve">的法定代表人      </w:t>
      </w:r>
    </w:p>
    <w:p w14:paraId="0ABA0AC4">
      <w:pPr>
        <w:snapToGrid w:val="0"/>
        <w:spacing w:line="360" w:lineRule="auto"/>
        <w:jc w:val="center"/>
        <w:rPr>
          <w:rFonts w:ascii="宋体" w:hAnsi="宋体"/>
          <w:sz w:val="24"/>
          <w:highlight w:val="none"/>
        </w:rPr>
      </w:pPr>
      <w:r>
        <w:rPr>
          <w:rFonts w:hint="eastAsia" w:ascii="宋体" w:hAnsi="宋体"/>
          <w:b/>
          <w:bCs/>
          <w:sz w:val="24"/>
          <w:highlight w:val="none"/>
        </w:rPr>
        <w:t>附法定代表人身份证复印件</w:t>
      </w:r>
    </w:p>
    <w:tbl>
      <w:tblPr>
        <w:tblStyle w:val="53"/>
        <w:tblW w:w="4962"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2E61FC8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jc w:val="center"/>
        </w:trPr>
        <w:tc>
          <w:tcPr>
            <w:tcW w:w="4962" w:type="dxa"/>
          </w:tcPr>
          <w:p w14:paraId="57F22233">
            <w:pPr>
              <w:jc w:val="center"/>
              <w:rPr>
                <w:rFonts w:ascii="宋体" w:hAnsi="宋体"/>
                <w:sz w:val="24"/>
                <w:highlight w:val="none"/>
              </w:rPr>
            </w:pPr>
          </w:p>
          <w:p w14:paraId="424B31B0">
            <w:pPr>
              <w:rPr>
                <w:rFonts w:ascii="宋体" w:hAnsi="宋体"/>
                <w:sz w:val="24"/>
                <w:highlight w:val="none"/>
              </w:rPr>
            </w:pPr>
          </w:p>
          <w:p w14:paraId="7D452A13">
            <w:pPr>
              <w:rPr>
                <w:rFonts w:ascii="宋体" w:hAnsi="宋体"/>
                <w:sz w:val="24"/>
                <w:highlight w:val="none"/>
              </w:rPr>
            </w:pPr>
            <w:r>
              <w:rPr>
                <w:rFonts w:hint="eastAsia" w:ascii="宋体" w:hAnsi="宋体"/>
                <w:sz w:val="24"/>
                <w:highlight w:val="none"/>
              </w:rPr>
              <w:t>法定代表人身份证正面复印件粘贴处，复印件清晰可认</w:t>
            </w:r>
          </w:p>
          <w:p w14:paraId="439715AC">
            <w:pPr>
              <w:spacing w:line="360" w:lineRule="auto"/>
              <w:rPr>
                <w:rFonts w:ascii="宋体" w:hAnsi="宋体"/>
                <w:sz w:val="24"/>
                <w:highlight w:val="none"/>
              </w:rPr>
            </w:pPr>
          </w:p>
        </w:tc>
      </w:tr>
      <w:tr w14:paraId="7820DE86">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tcPr>
          <w:p w14:paraId="3FC9CEB3">
            <w:pPr>
              <w:rPr>
                <w:rFonts w:ascii="宋体" w:hAnsi="宋体"/>
                <w:sz w:val="24"/>
                <w:highlight w:val="none"/>
              </w:rPr>
            </w:pPr>
          </w:p>
          <w:p w14:paraId="2A06A895">
            <w:pPr>
              <w:rPr>
                <w:rFonts w:ascii="宋体" w:hAnsi="宋体"/>
                <w:sz w:val="24"/>
                <w:highlight w:val="none"/>
              </w:rPr>
            </w:pPr>
          </w:p>
          <w:p w14:paraId="04AC9D8A">
            <w:pPr>
              <w:rPr>
                <w:rFonts w:ascii="宋体" w:hAnsi="宋体"/>
                <w:sz w:val="24"/>
                <w:highlight w:val="none"/>
              </w:rPr>
            </w:pPr>
            <w:r>
              <w:rPr>
                <w:rFonts w:hint="eastAsia" w:ascii="宋体" w:hAnsi="宋体"/>
                <w:sz w:val="24"/>
                <w:highlight w:val="none"/>
              </w:rPr>
              <w:t>法定代表人身份证反面复印件粘贴处，复印件清晰可认</w:t>
            </w:r>
          </w:p>
          <w:p w14:paraId="6FB59CB7">
            <w:pPr>
              <w:jc w:val="center"/>
              <w:rPr>
                <w:rFonts w:ascii="宋体" w:hAnsi="宋体"/>
                <w:sz w:val="24"/>
                <w:highlight w:val="none"/>
              </w:rPr>
            </w:pPr>
          </w:p>
          <w:p w14:paraId="28C513A2">
            <w:pPr>
              <w:spacing w:line="360" w:lineRule="auto"/>
              <w:rPr>
                <w:rFonts w:ascii="宋体" w:hAnsi="宋体"/>
                <w:sz w:val="24"/>
                <w:highlight w:val="none"/>
              </w:rPr>
            </w:pPr>
          </w:p>
        </w:tc>
      </w:tr>
    </w:tbl>
    <w:p w14:paraId="6A589A22">
      <w:pPr>
        <w:snapToGrid w:val="0"/>
        <w:spacing w:before="120" w:beforeLines="50" w:after="50" w:line="460" w:lineRule="exact"/>
        <w:jc w:val="center"/>
        <w:rPr>
          <w:rFonts w:ascii="宋体" w:hAnsi="宋体"/>
          <w:b/>
          <w:bCs/>
          <w:sz w:val="24"/>
          <w:highlight w:val="none"/>
        </w:rPr>
      </w:pPr>
      <w:r>
        <w:rPr>
          <w:rFonts w:hint="eastAsia" w:ascii="宋体" w:hAnsi="宋体"/>
          <w:b/>
          <w:bCs/>
          <w:sz w:val="24"/>
          <w:highlight w:val="none"/>
        </w:rPr>
        <w:t xml:space="preserve">   </w:t>
      </w:r>
    </w:p>
    <w:p w14:paraId="182A1C5E">
      <w:pPr>
        <w:snapToGrid w:val="0"/>
        <w:spacing w:before="120" w:beforeLines="50" w:after="50" w:line="460" w:lineRule="exact"/>
        <w:jc w:val="right"/>
        <w:rPr>
          <w:rFonts w:ascii="宋体" w:hAnsi="宋体"/>
          <w:b/>
          <w:sz w:val="24"/>
          <w:highlight w:val="none"/>
        </w:rPr>
      </w:pPr>
      <w:r>
        <w:rPr>
          <w:rFonts w:hint="eastAsia" w:ascii="宋体" w:hAnsi="宋体"/>
          <w:b/>
          <w:bCs/>
          <w:sz w:val="24"/>
          <w:highlight w:val="none"/>
        </w:rPr>
        <w:t>投标人:(公章)</w:t>
      </w:r>
    </w:p>
    <w:p w14:paraId="4C51CD89">
      <w:pPr>
        <w:snapToGrid w:val="0"/>
        <w:spacing w:before="120" w:beforeLines="50" w:after="50"/>
        <w:jc w:val="right"/>
        <w:rPr>
          <w:rFonts w:ascii="宋体" w:hAnsi="宋体"/>
          <w:b/>
          <w:sz w:val="24"/>
          <w:highlight w:val="none"/>
        </w:rPr>
      </w:pPr>
      <w:r>
        <w:rPr>
          <w:rFonts w:hint="eastAsia" w:ascii="宋体" w:hAnsi="宋体"/>
          <w:b/>
          <w:sz w:val="24"/>
          <w:highlight w:val="none"/>
        </w:rPr>
        <w:t xml:space="preserve">                                        日期：  _____年___月___日</w:t>
      </w:r>
    </w:p>
    <w:p w14:paraId="03C9B434">
      <w:pPr>
        <w:snapToGrid w:val="0"/>
        <w:spacing w:before="120" w:beforeLines="50" w:after="120"/>
        <w:jc w:val="center"/>
        <w:rPr>
          <w:rFonts w:ascii="宋体" w:hAnsi="宋体"/>
          <w:b/>
          <w:sz w:val="24"/>
          <w:szCs w:val="20"/>
          <w:highlight w:val="none"/>
        </w:rPr>
      </w:pPr>
    </w:p>
    <w:p w14:paraId="1B036BC7">
      <w:pPr>
        <w:pStyle w:val="2"/>
        <w:rPr>
          <w:highlight w:val="none"/>
        </w:rPr>
      </w:pPr>
    </w:p>
    <w:p w14:paraId="32684D59">
      <w:pPr>
        <w:widowControl/>
        <w:jc w:val="left"/>
        <w:rPr>
          <w:rFonts w:ascii="宋体" w:hAnsi="宋体"/>
          <w:sz w:val="24"/>
          <w:highlight w:val="none"/>
        </w:rPr>
      </w:pPr>
      <w:r>
        <w:rPr>
          <w:rFonts w:ascii="宋体" w:hAnsi="宋体"/>
          <w:sz w:val="24"/>
          <w:highlight w:val="none"/>
        </w:rPr>
        <w:br w:type="page"/>
      </w:r>
    </w:p>
    <w:p w14:paraId="2386D3C1">
      <w:pPr>
        <w:snapToGrid w:val="0"/>
        <w:spacing w:before="120" w:after="120" w:afterLines="50"/>
        <w:jc w:val="left"/>
        <w:rPr>
          <w:rFonts w:ascii="宋体" w:hAnsi="宋体"/>
          <w:sz w:val="24"/>
          <w:highlight w:val="none"/>
        </w:rPr>
      </w:pPr>
      <w:r>
        <w:rPr>
          <w:rFonts w:hint="eastAsia" w:ascii="宋体" w:hAnsi="宋体"/>
          <w:sz w:val="24"/>
          <w:highlight w:val="none"/>
        </w:rPr>
        <w:t>7.项目负责人简历：</w:t>
      </w:r>
    </w:p>
    <w:p w14:paraId="534E1D79">
      <w:pPr>
        <w:snapToGrid w:val="0"/>
        <w:spacing w:before="120" w:after="120" w:afterLines="50"/>
        <w:jc w:val="left"/>
        <w:rPr>
          <w:rFonts w:ascii="宋体" w:hAnsi="宋体"/>
          <w:sz w:val="24"/>
          <w:szCs w:val="20"/>
          <w:highlight w:val="none"/>
        </w:rPr>
      </w:pPr>
    </w:p>
    <w:p w14:paraId="79BF6B2E">
      <w:pPr>
        <w:jc w:val="center"/>
        <w:rPr>
          <w:rFonts w:ascii="宋体" w:hAnsi="宋体"/>
          <w:snapToGrid w:val="0"/>
          <w:sz w:val="28"/>
          <w:highlight w:val="none"/>
        </w:rPr>
      </w:pPr>
      <w:r>
        <w:rPr>
          <w:rFonts w:hint="eastAsia" w:ascii="宋体" w:hAnsi="宋体"/>
          <w:snapToGrid w:val="0"/>
          <w:sz w:val="28"/>
          <w:highlight w:val="none"/>
        </w:rPr>
        <w:t>项目负责人简历表</w:t>
      </w:r>
    </w:p>
    <w:p w14:paraId="05A06F77">
      <w:pPr>
        <w:snapToGrid w:val="0"/>
        <w:spacing w:before="120" w:beforeLines="50" w:after="120" w:line="360" w:lineRule="auto"/>
        <w:jc w:val="center"/>
        <w:rPr>
          <w:rFonts w:ascii="宋体" w:hAnsi="宋体"/>
          <w:bCs/>
          <w:sz w:val="24"/>
          <w:highlight w:val="none"/>
        </w:rPr>
      </w:pPr>
    </w:p>
    <w:p w14:paraId="73C26F83">
      <w:pPr>
        <w:snapToGrid w:val="0"/>
        <w:spacing w:before="120" w:beforeLines="50" w:after="120" w:line="480" w:lineRule="auto"/>
        <w:rPr>
          <w:rFonts w:ascii="宋体" w:hAnsi="宋体"/>
          <w:sz w:val="24"/>
          <w:highlight w:val="none"/>
        </w:rPr>
      </w:pPr>
      <w:r>
        <w:rPr>
          <w:rFonts w:hint="eastAsia" w:ascii="宋体" w:hAnsi="宋体"/>
          <w:bCs/>
          <w:sz w:val="24"/>
          <w:highlight w:val="none"/>
        </w:rPr>
        <w:t>项目名称：</w:t>
      </w:r>
    </w:p>
    <w:p w14:paraId="2E1E6D23">
      <w:pPr>
        <w:snapToGrid w:val="0"/>
        <w:spacing w:before="120" w:beforeLines="50" w:after="120" w:line="480" w:lineRule="auto"/>
        <w:rPr>
          <w:rFonts w:ascii="宋体" w:hAnsi="宋体"/>
          <w:bCs/>
          <w:sz w:val="24"/>
          <w:szCs w:val="20"/>
          <w:highlight w:val="none"/>
        </w:rPr>
      </w:pPr>
      <w:r>
        <w:rPr>
          <w:rFonts w:hint="eastAsia" w:ascii="宋体" w:hAnsi="宋体"/>
          <w:bCs/>
          <w:sz w:val="24"/>
          <w:highlight w:val="none"/>
        </w:rPr>
        <w:t>项目编号：</w:t>
      </w:r>
    </w:p>
    <w:tbl>
      <w:tblPr>
        <w:tblStyle w:val="53"/>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8CC2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6C1C9C4">
            <w:pPr>
              <w:spacing w:line="351" w:lineRule="atLeast"/>
              <w:jc w:val="center"/>
              <w:rPr>
                <w:rFonts w:ascii="宋体" w:hAnsi="宋体"/>
                <w:sz w:val="28"/>
                <w:highlight w:val="none"/>
                <w:u w:color="000000"/>
              </w:rPr>
            </w:pPr>
            <w:r>
              <w:rPr>
                <w:rFonts w:hint="eastAsia" w:ascii="宋体" w:hAnsi="宋体"/>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240DF56">
            <w:pPr>
              <w:spacing w:line="351" w:lineRule="atLeast"/>
              <w:jc w:val="center"/>
              <w:rPr>
                <w:rFonts w:ascii="宋体" w:hAnsi="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885CC05">
            <w:pPr>
              <w:spacing w:line="351" w:lineRule="atLeast"/>
              <w:jc w:val="center"/>
              <w:rPr>
                <w:rFonts w:ascii="宋体" w:hAnsi="宋体"/>
                <w:sz w:val="28"/>
                <w:highlight w:val="none"/>
                <w:u w:color="000000"/>
              </w:rPr>
            </w:pPr>
            <w:r>
              <w:rPr>
                <w:rFonts w:hint="eastAsia" w:ascii="宋体" w:hAnsi="宋体"/>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40AC722">
            <w:pPr>
              <w:spacing w:line="351" w:lineRule="atLeast"/>
              <w:jc w:val="center"/>
              <w:rPr>
                <w:rFonts w:ascii="宋体" w:hAnsi="宋体"/>
                <w:sz w:val="28"/>
                <w:highlight w:val="none"/>
                <w:u w:color="000000"/>
              </w:rPr>
            </w:pPr>
          </w:p>
        </w:tc>
      </w:tr>
      <w:tr w14:paraId="1E930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7FE4ECA">
            <w:pPr>
              <w:spacing w:line="351" w:lineRule="atLeast"/>
              <w:jc w:val="center"/>
              <w:rPr>
                <w:rFonts w:ascii="宋体" w:hAnsi="宋体"/>
                <w:sz w:val="28"/>
                <w:highlight w:val="none"/>
              </w:rPr>
            </w:pPr>
            <w:r>
              <w:rPr>
                <w:rFonts w:hint="eastAsia" w:ascii="宋体" w:hAnsi="宋体"/>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50BEEFA8">
            <w:pPr>
              <w:spacing w:line="351" w:lineRule="atLeast"/>
              <w:jc w:val="center"/>
              <w:rPr>
                <w:rFonts w:ascii="宋体" w:hAnsi="宋体"/>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730E107D">
            <w:pPr>
              <w:spacing w:line="351" w:lineRule="atLeast"/>
              <w:jc w:val="center"/>
              <w:rPr>
                <w:rFonts w:ascii="宋体" w:hAnsi="宋体"/>
                <w:sz w:val="28"/>
                <w:highlight w:val="none"/>
              </w:rPr>
            </w:pPr>
            <w:r>
              <w:rPr>
                <w:rFonts w:hint="eastAsia" w:ascii="宋体" w:hAnsi="宋体"/>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08C6AF62">
            <w:pPr>
              <w:spacing w:line="351" w:lineRule="atLeast"/>
              <w:jc w:val="center"/>
              <w:rPr>
                <w:rFonts w:ascii="宋体" w:hAnsi="宋体"/>
                <w:sz w:val="28"/>
                <w:highlight w:val="none"/>
                <w:u w:color="000000"/>
              </w:rPr>
            </w:pPr>
          </w:p>
        </w:tc>
      </w:tr>
      <w:tr w14:paraId="3087F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02F69DD">
            <w:pPr>
              <w:spacing w:line="351" w:lineRule="atLeast"/>
              <w:jc w:val="center"/>
              <w:rPr>
                <w:rFonts w:ascii="宋体" w:hAnsi="宋体"/>
                <w:sz w:val="28"/>
                <w:highlight w:val="none"/>
                <w:u w:color="000000"/>
              </w:rPr>
            </w:pPr>
            <w:r>
              <w:rPr>
                <w:rFonts w:hint="eastAsia" w:ascii="宋体" w:hAnsi="宋体"/>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0082B49A">
            <w:pPr>
              <w:spacing w:line="351" w:lineRule="atLeast"/>
              <w:jc w:val="center"/>
              <w:rPr>
                <w:rFonts w:ascii="宋体" w:hAnsi="宋体"/>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7E83BCA0">
            <w:pPr>
              <w:spacing w:line="351" w:lineRule="atLeast"/>
              <w:jc w:val="center"/>
              <w:rPr>
                <w:rFonts w:ascii="宋体" w:hAnsi="宋体"/>
                <w:sz w:val="28"/>
                <w:highlight w:val="none"/>
                <w:u w:color="000000"/>
              </w:rPr>
            </w:pPr>
            <w:r>
              <w:rPr>
                <w:rFonts w:hint="eastAsia" w:ascii="宋体" w:hAnsi="宋体"/>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1509232B">
            <w:pPr>
              <w:spacing w:line="351" w:lineRule="atLeast"/>
              <w:jc w:val="center"/>
              <w:rPr>
                <w:rFonts w:ascii="宋体" w:hAnsi="宋体"/>
                <w:sz w:val="28"/>
                <w:highlight w:val="none"/>
                <w:u w:color="000000"/>
              </w:rPr>
            </w:pPr>
          </w:p>
        </w:tc>
      </w:tr>
      <w:tr w14:paraId="13AF7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6C39681E">
            <w:pPr>
              <w:spacing w:line="351" w:lineRule="atLeast"/>
              <w:ind w:firstLine="557" w:firstLineChars="199"/>
              <w:rPr>
                <w:rFonts w:ascii="宋体" w:hAnsi="宋体"/>
                <w:sz w:val="28"/>
                <w:highlight w:val="none"/>
                <w:u w:color="000000"/>
              </w:rPr>
            </w:pPr>
            <w:r>
              <w:rPr>
                <w:rFonts w:hint="eastAsia" w:ascii="宋体" w:hAnsi="宋体"/>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2369563B">
            <w:pPr>
              <w:spacing w:line="351" w:lineRule="atLeast"/>
              <w:ind w:firstLine="419"/>
              <w:jc w:val="center"/>
              <w:rPr>
                <w:rFonts w:ascii="宋体" w:hAnsi="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2361DF5">
            <w:pPr>
              <w:spacing w:line="351" w:lineRule="atLeast"/>
              <w:ind w:firstLine="554" w:firstLineChars="198"/>
              <w:rPr>
                <w:rFonts w:ascii="宋体" w:hAnsi="宋体"/>
                <w:sz w:val="28"/>
                <w:highlight w:val="none"/>
                <w:u w:color="000000"/>
              </w:rPr>
            </w:pPr>
            <w:r>
              <w:rPr>
                <w:rFonts w:hint="eastAsia" w:ascii="宋体" w:hAnsi="宋体"/>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24789F3D">
            <w:pPr>
              <w:spacing w:line="351" w:lineRule="atLeast"/>
              <w:jc w:val="center"/>
              <w:rPr>
                <w:rFonts w:ascii="宋体" w:hAnsi="宋体"/>
                <w:sz w:val="28"/>
                <w:highlight w:val="none"/>
                <w:u w:color="000000"/>
              </w:rPr>
            </w:pPr>
          </w:p>
        </w:tc>
      </w:tr>
      <w:tr w14:paraId="1B006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7D5AECBF">
            <w:pPr>
              <w:spacing w:line="351" w:lineRule="atLeast"/>
              <w:jc w:val="center"/>
              <w:rPr>
                <w:rFonts w:ascii="宋体" w:hAnsi="宋体"/>
                <w:sz w:val="28"/>
                <w:highlight w:val="none"/>
                <w:u w:color="000000"/>
              </w:rPr>
            </w:pPr>
            <w:r>
              <w:rPr>
                <w:rFonts w:hint="eastAsia" w:ascii="宋体" w:hAnsi="宋体"/>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4C22F6B">
            <w:pPr>
              <w:spacing w:line="351" w:lineRule="atLeast"/>
              <w:jc w:val="center"/>
              <w:rPr>
                <w:rFonts w:ascii="宋体" w:hAnsi="宋体"/>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423F741">
            <w:pPr>
              <w:spacing w:line="351" w:lineRule="atLeast"/>
              <w:jc w:val="center"/>
              <w:rPr>
                <w:rFonts w:ascii="宋体" w:hAnsi="宋体"/>
                <w:sz w:val="28"/>
                <w:highlight w:val="none"/>
                <w:u w:color="000000"/>
              </w:rPr>
            </w:pPr>
            <w:r>
              <w:rPr>
                <w:rFonts w:hint="eastAsia" w:ascii="宋体" w:hAnsi="宋体"/>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4C1A0098">
            <w:pPr>
              <w:spacing w:line="351" w:lineRule="atLeast"/>
              <w:jc w:val="center"/>
              <w:rPr>
                <w:rFonts w:ascii="宋体" w:hAnsi="宋体"/>
                <w:sz w:val="28"/>
                <w:highlight w:val="none"/>
                <w:u w:color="000000"/>
              </w:rPr>
            </w:pPr>
          </w:p>
        </w:tc>
      </w:tr>
      <w:tr w14:paraId="621A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567CBB27">
            <w:pPr>
              <w:jc w:val="center"/>
              <w:rPr>
                <w:rFonts w:ascii="宋体" w:hAnsi="宋体"/>
                <w:sz w:val="28"/>
                <w:highlight w:val="none"/>
                <w:u w:color="000000"/>
              </w:rPr>
            </w:pPr>
            <w:r>
              <w:rPr>
                <w:rFonts w:hint="eastAsia" w:ascii="宋体" w:hAnsi="宋体"/>
                <w:sz w:val="28"/>
                <w:highlight w:val="none"/>
              </w:rPr>
              <w:t>简</w:t>
            </w:r>
          </w:p>
          <w:p w14:paraId="0464AB17">
            <w:pPr>
              <w:jc w:val="center"/>
              <w:rPr>
                <w:rFonts w:ascii="宋体" w:hAnsi="宋体"/>
                <w:sz w:val="28"/>
                <w:highlight w:val="none"/>
              </w:rPr>
            </w:pPr>
          </w:p>
          <w:p w14:paraId="2FC1B829">
            <w:pPr>
              <w:jc w:val="center"/>
              <w:rPr>
                <w:rFonts w:ascii="宋体" w:hAnsi="宋体"/>
                <w:sz w:val="28"/>
                <w:highlight w:val="none"/>
              </w:rPr>
            </w:pPr>
          </w:p>
          <w:p w14:paraId="07C12EA6">
            <w:pPr>
              <w:spacing w:line="351" w:lineRule="atLeast"/>
              <w:jc w:val="center"/>
              <w:rPr>
                <w:rFonts w:ascii="宋体" w:hAnsi="宋体"/>
                <w:highlight w:val="none"/>
                <w:u w:color="000000"/>
              </w:rPr>
            </w:pPr>
            <w:r>
              <w:rPr>
                <w:rFonts w:hint="eastAsia" w:ascii="宋体" w:hAnsi="宋体"/>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70C04FD6">
            <w:pPr>
              <w:spacing w:line="351" w:lineRule="atLeast"/>
              <w:jc w:val="center"/>
              <w:rPr>
                <w:rFonts w:ascii="宋体" w:hAnsi="宋体"/>
                <w:highlight w:val="none"/>
                <w:u w:color="000000"/>
              </w:rPr>
            </w:pPr>
          </w:p>
        </w:tc>
      </w:tr>
    </w:tbl>
    <w:p w14:paraId="1FC4DD02">
      <w:pPr>
        <w:rPr>
          <w:rFonts w:ascii="宋体" w:hAnsi="宋体"/>
          <w:bCs/>
          <w:snapToGrid w:val="0"/>
          <w:highlight w:val="none"/>
        </w:rPr>
      </w:pPr>
    </w:p>
    <w:p w14:paraId="1AF3418D">
      <w:pPr>
        <w:snapToGrid w:val="0"/>
        <w:spacing w:before="120" w:after="120" w:afterLines="50"/>
        <w:jc w:val="left"/>
        <w:rPr>
          <w:rFonts w:ascii="宋体" w:hAnsi="宋体"/>
          <w:b/>
          <w:spacing w:val="20"/>
          <w:sz w:val="24"/>
          <w:highlight w:val="none"/>
        </w:rPr>
      </w:pPr>
      <w:r>
        <w:rPr>
          <w:rFonts w:hint="eastAsia" w:ascii="宋体" w:hAnsi="宋体"/>
          <w:b/>
          <w:spacing w:val="20"/>
          <w:sz w:val="24"/>
          <w:highlight w:val="none"/>
        </w:rPr>
        <w:t>法定代表人或其授权人（签字或盖章）：            投标人（盖章）：</w:t>
      </w:r>
    </w:p>
    <w:p w14:paraId="02B87A59">
      <w:pPr>
        <w:snapToGrid w:val="0"/>
        <w:spacing w:before="120" w:after="120" w:afterLines="50"/>
        <w:jc w:val="left"/>
        <w:rPr>
          <w:rFonts w:ascii="宋体" w:hAnsi="宋体"/>
          <w:b/>
          <w:sz w:val="24"/>
          <w:szCs w:val="20"/>
          <w:highlight w:val="none"/>
        </w:rPr>
      </w:pPr>
    </w:p>
    <w:p w14:paraId="418A95BF">
      <w:pPr>
        <w:snapToGrid w:val="0"/>
        <w:spacing w:before="120" w:after="120" w:afterLines="50"/>
        <w:jc w:val="left"/>
        <w:rPr>
          <w:rFonts w:ascii="宋体" w:hAnsi="宋体"/>
          <w:b/>
          <w:sz w:val="24"/>
          <w:highlight w:val="none"/>
        </w:rPr>
      </w:pPr>
      <w:r>
        <w:rPr>
          <w:rFonts w:hint="eastAsia" w:ascii="宋体" w:hAnsi="宋体"/>
          <w:b/>
          <w:sz w:val="24"/>
          <w:szCs w:val="20"/>
          <w:highlight w:val="none"/>
        </w:rPr>
        <w:t>日期：  _____年___月___日</w:t>
      </w:r>
    </w:p>
    <w:p w14:paraId="4A0B3B60">
      <w:pPr>
        <w:snapToGrid w:val="0"/>
        <w:spacing w:before="120" w:after="120" w:afterLines="50"/>
        <w:jc w:val="left"/>
        <w:rPr>
          <w:rFonts w:ascii="宋体" w:hAnsi="宋体"/>
          <w:sz w:val="24"/>
          <w:highlight w:val="none"/>
        </w:rPr>
      </w:pPr>
      <w:r>
        <w:rPr>
          <w:rFonts w:hint="eastAsia" w:ascii="宋体" w:hAnsi="宋体"/>
          <w:sz w:val="24"/>
          <w:highlight w:val="none"/>
        </w:rPr>
        <w:t>8.项目实施人员一览表格式</w:t>
      </w:r>
    </w:p>
    <w:p w14:paraId="388C7981">
      <w:pPr>
        <w:snapToGrid w:val="0"/>
        <w:spacing w:before="120" w:after="120" w:afterLines="50"/>
        <w:jc w:val="left"/>
        <w:rPr>
          <w:rFonts w:ascii="宋体" w:hAnsi="宋体"/>
          <w:sz w:val="24"/>
          <w:szCs w:val="20"/>
          <w:highlight w:val="none"/>
        </w:rPr>
      </w:pPr>
    </w:p>
    <w:p w14:paraId="05B1EFFC">
      <w:pPr>
        <w:snapToGrid w:val="0"/>
        <w:spacing w:before="120" w:beforeLines="50" w:after="120"/>
        <w:jc w:val="center"/>
        <w:rPr>
          <w:rFonts w:ascii="宋体" w:hAnsi="宋体"/>
          <w:b/>
          <w:sz w:val="24"/>
          <w:highlight w:val="none"/>
        </w:rPr>
      </w:pPr>
      <w:r>
        <w:rPr>
          <w:rFonts w:hint="eastAsia" w:ascii="宋体" w:hAnsi="宋体"/>
          <w:b/>
          <w:sz w:val="24"/>
          <w:highlight w:val="none"/>
        </w:rPr>
        <w:t>项目实施人员（主要从业人员及其技术资格）一览表</w:t>
      </w:r>
    </w:p>
    <w:p w14:paraId="04F1989B">
      <w:pPr>
        <w:snapToGrid w:val="0"/>
        <w:spacing w:before="120" w:beforeLines="50" w:after="120" w:line="480" w:lineRule="auto"/>
        <w:rPr>
          <w:rFonts w:ascii="宋体" w:hAnsi="宋体"/>
          <w:sz w:val="24"/>
          <w:highlight w:val="none"/>
        </w:rPr>
      </w:pPr>
      <w:r>
        <w:rPr>
          <w:rFonts w:hint="eastAsia" w:ascii="宋体" w:hAnsi="宋体"/>
          <w:bCs/>
          <w:sz w:val="24"/>
          <w:highlight w:val="none"/>
        </w:rPr>
        <w:t>项目名称：</w:t>
      </w:r>
    </w:p>
    <w:p w14:paraId="73B6DC68">
      <w:pPr>
        <w:snapToGrid w:val="0"/>
        <w:spacing w:before="120" w:beforeLines="50" w:after="120" w:line="480" w:lineRule="auto"/>
        <w:rPr>
          <w:rFonts w:ascii="宋体" w:hAnsi="宋体"/>
          <w:bCs/>
          <w:sz w:val="24"/>
          <w:highlight w:val="none"/>
        </w:rPr>
      </w:pPr>
      <w:r>
        <w:rPr>
          <w:rFonts w:hint="eastAsia" w:ascii="宋体" w:hAnsi="宋体"/>
          <w:bCs/>
          <w:sz w:val="24"/>
          <w:highlight w:val="none"/>
        </w:rPr>
        <w:t>项目编号：</w:t>
      </w:r>
    </w:p>
    <w:tbl>
      <w:tblPr>
        <w:tblStyle w:val="53"/>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3B9C29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7C0DF6F">
            <w:pPr>
              <w:snapToGrid w:val="0"/>
              <w:spacing w:before="120" w:beforeLines="50" w:after="120" w:line="360" w:lineRule="auto"/>
              <w:jc w:val="center"/>
              <w:rPr>
                <w:rFonts w:ascii="宋体" w:hAnsi="宋体"/>
                <w:sz w:val="24"/>
                <w:highlight w:val="none"/>
              </w:rPr>
            </w:pPr>
            <w:r>
              <w:rPr>
                <w:rFonts w:hint="eastAsia" w:ascii="宋体" w:hAnsi="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45E5484F">
            <w:pPr>
              <w:snapToGrid w:val="0"/>
              <w:spacing w:before="120" w:beforeLines="50" w:after="120" w:line="360" w:lineRule="auto"/>
              <w:jc w:val="center"/>
              <w:rPr>
                <w:rFonts w:ascii="宋体" w:hAnsi="宋体"/>
                <w:sz w:val="24"/>
                <w:highlight w:val="none"/>
              </w:rPr>
            </w:pPr>
            <w:r>
              <w:rPr>
                <w:rFonts w:hint="eastAsia" w:ascii="宋体" w:hAnsi="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69F6FF0D">
            <w:pPr>
              <w:snapToGrid w:val="0"/>
              <w:spacing w:before="120" w:beforeLines="50" w:after="120" w:line="360" w:lineRule="auto"/>
              <w:jc w:val="center"/>
              <w:rPr>
                <w:rFonts w:ascii="宋体" w:hAnsi="宋体"/>
                <w:sz w:val="24"/>
                <w:highlight w:val="none"/>
              </w:rPr>
            </w:pPr>
            <w:r>
              <w:rPr>
                <w:rFonts w:hint="eastAsia" w:ascii="宋体" w:hAnsi="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68F9B8A5">
            <w:pPr>
              <w:snapToGrid w:val="0"/>
              <w:spacing w:before="120" w:beforeLines="50" w:after="120" w:line="360" w:lineRule="auto"/>
              <w:jc w:val="center"/>
              <w:rPr>
                <w:rFonts w:ascii="宋体" w:hAnsi="宋体"/>
                <w:sz w:val="24"/>
                <w:highlight w:val="none"/>
              </w:rPr>
            </w:pPr>
            <w:r>
              <w:rPr>
                <w:rFonts w:hint="eastAsia" w:ascii="宋体" w:hAnsi="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839413A">
            <w:pPr>
              <w:snapToGrid w:val="0"/>
              <w:spacing w:before="120" w:beforeLines="50" w:after="120" w:line="360" w:lineRule="auto"/>
              <w:jc w:val="center"/>
              <w:rPr>
                <w:rFonts w:ascii="宋体" w:hAnsi="宋体"/>
                <w:sz w:val="24"/>
                <w:highlight w:val="none"/>
              </w:rPr>
            </w:pPr>
            <w:r>
              <w:rPr>
                <w:rFonts w:hint="eastAsia" w:ascii="宋体" w:hAnsi="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78528E2">
            <w:pPr>
              <w:snapToGrid w:val="0"/>
              <w:spacing w:before="120" w:beforeLines="50" w:after="120" w:line="360" w:lineRule="auto"/>
              <w:jc w:val="center"/>
              <w:rPr>
                <w:rFonts w:ascii="宋体" w:hAnsi="宋体"/>
                <w:bCs/>
                <w:sz w:val="24"/>
                <w:highlight w:val="none"/>
              </w:rPr>
            </w:pPr>
            <w:r>
              <w:rPr>
                <w:rFonts w:hint="eastAsia" w:ascii="宋体" w:hAnsi="宋体"/>
                <w:bCs/>
                <w:sz w:val="24"/>
                <w:highlight w:val="none"/>
              </w:rPr>
              <w:t>进入本单位工作开始时间</w:t>
            </w:r>
          </w:p>
        </w:tc>
      </w:tr>
      <w:tr w14:paraId="1CCFD0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7903054">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C6969BA">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DD9969A">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DB11E06">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ACD041E">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ECEDAB9">
            <w:pPr>
              <w:snapToGrid w:val="0"/>
              <w:spacing w:before="120" w:beforeLines="50" w:after="120" w:line="360" w:lineRule="auto"/>
              <w:rPr>
                <w:rFonts w:ascii="宋体" w:hAnsi="宋体"/>
                <w:sz w:val="24"/>
                <w:highlight w:val="none"/>
              </w:rPr>
            </w:pPr>
          </w:p>
        </w:tc>
      </w:tr>
      <w:tr w14:paraId="7DEC52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9E1BBF6">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5A7FB35">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83AE07D">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74501D8">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B612417">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61A134F">
            <w:pPr>
              <w:snapToGrid w:val="0"/>
              <w:spacing w:before="120" w:beforeLines="50" w:after="120" w:line="360" w:lineRule="auto"/>
              <w:rPr>
                <w:rFonts w:ascii="宋体" w:hAnsi="宋体"/>
                <w:sz w:val="24"/>
                <w:highlight w:val="none"/>
              </w:rPr>
            </w:pPr>
          </w:p>
        </w:tc>
      </w:tr>
      <w:tr w14:paraId="76C462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D0E4414">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42CE8F7">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65A2A2">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83376E2">
            <w:pPr>
              <w:pStyle w:val="32"/>
              <w:snapToGrid w:val="0"/>
              <w:spacing w:before="120" w:beforeLines="50" w:after="120" w:line="360" w:lineRule="auto"/>
              <w:ind w:left="5250"/>
              <w:rPr>
                <w:rFonts w:ascii="宋体" w:hAnsi="宋体" w:eastAsia="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934CA23">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23497E5">
            <w:pPr>
              <w:snapToGrid w:val="0"/>
              <w:spacing w:before="120" w:beforeLines="50" w:after="120" w:line="360" w:lineRule="auto"/>
              <w:rPr>
                <w:rFonts w:ascii="宋体" w:hAnsi="宋体"/>
                <w:sz w:val="24"/>
                <w:highlight w:val="none"/>
              </w:rPr>
            </w:pPr>
          </w:p>
        </w:tc>
      </w:tr>
      <w:tr w14:paraId="1F9C3B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69CDA95">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E9A847C">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0034240">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CDD2BDC">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648A5CE">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4FC8C56">
            <w:pPr>
              <w:snapToGrid w:val="0"/>
              <w:spacing w:before="120" w:beforeLines="50" w:after="120" w:line="360" w:lineRule="auto"/>
              <w:rPr>
                <w:rFonts w:ascii="宋体" w:hAnsi="宋体"/>
                <w:sz w:val="24"/>
                <w:highlight w:val="none"/>
              </w:rPr>
            </w:pPr>
          </w:p>
        </w:tc>
      </w:tr>
      <w:tr w14:paraId="5C69CF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6E31B79">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44AEC2E">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87A3B17">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9B5E94D">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D4830B">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58CC1B1">
            <w:pPr>
              <w:snapToGrid w:val="0"/>
              <w:spacing w:before="120" w:beforeLines="50" w:after="120" w:line="360" w:lineRule="auto"/>
              <w:rPr>
                <w:rFonts w:ascii="宋体" w:hAnsi="宋体"/>
                <w:sz w:val="24"/>
                <w:highlight w:val="none"/>
              </w:rPr>
            </w:pPr>
          </w:p>
        </w:tc>
      </w:tr>
      <w:tr w14:paraId="356497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D12FCEF">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9B5048D">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7DAE380">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365D62B">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D04F8BA">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67CEBC8">
            <w:pPr>
              <w:snapToGrid w:val="0"/>
              <w:spacing w:before="120" w:beforeLines="50" w:after="120" w:line="360" w:lineRule="auto"/>
              <w:rPr>
                <w:rFonts w:ascii="宋体" w:hAnsi="宋体"/>
                <w:sz w:val="24"/>
                <w:highlight w:val="none"/>
              </w:rPr>
            </w:pPr>
          </w:p>
        </w:tc>
      </w:tr>
      <w:tr w14:paraId="69AED0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F460789">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23FD8C6A">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D602E54">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4A5612E">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3EFA043">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FF28735">
            <w:pPr>
              <w:snapToGrid w:val="0"/>
              <w:spacing w:before="120" w:beforeLines="50" w:after="120" w:line="360" w:lineRule="auto"/>
              <w:rPr>
                <w:rFonts w:ascii="宋体" w:hAnsi="宋体"/>
                <w:sz w:val="24"/>
                <w:highlight w:val="none"/>
              </w:rPr>
            </w:pPr>
          </w:p>
        </w:tc>
      </w:tr>
      <w:tr w14:paraId="6D25B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C39DFD5">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B73F28B">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187E093">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7EFE361">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B337BE4">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A3FD4C2">
            <w:pPr>
              <w:snapToGrid w:val="0"/>
              <w:spacing w:before="120" w:beforeLines="50" w:after="120" w:line="360" w:lineRule="auto"/>
              <w:rPr>
                <w:rFonts w:ascii="宋体" w:hAnsi="宋体"/>
                <w:sz w:val="24"/>
                <w:highlight w:val="none"/>
              </w:rPr>
            </w:pPr>
          </w:p>
        </w:tc>
      </w:tr>
      <w:tr w14:paraId="60F54A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7F6B57D">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3D0C477">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91A2C17">
            <w:pPr>
              <w:snapToGrid w:val="0"/>
              <w:spacing w:before="120" w:beforeLines="50" w:after="120" w:line="360" w:lineRule="auto"/>
              <w:rPr>
                <w:rFonts w:ascii="宋体" w:hAnsi="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4D3F051">
            <w:pPr>
              <w:snapToGrid w:val="0"/>
              <w:spacing w:before="120" w:beforeLines="50" w:after="120" w:line="360" w:lineRule="auto"/>
              <w:rPr>
                <w:rFonts w:ascii="宋体" w:hAnsi="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391B493">
            <w:pPr>
              <w:snapToGrid w:val="0"/>
              <w:spacing w:before="120" w:beforeLines="50" w:after="120" w:line="360" w:lineRule="auto"/>
              <w:rPr>
                <w:rFonts w:ascii="宋体" w:hAnsi="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453FC74">
            <w:pPr>
              <w:snapToGrid w:val="0"/>
              <w:spacing w:before="120" w:beforeLines="50" w:after="120" w:line="360" w:lineRule="auto"/>
              <w:rPr>
                <w:rFonts w:ascii="宋体" w:hAnsi="宋体"/>
                <w:sz w:val="24"/>
                <w:highlight w:val="none"/>
              </w:rPr>
            </w:pPr>
          </w:p>
        </w:tc>
      </w:tr>
    </w:tbl>
    <w:p w14:paraId="24BC49C1">
      <w:pPr>
        <w:snapToGrid w:val="0"/>
        <w:spacing w:before="120" w:beforeLines="50" w:after="120" w:line="480" w:lineRule="auto"/>
        <w:rPr>
          <w:rFonts w:ascii="宋体" w:hAnsi="宋体"/>
          <w:bCs/>
          <w:sz w:val="24"/>
          <w:highlight w:val="none"/>
        </w:rPr>
      </w:pPr>
    </w:p>
    <w:p w14:paraId="3A6A9F41">
      <w:pPr>
        <w:snapToGrid w:val="0"/>
        <w:spacing w:before="120" w:after="120" w:afterLines="50"/>
        <w:jc w:val="left"/>
        <w:rPr>
          <w:rFonts w:ascii="宋体" w:hAnsi="宋体"/>
          <w:b/>
          <w:bCs/>
          <w:sz w:val="24"/>
          <w:highlight w:val="none"/>
        </w:rPr>
      </w:pPr>
      <w:r>
        <w:rPr>
          <w:rFonts w:hint="eastAsia" w:ascii="宋体" w:hAnsi="宋体"/>
          <w:b/>
          <w:bCs/>
          <w:sz w:val="24"/>
          <w:highlight w:val="none"/>
        </w:rPr>
        <w:t>注：填写本表格时如不适合供应商的实际情况，可根据本表格式自行修订填写。</w:t>
      </w:r>
    </w:p>
    <w:p w14:paraId="3B352CEF">
      <w:pPr>
        <w:snapToGrid w:val="0"/>
        <w:spacing w:before="120" w:after="120" w:afterLines="50" w:line="360" w:lineRule="auto"/>
        <w:jc w:val="left"/>
        <w:rPr>
          <w:rFonts w:ascii="宋体" w:hAnsi="宋体"/>
          <w:sz w:val="24"/>
          <w:szCs w:val="20"/>
          <w:highlight w:val="none"/>
        </w:rPr>
      </w:pPr>
    </w:p>
    <w:p w14:paraId="04CB5585">
      <w:pPr>
        <w:snapToGrid w:val="0"/>
        <w:spacing w:before="120" w:after="120" w:afterLines="50" w:line="360" w:lineRule="auto"/>
        <w:jc w:val="left"/>
        <w:rPr>
          <w:rFonts w:ascii="宋体" w:hAnsi="宋体"/>
          <w:sz w:val="24"/>
          <w:szCs w:val="20"/>
          <w:highlight w:val="none"/>
        </w:rPr>
      </w:pPr>
    </w:p>
    <w:p w14:paraId="5608F823">
      <w:pPr>
        <w:snapToGrid w:val="0"/>
        <w:spacing w:before="120" w:after="120" w:line="360" w:lineRule="auto"/>
        <w:rPr>
          <w:rFonts w:ascii="宋体" w:hAnsi="宋体"/>
          <w:b/>
          <w:sz w:val="24"/>
          <w:szCs w:val="20"/>
          <w:highlight w:val="none"/>
        </w:rPr>
      </w:pPr>
      <w:r>
        <w:rPr>
          <w:rFonts w:hint="eastAsia" w:ascii="宋体" w:hAnsi="宋体"/>
          <w:b/>
          <w:spacing w:val="20"/>
          <w:sz w:val="24"/>
          <w:highlight w:val="none"/>
        </w:rPr>
        <w:t xml:space="preserve">法定代表人或其授权人（签字或盖章）：             投标人（盖章）：          </w:t>
      </w:r>
    </w:p>
    <w:p w14:paraId="5FC2AC3A">
      <w:pPr>
        <w:pStyle w:val="31"/>
        <w:snapToGrid w:val="0"/>
        <w:spacing w:beforeLines="0" w:afterLines="0" w:line="240" w:lineRule="auto"/>
        <w:rPr>
          <w:rFonts w:hAnsi="宋体"/>
          <w:b/>
          <w:highlight w:val="none"/>
        </w:rPr>
      </w:pPr>
    </w:p>
    <w:p w14:paraId="3D49D2FD">
      <w:pPr>
        <w:pStyle w:val="31"/>
        <w:snapToGrid w:val="0"/>
        <w:spacing w:beforeLines="0" w:afterLines="0" w:line="240" w:lineRule="auto"/>
        <w:rPr>
          <w:rFonts w:hAnsi="宋体"/>
          <w:highlight w:val="none"/>
        </w:rPr>
      </w:pPr>
      <w:r>
        <w:rPr>
          <w:rFonts w:hint="eastAsia" w:hAnsi="宋体"/>
          <w:b/>
          <w:highlight w:val="none"/>
        </w:rPr>
        <w:t>日期：  _____年___月___日</w:t>
      </w:r>
    </w:p>
    <w:p w14:paraId="7F79755D">
      <w:pPr>
        <w:pStyle w:val="31"/>
        <w:snapToGrid w:val="0"/>
        <w:spacing w:beforeLines="0" w:afterLines="0" w:line="240" w:lineRule="auto"/>
        <w:rPr>
          <w:rFonts w:hAnsi="宋体"/>
          <w:highlight w:val="none"/>
        </w:rPr>
        <w:sectPr>
          <w:footerReference r:id="rId3" w:type="default"/>
          <w:pgSz w:w="11906" w:h="16838"/>
          <w:pgMar w:top="1247" w:right="1247" w:bottom="1247" w:left="1247" w:header="567" w:footer="454" w:gutter="0"/>
          <w:cols w:space="720" w:num="1"/>
          <w:docGrid w:linePitch="286" w:charSpace="0"/>
        </w:sectPr>
      </w:pPr>
    </w:p>
    <w:p w14:paraId="4FEB83DE">
      <w:pPr>
        <w:snapToGrid w:val="0"/>
        <w:spacing w:before="120" w:after="120" w:afterLines="50"/>
        <w:ind w:firstLine="360" w:firstLineChars="150"/>
        <w:jc w:val="left"/>
        <w:rPr>
          <w:rFonts w:ascii="宋体" w:hAnsi="宋体"/>
          <w:sz w:val="24"/>
          <w:highlight w:val="none"/>
        </w:rPr>
      </w:pPr>
      <w:r>
        <w:rPr>
          <w:rFonts w:hint="eastAsia" w:ascii="宋体" w:hAnsi="宋体"/>
          <w:sz w:val="24"/>
          <w:highlight w:val="none"/>
        </w:rPr>
        <w:t>9.投标人类似合同案例一览表格式：</w:t>
      </w:r>
    </w:p>
    <w:p w14:paraId="21347ABD">
      <w:pPr>
        <w:snapToGrid w:val="0"/>
        <w:spacing w:before="120" w:after="120" w:afterLines="50"/>
        <w:jc w:val="center"/>
        <w:rPr>
          <w:rFonts w:ascii="宋体" w:hAnsi="宋体"/>
          <w:b/>
          <w:sz w:val="24"/>
          <w:highlight w:val="none"/>
        </w:rPr>
      </w:pPr>
      <w:r>
        <w:rPr>
          <w:rFonts w:hint="eastAsia" w:ascii="宋体" w:hAnsi="宋体"/>
          <w:b/>
          <w:sz w:val="24"/>
          <w:highlight w:val="none"/>
        </w:rPr>
        <w:t>投标人类似合同案例一览表</w:t>
      </w:r>
    </w:p>
    <w:p w14:paraId="0E822E76">
      <w:pPr>
        <w:snapToGrid w:val="0"/>
        <w:spacing w:before="120" w:beforeLines="50" w:after="120" w:line="480" w:lineRule="auto"/>
        <w:ind w:firstLine="1068" w:firstLineChars="445"/>
        <w:rPr>
          <w:rFonts w:ascii="宋体" w:hAnsi="宋体"/>
          <w:bCs/>
          <w:sz w:val="24"/>
          <w:highlight w:val="none"/>
        </w:rPr>
      </w:pPr>
    </w:p>
    <w:p w14:paraId="152936DB">
      <w:pPr>
        <w:snapToGrid w:val="0"/>
        <w:spacing w:before="120" w:beforeLines="50" w:after="120" w:line="480" w:lineRule="auto"/>
        <w:ind w:firstLine="1068" w:firstLineChars="445"/>
        <w:rPr>
          <w:rFonts w:ascii="宋体" w:hAnsi="宋体"/>
          <w:bCs/>
          <w:sz w:val="24"/>
          <w:szCs w:val="20"/>
          <w:highlight w:val="none"/>
        </w:rPr>
      </w:pPr>
      <w:r>
        <w:rPr>
          <w:rFonts w:hint="eastAsia" w:ascii="宋体" w:hAnsi="宋体"/>
          <w:bCs/>
          <w:sz w:val="24"/>
          <w:highlight w:val="none"/>
        </w:rPr>
        <w:t xml:space="preserve">项目名称：                                            </w:t>
      </w:r>
      <w:r>
        <w:rPr>
          <w:rFonts w:hint="eastAsia" w:ascii="宋体" w:hAnsi="宋体"/>
          <w:sz w:val="24"/>
          <w:highlight w:val="none"/>
        </w:rPr>
        <w:t>项目编号：</w:t>
      </w:r>
    </w:p>
    <w:tbl>
      <w:tblPr>
        <w:tblStyle w:val="53"/>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1B9AF0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217670E2">
            <w:pPr>
              <w:snapToGrid w:val="0"/>
              <w:spacing w:line="400" w:lineRule="exact"/>
              <w:jc w:val="center"/>
              <w:rPr>
                <w:rFonts w:ascii="宋体" w:hAnsi="宋体"/>
                <w:sz w:val="24"/>
                <w:highlight w:val="none"/>
              </w:rPr>
            </w:pPr>
            <w:r>
              <w:rPr>
                <w:rFonts w:hint="eastAsia" w:ascii="宋体" w:hAnsi="宋体"/>
                <w:sz w:val="24"/>
                <w:highlight w:val="none"/>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7C823E50">
            <w:pPr>
              <w:snapToGrid w:val="0"/>
              <w:spacing w:line="400" w:lineRule="exact"/>
              <w:jc w:val="center"/>
              <w:rPr>
                <w:rFonts w:ascii="宋体" w:hAnsi="宋体"/>
                <w:sz w:val="24"/>
                <w:highlight w:val="none"/>
              </w:rPr>
            </w:pPr>
            <w:r>
              <w:rPr>
                <w:rFonts w:hint="eastAsia" w:ascii="宋体" w:hAnsi="宋体"/>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156165B1">
            <w:pPr>
              <w:snapToGrid w:val="0"/>
              <w:spacing w:line="400" w:lineRule="exact"/>
              <w:jc w:val="center"/>
              <w:rPr>
                <w:rFonts w:ascii="宋体" w:hAnsi="宋体"/>
                <w:sz w:val="24"/>
                <w:highlight w:val="none"/>
              </w:rPr>
            </w:pPr>
            <w:r>
              <w:rPr>
                <w:rFonts w:hint="eastAsia" w:ascii="宋体" w:hAnsi="宋体"/>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7595B780">
            <w:pPr>
              <w:snapToGrid w:val="0"/>
              <w:spacing w:line="400" w:lineRule="exact"/>
              <w:jc w:val="center"/>
              <w:rPr>
                <w:rFonts w:ascii="宋体" w:hAnsi="宋体"/>
                <w:sz w:val="24"/>
                <w:highlight w:val="none"/>
              </w:rPr>
            </w:pPr>
            <w:r>
              <w:rPr>
                <w:rFonts w:hint="eastAsia" w:ascii="宋体" w:hAnsi="宋体"/>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524A5A62">
            <w:pPr>
              <w:snapToGrid w:val="0"/>
              <w:spacing w:line="400" w:lineRule="exact"/>
              <w:rPr>
                <w:rFonts w:ascii="宋体" w:hAnsi="宋体"/>
                <w:sz w:val="24"/>
                <w:highlight w:val="none"/>
              </w:rPr>
            </w:pPr>
            <w:r>
              <w:rPr>
                <w:rFonts w:hint="eastAsia" w:ascii="宋体" w:hAnsi="宋体"/>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3E2920BC">
            <w:pPr>
              <w:snapToGrid w:val="0"/>
              <w:spacing w:line="400" w:lineRule="exact"/>
              <w:jc w:val="center"/>
              <w:rPr>
                <w:rFonts w:ascii="宋体" w:hAnsi="宋体"/>
                <w:sz w:val="24"/>
                <w:highlight w:val="none"/>
              </w:rPr>
            </w:pPr>
            <w:r>
              <w:rPr>
                <w:rFonts w:hint="eastAsia" w:ascii="宋体" w:hAnsi="宋体"/>
                <w:sz w:val="24"/>
                <w:highlight w:val="none"/>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12BC1976">
            <w:pPr>
              <w:widowControl/>
              <w:spacing w:line="400" w:lineRule="exact"/>
              <w:jc w:val="left"/>
              <w:rPr>
                <w:rFonts w:ascii="宋体" w:hAnsi="宋体"/>
                <w:sz w:val="24"/>
                <w:highlight w:val="none"/>
              </w:rPr>
            </w:pPr>
            <w:r>
              <w:rPr>
                <w:rFonts w:hint="eastAsia" w:ascii="宋体" w:hAnsi="宋体"/>
                <w:sz w:val="24"/>
                <w:highlight w:val="none"/>
              </w:rPr>
              <w:t>联系电话</w:t>
            </w:r>
          </w:p>
        </w:tc>
      </w:tr>
      <w:tr w14:paraId="3808D6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5D05292F">
            <w:pPr>
              <w:snapToGrid w:val="0"/>
              <w:spacing w:line="240" w:lineRule="exact"/>
              <w:jc w:val="left"/>
              <w:rPr>
                <w:rFonts w:ascii="宋体" w:hAnsi="宋体"/>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1D038BAA">
            <w:pPr>
              <w:snapToGrid w:val="0"/>
              <w:spacing w:line="240" w:lineRule="exact"/>
              <w:jc w:val="left"/>
              <w:rPr>
                <w:rFonts w:ascii="宋体" w:hAnsi="宋体"/>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307B4918">
            <w:pPr>
              <w:snapToGrid w:val="0"/>
              <w:spacing w:line="240" w:lineRule="exact"/>
              <w:jc w:val="left"/>
              <w:rPr>
                <w:rFonts w:ascii="宋体" w:hAnsi="宋体"/>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2C8D5382">
            <w:pPr>
              <w:snapToGrid w:val="0"/>
              <w:spacing w:line="240" w:lineRule="exact"/>
              <w:jc w:val="left"/>
              <w:rPr>
                <w:rFonts w:ascii="宋体" w:hAnsi="宋体"/>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72756E2C">
            <w:pPr>
              <w:snapToGrid w:val="0"/>
              <w:spacing w:line="240" w:lineRule="exact"/>
              <w:jc w:val="left"/>
              <w:rPr>
                <w:rFonts w:ascii="宋体" w:hAnsi="宋体"/>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4516DDF8">
            <w:pPr>
              <w:snapToGrid w:val="0"/>
              <w:spacing w:line="240" w:lineRule="exact"/>
              <w:jc w:val="left"/>
              <w:rPr>
                <w:rFonts w:ascii="宋体" w:hAnsi="宋体"/>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18D15D67">
            <w:pPr>
              <w:snapToGrid w:val="0"/>
              <w:spacing w:line="240" w:lineRule="exact"/>
              <w:jc w:val="left"/>
              <w:rPr>
                <w:rFonts w:ascii="宋体" w:hAnsi="宋体"/>
                <w:sz w:val="24"/>
                <w:highlight w:val="none"/>
              </w:rPr>
            </w:pPr>
          </w:p>
        </w:tc>
      </w:tr>
      <w:tr w14:paraId="7557FE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A813697">
            <w:pPr>
              <w:snapToGrid w:val="0"/>
              <w:spacing w:before="120" w:after="120" w:afterLines="50" w:line="400" w:lineRule="exact"/>
              <w:jc w:val="left"/>
              <w:rPr>
                <w:rFonts w:ascii="宋体" w:hAnsi="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DC74CDE">
            <w:pPr>
              <w:snapToGrid w:val="0"/>
              <w:spacing w:before="120" w:after="120" w:afterLines="50" w:line="400" w:lineRule="exact"/>
              <w:jc w:val="left"/>
              <w:rPr>
                <w:rFonts w:ascii="宋体" w:hAnsi="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52C2740">
            <w:pPr>
              <w:snapToGrid w:val="0"/>
              <w:spacing w:before="120" w:after="120" w:afterLines="50" w:line="400" w:lineRule="exact"/>
              <w:jc w:val="left"/>
              <w:rPr>
                <w:rFonts w:ascii="宋体" w:hAnsi="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70A5EC55">
            <w:pPr>
              <w:snapToGrid w:val="0"/>
              <w:spacing w:before="120" w:after="120" w:afterLines="50" w:line="400" w:lineRule="exact"/>
              <w:jc w:val="left"/>
              <w:rPr>
                <w:rFonts w:ascii="宋体" w:hAnsi="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1DD7CC13">
            <w:pPr>
              <w:snapToGrid w:val="0"/>
              <w:spacing w:before="120" w:after="120" w:afterLines="50" w:line="400" w:lineRule="exact"/>
              <w:jc w:val="left"/>
              <w:rPr>
                <w:rFonts w:ascii="宋体" w:hAnsi="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401A975">
            <w:pPr>
              <w:snapToGrid w:val="0"/>
              <w:spacing w:before="120" w:after="120" w:afterLines="50" w:line="400" w:lineRule="exact"/>
              <w:jc w:val="left"/>
              <w:rPr>
                <w:rFonts w:ascii="宋体" w:hAnsi="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2E591D84">
            <w:pPr>
              <w:snapToGrid w:val="0"/>
              <w:spacing w:before="120" w:after="120" w:afterLines="50" w:line="400" w:lineRule="exact"/>
              <w:jc w:val="left"/>
              <w:rPr>
                <w:rFonts w:ascii="宋体" w:hAnsi="宋体"/>
                <w:sz w:val="24"/>
                <w:szCs w:val="20"/>
                <w:highlight w:val="none"/>
              </w:rPr>
            </w:pPr>
          </w:p>
        </w:tc>
      </w:tr>
      <w:tr w14:paraId="4984CB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10FE1A34">
            <w:pPr>
              <w:snapToGrid w:val="0"/>
              <w:spacing w:before="120" w:after="120" w:afterLines="50" w:line="400" w:lineRule="exact"/>
              <w:jc w:val="left"/>
              <w:rPr>
                <w:rFonts w:ascii="宋体" w:hAnsi="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9A9C6D8">
            <w:pPr>
              <w:snapToGrid w:val="0"/>
              <w:spacing w:before="120" w:after="120" w:afterLines="50" w:line="400" w:lineRule="exact"/>
              <w:jc w:val="left"/>
              <w:rPr>
                <w:rFonts w:ascii="宋体" w:hAnsi="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4A9F402F">
            <w:pPr>
              <w:snapToGrid w:val="0"/>
              <w:spacing w:before="120" w:after="120" w:afterLines="50" w:line="400" w:lineRule="exact"/>
              <w:jc w:val="left"/>
              <w:rPr>
                <w:rFonts w:ascii="宋体" w:hAnsi="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7073CE0E">
            <w:pPr>
              <w:snapToGrid w:val="0"/>
              <w:spacing w:before="120" w:after="120" w:afterLines="50" w:line="400" w:lineRule="exact"/>
              <w:jc w:val="left"/>
              <w:rPr>
                <w:rFonts w:ascii="宋体" w:hAnsi="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73E69460">
            <w:pPr>
              <w:snapToGrid w:val="0"/>
              <w:spacing w:before="120" w:after="120" w:afterLines="50" w:line="400" w:lineRule="exact"/>
              <w:jc w:val="left"/>
              <w:rPr>
                <w:rFonts w:ascii="宋体" w:hAnsi="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794BC0EE">
            <w:pPr>
              <w:snapToGrid w:val="0"/>
              <w:spacing w:before="120" w:after="120" w:afterLines="50" w:line="400" w:lineRule="exact"/>
              <w:jc w:val="left"/>
              <w:rPr>
                <w:rFonts w:ascii="宋体" w:hAnsi="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3FC22059">
            <w:pPr>
              <w:snapToGrid w:val="0"/>
              <w:spacing w:before="120" w:after="120" w:afterLines="50" w:line="400" w:lineRule="exact"/>
              <w:jc w:val="left"/>
              <w:rPr>
                <w:rFonts w:ascii="宋体" w:hAnsi="宋体"/>
                <w:sz w:val="24"/>
                <w:szCs w:val="20"/>
                <w:highlight w:val="none"/>
              </w:rPr>
            </w:pPr>
          </w:p>
        </w:tc>
      </w:tr>
      <w:tr w14:paraId="09572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6E21645">
            <w:pPr>
              <w:snapToGrid w:val="0"/>
              <w:spacing w:before="120" w:after="120" w:afterLines="50" w:line="400" w:lineRule="exact"/>
              <w:jc w:val="left"/>
              <w:rPr>
                <w:rFonts w:ascii="宋体" w:hAnsi="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5CF4B0E">
            <w:pPr>
              <w:snapToGrid w:val="0"/>
              <w:spacing w:before="120" w:after="120" w:afterLines="50" w:line="400" w:lineRule="exact"/>
              <w:jc w:val="left"/>
              <w:rPr>
                <w:rFonts w:ascii="宋体" w:hAnsi="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EE8D6F6">
            <w:pPr>
              <w:snapToGrid w:val="0"/>
              <w:spacing w:before="120" w:after="120" w:afterLines="50" w:line="400" w:lineRule="exact"/>
              <w:jc w:val="left"/>
              <w:rPr>
                <w:rFonts w:ascii="宋体" w:hAnsi="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5F26F54D">
            <w:pPr>
              <w:snapToGrid w:val="0"/>
              <w:spacing w:before="120" w:after="120" w:afterLines="50" w:line="400" w:lineRule="exact"/>
              <w:jc w:val="left"/>
              <w:rPr>
                <w:rFonts w:ascii="宋体" w:hAnsi="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E194C11">
            <w:pPr>
              <w:snapToGrid w:val="0"/>
              <w:spacing w:before="120" w:after="120" w:afterLines="50" w:line="400" w:lineRule="exact"/>
              <w:jc w:val="left"/>
              <w:rPr>
                <w:rFonts w:ascii="宋体" w:hAnsi="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77121EC7">
            <w:pPr>
              <w:snapToGrid w:val="0"/>
              <w:spacing w:before="120" w:after="120" w:afterLines="50" w:line="400" w:lineRule="exact"/>
              <w:jc w:val="left"/>
              <w:rPr>
                <w:rFonts w:ascii="宋体" w:hAnsi="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A6FC990">
            <w:pPr>
              <w:snapToGrid w:val="0"/>
              <w:spacing w:before="120" w:after="120" w:afterLines="50" w:line="400" w:lineRule="exact"/>
              <w:jc w:val="left"/>
              <w:rPr>
                <w:rFonts w:ascii="宋体" w:hAnsi="宋体"/>
                <w:sz w:val="24"/>
                <w:szCs w:val="20"/>
                <w:highlight w:val="none"/>
              </w:rPr>
            </w:pPr>
          </w:p>
        </w:tc>
      </w:tr>
      <w:tr w14:paraId="400A7C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976002B">
            <w:pPr>
              <w:snapToGrid w:val="0"/>
              <w:spacing w:before="120" w:after="120" w:afterLines="50" w:line="400" w:lineRule="exact"/>
              <w:jc w:val="left"/>
              <w:rPr>
                <w:rFonts w:ascii="宋体" w:hAnsi="宋体"/>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14F93B35">
            <w:pPr>
              <w:snapToGrid w:val="0"/>
              <w:spacing w:before="120" w:after="120" w:afterLines="50" w:line="400" w:lineRule="exact"/>
              <w:jc w:val="left"/>
              <w:rPr>
                <w:rFonts w:ascii="宋体" w:hAnsi="宋体"/>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31B24278">
            <w:pPr>
              <w:snapToGrid w:val="0"/>
              <w:spacing w:before="120" w:after="120" w:afterLines="50" w:line="400" w:lineRule="exact"/>
              <w:jc w:val="left"/>
              <w:rPr>
                <w:rFonts w:ascii="宋体" w:hAnsi="宋体"/>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0F9DFF2">
            <w:pPr>
              <w:snapToGrid w:val="0"/>
              <w:spacing w:before="120" w:after="120" w:afterLines="50" w:line="400" w:lineRule="exact"/>
              <w:jc w:val="left"/>
              <w:rPr>
                <w:rFonts w:ascii="宋体" w:hAnsi="宋体"/>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13737C9B">
            <w:pPr>
              <w:snapToGrid w:val="0"/>
              <w:spacing w:before="120" w:after="120" w:afterLines="50" w:line="400" w:lineRule="exact"/>
              <w:jc w:val="left"/>
              <w:rPr>
                <w:rFonts w:ascii="宋体" w:hAnsi="宋体"/>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72E96219">
            <w:pPr>
              <w:snapToGrid w:val="0"/>
              <w:spacing w:before="120" w:after="120" w:afterLines="50" w:line="400" w:lineRule="exact"/>
              <w:jc w:val="left"/>
              <w:rPr>
                <w:rFonts w:ascii="宋体" w:hAnsi="宋体"/>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1528DEFB">
            <w:pPr>
              <w:snapToGrid w:val="0"/>
              <w:spacing w:before="120" w:after="120" w:afterLines="50" w:line="400" w:lineRule="exact"/>
              <w:jc w:val="left"/>
              <w:rPr>
                <w:rFonts w:ascii="宋体" w:hAnsi="宋体"/>
                <w:sz w:val="24"/>
                <w:szCs w:val="20"/>
                <w:highlight w:val="none"/>
              </w:rPr>
            </w:pPr>
          </w:p>
        </w:tc>
      </w:tr>
    </w:tbl>
    <w:p w14:paraId="06F81BBF">
      <w:pPr>
        <w:pStyle w:val="15"/>
        <w:snapToGrid w:val="0"/>
        <w:spacing w:before="120" w:after="120"/>
        <w:ind w:firstLine="960" w:firstLineChars="400"/>
        <w:rPr>
          <w:rFonts w:ascii="宋体" w:hAnsi="宋体" w:eastAsia="宋体"/>
          <w:sz w:val="24"/>
          <w:szCs w:val="24"/>
          <w:highlight w:val="none"/>
        </w:rPr>
      </w:pPr>
      <w:r>
        <w:rPr>
          <w:rFonts w:hint="eastAsia" w:ascii="宋体" w:hAnsi="宋体" w:eastAsia="宋体"/>
          <w:sz w:val="24"/>
          <w:szCs w:val="24"/>
          <w:highlight w:val="none"/>
        </w:rPr>
        <w:t xml:space="preserve"> </w:t>
      </w:r>
    </w:p>
    <w:p w14:paraId="5C223775">
      <w:pPr>
        <w:pStyle w:val="15"/>
        <w:snapToGrid w:val="0"/>
        <w:spacing w:before="120" w:after="120"/>
        <w:ind w:firstLine="361" w:firstLineChars="150"/>
        <w:rPr>
          <w:rFonts w:ascii="宋体" w:hAnsi="宋体" w:eastAsia="宋体"/>
          <w:b/>
          <w:sz w:val="24"/>
          <w:szCs w:val="24"/>
          <w:highlight w:val="none"/>
        </w:rPr>
      </w:pPr>
    </w:p>
    <w:p w14:paraId="31586A20">
      <w:pPr>
        <w:pStyle w:val="15"/>
        <w:snapToGrid w:val="0"/>
        <w:spacing w:before="120" w:after="120"/>
        <w:ind w:firstLine="482" w:firstLineChars="200"/>
        <w:rPr>
          <w:rFonts w:ascii="宋体" w:hAnsi="宋体" w:eastAsia="宋体"/>
          <w:b/>
          <w:sz w:val="24"/>
          <w:szCs w:val="24"/>
          <w:highlight w:val="none"/>
        </w:rPr>
      </w:pPr>
      <w:r>
        <w:rPr>
          <w:rFonts w:hint="eastAsia" w:ascii="宋体" w:hAnsi="宋体" w:eastAsia="宋体"/>
          <w:b/>
          <w:sz w:val="24"/>
          <w:szCs w:val="24"/>
          <w:highlight w:val="none"/>
        </w:rPr>
        <w:t xml:space="preserve">法定代表人或其授权人（签字或盖章）：                   投标人（盖章）：    </w:t>
      </w:r>
      <w:r>
        <w:rPr>
          <w:rFonts w:hint="eastAsia" w:ascii="宋体" w:hAnsi="宋体" w:eastAsia="宋体"/>
          <w:sz w:val="24"/>
          <w:szCs w:val="24"/>
          <w:highlight w:val="none"/>
        </w:rPr>
        <w:t xml:space="preserve">                </w:t>
      </w:r>
      <w:r>
        <w:rPr>
          <w:rFonts w:hint="eastAsia" w:ascii="宋体" w:hAnsi="宋体" w:eastAsia="宋体"/>
          <w:b/>
          <w:sz w:val="24"/>
          <w:szCs w:val="24"/>
          <w:highlight w:val="none"/>
        </w:rPr>
        <w:t>日期：  _____年___月___日</w:t>
      </w:r>
    </w:p>
    <w:p w14:paraId="140CC35C">
      <w:pPr>
        <w:pStyle w:val="15"/>
        <w:snapToGrid w:val="0"/>
        <w:spacing w:before="120" w:after="120"/>
        <w:rPr>
          <w:rFonts w:ascii="宋体" w:hAnsi="宋体" w:eastAsia="宋体"/>
          <w:sz w:val="24"/>
          <w:szCs w:val="24"/>
          <w:highlight w:val="none"/>
        </w:rPr>
        <w:sectPr>
          <w:pgSz w:w="16838" w:h="11906" w:orient="landscape"/>
          <w:pgMar w:top="1588" w:right="1021" w:bottom="1588" w:left="851" w:header="851" w:footer="851" w:gutter="0"/>
          <w:cols w:space="720" w:num="1"/>
        </w:sectPr>
      </w:pPr>
    </w:p>
    <w:p w14:paraId="5710F267">
      <w:pPr>
        <w:snapToGrid w:val="0"/>
        <w:spacing w:before="120" w:after="120" w:afterLines="50"/>
        <w:jc w:val="left"/>
        <w:rPr>
          <w:rFonts w:ascii="宋体" w:hAnsi="宋体"/>
          <w:sz w:val="24"/>
          <w:szCs w:val="20"/>
          <w:highlight w:val="none"/>
        </w:rPr>
      </w:pPr>
      <w:r>
        <w:rPr>
          <w:rFonts w:ascii="宋体" w:hAnsi="宋体"/>
          <w:sz w:val="24"/>
          <w:highlight w:val="none"/>
        </w:rPr>
        <w:t>1</w:t>
      </w:r>
      <w:r>
        <w:rPr>
          <w:rFonts w:hint="eastAsia" w:ascii="宋体" w:hAnsi="宋体"/>
          <w:sz w:val="24"/>
          <w:highlight w:val="none"/>
        </w:rPr>
        <w:t>0.售后服务网点情况表格式：</w:t>
      </w:r>
    </w:p>
    <w:p w14:paraId="16DD73DE">
      <w:pPr>
        <w:snapToGrid w:val="0"/>
        <w:spacing w:before="120" w:after="120" w:afterLines="50"/>
        <w:jc w:val="left"/>
        <w:rPr>
          <w:rFonts w:ascii="宋体" w:hAnsi="宋体"/>
          <w:sz w:val="24"/>
          <w:szCs w:val="20"/>
          <w:highlight w:val="none"/>
        </w:rPr>
      </w:pPr>
      <w:r>
        <w:rPr>
          <w:rFonts w:hint="eastAsia" w:ascii="宋体" w:hAnsi="宋体"/>
          <w:sz w:val="24"/>
          <w:szCs w:val="20"/>
          <w:highlight w:val="none"/>
        </w:rPr>
        <w:t xml:space="preserve"> </w:t>
      </w:r>
    </w:p>
    <w:p w14:paraId="48B52154">
      <w:pPr>
        <w:pStyle w:val="41"/>
        <w:snapToGrid w:val="0"/>
        <w:ind w:left="480" w:hanging="480"/>
        <w:rPr>
          <w:rFonts w:ascii="宋体" w:hAnsi="宋体"/>
          <w:sz w:val="24"/>
          <w:highlight w:val="none"/>
        </w:rPr>
      </w:pPr>
    </w:p>
    <w:p w14:paraId="61C28C9B">
      <w:pPr>
        <w:pStyle w:val="41"/>
        <w:snapToGrid w:val="0"/>
        <w:ind w:left="482" w:hanging="482"/>
        <w:jc w:val="center"/>
        <w:rPr>
          <w:rFonts w:ascii="宋体" w:hAnsi="宋体"/>
          <w:b/>
          <w:sz w:val="24"/>
          <w:highlight w:val="none"/>
        </w:rPr>
      </w:pPr>
      <w:r>
        <w:rPr>
          <w:rFonts w:hint="eastAsia" w:ascii="宋体" w:hAnsi="宋体"/>
          <w:b/>
          <w:sz w:val="24"/>
          <w:highlight w:val="none"/>
        </w:rPr>
        <w:t>售后服务网点情况表</w:t>
      </w:r>
    </w:p>
    <w:p w14:paraId="20B120C1">
      <w:pPr>
        <w:snapToGrid w:val="0"/>
        <w:spacing w:before="120" w:beforeLines="50" w:after="120" w:line="360" w:lineRule="auto"/>
        <w:jc w:val="center"/>
        <w:rPr>
          <w:rFonts w:ascii="宋体" w:hAnsi="宋体"/>
          <w:bCs/>
          <w:sz w:val="24"/>
          <w:highlight w:val="none"/>
        </w:rPr>
      </w:pPr>
    </w:p>
    <w:p w14:paraId="5A7EAA0F">
      <w:pPr>
        <w:snapToGrid w:val="0"/>
        <w:spacing w:before="120" w:beforeLines="50" w:after="120" w:line="480" w:lineRule="auto"/>
        <w:rPr>
          <w:rFonts w:ascii="宋体" w:hAnsi="宋体"/>
          <w:bCs/>
          <w:sz w:val="24"/>
          <w:szCs w:val="20"/>
          <w:highlight w:val="none"/>
        </w:rPr>
      </w:pPr>
      <w:r>
        <w:rPr>
          <w:rFonts w:hint="eastAsia" w:ascii="宋体" w:hAnsi="宋体"/>
          <w:bCs/>
          <w:sz w:val="24"/>
          <w:highlight w:val="none"/>
        </w:rPr>
        <w:t>项目名称：</w:t>
      </w:r>
    </w:p>
    <w:p w14:paraId="1826F8BC">
      <w:pPr>
        <w:snapToGrid w:val="0"/>
        <w:spacing w:before="120" w:beforeLines="50" w:after="120" w:line="480" w:lineRule="auto"/>
        <w:rPr>
          <w:rFonts w:ascii="宋体" w:hAnsi="宋体"/>
          <w:b/>
          <w:sz w:val="24"/>
          <w:highlight w:val="none"/>
        </w:rPr>
      </w:pPr>
      <w:r>
        <w:rPr>
          <w:rFonts w:hint="eastAsia" w:ascii="宋体" w:hAnsi="宋体"/>
          <w:sz w:val="24"/>
          <w:highlight w:val="none"/>
        </w:rPr>
        <w:t>项目编号：</w:t>
      </w:r>
    </w:p>
    <w:tbl>
      <w:tblPr>
        <w:tblStyle w:val="53"/>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36506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2663A8E7">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735A1876">
            <w:pPr>
              <w:snapToGrid w:val="0"/>
              <w:spacing w:before="120" w:after="120" w:afterLines="50" w:line="360" w:lineRule="auto"/>
              <w:jc w:val="left"/>
              <w:rPr>
                <w:rFonts w:ascii="宋体" w:hAnsi="宋体"/>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6BC5A240">
            <w:pPr>
              <w:snapToGrid w:val="0"/>
              <w:spacing w:before="120" w:after="120" w:afterLines="50" w:line="360" w:lineRule="auto"/>
              <w:jc w:val="center"/>
              <w:rPr>
                <w:rFonts w:ascii="宋体" w:hAnsi="宋体"/>
                <w:sz w:val="24"/>
                <w:szCs w:val="20"/>
                <w:highlight w:val="none"/>
              </w:rPr>
            </w:pPr>
            <w:r>
              <w:rPr>
                <w:rFonts w:hint="eastAsia" w:ascii="宋体" w:hAnsi="宋体"/>
                <w:sz w:val="24"/>
                <w:highlight w:val="none"/>
              </w:rPr>
              <w:t>响应文件页码</w:t>
            </w:r>
          </w:p>
        </w:tc>
      </w:tr>
      <w:tr w14:paraId="4AD707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073BC25C">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01F937F5">
            <w:pPr>
              <w:snapToGrid w:val="0"/>
              <w:spacing w:before="120" w:after="120" w:afterLines="50" w:line="360" w:lineRule="auto"/>
              <w:jc w:val="left"/>
              <w:rPr>
                <w:rFonts w:ascii="宋体" w:hAnsi="宋体"/>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4E78E36A">
            <w:pPr>
              <w:widowControl/>
              <w:spacing w:line="360" w:lineRule="auto"/>
              <w:jc w:val="left"/>
              <w:rPr>
                <w:rFonts w:ascii="宋体" w:hAnsi="宋体"/>
                <w:sz w:val="24"/>
                <w:szCs w:val="20"/>
                <w:highlight w:val="none"/>
              </w:rPr>
            </w:pPr>
          </w:p>
        </w:tc>
      </w:tr>
      <w:tr w14:paraId="04B94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7D77FB6">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0D5FDA7A">
            <w:pPr>
              <w:snapToGrid w:val="0"/>
              <w:spacing w:before="120" w:after="120" w:afterLines="50" w:line="360" w:lineRule="auto"/>
              <w:jc w:val="left"/>
              <w:rPr>
                <w:rFonts w:ascii="宋体" w:hAnsi="宋体"/>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0CF7004B">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其中：供应商出资比例</w:t>
            </w:r>
          </w:p>
        </w:tc>
        <w:tc>
          <w:tcPr>
            <w:tcW w:w="2162" w:type="dxa"/>
            <w:tcBorders>
              <w:top w:val="single" w:color="auto" w:sz="4" w:space="0"/>
              <w:left w:val="single" w:color="auto" w:sz="4" w:space="0"/>
              <w:bottom w:val="single" w:color="auto" w:sz="4" w:space="0"/>
              <w:right w:val="single" w:color="auto" w:sz="4" w:space="0"/>
            </w:tcBorders>
          </w:tcPr>
          <w:p w14:paraId="5C4029E2">
            <w:pPr>
              <w:snapToGrid w:val="0"/>
              <w:spacing w:before="12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5F11DE2">
            <w:pPr>
              <w:snapToGrid w:val="0"/>
              <w:spacing w:before="120" w:after="120" w:afterLines="50" w:line="360" w:lineRule="auto"/>
              <w:jc w:val="left"/>
              <w:rPr>
                <w:rFonts w:ascii="宋体" w:hAnsi="宋体"/>
                <w:sz w:val="24"/>
                <w:szCs w:val="20"/>
                <w:highlight w:val="none"/>
              </w:rPr>
            </w:pPr>
          </w:p>
        </w:tc>
      </w:tr>
      <w:tr w14:paraId="616EDA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283896F">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438D2703">
            <w:pPr>
              <w:snapToGrid w:val="0"/>
              <w:spacing w:before="120" w:after="120" w:afterLines="50" w:line="360" w:lineRule="auto"/>
              <w:jc w:val="left"/>
              <w:rPr>
                <w:rFonts w:ascii="宋体" w:hAnsi="宋体"/>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2CAE4A44">
            <w:pPr>
              <w:snapToGrid w:val="0"/>
              <w:spacing w:before="120" w:after="120" w:afterLines="50" w:line="360" w:lineRule="auto"/>
              <w:ind w:left="120"/>
              <w:jc w:val="left"/>
              <w:rPr>
                <w:rFonts w:ascii="宋体" w:hAnsi="宋体"/>
                <w:sz w:val="24"/>
                <w:szCs w:val="20"/>
                <w:highlight w:val="none"/>
              </w:rPr>
            </w:pPr>
            <w:r>
              <w:rPr>
                <w:rFonts w:hint="eastAsia" w:ascii="宋体" w:hAnsi="宋体"/>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024558E4">
            <w:pPr>
              <w:snapToGrid w:val="0"/>
              <w:spacing w:before="12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1F2951BC">
            <w:pPr>
              <w:snapToGrid w:val="0"/>
              <w:spacing w:before="120" w:after="120" w:afterLines="50" w:line="360" w:lineRule="auto"/>
              <w:jc w:val="left"/>
              <w:rPr>
                <w:rFonts w:ascii="宋体" w:hAnsi="宋体"/>
                <w:sz w:val="24"/>
                <w:szCs w:val="20"/>
                <w:highlight w:val="none"/>
              </w:rPr>
            </w:pPr>
          </w:p>
        </w:tc>
      </w:tr>
      <w:tr w14:paraId="40BFB9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AB51536">
            <w:pPr>
              <w:snapToGrid w:val="0"/>
              <w:spacing w:before="120" w:after="120" w:afterLines="50" w:line="360" w:lineRule="auto"/>
              <w:jc w:val="left"/>
              <w:rPr>
                <w:rFonts w:ascii="宋体" w:hAnsi="宋体"/>
                <w:sz w:val="24"/>
                <w:szCs w:val="20"/>
                <w:highlight w:val="none"/>
              </w:rPr>
            </w:pPr>
            <w:r>
              <w:rPr>
                <w:rFonts w:hint="eastAsia" w:ascii="宋体" w:hAnsi="宋体"/>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A82C7F8">
            <w:pPr>
              <w:snapToGrid w:val="0"/>
              <w:spacing w:before="12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2821F7AA">
            <w:pPr>
              <w:snapToGrid w:val="0"/>
              <w:spacing w:before="120" w:after="120" w:afterLines="50" w:line="360" w:lineRule="auto"/>
              <w:jc w:val="left"/>
              <w:rPr>
                <w:rFonts w:ascii="宋体" w:hAnsi="宋体"/>
                <w:sz w:val="24"/>
                <w:szCs w:val="20"/>
                <w:highlight w:val="none"/>
              </w:rPr>
            </w:pPr>
          </w:p>
        </w:tc>
      </w:tr>
      <w:tr w14:paraId="2DADA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8DF3DA4">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C099E9C">
            <w:pPr>
              <w:snapToGrid w:val="0"/>
              <w:spacing w:before="12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DDF225D">
            <w:pPr>
              <w:snapToGrid w:val="0"/>
              <w:spacing w:before="120" w:after="120" w:afterLines="50" w:line="360" w:lineRule="auto"/>
              <w:jc w:val="left"/>
              <w:rPr>
                <w:rFonts w:ascii="宋体" w:hAnsi="宋体"/>
                <w:sz w:val="24"/>
                <w:szCs w:val="20"/>
                <w:highlight w:val="none"/>
              </w:rPr>
            </w:pPr>
          </w:p>
        </w:tc>
      </w:tr>
      <w:tr w14:paraId="4B03B0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C0C224">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26DA4B4">
            <w:pPr>
              <w:snapToGrid w:val="0"/>
              <w:spacing w:before="12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29A63F6">
            <w:pPr>
              <w:snapToGrid w:val="0"/>
              <w:spacing w:before="120" w:after="120" w:afterLines="50" w:line="360" w:lineRule="auto"/>
              <w:jc w:val="left"/>
              <w:rPr>
                <w:rFonts w:ascii="宋体" w:hAnsi="宋体"/>
                <w:sz w:val="24"/>
                <w:szCs w:val="20"/>
                <w:highlight w:val="none"/>
              </w:rPr>
            </w:pPr>
          </w:p>
        </w:tc>
      </w:tr>
      <w:tr w14:paraId="0E8B33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4E65479">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3718DCCD">
            <w:pPr>
              <w:snapToGrid w:val="0"/>
              <w:spacing w:before="120" w:after="120" w:afterLines="50" w:line="360" w:lineRule="auto"/>
              <w:jc w:val="left"/>
              <w:rPr>
                <w:rFonts w:ascii="宋体" w:hAnsi="宋体"/>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28743983">
            <w:pPr>
              <w:snapToGrid w:val="0"/>
              <w:spacing w:before="120" w:after="120" w:afterLines="50" w:line="360" w:lineRule="auto"/>
              <w:jc w:val="center"/>
              <w:rPr>
                <w:rFonts w:ascii="宋体" w:hAnsi="宋体"/>
                <w:sz w:val="24"/>
                <w:szCs w:val="20"/>
                <w:highlight w:val="none"/>
              </w:rPr>
            </w:pPr>
            <w:r>
              <w:rPr>
                <w:rFonts w:hint="eastAsia" w:ascii="宋体" w:hAnsi="宋体"/>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7786A34">
            <w:pPr>
              <w:snapToGrid w:val="0"/>
              <w:spacing w:before="120" w:after="120" w:afterLines="50" w:line="360" w:lineRule="auto"/>
              <w:jc w:val="left"/>
              <w:rPr>
                <w:rFonts w:ascii="宋体" w:hAnsi="宋体"/>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6C7186F2">
            <w:pPr>
              <w:snapToGrid w:val="0"/>
              <w:spacing w:before="120" w:after="120" w:afterLines="50" w:line="360" w:lineRule="auto"/>
              <w:jc w:val="left"/>
              <w:rPr>
                <w:rFonts w:ascii="宋体" w:hAnsi="宋体"/>
                <w:sz w:val="24"/>
                <w:szCs w:val="20"/>
                <w:highlight w:val="none"/>
              </w:rPr>
            </w:pPr>
          </w:p>
        </w:tc>
      </w:tr>
      <w:tr w14:paraId="434832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20C9FD80">
            <w:pPr>
              <w:snapToGrid w:val="0"/>
              <w:spacing w:before="120" w:after="120" w:afterLines="50" w:line="360" w:lineRule="auto"/>
              <w:jc w:val="left"/>
              <w:rPr>
                <w:rFonts w:ascii="宋体" w:hAnsi="宋体"/>
                <w:sz w:val="24"/>
                <w:szCs w:val="20"/>
                <w:highlight w:val="none"/>
              </w:rPr>
            </w:pPr>
            <w:r>
              <w:rPr>
                <w:rFonts w:hint="eastAsia" w:ascii="宋体" w:hAnsi="宋体"/>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1873698C">
            <w:pPr>
              <w:snapToGrid w:val="0"/>
              <w:spacing w:before="120" w:after="120" w:afterLines="50" w:line="360" w:lineRule="auto"/>
              <w:jc w:val="left"/>
              <w:rPr>
                <w:rFonts w:ascii="宋体" w:hAnsi="宋体"/>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3AC5E8FD">
            <w:pPr>
              <w:snapToGrid w:val="0"/>
              <w:spacing w:before="120" w:after="120" w:afterLines="50" w:line="360" w:lineRule="auto"/>
              <w:jc w:val="center"/>
              <w:rPr>
                <w:rFonts w:ascii="宋体" w:hAnsi="宋体"/>
                <w:sz w:val="24"/>
                <w:szCs w:val="20"/>
                <w:highlight w:val="none"/>
              </w:rPr>
            </w:pPr>
            <w:r>
              <w:rPr>
                <w:rFonts w:hint="eastAsia" w:ascii="宋体" w:hAnsi="宋体"/>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766CD1B9">
            <w:pPr>
              <w:snapToGrid w:val="0"/>
              <w:spacing w:before="120" w:after="120" w:afterLines="50" w:line="360" w:lineRule="auto"/>
              <w:jc w:val="left"/>
              <w:rPr>
                <w:rFonts w:ascii="宋体" w:hAnsi="宋体"/>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3886AE5E">
            <w:pPr>
              <w:snapToGrid w:val="0"/>
              <w:spacing w:before="120" w:after="120" w:afterLines="50" w:line="360" w:lineRule="auto"/>
              <w:jc w:val="left"/>
              <w:rPr>
                <w:rFonts w:ascii="宋体" w:hAnsi="宋体"/>
                <w:sz w:val="24"/>
                <w:szCs w:val="20"/>
                <w:highlight w:val="none"/>
              </w:rPr>
            </w:pPr>
          </w:p>
        </w:tc>
      </w:tr>
    </w:tbl>
    <w:p w14:paraId="2B42BB6A">
      <w:pPr>
        <w:pStyle w:val="41"/>
        <w:snapToGrid w:val="0"/>
        <w:ind w:left="199" w:hanging="199" w:hangingChars="83"/>
        <w:rPr>
          <w:rFonts w:ascii="宋体" w:hAnsi="宋体"/>
          <w:sz w:val="24"/>
          <w:highlight w:val="none"/>
        </w:rPr>
      </w:pPr>
    </w:p>
    <w:p w14:paraId="53BD8BC9">
      <w:pPr>
        <w:pStyle w:val="41"/>
        <w:snapToGrid w:val="0"/>
        <w:ind w:left="199" w:hanging="199" w:hangingChars="83"/>
        <w:rPr>
          <w:rFonts w:ascii="宋体" w:hAnsi="宋体"/>
          <w:sz w:val="24"/>
          <w:highlight w:val="none"/>
        </w:rPr>
      </w:pPr>
    </w:p>
    <w:p w14:paraId="6981A698">
      <w:pPr>
        <w:pStyle w:val="41"/>
        <w:snapToGrid w:val="0"/>
        <w:ind w:left="199" w:hanging="199" w:hangingChars="83"/>
        <w:rPr>
          <w:rFonts w:ascii="宋体" w:hAnsi="宋体"/>
          <w:sz w:val="24"/>
          <w:highlight w:val="none"/>
        </w:rPr>
      </w:pPr>
    </w:p>
    <w:p w14:paraId="726DC5DE">
      <w:pPr>
        <w:pStyle w:val="41"/>
        <w:snapToGrid w:val="0"/>
        <w:ind w:left="199" w:hanging="199" w:hangingChars="83"/>
        <w:rPr>
          <w:rFonts w:ascii="宋体" w:hAnsi="宋体"/>
          <w:sz w:val="24"/>
          <w:highlight w:val="none"/>
        </w:rPr>
      </w:pPr>
    </w:p>
    <w:p w14:paraId="6B6C6C9A">
      <w:pPr>
        <w:pStyle w:val="41"/>
        <w:snapToGrid w:val="0"/>
        <w:ind w:left="199" w:hanging="199" w:hangingChars="83"/>
        <w:rPr>
          <w:rFonts w:ascii="宋体" w:hAnsi="宋体"/>
          <w:sz w:val="24"/>
          <w:highlight w:val="none"/>
        </w:rPr>
      </w:pPr>
    </w:p>
    <w:p w14:paraId="6C5DDDF1">
      <w:pPr>
        <w:snapToGrid w:val="0"/>
        <w:spacing w:before="120" w:after="120" w:line="360" w:lineRule="auto"/>
        <w:rPr>
          <w:rFonts w:ascii="宋体" w:hAnsi="宋体"/>
          <w:b/>
          <w:sz w:val="24"/>
          <w:szCs w:val="20"/>
          <w:highlight w:val="none"/>
        </w:rPr>
      </w:pPr>
      <w:r>
        <w:rPr>
          <w:rFonts w:hint="eastAsia" w:ascii="宋体" w:hAnsi="宋体"/>
          <w:b/>
          <w:spacing w:val="20"/>
          <w:sz w:val="24"/>
          <w:highlight w:val="none"/>
        </w:rPr>
        <w:t xml:space="preserve">法定代表人或其授权人（签字或盖章）：             投标人（盖章）：          </w:t>
      </w:r>
    </w:p>
    <w:p w14:paraId="71E6515F">
      <w:pPr>
        <w:pStyle w:val="31"/>
        <w:snapToGrid w:val="0"/>
        <w:spacing w:beforeLines="0" w:afterLines="0" w:line="240" w:lineRule="auto"/>
        <w:rPr>
          <w:rFonts w:hAnsi="宋体"/>
          <w:b/>
          <w:highlight w:val="none"/>
        </w:rPr>
      </w:pPr>
    </w:p>
    <w:p w14:paraId="7A873C10">
      <w:pPr>
        <w:pStyle w:val="31"/>
        <w:snapToGrid w:val="0"/>
        <w:spacing w:beforeLines="0" w:afterLines="0" w:line="240" w:lineRule="auto"/>
        <w:rPr>
          <w:rFonts w:hAnsi="宋体"/>
          <w:b/>
          <w:highlight w:val="none"/>
        </w:rPr>
      </w:pPr>
      <w:r>
        <w:rPr>
          <w:rFonts w:hint="eastAsia" w:hAnsi="宋体"/>
          <w:b/>
          <w:highlight w:val="none"/>
        </w:rPr>
        <w:t>日期：  _____年___月___日</w:t>
      </w:r>
    </w:p>
    <w:p w14:paraId="7E76268E">
      <w:pPr>
        <w:pStyle w:val="41"/>
        <w:snapToGrid w:val="0"/>
        <w:ind w:left="199" w:hanging="199" w:hangingChars="83"/>
        <w:rPr>
          <w:rFonts w:ascii="宋体" w:hAnsi="宋体"/>
          <w:sz w:val="24"/>
          <w:highlight w:val="none"/>
        </w:rPr>
      </w:pPr>
    </w:p>
    <w:p w14:paraId="522BBD4B">
      <w:pPr>
        <w:pStyle w:val="41"/>
        <w:snapToGrid w:val="0"/>
        <w:ind w:left="199" w:hanging="199" w:hangingChars="83"/>
        <w:rPr>
          <w:rFonts w:ascii="宋体" w:hAnsi="宋体"/>
          <w:sz w:val="24"/>
          <w:highlight w:val="none"/>
        </w:rPr>
      </w:pPr>
    </w:p>
    <w:p w14:paraId="1D4B1435">
      <w:pPr>
        <w:pStyle w:val="41"/>
        <w:snapToGrid w:val="0"/>
        <w:ind w:left="199" w:hanging="199" w:hangingChars="83"/>
        <w:rPr>
          <w:rFonts w:ascii="宋体" w:hAnsi="宋体"/>
          <w:sz w:val="24"/>
          <w:highlight w:val="none"/>
        </w:rPr>
      </w:pPr>
    </w:p>
    <w:p w14:paraId="64EEEDB7">
      <w:pPr>
        <w:snapToGrid w:val="0"/>
        <w:spacing w:before="120" w:after="120" w:afterLines="50"/>
        <w:jc w:val="left"/>
        <w:rPr>
          <w:rFonts w:ascii="宋体" w:hAnsi="宋体"/>
          <w:sz w:val="24"/>
          <w:szCs w:val="20"/>
          <w:highlight w:val="none"/>
        </w:rPr>
      </w:pPr>
      <w:r>
        <w:rPr>
          <w:rFonts w:hint="eastAsia" w:ascii="宋体" w:hAnsi="宋体"/>
          <w:sz w:val="24"/>
          <w:szCs w:val="20"/>
          <w:highlight w:val="none"/>
        </w:rPr>
        <w:t xml:space="preserve"> </w:t>
      </w:r>
    </w:p>
    <w:p w14:paraId="78F46856">
      <w:pPr>
        <w:snapToGrid w:val="0"/>
        <w:spacing w:before="120"/>
        <w:jc w:val="left"/>
        <w:rPr>
          <w:rFonts w:ascii="宋体" w:hAnsi="宋体"/>
          <w:sz w:val="24"/>
          <w:highlight w:val="none"/>
        </w:rPr>
      </w:pPr>
      <w:bookmarkStart w:id="71" w:name="_Hlk77588362"/>
      <w:r>
        <w:rPr>
          <w:rFonts w:ascii="宋体" w:hAnsi="宋体"/>
          <w:sz w:val="24"/>
          <w:highlight w:val="none"/>
        </w:rPr>
        <w:t>1</w:t>
      </w:r>
      <w:r>
        <w:rPr>
          <w:rFonts w:hint="eastAsia" w:ascii="宋体" w:hAnsi="宋体"/>
          <w:sz w:val="24"/>
          <w:highlight w:val="none"/>
        </w:rPr>
        <w:t>1.商务及技术响应表格式：</w:t>
      </w:r>
      <w:bookmarkEnd w:id="71"/>
    </w:p>
    <w:p w14:paraId="6D76B0F1">
      <w:pPr>
        <w:snapToGrid w:val="0"/>
        <w:spacing w:before="120"/>
        <w:jc w:val="left"/>
        <w:rPr>
          <w:rFonts w:ascii="宋体" w:hAnsi="宋体"/>
          <w:sz w:val="24"/>
          <w:highlight w:val="none"/>
        </w:rPr>
      </w:pPr>
    </w:p>
    <w:p w14:paraId="06BCC7AD">
      <w:pPr>
        <w:snapToGrid w:val="0"/>
        <w:spacing w:before="120"/>
        <w:jc w:val="center"/>
        <w:rPr>
          <w:rFonts w:ascii="宋体" w:hAnsi="宋体"/>
          <w:b/>
          <w:sz w:val="24"/>
          <w:highlight w:val="none"/>
        </w:rPr>
      </w:pPr>
      <w:r>
        <w:rPr>
          <w:rFonts w:hint="eastAsia" w:ascii="宋体" w:hAnsi="宋体"/>
          <w:b/>
          <w:sz w:val="24"/>
          <w:highlight w:val="none"/>
        </w:rPr>
        <w:t>商务及技术响应表</w:t>
      </w:r>
    </w:p>
    <w:p w14:paraId="4299CA79">
      <w:pPr>
        <w:snapToGrid w:val="0"/>
        <w:spacing w:before="120" w:beforeLines="50" w:after="120" w:line="480" w:lineRule="auto"/>
        <w:rPr>
          <w:rFonts w:ascii="宋体" w:hAnsi="宋体"/>
          <w:sz w:val="24"/>
          <w:highlight w:val="none"/>
        </w:rPr>
      </w:pPr>
      <w:bookmarkStart w:id="78" w:name="_GoBack"/>
      <w:bookmarkEnd w:id="78"/>
      <w:r>
        <w:rPr>
          <w:rFonts w:hint="eastAsia" w:ascii="宋体" w:hAnsi="宋体"/>
          <w:bCs/>
          <w:sz w:val="24"/>
          <w:highlight w:val="none"/>
        </w:rPr>
        <w:t>项目名称：</w:t>
      </w:r>
    </w:p>
    <w:p w14:paraId="1ACB1DB8">
      <w:pPr>
        <w:snapToGrid w:val="0"/>
        <w:spacing w:before="120" w:beforeLines="50" w:after="120" w:line="480" w:lineRule="auto"/>
        <w:rPr>
          <w:rFonts w:ascii="宋体" w:hAnsi="宋体"/>
          <w:b/>
          <w:sz w:val="24"/>
          <w:highlight w:val="none"/>
        </w:rPr>
      </w:pPr>
      <w:r>
        <w:rPr>
          <w:rFonts w:hint="eastAsia" w:ascii="宋体" w:hAnsi="宋体"/>
          <w:sz w:val="24"/>
          <w:highlight w:val="none"/>
        </w:rPr>
        <w:t>项目编号：</w:t>
      </w:r>
    </w:p>
    <w:tbl>
      <w:tblPr>
        <w:tblStyle w:val="53"/>
        <w:tblW w:w="9477" w:type="dxa"/>
        <w:tblInd w:w="-3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2"/>
        <w:gridCol w:w="1756"/>
        <w:gridCol w:w="2220"/>
        <w:gridCol w:w="1320"/>
        <w:gridCol w:w="2175"/>
        <w:gridCol w:w="1304"/>
      </w:tblGrid>
      <w:tr w14:paraId="1C7AC7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702" w:type="dxa"/>
            <w:tcBorders>
              <w:top w:val="single" w:color="auto" w:sz="4" w:space="0"/>
              <w:left w:val="single" w:color="auto" w:sz="4" w:space="0"/>
              <w:bottom w:val="single" w:color="auto" w:sz="4" w:space="0"/>
              <w:right w:val="single" w:color="auto" w:sz="4" w:space="0"/>
            </w:tcBorders>
            <w:vAlign w:val="center"/>
          </w:tcPr>
          <w:p w14:paraId="18786526">
            <w:pPr>
              <w:snapToGrid w:val="0"/>
              <w:spacing w:before="120" w:beforeLines="50" w:line="360" w:lineRule="exact"/>
              <w:jc w:val="center"/>
              <w:rPr>
                <w:rFonts w:ascii="宋体" w:hAnsi="宋体"/>
                <w:b/>
                <w:sz w:val="24"/>
                <w:highlight w:val="none"/>
              </w:rPr>
            </w:pPr>
            <w:r>
              <w:rPr>
                <w:rFonts w:hint="eastAsia" w:ascii="宋体" w:hAnsi="宋体"/>
                <w:b/>
                <w:sz w:val="24"/>
                <w:highlight w:val="none"/>
              </w:rPr>
              <w:t>序号</w:t>
            </w:r>
          </w:p>
        </w:tc>
        <w:tc>
          <w:tcPr>
            <w:tcW w:w="1756" w:type="dxa"/>
            <w:tcBorders>
              <w:top w:val="single" w:color="auto" w:sz="4" w:space="0"/>
              <w:left w:val="single" w:color="auto" w:sz="4" w:space="0"/>
              <w:bottom w:val="single" w:color="auto" w:sz="4" w:space="0"/>
              <w:right w:val="single" w:color="auto" w:sz="4" w:space="0"/>
            </w:tcBorders>
            <w:vAlign w:val="center"/>
          </w:tcPr>
          <w:p w14:paraId="3EE5C4DD">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名称</w:t>
            </w:r>
          </w:p>
        </w:tc>
        <w:tc>
          <w:tcPr>
            <w:tcW w:w="2220" w:type="dxa"/>
            <w:tcBorders>
              <w:top w:val="single" w:color="auto" w:sz="4" w:space="0"/>
              <w:left w:val="single" w:color="auto" w:sz="4" w:space="0"/>
              <w:bottom w:val="single" w:color="auto" w:sz="4" w:space="0"/>
              <w:right w:val="single" w:color="auto" w:sz="4" w:space="0"/>
            </w:tcBorders>
            <w:vAlign w:val="center"/>
          </w:tcPr>
          <w:p w14:paraId="0721E180">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磋商文件要求</w:t>
            </w:r>
          </w:p>
        </w:tc>
        <w:tc>
          <w:tcPr>
            <w:tcW w:w="1320" w:type="dxa"/>
            <w:tcBorders>
              <w:top w:val="single" w:color="auto" w:sz="4" w:space="0"/>
              <w:left w:val="single" w:color="auto" w:sz="4" w:space="0"/>
              <w:bottom w:val="single" w:color="auto" w:sz="4" w:space="0"/>
              <w:right w:val="single" w:color="auto" w:sz="4" w:space="0"/>
            </w:tcBorders>
            <w:vAlign w:val="center"/>
          </w:tcPr>
          <w:p w14:paraId="50A28846">
            <w:pPr>
              <w:snapToGrid w:val="0"/>
              <w:spacing w:before="120" w:beforeLines="50" w:line="360" w:lineRule="exact"/>
              <w:jc w:val="center"/>
              <w:rPr>
                <w:rFonts w:ascii="宋体" w:hAnsi="宋体"/>
                <w:b/>
                <w:sz w:val="24"/>
                <w:highlight w:val="none"/>
              </w:rPr>
            </w:pPr>
            <w:r>
              <w:rPr>
                <w:rFonts w:hint="eastAsia" w:ascii="宋体" w:hAnsi="宋体"/>
                <w:b/>
                <w:sz w:val="24"/>
                <w:highlight w:val="none"/>
              </w:rPr>
              <w:t>是否</w:t>
            </w:r>
          </w:p>
          <w:p w14:paraId="2D873461">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响应</w:t>
            </w:r>
          </w:p>
        </w:tc>
        <w:tc>
          <w:tcPr>
            <w:tcW w:w="2175" w:type="dxa"/>
            <w:tcBorders>
              <w:top w:val="single" w:color="auto" w:sz="4" w:space="0"/>
              <w:left w:val="single" w:color="auto" w:sz="4" w:space="0"/>
              <w:bottom w:val="single" w:color="auto" w:sz="4" w:space="0"/>
              <w:right w:val="single" w:color="auto" w:sz="4" w:space="0"/>
            </w:tcBorders>
            <w:vAlign w:val="center"/>
          </w:tcPr>
          <w:p w14:paraId="359A13E4">
            <w:pPr>
              <w:snapToGrid w:val="0"/>
              <w:spacing w:before="120" w:beforeLines="50" w:line="360" w:lineRule="exact"/>
              <w:jc w:val="center"/>
              <w:rPr>
                <w:rFonts w:ascii="宋体" w:hAnsi="宋体"/>
                <w:b/>
                <w:sz w:val="24"/>
                <w:szCs w:val="20"/>
                <w:highlight w:val="none"/>
              </w:rPr>
            </w:pPr>
            <w:r>
              <w:rPr>
                <w:rFonts w:hint="eastAsia" w:ascii="宋体" w:hAnsi="宋体"/>
                <w:b/>
                <w:sz w:val="24"/>
                <w:highlight w:val="none"/>
              </w:rPr>
              <w:t>投标人的应标情况</w:t>
            </w:r>
          </w:p>
        </w:tc>
        <w:tc>
          <w:tcPr>
            <w:tcW w:w="1304" w:type="dxa"/>
            <w:tcBorders>
              <w:top w:val="single" w:color="auto" w:sz="4" w:space="0"/>
              <w:left w:val="single" w:color="auto" w:sz="4" w:space="0"/>
              <w:bottom w:val="single" w:color="auto" w:sz="4" w:space="0"/>
              <w:right w:val="single" w:color="auto" w:sz="4" w:space="0"/>
            </w:tcBorders>
            <w:vAlign w:val="center"/>
          </w:tcPr>
          <w:p w14:paraId="6EB14B33">
            <w:pPr>
              <w:snapToGrid w:val="0"/>
              <w:spacing w:before="120" w:beforeLines="50" w:line="360" w:lineRule="exact"/>
              <w:jc w:val="center"/>
              <w:rPr>
                <w:rFonts w:ascii="宋体" w:hAnsi="宋体"/>
                <w:b/>
                <w:sz w:val="24"/>
                <w:highlight w:val="none"/>
              </w:rPr>
            </w:pPr>
            <w:r>
              <w:rPr>
                <w:rFonts w:hint="eastAsia" w:ascii="宋体" w:hAnsi="宋体"/>
                <w:b/>
                <w:sz w:val="24"/>
                <w:highlight w:val="none"/>
              </w:rPr>
              <w:t>相应内容在响应文件中页码</w:t>
            </w:r>
          </w:p>
        </w:tc>
      </w:tr>
      <w:tr w14:paraId="5F38CF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2" w:hRule="atLeast"/>
        </w:trPr>
        <w:tc>
          <w:tcPr>
            <w:tcW w:w="702" w:type="dxa"/>
            <w:tcBorders>
              <w:top w:val="single" w:color="auto" w:sz="4" w:space="0"/>
              <w:left w:val="single" w:color="auto" w:sz="4" w:space="0"/>
              <w:bottom w:val="single" w:color="auto" w:sz="4" w:space="0"/>
              <w:right w:val="single" w:color="auto" w:sz="4" w:space="0"/>
            </w:tcBorders>
            <w:vAlign w:val="center"/>
          </w:tcPr>
          <w:p w14:paraId="2736A89D">
            <w:pPr>
              <w:snapToGrid w:val="0"/>
              <w:spacing w:before="120" w:beforeLines="50" w:line="360" w:lineRule="auto"/>
              <w:jc w:val="center"/>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1</w:t>
            </w:r>
          </w:p>
        </w:tc>
        <w:tc>
          <w:tcPr>
            <w:tcW w:w="1756" w:type="dxa"/>
            <w:tcBorders>
              <w:top w:val="single" w:color="auto" w:sz="4" w:space="0"/>
              <w:left w:val="single" w:color="auto" w:sz="4" w:space="0"/>
              <w:bottom w:val="single" w:color="auto" w:sz="4" w:space="0"/>
              <w:right w:val="single" w:color="auto" w:sz="4" w:space="0"/>
            </w:tcBorders>
            <w:vAlign w:val="center"/>
          </w:tcPr>
          <w:p w14:paraId="51A09677">
            <w:pPr>
              <w:snapToGrid w:val="0"/>
              <w:spacing w:before="120" w:beforeLines="50" w:line="360" w:lineRule="auto"/>
              <w:jc w:val="center"/>
              <w:rPr>
                <w:rFonts w:ascii="宋体" w:hAnsi="宋体"/>
                <w:sz w:val="24"/>
                <w:szCs w:val="20"/>
                <w:highlight w:val="none"/>
              </w:rPr>
            </w:pPr>
            <w:r>
              <w:rPr>
                <w:rFonts w:hint="eastAsia" w:ascii="宋体" w:hAnsi="宋体"/>
                <w:sz w:val="24"/>
                <w:szCs w:val="20"/>
                <w:highlight w:val="none"/>
              </w:rPr>
              <w:t>服务期</w:t>
            </w:r>
          </w:p>
        </w:tc>
        <w:tc>
          <w:tcPr>
            <w:tcW w:w="2220" w:type="dxa"/>
            <w:tcBorders>
              <w:top w:val="single" w:color="auto" w:sz="4" w:space="0"/>
              <w:left w:val="single" w:color="auto" w:sz="4" w:space="0"/>
              <w:bottom w:val="single" w:color="auto" w:sz="4" w:space="0"/>
              <w:right w:val="single" w:color="auto" w:sz="4" w:space="0"/>
            </w:tcBorders>
            <w:vAlign w:val="center"/>
          </w:tcPr>
          <w:p w14:paraId="242E27BA">
            <w:pPr>
              <w:snapToGrid w:val="0"/>
              <w:spacing w:before="120" w:beforeLines="50" w:line="360" w:lineRule="auto"/>
              <w:rPr>
                <w:rFonts w:ascii="宋体" w:hAnsi="宋体"/>
                <w:sz w:val="24"/>
                <w:szCs w:val="20"/>
                <w:highlight w:val="none"/>
              </w:rPr>
            </w:pPr>
          </w:p>
        </w:tc>
        <w:tc>
          <w:tcPr>
            <w:tcW w:w="1320" w:type="dxa"/>
            <w:tcBorders>
              <w:top w:val="single" w:color="auto" w:sz="4" w:space="0"/>
              <w:left w:val="single" w:color="auto" w:sz="4" w:space="0"/>
              <w:bottom w:val="single" w:color="auto" w:sz="4" w:space="0"/>
              <w:right w:val="single" w:color="auto" w:sz="4" w:space="0"/>
            </w:tcBorders>
            <w:vAlign w:val="center"/>
          </w:tcPr>
          <w:p w14:paraId="581D7F11">
            <w:pPr>
              <w:snapToGrid w:val="0"/>
              <w:spacing w:before="120" w:beforeLines="50" w:line="360" w:lineRule="auto"/>
              <w:rPr>
                <w:rFonts w:ascii="宋体" w:hAnsi="宋体"/>
                <w:sz w:val="24"/>
                <w:szCs w:val="20"/>
                <w:highlight w:val="none"/>
              </w:rPr>
            </w:pPr>
          </w:p>
        </w:tc>
        <w:tc>
          <w:tcPr>
            <w:tcW w:w="2175" w:type="dxa"/>
            <w:tcBorders>
              <w:top w:val="single" w:color="auto" w:sz="4" w:space="0"/>
              <w:left w:val="single" w:color="auto" w:sz="4" w:space="0"/>
              <w:bottom w:val="single" w:color="auto" w:sz="4" w:space="0"/>
              <w:right w:val="single" w:color="auto" w:sz="4" w:space="0"/>
            </w:tcBorders>
            <w:vAlign w:val="center"/>
          </w:tcPr>
          <w:p w14:paraId="7369C2C7">
            <w:pPr>
              <w:snapToGrid w:val="0"/>
              <w:spacing w:before="120" w:beforeLines="50" w:line="360" w:lineRule="auto"/>
              <w:rPr>
                <w:rFonts w:ascii="宋体" w:hAnsi="宋体"/>
                <w:sz w:val="24"/>
                <w:szCs w:val="20"/>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14:paraId="43A20474">
            <w:pPr>
              <w:snapToGrid w:val="0"/>
              <w:spacing w:before="120" w:beforeLines="50" w:line="360" w:lineRule="auto"/>
              <w:rPr>
                <w:rFonts w:ascii="宋体" w:hAnsi="宋体"/>
                <w:sz w:val="24"/>
                <w:szCs w:val="20"/>
                <w:highlight w:val="none"/>
              </w:rPr>
            </w:pPr>
          </w:p>
        </w:tc>
      </w:tr>
      <w:tr w14:paraId="602A10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702" w:type="dxa"/>
            <w:tcBorders>
              <w:top w:val="single" w:color="auto" w:sz="4" w:space="0"/>
              <w:left w:val="single" w:color="auto" w:sz="4" w:space="0"/>
              <w:bottom w:val="single" w:color="auto" w:sz="4" w:space="0"/>
              <w:right w:val="single" w:color="auto" w:sz="4" w:space="0"/>
            </w:tcBorders>
            <w:vAlign w:val="center"/>
          </w:tcPr>
          <w:p w14:paraId="03C1F4A8">
            <w:pPr>
              <w:snapToGrid w:val="0"/>
              <w:spacing w:before="120" w:beforeLines="50" w:line="360" w:lineRule="auto"/>
              <w:jc w:val="center"/>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2</w:t>
            </w:r>
          </w:p>
        </w:tc>
        <w:tc>
          <w:tcPr>
            <w:tcW w:w="1756" w:type="dxa"/>
            <w:tcBorders>
              <w:top w:val="single" w:color="auto" w:sz="4" w:space="0"/>
              <w:left w:val="single" w:color="auto" w:sz="4" w:space="0"/>
              <w:bottom w:val="single" w:color="auto" w:sz="4" w:space="0"/>
              <w:right w:val="single" w:color="auto" w:sz="4" w:space="0"/>
            </w:tcBorders>
            <w:vAlign w:val="center"/>
          </w:tcPr>
          <w:p w14:paraId="6A56FD51">
            <w:pPr>
              <w:snapToGrid w:val="0"/>
              <w:spacing w:before="120" w:beforeLines="50" w:line="360" w:lineRule="auto"/>
              <w:jc w:val="center"/>
              <w:rPr>
                <w:rFonts w:ascii="宋体" w:hAnsi="宋体"/>
                <w:sz w:val="24"/>
                <w:szCs w:val="20"/>
                <w:highlight w:val="none"/>
              </w:rPr>
            </w:pPr>
            <w:r>
              <w:rPr>
                <w:rFonts w:hint="eastAsia" w:ascii="宋体" w:hAnsi="宋体"/>
                <w:sz w:val="24"/>
                <w:szCs w:val="20"/>
                <w:highlight w:val="none"/>
              </w:rPr>
              <w:t>投标有效期</w:t>
            </w:r>
          </w:p>
        </w:tc>
        <w:tc>
          <w:tcPr>
            <w:tcW w:w="2220" w:type="dxa"/>
            <w:tcBorders>
              <w:top w:val="single" w:color="auto" w:sz="4" w:space="0"/>
              <w:left w:val="single" w:color="auto" w:sz="4" w:space="0"/>
              <w:bottom w:val="single" w:color="auto" w:sz="4" w:space="0"/>
              <w:right w:val="single" w:color="auto" w:sz="4" w:space="0"/>
            </w:tcBorders>
            <w:vAlign w:val="center"/>
          </w:tcPr>
          <w:p w14:paraId="14807BDE">
            <w:pPr>
              <w:snapToGrid w:val="0"/>
              <w:spacing w:before="120" w:beforeLines="50" w:line="360" w:lineRule="auto"/>
              <w:rPr>
                <w:rFonts w:ascii="宋体" w:hAnsi="宋体"/>
                <w:sz w:val="24"/>
                <w:szCs w:val="20"/>
                <w:highlight w:val="none"/>
              </w:rPr>
            </w:pPr>
          </w:p>
        </w:tc>
        <w:tc>
          <w:tcPr>
            <w:tcW w:w="1320" w:type="dxa"/>
            <w:tcBorders>
              <w:top w:val="single" w:color="auto" w:sz="4" w:space="0"/>
              <w:left w:val="single" w:color="auto" w:sz="4" w:space="0"/>
              <w:bottom w:val="single" w:color="auto" w:sz="4" w:space="0"/>
              <w:right w:val="single" w:color="auto" w:sz="4" w:space="0"/>
            </w:tcBorders>
            <w:vAlign w:val="center"/>
          </w:tcPr>
          <w:p w14:paraId="0B8665A9">
            <w:pPr>
              <w:snapToGrid w:val="0"/>
              <w:spacing w:before="120" w:beforeLines="50" w:line="360" w:lineRule="auto"/>
              <w:rPr>
                <w:rFonts w:ascii="宋体" w:hAnsi="宋体"/>
                <w:sz w:val="24"/>
                <w:szCs w:val="20"/>
                <w:highlight w:val="none"/>
              </w:rPr>
            </w:pPr>
          </w:p>
        </w:tc>
        <w:tc>
          <w:tcPr>
            <w:tcW w:w="2175" w:type="dxa"/>
            <w:tcBorders>
              <w:top w:val="single" w:color="auto" w:sz="4" w:space="0"/>
              <w:left w:val="single" w:color="auto" w:sz="4" w:space="0"/>
              <w:bottom w:val="single" w:color="auto" w:sz="4" w:space="0"/>
              <w:right w:val="single" w:color="auto" w:sz="4" w:space="0"/>
            </w:tcBorders>
            <w:vAlign w:val="center"/>
          </w:tcPr>
          <w:p w14:paraId="2830B7FF">
            <w:pPr>
              <w:snapToGrid w:val="0"/>
              <w:spacing w:before="120" w:beforeLines="50" w:line="360" w:lineRule="auto"/>
              <w:rPr>
                <w:rFonts w:ascii="宋体" w:hAnsi="宋体"/>
                <w:sz w:val="24"/>
                <w:szCs w:val="20"/>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14:paraId="70B91107">
            <w:pPr>
              <w:snapToGrid w:val="0"/>
              <w:spacing w:before="120" w:beforeLines="50" w:line="360" w:lineRule="auto"/>
              <w:rPr>
                <w:rFonts w:ascii="宋体" w:hAnsi="宋体"/>
                <w:sz w:val="24"/>
                <w:szCs w:val="20"/>
                <w:highlight w:val="none"/>
              </w:rPr>
            </w:pPr>
          </w:p>
        </w:tc>
      </w:tr>
      <w:tr w14:paraId="058A9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702" w:type="dxa"/>
            <w:tcBorders>
              <w:top w:val="single" w:color="auto" w:sz="4" w:space="0"/>
              <w:left w:val="single" w:color="auto" w:sz="4" w:space="0"/>
              <w:bottom w:val="single" w:color="auto" w:sz="4" w:space="0"/>
              <w:right w:val="single" w:color="auto" w:sz="4" w:space="0"/>
            </w:tcBorders>
            <w:vAlign w:val="center"/>
          </w:tcPr>
          <w:p w14:paraId="377982B8">
            <w:pPr>
              <w:snapToGrid w:val="0"/>
              <w:spacing w:before="120" w:beforeLines="50" w:line="360" w:lineRule="auto"/>
              <w:jc w:val="center"/>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3</w:t>
            </w:r>
          </w:p>
        </w:tc>
        <w:tc>
          <w:tcPr>
            <w:tcW w:w="1756" w:type="dxa"/>
            <w:tcBorders>
              <w:top w:val="single" w:color="auto" w:sz="4" w:space="0"/>
              <w:left w:val="single" w:color="auto" w:sz="4" w:space="0"/>
              <w:bottom w:val="single" w:color="auto" w:sz="4" w:space="0"/>
              <w:right w:val="single" w:color="auto" w:sz="4" w:space="0"/>
            </w:tcBorders>
            <w:vAlign w:val="center"/>
          </w:tcPr>
          <w:p w14:paraId="272D7B7C">
            <w:pPr>
              <w:snapToGrid w:val="0"/>
              <w:spacing w:before="120" w:beforeLines="50" w:line="360" w:lineRule="auto"/>
              <w:jc w:val="center"/>
              <w:rPr>
                <w:rFonts w:ascii="宋体" w:hAnsi="宋体"/>
                <w:sz w:val="24"/>
                <w:szCs w:val="20"/>
                <w:highlight w:val="none"/>
              </w:rPr>
            </w:pPr>
            <w:r>
              <w:rPr>
                <w:rFonts w:hint="eastAsia" w:ascii="宋体" w:hAnsi="宋体"/>
                <w:sz w:val="24"/>
                <w:szCs w:val="20"/>
                <w:highlight w:val="none"/>
              </w:rPr>
              <w:t>付款方式</w:t>
            </w:r>
          </w:p>
        </w:tc>
        <w:tc>
          <w:tcPr>
            <w:tcW w:w="2220" w:type="dxa"/>
            <w:tcBorders>
              <w:top w:val="single" w:color="auto" w:sz="4" w:space="0"/>
              <w:left w:val="single" w:color="auto" w:sz="4" w:space="0"/>
              <w:bottom w:val="single" w:color="auto" w:sz="4" w:space="0"/>
              <w:right w:val="single" w:color="auto" w:sz="4" w:space="0"/>
            </w:tcBorders>
            <w:vAlign w:val="center"/>
          </w:tcPr>
          <w:p w14:paraId="28423F85">
            <w:pPr>
              <w:snapToGrid w:val="0"/>
              <w:spacing w:before="120" w:beforeLines="50" w:line="360" w:lineRule="auto"/>
              <w:rPr>
                <w:rFonts w:ascii="宋体" w:hAnsi="宋体"/>
                <w:sz w:val="24"/>
                <w:szCs w:val="20"/>
                <w:highlight w:val="none"/>
              </w:rPr>
            </w:pPr>
          </w:p>
        </w:tc>
        <w:tc>
          <w:tcPr>
            <w:tcW w:w="1320" w:type="dxa"/>
            <w:tcBorders>
              <w:top w:val="single" w:color="auto" w:sz="4" w:space="0"/>
              <w:left w:val="single" w:color="auto" w:sz="4" w:space="0"/>
              <w:bottom w:val="single" w:color="auto" w:sz="4" w:space="0"/>
              <w:right w:val="single" w:color="auto" w:sz="4" w:space="0"/>
            </w:tcBorders>
            <w:vAlign w:val="center"/>
          </w:tcPr>
          <w:p w14:paraId="3DDDCE08">
            <w:pPr>
              <w:snapToGrid w:val="0"/>
              <w:spacing w:before="120" w:beforeLines="50" w:line="360" w:lineRule="auto"/>
              <w:ind w:left="86"/>
              <w:rPr>
                <w:rFonts w:ascii="宋体" w:hAnsi="宋体"/>
                <w:sz w:val="24"/>
                <w:szCs w:val="20"/>
                <w:highlight w:val="none"/>
              </w:rPr>
            </w:pPr>
          </w:p>
        </w:tc>
        <w:tc>
          <w:tcPr>
            <w:tcW w:w="2175" w:type="dxa"/>
            <w:tcBorders>
              <w:top w:val="single" w:color="auto" w:sz="4" w:space="0"/>
              <w:left w:val="single" w:color="auto" w:sz="4" w:space="0"/>
              <w:bottom w:val="single" w:color="auto" w:sz="4" w:space="0"/>
              <w:right w:val="single" w:color="auto" w:sz="4" w:space="0"/>
            </w:tcBorders>
            <w:vAlign w:val="center"/>
          </w:tcPr>
          <w:p w14:paraId="7278229B">
            <w:pPr>
              <w:snapToGrid w:val="0"/>
              <w:spacing w:before="120" w:beforeLines="50" w:line="360" w:lineRule="auto"/>
              <w:rPr>
                <w:rFonts w:ascii="宋体" w:hAnsi="宋体"/>
                <w:sz w:val="24"/>
                <w:szCs w:val="20"/>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14:paraId="15E86562">
            <w:pPr>
              <w:snapToGrid w:val="0"/>
              <w:spacing w:before="120" w:beforeLines="50" w:line="360" w:lineRule="auto"/>
              <w:ind w:left="86"/>
              <w:rPr>
                <w:rFonts w:ascii="宋体" w:hAnsi="宋体"/>
                <w:sz w:val="24"/>
                <w:szCs w:val="20"/>
                <w:highlight w:val="none"/>
              </w:rPr>
            </w:pPr>
          </w:p>
        </w:tc>
      </w:tr>
      <w:tr w14:paraId="00838D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8" w:hRule="atLeast"/>
        </w:trPr>
        <w:tc>
          <w:tcPr>
            <w:tcW w:w="702" w:type="dxa"/>
            <w:tcBorders>
              <w:top w:val="single" w:color="auto" w:sz="4" w:space="0"/>
              <w:left w:val="single" w:color="auto" w:sz="4" w:space="0"/>
              <w:bottom w:val="single" w:color="auto" w:sz="4" w:space="0"/>
              <w:right w:val="single" w:color="auto" w:sz="4" w:space="0"/>
            </w:tcBorders>
            <w:vAlign w:val="center"/>
          </w:tcPr>
          <w:p w14:paraId="4533679D">
            <w:pPr>
              <w:snapToGrid w:val="0"/>
              <w:spacing w:before="120" w:beforeLines="50" w:line="360" w:lineRule="auto"/>
              <w:jc w:val="center"/>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4</w:t>
            </w:r>
          </w:p>
        </w:tc>
        <w:tc>
          <w:tcPr>
            <w:tcW w:w="1756" w:type="dxa"/>
            <w:tcBorders>
              <w:top w:val="single" w:color="auto" w:sz="4" w:space="0"/>
              <w:left w:val="single" w:color="auto" w:sz="4" w:space="0"/>
              <w:bottom w:val="single" w:color="auto" w:sz="4" w:space="0"/>
              <w:right w:val="single" w:color="auto" w:sz="4" w:space="0"/>
            </w:tcBorders>
            <w:vAlign w:val="center"/>
          </w:tcPr>
          <w:p w14:paraId="70255D1B">
            <w:pPr>
              <w:snapToGrid w:val="0"/>
              <w:spacing w:before="120" w:beforeLines="50" w:line="360" w:lineRule="auto"/>
              <w:jc w:val="center"/>
              <w:rPr>
                <w:rFonts w:hint="eastAsia" w:ascii="宋体" w:hAnsi="宋体"/>
                <w:sz w:val="24"/>
                <w:szCs w:val="20"/>
                <w:highlight w:val="none"/>
                <w:lang w:val="en-US" w:eastAsia="zh-CN"/>
              </w:rPr>
            </w:pPr>
            <w:r>
              <w:rPr>
                <w:rFonts w:hint="eastAsia" w:ascii="宋体" w:hAnsi="宋体"/>
                <w:sz w:val="24"/>
                <w:szCs w:val="20"/>
                <w:highlight w:val="none"/>
                <w:lang w:val="en-US" w:eastAsia="zh-CN"/>
              </w:rPr>
              <w:t>根据</w:t>
            </w:r>
            <w:r>
              <w:rPr>
                <w:rFonts w:hint="eastAsia" w:ascii="宋体" w:hAnsi="宋体"/>
                <w:sz w:val="24"/>
                <w:szCs w:val="20"/>
                <w:highlight w:val="none"/>
              </w:rPr>
              <w:t>磋商文件第二章采购内容、需求及要求进行填写</w:t>
            </w:r>
          </w:p>
        </w:tc>
        <w:tc>
          <w:tcPr>
            <w:tcW w:w="2220" w:type="dxa"/>
            <w:tcBorders>
              <w:top w:val="single" w:color="auto" w:sz="4" w:space="0"/>
              <w:left w:val="single" w:color="auto" w:sz="4" w:space="0"/>
              <w:bottom w:val="single" w:color="auto" w:sz="4" w:space="0"/>
              <w:right w:val="single" w:color="auto" w:sz="4" w:space="0"/>
            </w:tcBorders>
            <w:vAlign w:val="center"/>
          </w:tcPr>
          <w:p w14:paraId="6E069CE4">
            <w:pPr>
              <w:snapToGrid w:val="0"/>
              <w:spacing w:before="120" w:beforeLines="50" w:line="360" w:lineRule="auto"/>
              <w:rPr>
                <w:rFonts w:hint="eastAsia" w:ascii="宋体" w:hAnsi="宋体"/>
                <w:sz w:val="24"/>
                <w:highlight w:val="none"/>
              </w:rPr>
            </w:pPr>
          </w:p>
        </w:tc>
        <w:tc>
          <w:tcPr>
            <w:tcW w:w="1320" w:type="dxa"/>
            <w:tcBorders>
              <w:top w:val="single" w:color="auto" w:sz="4" w:space="0"/>
              <w:left w:val="single" w:color="auto" w:sz="4" w:space="0"/>
              <w:bottom w:val="single" w:color="auto" w:sz="4" w:space="0"/>
              <w:right w:val="single" w:color="auto" w:sz="4" w:space="0"/>
            </w:tcBorders>
            <w:vAlign w:val="center"/>
          </w:tcPr>
          <w:p w14:paraId="3929DA64">
            <w:pPr>
              <w:snapToGrid w:val="0"/>
              <w:spacing w:before="120" w:beforeLines="50" w:line="360" w:lineRule="auto"/>
              <w:rPr>
                <w:rFonts w:ascii="宋体" w:hAnsi="宋体"/>
                <w:sz w:val="24"/>
                <w:szCs w:val="20"/>
                <w:highlight w:val="none"/>
              </w:rPr>
            </w:pPr>
          </w:p>
        </w:tc>
        <w:tc>
          <w:tcPr>
            <w:tcW w:w="2175" w:type="dxa"/>
            <w:tcBorders>
              <w:top w:val="single" w:color="auto" w:sz="4" w:space="0"/>
              <w:left w:val="single" w:color="auto" w:sz="4" w:space="0"/>
              <w:bottom w:val="single" w:color="auto" w:sz="4" w:space="0"/>
              <w:right w:val="single" w:color="auto" w:sz="4" w:space="0"/>
            </w:tcBorders>
            <w:vAlign w:val="center"/>
          </w:tcPr>
          <w:p w14:paraId="08AB4EB5">
            <w:pPr>
              <w:snapToGrid w:val="0"/>
              <w:spacing w:before="120" w:beforeLines="50" w:line="360" w:lineRule="auto"/>
              <w:rPr>
                <w:rFonts w:hint="eastAsia" w:ascii="宋体" w:hAnsi="宋体"/>
                <w:sz w:val="24"/>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14:paraId="4B527179">
            <w:pPr>
              <w:snapToGrid w:val="0"/>
              <w:spacing w:before="120" w:beforeLines="50" w:line="360" w:lineRule="auto"/>
              <w:rPr>
                <w:rFonts w:ascii="宋体" w:hAnsi="宋体"/>
                <w:sz w:val="24"/>
                <w:szCs w:val="20"/>
                <w:highlight w:val="none"/>
              </w:rPr>
            </w:pPr>
          </w:p>
        </w:tc>
      </w:tr>
      <w:tr w14:paraId="6C57F3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702" w:type="dxa"/>
            <w:tcBorders>
              <w:top w:val="single" w:color="auto" w:sz="4" w:space="0"/>
              <w:left w:val="single" w:color="auto" w:sz="4" w:space="0"/>
              <w:bottom w:val="single" w:color="auto" w:sz="4" w:space="0"/>
              <w:right w:val="single" w:color="auto" w:sz="4" w:space="0"/>
            </w:tcBorders>
            <w:vAlign w:val="center"/>
          </w:tcPr>
          <w:p w14:paraId="18EBEBA3">
            <w:pPr>
              <w:snapToGrid w:val="0"/>
              <w:spacing w:before="120" w:beforeLines="50" w:line="360" w:lineRule="auto"/>
              <w:jc w:val="center"/>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5</w:t>
            </w:r>
          </w:p>
        </w:tc>
        <w:tc>
          <w:tcPr>
            <w:tcW w:w="1756" w:type="dxa"/>
            <w:tcBorders>
              <w:top w:val="single" w:color="auto" w:sz="4" w:space="0"/>
              <w:left w:val="single" w:color="auto" w:sz="4" w:space="0"/>
              <w:bottom w:val="single" w:color="auto" w:sz="4" w:space="0"/>
              <w:right w:val="single" w:color="auto" w:sz="4" w:space="0"/>
            </w:tcBorders>
            <w:vAlign w:val="center"/>
          </w:tcPr>
          <w:p w14:paraId="38673E7C">
            <w:pPr>
              <w:snapToGrid w:val="0"/>
              <w:spacing w:before="120" w:beforeLines="50"/>
              <w:jc w:val="center"/>
              <w:rPr>
                <w:rFonts w:ascii="宋体" w:hAnsi="宋体"/>
                <w:sz w:val="24"/>
                <w:szCs w:val="20"/>
                <w:highlight w:val="none"/>
              </w:rPr>
            </w:pPr>
            <w:r>
              <w:rPr>
                <w:rFonts w:hint="eastAsia" w:ascii="宋体" w:hAnsi="宋体"/>
                <w:sz w:val="24"/>
                <w:szCs w:val="20"/>
                <w:highlight w:val="none"/>
                <w:lang w:val="en-US" w:eastAsia="zh-CN"/>
              </w:rPr>
              <w:t>……</w:t>
            </w:r>
          </w:p>
        </w:tc>
        <w:tc>
          <w:tcPr>
            <w:tcW w:w="2220" w:type="dxa"/>
            <w:tcBorders>
              <w:top w:val="single" w:color="auto" w:sz="4" w:space="0"/>
              <w:left w:val="single" w:color="auto" w:sz="4" w:space="0"/>
              <w:bottom w:val="single" w:color="auto" w:sz="4" w:space="0"/>
              <w:right w:val="single" w:color="auto" w:sz="4" w:space="0"/>
            </w:tcBorders>
            <w:vAlign w:val="center"/>
          </w:tcPr>
          <w:p w14:paraId="21203E00">
            <w:pPr>
              <w:snapToGrid w:val="0"/>
              <w:spacing w:before="120" w:beforeLines="50" w:line="360" w:lineRule="auto"/>
              <w:rPr>
                <w:rFonts w:ascii="宋体" w:hAnsi="宋体"/>
                <w:sz w:val="24"/>
                <w:szCs w:val="20"/>
                <w:highlight w:val="none"/>
              </w:rPr>
            </w:pPr>
          </w:p>
        </w:tc>
        <w:tc>
          <w:tcPr>
            <w:tcW w:w="1320" w:type="dxa"/>
            <w:tcBorders>
              <w:top w:val="single" w:color="auto" w:sz="4" w:space="0"/>
              <w:left w:val="single" w:color="auto" w:sz="4" w:space="0"/>
              <w:bottom w:val="single" w:color="auto" w:sz="4" w:space="0"/>
              <w:right w:val="single" w:color="auto" w:sz="4" w:space="0"/>
            </w:tcBorders>
            <w:vAlign w:val="center"/>
          </w:tcPr>
          <w:p w14:paraId="4E6F177F">
            <w:pPr>
              <w:snapToGrid w:val="0"/>
              <w:spacing w:before="120" w:beforeLines="50" w:line="360" w:lineRule="auto"/>
              <w:rPr>
                <w:rFonts w:ascii="宋体" w:hAnsi="宋体"/>
                <w:sz w:val="24"/>
                <w:szCs w:val="20"/>
                <w:highlight w:val="none"/>
              </w:rPr>
            </w:pPr>
          </w:p>
        </w:tc>
        <w:tc>
          <w:tcPr>
            <w:tcW w:w="2175" w:type="dxa"/>
            <w:tcBorders>
              <w:top w:val="single" w:color="auto" w:sz="4" w:space="0"/>
              <w:left w:val="single" w:color="auto" w:sz="4" w:space="0"/>
              <w:bottom w:val="single" w:color="auto" w:sz="4" w:space="0"/>
              <w:right w:val="single" w:color="auto" w:sz="4" w:space="0"/>
            </w:tcBorders>
            <w:vAlign w:val="center"/>
          </w:tcPr>
          <w:p w14:paraId="10952008">
            <w:pPr>
              <w:snapToGrid w:val="0"/>
              <w:spacing w:before="120" w:beforeLines="50" w:line="360" w:lineRule="auto"/>
              <w:rPr>
                <w:rFonts w:ascii="宋体" w:hAnsi="宋体"/>
                <w:sz w:val="24"/>
                <w:szCs w:val="20"/>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14:paraId="3C31ED51">
            <w:pPr>
              <w:snapToGrid w:val="0"/>
              <w:spacing w:before="120" w:beforeLines="50" w:line="360" w:lineRule="auto"/>
              <w:rPr>
                <w:rFonts w:ascii="宋体" w:hAnsi="宋体"/>
                <w:sz w:val="24"/>
                <w:szCs w:val="20"/>
                <w:highlight w:val="none"/>
              </w:rPr>
            </w:pPr>
          </w:p>
        </w:tc>
      </w:tr>
      <w:tr w14:paraId="2F9529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8" w:hRule="atLeast"/>
        </w:trPr>
        <w:tc>
          <w:tcPr>
            <w:tcW w:w="702" w:type="dxa"/>
            <w:tcBorders>
              <w:top w:val="single" w:color="auto" w:sz="4" w:space="0"/>
              <w:left w:val="single" w:color="auto" w:sz="4" w:space="0"/>
              <w:bottom w:val="single" w:color="auto" w:sz="4" w:space="0"/>
              <w:right w:val="single" w:color="auto" w:sz="4" w:space="0"/>
            </w:tcBorders>
            <w:vAlign w:val="center"/>
          </w:tcPr>
          <w:p w14:paraId="1DFC76AF">
            <w:pPr>
              <w:snapToGrid w:val="0"/>
              <w:spacing w:before="120" w:beforeLines="50" w:line="360" w:lineRule="auto"/>
              <w:jc w:val="center"/>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6</w:t>
            </w:r>
          </w:p>
        </w:tc>
        <w:tc>
          <w:tcPr>
            <w:tcW w:w="1756" w:type="dxa"/>
            <w:tcBorders>
              <w:top w:val="single" w:color="auto" w:sz="4" w:space="0"/>
              <w:left w:val="single" w:color="auto" w:sz="4" w:space="0"/>
              <w:bottom w:val="single" w:color="auto" w:sz="4" w:space="0"/>
              <w:right w:val="single" w:color="auto" w:sz="4" w:space="0"/>
            </w:tcBorders>
            <w:vAlign w:val="center"/>
          </w:tcPr>
          <w:p w14:paraId="10B79ED9">
            <w:pPr>
              <w:snapToGrid w:val="0"/>
              <w:spacing w:before="120" w:beforeLines="50" w:line="360" w:lineRule="auto"/>
              <w:rPr>
                <w:rFonts w:ascii="宋体" w:hAnsi="宋体"/>
                <w:sz w:val="24"/>
                <w:szCs w:val="20"/>
                <w:highlight w:val="none"/>
              </w:rPr>
            </w:pPr>
            <w:r>
              <w:rPr>
                <w:rFonts w:hint="eastAsia" w:ascii="宋体" w:hAnsi="宋体"/>
                <w:sz w:val="24"/>
                <w:szCs w:val="20"/>
                <w:highlight w:val="none"/>
              </w:rPr>
              <w:t>请勿遗漏磋商文件中打▲要求</w:t>
            </w:r>
          </w:p>
        </w:tc>
        <w:tc>
          <w:tcPr>
            <w:tcW w:w="2220" w:type="dxa"/>
            <w:tcBorders>
              <w:top w:val="single" w:color="auto" w:sz="4" w:space="0"/>
              <w:left w:val="single" w:color="auto" w:sz="4" w:space="0"/>
              <w:bottom w:val="single" w:color="auto" w:sz="4" w:space="0"/>
              <w:right w:val="single" w:color="auto" w:sz="4" w:space="0"/>
            </w:tcBorders>
            <w:vAlign w:val="center"/>
          </w:tcPr>
          <w:p w14:paraId="0778D358">
            <w:pPr>
              <w:snapToGrid w:val="0"/>
              <w:spacing w:before="120" w:beforeLines="50" w:line="360" w:lineRule="auto"/>
              <w:rPr>
                <w:rFonts w:ascii="宋体" w:hAnsi="宋体"/>
                <w:sz w:val="24"/>
                <w:szCs w:val="20"/>
                <w:highlight w:val="none"/>
              </w:rPr>
            </w:pPr>
          </w:p>
        </w:tc>
        <w:tc>
          <w:tcPr>
            <w:tcW w:w="1320" w:type="dxa"/>
            <w:tcBorders>
              <w:top w:val="single" w:color="auto" w:sz="4" w:space="0"/>
              <w:left w:val="single" w:color="auto" w:sz="4" w:space="0"/>
              <w:bottom w:val="single" w:color="auto" w:sz="4" w:space="0"/>
              <w:right w:val="single" w:color="auto" w:sz="4" w:space="0"/>
            </w:tcBorders>
            <w:vAlign w:val="center"/>
          </w:tcPr>
          <w:p w14:paraId="0A9E13D3">
            <w:pPr>
              <w:snapToGrid w:val="0"/>
              <w:spacing w:before="120" w:beforeLines="50" w:line="360" w:lineRule="auto"/>
              <w:rPr>
                <w:rFonts w:ascii="宋体" w:hAnsi="宋体"/>
                <w:sz w:val="24"/>
                <w:szCs w:val="20"/>
                <w:highlight w:val="none"/>
              </w:rPr>
            </w:pPr>
          </w:p>
        </w:tc>
        <w:tc>
          <w:tcPr>
            <w:tcW w:w="2175" w:type="dxa"/>
            <w:tcBorders>
              <w:top w:val="single" w:color="auto" w:sz="4" w:space="0"/>
              <w:left w:val="single" w:color="auto" w:sz="4" w:space="0"/>
              <w:bottom w:val="single" w:color="auto" w:sz="4" w:space="0"/>
              <w:right w:val="single" w:color="auto" w:sz="4" w:space="0"/>
            </w:tcBorders>
            <w:vAlign w:val="center"/>
          </w:tcPr>
          <w:p w14:paraId="6BD697F4">
            <w:pPr>
              <w:snapToGrid w:val="0"/>
              <w:spacing w:before="120" w:beforeLines="50" w:line="360" w:lineRule="auto"/>
              <w:rPr>
                <w:rFonts w:ascii="宋体" w:hAnsi="宋体"/>
                <w:sz w:val="24"/>
                <w:szCs w:val="20"/>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14:paraId="40066CF5">
            <w:pPr>
              <w:snapToGrid w:val="0"/>
              <w:spacing w:before="120" w:beforeLines="50" w:line="360" w:lineRule="auto"/>
              <w:rPr>
                <w:rFonts w:ascii="宋体" w:hAnsi="宋体"/>
                <w:sz w:val="24"/>
                <w:szCs w:val="20"/>
                <w:highlight w:val="none"/>
              </w:rPr>
            </w:pPr>
          </w:p>
        </w:tc>
      </w:tr>
      <w:tr w14:paraId="37F74F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702" w:type="dxa"/>
            <w:tcBorders>
              <w:top w:val="single" w:color="auto" w:sz="4" w:space="0"/>
              <w:left w:val="single" w:color="auto" w:sz="4" w:space="0"/>
              <w:bottom w:val="single" w:color="auto" w:sz="4" w:space="0"/>
              <w:right w:val="single" w:color="auto" w:sz="4" w:space="0"/>
            </w:tcBorders>
            <w:vAlign w:val="center"/>
          </w:tcPr>
          <w:p w14:paraId="36822744">
            <w:pPr>
              <w:snapToGrid w:val="0"/>
              <w:spacing w:before="120" w:beforeLines="50" w:line="360" w:lineRule="auto"/>
              <w:jc w:val="center"/>
              <w:rPr>
                <w:rFonts w:hint="eastAsia" w:ascii="宋体" w:hAnsi="宋体" w:eastAsia="宋体"/>
                <w:sz w:val="24"/>
                <w:szCs w:val="20"/>
                <w:highlight w:val="none"/>
                <w:lang w:val="en-US" w:eastAsia="zh-CN"/>
              </w:rPr>
            </w:pPr>
            <w:r>
              <w:rPr>
                <w:rFonts w:hint="eastAsia" w:ascii="宋体" w:hAnsi="宋体"/>
                <w:sz w:val="24"/>
                <w:szCs w:val="20"/>
                <w:highlight w:val="none"/>
                <w:lang w:val="en-US" w:eastAsia="zh-CN"/>
              </w:rPr>
              <w:t>7</w:t>
            </w:r>
          </w:p>
        </w:tc>
        <w:tc>
          <w:tcPr>
            <w:tcW w:w="1756" w:type="dxa"/>
            <w:tcBorders>
              <w:top w:val="single" w:color="auto" w:sz="4" w:space="0"/>
              <w:left w:val="single" w:color="auto" w:sz="4" w:space="0"/>
              <w:bottom w:val="single" w:color="auto" w:sz="4" w:space="0"/>
              <w:right w:val="single" w:color="auto" w:sz="4" w:space="0"/>
            </w:tcBorders>
            <w:vAlign w:val="center"/>
          </w:tcPr>
          <w:p w14:paraId="59D3550A">
            <w:pPr>
              <w:snapToGrid w:val="0"/>
              <w:spacing w:before="120" w:beforeLines="50" w:line="360" w:lineRule="auto"/>
              <w:rPr>
                <w:rFonts w:hint="default" w:ascii="宋体" w:hAnsi="宋体" w:eastAsia="宋体"/>
                <w:sz w:val="24"/>
                <w:szCs w:val="20"/>
                <w:highlight w:val="none"/>
                <w:lang w:val="en-US" w:eastAsia="zh-CN"/>
              </w:rPr>
            </w:pPr>
          </w:p>
        </w:tc>
        <w:tc>
          <w:tcPr>
            <w:tcW w:w="2220" w:type="dxa"/>
            <w:tcBorders>
              <w:top w:val="single" w:color="auto" w:sz="4" w:space="0"/>
              <w:left w:val="single" w:color="auto" w:sz="4" w:space="0"/>
              <w:bottom w:val="single" w:color="auto" w:sz="4" w:space="0"/>
              <w:right w:val="single" w:color="auto" w:sz="4" w:space="0"/>
            </w:tcBorders>
            <w:vAlign w:val="center"/>
          </w:tcPr>
          <w:p w14:paraId="743F1B67">
            <w:pPr>
              <w:snapToGrid w:val="0"/>
              <w:spacing w:before="120" w:beforeLines="50" w:line="360" w:lineRule="auto"/>
              <w:rPr>
                <w:rFonts w:ascii="宋体" w:hAnsi="宋体"/>
                <w:sz w:val="24"/>
                <w:szCs w:val="20"/>
                <w:highlight w:val="none"/>
              </w:rPr>
            </w:pPr>
          </w:p>
        </w:tc>
        <w:tc>
          <w:tcPr>
            <w:tcW w:w="1320" w:type="dxa"/>
            <w:tcBorders>
              <w:top w:val="single" w:color="auto" w:sz="4" w:space="0"/>
              <w:left w:val="single" w:color="auto" w:sz="4" w:space="0"/>
              <w:bottom w:val="single" w:color="auto" w:sz="4" w:space="0"/>
              <w:right w:val="single" w:color="auto" w:sz="4" w:space="0"/>
            </w:tcBorders>
            <w:vAlign w:val="center"/>
          </w:tcPr>
          <w:p w14:paraId="2FEE5CED">
            <w:pPr>
              <w:snapToGrid w:val="0"/>
              <w:spacing w:before="120" w:beforeLines="50" w:line="360" w:lineRule="auto"/>
              <w:rPr>
                <w:rFonts w:ascii="宋体" w:hAnsi="宋体"/>
                <w:sz w:val="24"/>
                <w:szCs w:val="20"/>
                <w:highlight w:val="none"/>
              </w:rPr>
            </w:pPr>
          </w:p>
        </w:tc>
        <w:tc>
          <w:tcPr>
            <w:tcW w:w="2175" w:type="dxa"/>
            <w:tcBorders>
              <w:top w:val="single" w:color="auto" w:sz="4" w:space="0"/>
              <w:left w:val="single" w:color="auto" w:sz="4" w:space="0"/>
              <w:bottom w:val="single" w:color="auto" w:sz="4" w:space="0"/>
              <w:right w:val="single" w:color="auto" w:sz="4" w:space="0"/>
            </w:tcBorders>
            <w:vAlign w:val="center"/>
          </w:tcPr>
          <w:p w14:paraId="3AEB4521">
            <w:pPr>
              <w:snapToGrid w:val="0"/>
              <w:spacing w:before="120" w:beforeLines="50" w:line="360" w:lineRule="auto"/>
              <w:rPr>
                <w:rFonts w:ascii="宋体" w:hAnsi="宋体"/>
                <w:sz w:val="24"/>
                <w:szCs w:val="20"/>
                <w:highlight w:val="none"/>
              </w:rPr>
            </w:pPr>
          </w:p>
        </w:tc>
        <w:tc>
          <w:tcPr>
            <w:tcW w:w="1304" w:type="dxa"/>
            <w:tcBorders>
              <w:top w:val="single" w:color="auto" w:sz="4" w:space="0"/>
              <w:left w:val="single" w:color="auto" w:sz="4" w:space="0"/>
              <w:bottom w:val="single" w:color="auto" w:sz="4" w:space="0"/>
              <w:right w:val="single" w:color="auto" w:sz="4" w:space="0"/>
            </w:tcBorders>
            <w:vAlign w:val="center"/>
          </w:tcPr>
          <w:p w14:paraId="7BBF0C38">
            <w:pPr>
              <w:snapToGrid w:val="0"/>
              <w:spacing w:before="120" w:beforeLines="50" w:line="360" w:lineRule="auto"/>
              <w:rPr>
                <w:rFonts w:ascii="宋体" w:hAnsi="宋体"/>
                <w:sz w:val="24"/>
                <w:szCs w:val="20"/>
                <w:highlight w:val="none"/>
              </w:rPr>
            </w:pPr>
          </w:p>
        </w:tc>
      </w:tr>
    </w:tbl>
    <w:p w14:paraId="04B2F864">
      <w:pPr>
        <w:snapToGrid w:val="0"/>
        <w:spacing w:line="400" w:lineRule="exact"/>
        <w:rPr>
          <w:rFonts w:ascii="宋体" w:hAnsi="宋体"/>
          <w:b/>
          <w:szCs w:val="21"/>
          <w:highlight w:val="none"/>
          <w:u w:val="single"/>
          <w:shd w:val="pct10" w:color="auto" w:fill="FFFFFF"/>
        </w:rPr>
      </w:pPr>
      <w:r>
        <w:rPr>
          <w:rFonts w:hint="eastAsia" w:ascii="宋体" w:hAnsi="宋体"/>
          <w:b/>
          <w:szCs w:val="21"/>
          <w:highlight w:val="none"/>
          <w:u w:val="single"/>
          <w:shd w:val="pct10" w:color="auto" w:fill="FFFFFF"/>
        </w:rPr>
        <w:t>特别说明：</w:t>
      </w:r>
    </w:p>
    <w:p w14:paraId="0F1D2228">
      <w:pPr>
        <w:snapToGrid w:val="0"/>
        <w:spacing w:line="400" w:lineRule="exact"/>
        <w:rPr>
          <w:rFonts w:ascii="宋体" w:hAnsi="宋体"/>
          <w:b/>
          <w:szCs w:val="21"/>
          <w:highlight w:val="none"/>
          <w:u w:val="single"/>
          <w:shd w:val="pct10" w:color="auto" w:fill="FFFFFF"/>
        </w:rPr>
      </w:pPr>
      <w:r>
        <w:rPr>
          <w:rFonts w:hint="eastAsia" w:ascii="宋体" w:hAnsi="宋体"/>
          <w:b/>
          <w:szCs w:val="21"/>
          <w:highlight w:val="none"/>
          <w:u w:val="single"/>
          <w:shd w:val="pct10" w:color="auto" w:fill="FFFFFF"/>
        </w:rPr>
        <w:t>1、投标人应在此表中将磋商文件中列明</w:t>
      </w:r>
      <w:bookmarkStart w:id="72" w:name="_Hlk535995896"/>
      <w:r>
        <w:rPr>
          <w:rFonts w:hint="eastAsia" w:ascii="宋体" w:hAnsi="宋体"/>
          <w:b/>
          <w:szCs w:val="21"/>
          <w:highlight w:val="none"/>
          <w:u w:val="single"/>
          <w:shd w:val="pct10" w:color="auto" w:fill="FFFFFF"/>
        </w:rPr>
        <w:t>的商务要求和技术参数要求的正偏离或负偏离的应标内容详细写明，</w:t>
      </w:r>
      <w:bookmarkEnd w:id="72"/>
      <w:r>
        <w:rPr>
          <w:rFonts w:hint="eastAsia" w:ascii="宋体" w:hAnsi="宋体"/>
          <w:b/>
          <w:szCs w:val="21"/>
          <w:highlight w:val="none"/>
          <w:u w:val="single"/>
          <w:shd w:val="pct10" w:color="auto" w:fill="FFFFFF"/>
        </w:rPr>
        <w:t>特别是勿遗漏磋商文件中打▲的商务和技术要求的应标内容。</w:t>
      </w:r>
      <w:r>
        <w:rPr>
          <w:rFonts w:hint="eastAsia" w:hAnsi="宋体"/>
          <w:b/>
          <w:szCs w:val="21"/>
          <w:highlight w:val="none"/>
          <w:u w:val="single"/>
          <w:shd w:val="pct10" w:color="auto" w:fill="FFFFFF"/>
        </w:rPr>
        <w:t>如果投标人在本响应表中缺失部分磋商文件中</w:t>
      </w:r>
      <w:r>
        <w:rPr>
          <w:rFonts w:hint="eastAsia" w:ascii="宋体" w:hAnsi="宋体"/>
          <w:b/>
          <w:szCs w:val="21"/>
          <w:highlight w:val="none"/>
          <w:u w:val="single"/>
          <w:shd w:val="pct10" w:color="auto" w:fill="FFFFFF"/>
        </w:rPr>
        <w:t>打▲</w:t>
      </w:r>
      <w:r>
        <w:rPr>
          <w:rFonts w:hint="eastAsia" w:hAnsi="宋体"/>
          <w:b/>
          <w:szCs w:val="21"/>
          <w:highlight w:val="none"/>
          <w:u w:val="single"/>
          <w:shd w:val="pct10" w:color="auto" w:fill="FFFFFF"/>
        </w:rPr>
        <w:t>的</w:t>
      </w:r>
      <w:r>
        <w:rPr>
          <w:rFonts w:hint="eastAsia" w:ascii="宋体" w:hAnsi="宋体"/>
          <w:b/>
          <w:szCs w:val="21"/>
          <w:highlight w:val="none"/>
          <w:u w:val="single"/>
          <w:shd w:val="pct10" w:color="auto" w:fill="FFFFFF"/>
        </w:rPr>
        <w:t>商务和技术</w:t>
      </w:r>
      <w:r>
        <w:rPr>
          <w:rFonts w:hint="eastAsia" w:hAnsi="宋体"/>
          <w:b/>
          <w:szCs w:val="21"/>
          <w:highlight w:val="none"/>
          <w:u w:val="single"/>
          <w:shd w:val="pct10" w:color="auto" w:fill="FFFFFF"/>
        </w:rPr>
        <w:t>要求的应标内容，同时在评标委员会对其进行询标时，投标人未能在规定时间内提供出其响应文件中有该项响应内容，其响应文件将会被判定为无效。</w:t>
      </w:r>
    </w:p>
    <w:p w14:paraId="062328D0">
      <w:pPr>
        <w:pStyle w:val="31"/>
        <w:snapToGrid w:val="0"/>
        <w:spacing w:beforeLines="0" w:afterLines="0" w:line="240" w:lineRule="auto"/>
        <w:rPr>
          <w:rFonts w:hAnsi="宋体"/>
          <w:spacing w:val="20"/>
          <w:highlight w:val="none"/>
        </w:rPr>
      </w:pPr>
    </w:p>
    <w:p w14:paraId="309ABEF5">
      <w:pPr>
        <w:pStyle w:val="31"/>
        <w:snapToGrid w:val="0"/>
        <w:spacing w:beforeLines="0" w:afterLines="0" w:line="240" w:lineRule="auto"/>
        <w:rPr>
          <w:rFonts w:hAnsi="宋体"/>
          <w:b/>
          <w:highlight w:val="none"/>
        </w:rPr>
      </w:pPr>
      <w:r>
        <w:rPr>
          <w:rFonts w:hint="eastAsia" w:hAnsi="宋体"/>
          <w:b/>
          <w:spacing w:val="20"/>
          <w:highlight w:val="none"/>
        </w:rPr>
        <w:t>法定代表人或其授权人（签字或盖章）：          投标人（盖章）：</w:t>
      </w:r>
    </w:p>
    <w:p w14:paraId="3569B7B7">
      <w:pPr>
        <w:widowControl/>
        <w:jc w:val="left"/>
        <w:rPr>
          <w:rFonts w:ascii="宋体" w:hAnsi="宋体"/>
          <w:b/>
          <w:sz w:val="24"/>
          <w:highlight w:val="none"/>
        </w:rPr>
      </w:pPr>
    </w:p>
    <w:p w14:paraId="26D7D8B3">
      <w:pPr>
        <w:snapToGrid w:val="0"/>
        <w:spacing w:before="120" w:after="120" w:afterLines="50"/>
        <w:jc w:val="left"/>
        <w:rPr>
          <w:rFonts w:ascii="宋体" w:hAnsi="宋体"/>
          <w:b/>
          <w:bCs/>
          <w:sz w:val="24"/>
          <w:highlight w:val="none"/>
        </w:rPr>
      </w:pPr>
      <w:r>
        <w:rPr>
          <w:rFonts w:hint="eastAsia" w:ascii="宋体" w:hAnsi="宋体"/>
          <w:b/>
          <w:kern w:val="0"/>
          <w:sz w:val="24"/>
          <w:highlight w:val="none"/>
        </w:rPr>
        <w:t>日期：  _____年___月___日</w:t>
      </w:r>
      <w:r>
        <w:rPr>
          <w:rFonts w:ascii="宋体" w:hAnsi="宋体"/>
          <w:sz w:val="24"/>
          <w:highlight w:val="none"/>
        </w:rPr>
        <w:br w:type="page"/>
      </w:r>
      <w:bookmarkStart w:id="73" w:name="_Toc265669851"/>
    </w:p>
    <w:p w14:paraId="785C75D1">
      <w:pPr>
        <w:widowControl/>
        <w:jc w:val="left"/>
        <w:rPr>
          <w:rFonts w:ascii="宋体" w:hAnsi="宋体"/>
          <w:b/>
          <w:sz w:val="24"/>
          <w:highlight w:val="none"/>
        </w:rPr>
      </w:pPr>
    </w:p>
    <w:p w14:paraId="2000B5B6">
      <w:pPr>
        <w:snapToGrid w:val="0"/>
        <w:spacing w:before="120" w:after="120" w:afterLines="50"/>
        <w:jc w:val="center"/>
        <w:outlineLvl w:val="1"/>
        <w:rPr>
          <w:rFonts w:ascii="宋体" w:hAnsi="宋体"/>
          <w:b/>
          <w:sz w:val="30"/>
          <w:szCs w:val="30"/>
          <w:highlight w:val="none"/>
        </w:rPr>
      </w:pPr>
      <w:bookmarkStart w:id="74" w:name="_Toc20937"/>
      <w:bookmarkStart w:id="75" w:name="_Toc31347"/>
      <w:r>
        <w:rPr>
          <w:rFonts w:hint="eastAsia" w:ascii="宋体" w:hAnsi="宋体"/>
          <w:b/>
          <w:sz w:val="30"/>
          <w:szCs w:val="30"/>
          <w:highlight w:val="none"/>
        </w:rPr>
        <w:t>三、报价文件格式</w:t>
      </w:r>
      <w:bookmarkEnd w:id="73"/>
      <w:bookmarkEnd w:id="74"/>
      <w:bookmarkEnd w:id="75"/>
    </w:p>
    <w:p w14:paraId="083E47DF">
      <w:pPr>
        <w:snapToGrid w:val="0"/>
        <w:spacing w:before="120" w:beforeLines="50" w:after="120"/>
        <w:ind w:firstLine="645"/>
        <w:jc w:val="center"/>
        <w:rPr>
          <w:rFonts w:ascii="宋体" w:hAnsi="宋体"/>
          <w:sz w:val="24"/>
          <w:szCs w:val="20"/>
          <w:highlight w:val="none"/>
        </w:rPr>
      </w:pPr>
      <w:r>
        <w:rPr>
          <w:rFonts w:ascii="宋体" w:hAnsi="宋体"/>
          <w:bCs/>
          <w:sz w:val="24"/>
          <w:highlight w:val="none"/>
        </w:rPr>
        <w:t xml:space="preserve"> </w:t>
      </w:r>
    </w:p>
    <w:p w14:paraId="710181EA">
      <w:pPr>
        <w:snapToGrid w:val="0"/>
        <w:spacing w:before="120" w:beforeLines="50" w:after="120"/>
        <w:rPr>
          <w:rFonts w:ascii="宋体" w:hAnsi="宋体"/>
          <w:sz w:val="24"/>
          <w:szCs w:val="20"/>
          <w:highlight w:val="none"/>
        </w:rPr>
      </w:pPr>
    </w:p>
    <w:p w14:paraId="7F102CFF">
      <w:pPr>
        <w:snapToGrid w:val="0"/>
        <w:spacing w:before="120" w:beforeLines="50" w:after="120"/>
        <w:rPr>
          <w:rFonts w:ascii="宋体" w:hAnsi="宋体"/>
          <w:sz w:val="24"/>
          <w:szCs w:val="20"/>
          <w:highlight w:val="none"/>
        </w:rPr>
      </w:pPr>
    </w:p>
    <w:p w14:paraId="278A074A">
      <w:pPr>
        <w:snapToGrid w:val="0"/>
        <w:spacing w:before="120" w:beforeLines="50" w:after="120"/>
        <w:ind w:firstLine="560" w:firstLineChars="200"/>
        <w:rPr>
          <w:rFonts w:ascii="宋体" w:hAnsi="宋体"/>
          <w:sz w:val="28"/>
          <w:szCs w:val="28"/>
          <w:highlight w:val="none"/>
        </w:rPr>
      </w:pPr>
      <w:r>
        <w:rPr>
          <w:rFonts w:hint="eastAsia" w:ascii="宋体" w:hAnsi="宋体"/>
          <w:sz w:val="28"/>
          <w:szCs w:val="28"/>
          <w:highlight w:val="none"/>
        </w:rPr>
        <w:t xml:space="preserve">12.报价文件封面格式： </w:t>
      </w:r>
    </w:p>
    <w:p w14:paraId="46388FB3">
      <w:pPr>
        <w:snapToGrid w:val="0"/>
        <w:spacing w:before="120" w:beforeLines="50" w:after="120"/>
        <w:jc w:val="center"/>
        <w:rPr>
          <w:rFonts w:ascii="宋体" w:hAnsi="宋体"/>
          <w:bCs/>
          <w:sz w:val="28"/>
          <w:szCs w:val="28"/>
          <w:highlight w:val="none"/>
        </w:rPr>
      </w:pPr>
      <w:r>
        <w:rPr>
          <w:rFonts w:hint="eastAsia" w:ascii="宋体" w:hAnsi="宋体"/>
          <w:bCs/>
          <w:sz w:val="28"/>
          <w:szCs w:val="28"/>
          <w:highlight w:val="none"/>
        </w:rPr>
        <w:t>报 价 文 件</w:t>
      </w:r>
    </w:p>
    <w:p w14:paraId="789936E4">
      <w:pPr>
        <w:snapToGrid w:val="0"/>
        <w:spacing w:before="120" w:beforeLines="50" w:after="120"/>
        <w:jc w:val="center"/>
        <w:rPr>
          <w:rFonts w:ascii="宋体" w:hAnsi="宋体"/>
          <w:b/>
          <w:bCs/>
          <w:sz w:val="28"/>
          <w:szCs w:val="28"/>
          <w:highlight w:val="none"/>
        </w:rPr>
      </w:pPr>
      <w:r>
        <w:rPr>
          <w:rFonts w:hint="eastAsia" w:ascii="宋体" w:hAnsi="宋体"/>
          <w:b/>
          <w:bCs/>
          <w:sz w:val="28"/>
          <w:szCs w:val="28"/>
          <w:highlight w:val="none"/>
        </w:rPr>
        <w:t xml:space="preserve"> </w:t>
      </w:r>
    </w:p>
    <w:p w14:paraId="23F221E9">
      <w:pPr>
        <w:snapToGrid w:val="0"/>
        <w:spacing w:before="120" w:beforeLines="50" w:after="120" w:line="360" w:lineRule="auto"/>
        <w:jc w:val="center"/>
        <w:rPr>
          <w:rFonts w:ascii="宋体" w:hAnsi="宋体"/>
          <w:bCs/>
          <w:sz w:val="28"/>
          <w:szCs w:val="28"/>
          <w:highlight w:val="none"/>
        </w:rPr>
      </w:pPr>
    </w:p>
    <w:p w14:paraId="4F6DCF4F">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项目名称：</w:t>
      </w:r>
    </w:p>
    <w:p w14:paraId="1829CD25">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项目编号：</w:t>
      </w:r>
    </w:p>
    <w:p w14:paraId="7A7D349C">
      <w:pPr>
        <w:snapToGrid w:val="0"/>
        <w:spacing w:before="120" w:beforeLines="50" w:after="120" w:line="360" w:lineRule="auto"/>
        <w:ind w:firstLine="1246" w:firstLineChars="445"/>
        <w:rPr>
          <w:rFonts w:ascii="宋体" w:hAnsi="宋体"/>
          <w:bCs/>
          <w:sz w:val="28"/>
          <w:szCs w:val="28"/>
          <w:highlight w:val="none"/>
        </w:rPr>
      </w:pPr>
    </w:p>
    <w:p w14:paraId="0DDC4FC2">
      <w:pPr>
        <w:snapToGrid w:val="0"/>
        <w:spacing w:before="120" w:beforeLines="50" w:after="120" w:line="360" w:lineRule="auto"/>
        <w:ind w:firstLine="1246" w:firstLineChars="445"/>
        <w:rPr>
          <w:rFonts w:ascii="宋体" w:hAnsi="宋体"/>
          <w:bCs/>
          <w:sz w:val="28"/>
          <w:szCs w:val="28"/>
          <w:highlight w:val="none"/>
        </w:rPr>
      </w:pPr>
    </w:p>
    <w:p w14:paraId="159FA162">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投标人名称：</w:t>
      </w:r>
    </w:p>
    <w:p w14:paraId="1C34CE9C">
      <w:pPr>
        <w:snapToGrid w:val="0"/>
        <w:spacing w:before="120" w:beforeLines="50" w:after="120" w:line="360" w:lineRule="auto"/>
        <w:ind w:firstLine="1246" w:firstLineChars="445"/>
        <w:rPr>
          <w:rFonts w:ascii="宋体" w:hAnsi="宋体"/>
          <w:bCs/>
          <w:sz w:val="28"/>
          <w:szCs w:val="28"/>
          <w:highlight w:val="none"/>
        </w:rPr>
      </w:pPr>
      <w:r>
        <w:rPr>
          <w:rFonts w:hint="eastAsia" w:ascii="宋体" w:hAnsi="宋体"/>
          <w:bCs/>
          <w:sz w:val="28"/>
          <w:szCs w:val="28"/>
          <w:highlight w:val="none"/>
        </w:rPr>
        <w:t>投标人地址：</w:t>
      </w:r>
    </w:p>
    <w:p w14:paraId="08EBD9F2">
      <w:pPr>
        <w:snapToGrid w:val="0"/>
        <w:spacing w:before="120" w:beforeLines="50" w:after="120" w:line="360" w:lineRule="auto"/>
        <w:jc w:val="center"/>
        <w:rPr>
          <w:rFonts w:ascii="宋体" w:hAnsi="宋体"/>
          <w:sz w:val="28"/>
          <w:szCs w:val="28"/>
          <w:highlight w:val="none"/>
        </w:rPr>
      </w:pPr>
      <w:r>
        <w:rPr>
          <w:rFonts w:hint="eastAsia" w:ascii="宋体" w:hAnsi="宋体"/>
          <w:sz w:val="28"/>
          <w:szCs w:val="28"/>
          <w:highlight w:val="none"/>
        </w:rPr>
        <w:t xml:space="preserve">                        </w:t>
      </w:r>
    </w:p>
    <w:p w14:paraId="69614E9D">
      <w:pPr>
        <w:snapToGrid w:val="0"/>
        <w:spacing w:before="120" w:beforeLines="50" w:after="120" w:line="360" w:lineRule="auto"/>
        <w:jc w:val="center"/>
        <w:rPr>
          <w:rFonts w:ascii="宋体" w:hAnsi="宋体"/>
          <w:sz w:val="28"/>
          <w:szCs w:val="28"/>
          <w:highlight w:val="none"/>
        </w:rPr>
      </w:pPr>
      <w:r>
        <w:rPr>
          <w:rFonts w:hint="eastAsia" w:ascii="宋体" w:hAnsi="宋体"/>
          <w:sz w:val="28"/>
          <w:szCs w:val="28"/>
          <w:highlight w:val="none"/>
        </w:rPr>
        <w:t>年  月  日</w:t>
      </w:r>
    </w:p>
    <w:p w14:paraId="25DACDDB">
      <w:pPr>
        <w:pStyle w:val="31"/>
        <w:snapToGrid w:val="0"/>
        <w:spacing w:beforeLines="0" w:afterLines="0" w:line="240" w:lineRule="auto"/>
        <w:rPr>
          <w:rFonts w:hAnsi="宋体"/>
          <w:highlight w:val="none"/>
        </w:rPr>
      </w:pPr>
      <w:r>
        <w:rPr>
          <w:rFonts w:hint="eastAsia" w:hAnsi="宋体"/>
          <w:highlight w:val="none"/>
        </w:rPr>
        <w:br w:type="page"/>
      </w:r>
      <w:r>
        <w:rPr>
          <w:rFonts w:hint="eastAsia" w:hAnsi="宋体"/>
          <w:highlight w:val="none"/>
        </w:rPr>
        <w:t>13.开标一览表格式：</w:t>
      </w:r>
    </w:p>
    <w:p w14:paraId="30BFBDE3">
      <w:pPr>
        <w:pStyle w:val="31"/>
        <w:snapToGrid w:val="0"/>
        <w:spacing w:beforeLines="0" w:afterLines="0" w:line="240" w:lineRule="auto"/>
        <w:jc w:val="center"/>
        <w:rPr>
          <w:rFonts w:hAnsi="宋体"/>
          <w:b/>
          <w:highlight w:val="none"/>
        </w:rPr>
      </w:pPr>
      <w:r>
        <w:rPr>
          <w:rFonts w:hint="eastAsia" w:hAnsi="宋体"/>
          <w:b/>
          <w:highlight w:val="none"/>
        </w:rPr>
        <w:t>开标一览表</w:t>
      </w:r>
    </w:p>
    <w:p w14:paraId="3393608D">
      <w:pPr>
        <w:snapToGrid w:val="0"/>
        <w:spacing w:before="120" w:beforeLines="50" w:after="120" w:line="480" w:lineRule="auto"/>
        <w:rPr>
          <w:rFonts w:ascii="宋体" w:hAnsi="宋体"/>
          <w:b/>
          <w:sz w:val="24"/>
          <w:highlight w:val="none"/>
        </w:rPr>
      </w:pPr>
    </w:p>
    <w:p w14:paraId="0E396A25">
      <w:pPr>
        <w:snapToGrid w:val="0"/>
        <w:spacing w:before="120" w:beforeLines="50" w:after="120" w:line="480" w:lineRule="auto"/>
        <w:ind w:firstLine="480" w:firstLineChars="200"/>
        <w:rPr>
          <w:rFonts w:ascii="宋体" w:hAnsi="宋体"/>
          <w:bCs/>
          <w:sz w:val="24"/>
          <w:szCs w:val="20"/>
          <w:highlight w:val="none"/>
        </w:rPr>
      </w:pPr>
      <w:r>
        <w:rPr>
          <w:rFonts w:hint="eastAsia" w:ascii="宋体" w:hAnsi="宋体"/>
          <w:bCs/>
          <w:sz w:val="24"/>
          <w:highlight w:val="none"/>
        </w:rPr>
        <w:t>项目名称：</w:t>
      </w:r>
    </w:p>
    <w:p w14:paraId="7F04F6C9">
      <w:pPr>
        <w:snapToGrid w:val="0"/>
        <w:spacing w:before="120" w:beforeLines="50" w:after="120" w:line="480" w:lineRule="auto"/>
        <w:ind w:firstLine="480" w:firstLineChars="200"/>
        <w:rPr>
          <w:rFonts w:ascii="宋体" w:hAnsi="宋体"/>
          <w:b/>
          <w:sz w:val="24"/>
          <w:highlight w:val="none"/>
        </w:rPr>
      </w:pPr>
      <w:r>
        <w:rPr>
          <w:rFonts w:hint="eastAsia" w:ascii="宋体" w:hAnsi="宋体"/>
          <w:sz w:val="24"/>
          <w:highlight w:val="none"/>
        </w:rPr>
        <w:t>项目编号：</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307D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716E8899">
            <w:pPr>
              <w:pStyle w:val="31"/>
              <w:snapToGrid w:val="0"/>
              <w:spacing w:beforeLines="0" w:afterLines="0" w:line="240" w:lineRule="auto"/>
              <w:jc w:val="center"/>
              <w:rPr>
                <w:rFonts w:hAnsi="宋体"/>
                <w:b/>
                <w:kern w:val="2"/>
                <w:highlight w:val="none"/>
              </w:rPr>
            </w:pPr>
            <w:r>
              <w:rPr>
                <w:rFonts w:hint="eastAsia" w:hAnsi="宋体"/>
                <w:b/>
                <w:kern w:val="2"/>
                <w:highlight w:val="none"/>
              </w:rPr>
              <w:t>名称</w:t>
            </w:r>
          </w:p>
        </w:tc>
        <w:tc>
          <w:tcPr>
            <w:tcW w:w="5760" w:type="dxa"/>
            <w:vAlign w:val="center"/>
          </w:tcPr>
          <w:p w14:paraId="4532DE3E">
            <w:pPr>
              <w:pStyle w:val="31"/>
              <w:snapToGrid w:val="0"/>
              <w:spacing w:beforeLines="0" w:afterLines="0" w:line="240" w:lineRule="auto"/>
              <w:jc w:val="center"/>
              <w:rPr>
                <w:rFonts w:hAnsi="宋体"/>
                <w:b/>
                <w:kern w:val="2"/>
                <w:highlight w:val="none"/>
              </w:rPr>
            </w:pPr>
            <w:r>
              <w:rPr>
                <w:rFonts w:hint="eastAsia" w:hAnsi="宋体"/>
                <w:b/>
                <w:kern w:val="2"/>
                <w:highlight w:val="none"/>
              </w:rPr>
              <w:t>内容</w:t>
            </w:r>
          </w:p>
        </w:tc>
        <w:tc>
          <w:tcPr>
            <w:tcW w:w="1620" w:type="dxa"/>
            <w:vAlign w:val="center"/>
          </w:tcPr>
          <w:p w14:paraId="2AB95DF2">
            <w:pPr>
              <w:pStyle w:val="31"/>
              <w:snapToGrid w:val="0"/>
              <w:spacing w:beforeLines="0" w:afterLines="0" w:line="240" w:lineRule="auto"/>
              <w:jc w:val="center"/>
              <w:rPr>
                <w:rFonts w:hAnsi="宋体"/>
                <w:b/>
                <w:kern w:val="2"/>
                <w:highlight w:val="none"/>
              </w:rPr>
            </w:pPr>
            <w:r>
              <w:rPr>
                <w:rFonts w:hint="eastAsia" w:hAnsi="宋体"/>
                <w:b/>
                <w:kern w:val="2"/>
                <w:highlight w:val="none"/>
              </w:rPr>
              <w:t>备注</w:t>
            </w:r>
          </w:p>
        </w:tc>
      </w:tr>
      <w:tr w14:paraId="3BDCF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2E352933">
            <w:pPr>
              <w:pStyle w:val="31"/>
              <w:snapToGrid w:val="0"/>
              <w:spacing w:beforeLines="0" w:afterLines="0" w:line="240" w:lineRule="auto"/>
              <w:jc w:val="center"/>
              <w:rPr>
                <w:rFonts w:hAnsi="宋体"/>
                <w:b/>
                <w:kern w:val="2"/>
                <w:highlight w:val="none"/>
              </w:rPr>
            </w:pPr>
          </w:p>
          <w:p w14:paraId="78823DAF">
            <w:pPr>
              <w:pStyle w:val="31"/>
              <w:snapToGrid w:val="0"/>
              <w:spacing w:beforeLines="0" w:afterLines="0" w:line="240" w:lineRule="auto"/>
              <w:jc w:val="center"/>
              <w:rPr>
                <w:rFonts w:hAnsi="宋体"/>
                <w:kern w:val="2"/>
                <w:highlight w:val="none"/>
              </w:rPr>
            </w:pPr>
            <w:r>
              <w:rPr>
                <w:rFonts w:hint="eastAsia" w:hAnsi="宋体"/>
                <w:kern w:val="2"/>
                <w:highlight w:val="none"/>
              </w:rPr>
              <w:t>投标总报价</w:t>
            </w:r>
          </w:p>
          <w:p w14:paraId="6E2BB3BA">
            <w:pPr>
              <w:pStyle w:val="31"/>
              <w:snapToGrid w:val="0"/>
              <w:spacing w:beforeLines="0" w:afterLines="0" w:line="240" w:lineRule="auto"/>
              <w:jc w:val="center"/>
              <w:rPr>
                <w:rFonts w:hAnsi="宋体"/>
                <w:b/>
                <w:kern w:val="2"/>
                <w:highlight w:val="none"/>
              </w:rPr>
            </w:pPr>
          </w:p>
          <w:p w14:paraId="53D0E009">
            <w:pPr>
              <w:pStyle w:val="31"/>
              <w:snapToGrid w:val="0"/>
              <w:spacing w:beforeLines="0" w:afterLines="0" w:line="240" w:lineRule="auto"/>
              <w:jc w:val="center"/>
              <w:rPr>
                <w:rFonts w:hAnsi="宋体"/>
                <w:b/>
                <w:kern w:val="2"/>
                <w:highlight w:val="none"/>
              </w:rPr>
            </w:pPr>
          </w:p>
          <w:p w14:paraId="31DD99FC">
            <w:pPr>
              <w:pStyle w:val="31"/>
              <w:snapToGrid w:val="0"/>
              <w:spacing w:beforeLines="0" w:afterLines="0" w:line="240" w:lineRule="auto"/>
              <w:jc w:val="center"/>
              <w:rPr>
                <w:rFonts w:hAnsi="宋体"/>
                <w:b/>
                <w:kern w:val="2"/>
                <w:highlight w:val="none"/>
              </w:rPr>
            </w:pPr>
          </w:p>
        </w:tc>
        <w:tc>
          <w:tcPr>
            <w:tcW w:w="5760" w:type="dxa"/>
            <w:vAlign w:val="center"/>
          </w:tcPr>
          <w:p w14:paraId="6594A6B4">
            <w:pPr>
              <w:pStyle w:val="31"/>
              <w:snapToGrid w:val="0"/>
              <w:spacing w:beforeLines="0" w:afterLines="0" w:line="240" w:lineRule="auto"/>
              <w:rPr>
                <w:rFonts w:hAnsi="宋体"/>
                <w:kern w:val="2"/>
                <w:highlight w:val="none"/>
              </w:rPr>
            </w:pPr>
          </w:p>
          <w:p w14:paraId="25EDB3BC">
            <w:pPr>
              <w:pStyle w:val="31"/>
              <w:snapToGrid w:val="0"/>
              <w:spacing w:beforeLines="0" w:afterLines="0" w:line="240" w:lineRule="auto"/>
              <w:ind w:left="240" w:hanging="240" w:hangingChars="100"/>
              <w:rPr>
                <w:rFonts w:hAnsi="宋体"/>
                <w:kern w:val="2"/>
                <w:highlight w:val="none"/>
              </w:rPr>
            </w:pPr>
            <w:r>
              <w:rPr>
                <w:rFonts w:hint="eastAsia" w:hAnsi="宋体"/>
                <w:kern w:val="2"/>
                <w:highlight w:val="none"/>
              </w:rPr>
              <w:t>大写：人民币</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拾</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万</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仟</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佰</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拾</w:t>
            </w:r>
          </w:p>
          <w:p w14:paraId="43384756">
            <w:pPr>
              <w:pStyle w:val="31"/>
              <w:snapToGrid w:val="0"/>
              <w:spacing w:beforeLines="0" w:afterLines="0" w:line="240" w:lineRule="auto"/>
              <w:ind w:left="210" w:leftChars="100" w:firstLine="480" w:firstLineChars="200"/>
              <w:rPr>
                <w:rFonts w:hAnsi="宋体"/>
                <w:kern w:val="2"/>
                <w:highlight w:val="none"/>
              </w:rPr>
            </w:pP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元</w:t>
            </w:r>
            <w:r>
              <w:rPr>
                <w:rFonts w:hAnsi="宋体"/>
                <w:kern w:val="2"/>
                <w:highlight w:val="none"/>
              </w:rPr>
              <w:t xml:space="preserve"> </w:t>
            </w:r>
            <w:r>
              <w:rPr>
                <w:rFonts w:hAnsi="宋体"/>
                <w:kern w:val="2"/>
                <w:highlight w:val="none"/>
                <w:u w:val="single"/>
              </w:rPr>
              <w:t xml:space="preserve"> </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角</w:t>
            </w:r>
            <w:r>
              <w:rPr>
                <w:rFonts w:hint="eastAsia" w:hAnsi="宋体"/>
                <w:kern w:val="2"/>
                <w:highlight w:val="none"/>
                <w:u w:val="single"/>
              </w:rPr>
              <w:t xml:space="preserve"> </w:t>
            </w:r>
            <w:r>
              <w:rPr>
                <w:rFonts w:hAnsi="宋体"/>
                <w:kern w:val="2"/>
                <w:highlight w:val="none"/>
                <w:u w:val="single"/>
              </w:rPr>
              <w:t xml:space="preserve">   </w:t>
            </w:r>
            <w:r>
              <w:rPr>
                <w:rFonts w:hint="eastAsia" w:hAnsi="宋体"/>
                <w:kern w:val="2"/>
                <w:highlight w:val="none"/>
              </w:rPr>
              <w:t>分整</w:t>
            </w:r>
          </w:p>
          <w:p w14:paraId="32225575">
            <w:pPr>
              <w:pStyle w:val="31"/>
              <w:snapToGrid w:val="0"/>
              <w:spacing w:beforeLines="0" w:afterLines="0" w:line="240" w:lineRule="auto"/>
              <w:rPr>
                <w:rFonts w:hAnsi="宋体"/>
                <w:kern w:val="2"/>
                <w:highlight w:val="none"/>
              </w:rPr>
            </w:pPr>
          </w:p>
          <w:p w14:paraId="1DD12935">
            <w:pPr>
              <w:pStyle w:val="31"/>
              <w:snapToGrid w:val="0"/>
              <w:spacing w:beforeLines="0" w:afterLines="0" w:line="240" w:lineRule="auto"/>
              <w:rPr>
                <w:rFonts w:hAnsi="宋体"/>
                <w:kern w:val="2"/>
                <w:highlight w:val="none"/>
              </w:rPr>
            </w:pPr>
            <w:r>
              <w:rPr>
                <w:rFonts w:hint="eastAsia" w:hAnsi="宋体"/>
                <w:kern w:val="2"/>
                <w:highlight w:val="none"/>
              </w:rPr>
              <w:t>小写：</w:t>
            </w:r>
            <w:r>
              <w:rPr>
                <w:rFonts w:hint="eastAsia" w:hAnsi="宋体"/>
                <w:kern w:val="2"/>
                <w:highlight w:val="none"/>
                <w:u w:val="single"/>
              </w:rPr>
              <w:t>￥_</w:t>
            </w:r>
            <w:r>
              <w:rPr>
                <w:rFonts w:hint="eastAsia" w:hAnsi="宋体"/>
                <w:kern w:val="2"/>
                <w:highlight w:val="none"/>
              </w:rPr>
              <w:t>_______________________元整</w:t>
            </w:r>
          </w:p>
          <w:p w14:paraId="16BCC4D8">
            <w:pPr>
              <w:pStyle w:val="31"/>
              <w:snapToGrid w:val="0"/>
              <w:spacing w:beforeLines="0" w:afterLines="0" w:line="240" w:lineRule="auto"/>
              <w:rPr>
                <w:rFonts w:hAnsi="宋体"/>
                <w:b/>
                <w:kern w:val="2"/>
                <w:highlight w:val="none"/>
              </w:rPr>
            </w:pPr>
          </w:p>
        </w:tc>
        <w:tc>
          <w:tcPr>
            <w:tcW w:w="1620" w:type="dxa"/>
          </w:tcPr>
          <w:p w14:paraId="69E4C67F">
            <w:pPr>
              <w:pStyle w:val="31"/>
              <w:snapToGrid w:val="0"/>
              <w:spacing w:beforeLines="0" w:afterLines="0" w:line="240" w:lineRule="auto"/>
              <w:rPr>
                <w:rFonts w:hAnsi="宋体"/>
                <w:b/>
                <w:kern w:val="2"/>
                <w:highlight w:val="none"/>
              </w:rPr>
            </w:pPr>
          </w:p>
        </w:tc>
      </w:tr>
    </w:tbl>
    <w:p w14:paraId="5CEC481A">
      <w:pPr>
        <w:pStyle w:val="31"/>
        <w:snapToGrid w:val="0"/>
        <w:spacing w:beforeLines="0" w:afterLines="0" w:line="240" w:lineRule="auto"/>
        <w:rPr>
          <w:highlight w:val="none"/>
        </w:rPr>
      </w:pPr>
      <w:r>
        <w:rPr>
          <w:highlight w:val="none"/>
        </w:rPr>
        <w:t xml:space="preserve"> </w:t>
      </w:r>
    </w:p>
    <w:p w14:paraId="3DA41BCB">
      <w:pPr>
        <w:snapToGrid w:val="0"/>
        <w:spacing w:before="50" w:after="120" w:afterLines="50" w:line="360" w:lineRule="auto"/>
        <w:ind w:firstLine="480" w:firstLineChars="200"/>
        <w:jc w:val="left"/>
        <w:rPr>
          <w:rFonts w:ascii="宋体" w:hAnsi="宋体"/>
          <w:sz w:val="24"/>
          <w:szCs w:val="20"/>
          <w:highlight w:val="none"/>
        </w:rPr>
      </w:pPr>
      <w:r>
        <w:rPr>
          <w:rFonts w:hint="eastAsia" w:ascii="宋体" w:hAnsi="宋体"/>
          <w:sz w:val="24"/>
          <w:szCs w:val="20"/>
          <w:highlight w:val="none"/>
        </w:rPr>
        <w:t>投标总报价包括人工工资、物料款、设备折旧、消耗物品、其他费用、保险、税金、培训、服务、合同包含的所有风险责任等各项费用及不可预见费等所需的全部费用。</w:t>
      </w:r>
    </w:p>
    <w:p w14:paraId="4D7FEEC3">
      <w:pPr>
        <w:pStyle w:val="31"/>
        <w:snapToGrid w:val="0"/>
        <w:spacing w:beforeLines="0" w:afterLines="0" w:line="240" w:lineRule="auto"/>
        <w:rPr>
          <w:highlight w:val="none"/>
        </w:rPr>
      </w:pPr>
    </w:p>
    <w:p w14:paraId="2D1EB827">
      <w:pPr>
        <w:pStyle w:val="31"/>
        <w:snapToGrid w:val="0"/>
        <w:spacing w:beforeLines="0" w:afterLines="0" w:line="240" w:lineRule="auto"/>
        <w:rPr>
          <w:highlight w:val="none"/>
        </w:rPr>
      </w:pPr>
    </w:p>
    <w:p w14:paraId="63969BE2">
      <w:pPr>
        <w:pStyle w:val="31"/>
        <w:snapToGrid w:val="0"/>
        <w:spacing w:beforeLines="0" w:afterLines="0" w:line="240" w:lineRule="auto"/>
        <w:rPr>
          <w:highlight w:val="none"/>
        </w:rPr>
      </w:pPr>
    </w:p>
    <w:p w14:paraId="036C2ADB">
      <w:pPr>
        <w:pStyle w:val="31"/>
        <w:snapToGrid w:val="0"/>
        <w:spacing w:beforeLines="0" w:afterLines="0" w:line="240" w:lineRule="auto"/>
        <w:rPr>
          <w:rFonts w:hAnsi="宋体"/>
          <w:b/>
          <w:spacing w:val="20"/>
          <w:highlight w:val="none"/>
        </w:rPr>
      </w:pPr>
      <w:r>
        <w:rPr>
          <w:rFonts w:hint="eastAsia" w:hAnsi="宋体"/>
          <w:b/>
          <w:spacing w:val="20"/>
          <w:highlight w:val="none"/>
        </w:rPr>
        <w:t xml:space="preserve">法定代表人或其授权人（签字或盖章）：           投标人（盖章）：  </w:t>
      </w:r>
    </w:p>
    <w:p w14:paraId="784FEEF6">
      <w:pPr>
        <w:pStyle w:val="31"/>
        <w:snapToGrid w:val="0"/>
        <w:spacing w:beforeLines="0" w:afterLines="0" w:line="240" w:lineRule="auto"/>
        <w:rPr>
          <w:rFonts w:hAnsi="宋体"/>
          <w:b/>
          <w:highlight w:val="none"/>
        </w:rPr>
      </w:pPr>
    </w:p>
    <w:p w14:paraId="1BD05D1B">
      <w:pPr>
        <w:snapToGrid w:val="0"/>
        <w:spacing w:before="120" w:after="120" w:afterLines="50"/>
        <w:jc w:val="left"/>
        <w:rPr>
          <w:rFonts w:ascii="宋体" w:hAnsi="宋体"/>
          <w:b/>
          <w:kern w:val="0"/>
          <w:sz w:val="24"/>
          <w:highlight w:val="none"/>
        </w:rPr>
      </w:pPr>
    </w:p>
    <w:p w14:paraId="0F6D768A">
      <w:pPr>
        <w:snapToGrid w:val="0"/>
        <w:spacing w:before="120" w:after="120" w:afterLines="50"/>
        <w:jc w:val="left"/>
        <w:rPr>
          <w:rFonts w:ascii="宋体" w:hAnsi="宋体"/>
          <w:b/>
          <w:sz w:val="24"/>
          <w:szCs w:val="20"/>
          <w:highlight w:val="none"/>
        </w:rPr>
      </w:pPr>
      <w:r>
        <w:rPr>
          <w:rFonts w:hint="eastAsia" w:ascii="宋体" w:hAnsi="宋体"/>
          <w:b/>
          <w:kern w:val="0"/>
          <w:sz w:val="24"/>
          <w:highlight w:val="none"/>
        </w:rPr>
        <w:t>日期：  _____年___月___日</w:t>
      </w:r>
    </w:p>
    <w:p w14:paraId="25096C0C">
      <w:pPr>
        <w:pStyle w:val="31"/>
        <w:snapToGrid w:val="0"/>
        <w:spacing w:beforeLines="0" w:afterLines="0" w:line="240" w:lineRule="auto"/>
        <w:rPr>
          <w:rFonts w:hAnsi="宋体"/>
          <w:highlight w:val="none"/>
        </w:rPr>
      </w:pPr>
    </w:p>
    <w:p w14:paraId="4D1FF003">
      <w:pPr>
        <w:pStyle w:val="31"/>
        <w:snapToGrid w:val="0"/>
        <w:spacing w:beforeLines="0" w:afterLines="0" w:line="240" w:lineRule="auto"/>
        <w:rPr>
          <w:rFonts w:hAnsi="宋体"/>
          <w:highlight w:val="none"/>
        </w:rPr>
      </w:pPr>
    </w:p>
    <w:p w14:paraId="337C7746">
      <w:pPr>
        <w:pStyle w:val="31"/>
        <w:snapToGrid w:val="0"/>
        <w:spacing w:beforeLines="0" w:afterLines="0" w:line="240" w:lineRule="auto"/>
        <w:rPr>
          <w:rFonts w:hAnsi="宋体"/>
          <w:highlight w:val="none"/>
        </w:rPr>
      </w:pPr>
    </w:p>
    <w:p w14:paraId="5DDE3A1A">
      <w:pPr>
        <w:pStyle w:val="31"/>
        <w:snapToGrid w:val="0"/>
        <w:spacing w:beforeLines="0" w:afterLines="0" w:line="240" w:lineRule="auto"/>
        <w:rPr>
          <w:rFonts w:hAnsi="宋体"/>
          <w:highlight w:val="none"/>
        </w:rPr>
      </w:pPr>
      <w:r>
        <w:rPr>
          <w:rFonts w:hAnsi="宋体"/>
          <w:highlight w:val="none"/>
        </w:rPr>
        <w:br w:type="page"/>
      </w:r>
      <w:bookmarkStart w:id="76" w:name="_Hlk60823488"/>
      <w:r>
        <w:rPr>
          <w:rFonts w:hint="eastAsia" w:hAnsi="宋体"/>
          <w:highlight w:val="none"/>
        </w:rPr>
        <w:t xml:space="preserve">14.报价明细表格式：       </w:t>
      </w:r>
    </w:p>
    <w:p w14:paraId="11FD2689">
      <w:pPr>
        <w:pStyle w:val="31"/>
        <w:snapToGrid w:val="0"/>
        <w:spacing w:beforeLines="0" w:afterLines="0" w:line="240" w:lineRule="auto"/>
        <w:jc w:val="center"/>
        <w:rPr>
          <w:rFonts w:hAnsi="宋体"/>
          <w:b/>
          <w:highlight w:val="none"/>
        </w:rPr>
      </w:pPr>
      <w:r>
        <w:rPr>
          <w:rFonts w:hint="eastAsia" w:hAnsi="宋体"/>
          <w:b/>
          <w:highlight w:val="none"/>
        </w:rPr>
        <w:t>报价明细表</w:t>
      </w:r>
    </w:p>
    <w:p w14:paraId="5BEDD494">
      <w:pPr>
        <w:snapToGrid w:val="0"/>
        <w:spacing w:before="120" w:beforeLines="50" w:after="50" w:line="360" w:lineRule="auto"/>
        <w:rPr>
          <w:rFonts w:ascii="宋体" w:hAnsi="宋体"/>
          <w:bCs/>
          <w:sz w:val="24"/>
          <w:szCs w:val="20"/>
          <w:highlight w:val="none"/>
        </w:rPr>
      </w:pPr>
      <w:r>
        <w:rPr>
          <w:rFonts w:hint="eastAsia" w:ascii="宋体" w:hAnsi="宋体"/>
          <w:bCs/>
          <w:sz w:val="24"/>
          <w:highlight w:val="none"/>
        </w:rPr>
        <w:t>项目名称：</w:t>
      </w:r>
    </w:p>
    <w:p w14:paraId="6077E001">
      <w:pPr>
        <w:snapToGrid w:val="0"/>
        <w:spacing w:before="120" w:beforeLines="50" w:after="50" w:line="360" w:lineRule="auto"/>
        <w:rPr>
          <w:rFonts w:ascii="宋体" w:hAnsi="宋体"/>
          <w:bCs/>
          <w:sz w:val="24"/>
          <w:highlight w:val="none"/>
        </w:rPr>
      </w:pPr>
      <w:r>
        <w:rPr>
          <w:rFonts w:hint="eastAsia" w:ascii="宋体" w:hAnsi="宋体"/>
          <w:sz w:val="24"/>
          <w:highlight w:val="none"/>
        </w:rPr>
        <w:t>项目编号：</w:t>
      </w:r>
    </w:p>
    <w:tbl>
      <w:tblPr>
        <w:tblStyle w:val="5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77"/>
        <w:gridCol w:w="1276"/>
        <w:gridCol w:w="1417"/>
        <w:gridCol w:w="1134"/>
        <w:gridCol w:w="851"/>
        <w:gridCol w:w="1134"/>
        <w:gridCol w:w="850"/>
        <w:gridCol w:w="993"/>
      </w:tblGrid>
      <w:tr w14:paraId="42D6B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828" w:type="dxa"/>
            <w:vAlign w:val="center"/>
          </w:tcPr>
          <w:p w14:paraId="6F664A29">
            <w:pPr>
              <w:jc w:val="center"/>
              <w:rPr>
                <w:b/>
                <w:sz w:val="24"/>
                <w:highlight w:val="none"/>
              </w:rPr>
            </w:pPr>
            <w:bookmarkStart w:id="77" w:name="_Hlk78207666"/>
            <w:r>
              <w:rPr>
                <w:rFonts w:hint="eastAsia"/>
                <w:b/>
                <w:sz w:val="24"/>
                <w:highlight w:val="none"/>
              </w:rPr>
              <w:t>序号</w:t>
            </w:r>
          </w:p>
        </w:tc>
        <w:tc>
          <w:tcPr>
            <w:tcW w:w="1577" w:type="dxa"/>
            <w:vAlign w:val="center"/>
          </w:tcPr>
          <w:p w14:paraId="5884EA71">
            <w:pPr>
              <w:jc w:val="center"/>
              <w:rPr>
                <w:b/>
                <w:sz w:val="24"/>
                <w:highlight w:val="none"/>
              </w:rPr>
            </w:pPr>
            <w:r>
              <w:rPr>
                <w:rFonts w:hint="eastAsia"/>
                <w:b/>
                <w:sz w:val="24"/>
                <w:highlight w:val="none"/>
              </w:rPr>
              <w:t>服务内容</w:t>
            </w:r>
          </w:p>
        </w:tc>
        <w:tc>
          <w:tcPr>
            <w:tcW w:w="1276" w:type="dxa"/>
            <w:vAlign w:val="center"/>
          </w:tcPr>
          <w:p w14:paraId="5B64032A">
            <w:pPr>
              <w:jc w:val="center"/>
              <w:rPr>
                <w:b/>
                <w:sz w:val="24"/>
                <w:highlight w:val="none"/>
              </w:rPr>
            </w:pPr>
            <w:r>
              <w:rPr>
                <w:rFonts w:hint="eastAsia"/>
                <w:b/>
                <w:sz w:val="24"/>
                <w:highlight w:val="none"/>
              </w:rPr>
              <w:t>承接企业名称</w:t>
            </w:r>
          </w:p>
        </w:tc>
        <w:tc>
          <w:tcPr>
            <w:tcW w:w="1417" w:type="dxa"/>
            <w:vAlign w:val="center"/>
          </w:tcPr>
          <w:p w14:paraId="7681D2C5">
            <w:pPr>
              <w:jc w:val="center"/>
              <w:rPr>
                <w:b/>
                <w:sz w:val="24"/>
                <w:highlight w:val="none"/>
              </w:rPr>
            </w:pPr>
            <w:r>
              <w:rPr>
                <w:rFonts w:hint="eastAsia"/>
                <w:b/>
                <w:sz w:val="24"/>
                <w:highlight w:val="none"/>
              </w:rPr>
              <w:t>所属</w:t>
            </w:r>
          </w:p>
          <w:p w14:paraId="6951B71F">
            <w:pPr>
              <w:jc w:val="center"/>
              <w:rPr>
                <w:b/>
                <w:sz w:val="24"/>
                <w:highlight w:val="none"/>
              </w:rPr>
            </w:pPr>
            <w:r>
              <w:rPr>
                <w:rFonts w:hint="eastAsia"/>
                <w:b/>
                <w:sz w:val="24"/>
                <w:highlight w:val="none"/>
              </w:rPr>
              <w:t>行业</w:t>
            </w:r>
          </w:p>
        </w:tc>
        <w:tc>
          <w:tcPr>
            <w:tcW w:w="1134" w:type="dxa"/>
            <w:vAlign w:val="center"/>
          </w:tcPr>
          <w:p w14:paraId="2D829E2D">
            <w:pPr>
              <w:jc w:val="center"/>
              <w:rPr>
                <w:b/>
                <w:sz w:val="24"/>
                <w:highlight w:val="none"/>
              </w:rPr>
            </w:pPr>
            <w:r>
              <w:rPr>
                <w:rFonts w:hint="eastAsia"/>
                <w:b/>
                <w:sz w:val="24"/>
                <w:highlight w:val="none"/>
              </w:rPr>
              <w:t>数量</w:t>
            </w:r>
          </w:p>
        </w:tc>
        <w:tc>
          <w:tcPr>
            <w:tcW w:w="851" w:type="dxa"/>
            <w:vAlign w:val="center"/>
          </w:tcPr>
          <w:p w14:paraId="24E7CD47">
            <w:pPr>
              <w:jc w:val="center"/>
              <w:rPr>
                <w:b/>
                <w:sz w:val="24"/>
                <w:highlight w:val="none"/>
              </w:rPr>
            </w:pPr>
            <w:r>
              <w:rPr>
                <w:rFonts w:hint="eastAsia"/>
                <w:b/>
                <w:sz w:val="24"/>
                <w:highlight w:val="none"/>
              </w:rPr>
              <w:t>单位</w:t>
            </w:r>
          </w:p>
        </w:tc>
        <w:tc>
          <w:tcPr>
            <w:tcW w:w="1134" w:type="dxa"/>
            <w:vAlign w:val="center"/>
          </w:tcPr>
          <w:p w14:paraId="1E9E4B43">
            <w:pPr>
              <w:jc w:val="center"/>
              <w:rPr>
                <w:b/>
                <w:sz w:val="24"/>
                <w:highlight w:val="none"/>
              </w:rPr>
            </w:pPr>
            <w:r>
              <w:rPr>
                <w:rFonts w:hint="eastAsia"/>
                <w:b/>
                <w:sz w:val="24"/>
                <w:highlight w:val="none"/>
              </w:rPr>
              <w:t>单价</w:t>
            </w:r>
          </w:p>
        </w:tc>
        <w:tc>
          <w:tcPr>
            <w:tcW w:w="850" w:type="dxa"/>
            <w:vAlign w:val="center"/>
          </w:tcPr>
          <w:p w14:paraId="23BCF517">
            <w:pPr>
              <w:jc w:val="center"/>
              <w:rPr>
                <w:b/>
                <w:sz w:val="24"/>
                <w:highlight w:val="none"/>
              </w:rPr>
            </w:pPr>
            <w:r>
              <w:rPr>
                <w:rFonts w:hint="eastAsia"/>
                <w:b/>
                <w:sz w:val="24"/>
                <w:highlight w:val="none"/>
              </w:rPr>
              <w:t>总价</w:t>
            </w:r>
          </w:p>
        </w:tc>
        <w:tc>
          <w:tcPr>
            <w:tcW w:w="993" w:type="dxa"/>
            <w:vAlign w:val="center"/>
          </w:tcPr>
          <w:p w14:paraId="2395D2C9">
            <w:pPr>
              <w:jc w:val="center"/>
              <w:rPr>
                <w:rFonts w:hint="default" w:eastAsia="宋体"/>
                <w:b/>
                <w:sz w:val="24"/>
                <w:highlight w:val="none"/>
                <w:lang w:val="en-US" w:eastAsia="zh-CN"/>
              </w:rPr>
            </w:pPr>
            <w:r>
              <w:rPr>
                <w:rFonts w:hint="eastAsia"/>
                <w:b/>
                <w:sz w:val="24"/>
                <w:highlight w:val="none"/>
                <w:lang w:val="en-US" w:eastAsia="zh-CN"/>
              </w:rPr>
              <w:t>备注</w:t>
            </w:r>
          </w:p>
        </w:tc>
      </w:tr>
      <w:tr w14:paraId="6EAC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2C36DB3E">
            <w:pPr>
              <w:spacing w:line="480" w:lineRule="auto"/>
              <w:jc w:val="center"/>
              <w:rPr>
                <w:rFonts w:ascii="宋体" w:hAnsi="宋体"/>
                <w:b/>
                <w:sz w:val="24"/>
                <w:highlight w:val="none"/>
              </w:rPr>
            </w:pPr>
          </w:p>
        </w:tc>
        <w:tc>
          <w:tcPr>
            <w:tcW w:w="1577" w:type="dxa"/>
          </w:tcPr>
          <w:p w14:paraId="54175A98">
            <w:pPr>
              <w:spacing w:line="480" w:lineRule="auto"/>
              <w:jc w:val="center"/>
              <w:rPr>
                <w:rFonts w:ascii="宋体" w:hAnsi="宋体"/>
                <w:sz w:val="24"/>
                <w:highlight w:val="none"/>
              </w:rPr>
            </w:pPr>
          </w:p>
        </w:tc>
        <w:tc>
          <w:tcPr>
            <w:tcW w:w="1276" w:type="dxa"/>
            <w:vAlign w:val="center"/>
          </w:tcPr>
          <w:p w14:paraId="3E759F09">
            <w:pPr>
              <w:spacing w:line="480" w:lineRule="auto"/>
              <w:jc w:val="center"/>
              <w:rPr>
                <w:rFonts w:ascii="宋体" w:hAnsi="宋体"/>
                <w:b/>
                <w:sz w:val="24"/>
                <w:highlight w:val="none"/>
              </w:rPr>
            </w:pPr>
          </w:p>
        </w:tc>
        <w:tc>
          <w:tcPr>
            <w:tcW w:w="1417" w:type="dxa"/>
            <w:vAlign w:val="center"/>
          </w:tcPr>
          <w:p w14:paraId="0E51BAFE">
            <w:pPr>
              <w:spacing w:line="480" w:lineRule="auto"/>
              <w:jc w:val="center"/>
              <w:rPr>
                <w:rFonts w:ascii="宋体" w:hAnsi="宋体"/>
                <w:b/>
                <w:sz w:val="24"/>
                <w:highlight w:val="none"/>
              </w:rPr>
            </w:pPr>
          </w:p>
        </w:tc>
        <w:tc>
          <w:tcPr>
            <w:tcW w:w="1134" w:type="dxa"/>
            <w:vAlign w:val="center"/>
          </w:tcPr>
          <w:p w14:paraId="6748742A">
            <w:pPr>
              <w:spacing w:line="480" w:lineRule="auto"/>
              <w:jc w:val="center"/>
              <w:rPr>
                <w:rFonts w:ascii="宋体" w:hAnsi="宋体"/>
                <w:b/>
                <w:sz w:val="24"/>
                <w:highlight w:val="none"/>
              </w:rPr>
            </w:pPr>
          </w:p>
        </w:tc>
        <w:tc>
          <w:tcPr>
            <w:tcW w:w="851" w:type="dxa"/>
            <w:vAlign w:val="center"/>
          </w:tcPr>
          <w:p w14:paraId="3D075F98">
            <w:pPr>
              <w:spacing w:line="480" w:lineRule="auto"/>
              <w:jc w:val="center"/>
              <w:rPr>
                <w:rFonts w:ascii="宋体" w:hAnsi="宋体"/>
                <w:b/>
                <w:sz w:val="24"/>
                <w:highlight w:val="none"/>
              </w:rPr>
            </w:pPr>
          </w:p>
        </w:tc>
        <w:tc>
          <w:tcPr>
            <w:tcW w:w="1134" w:type="dxa"/>
            <w:vAlign w:val="center"/>
          </w:tcPr>
          <w:p w14:paraId="2D49D392">
            <w:pPr>
              <w:spacing w:line="480" w:lineRule="auto"/>
              <w:jc w:val="center"/>
              <w:rPr>
                <w:rFonts w:ascii="宋体" w:hAnsi="宋体"/>
                <w:b/>
                <w:sz w:val="24"/>
                <w:highlight w:val="none"/>
              </w:rPr>
            </w:pPr>
          </w:p>
        </w:tc>
        <w:tc>
          <w:tcPr>
            <w:tcW w:w="850" w:type="dxa"/>
            <w:vAlign w:val="center"/>
          </w:tcPr>
          <w:p w14:paraId="179EB002">
            <w:pPr>
              <w:spacing w:line="480" w:lineRule="auto"/>
              <w:jc w:val="center"/>
              <w:rPr>
                <w:rFonts w:ascii="宋体" w:hAnsi="宋体"/>
                <w:b/>
                <w:sz w:val="24"/>
                <w:highlight w:val="none"/>
              </w:rPr>
            </w:pPr>
          </w:p>
        </w:tc>
        <w:tc>
          <w:tcPr>
            <w:tcW w:w="993" w:type="dxa"/>
            <w:vAlign w:val="center"/>
          </w:tcPr>
          <w:p w14:paraId="377BDE71">
            <w:pPr>
              <w:spacing w:line="480" w:lineRule="auto"/>
              <w:jc w:val="center"/>
              <w:rPr>
                <w:rFonts w:ascii="宋体" w:hAnsi="宋体"/>
                <w:b/>
                <w:sz w:val="24"/>
                <w:highlight w:val="none"/>
              </w:rPr>
            </w:pPr>
          </w:p>
        </w:tc>
      </w:tr>
      <w:tr w14:paraId="1ED7E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33648008">
            <w:pPr>
              <w:spacing w:line="480" w:lineRule="auto"/>
              <w:jc w:val="center"/>
              <w:rPr>
                <w:rFonts w:ascii="宋体" w:hAnsi="宋体"/>
                <w:b/>
                <w:sz w:val="24"/>
                <w:highlight w:val="none"/>
              </w:rPr>
            </w:pPr>
          </w:p>
        </w:tc>
        <w:tc>
          <w:tcPr>
            <w:tcW w:w="1577" w:type="dxa"/>
          </w:tcPr>
          <w:p w14:paraId="0F02782C">
            <w:pPr>
              <w:spacing w:line="480" w:lineRule="auto"/>
              <w:jc w:val="center"/>
              <w:rPr>
                <w:rFonts w:ascii="宋体" w:hAnsi="宋体"/>
                <w:sz w:val="24"/>
                <w:highlight w:val="none"/>
              </w:rPr>
            </w:pPr>
          </w:p>
        </w:tc>
        <w:tc>
          <w:tcPr>
            <w:tcW w:w="1276" w:type="dxa"/>
            <w:vAlign w:val="center"/>
          </w:tcPr>
          <w:p w14:paraId="54F86CBA">
            <w:pPr>
              <w:spacing w:line="480" w:lineRule="auto"/>
              <w:jc w:val="center"/>
              <w:rPr>
                <w:rFonts w:ascii="宋体" w:hAnsi="宋体"/>
                <w:b/>
                <w:sz w:val="24"/>
                <w:highlight w:val="none"/>
              </w:rPr>
            </w:pPr>
          </w:p>
        </w:tc>
        <w:tc>
          <w:tcPr>
            <w:tcW w:w="1417" w:type="dxa"/>
            <w:vAlign w:val="center"/>
          </w:tcPr>
          <w:p w14:paraId="1FFAF7DF">
            <w:pPr>
              <w:spacing w:line="480" w:lineRule="auto"/>
              <w:jc w:val="center"/>
              <w:rPr>
                <w:rFonts w:ascii="宋体" w:hAnsi="宋体"/>
                <w:b/>
                <w:sz w:val="24"/>
                <w:highlight w:val="none"/>
              </w:rPr>
            </w:pPr>
          </w:p>
        </w:tc>
        <w:tc>
          <w:tcPr>
            <w:tcW w:w="1134" w:type="dxa"/>
            <w:vAlign w:val="center"/>
          </w:tcPr>
          <w:p w14:paraId="7DED075F">
            <w:pPr>
              <w:spacing w:line="480" w:lineRule="auto"/>
              <w:jc w:val="center"/>
              <w:rPr>
                <w:rFonts w:ascii="宋体" w:hAnsi="宋体"/>
                <w:highlight w:val="none"/>
              </w:rPr>
            </w:pPr>
          </w:p>
        </w:tc>
        <w:tc>
          <w:tcPr>
            <w:tcW w:w="851" w:type="dxa"/>
            <w:vAlign w:val="center"/>
          </w:tcPr>
          <w:p w14:paraId="690EC949">
            <w:pPr>
              <w:spacing w:line="480" w:lineRule="auto"/>
              <w:jc w:val="center"/>
              <w:rPr>
                <w:rFonts w:ascii="宋体" w:hAnsi="宋体"/>
                <w:highlight w:val="none"/>
              </w:rPr>
            </w:pPr>
          </w:p>
        </w:tc>
        <w:tc>
          <w:tcPr>
            <w:tcW w:w="1134" w:type="dxa"/>
            <w:vAlign w:val="center"/>
          </w:tcPr>
          <w:p w14:paraId="4277FBBC">
            <w:pPr>
              <w:spacing w:line="480" w:lineRule="auto"/>
              <w:jc w:val="center"/>
              <w:rPr>
                <w:rFonts w:ascii="宋体" w:hAnsi="宋体"/>
                <w:b/>
                <w:sz w:val="24"/>
                <w:highlight w:val="none"/>
              </w:rPr>
            </w:pPr>
          </w:p>
        </w:tc>
        <w:tc>
          <w:tcPr>
            <w:tcW w:w="850" w:type="dxa"/>
            <w:vAlign w:val="center"/>
          </w:tcPr>
          <w:p w14:paraId="4CAE4D3C">
            <w:pPr>
              <w:spacing w:line="480" w:lineRule="auto"/>
              <w:jc w:val="center"/>
              <w:rPr>
                <w:rFonts w:ascii="宋体" w:hAnsi="宋体"/>
                <w:b/>
                <w:sz w:val="24"/>
                <w:highlight w:val="none"/>
              </w:rPr>
            </w:pPr>
          </w:p>
        </w:tc>
        <w:tc>
          <w:tcPr>
            <w:tcW w:w="993" w:type="dxa"/>
            <w:vAlign w:val="center"/>
          </w:tcPr>
          <w:p w14:paraId="42A3CC50">
            <w:pPr>
              <w:spacing w:line="480" w:lineRule="auto"/>
              <w:jc w:val="center"/>
              <w:rPr>
                <w:rFonts w:ascii="宋体" w:hAnsi="宋体"/>
                <w:b/>
                <w:sz w:val="24"/>
                <w:highlight w:val="none"/>
              </w:rPr>
            </w:pPr>
          </w:p>
        </w:tc>
      </w:tr>
      <w:tr w14:paraId="2809C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1709BC19">
            <w:pPr>
              <w:spacing w:line="480" w:lineRule="auto"/>
              <w:jc w:val="center"/>
              <w:rPr>
                <w:rFonts w:ascii="宋体" w:hAnsi="宋体"/>
                <w:b/>
                <w:sz w:val="24"/>
                <w:highlight w:val="none"/>
              </w:rPr>
            </w:pPr>
          </w:p>
        </w:tc>
        <w:tc>
          <w:tcPr>
            <w:tcW w:w="1577" w:type="dxa"/>
          </w:tcPr>
          <w:p w14:paraId="1BCEEC58">
            <w:pPr>
              <w:spacing w:line="480" w:lineRule="auto"/>
              <w:jc w:val="center"/>
              <w:rPr>
                <w:rFonts w:ascii="宋体" w:hAnsi="宋体"/>
                <w:sz w:val="24"/>
                <w:highlight w:val="none"/>
              </w:rPr>
            </w:pPr>
          </w:p>
        </w:tc>
        <w:tc>
          <w:tcPr>
            <w:tcW w:w="1276" w:type="dxa"/>
            <w:vAlign w:val="center"/>
          </w:tcPr>
          <w:p w14:paraId="09CD4739">
            <w:pPr>
              <w:spacing w:line="480" w:lineRule="auto"/>
              <w:jc w:val="center"/>
              <w:rPr>
                <w:rFonts w:ascii="宋体" w:hAnsi="宋体"/>
                <w:b/>
                <w:sz w:val="24"/>
                <w:highlight w:val="none"/>
              </w:rPr>
            </w:pPr>
          </w:p>
        </w:tc>
        <w:tc>
          <w:tcPr>
            <w:tcW w:w="1417" w:type="dxa"/>
            <w:vAlign w:val="center"/>
          </w:tcPr>
          <w:p w14:paraId="1C25F0AA">
            <w:pPr>
              <w:spacing w:line="480" w:lineRule="auto"/>
              <w:jc w:val="center"/>
              <w:rPr>
                <w:rFonts w:ascii="宋体" w:hAnsi="宋体"/>
                <w:b/>
                <w:sz w:val="24"/>
                <w:highlight w:val="none"/>
              </w:rPr>
            </w:pPr>
          </w:p>
        </w:tc>
        <w:tc>
          <w:tcPr>
            <w:tcW w:w="1134" w:type="dxa"/>
            <w:vAlign w:val="center"/>
          </w:tcPr>
          <w:p w14:paraId="6CBF8C55">
            <w:pPr>
              <w:spacing w:line="480" w:lineRule="auto"/>
              <w:jc w:val="center"/>
              <w:rPr>
                <w:rFonts w:ascii="宋体" w:hAnsi="宋体"/>
                <w:highlight w:val="none"/>
              </w:rPr>
            </w:pPr>
          </w:p>
        </w:tc>
        <w:tc>
          <w:tcPr>
            <w:tcW w:w="851" w:type="dxa"/>
            <w:vAlign w:val="center"/>
          </w:tcPr>
          <w:p w14:paraId="2CF6A8B7">
            <w:pPr>
              <w:spacing w:line="480" w:lineRule="auto"/>
              <w:jc w:val="center"/>
              <w:rPr>
                <w:rFonts w:ascii="宋体" w:hAnsi="宋体"/>
                <w:highlight w:val="none"/>
              </w:rPr>
            </w:pPr>
          </w:p>
        </w:tc>
        <w:tc>
          <w:tcPr>
            <w:tcW w:w="1134" w:type="dxa"/>
            <w:vAlign w:val="center"/>
          </w:tcPr>
          <w:p w14:paraId="14A12834">
            <w:pPr>
              <w:spacing w:line="480" w:lineRule="auto"/>
              <w:jc w:val="center"/>
              <w:rPr>
                <w:rFonts w:ascii="宋体" w:hAnsi="宋体"/>
                <w:b/>
                <w:sz w:val="24"/>
                <w:highlight w:val="none"/>
              </w:rPr>
            </w:pPr>
          </w:p>
        </w:tc>
        <w:tc>
          <w:tcPr>
            <w:tcW w:w="850" w:type="dxa"/>
            <w:vAlign w:val="center"/>
          </w:tcPr>
          <w:p w14:paraId="1C5B2B84">
            <w:pPr>
              <w:spacing w:line="480" w:lineRule="auto"/>
              <w:jc w:val="center"/>
              <w:rPr>
                <w:rFonts w:ascii="宋体" w:hAnsi="宋体"/>
                <w:b/>
                <w:sz w:val="24"/>
                <w:highlight w:val="none"/>
              </w:rPr>
            </w:pPr>
          </w:p>
        </w:tc>
        <w:tc>
          <w:tcPr>
            <w:tcW w:w="993" w:type="dxa"/>
            <w:vAlign w:val="center"/>
          </w:tcPr>
          <w:p w14:paraId="7BBC119C">
            <w:pPr>
              <w:spacing w:line="480" w:lineRule="auto"/>
              <w:jc w:val="center"/>
              <w:rPr>
                <w:rFonts w:ascii="宋体" w:hAnsi="宋体"/>
                <w:b/>
                <w:sz w:val="24"/>
                <w:highlight w:val="none"/>
              </w:rPr>
            </w:pPr>
          </w:p>
        </w:tc>
      </w:tr>
      <w:tr w14:paraId="197E3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3FAB798C">
            <w:pPr>
              <w:spacing w:line="480" w:lineRule="auto"/>
              <w:jc w:val="center"/>
              <w:rPr>
                <w:rFonts w:ascii="宋体" w:hAnsi="宋体"/>
                <w:b/>
                <w:sz w:val="24"/>
                <w:highlight w:val="none"/>
              </w:rPr>
            </w:pPr>
          </w:p>
        </w:tc>
        <w:tc>
          <w:tcPr>
            <w:tcW w:w="1577" w:type="dxa"/>
          </w:tcPr>
          <w:p w14:paraId="2440213E">
            <w:pPr>
              <w:spacing w:line="480" w:lineRule="auto"/>
              <w:jc w:val="center"/>
              <w:rPr>
                <w:rFonts w:ascii="宋体" w:hAnsi="宋体"/>
                <w:sz w:val="24"/>
                <w:highlight w:val="none"/>
              </w:rPr>
            </w:pPr>
          </w:p>
        </w:tc>
        <w:tc>
          <w:tcPr>
            <w:tcW w:w="1276" w:type="dxa"/>
            <w:vAlign w:val="center"/>
          </w:tcPr>
          <w:p w14:paraId="7BF20E22">
            <w:pPr>
              <w:spacing w:line="480" w:lineRule="auto"/>
              <w:jc w:val="center"/>
              <w:rPr>
                <w:rFonts w:ascii="宋体" w:hAnsi="宋体"/>
                <w:b/>
                <w:sz w:val="24"/>
                <w:highlight w:val="none"/>
              </w:rPr>
            </w:pPr>
          </w:p>
        </w:tc>
        <w:tc>
          <w:tcPr>
            <w:tcW w:w="1417" w:type="dxa"/>
            <w:vAlign w:val="center"/>
          </w:tcPr>
          <w:p w14:paraId="21008B3A">
            <w:pPr>
              <w:spacing w:line="480" w:lineRule="auto"/>
              <w:jc w:val="center"/>
              <w:rPr>
                <w:rFonts w:ascii="宋体" w:hAnsi="宋体"/>
                <w:b/>
                <w:sz w:val="24"/>
                <w:highlight w:val="none"/>
              </w:rPr>
            </w:pPr>
          </w:p>
        </w:tc>
        <w:tc>
          <w:tcPr>
            <w:tcW w:w="1134" w:type="dxa"/>
            <w:vAlign w:val="center"/>
          </w:tcPr>
          <w:p w14:paraId="5A32AEC0">
            <w:pPr>
              <w:spacing w:line="480" w:lineRule="auto"/>
              <w:jc w:val="center"/>
              <w:rPr>
                <w:rFonts w:ascii="宋体" w:hAnsi="宋体"/>
                <w:highlight w:val="none"/>
              </w:rPr>
            </w:pPr>
          </w:p>
        </w:tc>
        <w:tc>
          <w:tcPr>
            <w:tcW w:w="851" w:type="dxa"/>
            <w:vAlign w:val="center"/>
          </w:tcPr>
          <w:p w14:paraId="16DFE8A4">
            <w:pPr>
              <w:spacing w:line="480" w:lineRule="auto"/>
              <w:jc w:val="center"/>
              <w:rPr>
                <w:rFonts w:ascii="宋体" w:hAnsi="宋体"/>
                <w:highlight w:val="none"/>
              </w:rPr>
            </w:pPr>
          </w:p>
        </w:tc>
        <w:tc>
          <w:tcPr>
            <w:tcW w:w="1134" w:type="dxa"/>
            <w:vAlign w:val="center"/>
          </w:tcPr>
          <w:p w14:paraId="4FF64247">
            <w:pPr>
              <w:spacing w:line="480" w:lineRule="auto"/>
              <w:jc w:val="center"/>
              <w:rPr>
                <w:rFonts w:ascii="宋体" w:hAnsi="宋体"/>
                <w:b/>
                <w:sz w:val="24"/>
                <w:highlight w:val="none"/>
              </w:rPr>
            </w:pPr>
          </w:p>
        </w:tc>
        <w:tc>
          <w:tcPr>
            <w:tcW w:w="850" w:type="dxa"/>
            <w:vAlign w:val="center"/>
          </w:tcPr>
          <w:p w14:paraId="00FF07DC">
            <w:pPr>
              <w:spacing w:line="480" w:lineRule="auto"/>
              <w:jc w:val="center"/>
              <w:rPr>
                <w:rFonts w:ascii="宋体" w:hAnsi="宋体"/>
                <w:b/>
                <w:sz w:val="24"/>
                <w:highlight w:val="none"/>
              </w:rPr>
            </w:pPr>
          </w:p>
        </w:tc>
        <w:tc>
          <w:tcPr>
            <w:tcW w:w="993" w:type="dxa"/>
            <w:vAlign w:val="center"/>
          </w:tcPr>
          <w:p w14:paraId="1B978C40">
            <w:pPr>
              <w:spacing w:line="480" w:lineRule="auto"/>
              <w:jc w:val="center"/>
              <w:rPr>
                <w:rFonts w:ascii="宋体" w:hAnsi="宋体"/>
                <w:b/>
                <w:sz w:val="24"/>
                <w:highlight w:val="none"/>
              </w:rPr>
            </w:pPr>
          </w:p>
        </w:tc>
      </w:tr>
      <w:tr w14:paraId="4A32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79482233">
            <w:pPr>
              <w:spacing w:line="480" w:lineRule="auto"/>
              <w:jc w:val="center"/>
              <w:rPr>
                <w:rFonts w:ascii="宋体" w:hAnsi="宋体"/>
                <w:b/>
                <w:sz w:val="24"/>
                <w:highlight w:val="none"/>
              </w:rPr>
            </w:pPr>
          </w:p>
        </w:tc>
        <w:tc>
          <w:tcPr>
            <w:tcW w:w="1577" w:type="dxa"/>
          </w:tcPr>
          <w:p w14:paraId="2234DC64">
            <w:pPr>
              <w:spacing w:line="480" w:lineRule="auto"/>
              <w:jc w:val="center"/>
              <w:rPr>
                <w:rFonts w:ascii="宋体" w:hAnsi="宋体"/>
                <w:sz w:val="24"/>
                <w:highlight w:val="none"/>
              </w:rPr>
            </w:pPr>
          </w:p>
        </w:tc>
        <w:tc>
          <w:tcPr>
            <w:tcW w:w="1276" w:type="dxa"/>
            <w:vAlign w:val="center"/>
          </w:tcPr>
          <w:p w14:paraId="3FEEA213">
            <w:pPr>
              <w:spacing w:line="480" w:lineRule="auto"/>
              <w:jc w:val="center"/>
              <w:rPr>
                <w:rFonts w:ascii="宋体" w:hAnsi="宋体"/>
                <w:b/>
                <w:sz w:val="24"/>
                <w:highlight w:val="none"/>
              </w:rPr>
            </w:pPr>
          </w:p>
        </w:tc>
        <w:tc>
          <w:tcPr>
            <w:tcW w:w="1417" w:type="dxa"/>
            <w:vAlign w:val="center"/>
          </w:tcPr>
          <w:p w14:paraId="51C78FFF">
            <w:pPr>
              <w:spacing w:line="480" w:lineRule="auto"/>
              <w:jc w:val="center"/>
              <w:rPr>
                <w:rFonts w:ascii="宋体" w:hAnsi="宋体"/>
                <w:b/>
                <w:sz w:val="24"/>
                <w:highlight w:val="none"/>
              </w:rPr>
            </w:pPr>
          </w:p>
        </w:tc>
        <w:tc>
          <w:tcPr>
            <w:tcW w:w="1134" w:type="dxa"/>
            <w:vAlign w:val="center"/>
          </w:tcPr>
          <w:p w14:paraId="06E180BE">
            <w:pPr>
              <w:spacing w:line="480" w:lineRule="auto"/>
              <w:jc w:val="center"/>
              <w:rPr>
                <w:rFonts w:ascii="宋体" w:hAnsi="宋体"/>
                <w:highlight w:val="none"/>
              </w:rPr>
            </w:pPr>
          </w:p>
        </w:tc>
        <w:tc>
          <w:tcPr>
            <w:tcW w:w="851" w:type="dxa"/>
            <w:vAlign w:val="center"/>
          </w:tcPr>
          <w:p w14:paraId="5109D2CB">
            <w:pPr>
              <w:spacing w:line="480" w:lineRule="auto"/>
              <w:jc w:val="center"/>
              <w:rPr>
                <w:rFonts w:ascii="宋体" w:hAnsi="宋体"/>
                <w:highlight w:val="none"/>
              </w:rPr>
            </w:pPr>
          </w:p>
        </w:tc>
        <w:tc>
          <w:tcPr>
            <w:tcW w:w="1134" w:type="dxa"/>
            <w:vAlign w:val="center"/>
          </w:tcPr>
          <w:p w14:paraId="46ACB1B8">
            <w:pPr>
              <w:spacing w:line="480" w:lineRule="auto"/>
              <w:jc w:val="center"/>
              <w:rPr>
                <w:rFonts w:ascii="宋体" w:hAnsi="宋体"/>
                <w:b/>
                <w:sz w:val="24"/>
                <w:highlight w:val="none"/>
              </w:rPr>
            </w:pPr>
          </w:p>
        </w:tc>
        <w:tc>
          <w:tcPr>
            <w:tcW w:w="850" w:type="dxa"/>
            <w:vAlign w:val="center"/>
          </w:tcPr>
          <w:p w14:paraId="40E585FE">
            <w:pPr>
              <w:spacing w:line="480" w:lineRule="auto"/>
              <w:jc w:val="center"/>
              <w:rPr>
                <w:rFonts w:ascii="宋体" w:hAnsi="宋体"/>
                <w:b/>
                <w:sz w:val="24"/>
                <w:highlight w:val="none"/>
              </w:rPr>
            </w:pPr>
          </w:p>
        </w:tc>
        <w:tc>
          <w:tcPr>
            <w:tcW w:w="993" w:type="dxa"/>
            <w:vAlign w:val="center"/>
          </w:tcPr>
          <w:p w14:paraId="63035985">
            <w:pPr>
              <w:spacing w:line="480" w:lineRule="auto"/>
              <w:jc w:val="center"/>
              <w:rPr>
                <w:rFonts w:ascii="宋体" w:hAnsi="宋体"/>
                <w:b/>
                <w:sz w:val="24"/>
                <w:highlight w:val="none"/>
              </w:rPr>
            </w:pPr>
          </w:p>
        </w:tc>
      </w:tr>
      <w:tr w14:paraId="4C0F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5A37CEE6">
            <w:pPr>
              <w:spacing w:line="480" w:lineRule="auto"/>
              <w:jc w:val="center"/>
              <w:rPr>
                <w:rFonts w:ascii="宋体" w:hAnsi="宋体"/>
                <w:b/>
                <w:sz w:val="24"/>
                <w:highlight w:val="none"/>
              </w:rPr>
            </w:pPr>
          </w:p>
        </w:tc>
        <w:tc>
          <w:tcPr>
            <w:tcW w:w="1577" w:type="dxa"/>
          </w:tcPr>
          <w:p w14:paraId="2C53E916">
            <w:pPr>
              <w:spacing w:line="480" w:lineRule="auto"/>
              <w:jc w:val="center"/>
              <w:rPr>
                <w:rFonts w:ascii="宋体" w:hAnsi="宋体"/>
                <w:sz w:val="24"/>
                <w:highlight w:val="none"/>
              </w:rPr>
            </w:pPr>
          </w:p>
        </w:tc>
        <w:tc>
          <w:tcPr>
            <w:tcW w:w="1276" w:type="dxa"/>
            <w:vAlign w:val="center"/>
          </w:tcPr>
          <w:p w14:paraId="2DCB0DFB">
            <w:pPr>
              <w:spacing w:line="480" w:lineRule="auto"/>
              <w:jc w:val="center"/>
              <w:rPr>
                <w:rFonts w:ascii="宋体" w:hAnsi="宋体"/>
                <w:b/>
                <w:sz w:val="24"/>
                <w:highlight w:val="none"/>
              </w:rPr>
            </w:pPr>
          </w:p>
        </w:tc>
        <w:tc>
          <w:tcPr>
            <w:tcW w:w="1417" w:type="dxa"/>
            <w:vAlign w:val="center"/>
          </w:tcPr>
          <w:p w14:paraId="5CA7BE1F">
            <w:pPr>
              <w:spacing w:line="480" w:lineRule="auto"/>
              <w:jc w:val="center"/>
              <w:rPr>
                <w:rFonts w:ascii="宋体" w:hAnsi="宋体"/>
                <w:b/>
                <w:sz w:val="24"/>
                <w:highlight w:val="none"/>
              </w:rPr>
            </w:pPr>
          </w:p>
        </w:tc>
        <w:tc>
          <w:tcPr>
            <w:tcW w:w="1134" w:type="dxa"/>
            <w:vAlign w:val="center"/>
          </w:tcPr>
          <w:p w14:paraId="494CE12B">
            <w:pPr>
              <w:spacing w:line="480" w:lineRule="auto"/>
              <w:jc w:val="center"/>
              <w:rPr>
                <w:rFonts w:ascii="宋体" w:hAnsi="宋体"/>
                <w:highlight w:val="none"/>
              </w:rPr>
            </w:pPr>
          </w:p>
        </w:tc>
        <w:tc>
          <w:tcPr>
            <w:tcW w:w="851" w:type="dxa"/>
            <w:vAlign w:val="center"/>
          </w:tcPr>
          <w:p w14:paraId="37F4D4C6">
            <w:pPr>
              <w:spacing w:line="480" w:lineRule="auto"/>
              <w:jc w:val="center"/>
              <w:rPr>
                <w:rFonts w:ascii="宋体" w:hAnsi="宋体"/>
                <w:highlight w:val="none"/>
              </w:rPr>
            </w:pPr>
          </w:p>
        </w:tc>
        <w:tc>
          <w:tcPr>
            <w:tcW w:w="1134" w:type="dxa"/>
            <w:vAlign w:val="center"/>
          </w:tcPr>
          <w:p w14:paraId="0C42FFFE">
            <w:pPr>
              <w:spacing w:line="480" w:lineRule="auto"/>
              <w:jc w:val="center"/>
              <w:rPr>
                <w:rFonts w:ascii="宋体" w:hAnsi="宋体"/>
                <w:b/>
                <w:sz w:val="24"/>
                <w:highlight w:val="none"/>
              </w:rPr>
            </w:pPr>
          </w:p>
        </w:tc>
        <w:tc>
          <w:tcPr>
            <w:tcW w:w="850" w:type="dxa"/>
            <w:vAlign w:val="center"/>
          </w:tcPr>
          <w:p w14:paraId="01ECED65">
            <w:pPr>
              <w:spacing w:line="480" w:lineRule="auto"/>
              <w:jc w:val="center"/>
              <w:rPr>
                <w:rFonts w:ascii="宋体" w:hAnsi="宋体"/>
                <w:b/>
                <w:sz w:val="24"/>
                <w:highlight w:val="none"/>
              </w:rPr>
            </w:pPr>
          </w:p>
        </w:tc>
        <w:tc>
          <w:tcPr>
            <w:tcW w:w="993" w:type="dxa"/>
            <w:vAlign w:val="center"/>
          </w:tcPr>
          <w:p w14:paraId="7E557CE1">
            <w:pPr>
              <w:spacing w:line="480" w:lineRule="auto"/>
              <w:jc w:val="center"/>
              <w:rPr>
                <w:rFonts w:ascii="宋体" w:hAnsi="宋体"/>
                <w:b/>
                <w:sz w:val="24"/>
                <w:highlight w:val="none"/>
              </w:rPr>
            </w:pPr>
          </w:p>
        </w:tc>
      </w:tr>
      <w:tr w14:paraId="5830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279F37F6">
            <w:pPr>
              <w:spacing w:line="480" w:lineRule="auto"/>
              <w:jc w:val="center"/>
              <w:rPr>
                <w:rFonts w:ascii="宋体" w:hAnsi="宋体"/>
                <w:b/>
                <w:sz w:val="24"/>
                <w:highlight w:val="none"/>
              </w:rPr>
            </w:pPr>
          </w:p>
        </w:tc>
        <w:tc>
          <w:tcPr>
            <w:tcW w:w="1577" w:type="dxa"/>
          </w:tcPr>
          <w:p w14:paraId="623A3A36">
            <w:pPr>
              <w:spacing w:line="480" w:lineRule="auto"/>
              <w:jc w:val="center"/>
              <w:rPr>
                <w:rFonts w:ascii="宋体" w:hAnsi="宋体"/>
                <w:sz w:val="24"/>
                <w:highlight w:val="none"/>
              </w:rPr>
            </w:pPr>
          </w:p>
        </w:tc>
        <w:tc>
          <w:tcPr>
            <w:tcW w:w="1276" w:type="dxa"/>
            <w:vAlign w:val="center"/>
          </w:tcPr>
          <w:p w14:paraId="1FB3FCEB">
            <w:pPr>
              <w:spacing w:line="480" w:lineRule="auto"/>
              <w:jc w:val="center"/>
              <w:rPr>
                <w:rFonts w:ascii="宋体" w:hAnsi="宋体"/>
                <w:b/>
                <w:sz w:val="24"/>
                <w:highlight w:val="none"/>
              </w:rPr>
            </w:pPr>
          </w:p>
        </w:tc>
        <w:tc>
          <w:tcPr>
            <w:tcW w:w="1417" w:type="dxa"/>
            <w:vAlign w:val="center"/>
          </w:tcPr>
          <w:p w14:paraId="5B96888F">
            <w:pPr>
              <w:spacing w:line="480" w:lineRule="auto"/>
              <w:jc w:val="center"/>
              <w:rPr>
                <w:rFonts w:ascii="宋体" w:hAnsi="宋体"/>
                <w:b/>
                <w:sz w:val="24"/>
                <w:highlight w:val="none"/>
              </w:rPr>
            </w:pPr>
          </w:p>
        </w:tc>
        <w:tc>
          <w:tcPr>
            <w:tcW w:w="1134" w:type="dxa"/>
            <w:vAlign w:val="center"/>
          </w:tcPr>
          <w:p w14:paraId="7EF57C4A">
            <w:pPr>
              <w:spacing w:line="480" w:lineRule="auto"/>
              <w:jc w:val="center"/>
              <w:rPr>
                <w:rFonts w:ascii="宋体" w:hAnsi="宋体"/>
                <w:highlight w:val="none"/>
              </w:rPr>
            </w:pPr>
          </w:p>
        </w:tc>
        <w:tc>
          <w:tcPr>
            <w:tcW w:w="851" w:type="dxa"/>
            <w:vAlign w:val="center"/>
          </w:tcPr>
          <w:p w14:paraId="52BEBBCA">
            <w:pPr>
              <w:spacing w:line="480" w:lineRule="auto"/>
              <w:jc w:val="center"/>
              <w:rPr>
                <w:rFonts w:ascii="宋体" w:hAnsi="宋体"/>
                <w:highlight w:val="none"/>
              </w:rPr>
            </w:pPr>
          </w:p>
        </w:tc>
        <w:tc>
          <w:tcPr>
            <w:tcW w:w="1134" w:type="dxa"/>
            <w:vAlign w:val="center"/>
          </w:tcPr>
          <w:p w14:paraId="18FC98E6">
            <w:pPr>
              <w:spacing w:line="480" w:lineRule="auto"/>
              <w:jc w:val="center"/>
              <w:rPr>
                <w:rFonts w:ascii="宋体" w:hAnsi="宋体"/>
                <w:b/>
                <w:sz w:val="24"/>
                <w:highlight w:val="none"/>
              </w:rPr>
            </w:pPr>
          </w:p>
        </w:tc>
        <w:tc>
          <w:tcPr>
            <w:tcW w:w="850" w:type="dxa"/>
            <w:vAlign w:val="center"/>
          </w:tcPr>
          <w:p w14:paraId="72AEBDD9">
            <w:pPr>
              <w:spacing w:line="480" w:lineRule="auto"/>
              <w:jc w:val="center"/>
              <w:rPr>
                <w:rFonts w:ascii="宋体" w:hAnsi="宋体"/>
                <w:b/>
                <w:sz w:val="24"/>
                <w:highlight w:val="none"/>
              </w:rPr>
            </w:pPr>
          </w:p>
        </w:tc>
        <w:tc>
          <w:tcPr>
            <w:tcW w:w="993" w:type="dxa"/>
            <w:vAlign w:val="center"/>
          </w:tcPr>
          <w:p w14:paraId="53B4C8FE">
            <w:pPr>
              <w:spacing w:line="480" w:lineRule="auto"/>
              <w:jc w:val="center"/>
              <w:rPr>
                <w:rFonts w:ascii="宋体" w:hAnsi="宋体"/>
                <w:b/>
                <w:sz w:val="24"/>
                <w:highlight w:val="none"/>
              </w:rPr>
            </w:pPr>
          </w:p>
        </w:tc>
      </w:tr>
      <w:tr w14:paraId="55CF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2303A08A">
            <w:pPr>
              <w:spacing w:line="480" w:lineRule="auto"/>
              <w:jc w:val="center"/>
              <w:rPr>
                <w:rFonts w:ascii="宋体" w:hAnsi="宋体"/>
                <w:b/>
                <w:sz w:val="24"/>
                <w:highlight w:val="none"/>
              </w:rPr>
            </w:pPr>
          </w:p>
        </w:tc>
        <w:tc>
          <w:tcPr>
            <w:tcW w:w="1577" w:type="dxa"/>
          </w:tcPr>
          <w:p w14:paraId="03ABD8EB">
            <w:pPr>
              <w:spacing w:line="480" w:lineRule="auto"/>
              <w:jc w:val="center"/>
              <w:rPr>
                <w:rFonts w:ascii="宋体" w:hAnsi="宋体"/>
                <w:sz w:val="24"/>
                <w:highlight w:val="none"/>
              </w:rPr>
            </w:pPr>
          </w:p>
        </w:tc>
        <w:tc>
          <w:tcPr>
            <w:tcW w:w="1276" w:type="dxa"/>
            <w:vAlign w:val="center"/>
          </w:tcPr>
          <w:p w14:paraId="5C25E9CB">
            <w:pPr>
              <w:spacing w:line="480" w:lineRule="auto"/>
              <w:jc w:val="center"/>
              <w:rPr>
                <w:rFonts w:ascii="宋体" w:hAnsi="宋体"/>
                <w:b/>
                <w:sz w:val="24"/>
                <w:highlight w:val="none"/>
              </w:rPr>
            </w:pPr>
          </w:p>
        </w:tc>
        <w:tc>
          <w:tcPr>
            <w:tcW w:w="1417" w:type="dxa"/>
            <w:vAlign w:val="center"/>
          </w:tcPr>
          <w:p w14:paraId="03D4F140">
            <w:pPr>
              <w:spacing w:line="480" w:lineRule="auto"/>
              <w:jc w:val="center"/>
              <w:rPr>
                <w:rFonts w:ascii="宋体" w:hAnsi="宋体"/>
                <w:b/>
                <w:sz w:val="24"/>
                <w:highlight w:val="none"/>
              </w:rPr>
            </w:pPr>
          </w:p>
        </w:tc>
        <w:tc>
          <w:tcPr>
            <w:tcW w:w="1134" w:type="dxa"/>
            <w:vAlign w:val="center"/>
          </w:tcPr>
          <w:p w14:paraId="15FA4B9E">
            <w:pPr>
              <w:spacing w:line="480" w:lineRule="auto"/>
              <w:jc w:val="center"/>
              <w:rPr>
                <w:rFonts w:ascii="宋体" w:hAnsi="宋体"/>
                <w:highlight w:val="none"/>
              </w:rPr>
            </w:pPr>
          </w:p>
        </w:tc>
        <w:tc>
          <w:tcPr>
            <w:tcW w:w="851" w:type="dxa"/>
            <w:vAlign w:val="center"/>
          </w:tcPr>
          <w:p w14:paraId="1130BD60">
            <w:pPr>
              <w:spacing w:line="480" w:lineRule="auto"/>
              <w:jc w:val="center"/>
              <w:rPr>
                <w:rFonts w:ascii="宋体" w:hAnsi="宋体"/>
                <w:highlight w:val="none"/>
              </w:rPr>
            </w:pPr>
          </w:p>
        </w:tc>
        <w:tc>
          <w:tcPr>
            <w:tcW w:w="1134" w:type="dxa"/>
            <w:vAlign w:val="center"/>
          </w:tcPr>
          <w:p w14:paraId="317FB3DA">
            <w:pPr>
              <w:spacing w:line="480" w:lineRule="auto"/>
              <w:jc w:val="center"/>
              <w:rPr>
                <w:rFonts w:ascii="宋体" w:hAnsi="宋体"/>
                <w:b/>
                <w:sz w:val="24"/>
                <w:highlight w:val="none"/>
              </w:rPr>
            </w:pPr>
          </w:p>
        </w:tc>
        <w:tc>
          <w:tcPr>
            <w:tcW w:w="850" w:type="dxa"/>
            <w:vAlign w:val="center"/>
          </w:tcPr>
          <w:p w14:paraId="2F27FA0B">
            <w:pPr>
              <w:spacing w:line="480" w:lineRule="auto"/>
              <w:jc w:val="center"/>
              <w:rPr>
                <w:rFonts w:ascii="宋体" w:hAnsi="宋体"/>
                <w:b/>
                <w:sz w:val="24"/>
                <w:highlight w:val="none"/>
              </w:rPr>
            </w:pPr>
          </w:p>
        </w:tc>
        <w:tc>
          <w:tcPr>
            <w:tcW w:w="993" w:type="dxa"/>
            <w:vAlign w:val="center"/>
          </w:tcPr>
          <w:p w14:paraId="26BE27DD">
            <w:pPr>
              <w:spacing w:line="480" w:lineRule="auto"/>
              <w:jc w:val="center"/>
              <w:rPr>
                <w:rFonts w:ascii="宋体" w:hAnsi="宋体"/>
                <w:b/>
                <w:sz w:val="24"/>
                <w:highlight w:val="none"/>
              </w:rPr>
            </w:pPr>
          </w:p>
        </w:tc>
      </w:tr>
      <w:tr w14:paraId="7D924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28" w:type="dxa"/>
            <w:vAlign w:val="center"/>
          </w:tcPr>
          <w:p w14:paraId="6697565C">
            <w:pPr>
              <w:spacing w:line="480" w:lineRule="auto"/>
              <w:jc w:val="center"/>
              <w:rPr>
                <w:rFonts w:ascii="宋体" w:hAnsi="宋体"/>
                <w:b/>
                <w:sz w:val="24"/>
                <w:highlight w:val="none"/>
              </w:rPr>
            </w:pPr>
          </w:p>
        </w:tc>
        <w:tc>
          <w:tcPr>
            <w:tcW w:w="1577" w:type="dxa"/>
          </w:tcPr>
          <w:p w14:paraId="0A98C9CE">
            <w:pPr>
              <w:spacing w:line="480" w:lineRule="auto"/>
              <w:jc w:val="center"/>
              <w:rPr>
                <w:rFonts w:ascii="宋体" w:hAnsi="宋体"/>
                <w:sz w:val="24"/>
                <w:highlight w:val="none"/>
              </w:rPr>
            </w:pPr>
          </w:p>
        </w:tc>
        <w:tc>
          <w:tcPr>
            <w:tcW w:w="1276" w:type="dxa"/>
            <w:vAlign w:val="center"/>
          </w:tcPr>
          <w:p w14:paraId="0AF76DDD">
            <w:pPr>
              <w:spacing w:line="480" w:lineRule="auto"/>
              <w:jc w:val="center"/>
              <w:rPr>
                <w:rFonts w:ascii="宋体" w:hAnsi="宋体"/>
                <w:b/>
                <w:sz w:val="24"/>
                <w:highlight w:val="none"/>
              </w:rPr>
            </w:pPr>
          </w:p>
        </w:tc>
        <w:tc>
          <w:tcPr>
            <w:tcW w:w="1417" w:type="dxa"/>
            <w:vAlign w:val="center"/>
          </w:tcPr>
          <w:p w14:paraId="0FFBF31C">
            <w:pPr>
              <w:spacing w:line="480" w:lineRule="auto"/>
              <w:jc w:val="center"/>
              <w:rPr>
                <w:rFonts w:ascii="宋体" w:hAnsi="宋体"/>
                <w:b/>
                <w:sz w:val="24"/>
                <w:highlight w:val="none"/>
              </w:rPr>
            </w:pPr>
          </w:p>
        </w:tc>
        <w:tc>
          <w:tcPr>
            <w:tcW w:w="1134" w:type="dxa"/>
            <w:vAlign w:val="center"/>
          </w:tcPr>
          <w:p w14:paraId="5E3A6617">
            <w:pPr>
              <w:spacing w:line="480" w:lineRule="auto"/>
              <w:jc w:val="center"/>
              <w:rPr>
                <w:rFonts w:ascii="宋体" w:hAnsi="宋体"/>
                <w:highlight w:val="none"/>
              </w:rPr>
            </w:pPr>
          </w:p>
        </w:tc>
        <w:tc>
          <w:tcPr>
            <w:tcW w:w="851" w:type="dxa"/>
            <w:vAlign w:val="center"/>
          </w:tcPr>
          <w:p w14:paraId="4EC87028">
            <w:pPr>
              <w:spacing w:line="480" w:lineRule="auto"/>
              <w:jc w:val="center"/>
              <w:rPr>
                <w:rFonts w:ascii="宋体" w:hAnsi="宋体"/>
                <w:highlight w:val="none"/>
              </w:rPr>
            </w:pPr>
          </w:p>
        </w:tc>
        <w:tc>
          <w:tcPr>
            <w:tcW w:w="1134" w:type="dxa"/>
            <w:vAlign w:val="center"/>
          </w:tcPr>
          <w:p w14:paraId="358987D6">
            <w:pPr>
              <w:spacing w:line="480" w:lineRule="auto"/>
              <w:jc w:val="center"/>
              <w:rPr>
                <w:rFonts w:ascii="宋体" w:hAnsi="宋体"/>
                <w:b/>
                <w:sz w:val="24"/>
                <w:highlight w:val="none"/>
              </w:rPr>
            </w:pPr>
          </w:p>
        </w:tc>
        <w:tc>
          <w:tcPr>
            <w:tcW w:w="850" w:type="dxa"/>
            <w:vAlign w:val="center"/>
          </w:tcPr>
          <w:p w14:paraId="7678C0BA">
            <w:pPr>
              <w:spacing w:line="480" w:lineRule="auto"/>
              <w:jc w:val="center"/>
              <w:rPr>
                <w:rFonts w:ascii="宋体" w:hAnsi="宋体"/>
                <w:b/>
                <w:sz w:val="24"/>
                <w:highlight w:val="none"/>
              </w:rPr>
            </w:pPr>
          </w:p>
        </w:tc>
        <w:tc>
          <w:tcPr>
            <w:tcW w:w="993" w:type="dxa"/>
            <w:vAlign w:val="center"/>
          </w:tcPr>
          <w:p w14:paraId="7F978D54">
            <w:pPr>
              <w:spacing w:line="480" w:lineRule="auto"/>
              <w:jc w:val="center"/>
              <w:rPr>
                <w:rFonts w:ascii="宋体" w:hAnsi="宋体"/>
                <w:b/>
                <w:sz w:val="24"/>
                <w:highlight w:val="none"/>
              </w:rPr>
            </w:pPr>
          </w:p>
        </w:tc>
      </w:tr>
      <w:tr w14:paraId="18BB5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0060" w:type="dxa"/>
            <w:gridSpan w:val="9"/>
            <w:vAlign w:val="center"/>
          </w:tcPr>
          <w:p w14:paraId="549C0B7A">
            <w:pPr>
              <w:spacing w:line="480" w:lineRule="auto"/>
              <w:jc w:val="left"/>
              <w:rPr>
                <w:rFonts w:ascii="宋体" w:hAnsi="宋体"/>
                <w:b/>
                <w:sz w:val="28"/>
                <w:szCs w:val="28"/>
                <w:highlight w:val="none"/>
              </w:rPr>
            </w:pPr>
            <w:r>
              <w:rPr>
                <w:rFonts w:hint="eastAsia" w:ascii="宋体" w:hAnsi="宋体"/>
                <w:b/>
                <w:sz w:val="24"/>
                <w:highlight w:val="none"/>
              </w:rPr>
              <w:t xml:space="preserve">合计人民币：大写                             </w:t>
            </w:r>
            <w:r>
              <w:rPr>
                <w:rFonts w:ascii="宋体" w:hAnsi="宋体"/>
                <w:b/>
                <w:sz w:val="24"/>
                <w:highlight w:val="none"/>
              </w:rPr>
              <w:t xml:space="preserve">              </w:t>
            </w:r>
            <w:r>
              <w:rPr>
                <w:rFonts w:hint="eastAsia" w:ascii="宋体" w:hAnsi="宋体"/>
                <w:b/>
                <w:sz w:val="24"/>
                <w:highlight w:val="none"/>
              </w:rPr>
              <w:t xml:space="preserve">  小写</w:t>
            </w:r>
          </w:p>
        </w:tc>
      </w:tr>
    </w:tbl>
    <w:p w14:paraId="1BD48934">
      <w:pPr>
        <w:snapToGrid w:val="0"/>
        <w:spacing w:before="50" w:after="50" w:line="420" w:lineRule="exact"/>
        <w:jc w:val="left"/>
        <w:rPr>
          <w:rFonts w:ascii="宋体" w:hAnsi="宋体"/>
          <w:b/>
          <w:bCs/>
          <w:sz w:val="24"/>
          <w:highlight w:val="none"/>
        </w:rPr>
      </w:pPr>
      <w:r>
        <w:rPr>
          <w:rFonts w:hint="eastAsia" w:ascii="宋体" w:hAnsi="宋体"/>
          <w:b/>
          <w:bCs/>
          <w:sz w:val="24"/>
          <w:highlight w:val="none"/>
        </w:rPr>
        <w:t>说明：</w:t>
      </w:r>
    </w:p>
    <w:p w14:paraId="3BACC72E">
      <w:pPr>
        <w:snapToGrid w:val="0"/>
        <w:spacing w:before="50" w:after="120" w:afterLines="50" w:line="360" w:lineRule="auto"/>
        <w:jc w:val="left"/>
        <w:rPr>
          <w:rFonts w:ascii="宋体" w:hAnsi="宋体"/>
          <w:b/>
          <w:sz w:val="24"/>
          <w:highlight w:val="none"/>
        </w:rPr>
      </w:pPr>
      <w:r>
        <w:rPr>
          <w:rFonts w:hint="eastAsia" w:ascii="宋体" w:hAnsi="宋体"/>
          <w:b/>
          <w:sz w:val="24"/>
          <w:highlight w:val="none"/>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43DCC285">
      <w:pPr>
        <w:snapToGrid w:val="0"/>
        <w:spacing w:before="50" w:after="50" w:line="420" w:lineRule="exact"/>
        <w:jc w:val="left"/>
        <w:rPr>
          <w:rFonts w:ascii="宋体" w:hAnsi="宋体"/>
          <w:sz w:val="24"/>
          <w:highlight w:val="none"/>
        </w:rPr>
      </w:pPr>
      <w:r>
        <w:rPr>
          <w:rFonts w:hint="eastAsia" w:ascii="宋体" w:hAnsi="宋体"/>
          <w:sz w:val="24"/>
          <w:highlight w:val="none"/>
        </w:rPr>
        <w:t>2、报价一经涂改，应在涂改处加盖单位公章或者由法定代表人签字或盖章</w:t>
      </w:r>
      <w:r>
        <w:rPr>
          <w:rFonts w:hint="eastAsia" w:ascii="宋体" w:hAnsi="宋体"/>
          <w:b/>
          <w:sz w:val="24"/>
          <w:szCs w:val="20"/>
          <w:highlight w:val="none"/>
        </w:rPr>
        <w:t>或授权委托人签字或盖章</w:t>
      </w:r>
      <w:r>
        <w:rPr>
          <w:rFonts w:hint="eastAsia" w:ascii="宋体" w:hAnsi="宋体"/>
          <w:sz w:val="24"/>
          <w:highlight w:val="none"/>
        </w:rPr>
        <w:t>。</w:t>
      </w:r>
      <w:bookmarkEnd w:id="77"/>
    </w:p>
    <w:p w14:paraId="5F78FD41">
      <w:pPr>
        <w:snapToGrid w:val="0"/>
        <w:spacing w:before="50" w:after="120" w:afterLines="50" w:line="360" w:lineRule="auto"/>
        <w:jc w:val="left"/>
        <w:rPr>
          <w:rFonts w:ascii="宋体" w:hAnsi="宋体"/>
          <w:b/>
          <w:spacing w:val="20"/>
          <w:sz w:val="24"/>
          <w:highlight w:val="none"/>
        </w:rPr>
      </w:pPr>
    </w:p>
    <w:p w14:paraId="1E71232E">
      <w:pPr>
        <w:snapToGrid w:val="0"/>
        <w:spacing w:before="50" w:after="120" w:afterLines="50" w:line="360" w:lineRule="auto"/>
        <w:jc w:val="left"/>
        <w:rPr>
          <w:rFonts w:ascii="宋体" w:hAnsi="宋体"/>
          <w:b/>
          <w:spacing w:val="20"/>
          <w:sz w:val="24"/>
          <w:highlight w:val="none"/>
        </w:rPr>
      </w:pPr>
      <w:r>
        <w:rPr>
          <w:rFonts w:hint="eastAsia" w:ascii="宋体" w:hAnsi="宋体"/>
          <w:b/>
          <w:spacing w:val="20"/>
          <w:sz w:val="24"/>
          <w:highlight w:val="none"/>
        </w:rPr>
        <w:t>法定代表人或其授权人（签字或盖章）：        投标人（盖章）：</w:t>
      </w:r>
    </w:p>
    <w:p w14:paraId="0C85C493">
      <w:pPr>
        <w:snapToGrid w:val="0"/>
        <w:spacing w:before="50" w:after="120" w:afterLines="50" w:line="360" w:lineRule="auto"/>
        <w:jc w:val="left"/>
        <w:rPr>
          <w:rFonts w:hAnsi="宋体"/>
          <w:b/>
          <w:spacing w:val="20"/>
          <w:highlight w:val="none"/>
        </w:rPr>
      </w:pPr>
      <w:r>
        <w:rPr>
          <w:rFonts w:hint="eastAsia" w:hAnsi="宋体"/>
          <w:b/>
          <w:spacing w:val="20"/>
          <w:highlight w:val="none"/>
        </w:rPr>
        <w:t>日期：_____年___月___日</w:t>
      </w:r>
    </w:p>
    <w:p w14:paraId="2C00655E">
      <w:pPr>
        <w:snapToGrid w:val="0"/>
        <w:spacing w:line="360" w:lineRule="auto"/>
        <w:rPr>
          <w:rFonts w:hAnsi="宋体"/>
          <w:highlight w:val="none"/>
        </w:rPr>
        <w:sectPr>
          <w:footerReference r:id="rId4" w:type="default"/>
          <w:footerReference r:id="rId5" w:type="even"/>
          <w:pgSz w:w="11906" w:h="16838"/>
          <w:pgMar w:top="1021" w:right="1588" w:bottom="851" w:left="1588" w:header="851" w:footer="851" w:gutter="0"/>
          <w:cols w:space="720" w:num="1"/>
        </w:sectPr>
      </w:pPr>
    </w:p>
    <w:p w14:paraId="07AC6D9C">
      <w:pPr>
        <w:snapToGrid w:val="0"/>
        <w:spacing w:line="360" w:lineRule="auto"/>
        <w:rPr>
          <w:rFonts w:hAnsi="宋体"/>
          <w:sz w:val="24"/>
          <w:highlight w:val="none"/>
        </w:rPr>
      </w:pPr>
      <w:r>
        <w:rPr>
          <w:rFonts w:hint="eastAsia" w:hAnsi="宋体"/>
          <w:highlight w:val="none"/>
        </w:rPr>
        <w:t>15</w:t>
      </w:r>
      <w:bookmarkEnd w:id="76"/>
      <w:r>
        <w:rPr>
          <w:rFonts w:hint="eastAsia" w:hAnsi="宋体"/>
          <w:highlight w:val="none"/>
        </w:rPr>
        <w:t>.</w:t>
      </w:r>
      <w:r>
        <w:rPr>
          <w:rFonts w:hint="eastAsia" w:hAnsi="宋体"/>
          <w:sz w:val="24"/>
          <w:highlight w:val="none"/>
        </w:rPr>
        <w:t>采购活动现场确认声明书</w:t>
      </w:r>
    </w:p>
    <w:p w14:paraId="45BDA869">
      <w:pPr>
        <w:snapToGrid w:val="0"/>
        <w:spacing w:line="500" w:lineRule="exact"/>
        <w:jc w:val="center"/>
        <w:rPr>
          <w:rFonts w:ascii="方正小标宋简体" w:hAnsi="方正小标宋简体" w:eastAsia="方正小标宋简体" w:cs="方正小标宋简体"/>
          <w:sz w:val="44"/>
          <w:szCs w:val="44"/>
          <w:highlight w:val="none"/>
        </w:rPr>
      </w:pPr>
    </w:p>
    <w:p w14:paraId="25B9BB92">
      <w:pPr>
        <w:snapToGrid w:val="0"/>
        <w:spacing w:line="500" w:lineRule="exact"/>
        <w:jc w:val="center"/>
        <w:rPr>
          <w:rFonts w:ascii="宋体" w:hAnsi="宋体" w:cs="方正小标宋简体"/>
          <w:b/>
          <w:sz w:val="44"/>
          <w:szCs w:val="44"/>
          <w:highlight w:val="none"/>
        </w:rPr>
      </w:pPr>
      <w:r>
        <w:rPr>
          <w:rFonts w:hint="eastAsia" w:ascii="宋体" w:hAnsi="宋体" w:cs="方正小标宋简体"/>
          <w:b/>
          <w:sz w:val="44"/>
          <w:szCs w:val="44"/>
          <w:highlight w:val="none"/>
        </w:rPr>
        <w:t>采购活动现场确认声明书</w:t>
      </w:r>
    </w:p>
    <w:p w14:paraId="0B0D440B">
      <w:pPr>
        <w:snapToGrid w:val="0"/>
        <w:spacing w:line="500" w:lineRule="exact"/>
        <w:rPr>
          <w:rFonts w:ascii="仿宋" w:hAnsi="Courier New" w:eastAsia="仿宋"/>
          <w:b/>
          <w:sz w:val="24"/>
          <w:highlight w:val="none"/>
        </w:rPr>
      </w:pPr>
      <w:r>
        <w:rPr>
          <w:rFonts w:hint="eastAsia" w:ascii="仿宋" w:hAnsi="仿宋"/>
          <w:kern w:val="0"/>
          <w:sz w:val="24"/>
          <w:highlight w:val="none"/>
          <w:u w:val="single"/>
        </w:rPr>
        <w:t xml:space="preserve"> </w:t>
      </w:r>
      <w:r>
        <w:rPr>
          <w:rFonts w:ascii="仿宋" w:hAnsi="仿宋"/>
          <w:kern w:val="0"/>
          <w:sz w:val="24"/>
          <w:highlight w:val="none"/>
          <w:u w:val="single"/>
        </w:rPr>
        <w:t xml:space="preserve">               </w:t>
      </w:r>
      <w:r>
        <w:rPr>
          <w:rFonts w:hint="eastAsia" w:ascii="仿宋" w:hAnsi="仿宋"/>
          <w:kern w:val="0"/>
          <w:sz w:val="24"/>
          <w:highlight w:val="none"/>
          <w:u w:val="single"/>
        </w:rPr>
        <w:t xml:space="preserve"> </w:t>
      </w:r>
      <w:r>
        <w:rPr>
          <w:rFonts w:hint="eastAsia" w:ascii="仿宋" w:hAnsi="仿宋"/>
          <w:kern w:val="0"/>
          <w:sz w:val="24"/>
          <w:highlight w:val="none"/>
        </w:rPr>
        <w:t>（代理机构名称）：</w:t>
      </w:r>
    </w:p>
    <w:p w14:paraId="00280A23">
      <w:pPr>
        <w:widowControl/>
        <w:spacing w:line="360" w:lineRule="exact"/>
        <w:ind w:firstLine="504" w:firstLineChars="200"/>
        <w:jc w:val="left"/>
        <w:rPr>
          <w:rFonts w:ascii="宋体" w:hAnsi="宋体"/>
          <w:kern w:val="0"/>
          <w:sz w:val="24"/>
          <w:highlight w:val="none"/>
        </w:rPr>
      </w:pPr>
      <w:r>
        <w:rPr>
          <w:rFonts w:hint="eastAsia" w:ascii="仿宋" w:hAnsi="仿宋"/>
          <w:spacing w:val="6"/>
          <w:kern w:val="0"/>
          <w:sz w:val="24"/>
          <w:highlight w:val="none"/>
        </w:rPr>
        <w:t>本人经由</w:t>
      </w:r>
      <w:r>
        <w:rPr>
          <w:rFonts w:hint="eastAsia" w:ascii="仿宋" w:hAnsi="仿宋"/>
          <w:spacing w:val="6"/>
          <w:kern w:val="0"/>
          <w:sz w:val="24"/>
          <w:highlight w:val="none"/>
          <w:u w:val="single"/>
        </w:rPr>
        <w:t xml:space="preserve">                   </w:t>
      </w:r>
      <w:r>
        <w:rPr>
          <w:rFonts w:ascii="仿宋" w:hAnsi="仿宋"/>
          <w:spacing w:val="6"/>
          <w:kern w:val="0"/>
          <w:sz w:val="24"/>
          <w:highlight w:val="none"/>
          <w:u w:val="single"/>
        </w:rPr>
        <w:t xml:space="preserve">          </w:t>
      </w:r>
      <w:r>
        <w:rPr>
          <w:rFonts w:hint="eastAsia" w:ascii="仿宋" w:hAnsi="仿宋"/>
          <w:spacing w:val="6"/>
          <w:kern w:val="0"/>
          <w:sz w:val="24"/>
          <w:highlight w:val="none"/>
        </w:rPr>
        <w:t>单位</w:t>
      </w:r>
      <w:r>
        <w:rPr>
          <w:rFonts w:hint="eastAsia" w:ascii="仿宋" w:hAnsi="仿宋"/>
          <w:spacing w:val="6"/>
          <w:kern w:val="0"/>
          <w:sz w:val="24"/>
          <w:highlight w:val="none"/>
          <w:u w:val="single"/>
        </w:rPr>
        <w:t xml:space="preserve">         (法人代表)</w:t>
      </w:r>
      <w:r>
        <w:rPr>
          <w:rFonts w:hint="eastAsia" w:ascii="仿宋" w:hAnsi="仿宋"/>
          <w:spacing w:val="6"/>
          <w:kern w:val="0"/>
          <w:sz w:val="24"/>
          <w:highlight w:val="none"/>
        </w:rPr>
        <w:t>合法授权参加</w:t>
      </w:r>
      <w:r>
        <w:rPr>
          <w:rFonts w:hint="eastAsia" w:ascii="宋体" w:hAnsi="宋体"/>
          <w:kern w:val="0"/>
          <w:sz w:val="24"/>
          <w:highlight w:val="none"/>
          <w:u w:val="single"/>
        </w:rPr>
        <w:t xml:space="preserve"> </w:t>
      </w:r>
      <w:r>
        <w:rPr>
          <w:rFonts w:ascii="宋体" w:hAnsi="宋体"/>
          <w:kern w:val="0"/>
          <w:sz w:val="24"/>
          <w:highlight w:val="none"/>
          <w:u w:val="single"/>
        </w:rPr>
        <w:t xml:space="preserve">                 </w:t>
      </w:r>
      <w:r>
        <w:rPr>
          <w:rFonts w:hint="eastAsia" w:ascii="宋体" w:hAnsi="宋体"/>
          <w:kern w:val="0"/>
          <w:sz w:val="24"/>
          <w:highlight w:val="none"/>
          <w:u w:val="single"/>
        </w:rPr>
        <w:t xml:space="preserve"> </w:t>
      </w:r>
      <w:r>
        <w:rPr>
          <w:rFonts w:ascii="宋体" w:hAnsi="宋体"/>
          <w:kern w:val="0"/>
          <w:sz w:val="24"/>
          <w:highlight w:val="none"/>
          <w:u w:val="single"/>
        </w:rPr>
        <w:t xml:space="preserve">   </w:t>
      </w:r>
      <w:r>
        <w:rPr>
          <w:rFonts w:hint="eastAsia" w:ascii="宋体" w:hAnsi="宋体"/>
          <w:kern w:val="0"/>
          <w:sz w:val="24"/>
          <w:highlight w:val="none"/>
          <w:u w:val="single"/>
        </w:rPr>
        <w:t>采购</w:t>
      </w:r>
      <w:r>
        <w:rPr>
          <w:rFonts w:hint="eastAsia" w:ascii="仿宋" w:hAnsi="仿宋"/>
          <w:spacing w:val="6"/>
          <w:kern w:val="0"/>
          <w:sz w:val="24"/>
          <w:highlight w:val="none"/>
          <w:u w:val="single"/>
        </w:rPr>
        <w:t xml:space="preserve">（编号： </w:t>
      </w:r>
      <w:r>
        <w:rPr>
          <w:rFonts w:ascii="仿宋" w:hAnsi="仿宋"/>
          <w:spacing w:val="6"/>
          <w:kern w:val="0"/>
          <w:sz w:val="24"/>
          <w:highlight w:val="none"/>
          <w:u w:val="single"/>
        </w:rPr>
        <w:t xml:space="preserve">      ）</w:t>
      </w:r>
      <w:r>
        <w:rPr>
          <w:rFonts w:hint="eastAsia" w:ascii="仿宋" w:hAnsi="仿宋"/>
          <w:spacing w:val="6"/>
          <w:kern w:val="0"/>
          <w:sz w:val="24"/>
          <w:highlight w:val="none"/>
        </w:rPr>
        <w:t>投标活动，经与本单位法人代表（负责人）联系确认，现就有关公平竞争事项郑重声明如下：</w:t>
      </w:r>
    </w:p>
    <w:p w14:paraId="49308754">
      <w:pPr>
        <w:widowControl/>
        <w:snapToGrid w:val="0"/>
        <w:spacing w:line="440" w:lineRule="exact"/>
        <w:rPr>
          <w:rFonts w:ascii="仿宋" w:eastAsia="仿宋"/>
          <w:kern w:val="0"/>
          <w:sz w:val="24"/>
          <w:highlight w:val="none"/>
        </w:rPr>
      </w:pPr>
      <w:r>
        <w:rPr>
          <w:rFonts w:hint="eastAsia" w:ascii="仿宋" w:hAnsi="仿宋"/>
          <w:kern w:val="0"/>
          <w:sz w:val="24"/>
          <w:highlight w:val="none"/>
        </w:rPr>
        <w:t>一、本单位与招标人之间</w:t>
      </w:r>
    </w:p>
    <w:p w14:paraId="427A1FB2">
      <w:pPr>
        <w:widowControl/>
        <w:snapToGrid w:val="0"/>
        <w:spacing w:line="440" w:lineRule="exact"/>
        <w:ind w:left="454"/>
        <w:rPr>
          <w:rFonts w:ascii="仿宋" w:eastAsia="仿宋"/>
          <w:kern w:val="0"/>
          <w:sz w:val="24"/>
          <w:highlight w:val="none"/>
        </w:rPr>
      </w:pPr>
      <w:r>
        <w:rPr>
          <w:rFonts w:hint="eastAsia" w:ascii="宋体" w:hAnsi="宋体" w:cs="宋体"/>
          <w:kern w:val="0"/>
          <w:sz w:val="24"/>
          <w:highlight w:val="none"/>
        </w:rPr>
        <w:t>□</w:t>
      </w:r>
      <w:r>
        <w:rPr>
          <w:rFonts w:hint="eastAsia" w:ascii="仿宋" w:hAnsi="仿宋"/>
          <w:kern w:val="0"/>
          <w:sz w:val="24"/>
          <w:highlight w:val="none"/>
        </w:rPr>
        <w:t>不存在利害关系</w:t>
      </w:r>
    </w:p>
    <w:p w14:paraId="4A661B63">
      <w:pPr>
        <w:widowControl/>
        <w:snapToGrid w:val="0"/>
        <w:spacing w:line="440" w:lineRule="exact"/>
        <w:ind w:left="454"/>
        <w:rPr>
          <w:rFonts w:ascii="仿宋" w:eastAsia="仿宋"/>
          <w:kern w:val="0"/>
          <w:sz w:val="24"/>
          <w:highlight w:val="none"/>
        </w:rPr>
      </w:pPr>
      <w:r>
        <w:rPr>
          <w:rFonts w:hint="eastAsia" w:ascii="宋体" w:hAnsi="宋体" w:cs="宋体"/>
          <w:kern w:val="0"/>
          <w:sz w:val="24"/>
          <w:highlight w:val="none"/>
        </w:rPr>
        <w:t>□</w:t>
      </w:r>
      <w:r>
        <w:rPr>
          <w:rFonts w:hint="eastAsia" w:ascii="仿宋" w:hAnsi="仿宋"/>
          <w:kern w:val="0"/>
          <w:sz w:val="24"/>
          <w:highlight w:val="none"/>
        </w:rPr>
        <w:t>存在下列利害关系：</w:t>
      </w:r>
    </w:p>
    <w:p w14:paraId="3EB066F4">
      <w:pPr>
        <w:widowControl/>
        <w:snapToGrid w:val="0"/>
        <w:spacing w:line="440" w:lineRule="exact"/>
        <w:ind w:left="420" w:leftChars="200"/>
        <w:rPr>
          <w:rFonts w:ascii="仿宋" w:eastAsia="仿宋"/>
          <w:kern w:val="0"/>
          <w:sz w:val="24"/>
          <w:highlight w:val="none"/>
        </w:rPr>
      </w:pPr>
      <w:r>
        <w:rPr>
          <w:rFonts w:ascii="仿宋" w:hAnsi="仿宋"/>
          <w:kern w:val="0"/>
          <w:sz w:val="24"/>
          <w:highlight w:val="none"/>
        </w:rPr>
        <w:t xml:space="preserve"> A.</w:t>
      </w:r>
      <w:r>
        <w:rPr>
          <w:rFonts w:hint="eastAsia" w:ascii="仿宋" w:hAnsi="仿宋"/>
          <w:kern w:val="0"/>
          <w:sz w:val="24"/>
          <w:highlight w:val="none"/>
        </w:rPr>
        <w:t>投资关系</w:t>
      </w:r>
      <w:r>
        <w:rPr>
          <w:rFonts w:ascii="仿宋" w:hAnsi="仿宋"/>
          <w:kern w:val="0"/>
          <w:sz w:val="24"/>
          <w:highlight w:val="none"/>
        </w:rPr>
        <w:t xml:space="preserve">    B.</w:t>
      </w:r>
      <w:r>
        <w:rPr>
          <w:rFonts w:hint="eastAsia" w:ascii="仿宋" w:hAnsi="仿宋"/>
          <w:kern w:val="0"/>
          <w:sz w:val="24"/>
          <w:highlight w:val="none"/>
        </w:rPr>
        <w:t>行政隶属关系</w:t>
      </w:r>
      <w:r>
        <w:rPr>
          <w:rFonts w:ascii="仿宋" w:hAnsi="仿宋"/>
          <w:kern w:val="0"/>
          <w:sz w:val="24"/>
          <w:highlight w:val="none"/>
        </w:rPr>
        <w:t xml:space="preserve">    C.</w:t>
      </w:r>
      <w:r>
        <w:rPr>
          <w:rFonts w:hint="eastAsia" w:ascii="仿宋" w:hAnsi="仿宋"/>
          <w:kern w:val="0"/>
          <w:sz w:val="24"/>
          <w:highlight w:val="none"/>
        </w:rPr>
        <w:t>业务指导关系</w:t>
      </w:r>
    </w:p>
    <w:p w14:paraId="6B1A68D8">
      <w:pPr>
        <w:widowControl/>
        <w:snapToGrid w:val="0"/>
        <w:spacing w:line="440" w:lineRule="exact"/>
        <w:ind w:left="420" w:leftChars="200"/>
        <w:rPr>
          <w:rFonts w:ascii="仿宋" w:eastAsia="仿宋"/>
          <w:kern w:val="0"/>
          <w:sz w:val="24"/>
          <w:highlight w:val="none"/>
        </w:rPr>
      </w:pPr>
      <w:r>
        <w:rPr>
          <w:rFonts w:ascii="仿宋" w:hAnsi="仿宋"/>
          <w:kern w:val="0"/>
          <w:sz w:val="24"/>
          <w:highlight w:val="none"/>
        </w:rPr>
        <w:t xml:space="preserve"> D.</w:t>
      </w:r>
      <w:r>
        <w:rPr>
          <w:rFonts w:hint="eastAsia" w:ascii="仿宋" w:hAnsi="仿宋"/>
          <w:kern w:val="0"/>
          <w:sz w:val="24"/>
          <w:highlight w:val="none"/>
        </w:rPr>
        <w:t>其他可能</w:t>
      </w:r>
      <w:r>
        <w:rPr>
          <w:rFonts w:hint="eastAsia" w:ascii="仿宋" w:hAnsi="仿宋"/>
          <w:sz w:val="24"/>
          <w:highlight w:val="none"/>
        </w:rPr>
        <w:t>影响采购公正的</w:t>
      </w:r>
      <w:r>
        <w:rPr>
          <w:rFonts w:hint="eastAsia" w:ascii="仿宋" w:hAnsi="仿宋"/>
          <w:kern w:val="0"/>
          <w:sz w:val="24"/>
          <w:highlight w:val="none"/>
        </w:rPr>
        <w:t>利害关系。</w:t>
      </w:r>
    </w:p>
    <w:p w14:paraId="572A909C">
      <w:pPr>
        <w:widowControl/>
        <w:snapToGrid w:val="0"/>
        <w:spacing w:line="440" w:lineRule="exact"/>
        <w:rPr>
          <w:rFonts w:ascii="仿宋" w:eastAsia="仿宋"/>
          <w:kern w:val="0"/>
          <w:sz w:val="24"/>
          <w:highlight w:val="none"/>
        </w:rPr>
      </w:pPr>
      <w:r>
        <w:rPr>
          <w:rFonts w:hint="eastAsia" w:ascii="仿宋" w:hAnsi="仿宋"/>
          <w:spacing w:val="6"/>
          <w:sz w:val="24"/>
          <w:highlight w:val="none"/>
        </w:rPr>
        <w:t>二、</w:t>
      </w:r>
      <w:r>
        <w:rPr>
          <w:rFonts w:hint="eastAsia" w:ascii="仿宋" w:hAnsi="仿宋"/>
          <w:kern w:val="0"/>
          <w:sz w:val="24"/>
          <w:highlight w:val="none"/>
        </w:rPr>
        <w:t>现已清楚知道参加本项目投标活动的其他投标人名称，本单位</w:t>
      </w:r>
    </w:p>
    <w:p w14:paraId="4FC2B9FD">
      <w:pPr>
        <w:widowControl/>
        <w:snapToGrid w:val="0"/>
        <w:spacing w:line="440" w:lineRule="exact"/>
        <w:ind w:firstLine="480" w:firstLineChars="200"/>
        <w:rPr>
          <w:rFonts w:ascii="仿宋" w:eastAsia="仿宋"/>
          <w:kern w:val="0"/>
          <w:sz w:val="24"/>
          <w:highlight w:val="none"/>
        </w:rPr>
      </w:pPr>
      <w:r>
        <w:rPr>
          <w:rFonts w:hint="eastAsia" w:ascii="宋体" w:hAnsi="宋体" w:cs="宋体"/>
          <w:kern w:val="0"/>
          <w:sz w:val="24"/>
          <w:highlight w:val="none"/>
        </w:rPr>
        <w:t>□与其他所有投标人之间均</w:t>
      </w:r>
      <w:r>
        <w:rPr>
          <w:rFonts w:hint="eastAsia" w:ascii="仿宋" w:hAnsi="仿宋"/>
          <w:kern w:val="0"/>
          <w:sz w:val="24"/>
          <w:highlight w:val="none"/>
        </w:rPr>
        <w:t>不存在利害关系</w:t>
      </w:r>
    </w:p>
    <w:p w14:paraId="536CCC19">
      <w:pPr>
        <w:widowControl/>
        <w:snapToGrid w:val="0"/>
        <w:spacing w:line="440" w:lineRule="exact"/>
        <w:ind w:firstLine="480" w:firstLineChars="200"/>
        <w:rPr>
          <w:rFonts w:ascii="仿宋" w:eastAsia="仿宋"/>
          <w:kern w:val="0"/>
          <w:sz w:val="24"/>
          <w:highlight w:val="none"/>
        </w:rPr>
      </w:pPr>
      <w:r>
        <w:rPr>
          <w:rFonts w:hint="eastAsia" w:ascii="宋体" w:hAnsi="宋体" w:cs="宋体"/>
          <w:kern w:val="0"/>
          <w:sz w:val="24"/>
          <w:highlight w:val="none"/>
        </w:rPr>
        <w:t>□与之间</w:t>
      </w:r>
      <w:r>
        <w:rPr>
          <w:rFonts w:hint="eastAsia" w:ascii="仿宋" w:hAnsi="仿宋"/>
          <w:kern w:val="0"/>
          <w:sz w:val="24"/>
          <w:highlight w:val="none"/>
        </w:rPr>
        <w:t>存在下列利害关系：</w:t>
      </w:r>
    </w:p>
    <w:p w14:paraId="63919CBA">
      <w:pPr>
        <w:widowControl/>
        <w:snapToGrid w:val="0"/>
        <w:spacing w:line="440" w:lineRule="exact"/>
        <w:ind w:left="210" w:leftChars="100"/>
        <w:rPr>
          <w:rFonts w:ascii="仿宋" w:hAnsi="仿宋"/>
          <w:kern w:val="0"/>
          <w:sz w:val="24"/>
          <w:highlight w:val="none"/>
        </w:rPr>
      </w:pPr>
      <w:r>
        <w:rPr>
          <w:rFonts w:ascii="仿宋" w:hAnsi="仿宋"/>
          <w:kern w:val="0"/>
          <w:highlight w:val="none"/>
        </w:rPr>
        <w:t xml:space="preserve"> </w:t>
      </w:r>
      <w:r>
        <w:rPr>
          <w:rFonts w:hint="eastAsia" w:ascii="仿宋" w:hAnsi="仿宋"/>
          <w:kern w:val="0"/>
          <w:sz w:val="24"/>
          <w:highlight w:val="none"/>
        </w:rPr>
        <w:t xml:space="preserve"> A.法定代表人或负责人或实际控制人是同一人</w:t>
      </w:r>
    </w:p>
    <w:p w14:paraId="44A67C9C">
      <w:pPr>
        <w:widowControl/>
        <w:snapToGrid w:val="0"/>
        <w:spacing w:line="440" w:lineRule="exact"/>
        <w:ind w:left="210" w:leftChars="100"/>
        <w:rPr>
          <w:rFonts w:ascii="仿宋" w:hAnsi="仿宋"/>
          <w:kern w:val="0"/>
          <w:sz w:val="24"/>
          <w:highlight w:val="none"/>
        </w:rPr>
      </w:pPr>
      <w:r>
        <w:rPr>
          <w:rFonts w:hint="eastAsia" w:ascii="仿宋" w:hAnsi="仿宋"/>
          <w:kern w:val="0"/>
          <w:sz w:val="24"/>
          <w:highlight w:val="none"/>
        </w:rPr>
        <w:t xml:space="preserve">  B.法定代表人或负责人或实际控制人是夫妻关系</w:t>
      </w:r>
    </w:p>
    <w:p w14:paraId="5D98CC8E">
      <w:pPr>
        <w:widowControl/>
        <w:snapToGrid w:val="0"/>
        <w:spacing w:line="440" w:lineRule="exact"/>
        <w:ind w:left="210" w:leftChars="100"/>
        <w:rPr>
          <w:rFonts w:ascii="仿宋" w:hAnsi="仿宋"/>
          <w:kern w:val="0"/>
          <w:sz w:val="24"/>
          <w:highlight w:val="none"/>
        </w:rPr>
      </w:pPr>
      <w:r>
        <w:rPr>
          <w:rFonts w:hint="eastAsia" w:ascii="仿宋" w:hAnsi="仿宋"/>
          <w:kern w:val="0"/>
          <w:sz w:val="24"/>
          <w:highlight w:val="none"/>
        </w:rPr>
        <w:t xml:space="preserve">  C.法定代表人或负责人或实际控制人是直系血亲关系</w:t>
      </w:r>
    </w:p>
    <w:p w14:paraId="34AE232D">
      <w:pPr>
        <w:widowControl/>
        <w:snapToGrid w:val="0"/>
        <w:spacing w:line="440" w:lineRule="exact"/>
        <w:ind w:left="210" w:leftChars="100"/>
        <w:rPr>
          <w:rFonts w:ascii="仿宋" w:hAnsi="仿宋"/>
          <w:kern w:val="0"/>
          <w:sz w:val="24"/>
          <w:highlight w:val="none"/>
        </w:rPr>
      </w:pPr>
      <w:r>
        <w:rPr>
          <w:rFonts w:hint="eastAsia" w:ascii="仿宋" w:hAnsi="仿宋"/>
          <w:kern w:val="0"/>
          <w:sz w:val="24"/>
          <w:highlight w:val="none"/>
        </w:rPr>
        <w:t xml:space="preserve">  D.法定代表人或负责人或实际控制人存在三代以内旁系血亲关系</w:t>
      </w:r>
    </w:p>
    <w:p w14:paraId="3362B252">
      <w:pPr>
        <w:widowControl/>
        <w:snapToGrid w:val="0"/>
        <w:spacing w:line="440" w:lineRule="exact"/>
        <w:ind w:left="210" w:leftChars="100"/>
        <w:rPr>
          <w:rFonts w:ascii="仿宋" w:hAnsi="仿宋"/>
          <w:kern w:val="0"/>
          <w:sz w:val="24"/>
          <w:highlight w:val="none"/>
        </w:rPr>
      </w:pPr>
      <w:r>
        <w:rPr>
          <w:rFonts w:hint="eastAsia" w:ascii="仿宋" w:hAnsi="仿宋"/>
          <w:kern w:val="0"/>
          <w:sz w:val="24"/>
          <w:highlight w:val="none"/>
        </w:rPr>
        <w:t xml:space="preserve">  E.法定代表人或负责人或实际控制人存在近姻亲关系</w:t>
      </w:r>
    </w:p>
    <w:p w14:paraId="1BDA801F">
      <w:pPr>
        <w:widowControl/>
        <w:snapToGrid w:val="0"/>
        <w:spacing w:line="440" w:lineRule="exact"/>
        <w:ind w:left="210" w:leftChars="100"/>
        <w:rPr>
          <w:rFonts w:ascii="仿宋" w:hAnsi="仿宋"/>
          <w:kern w:val="0"/>
          <w:sz w:val="24"/>
          <w:highlight w:val="none"/>
        </w:rPr>
      </w:pPr>
      <w:r>
        <w:rPr>
          <w:rFonts w:hint="eastAsia" w:ascii="仿宋" w:hAnsi="仿宋"/>
          <w:kern w:val="0"/>
          <w:sz w:val="24"/>
          <w:highlight w:val="none"/>
        </w:rPr>
        <w:t xml:space="preserve">  F.法定代表人或负责人或实际控制人存在股份控制或实际控制关系</w:t>
      </w:r>
    </w:p>
    <w:p w14:paraId="34CFAF1C">
      <w:pPr>
        <w:widowControl/>
        <w:snapToGrid w:val="0"/>
        <w:spacing w:line="440" w:lineRule="exact"/>
        <w:ind w:left="210" w:leftChars="100"/>
        <w:rPr>
          <w:rFonts w:ascii="仿宋" w:hAnsi="仿宋"/>
          <w:kern w:val="0"/>
          <w:sz w:val="24"/>
          <w:highlight w:val="none"/>
        </w:rPr>
      </w:pPr>
      <w:r>
        <w:rPr>
          <w:rFonts w:hint="eastAsia" w:ascii="仿宋" w:hAnsi="仿宋"/>
          <w:kern w:val="0"/>
          <w:sz w:val="24"/>
          <w:highlight w:val="none"/>
        </w:rPr>
        <w:t xml:space="preserve">  G.存在共同直接或间接投资设立子公司、联营企业和合营企业情况</w:t>
      </w:r>
    </w:p>
    <w:p w14:paraId="4631988C">
      <w:pPr>
        <w:widowControl/>
        <w:snapToGrid w:val="0"/>
        <w:spacing w:line="440" w:lineRule="exact"/>
        <w:ind w:left="210" w:leftChars="100"/>
        <w:rPr>
          <w:rFonts w:ascii="仿宋" w:hAnsi="仿宋"/>
          <w:kern w:val="0"/>
          <w:sz w:val="24"/>
          <w:highlight w:val="none"/>
        </w:rPr>
      </w:pPr>
      <w:r>
        <w:rPr>
          <w:rFonts w:hint="eastAsia" w:ascii="仿宋" w:hAnsi="仿宋"/>
          <w:kern w:val="0"/>
          <w:sz w:val="24"/>
          <w:highlight w:val="none"/>
        </w:rPr>
        <w:t xml:space="preserve">  H.存在分级代理或代销关系、同一生产制造商关系、管理关系、重要业务（占主营业务收入50%以上）或重要财务往来关系（如融资）等其他实质性控制关系</w:t>
      </w:r>
    </w:p>
    <w:p w14:paraId="2CCA2C99">
      <w:pPr>
        <w:widowControl/>
        <w:snapToGrid w:val="0"/>
        <w:spacing w:line="440" w:lineRule="exact"/>
        <w:ind w:left="210" w:leftChars="100" w:firstLine="240" w:firstLineChars="100"/>
        <w:rPr>
          <w:rFonts w:ascii="仿宋" w:hAnsi="仿宋"/>
          <w:kern w:val="0"/>
          <w:sz w:val="24"/>
          <w:highlight w:val="none"/>
        </w:rPr>
      </w:pPr>
      <w:r>
        <w:rPr>
          <w:rFonts w:hint="eastAsia" w:ascii="仿宋" w:hAnsi="仿宋"/>
          <w:kern w:val="0"/>
          <w:sz w:val="24"/>
          <w:highlight w:val="none"/>
        </w:rPr>
        <w:t>I.其他利害关系情况。</w:t>
      </w:r>
    </w:p>
    <w:p w14:paraId="58BFF3B5">
      <w:pPr>
        <w:widowControl/>
        <w:snapToGrid w:val="0"/>
        <w:spacing w:line="440" w:lineRule="exact"/>
        <w:rPr>
          <w:rFonts w:ascii="仿宋" w:eastAsia="仿宋"/>
          <w:kern w:val="0"/>
          <w:sz w:val="24"/>
          <w:highlight w:val="none"/>
        </w:rPr>
      </w:pPr>
      <w:r>
        <w:rPr>
          <w:rFonts w:hint="eastAsia" w:ascii="仿宋" w:hAnsi="仿宋"/>
          <w:sz w:val="24"/>
          <w:highlight w:val="none"/>
        </w:rPr>
        <w:t>三、现已清楚知道并</w:t>
      </w:r>
      <w:r>
        <w:rPr>
          <w:rFonts w:hint="eastAsia" w:ascii="仿宋" w:hAnsi="仿宋"/>
          <w:kern w:val="0"/>
          <w:sz w:val="24"/>
          <w:highlight w:val="none"/>
        </w:rPr>
        <w:t>严格遵守招投标相关法律法规和现场纪律。</w:t>
      </w:r>
    </w:p>
    <w:p w14:paraId="2D823CA9">
      <w:pPr>
        <w:widowControl/>
        <w:snapToGrid w:val="0"/>
        <w:spacing w:line="440" w:lineRule="exact"/>
        <w:rPr>
          <w:rFonts w:ascii="仿宋" w:hAnsi="仿宋"/>
          <w:kern w:val="0"/>
          <w:sz w:val="24"/>
          <w:highlight w:val="none"/>
        </w:rPr>
      </w:pPr>
      <w:r>
        <w:rPr>
          <w:rFonts w:hint="eastAsia" w:ascii="仿宋" w:hAnsi="仿宋"/>
          <w:kern w:val="0"/>
          <w:sz w:val="24"/>
          <w:highlight w:val="none"/>
        </w:rPr>
        <w:t>四、我发现投标人之间存在或可能存在上述第二条第项利害关系。</w:t>
      </w:r>
    </w:p>
    <w:p w14:paraId="68B2C3F5">
      <w:pPr>
        <w:widowControl/>
        <w:snapToGrid w:val="0"/>
        <w:spacing w:line="440" w:lineRule="exact"/>
        <w:ind w:firstLine="480" w:firstLineChars="200"/>
        <w:rPr>
          <w:rFonts w:ascii="宋体" w:hAnsi="宋体"/>
          <w:kern w:val="0"/>
          <w:sz w:val="24"/>
          <w:highlight w:val="none"/>
        </w:rPr>
      </w:pPr>
      <w:r>
        <w:rPr>
          <w:rFonts w:hint="eastAsia" w:ascii="宋体" w:hAnsi="宋体"/>
          <w:kern w:val="0"/>
          <w:sz w:val="24"/>
          <w:highlight w:val="none"/>
        </w:rPr>
        <w:t>□不存在利害关系</w:t>
      </w:r>
    </w:p>
    <w:p w14:paraId="2AC7BFFB">
      <w:pPr>
        <w:widowControl/>
        <w:snapToGrid w:val="0"/>
        <w:spacing w:line="440" w:lineRule="exact"/>
        <w:ind w:firstLine="480" w:firstLineChars="200"/>
        <w:rPr>
          <w:rFonts w:ascii="宋体" w:hAnsi="宋体"/>
          <w:kern w:val="0"/>
          <w:sz w:val="24"/>
          <w:highlight w:val="none"/>
        </w:rPr>
      </w:pPr>
      <w:r>
        <w:rPr>
          <w:rFonts w:hint="eastAsia" w:ascii="宋体" w:hAnsi="宋体"/>
          <w:kern w:val="0"/>
          <w:sz w:val="24"/>
          <w:highlight w:val="none"/>
        </w:rPr>
        <w:t>□存在下列利害关系</w:t>
      </w:r>
    </w:p>
    <w:p w14:paraId="753B4507">
      <w:pPr>
        <w:snapToGrid w:val="0"/>
        <w:spacing w:line="500" w:lineRule="exact"/>
        <w:ind w:firstLine="480" w:firstLineChars="200"/>
        <w:rPr>
          <w:rFonts w:ascii="仿宋" w:hAnsi="仿宋"/>
          <w:sz w:val="24"/>
          <w:highlight w:val="none"/>
        </w:rPr>
      </w:pPr>
    </w:p>
    <w:p w14:paraId="7DDBD59B">
      <w:pPr>
        <w:snapToGrid w:val="0"/>
        <w:spacing w:line="500" w:lineRule="exact"/>
        <w:ind w:firstLine="482" w:firstLineChars="200"/>
        <w:rPr>
          <w:rFonts w:ascii="仿宋" w:hAnsi="Courier New" w:eastAsia="仿宋"/>
          <w:b/>
          <w:sz w:val="24"/>
          <w:highlight w:val="none"/>
        </w:rPr>
      </w:pPr>
      <w:r>
        <w:rPr>
          <w:rFonts w:hint="eastAsia" w:ascii="仿宋" w:hAnsi="仿宋"/>
          <w:b/>
          <w:sz w:val="24"/>
          <w:highlight w:val="none"/>
        </w:rPr>
        <w:t>供应商代表签名：</w:t>
      </w:r>
    </w:p>
    <w:p w14:paraId="0F385E63">
      <w:pPr>
        <w:ind w:firstLine="3840" w:firstLineChars="1600"/>
        <w:rPr>
          <w:rFonts w:ascii="仿宋" w:eastAsia="仿宋"/>
          <w:sz w:val="24"/>
          <w:highlight w:val="none"/>
        </w:rPr>
      </w:pPr>
    </w:p>
    <w:p w14:paraId="36BE5476">
      <w:pPr>
        <w:ind w:firstLine="5880" w:firstLineChars="2450"/>
        <w:rPr>
          <w:rFonts w:ascii="宋体" w:hAnsi="宋体"/>
          <w:b/>
          <w:sz w:val="24"/>
          <w:highlight w:val="none"/>
        </w:rPr>
      </w:pPr>
      <w:r>
        <w:rPr>
          <w:rFonts w:hint="eastAsia" w:ascii="仿宋" w:hAnsi="仿宋"/>
          <w:sz w:val="24"/>
          <w:highlight w:val="none"/>
        </w:rPr>
        <w:t xml:space="preserve"> 年</w:t>
      </w:r>
      <w:r>
        <w:rPr>
          <w:rFonts w:ascii="仿宋" w:hAnsi="仿宋"/>
          <w:sz w:val="24"/>
          <w:highlight w:val="none"/>
        </w:rPr>
        <w:t xml:space="preserve">  </w:t>
      </w:r>
      <w:r>
        <w:rPr>
          <w:rFonts w:hint="eastAsia" w:ascii="仿宋" w:hAnsi="仿宋"/>
          <w:sz w:val="24"/>
          <w:highlight w:val="none"/>
        </w:rPr>
        <w:t>月</w:t>
      </w:r>
      <w:r>
        <w:rPr>
          <w:rFonts w:ascii="仿宋" w:hAnsi="仿宋"/>
          <w:sz w:val="24"/>
          <w:highlight w:val="none"/>
        </w:rPr>
        <w:t xml:space="preserve">   </w:t>
      </w:r>
      <w:r>
        <w:rPr>
          <w:rFonts w:hint="eastAsia" w:ascii="仿宋" w:hAnsi="仿宋"/>
          <w:sz w:val="24"/>
          <w:highlight w:val="none"/>
        </w:rPr>
        <w:t>日</w:t>
      </w:r>
    </w:p>
    <w:sectPr>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2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swiss"/>
    <w:pitch w:val="default"/>
    <w:sig w:usb0="00000000" w:usb1="00000000" w:usb2="00000000" w:usb3="00000000" w:csb0="00040001" w:csb1="00000000"/>
  </w:font>
  <w:font w:name="HelveticaNeueLT Std Lt">
    <w:altName w:val="新宋体"/>
    <w:panose1 w:val="00000000000000000000"/>
    <w:charset w:val="00"/>
    <w:family w:val="auto"/>
    <w:pitch w:val="default"/>
    <w:sig w:usb0="00000000" w:usb1="00000000" w:usb2="00000010" w:usb3="00000000" w:csb0="00040001"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swiss"/>
    <w:pitch w:val="default"/>
    <w:sig w:usb0="00000000" w:usb1="00000000" w:usb2="0000003F" w:usb3="00000000" w:csb0="003F01FF" w:csb1="0000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00"/>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00"/>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00"/>
    <w:family w:val="modern"/>
    <w:pitch w:val="default"/>
    <w:sig w:usb0="00000000" w:usb1="00000000" w:usb2="00000010" w:usb3="00000000" w:csb0="00040000" w:csb1="00000000"/>
  </w:font>
  <w:font w:name="昆仑仿宋">
    <w:altName w:val="仿宋"/>
    <w:panose1 w:val="00000000000000000000"/>
    <w:charset w:val="00"/>
    <w:family w:val="modern"/>
    <w:pitch w:val="default"/>
    <w:sig w:usb0="00000000" w:usb1="00000000" w:usb2="00000010" w:usb3="00000000" w:csb0="00040000" w:csb1="00000000"/>
  </w:font>
  <w:font w:name="创艺简标宋">
    <w:altName w:val="黑体"/>
    <w:panose1 w:val="00000000000000000000"/>
    <w:charset w:val="00"/>
    <w:family w:val="auto"/>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小标宋简体">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F4254">
    <w:pPr>
      <w:pStyle w:val="3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5C0F6F9">
                          <w:pPr>
                            <w:pStyle w:val="36"/>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WZgglcQBAACQAwAADgAAAAAAAAABACAAAAAeAQAAZHJzL2Uyb0RvYy54bWxQ&#10;SwUGAAAAAAYABgBZAQAAVAUAAAAA&#10;">
              <v:fill on="f" focussize="0,0"/>
              <v:stroke on="f"/>
              <v:imagedata o:title=""/>
              <o:lock v:ext="edit" aspectratio="f"/>
              <v:textbox inset="0mm,0mm,0mm,0mm" style="mso-fit-shape-to-text:t;">
                <w:txbxContent>
                  <w:p w14:paraId="55C0F6F9">
                    <w:pPr>
                      <w:pStyle w:val="3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19B9A">
    <w:pPr>
      <w:pStyle w:val="36"/>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2A1345">
                          <w:pPr>
                            <w:pStyle w:val="36"/>
                            <w:rPr>
                              <w:rStyle w:val="57"/>
                            </w:rPr>
                          </w:pPr>
                          <w:r>
                            <w:fldChar w:fldCharType="begin"/>
                          </w:r>
                          <w:r>
                            <w:rPr>
                              <w:rStyle w:val="57"/>
                            </w:rPr>
                            <w:instrText xml:space="preserve">PAGE  </w:instrText>
                          </w:r>
                          <w:r>
                            <w:fldChar w:fldCharType="separate"/>
                          </w:r>
                          <w:r>
                            <w:rPr>
                              <w:rStyle w:val="57"/>
                            </w:rPr>
                            <w:t>51</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WNB5FMQBAACQAwAADgAAAAAAAAABACAAAAAeAQAAZHJzL2Uyb0RvYy54bWxQ&#10;SwUGAAAAAAYABgBZAQAAVAUAAAAA&#10;">
              <v:fill on="f" focussize="0,0"/>
              <v:stroke on="f"/>
              <v:imagedata o:title=""/>
              <o:lock v:ext="edit" aspectratio="f"/>
              <v:textbox inset="0mm,0mm,0mm,0mm" style="mso-fit-shape-to-text:t;">
                <w:txbxContent>
                  <w:p w14:paraId="0C2A1345">
                    <w:pPr>
                      <w:pStyle w:val="36"/>
                      <w:rPr>
                        <w:rStyle w:val="57"/>
                      </w:rPr>
                    </w:pPr>
                    <w:r>
                      <w:fldChar w:fldCharType="begin"/>
                    </w:r>
                    <w:r>
                      <w:rPr>
                        <w:rStyle w:val="57"/>
                      </w:rPr>
                      <w:instrText xml:space="preserve">PAGE  </w:instrText>
                    </w:r>
                    <w:r>
                      <w:fldChar w:fldCharType="separate"/>
                    </w:r>
                    <w:r>
                      <w:rPr>
                        <w:rStyle w:val="57"/>
                      </w:rPr>
                      <w:t>51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29F2A">
    <w:pPr>
      <w:pStyle w:val="36"/>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7486A381">
    <w:pPr>
      <w:pStyle w:val="36"/>
      <w:ind w:right="360"/>
    </w:pPr>
  </w:p>
  <w:p w14:paraId="0F49F854"/>
  <w:p w14:paraId="6B9179D8"/>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9"/>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3AE757DE"/>
    <w:multiLevelType w:val="singleLevel"/>
    <w:tmpl w:val="3AE757DE"/>
    <w:lvl w:ilvl="0" w:tentative="0">
      <w:start w:val="1"/>
      <w:numFmt w:val="chineseCounting"/>
      <w:suff w:val="nothing"/>
      <w:lvlText w:val="（%1）"/>
      <w:lvlJc w:val="left"/>
      <w:rPr>
        <w:rFonts w:hint="eastAsia"/>
      </w:rPr>
    </w:lvl>
  </w:abstractNum>
  <w:abstractNum w:abstractNumId="4">
    <w:nsid w:val="5473AAEC"/>
    <w:multiLevelType w:val="singleLevel"/>
    <w:tmpl w:val="5473AAEC"/>
    <w:lvl w:ilvl="0" w:tentative="0">
      <w:start w:val="1"/>
      <w:numFmt w:val="decimal"/>
      <w:lvlText w:val="%1."/>
      <w:lvlJc w:val="left"/>
      <w:pPr>
        <w:tabs>
          <w:tab w:val="left" w:pos="312"/>
        </w:tabs>
      </w:pPr>
    </w:lvl>
  </w:abstractNum>
  <w:abstractNum w:abstractNumId="5">
    <w:nsid w:val="562CDD30"/>
    <w:multiLevelType w:val="multilevel"/>
    <w:tmpl w:val="562CDD30"/>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71546EDE"/>
    <w:multiLevelType w:val="multilevel"/>
    <w:tmpl w:val="71546EDE"/>
    <w:lvl w:ilvl="0" w:tentative="0">
      <w:start w:val="1"/>
      <w:numFmt w:val="chineseCounting"/>
      <w:suff w:val="nothing"/>
      <w:lvlText w:val="%1、"/>
      <w:lvlJc w:val="left"/>
      <w:pPr>
        <w:ind w:left="0" w:firstLine="420"/>
      </w:pPr>
      <w:rPr>
        <w:rFonts w:hint="eastAsia" w:ascii="宋体" w:hAnsi="宋体" w:eastAsia="宋体" w:cs="宋体"/>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0"/>
    <w:lvlOverride w:ilvl="0">
      <w:lvl w:ilvl="0" w:tentative="1">
        <w:start w:val="0"/>
        <w:numFmt w:val="bullet"/>
        <w:pStyle w:val="333"/>
        <w:lvlText w:val=""/>
        <w:legacy w:legacy="1" w:legacySpace="0" w:legacyIndent="360"/>
        <w:lvlJc w:val="left"/>
        <w:rPr>
          <w:rFonts w:hint="default" w:ascii="Symbol" w:hAnsi="Symbol"/>
        </w:rPr>
      </w:lvl>
    </w:lvlOverride>
  </w:num>
  <w:num w:numId="3">
    <w:abstractNumId w:val="1"/>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2MWYzNzcxMzhjMTFjOWIxNWRhNzkyZjNlNmM1Nm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1B1"/>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145D"/>
    <w:rsid w:val="00042906"/>
    <w:rsid w:val="00042B0A"/>
    <w:rsid w:val="00042D09"/>
    <w:rsid w:val="0004358C"/>
    <w:rsid w:val="000439C6"/>
    <w:rsid w:val="000443E9"/>
    <w:rsid w:val="00046410"/>
    <w:rsid w:val="000506AD"/>
    <w:rsid w:val="00050BC4"/>
    <w:rsid w:val="00054E4B"/>
    <w:rsid w:val="000564F0"/>
    <w:rsid w:val="000613FD"/>
    <w:rsid w:val="000619E3"/>
    <w:rsid w:val="00062B2D"/>
    <w:rsid w:val="000640C5"/>
    <w:rsid w:val="00064A5C"/>
    <w:rsid w:val="000668FF"/>
    <w:rsid w:val="00066AE1"/>
    <w:rsid w:val="00067CD6"/>
    <w:rsid w:val="00071292"/>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77D"/>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8766F"/>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4E97"/>
    <w:rsid w:val="001E5205"/>
    <w:rsid w:val="001E5BEF"/>
    <w:rsid w:val="001E5E95"/>
    <w:rsid w:val="001E5F02"/>
    <w:rsid w:val="001E6332"/>
    <w:rsid w:val="001E69CC"/>
    <w:rsid w:val="001E75D7"/>
    <w:rsid w:val="001E7F3C"/>
    <w:rsid w:val="001F2640"/>
    <w:rsid w:val="001F392B"/>
    <w:rsid w:val="001F3E92"/>
    <w:rsid w:val="001F6544"/>
    <w:rsid w:val="001F6579"/>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97EB3"/>
    <w:rsid w:val="002A058A"/>
    <w:rsid w:val="002A0CB4"/>
    <w:rsid w:val="002A13A2"/>
    <w:rsid w:val="002A17B3"/>
    <w:rsid w:val="002A20AE"/>
    <w:rsid w:val="002A3510"/>
    <w:rsid w:val="002A42AF"/>
    <w:rsid w:val="002A49B2"/>
    <w:rsid w:val="002A50B6"/>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011"/>
    <w:rsid w:val="002B771D"/>
    <w:rsid w:val="002B7E49"/>
    <w:rsid w:val="002B7E99"/>
    <w:rsid w:val="002C13D2"/>
    <w:rsid w:val="002C1617"/>
    <w:rsid w:val="002C225E"/>
    <w:rsid w:val="002C22ED"/>
    <w:rsid w:val="002C2458"/>
    <w:rsid w:val="002C3A42"/>
    <w:rsid w:val="002C4831"/>
    <w:rsid w:val="002C60DA"/>
    <w:rsid w:val="002C75C7"/>
    <w:rsid w:val="002C7B3F"/>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51AE"/>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6B08"/>
    <w:rsid w:val="002F76A9"/>
    <w:rsid w:val="002F7C39"/>
    <w:rsid w:val="00300A2B"/>
    <w:rsid w:val="00301A8E"/>
    <w:rsid w:val="00303917"/>
    <w:rsid w:val="0030519A"/>
    <w:rsid w:val="003053BE"/>
    <w:rsid w:val="00306069"/>
    <w:rsid w:val="003067E9"/>
    <w:rsid w:val="00306B17"/>
    <w:rsid w:val="00306E05"/>
    <w:rsid w:val="00311405"/>
    <w:rsid w:val="00312195"/>
    <w:rsid w:val="0031241C"/>
    <w:rsid w:val="00312670"/>
    <w:rsid w:val="00312D66"/>
    <w:rsid w:val="003133DD"/>
    <w:rsid w:val="00313F64"/>
    <w:rsid w:val="00314B02"/>
    <w:rsid w:val="00315F21"/>
    <w:rsid w:val="00316299"/>
    <w:rsid w:val="00316E19"/>
    <w:rsid w:val="00316FEF"/>
    <w:rsid w:val="0031742A"/>
    <w:rsid w:val="00317517"/>
    <w:rsid w:val="00321869"/>
    <w:rsid w:val="003233B1"/>
    <w:rsid w:val="00324DA4"/>
    <w:rsid w:val="00325171"/>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47D"/>
    <w:rsid w:val="0034357F"/>
    <w:rsid w:val="003456BA"/>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53FA"/>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C6E"/>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1D14"/>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923"/>
    <w:rsid w:val="003F2DD4"/>
    <w:rsid w:val="003F3313"/>
    <w:rsid w:val="003F369B"/>
    <w:rsid w:val="003F46CE"/>
    <w:rsid w:val="003F5119"/>
    <w:rsid w:val="003F6F79"/>
    <w:rsid w:val="003F7193"/>
    <w:rsid w:val="003F78B3"/>
    <w:rsid w:val="004001FA"/>
    <w:rsid w:val="00400842"/>
    <w:rsid w:val="0040165C"/>
    <w:rsid w:val="004017A8"/>
    <w:rsid w:val="004020F2"/>
    <w:rsid w:val="00402599"/>
    <w:rsid w:val="00403482"/>
    <w:rsid w:val="00403761"/>
    <w:rsid w:val="0040384F"/>
    <w:rsid w:val="00403AEF"/>
    <w:rsid w:val="00404DAC"/>
    <w:rsid w:val="00406A0F"/>
    <w:rsid w:val="00406AB4"/>
    <w:rsid w:val="00406D8B"/>
    <w:rsid w:val="00407644"/>
    <w:rsid w:val="0040764F"/>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0D2"/>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28D"/>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4F41"/>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6367"/>
    <w:rsid w:val="004C71AD"/>
    <w:rsid w:val="004D0667"/>
    <w:rsid w:val="004D0FED"/>
    <w:rsid w:val="004D1268"/>
    <w:rsid w:val="004D12A0"/>
    <w:rsid w:val="004D196B"/>
    <w:rsid w:val="004D2052"/>
    <w:rsid w:val="004D24E9"/>
    <w:rsid w:val="004D260F"/>
    <w:rsid w:val="004D27A5"/>
    <w:rsid w:val="004D2A7E"/>
    <w:rsid w:val="004D3359"/>
    <w:rsid w:val="004D36C9"/>
    <w:rsid w:val="004D4305"/>
    <w:rsid w:val="004D4366"/>
    <w:rsid w:val="004D5406"/>
    <w:rsid w:val="004D5425"/>
    <w:rsid w:val="004D6017"/>
    <w:rsid w:val="004D75DE"/>
    <w:rsid w:val="004D78B1"/>
    <w:rsid w:val="004D7B50"/>
    <w:rsid w:val="004D7D94"/>
    <w:rsid w:val="004E0989"/>
    <w:rsid w:val="004E0B76"/>
    <w:rsid w:val="004E13C2"/>
    <w:rsid w:val="004E2595"/>
    <w:rsid w:val="004E269A"/>
    <w:rsid w:val="004E2E5B"/>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6FF6"/>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28C"/>
    <w:rsid w:val="00595922"/>
    <w:rsid w:val="00596E6D"/>
    <w:rsid w:val="005A0057"/>
    <w:rsid w:val="005A0344"/>
    <w:rsid w:val="005A0A61"/>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AEC"/>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04CB"/>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55A"/>
    <w:rsid w:val="006249AC"/>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3F47"/>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54DF"/>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C6B20"/>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7CB"/>
    <w:rsid w:val="007F29F7"/>
    <w:rsid w:val="007F3045"/>
    <w:rsid w:val="007F37A9"/>
    <w:rsid w:val="007F59E0"/>
    <w:rsid w:val="007F68EE"/>
    <w:rsid w:val="007F7320"/>
    <w:rsid w:val="00802FFC"/>
    <w:rsid w:val="00803231"/>
    <w:rsid w:val="00803BC7"/>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556B"/>
    <w:rsid w:val="008164A5"/>
    <w:rsid w:val="00816D5D"/>
    <w:rsid w:val="008173AC"/>
    <w:rsid w:val="00817809"/>
    <w:rsid w:val="00817F91"/>
    <w:rsid w:val="00821846"/>
    <w:rsid w:val="00821A9B"/>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8E3"/>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610D"/>
    <w:rsid w:val="0093756C"/>
    <w:rsid w:val="009375A7"/>
    <w:rsid w:val="0093794B"/>
    <w:rsid w:val="00942695"/>
    <w:rsid w:val="00942EAE"/>
    <w:rsid w:val="00943482"/>
    <w:rsid w:val="00943F43"/>
    <w:rsid w:val="00944B76"/>
    <w:rsid w:val="00944F82"/>
    <w:rsid w:val="00945A8D"/>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191A"/>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5592"/>
    <w:rsid w:val="009E639C"/>
    <w:rsid w:val="009F0AEB"/>
    <w:rsid w:val="009F0CC2"/>
    <w:rsid w:val="009F129D"/>
    <w:rsid w:val="009F12A2"/>
    <w:rsid w:val="009F17E9"/>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368A7"/>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887"/>
    <w:rsid w:val="00A56B41"/>
    <w:rsid w:val="00A56D78"/>
    <w:rsid w:val="00A577BE"/>
    <w:rsid w:val="00A57831"/>
    <w:rsid w:val="00A579EB"/>
    <w:rsid w:val="00A57A27"/>
    <w:rsid w:val="00A603E7"/>
    <w:rsid w:val="00A6166F"/>
    <w:rsid w:val="00A61CA4"/>
    <w:rsid w:val="00A61E2B"/>
    <w:rsid w:val="00A62E90"/>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1CC"/>
    <w:rsid w:val="00A95425"/>
    <w:rsid w:val="00A976D4"/>
    <w:rsid w:val="00A979A7"/>
    <w:rsid w:val="00AA03BB"/>
    <w:rsid w:val="00AA0406"/>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54B"/>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2950"/>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078"/>
    <w:rsid w:val="00B811E6"/>
    <w:rsid w:val="00B82C8F"/>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0B8"/>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68B"/>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734"/>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67D69"/>
    <w:rsid w:val="00C70316"/>
    <w:rsid w:val="00C71632"/>
    <w:rsid w:val="00C72A15"/>
    <w:rsid w:val="00C75C00"/>
    <w:rsid w:val="00C75E38"/>
    <w:rsid w:val="00C76451"/>
    <w:rsid w:val="00C76454"/>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2F7"/>
    <w:rsid w:val="00CC2B3E"/>
    <w:rsid w:val="00CC4BA0"/>
    <w:rsid w:val="00CC5A6F"/>
    <w:rsid w:val="00CC639B"/>
    <w:rsid w:val="00CC63E7"/>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5A4F"/>
    <w:rsid w:val="00D4665A"/>
    <w:rsid w:val="00D50F12"/>
    <w:rsid w:val="00D51526"/>
    <w:rsid w:val="00D51F7D"/>
    <w:rsid w:val="00D5240D"/>
    <w:rsid w:val="00D52788"/>
    <w:rsid w:val="00D52E51"/>
    <w:rsid w:val="00D537C1"/>
    <w:rsid w:val="00D55852"/>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AE5"/>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033E"/>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480D"/>
    <w:rsid w:val="00E15536"/>
    <w:rsid w:val="00E16278"/>
    <w:rsid w:val="00E16DA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776"/>
    <w:rsid w:val="00E52B60"/>
    <w:rsid w:val="00E53045"/>
    <w:rsid w:val="00E53664"/>
    <w:rsid w:val="00E56B4F"/>
    <w:rsid w:val="00E56C44"/>
    <w:rsid w:val="00E60141"/>
    <w:rsid w:val="00E60194"/>
    <w:rsid w:val="00E60347"/>
    <w:rsid w:val="00E6083C"/>
    <w:rsid w:val="00E616E2"/>
    <w:rsid w:val="00E6433C"/>
    <w:rsid w:val="00E65DE8"/>
    <w:rsid w:val="00E6709A"/>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BFD"/>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5A91"/>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2E5"/>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1E50"/>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88E"/>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077"/>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320"/>
    <w:rsid w:val="00FF76CF"/>
    <w:rsid w:val="00FF78FC"/>
    <w:rsid w:val="01284AF4"/>
    <w:rsid w:val="012B3F71"/>
    <w:rsid w:val="013642CC"/>
    <w:rsid w:val="0160084E"/>
    <w:rsid w:val="01822573"/>
    <w:rsid w:val="01C506B1"/>
    <w:rsid w:val="01C77D25"/>
    <w:rsid w:val="01D66BDF"/>
    <w:rsid w:val="01E52B01"/>
    <w:rsid w:val="0216503D"/>
    <w:rsid w:val="023A0AF0"/>
    <w:rsid w:val="02792173"/>
    <w:rsid w:val="02963DFC"/>
    <w:rsid w:val="02BA2990"/>
    <w:rsid w:val="02E37041"/>
    <w:rsid w:val="03640BF6"/>
    <w:rsid w:val="03767EB5"/>
    <w:rsid w:val="03AF786B"/>
    <w:rsid w:val="03B93EBD"/>
    <w:rsid w:val="03C51779"/>
    <w:rsid w:val="03DE1A33"/>
    <w:rsid w:val="03FF6272"/>
    <w:rsid w:val="04A24CDA"/>
    <w:rsid w:val="04A46CA4"/>
    <w:rsid w:val="04EF7AC1"/>
    <w:rsid w:val="051756C8"/>
    <w:rsid w:val="053B0AD6"/>
    <w:rsid w:val="053D1A99"/>
    <w:rsid w:val="05766836"/>
    <w:rsid w:val="059554A6"/>
    <w:rsid w:val="059960DD"/>
    <w:rsid w:val="05B42F17"/>
    <w:rsid w:val="05C75668"/>
    <w:rsid w:val="05F950CB"/>
    <w:rsid w:val="064057E3"/>
    <w:rsid w:val="065B1500"/>
    <w:rsid w:val="066466EB"/>
    <w:rsid w:val="066606B5"/>
    <w:rsid w:val="066A0B88"/>
    <w:rsid w:val="071E412C"/>
    <w:rsid w:val="07524795"/>
    <w:rsid w:val="07CA08A4"/>
    <w:rsid w:val="07EC6998"/>
    <w:rsid w:val="07FC2953"/>
    <w:rsid w:val="08090C2C"/>
    <w:rsid w:val="08F301FA"/>
    <w:rsid w:val="090159FC"/>
    <w:rsid w:val="09260DC2"/>
    <w:rsid w:val="0994621F"/>
    <w:rsid w:val="09A11A04"/>
    <w:rsid w:val="09A8651B"/>
    <w:rsid w:val="09B55D24"/>
    <w:rsid w:val="09BD4C8C"/>
    <w:rsid w:val="09F03189"/>
    <w:rsid w:val="0A054B85"/>
    <w:rsid w:val="0A4C3BF2"/>
    <w:rsid w:val="0A8E1F88"/>
    <w:rsid w:val="0ABB4D47"/>
    <w:rsid w:val="0AC05EBA"/>
    <w:rsid w:val="0B09160F"/>
    <w:rsid w:val="0B582596"/>
    <w:rsid w:val="0B5B0E64"/>
    <w:rsid w:val="0BEF2EFA"/>
    <w:rsid w:val="0C101C89"/>
    <w:rsid w:val="0C117EE3"/>
    <w:rsid w:val="0C142961"/>
    <w:rsid w:val="0C1E156B"/>
    <w:rsid w:val="0CCB677A"/>
    <w:rsid w:val="0CD8398F"/>
    <w:rsid w:val="0D7E4CA8"/>
    <w:rsid w:val="0D8E4619"/>
    <w:rsid w:val="0D907DC5"/>
    <w:rsid w:val="0D95362E"/>
    <w:rsid w:val="0DA449A1"/>
    <w:rsid w:val="0DC7755F"/>
    <w:rsid w:val="0DE21BCE"/>
    <w:rsid w:val="0DE224BA"/>
    <w:rsid w:val="0E38782D"/>
    <w:rsid w:val="0E681446"/>
    <w:rsid w:val="0ECC7523"/>
    <w:rsid w:val="0ED308B1"/>
    <w:rsid w:val="0F376EAB"/>
    <w:rsid w:val="0F9B5798"/>
    <w:rsid w:val="10200FF0"/>
    <w:rsid w:val="10967DD8"/>
    <w:rsid w:val="10BC7123"/>
    <w:rsid w:val="116F2425"/>
    <w:rsid w:val="119C44E6"/>
    <w:rsid w:val="11A83DB4"/>
    <w:rsid w:val="11E5626B"/>
    <w:rsid w:val="12256295"/>
    <w:rsid w:val="123553DF"/>
    <w:rsid w:val="1254115C"/>
    <w:rsid w:val="12A52565"/>
    <w:rsid w:val="12F9433F"/>
    <w:rsid w:val="13115BD4"/>
    <w:rsid w:val="134D7BF4"/>
    <w:rsid w:val="13CD1DFA"/>
    <w:rsid w:val="13D01B9C"/>
    <w:rsid w:val="13FF37F9"/>
    <w:rsid w:val="14496C80"/>
    <w:rsid w:val="146855F8"/>
    <w:rsid w:val="149D16A7"/>
    <w:rsid w:val="15086DDB"/>
    <w:rsid w:val="152C45A9"/>
    <w:rsid w:val="157809B5"/>
    <w:rsid w:val="15C22553"/>
    <w:rsid w:val="15F22707"/>
    <w:rsid w:val="17E56F60"/>
    <w:rsid w:val="188660D4"/>
    <w:rsid w:val="18E26844"/>
    <w:rsid w:val="19193365"/>
    <w:rsid w:val="19393A07"/>
    <w:rsid w:val="19792055"/>
    <w:rsid w:val="19856C4C"/>
    <w:rsid w:val="198F6C7F"/>
    <w:rsid w:val="19D2286E"/>
    <w:rsid w:val="19D84217"/>
    <w:rsid w:val="1A3954A7"/>
    <w:rsid w:val="1A3D7527"/>
    <w:rsid w:val="1AC17E2E"/>
    <w:rsid w:val="1ADD6DBB"/>
    <w:rsid w:val="1B00656A"/>
    <w:rsid w:val="1B590390"/>
    <w:rsid w:val="1B741AA4"/>
    <w:rsid w:val="1BC670A8"/>
    <w:rsid w:val="1BCF27B9"/>
    <w:rsid w:val="1C0C7046"/>
    <w:rsid w:val="1C471DF2"/>
    <w:rsid w:val="1CA86A82"/>
    <w:rsid w:val="1CAA6861"/>
    <w:rsid w:val="1D1502E7"/>
    <w:rsid w:val="1D183933"/>
    <w:rsid w:val="1D324446"/>
    <w:rsid w:val="1D8666D1"/>
    <w:rsid w:val="1D8E16BF"/>
    <w:rsid w:val="1DAD283B"/>
    <w:rsid w:val="1DE877AA"/>
    <w:rsid w:val="1DFE6D32"/>
    <w:rsid w:val="1E164317"/>
    <w:rsid w:val="1EC93137"/>
    <w:rsid w:val="1F350345"/>
    <w:rsid w:val="1F5E479D"/>
    <w:rsid w:val="207500F4"/>
    <w:rsid w:val="21051858"/>
    <w:rsid w:val="213217A6"/>
    <w:rsid w:val="213276BA"/>
    <w:rsid w:val="217101B3"/>
    <w:rsid w:val="217930EC"/>
    <w:rsid w:val="21A31755"/>
    <w:rsid w:val="21EB7868"/>
    <w:rsid w:val="21F95368"/>
    <w:rsid w:val="22277108"/>
    <w:rsid w:val="226E2973"/>
    <w:rsid w:val="229C5B1F"/>
    <w:rsid w:val="22A05E9B"/>
    <w:rsid w:val="231C2AB7"/>
    <w:rsid w:val="231F6484"/>
    <w:rsid w:val="233E3859"/>
    <w:rsid w:val="235E42E0"/>
    <w:rsid w:val="23711FEF"/>
    <w:rsid w:val="23A75A11"/>
    <w:rsid w:val="23E648B2"/>
    <w:rsid w:val="2451627C"/>
    <w:rsid w:val="24653902"/>
    <w:rsid w:val="24E32A79"/>
    <w:rsid w:val="24F15196"/>
    <w:rsid w:val="251E7061"/>
    <w:rsid w:val="25A75A47"/>
    <w:rsid w:val="266B6670"/>
    <w:rsid w:val="26BC3560"/>
    <w:rsid w:val="275A76BA"/>
    <w:rsid w:val="2767173F"/>
    <w:rsid w:val="27A16E13"/>
    <w:rsid w:val="27F77C6D"/>
    <w:rsid w:val="27FA0D7D"/>
    <w:rsid w:val="28243AD4"/>
    <w:rsid w:val="28500425"/>
    <w:rsid w:val="28C4542D"/>
    <w:rsid w:val="2908469B"/>
    <w:rsid w:val="293E4055"/>
    <w:rsid w:val="297D53EF"/>
    <w:rsid w:val="2A144D70"/>
    <w:rsid w:val="2A777809"/>
    <w:rsid w:val="2A7A79DB"/>
    <w:rsid w:val="2B1608EB"/>
    <w:rsid w:val="2BE94E19"/>
    <w:rsid w:val="2C182496"/>
    <w:rsid w:val="2C690CB1"/>
    <w:rsid w:val="2D2A393B"/>
    <w:rsid w:val="2D5D40C4"/>
    <w:rsid w:val="2D870D8D"/>
    <w:rsid w:val="2DB256DE"/>
    <w:rsid w:val="2DF23BF7"/>
    <w:rsid w:val="2E512529"/>
    <w:rsid w:val="2E7B1C27"/>
    <w:rsid w:val="2EE83342"/>
    <w:rsid w:val="2F6A6270"/>
    <w:rsid w:val="2FA35DC3"/>
    <w:rsid w:val="30260A0B"/>
    <w:rsid w:val="302D019A"/>
    <w:rsid w:val="30360848"/>
    <w:rsid w:val="30766E97"/>
    <w:rsid w:val="30BA4FD6"/>
    <w:rsid w:val="31102E48"/>
    <w:rsid w:val="313C3C3D"/>
    <w:rsid w:val="31493774"/>
    <w:rsid w:val="3239017C"/>
    <w:rsid w:val="32CF7EE2"/>
    <w:rsid w:val="32E43D12"/>
    <w:rsid w:val="33A67096"/>
    <w:rsid w:val="34850C96"/>
    <w:rsid w:val="348E0C53"/>
    <w:rsid w:val="34D632A7"/>
    <w:rsid w:val="35675000"/>
    <w:rsid w:val="35B2271F"/>
    <w:rsid w:val="35D54660"/>
    <w:rsid w:val="369167D9"/>
    <w:rsid w:val="370C2303"/>
    <w:rsid w:val="372A4537"/>
    <w:rsid w:val="373B1FF4"/>
    <w:rsid w:val="37512C7E"/>
    <w:rsid w:val="37515F68"/>
    <w:rsid w:val="37595180"/>
    <w:rsid w:val="38130F90"/>
    <w:rsid w:val="384F24A7"/>
    <w:rsid w:val="388760E5"/>
    <w:rsid w:val="38FA5E53"/>
    <w:rsid w:val="392E47B3"/>
    <w:rsid w:val="394176CC"/>
    <w:rsid w:val="39486648"/>
    <w:rsid w:val="39497E49"/>
    <w:rsid w:val="39596B23"/>
    <w:rsid w:val="396E528D"/>
    <w:rsid w:val="39B27192"/>
    <w:rsid w:val="39FD2438"/>
    <w:rsid w:val="3A663AD8"/>
    <w:rsid w:val="3A8C66CF"/>
    <w:rsid w:val="3AB24F6F"/>
    <w:rsid w:val="3AD46C94"/>
    <w:rsid w:val="3ADD023E"/>
    <w:rsid w:val="3B04743C"/>
    <w:rsid w:val="3B6A75F8"/>
    <w:rsid w:val="3BA52406"/>
    <w:rsid w:val="3BD65243"/>
    <w:rsid w:val="3BE17BBE"/>
    <w:rsid w:val="3BE850ED"/>
    <w:rsid w:val="3C0B34FD"/>
    <w:rsid w:val="3C394A07"/>
    <w:rsid w:val="3C3B2642"/>
    <w:rsid w:val="3C430575"/>
    <w:rsid w:val="3D275E50"/>
    <w:rsid w:val="3D391C53"/>
    <w:rsid w:val="3D907365"/>
    <w:rsid w:val="3DA91B48"/>
    <w:rsid w:val="3DC92D11"/>
    <w:rsid w:val="3DD625F7"/>
    <w:rsid w:val="3DEE75FF"/>
    <w:rsid w:val="3E257021"/>
    <w:rsid w:val="3E5C0687"/>
    <w:rsid w:val="3EAB1CE0"/>
    <w:rsid w:val="3EB5502E"/>
    <w:rsid w:val="3EBC005A"/>
    <w:rsid w:val="3EF60223"/>
    <w:rsid w:val="3F130F48"/>
    <w:rsid w:val="3F156E17"/>
    <w:rsid w:val="3F177A97"/>
    <w:rsid w:val="3F204B9E"/>
    <w:rsid w:val="3F2D2AA2"/>
    <w:rsid w:val="3F4A39C9"/>
    <w:rsid w:val="406A7269"/>
    <w:rsid w:val="40F11783"/>
    <w:rsid w:val="40FC2E88"/>
    <w:rsid w:val="416C231C"/>
    <w:rsid w:val="418F3375"/>
    <w:rsid w:val="419C7ECA"/>
    <w:rsid w:val="41DD5999"/>
    <w:rsid w:val="41FB36A0"/>
    <w:rsid w:val="42446DF5"/>
    <w:rsid w:val="424C7A58"/>
    <w:rsid w:val="42996133"/>
    <w:rsid w:val="42F535F3"/>
    <w:rsid w:val="433429C6"/>
    <w:rsid w:val="433724B6"/>
    <w:rsid w:val="438954B6"/>
    <w:rsid w:val="43F108B7"/>
    <w:rsid w:val="440719A5"/>
    <w:rsid w:val="44305FFC"/>
    <w:rsid w:val="45592BB7"/>
    <w:rsid w:val="45851D1F"/>
    <w:rsid w:val="45EB301D"/>
    <w:rsid w:val="46054AED"/>
    <w:rsid w:val="46CF6E7E"/>
    <w:rsid w:val="471B5F47"/>
    <w:rsid w:val="473604A5"/>
    <w:rsid w:val="47A54CE1"/>
    <w:rsid w:val="47AE3E6E"/>
    <w:rsid w:val="48105853"/>
    <w:rsid w:val="481C180D"/>
    <w:rsid w:val="48335942"/>
    <w:rsid w:val="48496F13"/>
    <w:rsid w:val="48684EBF"/>
    <w:rsid w:val="48D80297"/>
    <w:rsid w:val="49053CA5"/>
    <w:rsid w:val="493A0B98"/>
    <w:rsid w:val="498D72D3"/>
    <w:rsid w:val="49A85D24"/>
    <w:rsid w:val="49FA27B8"/>
    <w:rsid w:val="4A274193"/>
    <w:rsid w:val="4A5D336F"/>
    <w:rsid w:val="4A6055B7"/>
    <w:rsid w:val="4A880579"/>
    <w:rsid w:val="4ADB5E1D"/>
    <w:rsid w:val="4AE03433"/>
    <w:rsid w:val="4AFB026D"/>
    <w:rsid w:val="4B701B57"/>
    <w:rsid w:val="4BB328F5"/>
    <w:rsid w:val="4BD43DE1"/>
    <w:rsid w:val="4CEE1E37"/>
    <w:rsid w:val="4D2B3EA6"/>
    <w:rsid w:val="4D9B0E4A"/>
    <w:rsid w:val="4E223868"/>
    <w:rsid w:val="4E37780E"/>
    <w:rsid w:val="4EC8490A"/>
    <w:rsid w:val="4EFA2326"/>
    <w:rsid w:val="4F334479"/>
    <w:rsid w:val="4F367AC5"/>
    <w:rsid w:val="4F457D08"/>
    <w:rsid w:val="4F72277B"/>
    <w:rsid w:val="4F9119A3"/>
    <w:rsid w:val="4FA709C3"/>
    <w:rsid w:val="4FC02CCE"/>
    <w:rsid w:val="4FCE7CFE"/>
    <w:rsid w:val="502A397F"/>
    <w:rsid w:val="50A662D2"/>
    <w:rsid w:val="50C17863"/>
    <w:rsid w:val="50EC6E80"/>
    <w:rsid w:val="51600E2A"/>
    <w:rsid w:val="51C4760A"/>
    <w:rsid w:val="52500E9E"/>
    <w:rsid w:val="5285527B"/>
    <w:rsid w:val="52C11D9C"/>
    <w:rsid w:val="53267CAB"/>
    <w:rsid w:val="535D124F"/>
    <w:rsid w:val="535E1BBF"/>
    <w:rsid w:val="535F25B7"/>
    <w:rsid w:val="539179C0"/>
    <w:rsid w:val="539879A6"/>
    <w:rsid w:val="53B92CEC"/>
    <w:rsid w:val="53C315D6"/>
    <w:rsid w:val="53D924A6"/>
    <w:rsid w:val="53DE791F"/>
    <w:rsid w:val="53EE3E79"/>
    <w:rsid w:val="540867EC"/>
    <w:rsid w:val="540A3A96"/>
    <w:rsid w:val="549B15FC"/>
    <w:rsid w:val="54C142D5"/>
    <w:rsid w:val="54CB6F02"/>
    <w:rsid w:val="54E51D72"/>
    <w:rsid w:val="54EE7837"/>
    <w:rsid w:val="55081F04"/>
    <w:rsid w:val="550F6DEF"/>
    <w:rsid w:val="55A64439"/>
    <w:rsid w:val="55A813FC"/>
    <w:rsid w:val="55D32512"/>
    <w:rsid w:val="55DC1426"/>
    <w:rsid w:val="55EA21A0"/>
    <w:rsid w:val="561C6174"/>
    <w:rsid w:val="57462870"/>
    <w:rsid w:val="57A47944"/>
    <w:rsid w:val="584A52EB"/>
    <w:rsid w:val="58AF298D"/>
    <w:rsid w:val="58D95C71"/>
    <w:rsid w:val="58FB334D"/>
    <w:rsid w:val="591B00E3"/>
    <w:rsid w:val="592B4413"/>
    <w:rsid w:val="594B23BF"/>
    <w:rsid w:val="596361F9"/>
    <w:rsid w:val="59822285"/>
    <w:rsid w:val="59D538DE"/>
    <w:rsid w:val="5A00764E"/>
    <w:rsid w:val="5A1D754C"/>
    <w:rsid w:val="5A5534F6"/>
    <w:rsid w:val="5A8E3128"/>
    <w:rsid w:val="5AAF3AD8"/>
    <w:rsid w:val="5ABF3065"/>
    <w:rsid w:val="5AC17E74"/>
    <w:rsid w:val="5AC5483D"/>
    <w:rsid w:val="5AF14E1D"/>
    <w:rsid w:val="5B88381F"/>
    <w:rsid w:val="5B8D5633"/>
    <w:rsid w:val="5BC45886"/>
    <w:rsid w:val="5BCD22B6"/>
    <w:rsid w:val="5C5F7C1B"/>
    <w:rsid w:val="5CCE3A33"/>
    <w:rsid w:val="5CF90550"/>
    <w:rsid w:val="5D0B0EED"/>
    <w:rsid w:val="5D235B2D"/>
    <w:rsid w:val="5D9E3AF1"/>
    <w:rsid w:val="5DE40518"/>
    <w:rsid w:val="5E3D7492"/>
    <w:rsid w:val="5E60690D"/>
    <w:rsid w:val="5E9B7945"/>
    <w:rsid w:val="5EC037A1"/>
    <w:rsid w:val="5ED510A9"/>
    <w:rsid w:val="5F105A4E"/>
    <w:rsid w:val="5F6A4BDE"/>
    <w:rsid w:val="5F7A1C50"/>
    <w:rsid w:val="5F7F7267"/>
    <w:rsid w:val="5F8328B3"/>
    <w:rsid w:val="5FB011CE"/>
    <w:rsid w:val="5FC34371"/>
    <w:rsid w:val="5FFA069B"/>
    <w:rsid w:val="608763D3"/>
    <w:rsid w:val="60932FCA"/>
    <w:rsid w:val="60FE06BF"/>
    <w:rsid w:val="6118702B"/>
    <w:rsid w:val="613A3445"/>
    <w:rsid w:val="6166248C"/>
    <w:rsid w:val="616D381B"/>
    <w:rsid w:val="6190562F"/>
    <w:rsid w:val="61F84B2E"/>
    <w:rsid w:val="6243457B"/>
    <w:rsid w:val="625E4788"/>
    <w:rsid w:val="634B69DD"/>
    <w:rsid w:val="63970DA8"/>
    <w:rsid w:val="64232313"/>
    <w:rsid w:val="64562340"/>
    <w:rsid w:val="647414FD"/>
    <w:rsid w:val="647B624F"/>
    <w:rsid w:val="64A46F95"/>
    <w:rsid w:val="64ED7BA7"/>
    <w:rsid w:val="653D0BAA"/>
    <w:rsid w:val="658E56EE"/>
    <w:rsid w:val="65A42E08"/>
    <w:rsid w:val="65AE6AC9"/>
    <w:rsid w:val="65C679B9"/>
    <w:rsid w:val="65FC33BF"/>
    <w:rsid w:val="660B715E"/>
    <w:rsid w:val="663F14FE"/>
    <w:rsid w:val="6655487D"/>
    <w:rsid w:val="666D1BC7"/>
    <w:rsid w:val="668C7CD5"/>
    <w:rsid w:val="669929BC"/>
    <w:rsid w:val="66AC03FF"/>
    <w:rsid w:val="67074B1F"/>
    <w:rsid w:val="676A25AA"/>
    <w:rsid w:val="677A7318"/>
    <w:rsid w:val="679D4634"/>
    <w:rsid w:val="68757F1E"/>
    <w:rsid w:val="68C24A40"/>
    <w:rsid w:val="68F94B29"/>
    <w:rsid w:val="69CB266A"/>
    <w:rsid w:val="69E95A08"/>
    <w:rsid w:val="6A276531"/>
    <w:rsid w:val="6A5729A7"/>
    <w:rsid w:val="6A782460"/>
    <w:rsid w:val="6A813FB3"/>
    <w:rsid w:val="6A94371C"/>
    <w:rsid w:val="6ACD3954"/>
    <w:rsid w:val="6AEC7708"/>
    <w:rsid w:val="6B5D4AE2"/>
    <w:rsid w:val="6B621F16"/>
    <w:rsid w:val="6B8E2893"/>
    <w:rsid w:val="6BAE234B"/>
    <w:rsid w:val="6BFFCCF2"/>
    <w:rsid w:val="6C580C23"/>
    <w:rsid w:val="6D3B4D97"/>
    <w:rsid w:val="6D61244E"/>
    <w:rsid w:val="6D7E0B5E"/>
    <w:rsid w:val="6D800432"/>
    <w:rsid w:val="6D8F4B19"/>
    <w:rsid w:val="6DE40E9B"/>
    <w:rsid w:val="6DF75A8E"/>
    <w:rsid w:val="6E3B07FD"/>
    <w:rsid w:val="6E491AD1"/>
    <w:rsid w:val="6E902A69"/>
    <w:rsid w:val="6EE175F6"/>
    <w:rsid w:val="6F0F4163"/>
    <w:rsid w:val="6F157D71"/>
    <w:rsid w:val="6F2B0871"/>
    <w:rsid w:val="6F3705BB"/>
    <w:rsid w:val="6F571666"/>
    <w:rsid w:val="6F6124E5"/>
    <w:rsid w:val="709D579F"/>
    <w:rsid w:val="70BA5DF6"/>
    <w:rsid w:val="70EB02B8"/>
    <w:rsid w:val="7104581E"/>
    <w:rsid w:val="71094BE2"/>
    <w:rsid w:val="712E4649"/>
    <w:rsid w:val="722F6CEC"/>
    <w:rsid w:val="725268FE"/>
    <w:rsid w:val="735B0284"/>
    <w:rsid w:val="7398078A"/>
    <w:rsid w:val="73F43927"/>
    <w:rsid w:val="740578E3"/>
    <w:rsid w:val="74161F1E"/>
    <w:rsid w:val="74352932"/>
    <w:rsid w:val="743B50B2"/>
    <w:rsid w:val="74455CC5"/>
    <w:rsid w:val="748819CB"/>
    <w:rsid w:val="7491561A"/>
    <w:rsid w:val="74CC44C9"/>
    <w:rsid w:val="74D15A17"/>
    <w:rsid w:val="755060BC"/>
    <w:rsid w:val="75657F46"/>
    <w:rsid w:val="760065B4"/>
    <w:rsid w:val="76407440"/>
    <w:rsid w:val="76516E0F"/>
    <w:rsid w:val="766216EB"/>
    <w:rsid w:val="76A03415"/>
    <w:rsid w:val="770347E1"/>
    <w:rsid w:val="77EC5A75"/>
    <w:rsid w:val="77ED39DA"/>
    <w:rsid w:val="787612E8"/>
    <w:rsid w:val="788A6608"/>
    <w:rsid w:val="7940316B"/>
    <w:rsid w:val="796E04F9"/>
    <w:rsid w:val="79957A7E"/>
    <w:rsid w:val="79A036CA"/>
    <w:rsid w:val="79E61F64"/>
    <w:rsid w:val="7A2465E9"/>
    <w:rsid w:val="7B1C2787"/>
    <w:rsid w:val="7B7A7C85"/>
    <w:rsid w:val="7BAC0F4F"/>
    <w:rsid w:val="7BD80475"/>
    <w:rsid w:val="7BEB608D"/>
    <w:rsid w:val="7C2C1382"/>
    <w:rsid w:val="7C885555"/>
    <w:rsid w:val="7CF17A28"/>
    <w:rsid w:val="7D1D270C"/>
    <w:rsid w:val="7D2C5EE0"/>
    <w:rsid w:val="7D4A45B8"/>
    <w:rsid w:val="7D8A0E59"/>
    <w:rsid w:val="7DE274B1"/>
    <w:rsid w:val="7DE95B7F"/>
    <w:rsid w:val="7DF92D65"/>
    <w:rsid w:val="7E0503B7"/>
    <w:rsid w:val="7E3F0209"/>
    <w:rsid w:val="7EA70D2A"/>
    <w:rsid w:val="7F1B3CE5"/>
    <w:rsid w:val="7F4F5EB6"/>
    <w:rsid w:val="7F78540D"/>
    <w:rsid w:val="7F7B6CAB"/>
    <w:rsid w:val="7F967525"/>
    <w:rsid w:val="7FF13411"/>
    <w:rsid w:val="FE7BFB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3"/>
    <w:qFormat/>
    <w:uiPriority w:val="9"/>
    <w:pPr>
      <w:keepNext/>
      <w:keepLines/>
      <w:spacing w:before="340" w:after="330" w:line="578" w:lineRule="auto"/>
      <w:outlineLvl w:val="0"/>
    </w:pPr>
    <w:rPr>
      <w:b/>
      <w:bCs/>
      <w:kern w:val="44"/>
      <w:sz w:val="44"/>
      <w:szCs w:val="44"/>
    </w:rPr>
  </w:style>
  <w:style w:type="paragraph" w:styleId="4">
    <w:name w:val="heading 2"/>
    <w:basedOn w:val="3"/>
    <w:next w:val="1"/>
    <w:link w:val="126"/>
    <w:qFormat/>
    <w:uiPriority w:val="9"/>
    <w:pPr>
      <w:keepNext/>
      <w:keepLines/>
      <w:spacing w:before="260" w:after="260" w:line="415" w:lineRule="auto"/>
      <w:outlineLvl w:val="1"/>
    </w:pPr>
    <w:rPr>
      <w:rFonts w:ascii="Arial" w:hAnsi="Arial" w:eastAsia="黑体"/>
      <w:kern w:val="0"/>
      <w:sz w:val="32"/>
      <w:szCs w:val="32"/>
    </w:rPr>
  </w:style>
  <w:style w:type="paragraph" w:styleId="5">
    <w:name w:val="heading 3"/>
    <w:basedOn w:val="1"/>
    <w:next w:val="1"/>
    <w:link w:val="177"/>
    <w:qFormat/>
    <w:uiPriority w:val="9"/>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4"/>
    <w:qFormat/>
    <w:uiPriority w:val="9"/>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4"/>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5"/>
    <w:qFormat/>
    <w:uiPriority w:val="9"/>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9"/>
    <w:qFormat/>
    <w:uiPriority w:val="9"/>
    <w:pPr>
      <w:keepNext/>
      <w:keepLines/>
      <w:spacing w:before="240" w:after="64" w:line="320" w:lineRule="auto"/>
      <w:outlineLvl w:val="6"/>
    </w:pPr>
    <w:rPr>
      <w:b/>
      <w:bCs/>
      <w:kern w:val="0"/>
      <w:sz w:val="24"/>
    </w:rPr>
  </w:style>
  <w:style w:type="paragraph" w:styleId="10">
    <w:name w:val="heading 8"/>
    <w:basedOn w:val="1"/>
    <w:next w:val="1"/>
    <w:link w:val="148"/>
    <w:qFormat/>
    <w:uiPriority w:val="9"/>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5"/>
    <w:qFormat/>
    <w:uiPriority w:val="9"/>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18"/>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3"/>
    <w:qFormat/>
    <w:uiPriority w:val="99"/>
    <w:pPr>
      <w:shd w:val="clear" w:color="auto" w:fill="000080"/>
    </w:pPr>
    <w:rPr>
      <w:kern w:val="0"/>
      <w:sz w:val="20"/>
    </w:rPr>
  </w:style>
  <w:style w:type="paragraph" w:styleId="18">
    <w:name w:val="toa heading"/>
    <w:basedOn w:val="1"/>
    <w:next w:val="1"/>
    <w:link w:val="173"/>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0"/>
    <w:qFormat/>
    <w:uiPriority w:val="0"/>
    <w:pPr>
      <w:jc w:val="left"/>
    </w:pPr>
    <w:rPr>
      <w:kern w:val="0"/>
      <w:sz w:val="20"/>
    </w:rPr>
  </w:style>
  <w:style w:type="paragraph" w:styleId="20">
    <w:name w:val="Body Text 3"/>
    <w:basedOn w:val="1"/>
    <w:link w:val="113"/>
    <w:qFormat/>
    <w:uiPriority w:val="0"/>
    <w:pPr>
      <w:snapToGrid w:val="0"/>
      <w:spacing w:before="50" w:after="50"/>
    </w:pPr>
    <w:rPr>
      <w:rFonts w:hAnsi="宋体" w:eastAsia="仿宋_GB2312"/>
      <w:b/>
      <w:bCs/>
      <w:kern w:val="0"/>
      <w:sz w:val="24"/>
      <w:szCs w:val="20"/>
    </w:rPr>
  </w:style>
  <w:style w:type="paragraph" w:styleId="21">
    <w:name w:val="Body Text"/>
    <w:basedOn w:val="1"/>
    <w:next w:val="22"/>
    <w:link w:val="121"/>
    <w:qFormat/>
    <w:uiPriority w:val="0"/>
    <w:pPr>
      <w:spacing w:after="120"/>
    </w:pPr>
    <w:rPr>
      <w:kern w:val="0"/>
      <w:sz w:val="28"/>
    </w:rPr>
  </w:style>
  <w:style w:type="paragraph" w:styleId="22">
    <w:name w:val="Body Text First Indent"/>
    <w:basedOn w:val="21"/>
    <w:next w:val="1"/>
    <w:link w:val="165"/>
    <w:qFormat/>
    <w:uiPriority w:val="0"/>
    <w:pPr>
      <w:spacing w:beforeLines="50" w:afterLines="50" w:line="360" w:lineRule="auto"/>
      <w:ind w:firstLine="480" w:firstLineChars="200"/>
    </w:pPr>
    <w:rPr>
      <w:sz w:val="24"/>
    </w:rPr>
  </w:style>
  <w:style w:type="paragraph" w:styleId="23">
    <w:name w:val="Body Text Indent"/>
    <w:basedOn w:val="1"/>
    <w:next w:val="24"/>
    <w:link w:val="192"/>
    <w:qFormat/>
    <w:uiPriority w:val="0"/>
    <w:pPr>
      <w:spacing w:line="200" w:lineRule="exact"/>
      <w:ind w:firstLine="301"/>
    </w:pPr>
    <w:rPr>
      <w:rFonts w:ascii="宋体" w:hAnsi="Courier New"/>
      <w:spacing w:val="-4"/>
      <w:kern w:val="0"/>
      <w:sz w:val="18"/>
      <w:szCs w:val="20"/>
    </w:rPr>
  </w:style>
  <w:style w:type="paragraph" w:styleId="24">
    <w:name w:val="envelope return"/>
    <w:basedOn w:val="1"/>
    <w:semiHidden/>
    <w:unhideWhenUsed/>
    <w:qFormat/>
    <w:uiPriority w:val="99"/>
    <w:pPr>
      <w:snapToGrid w:val="0"/>
    </w:pPr>
    <w:rPr>
      <w:rFonts w:ascii="Arial" w:hAnsi="Arial"/>
    </w:rPr>
  </w:style>
  <w:style w:type="paragraph" w:styleId="25">
    <w:name w:val="List Number 3"/>
    <w:basedOn w:val="1"/>
    <w:qFormat/>
    <w:uiPriority w:val="0"/>
    <w:pPr>
      <w:tabs>
        <w:tab w:val="left" w:pos="1200"/>
      </w:tabs>
      <w:ind w:left="1200" w:hanging="360"/>
    </w:pPr>
  </w:style>
  <w:style w:type="paragraph" w:styleId="26">
    <w:name w:val="List 2"/>
    <w:basedOn w:val="1"/>
    <w:qFormat/>
    <w:uiPriority w:val="0"/>
    <w:pPr>
      <w:ind w:left="100" w:leftChars="200" w:hanging="200" w:hangingChars="200"/>
    </w:pPr>
    <w:rPr>
      <w:sz w:val="28"/>
    </w:rPr>
  </w:style>
  <w:style w:type="paragraph" w:styleId="27">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next w:val="32"/>
    <w:link w:val="180"/>
    <w:qFormat/>
    <w:uiPriority w:val="0"/>
    <w:pPr>
      <w:spacing w:beforeLines="50" w:afterLines="50" w:line="400" w:lineRule="exact"/>
    </w:pPr>
    <w:rPr>
      <w:rFonts w:ascii="宋体" w:hAnsi="Courier New"/>
      <w:kern w:val="0"/>
      <w:sz w:val="24"/>
    </w:rPr>
  </w:style>
  <w:style w:type="paragraph" w:styleId="32">
    <w:name w:val="Date"/>
    <w:basedOn w:val="1"/>
    <w:next w:val="1"/>
    <w:link w:val="176"/>
    <w:qFormat/>
    <w:uiPriority w:val="0"/>
    <w:pPr>
      <w:ind w:left="2500" w:leftChars="2500"/>
    </w:pPr>
    <w:rPr>
      <w:rFonts w:eastAsia="楷体_GB2312"/>
      <w:kern w:val="0"/>
      <w:sz w:val="32"/>
      <w:szCs w:val="20"/>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Body Text Indent 2"/>
    <w:basedOn w:val="1"/>
    <w:link w:val="186"/>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38"/>
    <w:qFormat/>
    <w:uiPriority w:val="99"/>
    <w:rPr>
      <w:kern w:val="0"/>
      <w:sz w:val="18"/>
      <w:szCs w:val="18"/>
    </w:rPr>
  </w:style>
  <w:style w:type="paragraph" w:styleId="36">
    <w:name w:val="footer"/>
    <w:basedOn w:val="1"/>
    <w:link w:val="175"/>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09"/>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Subtitle"/>
    <w:basedOn w:val="1"/>
    <w:next w:val="1"/>
    <w:link w:val="404"/>
    <w:qFormat/>
    <w:uiPriority w:val="11"/>
    <w:pPr>
      <w:tabs>
        <w:tab w:val="left" w:pos="720"/>
      </w:tabs>
      <w:spacing w:after="160" w:line="360" w:lineRule="auto"/>
      <w:ind w:firstLine="480" w:firstLineChars="20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95"/>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8"/>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8"/>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37"/>
    <w:qFormat/>
    <w:uiPriority w:val="10"/>
    <w:pPr>
      <w:spacing w:before="240" w:after="60"/>
      <w:jc w:val="center"/>
      <w:outlineLvl w:val="0"/>
    </w:pPr>
    <w:rPr>
      <w:rFonts w:ascii="Cambria" w:hAnsi="Cambria"/>
      <w:b/>
      <w:bCs/>
      <w:kern w:val="0"/>
      <w:sz w:val="32"/>
      <w:szCs w:val="32"/>
    </w:rPr>
  </w:style>
  <w:style w:type="paragraph" w:styleId="51">
    <w:name w:val="annotation subject"/>
    <w:basedOn w:val="19"/>
    <w:next w:val="19"/>
    <w:link w:val="238"/>
    <w:qFormat/>
    <w:uiPriority w:val="99"/>
    <w:rPr>
      <w:b/>
      <w:bCs/>
    </w:rPr>
  </w:style>
  <w:style w:type="paragraph" w:styleId="52">
    <w:name w:val="Body Text First Indent 2"/>
    <w:basedOn w:val="23"/>
    <w:next w:val="1"/>
    <w:qFormat/>
    <w:uiPriority w:val="0"/>
    <w:pPr>
      <w:spacing w:after="120" w:line="240" w:lineRule="auto"/>
      <w:ind w:left="420" w:leftChars="200" w:firstLine="420"/>
    </w:pPr>
    <w:rPr>
      <w:rFonts w:cs="宋体"/>
      <w:sz w:val="21"/>
      <w:szCs w:val="21"/>
    </w:rPr>
  </w:style>
  <w:style w:type="table" w:styleId="54">
    <w:name w:val="Table Grid"/>
    <w:basedOn w:val="5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bCs/>
      <w:color w:val="000000"/>
    </w:rPr>
  </w:style>
  <w:style w:type="character" w:styleId="57">
    <w:name w:val="page number"/>
    <w:qFormat/>
    <w:uiPriority w:val="0"/>
  </w:style>
  <w:style w:type="character" w:styleId="58">
    <w:name w:val="FollowedHyperlink"/>
    <w:qFormat/>
    <w:uiPriority w:val="99"/>
    <w:rPr>
      <w:color w:val="800080"/>
      <w:u w:val="single"/>
    </w:rPr>
  </w:style>
  <w:style w:type="character" w:styleId="59">
    <w:name w:val="Emphasis"/>
    <w:qFormat/>
    <w:uiPriority w:val="0"/>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paragraph" w:customStyle="1" w:styleId="62">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3">
    <w:name w:val="正文1"/>
    <w:basedOn w:val="1"/>
    <w:next w:val="1"/>
    <w:link w:val="230"/>
    <w:qFormat/>
    <w:uiPriority w:val="0"/>
    <w:pPr>
      <w:spacing w:line="360" w:lineRule="auto"/>
      <w:ind w:firstLine="200" w:firstLineChars="200"/>
      <w:jc w:val="left"/>
    </w:pPr>
    <w:rPr>
      <w:rFonts w:ascii="宋体" w:hAnsi="宋体"/>
      <w:color w:val="000000"/>
      <w:kern w:val="0"/>
      <w:sz w:val="24"/>
      <w:szCs w:val="20"/>
    </w:rPr>
  </w:style>
  <w:style w:type="paragraph" w:customStyle="1" w:styleId="64">
    <w:name w:val="_Style 3"/>
    <w:basedOn w:val="1"/>
    <w:qFormat/>
    <w:uiPriority w:val="34"/>
    <w:pPr>
      <w:spacing w:line="360" w:lineRule="auto"/>
      <w:ind w:firstLine="420" w:firstLineChars="200"/>
    </w:pPr>
    <w:rPr>
      <w:rFonts w:ascii="Calibri" w:hAnsi="Calibri"/>
      <w:szCs w:val="22"/>
    </w:rPr>
  </w:style>
  <w:style w:type="character" w:customStyle="1" w:styleId="65">
    <w:name w:val="标题 1 字符"/>
    <w:qFormat/>
    <w:uiPriority w:val="9"/>
    <w:rPr>
      <w:b/>
      <w:bCs/>
      <w:kern w:val="44"/>
      <w:sz w:val="30"/>
      <w:szCs w:val="44"/>
    </w:rPr>
  </w:style>
  <w:style w:type="character" w:customStyle="1" w:styleId="66">
    <w:name w:val="页眉 Char1"/>
    <w:semiHidden/>
    <w:qFormat/>
    <w:uiPriority w:val="99"/>
    <w:rPr>
      <w:rFonts w:ascii="Times New Roman" w:hAnsi="Times New Roman" w:eastAsia="宋体" w:cs="Times New Roman"/>
      <w:sz w:val="18"/>
      <w:szCs w:val="18"/>
    </w:rPr>
  </w:style>
  <w:style w:type="character" w:customStyle="1" w:styleId="67">
    <w:name w:val="H2 Char"/>
    <w:qFormat/>
    <w:uiPriority w:val="0"/>
    <w:rPr>
      <w:rFonts w:ascii="Cambria" w:hAnsi="Cambria" w:eastAsia="宋体" w:cs="Times New Roman"/>
      <w:b/>
      <w:bCs/>
      <w:sz w:val="32"/>
      <w:szCs w:val="32"/>
    </w:rPr>
  </w:style>
  <w:style w:type="character" w:customStyle="1" w:styleId="68">
    <w:name w:val="* table text Char"/>
    <w:link w:val="69"/>
    <w:qFormat/>
    <w:locked/>
    <w:uiPriority w:val="0"/>
    <w:rPr>
      <w:rFonts w:ascii="Arial" w:hAnsi="Arial" w:eastAsia="宋体"/>
      <w:color w:val="333333"/>
      <w:sz w:val="18"/>
      <w:szCs w:val="18"/>
      <w:lang w:bidi="ar-SA"/>
    </w:rPr>
  </w:style>
  <w:style w:type="paragraph" w:customStyle="1" w:styleId="69">
    <w:name w:val="* table text"/>
    <w:basedOn w:val="1"/>
    <w:link w:val="68"/>
    <w:qFormat/>
    <w:uiPriority w:val="0"/>
    <w:pPr>
      <w:widowControl/>
    </w:pPr>
    <w:rPr>
      <w:rFonts w:ascii="Arial" w:hAnsi="Arial"/>
      <w:color w:val="333333"/>
      <w:kern w:val="0"/>
      <w:sz w:val="18"/>
      <w:szCs w:val="18"/>
    </w:rPr>
  </w:style>
  <w:style w:type="character" w:customStyle="1" w:styleId="70">
    <w:name w:val="批注文字 字符"/>
    <w:link w:val="19"/>
    <w:qFormat/>
    <w:uiPriority w:val="0"/>
    <w:rPr>
      <w:szCs w:val="24"/>
    </w:rPr>
  </w:style>
  <w:style w:type="character" w:customStyle="1" w:styleId="71">
    <w:name w:val="Char Char12"/>
    <w:qFormat/>
    <w:uiPriority w:val="0"/>
    <w:rPr>
      <w:rFonts w:ascii="仿宋_GB2312" w:hAnsi="宋体" w:eastAsia="仿宋_GB2312"/>
      <w:color w:val="000000"/>
      <w:kern w:val="2"/>
      <w:sz w:val="24"/>
      <w:szCs w:val="24"/>
    </w:rPr>
  </w:style>
  <w:style w:type="character" w:customStyle="1" w:styleId="72">
    <w:name w:val="Char Char23"/>
    <w:qFormat/>
    <w:uiPriority w:val="0"/>
    <w:rPr>
      <w:b/>
      <w:bCs/>
      <w:kern w:val="2"/>
      <w:sz w:val="28"/>
      <w:szCs w:val="28"/>
    </w:rPr>
  </w:style>
  <w:style w:type="character" w:customStyle="1" w:styleId="73">
    <w:name w:val="Char Char27"/>
    <w:qFormat/>
    <w:uiPriority w:val="0"/>
    <w:rPr>
      <w:b/>
      <w:bCs/>
      <w:kern w:val="44"/>
      <w:sz w:val="44"/>
      <w:szCs w:val="44"/>
    </w:rPr>
  </w:style>
  <w:style w:type="character" w:customStyle="1" w:styleId="74">
    <w:name w:val="Char Char1111"/>
    <w:qFormat/>
    <w:uiPriority w:val="0"/>
    <w:rPr>
      <w:kern w:val="2"/>
      <w:sz w:val="28"/>
      <w:szCs w:val="24"/>
    </w:rPr>
  </w:style>
  <w:style w:type="character" w:customStyle="1" w:styleId="75">
    <w:name w:val="正文文本 字符"/>
    <w:qFormat/>
    <w:uiPriority w:val="0"/>
    <w:rPr>
      <w:rFonts w:ascii="Times New Roman" w:hAnsi="Times New Roman" w:eastAsia="宋体" w:cs="Times New Roman"/>
      <w:kern w:val="0"/>
      <w:sz w:val="28"/>
      <w:szCs w:val="24"/>
    </w:rPr>
  </w:style>
  <w:style w:type="character" w:customStyle="1" w:styleId="76">
    <w:name w:val="无格式标题 Char"/>
    <w:link w:val="77"/>
    <w:qFormat/>
    <w:uiPriority w:val="0"/>
    <w:rPr>
      <w:rFonts w:ascii="微软雅黑" w:hAnsi="微软雅黑" w:eastAsia="微软雅黑"/>
      <w:b/>
      <w:szCs w:val="24"/>
      <w:lang w:bidi="ar-SA"/>
    </w:rPr>
  </w:style>
  <w:style w:type="paragraph" w:customStyle="1" w:styleId="77">
    <w:name w:val="无格式标题"/>
    <w:basedOn w:val="1"/>
    <w:link w:val="76"/>
    <w:qFormat/>
    <w:uiPriority w:val="0"/>
    <w:pPr>
      <w:spacing w:line="360" w:lineRule="auto"/>
    </w:pPr>
    <w:rPr>
      <w:rFonts w:ascii="微软雅黑" w:hAnsi="微软雅黑" w:eastAsia="微软雅黑"/>
      <w:b/>
      <w:kern w:val="0"/>
      <w:sz w:val="20"/>
    </w:rPr>
  </w:style>
  <w:style w:type="character" w:customStyle="1" w:styleId="78">
    <w:name w:val="普通(网站) 字符"/>
    <w:link w:val="48"/>
    <w:qFormat/>
    <w:uiPriority w:val="0"/>
    <w:rPr>
      <w:rFonts w:ascii="宋体" w:hAnsi="宋体"/>
      <w:sz w:val="24"/>
      <w:szCs w:val="24"/>
    </w:rPr>
  </w:style>
  <w:style w:type="character" w:customStyle="1" w:styleId="79">
    <w:name w:val="标题 3 Char1"/>
    <w:qFormat/>
    <w:uiPriority w:val="0"/>
    <w:rPr>
      <w:rFonts w:ascii="Times New Roman" w:hAnsi="Times New Roman" w:eastAsia="宋体" w:cs="Times New Roman"/>
      <w:b/>
      <w:bCs/>
      <w:sz w:val="32"/>
      <w:szCs w:val="32"/>
    </w:rPr>
  </w:style>
  <w:style w:type="character" w:customStyle="1" w:styleId="80">
    <w:name w:val="Heading 9 Char"/>
    <w:semiHidden/>
    <w:qFormat/>
    <w:locked/>
    <w:uiPriority w:val="0"/>
    <w:rPr>
      <w:rFonts w:ascii="Cambria" w:hAnsi="Cambria" w:eastAsia="宋体" w:cs="Times New Roman"/>
      <w:kern w:val="0"/>
      <w:sz w:val="21"/>
      <w:szCs w:val="21"/>
    </w:rPr>
  </w:style>
  <w:style w:type="character" w:customStyle="1" w:styleId="81">
    <w:name w:val="中等深浅网格 2 字符"/>
    <w:link w:val="82"/>
    <w:qFormat/>
    <w:uiPriority w:val="1"/>
    <w:rPr>
      <w:kern w:val="2"/>
      <w:sz w:val="21"/>
      <w:szCs w:val="24"/>
      <w:lang w:val="en-US" w:eastAsia="zh-CN" w:bidi="ar-SA"/>
    </w:rPr>
  </w:style>
  <w:style w:type="paragraph" w:customStyle="1" w:styleId="82">
    <w:name w:val="中等深浅网格 21"/>
    <w:link w:val="8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3">
    <w:name w:val="段落文本 Char"/>
    <w:link w:val="84"/>
    <w:qFormat/>
    <w:uiPriority w:val="0"/>
    <w:rPr>
      <w:rFonts w:eastAsia="宋体"/>
      <w:szCs w:val="21"/>
      <w:lang w:bidi="ar-SA"/>
    </w:rPr>
  </w:style>
  <w:style w:type="paragraph" w:customStyle="1" w:styleId="84">
    <w:name w:val="段落文本"/>
    <w:basedOn w:val="1"/>
    <w:link w:val="83"/>
    <w:qFormat/>
    <w:uiPriority w:val="0"/>
    <w:pPr>
      <w:spacing w:line="360" w:lineRule="auto"/>
      <w:ind w:firstLine="420"/>
    </w:pPr>
    <w:rPr>
      <w:kern w:val="0"/>
      <w:sz w:val="20"/>
      <w:szCs w:val="21"/>
    </w:rPr>
  </w:style>
  <w:style w:type="character" w:customStyle="1" w:styleId="85">
    <w:name w:val="批注文字 Char1"/>
    <w:semiHidden/>
    <w:qFormat/>
    <w:uiPriority w:val="99"/>
    <w:rPr>
      <w:rFonts w:ascii="Times New Roman" w:hAnsi="Times New Roman" w:eastAsia="宋体" w:cs="Times New Roman"/>
      <w:szCs w:val="24"/>
    </w:rPr>
  </w:style>
  <w:style w:type="character" w:customStyle="1" w:styleId="86">
    <w:name w:val="￥正文 Char Char"/>
    <w:qFormat/>
    <w:uiPriority w:val="0"/>
    <w:rPr>
      <w:rFonts w:ascii="Calibri" w:hAnsi="Calibri"/>
      <w:sz w:val="24"/>
    </w:rPr>
  </w:style>
  <w:style w:type="character" w:customStyle="1" w:styleId="87">
    <w:name w:val="Char Char5"/>
    <w:qFormat/>
    <w:uiPriority w:val="0"/>
    <w:rPr>
      <w:rFonts w:ascii="宋体" w:hAnsi="宋体"/>
      <w:sz w:val="24"/>
      <w:szCs w:val="24"/>
    </w:rPr>
  </w:style>
  <w:style w:type="character" w:customStyle="1" w:styleId="88">
    <w:name w:val="Heading 3 Char"/>
    <w:semiHidden/>
    <w:qFormat/>
    <w:locked/>
    <w:uiPriority w:val="0"/>
    <w:rPr>
      <w:rFonts w:cs="Times New Roman"/>
      <w:b/>
      <w:bCs/>
      <w:kern w:val="0"/>
      <w:sz w:val="32"/>
      <w:szCs w:val="32"/>
    </w:rPr>
  </w:style>
  <w:style w:type="character" w:customStyle="1" w:styleId="89">
    <w:name w:val="Char Char21"/>
    <w:qFormat/>
    <w:uiPriority w:val="0"/>
    <w:rPr>
      <w:b/>
      <w:bCs/>
      <w:kern w:val="2"/>
      <w:sz w:val="24"/>
      <w:szCs w:val="24"/>
    </w:rPr>
  </w:style>
  <w:style w:type="character" w:customStyle="1" w:styleId="90">
    <w:name w:val="正文样式 Char"/>
    <w:link w:val="91"/>
    <w:qFormat/>
    <w:uiPriority w:val="0"/>
    <w:rPr>
      <w:rFonts w:ascii="宋体" w:hAnsi="Calibri" w:eastAsia="宋体" w:cs="宋体"/>
      <w:sz w:val="24"/>
      <w:szCs w:val="24"/>
      <w:lang w:val="zh-CN" w:eastAsia="en-US" w:bidi="he-IL"/>
    </w:rPr>
  </w:style>
  <w:style w:type="paragraph" w:customStyle="1" w:styleId="91">
    <w:name w:val="正文样式"/>
    <w:basedOn w:val="1"/>
    <w:link w:val="90"/>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2">
    <w:name w:val="Heading 8 Char"/>
    <w:semiHidden/>
    <w:qFormat/>
    <w:locked/>
    <w:uiPriority w:val="0"/>
    <w:rPr>
      <w:rFonts w:ascii="Cambria" w:hAnsi="Cambria" w:eastAsia="宋体" w:cs="Times New Roman"/>
      <w:kern w:val="0"/>
      <w:sz w:val="24"/>
      <w:szCs w:val="24"/>
    </w:rPr>
  </w:style>
  <w:style w:type="character" w:customStyle="1" w:styleId="93">
    <w:name w:val="内容文本 Char"/>
    <w:link w:val="94"/>
    <w:qFormat/>
    <w:uiPriority w:val="0"/>
    <w:rPr>
      <w:rFonts w:ascii="宋体" w:hAnsi="宋体" w:eastAsia="宋体"/>
      <w:kern w:val="2"/>
      <w:sz w:val="24"/>
      <w:szCs w:val="24"/>
      <w:lang w:bidi="ar-SA"/>
    </w:rPr>
  </w:style>
  <w:style w:type="paragraph" w:customStyle="1" w:styleId="94">
    <w:name w:val="内容文本"/>
    <w:basedOn w:val="1"/>
    <w:link w:val="93"/>
    <w:qFormat/>
    <w:uiPriority w:val="0"/>
    <w:pPr>
      <w:spacing w:line="360" w:lineRule="auto"/>
      <w:ind w:firstLine="480" w:firstLineChars="200"/>
    </w:pPr>
    <w:rPr>
      <w:rFonts w:ascii="宋体" w:hAnsi="宋体"/>
      <w:sz w:val="24"/>
    </w:rPr>
  </w:style>
  <w:style w:type="character" w:customStyle="1" w:styleId="95">
    <w:name w:val="正文文本缩进 3 字符"/>
    <w:link w:val="43"/>
    <w:qFormat/>
    <w:uiPriority w:val="0"/>
    <w:rPr>
      <w:rFonts w:ascii="仿宋_GB2312" w:hAnsi="宋体" w:eastAsia="仿宋_GB2312"/>
      <w:color w:val="000000"/>
      <w:sz w:val="24"/>
      <w:szCs w:val="24"/>
    </w:rPr>
  </w:style>
  <w:style w:type="character" w:customStyle="1" w:styleId="96">
    <w:name w:val="Char Char3"/>
    <w:qFormat/>
    <w:uiPriority w:val="0"/>
    <w:rPr>
      <w:kern w:val="2"/>
      <w:sz w:val="24"/>
      <w:szCs w:val="24"/>
    </w:rPr>
  </w:style>
  <w:style w:type="character" w:customStyle="1" w:styleId="97">
    <w:name w:val="Char Char8"/>
    <w:qFormat/>
    <w:uiPriority w:val="0"/>
    <w:rPr>
      <w:rFonts w:eastAsia="楷体_GB2312"/>
      <w:kern w:val="2"/>
      <w:sz w:val="32"/>
    </w:rPr>
  </w:style>
  <w:style w:type="character" w:customStyle="1" w:styleId="98">
    <w:name w:val="Char Char18"/>
    <w:qFormat/>
    <w:uiPriority w:val="0"/>
    <w:rPr>
      <w:rFonts w:eastAsia="黑体"/>
      <w:sz w:val="18"/>
      <w:szCs w:val="18"/>
    </w:rPr>
  </w:style>
  <w:style w:type="character" w:customStyle="1" w:styleId="99">
    <w:name w:val="h Char"/>
    <w:qFormat/>
    <w:uiPriority w:val="0"/>
    <w:rPr>
      <w:rFonts w:ascii="Times New Roman" w:hAnsi="Times New Roman" w:eastAsia="宋体" w:cs="Times New Roman"/>
      <w:sz w:val="18"/>
      <w:szCs w:val="18"/>
    </w:rPr>
  </w:style>
  <w:style w:type="character" w:customStyle="1" w:styleId="100">
    <w:name w:val="Heading 4 Char"/>
    <w:qFormat/>
    <w:locked/>
    <w:uiPriority w:val="0"/>
    <w:rPr>
      <w:rFonts w:cs="Times New Roman"/>
      <w:b/>
      <w:sz w:val="21"/>
    </w:rPr>
  </w:style>
  <w:style w:type="character" w:customStyle="1" w:styleId="101">
    <w:name w:val="zhenwen14"/>
    <w:qFormat/>
    <w:uiPriority w:val="0"/>
    <w:rPr>
      <w:color w:val="085994"/>
      <w:sz w:val="18"/>
      <w:szCs w:val="18"/>
    </w:rPr>
  </w:style>
  <w:style w:type="character" w:customStyle="1" w:styleId="102">
    <w:name w:val="中等深浅网格 1 - 强调文字颜色 2 Char"/>
    <w:link w:val="103"/>
    <w:qFormat/>
    <w:uiPriority w:val="0"/>
    <w:rPr>
      <w:rFonts w:ascii="Calibri" w:hAnsi="Calibri" w:eastAsia="宋体"/>
      <w:sz w:val="24"/>
      <w:lang w:bidi="ar-SA"/>
    </w:rPr>
  </w:style>
  <w:style w:type="paragraph" w:customStyle="1" w:styleId="103">
    <w:name w:val="中等深浅网格 1 - 强调文字颜色 21"/>
    <w:basedOn w:val="1"/>
    <w:link w:val="102"/>
    <w:qFormat/>
    <w:uiPriority w:val="0"/>
    <w:pPr>
      <w:spacing w:line="360" w:lineRule="auto"/>
      <w:ind w:firstLine="420" w:firstLineChars="200"/>
    </w:pPr>
    <w:rPr>
      <w:rFonts w:ascii="Calibri" w:hAnsi="Calibri"/>
      <w:kern w:val="0"/>
      <w:sz w:val="24"/>
      <w:szCs w:val="20"/>
    </w:rPr>
  </w:style>
  <w:style w:type="character" w:customStyle="1" w:styleId="104">
    <w:name w:val="标题 4 字符"/>
    <w:link w:val="6"/>
    <w:qFormat/>
    <w:uiPriority w:val="9"/>
    <w:rPr>
      <w:rFonts w:ascii="Arial" w:hAnsi="Arial" w:eastAsia="黑体" w:cs="Times New Roman"/>
      <w:b/>
      <w:bCs/>
      <w:kern w:val="0"/>
      <w:sz w:val="28"/>
      <w:szCs w:val="28"/>
    </w:rPr>
  </w:style>
  <w:style w:type="character" w:customStyle="1" w:styleId="105">
    <w:name w:val="Char Char2"/>
    <w:qFormat/>
    <w:uiPriority w:val="0"/>
    <w:rPr>
      <w:rFonts w:ascii="宋体" w:hAnsi="宋体"/>
      <w:color w:val="000000"/>
      <w:kern w:val="2"/>
      <w:sz w:val="24"/>
      <w:szCs w:val="24"/>
    </w:rPr>
  </w:style>
  <w:style w:type="character" w:customStyle="1" w:styleId="106">
    <w:name w:val="Char Char24"/>
    <w:qFormat/>
    <w:uiPriority w:val="0"/>
    <w:rPr>
      <w:rFonts w:ascii="Arial" w:hAnsi="Arial" w:eastAsia="黑体"/>
      <w:b/>
      <w:bCs/>
      <w:kern w:val="2"/>
      <w:sz w:val="28"/>
      <w:szCs w:val="28"/>
    </w:rPr>
  </w:style>
  <w:style w:type="character" w:customStyle="1" w:styleId="107">
    <w:name w:val="样式 (中文) 放宋 小四号"/>
    <w:qFormat/>
    <w:uiPriority w:val="0"/>
    <w:rPr>
      <w:rFonts w:eastAsia="仿宋_GB2312"/>
      <w:sz w:val="24"/>
    </w:rPr>
  </w:style>
  <w:style w:type="character" w:customStyle="1" w:styleId="108">
    <w:name w:val="日期 Char1"/>
    <w:semiHidden/>
    <w:qFormat/>
    <w:uiPriority w:val="99"/>
    <w:rPr>
      <w:rFonts w:ascii="Times New Roman" w:hAnsi="Times New Roman" w:eastAsia="宋体" w:cs="Times New Roman"/>
      <w:szCs w:val="24"/>
    </w:rPr>
  </w:style>
  <w:style w:type="character" w:customStyle="1" w:styleId="109">
    <w:name w:val="font31"/>
    <w:qFormat/>
    <w:uiPriority w:val="0"/>
    <w:rPr>
      <w:rFonts w:hint="default" w:ascii="Times New Roman" w:hAnsi="Times New Roman" w:cs="Times New Roman"/>
      <w:color w:val="000000"/>
      <w:sz w:val="20"/>
      <w:szCs w:val="20"/>
      <w:u w:val="none"/>
    </w:rPr>
  </w:style>
  <w:style w:type="character" w:customStyle="1" w:styleId="110">
    <w:name w:val="样式 加粗"/>
    <w:qFormat/>
    <w:uiPriority w:val="0"/>
    <w:rPr>
      <w:rFonts w:eastAsia="仿宋_GB2312"/>
      <w:b/>
      <w:bCs/>
      <w:sz w:val="24"/>
    </w:rPr>
  </w:style>
  <w:style w:type="character" w:customStyle="1" w:styleId="111">
    <w:name w:val="常规 Char"/>
    <w:link w:val="112"/>
    <w:qFormat/>
    <w:uiPriority w:val="0"/>
    <w:rPr>
      <w:rFonts w:eastAsia="宋体"/>
      <w:szCs w:val="21"/>
      <w:lang w:bidi="ar-SA"/>
    </w:rPr>
  </w:style>
  <w:style w:type="paragraph" w:customStyle="1" w:styleId="112">
    <w:name w:val="常规"/>
    <w:basedOn w:val="1"/>
    <w:link w:val="111"/>
    <w:qFormat/>
    <w:uiPriority w:val="0"/>
    <w:pPr>
      <w:spacing w:beforeLines="100" w:afterLines="100"/>
      <w:ind w:left="1134"/>
    </w:pPr>
    <w:rPr>
      <w:kern w:val="0"/>
      <w:sz w:val="20"/>
      <w:szCs w:val="21"/>
    </w:rPr>
  </w:style>
  <w:style w:type="character" w:customStyle="1" w:styleId="113">
    <w:name w:val="正文文本 3 字符"/>
    <w:link w:val="20"/>
    <w:qFormat/>
    <w:uiPriority w:val="0"/>
    <w:rPr>
      <w:rFonts w:hAnsi="宋体" w:eastAsia="仿宋_GB2312"/>
      <w:b/>
      <w:bCs/>
      <w:sz w:val="24"/>
    </w:rPr>
  </w:style>
  <w:style w:type="character" w:customStyle="1" w:styleId="114">
    <w:name w:val="普通 (Web) Char1"/>
    <w:qFormat/>
    <w:locked/>
    <w:uiPriority w:val="0"/>
    <w:rPr>
      <w:rFonts w:ascii="宋体" w:hAnsi="宋体" w:eastAsia="宋体"/>
      <w:sz w:val="24"/>
      <w:szCs w:val="24"/>
      <w:lang w:val="en-US" w:eastAsia="zh-CN" w:bidi="ar-SA"/>
    </w:rPr>
  </w:style>
  <w:style w:type="character" w:customStyle="1" w:styleId="115">
    <w:name w:val="Heading 2 Char"/>
    <w:semiHidden/>
    <w:qFormat/>
    <w:locked/>
    <w:uiPriority w:val="0"/>
    <w:rPr>
      <w:rFonts w:ascii="Cambria" w:hAnsi="Cambria" w:eastAsia="宋体" w:cs="Times New Roman"/>
      <w:b/>
      <w:bCs/>
      <w:kern w:val="0"/>
      <w:sz w:val="32"/>
      <w:szCs w:val="32"/>
    </w:rPr>
  </w:style>
  <w:style w:type="character" w:customStyle="1" w:styleId="116">
    <w:name w:val="Body Text Char"/>
    <w:semiHidden/>
    <w:qFormat/>
    <w:locked/>
    <w:uiPriority w:val="0"/>
    <w:rPr>
      <w:rFonts w:cs="Times New Roman"/>
      <w:kern w:val="0"/>
      <w:sz w:val="21"/>
      <w:szCs w:val="21"/>
    </w:rPr>
  </w:style>
  <w:style w:type="character" w:customStyle="1" w:styleId="117">
    <w:name w:val="正文首行缩进1 Char"/>
    <w:qFormat/>
    <w:uiPriority w:val="0"/>
    <w:rPr>
      <w:rFonts w:ascii="Arial" w:hAnsi="Arial" w:eastAsia="宋体"/>
      <w:sz w:val="24"/>
      <w:szCs w:val="21"/>
      <w:lang w:bidi="ar-SA"/>
    </w:rPr>
  </w:style>
  <w:style w:type="character" w:customStyle="1" w:styleId="118">
    <w:name w:val="正文缩进 字符1"/>
    <w:link w:val="14"/>
    <w:qFormat/>
    <w:uiPriority w:val="0"/>
    <w:rPr>
      <w:rFonts w:eastAsia="宋体"/>
    </w:rPr>
  </w:style>
  <w:style w:type="character" w:customStyle="1" w:styleId="119">
    <w:name w:val="标题 7 字符"/>
    <w:link w:val="9"/>
    <w:qFormat/>
    <w:uiPriority w:val="9"/>
    <w:rPr>
      <w:rFonts w:ascii="Times New Roman" w:hAnsi="Times New Roman" w:eastAsia="宋体" w:cs="Times New Roman"/>
      <w:b/>
      <w:bCs/>
      <w:kern w:val="0"/>
      <w:sz w:val="24"/>
      <w:szCs w:val="24"/>
    </w:rPr>
  </w:style>
  <w:style w:type="character" w:customStyle="1" w:styleId="120">
    <w:name w:val="Char Char6"/>
    <w:qFormat/>
    <w:uiPriority w:val="0"/>
    <w:rPr>
      <w:rFonts w:ascii="Cambria" w:hAnsi="Cambria"/>
      <w:b/>
      <w:bCs/>
      <w:kern w:val="2"/>
      <w:sz w:val="32"/>
      <w:szCs w:val="32"/>
    </w:rPr>
  </w:style>
  <w:style w:type="character" w:customStyle="1" w:styleId="121">
    <w:name w:val="正文文本 字符1"/>
    <w:link w:val="21"/>
    <w:qFormat/>
    <w:uiPriority w:val="0"/>
    <w:rPr>
      <w:rFonts w:ascii="Times New Roman" w:hAnsi="Times New Roman" w:eastAsia="宋体" w:cs="Times New Roman"/>
      <w:kern w:val="0"/>
      <w:sz w:val="28"/>
      <w:szCs w:val="24"/>
    </w:rPr>
  </w:style>
  <w:style w:type="character" w:customStyle="1" w:styleId="122">
    <w:name w:val="style171"/>
    <w:qFormat/>
    <w:uiPriority w:val="0"/>
    <w:rPr>
      <w:sz w:val="20"/>
      <w:szCs w:val="20"/>
    </w:rPr>
  </w:style>
  <w:style w:type="character" w:customStyle="1" w:styleId="123">
    <w:name w:val="标题 1 字符1"/>
    <w:link w:val="3"/>
    <w:qFormat/>
    <w:uiPriority w:val="9"/>
    <w:rPr>
      <w:rFonts w:ascii="Times New Roman" w:hAnsi="Times New Roman" w:eastAsia="宋体" w:cs="Times New Roman"/>
      <w:b/>
      <w:bCs/>
      <w:kern w:val="44"/>
      <w:sz w:val="44"/>
      <w:szCs w:val="44"/>
    </w:rPr>
  </w:style>
  <w:style w:type="character" w:customStyle="1" w:styleId="124">
    <w:name w:val="newscontent1"/>
    <w:qFormat/>
    <w:uiPriority w:val="0"/>
    <w:rPr>
      <w:rFonts w:hint="default" w:ascii="Verdana" w:hAnsi="Verdana"/>
      <w:color w:val="333333"/>
      <w:sz w:val="18"/>
      <w:szCs w:val="18"/>
    </w:rPr>
  </w:style>
  <w:style w:type="character" w:customStyle="1" w:styleId="125">
    <w:name w:val="H1 Char"/>
    <w:qFormat/>
    <w:uiPriority w:val="0"/>
    <w:rPr>
      <w:rFonts w:ascii="Times New Roman" w:hAnsi="Times New Roman" w:eastAsia="宋体" w:cs="Times New Roman"/>
      <w:b/>
      <w:bCs/>
      <w:kern w:val="44"/>
      <w:sz w:val="44"/>
      <w:szCs w:val="44"/>
    </w:rPr>
  </w:style>
  <w:style w:type="character" w:customStyle="1" w:styleId="126">
    <w:name w:val="标题 2 字符"/>
    <w:link w:val="4"/>
    <w:qFormat/>
    <w:uiPriority w:val="9"/>
    <w:rPr>
      <w:rFonts w:ascii="Arial" w:hAnsi="Arial" w:eastAsia="黑体" w:cs="Times New Roman"/>
      <w:b/>
      <w:bCs/>
      <w:kern w:val="0"/>
      <w:sz w:val="32"/>
      <w:szCs w:val="32"/>
    </w:rPr>
  </w:style>
  <w:style w:type="character" w:customStyle="1" w:styleId="127">
    <w:name w:val="style211"/>
    <w:qFormat/>
    <w:uiPriority w:val="0"/>
    <w:rPr>
      <w:color w:val="0000FF"/>
    </w:rPr>
  </w:style>
  <w:style w:type="character" w:customStyle="1" w:styleId="128">
    <w:name w:val="con-all2"/>
    <w:qFormat/>
    <w:uiPriority w:val="0"/>
  </w:style>
  <w:style w:type="character" w:customStyle="1" w:styleId="129">
    <w:name w:val="!标题3 Ctrl+3 Char"/>
    <w:link w:val="130"/>
    <w:qFormat/>
    <w:locked/>
    <w:uiPriority w:val="0"/>
    <w:rPr>
      <w:rFonts w:ascii="Arial" w:hAnsi="Arial" w:eastAsia="黑体"/>
      <w:b/>
      <w:kern w:val="2"/>
      <w:sz w:val="32"/>
      <w:szCs w:val="32"/>
    </w:rPr>
  </w:style>
  <w:style w:type="paragraph" w:customStyle="1" w:styleId="130">
    <w:name w:val="!标题3 Ctrl+3"/>
    <w:basedOn w:val="5"/>
    <w:next w:val="1"/>
    <w:link w:val="129"/>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1">
    <w:name w:val="font61"/>
    <w:qFormat/>
    <w:uiPriority w:val="0"/>
    <w:rPr>
      <w:rFonts w:hint="eastAsia" w:ascii="宋体" w:hAnsi="宋体" w:eastAsia="宋体" w:cs="宋体"/>
      <w:color w:val="000000"/>
      <w:sz w:val="24"/>
      <w:szCs w:val="24"/>
      <w:u w:val="none"/>
    </w:rPr>
  </w:style>
  <w:style w:type="character" w:customStyle="1" w:styleId="132">
    <w:name w:val="正文文本缩进 Char1"/>
    <w:semiHidden/>
    <w:qFormat/>
    <w:uiPriority w:val="99"/>
    <w:rPr>
      <w:rFonts w:ascii="Times New Roman" w:hAnsi="Times New Roman" w:eastAsia="宋体" w:cs="Times New Roman"/>
      <w:szCs w:val="24"/>
    </w:rPr>
  </w:style>
  <w:style w:type="character" w:customStyle="1" w:styleId="133">
    <w:name w:val="Char Char25"/>
    <w:qFormat/>
    <w:uiPriority w:val="0"/>
    <w:rPr>
      <w:rFonts w:eastAsia="楷体_GB2312"/>
      <w:b/>
      <w:bCs/>
      <w:kern w:val="2"/>
      <w:sz w:val="32"/>
      <w:szCs w:val="32"/>
    </w:rPr>
  </w:style>
  <w:style w:type="character" w:customStyle="1" w:styleId="134">
    <w:name w:val="Char Char14"/>
    <w:qFormat/>
    <w:uiPriority w:val="0"/>
    <w:rPr>
      <w:kern w:val="2"/>
      <w:sz w:val="18"/>
      <w:szCs w:val="18"/>
    </w:rPr>
  </w:style>
  <w:style w:type="character" w:customStyle="1" w:styleId="135">
    <w:name w:val="unnamed21"/>
    <w:qFormat/>
    <w:uiPriority w:val="0"/>
    <w:rPr>
      <w:b/>
      <w:bCs/>
      <w:spacing w:val="330"/>
      <w:sz w:val="21"/>
      <w:szCs w:val="21"/>
    </w:rPr>
  </w:style>
  <w:style w:type="character" w:customStyle="1" w:styleId="136">
    <w:name w:val="body1"/>
    <w:qFormat/>
    <w:uiPriority w:val="0"/>
    <w:rPr>
      <w:rFonts w:hint="default"/>
      <w:sz w:val="18"/>
    </w:rPr>
  </w:style>
  <w:style w:type="character" w:customStyle="1" w:styleId="137">
    <w:name w:val="标题 字符"/>
    <w:link w:val="50"/>
    <w:qFormat/>
    <w:uiPriority w:val="10"/>
    <w:rPr>
      <w:rFonts w:ascii="Cambria" w:hAnsi="Cambria"/>
      <w:b/>
      <w:bCs/>
      <w:sz w:val="32"/>
      <w:szCs w:val="32"/>
    </w:rPr>
  </w:style>
  <w:style w:type="character" w:customStyle="1" w:styleId="138">
    <w:name w:val="批注框文本 字符"/>
    <w:link w:val="35"/>
    <w:qFormat/>
    <w:uiPriority w:val="99"/>
    <w:rPr>
      <w:sz w:val="18"/>
      <w:szCs w:val="18"/>
    </w:rPr>
  </w:style>
  <w:style w:type="character" w:customStyle="1" w:styleId="139">
    <w:name w:val="表格文本 Char Char"/>
    <w:link w:val="140"/>
    <w:qFormat/>
    <w:uiPriority w:val="0"/>
    <w:rPr>
      <w:rFonts w:ascii="Arial" w:hAnsi="Arial"/>
      <w:kern w:val="2"/>
      <w:sz w:val="21"/>
      <w:szCs w:val="21"/>
      <w:lang w:val="en-US" w:eastAsia="zh-CN" w:bidi="ar-SA"/>
    </w:rPr>
  </w:style>
  <w:style w:type="paragraph" w:customStyle="1" w:styleId="140">
    <w:name w:val="表格文本 Char"/>
    <w:link w:val="139"/>
    <w:qFormat/>
    <w:uiPriority w:val="0"/>
    <w:pPr>
      <w:tabs>
        <w:tab w:val="decimal" w:pos="0"/>
      </w:tabs>
    </w:pPr>
    <w:rPr>
      <w:rFonts w:ascii="Arial" w:hAnsi="Arial" w:eastAsia="宋体" w:cs="Times New Roman"/>
      <w:kern w:val="2"/>
      <w:sz w:val="21"/>
      <w:szCs w:val="21"/>
      <w:lang w:val="en-US" w:eastAsia="zh-CN" w:bidi="ar-SA"/>
    </w:rPr>
  </w:style>
  <w:style w:type="character" w:customStyle="1" w:styleId="141">
    <w:name w:val="批注主题 Char1"/>
    <w:semiHidden/>
    <w:qFormat/>
    <w:uiPriority w:val="99"/>
    <w:rPr>
      <w:rFonts w:ascii="Times New Roman" w:hAnsi="Times New Roman" w:eastAsia="宋体" w:cs="Times New Roman"/>
      <w:b/>
      <w:bCs/>
      <w:szCs w:val="24"/>
    </w:rPr>
  </w:style>
  <w:style w:type="character" w:customStyle="1" w:styleId="142">
    <w:name w:val="页脚 Char1"/>
    <w:semiHidden/>
    <w:qFormat/>
    <w:uiPriority w:val="99"/>
    <w:rPr>
      <w:rFonts w:ascii="Times New Roman" w:hAnsi="Times New Roman" w:eastAsia="宋体" w:cs="Times New Roman"/>
      <w:sz w:val="18"/>
      <w:szCs w:val="18"/>
    </w:rPr>
  </w:style>
  <w:style w:type="character" w:customStyle="1" w:styleId="143">
    <w:name w:val="文档结构图 字符"/>
    <w:link w:val="17"/>
    <w:qFormat/>
    <w:uiPriority w:val="99"/>
    <w:rPr>
      <w:szCs w:val="24"/>
      <w:shd w:val="clear" w:color="auto" w:fill="000080"/>
    </w:rPr>
  </w:style>
  <w:style w:type="character" w:customStyle="1" w:styleId="144">
    <w:name w:val="Heading 5 Char"/>
    <w:semiHidden/>
    <w:qFormat/>
    <w:locked/>
    <w:uiPriority w:val="0"/>
    <w:rPr>
      <w:rFonts w:cs="Times New Roman"/>
      <w:b/>
      <w:bCs/>
      <w:kern w:val="0"/>
      <w:sz w:val="28"/>
      <w:szCs w:val="28"/>
    </w:rPr>
  </w:style>
  <w:style w:type="character" w:customStyle="1" w:styleId="145">
    <w:name w:val="Char Char26"/>
    <w:qFormat/>
    <w:uiPriority w:val="0"/>
    <w:rPr>
      <w:rFonts w:ascii="Arial" w:hAnsi="Arial" w:eastAsia="黑体"/>
      <w:b/>
      <w:bCs/>
      <w:kern w:val="2"/>
      <w:sz w:val="32"/>
      <w:szCs w:val="32"/>
    </w:rPr>
  </w:style>
  <w:style w:type="character" w:customStyle="1" w:styleId="146">
    <w:name w:val="正文文本 2 Char1"/>
    <w:semiHidden/>
    <w:qFormat/>
    <w:uiPriority w:val="99"/>
    <w:rPr>
      <w:rFonts w:ascii="Times New Roman" w:hAnsi="Times New Roman" w:eastAsia="宋体" w:cs="Times New Roman"/>
      <w:szCs w:val="24"/>
    </w:rPr>
  </w:style>
  <w:style w:type="character" w:customStyle="1" w:styleId="147">
    <w:name w:val="font41"/>
    <w:qFormat/>
    <w:uiPriority w:val="0"/>
    <w:rPr>
      <w:rFonts w:hint="eastAsia" w:ascii="宋体" w:hAnsi="宋体" w:eastAsia="宋体" w:cs="宋体"/>
      <w:color w:val="000000"/>
      <w:sz w:val="20"/>
      <w:szCs w:val="20"/>
      <w:u w:val="none"/>
    </w:rPr>
  </w:style>
  <w:style w:type="character" w:customStyle="1" w:styleId="148">
    <w:name w:val="标题 8 字符"/>
    <w:link w:val="10"/>
    <w:qFormat/>
    <w:uiPriority w:val="9"/>
    <w:rPr>
      <w:rFonts w:ascii="Arial" w:hAnsi="Arial" w:eastAsia="黑体" w:cs="Times New Roman"/>
      <w:kern w:val="0"/>
      <w:sz w:val="24"/>
      <w:szCs w:val="24"/>
    </w:rPr>
  </w:style>
  <w:style w:type="character" w:customStyle="1" w:styleId="149">
    <w:name w:val="BOD 4 Char Char"/>
    <w:qFormat/>
    <w:uiPriority w:val="0"/>
    <w:rPr>
      <w:rFonts w:ascii="Arial" w:hAnsi="Arial" w:eastAsia="黑体" w:cs="Times New Roman"/>
      <w:b/>
      <w:bCs/>
      <w:sz w:val="24"/>
      <w:szCs w:val="24"/>
    </w:rPr>
  </w:style>
  <w:style w:type="character" w:customStyle="1" w:styleId="150">
    <w:name w:val="Heading 1 Char"/>
    <w:qFormat/>
    <w:locked/>
    <w:uiPriority w:val="0"/>
    <w:rPr>
      <w:rFonts w:cs="Times New Roman"/>
      <w:b/>
      <w:bCs/>
      <w:kern w:val="44"/>
      <w:sz w:val="44"/>
      <w:szCs w:val="44"/>
    </w:rPr>
  </w:style>
  <w:style w:type="character" w:customStyle="1" w:styleId="151">
    <w:name w:val="txt1"/>
    <w:qFormat/>
    <w:uiPriority w:val="0"/>
    <w:rPr>
      <w:rFonts w:hint="default" w:ascii="ˎ̥" w:hAnsi="ˎ̥"/>
      <w:sz w:val="18"/>
      <w:szCs w:val="18"/>
    </w:rPr>
  </w:style>
  <w:style w:type="character" w:customStyle="1" w:styleId="152">
    <w:name w:val="Plain Text Char"/>
    <w:semiHidden/>
    <w:qFormat/>
    <w:locked/>
    <w:uiPriority w:val="0"/>
    <w:rPr>
      <w:rFonts w:ascii="宋体" w:hAnsi="Courier New" w:cs="Courier New"/>
      <w:kern w:val="0"/>
      <w:sz w:val="21"/>
      <w:szCs w:val="21"/>
    </w:rPr>
  </w:style>
  <w:style w:type="character" w:customStyle="1" w:styleId="153">
    <w:name w:val="Char Char1"/>
    <w:qFormat/>
    <w:uiPriority w:val="0"/>
    <w:rPr>
      <w:kern w:val="2"/>
      <w:sz w:val="21"/>
      <w:szCs w:val="24"/>
    </w:rPr>
  </w:style>
  <w:style w:type="character" w:customStyle="1" w:styleId="154">
    <w:name w:val="标题 5 字符"/>
    <w:link w:val="7"/>
    <w:qFormat/>
    <w:uiPriority w:val="9"/>
    <w:rPr>
      <w:rFonts w:ascii="Times New Roman" w:hAnsi="Times New Roman" w:eastAsia="宋体" w:cs="Times New Roman"/>
      <w:b/>
      <w:bCs/>
      <w:kern w:val="0"/>
      <w:sz w:val="28"/>
      <w:szCs w:val="28"/>
    </w:rPr>
  </w:style>
  <w:style w:type="character" w:customStyle="1" w:styleId="155">
    <w:name w:val="￥正文 Char"/>
    <w:link w:val="156"/>
    <w:qFormat/>
    <w:uiPriority w:val="0"/>
    <w:rPr>
      <w:rFonts w:ascii="Calibri" w:hAnsi="Calibri" w:eastAsia="宋体"/>
      <w:sz w:val="24"/>
      <w:lang w:bidi="ar-SA"/>
    </w:rPr>
  </w:style>
  <w:style w:type="paragraph" w:customStyle="1" w:styleId="156">
    <w:name w:val="￥正文"/>
    <w:basedOn w:val="1"/>
    <w:link w:val="155"/>
    <w:qFormat/>
    <w:uiPriority w:val="0"/>
    <w:pPr>
      <w:spacing w:line="360" w:lineRule="auto"/>
      <w:ind w:firstLine="200" w:firstLineChars="200"/>
    </w:pPr>
    <w:rPr>
      <w:rFonts w:ascii="Calibri" w:hAnsi="Calibri"/>
      <w:kern w:val="0"/>
      <w:sz w:val="24"/>
      <w:szCs w:val="20"/>
    </w:rPr>
  </w:style>
  <w:style w:type="character" w:customStyle="1" w:styleId="157">
    <w:name w:val="Char Char22"/>
    <w:qFormat/>
    <w:uiPriority w:val="0"/>
    <w:rPr>
      <w:rFonts w:ascii="Arial" w:hAnsi="Arial" w:eastAsia="黑体"/>
      <w:b/>
      <w:bCs/>
      <w:kern w:val="2"/>
      <w:sz w:val="24"/>
      <w:szCs w:val="24"/>
    </w:rPr>
  </w:style>
  <w:style w:type="character" w:customStyle="1" w:styleId="158">
    <w:name w:val="标题 1 Char Char"/>
    <w:qFormat/>
    <w:uiPriority w:val="0"/>
    <w:rPr>
      <w:rFonts w:eastAsia="宋体"/>
      <w:b/>
      <w:spacing w:val="-2"/>
      <w:sz w:val="24"/>
      <w:lang w:val="en-US" w:eastAsia="zh-CN" w:bidi="ar-SA"/>
    </w:rPr>
  </w:style>
  <w:style w:type="character" w:customStyle="1" w:styleId="159">
    <w:name w:val="Char Char20"/>
    <w:qFormat/>
    <w:uiPriority w:val="0"/>
    <w:rPr>
      <w:rFonts w:ascii="Arial" w:hAnsi="Arial" w:eastAsia="黑体"/>
      <w:kern w:val="2"/>
      <w:sz w:val="24"/>
      <w:szCs w:val="24"/>
    </w:rPr>
  </w:style>
  <w:style w:type="character" w:customStyle="1" w:styleId="160">
    <w:name w:val="wj1"/>
    <w:qFormat/>
    <w:uiPriority w:val="0"/>
    <w:rPr>
      <w:color w:val="000000"/>
      <w:sz w:val="18"/>
      <w:szCs w:val="18"/>
      <w:u w:val="none"/>
    </w:rPr>
  </w:style>
  <w:style w:type="character" w:customStyle="1" w:styleId="161">
    <w:name w:val="font91"/>
    <w:qFormat/>
    <w:uiPriority w:val="0"/>
    <w:rPr>
      <w:rFonts w:hint="default" w:ascii="Arial" w:hAnsi="Arial" w:cs="Arial"/>
      <w:b/>
      <w:color w:val="auto"/>
      <w:sz w:val="20"/>
      <w:szCs w:val="20"/>
      <w:u w:val="none"/>
    </w:rPr>
  </w:style>
  <w:style w:type="character" w:customStyle="1" w:styleId="162">
    <w:name w:val="Char Char17"/>
    <w:qFormat/>
    <w:uiPriority w:val="0"/>
    <w:rPr>
      <w:rFonts w:ascii="仿宋_GB2312" w:hAnsi="宋体" w:cs="Arial"/>
      <w:b/>
      <w:bCs/>
      <w:color w:val="000000"/>
      <w:kern w:val="2"/>
      <w:sz w:val="24"/>
      <w:szCs w:val="24"/>
    </w:rPr>
  </w:style>
  <w:style w:type="character" w:customStyle="1" w:styleId="163">
    <w:name w:val="font11"/>
    <w:qFormat/>
    <w:uiPriority w:val="0"/>
    <w:rPr>
      <w:rFonts w:hint="default" w:ascii="Times New Roman" w:hAnsi="Times New Roman" w:cs="Times New Roman"/>
      <w:color w:val="000000"/>
      <w:sz w:val="20"/>
      <w:szCs w:val="20"/>
      <w:u w:val="none"/>
    </w:rPr>
  </w:style>
  <w:style w:type="character" w:customStyle="1" w:styleId="164">
    <w:name w:val="Normal Indent Char"/>
    <w:qFormat/>
    <w:locked/>
    <w:uiPriority w:val="0"/>
    <w:rPr>
      <w:sz w:val="20"/>
    </w:rPr>
  </w:style>
  <w:style w:type="character" w:customStyle="1" w:styleId="165">
    <w:name w:val="正文首行缩进 字符"/>
    <w:link w:val="22"/>
    <w:qFormat/>
    <w:uiPriority w:val="0"/>
    <w:rPr>
      <w:sz w:val="24"/>
      <w:szCs w:val="24"/>
    </w:rPr>
  </w:style>
  <w:style w:type="character" w:customStyle="1" w:styleId="166">
    <w:name w:val="正文文本 3 Char1"/>
    <w:semiHidden/>
    <w:qFormat/>
    <w:uiPriority w:val="99"/>
    <w:rPr>
      <w:rFonts w:ascii="Times New Roman" w:hAnsi="Times New Roman" w:eastAsia="宋体" w:cs="Times New Roman"/>
      <w:sz w:val="16"/>
      <w:szCs w:val="16"/>
    </w:rPr>
  </w:style>
  <w:style w:type="character" w:customStyle="1" w:styleId="167">
    <w:name w:val="表正文 Char"/>
    <w:qFormat/>
    <w:uiPriority w:val="0"/>
    <w:rPr>
      <w:rFonts w:ascii="Times New Roman" w:hAnsi="Times New Roman" w:eastAsia="宋体" w:cs="Times New Roman"/>
      <w:szCs w:val="24"/>
    </w:rPr>
  </w:style>
  <w:style w:type="character" w:customStyle="1" w:styleId="168">
    <w:name w:val="Header Char"/>
    <w:qFormat/>
    <w:locked/>
    <w:uiPriority w:val="0"/>
    <w:rPr>
      <w:rFonts w:ascii="Calibri" w:hAnsi="Calibri" w:eastAsia="宋体" w:cs="Times New Roman"/>
      <w:sz w:val="18"/>
      <w:szCs w:val="18"/>
    </w:rPr>
  </w:style>
  <w:style w:type="character" w:customStyle="1" w:styleId="169">
    <w:name w:val="cn1"/>
    <w:qFormat/>
    <w:uiPriority w:val="0"/>
  </w:style>
  <w:style w:type="character" w:customStyle="1" w:styleId="170">
    <w:name w:val="样式7 Char"/>
    <w:qFormat/>
    <w:uiPriority w:val="0"/>
    <w:rPr>
      <w:rFonts w:eastAsia="宋体" w:cs="宋体"/>
      <w:kern w:val="2"/>
      <w:sz w:val="24"/>
      <w:szCs w:val="24"/>
      <w:lang w:val="en-US" w:eastAsia="zh-CN" w:bidi="ar-SA"/>
    </w:rPr>
  </w:style>
  <w:style w:type="character" w:customStyle="1" w:styleId="171">
    <w:name w:val="彩色列表 - 强调文字颜色 1 Char"/>
    <w:link w:val="172"/>
    <w:qFormat/>
    <w:uiPriority w:val="0"/>
    <w:rPr>
      <w:rFonts w:ascii="微软雅黑" w:hAnsi="微软雅黑" w:eastAsia="微软雅黑" w:cs="宋体"/>
      <w:kern w:val="2"/>
      <w:sz w:val="24"/>
      <w:szCs w:val="21"/>
      <w:lang w:val="en-US" w:eastAsia="zh-CN" w:bidi="ar-SA"/>
    </w:rPr>
  </w:style>
  <w:style w:type="paragraph" w:customStyle="1" w:styleId="172">
    <w:name w:val="列出段落2"/>
    <w:basedOn w:val="1"/>
    <w:link w:val="171"/>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3">
    <w:name w:val="引文目录标题 字符"/>
    <w:link w:val="18"/>
    <w:qFormat/>
    <w:uiPriority w:val="0"/>
    <w:rPr>
      <w:rFonts w:ascii="Arial" w:hAnsi="Arial" w:eastAsia="宋体" w:cs="Times New Roman"/>
      <w:kern w:val="0"/>
      <w:sz w:val="24"/>
      <w:szCs w:val="20"/>
    </w:rPr>
  </w:style>
  <w:style w:type="character" w:customStyle="1" w:styleId="174">
    <w:name w:val="Char Char13"/>
    <w:qFormat/>
    <w:uiPriority w:val="0"/>
    <w:rPr>
      <w:b/>
      <w:bCs/>
      <w:kern w:val="2"/>
      <w:sz w:val="21"/>
      <w:szCs w:val="24"/>
    </w:rPr>
  </w:style>
  <w:style w:type="character" w:customStyle="1" w:styleId="175">
    <w:name w:val="页脚 字符"/>
    <w:link w:val="36"/>
    <w:qFormat/>
    <w:uiPriority w:val="99"/>
    <w:rPr>
      <w:rFonts w:eastAsia="黑体"/>
      <w:sz w:val="18"/>
      <w:szCs w:val="18"/>
    </w:rPr>
  </w:style>
  <w:style w:type="character" w:customStyle="1" w:styleId="176">
    <w:name w:val="日期 字符"/>
    <w:link w:val="32"/>
    <w:qFormat/>
    <w:uiPriority w:val="0"/>
    <w:rPr>
      <w:rFonts w:eastAsia="楷体_GB2312"/>
      <w:sz w:val="32"/>
    </w:rPr>
  </w:style>
  <w:style w:type="character" w:customStyle="1" w:styleId="177">
    <w:name w:val="标题 3 字符"/>
    <w:link w:val="5"/>
    <w:qFormat/>
    <w:uiPriority w:val="9"/>
    <w:rPr>
      <w:rFonts w:ascii="Times New Roman" w:hAnsi="Times New Roman" w:eastAsia="楷体_GB2312" w:cs="Times New Roman"/>
      <w:b/>
      <w:bCs/>
      <w:kern w:val="0"/>
      <w:sz w:val="32"/>
      <w:szCs w:val="32"/>
    </w:rPr>
  </w:style>
  <w:style w:type="character" w:customStyle="1" w:styleId="178">
    <w:name w:val="纯文本 Char2"/>
    <w:semiHidden/>
    <w:qFormat/>
    <w:uiPriority w:val="99"/>
    <w:rPr>
      <w:rFonts w:ascii="宋体" w:hAnsi="Courier New" w:eastAsia="宋体" w:cs="Courier New"/>
      <w:szCs w:val="21"/>
    </w:rPr>
  </w:style>
  <w:style w:type="character" w:customStyle="1" w:styleId="179">
    <w:name w:val="Char Char10"/>
    <w:qFormat/>
    <w:uiPriority w:val="0"/>
    <w:rPr>
      <w:kern w:val="2"/>
      <w:sz w:val="21"/>
      <w:szCs w:val="24"/>
      <w:shd w:val="clear" w:color="auto" w:fill="000080"/>
    </w:rPr>
  </w:style>
  <w:style w:type="character" w:customStyle="1" w:styleId="180">
    <w:name w:val="纯文本 字符2"/>
    <w:link w:val="31"/>
    <w:qFormat/>
    <w:uiPriority w:val="0"/>
    <w:rPr>
      <w:rFonts w:ascii="宋体" w:hAnsi="Courier New" w:eastAsia="宋体"/>
      <w:sz w:val="24"/>
      <w:szCs w:val="24"/>
    </w:rPr>
  </w:style>
  <w:style w:type="character" w:customStyle="1" w:styleId="181">
    <w:name w:val="未处理的提及"/>
    <w:unhideWhenUsed/>
    <w:qFormat/>
    <w:uiPriority w:val="99"/>
    <w:rPr>
      <w:color w:val="605E5C"/>
      <w:shd w:val="clear" w:color="auto" w:fill="E1DFDD"/>
    </w:rPr>
  </w:style>
  <w:style w:type="character" w:customStyle="1" w:styleId="182">
    <w:name w:val="普通段落 Char"/>
    <w:link w:val="183"/>
    <w:qFormat/>
    <w:uiPriority w:val="0"/>
    <w:rPr>
      <w:rFonts w:ascii="Arial" w:hAnsi="Arial" w:eastAsia="宋体"/>
      <w:lang w:bidi="ar-SA"/>
    </w:rPr>
  </w:style>
  <w:style w:type="paragraph" w:customStyle="1" w:styleId="183">
    <w:name w:val="普通段落"/>
    <w:basedOn w:val="1"/>
    <w:link w:val="182"/>
    <w:qFormat/>
    <w:uiPriority w:val="0"/>
    <w:pPr>
      <w:spacing w:after="240" w:line="276" w:lineRule="auto"/>
    </w:pPr>
    <w:rPr>
      <w:rFonts w:ascii="Arial" w:hAnsi="Arial"/>
      <w:kern w:val="0"/>
      <w:sz w:val="20"/>
      <w:szCs w:val="20"/>
    </w:rPr>
  </w:style>
  <w:style w:type="character" w:customStyle="1" w:styleId="184">
    <w:name w:val="纯文本 Char1"/>
    <w:qFormat/>
    <w:uiPriority w:val="0"/>
    <w:rPr>
      <w:rFonts w:ascii="宋体" w:hAnsi="Courier New" w:eastAsia="宋体"/>
      <w:kern w:val="2"/>
      <w:sz w:val="24"/>
      <w:szCs w:val="24"/>
      <w:lang w:val="en-US" w:eastAsia="zh-CN" w:bidi="ar-SA"/>
    </w:rPr>
  </w:style>
  <w:style w:type="character" w:customStyle="1" w:styleId="185">
    <w:name w:val="页脚 Char"/>
    <w:qFormat/>
    <w:uiPriority w:val="99"/>
    <w:rPr>
      <w:rFonts w:eastAsia="Calibri"/>
      <w:sz w:val="21"/>
    </w:rPr>
  </w:style>
  <w:style w:type="character" w:customStyle="1" w:styleId="186">
    <w:name w:val="正文文本缩进 2 字符"/>
    <w:link w:val="34"/>
    <w:qFormat/>
    <w:uiPriority w:val="0"/>
    <w:rPr>
      <w:rFonts w:ascii="仿宋_GB2312" w:hAnsi="宋体" w:cs="Arial"/>
      <w:b/>
      <w:bCs/>
      <w:color w:val="000000"/>
      <w:sz w:val="24"/>
      <w:szCs w:val="24"/>
    </w:rPr>
  </w:style>
  <w:style w:type="character" w:customStyle="1" w:styleId="187">
    <w:name w:val="正文文字缩进4字符 Char"/>
    <w:qFormat/>
    <w:uiPriority w:val="0"/>
    <w:rPr>
      <w:rFonts w:ascii="Times New Roman" w:hAnsi="Times New Roman" w:eastAsia="宋体" w:cs="Times New Roman"/>
      <w:sz w:val="24"/>
      <w:szCs w:val="24"/>
    </w:rPr>
  </w:style>
  <w:style w:type="character" w:customStyle="1" w:styleId="188">
    <w:name w:val="正文文本缩进 字符"/>
    <w:qFormat/>
    <w:uiPriority w:val="0"/>
    <w:rPr>
      <w:rFonts w:ascii="宋体" w:hAnsi="Courier New"/>
      <w:spacing w:val="-4"/>
      <w:sz w:val="18"/>
    </w:rPr>
  </w:style>
  <w:style w:type="character" w:customStyle="1" w:styleId="189">
    <w:name w:val="Heading 3 - old Char"/>
    <w:qFormat/>
    <w:uiPriority w:val="0"/>
    <w:rPr>
      <w:rFonts w:ascii="Times New Roman" w:hAnsi="Times New Roman" w:eastAsia="宋体" w:cs="Times New Roman"/>
      <w:b/>
      <w:bCs/>
      <w:sz w:val="32"/>
      <w:szCs w:val="32"/>
    </w:rPr>
  </w:style>
  <w:style w:type="character" w:customStyle="1" w:styleId="190">
    <w:name w:val="H4 Char"/>
    <w:qFormat/>
    <w:uiPriority w:val="0"/>
    <w:rPr>
      <w:rFonts w:ascii="Arial" w:hAnsi="Arial" w:eastAsia="黑体" w:cs="Times New Roman"/>
      <w:b/>
      <w:bCs/>
      <w:sz w:val="28"/>
      <w:szCs w:val="28"/>
    </w:rPr>
  </w:style>
  <w:style w:type="character" w:customStyle="1" w:styleId="191">
    <w:name w:val="纯文本 字符"/>
    <w:qFormat/>
    <w:uiPriority w:val="0"/>
    <w:rPr>
      <w:rFonts w:ascii="宋体" w:hAnsi="Courier New"/>
      <w:sz w:val="24"/>
      <w:szCs w:val="24"/>
    </w:rPr>
  </w:style>
  <w:style w:type="character" w:customStyle="1" w:styleId="192">
    <w:name w:val="正文文本缩进 字符1"/>
    <w:link w:val="23"/>
    <w:qFormat/>
    <w:uiPriority w:val="0"/>
    <w:rPr>
      <w:rFonts w:ascii="宋体" w:hAnsi="Courier New"/>
      <w:spacing w:val="-4"/>
      <w:sz w:val="18"/>
    </w:rPr>
  </w:style>
  <w:style w:type="character" w:customStyle="1" w:styleId="193">
    <w:name w:val="Char Char15"/>
    <w:qFormat/>
    <w:uiPriority w:val="0"/>
    <w:rPr>
      <w:rFonts w:hAnsi="宋体" w:eastAsia="仿宋_GB2312"/>
      <w:b/>
      <w:bCs/>
      <w:kern w:val="2"/>
      <w:sz w:val="24"/>
    </w:rPr>
  </w:style>
  <w:style w:type="character" w:customStyle="1" w:styleId="194">
    <w:name w:val="Footer Char"/>
    <w:qFormat/>
    <w:locked/>
    <w:uiPriority w:val="0"/>
    <w:rPr>
      <w:rFonts w:ascii="Calibri" w:hAnsi="Calibri" w:eastAsia="宋体" w:cs="Times New Roman"/>
      <w:sz w:val="18"/>
      <w:szCs w:val="18"/>
    </w:rPr>
  </w:style>
  <w:style w:type="character" w:customStyle="1" w:styleId="195">
    <w:name w:val="标题 9 字符"/>
    <w:link w:val="11"/>
    <w:qFormat/>
    <w:uiPriority w:val="9"/>
    <w:rPr>
      <w:rFonts w:ascii="Arial" w:hAnsi="Arial" w:eastAsia="黑体" w:cs="Times New Roman"/>
      <w:kern w:val="0"/>
      <w:sz w:val="20"/>
      <w:szCs w:val="21"/>
    </w:rPr>
  </w:style>
  <w:style w:type="character" w:customStyle="1" w:styleId="196">
    <w:name w:val="def正文 Char Char"/>
    <w:link w:val="197"/>
    <w:qFormat/>
    <w:uiPriority w:val="0"/>
    <w:rPr>
      <w:sz w:val="24"/>
      <w:szCs w:val="24"/>
    </w:rPr>
  </w:style>
  <w:style w:type="paragraph" w:customStyle="1" w:styleId="197">
    <w:name w:val="def正文"/>
    <w:basedOn w:val="21"/>
    <w:link w:val="196"/>
    <w:qFormat/>
    <w:uiPriority w:val="0"/>
    <w:pPr>
      <w:widowControl/>
      <w:spacing w:after="0" w:line="360" w:lineRule="auto"/>
      <w:ind w:firstLine="510"/>
      <w:jc w:val="left"/>
    </w:pPr>
    <w:rPr>
      <w:sz w:val="24"/>
    </w:rPr>
  </w:style>
  <w:style w:type="character" w:customStyle="1" w:styleId="198">
    <w:name w:val="font51"/>
    <w:qFormat/>
    <w:uiPriority w:val="0"/>
    <w:rPr>
      <w:rFonts w:hint="eastAsia" w:ascii="宋体" w:hAnsi="宋体" w:eastAsia="宋体" w:cs="宋体"/>
      <w:color w:val="auto"/>
      <w:sz w:val="18"/>
      <w:szCs w:val="18"/>
      <w:u w:val="none"/>
    </w:rPr>
  </w:style>
  <w:style w:type="character" w:customStyle="1" w:styleId="199">
    <w:name w:val="普通文字 Char Char"/>
    <w:qFormat/>
    <w:uiPriority w:val="0"/>
    <w:rPr>
      <w:rFonts w:ascii="宋体" w:hAnsi="Courier New" w:eastAsia="宋体" w:cs="Times New Roman"/>
      <w:szCs w:val="20"/>
    </w:rPr>
  </w:style>
  <w:style w:type="character" w:customStyle="1" w:styleId="200">
    <w:name w:val="正文文本 Char"/>
    <w:qFormat/>
    <w:uiPriority w:val="0"/>
    <w:rPr>
      <w:rFonts w:ascii="Times New Roman" w:hAnsi="Times New Roman" w:eastAsia="宋体" w:cs="Times New Roman"/>
      <w:szCs w:val="24"/>
    </w:rPr>
  </w:style>
  <w:style w:type="character" w:customStyle="1" w:styleId="201">
    <w:name w:val="3zw"/>
    <w:qFormat/>
    <w:uiPriority w:val="0"/>
  </w:style>
  <w:style w:type="character" w:customStyle="1" w:styleId="202">
    <w:name w:val="font71"/>
    <w:qFormat/>
    <w:uiPriority w:val="0"/>
    <w:rPr>
      <w:rFonts w:hint="default" w:ascii="Arial" w:hAnsi="Arial" w:cs="Arial"/>
      <w:color w:val="auto"/>
      <w:sz w:val="20"/>
      <w:szCs w:val="20"/>
      <w:u w:val="none"/>
    </w:rPr>
  </w:style>
  <w:style w:type="character" w:customStyle="1" w:styleId="203">
    <w:name w:val="标题 Char1"/>
    <w:qFormat/>
    <w:uiPriority w:val="10"/>
    <w:rPr>
      <w:rFonts w:ascii="Cambria" w:hAnsi="Cambria" w:eastAsia="宋体" w:cs="Times New Roman"/>
      <w:b/>
      <w:bCs/>
      <w:sz w:val="32"/>
      <w:szCs w:val="32"/>
    </w:rPr>
  </w:style>
  <w:style w:type="character" w:customStyle="1" w:styleId="204">
    <w:name w:val="标书正文格式 Char"/>
    <w:link w:val="205"/>
    <w:qFormat/>
    <w:uiPriority w:val="0"/>
    <w:rPr>
      <w:rFonts w:eastAsia="楷体_GB2312"/>
      <w:kern w:val="2"/>
      <w:sz w:val="24"/>
      <w:szCs w:val="24"/>
      <w:lang w:val="en-US" w:eastAsia="zh-CN" w:bidi="ar-SA"/>
    </w:rPr>
  </w:style>
  <w:style w:type="paragraph" w:customStyle="1" w:styleId="205">
    <w:name w:val="标书正文格式"/>
    <w:link w:val="204"/>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6">
    <w:name w:val="正文缩进 字符"/>
    <w:qFormat/>
    <w:uiPriority w:val="0"/>
    <w:rPr>
      <w:rFonts w:eastAsia="宋体"/>
    </w:rPr>
  </w:style>
  <w:style w:type="character" w:customStyle="1" w:styleId="207">
    <w:name w:val="A7"/>
    <w:qFormat/>
    <w:uiPriority w:val="0"/>
    <w:rPr>
      <w:rFonts w:ascii="HelveticaNeueLT Std Lt" w:eastAsia="HelveticaNeueLT Std Lt" w:cs="HelveticaNeueLT Std Lt"/>
      <w:color w:val="000000"/>
      <w:sz w:val="20"/>
      <w:szCs w:val="20"/>
    </w:rPr>
  </w:style>
  <w:style w:type="character" w:customStyle="1" w:styleId="208">
    <w:name w:val="Balloon Text Char"/>
    <w:qFormat/>
    <w:locked/>
    <w:uiPriority w:val="0"/>
    <w:rPr>
      <w:rFonts w:cs="Times New Roman"/>
      <w:sz w:val="18"/>
      <w:szCs w:val="18"/>
    </w:rPr>
  </w:style>
  <w:style w:type="character" w:customStyle="1" w:styleId="209">
    <w:name w:val="页眉 字符"/>
    <w:link w:val="37"/>
    <w:qFormat/>
    <w:uiPriority w:val="99"/>
    <w:rPr>
      <w:rFonts w:eastAsia="仿宋_GB2312"/>
      <w:sz w:val="18"/>
    </w:rPr>
  </w:style>
  <w:style w:type="character" w:customStyle="1" w:styleId="210">
    <w:name w:val="批注框文本 Char1"/>
    <w:semiHidden/>
    <w:qFormat/>
    <w:uiPriority w:val="99"/>
    <w:rPr>
      <w:rFonts w:ascii="Times New Roman" w:hAnsi="Times New Roman" w:eastAsia="宋体" w:cs="Times New Roman"/>
      <w:sz w:val="18"/>
      <w:szCs w:val="18"/>
    </w:rPr>
  </w:style>
  <w:style w:type="character" w:customStyle="1" w:styleId="211">
    <w:name w:val="彩色列表 - 着色 1 字符"/>
    <w:link w:val="212"/>
    <w:qFormat/>
    <w:locked/>
    <w:uiPriority w:val="34"/>
    <w:rPr>
      <w:rFonts w:ascii="Times New Roman" w:hAnsi="Times New Roman"/>
      <w:kern w:val="2"/>
      <w:sz w:val="21"/>
      <w:szCs w:val="24"/>
    </w:rPr>
  </w:style>
  <w:style w:type="paragraph" w:customStyle="1" w:styleId="212">
    <w:name w:val="彩色列表 - 着色 11"/>
    <w:basedOn w:val="1"/>
    <w:link w:val="211"/>
    <w:qFormat/>
    <w:uiPriority w:val="34"/>
    <w:pPr>
      <w:ind w:firstLine="420" w:firstLineChars="200"/>
    </w:pPr>
  </w:style>
  <w:style w:type="character" w:customStyle="1" w:styleId="213">
    <w:name w:val="正文文本缩进 2 Char1"/>
    <w:semiHidden/>
    <w:qFormat/>
    <w:uiPriority w:val="99"/>
    <w:rPr>
      <w:rFonts w:ascii="Times New Roman" w:hAnsi="Times New Roman" w:eastAsia="宋体" w:cs="Times New Roman"/>
      <w:szCs w:val="24"/>
    </w:rPr>
  </w:style>
  <w:style w:type="character" w:customStyle="1" w:styleId="214">
    <w:name w:val="普通 (Web) Char"/>
    <w:qFormat/>
    <w:uiPriority w:val="0"/>
    <w:rPr>
      <w:rFonts w:ascii="宋体" w:hAnsi="宋体" w:eastAsia="宋体" w:cs="Times New Roman"/>
      <w:kern w:val="0"/>
      <w:sz w:val="24"/>
      <w:szCs w:val="24"/>
    </w:rPr>
  </w:style>
  <w:style w:type="character" w:customStyle="1" w:styleId="215">
    <w:name w:val="标题 6 字符"/>
    <w:link w:val="8"/>
    <w:qFormat/>
    <w:uiPriority w:val="9"/>
    <w:rPr>
      <w:rFonts w:ascii="Arial" w:hAnsi="Arial" w:eastAsia="黑体" w:cs="Times New Roman"/>
      <w:b/>
      <w:bCs/>
      <w:kern w:val="0"/>
      <w:sz w:val="24"/>
      <w:szCs w:val="24"/>
    </w:rPr>
  </w:style>
  <w:style w:type="character" w:customStyle="1" w:styleId="216">
    <w:name w:val="纯文本 Char3"/>
    <w:qFormat/>
    <w:uiPriority w:val="0"/>
    <w:rPr>
      <w:rFonts w:ascii="宋体" w:hAnsi="Courier New" w:eastAsia="宋体"/>
      <w:sz w:val="24"/>
      <w:szCs w:val="24"/>
    </w:rPr>
  </w:style>
  <w:style w:type="character" w:customStyle="1" w:styleId="217">
    <w:name w:val="正文首行缩进 Char1"/>
    <w:semiHidden/>
    <w:qFormat/>
    <w:uiPriority w:val="99"/>
    <w:rPr>
      <w:rFonts w:ascii="Times New Roman" w:hAnsi="Times New Roman" w:eastAsia="宋体" w:cs="Times New Roman"/>
      <w:szCs w:val="24"/>
    </w:rPr>
  </w:style>
  <w:style w:type="character" w:customStyle="1" w:styleId="218">
    <w:name w:val="正文文本 2 字符"/>
    <w:link w:val="47"/>
    <w:qFormat/>
    <w:uiPriority w:val="99"/>
    <w:rPr>
      <w:rFonts w:ascii="宋体" w:hAnsi="宋体"/>
      <w:color w:val="000000"/>
      <w:sz w:val="24"/>
      <w:szCs w:val="24"/>
    </w:rPr>
  </w:style>
  <w:style w:type="character" w:customStyle="1" w:styleId="219">
    <w:name w:val="style551"/>
    <w:qFormat/>
    <w:uiPriority w:val="0"/>
    <w:rPr>
      <w:rFonts w:hint="default" w:ascii="Arial" w:hAnsi="Arial" w:cs="Arial"/>
      <w:color w:val="333333"/>
      <w:sz w:val="18"/>
      <w:szCs w:val="18"/>
    </w:rPr>
  </w:style>
  <w:style w:type="character" w:customStyle="1" w:styleId="220">
    <w:name w:val="文章正文 Char Char"/>
    <w:link w:val="221"/>
    <w:qFormat/>
    <w:uiPriority w:val="0"/>
    <w:rPr>
      <w:rFonts w:ascii="宋体" w:hAnsi="宋体"/>
      <w:sz w:val="24"/>
      <w:szCs w:val="24"/>
    </w:rPr>
  </w:style>
  <w:style w:type="paragraph" w:customStyle="1" w:styleId="221">
    <w:name w:val="文章正文"/>
    <w:basedOn w:val="1"/>
    <w:link w:val="220"/>
    <w:qFormat/>
    <w:uiPriority w:val="0"/>
    <w:pPr>
      <w:spacing w:line="360" w:lineRule="auto"/>
      <w:ind w:firstLine="200" w:firstLineChars="200"/>
      <w:jc w:val="left"/>
    </w:pPr>
    <w:rPr>
      <w:rFonts w:ascii="宋体" w:hAnsi="宋体"/>
      <w:kern w:val="0"/>
      <w:sz w:val="24"/>
    </w:rPr>
  </w:style>
  <w:style w:type="character" w:customStyle="1" w:styleId="222">
    <w:name w:val="font81"/>
    <w:qFormat/>
    <w:uiPriority w:val="0"/>
    <w:rPr>
      <w:rFonts w:hint="eastAsia" w:ascii="宋体" w:hAnsi="宋体" w:eastAsia="宋体" w:cs="宋体"/>
      <w:color w:val="000000"/>
      <w:sz w:val="20"/>
      <w:szCs w:val="20"/>
      <w:u w:val="none"/>
      <w:vertAlign w:val="superscript"/>
    </w:rPr>
  </w:style>
  <w:style w:type="character" w:customStyle="1" w:styleId="223">
    <w:name w:val="Body Text Indent 3 Char"/>
    <w:qFormat/>
    <w:locked/>
    <w:uiPriority w:val="0"/>
    <w:rPr>
      <w:rFonts w:cs="Times New Roman"/>
      <w:kern w:val="2"/>
      <w:sz w:val="16"/>
      <w:szCs w:val="16"/>
    </w:rPr>
  </w:style>
  <w:style w:type="character" w:customStyle="1" w:styleId="224">
    <w:name w:val="Char Char16"/>
    <w:qFormat/>
    <w:uiPriority w:val="0"/>
    <w:rPr>
      <w:rFonts w:ascii="宋体" w:hAnsi="Courier New"/>
      <w:spacing w:val="-4"/>
      <w:kern w:val="2"/>
      <w:sz w:val="18"/>
    </w:rPr>
  </w:style>
  <w:style w:type="character" w:customStyle="1" w:styleId="225">
    <w:name w:val="Char Char4"/>
    <w:qFormat/>
    <w:uiPriority w:val="0"/>
    <w:rPr>
      <w:rFonts w:ascii="宋体" w:hAnsi="Courier New" w:eastAsia="宋体"/>
      <w:kern w:val="2"/>
      <w:sz w:val="24"/>
      <w:szCs w:val="24"/>
      <w:lang w:val="en-US" w:eastAsia="zh-CN" w:bidi="ar-SA"/>
    </w:rPr>
  </w:style>
  <w:style w:type="character" w:customStyle="1" w:styleId="226">
    <w:name w:val="正文文本缩进 3 Char1"/>
    <w:semiHidden/>
    <w:qFormat/>
    <w:uiPriority w:val="99"/>
    <w:rPr>
      <w:rFonts w:ascii="Times New Roman" w:hAnsi="Times New Roman" w:eastAsia="宋体" w:cs="Times New Roman"/>
      <w:sz w:val="16"/>
      <w:szCs w:val="16"/>
    </w:rPr>
  </w:style>
  <w:style w:type="character" w:customStyle="1" w:styleId="227">
    <w:name w:val="Char Char7"/>
    <w:qFormat/>
    <w:uiPriority w:val="0"/>
    <w:rPr>
      <w:rFonts w:eastAsia="宋体"/>
      <w:kern w:val="2"/>
      <w:sz w:val="21"/>
      <w:lang w:val="en-US" w:eastAsia="zh-CN" w:bidi="ar-SA"/>
    </w:rPr>
  </w:style>
  <w:style w:type="character" w:customStyle="1" w:styleId="228">
    <w:name w:val="A正文 Char"/>
    <w:link w:val="229"/>
    <w:qFormat/>
    <w:uiPriority w:val="0"/>
    <w:rPr>
      <w:szCs w:val="24"/>
    </w:rPr>
  </w:style>
  <w:style w:type="paragraph" w:customStyle="1" w:styleId="229">
    <w:name w:val="A正文"/>
    <w:basedOn w:val="1"/>
    <w:link w:val="228"/>
    <w:qFormat/>
    <w:uiPriority w:val="0"/>
    <w:pPr>
      <w:spacing w:line="360" w:lineRule="auto"/>
      <w:ind w:firstLine="200" w:firstLineChars="200"/>
    </w:pPr>
    <w:rPr>
      <w:kern w:val="0"/>
      <w:sz w:val="20"/>
    </w:rPr>
  </w:style>
  <w:style w:type="character" w:customStyle="1" w:styleId="230">
    <w:name w:val="正文1 Char Char"/>
    <w:link w:val="63"/>
    <w:qFormat/>
    <w:uiPriority w:val="0"/>
    <w:rPr>
      <w:rFonts w:ascii="宋体" w:hAnsi="宋体" w:eastAsia="宋体"/>
      <w:color w:val="000000"/>
      <w:sz w:val="24"/>
    </w:rPr>
  </w:style>
  <w:style w:type="character" w:customStyle="1" w:styleId="231">
    <w:name w:val="Char Char111"/>
    <w:qFormat/>
    <w:uiPriority w:val="0"/>
    <w:rPr>
      <w:kern w:val="2"/>
      <w:sz w:val="28"/>
      <w:szCs w:val="24"/>
    </w:rPr>
  </w:style>
  <w:style w:type="character" w:customStyle="1" w:styleId="232">
    <w:name w:val="粘贴正文 Char"/>
    <w:link w:val="233"/>
    <w:qFormat/>
    <w:uiPriority w:val="0"/>
    <w:rPr>
      <w:kern w:val="2"/>
      <w:sz w:val="24"/>
      <w:szCs w:val="21"/>
      <w:lang w:val="en-US" w:eastAsia="zh-CN" w:bidi="ar-SA"/>
    </w:rPr>
  </w:style>
  <w:style w:type="paragraph" w:customStyle="1" w:styleId="233">
    <w:name w:val="粘贴正文"/>
    <w:link w:val="232"/>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4">
    <w:name w:val="缺省文本 Char"/>
    <w:link w:val="235"/>
    <w:qFormat/>
    <w:uiPriority w:val="0"/>
    <w:rPr>
      <w:rFonts w:ascii="Arial" w:hAnsi="Arial"/>
      <w:szCs w:val="21"/>
    </w:rPr>
  </w:style>
  <w:style w:type="paragraph" w:customStyle="1" w:styleId="235">
    <w:name w:val="缺省文本"/>
    <w:basedOn w:val="1"/>
    <w:link w:val="234"/>
    <w:qFormat/>
    <w:uiPriority w:val="0"/>
    <w:pPr>
      <w:autoSpaceDE w:val="0"/>
      <w:autoSpaceDN w:val="0"/>
      <w:adjustRightInd w:val="0"/>
      <w:spacing w:line="360" w:lineRule="auto"/>
      <w:jc w:val="left"/>
    </w:pPr>
    <w:rPr>
      <w:rFonts w:ascii="Arial" w:hAnsi="Arial"/>
      <w:kern w:val="0"/>
      <w:sz w:val="20"/>
      <w:szCs w:val="21"/>
    </w:rPr>
  </w:style>
  <w:style w:type="character" w:customStyle="1" w:styleId="236">
    <w:name w:val="Heading 7 Char"/>
    <w:semiHidden/>
    <w:qFormat/>
    <w:locked/>
    <w:uiPriority w:val="0"/>
    <w:rPr>
      <w:rFonts w:cs="Times New Roman"/>
      <w:b/>
      <w:bCs/>
      <w:kern w:val="0"/>
      <w:sz w:val="24"/>
      <w:szCs w:val="24"/>
    </w:rPr>
  </w:style>
  <w:style w:type="character" w:customStyle="1" w:styleId="237">
    <w:name w:val="font21"/>
    <w:basedOn w:val="55"/>
    <w:qFormat/>
    <w:uiPriority w:val="0"/>
    <w:rPr>
      <w:rFonts w:hint="eastAsia" w:ascii="宋体" w:hAnsi="宋体" w:eastAsia="宋体" w:cs="宋体"/>
      <w:color w:val="000000"/>
      <w:sz w:val="20"/>
      <w:szCs w:val="20"/>
      <w:u w:val="none"/>
    </w:rPr>
  </w:style>
  <w:style w:type="character" w:customStyle="1" w:styleId="238">
    <w:name w:val="批注主题 字符"/>
    <w:link w:val="51"/>
    <w:qFormat/>
    <w:uiPriority w:val="99"/>
    <w:rPr>
      <w:b/>
      <w:bCs/>
      <w:szCs w:val="24"/>
    </w:rPr>
  </w:style>
  <w:style w:type="character" w:customStyle="1" w:styleId="239">
    <w:name w:val="文档结构图 Char1"/>
    <w:semiHidden/>
    <w:qFormat/>
    <w:uiPriority w:val="99"/>
    <w:rPr>
      <w:rFonts w:ascii="宋体" w:hAnsi="Times New Roman" w:eastAsia="宋体" w:cs="Times New Roman"/>
      <w:sz w:val="18"/>
      <w:szCs w:val="18"/>
    </w:rPr>
  </w:style>
  <w:style w:type="character" w:customStyle="1" w:styleId="240">
    <w:name w:val="纯文本 字符1"/>
    <w:semiHidden/>
    <w:qFormat/>
    <w:locked/>
    <w:uiPriority w:val="0"/>
    <w:rPr>
      <w:rFonts w:ascii="宋体" w:hAnsi="Courier New"/>
      <w:sz w:val="24"/>
      <w:szCs w:val="24"/>
    </w:rPr>
  </w:style>
  <w:style w:type="character" w:customStyle="1" w:styleId="241">
    <w:name w:val="Char Char19"/>
    <w:qFormat/>
    <w:uiPriority w:val="0"/>
    <w:rPr>
      <w:rFonts w:ascii="Arial" w:hAnsi="Arial" w:eastAsia="黑体"/>
      <w:kern w:val="2"/>
      <w:sz w:val="21"/>
      <w:szCs w:val="21"/>
    </w:rPr>
  </w:style>
  <w:style w:type="character" w:customStyle="1" w:styleId="242">
    <w:name w:val="Item List Char"/>
    <w:link w:val="243"/>
    <w:qFormat/>
    <w:uiPriority w:val="0"/>
    <w:rPr>
      <w:rFonts w:cs="Arial"/>
      <w:kern w:val="2"/>
      <w:sz w:val="21"/>
      <w:szCs w:val="21"/>
      <w:lang w:val="en-US" w:eastAsia="zh-CN" w:bidi="ar-SA"/>
    </w:rPr>
  </w:style>
  <w:style w:type="paragraph" w:customStyle="1" w:styleId="243">
    <w:name w:val="Item List"/>
    <w:link w:val="242"/>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4">
    <w:name w:val="Char Char9"/>
    <w:qFormat/>
    <w:uiPriority w:val="0"/>
    <w:rPr>
      <w:rFonts w:eastAsia="仿宋_GB2312"/>
      <w:kern w:val="2"/>
      <w:sz w:val="18"/>
    </w:rPr>
  </w:style>
  <w:style w:type="character" w:customStyle="1" w:styleId="245">
    <w:name w:val="Heading 6 Char"/>
    <w:semiHidden/>
    <w:qFormat/>
    <w:locked/>
    <w:uiPriority w:val="0"/>
    <w:rPr>
      <w:rFonts w:ascii="Cambria" w:hAnsi="Cambria" w:eastAsia="宋体" w:cs="Times New Roman"/>
      <w:b/>
      <w:bCs/>
      <w:kern w:val="0"/>
      <w:sz w:val="24"/>
      <w:szCs w:val="24"/>
    </w:rPr>
  </w:style>
  <w:style w:type="paragraph" w:customStyle="1" w:styleId="246">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8">
    <w:name w:val="Item Step"/>
    <w:basedOn w:val="1"/>
    <w:qFormat/>
    <w:uiPriority w:val="0"/>
    <w:pPr>
      <w:widowControl/>
      <w:numPr>
        <w:ilvl w:val="0"/>
        <w:numId w:val="1"/>
      </w:numPr>
      <w:spacing w:afterLines="50"/>
      <w:jc w:val="left"/>
    </w:pPr>
  </w:style>
  <w:style w:type="paragraph" w:customStyle="1" w:styleId="249">
    <w:name w:val="Char11"/>
    <w:basedOn w:val="1"/>
    <w:qFormat/>
    <w:uiPriority w:val="0"/>
    <w:rPr>
      <w:rFonts w:ascii="仿宋_GB2312" w:hAnsi="宋体" w:eastAsia="仿宋_GB2312" w:cs="宋体"/>
      <w:b/>
      <w:sz w:val="32"/>
      <w:szCs w:val="32"/>
    </w:rPr>
  </w:style>
  <w:style w:type="paragraph" w:customStyle="1" w:styleId="250">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1">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2">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3">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4">
    <w:name w:val="Block"/>
    <w:basedOn w:val="1"/>
    <w:next w:val="112"/>
    <w:qFormat/>
    <w:uiPriority w:val="0"/>
    <w:pPr>
      <w:tabs>
        <w:tab w:val="left" w:pos="0"/>
      </w:tabs>
    </w:pPr>
    <w:rPr>
      <w:rFonts w:ascii="Arial" w:hAnsi="Arial" w:eastAsia="楷体_GB2312"/>
      <w:color w:val="000080"/>
      <w:sz w:val="28"/>
      <w:szCs w:val="28"/>
    </w:rPr>
  </w:style>
  <w:style w:type="paragraph" w:customStyle="1" w:styleId="255">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9">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0">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1">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2">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3">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4">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5">
    <w:name w:val="正文首行缩进2字"/>
    <w:basedOn w:val="1"/>
    <w:qFormat/>
    <w:uiPriority w:val="0"/>
    <w:pPr>
      <w:spacing w:line="360" w:lineRule="auto"/>
      <w:ind w:firstLine="412" w:firstLineChars="196"/>
    </w:pPr>
    <w:rPr>
      <w:rFonts w:ascii="宋体" w:hAnsi="宋体"/>
      <w:kern w:val="0"/>
      <w:szCs w:val="21"/>
    </w:rPr>
  </w:style>
  <w:style w:type="paragraph" w:customStyle="1" w:styleId="266">
    <w:name w:val="列出段落1"/>
    <w:basedOn w:val="1"/>
    <w:qFormat/>
    <w:uiPriority w:val="34"/>
    <w:pPr>
      <w:ind w:firstLine="420" w:firstLineChars="200"/>
    </w:pPr>
  </w:style>
  <w:style w:type="paragraph" w:customStyle="1" w:styleId="267">
    <w:name w:val="列出段落11"/>
    <w:basedOn w:val="1"/>
    <w:qFormat/>
    <w:uiPriority w:val="0"/>
    <w:pPr>
      <w:spacing w:line="360" w:lineRule="auto"/>
      <w:ind w:firstLine="420" w:firstLineChars="200"/>
    </w:pPr>
    <w:rPr>
      <w:rFonts w:ascii="宋体" w:hAnsi="宋体"/>
      <w:sz w:val="24"/>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9">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0">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1">
    <w:name w:val="简单回函地址"/>
    <w:basedOn w:val="1"/>
    <w:qFormat/>
    <w:uiPriority w:val="0"/>
    <w:rPr>
      <w:szCs w:val="20"/>
    </w:rPr>
  </w:style>
  <w:style w:type="paragraph" w:customStyle="1" w:styleId="272">
    <w:name w:val="样式23"/>
    <w:basedOn w:val="273"/>
    <w:qFormat/>
    <w:uiPriority w:val="0"/>
    <w:pPr>
      <w:tabs>
        <w:tab w:val="left" w:pos="420"/>
      </w:tabs>
      <w:adjustRightInd w:val="0"/>
      <w:snapToGrid w:val="0"/>
      <w:spacing w:after="0" w:line="240" w:lineRule="auto"/>
    </w:pPr>
    <w:rPr>
      <w:szCs w:val="20"/>
    </w:rPr>
  </w:style>
  <w:style w:type="paragraph" w:customStyle="1" w:styleId="273">
    <w:name w:val="小点说明"/>
    <w:basedOn w:val="1"/>
    <w:qFormat/>
    <w:uiPriority w:val="0"/>
    <w:pPr>
      <w:tabs>
        <w:tab w:val="left" w:pos="420"/>
      </w:tabs>
      <w:spacing w:after="80" w:line="360" w:lineRule="auto"/>
      <w:ind w:left="420" w:hanging="420"/>
    </w:pPr>
    <w:rPr>
      <w:sz w:val="24"/>
    </w:rPr>
  </w:style>
  <w:style w:type="paragraph" w:customStyle="1" w:styleId="274">
    <w:name w:val="样式 正文文本正文文字 + 首行缩进:  2 字符"/>
    <w:basedOn w:val="21"/>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5">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8">
    <w:name w:val="Pa5"/>
    <w:basedOn w:val="1"/>
    <w:next w:val="1"/>
    <w:qFormat/>
    <w:uiPriority w:val="0"/>
    <w:pPr>
      <w:spacing w:line="241" w:lineRule="auto"/>
      <w:ind w:firstLine="1680" w:firstLineChars="200"/>
    </w:pPr>
    <w:rPr>
      <w:rFonts w:ascii="EtGsHeiBold" w:eastAsia="EtGsHeiBold"/>
      <w:sz w:val="24"/>
    </w:rPr>
  </w:style>
  <w:style w:type="paragraph" w:customStyle="1" w:styleId="279">
    <w:name w:val="首行缩进"/>
    <w:basedOn w:val="1"/>
    <w:qFormat/>
    <w:uiPriority w:val="0"/>
    <w:pPr>
      <w:spacing w:line="360" w:lineRule="auto"/>
      <w:ind w:firstLine="720"/>
    </w:pPr>
    <w:rPr>
      <w:szCs w:val="21"/>
    </w:rPr>
  </w:style>
  <w:style w:type="paragraph" w:customStyle="1" w:styleId="280">
    <w:name w:val="正文段"/>
    <w:basedOn w:val="1"/>
    <w:qFormat/>
    <w:uiPriority w:val="0"/>
    <w:pPr>
      <w:widowControl/>
      <w:snapToGrid w:val="0"/>
      <w:spacing w:afterLines="50"/>
      <w:ind w:firstLine="200" w:firstLineChars="200"/>
    </w:pPr>
    <w:rPr>
      <w:kern w:val="0"/>
      <w:sz w:val="24"/>
      <w:szCs w:val="20"/>
    </w:rPr>
  </w:style>
  <w:style w:type="paragraph" w:customStyle="1" w:styleId="281">
    <w:name w:val="样式 A正文 + 首行缩进:  0 字符"/>
    <w:basedOn w:val="229"/>
    <w:qFormat/>
    <w:uiPriority w:val="0"/>
    <w:pPr>
      <w:spacing w:line="240" w:lineRule="auto"/>
      <w:ind w:firstLine="0" w:firstLineChars="0"/>
    </w:pPr>
    <w:rPr>
      <w:rFonts w:cs="宋体"/>
      <w:szCs w:val="20"/>
    </w:rPr>
  </w:style>
  <w:style w:type="paragraph" w:customStyle="1" w:styleId="282">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3">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4">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5">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6">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7">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8">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9">
    <w:name w:val="二级编号"/>
    <w:basedOn w:val="1"/>
    <w:qFormat/>
    <w:uiPriority w:val="0"/>
    <w:pPr>
      <w:tabs>
        <w:tab w:val="left" w:pos="851"/>
      </w:tabs>
      <w:spacing w:line="360" w:lineRule="auto"/>
      <w:jc w:val="left"/>
    </w:pPr>
    <w:rPr>
      <w:rFonts w:cs="宋体"/>
      <w:sz w:val="24"/>
      <w:szCs w:val="20"/>
    </w:rPr>
  </w:style>
  <w:style w:type="paragraph" w:customStyle="1" w:styleId="2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2">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3">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p0"/>
    <w:basedOn w:val="1"/>
    <w:qFormat/>
    <w:uiPriority w:val="0"/>
    <w:pPr>
      <w:widowControl/>
      <w:jc w:val="left"/>
    </w:pPr>
    <w:rPr>
      <w:rFonts w:ascii="宋体" w:hAnsi="宋体"/>
      <w:kern w:val="0"/>
      <w:sz w:val="20"/>
      <w:szCs w:val="20"/>
    </w:rPr>
  </w:style>
  <w:style w:type="paragraph" w:customStyle="1" w:styleId="295">
    <w:name w:val="Char Char"/>
    <w:basedOn w:val="1"/>
    <w:qFormat/>
    <w:uiPriority w:val="0"/>
    <w:pPr>
      <w:jc w:val="center"/>
    </w:pPr>
    <w:rPr>
      <w:rFonts w:ascii="仿宋_GB2312" w:eastAsia="仿宋_GB2312"/>
      <w:b/>
      <w:kern w:val="0"/>
      <w:sz w:val="32"/>
      <w:szCs w:val="32"/>
      <w:lang w:val="en-GB"/>
    </w:rPr>
  </w:style>
  <w:style w:type="paragraph" w:customStyle="1" w:styleId="296">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8">
    <w:name w:val="正文首行缩进11"/>
    <w:basedOn w:val="21"/>
    <w:qFormat/>
    <w:uiPriority w:val="0"/>
    <w:pPr>
      <w:spacing w:line="360" w:lineRule="auto"/>
      <w:ind w:firstLine="420" w:firstLineChars="100"/>
    </w:pPr>
    <w:rPr>
      <w:rFonts w:ascii="Courier New" w:hAnsi="Courier New" w:eastAsia="仿宋_GB2312"/>
      <w:szCs w:val="22"/>
    </w:rPr>
  </w:style>
  <w:style w:type="paragraph" w:customStyle="1" w:styleId="29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0">
    <w:name w:val="p16"/>
    <w:basedOn w:val="1"/>
    <w:qFormat/>
    <w:uiPriority w:val="0"/>
    <w:pPr>
      <w:widowControl/>
    </w:pPr>
    <w:rPr>
      <w:rFonts w:ascii="Arial" w:hAnsi="Arial" w:cs="Arial"/>
      <w:color w:val="333333"/>
      <w:kern w:val="0"/>
      <w:sz w:val="18"/>
      <w:szCs w:val="18"/>
    </w:rPr>
  </w:style>
  <w:style w:type="paragraph" w:customStyle="1" w:styleId="301">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3">
    <w:name w:val="默认段落字体 Para Char Char Char Char Char Char Char Char Char1 Char Char Char Char"/>
    <w:basedOn w:val="1"/>
    <w:qFormat/>
    <w:uiPriority w:val="0"/>
    <w:rPr>
      <w:rFonts w:ascii="Tahoma" w:hAnsi="Tahoma"/>
      <w:sz w:val="24"/>
      <w:szCs w:val="20"/>
    </w:rPr>
  </w:style>
  <w:style w:type="paragraph" w:customStyle="1" w:styleId="304">
    <w:name w:val="样式26"/>
    <w:basedOn w:val="305"/>
    <w:qFormat/>
    <w:uiPriority w:val="0"/>
    <w:pPr>
      <w:tabs>
        <w:tab w:val="left" w:pos="180"/>
        <w:tab w:val="left" w:pos="1580"/>
      </w:tabs>
      <w:ind w:left="1603" w:hanging="363"/>
    </w:pPr>
  </w:style>
  <w:style w:type="paragraph" w:customStyle="1" w:styleId="305">
    <w:name w:val="样式25"/>
    <w:basedOn w:val="1"/>
    <w:qFormat/>
    <w:uiPriority w:val="0"/>
    <w:pPr>
      <w:tabs>
        <w:tab w:val="left" w:pos="180"/>
      </w:tabs>
      <w:ind w:left="1260" w:hanging="720"/>
    </w:pPr>
    <w:rPr>
      <w:sz w:val="24"/>
      <w:szCs w:val="20"/>
    </w:rPr>
  </w:style>
  <w:style w:type="paragraph" w:customStyle="1" w:styleId="306">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7">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8">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9">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0">
    <w:name w:val="Char Char Char Char Char Char"/>
    <w:basedOn w:val="1"/>
    <w:qFormat/>
    <w:uiPriority w:val="0"/>
    <w:pPr>
      <w:ind w:firstLine="200" w:firstLineChars="200"/>
    </w:pPr>
    <w:rPr>
      <w:szCs w:val="20"/>
    </w:rPr>
  </w:style>
  <w:style w:type="paragraph" w:customStyle="1" w:styleId="311">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2">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3">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5">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6">
    <w:name w:val="样式 正文缩进 + 首行缩进:  2 字符"/>
    <w:basedOn w:val="14"/>
    <w:qFormat/>
    <w:uiPriority w:val="0"/>
    <w:pPr>
      <w:spacing w:after="80" w:line="360" w:lineRule="auto"/>
      <w:ind w:firstLine="480" w:firstLineChars="200"/>
    </w:pPr>
    <w:rPr>
      <w:sz w:val="24"/>
    </w:rPr>
  </w:style>
  <w:style w:type="paragraph" w:customStyle="1" w:styleId="317">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8">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0">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2">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3">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5">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7">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8">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9">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0">
    <w:name w:val="Char"/>
    <w:basedOn w:val="1"/>
    <w:qFormat/>
    <w:uiPriority w:val="0"/>
    <w:rPr>
      <w:rFonts w:ascii="仿宋_GB2312" w:eastAsia="仿宋_GB2312"/>
      <w:b/>
      <w:sz w:val="32"/>
      <w:szCs w:val="32"/>
    </w:rPr>
  </w:style>
  <w:style w:type="paragraph" w:customStyle="1" w:styleId="33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2">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3">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4">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5">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6">
    <w:name w:val="Figure"/>
    <w:basedOn w:val="1"/>
    <w:next w:val="337"/>
    <w:qFormat/>
    <w:uiPriority w:val="0"/>
    <w:pPr>
      <w:keepNext/>
      <w:keepLines/>
      <w:ind w:left="1134"/>
      <w:jc w:val="center"/>
    </w:pPr>
  </w:style>
  <w:style w:type="paragraph" w:customStyle="1" w:styleId="337">
    <w:name w:val="Figure Description"/>
    <w:basedOn w:val="336"/>
    <w:next w:val="112"/>
    <w:qFormat/>
    <w:uiPriority w:val="0"/>
    <w:pPr>
      <w:tabs>
        <w:tab w:val="left" w:pos="680"/>
      </w:tabs>
      <w:spacing w:afterLines="100"/>
    </w:pPr>
    <w:rPr>
      <w:sz w:val="18"/>
    </w:rPr>
  </w:style>
  <w:style w:type="paragraph" w:customStyle="1" w:styleId="338">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0">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1">
    <w:name w:val="p19"/>
    <w:basedOn w:val="1"/>
    <w:qFormat/>
    <w:uiPriority w:val="0"/>
    <w:pPr>
      <w:widowControl/>
      <w:spacing w:beforeLines="100" w:afterLines="100"/>
      <w:ind w:left="1134"/>
    </w:pPr>
    <w:rPr>
      <w:kern w:val="0"/>
      <w:szCs w:val="21"/>
    </w:rPr>
  </w:style>
  <w:style w:type="paragraph" w:customStyle="1" w:styleId="342">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6">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Char Char11"/>
    <w:basedOn w:val="1"/>
    <w:qFormat/>
    <w:uiPriority w:val="0"/>
    <w:pPr>
      <w:widowControl/>
      <w:jc w:val="left"/>
    </w:pPr>
    <w:rPr>
      <w:sz w:val="36"/>
    </w:rPr>
  </w:style>
  <w:style w:type="paragraph" w:customStyle="1" w:styleId="348">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9">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0">
    <w:name w:val="正文符号1"/>
    <w:basedOn w:val="265"/>
    <w:qFormat/>
    <w:uiPriority w:val="0"/>
    <w:pPr>
      <w:tabs>
        <w:tab w:val="left" w:pos="1080"/>
      </w:tabs>
      <w:ind w:left="1134" w:firstLine="0" w:firstLineChars="0"/>
    </w:pPr>
  </w:style>
  <w:style w:type="paragraph" w:customStyle="1" w:styleId="351">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2">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3">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6">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8">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9">
    <w:name w:val="图片"/>
    <w:basedOn w:val="1"/>
    <w:next w:val="1"/>
    <w:qFormat/>
    <w:uiPriority w:val="0"/>
    <w:pPr>
      <w:jc w:val="center"/>
    </w:pPr>
  </w:style>
  <w:style w:type="paragraph" w:customStyle="1" w:styleId="360">
    <w:name w:val="Item Step in Table"/>
    <w:basedOn w:val="1"/>
    <w:qFormat/>
    <w:uiPriority w:val="0"/>
    <w:pPr>
      <w:tabs>
        <w:tab w:val="left" w:pos="420"/>
      </w:tabs>
      <w:ind w:left="420" w:hanging="420"/>
      <w:jc w:val="left"/>
    </w:pPr>
  </w:style>
  <w:style w:type="paragraph" w:customStyle="1" w:styleId="361">
    <w:name w:val="默认段落字体 Para Char"/>
    <w:basedOn w:val="1"/>
    <w:qFormat/>
    <w:uiPriority w:val="0"/>
    <w:rPr>
      <w:szCs w:val="20"/>
    </w:rPr>
  </w:style>
  <w:style w:type="paragraph" w:customStyle="1" w:styleId="362">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3">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4">
    <w:name w:val="5"/>
    <w:qFormat/>
    <w:uiPriority w:val="0"/>
    <w:rPr>
      <w:rFonts w:ascii="Times New Roman" w:hAnsi="Times New Roman" w:eastAsia="宋体" w:cs="Times New Roman"/>
      <w:kern w:val="2"/>
      <w:sz w:val="21"/>
      <w:szCs w:val="22"/>
      <w:lang w:val="en-US" w:eastAsia="zh-CN" w:bidi="ar-SA"/>
    </w:rPr>
  </w:style>
  <w:style w:type="paragraph" w:customStyle="1" w:styleId="36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6">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7">
    <w:name w:val="Char111"/>
    <w:basedOn w:val="1"/>
    <w:qFormat/>
    <w:uiPriority w:val="0"/>
    <w:rPr>
      <w:rFonts w:ascii="仿宋_GB2312" w:hAnsi="宋体" w:eastAsia="仿宋_GB2312" w:cs="宋体"/>
      <w:b/>
      <w:sz w:val="32"/>
      <w:szCs w:val="32"/>
    </w:rPr>
  </w:style>
  <w:style w:type="paragraph" w:customStyle="1" w:styleId="368">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9">
    <w:name w:val="Item List in Table"/>
    <w:basedOn w:val="1"/>
    <w:qFormat/>
    <w:uiPriority w:val="0"/>
    <w:pPr>
      <w:numPr>
        <w:ilvl w:val="0"/>
        <w:numId w:val="3"/>
      </w:numPr>
      <w:jc w:val="left"/>
    </w:pPr>
  </w:style>
  <w:style w:type="paragraph" w:customStyle="1" w:styleId="370">
    <w:name w:val="Table Heading"/>
    <w:basedOn w:val="1"/>
    <w:qFormat/>
    <w:uiPriority w:val="0"/>
    <w:pPr>
      <w:jc w:val="center"/>
    </w:pPr>
    <w:rPr>
      <w:rFonts w:ascii="Arial" w:hAnsi="Arial" w:eastAsia="黑体"/>
      <w:b/>
    </w:rPr>
  </w:style>
  <w:style w:type="paragraph" w:customStyle="1" w:styleId="371">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2">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5">
    <w:name w:val="Table Text"/>
    <w:basedOn w:val="1"/>
    <w:qFormat/>
    <w:uiPriority w:val="0"/>
    <w:rPr>
      <w:sz w:val="18"/>
    </w:rPr>
  </w:style>
  <w:style w:type="paragraph" w:customStyle="1" w:styleId="376">
    <w:name w:val="次小点说明"/>
    <w:basedOn w:val="14"/>
    <w:qFormat/>
    <w:uiPriority w:val="0"/>
    <w:pPr>
      <w:tabs>
        <w:tab w:val="left" w:pos="720"/>
      </w:tabs>
      <w:spacing w:line="360" w:lineRule="auto"/>
      <w:ind w:left="777" w:hanging="417"/>
    </w:pPr>
    <w:rPr>
      <w:sz w:val="24"/>
    </w:rPr>
  </w:style>
  <w:style w:type="paragraph" w:customStyle="1" w:styleId="37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8">
    <w:name w:val="此正文"/>
    <w:basedOn w:val="1"/>
    <w:qFormat/>
    <w:uiPriority w:val="0"/>
    <w:pPr>
      <w:spacing w:line="360" w:lineRule="auto"/>
      <w:ind w:firstLine="200" w:firstLineChars="200"/>
    </w:pPr>
    <w:rPr>
      <w:sz w:val="24"/>
    </w:rPr>
  </w:style>
  <w:style w:type="paragraph" w:customStyle="1" w:styleId="379">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3">
    <w:name w:val="项目正文"/>
    <w:basedOn w:val="1"/>
    <w:qFormat/>
    <w:uiPriority w:val="0"/>
    <w:pPr>
      <w:ind w:left="420" w:hanging="420"/>
    </w:pPr>
    <w:rPr>
      <w:sz w:val="28"/>
      <w:szCs w:val="20"/>
    </w:rPr>
  </w:style>
  <w:style w:type="paragraph" w:customStyle="1" w:styleId="38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7">
    <w:name w:val="段落正文 Char Char"/>
    <w:basedOn w:val="1"/>
    <w:qFormat/>
    <w:uiPriority w:val="0"/>
    <w:pPr>
      <w:spacing w:line="360" w:lineRule="auto"/>
      <w:ind w:firstLine="461" w:firstLineChars="192"/>
    </w:pPr>
    <w:rPr>
      <w:rFonts w:ascii="宋体" w:hAnsi="宋体"/>
      <w:sz w:val="24"/>
    </w:rPr>
  </w:style>
  <w:style w:type="paragraph" w:customStyle="1" w:styleId="38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9">
    <w:name w:val="p18"/>
    <w:basedOn w:val="1"/>
    <w:qFormat/>
    <w:uiPriority w:val="0"/>
    <w:pPr>
      <w:widowControl/>
      <w:spacing w:afterLines="100"/>
      <w:ind w:left="1134"/>
      <w:jc w:val="center"/>
    </w:pPr>
    <w:rPr>
      <w:kern w:val="0"/>
      <w:sz w:val="18"/>
      <w:szCs w:val="18"/>
    </w:rPr>
  </w:style>
  <w:style w:type="paragraph" w:customStyle="1" w:styleId="39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1">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2">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3">
    <w:name w:val="Char2"/>
    <w:basedOn w:val="1"/>
    <w:qFormat/>
    <w:uiPriority w:val="0"/>
    <w:pPr>
      <w:spacing w:line="240" w:lineRule="atLeast"/>
      <w:ind w:left="420" w:firstLine="420"/>
    </w:pPr>
  </w:style>
  <w:style w:type="paragraph" w:customStyle="1" w:styleId="394">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5">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6">
    <w:name w:val="无间隔1"/>
    <w:basedOn w:val="1"/>
    <w:unhideWhenUsed/>
    <w:qFormat/>
    <w:uiPriority w:val="1"/>
    <w:pPr>
      <w:widowControl/>
    </w:pPr>
    <w:rPr>
      <w:rFonts w:ascii="Cambria" w:hAnsi="Cambria"/>
      <w:sz w:val="22"/>
      <w:lang w:val="zh-CN" w:eastAsia="en-US"/>
    </w:rPr>
  </w:style>
  <w:style w:type="paragraph" w:customStyle="1" w:styleId="397">
    <w:name w:val="样式6"/>
    <w:basedOn w:val="1"/>
    <w:qFormat/>
    <w:uiPriority w:val="0"/>
    <w:pPr>
      <w:spacing w:line="360" w:lineRule="auto"/>
      <w:ind w:firstLine="200" w:firstLineChars="200"/>
      <w:jc w:val="left"/>
    </w:pPr>
    <w:rPr>
      <w:sz w:val="24"/>
    </w:rPr>
  </w:style>
  <w:style w:type="paragraph" w:customStyle="1" w:styleId="398">
    <w:name w:val="[Normal]"/>
    <w:qFormat/>
    <w:uiPriority w:val="0"/>
    <w:rPr>
      <w:rFonts w:ascii="宋体" w:hAnsi="宋体" w:eastAsia="宋体" w:cs="Times New Roman"/>
      <w:sz w:val="24"/>
      <w:szCs w:val="22"/>
      <w:lang w:val="zh-CN" w:eastAsia="zh-CN" w:bidi="ar-SA"/>
    </w:rPr>
  </w:style>
  <w:style w:type="character" w:customStyle="1" w:styleId="399">
    <w:name w:val="NormalCharacter"/>
    <w:link w:val="400"/>
    <w:qFormat/>
    <w:uiPriority w:val="0"/>
    <w:rPr>
      <w:sz w:val="24"/>
      <w:szCs w:val="24"/>
      <w:lang w:val="en-US" w:eastAsia="en-US" w:bidi="en-US"/>
    </w:rPr>
  </w:style>
  <w:style w:type="paragraph" w:customStyle="1" w:styleId="400">
    <w:name w:val="UserStyle_13"/>
    <w:basedOn w:val="1"/>
    <w:link w:val="399"/>
    <w:qFormat/>
    <w:uiPriority w:val="0"/>
    <w:pPr>
      <w:widowControl/>
      <w:autoSpaceDE w:val="0"/>
      <w:autoSpaceDN w:val="0"/>
      <w:adjustRightInd w:val="0"/>
      <w:spacing w:line="360" w:lineRule="auto"/>
      <w:ind w:firstLine="200" w:firstLineChars="200"/>
    </w:pPr>
    <w:rPr>
      <w:kern w:val="0"/>
      <w:sz w:val="24"/>
      <w:lang w:eastAsia="en-US" w:bidi="en-US"/>
    </w:rPr>
  </w:style>
  <w:style w:type="paragraph" w:customStyle="1" w:styleId="401">
    <w:name w:val="Normal Indent1"/>
    <w:basedOn w:val="1"/>
    <w:qFormat/>
    <w:uiPriority w:val="0"/>
    <w:pPr>
      <w:ind w:firstLine="420" w:firstLineChars="200"/>
    </w:pPr>
  </w:style>
  <w:style w:type="paragraph" w:customStyle="1" w:styleId="402">
    <w:name w:val="Heading1"/>
    <w:basedOn w:val="1"/>
    <w:next w:val="1"/>
    <w:qFormat/>
    <w:uiPriority w:val="0"/>
    <w:pPr>
      <w:keepNext/>
      <w:keepLines/>
      <w:spacing w:before="340" w:after="330" w:line="578" w:lineRule="auto"/>
    </w:pPr>
    <w:rPr>
      <w:kern w:val="44"/>
      <w:sz w:val="44"/>
      <w:szCs w:val="44"/>
    </w:rPr>
  </w:style>
  <w:style w:type="paragraph" w:customStyle="1" w:styleId="403">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04">
    <w:name w:val="副标题 字符"/>
    <w:basedOn w:val="55"/>
    <w:link w:val="40"/>
    <w:qFormat/>
    <w:uiPriority w:val="11"/>
    <w:rPr>
      <w:rFonts w:asciiTheme="majorHAnsi" w:hAnsiTheme="majorHAnsi" w:eastAsiaTheme="majorEastAsia" w:cstheme="majorBidi"/>
      <w:color w:val="595959" w:themeColor="text1" w:themeTint="A6"/>
      <w:spacing w:val="15"/>
      <w:kern w:val="2"/>
      <w:sz w:val="28"/>
      <w:szCs w:val="28"/>
      <w14:textFill>
        <w14:solidFill>
          <w14:schemeClr w14:val="tx1">
            <w14:lumMod w14:val="65000"/>
            <w14:lumOff w14:val="35000"/>
          </w14:schemeClr>
        </w14:solidFill>
      </w14:textFill>
      <w14:ligatures w14:val="standardContextual"/>
    </w:rPr>
  </w:style>
  <w:style w:type="paragraph" w:styleId="405">
    <w:name w:val="Quote"/>
    <w:basedOn w:val="1"/>
    <w:next w:val="1"/>
    <w:link w:val="406"/>
    <w:qFormat/>
    <w:uiPriority w:val="29"/>
    <w:pPr>
      <w:tabs>
        <w:tab w:val="left" w:pos="720"/>
      </w:tabs>
      <w:spacing w:before="160" w:after="160" w:line="360" w:lineRule="auto"/>
      <w:ind w:firstLine="480" w:firstLineChars="200"/>
      <w:jc w:val="center"/>
    </w:pPr>
    <w:rPr>
      <w:rFonts w:ascii="宋体" w:hAnsi="宋体" w:cstheme="minorBidi"/>
      <w:i/>
      <w:iCs/>
      <w:color w:val="404040" w:themeColor="text1" w:themeTint="BF"/>
      <w:sz w:val="24"/>
      <w:szCs w:val="28"/>
      <w14:textFill>
        <w14:solidFill>
          <w14:schemeClr w14:val="tx1">
            <w14:lumMod w14:val="75000"/>
            <w14:lumOff w14:val="25000"/>
          </w14:schemeClr>
        </w14:solidFill>
      </w14:textFill>
      <w14:ligatures w14:val="standardContextual"/>
    </w:rPr>
  </w:style>
  <w:style w:type="character" w:customStyle="1" w:styleId="406">
    <w:name w:val="引用 字符"/>
    <w:basedOn w:val="55"/>
    <w:link w:val="405"/>
    <w:qFormat/>
    <w:uiPriority w:val="29"/>
    <w:rPr>
      <w:rFonts w:ascii="宋体" w:hAnsi="宋体" w:cstheme="minorBidi"/>
      <w:i/>
      <w:iCs/>
      <w:color w:val="404040" w:themeColor="text1" w:themeTint="BF"/>
      <w:kern w:val="2"/>
      <w:sz w:val="24"/>
      <w:szCs w:val="28"/>
      <w14:textFill>
        <w14:solidFill>
          <w14:schemeClr w14:val="tx1">
            <w14:lumMod w14:val="75000"/>
            <w14:lumOff w14:val="25000"/>
          </w14:schemeClr>
        </w14:solidFill>
      </w14:textFill>
      <w14:ligatures w14:val="standardContextual"/>
    </w:rPr>
  </w:style>
  <w:style w:type="paragraph" w:styleId="407">
    <w:name w:val="List Paragraph"/>
    <w:basedOn w:val="1"/>
    <w:qFormat/>
    <w:uiPriority w:val="34"/>
    <w:pPr>
      <w:tabs>
        <w:tab w:val="left" w:pos="720"/>
      </w:tabs>
      <w:spacing w:after="160" w:line="360" w:lineRule="auto"/>
      <w:ind w:left="720" w:firstLine="480" w:firstLineChars="200"/>
      <w:contextualSpacing/>
      <w:jc w:val="left"/>
    </w:pPr>
    <w:rPr>
      <w:rFonts w:ascii="宋体" w:hAnsi="宋体" w:cstheme="minorBidi"/>
      <w:sz w:val="24"/>
      <w:szCs w:val="28"/>
      <w14:ligatures w14:val="standardContextual"/>
    </w:rPr>
  </w:style>
  <w:style w:type="character" w:customStyle="1" w:styleId="408">
    <w:name w:val="明显强调1"/>
    <w:basedOn w:val="55"/>
    <w:qFormat/>
    <w:uiPriority w:val="21"/>
    <w:rPr>
      <w:i/>
      <w:iCs/>
      <w:color w:val="376092" w:themeColor="accent1" w:themeShade="BF"/>
    </w:rPr>
  </w:style>
  <w:style w:type="paragraph" w:styleId="409">
    <w:name w:val="Intense Quote"/>
    <w:basedOn w:val="1"/>
    <w:next w:val="1"/>
    <w:link w:val="410"/>
    <w:qFormat/>
    <w:uiPriority w:val="30"/>
    <w:pPr>
      <w:pBdr>
        <w:top w:val="single" w:color="366091" w:themeColor="accent1" w:themeShade="BF" w:sz="4" w:space="10"/>
        <w:bottom w:val="single" w:color="366091" w:themeColor="accent1" w:themeShade="BF" w:sz="4" w:space="10"/>
      </w:pBdr>
      <w:tabs>
        <w:tab w:val="left" w:pos="720"/>
      </w:tabs>
      <w:spacing w:before="360" w:after="360" w:line="360" w:lineRule="auto"/>
      <w:ind w:left="864" w:right="864" w:firstLine="480" w:firstLineChars="200"/>
      <w:jc w:val="center"/>
    </w:pPr>
    <w:rPr>
      <w:rFonts w:ascii="宋体" w:hAnsi="宋体" w:cstheme="minorBidi"/>
      <w:i/>
      <w:iCs/>
      <w:color w:val="376092" w:themeColor="accent1" w:themeShade="BF"/>
      <w:sz w:val="24"/>
      <w:szCs w:val="28"/>
      <w14:ligatures w14:val="standardContextual"/>
    </w:rPr>
  </w:style>
  <w:style w:type="character" w:customStyle="1" w:styleId="410">
    <w:name w:val="明显引用 字符"/>
    <w:basedOn w:val="55"/>
    <w:link w:val="409"/>
    <w:qFormat/>
    <w:uiPriority w:val="30"/>
    <w:rPr>
      <w:rFonts w:ascii="宋体" w:hAnsi="宋体" w:cstheme="minorBidi"/>
      <w:i/>
      <w:iCs/>
      <w:color w:val="376092" w:themeColor="accent1" w:themeShade="BF"/>
      <w:kern w:val="2"/>
      <w:sz w:val="24"/>
      <w:szCs w:val="28"/>
      <w14:ligatures w14:val="standardContextual"/>
    </w:rPr>
  </w:style>
  <w:style w:type="character" w:customStyle="1" w:styleId="411">
    <w:name w:val="明显参考1"/>
    <w:basedOn w:val="55"/>
    <w:qFormat/>
    <w:uiPriority w:val="32"/>
    <w:rPr>
      <w:b/>
      <w:bCs/>
      <w:smallCaps/>
      <w:color w:val="376092" w:themeColor="accent1" w:themeShade="BF"/>
      <w:spacing w:val="5"/>
    </w:rPr>
  </w:style>
  <w:style w:type="character" w:customStyle="1" w:styleId="412">
    <w:name w:val="书籍标题1"/>
    <w:qFormat/>
    <w:uiPriority w:val="33"/>
    <w:rPr>
      <w:sz w:val="44"/>
      <w:szCs w:val="48"/>
    </w:rPr>
  </w:style>
  <w:style w:type="paragraph" w:customStyle="1" w:styleId="413">
    <w:name w:val="缩进的正文"/>
    <w:qFormat/>
    <w:uiPriority w:val="0"/>
    <w:pPr>
      <w:adjustRightInd w:val="0"/>
      <w:snapToGrid w:val="0"/>
      <w:spacing w:line="360" w:lineRule="auto"/>
      <w:ind w:firstLine="200" w:firstLineChars="200"/>
    </w:pPr>
    <w:rPr>
      <w:rFonts w:ascii="Times New Roman" w:hAnsi="Times New Roman" w:eastAsia="宋体" w:cs="Times New Roman"/>
      <w:kern w:val="2"/>
      <w:sz w:val="24"/>
      <w:szCs w:val="22"/>
      <w:lang w:val="en-US" w:eastAsia="zh-CN" w:bidi="ar-SA"/>
    </w:rPr>
  </w:style>
  <w:style w:type="table" w:customStyle="1" w:styleId="414">
    <w:name w:val="Table Normal"/>
    <w:basedOn w:val="53"/>
    <w:unhideWhenUsed/>
    <w:qFormat/>
    <w:uiPriority w:val="2"/>
    <w:pPr>
      <w:widowControl w:val="0"/>
      <w:autoSpaceDE w:val="0"/>
      <w:autoSpaceDN w:val="0"/>
    </w:pPr>
    <w:rPr>
      <w:sz w:val="22"/>
      <w:lang w:eastAsia="en-US"/>
    </w:rPr>
    <w:tblPr>
      <w:tblCellMar>
        <w:left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54</Pages>
  <Words>29115</Words>
  <Characters>30335</Characters>
  <Lines>196</Lines>
  <Paragraphs>55</Paragraphs>
  <TotalTime>30</TotalTime>
  <ScaleCrop>false</ScaleCrop>
  <LinksUpToDate>false</LinksUpToDate>
  <CharactersWithSpaces>31786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2024-06-05T07:45:00Z</dcterms:created>
  <dc:creator>Sky123.Org</dc:creator>
  <cp:lastModifiedBy>WPS_1527910606</cp:lastModifiedBy>
  <cp:lastPrinted>2026-05-26T02:39:00Z</cp:lastPrinted>
  <dcterms:modified xsi:type="dcterms:W3CDTF">2026-05-27T08:20:51Z</dcterms:modified>
  <dc:title>临海市政府采购</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DD7BC019130749828371C4760C476430_13</vt:lpwstr>
  </property>
  <property fmtid="{D5CDD505-2E9C-101B-9397-08002B2CF9AE}" pid="4" name="KSOTemplateDocerSaveRecord">
    <vt:lpwstr>eyJoZGlkIjoiNWZjNmFhYWQ4OWI1MTZmNDAzYTY0ZjM2OWJjMWYzOTQiLCJ1c2VySWQiOiIzNzU0OTEzNzUifQ==</vt:lpwstr>
  </property>
</Properties>
</file>